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1EFE" w:rsidRDefault="00BE1EFE" w:rsidP="00B33077">
      <w:pPr>
        <w:pStyle w:val="Titelseite"/>
        <w:jc w:val="left"/>
        <w:divId w:val="500198663"/>
      </w:pPr>
      <w:bookmarkStart w:id="0" w:name="_GoBack"/>
      <w:bookmarkEnd w:id="0"/>
    </w:p>
    <w:p w:rsidR="00BE1EFE" w:rsidRPr="0058209A" w:rsidRDefault="00BE1EFE" w:rsidP="0058209A">
      <w:pPr>
        <w:pStyle w:val="TitelseiteFett"/>
        <w:divId w:val="500198663"/>
        <w:rPr>
          <w:b w:val="0"/>
        </w:rPr>
      </w:pPr>
      <w:r w:rsidRPr="00AF68BA">
        <w:rPr>
          <w:b w:val="0"/>
        </w:rPr>
        <w:t xml:space="preserve">Kommission für das Arbeitsvertragsrecht der bayerischen Diözesen </w:t>
      </w:r>
    </w:p>
    <w:p w:rsidR="00BE1EFE" w:rsidRDefault="00BE1EFE" w:rsidP="0076048D">
      <w:pPr>
        <w:pStyle w:val="TitelseiteFett"/>
        <w:divId w:val="500198663"/>
      </w:pPr>
      <w:r>
        <w:t>Arbeitsve</w:t>
      </w:r>
      <w:r w:rsidRPr="006D53C5">
        <w:t>rtra</w:t>
      </w:r>
      <w:r>
        <w:t>gsrecht</w:t>
      </w:r>
      <w:r>
        <w:br/>
        <w:t>der bayerischen Diözesen</w:t>
      </w:r>
    </w:p>
    <w:p w:rsidR="00BE1EFE" w:rsidRDefault="00BE1EFE" w:rsidP="0076048D">
      <w:pPr>
        <w:pStyle w:val="TitelseiteABD"/>
        <w:divId w:val="500198663"/>
      </w:pPr>
      <w:r>
        <w:t>(</w:t>
      </w:r>
      <w:r w:rsidRPr="006D53C5">
        <w:t>ABD</w:t>
      </w:r>
      <w:r>
        <w:t>)</w:t>
      </w:r>
    </w:p>
    <w:p w:rsidR="00BE1EFE" w:rsidRDefault="00BE1EFE" w:rsidP="004C07DD">
      <w:pPr>
        <w:pStyle w:val="TitelseiteDatum"/>
        <w:spacing w:before="720"/>
        <w:divId w:val="500198663"/>
      </w:pPr>
    </w:p>
    <w:p w:rsidR="00BE1EFE" w:rsidRPr="00BC793B" w:rsidRDefault="00BE1EFE" w:rsidP="00BC793B">
      <w:pPr>
        <w:pStyle w:val="StandardWeb"/>
        <w:jc w:val="center"/>
        <w:divId w:val="500198663"/>
        <w:rPr>
          <w:sz w:val="24"/>
        </w:rPr>
      </w:pPr>
      <w:r>
        <w:rPr>
          <w:sz w:val="24"/>
        </w:rPr>
        <w:t>Stand: 01.09.2018</w:t>
      </w:r>
      <w:r w:rsidRPr="00BC793B">
        <w:rPr>
          <w:sz w:val="24"/>
        </w:rPr>
        <w:br/>
      </w:r>
    </w:p>
    <w:p w:rsidR="00BE1EFE" w:rsidRDefault="00BE1EFE" w:rsidP="001572E1">
      <w:pPr>
        <w:pStyle w:val="StandardWeb"/>
        <w:tabs>
          <w:tab w:val="left" w:pos="3870"/>
        </w:tabs>
        <w:jc w:val="left"/>
        <w:divId w:val="500198663"/>
      </w:pPr>
      <w:r>
        <w:tab/>
      </w:r>
    </w:p>
    <w:p w:rsidR="00BE1EFE" w:rsidRDefault="00BE1EFE" w:rsidP="00C96AE0"/>
    <w:p w:rsidR="00BE1EFE" w:rsidRPr="00C96AE0" w:rsidRDefault="00BE1EFE" w:rsidP="00C96AE0">
      <w:pPr>
        <w:sectPr w:rsidR="00BE1EFE" w:rsidRPr="00C96AE0" w:rsidSect="00386681">
          <w:pgSz w:w="8392" w:h="11907" w:code="11"/>
          <w:pgMar w:top="1418" w:right="567" w:bottom="567" w:left="1134" w:header="284" w:footer="284" w:gutter="0"/>
          <w:cols w:space="708"/>
          <w:docGrid w:linePitch="360"/>
        </w:sectPr>
      </w:pPr>
    </w:p>
    <w:p w:rsidR="00BE1EFE" w:rsidRDefault="00BE1EFE" w:rsidP="0076048D">
      <w:pPr>
        <w:pStyle w:val="berschrift3"/>
        <w:divId w:val="500198663"/>
      </w:pPr>
      <w:bookmarkStart w:id="1" w:name="_Toc523925672"/>
      <w:r>
        <w:lastRenderedPageBreak/>
        <w:t>Inhaltsverzeichnis</w:t>
      </w:r>
      <w:bookmarkEnd w:id="1"/>
    </w:p>
    <w:p w:rsidR="00BE1EFE" w:rsidRPr="00B76821" w:rsidRDefault="00BE1EFE" w:rsidP="00B76821">
      <w:pPr>
        <w:pStyle w:val="berschrift4"/>
        <w:keepNext w:val="0"/>
        <w:spacing w:before="0" w:after="0"/>
        <w:divId w:val="500198663"/>
        <w:rPr>
          <w:sz w:val="2"/>
        </w:rPr>
      </w:pPr>
    </w:p>
    <w:p w:rsidR="00BE1EFE" w:rsidRDefault="00BE1EFE" w:rsidP="0076048D">
      <w:pPr>
        <w:divId w:val="500198663"/>
      </w:pPr>
    </w:p>
    <w:p w:rsidR="00B33077" w:rsidRPr="00CC12D3" w:rsidRDefault="00BE1EFE" w:rsidP="00CC12D3">
      <w:pPr>
        <w:pStyle w:val="Verzeichnis3"/>
        <w:divId w:val="500198663"/>
        <w:rPr>
          <w:rFonts w:asciiTheme="minorHAnsi" w:eastAsiaTheme="minorEastAsia" w:hAnsiTheme="minorHAnsi" w:cstheme="minorBidi"/>
          <w:b w:val="0"/>
          <w:sz w:val="22"/>
          <w:szCs w:val="22"/>
        </w:rPr>
      </w:pPr>
      <w:r>
        <w:fldChar w:fldCharType="begin"/>
      </w:r>
      <w:r>
        <w:instrText xml:space="preserve"> TOC \o \n \p " " \h \z \u </w:instrText>
      </w:r>
      <w:r>
        <w:fldChar w:fldCharType="separate"/>
      </w:r>
      <w:hyperlink w:anchor="_Toc523925672" w:history="1">
        <w:r w:rsidR="00B33077" w:rsidRPr="00CC12D3">
          <w:rPr>
            <w:rStyle w:val="Hyperlink"/>
            <w:b w:val="0"/>
          </w:rPr>
          <w:t>Inhaltsverzeichnis</w:t>
        </w:r>
      </w:hyperlink>
    </w:p>
    <w:p w:rsidR="00B33077" w:rsidRPr="00CC12D3" w:rsidRDefault="00C23DFA" w:rsidP="00CC12D3">
      <w:pPr>
        <w:pStyle w:val="Verzeichnis3"/>
        <w:divId w:val="500198663"/>
        <w:rPr>
          <w:rFonts w:asciiTheme="minorHAnsi" w:eastAsiaTheme="minorEastAsia" w:hAnsiTheme="minorHAnsi" w:cstheme="minorBidi"/>
          <w:b w:val="0"/>
          <w:sz w:val="22"/>
          <w:szCs w:val="22"/>
        </w:rPr>
      </w:pPr>
      <w:hyperlink w:anchor="_Toc523925673" w:history="1">
        <w:r w:rsidR="00B33077" w:rsidRPr="00CC12D3">
          <w:rPr>
            <w:rStyle w:val="Hyperlink"/>
            <w:b w:val="0"/>
          </w:rPr>
          <w:t>Präambel</w:t>
        </w:r>
      </w:hyperlink>
    </w:p>
    <w:p w:rsidR="00B33077" w:rsidRPr="00CC12D3" w:rsidRDefault="00C23DFA" w:rsidP="00CC12D3">
      <w:pPr>
        <w:pStyle w:val="Verzeichnis3"/>
        <w:divId w:val="500198663"/>
        <w:rPr>
          <w:rFonts w:asciiTheme="minorHAnsi" w:eastAsiaTheme="minorEastAsia" w:hAnsiTheme="minorHAnsi" w:cstheme="minorBidi"/>
          <w:sz w:val="22"/>
          <w:szCs w:val="22"/>
        </w:rPr>
      </w:pPr>
      <w:hyperlink w:anchor="_Toc523925674" w:history="1">
        <w:r w:rsidR="00B33077" w:rsidRPr="00CC12D3">
          <w:rPr>
            <w:rStyle w:val="Hyperlink"/>
            <w:b w:val="0"/>
          </w:rPr>
          <w:t>Teil A</w:t>
        </w:r>
      </w:hyperlink>
    </w:p>
    <w:p w:rsidR="00B33077" w:rsidRDefault="00C23DFA" w:rsidP="00FB68F3">
      <w:pPr>
        <w:pStyle w:val="Verzeichnis4"/>
        <w:spacing w:before="60"/>
        <w:divId w:val="500198663"/>
        <w:rPr>
          <w:rFonts w:asciiTheme="minorHAnsi" w:eastAsiaTheme="minorEastAsia" w:hAnsiTheme="minorHAnsi" w:cstheme="minorBidi"/>
          <w:noProof/>
          <w:sz w:val="22"/>
          <w:szCs w:val="22"/>
        </w:rPr>
      </w:pPr>
      <w:hyperlink w:anchor="_Toc523925675" w:history="1">
        <w:r w:rsidR="00B33077" w:rsidRPr="00164DA3">
          <w:rPr>
            <w:rStyle w:val="Hyperlink"/>
            <w:noProof/>
          </w:rPr>
          <w:t>A, 1. Allgemeiner Teil</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676" w:history="1">
        <w:r w:rsidR="00B33077" w:rsidRPr="00164DA3">
          <w:rPr>
            <w:rStyle w:val="Hyperlink"/>
            <w:noProof/>
          </w:rPr>
          <w:t>Abschnitt I: Allgemeine Vorschriften (§§ 1-5a)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77" w:history="1">
        <w:r w:rsidR="00B33077" w:rsidRPr="00164DA3">
          <w:rPr>
            <w:rStyle w:val="Hyperlink"/>
            <w:noProof/>
          </w:rPr>
          <w:t>§ 1 Allgemeiner Geltungsbereich</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78" w:history="1">
        <w:r w:rsidR="00B33077" w:rsidRPr="00164DA3">
          <w:rPr>
            <w:rStyle w:val="Hyperlink"/>
            <w:noProof/>
          </w:rPr>
          <w:t>§ 2 Arbeitsvertrag, Nebenabreden, Probezeit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79" w:history="1">
        <w:r w:rsidR="00B33077" w:rsidRPr="00164DA3">
          <w:rPr>
            <w:rStyle w:val="Hyperlink"/>
            <w:noProof/>
          </w:rPr>
          <w:t>§ 3 Allgemeine Arbeitsbedingungen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0" w:history="1">
        <w:r w:rsidR="00B33077" w:rsidRPr="00164DA3">
          <w:rPr>
            <w:rStyle w:val="Hyperlink"/>
            <w:noProof/>
          </w:rPr>
          <w:t>§ 4 Versetzung, Abordnung, Zuweisung, Personalgestellung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1" w:history="1">
        <w:r w:rsidR="00B33077" w:rsidRPr="00164DA3">
          <w:rPr>
            <w:rStyle w:val="Hyperlink"/>
            <w:noProof/>
          </w:rPr>
          <w:t>§ 5 Qualifizierung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2" w:history="1">
        <w:r w:rsidR="00B33077" w:rsidRPr="00164DA3">
          <w:rPr>
            <w:rStyle w:val="Hyperlink"/>
            <w:noProof/>
          </w:rPr>
          <w:t>§ 5a Freiwillige Qualifizierungsmaßnahmen</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683" w:history="1">
        <w:r w:rsidR="00B33077" w:rsidRPr="00164DA3">
          <w:rPr>
            <w:rStyle w:val="Hyperlink"/>
            <w:noProof/>
          </w:rPr>
          <w:t>Abschnitt II: Arbeitszeit (§§ 6-11b)</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4" w:history="1">
        <w:r w:rsidR="00B33077" w:rsidRPr="00164DA3">
          <w:rPr>
            <w:rStyle w:val="Hyperlink"/>
            <w:noProof/>
          </w:rPr>
          <w:t xml:space="preserve">§ 6 Regelmäßige Arbeitszeit </w:t>
        </w:r>
        <w:r w:rsidR="00B33077" w:rsidRPr="00164DA3">
          <w:rPr>
            <w:rStyle w:val="Hyperlink"/>
            <w:noProof/>
            <w:vertAlign w:val="superscript"/>
          </w:rPr>
          <w:t>1)</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5" w:history="1">
        <w:r w:rsidR="00B33077" w:rsidRPr="00164DA3">
          <w:rPr>
            <w:rStyle w:val="Hyperlink"/>
            <w:noProof/>
          </w:rPr>
          <w:t>§ 7 Sonderformen der Arbeit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6" w:history="1">
        <w:r w:rsidR="00B33077" w:rsidRPr="00164DA3">
          <w:rPr>
            <w:rStyle w:val="Hyperlink"/>
            <w:noProof/>
          </w:rPr>
          <w:t>§ 8 Ausgleich für Sonderformen der Arbeit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7" w:history="1">
        <w:r w:rsidR="00B33077" w:rsidRPr="00164DA3">
          <w:rPr>
            <w:rStyle w:val="Hyperlink"/>
            <w:noProof/>
          </w:rPr>
          <w:t>§ 9 Bereitschaftszeiten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8" w:history="1">
        <w:r w:rsidR="00B33077" w:rsidRPr="00164DA3">
          <w:rPr>
            <w:rStyle w:val="Hyperlink"/>
            <w:noProof/>
          </w:rPr>
          <w:t>§ 10 Arbeitszeitkonto</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89" w:history="1">
        <w:r w:rsidR="00B33077" w:rsidRPr="00164DA3">
          <w:rPr>
            <w:rStyle w:val="Hyperlink"/>
            <w:noProof/>
          </w:rPr>
          <w:t>§ 11 Teilzeitbeschäftigung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0" w:history="1">
        <w:r w:rsidR="00B33077" w:rsidRPr="00164DA3">
          <w:rPr>
            <w:rStyle w:val="Hyperlink"/>
            <w:noProof/>
          </w:rPr>
          <w:t>§ 11a Arbeitsplatzteilung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1" w:history="1">
        <w:r w:rsidR="00B33077" w:rsidRPr="00164DA3">
          <w:rPr>
            <w:rStyle w:val="Hyperlink"/>
            <w:noProof/>
          </w:rPr>
          <w:t>§ 11b Mindestdauer, zeitliche Lage der Arbeitszeit</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692" w:history="1">
        <w:r w:rsidR="00B33077" w:rsidRPr="00164DA3">
          <w:rPr>
            <w:rStyle w:val="Hyperlink"/>
            <w:noProof/>
          </w:rPr>
          <w:t>Abschnitt III: Eingruppierung, Entgelt und sonstige Leistungen (§§ 12 - 25c)</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3" w:history="1">
        <w:r w:rsidR="00B33077" w:rsidRPr="00164DA3">
          <w:rPr>
            <w:rStyle w:val="Hyperlink"/>
            <w:noProof/>
          </w:rPr>
          <w:t>§ 12 Eingruppierung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4" w:history="1">
        <w:r w:rsidR="00B33077" w:rsidRPr="00164DA3">
          <w:rPr>
            <w:rStyle w:val="Hyperlink"/>
            <w:noProof/>
          </w:rPr>
          <w:t>§ 13 Eingruppierung in besonderen Fällen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5" w:history="1">
        <w:r w:rsidR="00B33077" w:rsidRPr="00164DA3">
          <w:rPr>
            <w:rStyle w:val="Hyperlink"/>
            <w:noProof/>
          </w:rPr>
          <w:t>§ 14 Vorübergehende Ausübung einer höherwertigen Tätigkeit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6" w:history="1">
        <w:r w:rsidR="00B33077" w:rsidRPr="00164DA3">
          <w:rPr>
            <w:rStyle w:val="Hyperlink"/>
            <w:noProof/>
          </w:rPr>
          <w:t>§ 14a Höher- bzw. Herabgruppierung von Leiterinnen/Leitern von Kindertageseinrichtungen, Erzieherinnen/Erzieher mit besonders schwierigen fachlichen Tätigkeiten und Kinderpflegerinnen/Kinderpfleger mit schwierigen fachlichen Tätigkeiten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7" w:history="1">
        <w:r w:rsidR="00B33077" w:rsidRPr="00164DA3">
          <w:rPr>
            <w:rStyle w:val="Hyperlink"/>
            <w:noProof/>
          </w:rPr>
          <w:t>§ 15 Tabellenentgelt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8" w:history="1">
        <w:r w:rsidR="00B33077" w:rsidRPr="00164DA3">
          <w:rPr>
            <w:rStyle w:val="Hyperlink"/>
            <w:noProof/>
          </w:rPr>
          <w:t>§ 16 Stufen der Entgelttabelle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699" w:history="1">
        <w:r w:rsidR="00B33077" w:rsidRPr="00164DA3">
          <w:rPr>
            <w:rStyle w:val="Hyperlink"/>
            <w:noProof/>
          </w:rPr>
          <w:t>§ 16a Weitere Anrechnung von Vordienstzeiten bei Einstellung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0" w:history="1">
        <w:r w:rsidR="00B33077" w:rsidRPr="00164DA3">
          <w:rPr>
            <w:rStyle w:val="Hyperlink"/>
            <w:noProof/>
          </w:rPr>
          <w:t>§ 17 Allgemeine Regelungen zu den Stufen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1" w:history="1">
        <w:r w:rsidR="00B33077" w:rsidRPr="00164DA3">
          <w:rPr>
            <w:rStyle w:val="Hyperlink"/>
            <w:noProof/>
          </w:rPr>
          <w:t>§ 18 Leistungsentgelt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2" w:history="1">
        <w:r w:rsidR="00B33077" w:rsidRPr="00164DA3">
          <w:rPr>
            <w:rStyle w:val="Hyperlink"/>
            <w:noProof/>
          </w:rPr>
          <w:t>§ 18a Besondere Einmalzahlung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3" w:history="1">
        <w:r w:rsidR="00B33077" w:rsidRPr="00164DA3">
          <w:rPr>
            <w:rStyle w:val="Hyperlink"/>
            <w:noProof/>
          </w:rPr>
          <w:t>§ 19 Erschwerniszuschläge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4" w:history="1">
        <w:r w:rsidR="00B33077" w:rsidRPr="00164DA3">
          <w:rPr>
            <w:rStyle w:val="Hyperlink"/>
            <w:noProof/>
          </w:rPr>
          <w:t>§ 20 Jahressonderzahlung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5" w:history="1">
        <w:r w:rsidR="00B33077" w:rsidRPr="00164DA3">
          <w:rPr>
            <w:rStyle w:val="Hyperlink"/>
            <w:noProof/>
          </w:rPr>
          <w:t>§ 20a Entgeltbezugsgröße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6" w:history="1">
        <w:r w:rsidR="00B33077" w:rsidRPr="00164DA3">
          <w:rPr>
            <w:rStyle w:val="Hyperlink"/>
            <w:noProof/>
          </w:rPr>
          <w:t>§ 20b Einmalige Sonderzahlung 2009</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7" w:history="1">
        <w:r w:rsidR="00B33077" w:rsidRPr="00164DA3">
          <w:rPr>
            <w:rStyle w:val="Hyperlink"/>
            <w:noProof/>
          </w:rPr>
          <w:t>§ 21 Bemessungsgrundlage für die Entgeltfortzahlung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8" w:history="1">
        <w:r w:rsidR="00B33077" w:rsidRPr="00164DA3">
          <w:rPr>
            <w:rStyle w:val="Hyperlink"/>
            <w:noProof/>
          </w:rPr>
          <w:t>§ 22 Entgelt im Krankheitsfall</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09" w:history="1">
        <w:r w:rsidR="00B33077" w:rsidRPr="00164DA3">
          <w:rPr>
            <w:rStyle w:val="Hyperlink"/>
            <w:noProof/>
          </w:rPr>
          <w:t>§ 23 Besondere Zahlungen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0" w:history="1">
        <w:r w:rsidR="00B33077" w:rsidRPr="00164DA3">
          <w:rPr>
            <w:rStyle w:val="Hyperlink"/>
            <w:noProof/>
          </w:rPr>
          <w:t>§ 24 Berechnung und Auszahlung des Entgelts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1" w:history="1">
        <w:r w:rsidR="00B33077" w:rsidRPr="00164DA3">
          <w:rPr>
            <w:rStyle w:val="Hyperlink"/>
            <w:noProof/>
          </w:rPr>
          <w:t>§ 25 Betriebliche Altersversorgung bei der Zusatzversorgungskasse der bayerischen Gemeinden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2" w:history="1">
        <w:r w:rsidR="00B33077" w:rsidRPr="00164DA3">
          <w:rPr>
            <w:rStyle w:val="Hyperlink"/>
            <w:noProof/>
          </w:rPr>
          <w:t>§ 25a Betriebliche Altersversorgung bei der</w:t>
        </w:r>
        <w:r w:rsidR="00B33077" w:rsidRPr="00164DA3">
          <w:rPr>
            <w:rStyle w:val="Hyperlink"/>
            <w:noProof/>
            <w:lang w:eastAsia="x-none"/>
          </w:rPr>
          <w:t xml:space="preserve"> </w:t>
        </w:r>
        <w:r w:rsidR="00B33077" w:rsidRPr="00164DA3">
          <w:rPr>
            <w:rStyle w:val="Hyperlink"/>
            <w:noProof/>
          </w:rPr>
          <w:t>Pensionskasse der Caritas VVaG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3" w:history="1">
        <w:r w:rsidR="00B33077" w:rsidRPr="00164DA3">
          <w:rPr>
            <w:rStyle w:val="Hyperlink"/>
            <w:noProof/>
          </w:rPr>
          <w:t>§ 25b Betriebliche Altersversorgung bei einer anderen Pensionskasse oder einem Pensionsfonds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4" w:history="1">
        <w:r w:rsidR="00B33077" w:rsidRPr="00164DA3">
          <w:rPr>
            <w:rStyle w:val="Hyperlink"/>
            <w:noProof/>
          </w:rPr>
          <w:t>§ 25c Betriebliche Altersversorgung durch Entgeltumwandlung</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715" w:history="1">
        <w:r w:rsidR="00B33077" w:rsidRPr="00164DA3">
          <w:rPr>
            <w:rStyle w:val="Hyperlink"/>
            <w:noProof/>
          </w:rPr>
          <w:t>Abschnitt IV: Urlaub und Arbeitsbefreiung (§§ 26-29)</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6" w:history="1">
        <w:r w:rsidR="00B33077" w:rsidRPr="00164DA3">
          <w:rPr>
            <w:rStyle w:val="Hyperlink"/>
            <w:noProof/>
          </w:rPr>
          <w:t>§ 26 Erholungsurlaub</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7" w:history="1">
        <w:r w:rsidR="00B33077" w:rsidRPr="00164DA3">
          <w:rPr>
            <w:rStyle w:val="Hyperlink"/>
            <w:noProof/>
          </w:rPr>
          <w:t>§ 26a Übergangsvorschriften zum Erholungsurlaub</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8" w:history="1">
        <w:r w:rsidR="00B33077" w:rsidRPr="00164DA3">
          <w:rPr>
            <w:rStyle w:val="Hyperlink"/>
            <w:noProof/>
          </w:rPr>
          <w:t>§ 27 Zusatzurlaub</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19" w:history="1">
        <w:r w:rsidR="00B33077" w:rsidRPr="00164DA3">
          <w:rPr>
            <w:rStyle w:val="Hyperlink"/>
            <w:noProof/>
          </w:rPr>
          <w:t>§ 28 Sonderurlaub</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20" w:history="1">
        <w:r w:rsidR="00B33077" w:rsidRPr="00164DA3">
          <w:rPr>
            <w:rStyle w:val="Hyperlink"/>
            <w:noProof/>
          </w:rPr>
          <w:t>§ 29 Arbeitsbefreiung</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721" w:history="1">
        <w:r w:rsidR="00B33077" w:rsidRPr="00164DA3">
          <w:rPr>
            <w:rStyle w:val="Hyperlink"/>
            <w:noProof/>
          </w:rPr>
          <w:t>Abschnitt V: Befristung und Beendigung des Arbeitsverhältnisses (§§ 30-35)</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22" w:history="1">
        <w:r w:rsidR="00B33077" w:rsidRPr="00164DA3">
          <w:rPr>
            <w:rStyle w:val="Hyperlink"/>
            <w:noProof/>
          </w:rPr>
          <w:t>§ 30 Befristete Arbeitsverträge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23" w:history="1">
        <w:r w:rsidR="00B33077" w:rsidRPr="00164DA3">
          <w:rPr>
            <w:rStyle w:val="Hyperlink"/>
            <w:noProof/>
          </w:rPr>
          <w:t>§ 31 Führung auf Probe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24" w:history="1">
        <w:r w:rsidR="00B33077" w:rsidRPr="00164DA3">
          <w:rPr>
            <w:rStyle w:val="Hyperlink"/>
            <w:noProof/>
          </w:rPr>
          <w:t>§ 32 Führung auf Zeit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25" w:history="1">
        <w:r w:rsidR="00B33077" w:rsidRPr="00164DA3">
          <w:rPr>
            <w:rStyle w:val="Hyperlink"/>
            <w:noProof/>
          </w:rPr>
          <w:t>§ 33 Beendigung des Arbeitsverhältnisses ohne Kündigung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26" w:history="1">
        <w:r w:rsidR="00B33077" w:rsidRPr="00164DA3">
          <w:rPr>
            <w:rStyle w:val="Hyperlink"/>
            <w:noProof/>
          </w:rPr>
          <w:t>§ 34 Kündigung des Arbeitsverhältnisses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27" w:history="1">
        <w:r w:rsidR="00B33077" w:rsidRPr="00164DA3">
          <w:rPr>
            <w:rStyle w:val="Hyperlink"/>
            <w:noProof/>
          </w:rPr>
          <w:t>§ 35 Zeugnis</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728" w:history="1">
        <w:r w:rsidR="00B33077" w:rsidRPr="00164DA3">
          <w:rPr>
            <w:rStyle w:val="Hyperlink"/>
            <w:noProof/>
          </w:rPr>
          <w:t>Abschnitt VI: Sonstige Vorschriften (§§ 36-43)</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29" w:history="1">
        <w:r w:rsidR="00B33077" w:rsidRPr="00164DA3">
          <w:rPr>
            <w:rStyle w:val="Hyperlink"/>
            <w:noProof/>
          </w:rPr>
          <w:t>§ 36 Beihilfen bei Krankheits-, Pflege-, Geburts- und Todesfällen, Unterstützungen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0" w:history="1">
        <w:r w:rsidR="00B33077" w:rsidRPr="00164DA3">
          <w:rPr>
            <w:rStyle w:val="Hyperlink"/>
            <w:noProof/>
          </w:rPr>
          <w:t>§ 36a Kirchliche Höherversicherung I in Krankheitsfällen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1" w:history="1">
        <w:r w:rsidR="00B33077" w:rsidRPr="00164DA3">
          <w:rPr>
            <w:rStyle w:val="Hyperlink"/>
            <w:noProof/>
          </w:rPr>
          <w:t>§ 36b Übergangsregelung für die kirchliche Beihilfeversicherung bei Krankheitsfällen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2" w:history="1">
        <w:r w:rsidR="00B33077" w:rsidRPr="00164DA3">
          <w:rPr>
            <w:rStyle w:val="Hyperlink"/>
            <w:noProof/>
          </w:rPr>
          <w:t>§ 36c Kirchliche Höherversicherung II in Krankheitsfällen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3" w:history="1">
        <w:r w:rsidR="00B33077" w:rsidRPr="00164DA3">
          <w:rPr>
            <w:rStyle w:val="Hyperlink"/>
            <w:noProof/>
          </w:rPr>
          <w:t>§ 36d Erstausstattung bei Geburten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4" w:history="1">
        <w:r w:rsidR="00B33077" w:rsidRPr="00164DA3">
          <w:rPr>
            <w:rStyle w:val="Hyperlink"/>
            <w:noProof/>
          </w:rPr>
          <w:t>§ 36e Kostenpauschale bei Fehl- oder Totgeburten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5" w:history="1">
        <w:r w:rsidR="00B33077" w:rsidRPr="00164DA3">
          <w:rPr>
            <w:rStyle w:val="Hyperlink"/>
            <w:noProof/>
          </w:rPr>
          <w:t>§ 37 Ausschlussfrist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6" w:history="1">
        <w:r w:rsidR="00B33077" w:rsidRPr="00164DA3">
          <w:rPr>
            <w:rStyle w:val="Hyperlink"/>
            <w:noProof/>
          </w:rPr>
          <w:t>§ 38 Begriffsbestimmungen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7" w:history="1">
        <w:r w:rsidR="00B33077" w:rsidRPr="00164DA3">
          <w:rPr>
            <w:rStyle w:val="Hyperlink"/>
            <w:noProof/>
          </w:rPr>
          <w:t>§ 39 Erstattung von Auslagen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8" w:history="1">
        <w:r w:rsidR="00B33077" w:rsidRPr="00164DA3">
          <w:rPr>
            <w:rStyle w:val="Hyperlink"/>
            <w:noProof/>
          </w:rPr>
          <w:t>§ 40 Dienstreisen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39" w:history="1">
        <w:r w:rsidR="00B33077" w:rsidRPr="00164DA3">
          <w:rPr>
            <w:rStyle w:val="Hyperlink"/>
            <w:noProof/>
          </w:rPr>
          <w:t>§ 41 Umzugskosten/Trennungsgeld</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40" w:history="1">
        <w:r w:rsidR="00B33077" w:rsidRPr="00164DA3">
          <w:rPr>
            <w:rStyle w:val="Hyperlink"/>
            <w:noProof/>
          </w:rPr>
          <w:t>§ 42 Saisonaler Ausgleich</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41" w:history="1">
        <w:r w:rsidR="00B33077" w:rsidRPr="00164DA3">
          <w:rPr>
            <w:rStyle w:val="Hyperlink"/>
            <w:noProof/>
          </w:rPr>
          <w:t>§ 43 Überstunden</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742" w:history="1">
        <w:r w:rsidR="00B33077" w:rsidRPr="00164DA3">
          <w:rPr>
            <w:rStyle w:val="Hyperlink"/>
            <w:noProof/>
          </w:rPr>
          <w:t xml:space="preserve">Abschnitt VII: Sonderregelungen </w:t>
        </w:r>
        <w:r w:rsidR="00B33077" w:rsidRPr="00164DA3">
          <w:rPr>
            <w:rStyle w:val="Hyperlink"/>
            <w:noProof/>
            <w:lang w:eastAsia="x-none"/>
          </w:rPr>
          <w:t>(§§ 44-45)</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43" w:history="1">
        <w:r w:rsidR="00B33077" w:rsidRPr="00164DA3">
          <w:rPr>
            <w:rStyle w:val="Hyperlink"/>
            <w:noProof/>
          </w:rPr>
          <w:t>§ 44 Besondere Regelungen für Beschäftigte im Sozial- und Erziehungsdienst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44" w:history="1">
        <w:r w:rsidR="00B33077" w:rsidRPr="00164DA3">
          <w:rPr>
            <w:rStyle w:val="Hyperlink"/>
            <w:noProof/>
          </w:rPr>
          <w:t>§ 45 Entgelt der Beschäftigten in der Pflege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45" w:history="1">
        <w:r w:rsidR="00B33077" w:rsidRPr="00164DA3">
          <w:rPr>
            <w:rStyle w:val="Hyperlink"/>
            <w:noProof/>
          </w:rPr>
          <w:t>Anlage zu § 44</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46" w:history="1">
        <w:r w:rsidR="00B33077" w:rsidRPr="00164DA3">
          <w:rPr>
            <w:rStyle w:val="Hyperlink"/>
            <w:noProof/>
          </w:rPr>
          <w:t>Anlage zu § 45</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747" w:history="1">
        <w:r w:rsidR="00B33077" w:rsidRPr="00164DA3">
          <w:rPr>
            <w:rStyle w:val="Hyperlink"/>
            <w:noProof/>
          </w:rPr>
          <w:t>Abschnitt VIII: Anhänge und Anlagen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48" w:history="1">
        <w:r w:rsidR="00B33077" w:rsidRPr="00164DA3">
          <w:rPr>
            <w:rStyle w:val="Hyperlink"/>
            <w:noProof/>
          </w:rPr>
          <w:t>Anhang zu § 5</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49" w:history="1">
        <w:r w:rsidR="00B33077" w:rsidRPr="00164DA3">
          <w:rPr>
            <w:rStyle w:val="Hyperlink"/>
            <w:noProof/>
          </w:rPr>
          <w:t>Anhang zu § 9</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0" w:history="1">
        <w:r w:rsidR="00B33077" w:rsidRPr="00164DA3">
          <w:rPr>
            <w:rStyle w:val="Hyperlink"/>
            <w:noProof/>
          </w:rPr>
          <w:t>Anhang zu § 16</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1" w:history="1">
        <w:r w:rsidR="00B33077" w:rsidRPr="00164DA3">
          <w:rPr>
            <w:rStyle w:val="Hyperlink"/>
            <w:noProof/>
          </w:rPr>
          <w:t>Anlage A: Entgelttabelle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2" w:history="1">
        <w:r w:rsidR="00B33077" w:rsidRPr="00164DA3">
          <w:rPr>
            <w:rStyle w:val="Hyperlink"/>
            <w:noProof/>
          </w:rPr>
          <w:t>Anlage B: Bereitschaftsdienstentgelt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3" w:history="1">
        <w:r w:rsidR="00B33077" w:rsidRPr="00164DA3">
          <w:rPr>
            <w:rStyle w:val="Hyperlink"/>
            <w:noProof/>
          </w:rPr>
          <w:t>Anlage C: Stunden</w:t>
        </w:r>
        <w:r w:rsidR="00B33077" w:rsidRPr="00164DA3">
          <w:rPr>
            <w:rStyle w:val="Hyperlink"/>
            <w:noProof/>
            <w:lang w:eastAsia="x-none"/>
          </w:rPr>
          <w:t>entgelte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4" w:history="1">
        <w:r w:rsidR="00B33077" w:rsidRPr="00164DA3">
          <w:rPr>
            <w:rStyle w:val="Hyperlink"/>
            <w:noProof/>
          </w:rPr>
          <w:t>Anlage D: Auszahlungsvolumen des Leistungsentgelts gemäß ABD</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5" w:history="1">
        <w:r w:rsidR="00B33077" w:rsidRPr="00164DA3">
          <w:rPr>
            <w:rStyle w:val="Hyperlink"/>
            <w:noProof/>
          </w:rPr>
          <w:t>Anlage E: Einführung, Leistungsfeststellung und Auszahlung des Leistungsentgelts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6" w:history="1">
        <w:r w:rsidR="00B33077" w:rsidRPr="00164DA3">
          <w:rPr>
            <w:rStyle w:val="Hyperlink"/>
            <w:noProof/>
          </w:rPr>
          <w:t>Anlage F: Tabellenentgelte zu Abschnitt VII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7" w:history="1">
        <w:r w:rsidR="00B33077" w:rsidRPr="00164DA3">
          <w:rPr>
            <w:rStyle w:val="Hyperlink"/>
            <w:noProof/>
          </w:rPr>
          <w:t>Anlage G</w:t>
        </w:r>
        <w:r w:rsidR="00B33077" w:rsidRPr="00164DA3">
          <w:rPr>
            <w:rStyle w:val="Hyperlink"/>
            <w:noProof/>
            <w:lang w:eastAsia="x-none"/>
          </w:rPr>
          <w:t xml:space="preserve">: </w:t>
        </w:r>
        <w:r w:rsidR="00B33077" w:rsidRPr="00164DA3">
          <w:rPr>
            <w:rStyle w:val="Hyperlink"/>
            <w:noProof/>
          </w:rPr>
          <w:t>Anlage</w:t>
        </w:r>
        <w:r w:rsidR="00B33077" w:rsidRPr="00164DA3">
          <w:rPr>
            <w:rStyle w:val="Hyperlink"/>
            <w:noProof/>
            <w:lang w:eastAsia="x-none"/>
          </w:rPr>
          <w:t xml:space="preserve"> </w:t>
        </w:r>
        <w:r w:rsidR="00B33077" w:rsidRPr="00164DA3">
          <w:rPr>
            <w:rStyle w:val="Hyperlink"/>
            <w:noProof/>
          </w:rPr>
          <w:t>zu Nr. 3 Absatz 4 der Anlage zu § 45 (Bereitschaftsdienstentgelt)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8" w:history="1">
        <w:r w:rsidR="00B33077" w:rsidRPr="00164DA3">
          <w:rPr>
            <w:rStyle w:val="Hyperlink"/>
            <w:noProof/>
          </w:rPr>
          <w:t xml:space="preserve">Anlage </w:t>
        </w:r>
        <w:r w:rsidR="00B33077" w:rsidRPr="00164DA3">
          <w:rPr>
            <w:rStyle w:val="Hyperlink"/>
            <w:noProof/>
            <w:lang w:eastAsia="x-none"/>
          </w:rPr>
          <w:t>H</w:t>
        </w:r>
        <w:r w:rsidR="00B33077" w:rsidRPr="00164DA3">
          <w:rPr>
            <w:rStyle w:val="Hyperlink"/>
            <w:noProof/>
          </w:rPr>
          <w:t>: Selbstauskunft und Verpflichtungserklärung für Beschäftigte zur persönlichen Eignung für den Umgang mit Kindern und Jugendlichen gemäß § 3 Absatz 9</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59" w:history="1">
        <w:r w:rsidR="00B33077" w:rsidRPr="00164DA3">
          <w:rPr>
            <w:rStyle w:val="Hyperlink"/>
            <w:noProof/>
          </w:rPr>
          <w:t xml:space="preserve">Anlage </w:t>
        </w:r>
        <w:r w:rsidR="00B33077" w:rsidRPr="00164DA3">
          <w:rPr>
            <w:rStyle w:val="Hyperlink"/>
            <w:noProof/>
            <w:lang w:eastAsia="x-none"/>
          </w:rPr>
          <w:t>I</w:t>
        </w:r>
        <w:r w:rsidR="00B33077" w:rsidRPr="00164DA3">
          <w:rPr>
            <w:rStyle w:val="Hyperlink"/>
            <w:noProof/>
          </w:rPr>
          <w:t>: Stundenentgelte (Sozial- und Erziehungsdienst)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60" w:history="1">
        <w:r w:rsidR="00B33077" w:rsidRPr="00164DA3">
          <w:rPr>
            <w:rStyle w:val="Hyperlink"/>
            <w:noProof/>
          </w:rPr>
          <w:t>Feststellungs- bzw. Redaktionsbeschluss</w:t>
        </w:r>
      </w:hyperlink>
    </w:p>
    <w:p w:rsidR="00B33077" w:rsidRDefault="00C23DFA" w:rsidP="00FB68F3">
      <w:pPr>
        <w:pStyle w:val="Verzeichnis4"/>
        <w:spacing w:before="60"/>
        <w:divId w:val="500198663"/>
        <w:rPr>
          <w:rFonts w:asciiTheme="minorHAnsi" w:eastAsiaTheme="minorEastAsia" w:hAnsiTheme="minorHAnsi" w:cstheme="minorBidi"/>
          <w:noProof/>
          <w:sz w:val="22"/>
          <w:szCs w:val="22"/>
        </w:rPr>
      </w:pPr>
      <w:hyperlink w:anchor="_Toc523925761" w:history="1">
        <w:r w:rsidR="00B33077" w:rsidRPr="00164DA3">
          <w:rPr>
            <w:rStyle w:val="Hyperlink"/>
            <w:noProof/>
          </w:rPr>
          <w:t>A, 2. Entgeltordnung</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762" w:history="1">
        <w:r w:rsidR="00B33077" w:rsidRPr="00164DA3">
          <w:rPr>
            <w:rStyle w:val="Hyperlink"/>
            <w:noProof/>
          </w:rPr>
          <w:t xml:space="preserve">A, 2.1. </w:t>
        </w:r>
        <w:r w:rsidR="00B33077" w:rsidRPr="00164DA3">
          <w:rPr>
            <w:rStyle w:val="Hyperlink"/>
            <w:noProof/>
            <w:lang w:eastAsia="x-none"/>
          </w:rPr>
          <w:t>Grundsätzliche Eingruppierungsregelungen (</w:t>
        </w:r>
        <w:r w:rsidR="00B33077" w:rsidRPr="00164DA3">
          <w:rPr>
            <w:rStyle w:val="Hyperlink"/>
            <w:noProof/>
          </w:rPr>
          <w:t>Vorbemerkungen</w:t>
        </w:r>
        <w:r w:rsidR="00B33077" w:rsidRPr="00164DA3">
          <w:rPr>
            <w:rStyle w:val="Hyperlink"/>
            <w:noProof/>
            <w:lang w:eastAsia="x-none"/>
          </w:rPr>
          <w: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63" w:history="1">
        <w:r w:rsidR="00B33077" w:rsidRPr="00164DA3">
          <w:rPr>
            <w:rStyle w:val="Hyperlink"/>
            <w:noProof/>
          </w:rPr>
          <w:t>1.</w:t>
        </w:r>
        <w:r w:rsidR="00B33077" w:rsidRPr="00164DA3">
          <w:rPr>
            <w:rStyle w:val="Hyperlink"/>
            <w:noProof/>
            <w:lang w:eastAsia="x-none"/>
          </w:rPr>
          <w:t> </w:t>
        </w:r>
        <w:r w:rsidR="00B33077" w:rsidRPr="00164DA3">
          <w:rPr>
            <w:rStyle w:val="Hyperlink"/>
            <w:noProof/>
            <w:u w:color="000000"/>
          </w:rPr>
          <w:t>Vorrang spezieller Tätigkeitsmerkmale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64" w:history="1">
        <w:r w:rsidR="00B33077" w:rsidRPr="00164DA3">
          <w:rPr>
            <w:rStyle w:val="Hyperlink"/>
            <w:noProof/>
          </w:rPr>
          <w:t>2.Tätigkeitsmerkmale mit Anforderungen in der Person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65" w:history="1">
        <w:r w:rsidR="00B33077" w:rsidRPr="00164DA3">
          <w:rPr>
            <w:rStyle w:val="Hyperlink"/>
            <w:noProof/>
            <w:u w:color="000000"/>
          </w:rPr>
          <w:t>3. Wissenschaftliche Hochschulbildung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66" w:history="1">
        <w:r w:rsidR="00B33077" w:rsidRPr="00164DA3">
          <w:rPr>
            <w:rStyle w:val="Hyperlink"/>
            <w:noProof/>
            <w:u w:color="000000"/>
          </w:rPr>
          <w:t>4. Hochschulbildung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67" w:history="1">
        <w:r w:rsidR="00B33077" w:rsidRPr="00164DA3">
          <w:rPr>
            <w:rStyle w:val="Hyperlink"/>
            <w:noProof/>
            <w:u w:color="000000"/>
          </w:rPr>
          <w:t>5. Anerkannte Ausbildungsberufe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68" w:history="1">
        <w:r w:rsidR="00B33077" w:rsidRPr="00164DA3">
          <w:rPr>
            <w:rStyle w:val="Hyperlink"/>
            <w:noProof/>
            <w:u w:color="000000"/>
            <w:lang w:eastAsia="x-none"/>
          </w:rPr>
          <w:t>6</w:t>
        </w:r>
        <w:r w:rsidR="00B33077" w:rsidRPr="00164DA3">
          <w:rPr>
            <w:rStyle w:val="Hyperlink"/>
            <w:noProof/>
            <w:u w:color="000000"/>
          </w:rPr>
          <w:t>. Übergangsregelungen zu in der DDR erworbenen Abschlüssen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69" w:history="1">
        <w:r w:rsidR="00B33077" w:rsidRPr="00164DA3">
          <w:rPr>
            <w:rStyle w:val="Hyperlink"/>
            <w:noProof/>
            <w:u w:color="000000"/>
          </w:rPr>
          <w:t xml:space="preserve">7. Ausbildungs- und Prüfpflicht </w:t>
        </w:r>
        <w:r w:rsidR="00B33077" w:rsidRPr="00164DA3">
          <w:rPr>
            <w:rStyle w:val="Hyperlink"/>
            <w:i/>
            <w:noProof/>
            <w:u w:color="000000"/>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70" w:history="1">
        <w:r w:rsidR="00B33077" w:rsidRPr="00164DA3">
          <w:rPr>
            <w:rStyle w:val="Hyperlink"/>
            <w:noProof/>
            <w:u w:color="000000"/>
          </w:rPr>
          <w:t>8. Geltungsausschluss für Lehrkräfte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71" w:history="1">
        <w:r w:rsidR="00B33077" w:rsidRPr="00164DA3">
          <w:rPr>
            <w:rStyle w:val="Hyperlink"/>
            <w:noProof/>
            <w:u w:color="000000"/>
          </w:rPr>
          <w:t>9. Unterstellungsverhältnisse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72" w:history="1">
        <w:r w:rsidR="00B33077" w:rsidRPr="00164DA3">
          <w:rPr>
            <w:rStyle w:val="Hyperlink"/>
            <w:noProof/>
            <w:u w:color="000000"/>
          </w:rPr>
          <w:t>10. Ständige Vertreterinnen und Vertreter</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773" w:history="1">
        <w:r w:rsidR="00B33077" w:rsidRPr="00164DA3">
          <w:rPr>
            <w:rStyle w:val="Hyperlink"/>
            <w:noProof/>
          </w:rPr>
          <w:t>A, 2.2. Allgemeine</w:t>
        </w:r>
        <w:r w:rsidR="00B33077" w:rsidRPr="00164DA3">
          <w:rPr>
            <w:rStyle w:val="Hyperlink"/>
            <w:noProof/>
            <w:lang w:eastAsia="x-none"/>
          </w:rPr>
          <w:t>r</w:t>
        </w:r>
        <w:r w:rsidR="00B33077" w:rsidRPr="00164DA3">
          <w:rPr>
            <w:rStyle w:val="Hyperlink"/>
            <w:noProof/>
          </w:rPr>
          <w:t xml:space="preserve"> Teil</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774" w:history="1">
        <w:r w:rsidR="00B33077" w:rsidRPr="00164DA3">
          <w:rPr>
            <w:rStyle w:val="Hyperlink"/>
            <w:noProof/>
          </w:rPr>
          <w:t>2.2.1. Allgemeine Tätigkeitsmerkmale</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775" w:history="1">
        <w:r w:rsidR="00B33077" w:rsidRPr="00164DA3">
          <w:rPr>
            <w:rStyle w:val="Hyperlink"/>
          </w:rPr>
          <w:t>1. Entgeltgruppe 1 (einfachste Tätigkeiten)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76" w:history="1">
        <w:r w:rsidR="00B33077" w:rsidRPr="00164DA3">
          <w:rPr>
            <w:rStyle w:val="Hyperlink"/>
            <w:noProof/>
          </w:rPr>
          <w:t>Entgeltgruppe 1</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777" w:history="1">
        <w:r w:rsidR="00B33077" w:rsidRPr="00164DA3">
          <w:rPr>
            <w:rStyle w:val="Hyperlink"/>
          </w:rPr>
          <w:t>2. Entgeltgruppen 2 bis 9a (handwerkliche Tätigkeiten)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78" w:history="1">
        <w:r w:rsidR="00B33077" w:rsidRPr="00164DA3">
          <w:rPr>
            <w:rStyle w:val="Hyperlink"/>
            <w:noProof/>
          </w:rPr>
          <w:t>Entgeltgruppe 2</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79" w:history="1">
        <w:r w:rsidR="00B33077" w:rsidRPr="00164DA3">
          <w:rPr>
            <w:rStyle w:val="Hyperlink"/>
            <w:noProof/>
          </w:rPr>
          <w:t>Entgeltgruppe 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0" w:history="1">
        <w:r w:rsidR="00B33077" w:rsidRPr="00164DA3">
          <w:rPr>
            <w:rStyle w:val="Hyperlink"/>
            <w:noProof/>
          </w:rPr>
          <w:t>Entgeltgruppe 4</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1"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2" w:history="1">
        <w:r w:rsidR="00B33077" w:rsidRPr="00164DA3">
          <w:rPr>
            <w:rStyle w:val="Hyperlink"/>
            <w:noProof/>
          </w:rPr>
          <w:t>Entgeltgruppe 6</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3"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4"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5" w:history="1">
        <w:r w:rsidR="00B33077" w:rsidRPr="00164DA3">
          <w:rPr>
            <w:rStyle w:val="Hyperlink"/>
            <w:noProof/>
          </w:rPr>
          <w:t>Entgeltgruppe 9a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786" w:history="1">
        <w:r w:rsidR="00B33077" w:rsidRPr="00164DA3">
          <w:rPr>
            <w:rStyle w:val="Hyperlink"/>
          </w:rPr>
          <w:t>3. Entgeltgruppen 2 bis 12 (Büro-, Buchhalterei-, sonstiger Innendienst und Außendienst)</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7" w:history="1">
        <w:r w:rsidR="00B33077" w:rsidRPr="00164DA3">
          <w:rPr>
            <w:rStyle w:val="Hyperlink"/>
            <w:noProof/>
          </w:rPr>
          <w:t>Vorbemerkung</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8" w:history="1">
        <w:r w:rsidR="00B33077" w:rsidRPr="00164DA3">
          <w:rPr>
            <w:rStyle w:val="Hyperlink"/>
            <w:noProof/>
          </w:rPr>
          <w:t>Entgeltgruppe 2</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89" w:history="1">
        <w:r w:rsidR="00B33077" w:rsidRPr="00164DA3">
          <w:rPr>
            <w:rStyle w:val="Hyperlink"/>
            <w:noProof/>
          </w:rPr>
          <w:t>Entgeltgruppe 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0" w:history="1">
        <w:r w:rsidR="00B33077" w:rsidRPr="00164DA3">
          <w:rPr>
            <w:rStyle w:val="Hyperlink"/>
            <w:noProof/>
          </w:rPr>
          <w:t>Entgeltgruppe 4</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1"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2" w:history="1">
        <w:r w:rsidR="00B33077" w:rsidRPr="00164DA3">
          <w:rPr>
            <w:rStyle w:val="Hyperlink"/>
            <w:noProof/>
          </w:rPr>
          <w:t>Entgeltgruppe 6</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3" w:history="1">
        <w:r w:rsidR="00B33077" w:rsidRPr="00164DA3">
          <w:rPr>
            <w:rStyle w:val="Hyperlink"/>
            <w:noProof/>
          </w:rPr>
          <w:t>Entgeltgruppe 7</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794" w:history="1">
        <w:r w:rsidR="00B33077" w:rsidRPr="00164DA3">
          <w:rPr>
            <w:rStyle w:val="Hyperlink"/>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5"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6"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7" w:history="1">
        <w:r w:rsidR="00B33077" w:rsidRPr="00164DA3">
          <w:rPr>
            <w:rStyle w:val="Hyperlink"/>
            <w:noProof/>
          </w:rPr>
          <w:t>Entgeltgruppe 9c</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8" w:history="1">
        <w:r w:rsidR="00B33077" w:rsidRPr="00164DA3">
          <w:rPr>
            <w:rStyle w:val="Hyperlink"/>
            <w:noProof/>
          </w:rPr>
          <w:t>Entgeltgruppe 10</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799" w:history="1">
        <w:r w:rsidR="00B33077" w:rsidRPr="00164DA3">
          <w:rPr>
            <w:rStyle w:val="Hyperlink"/>
            <w:noProof/>
          </w:rPr>
          <w:t>Entgeltgruppe 11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00" w:history="1">
        <w:r w:rsidR="00B33077" w:rsidRPr="00164DA3">
          <w:rPr>
            <w:rStyle w:val="Hyperlink"/>
            <w:noProof/>
          </w:rPr>
          <w:t>Entgeltgruppe 12</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01" w:history="1">
        <w:r w:rsidR="00B33077" w:rsidRPr="00164DA3">
          <w:rPr>
            <w:rStyle w:val="Hyperlink"/>
          </w:rPr>
          <w:t>4. Entgeltgruppen 13 bis 15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02" w:history="1">
        <w:r w:rsidR="00B33077" w:rsidRPr="00164DA3">
          <w:rPr>
            <w:rStyle w:val="Hyperlink"/>
            <w:noProof/>
          </w:rPr>
          <w:t>Entgeltgruppe 13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03" w:history="1">
        <w:r w:rsidR="00B33077" w:rsidRPr="00164DA3">
          <w:rPr>
            <w:rStyle w:val="Hyperlink"/>
            <w:noProof/>
          </w:rPr>
          <w:t>Entgeltgruppe 14</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04" w:history="1">
        <w:r w:rsidR="00B33077" w:rsidRPr="00164DA3">
          <w:rPr>
            <w:rStyle w:val="Hyperlink"/>
            <w:noProof/>
          </w:rPr>
          <w:t>Entgeltgruppe 15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05" w:history="1">
        <w:r w:rsidR="00B33077" w:rsidRPr="00164DA3">
          <w:rPr>
            <w:rStyle w:val="Hyperlink"/>
          </w:rPr>
          <w:t>Anmerkung: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06" w:history="1">
        <w:r w:rsidR="00B33077" w:rsidRPr="00164DA3">
          <w:rPr>
            <w:rStyle w:val="Hyperlink"/>
            <w:noProof/>
          </w:rPr>
          <w:t>2.2.2. Spezielle Tätigkeitsmerkmale</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07" w:history="1">
        <w:r w:rsidR="00B33077" w:rsidRPr="00164DA3">
          <w:rPr>
            <w:rStyle w:val="Hyperlink"/>
          </w:rPr>
          <w:t>1. Bezügerechnerinnen und Bezügerechner</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08"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09" w:history="1">
        <w:r w:rsidR="00B33077" w:rsidRPr="00164DA3">
          <w:rPr>
            <w:rStyle w:val="Hyperlink"/>
            <w:noProof/>
          </w:rPr>
          <w:t>Entgeltgruppe 6</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0"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1"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2"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3" w:history="1">
        <w:r w:rsidR="00B33077" w:rsidRPr="00164DA3">
          <w:rPr>
            <w:rStyle w:val="Hyperlink"/>
            <w:noProof/>
          </w:rPr>
          <w:t>Anmerkung:</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14" w:history="1">
        <w:r w:rsidR="00B33077" w:rsidRPr="00164DA3">
          <w:rPr>
            <w:rStyle w:val="Hyperlink"/>
          </w:rPr>
          <w:t>2. Beschäftigte in der Informations- und Kommunikationstechnik</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5" w:history="1">
        <w:r w:rsidR="00B33077" w:rsidRPr="00164DA3">
          <w:rPr>
            <w:rStyle w:val="Hyperlink"/>
            <w:noProof/>
          </w:rPr>
          <w:t>Vorbemerkung</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6" w:history="1">
        <w:r w:rsidR="00B33077" w:rsidRPr="00164DA3">
          <w:rPr>
            <w:rStyle w:val="Hyperlink"/>
            <w:noProof/>
          </w:rPr>
          <w:t>Entgeltgruppe 6</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7"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8"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19"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0"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1" w:history="1">
        <w:r w:rsidR="00B33077" w:rsidRPr="00164DA3">
          <w:rPr>
            <w:rStyle w:val="Hyperlink"/>
            <w:noProof/>
          </w:rPr>
          <w:t>Entgeltgruppe 10</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2" w:history="1">
        <w:r w:rsidR="00B33077" w:rsidRPr="00164DA3">
          <w:rPr>
            <w:rStyle w:val="Hyperlink"/>
            <w:noProof/>
          </w:rPr>
          <w:t>Entgeltgruppe 11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3" w:history="1">
        <w:r w:rsidR="00B33077" w:rsidRPr="00164DA3">
          <w:rPr>
            <w:rStyle w:val="Hyperlink"/>
            <w:noProof/>
          </w:rPr>
          <w:t>Entgeltgruppe 12</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4" w:history="1">
        <w:r w:rsidR="00B33077" w:rsidRPr="00164DA3">
          <w:rPr>
            <w:rStyle w:val="Hyperlink"/>
            <w:noProof/>
          </w:rPr>
          <w:t>Entgeltgruppe 13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25" w:history="1">
        <w:r w:rsidR="00B33077" w:rsidRPr="00164DA3">
          <w:rPr>
            <w:rStyle w:val="Hyperlink"/>
          </w:rPr>
          <w:t>3. Ingenieurinnen und Ingenieure</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6" w:history="1">
        <w:r w:rsidR="00B33077" w:rsidRPr="00164DA3">
          <w:rPr>
            <w:rStyle w:val="Hyperlink"/>
            <w:noProof/>
          </w:rPr>
          <w:t>Vorbemerkungen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7" w:history="1">
        <w:r w:rsidR="00B33077" w:rsidRPr="00164DA3">
          <w:rPr>
            <w:rStyle w:val="Hyperlink"/>
            <w:noProof/>
          </w:rPr>
          <w:t>Entgeltgruppe 10</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8" w:history="1">
        <w:r w:rsidR="00B33077" w:rsidRPr="00164DA3">
          <w:rPr>
            <w:rStyle w:val="Hyperlink"/>
            <w:noProof/>
          </w:rPr>
          <w:t>Entgeltgruppe 11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29" w:history="1">
        <w:r w:rsidR="00B33077" w:rsidRPr="00164DA3">
          <w:rPr>
            <w:rStyle w:val="Hyperlink"/>
            <w:noProof/>
          </w:rPr>
          <w:t>Entgeltgruppe 12</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30" w:history="1">
        <w:r w:rsidR="00B33077" w:rsidRPr="00164DA3">
          <w:rPr>
            <w:rStyle w:val="Hyperlink"/>
            <w:noProof/>
          </w:rPr>
          <w:t>Entgeltgruppe 13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31"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32" w:history="1">
        <w:r w:rsidR="00B33077" w:rsidRPr="00164DA3">
          <w:rPr>
            <w:rStyle w:val="Hyperlink"/>
          </w:rPr>
          <w:t>4. Meisterinnen und Meister</w:t>
        </w:r>
      </w:hyperlink>
    </w:p>
    <w:p w:rsidR="00B33077" w:rsidRDefault="00C23DFA" w:rsidP="00FB68F3">
      <w:pPr>
        <w:pStyle w:val="Verzeichnis7"/>
        <w:spacing w:before="60"/>
        <w:ind w:left="1123"/>
        <w:divId w:val="500198663"/>
        <w:rPr>
          <w:rFonts w:asciiTheme="minorHAnsi" w:eastAsiaTheme="minorEastAsia" w:hAnsiTheme="minorHAnsi" w:cstheme="minorBidi"/>
          <w:sz w:val="22"/>
          <w:szCs w:val="22"/>
        </w:rPr>
      </w:pPr>
      <w:hyperlink w:anchor="_Toc523925833" w:history="1">
        <w:r w:rsidR="00B33077" w:rsidRPr="00164DA3">
          <w:rPr>
            <w:rStyle w:val="Hyperlink"/>
          </w:rPr>
          <w:t>Entgeltgruppe 8</w:t>
        </w:r>
      </w:hyperlink>
    </w:p>
    <w:p w:rsidR="00B33077" w:rsidRDefault="00C23DFA" w:rsidP="00FB68F3">
      <w:pPr>
        <w:pStyle w:val="Verzeichnis7"/>
        <w:spacing w:before="60"/>
        <w:ind w:left="1123"/>
        <w:divId w:val="500198663"/>
        <w:rPr>
          <w:rFonts w:asciiTheme="minorHAnsi" w:eastAsiaTheme="minorEastAsia" w:hAnsiTheme="minorHAnsi" w:cstheme="minorBidi"/>
          <w:sz w:val="22"/>
          <w:szCs w:val="22"/>
        </w:rPr>
      </w:pPr>
      <w:hyperlink w:anchor="_Toc523925834" w:history="1">
        <w:r w:rsidR="00B33077" w:rsidRPr="00164DA3">
          <w:rPr>
            <w:rStyle w:val="Hyperlink"/>
          </w:rPr>
          <w:t>Entgeltgruppe 9a</w:t>
        </w:r>
      </w:hyperlink>
    </w:p>
    <w:p w:rsidR="00B33077" w:rsidRDefault="00C23DFA" w:rsidP="00FB68F3">
      <w:pPr>
        <w:pStyle w:val="Verzeichnis7"/>
        <w:spacing w:before="60"/>
        <w:ind w:left="1123"/>
        <w:divId w:val="500198663"/>
        <w:rPr>
          <w:rFonts w:asciiTheme="minorHAnsi" w:eastAsiaTheme="minorEastAsia" w:hAnsiTheme="minorHAnsi" w:cstheme="minorBidi"/>
          <w:sz w:val="22"/>
          <w:szCs w:val="22"/>
        </w:rPr>
      </w:pPr>
      <w:hyperlink w:anchor="_Toc523925835" w:history="1">
        <w:r w:rsidR="00B33077" w:rsidRPr="00164DA3">
          <w:rPr>
            <w:rStyle w:val="Hyperlink"/>
          </w:rPr>
          <w:t>Entgeltgruppe 9b</w:t>
        </w:r>
      </w:hyperlink>
    </w:p>
    <w:p w:rsidR="00B33077" w:rsidRDefault="00C23DFA" w:rsidP="00FB68F3">
      <w:pPr>
        <w:pStyle w:val="Verzeichnis7"/>
        <w:spacing w:before="60"/>
        <w:ind w:left="1123"/>
        <w:divId w:val="500198663"/>
        <w:rPr>
          <w:rFonts w:asciiTheme="minorHAnsi" w:eastAsiaTheme="minorEastAsia" w:hAnsiTheme="minorHAnsi" w:cstheme="minorBidi"/>
          <w:sz w:val="22"/>
          <w:szCs w:val="22"/>
        </w:rPr>
      </w:pPr>
      <w:hyperlink w:anchor="_Toc523925836" w:history="1">
        <w:r w:rsidR="00B33077" w:rsidRPr="00164DA3">
          <w:rPr>
            <w:rStyle w:val="Hyperlink"/>
          </w:rPr>
          <w:t>Entgeltgruppe 9c</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37"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38" w:history="1">
        <w:r w:rsidR="00B33077" w:rsidRPr="00164DA3">
          <w:rPr>
            <w:rStyle w:val="Hyperlink"/>
          </w:rPr>
          <w:t>5. Technikerinnen und Techniker</w:t>
        </w:r>
      </w:hyperlink>
    </w:p>
    <w:p w:rsidR="00B33077" w:rsidRDefault="00C23DFA" w:rsidP="00FB68F3">
      <w:pPr>
        <w:pStyle w:val="Verzeichnis7"/>
        <w:spacing w:before="60"/>
        <w:ind w:left="1123"/>
        <w:divId w:val="500198663"/>
        <w:rPr>
          <w:rFonts w:asciiTheme="minorHAnsi" w:eastAsiaTheme="minorEastAsia" w:hAnsiTheme="minorHAnsi" w:cstheme="minorBidi"/>
          <w:sz w:val="22"/>
          <w:szCs w:val="22"/>
        </w:rPr>
      </w:pPr>
      <w:hyperlink w:anchor="_Toc523925839" w:history="1">
        <w:r w:rsidR="00B33077" w:rsidRPr="00164DA3">
          <w:rPr>
            <w:rStyle w:val="Hyperlink"/>
          </w:rPr>
          <w:t>Entgeltgruppe 8</w:t>
        </w:r>
      </w:hyperlink>
    </w:p>
    <w:p w:rsidR="00B33077" w:rsidRDefault="00C23DFA" w:rsidP="00FB68F3">
      <w:pPr>
        <w:pStyle w:val="Verzeichnis7"/>
        <w:spacing w:before="60"/>
        <w:ind w:left="1123"/>
        <w:divId w:val="500198663"/>
        <w:rPr>
          <w:rFonts w:asciiTheme="minorHAnsi" w:eastAsiaTheme="minorEastAsia" w:hAnsiTheme="minorHAnsi" w:cstheme="minorBidi"/>
          <w:sz w:val="22"/>
          <w:szCs w:val="22"/>
        </w:rPr>
      </w:pPr>
      <w:hyperlink w:anchor="_Toc523925840" w:history="1">
        <w:r w:rsidR="00B33077" w:rsidRPr="00164DA3">
          <w:rPr>
            <w:rStyle w:val="Hyperlink"/>
          </w:rPr>
          <w:t>Entgeltgruppe 9a</w:t>
        </w:r>
      </w:hyperlink>
    </w:p>
    <w:p w:rsidR="00B33077" w:rsidRDefault="00C23DFA" w:rsidP="00FB68F3">
      <w:pPr>
        <w:pStyle w:val="Verzeichnis7"/>
        <w:spacing w:before="60"/>
        <w:ind w:left="1123"/>
        <w:divId w:val="500198663"/>
        <w:rPr>
          <w:rFonts w:asciiTheme="minorHAnsi" w:eastAsiaTheme="minorEastAsia" w:hAnsiTheme="minorHAnsi" w:cstheme="minorBidi"/>
          <w:sz w:val="22"/>
          <w:szCs w:val="22"/>
        </w:rPr>
      </w:pPr>
      <w:hyperlink w:anchor="_Toc523925841" w:history="1">
        <w:r w:rsidR="00B33077" w:rsidRPr="00164DA3">
          <w:rPr>
            <w:rStyle w:val="Hyperlink"/>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42"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43" w:history="1">
        <w:r w:rsidR="00B33077" w:rsidRPr="00164DA3">
          <w:rPr>
            <w:rStyle w:val="Hyperlink"/>
          </w:rPr>
          <w:t>6. Vorlesekräfte für Blinde</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44"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45" w:history="1">
        <w:r w:rsidR="00B33077" w:rsidRPr="00164DA3">
          <w:rPr>
            <w:rStyle w:val="Hyperlink"/>
            <w:noProof/>
          </w:rPr>
          <w:t>Entgeltgruppe 6</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5846" w:history="1">
        <w:r w:rsidR="00B33077" w:rsidRPr="00164DA3">
          <w:rPr>
            <w:rStyle w:val="Hyperlink"/>
            <w:noProof/>
          </w:rPr>
          <w:t>A, 2.3. Zusätzliche Tätigkeitsmerkmale für bestimmte Angestelltengruppen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47" w:history="1">
        <w:r w:rsidR="00B33077" w:rsidRPr="00164DA3">
          <w:rPr>
            <w:rStyle w:val="Hyperlink"/>
            <w:noProof/>
          </w:rPr>
          <w:t>7.</w:t>
        </w:r>
        <w:r w:rsidR="00B33077" w:rsidRPr="00164DA3">
          <w:rPr>
            <w:rStyle w:val="Hyperlink"/>
            <w:noProof/>
            <w:lang w:eastAsia="x-none"/>
          </w:rPr>
          <w:t xml:space="preserve"> </w:t>
        </w:r>
        <w:r w:rsidR="00B33077" w:rsidRPr="00164DA3">
          <w:rPr>
            <w:rStyle w:val="Hyperlink"/>
            <w:noProof/>
          </w:rPr>
          <w:t xml:space="preserve">Apothekerinnen und Apotheker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48" w:history="1">
        <w:r w:rsidR="00B33077" w:rsidRPr="00164DA3">
          <w:rPr>
            <w:rStyle w:val="Hyperlink"/>
            <w:noProof/>
          </w:rPr>
          <w:t xml:space="preserve">8. Ärztinnen und Ärzte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49" w:history="1">
        <w:r w:rsidR="00B33077" w:rsidRPr="00164DA3">
          <w:rPr>
            <w:rStyle w:val="Hyperlink"/>
            <w:noProof/>
          </w:rPr>
          <w:t>9. Beschäftigte in Bäderbetrieben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0" w:history="1">
        <w:r w:rsidR="00B33077" w:rsidRPr="00164DA3">
          <w:rPr>
            <w:rStyle w:val="Hyperlink"/>
          </w:rPr>
          <w:t>Entgeltgruppe 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1" w:history="1">
        <w:r w:rsidR="00B33077" w:rsidRPr="00164DA3">
          <w:rPr>
            <w:rStyle w:val="Hyperlink"/>
          </w:rPr>
          <w:t>Entgeltgruppe 4</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2"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3"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4" w:history="1">
        <w:r w:rsidR="00B33077" w:rsidRPr="00164DA3">
          <w:rPr>
            <w:rStyle w:val="Hyperlink"/>
          </w:rPr>
          <w:t>Entgeltgruppe 7</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5" w:history="1">
        <w:r w:rsidR="00B33077" w:rsidRPr="00164DA3">
          <w:rPr>
            <w:rStyle w:val="Hyperlink"/>
          </w:rPr>
          <w:t>Entgeltgruppe 8</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6" w:history="1">
        <w:r w:rsidR="00B33077" w:rsidRPr="00164DA3">
          <w:rPr>
            <w:rStyle w:val="Hyperlink"/>
          </w:rPr>
          <w:t>Entgeltgruppe 9a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7" w:history="1">
        <w:r w:rsidR="00B33077" w:rsidRPr="00164DA3">
          <w:rPr>
            <w:rStyle w:val="Hyperlink"/>
          </w:rPr>
          <w:t>Entgeltgruppe 9b</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58" w:history="1">
        <w:r w:rsidR="00B33077" w:rsidRPr="00164DA3">
          <w:rPr>
            <w:rStyle w:val="Hyperlink"/>
          </w:rPr>
          <w:t>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59" w:history="1">
        <w:r w:rsidR="00B33077" w:rsidRPr="00164DA3">
          <w:rPr>
            <w:rStyle w:val="Hyperlink"/>
            <w:noProof/>
          </w:rPr>
          <w:t>10.</w:t>
        </w:r>
        <w:r w:rsidR="00B33077" w:rsidRPr="00164DA3">
          <w:rPr>
            <w:rStyle w:val="Hyperlink"/>
            <w:noProof/>
            <w:lang w:eastAsia="x-none"/>
          </w:rPr>
          <w:t xml:space="preserve"> </w:t>
        </w:r>
        <w:r w:rsidR="00B33077" w:rsidRPr="00164DA3">
          <w:rPr>
            <w:rStyle w:val="Hyperlink"/>
            <w:noProof/>
          </w:rPr>
          <w:t>Baustellenaufseherinnen und Baustellenaufseher</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60"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61"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62" w:history="1">
        <w:r w:rsidR="00B33077" w:rsidRPr="00164DA3">
          <w:rPr>
            <w:rStyle w:val="Hyperlink"/>
          </w:rPr>
          <w:t>Anmerkung: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63" w:history="1">
        <w:r w:rsidR="00B33077" w:rsidRPr="00164DA3">
          <w:rPr>
            <w:rStyle w:val="Hyperlink"/>
            <w:noProof/>
          </w:rPr>
          <w:t>11.</w:t>
        </w:r>
        <w:r w:rsidR="00B33077" w:rsidRPr="00164DA3">
          <w:rPr>
            <w:rStyle w:val="Hyperlink"/>
            <w:noProof/>
            <w:lang w:eastAsia="x-none"/>
          </w:rPr>
          <w:t xml:space="preserve"> </w:t>
        </w:r>
        <w:r w:rsidR="00B33077" w:rsidRPr="00164DA3">
          <w:rPr>
            <w:rStyle w:val="Hyperlink"/>
            <w:noProof/>
          </w:rPr>
          <w:t>Beschäftigte in Bibliotheken, Büchereien, Archiven, Museen und anderen wissenschaftlichen Anstalten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64" w:history="1">
        <w:r w:rsidR="00B33077" w:rsidRPr="00164DA3">
          <w:rPr>
            <w:rStyle w:val="Hyperlink"/>
            <w:noProof/>
          </w:rPr>
          <w:t>12.</w:t>
        </w:r>
        <w:r w:rsidR="00B33077" w:rsidRPr="00164DA3">
          <w:rPr>
            <w:rStyle w:val="Hyperlink"/>
            <w:noProof/>
            <w:lang w:eastAsia="x-none"/>
          </w:rPr>
          <w:t xml:space="preserve"> </w:t>
        </w:r>
        <w:r w:rsidR="00B33077" w:rsidRPr="00164DA3">
          <w:rPr>
            <w:rStyle w:val="Hyperlink"/>
            <w:noProof/>
          </w:rPr>
          <w:t xml:space="preserve">Beschäftigte im Fernmeldebetriebsdienst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65" w:history="1">
        <w:r w:rsidR="00B33077" w:rsidRPr="00164DA3">
          <w:rPr>
            <w:rStyle w:val="Hyperlink"/>
            <w:noProof/>
          </w:rPr>
          <w:t>13.</w:t>
        </w:r>
        <w:r w:rsidR="00B33077" w:rsidRPr="00164DA3">
          <w:rPr>
            <w:rStyle w:val="Hyperlink"/>
            <w:noProof/>
            <w:lang w:eastAsia="x-none"/>
          </w:rPr>
          <w:t xml:space="preserve"> </w:t>
        </w:r>
        <w:r w:rsidR="00B33077" w:rsidRPr="00164DA3">
          <w:rPr>
            <w:rStyle w:val="Hyperlink"/>
            <w:noProof/>
          </w:rPr>
          <w:t xml:space="preserve">Beschäftigte in der Fleischuntersuchung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66" w:history="1">
        <w:r w:rsidR="00B33077" w:rsidRPr="00164DA3">
          <w:rPr>
            <w:rStyle w:val="Hyperlink"/>
            <w:noProof/>
          </w:rPr>
          <w:t>14.</w:t>
        </w:r>
        <w:r w:rsidR="00B33077" w:rsidRPr="00164DA3">
          <w:rPr>
            <w:rStyle w:val="Hyperlink"/>
            <w:noProof/>
            <w:lang w:eastAsia="x-none"/>
          </w:rPr>
          <w:t xml:space="preserve"> </w:t>
        </w:r>
        <w:r w:rsidR="00B33077" w:rsidRPr="00164DA3">
          <w:rPr>
            <w:rStyle w:val="Hyperlink"/>
            <w:noProof/>
          </w:rPr>
          <w:t>Fotografinnen und Fotografen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67"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68"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69" w:history="1">
        <w:r w:rsidR="00B33077" w:rsidRPr="00164DA3">
          <w:rPr>
            <w:rStyle w:val="Hyperlink"/>
          </w:rPr>
          <w:t>Entgeltgruppe 8</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70" w:history="1">
        <w:r w:rsidR="00B33077" w:rsidRPr="00164DA3">
          <w:rPr>
            <w:rStyle w:val="Hyperlink"/>
          </w:rPr>
          <w:t>Entgeltgruppe 9a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71" w:history="1">
        <w:r w:rsidR="00B33077" w:rsidRPr="00164DA3">
          <w:rPr>
            <w:rStyle w:val="Hyperlink"/>
          </w:rPr>
          <w:t>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72" w:history="1">
        <w:r w:rsidR="00B33077" w:rsidRPr="00164DA3">
          <w:rPr>
            <w:rStyle w:val="Hyperlink"/>
            <w:noProof/>
          </w:rPr>
          <w:t>15.</w:t>
        </w:r>
        <w:r w:rsidR="00B33077" w:rsidRPr="00164DA3">
          <w:rPr>
            <w:rStyle w:val="Hyperlink"/>
            <w:noProof/>
            <w:lang w:eastAsia="x-none"/>
          </w:rPr>
          <w:t xml:space="preserve"> </w:t>
        </w:r>
        <w:r w:rsidR="00B33077" w:rsidRPr="00164DA3">
          <w:rPr>
            <w:rStyle w:val="Hyperlink"/>
            <w:noProof/>
          </w:rPr>
          <w:t xml:space="preserve">Beschäftigte im Fremdsprachendienst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73" w:history="1">
        <w:r w:rsidR="00B33077" w:rsidRPr="00164DA3">
          <w:rPr>
            <w:rStyle w:val="Hyperlink"/>
            <w:noProof/>
          </w:rPr>
          <w:t>16.</w:t>
        </w:r>
        <w:r w:rsidR="00B33077" w:rsidRPr="00164DA3">
          <w:rPr>
            <w:rStyle w:val="Hyperlink"/>
            <w:noProof/>
            <w:lang w:eastAsia="x-none"/>
          </w:rPr>
          <w:t xml:space="preserve"> </w:t>
        </w:r>
        <w:r w:rsidR="00B33077" w:rsidRPr="00164DA3">
          <w:rPr>
            <w:rStyle w:val="Hyperlink"/>
            <w:noProof/>
          </w:rPr>
          <w:t>Gartenbau-, landwirtschafts- und weinbautechnische Beschäftigte</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74"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75"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76" w:history="1">
        <w:r w:rsidR="00B33077" w:rsidRPr="00164DA3">
          <w:rPr>
            <w:rStyle w:val="Hyperlink"/>
          </w:rPr>
          <w:t>Entgeltgruppe 8</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77" w:history="1">
        <w:r w:rsidR="00B33077" w:rsidRPr="00164DA3">
          <w:rPr>
            <w:rStyle w:val="Hyperlink"/>
          </w:rPr>
          <w:t>Entgeltgruppe 9a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5878" w:history="1">
        <w:r w:rsidR="00B33077" w:rsidRPr="00164DA3">
          <w:rPr>
            <w:rStyle w:val="Hyperlink"/>
            <w:noProof/>
          </w:rPr>
          <w:t>17.</w:t>
        </w:r>
        <w:r w:rsidR="00B33077" w:rsidRPr="00164DA3">
          <w:rPr>
            <w:rStyle w:val="Hyperlink"/>
            <w:noProof/>
            <w:lang w:eastAsia="x-none"/>
          </w:rPr>
          <w:t xml:space="preserve"> </w:t>
        </w:r>
        <w:r w:rsidR="00B33077" w:rsidRPr="00164DA3">
          <w:rPr>
            <w:rStyle w:val="Hyperlink"/>
            <w:noProof/>
          </w:rPr>
          <w:t>Beschäftigte in Gesundheitsberufen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79" w:history="1">
        <w:r w:rsidR="00B33077" w:rsidRPr="00164DA3">
          <w:rPr>
            <w:rStyle w:val="Hyperlink"/>
          </w:rPr>
          <w:t>17.1. Beschäftigte in der Pflege</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0" w:history="1">
        <w:r w:rsidR="00B33077" w:rsidRPr="00164DA3">
          <w:rPr>
            <w:rStyle w:val="Hyperlink"/>
            <w:noProof/>
          </w:rPr>
          <w:t>Vorbemerkungen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1" w:history="1">
        <w:r w:rsidR="00B33077" w:rsidRPr="00164DA3">
          <w:rPr>
            <w:rStyle w:val="Hyperlink"/>
            <w:noProof/>
          </w:rPr>
          <w:t>Entgeltgruppe P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2" w:history="1">
        <w:r w:rsidR="00B33077" w:rsidRPr="00164DA3">
          <w:rPr>
            <w:rStyle w:val="Hyperlink"/>
            <w:noProof/>
          </w:rPr>
          <w:t>Entgeltgruppe P 6</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3" w:history="1">
        <w:r w:rsidR="00B33077" w:rsidRPr="00164DA3">
          <w:rPr>
            <w:rStyle w:val="Hyperlink"/>
            <w:noProof/>
          </w:rPr>
          <w:t>Entgeltgruppe P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4" w:history="1">
        <w:r w:rsidR="00B33077" w:rsidRPr="00164DA3">
          <w:rPr>
            <w:rStyle w:val="Hyperlink"/>
            <w:noProof/>
          </w:rPr>
          <w:t>Entgeltgruppe P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5" w:history="1">
        <w:r w:rsidR="00B33077" w:rsidRPr="00164DA3">
          <w:rPr>
            <w:rStyle w:val="Hyperlink"/>
            <w:noProof/>
          </w:rPr>
          <w:t>Entgeltgruppe P 9</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6" w:history="1">
        <w:r w:rsidR="00B33077" w:rsidRPr="00164DA3">
          <w:rPr>
            <w:rStyle w:val="Hyperlink"/>
            <w:noProof/>
          </w:rPr>
          <w:t>Entgeltgruppe 9b (Anlage A zum Teil A, 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7" w:history="1">
        <w:r w:rsidR="00B33077" w:rsidRPr="00164DA3">
          <w:rPr>
            <w:rStyle w:val="Hyperlink"/>
            <w:noProof/>
          </w:rPr>
          <w:t>Entgeltgruppe 9c (Anlage A zum Teil A, 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8" w:history="1">
        <w:r w:rsidR="00B33077" w:rsidRPr="00164DA3">
          <w:rPr>
            <w:rStyle w:val="Hyperlink"/>
            <w:noProof/>
          </w:rPr>
          <w:t>Entgeltgruppe 10 (Anlage A zum Teil A, 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89" w:history="1">
        <w:r w:rsidR="00B33077" w:rsidRPr="00164DA3">
          <w:rPr>
            <w:rStyle w:val="Hyperlink"/>
            <w:noProof/>
          </w:rPr>
          <w:t>Entgeltgruppe 11 (Anlage A zum Teil A, 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0" w:history="1">
        <w:r w:rsidR="00B33077" w:rsidRPr="00164DA3">
          <w:rPr>
            <w:rStyle w:val="Hyperlink"/>
            <w:noProof/>
          </w:rPr>
          <w:t>Entgeltgruppe 12 (Anlage A zum Teil A, 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1"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892" w:history="1">
        <w:r w:rsidR="00B33077" w:rsidRPr="00164DA3">
          <w:rPr>
            <w:rStyle w:val="Hyperlink"/>
          </w:rPr>
          <w:t>17.2. Leitende Beschäftigte in der Pflege</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3" w:history="1">
        <w:r w:rsidR="00B33077" w:rsidRPr="00164DA3">
          <w:rPr>
            <w:rStyle w:val="Hyperlink"/>
            <w:noProof/>
          </w:rPr>
          <w:t>Vorbemerkungen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4" w:history="1">
        <w:r w:rsidR="00B33077" w:rsidRPr="00164DA3">
          <w:rPr>
            <w:rStyle w:val="Hyperlink"/>
            <w:noProof/>
          </w:rPr>
          <w:t>Entgeltgruppe P 9</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5" w:history="1">
        <w:r w:rsidR="00B33077" w:rsidRPr="00164DA3">
          <w:rPr>
            <w:rStyle w:val="Hyperlink"/>
            <w:noProof/>
          </w:rPr>
          <w:t>Entgeltgruppe P 10</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6" w:history="1">
        <w:r w:rsidR="00B33077" w:rsidRPr="00164DA3">
          <w:rPr>
            <w:rStyle w:val="Hyperlink"/>
            <w:noProof/>
          </w:rPr>
          <w:t>Entgeltgruppe P 11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7" w:history="1">
        <w:r w:rsidR="00B33077" w:rsidRPr="00164DA3">
          <w:rPr>
            <w:rStyle w:val="Hyperlink"/>
            <w:noProof/>
          </w:rPr>
          <w:t>Entgeltgruppe P 12</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8" w:history="1">
        <w:r w:rsidR="00B33077" w:rsidRPr="00164DA3">
          <w:rPr>
            <w:rStyle w:val="Hyperlink"/>
            <w:noProof/>
          </w:rPr>
          <w:t>Entgeltgruppe P 13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899" w:history="1">
        <w:r w:rsidR="00B33077" w:rsidRPr="00164DA3">
          <w:rPr>
            <w:rStyle w:val="Hyperlink"/>
            <w:noProof/>
          </w:rPr>
          <w:t>Entgeltgruppe P 14</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0" w:history="1">
        <w:r w:rsidR="00B33077" w:rsidRPr="00164DA3">
          <w:rPr>
            <w:rStyle w:val="Hyperlink"/>
            <w:noProof/>
          </w:rPr>
          <w:t>Entgeltgruppe P 15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1" w:history="1">
        <w:r w:rsidR="00B33077" w:rsidRPr="00164DA3">
          <w:rPr>
            <w:rStyle w:val="Hyperlink"/>
            <w:noProof/>
          </w:rPr>
          <w:t>Entgeltgruppe P 16</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2" w:history="1">
        <w:r w:rsidR="00B33077" w:rsidRPr="00164DA3">
          <w:rPr>
            <w:rStyle w:val="Hyperlink"/>
            <w:noProof/>
          </w:rPr>
          <w:t>Entgeltgruppe 13 (Anlage A zum Teil A, 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3" w:history="1">
        <w:r w:rsidR="00B33077" w:rsidRPr="00164DA3">
          <w:rPr>
            <w:rStyle w:val="Hyperlink"/>
            <w:noProof/>
          </w:rPr>
          <w:t>Entgeltgruppe 14 (Anlage A zum Teil A, 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4" w:history="1">
        <w:r w:rsidR="00B33077" w:rsidRPr="00164DA3">
          <w:rPr>
            <w:rStyle w:val="Hyperlink"/>
            <w:noProof/>
          </w:rPr>
          <w:t>Entgeltgruppe 15 (Anlage A zum Teil A, 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5" w:history="1">
        <w:r w:rsidR="00B33077" w:rsidRPr="00164DA3">
          <w:rPr>
            <w:rStyle w:val="Hyperlink"/>
            <w:noProof/>
          </w:rPr>
          <w:t>Anmerkung:</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06" w:history="1">
        <w:r w:rsidR="00B33077" w:rsidRPr="00164DA3">
          <w:rPr>
            <w:rStyle w:val="Hyperlink"/>
          </w:rPr>
          <w:t>17.3. Lehrkräfte in der Pflege</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7" w:history="1">
        <w:r w:rsidR="00B33077" w:rsidRPr="00164DA3">
          <w:rPr>
            <w:rStyle w:val="Hyperlink"/>
            <w:noProof/>
          </w:rPr>
          <w:t>Entgeltgruppe 10</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8" w:history="1">
        <w:r w:rsidR="00B33077" w:rsidRPr="00164DA3">
          <w:rPr>
            <w:rStyle w:val="Hyperlink"/>
            <w:noProof/>
          </w:rPr>
          <w:t>Entgeltgruppe 11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09" w:history="1">
        <w:r w:rsidR="00B33077" w:rsidRPr="00164DA3">
          <w:rPr>
            <w:rStyle w:val="Hyperlink"/>
            <w:noProof/>
          </w:rPr>
          <w:t>Entgeltgruppe 12</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10" w:history="1">
        <w:r w:rsidR="00B33077" w:rsidRPr="00164DA3">
          <w:rPr>
            <w:rStyle w:val="Hyperlink"/>
            <w:noProof/>
          </w:rPr>
          <w:t>Entgeltgruppe 13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11" w:history="1">
        <w:r w:rsidR="00B33077" w:rsidRPr="00164DA3">
          <w:rPr>
            <w:rStyle w:val="Hyperlink"/>
            <w:noProof/>
          </w:rPr>
          <w:t>Entgeltgruppe 14</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12" w:history="1">
        <w:r w:rsidR="00B33077" w:rsidRPr="00164DA3">
          <w:rPr>
            <w:rStyle w:val="Hyperlink"/>
            <w:noProof/>
          </w:rPr>
          <w:t>Entgeltgruppe 15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13" w:history="1">
        <w:r w:rsidR="00B33077" w:rsidRPr="00164DA3">
          <w:rPr>
            <w:rStyle w:val="Hyperlink"/>
          </w:rPr>
          <w:t>17.4. Kardiotechnikerinnen und Kardiotechniker</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14" w:history="1">
        <w:r w:rsidR="00B33077" w:rsidRPr="00164DA3">
          <w:rPr>
            <w:rStyle w:val="Hyperlink"/>
          </w:rPr>
          <w:t>17.4a. Alltagsbegleiterinnen und -begleiter, Betreuungskräfte sowie Präsenzkräfte</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15" w:history="1">
        <w:r w:rsidR="00B33077" w:rsidRPr="00164DA3">
          <w:rPr>
            <w:rStyle w:val="Hyperlink"/>
          </w:rPr>
          <w:t>17.5. Diätassistentinnen und Diätassistenten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16"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17"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18"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19"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20"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21" w:history="1">
        <w:r w:rsidR="00B33077" w:rsidRPr="00164DA3">
          <w:rPr>
            <w:rStyle w:val="Hyperlink"/>
            <w:noProof/>
          </w:rPr>
          <w:t>Anmerkung:</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22" w:history="1">
        <w:r w:rsidR="00B33077" w:rsidRPr="00164DA3">
          <w:rPr>
            <w:rStyle w:val="Hyperlink"/>
          </w:rPr>
          <w:t>17.6. Ergotherapeutinnen und Ergotherapeuten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23"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24"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25"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26"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27"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28" w:history="1">
        <w:r w:rsidR="00B33077" w:rsidRPr="00164DA3">
          <w:rPr>
            <w:rStyle w:val="Hyperlink"/>
            <w:noProof/>
          </w:rPr>
          <w:t>Anmerkung:</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29" w:history="1">
        <w:r w:rsidR="00B33077" w:rsidRPr="00164DA3">
          <w:rPr>
            <w:rStyle w:val="Hyperlink"/>
          </w:rPr>
          <w:t>17.7. HNO-Audiologie-Assistentinnen und -Assistenten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0"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1"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2"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3"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4"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5"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36" w:history="1">
        <w:r w:rsidR="00B33077" w:rsidRPr="00164DA3">
          <w:rPr>
            <w:rStyle w:val="Hyperlink"/>
          </w:rPr>
          <w:t>17.8. Logopädinnen und Logopäden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7"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8"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39"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40"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41"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42"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43" w:history="1">
        <w:r w:rsidR="00B33077" w:rsidRPr="00164DA3">
          <w:rPr>
            <w:rStyle w:val="Hyperlink"/>
          </w:rPr>
          <w:t>17.9. Masseurinnen und medizinische Bademeisterinnen sowie Masseure und medizinische Bademeister</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44" w:history="1">
        <w:r w:rsidR="00B33077" w:rsidRPr="00164DA3">
          <w:rPr>
            <w:rStyle w:val="Hyperlink"/>
            <w:noProof/>
          </w:rPr>
          <w:t>Entgeltgruppe 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45"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46" w:history="1">
        <w:r w:rsidR="00B33077" w:rsidRPr="00164DA3">
          <w:rPr>
            <w:rStyle w:val="Hyperlink"/>
            <w:noProof/>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47" w:history="1">
        <w:r w:rsidR="00B33077" w:rsidRPr="00164DA3">
          <w:rPr>
            <w:rStyle w:val="Hyperlink"/>
          </w:rPr>
          <w:t>17.10. Medizinisch-technische Assistentinnen und Assistenten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48" w:history="1">
        <w:r w:rsidR="00B33077" w:rsidRPr="00164DA3">
          <w:rPr>
            <w:rStyle w:val="Hyperlink"/>
            <w:noProof/>
          </w:rPr>
          <w:t>Vorbemerkung</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49"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50"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51"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52"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53"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54" w:history="1">
        <w:r w:rsidR="00B33077" w:rsidRPr="00164DA3">
          <w:rPr>
            <w:rStyle w:val="Hyperlink"/>
          </w:rPr>
          <w:t>17.11. Medizinische Dokumentarinnen und Dokumentare</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55" w:history="1">
        <w:r w:rsidR="00B33077" w:rsidRPr="00164DA3">
          <w:rPr>
            <w:rStyle w:val="Hyperlink"/>
          </w:rPr>
          <w:t>17.12. Medizinische und Zahnmedizinische Fachangestellte</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56" w:history="1">
        <w:r w:rsidR="00B33077" w:rsidRPr="00164DA3">
          <w:rPr>
            <w:rStyle w:val="Hyperlink"/>
          </w:rPr>
          <w:t>17.13. Orthoptistinnen und Orthoptisten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57"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58"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59"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60"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61"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62"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63" w:history="1">
        <w:r w:rsidR="00B33077" w:rsidRPr="00164DA3">
          <w:rPr>
            <w:rStyle w:val="Hyperlink"/>
          </w:rPr>
          <w:t>17.14. Pharmazeutisch-kaufmännische Angestellte</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64" w:history="1">
        <w:r w:rsidR="00B33077" w:rsidRPr="00164DA3">
          <w:rPr>
            <w:rStyle w:val="Hyperlink"/>
          </w:rPr>
          <w:t>17.15. Pharmazeutisch-technische Assistentinnen und Assistenten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65"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66"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67"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68"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69"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70" w:history="1">
        <w:r w:rsidR="00B33077" w:rsidRPr="00164DA3">
          <w:rPr>
            <w:rStyle w:val="Hyperlink"/>
          </w:rPr>
          <w:t>17.16. Physiotherapeutinnen und Physiotherapeuten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71"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72"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73"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74"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75"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76" w:history="1">
        <w:r w:rsidR="00B33077" w:rsidRPr="00164DA3">
          <w:rPr>
            <w:rStyle w:val="Hyperlink"/>
            <w:noProof/>
          </w:rPr>
          <w:t>Anmerkung:</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77" w:history="1">
        <w:r w:rsidR="00B33077" w:rsidRPr="00164DA3">
          <w:rPr>
            <w:rStyle w:val="Hyperlink"/>
          </w:rPr>
          <w:t>17.17. Präparationstechnische Assistentinnen und Assistenten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78" w:history="1">
        <w:r w:rsidR="00B33077" w:rsidRPr="00164DA3">
          <w:rPr>
            <w:rStyle w:val="Hyperlink"/>
          </w:rPr>
          <w:t>17.18. Psychologische Psychotherapeutinnen und -therapeuten sowie Kinder- und Jugendlichenpsychotherapeutinnen und -therapeuten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79" w:history="1">
        <w:r w:rsidR="00B33077" w:rsidRPr="00164DA3">
          <w:rPr>
            <w:rStyle w:val="Hyperlink"/>
            <w:noProof/>
          </w:rPr>
          <w:t>Entgeltgruppe 14</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80" w:history="1">
        <w:r w:rsidR="00B33077" w:rsidRPr="00164DA3">
          <w:rPr>
            <w:rStyle w:val="Hyperlink"/>
          </w:rPr>
          <w:t>17.19. Zahntechnikerinnen und Zahntechniker</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81" w:history="1">
        <w:r w:rsidR="00B33077" w:rsidRPr="00164DA3">
          <w:rPr>
            <w:rStyle w:val="Hyperlink"/>
            <w:noProof/>
          </w:rPr>
          <w:t>Entgeltgruppe 6</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82" w:history="1">
        <w:r w:rsidR="00B33077" w:rsidRPr="00164DA3">
          <w:rPr>
            <w:rStyle w:val="Hyperlink"/>
            <w:noProof/>
          </w:rPr>
          <w:t>Entgeltgruppe 7</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83" w:history="1">
        <w:r w:rsidR="00B33077" w:rsidRPr="00164DA3">
          <w:rPr>
            <w:rStyle w:val="Hyperlink"/>
            <w:noProof/>
          </w:rPr>
          <w:t>Entgeltgruppe 8</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84"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85"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86" w:history="1">
        <w:r w:rsidR="00B33077" w:rsidRPr="00164DA3">
          <w:rPr>
            <w:rStyle w:val="Hyperlink"/>
            <w:noProof/>
          </w:rPr>
          <w:t>Anmerkungen: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87" w:history="1">
        <w:r w:rsidR="00B33077" w:rsidRPr="00164DA3">
          <w:rPr>
            <w:rStyle w:val="Hyperlink"/>
          </w:rPr>
          <w:t>17.20. Leitende Beschäftigte</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88" w:history="1">
        <w:r w:rsidR="00B33077" w:rsidRPr="00164DA3">
          <w:rPr>
            <w:rStyle w:val="Hyperlink"/>
            <w:noProof/>
          </w:rPr>
          <w:t>Vorbemerkungen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89"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0" w:history="1">
        <w:r w:rsidR="00B33077" w:rsidRPr="00164DA3">
          <w:rPr>
            <w:rStyle w:val="Hyperlink"/>
            <w:noProof/>
          </w:rPr>
          <w:t>Entgeltgruppe 9c</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1" w:history="1">
        <w:r w:rsidR="00B33077" w:rsidRPr="00164DA3">
          <w:rPr>
            <w:rStyle w:val="Hyperlink"/>
            <w:noProof/>
          </w:rPr>
          <w:t>Entgeltgruppe 10</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2" w:history="1">
        <w:r w:rsidR="00B33077" w:rsidRPr="00164DA3">
          <w:rPr>
            <w:rStyle w:val="Hyperlink"/>
            <w:noProof/>
          </w:rPr>
          <w:t>Entgeltgruppe 11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3" w:history="1">
        <w:r w:rsidR="00B33077" w:rsidRPr="00164DA3">
          <w:rPr>
            <w:rStyle w:val="Hyperlink"/>
            <w:noProof/>
          </w:rPr>
          <w:t>Entgeltgruppe 12</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5994" w:history="1">
        <w:r w:rsidR="00B33077" w:rsidRPr="00164DA3">
          <w:rPr>
            <w:rStyle w:val="Hyperlink"/>
          </w:rPr>
          <w:t>17.21. Lehrkräfte an staatlich anerkannten Lehranstalten für medizinische Berufe (Schulen)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5" w:history="1">
        <w:r w:rsidR="00B33077" w:rsidRPr="00164DA3">
          <w:rPr>
            <w:rStyle w:val="Hyperlink"/>
            <w:noProof/>
          </w:rPr>
          <w:t>Entgeltgruppe 9c</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6" w:history="1">
        <w:r w:rsidR="00B33077" w:rsidRPr="00164DA3">
          <w:rPr>
            <w:rStyle w:val="Hyperlink"/>
            <w:noProof/>
          </w:rPr>
          <w:t>Entgeltgruppe 10</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7" w:history="1">
        <w:r w:rsidR="00B33077" w:rsidRPr="00164DA3">
          <w:rPr>
            <w:rStyle w:val="Hyperlink"/>
            <w:noProof/>
          </w:rPr>
          <w:t>Entgeltgruppe 11</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8" w:history="1">
        <w:r w:rsidR="00B33077" w:rsidRPr="00164DA3">
          <w:rPr>
            <w:rStyle w:val="Hyperlink"/>
            <w:noProof/>
          </w:rPr>
          <w:t>Entgeltgruppe 12</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5999" w:history="1">
        <w:r w:rsidR="00B33077" w:rsidRPr="00164DA3">
          <w:rPr>
            <w:rStyle w:val="Hyperlink"/>
            <w:noProof/>
          </w:rPr>
          <w:t>Entgeltgruppe 13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00" w:history="1">
        <w:r w:rsidR="00B33077" w:rsidRPr="00164DA3">
          <w:rPr>
            <w:rStyle w:val="Hyperlink"/>
            <w:noProof/>
          </w:rPr>
          <w:t>Entgeltgruppe 14</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01" w:history="1">
        <w:r w:rsidR="00B33077" w:rsidRPr="00164DA3">
          <w:rPr>
            <w:rStyle w:val="Hyperlink"/>
            <w:noProof/>
          </w:rPr>
          <w:t>Entgeltgruppe 15</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02" w:history="1">
        <w:r w:rsidR="00B33077" w:rsidRPr="00164DA3">
          <w:rPr>
            <w:rStyle w:val="Hyperlink"/>
            <w:noProof/>
          </w:rPr>
          <w:t>18. Beschäftigte in Häfen und Fährbetrieben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03" w:history="1">
        <w:r w:rsidR="00B33077" w:rsidRPr="00164DA3">
          <w:rPr>
            <w:rStyle w:val="Hyperlink"/>
            <w:noProof/>
          </w:rPr>
          <w:t>19. Beschäftigte im Kassen- und Rechnungswesen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04"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05"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06" w:history="1">
        <w:r w:rsidR="00B33077" w:rsidRPr="00164DA3">
          <w:rPr>
            <w:rStyle w:val="Hyperlink"/>
          </w:rPr>
          <w:t>Entgeltgruppe 8</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07" w:history="1">
        <w:r w:rsidR="00B33077" w:rsidRPr="00164DA3">
          <w:rPr>
            <w:rStyle w:val="Hyperlink"/>
          </w:rPr>
          <w:t>Entgeltgruppe 9a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08" w:history="1">
        <w:r w:rsidR="00B33077" w:rsidRPr="00164DA3">
          <w:rPr>
            <w:rStyle w:val="Hyperlink"/>
          </w:rPr>
          <w:t>Entgeltgruppe 9b</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09" w:history="1">
        <w:r w:rsidR="00B33077" w:rsidRPr="00164DA3">
          <w:rPr>
            <w:rStyle w:val="Hyperlink"/>
          </w:rPr>
          <w:t>Entgeltgruppe 10</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10" w:history="1">
        <w:r w:rsidR="00B33077" w:rsidRPr="00164DA3">
          <w:rPr>
            <w:rStyle w:val="Hyperlink"/>
          </w:rPr>
          <w:t>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11" w:history="1">
        <w:r w:rsidR="00B33077" w:rsidRPr="00164DA3">
          <w:rPr>
            <w:rStyle w:val="Hyperlink"/>
            <w:noProof/>
          </w:rPr>
          <w:t xml:space="preserve">20. Beschäftigte im feuerwehrtechnischen Dienst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12" w:history="1">
        <w:r w:rsidR="00B33077" w:rsidRPr="00164DA3">
          <w:rPr>
            <w:rStyle w:val="Hyperlink"/>
            <w:noProof/>
          </w:rPr>
          <w:t>21.</w:t>
        </w:r>
        <w:r w:rsidR="00B33077" w:rsidRPr="00164DA3">
          <w:rPr>
            <w:rStyle w:val="Hyperlink"/>
            <w:noProof/>
            <w:lang w:eastAsia="x-none"/>
          </w:rPr>
          <w:t xml:space="preserve"> </w:t>
        </w:r>
        <w:r w:rsidR="00B33077" w:rsidRPr="00164DA3">
          <w:rPr>
            <w:rStyle w:val="Hyperlink"/>
            <w:noProof/>
          </w:rPr>
          <w:t>Beschäftigte in der Konservierung, Restaurierung, Präparierung und Grabungstechnik</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13" w:history="1">
        <w:r w:rsidR="00B33077" w:rsidRPr="00164DA3">
          <w:rPr>
            <w:rStyle w:val="Hyperlink"/>
          </w:rPr>
          <w:t>Vorbemerkungen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14" w:history="1">
        <w:r w:rsidR="00B33077" w:rsidRPr="00164DA3">
          <w:rPr>
            <w:rStyle w:val="Hyperlink"/>
          </w:rPr>
          <w:t>Entgeltgruppe 4</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15"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16"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17" w:history="1">
        <w:r w:rsidR="00B33077" w:rsidRPr="00164DA3">
          <w:rPr>
            <w:rStyle w:val="Hyperlink"/>
          </w:rPr>
          <w:t>Entgeltgruppe 7</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18" w:history="1">
        <w:r w:rsidR="00B33077" w:rsidRPr="00164DA3">
          <w:rPr>
            <w:rStyle w:val="Hyperlink"/>
          </w:rPr>
          <w:t>Entgeltgruppe 8</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19" w:history="1">
        <w:r w:rsidR="00B33077" w:rsidRPr="00164DA3">
          <w:rPr>
            <w:rStyle w:val="Hyperlink"/>
          </w:rPr>
          <w:t>Entgeltgruppe 9a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20" w:history="1">
        <w:r w:rsidR="00B33077" w:rsidRPr="00164DA3">
          <w:rPr>
            <w:rStyle w:val="Hyperlink"/>
          </w:rPr>
          <w:t>Entgeltgruppe 9b</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21" w:history="1">
        <w:r w:rsidR="00B33077" w:rsidRPr="00164DA3">
          <w:rPr>
            <w:rStyle w:val="Hyperlink"/>
          </w:rPr>
          <w:t>Entgeltgruppe 10</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22" w:history="1">
        <w:r w:rsidR="00B33077" w:rsidRPr="00164DA3">
          <w:rPr>
            <w:rStyle w:val="Hyperlink"/>
          </w:rPr>
          <w:t>Entgeltgruppe 11</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23" w:history="1">
        <w:r w:rsidR="00B33077" w:rsidRPr="00164DA3">
          <w:rPr>
            <w:rStyle w:val="Hyperlink"/>
          </w:rPr>
          <w:t>Entgeltgruppe 12</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24" w:history="1">
        <w:r w:rsidR="00B33077" w:rsidRPr="00164DA3">
          <w:rPr>
            <w:rStyle w:val="Hyperlink"/>
          </w:rPr>
          <w:t>Entgeltgruppe 13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25" w:history="1">
        <w:r w:rsidR="00B33077" w:rsidRPr="00164DA3">
          <w:rPr>
            <w:rStyle w:val="Hyperlink"/>
          </w:rPr>
          <w:t>Entgeltgruppe 14</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26" w:history="1">
        <w:r w:rsidR="00B33077" w:rsidRPr="00164DA3">
          <w:rPr>
            <w:rStyle w:val="Hyperlink"/>
          </w:rPr>
          <w:t>Entgeltgruppe 15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27" w:history="1">
        <w:r w:rsidR="00B33077" w:rsidRPr="00164DA3">
          <w:rPr>
            <w:rStyle w:val="Hyperlink"/>
          </w:rPr>
          <w:t>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28" w:history="1">
        <w:r w:rsidR="00B33077" w:rsidRPr="00164DA3">
          <w:rPr>
            <w:rStyle w:val="Hyperlink"/>
            <w:noProof/>
          </w:rPr>
          <w:t>22.</w:t>
        </w:r>
        <w:r w:rsidR="00B33077" w:rsidRPr="00164DA3">
          <w:rPr>
            <w:rStyle w:val="Hyperlink"/>
            <w:noProof/>
            <w:lang w:eastAsia="x-none"/>
          </w:rPr>
          <w:t xml:space="preserve"> </w:t>
        </w:r>
        <w:r w:rsidR="00B33077" w:rsidRPr="00164DA3">
          <w:rPr>
            <w:rStyle w:val="Hyperlink"/>
            <w:noProof/>
          </w:rPr>
          <w:t xml:space="preserve">Laborantinnen und Laboranten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29" w:history="1">
        <w:r w:rsidR="00B33077" w:rsidRPr="00164DA3">
          <w:rPr>
            <w:rStyle w:val="Hyperlink"/>
            <w:noProof/>
          </w:rPr>
          <w:t>23.</w:t>
        </w:r>
        <w:r w:rsidR="00B33077" w:rsidRPr="00164DA3">
          <w:rPr>
            <w:rStyle w:val="Hyperlink"/>
            <w:noProof/>
            <w:lang w:eastAsia="x-none"/>
          </w:rPr>
          <w:t xml:space="preserve"> </w:t>
        </w:r>
        <w:r w:rsidR="00B33077" w:rsidRPr="00164DA3">
          <w:rPr>
            <w:rStyle w:val="Hyperlink"/>
            <w:noProof/>
          </w:rPr>
          <w:t>Leiterinnen und Leiter von Registraturen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30"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31"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32" w:history="1">
        <w:r w:rsidR="00B33077" w:rsidRPr="00164DA3">
          <w:rPr>
            <w:rStyle w:val="Hyperlink"/>
          </w:rPr>
          <w:t>Entgeltgruppe 7</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33" w:history="1">
        <w:r w:rsidR="00B33077" w:rsidRPr="00164DA3">
          <w:rPr>
            <w:rStyle w:val="Hyperlink"/>
          </w:rPr>
          <w:t>Entgeltgruppe 8</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34" w:history="1">
        <w:r w:rsidR="00B33077" w:rsidRPr="00164DA3">
          <w:rPr>
            <w:rStyle w:val="Hyperlink"/>
          </w:rPr>
          <w:t>Entgeltgruppe 9a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35" w:history="1">
        <w:r w:rsidR="00B33077" w:rsidRPr="00164DA3">
          <w:rPr>
            <w:rStyle w:val="Hyperlink"/>
          </w:rPr>
          <w:t>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36" w:history="1">
        <w:r w:rsidR="00B33077" w:rsidRPr="00164DA3">
          <w:rPr>
            <w:rStyle w:val="Hyperlink"/>
            <w:noProof/>
          </w:rPr>
          <w:t>24.</w:t>
        </w:r>
        <w:r w:rsidR="00B33077" w:rsidRPr="00164DA3">
          <w:rPr>
            <w:rStyle w:val="Hyperlink"/>
            <w:noProof/>
            <w:lang w:eastAsia="x-none"/>
          </w:rPr>
          <w:t xml:space="preserve"> </w:t>
        </w:r>
        <w:r w:rsidR="00B33077" w:rsidRPr="00164DA3">
          <w:rPr>
            <w:rStyle w:val="Hyperlink"/>
            <w:noProof/>
          </w:rPr>
          <w:t xml:space="preserve">Beschäftigte in Leitstellen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37" w:history="1">
        <w:r w:rsidR="00B33077" w:rsidRPr="00164DA3">
          <w:rPr>
            <w:rStyle w:val="Hyperlink"/>
            <w:noProof/>
          </w:rPr>
          <w:t>25.</w:t>
        </w:r>
        <w:r w:rsidR="00B33077" w:rsidRPr="00164DA3">
          <w:rPr>
            <w:rStyle w:val="Hyperlink"/>
            <w:noProof/>
            <w:lang w:eastAsia="x-none"/>
          </w:rPr>
          <w:t xml:space="preserve"> </w:t>
        </w:r>
        <w:r w:rsidR="00B33077" w:rsidRPr="00164DA3">
          <w:rPr>
            <w:rStyle w:val="Hyperlink"/>
            <w:noProof/>
          </w:rPr>
          <w:t>Beschäftigte in Magazinen und Lagern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38" w:history="1">
        <w:r w:rsidR="00B33077" w:rsidRPr="00164DA3">
          <w:rPr>
            <w:rStyle w:val="Hyperlink"/>
          </w:rPr>
          <w:t>Entgeltgruppe 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39"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40" w:history="1">
        <w:r w:rsidR="00B33077" w:rsidRPr="00164DA3">
          <w:rPr>
            <w:rStyle w:val="Hyperlink"/>
          </w:rPr>
          <w:t>Entgeltgruppe 6</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41" w:history="1">
        <w:r w:rsidR="00B33077" w:rsidRPr="00164DA3">
          <w:rPr>
            <w:rStyle w:val="Hyperlink"/>
            <w:noProof/>
          </w:rPr>
          <w:t>26.</w:t>
        </w:r>
        <w:r w:rsidR="00B33077" w:rsidRPr="00164DA3">
          <w:rPr>
            <w:rStyle w:val="Hyperlink"/>
            <w:noProof/>
            <w:lang w:eastAsia="x-none"/>
          </w:rPr>
          <w:t xml:space="preserve"> </w:t>
        </w:r>
        <w:r w:rsidR="00B33077" w:rsidRPr="00164DA3">
          <w:rPr>
            <w:rStyle w:val="Hyperlink"/>
            <w:noProof/>
          </w:rPr>
          <w:t xml:space="preserve">Musikschullehrerinnen und -lehrer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42" w:history="1">
        <w:r w:rsidR="00B33077" w:rsidRPr="00164DA3">
          <w:rPr>
            <w:rStyle w:val="Hyperlink"/>
            <w:noProof/>
          </w:rPr>
          <w:t>27. Reproduktionstechnische Beschäftigte</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43"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44"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45" w:history="1">
        <w:r w:rsidR="00B33077" w:rsidRPr="00164DA3">
          <w:rPr>
            <w:rStyle w:val="Hyperlink"/>
          </w:rPr>
          <w:t>Entgeltgruppe 7</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46" w:history="1">
        <w:r w:rsidR="00B33077" w:rsidRPr="00164DA3">
          <w:rPr>
            <w:rStyle w:val="Hyperlink"/>
          </w:rPr>
          <w:t>Entgeltgruppe 8</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47" w:history="1">
        <w:r w:rsidR="00B33077" w:rsidRPr="00164DA3">
          <w:rPr>
            <w:rStyle w:val="Hyperlink"/>
          </w:rPr>
          <w:t>Entgeltgruppe 9a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48" w:history="1">
        <w:r w:rsidR="00B33077" w:rsidRPr="00164DA3">
          <w:rPr>
            <w:rStyle w:val="Hyperlink"/>
          </w:rPr>
          <w:t>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49" w:history="1">
        <w:r w:rsidR="00B33077" w:rsidRPr="00164DA3">
          <w:rPr>
            <w:rStyle w:val="Hyperlink"/>
            <w:noProof/>
          </w:rPr>
          <w:t>28.</w:t>
        </w:r>
        <w:r w:rsidR="00B33077" w:rsidRPr="00164DA3">
          <w:rPr>
            <w:rStyle w:val="Hyperlink"/>
            <w:noProof/>
            <w:lang w:eastAsia="x-none"/>
          </w:rPr>
          <w:t> </w:t>
        </w:r>
        <w:r w:rsidR="00B33077" w:rsidRPr="00164DA3">
          <w:rPr>
            <w:rStyle w:val="Hyperlink"/>
            <w:noProof/>
          </w:rPr>
          <w:t xml:space="preserve">Beschäftigte im Rettungsdienst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50" w:history="1">
        <w:r w:rsidR="00B33077" w:rsidRPr="00164DA3">
          <w:rPr>
            <w:rStyle w:val="Hyperlink"/>
            <w:noProof/>
          </w:rPr>
          <w:t>29.</w:t>
        </w:r>
        <w:r w:rsidR="00B33077" w:rsidRPr="00164DA3">
          <w:rPr>
            <w:rStyle w:val="Hyperlink"/>
            <w:noProof/>
            <w:lang w:eastAsia="x-none"/>
          </w:rPr>
          <w:t> </w:t>
        </w:r>
        <w:r w:rsidR="00B33077" w:rsidRPr="00164DA3">
          <w:rPr>
            <w:rStyle w:val="Hyperlink"/>
            <w:noProof/>
          </w:rPr>
          <w:t>Schulhausmeisterinnen und Schulhausmeister</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51" w:history="1">
        <w:r w:rsidR="00B33077" w:rsidRPr="00164DA3">
          <w:rPr>
            <w:rStyle w:val="Hyperlink"/>
          </w:rPr>
          <w:t>Vorbemerkungen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52"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53" w:history="1">
        <w:r w:rsidR="00B33077" w:rsidRPr="00164DA3">
          <w:rPr>
            <w:rStyle w:val="Hyperlink"/>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54" w:history="1">
        <w:r w:rsidR="00B33077" w:rsidRPr="00164DA3">
          <w:rPr>
            <w:rStyle w:val="Hyperlink"/>
          </w:rPr>
          <w:t>Entgeltgruppe 7</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55" w:history="1">
        <w:r w:rsidR="00B33077" w:rsidRPr="00164DA3">
          <w:rPr>
            <w:rStyle w:val="Hyperlink"/>
          </w:rPr>
          <w:t>Entgeltgruppe 8</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56" w:history="1">
        <w:r w:rsidR="00B33077" w:rsidRPr="00164DA3">
          <w:rPr>
            <w:rStyle w:val="Hyperlink"/>
            <w:noProof/>
          </w:rPr>
          <w:t>30. Beschäftigte im Sozial- und Erziehungsdienst</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57" w:history="1">
        <w:r w:rsidR="00B33077" w:rsidRPr="00164DA3">
          <w:rPr>
            <w:rStyle w:val="Hyperlink"/>
          </w:rPr>
          <w:t>Entgeltgruppe S 2</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58" w:history="1">
        <w:r w:rsidR="00B33077" w:rsidRPr="00164DA3">
          <w:rPr>
            <w:rStyle w:val="Hyperlink"/>
          </w:rPr>
          <w:t>Entgeltgruppe S 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59" w:history="1">
        <w:r w:rsidR="00B33077" w:rsidRPr="00164DA3">
          <w:rPr>
            <w:rStyle w:val="Hyperlink"/>
          </w:rPr>
          <w:t>Entgeltgruppe S 4</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0" w:history="1">
        <w:r w:rsidR="00B33077" w:rsidRPr="00164DA3">
          <w:rPr>
            <w:rStyle w:val="Hyperlink"/>
          </w:rPr>
          <w:t>Entgeltgruppe S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1" w:history="1">
        <w:r w:rsidR="00B33077" w:rsidRPr="00164DA3">
          <w:rPr>
            <w:rStyle w:val="Hyperlink"/>
          </w:rPr>
          <w:t>Entgeltgruppe S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2" w:history="1">
        <w:r w:rsidR="00B33077" w:rsidRPr="00164DA3">
          <w:rPr>
            <w:rStyle w:val="Hyperlink"/>
          </w:rPr>
          <w:t>Entgeltgruppe S 7</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3" w:history="1">
        <w:r w:rsidR="00B33077" w:rsidRPr="00164DA3">
          <w:rPr>
            <w:rStyle w:val="Hyperlink"/>
          </w:rPr>
          <w:t>Entgeltgruppe S 8a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4" w:history="1">
        <w:r w:rsidR="00B33077" w:rsidRPr="00164DA3">
          <w:rPr>
            <w:rStyle w:val="Hyperlink"/>
          </w:rPr>
          <w:t>Entgeltgruppe S 8b</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5" w:history="1">
        <w:r w:rsidR="00B33077" w:rsidRPr="00164DA3">
          <w:rPr>
            <w:rStyle w:val="Hyperlink"/>
          </w:rPr>
          <w:t>Entgeltgruppe S 9</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6" w:history="1">
        <w:r w:rsidR="00B33077" w:rsidRPr="00164DA3">
          <w:rPr>
            <w:rStyle w:val="Hyperlink"/>
          </w:rPr>
          <w:t>Entgeltgruppe S 10</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7" w:history="1">
        <w:r w:rsidR="00B33077" w:rsidRPr="00164DA3">
          <w:rPr>
            <w:rStyle w:val="Hyperlink"/>
          </w:rPr>
          <w:t>Entgeltgruppe S 11a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8" w:history="1">
        <w:r w:rsidR="00B33077" w:rsidRPr="00164DA3">
          <w:rPr>
            <w:rStyle w:val="Hyperlink"/>
          </w:rPr>
          <w:t>Entgeltgruppe S 11b</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69" w:history="1">
        <w:r w:rsidR="00B33077" w:rsidRPr="00164DA3">
          <w:rPr>
            <w:rStyle w:val="Hyperlink"/>
          </w:rPr>
          <w:t>Entgeltgruppe S 12</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70" w:history="1">
        <w:r w:rsidR="00B33077" w:rsidRPr="00164DA3">
          <w:rPr>
            <w:rStyle w:val="Hyperlink"/>
          </w:rPr>
          <w:t>Entgeltgruppe S 13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71" w:history="1">
        <w:r w:rsidR="00B33077" w:rsidRPr="00164DA3">
          <w:rPr>
            <w:rStyle w:val="Hyperlink"/>
          </w:rPr>
          <w:t>Entgeltgruppe S 14</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72" w:history="1">
        <w:r w:rsidR="00B33077" w:rsidRPr="00164DA3">
          <w:rPr>
            <w:rStyle w:val="Hyperlink"/>
          </w:rPr>
          <w:t>Entgeltgruppe S 15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73" w:history="1">
        <w:r w:rsidR="00B33077" w:rsidRPr="00164DA3">
          <w:rPr>
            <w:rStyle w:val="Hyperlink"/>
          </w:rPr>
          <w:t>Entgeltgruppe S 16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74" w:history="1">
        <w:r w:rsidR="00B33077" w:rsidRPr="00164DA3">
          <w:rPr>
            <w:rStyle w:val="Hyperlink"/>
          </w:rPr>
          <w:t>Entgeltgruppe S 17</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75" w:history="1">
        <w:r w:rsidR="00B33077" w:rsidRPr="00164DA3">
          <w:rPr>
            <w:rStyle w:val="Hyperlink"/>
          </w:rPr>
          <w:t>Entgeltgruppe S 18</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76" w:history="1">
        <w:r w:rsidR="00B33077" w:rsidRPr="00164DA3">
          <w:rPr>
            <w:rStyle w:val="Hyperlink"/>
          </w:rPr>
          <w:t>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77" w:history="1">
        <w:r w:rsidR="00B33077" w:rsidRPr="00164DA3">
          <w:rPr>
            <w:rStyle w:val="Hyperlink"/>
            <w:noProof/>
          </w:rPr>
          <w:t>31.</w:t>
        </w:r>
        <w:r w:rsidR="00B33077" w:rsidRPr="00164DA3">
          <w:rPr>
            <w:rStyle w:val="Hyperlink"/>
            <w:noProof/>
            <w:lang w:eastAsia="x-none"/>
          </w:rPr>
          <w:t xml:space="preserve"> </w:t>
        </w:r>
        <w:r w:rsidR="00B33077" w:rsidRPr="00164DA3">
          <w:rPr>
            <w:rStyle w:val="Hyperlink"/>
            <w:noProof/>
          </w:rPr>
          <w:t xml:space="preserve">Beschäftigte in Sparkassen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78" w:history="1">
        <w:r w:rsidR="00B33077" w:rsidRPr="00164DA3">
          <w:rPr>
            <w:rStyle w:val="Hyperlink"/>
            <w:noProof/>
          </w:rPr>
          <w:t>32.</w:t>
        </w:r>
        <w:r w:rsidR="00B33077" w:rsidRPr="00164DA3">
          <w:rPr>
            <w:rStyle w:val="Hyperlink"/>
            <w:noProof/>
            <w:lang w:eastAsia="x-none"/>
          </w:rPr>
          <w:t xml:space="preserve"> </w:t>
        </w:r>
        <w:r w:rsidR="00B33077" w:rsidRPr="00164DA3">
          <w:rPr>
            <w:rStyle w:val="Hyperlink"/>
            <w:noProof/>
          </w:rPr>
          <w:t>Technische Assistentinnen/Assistenten und Chemotechnikerinnen/</w:t>
        </w:r>
        <w:r w:rsidR="00B33077" w:rsidRPr="00164DA3">
          <w:rPr>
            <w:rStyle w:val="Hyperlink"/>
            <w:noProof/>
            <w:lang w:eastAsia="x-none"/>
          </w:rPr>
          <w:t xml:space="preserve"> </w:t>
        </w:r>
        <w:r w:rsidR="00B33077" w:rsidRPr="00164DA3">
          <w:rPr>
            <w:rStyle w:val="Hyperlink"/>
            <w:noProof/>
          </w:rPr>
          <w:t xml:space="preserve">Chemotechniker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79" w:history="1">
        <w:r w:rsidR="00B33077" w:rsidRPr="00164DA3">
          <w:rPr>
            <w:rStyle w:val="Hyperlink"/>
            <w:noProof/>
          </w:rPr>
          <w:t>33.</w:t>
        </w:r>
        <w:r w:rsidR="00B33077" w:rsidRPr="00164DA3">
          <w:rPr>
            <w:rStyle w:val="Hyperlink"/>
            <w:noProof/>
            <w:lang w:eastAsia="x-none"/>
          </w:rPr>
          <w:t xml:space="preserve"> </w:t>
        </w:r>
        <w:r w:rsidR="00B33077" w:rsidRPr="00164DA3">
          <w:rPr>
            <w:rStyle w:val="Hyperlink"/>
            <w:noProof/>
          </w:rPr>
          <w:t xml:space="preserve">Beschäftigte an Theatern und Bühnen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80" w:history="1">
        <w:r w:rsidR="00B33077" w:rsidRPr="00164DA3">
          <w:rPr>
            <w:rStyle w:val="Hyperlink"/>
            <w:noProof/>
          </w:rPr>
          <w:t>34.</w:t>
        </w:r>
        <w:r w:rsidR="00B33077" w:rsidRPr="00164DA3">
          <w:rPr>
            <w:rStyle w:val="Hyperlink"/>
            <w:noProof/>
            <w:lang w:eastAsia="x-none"/>
          </w:rPr>
          <w:t xml:space="preserve"> </w:t>
        </w:r>
        <w:r w:rsidR="00B33077" w:rsidRPr="00164DA3">
          <w:rPr>
            <w:rStyle w:val="Hyperlink"/>
            <w:noProof/>
          </w:rPr>
          <w:t xml:space="preserve">Tierärztinnen und Tierärzte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81" w:history="1">
        <w:r w:rsidR="00B33077" w:rsidRPr="00164DA3">
          <w:rPr>
            <w:rStyle w:val="Hyperlink"/>
            <w:noProof/>
          </w:rPr>
          <w:t>35.</w:t>
        </w:r>
        <w:r w:rsidR="00B33077" w:rsidRPr="00164DA3">
          <w:rPr>
            <w:rStyle w:val="Hyperlink"/>
            <w:noProof/>
            <w:lang w:eastAsia="x-none"/>
          </w:rPr>
          <w:t xml:space="preserve"> </w:t>
        </w:r>
        <w:r w:rsidR="00B33077" w:rsidRPr="00164DA3">
          <w:rPr>
            <w:rStyle w:val="Hyperlink"/>
            <w:noProof/>
          </w:rPr>
          <w:t xml:space="preserve">Vermessungsingenieurinnen und Vermessungsingenieure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82" w:history="1">
        <w:r w:rsidR="00B33077" w:rsidRPr="00164DA3">
          <w:rPr>
            <w:rStyle w:val="Hyperlink"/>
            <w:noProof/>
          </w:rPr>
          <w:t>36.</w:t>
        </w:r>
        <w:r w:rsidR="00B33077" w:rsidRPr="00164DA3">
          <w:rPr>
            <w:rStyle w:val="Hyperlink"/>
            <w:noProof/>
            <w:lang w:eastAsia="x-none"/>
          </w:rPr>
          <w:t xml:space="preserve"> </w:t>
        </w:r>
        <w:r w:rsidR="00B33077" w:rsidRPr="00164DA3">
          <w:rPr>
            <w:rStyle w:val="Hyperlink"/>
            <w:noProof/>
          </w:rPr>
          <w:t xml:space="preserve">Vermessungstechnikerinnen und -techniker sowie Geomatikerinnen und Geomatiker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83" w:history="1">
        <w:r w:rsidR="00B33077" w:rsidRPr="00164DA3">
          <w:rPr>
            <w:rStyle w:val="Hyperlink"/>
            <w:noProof/>
          </w:rPr>
          <w:t>37.</w:t>
        </w:r>
        <w:r w:rsidR="00B33077" w:rsidRPr="00164DA3">
          <w:rPr>
            <w:rStyle w:val="Hyperlink"/>
            <w:noProof/>
            <w:lang w:eastAsia="x-none"/>
          </w:rPr>
          <w:t xml:space="preserve"> </w:t>
        </w:r>
        <w:r w:rsidR="00B33077" w:rsidRPr="00164DA3">
          <w:rPr>
            <w:rStyle w:val="Hyperlink"/>
            <w:noProof/>
          </w:rPr>
          <w:t xml:space="preserve">Vorsteherinnen und Vorsteher von Kanzleien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84" w:history="1">
        <w:r w:rsidR="00B33077" w:rsidRPr="00164DA3">
          <w:rPr>
            <w:rStyle w:val="Hyperlink"/>
            <w:noProof/>
          </w:rPr>
          <w:t>38.</w:t>
        </w:r>
        <w:r w:rsidR="00B33077" w:rsidRPr="00164DA3">
          <w:rPr>
            <w:rStyle w:val="Hyperlink"/>
            <w:noProof/>
            <w:lang w:eastAsia="x-none"/>
          </w:rPr>
          <w:t xml:space="preserve"> </w:t>
        </w:r>
        <w:r w:rsidR="00B33077" w:rsidRPr="00164DA3">
          <w:rPr>
            <w:rStyle w:val="Hyperlink"/>
            <w:noProof/>
          </w:rPr>
          <w:t>Zeichnerinnen und Zeichner</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85" w:history="1">
        <w:r w:rsidR="00B33077" w:rsidRPr="00164DA3">
          <w:rPr>
            <w:rStyle w:val="Hyperlink"/>
          </w:rPr>
          <w:t>Entgeltgruppe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86" w:history="1">
        <w:r w:rsidR="00B33077" w:rsidRPr="00164DA3">
          <w:rPr>
            <w:rStyle w:val="Hyperlink"/>
          </w:rPr>
          <w:t>Entgeltgruppe 6</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087" w:history="1">
        <w:r w:rsidR="00B33077" w:rsidRPr="00164DA3">
          <w:rPr>
            <w:rStyle w:val="Hyperlink"/>
            <w:noProof/>
          </w:rPr>
          <w:t>39.</w:t>
        </w:r>
        <w:r w:rsidR="00B33077" w:rsidRPr="00164DA3">
          <w:rPr>
            <w:rStyle w:val="Hyperlink"/>
            <w:noProof/>
            <w:lang w:eastAsia="x-none"/>
          </w:rPr>
          <w:t xml:space="preserve"> </w:t>
        </w:r>
        <w:r w:rsidR="00B33077" w:rsidRPr="00164DA3">
          <w:rPr>
            <w:rStyle w:val="Hyperlink"/>
            <w:noProof/>
          </w:rPr>
          <w:t>Beschäftigte an offenen und gebundenen Ganztagesschulen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88" w:history="1">
        <w:r w:rsidR="00B33077" w:rsidRPr="00164DA3">
          <w:rPr>
            <w:rStyle w:val="Hyperlink"/>
          </w:rPr>
          <w:t>39.1. Personen, die überwiegend Betreuungsaufgaben wahrnehmen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89" w:history="1">
        <w:r w:rsidR="00B33077" w:rsidRPr="00164DA3">
          <w:rPr>
            <w:rStyle w:val="Hyperlink"/>
            <w:noProof/>
          </w:rPr>
          <w:t>Entgeltgruppe 3</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0" w:history="1">
        <w:r w:rsidR="00B33077" w:rsidRPr="00164DA3">
          <w:rPr>
            <w:rStyle w:val="Hyperlink"/>
            <w:noProof/>
          </w:rPr>
          <w:t>Entgeltgruppe 4</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1"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2" w:history="1">
        <w:r w:rsidR="00B33077" w:rsidRPr="00164DA3">
          <w:rPr>
            <w:rStyle w:val="Hyperlink"/>
            <w:noProof/>
          </w:rPr>
          <w:t>Entgeltgruppe 6</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093" w:history="1">
        <w:r w:rsidR="00B33077" w:rsidRPr="00164DA3">
          <w:rPr>
            <w:rStyle w:val="Hyperlink"/>
          </w:rPr>
          <w:t>39.2. Personen, die überwiegend im Bildungsangebot entsprechend ihrer Ausbildung eingesetzt sind</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4" w:history="1">
        <w:r w:rsidR="00B33077" w:rsidRPr="00164DA3">
          <w:rPr>
            <w:rStyle w:val="Hyperlink"/>
            <w:noProof/>
          </w:rPr>
          <w:t>Entgeltgruppe 4</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5" w:history="1">
        <w:r w:rsidR="00B33077" w:rsidRPr="00164DA3">
          <w:rPr>
            <w:rStyle w:val="Hyperlink"/>
            <w:noProof/>
          </w:rPr>
          <w:t>Entgeltgruppe 5</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6" w:history="1">
        <w:r w:rsidR="00B33077" w:rsidRPr="00164DA3">
          <w:rPr>
            <w:rStyle w:val="Hyperlink"/>
            <w:noProof/>
          </w:rPr>
          <w:t>Entgeltgruppe 9a</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7"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8" w:history="1">
        <w:r w:rsidR="00B33077" w:rsidRPr="00164DA3">
          <w:rPr>
            <w:rStyle w:val="Hyperlink"/>
            <w:noProof/>
          </w:rPr>
          <w:t>Entgeltgruppe 9b</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099" w:history="1">
        <w:r w:rsidR="00B33077" w:rsidRPr="00164DA3">
          <w:rPr>
            <w:rStyle w:val="Hyperlink"/>
            <w:noProof/>
          </w:rPr>
          <w:t>Entgeltgruppe 11</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00" w:history="1">
        <w:r w:rsidR="00B33077" w:rsidRPr="00164DA3">
          <w:rPr>
            <w:rStyle w:val="Hyperlink"/>
            <w:noProof/>
          </w:rPr>
          <w:t>40.</w:t>
        </w:r>
        <w:r w:rsidR="00B33077" w:rsidRPr="00164DA3">
          <w:rPr>
            <w:rStyle w:val="Hyperlink"/>
            <w:noProof/>
            <w:lang w:eastAsia="x-none"/>
          </w:rPr>
          <w:t> </w:t>
        </w:r>
        <w:r w:rsidR="00B33077" w:rsidRPr="00164DA3">
          <w:rPr>
            <w:rStyle w:val="Hyperlink"/>
            <w:noProof/>
          </w:rPr>
          <w:t>Beschäftigte in der Ehe-, Familien- und Lebensberatung</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101" w:history="1">
        <w:r w:rsidR="00B33077" w:rsidRPr="00164DA3">
          <w:rPr>
            <w:rStyle w:val="Hyperlink"/>
          </w:rPr>
          <w:t>Entgeltgruppe 10</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102" w:history="1">
        <w:r w:rsidR="00B33077" w:rsidRPr="00164DA3">
          <w:rPr>
            <w:rStyle w:val="Hyperlink"/>
          </w:rPr>
          <w:t>Entgeltgruppe 13</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03" w:history="1">
        <w:r w:rsidR="00B33077" w:rsidRPr="00164DA3">
          <w:rPr>
            <w:rStyle w:val="Hyperlink"/>
            <w:noProof/>
          </w:rPr>
          <w:t>A, 2.4. Vergütung für Pastoralassistenten</w:t>
        </w:r>
        <w:r w:rsidR="00B33077" w:rsidRPr="00164DA3">
          <w:rPr>
            <w:rStyle w:val="Hyperlink"/>
            <w:noProof/>
            <w:lang w:eastAsia="x-none"/>
          </w:rPr>
          <w:t>/Pastoralassistenten</w:t>
        </w:r>
        <w:r w:rsidR="00B33077" w:rsidRPr="00164DA3">
          <w:rPr>
            <w:rStyle w:val="Hyperlink"/>
            <w:noProof/>
          </w:rPr>
          <w:t xml:space="preserve"> und </w:t>
        </w:r>
        <w:r w:rsidR="00B33077" w:rsidRPr="00164DA3">
          <w:rPr>
            <w:rStyle w:val="Hyperlink"/>
            <w:noProof/>
            <w:lang w:eastAsia="x-none"/>
          </w:rPr>
          <w:t>Pastoralreferentinnen/</w:t>
        </w:r>
        <w:r w:rsidR="00B33077" w:rsidRPr="00164DA3">
          <w:rPr>
            <w:rStyle w:val="Hyperlink"/>
            <w:noProof/>
          </w:rPr>
          <w:t>Pastoralreferenten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04" w:history="1">
        <w:r w:rsidR="00B33077" w:rsidRPr="00164DA3">
          <w:rPr>
            <w:rStyle w:val="Hyperlink"/>
            <w:noProof/>
          </w:rPr>
          <w:t>§ 1 Grundlagen des Entgelts</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05" w:history="1">
        <w:r w:rsidR="00B33077" w:rsidRPr="00164DA3">
          <w:rPr>
            <w:rStyle w:val="Hyperlink"/>
            <w:noProof/>
          </w:rPr>
          <w:t>A, 2.5. Entgeltordnung für Gemeindeassistentinnen/Gemeindeassistenten und Gemeindereferentinnen/Gemeindereferenten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06" w:history="1">
        <w:r w:rsidR="00B33077" w:rsidRPr="00164DA3">
          <w:rPr>
            <w:rStyle w:val="Hyperlink"/>
            <w:noProof/>
          </w:rPr>
          <w:t>§ 1 Grundlagen des Entgelts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07" w:history="1">
        <w:r w:rsidR="00B33077" w:rsidRPr="00164DA3">
          <w:rPr>
            <w:rStyle w:val="Hyperlink"/>
            <w:noProof/>
          </w:rPr>
          <w:t>§ 2 Entgelt bei Teilzeitbeschäftigung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08" w:history="1">
        <w:r w:rsidR="00B33077" w:rsidRPr="00164DA3">
          <w:rPr>
            <w:rStyle w:val="Hyperlink"/>
            <w:noProof/>
          </w:rPr>
          <w:t>§ 3 Übergangsregelung</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09" w:history="1">
        <w:r w:rsidR="00B33077" w:rsidRPr="00164DA3">
          <w:rPr>
            <w:rStyle w:val="Hyperlink"/>
            <w:noProof/>
          </w:rPr>
          <w:t>A, 2.6. Entgeltordnung für Religionslehrerinnen und Religionslehrer im Kirchendienst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0" w:history="1">
        <w:r w:rsidR="00B33077" w:rsidRPr="00164DA3">
          <w:rPr>
            <w:rStyle w:val="Hyperlink"/>
            <w:noProof/>
          </w:rPr>
          <w:t>§ 1 Grundlagen des Entgelts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1" w:history="1">
        <w:r w:rsidR="00B33077" w:rsidRPr="00164DA3">
          <w:rPr>
            <w:rStyle w:val="Hyperlink"/>
            <w:noProof/>
          </w:rPr>
          <w:t>§ 2 Tätigkeit an Förderschulen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2" w:history="1">
        <w:r w:rsidR="00B33077" w:rsidRPr="00164DA3">
          <w:rPr>
            <w:rStyle w:val="Hyperlink"/>
            <w:noProof/>
          </w:rPr>
          <w:t>§ 3 Tätigkeit an sonstigen Schulen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3" w:history="1">
        <w:r w:rsidR="00B33077" w:rsidRPr="00164DA3">
          <w:rPr>
            <w:rStyle w:val="Hyperlink"/>
            <w:noProof/>
          </w:rPr>
          <w:t>§ 4 Tätigkeit an Waldorfschulen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4" w:history="1">
        <w:r w:rsidR="00B33077" w:rsidRPr="00164DA3">
          <w:rPr>
            <w:rStyle w:val="Hyperlink"/>
            <w:noProof/>
          </w:rPr>
          <w:t>§ 5 Mischeinsatz</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5" w:history="1">
        <w:r w:rsidR="00B33077" w:rsidRPr="00164DA3">
          <w:rPr>
            <w:rStyle w:val="Hyperlink"/>
            <w:noProof/>
          </w:rPr>
          <w:t>§ 6 Aushilfsweise beschäftigte Religionslehrkräfte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6" w:history="1">
        <w:r w:rsidR="00B33077" w:rsidRPr="00164DA3">
          <w:rPr>
            <w:rStyle w:val="Hyperlink"/>
            <w:noProof/>
          </w:rPr>
          <w:t>§ 7 Mehrarbeit/zusätzliche Arbeit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7" w:history="1">
        <w:r w:rsidR="00B33077" w:rsidRPr="00164DA3">
          <w:rPr>
            <w:rStyle w:val="Hyperlink"/>
            <w:noProof/>
          </w:rPr>
          <w:t>§ 8 Zusätzliche Aufgaben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18" w:history="1">
        <w:r w:rsidR="00B33077" w:rsidRPr="00164DA3">
          <w:rPr>
            <w:rStyle w:val="Hyperlink"/>
            <w:noProof/>
          </w:rPr>
          <w:t xml:space="preserve">§ </w:t>
        </w:r>
        <w:r w:rsidR="00B33077" w:rsidRPr="00164DA3">
          <w:rPr>
            <w:rStyle w:val="Hyperlink"/>
            <w:noProof/>
            <w:lang w:eastAsia="x-none"/>
          </w:rPr>
          <w:t>9</w:t>
        </w:r>
        <w:r w:rsidR="00B33077" w:rsidRPr="00164DA3">
          <w:rPr>
            <w:rStyle w:val="Hyperlink"/>
            <w:noProof/>
          </w:rPr>
          <w:t xml:space="preserve"> Inkrafttreten</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19" w:history="1">
        <w:r w:rsidR="00B33077" w:rsidRPr="00164DA3">
          <w:rPr>
            <w:rStyle w:val="Hyperlink"/>
            <w:noProof/>
          </w:rPr>
          <w:t>A, 2.7. Vergütungsordnung für Religionslehrer gemäß Sonderregelung</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20" w:history="1">
        <w:r w:rsidR="00B33077" w:rsidRPr="00164DA3">
          <w:rPr>
            <w:rStyle w:val="Hyperlink"/>
            <w:noProof/>
          </w:rPr>
          <w:t>A, 2.8. Entgeltordnung für Mesnerinnen und Mesner</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21" w:history="1">
        <w:r w:rsidR="00B33077" w:rsidRPr="00164DA3">
          <w:rPr>
            <w:rStyle w:val="Hyperlink"/>
            <w:noProof/>
          </w:rPr>
          <w:t>§ 1 Eingruppierung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22" w:history="1">
        <w:r w:rsidR="00B33077" w:rsidRPr="00164DA3">
          <w:rPr>
            <w:rStyle w:val="Hyperlink"/>
            <w:noProof/>
          </w:rPr>
          <w:t>§ 2 Ausgleich für Sonderformen der Arbeit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23" w:history="1">
        <w:r w:rsidR="00B33077" w:rsidRPr="00164DA3">
          <w:rPr>
            <w:rStyle w:val="Hyperlink"/>
            <w:noProof/>
          </w:rPr>
          <w:t>§ 3 Übergangsregelungen</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24" w:history="1">
        <w:r w:rsidR="00B33077" w:rsidRPr="00164DA3">
          <w:rPr>
            <w:rStyle w:val="Hyperlink"/>
            <w:noProof/>
          </w:rPr>
          <w:t>A, 2.9. Entgeltordnung für Kirchenmusikerinnen und Kirchenmusiker</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25" w:history="1">
        <w:r w:rsidR="00B33077" w:rsidRPr="00164DA3">
          <w:rPr>
            <w:rStyle w:val="Hyperlink"/>
            <w:noProof/>
          </w:rPr>
          <w:t>§ 1 Eingruppierung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26" w:history="1">
        <w:r w:rsidR="00B33077" w:rsidRPr="00164DA3">
          <w:rPr>
            <w:rStyle w:val="Hyperlink"/>
            <w:noProof/>
          </w:rPr>
          <w:t>§ 2 Ausgleich für Sonderformen der Arbeit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27" w:history="1">
        <w:r w:rsidR="00B33077" w:rsidRPr="00164DA3">
          <w:rPr>
            <w:rStyle w:val="Hyperlink"/>
            <w:noProof/>
          </w:rPr>
          <w:t>§ 3 Entgelt bei Teilzeitbeschäftigung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28" w:history="1">
        <w:r w:rsidR="00B33077" w:rsidRPr="00164DA3">
          <w:rPr>
            <w:rStyle w:val="Hyperlink"/>
            <w:noProof/>
          </w:rPr>
          <w:t>§ 4 Übergangregelungen</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29" w:history="1">
        <w:r w:rsidR="00B33077" w:rsidRPr="00164DA3">
          <w:rPr>
            <w:rStyle w:val="Hyperlink"/>
            <w:noProof/>
          </w:rPr>
          <w:t xml:space="preserve">A, 2.10. </w:t>
        </w:r>
        <w:r w:rsidR="00B33077" w:rsidRPr="00164DA3">
          <w:rPr>
            <w:rStyle w:val="Hyperlink"/>
            <w:noProof/>
            <w:lang w:eastAsia="x-none"/>
          </w:rPr>
          <w:t>Entgelt</w:t>
        </w:r>
        <w:r w:rsidR="00B33077" w:rsidRPr="00164DA3">
          <w:rPr>
            <w:rStyle w:val="Hyperlink"/>
            <w:noProof/>
          </w:rPr>
          <w:t xml:space="preserve">ordnung für Beschäftigte in der </w:t>
        </w:r>
        <w:r w:rsidR="00B33077" w:rsidRPr="00164DA3">
          <w:rPr>
            <w:rStyle w:val="Hyperlink"/>
            <w:noProof/>
            <w:lang w:eastAsia="x-none"/>
          </w:rPr>
          <w:t xml:space="preserve">kirchlichen </w:t>
        </w:r>
        <w:r w:rsidR="00B33077" w:rsidRPr="00164DA3">
          <w:rPr>
            <w:rStyle w:val="Hyperlink"/>
            <w:noProof/>
          </w:rPr>
          <w:t xml:space="preserve">Verbands- und/oder Bildungsarbeit für </w:t>
        </w:r>
        <w:r w:rsidR="00B33077" w:rsidRPr="00164DA3">
          <w:rPr>
            <w:rStyle w:val="Hyperlink"/>
            <w:noProof/>
            <w:lang w:eastAsia="x-none"/>
          </w:rPr>
          <w:t xml:space="preserve">Jugendliche und für </w:t>
        </w:r>
        <w:r w:rsidR="00B33077" w:rsidRPr="00164DA3">
          <w:rPr>
            <w:rStyle w:val="Hyperlink"/>
            <w:noProof/>
          </w:rPr>
          <w:t>Erwachsene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30" w:history="1">
        <w:r w:rsidR="00B33077" w:rsidRPr="00164DA3">
          <w:rPr>
            <w:rStyle w:val="Hyperlink"/>
            <w:noProof/>
          </w:rPr>
          <w:t>§ 1 Beschäftigte in der kirchlichen Verbands- und/oder Bildungsarbeit für</w:t>
        </w:r>
        <w:r w:rsidR="00B33077" w:rsidRPr="00164DA3">
          <w:rPr>
            <w:rStyle w:val="Hyperlink"/>
            <w:noProof/>
            <w:lang w:eastAsia="x-none"/>
          </w:rPr>
          <w:t xml:space="preserve"> Jugendliche und für</w:t>
        </w:r>
        <w:r w:rsidR="00B33077" w:rsidRPr="00164DA3">
          <w:rPr>
            <w:rStyle w:val="Hyperlink"/>
            <w:noProof/>
          </w:rPr>
          <w:t xml:space="preserve"> Erwachsene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31" w:history="1">
        <w:r w:rsidR="00B33077" w:rsidRPr="00164DA3">
          <w:rPr>
            <w:rStyle w:val="Hyperlink"/>
            <w:noProof/>
          </w:rPr>
          <w:t>§ 2 Eingruppierung</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132" w:history="1">
        <w:r w:rsidR="00B33077" w:rsidRPr="00164DA3">
          <w:rPr>
            <w:rStyle w:val="Hyperlink"/>
          </w:rPr>
          <w:t>Entgeltgruppe 9b</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133" w:history="1">
        <w:r w:rsidR="00B33077" w:rsidRPr="00164DA3">
          <w:rPr>
            <w:rStyle w:val="Hyperlink"/>
          </w:rPr>
          <w:t>Entgeltgruppe 10</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34" w:history="1">
        <w:r w:rsidR="00B33077" w:rsidRPr="00164DA3">
          <w:rPr>
            <w:rStyle w:val="Hyperlink"/>
            <w:noProof/>
          </w:rPr>
          <w:t>A, 2.11. Vergütungsordnung für Beschäftigte in der Verbands- und/ oder Bildungsarbeit für Jugendliche</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35" w:history="1">
        <w:r w:rsidR="00B33077" w:rsidRPr="00164DA3">
          <w:rPr>
            <w:rStyle w:val="Hyperlink"/>
            <w:noProof/>
          </w:rPr>
          <w:t>A, 2.12. Entgeltordnung für Beschäftigte im Pfarrbüro*</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36" w:history="1">
        <w:r w:rsidR="00B33077" w:rsidRPr="00164DA3">
          <w:rPr>
            <w:rStyle w:val="Hyperlink"/>
            <w:noProof/>
          </w:rPr>
          <w:t>Entgeltgruppe 2</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37" w:history="1">
        <w:r w:rsidR="00B33077" w:rsidRPr="00164DA3">
          <w:rPr>
            <w:rStyle w:val="Hyperlink"/>
            <w:noProof/>
          </w:rPr>
          <w:t xml:space="preserve">Entgeltgruppe </w:t>
        </w:r>
        <w:r w:rsidR="00B33077" w:rsidRPr="00164DA3">
          <w:rPr>
            <w:rStyle w:val="Hyperlink"/>
            <w:noProof/>
            <w:lang w:eastAsia="x-none"/>
          </w:rPr>
          <w:t>3</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38" w:history="1">
        <w:r w:rsidR="00B33077" w:rsidRPr="00164DA3">
          <w:rPr>
            <w:rStyle w:val="Hyperlink"/>
            <w:noProof/>
          </w:rPr>
          <w:t>Entgeltgruppe 4</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39" w:history="1">
        <w:r w:rsidR="00B33077" w:rsidRPr="00164DA3">
          <w:rPr>
            <w:rStyle w:val="Hyperlink"/>
            <w:noProof/>
          </w:rPr>
          <w:t>Entgeltgruppe 5</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40" w:history="1">
        <w:r w:rsidR="00B33077" w:rsidRPr="00164DA3">
          <w:rPr>
            <w:rStyle w:val="Hyperlink"/>
            <w:noProof/>
          </w:rPr>
          <w:t>Entgeltgruppe 6</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41" w:history="1">
        <w:r w:rsidR="00B33077" w:rsidRPr="00164DA3">
          <w:rPr>
            <w:rStyle w:val="Hyperlink"/>
            <w:noProof/>
          </w:rPr>
          <w:t>Entgeltgruppe 7</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42" w:history="1">
        <w:r w:rsidR="00B33077" w:rsidRPr="00164DA3">
          <w:rPr>
            <w:rStyle w:val="Hyperlink"/>
            <w:noProof/>
          </w:rPr>
          <w:t>Entgeltgruppe 8</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43" w:history="1">
        <w:r w:rsidR="00B33077" w:rsidRPr="00164DA3">
          <w:rPr>
            <w:rStyle w:val="Hyperlink"/>
            <w:noProof/>
          </w:rPr>
          <w:t>Entgeltgruppe 9a</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44" w:history="1">
        <w:r w:rsidR="00B33077" w:rsidRPr="00164DA3">
          <w:rPr>
            <w:rStyle w:val="Hyperlink"/>
            <w:noProof/>
          </w:rPr>
          <w:t>A, 2.13. Regelung über das Lohngruppenverzeichnis zum ABD</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45" w:history="1">
        <w:r w:rsidR="00B33077" w:rsidRPr="00164DA3">
          <w:rPr>
            <w:rStyle w:val="Hyperlink"/>
            <w:noProof/>
          </w:rPr>
          <w:t>§ 1 Lohngruppen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46" w:history="1">
        <w:r w:rsidR="00B33077" w:rsidRPr="00164DA3">
          <w:rPr>
            <w:rStyle w:val="Hyperlink"/>
            <w:noProof/>
          </w:rPr>
          <w:t>§ 2 Einreihung in die Lohngruppen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47" w:history="1">
        <w:r w:rsidR="00B33077" w:rsidRPr="00164DA3">
          <w:rPr>
            <w:rStyle w:val="Hyperlink"/>
            <w:noProof/>
          </w:rPr>
          <w:t>§ 3 Vorarbeiter</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48" w:history="1">
        <w:r w:rsidR="00B33077" w:rsidRPr="00164DA3">
          <w:rPr>
            <w:rStyle w:val="Hyperlink"/>
            <w:noProof/>
          </w:rPr>
          <w:t>A, 2.14. Lohngruppenverzeichnis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49" w:history="1">
        <w:r w:rsidR="00B33077" w:rsidRPr="00164DA3">
          <w:rPr>
            <w:rStyle w:val="Hyperlink"/>
            <w:noProof/>
          </w:rPr>
          <w:t>Vorbemerkungen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0" w:history="1">
        <w:r w:rsidR="00B33077" w:rsidRPr="00164DA3">
          <w:rPr>
            <w:rStyle w:val="Hyperlink"/>
            <w:noProof/>
          </w:rPr>
          <w:t>Lohngruppe 1</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1" w:history="1">
        <w:r w:rsidR="00B33077" w:rsidRPr="00164DA3">
          <w:rPr>
            <w:rStyle w:val="Hyperlink"/>
            <w:noProof/>
          </w:rPr>
          <w:t>Lohngruppe 1 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2" w:history="1">
        <w:r w:rsidR="00B33077" w:rsidRPr="00164DA3">
          <w:rPr>
            <w:rStyle w:val="Hyperlink"/>
            <w:noProof/>
          </w:rPr>
          <w:t>Lohngruppe 2</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3" w:history="1">
        <w:r w:rsidR="00B33077" w:rsidRPr="00164DA3">
          <w:rPr>
            <w:rStyle w:val="Hyperlink"/>
            <w:noProof/>
          </w:rPr>
          <w:t>Lohngruppe 2 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4" w:history="1">
        <w:r w:rsidR="00B33077" w:rsidRPr="00164DA3">
          <w:rPr>
            <w:rStyle w:val="Hyperlink"/>
            <w:noProof/>
          </w:rPr>
          <w:t>Lohngruppe 3</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5" w:history="1">
        <w:r w:rsidR="00B33077" w:rsidRPr="00164DA3">
          <w:rPr>
            <w:rStyle w:val="Hyperlink"/>
            <w:noProof/>
          </w:rPr>
          <w:t>Lohngruppe 3 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6" w:history="1">
        <w:r w:rsidR="00B33077" w:rsidRPr="00164DA3">
          <w:rPr>
            <w:rStyle w:val="Hyperlink"/>
            <w:noProof/>
          </w:rPr>
          <w:t>Lohngruppe 4</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7" w:history="1">
        <w:r w:rsidR="00B33077" w:rsidRPr="00164DA3">
          <w:rPr>
            <w:rStyle w:val="Hyperlink"/>
            <w:noProof/>
          </w:rPr>
          <w:t>Lohngruppe 4 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8" w:history="1">
        <w:r w:rsidR="00B33077" w:rsidRPr="00164DA3">
          <w:rPr>
            <w:rStyle w:val="Hyperlink"/>
            <w:noProof/>
          </w:rPr>
          <w:t>Lohngruppe 5</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59" w:history="1">
        <w:r w:rsidR="00B33077" w:rsidRPr="00164DA3">
          <w:rPr>
            <w:rStyle w:val="Hyperlink"/>
            <w:noProof/>
          </w:rPr>
          <w:t>Lohngruppe 5 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0" w:history="1">
        <w:r w:rsidR="00B33077" w:rsidRPr="00164DA3">
          <w:rPr>
            <w:rStyle w:val="Hyperlink"/>
            <w:noProof/>
          </w:rPr>
          <w:t>Lohngruppe 6</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1" w:history="1">
        <w:r w:rsidR="00B33077" w:rsidRPr="00164DA3">
          <w:rPr>
            <w:rStyle w:val="Hyperlink"/>
            <w:noProof/>
          </w:rPr>
          <w:t>Lohngruppe 6 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2" w:history="1">
        <w:r w:rsidR="00B33077" w:rsidRPr="00164DA3">
          <w:rPr>
            <w:rStyle w:val="Hyperlink"/>
            <w:noProof/>
          </w:rPr>
          <w:t>Lohngruppe 7</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3" w:history="1">
        <w:r w:rsidR="00B33077" w:rsidRPr="00164DA3">
          <w:rPr>
            <w:rStyle w:val="Hyperlink"/>
            <w:noProof/>
          </w:rPr>
          <w:t>Lohngruppe 7 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4" w:history="1">
        <w:r w:rsidR="00B33077" w:rsidRPr="00164DA3">
          <w:rPr>
            <w:rStyle w:val="Hyperlink"/>
            <w:noProof/>
          </w:rPr>
          <w:t>Lohngruppe 8</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5" w:history="1">
        <w:r w:rsidR="00B33077" w:rsidRPr="00164DA3">
          <w:rPr>
            <w:rStyle w:val="Hyperlink"/>
            <w:noProof/>
          </w:rPr>
          <w:t>Lohngruppe 8 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6" w:history="1">
        <w:r w:rsidR="00B33077" w:rsidRPr="00164DA3">
          <w:rPr>
            <w:rStyle w:val="Hyperlink"/>
            <w:noProof/>
          </w:rPr>
          <w:t>Lohngruppe 9</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67" w:history="1">
        <w:r w:rsidR="00B33077" w:rsidRPr="00164DA3">
          <w:rPr>
            <w:rStyle w:val="Hyperlink"/>
            <w:noProof/>
          </w:rPr>
          <w:t>A, 2.15. Entgeltordnung für Pfarrhelferinnen und Pfarrhelfer</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8" w:history="1">
        <w:r w:rsidR="00B33077" w:rsidRPr="00164DA3">
          <w:rPr>
            <w:rStyle w:val="Hyperlink"/>
            <w:noProof/>
          </w:rPr>
          <w:t>§ 1 Grundlagen des Entgelts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69" w:history="1">
        <w:r w:rsidR="00B33077" w:rsidRPr="00164DA3">
          <w:rPr>
            <w:rStyle w:val="Hyperlink"/>
            <w:noProof/>
          </w:rPr>
          <w:t>§ 2 Ausgleich für Sonderformen der Arbeit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70" w:history="1">
        <w:r w:rsidR="00B33077" w:rsidRPr="00164DA3">
          <w:rPr>
            <w:rStyle w:val="Hyperlink"/>
            <w:noProof/>
          </w:rPr>
          <w:t>§ 3 Entgelt bei Teilzeitbeschäftigung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71" w:history="1">
        <w:r w:rsidR="00B33077" w:rsidRPr="00164DA3">
          <w:rPr>
            <w:rStyle w:val="Hyperlink"/>
            <w:noProof/>
          </w:rPr>
          <w:t>§ 4 Übergangsregelungen</w:t>
        </w:r>
      </w:hyperlink>
    </w:p>
    <w:p w:rsidR="00B33077" w:rsidRDefault="00C23DFA" w:rsidP="00FB68F3">
      <w:pPr>
        <w:pStyle w:val="Verzeichnis4"/>
        <w:spacing w:before="60"/>
        <w:divId w:val="500198663"/>
        <w:rPr>
          <w:rFonts w:asciiTheme="minorHAnsi" w:eastAsiaTheme="minorEastAsia" w:hAnsiTheme="minorHAnsi" w:cstheme="minorBidi"/>
          <w:noProof/>
          <w:sz w:val="22"/>
          <w:szCs w:val="22"/>
        </w:rPr>
      </w:pPr>
      <w:hyperlink w:anchor="_Toc523926172" w:history="1">
        <w:r w:rsidR="00B33077" w:rsidRPr="00164DA3">
          <w:rPr>
            <w:rStyle w:val="Hyperlink"/>
            <w:noProof/>
          </w:rPr>
          <w:t>A, 3. Regelung zur Überleitung der Beschäftigten und des Übergangsrechts (RÜÜ)</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73" w:history="1">
        <w:r w:rsidR="00B33077" w:rsidRPr="00164DA3">
          <w:rPr>
            <w:rStyle w:val="Hyperlink"/>
            <w:noProof/>
          </w:rPr>
          <w:t>Abschnitt I: Allgemeine Vorschriften (§§ 1-2)</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74" w:history="1">
        <w:r w:rsidR="00B33077" w:rsidRPr="00164DA3">
          <w:rPr>
            <w:rStyle w:val="Hyperlink"/>
            <w:noProof/>
          </w:rPr>
          <w:t>§ 1 Geltungsbereich</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75" w:history="1">
        <w:r w:rsidR="00B33077" w:rsidRPr="00164DA3">
          <w:rPr>
            <w:rStyle w:val="Hyperlink"/>
            <w:noProof/>
          </w:rPr>
          <w:t xml:space="preserve">§ 2 </w:t>
        </w:r>
        <w:r w:rsidR="00B33077" w:rsidRPr="00164DA3">
          <w:rPr>
            <w:rStyle w:val="Hyperlink"/>
            <w:i/>
            <w:noProof/>
          </w:rPr>
          <w:t>(frei)</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76" w:history="1">
        <w:r w:rsidR="00B33077" w:rsidRPr="00164DA3">
          <w:rPr>
            <w:rStyle w:val="Hyperlink"/>
            <w:noProof/>
          </w:rPr>
          <w:t>Abschnitt II: Überleitungsregelungen (§§ 3-7)</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77" w:history="1">
        <w:r w:rsidR="00B33077" w:rsidRPr="00164DA3">
          <w:rPr>
            <w:rStyle w:val="Hyperlink"/>
            <w:noProof/>
          </w:rPr>
          <w:t>§ 3 Überleitung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78" w:history="1">
        <w:r w:rsidR="00B33077" w:rsidRPr="00164DA3">
          <w:rPr>
            <w:rStyle w:val="Hyperlink"/>
            <w:noProof/>
          </w:rPr>
          <w:t>§ 4 Zuordnung der Vergütungs- und Lohngruppen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79" w:history="1">
        <w:r w:rsidR="00B33077" w:rsidRPr="00164DA3">
          <w:rPr>
            <w:rStyle w:val="Hyperlink"/>
            <w:noProof/>
          </w:rPr>
          <w:t>§ 5 Vergleichsentgelt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0" w:history="1">
        <w:r w:rsidR="00B33077" w:rsidRPr="00164DA3">
          <w:rPr>
            <w:rStyle w:val="Hyperlink"/>
            <w:noProof/>
          </w:rPr>
          <w:t>§ 6 Stufenzuordnung der Angestellten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1" w:history="1">
        <w:r w:rsidR="00B33077" w:rsidRPr="00164DA3">
          <w:rPr>
            <w:rStyle w:val="Hyperlink"/>
            <w:noProof/>
          </w:rPr>
          <w:t>§ 7 Stufenzuordnung der Arbeiterinnen und Arbeiter</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82" w:history="1">
        <w:r w:rsidR="00B33077" w:rsidRPr="00164DA3">
          <w:rPr>
            <w:rStyle w:val="Hyperlink"/>
            <w:noProof/>
          </w:rPr>
          <w:t>Abschnitt III: Besitzstandsregelungen (§§ 8-16a)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3" w:history="1">
        <w:r w:rsidR="00B33077" w:rsidRPr="00164DA3">
          <w:rPr>
            <w:rStyle w:val="Hyperlink"/>
            <w:noProof/>
          </w:rPr>
          <w:t>§ 8 Bewährungs- und Fallgruppenaufstiege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4" w:history="1">
        <w:r w:rsidR="00B33077" w:rsidRPr="00164DA3">
          <w:rPr>
            <w:rStyle w:val="Hyperlink"/>
            <w:noProof/>
          </w:rPr>
          <w:t>§ 8a Mehrfachaufstiege bei kirchenspezifischen Berufen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5" w:history="1">
        <w:r w:rsidR="00B33077" w:rsidRPr="00164DA3">
          <w:rPr>
            <w:rStyle w:val="Hyperlink"/>
            <w:noProof/>
          </w:rPr>
          <w:t>§ 9 Vergütungsgruppenzulagen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6" w:history="1">
        <w:r w:rsidR="00B33077" w:rsidRPr="00164DA3">
          <w:rPr>
            <w:rStyle w:val="Hyperlink"/>
            <w:noProof/>
          </w:rPr>
          <w:t>§ 10 Fortführung vorübergehend übertragener höherwertiger Tätigkeit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7" w:history="1">
        <w:r w:rsidR="00B33077" w:rsidRPr="00164DA3">
          <w:rPr>
            <w:rStyle w:val="Hyperlink"/>
            <w:noProof/>
          </w:rPr>
          <w:t>§ 11 Kinderbezogene Entgeltbestandteile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8" w:history="1">
        <w:r w:rsidR="00B33077" w:rsidRPr="00164DA3">
          <w:rPr>
            <w:rStyle w:val="Hyperlink"/>
            <w:noProof/>
          </w:rPr>
          <w:t>§ 12 Strukturausgleich</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89" w:history="1">
        <w:r w:rsidR="00B33077" w:rsidRPr="00164DA3">
          <w:rPr>
            <w:rStyle w:val="Hyperlink"/>
            <w:noProof/>
          </w:rPr>
          <w:t>§ 13 Entgeltfortzahlung im Krankheitsfall</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0" w:history="1">
        <w:r w:rsidR="00B33077" w:rsidRPr="00164DA3">
          <w:rPr>
            <w:rStyle w:val="Hyperlink"/>
            <w:noProof/>
          </w:rPr>
          <w:t>§ 14 Beschäftigungszeit</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1" w:history="1">
        <w:r w:rsidR="00B33077" w:rsidRPr="00164DA3">
          <w:rPr>
            <w:rStyle w:val="Hyperlink"/>
            <w:noProof/>
          </w:rPr>
          <w:t>§ 15 Urlaub</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2" w:history="1">
        <w:r w:rsidR="00B33077" w:rsidRPr="00164DA3">
          <w:rPr>
            <w:rStyle w:val="Hyperlink"/>
            <w:noProof/>
          </w:rPr>
          <w:t>§ 16 Abgeltung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3" w:history="1">
        <w:r w:rsidR="00B33077" w:rsidRPr="00164DA3">
          <w:rPr>
            <w:rStyle w:val="Hyperlink"/>
            <w:noProof/>
          </w:rPr>
          <w:t>§ 16a Leistungsgeminderte Beschäftigte</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194" w:history="1">
        <w:r w:rsidR="00B33077" w:rsidRPr="00164DA3">
          <w:rPr>
            <w:rStyle w:val="Hyperlink"/>
            <w:noProof/>
          </w:rPr>
          <w:t>Abschnitt IV: Sonstige abweichende oder ergänzende Bestimmungen (§§ 17-24)</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5" w:history="1">
        <w:r w:rsidR="00B33077" w:rsidRPr="00164DA3">
          <w:rPr>
            <w:rStyle w:val="Hyperlink"/>
            <w:noProof/>
          </w:rPr>
          <w:t>§ 17 Eingruppierung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6" w:history="1">
        <w:r w:rsidR="00B33077" w:rsidRPr="00164DA3">
          <w:rPr>
            <w:rStyle w:val="Hyperlink"/>
            <w:noProof/>
          </w:rPr>
          <w:t>§ 17a Sonderregelung bei Wechsel des Arbeitgebers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7" w:history="1">
        <w:r w:rsidR="00B33077" w:rsidRPr="00164DA3">
          <w:rPr>
            <w:rStyle w:val="Hyperlink"/>
            <w:noProof/>
          </w:rPr>
          <w:t>§ 17b Sonderregelungen zu kinderbezogenen Entgeltbestandteilen bei Wechsel des Arbeitgebers</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8" w:history="1">
        <w:r w:rsidR="00B33077" w:rsidRPr="00164DA3">
          <w:rPr>
            <w:rStyle w:val="Hyperlink"/>
            <w:noProof/>
          </w:rPr>
          <w:t>§ 18 Vorübergehende Übertragung einer höherwertigen Tätigkeit nach dem 30. September 2005</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199" w:history="1">
        <w:r w:rsidR="00B33077" w:rsidRPr="00164DA3">
          <w:rPr>
            <w:rStyle w:val="Hyperlink"/>
            <w:noProof/>
          </w:rPr>
          <w:t>§ 19 Entgeltgruppe 2 Ü und 15 Ü</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00" w:history="1">
        <w:r w:rsidR="00B33077" w:rsidRPr="00164DA3">
          <w:rPr>
            <w:rStyle w:val="Hyperlink"/>
            <w:noProof/>
          </w:rPr>
          <w:t>§ 20 Jahressonderzahlung 2006</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01" w:history="1">
        <w:r w:rsidR="00B33077" w:rsidRPr="00164DA3">
          <w:rPr>
            <w:rStyle w:val="Hyperlink"/>
            <w:noProof/>
          </w:rPr>
          <w:t>§ 21 Abrechnung unständiger Bezügebestandteile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02" w:history="1">
        <w:r w:rsidR="00B33077" w:rsidRPr="00164DA3">
          <w:rPr>
            <w:rStyle w:val="Hyperlink"/>
            <w:noProof/>
          </w:rPr>
          <w:t>§ 22 Bereitschaftszeiten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03" w:history="1">
        <w:r w:rsidR="00B33077" w:rsidRPr="00164DA3">
          <w:rPr>
            <w:rStyle w:val="Hyperlink"/>
            <w:noProof/>
          </w:rPr>
          <w:t>§ 23 Sonderregelungen für besondere Berufsgruppen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04" w:history="1">
        <w:r w:rsidR="00B33077" w:rsidRPr="00164DA3">
          <w:rPr>
            <w:rStyle w:val="Hyperlink"/>
            <w:noProof/>
          </w:rPr>
          <w:t>§ 24 Einmalzahlungen für 2006 und 2007</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05" w:history="1">
        <w:r w:rsidR="00B33077" w:rsidRPr="00164DA3">
          <w:rPr>
            <w:rStyle w:val="Hyperlink"/>
            <w:noProof/>
          </w:rPr>
          <w:t>Abschnitt IVa: Besondere Regelungen für Beschäftigte im Sozial- und Erziehungsdienst (§ 24a-24b)</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06" w:history="1">
        <w:r w:rsidR="00B33077" w:rsidRPr="00164DA3">
          <w:rPr>
            <w:rStyle w:val="Hyperlink"/>
            <w:noProof/>
          </w:rPr>
          <w:t>§ 24a Überleitung der Beschäftigten in die Anlage F zum Teil A, 1. und weitere Regelungen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07" w:history="1">
        <w:r w:rsidR="00B33077" w:rsidRPr="00164DA3">
          <w:rPr>
            <w:rStyle w:val="Hyperlink"/>
            <w:noProof/>
          </w:rPr>
          <w:t>§ 24b Besondere Regelungen für am 30. Juni 2015</w:t>
        </w:r>
        <w:r w:rsidR="00B33077" w:rsidRPr="00164DA3">
          <w:rPr>
            <w:rStyle w:val="Hyperlink"/>
            <w:noProof/>
            <w:lang w:eastAsia="x-none"/>
          </w:rPr>
          <w:t xml:space="preserve"> </w:t>
        </w:r>
        <w:r w:rsidR="00B33077" w:rsidRPr="00164DA3">
          <w:rPr>
            <w:rStyle w:val="Hyperlink"/>
            <w:noProof/>
          </w:rPr>
          <w:t>nach dem Anhang zur Anlage F zum Teil A, 1.</w:t>
        </w:r>
        <w:r w:rsidR="00B33077" w:rsidRPr="00164DA3">
          <w:rPr>
            <w:rStyle w:val="Hyperlink"/>
            <w:noProof/>
            <w:vertAlign w:val="superscript"/>
            <w:lang w:eastAsia="x-none"/>
          </w:rPr>
          <w:t>1</w:t>
        </w:r>
        <w:r w:rsidR="00B33077" w:rsidRPr="00164DA3">
          <w:rPr>
            <w:rStyle w:val="Hyperlink"/>
            <w:noProof/>
          </w:rPr>
          <w:t xml:space="preserve"> eingruppierte Beschäftigte und weitere Regelungen</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08" w:history="1">
        <w:r w:rsidR="00B33077" w:rsidRPr="00164DA3">
          <w:rPr>
            <w:rStyle w:val="Hyperlink"/>
            <w:noProof/>
          </w:rPr>
          <w:t xml:space="preserve">Abschnitt IVb: Überleitung in die ab 01.01.2017 geltende Entgeltordnung </w:t>
        </w:r>
        <w:r w:rsidR="00B33077" w:rsidRPr="00164DA3">
          <w:rPr>
            <w:rStyle w:val="Hyperlink"/>
            <w:noProof/>
            <w:lang w:eastAsia="x-none"/>
          </w:rPr>
          <w:t>(§§ 25-29c)</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09" w:history="1">
        <w:r w:rsidR="00B33077" w:rsidRPr="00164DA3">
          <w:rPr>
            <w:rStyle w:val="Hyperlink"/>
            <w:noProof/>
          </w:rPr>
          <w:t xml:space="preserve">§§ 25 bis 28 </w:t>
        </w:r>
        <w:r w:rsidR="00B33077" w:rsidRPr="00164DA3">
          <w:rPr>
            <w:rStyle w:val="Hyperlink"/>
            <w:i/>
            <w:noProof/>
          </w:rPr>
          <w:t>(frei)</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0" w:history="1">
        <w:r w:rsidR="00B33077" w:rsidRPr="00164DA3">
          <w:rPr>
            <w:rStyle w:val="Hyperlink"/>
            <w:noProof/>
          </w:rPr>
          <w:t>§ 29</w:t>
        </w:r>
        <w:r w:rsidR="00B33077" w:rsidRPr="00164DA3">
          <w:rPr>
            <w:rStyle w:val="Hyperlink"/>
            <w:noProof/>
            <w:lang w:eastAsia="x-none"/>
          </w:rPr>
          <w:t xml:space="preserve"> </w:t>
        </w:r>
        <w:r w:rsidR="00B33077" w:rsidRPr="00164DA3">
          <w:rPr>
            <w:rStyle w:val="Hyperlink"/>
            <w:noProof/>
          </w:rPr>
          <w:t>Grundsatz</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1" w:history="1">
        <w:r w:rsidR="00B33077" w:rsidRPr="00164DA3">
          <w:rPr>
            <w:rStyle w:val="Hyperlink"/>
            <w:noProof/>
          </w:rPr>
          <w:t>§ 29a</w:t>
        </w:r>
        <w:r w:rsidR="00B33077" w:rsidRPr="00164DA3">
          <w:rPr>
            <w:rStyle w:val="Hyperlink"/>
            <w:noProof/>
            <w:lang w:eastAsia="x-none"/>
          </w:rPr>
          <w:t xml:space="preserve"> </w:t>
        </w:r>
        <w:r w:rsidR="00B33077" w:rsidRPr="00164DA3">
          <w:rPr>
            <w:rStyle w:val="Hyperlink"/>
            <w:noProof/>
          </w:rPr>
          <w:t>Besitzstandsregelungen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2" w:history="1">
        <w:r w:rsidR="00B33077" w:rsidRPr="00164DA3">
          <w:rPr>
            <w:rStyle w:val="Hyperlink"/>
            <w:noProof/>
          </w:rPr>
          <w:t>§ 29b</w:t>
        </w:r>
        <w:r w:rsidR="00B33077" w:rsidRPr="00164DA3">
          <w:rPr>
            <w:rStyle w:val="Hyperlink"/>
            <w:noProof/>
            <w:lang w:eastAsia="x-none"/>
          </w:rPr>
          <w:t xml:space="preserve"> </w:t>
        </w:r>
        <w:r w:rsidR="00B33077" w:rsidRPr="00164DA3">
          <w:rPr>
            <w:rStyle w:val="Hyperlink"/>
            <w:noProof/>
          </w:rPr>
          <w:t>Höhergruppierungen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3" w:history="1">
        <w:r w:rsidR="00B33077" w:rsidRPr="00164DA3">
          <w:rPr>
            <w:rStyle w:val="Hyperlink"/>
            <w:noProof/>
          </w:rPr>
          <w:t>§ 29c</w:t>
        </w:r>
        <w:r w:rsidR="00B33077" w:rsidRPr="00164DA3">
          <w:rPr>
            <w:rStyle w:val="Hyperlink"/>
            <w:noProof/>
            <w:lang w:eastAsia="x-none"/>
          </w:rPr>
          <w:t xml:space="preserve"> </w:t>
        </w:r>
        <w:r w:rsidR="00B33077" w:rsidRPr="00164DA3">
          <w:rPr>
            <w:rStyle w:val="Hyperlink"/>
            <w:noProof/>
          </w:rPr>
          <w:t>Besondere Überleitungsregelungen</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14" w:history="1">
        <w:r w:rsidR="00B33077" w:rsidRPr="00164DA3">
          <w:rPr>
            <w:rStyle w:val="Hyperlink"/>
            <w:noProof/>
          </w:rPr>
          <w:t>Abschnitt V: Anhänge und Anlagen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5" w:history="1">
        <w:r w:rsidR="00B33077" w:rsidRPr="00164DA3">
          <w:rPr>
            <w:rStyle w:val="Hyperlink"/>
            <w:noProof/>
          </w:rPr>
          <w:t>Anhang zu §</w:t>
        </w:r>
        <w:r w:rsidR="00B33077" w:rsidRPr="00164DA3">
          <w:rPr>
            <w:rStyle w:val="Hyperlink"/>
            <w:noProof/>
            <w:lang w:eastAsia="x-none"/>
          </w:rPr>
          <w:t xml:space="preserve"> </w:t>
        </w:r>
        <w:r w:rsidR="00B33077" w:rsidRPr="00164DA3">
          <w:rPr>
            <w:rStyle w:val="Hyperlink"/>
            <w:noProof/>
          </w:rPr>
          <w:t>16a</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6" w:history="1">
        <w:r w:rsidR="00B33077" w:rsidRPr="00164DA3">
          <w:rPr>
            <w:rStyle w:val="Hyperlink"/>
            <w:noProof/>
          </w:rPr>
          <w:t>Anlage 1: ABD Teil A, 1. Abschnitt I bis VI in der bis zum 30.09.2005 geltenden Fassung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7" w:history="1">
        <w:r w:rsidR="00B33077" w:rsidRPr="00164DA3">
          <w:rPr>
            <w:rStyle w:val="Hyperlink"/>
            <w:noProof/>
          </w:rPr>
          <w:t>Anlage 1: ABD Teil A, 1. Abschnitt VII bis VIII in der bis zum 30.09.2005 geltenden Fassung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8" w:history="1">
        <w:r w:rsidR="00B33077" w:rsidRPr="00164DA3">
          <w:rPr>
            <w:rStyle w:val="Hyperlink"/>
            <w:noProof/>
          </w:rPr>
          <w:t>Anlage 1: ABD Teil A, 1. Abschnitt IX bis XIV in der bis zum 30.09.2005 geltenden Fassung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19" w:history="1">
        <w:r w:rsidR="00B33077" w:rsidRPr="00164DA3">
          <w:rPr>
            <w:rStyle w:val="Hyperlink"/>
            <w:noProof/>
          </w:rPr>
          <w:t>Anlage 1: ABD Teil A, 1. Abschnitt XV in der bis zum 30.09.2005 geltenden Fassung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0" w:history="1">
        <w:r w:rsidR="00B33077" w:rsidRPr="00164DA3">
          <w:rPr>
            <w:rStyle w:val="Hyperlink"/>
            <w:noProof/>
          </w:rPr>
          <w:t>Anlage 2: Zuordnung der Vergütungs- und Lohngruppen zu den Entgeltgruppen für am 30. September/1. Oktober 2005 vorhandene Beschäftigte für die Überleitung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1" w:history="1">
        <w:r w:rsidR="00B33077" w:rsidRPr="00164DA3">
          <w:rPr>
            <w:rStyle w:val="Hyperlink"/>
            <w:noProof/>
          </w:rPr>
          <w:t>Anlage 2 A: Zuordnung der Vergütungs- und Lohngruppen zu den Entgeltgruppen für am 30. September/1. Oktober 2005 vorhandene Beschäftigte für die Überleitung (pädagogisches Personal in Kindertageseinrichtungen)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2" w:history="1">
        <w:r w:rsidR="00B33077" w:rsidRPr="00164DA3">
          <w:rPr>
            <w:rStyle w:val="Hyperlink"/>
            <w:noProof/>
          </w:rPr>
          <w:t>Anlage 2 K: Zuordnung der Vergütungs- und Lohngruppen zu den Entgeltgruppen für am 30. September/1. Oktober 2005 vorhandene Beschäftigte für die Überleitung (kirchenspezifische Berufe)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3" w:history="1">
        <w:r w:rsidR="00B33077" w:rsidRPr="00164DA3">
          <w:rPr>
            <w:rStyle w:val="Hyperlink"/>
            <w:noProof/>
          </w:rPr>
          <w:t>Anlage 3: Strukturausgleiche für Angestellte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4" w:history="1">
        <w:r w:rsidR="00B33077" w:rsidRPr="00164DA3">
          <w:rPr>
            <w:rStyle w:val="Hyperlink"/>
            <w:noProof/>
          </w:rPr>
          <w:t>Anlage 3 A: Strukturausgleiche für Angestellte (pädagogisches Personal in Kindertageseinrichtungen)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5" w:history="1">
        <w:r w:rsidR="00B33077" w:rsidRPr="00164DA3">
          <w:rPr>
            <w:rStyle w:val="Hyperlink"/>
            <w:noProof/>
          </w:rPr>
          <w:t>Anlage 3 K: Strukturausgleiche für nach Anlage 2 K übergeleitete Beschäftigte (kirchenspezifische Berufe)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6" w:history="1">
        <w:r w:rsidR="00B33077" w:rsidRPr="00164DA3">
          <w:rPr>
            <w:rStyle w:val="Hyperlink"/>
            <w:noProof/>
          </w:rPr>
          <w:t>Anlage 4</w:t>
        </w:r>
        <w:r w:rsidR="00B33077" w:rsidRPr="00164DA3">
          <w:rPr>
            <w:rStyle w:val="Hyperlink"/>
            <w:noProof/>
            <w:lang w:eastAsia="x-none"/>
          </w:rPr>
          <w:t>:</w:t>
        </w:r>
        <w:r w:rsidR="00B33077" w:rsidRPr="00164DA3">
          <w:rPr>
            <w:rStyle w:val="Hyperlink"/>
            <w:noProof/>
          </w:rPr>
          <w:t xml:space="preserve"> Zuordnung der Lohngruppen zu den Entgeltgruppen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7" w:history="1">
        <w:r w:rsidR="00B33077" w:rsidRPr="00164DA3">
          <w:rPr>
            <w:rStyle w:val="Hyperlink"/>
            <w:noProof/>
          </w:rPr>
          <w:t>Anlage 4 A: Vorläufige Zuordnung der Vergütungs- und Lohngruppen zu den Entgeltgruppen für zwischen dem 01.10.2005 und dem In-Kraft-Treten der neuen Entgeltordnung stattfindende Eingruppierungs- und Einreihungsvorgänge (päd. Personal Kindertageseinrichtungen)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8" w:history="1">
        <w:r w:rsidR="00B33077" w:rsidRPr="00164DA3">
          <w:rPr>
            <w:rStyle w:val="Hyperlink"/>
            <w:noProof/>
          </w:rPr>
          <w:t>Anlage 4 K: Vorläufige Zuordnung der Vergütungs- und Lohngruppen zu den Entgeltgruppen für zwischen dem 1. Oktober 2005 und dem In-Kraft-Treten der neuen Entgeltordnung stattfindende Eingruppierungs- und Einreihungsvorgänge (kirchenspezifische Berufe)</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29" w:history="1">
        <w:r w:rsidR="00B33077" w:rsidRPr="00164DA3">
          <w:rPr>
            <w:rStyle w:val="Hyperlink"/>
            <w:noProof/>
          </w:rPr>
          <w:t>Anlage 5 zu § 23</w:t>
        </w:r>
      </w:hyperlink>
    </w:p>
    <w:p w:rsidR="00B33077" w:rsidRDefault="00C23DFA" w:rsidP="00FB68F3">
      <w:pPr>
        <w:pStyle w:val="Verzeichnis6"/>
        <w:divId w:val="500198663"/>
        <w:rPr>
          <w:rStyle w:val="Hyperlink"/>
          <w:noProof/>
        </w:rPr>
      </w:pPr>
      <w:hyperlink w:anchor="_Toc523926230" w:history="1">
        <w:r w:rsidR="00B33077" w:rsidRPr="00164DA3">
          <w:rPr>
            <w:rStyle w:val="Hyperlink"/>
            <w:noProof/>
          </w:rPr>
          <w:t>Feststellung der Bayerischen Regional-KODA:</w:t>
        </w:r>
      </w:hyperlink>
    </w:p>
    <w:p w:rsidR="004B73C6" w:rsidRDefault="004B73C6" w:rsidP="004B73C6">
      <w:pPr>
        <w:divId w:val="500198663"/>
        <w:rPr>
          <w:rFonts w:eastAsiaTheme="minorEastAsia"/>
        </w:rPr>
      </w:pPr>
      <w:r>
        <w:rPr>
          <w:rFonts w:eastAsiaTheme="minorEastAsia"/>
        </w:rPr>
        <w:br w:type="page"/>
      </w:r>
    </w:p>
    <w:p w:rsidR="004B73C6" w:rsidRPr="004B73C6" w:rsidRDefault="004B73C6" w:rsidP="004B73C6">
      <w:pPr>
        <w:divId w:val="500198663"/>
        <w:rPr>
          <w:rFonts w:eastAsiaTheme="minorEastAsia"/>
        </w:rPr>
      </w:pPr>
    </w:p>
    <w:p w:rsidR="00B33077" w:rsidRPr="00CC12D3" w:rsidRDefault="00C23DFA" w:rsidP="00CC12D3">
      <w:pPr>
        <w:pStyle w:val="Verzeichnis3"/>
        <w:divId w:val="500198663"/>
        <w:rPr>
          <w:rFonts w:asciiTheme="minorHAnsi" w:eastAsiaTheme="minorEastAsia" w:hAnsiTheme="minorHAnsi" w:cstheme="minorBidi"/>
          <w:sz w:val="22"/>
          <w:szCs w:val="22"/>
        </w:rPr>
      </w:pPr>
      <w:hyperlink w:anchor="_Toc523926231" w:history="1">
        <w:r w:rsidR="00B33077" w:rsidRPr="00CC12D3">
          <w:rPr>
            <w:rStyle w:val="Hyperlink"/>
            <w:b w:val="0"/>
          </w:rPr>
          <w:t>Teil B: Sonderregelungen</w:t>
        </w:r>
      </w:hyperlink>
    </w:p>
    <w:p w:rsidR="00B33077" w:rsidRDefault="00C23DFA" w:rsidP="00FB68F3">
      <w:pPr>
        <w:pStyle w:val="Verzeichnis4"/>
        <w:spacing w:before="60"/>
        <w:divId w:val="500198663"/>
        <w:rPr>
          <w:rFonts w:asciiTheme="minorHAnsi" w:eastAsiaTheme="minorEastAsia" w:hAnsiTheme="minorHAnsi" w:cstheme="minorBidi"/>
          <w:noProof/>
          <w:sz w:val="22"/>
          <w:szCs w:val="22"/>
        </w:rPr>
      </w:pPr>
      <w:hyperlink w:anchor="_Toc523926232" w:history="1">
        <w:r w:rsidR="00B33077" w:rsidRPr="00164DA3">
          <w:rPr>
            <w:rStyle w:val="Hyperlink"/>
            <w:noProof/>
          </w:rPr>
          <w:t>B, 1. Beschäftigte im forstlichen Außendienst</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33" w:history="1">
        <w:r w:rsidR="00B33077" w:rsidRPr="00164DA3">
          <w:rPr>
            <w:rStyle w:val="Hyperlink"/>
            <w:noProof/>
          </w:rPr>
          <w:t>Nr. 1</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34" w:history="1">
        <w:r w:rsidR="00B33077" w:rsidRPr="00164DA3">
          <w:rPr>
            <w:rStyle w:val="Hyperlink"/>
            <w:noProof/>
          </w:rPr>
          <w:t>Zu § 1 Teil A, 1. - Allgemeiner Geltungsbereich -</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35" w:history="1">
        <w:r w:rsidR="00B33077" w:rsidRPr="00164DA3">
          <w:rPr>
            <w:rStyle w:val="Hyperlink"/>
            <w:noProof/>
          </w:rPr>
          <w:t>Nr. 2</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36" w:history="1">
        <w:r w:rsidR="00B33077" w:rsidRPr="00164DA3">
          <w:rPr>
            <w:rStyle w:val="Hyperlink"/>
            <w:noProof/>
          </w:rPr>
          <w:t>Zu § 6 Teil A, 1. - Arbeitszeit -</w:t>
        </w:r>
      </w:hyperlink>
    </w:p>
    <w:p w:rsidR="00B33077" w:rsidRDefault="00C23DFA" w:rsidP="00FB68F3">
      <w:pPr>
        <w:pStyle w:val="Verzeichnis4"/>
        <w:spacing w:before="60"/>
        <w:divId w:val="500198663"/>
        <w:rPr>
          <w:rFonts w:asciiTheme="minorHAnsi" w:eastAsiaTheme="minorEastAsia" w:hAnsiTheme="minorHAnsi" w:cstheme="minorBidi"/>
          <w:noProof/>
          <w:sz w:val="22"/>
          <w:szCs w:val="22"/>
        </w:rPr>
      </w:pPr>
      <w:hyperlink w:anchor="_Toc523926237" w:history="1">
        <w:r w:rsidR="00B33077" w:rsidRPr="00164DA3">
          <w:rPr>
            <w:rStyle w:val="Hyperlink"/>
            <w:noProof/>
          </w:rPr>
          <w:t>B, 2. Arbeitsvertragsrechtliche Regelungen für kurzfristig Beschäftigte</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38" w:history="1">
        <w:r w:rsidR="00B33077" w:rsidRPr="00164DA3">
          <w:rPr>
            <w:rStyle w:val="Hyperlink"/>
            <w:noProof/>
          </w:rPr>
          <w:t>Nr. 1</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39" w:history="1">
        <w:r w:rsidR="00B33077" w:rsidRPr="00164DA3">
          <w:rPr>
            <w:rStyle w:val="Hyperlink"/>
            <w:noProof/>
          </w:rPr>
          <w:t>Zu § 1 Teil A, 1. - Allgemeiner Geltungsbereich -</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40" w:history="1">
        <w:r w:rsidR="00B33077" w:rsidRPr="00164DA3">
          <w:rPr>
            <w:rStyle w:val="Hyperlink"/>
            <w:noProof/>
          </w:rPr>
          <w:t>Nr. 2</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41" w:history="1">
        <w:r w:rsidR="00B33077" w:rsidRPr="00164DA3">
          <w:rPr>
            <w:rStyle w:val="Hyperlink"/>
            <w:noProof/>
          </w:rPr>
          <w:t>Zu § 2 Teil A, 1. - Arbeitsvertrag -</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42" w:history="1">
        <w:r w:rsidR="00B33077" w:rsidRPr="00164DA3">
          <w:rPr>
            <w:rStyle w:val="Hyperlink"/>
            <w:noProof/>
          </w:rPr>
          <w:t>Nr. 3</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43" w:history="1">
        <w:r w:rsidR="00B33077" w:rsidRPr="00164DA3">
          <w:rPr>
            <w:rStyle w:val="Hyperlink"/>
            <w:noProof/>
          </w:rPr>
          <w:t>Zu § 15 Teil A, 1. - Tabellenentgelt -</w:t>
        </w:r>
      </w:hyperlink>
    </w:p>
    <w:p w:rsidR="00B33077" w:rsidRDefault="00C23DFA" w:rsidP="00FB68F3">
      <w:pPr>
        <w:pStyle w:val="Verzeichnis4"/>
        <w:spacing w:before="60"/>
        <w:divId w:val="500198663"/>
        <w:rPr>
          <w:rFonts w:asciiTheme="minorHAnsi" w:eastAsiaTheme="minorEastAsia" w:hAnsiTheme="minorHAnsi" w:cstheme="minorBidi"/>
          <w:noProof/>
          <w:sz w:val="22"/>
          <w:szCs w:val="22"/>
        </w:rPr>
      </w:pPr>
      <w:hyperlink w:anchor="_Toc523926244" w:history="1">
        <w:r w:rsidR="00B33077" w:rsidRPr="00164DA3">
          <w:rPr>
            <w:rStyle w:val="Hyperlink"/>
            <w:noProof/>
          </w:rPr>
          <w:t>B, 3. Arbeitsvertragsrechtliche Regelungen für Renten- und Versorgungsempfänger</w:t>
        </w:r>
      </w:hyperlink>
    </w:p>
    <w:p w:rsidR="00B33077" w:rsidRDefault="00C23DFA" w:rsidP="00FB68F3">
      <w:pPr>
        <w:pStyle w:val="Verzeichnis4"/>
        <w:spacing w:before="60"/>
        <w:divId w:val="500198663"/>
        <w:rPr>
          <w:rFonts w:asciiTheme="minorHAnsi" w:eastAsiaTheme="minorEastAsia" w:hAnsiTheme="minorHAnsi" w:cstheme="minorBidi"/>
          <w:noProof/>
          <w:sz w:val="22"/>
          <w:szCs w:val="22"/>
        </w:rPr>
      </w:pPr>
      <w:hyperlink w:anchor="_Toc523926245" w:history="1">
        <w:r w:rsidR="00B33077" w:rsidRPr="00164DA3">
          <w:rPr>
            <w:rStyle w:val="Hyperlink"/>
            <w:noProof/>
          </w:rPr>
          <w:t>B, 4. Sonderregelungen für Beschäftigte als Lehrkräfte an Schulen in kirchlicher Trägerschaft</w:t>
        </w:r>
      </w:hyperlink>
    </w:p>
    <w:p w:rsidR="00B33077" w:rsidRDefault="00C23DFA" w:rsidP="00FB68F3">
      <w:pPr>
        <w:pStyle w:val="Verzeichnis5"/>
        <w:divId w:val="500198663"/>
        <w:rPr>
          <w:rFonts w:asciiTheme="minorHAnsi" w:eastAsiaTheme="minorEastAsia" w:hAnsiTheme="minorHAnsi" w:cstheme="minorBidi"/>
          <w:noProof/>
          <w:sz w:val="22"/>
          <w:szCs w:val="22"/>
        </w:rPr>
      </w:pPr>
      <w:hyperlink w:anchor="_Toc523926246" w:history="1">
        <w:r w:rsidR="00B33077" w:rsidRPr="00164DA3">
          <w:rPr>
            <w:rStyle w:val="Hyperlink"/>
            <w:noProof/>
          </w:rPr>
          <w:t>B, 4.1. Sonderregelungen für die Arbeitsverhältnisse arbeitsvertraglich beschäftigter Lehrkräfte an Schulen in kirchlicher Trägerschaft (SR-L)</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47" w:history="1">
        <w:r w:rsidR="00B33077" w:rsidRPr="00164DA3">
          <w:rPr>
            <w:rStyle w:val="Hyperlink"/>
            <w:noProof/>
          </w:rPr>
          <w:t>B, 4.1.1. Sonderregelungen für die Arbeitsverhältnisse von Lehrkräften an Realschulen und Gymnasien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48" w:history="1">
        <w:r w:rsidR="00B33077" w:rsidRPr="00164DA3">
          <w:rPr>
            <w:rStyle w:val="Hyperlink"/>
          </w:rPr>
          <w:t>Kapitel 1 - Sonderregelungen zu Teil A, 1.</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49" w:history="1">
        <w:r w:rsidR="00B33077" w:rsidRPr="00164DA3">
          <w:rPr>
            <w:rStyle w:val="Hyperlink"/>
          </w:rPr>
          <w:t>Kapitel 2 - Sonderregelungen zu Teil B, 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50" w:history="1">
        <w:r w:rsidR="00B33077" w:rsidRPr="00164DA3">
          <w:rPr>
            <w:rStyle w:val="Hyperlink"/>
          </w:rPr>
          <w:t>Kapitel 3 - Sonderregelungen zu Teil D,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51" w:history="1">
        <w:r w:rsidR="00B33077" w:rsidRPr="00164DA3">
          <w:rPr>
            <w:rStyle w:val="Hyperlink"/>
          </w:rPr>
          <w:t xml:space="preserve">Nr. 18 - </w:t>
        </w:r>
        <w:r w:rsidR="00B33077" w:rsidRPr="00164DA3">
          <w:rPr>
            <w:rStyle w:val="Hyperlink"/>
            <w:bCs/>
          </w:rPr>
          <w:t>Geltung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52" w:history="1">
        <w:r w:rsidR="00B33077" w:rsidRPr="00164DA3">
          <w:rPr>
            <w:rStyle w:val="Hyperlink"/>
            <w:noProof/>
          </w:rPr>
          <w:t>B, 4.1.2. Sonderregelungen für die Arbeitsverhältnisse von Lehrkräften an beruflichen 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53" w:history="1">
        <w:r w:rsidR="00B33077" w:rsidRPr="00164DA3">
          <w:rPr>
            <w:rStyle w:val="Hyperlink"/>
          </w:rPr>
          <w:t>Kapitel 1 - Sonderregelungen zu Teil A, 1.</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54" w:history="1">
        <w:r w:rsidR="00B33077" w:rsidRPr="00164DA3">
          <w:rPr>
            <w:rStyle w:val="Hyperlink"/>
          </w:rPr>
          <w:t>Kapitel 2 - Sonderregelungen zu Teil B, 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55" w:history="1">
        <w:r w:rsidR="00B33077" w:rsidRPr="00164DA3">
          <w:rPr>
            <w:rStyle w:val="Hyperlink"/>
          </w:rPr>
          <w:t>Kapitel 3 - Sonderregelungen zu Teil D,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56" w:history="1">
        <w:r w:rsidR="00B33077" w:rsidRPr="00164DA3">
          <w:rPr>
            <w:rStyle w:val="Hyperlink"/>
          </w:rPr>
          <w:t xml:space="preserve">Nr. 18 - </w:t>
        </w:r>
        <w:r w:rsidR="00B33077" w:rsidRPr="00164DA3">
          <w:rPr>
            <w:rStyle w:val="Hyperlink"/>
            <w:bCs/>
          </w:rPr>
          <w:t>Geltung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57" w:history="1">
        <w:r w:rsidR="00B33077" w:rsidRPr="00164DA3">
          <w:rPr>
            <w:rStyle w:val="Hyperlink"/>
            <w:noProof/>
          </w:rPr>
          <w:t>B, 4.1.3. Sonderregelungen für die Arbeitsverhältnisse von Lehrkräften an Grund- und Mittelschulen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58" w:history="1">
        <w:r w:rsidR="00B33077" w:rsidRPr="00164DA3">
          <w:rPr>
            <w:rStyle w:val="Hyperlink"/>
          </w:rPr>
          <w:t>Kapitel 1 - Sonderregelungen zu Teil A, 1.</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59" w:history="1">
        <w:r w:rsidR="00B33077" w:rsidRPr="00164DA3">
          <w:rPr>
            <w:rStyle w:val="Hyperlink"/>
          </w:rPr>
          <w:t>Kapitel 2 - Sonderregelungen zu Teil B, 3.</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60" w:history="1">
        <w:r w:rsidR="00B33077" w:rsidRPr="00164DA3">
          <w:rPr>
            <w:rStyle w:val="Hyperlink"/>
          </w:rPr>
          <w:t>Kapitel 3 - Sonderregelungen zu Teil D, 5.</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61" w:history="1">
        <w:r w:rsidR="00B33077" w:rsidRPr="00164DA3">
          <w:rPr>
            <w:rStyle w:val="Hyperlink"/>
          </w:rPr>
          <w:t xml:space="preserve">Nr. 18 - </w:t>
        </w:r>
        <w:r w:rsidR="00B33077" w:rsidRPr="00164DA3">
          <w:rPr>
            <w:rStyle w:val="Hyperlink"/>
            <w:bCs/>
          </w:rPr>
          <w:t>Geltung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62" w:history="1">
        <w:r w:rsidR="00B33077" w:rsidRPr="00164DA3">
          <w:rPr>
            <w:rStyle w:val="Hyperlink"/>
            <w:noProof/>
          </w:rPr>
          <w:t>Anlage A</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63" w:history="1">
        <w:r w:rsidR="00B33077" w:rsidRPr="00164DA3">
          <w:rPr>
            <w:rStyle w:val="Hyperlink"/>
          </w:rPr>
          <w:t>I. Eingruppierungsrichtlinien für Lehrkräfte an Volksschulen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64" w:history="1">
        <w:r w:rsidR="00B33077" w:rsidRPr="00164DA3">
          <w:rPr>
            <w:rStyle w:val="Hyperlink"/>
            <w:bCs/>
          </w:rPr>
          <w:t>II. Eingruppierungsrichtlinien für Lehrkräfte an beruflichen 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65" w:history="1">
        <w:r w:rsidR="00B33077" w:rsidRPr="00164DA3">
          <w:rPr>
            <w:rStyle w:val="Hyperlink"/>
            <w:bCs/>
          </w:rPr>
          <w:t>III. Eingruppierungsrichtlinien für Lehrkräfte an Realschulen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66" w:history="1">
        <w:r w:rsidR="00B33077" w:rsidRPr="00164DA3">
          <w:rPr>
            <w:rStyle w:val="Hyperlink"/>
            <w:bCs/>
          </w:rPr>
          <w:t>IV. Eingruppierungsrichtlinien für Lehrkräfte an Gymnasien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67" w:history="1">
        <w:r w:rsidR="00B33077" w:rsidRPr="00164DA3">
          <w:rPr>
            <w:rStyle w:val="Hyperlink"/>
            <w:bCs/>
          </w:rPr>
          <w:t>V. 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68" w:history="1">
        <w:r w:rsidR="00B33077" w:rsidRPr="00164DA3">
          <w:rPr>
            <w:rStyle w:val="Hyperlink"/>
            <w:noProof/>
          </w:rPr>
          <w:t>Anlage B</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69" w:history="1">
        <w:r w:rsidR="00B33077" w:rsidRPr="00164DA3">
          <w:rPr>
            <w:rStyle w:val="Hyperlink"/>
            <w:bCs/>
          </w:rPr>
          <w:t>I. Eingruppierungsrichtlinien für Lehrkräfte an Volksschulen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70" w:history="1">
        <w:r w:rsidR="00B33077" w:rsidRPr="00164DA3">
          <w:rPr>
            <w:rStyle w:val="Hyperlink"/>
            <w:bCs/>
          </w:rPr>
          <w:t>II. Eingruppierungsrichtlinien* für Lehrkräfte an Realschulen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71" w:history="1">
        <w:r w:rsidR="00B33077" w:rsidRPr="00164DA3">
          <w:rPr>
            <w:rStyle w:val="Hyperlink"/>
            <w:bCs/>
          </w:rPr>
          <w:t>III. Eingruppierungsrichtlinien* für Lehrkräfte an Gymnasien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72" w:history="1">
        <w:r w:rsidR="00B33077" w:rsidRPr="00164DA3">
          <w:rPr>
            <w:rStyle w:val="Hyperlink"/>
            <w:bCs/>
          </w:rPr>
          <w:t>IV. Eingruppierungsrichtlinien für Lehrkräfte an berufsbildenden 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73" w:history="1">
        <w:r w:rsidR="00B33077" w:rsidRPr="00164DA3">
          <w:rPr>
            <w:rStyle w:val="Hyperlink"/>
            <w:bCs/>
          </w:rPr>
          <w:t>V. Anmerkungen: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74" w:history="1">
        <w:r w:rsidR="00B33077" w:rsidRPr="00164DA3">
          <w:rPr>
            <w:rStyle w:val="Hyperlink"/>
            <w:noProof/>
          </w:rPr>
          <w:t>Anlage C</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275" w:history="1">
        <w:r w:rsidR="00B33077" w:rsidRPr="00164DA3">
          <w:rPr>
            <w:rStyle w:val="Hyperlink"/>
            <w:noProof/>
          </w:rPr>
          <w:t>Anlage D: Dienstliche Beurteilung und Leistungsfeststellung der Lehrkräfte, Schulleiterinnen und Schulleiter an katholischen Schulen</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76" w:history="1">
        <w:r w:rsidR="00B33077" w:rsidRPr="00164DA3">
          <w:rPr>
            <w:rStyle w:val="Hyperlink"/>
          </w:rPr>
          <w:t>Abschnitt A: Dienstliche Beurteilung und Leistungsfeststellung der Lehrkräfte an katholischen Schulen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77" w:history="1">
        <w:r w:rsidR="00B33077" w:rsidRPr="00164DA3">
          <w:rPr>
            <w:rStyle w:val="Hyperlink"/>
            <w:noProof/>
          </w:rPr>
          <w:t>1. Allgemeines</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78" w:history="1">
        <w:r w:rsidR="00B33077" w:rsidRPr="00164DA3">
          <w:rPr>
            <w:rStyle w:val="Hyperlink"/>
            <w:noProof/>
          </w:rPr>
          <w:t>2. Inhalt der Beurteilungen, Beurteilungsmaßstab und Bewertung</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79" w:history="1">
        <w:r w:rsidR="00B33077" w:rsidRPr="00164DA3">
          <w:rPr>
            <w:rStyle w:val="Hyperlink"/>
            <w:noProof/>
          </w:rPr>
          <w:t>3. Verwendungseignung</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80" w:history="1">
        <w:r w:rsidR="00B33077" w:rsidRPr="00164DA3">
          <w:rPr>
            <w:rStyle w:val="Hyperlink"/>
            <w:noProof/>
          </w:rPr>
          <w:t>4. Beurteilungsverfahren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81" w:history="1">
        <w:r w:rsidR="00B33077" w:rsidRPr="00164DA3">
          <w:rPr>
            <w:rStyle w:val="Hyperlink"/>
            <w:noProof/>
          </w:rPr>
          <w:t>5. Leistungsfeststellung</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282" w:history="1">
        <w:r w:rsidR="00B33077" w:rsidRPr="00164DA3">
          <w:rPr>
            <w:rStyle w:val="Hyperlink"/>
          </w:rPr>
          <w:t>Abschnitt B: Dienstliche Beurteilung und Leistungsfeststellung der Schulleiterinnen und Schulleiter an katholischen Schulen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83" w:history="1">
        <w:r w:rsidR="00B33077" w:rsidRPr="00164DA3">
          <w:rPr>
            <w:rStyle w:val="Hyperlink"/>
            <w:noProof/>
          </w:rPr>
          <w:t>1. Allgemeines</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84" w:history="1">
        <w:r w:rsidR="00B33077" w:rsidRPr="00164DA3">
          <w:rPr>
            <w:rStyle w:val="Hyperlink"/>
            <w:noProof/>
          </w:rPr>
          <w:t>2. Inhalt der Beurteilungen, Beurteilungsmaßstab und Bewertung</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85" w:history="1">
        <w:r w:rsidR="00B33077" w:rsidRPr="00164DA3">
          <w:rPr>
            <w:rStyle w:val="Hyperlink"/>
            <w:noProof/>
          </w:rPr>
          <w:t>3. Verwendungseignung</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86" w:history="1">
        <w:r w:rsidR="00B33077" w:rsidRPr="00164DA3">
          <w:rPr>
            <w:rStyle w:val="Hyperlink"/>
            <w:noProof/>
          </w:rPr>
          <w:t>4. Periodische Beurteilungen</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87" w:history="1">
        <w:r w:rsidR="00B33077" w:rsidRPr="00164DA3">
          <w:rPr>
            <w:rStyle w:val="Hyperlink"/>
            <w:noProof/>
          </w:rPr>
          <w:t>5. Leistungsfeststellung</w:t>
        </w:r>
      </w:hyperlink>
    </w:p>
    <w:p w:rsidR="00B33077" w:rsidRDefault="00C23DFA" w:rsidP="00FB68F3">
      <w:pPr>
        <w:pStyle w:val="Verzeichnis8"/>
        <w:spacing w:before="60"/>
        <w:divId w:val="500198663"/>
        <w:rPr>
          <w:rFonts w:asciiTheme="minorHAnsi" w:eastAsiaTheme="minorEastAsia" w:hAnsiTheme="minorHAnsi" w:cstheme="minorBidi"/>
          <w:noProof/>
          <w:sz w:val="22"/>
          <w:szCs w:val="22"/>
        </w:rPr>
      </w:pPr>
      <w:hyperlink w:anchor="_Toc523926288" w:history="1">
        <w:r w:rsidR="00B33077" w:rsidRPr="00164DA3">
          <w:rPr>
            <w:rStyle w:val="Hyperlink"/>
            <w:noProof/>
          </w:rPr>
          <w:t>6. Einwendungen gegen die Leistungsfeststellung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289" w:history="1">
        <w:r w:rsidR="00B33077" w:rsidRPr="00164DA3">
          <w:rPr>
            <w:rStyle w:val="Hyperlink"/>
            <w:noProof/>
          </w:rPr>
          <w:t>B, 4.2. Regelung zur Überleitung von Lehrkräften an Schulen in kirchlicher Trägerschaft (RÜ-L)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0" w:history="1">
        <w:r w:rsidR="00B33077" w:rsidRPr="00164DA3">
          <w:rPr>
            <w:rStyle w:val="Hyperlink"/>
            <w:noProof/>
          </w:rPr>
          <w:t>§ 1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1" w:history="1">
        <w:r w:rsidR="00B33077" w:rsidRPr="00164DA3">
          <w:rPr>
            <w:rStyle w:val="Hyperlink"/>
            <w:noProof/>
          </w:rPr>
          <w:t>§ 2 Entgelt in der Zeit vom 01.10.2005 bis 31.10.2006</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2" w:history="1">
        <w:r w:rsidR="00B33077" w:rsidRPr="00164DA3">
          <w:rPr>
            <w:rStyle w:val="Hyperlink"/>
            <w:noProof/>
          </w:rPr>
          <w:t>§ 3 Überleitung in das Entgelt gemäß Besoldungsordnung A</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3" w:history="1">
        <w:r w:rsidR="00B33077" w:rsidRPr="00164DA3">
          <w:rPr>
            <w:rStyle w:val="Hyperlink"/>
            <w:noProof/>
          </w:rPr>
          <w:t>§ 4 Besitzstandsregelung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4" w:history="1">
        <w:r w:rsidR="00B33077" w:rsidRPr="00164DA3">
          <w:rPr>
            <w:rStyle w:val="Hyperlink"/>
            <w:noProof/>
          </w:rPr>
          <w:t>§ 5 Beschäftigungszeit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5" w:history="1">
        <w:r w:rsidR="00B33077" w:rsidRPr="00164DA3">
          <w:rPr>
            <w:rStyle w:val="Hyperlink"/>
            <w:noProof/>
          </w:rPr>
          <w:t>§ 6 Lehrkräfte die nicht dem ABD unterliegen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296" w:history="1">
        <w:r w:rsidR="00B33077" w:rsidRPr="00164DA3">
          <w:rPr>
            <w:rStyle w:val="Hyperlink"/>
            <w:noProof/>
          </w:rPr>
          <w:t>B, 4.3. Ordnung für Berufsbezeichnungen von arbeitsvertraglich beschäftigten Lehrkräften an Schulen in kirchlicher Trägerschaft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7" w:history="1">
        <w:r w:rsidR="00B33077" w:rsidRPr="00164DA3">
          <w:rPr>
            <w:rStyle w:val="Hyperlink"/>
            <w:noProof/>
          </w:rPr>
          <w:t>§ 1 Berufsbezeichnungen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8" w:history="1">
        <w:r w:rsidR="00B33077" w:rsidRPr="00164DA3">
          <w:rPr>
            <w:rStyle w:val="Hyperlink"/>
            <w:noProof/>
          </w:rPr>
          <w:t>§ 2 Beurteilungsturnus nach Aufnahme der Tätigkeit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299" w:history="1">
        <w:r w:rsidR="00B33077" w:rsidRPr="00164DA3">
          <w:rPr>
            <w:rStyle w:val="Hyperlink"/>
            <w:noProof/>
          </w:rPr>
          <w:t>§ 3 Höhere Berufsbezeichnung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0" w:history="1">
        <w:r w:rsidR="00B33077" w:rsidRPr="00164DA3">
          <w:rPr>
            <w:rStyle w:val="Hyperlink"/>
            <w:noProof/>
          </w:rPr>
          <w:t>§ 4 Einräumung des Rechts zum Führen der Berufsbezeichnungen „Oberstudienrätin/Oberstudienrat“ und</w:t>
        </w:r>
        <w:r w:rsidR="00B33077" w:rsidRPr="00164DA3">
          <w:rPr>
            <w:rStyle w:val="Hyperlink"/>
            <w:noProof/>
            <w:lang w:eastAsia="x-none"/>
          </w:rPr>
          <w:t xml:space="preserve"> </w:t>
        </w:r>
        <w:r w:rsidR="00B33077" w:rsidRPr="00164DA3">
          <w:rPr>
            <w:rStyle w:val="Hyperlink"/>
            <w:noProof/>
          </w:rPr>
          <w:t>„Fachoberlehrerin/Fachoberlehrer“</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1" w:history="1">
        <w:r w:rsidR="00B33077" w:rsidRPr="00164DA3">
          <w:rPr>
            <w:rStyle w:val="Hyperlink"/>
            <w:noProof/>
          </w:rPr>
          <w:t>§ 5 Einräumung des Rechts zum Führen der Berufsbezeichnung „Studiendirektorin/Studiendirektor“</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2" w:history="1">
        <w:r w:rsidR="00B33077" w:rsidRPr="00164DA3">
          <w:rPr>
            <w:rStyle w:val="Hyperlink"/>
            <w:noProof/>
          </w:rPr>
          <w:t>§ 6 Einräumung des Rechts zum Führen von Berufsbezeichnungen bei der Wahrnehmung von Leitungsaufgaben und anderen herausgehobenen Aufgaben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3" w:history="1">
        <w:r w:rsidR="00B33077" w:rsidRPr="00164DA3">
          <w:rPr>
            <w:rStyle w:val="Hyperlink"/>
            <w:noProof/>
          </w:rPr>
          <w:t>§ 7 Beurteilungsturnus von Lehrkräften mit der Berufsbezeichnung „Studiendirektorin/Studiendirektor“ und „Beratungsrektorin/Beratungsrektor“</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4" w:history="1">
        <w:r w:rsidR="00B33077" w:rsidRPr="00164DA3">
          <w:rPr>
            <w:rStyle w:val="Hyperlink"/>
            <w:noProof/>
          </w:rPr>
          <w:t>§ 8 Beurteilungsturnus von Schulleiterinnen und Schulleitern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5" w:history="1">
        <w:r w:rsidR="00B33077" w:rsidRPr="00164DA3">
          <w:rPr>
            <w:rStyle w:val="Hyperlink"/>
            <w:noProof/>
          </w:rPr>
          <w:t>§ 9 Beurteilungsturnus von Lehrkräften, die die fachlichen und/oder pädagogischen Voraussetzungen für die Übernahme in ein Beamtenverhältnis nicht erfüllen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6" w:history="1">
        <w:r w:rsidR="00B33077" w:rsidRPr="00164DA3">
          <w:rPr>
            <w:rStyle w:val="Hyperlink"/>
            <w:noProof/>
          </w:rPr>
          <w:t>§ 10 Entzug des Rechts zum Führen der Berufsbezeichnung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7" w:history="1">
        <w:r w:rsidR="00B33077" w:rsidRPr="00164DA3">
          <w:rPr>
            <w:rStyle w:val="Hyperlink"/>
            <w:noProof/>
          </w:rPr>
          <w:t>§ 11 Widerruf des Rechts zum Führen einer Berufsbezeichnung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08" w:history="1">
        <w:r w:rsidR="00B33077" w:rsidRPr="00164DA3">
          <w:rPr>
            <w:rStyle w:val="Hyperlink"/>
            <w:noProof/>
          </w:rPr>
          <w:t>§ 12 Übergangsregelungen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309" w:history="1">
        <w:r w:rsidR="00B33077" w:rsidRPr="00164DA3">
          <w:rPr>
            <w:rStyle w:val="Hyperlink"/>
            <w:noProof/>
          </w:rPr>
          <w:t>B, 5. Regelung für die Kraftfahrer und Kraftfahrerinnen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0"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1" w:history="1">
        <w:r w:rsidR="00B33077" w:rsidRPr="00164DA3">
          <w:rPr>
            <w:rStyle w:val="Hyperlink"/>
            <w:noProof/>
          </w:rPr>
          <w:t>§ 2 Arbeitszeit, höchstzulässige 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2" w:history="1">
        <w:r w:rsidR="00B33077" w:rsidRPr="00164DA3">
          <w:rPr>
            <w:rStyle w:val="Hyperlink"/>
            <w:noProof/>
          </w:rPr>
          <w:t>§ 3 Monatsarbeitszeit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3" w:history="1">
        <w:r w:rsidR="00B33077" w:rsidRPr="00164DA3">
          <w:rPr>
            <w:rStyle w:val="Hyperlink"/>
            <w:noProof/>
          </w:rPr>
          <w:t>§ 4 Pauschalentgelt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4" w:history="1">
        <w:r w:rsidR="00B33077" w:rsidRPr="00164DA3">
          <w:rPr>
            <w:rStyle w:val="Hyperlink"/>
            <w:noProof/>
          </w:rPr>
          <w:t>§ 5 Pauschalgruppen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5" w:history="1">
        <w:r w:rsidR="00B33077" w:rsidRPr="00164DA3">
          <w:rPr>
            <w:rStyle w:val="Hyperlink"/>
            <w:noProof/>
          </w:rPr>
          <w:t>§ 6 Anteiliges Pauschalentgelt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6" w:history="1">
        <w:r w:rsidR="00B33077" w:rsidRPr="00164DA3">
          <w:rPr>
            <w:rStyle w:val="Hyperlink"/>
            <w:noProof/>
          </w:rPr>
          <w:t>§ 7 Sicherung des Pauschalentgelts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7" w:history="1">
        <w:r w:rsidR="00B33077" w:rsidRPr="00164DA3">
          <w:rPr>
            <w:rStyle w:val="Hyperlink"/>
            <w:noProof/>
          </w:rPr>
          <w:t>§ 8 Übergangsvorschrift für am 30. September 2005/1. Oktober 2005 vorhandene Kraftfahrer/Kraftfahrerinnen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8" w:history="1">
        <w:r w:rsidR="00B33077" w:rsidRPr="00164DA3">
          <w:rPr>
            <w:rStyle w:val="Hyperlink"/>
            <w:noProof/>
          </w:rPr>
          <w:t>§ 9 Überleitungs- und Besitzstandsregelung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19" w:history="1">
        <w:r w:rsidR="00B33077" w:rsidRPr="00164DA3">
          <w:rPr>
            <w:rStyle w:val="Hyperlink"/>
            <w:noProof/>
          </w:rPr>
          <w:t>Anlage 1 Pauschalentgelt für ab 1. Oktober 2005 neu eingestellte Kraftfahrer/Kraftfahrerinnen</w:t>
        </w:r>
      </w:hyperlink>
    </w:p>
    <w:p w:rsidR="00B33077" w:rsidRDefault="00C23DFA" w:rsidP="00B33077">
      <w:pPr>
        <w:pStyle w:val="Verzeichnis5"/>
        <w:divId w:val="500198663"/>
        <w:rPr>
          <w:rStyle w:val="Hyperlink"/>
          <w:noProof/>
        </w:rPr>
      </w:pPr>
      <w:hyperlink w:anchor="_Toc523926320" w:history="1">
        <w:r w:rsidR="00B33077" w:rsidRPr="00164DA3">
          <w:rPr>
            <w:rStyle w:val="Hyperlink"/>
            <w:noProof/>
          </w:rPr>
          <w:t>Anlage 2 Pauschalentgelt für am 1. Oktober 2005 vorhandene Kraftfahrer/Kraftfahrerinnen (EURO)</w:t>
        </w:r>
      </w:hyperlink>
    </w:p>
    <w:p w:rsidR="004B73C6" w:rsidRDefault="004B73C6" w:rsidP="004B73C6">
      <w:pPr>
        <w:divId w:val="500198663"/>
        <w:rPr>
          <w:rFonts w:eastAsiaTheme="minorEastAsia"/>
        </w:rPr>
      </w:pPr>
      <w:r>
        <w:rPr>
          <w:rFonts w:eastAsiaTheme="minorEastAsia"/>
        </w:rPr>
        <w:br w:type="page"/>
      </w:r>
    </w:p>
    <w:p w:rsidR="004B73C6" w:rsidRPr="004B73C6" w:rsidRDefault="004B73C6" w:rsidP="004B73C6">
      <w:pPr>
        <w:divId w:val="500198663"/>
        <w:rPr>
          <w:rFonts w:eastAsiaTheme="minorEastAsia"/>
        </w:rPr>
      </w:pPr>
    </w:p>
    <w:p w:rsidR="00B33077" w:rsidRDefault="00C23DFA" w:rsidP="00CC12D3">
      <w:pPr>
        <w:pStyle w:val="Verzeichnis3"/>
        <w:divId w:val="500198663"/>
        <w:rPr>
          <w:rFonts w:asciiTheme="minorHAnsi" w:eastAsiaTheme="minorEastAsia" w:hAnsiTheme="minorHAnsi" w:cstheme="minorBidi"/>
          <w:sz w:val="22"/>
          <w:szCs w:val="22"/>
        </w:rPr>
      </w:pPr>
      <w:hyperlink w:anchor="_Toc523926321" w:history="1">
        <w:r w:rsidR="00B33077" w:rsidRPr="00164DA3">
          <w:rPr>
            <w:rStyle w:val="Hyperlink"/>
          </w:rPr>
          <w:t>Teil C: Dienstordnungen für kirchenspezifische Berufe</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322" w:history="1">
        <w:r w:rsidR="00B33077" w:rsidRPr="00164DA3">
          <w:rPr>
            <w:rStyle w:val="Hyperlink"/>
            <w:noProof/>
          </w:rPr>
          <w:t>C, 1. Dienstordnung für Pastoralassistentinnen/Pastoralassistenten und Pastoralreferentinnen/Pastoralreferenten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23" w:history="1">
        <w:r w:rsidR="00B33077" w:rsidRPr="00164DA3">
          <w:rPr>
            <w:rStyle w:val="Hyperlink"/>
            <w:noProof/>
          </w:rPr>
          <w:t>II. Arbeitsrechtlicher Teil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24" w:history="1">
        <w:r w:rsidR="00B33077" w:rsidRPr="00164DA3">
          <w:rPr>
            <w:rStyle w:val="Hyperlink"/>
            <w:noProof/>
          </w:rPr>
          <w:t>§ 1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25" w:history="1">
        <w:r w:rsidR="00B33077" w:rsidRPr="00164DA3">
          <w:rPr>
            <w:rStyle w:val="Hyperlink"/>
            <w:noProof/>
          </w:rPr>
          <w:t>§ 2 Arbeitgeber, Stellenzuweisung, Dienstanweisung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26" w:history="1">
        <w:r w:rsidR="00B33077" w:rsidRPr="00164DA3">
          <w:rPr>
            <w:rStyle w:val="Hyperlink"/>
            <w:noProof/>
          </w:rPr>
          <w:t>§ 3 Räumliche Mittel und Sachmittel, Dienstwohnung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27" w:history="1">
        <w:r w:rsidR="00B33077" w:rsidRPr="00164DA3">
          <w:rPr>
            <w:rStyle w:val="Hyperlink"/>
            <w:noProof/>
          </w:rPr>
          <w:t>§ 4 Berufseinführung als Pastoralassistent/Pastoralassistentin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28" w:history="1">
        <w:r w:rsidR="00B33077" w:rsidRPr="00164DA3">
          <w:rPr>
            <w:rStyle w:val="Hyperlink"/>
            <w:noProof/>
          </w:rPr>
          <w:t>§ 5 Einstellung als Pastoralreferentin/Pastoralreferent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29" w:history="1">
        <w:r w:rsidR="00B33077" w:rsidRPr="00164DA3">
          <w:rPr>
            <w:rStyle w:val="Hyperlink"/>
            <w:noProof/>
          </w:rPr>
          <w:t>§ 6 Stellenwechsel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30" w:history="1">
        <w:r w:rsidR="00B33077" w:rsidRPr="00164DA3">
          <w:rPr>
            <w:rStyle w:val="Hyperlink"/>
            <w:noProof/>
          </w:rPr>
          <w:t>§ 7 Arbeitszeit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31" w:history="1">
        <w:r w:rsidR="00B33077" w:rsidRPr="00164DA3">
          <w:rPr>
            <w:rStyle w:val="Hyperlink"/>
            <w:noProof/>
            <w:lang w:eastAsia="x-none"/>
          </w:rPr>
          <w:t>§</w:t>
        </w:r>
        <w:r w:rsidR="00B33077" w:rsidRPr="00164DA3">
          <w:rPr>
            <w:rStyle w:val="Hyperlink"/>
            <w:noProof/>
          </w:rPr>
          <w:t xml:space="preserve"> 8 Arbeitsunfähigkeit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32" w:history="1">
        <w:r w:rsidR="00B33077" w:rsidRPr="00164DA3">
          <w:rPr>
            <w:rStyle w:val="Hyperlink"/>
            <w:noProof/>
          </w:rPr>
          <w:t>§ 9 Erholungsurlaub</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33" w:history="1">
        <w:r w:rsidR="00B33077" w:rsidRPr="00164DA3">
          <w:rPr>
            <w:rStyle w:val="Hyperlink"/>
            <w:noProof/>
          </w:rPr>
          <w:t>§ 10 Religionsunterricht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34" w:history="1">
        <w:r w:rsidR="00B33077" w:rsidRPr="00164DA3">
          <w:rPr>
            <w:rStyle w:val="Hyperlink"/>
            <w:noProof/>
          </w:rPr>
          <w:t>§ 11 Qualifizierung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335" w:history="1">
        <w:r w:rsidR="00B33077" w:rsidRPr="00164DA3">
          <w:rPr>
            <w:rStyle w:val="Hyperlink"/>
            <w:noProof/>
          </w:rPr>
          <w:t>C, 2. Dienstordnung für Gemeindereferentinnen und Gemeindereferenten in den bayerischen</w:t>
        </w:r>
        <w:r w:rsidR="00B33077" w:rsidRPr="00164DA3">
          <w:rPr>
            <w:rStyle w:val="Hyperlink"/>
            <w:noProof/>
            <w:lang w:eastAsia="x-none"/>
          </w:rPr>
          <w:t xml:space="preserve"> </w:t>
        </w:r>
        <w:r w:rsidR="00B33077" w:rsidRPr="00164DA3">
          <w:rPr>
            <w:rStyle w:val="Hyperlink"/>
            <w:noProof/>
          </w:rPr>
          <w:t>Diözesen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36" w:history="1">
        <w:r w:rsidR="00B33077" w:rsidRPr="00164DA3">
          <w:rPr>
            <w:rStyle w:val="Hyperlink"/>
            <w:noProof/>
          </w:rPr>
          <w:t>I. Allgemeiner Teil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37" w:history="1">
        <w:r w:rsidR="00B33077" w:rsidRPr="00164DA3">
          <w:rPr>
            <w:rStyle w:val="Hyperlink"/>
            <w:noProof/>
          </w:rPr>
          <w:t>II. Arbeitsrechtlicher Teil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38" w:history="1">
        <w:r w:rsidR="00B33077" w:rsidRPr="00164DA3">
          <w:rPr>
            <w:rStyle w:val="Hyperlink"/>
            <w:noProof/>
          </w:rPr>
          <w:t>§ 1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39" w:history="1">
        <w:r w:rsidR="00B33077" w:rsidRPr="00164DA3">
          <w:rPr>
            <w:rStyle w:val="Hyperlink"/>
            <w:noProof/>
          </w:rPr>
          <w:t>§ 2 Anstellungsträger und Vorgesetzte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40" w:history="1">
        <w:r w:rsidR="00B33077" w:rsidRPr="00164DA3">
          <w:rPr>
            <w:rStyle w:val="Hyperlink"/>
            <w:noProof/>
          </w:rPr>
          <w:t>§ 3 Arbeitsvertrag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41" w:history="1">
        <w:r w:rsidR="00B33077" w:rsidRPr="00164DA3">
          <w:rPr>
            <w:rStyle w:val="Hyperlink"/>
            <w:noProof/>
          </w:rPr>
          <w:t>§ 4 Versetzung, Abordnung, Zuweisung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42" w:history="1">
        <w:r w:rsidR="00B33077" w:rsidRPr="00164DA3">
          <w:rPr>
            <w:rStyle w:val="Hyperlink"/>
            <w:noProof/>
          </w:rPr>
          <w:t>§ 5 Arbeitszeit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43" w:history="1">
        <w:r w:rsidR="00B33077" w:rsidRPr="00164DA3">
          <w:rPr>
            <w:rStyle w:val="Hyperlink"/>
            <w:noProof/>
          </w:rPr>
          <w:t>§ 6 Arbeitsunfähigkeit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44" w:history="1">
        <w:r w:rsidR="00B33077" w:rsidRPr="00164DA3">
          <w:rPr>
            <w:rStyle w:val="Hyperlink"/>
            <w:noProof/>
          </w:rPr>
          <w:t>§ 7 Erholungsurlaub</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45" w:history="1">
        <w:r w:rsidR="00B33077" w:rsidRPr="00164DA3">
          <w:rPr>
            <w:rStyle w:val="Hyperlink"/>
            <w:noProof/>
          </w:rPr>
          <w:t>§ 8 Religionsunterricht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46" w:history="1">
        <w:r w:rsidR="00B33077" w:rsidRPr="00164DA3">
          <w:rPr>
            <w:rStyle w:val="Hyperlink"/>
            <w:noProof/>
          </w:rPr>
          <w:t xml:space="preserve">§ 9 </w:t>
        </w:r>
        <w:r w:rsidR="00B33077" w:rsidRPr="00164DA3">
          <w:rPr>
            <w:rStyle w:val="Hyperlink"/>
            <w:noProof/>
            <w:lang w:eastAsia="x-none"/>
          </w:rPr>
          <w:t>Qualifizierung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347" w:history="1">
        <w:r w:rsidR="00B33077" w:rsidRPr="00164DA3">
          <w:rPr>
            <w:rStyle w:val="Hyperlink"/>
            <w:noProof/>
          </w:rPr>
          <w:t>§ 10 In-Kraft-Treten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348" w:history="1">
        <w:r w:rsidR="00B33077" w:rsidRPr="00164DA3">
          <w:rPr>
            <w:rStyle w:val="Hyperlink"/>
            <w:noProof/>
          </w:rPr>
          <w:t>C, 3. Dienstordnung für Religionslehrerinnen und Religionslehrer im Kirchendienst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49" w:history="1">
        <w:r w:rsidR="00B33077" w:rsidRPr="00164DA3">
          <w:rPr>
            <w:rStyle w:val="Hyperlink"/>
            <w:noProof/>
          </w:rPr>
          <w:t>§ 1 Begriff</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0" w:history="1">
        <w:r w:rsidR="00B33077" w:rsidRPr="00164DA3">
          <w:rPr>
            <w:rStyle w:val="Hyperlink"/>
            <w:noProof/>
          </w:rPr>
          <w:t>§ 2 Einstellungsvoraussetzungen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1" w:history="1">
        <w:r w:rsidR="00B33077" w:rsidRPr="00164DA3">
          <w:rPr>
            <w:rStyle w:val="Hyperlink"/>
            <w:noProof/>
          </w:rPr>
          <w:t>§ 3 Missio Canonica</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2" w:history="1">
        <w:r w:rsidR="00B33077" w:rsidRPr="00164DA3">
          <w:rPr>
            <w:rStyle w:val="Hyperlink"/>
            <w:noProof/>
          </w:rPr>
          <w:t>§ 4 Kirchlicher Vorbereitungsdienst und zweite Dienstprüfung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3" w:history="1">
        <w:r w:rsidR="00B33077" w:rsidRPr="00164DA3">
          <w:rPr>
            <w:rStyle w:val="Hyperlink"/>
            <w:noProof/>
          </w:rPr>
          <w:t>§ 5 Einsatz</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4" w:history="1">
        <w:r w:rsidR="00B33077" w:rsidRPr="00164DA3">
          <w:rPr>
            <w:rStyle w:val="Hyperlink"/>
            <w:noProof/>
          </w:rPr>
          <w:t>§ 6 Arbeitgeber und kirchliche Vorgesetzte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5" w:history="1">
        <w:r w:rsidR="00B33077" w:rsidRPr="00164DA3">
          <w:rPr>
            <w:rStyle w:val="Hyperlink"/>
            <w:noProof/>
          </w:rPr>
          <w:t>§ 7 Pflichten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6" w:history="1">
        <w:r w:rsidR="00B33077" w:rsidRPr="00164DA3">
          <w:rPr>
            <w:rStyle w:val="Hyperlink"/>
            <w:noProof/>
          </w:rPr>
          <w:t xml:space="preserve">§ 8 </w:t>
        </w:r>
        <w:r w:rsidR="00B33077" w:rsidRPr="00164DA3">
          <w:rPr>
            <w:rStyle w:val="Hyperlink"/>
            <w:noProof/>
            <w:lang w:eastAsia="x-none"/>
          </w:rPr>
          <w:t xml:space="preserve">Arbeitszeit, </w:t>
        </w:r>
        <w:r w:rsidR="00B33077" w:rsidRPr="00164DA3">
          <w:rPr>
            <w:rStyle w:val="Hyperlink"/>
            <w:noProof/>
          </w:rPr>
          <w:t>Unterrichtspflichtzeit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7" w:history="1">
        <w:r w:rsidR="00B33077" w:rsidRPr="00164DA3">
          <w:rPr>
            <w:rStyle w:val="Hyperlink"/>
            <w:noProof/>
          </w:rPr>
          <w:t>§ 9 Beendigung des Arbeitsverhältnisses ohne Kündigung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8" w:history="1">
        <w:r w:rsidR="00B33077" w:rsidRPr="00164DA3">
          <w:rPr>
            <w:rStyle w:val="Hyperlink"/>
            <w:noProof/>
          </w:rPr>
          <w:t>§ 10 Gemeindearbeit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59" w:history="1">
        <w:r w:rsidR="00B33077" w:rsidRPr="00164DA3">
          <w:rPr>
            <w:rStyle w:val="Hyperlink"/>
            <w:noProof/>
          </w:rPr>
          <w:t>§ 11 Arbeitsunfähigkeit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60" w:history="1">
        <w:r w:rsidR="00B33077" w:rsidRPr="00164DA3">
          <w:rPr>
            <w:rStyle w:val="Hyperlink"/>
            <w:noProof/>
          </w:rPr>
          <w:t>§ 12 Erholungsurlaub</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61" w:history="1">
        <w:r w:rsidR="00B33077" w:rsidRPr="00164DA3">
          <w:rPr>
            <w:rStyle w:val="Hyperlink"/>
            <w:noProof/>
          </w:rPr>
          <w:t>§ 13 Arbeitsbefreiung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62" w:history="1">
        <w:r w:rsidR="00B33077" w:rsidRPr="00164DA3">
          <w:rPr>
            <w:rStyle w:val="Hyperlink"/>
            <w:noProof/>
          </w:rPr>
          <w:t>§ 14 Versetzung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63" w:history="1">
        <w:r w:rsidR="00B33077" w:rsidRPr="00164DA3">
          <w:rPr>
            <w:rStyle w:val="Hyperlink"/>
            <w:noProof/>
          </w:rPr>
          <w:t>§ 15 Inkrafttreten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64" w:history="1">
        <w:r w:rsidR="00B33077" w:rsidRPr="00164DA3">
          <w:rPr>
            <w:rStyle w:val="Hyperlink"/>
            <w:noProof/>
          </w:rPr>
          <w:t>Anlagen</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365" w:history="1">
        <w:r w:rsidR="00B33077" w:rsidRPr="00164DA3">
          <w:rPr>
            <w:rStyle w:val="Hyperlink"/>
            <w:noProof/>
          </w:rPr>
          <w:t>Anlage 1</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366" w:history="1">
        <w:r w:rsidR="00B33077" w:rsidRPr="00164DA3">
          <w:rPr>
            <w:rStyle w:val="Hyperlink"/>
          </w:rPr>
          <w:t>Stundenermäßigung bei Teilzeit</w:t>
        </w:r>
        <w:r w:rsidR="00B33077" w:rsidRPr="00164DA3">
          <w:rPr>
            <w:rStyle w:val="Hyperlink"/>
            <w:bCs/>
          </w:rPr>
          <w:t xml:space="preserve"> wegen Alters</w:t>
        </w:r>
      </w:hyperlink>
    </w:p>
    <w:p w:rsidR="00B33077" w:rsidRDefault="00C23DFA" w:rsidP="00FB68F3">
      <w:pPr>
        <w:pStyle w:val="Verzeichnis7"/>
        <w:spacing w:before="60"/>
        <w:divId w:val="500198663"/>
        <w:rPr>
          <w:rFonts w:asciiTheme="minorHAnsi" w:eastAsiaTheme="minorEastAsia" w:hAnsiTheme="minorHAnsi" w:cstheme="minorBidi"/>
          <w:sz w:val="22"/>
          <w:szCs w:val="22"/>
        </w:rPr>
      </w:pPr>
      <w:hyperlink w:anchor="_Toc523926367" w:history="1">
        <w:r w:rsidR="00B33077" w:rsidRPr="00164DA3">
          <w:rPr>
            <w:rStyle w:val="Hyperlink"/>
          </w:rPr>
          <w:t>Stundenermäßigung bei Teilzeit</w:t>
        </w:r>
        <w:r w:rsidR="00B33077" w:rsidRPr="00164DA3">
          <w:rPr>
            <w:rStyle w:val="Hyperlink"/>
            <w:bCs/>
          </w:rPr>
          <w:t xml:space="preserve"> wegen Schwerbehinderung</w:t>
        </w:r>
      </w:hyperlink>
    </w:p>
    <w:p w:rsidR="00B33077" w:rsidRDefault="00C23DFA" w:rsidP="00FB68F3">
      <w:pPr>
        <w:pStyle w:val="Verzeichnis6"/>
        <w:divId w:val="500198663"/>
        <w:rPr>
          <w:rFonts w:asciiTheme="minorHAnsi" w:eastAsiaTheme="minorEastAsia" w:hAnsiTheme="minorHAnsi" w:cstheme="minorBidi"/>
          <w:noProof/>
          <w:sz w:val="22"/>
          <w:szCs w:val="22"/>
        </w:rPr>
      </w:pPr>
      <w:hyperlink w:anchor="_Toc523926368" w:history="1">
        <w:r w:rsidR="00B33077" w:rsidRPr="00164DA3">
          <w:rPr>
            <w:rStyle w:val="Hyperlink"/>
            <w:noProof/>
          </w:rPr>
          <w:t>Anlage 2</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369" w:history="1">
        <w:r w:rsidR="00B33077" w:rsidRPr="00164DA3">
          <w:rPr>
            <w:rStyle w:val="Hyperlink"/>
            <w:noProof/>
          </w:rPr>
          <w:t>C, 4. Sonderregelung für Religionslehrer, die nicht unter die Dienstordnung für Religionslehrer im Kirchendienst fallen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370" w:history="1">
        <w:r w:rsidR="00B33077" w:rsidRPr="00164DA3">
          <w:rPr>
            <w:rStyle w:val="Hyperlink"/>
            <w:noProof/>
          </w:rPr>
          <w:t>C, 5. Dienstordnung für Mesnerinnen und Mesner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1"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2" w:history="1">
        <w:r w:rsidR="00B33077" w:rsidRPr="00164DA3">
          <w:rPr>
            <w:rStyle w:val="Hyperlink"/>
            <w:noProof/>
          </w:rPr>
          <w:t>§ 1 Allgemeines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3" w:history="1">
        <w:r w:rsidR="00B33077" w:rsidRPr="00164DA3">
          <w:rPr>
            <w:rStyle w:val="Hyperlink"/>
            <w:noProof/>
          </w:rPr>
          <w:t>§ 2 Anstellungsvoraussetzungen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4" w:history="1">
        <w:r w:rsidR="00B33077" w:rsidRPr="00164DA3">
          <w:rPr>
            <w:rStyle w:val="Hyperlink"/>
            <w:noProof/>
          </w:rPr>
          <w:t>§ 3 Aufgaben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5" w:history="1">
        <w:r w:rsidR="00B33077" w:rsidRPr="00164DA3">
          <w:rPr>
            <w:rStyle w:val="Hyperlink"/>
            <w:noProof/>
          </w:rPr>
          <w:t>§ 4 Anstellungsträger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6" w:history="1">
        <w:r w:rsidR="00B33077" w:rsidRPr="00164DA3">
          <w:rPr>
            <w:rStyle w:val="Hyperlink"/>
            <w:noProof/>
          </w:rPr>
          <w:t>§ 5 Vorgesetzter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7" w:history="1">
        <w:r w:rsidR="00B33077" w:rsidRPr="00164DA3">
          <w:rPr>
            <w:rStyle w:val="Hyperlink"/>
            <w:noProof/>
          </w:rPr>
          <w:t>§ 6 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8" w:history="1">
        <w:r w:rsidR="00B33077" w:rsidRPr="00164DA3">
          <w:rPr>
            <w:rStyle w:val="Hyperlink"/>
            <w:noProof/>
          </w:rPr>
          <w:t>§ 7 Erholungsurlaub</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79" w:history="1">
        <w:r w:rsidR="00B33077" w:rsidRPr="00164DA3">
          <w:rPr>
            <w:rStyle w:val="Hyperlink"/>
            <w:noProof/>
          </w:rPr>
          <w:t>§ 8 Vertretung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0" w:history="1">
        <w:r w:rsidR="00B33077" w:rsidRPr="00164DA3">
          <w:rPr>
            <w:rStyle w:val="Hyperlink"/>
            <w:noProof/>
          </w:rPr>
          <w:t>§ 9 Freizeitausgleich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1" w:history="1">
        <w:r w:rsidR="00B33077" w:rsidRPr="00164DA3">
          <w:rPr>
            <w:rStyle w:val="Hyperlink"/>
            <w:noProof/>
          </w:rPr>
          <w:t>§ 10 Inkraftsetzung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2" w:history="1">
        <w:r w:rsidR="00B33077" w:rsidRPr="00164DA3">
          <w:rPr>
            <w:rStyle w:val="Hyperlink"/>
            <w:noProof/>
          </w:rPr>
          <w:t>Anhang zu §§ 3 und 6 der Dienstordnung für Mesnerinnen und Mesner</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383" w:history="1">
        <w:r w:rsidR="00B33077" w:rsidRPr="00164DA3">
          <w:rPr>
            <w:rStyle w:val="Hyperlink"/>
            <w:noProof/>
          </w:rPr>
          <w:t>C, 6. Dienstordnung für Kirchenmusikerinnen und Kirchenmusiker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4" w:history="1">
        <w:r w:rsidR="00B33077" w:rsidRPr="00164DA3">
          <w:rPr>
            <w:rStyle w:val="Hyperlink"/>
            <w:noProof/>
          </w:rPr>
          <w:t>§ 1 Grundlagen und Aufgaben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5" w:history="1">
        <w:r w:rsidR="00B33077" w:rsidRPr="00164DA3">
          <w:rPr>
            <w:rStyle w:val="Hyperlink"/>
            <w:noProof/>
          </w:rPr>
          <w:t>§ 2 Beschäftigte mit besonderen bzw. regionalen Aufgaben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6" w:history="1">
        <w:r w:rsidR="00B33077" w:rsidRPr="00164DA3">
          <w:rPr>
            <w:rStyle w:val="Hyperlink"/>
            <w:noProof/>
          </w:rPr>
          <w:t>§ 3 Arbeitgeber, Vorgesetzter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7" w:history="1">
        <w:r w:rsidR="00B33077" w:rsidRPr="00164DA3">
          <w:rPr>
            <w:rStyle w:val="Hyperlink"/>
            <w:noProof/>
          </w:rPr>
          <w:t>§ 4 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8" w:history="1">
        <w:r w:rsidR="00B33077" w:rsidRPr="00164DA3">
          <w:rPr>
            <w:rStyle w:val="Hyperlink"/>
            <w:noProof/>
          </w:rPr>
          <w:t>§ 5 Erholungsurlaub/Freizeitausgleich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89" w:history="1">
        <w:r w:rsidR="00B33077" w:rsidRPr="00164DA3">
          <w:rPr>
            <w:rStyle w:val="Hyperlink"/>
            <w:noProof/>
          </w:rPr>
          <w:t>§ 6 Vertretungsfälle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0" w:history="1">
        <w:r w:rsidR="00B33077" w:rsidRPr="00164DA3">
          <w:rPr>
            <w:rStyle w:val="Hyperlink"/>
            <w:noProof/>
          </w:rPr>
          <w:t>§ 7 Fortbildung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1" w:history="1">
        <w:r w:rsidR="00B33077" w:rsidRPr="00164DA3">
          <w:rPr>
            <w:rStyle w:val="Hyperlink"/>
            <w:noProof/>
          </w:rPr>
          <w:t>Anhang zu §§ 1, 3 und 4 der Dienstordnung für Kirchenmusikerinnen und Kirchenmusiker</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392" w:history="1">
        <w:r w:rsidR="00B33077" w:rsidRPr="00164DA3">
          <w:rPr>
            <w:rStyle w:val="Hyperlink"/>
            <w:noProof/>
          </w:rPr>
          <w:t>C, 7. Dienstordnung für das pädagogische Personal in den katholischen Kindertageseinrichtungen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3"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4" w:history="1">
        <w:r w:rsidR="00B33077" w:rsidRPr="00164DA3">
          <w:rPr>
            <w:rStyle w:val="Hyperlink"/>
            <w:noProof/>
          </w:rPr>
          <w:t>§ 1 Grundlagen des Beschäftigungsverhältnisses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5" w:history="1">
        <w:r w:rsidR="00B33077" w:rsidRPr="00164DA3">
          <w:rPr>
            <w:rStyle w:val="Hyperlink"/>
            <w:noProof/>
          </w:rPr>
          <w:t>§ 2 Aufgaben der Leitung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6" w:history="1">
        <w:r w:rsidR="00B33077" w:rsidRPr="00164DA3">
          <w:rPr>
            <w:rStyle w:val="Hyperlink"/>
            <w:noProof/>
          </w:rPr>
          <w:t>§ 3 Ständige Vertretung der Leitung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7" w:history="1">
        <w:r w:rsidR="00B33077" w:rsidRPr="00164DA3">
          <w:rPr>
            <w:rStyle w:val="Hyperlink"/>
            <w:noProof/>
          </w:rPr>
          <w:t>§ 4 Aufgaben der pädagogischen Fachkraft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8" w:history="1">
        <w:r w:rsidR="00B33077" w:rsidRPr="00164DA3">
          <w:rPr>
            <w:rStyle w:val="Hyperlink"/>
            <w:noProof/>
          </w:rPr>
          <w:t>§ 5 Aufgaben der pädagogischen Ergänzungskraft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399" w:history="1">
        <w:r w:rsidR="00B33077" w:rsidRPr="00164DA3">
          <w:rPr>
            <w:rStyle w:val="Hyperlink"/>
            <w:noProof/>
          </w:rPr>
          <w:t>§ 6 Besondere Dienstpflichten aller Beschäftigter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00" w:history="1">
        <w:r w:rsidR="00B33077" w:rsidRPr="00164DA3">
          <w:rPr>
            <w:rStyle w:val="Hyperlink"/>
            <w:noProof/>
          </w:rPr>
          <w:t xml:space="preserve">§ 7 Regelung der Arbeitszeit, </w:t>
        </w:r>
        <w:r w:rsidR="00B33077" w:rsidRPr="00164DA3">
          <w:rPr>
            <w:rStyle w:val="Hyperlink"/>
            <w:noProof/>
            <w:lang w:eastAsia="x-none"/>
          </w:rPr>
          <w:t>mittelbare Tätigkeit und</w:t>
        </w:r>
        <w:r w:rsidR="00B33077" w:rsidRPr="00164DA3">
          <w:rPr>
            <w:rStyle w:val="Hyperlink"/>
            <w:noProof/>
          </w:rPr>
          <w:t xml:space="preserve"> Fortbildung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01" w:history="1">
        <w:r w:rsidR="00B33077" w:rsidRPr="00164DA3">
          <w:rPr>
            <w:rStyle w:val="Hyperlink"/>
            <w:noProof/>
          </w:rPr>
          <w:t>C, 8. Dienstordnung für Beschäftigte im Pfarrbüro</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02" w:history="1">
        <w:r w:rsidR="00B33077" w:rsidRPr="00164DA3">
          <w:rPr>
            <w:rStyle w:val="Hyperlink"/>
            <w:noProof/>
          </w:rPr>
          <w:t>§ 1 Einstellungsvoraussetzungen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03" w:history="1">
        <w:r w:rsidR="00B33077" w:rsidRPr="00164DA3">
          <w:rPr>
            <w:rStyle w:val="Hyperlink"/>
            <w:noProof/>
          </w:rPr>
          <w:t>§ 2 Allgemeine Bestimmungen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04" w:history="1">
        <w:r w:rsidR="00B33077" w:rsidRPr="00164DA3">
          <w:rPr>
            <w:rStyle w:val="Hyperlink"/>
            <w:noProof/>
          </w:rPr>
          <w:t>§ 3 Aufgaben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05" w:history="1">
        <w:r w:rsidR="00B33077" w:rsidRPr="00164DA3">
          <w:rPr>
            <w:rStyle w:val="Hyperlink"/>
            <w:noProof/>
          </w:rPr>
          <w:t>§ 4 Arbeitgeber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06" w:history="1">
        <w:r w:rsidR="00B33077" w:rsidRPr="00164DA3">
          <w:rPr>
            <w:rStyle w:val="Hyperlink"/>
            <w:noProof/>
          </w:rPr>
          <w:t>§ 5 Qualifizierung</w:t>
        </w:r>
      </w:hyperlink>
    </w:p>
    <w:p w:rsidR="00B33077" w:rsidRDefault="00C23DFA" w:rsidP="00B33077">
      <w:pPr>
        <w:pStyle w:val="Verzeichnis5"/>
        <w:divId w:val="500198663"/>
        <w:rPr>
          <w:rStyle w:val="Hyperlink"/>
          <w:noProof/>
        </w:rPr>
      </w:pPr>
      <w:hyperlink w:anchor="_Toc523926407" w:history="1">
        <w:r w:rsidR="00B33077" w:rsidRPr="00164DA3">
          <w:rPr>
            <w:rStyle w:val="Hyperlink"/>
            <w:noProof/>
          </w:rPr>
          <w:t>§ 6 Eingruppierung Vergütung</w:t>
        </w:r>
      </w:hyperlink>
    </w:p>
    <w:p w:rsidR="004B73C6" w:rsidRDefault="004B73C6" w:rsidP="004B73C6">
      <w:pPr>
        <w:divId w:val="500198663"/>
        <w:rPr>
          <w:rFonts w:eastAsiaTheme="minorEastAsia"/>
        </w:rPr>
      </w:pPr>
      <w:r>
        <w:rPr>
          <w:rFonts w:eastAsiaTheme="minorEastAsia"/>
        </w:rPr>
        <w:br w:type="page"/>
      </w:r>
    </w:p>
    <w:p w:rsidR="004B73C6" w:rsidRPr="004B73C6" w:rsidRDefault="004B73C6" w:rsidP="004B73C6">
      <w:pPr>
        <w:divId w:val="500198663"/>
        <w:rPr>
          <w:rFonts w:eastAsiaTheme="minorEastAsia"/>
        </w:rPr>
      </w:pPr>
    </w:p>
    <w:p w:rsidR="00B33077" w:rsidRDefault="00C23DFA" w:rsidP="00CC12D3">
      <w:pPr>
        <w:pStyle w:val="Verzeichnis3"/>
        <w:divId w:val="500198663"/>
        <w:rPr>
          <w:rFonts w:asciiTheme="minorHAnsi" w:eastAsiaTheme="minorEastAsia" w:hAnsiTheme="minorHAnsi" w:cstheme="minorBidi"/>
          <w:sz w:val="22"/>
          <w:szCs w:val="22"/>
        </w:rPr>
      </w:pPr>
      <w:hyperlink w:anchor="_Toc523926408" w:history="1">
        <w:r w:rsidR="00B33077" w:rsidRPr="00164DA3">
          <w:rPr>
            <w:rStyle w:val="Hyperlink"/>
          </w:rPr>
          <w:t>Teil D: Sonstige Regelungen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09" w:history="1">
        <w:r w:rsidR="00B33077" w:rsidRPr="00164DA3">
          <w:rPr>
            <w:rStyle w:val="Hyperlink"/>
            <w:noProof/>
          </w:rPr>
          <w:t>D, 1. Regelung zur Aufnahme kirchenspezifischer Bestandteile in die Arbeitsverträge in den bayerischen Diözesen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10" w:history="1">
        <w:r w:rsidR="00B33077" w:rsidRPr="00164DA3">
          <w:rPr>
            <w:rStyle w:val="Hyperlink"/>
            <w:noProof/>
          </w:rPr>
          <w:t>D, 2. Regelung zur Kontrolle der Nutzungsbeschränkung von Internet-Diensten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11"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12" w:history="1">
        <w:r w:rsidR="00B33077" w:rsidRPr="00164DA3">
          <w:rPr>
            <w:rStyle w:val="Hyperlink"/>
            <w:noProof/>
          </w:rPr>
          <w:t>§ 2 Nutzungsbeschränkung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13" w:history="1">
        <w:r w:rsidR="00B33077" w:rsidRPr="00164DA3">
          <w:rPr>
            <w:rStyle w:val="Hyperlink"/>
            <w:noProof/>
          </w:rPr>
          <w:t>§ 3 Verpflichtung zum Datenschutz</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14" w:history="1">
        <w:r w:rsidR="00B33077" w:rsidRPr="00164DA3">
          <w:rPr>
            <w:rStyle w:val="Hyperlink"/>
            <w:noProof/>
          </w:rPr>
          <w:t>§ 4 Protokollierung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15" w:history="1">
        <w:r w:rsidR="00B33077" w:rsidRPr="00164DA3">
          <w:rPr>
            <w:rStyle w:val="Hyperlink"/>
            <w:noProof/>
          </w:rPr>
          <w:t>§ 5 Auswertung der Protokolldaten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16" w:history="1">
        <w:r w:rsidR="00B33077" w:rsidRPr="00164DA3">
          <w:rPr>
            <w:rStyle w:val="Hyperlink"/>
            <w:noProof/>
          </w:rPr>
          <w:t>§ 6 Allgemeine Verfahrensweise</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17" w:history="1">
        <w:r w:rsidR="00B33077" w:rsidRPr="00164DA3">
          <w:rPr>
            <w:rStyle w:val="Hyperlink"/>
            <w:noProof/>
          </w:rPr>
          <w:t>D, 3. Kirchliche Arbeitszeitordnung (KAZO)</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18" w:history="1">
        <w:r w:rsidR="00B33077" w:rsidRPr="00164DA3">
          <w:rPr>
            <w:rStyle w:val="Hyperlink"/>
            <w:noProof/>
          </w:rPr>
          <w:t>A. Arbeitszeitregelungen für kirchenspezifische Tätigkeiten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19" w:history="1">
        <w:r w:rsidR="00B33077" w:rsidRPr="00164DA3">
          <w:rPr>
            <w:rStyle w:val="Hyperlink"/>
            <w:noProof/>
          </w:rPr>
          <w:t>§ 1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0" w:history="1">
        <w:r w:rsidR="00B33077" w:rsidRPr="00164DA3">
          <w:rPr>
            <w:rStyle w:val="Hyperlink"/>
            <w:noProof/>
          </w:rPr>
          <w:t>§ 2 Personengruppen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1" w:history="1">
        <w:r w:rsidR="00B33077" w:rsidRPr="00164DA3">
          <w:rPr>
            <w:rStyle w:val="Hyperlink"/>
            <w:noProof/>
          </w:rPr>
          <w:t>§ 3 Werktägliche Arbeitszeit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2" w:history="1">
        <w:r w:rsidR="00B33077" w:rsidRPr="00164DA3">
          <w:rPr>
            <w:rStyle w:val="Hyperlink"/>
            <w:noProof/>
          </w:rPr>
          <w:t>§ 4 Zielgruppenorientierte Arbeitszeit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3" w:history="1">
        <w:r w:rsidR="00B33077" w:rsidRPr="00164DA3">
          <w:rPr>
            <w:rStyle w:val="Hyperlink"/>
            <w:noProof/>
          </w:rPr>
          <w:t>§ 5 Tägliche Arbeitszeit in Sonderfällen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4" w:history="1">
        <w:r w:rsidR="00B33077" w:rsidRPr="00164DA3">
          <w:rPr>
            <w:rStyle w:val="Hyperlink"/>
            <w:noProof/>
          </w:rPr>
          <w:t>§ 6 Ruhepausen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5" w:history="1">
        <w:r w:rsidR="00B33077" w:rsidRPr="00164DA3">
          <w:rPr>
            <w:rStyle w:val="Hyperlink"/>
            <w:noProof/>
          </w:rPr>
          <w:t>§ 7 Ruhezeiten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6" w:history="1">
        <w:r w:rsidR="00B33077" w:rsidRPr="00164DA3">
          <w:rPr>
            <w:rStyle w:val="Hyperlink"/>
            <w:noProof/>
          </w:rPr>
          <w:t>§ 8 Ausgleich für Feiertagsbeschäftigung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7" w:history="1">
        <w:r w:rsidR="00B33077" w:rsidRPr="00164DA3">
          <w:rPr>
            <w:rStyle w:val="Hyperlink"/>
            <w:noProof/>
          </w:rPr>
          <w:t>§ 9 Geltung des Arbeitszeitgesetzes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28" w:history="1">
        <w:r w:rsidR="00B33077" w:rsidRPr="00164DA3">
          <w:rPr>
            <w:rStyle w:val="Hyperlink"/>
            <w:noProof/>
          </w:rPr>
          <w:t>B. Arbeitszeitregelungen für Beschäftigte im liturgischen 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29" w:history="1">
        <w:r w:rsidR="00B33077" w:rsidRPr="00164DA3">
          <w:rPr>
            <w:rStyle w:val="Hyperlink"/>
            <w:noProof/>
          </w:rPr>
          <w:t>§ 10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30" w:history="1">
        <w:r w:rsidR="00B33077" w:rsidRPr="00164DA3">
          <w:rPr>
            <w:rStyle w:val="Hyperlink"/>
            <w:noProof/>
          </w:rPr>
          <w:t>§ 11 Arbeitszeit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31" w:history="1">
        <w:r w:rsidR="00B33077" w:rsidRPr="00164DA3">
          <w:rPr>
            <w:rStyle w:val="Hyperlink"/>
            <w:noProof/>
          </w:rPr>
          <w:t>§ 12 Ruhezeiten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32" w:history="1">
        <w:r w:rsidR="00B33077" w:rsidRPr="00164DA3">
          <w:rPr>
            <w:rStyle w:val="Hyperlink"/>
            <w:noProof/>
          </w:rPr>
          <w:t>§ 13 Arbeit an Sonn- und Feiertagen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33" w:history="1">
        <w:r w:rsidR="00B33077" w:rsidRPr="00164DA3">
          <w:rPr>
            <w:rStyle w:val="Hyperlink"/>
            <w:noProof/>
          </w:rPr>
          <w:t>§ 14 In-Kraft-Treten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34" w:history="1">
        <w:r w:rsidR="00B33077" w:rsidRPr="00164DA3">
          <w:rPr>
            <w:rStyle w:val="Hyperlink"/>
            <w:noProof/>
          </w:rPr>
          <w:t>D, 4. Arbeitszeitkontenregelung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35"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36"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37" w:history="1">
        <w:r w:rsidR="00B33077" w:rsidRPr="00164DA3">
          <w:rPr>
            <w:rStyle w:val="Hyperlink"/>
            <w:noProof/>
          </w:rPr>
          <w:t>§ 2 Antragstellung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38" w:history="1">
        <w:r w:rsidR="00B33077" w:rsidRPr="00164DA3">
          <w:rPr>
            <w:rStyle w:val="Hyperlink"/>
            <w:noProof/>
          </w:rPr>
          <w:t>§ 3 Arbeitszeitnachweis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39" w:history="1">
        <w:r w:rsidR="00B33077" w:rsidRPr="00164DA3">
          <w:rPr>
            <w:rStyle w:val="Hyperlink"/>
            <w:noProof/>
          </w:rPr>
          <w:t>§ 4 Regelmäßige durchschnittliche wöchentliche 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0" w:history="1">
        <w:r w:rsidR="00B33077" w:rsidRPr="00164DA3">
          <w:rPr>
            <w:rStyle w:val="Hyperlink"/>
            <w:noProof/>
          </w:rPr>
          <w:t>§ 5 Arbeitszeitkonto</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1" w:history="1">
        <w:r w:rsidR="00B33077" w:rsidRPr="00164DA3">
          <w:rPr>
            <w:rStyle w:val="Hyperlink"/>
            <w:noProof/>
          </w:rPr>
          <w:t>§ 6 Anrechenbare Zeiten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2" w:history="1">
        <w:r w:rsidR="00B33077" w:rsidRPr="00164DA3">
          <w:rPr>
            <w:rStyle w:val="Hyperlink"/>
            <w:noProof/>
          </w:rPr>
          <w:t>§ 7 Ausgleich für Sonderformen der Arbeit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3" w:history="1">
        <w:r w:rsidR="00B33077" w:rsidRPr="00164DA3">
          <w:rPr>
            <w:rStyle w:val="Hyperlink"/>
            <w:noProof/>
          </w:rPr>
          <w:t>§ 8 Bereitschaftsdienst/Rufbereitschaft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4" w:history="1">
        <w:r w:rsidR="00B33077" w:rsidRPr="00164DA3">
          <w:rPr>
            <w:rStyle w:val="Hyperlink"/>
            <w:noProof/>
          </w:rPr>
          <w:t>§ 9 Inanspruchnahme von Zeitguthaben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5" w:history="1">
        <w:r w:rsidR="00B33077" w:rsidRPr="00164DA3">
          <w:rPr>
            <w:rStyle w:val="Hyperlink"/>
            <w:noProof/>
          </w:rPr>
          <w:t>§ 10 Vereinbarung zum Arbeitsvertrag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6" w:history="1">
        <w:r w:rsidR="00B33077" w:rsidRPr="00164DA3">
          <w:rPr>
            <w:rStyle w:val="Hyperlink"/>
            <w:noProof/>
          </w:rPr>
          <w:t>§ 11 Beschäftigungs-/Einrichtungswechsel/Ausscheiden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7" w:history="1">
        <w:r w:rsidR="00B33077" w:rsidRPr="00164DA3">
          <w:rPr>
            <w:rStyle w:val="Hyperlink"/>
            <w:noProof/>
          </w:rPr>
          <w:t>§ 12 Beendigung/Überführung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8" w:history="1">
        <w:r w:rsidR="00B33077" w:rsidRPr="00164DA3">
          <w:rPr>
            <w:rStyle w:val="Hyperlink"/>
            <w:noProof/>
          </w:rPr>
          <w:t>§ 13 Todesfall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49" w:history="1">
        <w:r w:rsidR="00B33077" w:rsidRPr="00164DA3">
          <w:rPr>
            <w:rStyle w:val="Hyperlink"/>
            <w:noProof/>
          </w:rPr>
          <w:t>§ 14 Abgeltung von Zeitguthaben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0" w:history="1">
        <w:r w:rsidR="00B33077" w:rsidRPr="00164DA3">
          <w:rPr>
            <w:rStyle w:val="Hyperlink"/>
            <w:noProof/>
          </w:rPr>
          <w:t>§ 15 Kündigung des Arbeitszeitkontos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1" w:history="1">
        <w:r w:rsidR="00B33077" w:rsidRPr="00164DA3">
          <w:rPr>
            <w:rStyle w:val="Hyperlink"/>
            <w:noProof/>
          </w:rPr>
          <w:t>§ 16 Laufzeit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2" w:history="1">
        <w:r w:rsidR="00B33077" w:rsidRPr="00164DA3">
          <w:rPr>
            <w:rStyle w:val="Hyperlink"/>
            <w:noProof/>
          </w:rPr>
          <w:t>Anlage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3" w:history="1">
        <w:r w:rsidR="00B33077" w:rsidRPr="00164DA3">
          <w:rPr>
            <w:rStyle w:val="Hyperlink"/>
            <w:noProof/>
          </w:rPr>
          <w:t>Anlage für Religionslehrer und Religionslehrerinnen im Kirchendienst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4" w:history="1">
        <w:r w:rsidR="00B33077" w:rsidRPr="00164DA3">
          <w:rPr>
            <w:rStyle w:val="Hyperlink"/>
            <w:noProof/>
          </w:rPr>
          <w:t>Anlage für Lehrkräfte an Schulen in kirchlicher Trägerschaft</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55" w:history="1">
        <w:r w:rsidR="00B33077" w:rsidRPr="00164DA3">
          <w:rPr>
            <w:rStyle w:val="Hyperlink"/>
            <w:noProof/>
          </w:rPr>
          <w:t>D, 5. Sabbatjahrregelung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6"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7"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8" w:history="1">
        <w:r w:rsidR="00B33077" w:rsidRPr="00164DA3">
          <w:rPr>
            <w:rStyle w:val="Hyperlink"/>
            <w:noProof/>
          </w:rPr>
          <w:t>§ 2 Antragstellung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59" w:history="1">
        <w:r w:rsidR="00B33077" w:rsidRPr="00164DA3">
          <w:rPr>
            <w:rStyle w:val="Hyperlink"/>
            <w:noProof/>
          </w:rPr>
          <w:t>§ 3 Regelmäßige durchschnittliche wöchentliche 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0" w:history="1">
        <w:r w:rsidR="00B33077" w:rsidRPr="00164DA3">
          <w:rPr>
            <w:rStyle w:val="Hyperlink"/>
            <w:noProof/>
          </w:rPr>
          <w:t>§ 4 Ansparkonto</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1" w:history="1">
        <w:r w:rsidR="00B33077" w:rsidRPr="00164DA3">
          <w:rPr>
            <w:rStyle w:val="Hyperlink"/>
            <w:noProof/>
          </w:rPr>
          <w:t>§ 5 Bezüge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2" w:history="1">
        <w:r w:rsidR="00B33077" w:rsidRPr="00164DA3">
          <w:rPr>
            <w:rStyle w:val="Hyperlink"/>
            <w:noProof/>
          </w:rPr>
          <w:t>§ 6 Vorzeitige Beendigung/Überführung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3" w:history="1">
        <w:r w:rsidR="00B33077" w:rsidRPr="00164DA3">
          <w:rPr>
            <w:rStyle w:val="Hyperlink"/>
            <w:noProof/>
          </w:rPr>
          <w:t>§ 7 Todesfall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4" w:history="1">
        <w:r w:rsidR="00B33077" w:rsidRPr="00164DA3">
          <w:rPr>
            <w:rStyle w:val="Hyperlink"/>
            <w:noProof/>
          </w:rPr>
          <w:t>§ 8 In-Kraft-Treten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5" w:history="1">
        <w:r w:rsidR="00B33077" w:rsidRPr="00164DA3">
          <w:rPr>
            <w:rStyle w:val="Hyperlink"/>
            <w:noProof/>
          </w:rPr>
          <w:t>Anlage (Mustervereinbarung)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6" w:history="1">
        <w:r w:rsidR="00B33077" w:rsidRPr="00164DA3">
          <w:rPr>
            <w:rStyle w:val="Hyperlink"/>
            <w:noProof/>
          </w:rPr>
          <w:t>Anlage zur Mustervereinbarung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67" w:history="1">
        <w:r w:rsidR="00B33077" w:rsidRPr="00164DA3">
          <w:rPr>
            <w:rStyle w:val="Hyperlink"/>
            <w:noProof/>
          </w:rPr>
          <w:t>D, 6. Regelung der Altersteilzeitarbeit*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8"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69" w:history="1">
        <w:r w:rsidR="00B33077" w:rsidRPr="00164DA3">
          <w:rPr>
            <w:rStyle w:val="Hyperlink"/>
            <w:noProof/>
          </w:rPr>
          <w:t>§ 2 Voraussetzungen der Altersteilzeitarbeit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0" w:history="1">
        <w:r w:rsidR="00B33077" w:rsidRPr="00164DA3">
          <w:rPr>
            <w:rStyle w:val="Hyperlink"/>
            <w:noProof/>
          </w:rPr>
          <w:t>§ 3 Reduzierung und Verteilung der 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1" w:history="1">
        <w:r w:rsidR="00B33077" w:rsidRPr="00164DA3">
          <w:rPr>
            <w:rStyle w:val="Hyperlink"/>
            <w:noProof/>
          </w:rPr>
          <w:t>§ 4 Höhe des Entgelts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2" w:history="1">
        <w:r w:rsidR="00B33077" w:rsidRPr="00164DA3">
          <w:rPr>
            <w:rStyle w:val="Hyperlink"/>
            <w:noProof/>
          </w:rPr>
          <w:t>§ 5 Aufstockungsleistungen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3" w:history="1">
        <w:r w:rsidR="00B33077" w:rsidRPr="00164DA3">
          <w:rPr>
            <w:rStyle w:val="Hyperlink"/>
            <w:noProof/>
          </w:rPr>
          <w:t>§ 6 Nebentätigkeit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4" w:history="1">
        <w:r w:rsidR="00B33077" w:rsidRPr="00164DA3">
          <w:rPr>
            <w:rStyle w:val="Hyperlink"/>
            <w:noProof/>
          </w:rPr>
          <w:t>§ 7 Urlaub</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5" w:history="1">
        <w:r w:rsidR="00B33077" w:rsidRPr="00164DA3">
          <w:rPr>
            <w:rStyle w:val="Hyperlink"/>
            <w:noProof/>
          </w:rPr>
          <w:t>§ 8 Nichtbestehen bzw. Ruhen der Aufstockungsleistungen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6" w:history="1">
        <w:r w:rsidR="00B33077" w:rsidRPr="00164DA3">
          <w:rPr>
            <w:rStyle w:val="Hyperlink"/>
            <w:noProof/>
          </w:rPr>
          <w:t>§ 9 Ende des Arbeitsverhältnisses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7" w:history="1">
        <w:r w:rsidR="00B33077" w:rsidRPr="00164DA3">
          <w:rPr>
            <w:rStyle w:val="Hyperlink"/>
            <w:noProof/>
          </w:rPr>
          <w:t>§ 10 Mitwirkungspflicht</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78" w:history="1">
        <w:r w:rsidR="00B33077" w:rsidRPr="00164DA3">
          <w:rPr>
            <w:rStyle w:val="Hyperlink"/>
            <w:noProof/>
          </w:rPr>
          <w:t>D, 6a. Regelung zu flexiblen Arbeitszeitregelungen für ältere Beschäftigte - FlexAZR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79" w:history="1">
        <w:r w:rsidR="00B33077" w:rsidRPr="00164DA3">
          <w:rPr>
            <w:rStyle w:val="Hyperlink"/>
            <w:noProof/>
          </w:rPr>
          <w:t>I.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0"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81" w:history="1">
        <w:r w:rsidR="00B33077" w:rsidRPr="00164DA3">
          <w:rPr>
            <w:rStyle w:val="Hyperlink"/>
            <w:noProof/>
          </w:rPr>
          <w:t>II. Altersteilzeit (ATZ)</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2" w:history="1">
        <w:r w:rsidR="00B33077" w:rsidRPr="00164DA3">
          <w:rPr>
            <w:rStyle w:val="Hyperlink"/>
            <w:noProof/>
          </w:rPr>
          <w:t>§ 2 Inanspruchnahme von Altersteilzeit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3" w:history="1">
        <w:r w:rsidR="00B33077" w:rsidRPr="00164DA3">
          <w:rPr>
            <w:rStyle w:val="Hyperlink"/>
            <w:noProof/>
          </w:rPr>
          <w:t>§ 3 Altersteilzeit in Restrukturierungs- und Stellenabbaubereichen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4" w:history="1">
        <w:r w:rsidR="00B33077" w:rsidRPr="00164DA3">
          <w:rPr>
            <w:rStyle w:val="Hyperlink"/>
            <w:noProof/>
          </w:rPr>
          <w:t>§ 4 Altersteilzeit im Übrigen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5" w:history="1">
        <w:r w:rsidR="00B33077" w:rsidRPr="00164DA3">
          <w:rPr>
            <w:rStyle w:val="Hyperlink"/>
            <w:noProof/>
          </w:rPr>
          <w:t>§ 5 Persönliche Voraussetzungen für Altersteilzeit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6" w:history="1">
        <w:r w:rsidR="00B33077" w:rsidRPr="00164DA3">
          <w:rPr>
            <w:rStyle w:val="Hyperlink"/>
            <w:noProof/>
          </w:rPr>
          <w:t>§ 6 Vereinbarung eines Altersteilzeitarbeitsverhältnisses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7" w:history="1">
        <w:r w:rsidR="00B33077" w:rsidRPr="00164DA3">
          <w:rPr>
            <w:rStyle w:val="Hyperlink"/>
            <w:noProof/>
          </w:rPr>
          <w:t>§ 7 Entgelt und Aufstockungsleistungen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8" w:history="1">
        <w:r w:rsidR="00B33077" w:rsidRPr="00164DA3">
          <w:rPr>
            <w:rStyle w:val="Hyperlink"/>
            <w:noProof/>
          </w:rPr>
          <w:t>§ 8 Verteilung des Urlaubs im Blockmodell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89" w:history="1">
        <w:r w:rsidR="00B33077" w:rsidRPr="00164DA3">
          <w:rPr>
            <w:rStyle w:val="Hyperlink"/>
            <w:noProof/>
          </w:rPr>
          <w:t>§ 9 Nebentätigkeit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90" w:history="1">
        <w:r w:rsidR="00B33077" w:rsidRPr="00164DA3">
          <w:rPr>
            <w:rStyle w:val="Hyperlink"/>
            <w:noProof/>
          </w:rPr>
          <w:t>§ 10 Verlängerung der Arbeitsphase im Blockmodell bei Krankheit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91" w:history="1">
        <w:r w:rsidR="00B33077" w:rsidRPr="00164DA3">
          <w:rPr>
            <w:rStyle w:val="Hyperlink"/>
            <w:noProof/>
          </w:rPr>
          <w:t>§ 11 Ende des Arbeitsverhältnisses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92" w:history="1">
        <w:r w:rsidR="00B33077" w:rsidRPr="00164DA3">
          <w:rPr>
            <w:rStyle w:val="Hyperlink"/>
            <w:noProof/>
          </w:rPr>
          <w:t>§ 12 Dienstvereinbarungen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93" w:history="1">
        <w:r w:rsidR="00B33077" w:rsidRPr="00164DA3">
          <w:rPr>
            <w:rStyle w:val="Hyperlink"/>
            <w:noProof/>
          </w:rPr>
          <w:t>III. Flexible Altersarbeitszeit (FALTER)</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94" w:history="1">
        <w:r w:rsidR="00B33077" w:rsidRPr="00164DA3">
          <w:rPr>
            <w:rStyle w:val="Hyperlink"/>
            <w:noProof/>
          </w:rPr>
          <w:t>§ 13 Flexible Altersarbeitszeit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95" w:history="1">
        <w:r w:rsidR="00B33077" w:rsidRPr="00164DA3">
          <w:rPr>
            <w:rStyle w:val="Hyperlink"/>
            <w:noProof/>
          </w:rPr>
          <w:t>IV. Übergangs- und Schlussvorschriften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496" w:history="1">
        <w:r w:rsidR="00B33077" w:rsidRPr="00164DA3">
          <w:rPr>
            <w:rStyle w:val="Hyperlink"/>
            <w:noProof/>
          </w:rPr>
          <w:t>§ 14 Übergangsvorschriften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497" w:history="1">
        <w:r w:rsidR="00B33077" w:rsidRPr="00164DA3">
          <w:rPr>
            <w:rStyle w:val="Hyperlink"/>
            <w:noProof/>
          </w:rPr>
          <w:t>D, 7. Regelung über die Bewertung der Personalunterkünfte für Beschäftigte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98"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499" w:history="1">
        <w:r w:rsidR="00B33077" w:rsidRPr="00164DA3">
          <w:rPr>
            <w:rStyle w:val="Hyperlink"/>
            <w:noProof/>
          </w:rPr>
          <w:t>§ 2 Personalunterkünfte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00" w:history="1">
        <w:r w:rsidR="00B33077" w:rsidRPr="00164DA3">
          <w:rPr>
            <w:rStyle w:val="Hyperlink"/>
            <w:noProof/>
          </w:rPr>
          <w:t>§ 3 Bewertung der Personalunterkünfte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01" w:history="1">
        <w:r w:rsidR="00B33077" w:rsidRPr="00164DA3">
          <w:rPr>
            <w:rStyle w:val="Hyperlink"/>
            <w:noProof/>
          </w:rPr>
          <w:t>§ 4 Anpassung des Wertes der Personalunterkünfte</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502" w:history="1">
        <w:r w:rsidR="00B33077" w:rsidRPr="00164DA3">
          <w:rPr>
            <w:rStyle w:val="Hyperlink"/>
            <w:noProof/>
          </w:rPr>
          <w:t>D, 8. Regelung über eine ergänzende Leistung an Beschäftigte und Auszubildende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03"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04" w:history="1">
        <w:r w:rsidR="00B33077" w:rsidRPr="00164DA3">
          <w:rPr>
            <w:rStyle w:val="Hyperlink"/>
            <w:noProof/>
          </w:rPr>
          <w:t>§ 2 Voraussetzungen und Höhe der ergänzenden Leistung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05" w:history="1">
        <w:r w:rsidR="00B33077" w:rsidRPr="00164DA3">
          <w:rPr>
            <w:rStyle w:val="Hyperlink"/>
            <w:noProof/>
          </w:rPr>
          <w:t>§ 3 Ergänzende Leistung für Kinder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06" w:history="1">
        <w:r w:rsidR="00B33077" w:rsidRPr="00164DA3">
          <w:rPr>
            <w:rStyle w:val="Hyperlink"/>
            <w:noProof/>
          </w:rPr>
          <w:t>§ 4 Allgemeine Bestimmungen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07" w:history="1">
        <w:r w:rsidR="00B33077" w:rsidRPr="00164DA3">
          <w:rPr>
            <w:rStyle w:val="Hyperlink"/>
            <w:noProof/>
          </w:rPr>
          <w:t>§ 5 Übergangsbestimmungen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08" w:history="1">
        <w:r w:rsidR="00B33077" w:rsidRPr="00164DA3">
          <w:rPr>
            <w:rStyle w:val="Hyperlink"/>
            <w:noProof/>
          </w:rPr>
          <w:t>§ 6 Änderungen, Außer-Kraft-Treten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509" w:history="1">
        <w:r w:rsidR="00B33077" w:rsidRPr="00164DA3">
          <w:rPr>
            <w:rStyle w:val="Hyperlink"/>
            <w:noProof/>
          </w:rPr>
          <w:t>D, 9. Reisekostenordnung der bayerischen Diözesen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10"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11" w:history="1">
        <w:r w:rsidR="00B33077" w:rsidRPr="00164DA3">
          <w:rPr>
            <w:rStyle w:val="Hyperlink"/>
            <w:noProof/>
          </w:rPr>
          <w:t>Abschnitt I</w:t>
        </w:r>
        <w:r w:rsidR="00B33077" w:rsidRPr="00164DA3">
          <w:rPr>
            <w:rStyle w:val="Hyperlink"/>
            <w:noProof/>
            <w:lang w:eastAsia="x-none"/>
          </w:rPr>
          <w:t xml:space="preserve">: </w:t>
        </w:r>
        <w:r w:rsidR="00B33077" w:rsidRPr="00164DA3">
          <w:rPr>
            <w:rStyle w:val="Hyperlink"/>
            <w:noProof/>
          </w:rPr>
          <w:t>Allgemeines</w:t>
        </w:r>
        <w:r w:rsidR="00B33077" w:rsidRPr="00164DA3">
          <w:rPr>
            <w:rStyle w:val="Hyperlink"/>
            <w:noProof/>
            <w:lang w:eastAsia="x-none"/>
          </w:rPr>
          <w:t xml:space="preserve"> (§ 1)</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12" w:history="1">
        <w:r w:rsidR="00B33077" w:rsidRPr="00164DA3">
          <w:rPr>
            <w:rStyle w:val="Hyperlink"/>
            <w:noProof/>
          </w:rPr>
          <w:t>§ 1</w:t>
        </w:r>
        <w:r w:rsidR="00B33077" w:rsidRPr="00164DA3">
          <w:rPr>
            <w:rStyle w:val="Hyperlink"/>
            <w:noProof/>
            <w:lang w:eastAsia="x-none"/>
          </w:rPr>
          <w:t xml:space="preserve"> </w:t>
        </w:r>
        <w:r w:rsidR="00B33077" w:rsidRPr="00164DA3">
          <w:rPr>
            <w:rStyle w:val="Hyperlink"/>
            <w:noProof/>
          </w:rPr>
          <w:t>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13" w:history="1">
        <w:r w:rsidR="00B33077" w:rsidRPr="00164DA3">
          <w:rPr>
            <w:rStyle w:val="Hyperlink"/>
            <w:noProof/>
          </w:rPr>
          <w:t>Abschnitt II</w:t>
        </w:r>
        <w:r w:rsidR="00B33077" w:rsidRPr="00164DA3">
          <w:rPr>
            <w:rStyle w:val="Hyperlink"/>
            <w:noProof/>
            <w:lang w:eastAsia="x-none"/>
          </w:rPr>
          <w:t xml:space="preserve">: </w:t>
        </w:r>
        <w:r w:rsidR="00B33077" w:rsidRPr="00164DA3">
          <w:rPr>
            <w:rStyle w:val="Hyperlink"/>
            <w:noProof/>
          </w:rPr>
          <w:t>Reisekostenvergütung</w:t>
        </w:r>
        <w:r w:rsidR="00B33077" w:rsidRPr="00164DA3">
          <w:rPr>
            <w:rStyle w:val="Hyperlink"/>
            <w:noProof/>
            <w:lang w:eastAsia="x-none"/>
          </w:rPr>
          <w:t xml:space="preserve"> (§§ 2-22)</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14" w:history="1">
        <w:r w:rsidR="00B33077" w:rsidRPr="00164DA3">
          <w:rPr>
            <w:rStyle w:val="Hyperlink"/>
            <w:noProof/>
          </w:rPr>
          <w:t>§ 2</w:t>
        </w:r>
        <w:r w:rsidR="00B33077" w:rsidRPr="00164DA3">
          <w:rPr>
            <w:rStyle w:val="Hyperlink"/>
            <w:noProof/>
            <w:lang w:eastAsia="x-none"/>
          </w:rPr>
          <w:t xml:space="preserve"> </w:t>
        </w:r>
        <w:r w:rsidR="00B33077" w:rsidRPr="00164DA3">
          <w:rPr>
            <w:rStyle w:val="Hyperlink"/>
            <w:noProof/>
          </w:rPr>
          <w:t>Begriffsbestimmungen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15" w:history="1">
        <w:r w:rsidR="00B33077" w:rsidRPr="00164DA3">
          <w:rPr>
            <w:rStyle w:val="Hyperlink"/>
            <w:noProof/>
          </w:rPr>
          <w:t>§ 3</w:t>
        </w:r>
        <w:r w:rsidR="00B33077" w:rsidRPr="00164DA3">
          <w:rPr>
            <w:rStyle w:val="Hyperlink"/>
            <w:noProof/>
            <w:lang w:eastAsia="x-none"/>
          </w:rPr>
          <w:t xml:space="preserve"> </w:t>
        </w:r>
        <w:r w:rsidR="00B33077" w:rsidRPr="00164DA3">
          <w:rPr>
            <w:rStyle w:val="Hyperlink"/>
            <w:noProof/>
          </w:rPr>
          <w:t>Anspruch auf Reisekostenvergütung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16" w:history="1">
        <w:r w:rsidR="00B33077" w:rsidRPr="00164DA3">
          <w:rPr>
            <w:rStyle w:val="Hyperlink"/>
            <w:noProof/>
          </w:rPr>
          <w:t>§ 4</w:t>
        </w:r>
        <w:r w:rsidR="00B33077" w:rsidRPr="00164DA3">
          <w:rPr>
            <w:rStyle w:val="Hyperlink"/>
            <w:noProof/>
            <w:lang w:eastAsia="x-none"/>
          </w:rPr>
          <w:t xml:space="preserve"> </w:t>
        </w:r>
        <w:r w:rsidR="00B33077" w:rsidRPr="00164DA3">
          <w:rPr>
            <w:rStyle w:val="Hyperlink"/>
            <w:noProof/>
          </w:rPr>
          <w:t>Art der Reisekostenvergütung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17" w:history="1">
        <w:r w:rsidR="00B33077" w:rsidRPr="00164DA3">
          <w:rPr>
            <w:rStyle w:val="Hyperlink"/>
            <w:noProof/>
          </w:rPr>
          <w:t>§ 5 Fahrkostenerstattung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18" w:history="1">
        <w:r w:rsidR="00B33077" w:rsidRPr="00164DA3">
          <w:rPr>
            <w:rStyle w:val="Hyperlink"/>
            <w:noProof/>
          </w:rPr>
          <w:t>§ 6 Wegstrecken- und Mitnahmeentschädigung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19" w:history="1">
        <w:r w:rsidR="00B33077" w:rsidRPr="00164DA3">
          <w:rPr>
            <w:rStyle w:val="Hyperlink"/>
            <w:noProof/>
          </w:rPr>
          <w:t>§ 7 Dauer der Dienstreise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0" w:history="1">
        <w:r w:rsidR="00B33077" w:rsidRPr="00164DA3">
          <w:rPr>
            <w:rStyle w:val="Hyperlink"/>
            <w:noProof/>
          </w:rPr>
          <w:t>§ 8 Tagegeld</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1" w:history="1">
        <w:r w:rsidR="00B33077" w:rsidRPr="00164DA3">
          <w:rPr>
            <w:rStyle w:val="Hyperlink"/>
            <w:noProof/>
          </w:rPr>
          <w:t>§ 9 Übernachtungsgeld</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2" w:history="1">
        <w:r w:rsidR="00B33077" w:rsidRPr="00164DA3">
          <w:rPr>
            <w:rStyle w:val="Hyperlink"/>
            <w:noProof/>
          </w:rPr>
          <w:t>§ 10 Erstattung der Auslagen bei längerem Aufenthalt am Geschäftsort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3" w:history="1">
        <w:r w:rsidR="00B33077" w:rsidRPr="00164DA3">
          <w:rPr>
            <w:rStyle w:val="Hyperlink"/>
            <w:noProof/>
          </w:rPr>
          <w:t>§ 11 Kürzung des Tage- und Übernachtungsgeldes und der Vergütung nach</w:t>
        </w:r>
        <w:r w:rsidR="00B33077" w:rsidRPr="00164DA3">
          <w:rPr>
            <w:rStyle w:val="Hyperlink"/>
            <w:noProof/>
            <w:lang w:eastAsia="x-none"/>
          </w:rPr>
          <w:t> </w:t>
        </w:r>
        <w:r w:rsidR="00B33077" w:rsidRPr="00164DA3">
          <w:rPr>
            <w:rStyle w:val="Hyperlink"/>
            <w:noProof/>
          </w:rPr>
          <w:t>§</w:t>
        </w:r>
        <w:r w:rsidR="00B33077" w:rsidRPr="00164DA3">
          <w:rPr>
            <w:rStyle w:val="Hyperlink"/>
            <w:noProof/>
            <w:lang w:eastAsia="x-none"/>
          </w:rPr>
          <w:t> </w:t>
        </w:r>
        <w:r w:rsidR="00B33077" w:rsidRPr="00164DA3">
          <w:rPr>
            <w:rStyle w:val="Hyperlink"/>
            <w:noProof/>
          </w:rPr>
          <w:t>10 Absatz 1</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4" w:history="1">
        <w:r w:rsidR="00B33077" w:rsidRPr="00164DA3">
          <w:rPr>
            <w:rStyle w:val="Hyperlink"/>
            <w:noProof/>
          </w:rPr>
          <w:t>§ 12 Erstattung der Nebenkosten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5" w:history="1">
        <w:r w:rsidR="00B33077" w:rsidRPr="00164DA3">
          <w:rPr>
            <w:rStyle w:val="Hyperlink"/>
            <w:noProof/>
          </w:rPr>
          <w:t>§ 13 Erstattung der Auslagen bei Dienstreisen bis zu sechs Stunden Dauer und bei Dienstgängen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6" w:history="1">
        <w:r w:rsidR="00B33077" w:rsidRPr="00164DA3">
          <w:rPr>
            <w:rStyle w:val="Hyperlink"/>
            <w:noProof/>
          </w:rPr>
          <w:t>§ 14</w:t>
        </w:r>
        <w:r w:rsidR="00B33077" w:rsidRPr="00164DA3">
          <w:rPr>
            <w:rStyle w:val="Hyperlink"/>
            <w:noProof/>
            <w:lang w:eastAsia="x-none"/>
          </w:rPr>
          <w:t xml:space="preserve"> </w:t>
        </w:r>
        <w:r w:rsidR="00B33077" w:rsidRPr="00164DA3">
          <w:rPr>
            <w:rStyle w:val="Hyperlink"/>
            <w:noProof/>
          </w:rPr>
          <w:t>Bemessung der Reisekostenvergütung in besonderen Fällen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7" w:history="1">
        <w:r w:rsidR="00B33077" w:rsidRPr="00164DA3">
          <w:rPr>
            <w:rStyle w:val="Hyperlink"/>
            <w:noProof/>
          </w:rPr>
          <w:t>§ 15 Verbindung von Dienstreisen mit privaten Reisen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8" w:history="1">
        <w:r w:rsidR="00B33077" w:rsidRPr="00164DA3">
          <w:rPr>
            <w:rStyle w:val="Hyperlink"/>
            <w:noProof/>
          </w:rPr>
          <w:t>§ 16 Zwischendienstreisen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29" w:history="1">
        <w:r w:rsidR="00B33077" w:rsidRPr="00164DA3">
          <w:rPr>
            <w:rStyle w:val="Hyperlink"/>
            <w:noProof/>
          </w:rPr>
          <w:t>§ 17 Erkrankung während einer Dienstreise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30" w:history="1">
        <w:r w:rsidR="00B33077" w:rsidRPr="00164DA3">
          <w:rPr>
            <w:rStyle w:val="Hyperlink"/>
            <w:noProof/>
          </w:rPr>
          <w:t>§ 18 Aufwandsvergütung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31" w:history="1">
        <w:r w:rsidR="00B33077" w:rsidRPr="00164DA3">
          <w:rPr>
            <w:rStyle w:val="Hyperlink"/>
            <w:noProof/>
          </w:rPr>
          <w:t>§ 19 Pauschvergütung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32" w:history="1">
        <w:r w:rsidR="00B33077" w:rsidRPr="00164DA3">
          <w:rPr>
            <w:rStyle w:val="Hyperlink"/>
            <w:noProof/>
          </w:rPr>
          <w:t>§ 20 Erstattung der Auslagen für Reisevorbereitungen und bei vorzeitiger Beendigung des Dienstgeschäfts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33" w:history="1">
        <w:r w:rsidR="00B33077" w:rsidRPr="00164DA3">
          <w:rPr>
            <w:rStyle w:val="Hyperlink"/>
            <w:noProof/>
          </w:rPr>
          <w:t xml:space="preserve">§ 21 </w:t>
        </w:r>
        <w:r w:rsidR="00B33077" w:rsidRPr="00164DA3">
          <w:rPr>
            <w:rStyle w:val="Hyperlink"/>
            <w:i/>
            <w:noProof/>
          </w:rPr>
          <w:t>(frei)</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34" w:history="1">
        <w:r w:rsidR="00B33077" w:rsidRPr="00164DA3">
          <w:rPr>
            <w:rStyle w:val="Hyperlink"/>
            <w:noProof/>
          </w:rPr>
          <w:t xml:space="preserve">§ 22 </w:t>
        </w:r>
        <w:r w:rsidR="00B33077" w:rsidRPr="00164DA3">
          <w:rPr>
            <w:rStyle w:val="Hyperlink"/>
            <w:i/>
            <w:noProof/>
          </w:rPr>
          <w:t>(frei)</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35" w:history="1">
        <w:r w:rsidR="00B33077" w:rsidRPr="00164DA3">
          <w:rPr>
            <w:rStyle w:val="Hyperlink"/>
            <w:noProof/>
          </w:rPr>
          <w:t>Abschnitt III</w:t>
        </w:r>
        <w:r w:rsidR="00B33077" w:rsidRPr="00164DA3">
          <w:rPr>
            <w:rStyle w:val="Hyperlink"/>
            <w:noProof/>
            <w:lang w:eastAsia="x-none"/>
          </w:rPr>
          <w:t xml:space="preserve">: </w:t>
        </w:r>
        <w:r w:rsidR="00B33077" w:rsidRPr="00164DA3">
          <w:rPr>
            <w:rStyle w:val="Hyperlink"/>
            <w:noProof/>
          </w:rPr>
          <w:t>Trennungsgeld und Erstattung von Auslagen bei Reisen aus besonderem Anlass</w:t>
        </w:r>
        <w:r w:rsidR="00B33077" w:rsidRPr="00164DA3">
          <w:rPr>
            <w:rStyle w:val="Hyperlink"/>
            <w:noProof/>
            <w:lang w:eastAsia="x-none"/>
          </w:rPr>
          <w:t xml:space="preserve"> (§§ 23-24)</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36" w:history="1">
        <w:r w:rsidR="00B33077" w:rsidRPr="00164DA3">
          <w:rPr>
            <w:rStyle w:val="Hyperlink"/>
            <w:noProof/>
          </w:rPr>
          <w:t>§ 23 Trennungsgeld</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37" w:history="1">
        <w:r w:rsidR="00B33077" w:rsidRPr="00164DA3">
          <w:rPr>
            <w:rStyle w:val="Hyperlink"/>
            <w:noProof/>
          </w:rPr>
          <w:t>§ 24 Erstattung von Auslagen bei Reisen aus besonderem Anlass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38" w:history="1">
        <w:r w:rsidR="00B33077" w:rsidRPr="00164DA3">
          <w:rPr>
            <w:rStyle w:val="Hyperlink"/>
            <w:noProof/>
          </w:rPr>
          <w:t>Abschnitt IV</w:t>
        </w:r>
        <w:r w:rsidR="00B33077" w:rsidRPr="00164DA3">
          <w:rPr>
            <w:rStyle w:val="Hyperlink"/>
            <w:noProof/>
            <w:lang w:eastAsia="x-none"/>
          </w:rPr>
          <w:t>:</w:t>
        </w:r>
        <w:r w:rsidR="00B33077" w:rsidRPr="00164DA3">
          <w:rPr>
            <w:rStyle w:val="Hyperlink"/>
            <w:noProof/>
          </w:rPr>
          <w:t xml:space="preserve"> Schlussvorschriften</w:t>
        </w:r>
        <w:r w:rsidR="00B33077" w:rsidRPr="00164DA3">
          <w:rPr>
            <w:rStyle w:val="Hyperlink"/>
            <w:noProof/>
            <w:lang w:eastAsia="x-none"/>
          </w:rPr>
          <w:t xml:space="preserve"> (§§ 25-27)</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39" w:history="1">
        <w:r w:rsidR="00B33077" w:rsidRPr="00164DA3">
          <w:rPr>
            <w:rStyle w:val="Hyperlink"/>
            <w:noProof/>
          </w:rPr>
          <w:t xml:space="preserve">§ 25 </w:t>
        </w:r>
        <w:r w:rsidR="00B33077" w:rsidRPr="00164DA3">
          <w:rPr>
            <w:rStyle w:val="Hyperlink"/>
            <w:i/>
            <w:noProof/>
          </w:rPr>
          <w:t>(frei)</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40" w:history="1">
        <w:r w:rsidR="00B33077" w:rsidRPr="00164DA3">
          <w:rPr>
            <w:rStyle w:val="Hyperlink"/>
            <w:noProof/>
          </w:rPr>
          <w:t xml:space="preserve">§ 26 </w:t>
        </w:r>
        <w:r w:rsidR="00B33077" w:rsidRPr="00164DA3">
          <w:rPr>
            <w:rStyle w:val="Hyperlink"/>
            <w:i/>
            <w:noProof/>
          </w:rPr>
          <w:t>(frei)</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41" w:history="1">
        <w:r w:rsidR="00B33077" w:rsidRPr="00164DA3">
          <w:rPr>
            <w:rStyle w:val="Hyperlink"/>
            <w:noProof/>
          </w:rPr>
          <w:t>§ 27 Verweisungen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542" w:history="1">
        <w:r w:rsidR="00B33077" w:rsidRPr="00164DA3">
          <w:rPr>
            <w:rStyle w:val="Hyperlink"/>
            <w:noProof/>
          </w:rPr>
          <w:t>D, 10 a. Ordnung über die betriebliche Altersversorgung der bei der Bayerischen Versorgungskammer – Zusatzversorgungskasse der bayerischen Gemeinden – versicherten Mitarbeiter im kirchlichen Dienst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43" w:history="1">
        <w:r w:rsidR="00B33077" w:rsidRPr="00164DA3">
          <w:rPr>
            <w:rStyle w:val="Hyperlink"/>
            <w:noProof/>
          </w:rPr>
          <w:t>Inhaltsverzeichnis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44"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45" w:history="1">
        <w:r w:rsidR="00B33077" w:rsidRPr="00164DA3">
          <w:rPr>
            <w:rStyle w:val="Hyperlink"/>
            <w:noProof/>
          </w:rPr>
          <w:t>Erster Teil: Punktemodell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46" w:history="1">
        <w:r w:rsidR="00B33077" w:rsidRPr="00164DA3">
          <w:rPr>
            <w:rStyle w:val="Hyperlink"/>
            <w:noProof/>
          </w:rPr>
          <w:t>Abschnitt I: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47" w:history="1">
        <w:r w:rsidR="00B33077" w:rsidRPr="00164DA3">
          <w:rPr>
            <w:rStyle w:val="Hyperlink"/>
            <w:noProof/>
          </w:rPr>
          <w:t>Abschnitt II: Versicherung bei der Zusatzversorgungskasse der bayerischen Gemeinden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48" w:history="1">
        <w:r w:rsidR="00B33077" w:rsidRPr="00164DA3">
          <w:rPr>
            <w:rStyle w:val="Hyperlink"/>
            <w:noProof/>
          </w:rPr>
          <w:t>Abschnitt III: Betriebsrente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49" w:history="1">
        <w:r w:rsidR="00B33077" w:rsidRPr="00164DA3">
          <w:rPr>
            <w:rStyle w:val="Hyperlink"/>
            <w:noProof/>
          </w:rPr>
          <w:t>Abschnitt IV: Mitarbeiter, die in der gesetzlichen Rentenversicherung nicht versichert sind</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50" w:history="1">
        <w:r w:rsidR="00B33077" w:rsidRPr="00164DA3">
          <w:rPr>
            <w:rStyle w:val="Hyperlink"/>
            <w:noProof/>
          </w:rPr>
          <w:t>Abschnitt V: Finanzierung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51" w:history="1">
        <w:r w:rsidR="00B33077" w:rsidRPr="00164DA3">
          <w:rPr>
            <w:rStyle w:val="Hyperlink"/>
            <w:noProof/>
          </w:rPr>
          <w:t>Abschnitt VI: Verfahren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52" w:history="1">
        <w:r w:rsidR="00B33077" w:rsidRPr="00164DA3">
          <w:rPr>
            <w:rStyle w:val="Hyperlink"/>
            <w:noProof/>
          </w:rPr>
          <w:t>Abschnitt VII: Zuschüsse des Dienstgebers zu anderen Zukunftssicherungssystemen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53" w:history="1">
        <w:r w:rsidR="00B33077" w:rsidRPr="00164DA3">
          <w:rPr>
            <w:rStyle w:val="Hyperlink"/>
            <w:noProof/>
          </w:rPr>
          <w:t>Zweiter Teil: Freiwillige Versicherung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54" w:history="1">
        <w:r w:rsidR="00B33077" w:rsidRPr="00164DA3">
          <w:rPr>
            <w:rStyle w:val="Hyperlink"/>
            <w:noProof/>
          </w:rPr>
          <w:t>Dritter Teil: Übergangs- und Schlussvorschriften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55" w:history="1">
        <w:r w:rsidR="00B33077" w:rsidRPr="00164DA3">
          <w:rPr>
            <w:rStyle w:val="Hyperlink"/>
            <w:noProof/>
          </w:rPr>
          <w:t>Abschnitt I: Übergangsregelungen zur Versicherungspflicht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56" w:history="1">
        <w:r w:rsidR="00B33077" w:rsidRPr="00164DA3">
          <w:rPr>
            <w:rStyle w:val="Hyperlink"/>
            <w:noProof/>
          </w:rPr>
          <w:t>Abschnitt II: Übergangsregelungen für die Rentenberechtigten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57" w:history="1">
        <w:r w:rsidR="00B33077" w:rsidRPr="00164DA3">
          <w:rPr>
            <w:rStyle w:val="Hyperlink"/>
            <w:noProof/>
          </w:rPr>
          <w:t>Abschnitt III: Übergangsregelungen für Anwartschaften der Versicherten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58" w:history="1">
        <w:r w:rsidR="00B33077" w:rsidRPr="00164DA3">
          <w:rPr>
            <w:rStyle w:val="Hyperlink"/>
            <w:noProof/>
          </w:rPr>
          <w:t>Abschnitt IV: Schlussvorschriften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59" w:history="1">
        <w:r w:rsidR="00B33077" w:rsidRPr="00164DA3">
          <w:rPr>
            <w:rStyle w:val="Hyperlink"/>
            <w:noProof/>
          </w:rPr>
          <w:t>Anlage 1</w:t>
        </w:r>
        <w:r w:rsidR="00B33077" w:rsidRPr="00164DA3">
          <w:rPr>
            <w:rStyle w:val="Hyperlink"/>
            <w:noProof/>
            <w:lang w:eastAsia="x-none"/>
          </w:rPr>
          <w:t xml:space="preserve"> </w:t>
        </w:r>
        <w:r w:rsidR="00B33077" w:rsidRPr="00164DA3">
          <w:rPr>
            <w:rStyle w:val="Hyperlink"/>
            <w:i/>
            <w:noProof/>
            <w:lang w:eastAsia="x-none"/>
          </w:rPr>
          <w:t>(frei)</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60" w:history="1">
        <w:r w:rsidR="00B33077" w:rsidRPr="00164DA3">
          <w:rPr>
            <w:rStyle w:val="Hyperlink"/>
            <w:noProof/>
          </w:rPr>
          <w:t>Anlage 2: Ausnahmen von der Versicherungspflicht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61" w:history="1">
        <w:r w:rsidR="00B33077" w:rsidRPr="00164DA3">
          <w:rPr>
            <w:rStyle w:val="Hyperlink"/>
            <w:noProof/>
          </w:rPr>
          <w:t>Anlage 3: Ausnahmen vom und Sonderregelungen zum zusatzversorgungspflichtigen Entgelt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62" w:history="1">
        <w:r w:rsidR="00B33077" w:rsidRPr="00164DA3">
          <w:rPr>
            <w:rStyle w:val="Hyperlink"/>
            <w:noProof/>
          </w:rPr>
          <w:t>Anlage 4: Versicherungsmathematische Grundsätze für die Bewertung der Verpflichtungen im Rahmen der versicherungstechnischen Bilanz</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63" w:history="1">
        <w:r w:rsidR="00B33077" w:rsidRPr="00164DA3">
          <w:rPr>
            <w:rStyle w:val="Hyperlink"/>
            <w:noProof/>
          </w:rPr>
          <w:t>Anlage 5: Altersvorsorgeplan 2001 des öffentlichen Dienstes</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564" w:history="1">
        <w:r w:rsidR="00B33077" w:rsidRPr="00164DA3">
          <w:rPr>
            <w:rStyle w:val="Hyperlink"/>
            <w:noProof/>
          </w:rPr>
          <w:t>D, 10 b. Ordnung über die betriebliche Altersversorgung der bei der</w:t>
        </w:r>
        <w:r w:rsidR="00B33077" w:rsidRPr="00164DA3">
          <w:rPr>
            <w:rStyle w:val="Hyperlink"/>
            <w:noProof/>
            <w:lang w:eastAsia="x-none"/>
          </w:rPr>
          <w:t xml:space="preserve"> </w:t>
        </w:r>
        <w:r w:rsidR="00B33077" w:rsidRPr="00164DA3">
          <w:rPr>
            <w:rStyle w:val="Hyperlink"/>
            <w:noProof/>
          </w:rPr>
          <w:t>Pensionskasse der Caritas VVaG versicherten Mitarbeiter im kirchlichen Dienst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65"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66" w:history="1">
        <w:r w:rsidR="00B33077" w:rsidRPr="00164DA3">
          <w:rPr>
            <w:rStyle w:val="Hyperlink"/>
            <w:noProof/>
          </w:rPr>
          <w:t>§ 2 Versicherungspflicht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67" w:history="1">
        <w:r w:rsidR="00B33077" w:rsidRPr="00164DA3">
          <w:rPr>
            <w:rStyle w:val="Hyperlink"/>
            <w:noProof/>
          </w:rPr>
          <w:t>§ 3 Versicherung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68" w:history="1">
        <w:r w:rsidR="00B33077" w:rsidRPr="00164DA3">
          <w:rPr>
            <w:rStyle w:val="Hyperlink"/>
            <w:noProof/>
          </w:rPr>
          <w:t>§ 4 Anmeldung und Abmeldung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69" w:history="1">
        <w:r w:rsidR="00B33077" w:rsidRPr="00164DA3">
          <w:rPr>
            <w:rStyle w:val="Hyperlink"/>
            <w:noProof/>
          </w:rPr>
          <w:t>§ 5 Beiträge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70" w:history="1">
        <w:r w:rsidR="00B33077" w:rsidRPr="00164DA3">
          <w:rPr>
            <w:rStyle w:val="Hyperlink"/>
            <w:noProof/>
          </w:rPr>
          <w:t>§ 6 Beitragsfreie Zeiten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71" w:history="1">
        <w:r w:rsidR="00B33077" w:rsidRPr="00164DA3">
          <w:rPr>
            <w:rStyle w:val="Hyperlink"/>
            <w:noProof/>
          </w:rPr>
          <w:t>§ 7 Arbeitsplatzwechsel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72" w:history="1">
        <w:r w:rsidR="00B33077" w:rsidRPr="00164DA3">
          <w:rPr>
            <w:rStyle w:val="Hyperlink"/>
            <w:noProof/>
          </w:rPr>
          <w:t>§ 8 Freiwillige Versicherung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73" w:history="1">
        <w:r w:rsidR="00B33077" w:rsidRPr="00164DA3">
          <w:rPr>
            <w:rStyle w:val="Hyperlink"/>
            <w:noProof/>
          </w:rPr>
          <w:t>§ 9 In-Kraft-Treten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574" w:history="1">
        <w:r w:rsidR="00B33077" w:rsidRPr="00164DA3">
          <w:rPr>
            <w:rStyle w:val="Hyperlink"/>
            <w:noProof/>
          </w:rPr>
          <w:t>D, 10 c. Ordnung über die betriebliche Altersversorgung durch Entgeltumwandlung der Beschäftigten im kirchlichen Dienst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75" w:history="1">
        <w:r w:rsidR="00B33077" w:rsidRPr="00164DA3">
          <w:rPr>
            <w:rStyle w:val="Hyperlink"/>
            <w:noProof/>
          </w:rPr>
          <w:t>Teil A</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76" w:history="1">
        <w:r w:rsidR="00B33077" w:rsidRPr="00164DA3">
          <w:rPr>
            <w:rStyle w:val="Hyperlink"/>
            <w:noProof/>
          </w:rPr>
          <w:t>Beschluss der Zentral-KODA gem. § 3 Abs. 1 Ziff. 1 Zentral-KODA-Ordnung (ZKO) vom 15.04.2002 zuletzt geändert durch Beschluss vom 21.03.2013</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77" w:history="1">
        <w:r w:rsidR="00B33077" w:rsidRPr="00164DA3">
          <w:rPr>
            <w:rStyle w:val="Hyperlink"/>
            <w:noProof/>
          </w:rPr>
          <w:t>Teil B</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578" w:history="1">
        <w:r w:rsidR="00B33077" w:rsidRPr="00164DA3">
          <w:rPr>
            <w:rStyle w:val="Hyperlink"/>
            <w:noProof/>
          </w:rPr>
          <w:t>Ergänzungen zum Beschluss der Zentral-KODA zur Entgeltumwandlung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579" w:history="1">
        <w:r w:rsidR="00B33077" w:rsidRPr="00164DA3">
          <w:rPr>
            <w:rStyle w:val="Hyperlink"/>
            <w:noProof/>
          </w:rPr>
          <w:t>D, 11. Regelung über den Rationalisierungsschutz für Beschäftigte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0" w:history="1">
        <w:r w:rsidR="00B33077" w:rsidRPr="00164DA3">
          <w:rPr>
            <w:rStyle w:val="Hyperlink"/>
            <w:noProof/>
          </w:rPr>
          <w:t>Vorbemerkung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1" w:history="1">
        <w:r w:rsidR="00B33077" w:rsidRPr="00164DA3">
          <w:rPr>
            <w:rStyle w:val="Hyperlink"/>
            <w:noProof/>
          </w:rPr>
          <w:t>§ 1 Begriffsbestimmung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2" w:history="1">
        <w:r w:rsidR="00B33077" w:rsidRPr="00164DA3">
          <w:rPr>
            <w:rStyle w:val="Hyperlink"/>
            <w:noProof/>
          </w:rPr>
          <w:t>§ 2 Unterrichtungspflicht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3" w:history="1">
        <w:r w:rsidR="00B33077" w:rsidRPr="00164DA3">
          <w:rPr>
            <w:rStyle w:val="Hyperlink"/>
            <w:noProof/>
          </w:rPr>
          <w:t>§ 3 Arbeitsplatzsicherung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4" w:history="1">
        <w:r w:rsidR="00B33077" w:rsidRPr="00164DA3">
          <w:rPr>
            <w:rStyle w:val="Hyperlink"/>
            <w:noProof/>
          </w:rPr>
          <w:t>§ 4 Fortbildung, Umschulung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5" w:history="1">
        <w:r w:rsidR="00B33077" w:rsidRPr="00164DA3">
          <w:rPr>
            <w:rStyle w:val="Hyperlink"/>
            <w:noProof/>
          </w:rPr>
          <w:t>§ 5 Besonderer Kündigungsschutz</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6" w:history="1">
        <w:r w:rsidR="00B33077" w:rsidRPr="00164DA3">
          <w:rPr>
            <w:rStyle w:val="Hyperlink"/>
            <w:noProof/>
          </w:rPr>
          <w:t>§ 6a Vergütungssicherung für Angestellte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7" w:history="1">
        <w:r w:rsidR="00B33077" w:rsidRPr="00164DA3">
          <w:rPr>
            <w:rStyle w:val="Hyperlink"/>
            <w:noProof/>
          </w:rPr>
          <w:t>§ 6b Lohnsicherung für Arbeiter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8" w:history="1">
        <w:r w:rsidR="00B33077" w:rsidRPr="00164DA3">
          <w:rPr>
            <w:rStyle w:val="Hyperlink"/>
            <w:noProof/>
          </w:rPr>
          <w:t>§ 7 Abfindung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89" w:history="1">
        <w:r w:rsidR="00B33077" w:rsidRPr="00164DA3">
          <w:rPr>
            <w:rStyle w:val="Hyperlink"/>
            <w:noProof/>
          </w:rPr>
          <w:t>§ 8 Persönliche Anspruchsvoraussetzungen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90" w:history="1">
        <w:r w:rsidR="00B33077" w:rsidRPr="00164DA3">
          <w:rPr>
            <w:rStyle w:val="Hyperlink"/>
            <w:noProof/>
          </w:rPr>
          <w:t>§ 9 Anrechnungsvorschrift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91" w:history="1">
        <w:r w:rsidR="00B33077" w:rsidRPr="00164DA3">
          <w:rPr>
            <w:rStyle w:val="Hyperlink"/>
            <w:noProof/>
          </w:rPr>
          <w:t>Hinweis</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592" w:history="1">
        <w:r w:rsidR="00B33077" w:rsidRPr="00164DA3">
          <w:rPr>
            <w:rStyle w:val="Hyperlink"/>
            <w:noProof/>
          </w:rPr>
          <w:t>D, 12. Regelung über eine einmalige Pauschalzahlung 2014 und 2015</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93"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94" w:history="1">
        <w:r w:rsidR="00B33077" w:rsidRPr="00164DA3">
          <w:rPr>
            <w:rStyle w:val="Hyperlink"/>
            <w:noProof/>
          </w:rPr>
          <w:t>§ 2 Einmalige Pauschalzahlung 2014</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95" w:history="1">
        <w:r w:rsidR="00B33077" w:rsidRPr="00164DA3">
          <w:rPr>
            <w:rStyle w:val="Hyperlink"/>
            <w:noProof/>
          </w:rPr>
          <w:t>§ 3 Einmalige Pauschalzahlung 2015</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596" w:history="1">
        <w:r w:rsidR="00B33077" w:rsidRPr="00164DA3">
          <w:rPr>
            <w:rStyle w:val="Hyperlink"/>
            <w:noProof/>
          </w:rPr>
          <w:t>D, 13. Regelung über die einmalige Sonderzahlung 2011</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97"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98" w:history="1">
        <w:r w:rsidR="00B33077" w:rsidRPr="00164DA3">
          <w:rPr>
            <w:rStyle w:val="Hyperlink"/>
            <w:noProof/>
          </w:rPr>
          <w:t>§ 2 Einmalige Sonderzahlung 2011 für Beschäftigte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599" w:history="1">
        <w:r w:rsidR="00B33077" w:rsidRPr="00164DA3">
          <w:rPr>
            <w:rStyle w:val="Hyperlink"/>
            <w:noProof/>
          </w:rPr>
          <w:t>§ 3 Einmalige Sonderzahlung 2011 für Auszubildende und Praktikantinnen/Praktikanten</w:t>
        </w:r>
      </w:hyperlink>
    </w:p>
    <w:p w:rsidR="00B33077" w:rsidRDefault="00C23DFA" w:rsidP="00B33077">
      <w:pPr>
        <w:pStyle w:val="Verzeichnis5"/>
        <w:divId w:val="500198663"/>
        <w:rPr>
          <w:rStyle w:val="Hyperlink"/>
          <w:noProof/>
        </w:rPr>
      </w:pPr>
      <w:hyperlink w:anchor="_Toc523926600" w:history="1">
        <w:r w:rsidR="00B33077" w:rsidRPr="00164DA3">
          <w:rPr>
            <w:rStyle w:val="Hyperlink"/>
            <w:noProof/>
          </w:rPr>
          <w:t>§ 4 Inkrafttreten</w:t>
        </w:r>
      </w:hyperlink>
    </w:p>
    <w:p w:rsidR="004B73C6" w:rsidRDefault="004B73C6" w:rsidP="004B73C6">
      <w:pPr>
        <w:divId w:val="500198663"/>
        <w:rPr>
          <w:rFonts w:eastAsiaTheme="minorEastAsia"/>
        </w:rPr>
      </w:pPr>
      <w:r>
        <w:rPr>
          <w:rFonts w:eastAsiaTheme="minorEastAsia"/>
        </w:rPr>
        <w:br w:type="page"/>
      </w:r>
    </w:p>
    <w:p w:rsidR="004B73C6" w:rsidRPr="004B73C6" w:rsidRDefault="004B73C6" w:rsidP="004B73C6">
      <w:pPr>
        <w:divId w:val="500198663"/>
        <w:rPr>
          <w:rFonts w:eastAsiaTheme="minorEastAsia"/>
        </w:rPr>
      </w:pPr>
    </w:p>
    <w:p w:rsidR="00B33077" w:rsidRDefault="00C23DFA" w:rsidP="00CC12D3">
      <w:pPr>
        <w:pStyle w:val="Verzeichnis3"/>
        <w:divId w:val="500198663"/>
        <w:rPr>
          <w:rFonts w:asciiTheme="minorHAnsi" w:eastAsiaTheme="minorEastAsia" w:hAnsiTheme="minorHAnsi" w:cstheme="minorBidi"/>
          <w:sz w:val="22"/>
          <w:szCs w:val="22"/>
        </w:rPr>
      </w:pPr>
      <w:hyperlink w:anchor="_Toc523926601" w:history="1">
        <w:r w:rsidR="00B33077" w:rsidRPr="00164DA3">
          <w:rPr>
            <w:rStyle w:val="Hyperlink"/>
          </w:rPr>
          <w:t>Teil E: Auszubildende und Praktikanten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02" w:history="1">
        <w:r w:rsidR="00B33077" w:rsidRPr="00164DA3">
          <w:rPr>
            <w:rStyle w:val="Hyperlink"/>
            <w:noProof/>
          </w:rPr>
          <w:t>E, 1. Regelungen für Auszubildende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03" w:history="1">
        <w:r w:rsidR="00B33077" w:rsidRPr="00164DA3">
          <w:rPr>
            <w:rStyle w:val="Hyperlink"/>
            <w:noProof/>
          </w:rPr>
          <w:t>1.1. Regelung für Auszubildende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04" w:history="1">
        <w:r w:rsidR="00B33077" w:rsidRPr="00164DA3">
          <w:rPr>
            <w:rStyle w:val="Hyperlink"/>
            <w:noProof/>
          </w:rPr>
          <w:t>§ 1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05" w:history="1">
        <w:r w:rsidR="00B33077" w:rsidRPr="00164DA3">
          <w:rPr>
            <w:rStyle w:val="Hyperlink"/>
            <w:noProof/>
          </w:rPr>
          <w:t>§ 2 Ausbildungsvertrag, Nebenabreden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06" w:history="1">
        <w:r w:rsidR="00B33077" w:rsidRPr="00164DA3">
          <w:rPr>
            <w:rStyle w:val="Hyperlink"/>
            <w:noProof/>
          </w:rPr>
          <w:t>§ 3 Probezeit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07" w:history="1">
        <w:r w:rsidR="00B33077" w:rsidRPr="00164DA3">
          <w:rPr>
            <w:rStyle w:val="Hyperlink"/>
            <w:noProof/>
          </w:rPr>
          <w:t>§ 4 Ärztliche Untersuchungen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08" w:history="1">
        <w:r w:rsidR="00B33077" w:rsidRPr="00164DA3">
          <w:rPr>
            <w:rStyle w:val="Hyperlink"/>
            <w:noProof/>
          </w:rPr>
          <w:t>§ 4a Belohnungen und Geschenke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09" w:history="1">
        <w:r w:rsidR="00B33077" w:rsidRPr="00164DA3">
          <w:rPr>
            <w:rStyle w:val="Hyperlink"/>
            <w:noProof/>
          </w:rPr>
          <w:t>§ 5 Schweigepflicht, Nebentätigkeiten, Schadenshaftung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0" w:history="1">
        <w:r w:rsidR="00B33077" w:rsidRPr="00164DA3">
          <w:rPr>
            <w:rStyle w:val="Hyperlink"/>
            <w:noProof/>
          </w:rPr>
          <w:t>§ 6 Personalakten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1" w:history="1">
        <w:r w:rsidR="00B33077" w:rsidRPr="00164DA3">
          <w:rPr>
            <w:rStyle w:val="Hyperlink"/>
            <w:noProof/>
          </w:rPr>
          <w:t>§ 6a Anrufung der Schlichtungsstelle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2" w:history="1">
        <w:r w:rsidR="00B33077" w:rsidRPr="00164DA3">
          <w:rPr>
            <w:rStyle w:val="Hyperlink"/>
            <w:noProof/>
          </w:rPr>
          <w:t>§ 7 Wöchentliche und tägliche Ausbildungszeit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3" w:history="1">
        <w:r w:rsidR="00B33077" w:rsidRPr="00164DA3">
          <w:rPr>
            <w:rStyle w:val="Hyperlink"/>
            <w:noProof/>
          </w:rPr>
          <w:t>§ 8 Ausbildungsentgelt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4" w:history="1">
        <w:r w:rsidR="00B33077" w:rsidRPr="00164DA3">
          <w:rPr>
            <w:rStyle w:val="Hyperlink"/>
            <w:noProof/>
          </w:rPr>
          <w:t>§ 8a Unständige Entgeltbestandteile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5" w:history="1">
        <w:r w:rsidR="00B33077" w:rsidRPr="00164DA3">
          <w:rPr>
            <w:rStyle w:val="Hyperlink"/>
            <w:noProof/>
          </w:rPr>
          <w:t>§ 8b Ausbildungsentgeltbezugsgröße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6" w:history="1">
        <w:r w:rsidR="00B33077" w:rsidRPr="00164DA3">
          <w:rPr>
            <w:rStyle w:val="Hyperlink"/>
            <w:noProof/>
          </w:rPr>
          <w:t>§ 9 Urlaub</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7" w:history="1">
        <w:r w:rsidR="00B33077" w:rsidRPr="00164DA3">
          <w:rPr>
            <w:rStyle w:val="Hyperlink"/>
            <w:noProof/>
          </w:rPr>
          <w:t>§ 10 Ausbildungsmaßnahmen außerhalb der Ausbildungsstätte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8" w:history="1">
        <w:r w:rsidR="00B33077" w:rsidRPr="00164DA3">
          <w:rPr>
            <w:rStyle w:val="Hyperlink"/>
            <w:noProof/>
          </w:rPr>
          <w:t>§ 10a Familienheimfahrten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19" w:history="1">
        <w:r w:rsidR="00B33077" w:rsidRPr="00164DA3">
          <w:rPr>
            <w:rStyle w:val="Hyperlink"/>
            <w:noProof/>
          </w:rPr>
          <w:t>§ 11 Schutzkleidung, Ausbildungsmittel</w:t>
        </w:r>
        <w:r w:rsidR="00B33077" w:rsidRPr="00164DA3">
          <w:rPr>
            <w:rStyle w:val="Hyperlink"/>
            <w:noProof/>
            <w:lang w:eastAsia="x-none"/>
          </w:rPr>
          <w:t>, Lernmittelzuschuss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0" w:history="1">
        <w:r w:rsidR="00B33077" w:rsidRPr="00164DA3">
          <w:rPr>
            <w:rStyle w:val="Hyperlink"/>
            <w:noProof/>
          </w:rPr>
          <w:t>§ 12 Entgelt im Krankheitsfall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1" w:history="1">
        <w:r w:rsidR="00B33077" w:rsidRPr="00164DA3">
          <w:rPr>
            <w:rStyle w:val="Hyperlink"/>
            <w:noProof/>
          </w:rPr>
          <w:t>§ 12a Entgeltfortzahlung in anderen Fällen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2" w:history="1">
        <w:r w:rsidR="00B33077" w:rsidRPr="00164DA3">
          <w:rPr>
            <w:rStyle w:val="Hyperlink"/>
            <w:noProof/>
          </w:rPr>
          <w:t>§ 13 Vermögenswirksame Leistungen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3" w:history="1">
        <w:r w:rsidR="00B33077" w:rsidRPr="00164DA3">
          <w:rPr>
            <w:rStyle w:val="Hyperlink"/>
            <w:noProof/>
          </w:rPr>
          <w:t>§ 14 Jahressonderzahlung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4" w:history="1">
        <w:r w:rsidR="00B33077" w:rsidRPr="00164DA3">
          <w:rPr>
            <w:rStyle w:val="Hyperlink"/>
            <w:noProof/>
          </w:rPr>
          <w:t>§ 15 Zusätzliche Altersversorgung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5" w:history="1">
        <w:r w:rsidR="00B33077" w:rsidRPr="00164DA3">
          <w:rPr>
            <w:rStyle w:val="Hyperlink"/>
            <w:noProof/>
          </w:rPr>
          <w:t>§ 16 Beendigung des Ausbildungsverhältnisses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6" w:history="1">
        <w:r w:rsidR="00B33077" w:rsidRPr="00164DA3">
          <w:rPr>
            <w:rStyle w:val="Hyperlink"/>
            <w:noProof/>
          </w:rPr>
          <w:t>§ 16a Übernahme von Auszubildenden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7" w:history="1">
        <w:r w:rsidR="00B33077" w:rsidRPr="00164DA3">
          <w:rPr>
            <w:rStyle w:val="Hyperlink"/>
            <w:noProof/>
          </w:rPr>
          <w:t>§ 17 Abschlussprämie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8" w:history="1">
        <w:r w:rsidR="00B33077" w:rsidRPr="00164DA3">
          <w:rPr>
            <w:rStyle w:val="Hyperlink"/>
            <w:noProof/>
          </w:rPr>
          <w:t>§ 18 Zeugnis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29" w:history="1">
        <w:r w:rsidR="00B33077" w:rsidRPr="00164DA3">
          <w:rPr>
            <w:rStyle w:val="Hyperlink"/>
            <w:noProof/>
          </w:rPr>
          <w:t>§ 19 Ausschlussfrist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30" w:history="1">
        <w:r w:rsidR="00B33077" w:rsidRPr="00164DA3">
          <w:rPr>
            <w:rStyle w:val="Hyperlink"/>
            <w:noProof/>
          </w:rPr>
          <w:t>§ 20 Einmalzahlungen für 2006 und 2007</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31" w:history="1">
        <w:r w:rsidR="00B33077" w:rsidRPr="00164DA3">
          <w:rPr>
            <w:rStyle w:val="Hyperlink"/>
            <w:noProof/>
          </w:rPr>
          <w:t>Anlage 1</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632" w:history="1">
        <w:r w:rsidR="00B33077" w:rsidRPr="00164DA3">
          <w:rPr>
            <w:rStyle w:val="Hyperlink"/>
            <w:noProof/>
          </w:rPr>
          <w:t>Niederschriftserklärungen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33" w:history="1">
        <w:r w:rsidR="00B33077" w:rsidRPr="00164DA3">
          <w:rPr>
            <w:rStyle w:val="Hyperlink"/>
            <w:noProof/>
          </w:rPr>
          <w:t>1.</w:t>
        </w:r>
        <w:r w:rsidR="00B33077" w:rsidRPr="00164DA3">
          <w:rPr>
            <w:rStyle w:val="Hyperlink"/>
            <w:noProof/>
            <w:lang w:eastAsia="x-none"/>
          </w:rPr>
          <w:t>2</w:t>
        </w:r>
        <w:r w:rsidR="00B33077" w:rsidRPr="00164DA3">
          <w:rPr>
            <w:rStyle w:val="Hyperlink"/>
            <w:noProof/>
          </w:rPr>
          <w:t>. Regelung über eine ergänzende Leistung (sog. Ballungsraumzulage)</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34" w:history="1">
        <w:r w:rsidR="00B33077" w:rsidRPr="00164DA3">
          <w:rPr>
            <w:rStyle w:val="Hyperlink"/>
            <w:noProof/>
          </w:rPr>
          <w:t>E, 2. Regelung Praktikantinnen und Praktikanten (PraktR)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35" w:history="1">
        <w:r w:rsidR="00B33077" w:rsidRPr="00164DA3">
          <w:rPr>
            <w:rStyle w:val="Hyperlink"/>
            <w:noProof/>
          </w:rPr>
          <w:t>§ 1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36" w:history="1">
        <w:r w:rsidR="00B33077" w:rsidRPr="00164DA3">
          <w:rPr>
            <w:rStyle w:val="Hyperlink"/>
            <w:noProof/>
          </w:rPr>
          <w:t>§ 2 Praktikantenvertrag, Nebenabreden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37" w:history="1">
        <w:r w:rsidR="00B33077" w:rsidRPr="00164DA3">
          <w:rPr>
            <w:rStyle w:val="Hyperlink"/>
            <w:noProof/>
          </w:rPr>
          <w:t>§ 3 Probezeit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38" w:history="1">
        <w:r w:rsidR="00B33077" w:rsidRPr="00164DA3">
          <w:rPr>
            <w:rStyle w:val="Hyperlink"/>
            <w:noProof/>
          </w:rPr>
          <w:t>§ 4 Ärztliche Untersuchungen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39" w:history="1">
        <w:r w:rsidR="00B33077" w:rsidRPr="00164DA3">
          <w:rPr>
            <w:rStyle w:val="Hyperlink"/>
            <w:noProof/>
          </w:rPr>
          <w:t>§ 5 Schweigepflicht, Nebentätigkeiten, Haftung, Schutzkleidung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0" w:history="1">
        <w:r w:rsidR="00B33077" w:rsidRPr="00164DA3">
          <w:rPr>
            <w:rStyle w:val="Hyperlink"/>
            <w:noProof/>
          </w:rPr>
          <w:t>§ 6 Personalakten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1" w:history="1">
        <w:r w:rsidR="00B33077" w:rsidRPr="00164DA3">
          <w:rPr>
            <w:rStyle w:val="Hyperlink"/>
            <w:noProof/>
          </w:rPr>
          <w:t>§ 7 Wöchentliche und tägliche Arbeitszeit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2" w:history="1">
        <w:r w:rsidR="00B33077" w:rsidRPr="00164DA3">
          <w:rPr>
            <w:rStyle w:val="Hyperlink"/>
            <w:noProof/>
          </w:rPr>
          <w:t>§ 8 Entgelt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3" w:history="1">
        <w:r w:rsidR="00B33077" w:rsidRPr="00164DA3">
          <w:rPr>
            <w:rStyle w:val="Hyperlink"/>
            <w:noProof/>
          </w:rPr>
          <w:t>§ 9 Sonstige Entgeltregelungen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4" w:history="1">
        <w:r w:rsidR="00B33077" w:rsidRPr="00164DA3">
          <w:rPr>
            <w:rStyle w:val="Hyperlink"/>
            <w:noProof/>
          </w:rPr>
          <w:t>§ 10 Urlaub</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5" w:history="1">
        <w:r w:rsidR="00B33077" w:rsidRPr="00164DA3">
          <w:rPr>
            <w:rStyle w:val="Hyperlink"/>
            <w:noProof/>
          </w:rPr>
          <w:t>§ 11 Entgelt im Krankheitsfall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6" w:history="1">
        <w:r w:rsidR="00B33077" w:rsidRPr="00164DA3">
          <w:rPr>
            <w:rStyle w:val="Hyperlink"/>
            <w:noProof/>
          </w:rPr>
          <w:t>§ 12 Entgeltfortzahlung in anderen Fällen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7" w:history="1">
        <w:r w:rsidR="00B33077" w:rsidRPr="00164DA3">
          <w:rPr>
            <w:rStyle w:val="Hyperlink"/>
            <w:noProof/>
          </w:rPr>
          <w:t>§ 13 Vermögenswirksame Leistungen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8" w:history="1">
        <w:r w:rsidR="00B33077" w:rsidRPr="00164DA3">
          <w:rPr>
            <w:rStyle w:val="Hyperlink"/>
            <w:noProof/>
          </w:rPr>
          <w:t>§ 14 Jahressonderzahlung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49" w:history="1">
        <w:r w:rsidR="00B33077" w:rsidRPr="00164DA3">
          <w:rPr>
            <w:rStyle w:val="Hyperlink"/>
            <w:noProof/>
          </w:rPr>
          <w:t>§ 14a Praktikantenentgeltbezugsgröße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50" w:history="1">
        <w:r w:rsidR="00B33077" w:rsidRPr="00164DA3">
          <w:rPr>
            <w:rStyle w:val="Hyperlink"/>
            <w:noProof/>
          </w:rPr>
          <w:t>§ 15 Beendigung des Praktikantenverhältnisses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51" w:history="1">
        <w:r w:rsidR="00B33077" w:rsidRPr="00164DA3">
          <w:rPr>
            <w:rStyle w:val="Hyperlink"/>
            <w:noProof/>
          </w:rPr>
          <w:t>§ 16 Zeugnis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52" w:history="1">
        <w:r w:rsidR="00B33077" w:rsidRPr="00164DA3">
          <w:rPr>
            <w:rStyle w:val="Hyperlink"/>
            <w:noProof/>
          </w:rPr>
          <w:t>§ 17 Ausschlussfrist</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53" w:history="1">
        <w:r w:rsidR="00B33077" w:rsidRPr="00164DA3">
          <w:rPr>
            <w:rStyle w:val="Hyperlink"/>
            <w:noProof/>
            <w:lang w:eastAsia="x-none"/>
          </w:rPr>
          <w:t xml:space="preserve">E, 3. </w:t>
        </w:r>
        <w:r w:rsidR="00B33077" w:rsidRPr="00164DA3">
          <w:rPr>
            <w:rStyle w:val="Hyperlink"/>
            <w:noProof/>
          </w:rPr>
          <w:t>Richtlinien für die Gewährung von Praktikantenvergütungen (Praktikanten-Richtlinien)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54" w:history="1">
        <w:r w:rsidR="00B33077" w:rsidRPr="00164DA3">
          <w:rPr>
            <w:rStyle w:val="Hyperlink"/>
            <w:noProof/>
          </w:rPr>
          <w:t>I.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55" w:history="1">
        <w:r w:rsidR="00B33077" w:rsidRPr="00164DA3">
          <w:rPr>
            <w:rStyle w:val="Hyperlink"/>
            <w:noProof/>
          </w:rPr>
          <w:t>II. Praktikantenvergütung</w:t>
        </w:r>
      </w:hyperlink>
    </w:p>
    <w:p w:rsidR="00B33077" w:rsidRDefault="00C23DFA" w:rsidP="00B33077">
      <w:pPr>
        <w:pStyle w:val="Verzeichnis5"/>
        <w:divId w:val="500198663"/>
        <w:rPr>
          <w:rStyle w:val="Hyperlink"/>
          <w:noProof/>
        </w:rPr>
      </w:pPr>
      <w:hyperlink w:anchor="_Toc523926656" w:history="1">
        <w:r w:rsidR="00B33077" w:rsidRPr="00164DA3">
          <w:rPr>
            <w:rStyle w:val="Hyperlink"/>
            <w:noProof/>
          </w:rPr>
          <w:t>III. Gewährung sonstiger Leistungen</w:t>
        </w:r>
      </w:hyperlink>
    </w:p>
    <w:p w:rsidR="004B73C6" w:rsidRDefault="004B73C6" w:rsidP="004B73C6">
      <w:pPr>
        <w:divId w:val="500198663"/>
        <w:rPr>
          <w:rFonts w:eastAsiaTheme="minorEastAsia"/>
        </w:rPr>
      </w:pPr>
      <w:r>
        <w:rPr>
          <w:rFonts w:eastAsiaTheme="minorEastAsia"/>
        </w:rPr>
        <w:br w:type="page"/>
      </w:r>
    </w:p>
    <w:p w:rsidR="004B73C6" w:rsidRPr="004B73C6" w:rsidRDefault="004B73C6" w:rsidP="004B73C6">
      <w:pPr>
        <w:divId w:val="500198663"/>
        <w:rPr>
          <w:rFonts w:eastAsiaTheme="minorEastAsia"/>
        </w:rPr>
      </w:pPr>
    </w:p>
    <w:p w:rsidR="00B33077" w:rsidRDefault="00C23DFA" w:rsidP="00CC12D3">
      <w:pPr>
        <w:pStyle w:val="Verzeichnis3"/>
        <w:divId w:val="500198663"/>
        <w:rPr>
          <w:rFonts w:asciiTheme="minorHAnsi" w:eastAsiaTheme="minorEastAsia" w:hAnsiTheme="minorHAnsi" w:cstheme="minorBidi"/>
          <w:sz w:val="22"/>
          <w:szCs w:val="22"/>
        </w:rPr>
      </w:pPr>
      <w:hyperlink w:anchor="_Toc523926657" w:history="1">
        <w:r w:rsidR="00B33077" w:rsidRPr="00164DA3">
          <w:rPr>
            <w:rStyle w:val="Hyperlink"/>
          </w:rPr>
          <w:t>Teil F: Beschlüsse der Bayerischen Regional-KODA,</w:t>
        </w:r>
        <w:r w:rsidR="00B33077" w:rsidRPr="00164DA3">
          <w:rPr>
            <w:rStyle w:val="Hyperlink"/>
            <w:lang w:eastAsia="x-none"/>
          </w:rPr>
          <w:t xml:space="preserve"> </w:t>
        </w:r>
        <w:r w:rsidR="00B33077" w:rsidRPr="00164DA3">
          <w:rPr>
            <w:rStyle w:val="Hyperlink"/>
          </w:rPr>
          <w:t>einzelne Diözesen betreffend (seit 14. 02. 1996)</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58" w:history="1">
        <w:r w:rsidR="00B33077" w:rsidRPr="00164DA3">
          <w:rPr>
            <w:rStyle w:val="Hyperlink"/>
            <w:noProof/>
          </w:rPr>
          <w:t>F, 1. Zulage für Mentorentätigkeit in Schule und Gemeinde</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59" w:history="1">
        <w:r w:rsidR="00B33077" w:rsidRPr="00164DA3">
          <w:rPr>
            <w:rStyle w:val="Hyperlink"/>
            <w:noProof/>
          </w:rPr>
          <w:t>F, 2. Stundenanrechnung für den Unterricht an Förderschulen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0" w:history="1">
        <w:r w:rsidR="00B33077" w:rsidRPr="00164DA3">
          <w:rPr>
            <w:rStyle w:val="Hyperlink"/>
            <w:noProof/>
          </w:rPr>
          <w:t>F, 3. Ordnung der Fort- und Weiterbildung für Mitarbeiter im pastoralen Dienst des Erzbistums München und Freising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1" w:history="1">
        <w:r w:rsidR="00B33077" w:rsidRPr="00164DA3">
          <w:rPr>
            <w:rStyle w:val="Hyperlink"/>
            <w:noProof/>
          </w:rPr>
          <w:t>F, 4. Statut für den Schulbeauftragten bzw. für den Fachmitarbeiter Kath. Religion für Grund-, Haupt- und Förderschulen in den (Erz-)Bistümern Bamberg, München und Freising und Passau</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2" w:history="1">
        <w:r w:rsidR="00B33077" w:rsidRPr="00164DA3">
          <w:rPr>
            <w:rStyle w:val="Hyperlink"/>
            <w:noProof/>
          </w:rPr>
          <w:t>F, 5. Änderung der Fahrtkostenzuschussordnung für die Mitarbeiter der Erzdiözese München und Freising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3" w:history="1">
        <w:r w:rsidR="00B33077" w:rsidRPr="00164DA3">
          <w:rPr>
            <w:rStyle w:val="Hyperlink"/>
            <w:noProof/>
          </w:rPr>
          <w:t>F, 6. Statut für den kirchlichen Schulbeauftragten im Bistum Regensburg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4" w:history="1">
        <w:r w:rsidR="00B33077" w:rsidRPr="00164DA3">
          <w:rPr>
            <w:rStyle w:val="Hyperlink"/>
            <w:noProof/>
          </w:rPr>
          <w:t>F, 7. Neuregelung der Praktikumsvergütung für Vorpraktikanten in den Kindertagesstätten der Erzdiözese München und Freising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5" w:history="1">
        <w:r w:rsidR="00B33077" w:rsidRPr="00164DA3">
          <w:rPr>
            <w:rStyle w:val="Hyperlink"/>
            <w:noProof/>
          </w:rPr>
          <w:t>F, 8. Diözesane Ordnung für die Fortbildung, Weiterbildung, Zusatzausbildung der pädagogischen Fach- und Zweitkräfte in den Katholischen Tagesstätten für Kinder in der Diözese Augsburg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6" w:history="1">
        <w:r w:rsidR="00B33077" w:rsidRPr="00164DA3">
          <w:rPr>
            <w:rStyle w:val="Hyperlink"/>
            <w:noProof/>
          </w:rPr>
          <w:t>F, 9. Sonderregelung zum Entgelt für Pastoralassistentinnen/ Pastoralassistenten im Vorbereitungsdienst in der Erzdiözese München und Freising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7" w:history="1">
        <w:r w:rsidR="00B33077" w:rsidRPr="00164DA3">
          <w:rPr>
            <w:rStyle w:val="Hyperlink"/>
            <w:noProof/>
          </w:rPr>
          <w:t>F, 10. Sonderregelung zum Entgelt für Pastoralassistentinnen/ Pastoralassistenten im Vorbereitungsdienst in der Diözese Eichstätt</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8" w:history="1">
        <w:r w:rsidR="00B33077" w:rsidRPr="00164DA3">
          <w:rPr>
            <w:rStyle w:val="Hyperlink"/>
            <w:noProof/>
          </w:rPr>
          <w:t>F, 11. Sonderregelung zum Entgelt für Pastoralpraktikantinnen/ Pastoralpraktikanten in den Diözesen Regensburg, Passau und Würzburg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69" w:history="1">
        <w:r w:rsidR="00B33077" w:rsidRPr="00164DA3">
          <w:rPr>
            <w:rStyle w:val="Hyperlink"/>
            <w:noProof/>
          </w:rPr>
          <w:t>F, 1</w:t>
        </w:r>
        <w:r w:rsidR="00B33077" w:rsidRPr="00164DA3">
          <w:rPr>
            <w:rStyle w:val="Hyperlink"/>
            <w:noProof/>
            <w:lang w:eastAsia="x-none"/>
          </w:rPr>
          <w:t>2</w:t>
        </w:r>
        <w:r w:rsidR="00B33077" w:rsidRPr="00164DA3">
          <w:rPr>
            <w:rStyle w:val="Hyperlink"/>
            <w:noProof/>
          </w:rPr>
          <w:t>. Sonderregelung zum Entgelt für Religionslehrkräfte im Kirchendienst in der Diözese Augsburg</w:t>
        </w:r>
      </w:hyperlink>
    </w:p>
    <w:p w:rsidR="00B33077" w:rsidRDefault="00C23DFA" w:rsidP="00CC12D3">
      <w:pPr>
        <w:pStyle w:val="Verzeichnis3"/>
        <w:divId w:val="500198663"/>
        <w:rPr>
          <w:rFonts w:asciiTheme="minorHAnsi" w:eastAsiaTheme="minorEastAsia" w:hAnsiTheme="minorHAnsi" w:cstheme="minorBidi"/>
          <w:sz w:val="22"/>
          <w:szCs w:val="22"/>
        </w:rPr>
      </w:pPr>
      <w:hyperlink w:anchor="_Toc523926670" w:history="1">
        <w:r w:rsidR="00B33077" w:rsidRPr="00164DA3">
          <w:rPr>
            <w:rStyle w:val="Hyperlink"/>
            <w:lang w:eastAsia="x-none"/>
          </w:rPr>
          <w:t>Teil G: Weitere Beschlüsse</w:t>
        </w:r>
      </w:hyperlink>
    </w:p>
    <w:p w:rsidR="00B33077" w:rsidRDefault="00C23DFA" w:rsidP="00B33077">
      <w:pPr>
        <w:pStyle w:val="Verzeichnis4"/>
        <w:divId w:val="500198663"/>
        <w:rPr>
          <w:rStyle w:val="Hyperlink"/>
          <w:noProof/>
          <w:lang w:eastAsia="x-none"/>
        </w:rPr>
      </w:pPr>
      <w:hyperlink w:anchor="_Toc523926671" w:history="1">
        <w:r w:rsidR="00B33077" w:rsidRPr="00164DA3">
          <w:rPr>
            <w:rStyle w:val="Hyperlink"/>
            <w:noProof/>
            <w:lang w:eastAsia="x-none"/>
          </w:rPr>
          <w:t>G</w:t>
        </w:r>
        <w:r w:rsidR="00B33077" w:rsidRPr="00164DA3">
          <w:rPr>
            <w:rStyle w:val="Hyperlink"/>
            <w:noProof/>
          </w:rPr>
          <w:t xml:space="preserve">, 1. </w:t>
        </w:r>
        <w:r w:rsidR="00B33077" w:rsidRPr="00164DA3">
          <w:rPr>
            <w:rStyle w:val="Hyperlink"/>
            <w:noProof/>
            <w:lang w:eastAsia="x-none"/>
          </w:rPr>
          <w:t>Kinderbetreuungszuschuss</w:t>
        </w:r>
      </w:hyperlink>
    </w:p>
    <w:p w:rsidR="004B73C6" w:rsidRDefault="004B73C6" w:rsidP="004B73C6">
      <w:pPr>
        <w:divId w:val="500198663"/>
        <w:rPr>
          <w:rFonts w:eastAsiaTheme="minorEastAsia"/>
          <w:lang w:eastAsia="x-none"/>
        </w:rPr>
      </w:pPr>
      <w:r>
        <w:rPr>
          <w:rFonts w:eastAsiaTheme="minorEastAsia"/>
          <w:lang w:eastAsia="x-none"/>
        </w:rPr>
        <w:br w:type="page"/>
      </w:r>
    </w:p>
    <w:p w:rsidR="004B73C6" w:rsidRPr="004B73C6" w:rsidRDefault="004B73C6" w:rsidP="004B73C6">
      <w:pPr>
        <w:divId w:val="500198663"/>
        <w:rPr>
          <w:rFonts w:eastAsiaTheme="minorEastAsia"/>
          <w:lang w:eastAsia="x-none"/>
        </w:rPr>
      </w:pPr>
    </w:p>
    <w:p w:rsidR="00B33077" w:rsidRDefault="00C23DFA" w:rsidP="00CC12D3">
      <w:pPr>
        <w:pStyle w:val="Verzeichnis3"/>
        <w:divId w:val="500198663"/>
        <w:rPr>
          <w:rFonts w:asciiTheme="minorHAnsi" w:eastAsiaTheme="minorEastAsia" w:hAnsiTheme="minorHAnsi" w:cstheme="minorBidi"/>
          <w:sz w:val="22"/>
          <w:szCs w:val="22"/>
        </w:rPr>
      </w:pPr>
      <w:hyperlink w:anchor="_Toc523926672" w:history="1">
        <w:r w:rsidR="00B33077" w:rsidRPr="00164DA3">
          <w:rPr>
            <w:rStyle w:val="Hyperlink"/>
          </w:rPr>
          <w:t>Anhang: Beschluss der Freisinger Bischofskonferenz</w:t>
        </w:r>
      </w:hyperlink>
    </w:p>
    <w:p w:rsidR="00B33077" w:rsidRDefault="00C23DFA" w:rsidP="00CC12D3">
      <w:pPr>
        <w:pStyle w:val="Verzeichnis3"/>
        <w:divId w:val="500198663"/>
        <w:rPr>
          <w:rFonts w:asciiTheme="minorHAnsi" w:eastAsiaTheme="minorEastAsia" w:hAnsiTheme="minorHAnsi" w:cstheme="minorBidi"/>
          <w:sz w:val="22"/>
          <w:szCs w:val="22"/>
        </w:rPr>
      </w:pPr>
      <w:hyperlink w:anchor="_Toc523926673" w:history="1">
        <w:r w:rsidR="00B33077" w:rsidRPr="00164DA3">
          <w:rPr>
            <w:rStyle w:val="Hyperlink"/>
          </w:rPr>
          <w:t>Anhang I: Beschlüsse</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74" w:history="1">
        <w:r w:rsidR="00B33077" w:rsidRPr="00164DA3">
          <w:rPr>
            <w:rStyle w:val="Hyperlink"/>
            <w:noProof/>
          </w:rPr>
          <w:t>Kommission für das Arbeitsvertragsrecht der bayerischen Diözesen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75" w:history="1">
        <w:r w:rsidR="00B33077" w:rsidRPr="00164DA3">
          <w:rPr>
            <w:rStyle w:val="Hyperlink"/>
            <w:noProof/>
          </w:rPr>
          <w:t>Beschlüsse 2018</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76" w:history="1">
        <w:r w:rsidR="00B33077" w:rsidRPr="00164DA3">
          <w:rPr>
            <w:rStyle w:val="Hyperlink"/>
            <w:noProof/>
          </w:rPr>
          <w:t>Beschlüsse 2017</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77" w:history="1">
        <w:r w:rsidR="00B33077" w:rsidRPr="00164DA3">
          <w:rPr>
            <w:rStyle w:val="Hyperlink"/>
            <w:noProof/>
          </w:rPr>
          <w:t>Beschlüsse 201</w:t>
        </w:r>
        <w:r w:rsidR="00B33077" w:rsidRPr="00164DA3">
          <w:rPr>
            <w:rStyle w:val="Hyperlink"/>
            <w:noProof/>
            <w:lang w:eastAsia="x-none"/>
          </w:rPr>
          <w:t>6</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78" w:history="1">
        <w:r w:rsidR="00B33077" w:rsidRPr="00164DA3">
          <w:rPr>
            <w:rStyle w:val="Hyperlink"/>
            <w:noProof/>
          </w:rPr>
          <w:t>Beschlüsse 2015</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79" w:history="1">
        <w:r w:rsidR="00B33077" w:rsidRPr="00164DA3">
          <w:rPr>
            <w:rStyle w:val="Hyperlink"/>
            <w:noProof/>
          </w:rPr>
          <w:t>Beschlüsse 2014</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0" w:history="1">
        <w:r w:rsidR="00B33077" w:rsidRPr="00164DA3">
          <w:rPr>
            <w:rStyle w:val="Hyperlink"/>
            <w:noProof/>
          </w:rPr>
          <w:t>Beschlüsse 2013</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1" w:history="1">
        <w:r w:rsidR="00B33077" w:rsidRPr="00164DA3">
          <w:rPr>
            <w:rStyle w:val="Hyperlink"/>
            <w:noProof/>
          </w:rPr>
          <w:t>Beschlüsse 2012</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2" w:history="1">
        <w:r w:rsidR="00B33077" w:rsidRPr="00164DA3">
          <w:rPr>
            <w:rStyle w:val="Hyperlink"/>
            <w:noProof/>
          </w:rPr>
          <w:t>Beschlüsse 2011</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3" w:history="1">
        <w:r w:rsidR="00B33077" w:rsidRPr="00164DA3">
          <w:rPr>
            <w:rStyle w:val="Hyperlink"/>
            <w:noProof/>
          </w:rPr>
          <w:t>Beschlüsse 2010</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4" w:history="1">
        <w:r w:rsidR="00B33077" w:rsidRPr="00164DA3">
          <w:rPr>
            <w:rStyle w:val="Hyperlink"/>
            <w:noProof/>
          </w:rPr>
          <w:t>Beschlüsse 2009</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5" w:history="1">
        <w:r w:rsidR="00B33077" w:rsidRPr="00164DA3">
          <w:rPr>
            <w:rStyle w:val="Hyperlink"/>
            <w:noProof/>
          </w:rPr>
          <w:t>Beschlüsse 2008</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6" w:history="1">
        <w:r w:rsidR="00B33077" w:rsidRPr="00164DA3">
          <w:rPr>
            <w:rStyle w:val="Hyperlink"/>
            <w:noProof/>
          </w:rPr>
          <w:t xml:space="preserve">Beschlüsse </w:t>
        </w:r>
        <w:r w:rsidR="00B33077" w:rsidRPr="00164DA3">
          <w:rPr>
            <w:rStyle w:val="Hyperlink"/>
            <w:noProof/>
            <w:lang w:eastAsia="x-none"/>
          </w:rPr>
          <w:t>20</w:t>
        </w:r>
        <w:r w:rsidR="00B33077" w:rsidRPr="00164DA3">
          <w:rPr>
            <w:rStyle w:val="Hyperlink"/>
            <w:noProof/>
          </w:rPr>
          <w:t>07</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7" w:history="1">
        <w:r w:rsidR="00B33077" w:rsidRPr="00164DA3">
          <w:rPr>
            <w:rStyle w:val="Hyperlink"/>
            <w:noProof/>
          </w:rPr>
          <w:t xml:space="preserve">Beschlüsse </w:t>
        </w:r>
        <w:r w:rsidR="00B33077" w:rsidRPr="00164DA3">
          <w:rPr>
            <w:rStyle w:val="Hyperlink"/>
            <w:noProof/>
            <w:lang w:eastAsia="x-none"/>
          </w:rPr>
          <w:t>20</w:t>
        </w:r>
        <w:r w:rsidR="00B33077" w:rsidRPr="00164DA3">
          <w:rPr>
            <w:rStyle w:val="Hyperlink"/>
            <w:noProof/>
          </w:rPr>
          <w:t>0</w:t>
        </w:r>
        <w:r w:rsidR="00B33077" w:rsidRPr="00164DA3">
          <w:rPr>
            <w:rStyle w:val="Hyperlink"/>
            <w:noProof/>
            <w:lang w:eastAsia="x-none"/>
          </w:rPr>
          <w:t>6</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8" w:history="1">
        <w:r w:rsidR="00B33077" w:rsidRPr="00164DA3">
          <w:rPr>
            <w:rStyle w:val="Hyperlink"/>
            <w:noProof/>
          </w:rPr>
          <w:t xml:space="preserve">Beschlüsse </w:t>
        </w:r>
        <w:r w:rsidR="00B33077" w:rsidRPr="00164DA3">
          <w:rPr>
            <w:rStyle w:val="Hyperlink"/>
            <w:noProof/>
            <w:lang w:eastAsia="x-none"/>
          </w:rPr>
          <w:t>20</w:t>
        </w:r>
        <w:r w:rsidR="00B33077" w:rsidRPr="00164DA3">
          <w:rPr>
            <w:rStyle w:val="Hyperlink"/>
            <w:noProof/>
          </w:rPr>
          <w:t>0</w:t>
        </w:r>
        <w:r w:rsidR="00B33077" w:rsidRPr="00164DA3">
          <w:rPr>
            <w:rStyle w:val="Hyperlink"/>
            <w:noProof/>
            <w:lang w:eastAsia="x-none"/>
          </w:rPr>
          <w:t>5</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89" w:history="1">
        <w:r w:rsidR="00B33077" w:rsidRPr="00164DA3">
          <w:rPr>
            <w:rStyle w:val="Hyperlink"/>
            <w:noProof/>
          </w:rPr>
          <w:t xml:space="preserve">Beschlüsse </w:t>
        </w:r>
        <w:r w:rsidR="00B33077" w:rsidRPr="00164DA3">
          <w:rPr>
            <w:rStyle w:val="Hyperlink"/>
            <w:noProof/>
            <w:lang w:eastAsia="x-none"/>
          </w:rPr>
          <w:t>20</w:t>
        </w:r>
        <w:r w:rsidR="00B33077" w:rsidRPr="00164DA3">
          <w:rPr>
            <w:rStyle w:val="Hyperlink"/>
            <w:noProof/>
          </w:rPr>
          <w:t>0</w:t>
        </w:r>
        <w:r w:rsidR="00B33077" w:rsidRPr="00164DA3">
          <w:rPr>
            <w:rStyle w:val="Hyperlink"/>
            <w:noProof/>
            <w:lang w:eastAsia="x-none"/>
          </w:rPr>
          <w:t>4</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90" w:history="1">
        <w:r w:rsidR="00B33077" w:rsidRPr="00164DA3">
          <w:rPr>
            <w:rStyle w:val="Hyperlink"/>
            <w:noProof/>
          </w:rPr>
          <w:t>Beschlüsse 10/2003 – 12/2003</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91" w:history="1">
        <w:r w:rsidR="00B33077" w:rsidRPr="00164DA3">
          <w:rPr>
            <w:rStyle w:val="Hyperlink"/>
            <w:noProof/>
          </w:rPr>
          <w:t>Zentral-KODA seit 2008</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92" w:history="1">
        <w:r w:rsidR="00B33077" w:rsidRPr="00164DA3">
          <w:rPr>
            <w:rStyle w:val="Hyperlink"/>
            <w:noProof/>
          </w:rPr>
          <w:t>Ordnung über die Rechtsfolgen eines Dienstgeberwechsels im Geltungsbereich der Grundordnung des kirchlichen Dienstes im Rahmen kirchlicher Arbeitsverhältnisse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93" w:history="1">
        <w:r w:rsidR="00B33077" w:rsidRPr="00164DA3">
          <w:rPr>
            <w:rStyle w:val="Hyperlink"/>
            <w:noProof/>
          </w:rPr>
          <w:t>Änderungsbeschluss zur Entgeltumwandlung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94" w:history="1">
        <w:r w:rsidR="00B33077" w:rsidRPr="00164DA3">
          <w:rPr>
            <w:rStyle w:val="Hyperlink"/>
            <w:noProof/>
          </w:rPr>
          <w:t>Entgeltumwandlung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95" w:history="1">
        <w:r w:rsidR="00B33077" w:rsidRPr="00164DA3">
          <w:rPr>
            <w:rStyle w:val="Hyperlink"/>
            <w:noProof/>
          </w:rPr>
          <w:t>Ordnung über die Anrechnung von Vordienstzeiten zur Anerkennung von Stufenlaufzeiten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696" w:history="1">
        <w:r w:rsidR="00B33077" w:rsidRPr="00164DA3">
          <w:rPr>
            <w:rStyle w:val="Hyperlink"/>
            <w:noProof/>
          </w:rPr>
          <w:t>Kinderbezogene Entgeltbestandteile</w:t>
        </w:r>
      </w:hyperlink>
    </w:p>
    <w:p w:rsidR="00B33077" w:rsidRDefault="00C23DFA" w:rsidP="00B33077">
      <w:pPr>
        <w:pStyle w:val="Verzeichnis5"/>
        <w:divId w:val="500198663"/>
        <w:rPr>
          <w:rStyle w:val="Hyperlink"/>
          <w:noProof/>
        </w:rPr>
      </w:pPr>
      <w:hyperlink w:anchor="_Toc523926697" w:history="1">
        <w:r w:rsidR="00B33077" w:rsidRPr="00164DA3">
          <w:rPr>
            <w:rStyle w:val="Hyperlink"/>
            <w:noProof/>
          </w:rPr>
          <w:t>Einbeziehungsklauseln</w:t>
        </w:r>
      </w:hyperlink>
    </w:p>
    <w:p w:rsidR="004B73C6" w:rsidRDefault="004B73C6" w:rsidP="004B73C6">
      <w:pPr>
        <w:divId w:val="500198663"/>
        <w:rPr>
          <w:rFonts w:eastAsiaTheme="minorEastAsia"/>
        </w:rPr>
      </w:pPr>
      <w:r>
        <w:rPr>
          <w:rFonts w:eastAsiaTheme="minorEastAsia"/>
        </w:rPr>
        <w:br w:type="page"/>
      </w:r>
    </w:p>
    <w:p w:rsidR="004B73C6" w:rsidRPr="004B73C6" w:rsidRDefault="004B73C6" w:rsidP="004B73C6">
      <w:pPr>
        <w:divId w:val="500198663"/>
        <w:rPr>
          <w:rFonts w:eastAsiaTheme="minorEastAsia"/>
        </w:rPr>
      </w:pPr>
    </w:p>
    <w:p w:rsidR="00B33077" w:rsidRDefault="00C23DFA" w:rsidP="00CC12D3">
      <w:pPr>
        <w:pStyle w:val="Verzeichnis3"/>
        <w:divId w:val="500198663"/>
        <w:rPr>
          <w:rFonts w:asciiTheme="minorHAnsi" w:eastAsiaTheme="minorEastAsia" w:hAnsiTheme="minorHAnsi" w:cstheme="minorBidi"/>
          <w:sz w:val="22"/>
          <w:szCs w:val="22"/>
        </w:rPr>
      </w:pPr>
      <w:hyperlink w:anchor="_Toc523926698" w:history="1">
        <w:r w:rsidR="00B33077" w:rsidRPr="00164DA3">
          <w:rPr>
            <w:rStyle w:val="Hyperlink"/>
          </w:rPr>
          <w:t>Anhang II: Kirchengesetzliche Ordnungen mit arbeitsvertragsrechtlicher Relevanz</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699" w:history="1">
        <w:r w:rsidR="00B33077" w:rsidRPr="00164DA3">
          <w:rPr>
            <w:rStyle w:val="Hyperlink"/>
            <w:noProof/>
          </w:rPr>
          <w:t>1. Grundordnung des kirchlichen Dienstes im Rahmen kirchlicher Arbeitsverhältnisse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00" w:history="1">
        <w:r w:rsidR="00B33077" w:rsidRPr="00164DA3">
          <w:rPr>
            <w:rStyle w:val="Hyperlink"/>
            <w:noProof/>
          </w:rPr>
          <w:t>Grundordnung des kirchlichen Dienstes im Rahmen kirchlicher Arbeitsverhältnisse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1" w:history="1">
        <w:r w:rsidR="00B33077" w:rsidRPr="00164DA3">
          <w:rPr>
            <w:rStyle w:val="Hyperlink"/>
            <w:noProof/>
          </w:rPr>
          <w:t>Artikel 1 – Grundprinzipien des kirchlichen Dienstes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2" w:history="1">
        <w:r w:rsidR="00B33077" w:rsidRPr="00164DA3">
          <w:rPr>
            <w:rStyle w:val="Hyperlink"/>
            <w:noProof/>
          </w:rPr>
          <w:t>Artikel 2 – Geltungsbereich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3" w:history="1">
        <w:r w:rsidR="00B33077" w:rsidRPr="00164DA3">
          <w:rPr>
            <w:rStyle w:val="Hyperlink"/>
            <w:noProof/>
          </w:rPr>
          <w:t>Artikel 3 – Begründung des Arbeitsverhältnisses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4" w:history="1">
        <w:r w:rsidR="00B33077" w:rsidRPr="00164DA3">
          <w:rPr>
            <w:rStyle w:val="Hyperlink"/>
            <w:noProof/>
          </w:rPr>
          <w:t>Artikel 4 – Loyalitätsobliegenheiten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5" w:history="1">
        <w:r w:rsidR="00B33077" w:rsidRPr="00164DA3">
          <w:rPr>
            <w:rStyle w:val="Hyperlink"/>
            <w:noProof/>
          </w:rPr>
          <w:t>Artikel 5 – Verstöße gegen Loyalitätsobliegenheiten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6" w:history="1">
        <w:r w:rsidR="00B33077" w:rsidRPr="00164DA3">
          <w:rPr>
            <w:rStyle w:val="Hyperlink"/>
            <w:noProof/>
          </w:rPr>
          <w:t>Artikel 6 – Koalitionsfreiheit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7" w:history="1">
        <w:r w:rsidR="00B33077" w:rsidRPr="00164DA3">
          <w:rPr>
            <w:rStyle w:val="Hyperlink"/>
            <w:noProof/>
          </w:rPr>
          <w:t>Artikel 7 – Beteiligung der Mitarbeiterinnen und Mitarbeiter an der Gestaltung ihrer Arbeitsbedingungen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8" w:history="1">
        <w:r w:rsidR="00B33077" w:rsidRPr="00164DA3">
          <w:rPr>
            <w:rStyle w:val="Hyperlink"/>
            <w:noProof/>
          </w:rPr>
          <w:t>Artikel 8 – Mitarbeitervertretungsrecht als kirchliche Betriebsverfassung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09" w:history="1">
        <w:r w:rsidR="00B33077" w:rsidRPr="00164DA3">
          <w:rPr>
            <w:rStyle w:val="Hyperlink"/>
            <w:noProof/>
          </w:rPr>
          <w:t>Artikel 9 – Fort- und Weiterbildung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10" w:history="1">
        <w:r w:rsidR="00B33077" w:rsidRPr="00164DA3">
          <w:rPr>
            <w:rStyle w:val="Hyperlink"/>
            <w:noProof/>
          </w:rPr>
          <w:t>Artikel 10 – Gerichtlicher Rechtsschutz –</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11" w:history="1">
        <w:r w:rsidR="00B33077" w:rsidRPr="00164DA3">
          <w:rPr>
            <w:rStyle w:val="Hyperlink"/>
            <w:noProof/>
          </w:rPr>
          <w:t>Authentische Interpretation der Grundordnung des kirchlichen Dienstes im Rahmen kirchlicher Arbeitsverhältnisse</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712" w:history="1">
        <w:r w:rsidR="00B33077" w:rsidRPr="00164DA3">
          <w:rPr>
            <w:rStyle w:val="Hyperlink"/>
            <w:noProof/>
          </w:rPr>
          <w:t>2. Ordnung für Schlichtungsverfahren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13" w:history="1">
        <w:r w:rsidR="00B33077" w:rsidRPr="00164DA3">
          <w:rPr>
            <w:rStyle w:val="Hyperlink"/>
            <w:noProof/>
          </w:rPr>
          <w:t>I. Die Schlichtungsstelle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14" w:history="1">
        <w:r w:rsidR="00B33077" w:rsidRPr="00164DA3">
          <w:rPr>
            <w:rStyle w:val="Hyperlink"/>
            <w:noProof/>
          </w:rPr>
          <w:t>§ 1 Name, Sitz, Geschäftsstelle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15" w:history="1">
        <w:r w:rsidR="00B33077" w:rsidRPr="00164DA3">
          <w:rPr>
            <w:rStyle w:val="Hyperlink"/>
            <w:noProof/>
          </w:rPr>
          <w:t>§ 2 Zuständigkeit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16" w:history="1">
        <w:r w:rsidR="00B33077" w:rsidRPr="00164DA3">
          <w:rPr>
            <w:rStyle w:val="Hyperlink"/>
            <w:noProof/>
          </w:rPr>
          <w:t>§ 3 Mitglieder</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17" w:history="1">
        <w:r w:rsidR="00B33077" w:rsidRPr="00164DA3">
          <w:rPr>
            <w:rStyle w:val="Hyperlink"/>
            <w:noProof/>
          </w:rPr>
          <w:t>§ 4 Unabhängigkeit, Schweigepflicht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18" w:history="1">
        <w:r w:rsidR="00B33077" w:rsidRPr="00164DA3">
          <w:rPr>
            <w:rStyle w:val="Hyperlink"/>
            <w:noProof/>
          </w:rPr>
          <w:t>§ 5 Amtszeit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19" w:history="1">
        <w:r w:rsidR="00B33077" w:rsidRPr="00164DA3">
          <w:rPr>
            <w:rStyle w:val="Hyperlink"/>
            <w:noProof/>
          </w:rPr>
          <w:t>§ 5a Abhängigkeit, Befangenheit, Ablehnung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0" w:history="1">
        <w:r w:rsidR="00B33077" w:rsidRPr="00164DA3">
          <w:rPr>
            <w:rStyle w:val="Hyperlink"/>
            <w:noProof/>
          </w:rPr>
          <w:t>§ 6 Vorzeitige Beendigung, Ausscheiden, Abberufung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21" w:history="1">
        <w:r w:rsidR="00B33077" w:rsidRPr="00164DA3">
          <w:rPr>
            <w:rStyle w:val="Hyperlink"/>
            <w:noProof/>
          </w:rPr>
          <w:t>II. Das Schlichtungsverfahren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2" w:history="1">
        <w:r w:rsidR="00B33077" w:rsidRPr="00164DA3">
          <w:rPr>
            <w:rStyle w:val="Hyperlink"/>
            <w:noProof/>
          </w:rPr>
          <w:t>§ 7 Beteiligte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3" w:history="1">
        <w:r w:rsidR="00B33077" w:rsidRPr="00164DA3">
          <w:rPr>
            <w:rStyle w:val="Hyperlink"/>
            <w:noProof/>
          </w:rPr>
          <w:t>§ 7a Zulassung von Bevollmächtigten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4" w:history="1">
        <w:r w:rsidR="00B33077" w:rsidRPr="00164DA3">
          <w:rPr>
            <w:rStyle w:val="Hyperlink"/>
            <w:noProof/>
          </w:rPr>
          <w:t>§ 7b Kostenhilfe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5" w:history="1">
        <w:r w:rsidR="00B33077" w:rsidRPr="00164DA3">
          <w:rPr>
            <w:rStyle w:val="Hyperlink"/>
            <w:noProof/>
          </w:rPr>
          <w:t>§ 8 Antragsgrundsatz</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6" w:history="1">
        <w:r w:rsidR="00B33077" w:rsidRPr="00164DA3">
          <w:rPr>
            <w:rStyle w:val="Hyperlink"/>
            <w:noProof/>
          </w:rPr>
          <w:t>§ 9 Antragsinhalt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7" w:history="1">
        <w:r w:rsidR="00B33077" w:rsidRPr="00164DA3">
          <w:rPr>
            <w:rStyle w:val="Hyperlink"/>
            <w:noProof/>
          </w:rPr>
          <w:t>§ 10 Zurücknahme, Änderung des Antrags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8" w:history="1">
        <w:r w:rsidR="00B33077" w:rsidRPr="00164DA3">
          <w:rPr>
            <w:rStyle w:val="Hyperlink"/>
            <w:noProof/>
          </w:rPr>
          <w:t>§ 11 Zurückweisung des Antrags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29" w:history="1">
        <w:r w:rsidR="00B33077" w:rsidRPr="00164DA3">
          <w:rPr>
            <w:rStyle w:val="Hyperlink"/>
            <w:noProof/>
          </w:rPr>
          <w:t>§ 12 Befugnisse des Vorsitzenden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0" w:history="1">
        <w:r w:rsidR="00B33077" w:rsidRPr="00164DA3">
          <w:rPr>
            <w:rStyle w:val="Hyperlink"/>
            <w:noProof/>
          </w:rPr>
          <w:t>§ 13 Verhandlungsvorbereitung, mündliche Verhandlung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1" w:history="1">
        <w:r w:rsidR="00B33077" w:rsidRPr="00164DA3">
          <w:rPr>
            <w:rStyle w:val="Hyperlink"/>
            <w:noProof/>
          </w:rPr>
          <w:t>§ 14 Ladung zur mündlichen Verhandlung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2" w:history="1">
        <w:r w:rsidR="00B33077" w:rsidRPr="00164DA3">
          <w:rPr>
            <w:rStyle w:val="Hyperlink"/>
            <w:noProof/>
          </w:rPr>
          <w:t>§ 15 Ablauf der mündlichen Verhandlung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3" w:history="1">
        <w:r w:rsidR="00B33077" w:rsidRPr="00164DA3">
          <w:rPr>
            <w:rStyle w:val="Hyperlink"/>
            <w:noProof/>
          </w:rPr>
          <w:t>§ 16 Beweisaufnahme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4" w:history="1">
        <w:r w:rsidR="00B33077" w:rsidRPr="00164DA3">
          <w:rPr>
            <w:rStyle w:val="Hyperlink"/>
            <w:noProof/>
          </w:rPr>
          <w:t>§ 17 Einigungsempfehlung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5" w:history="1">
        <w:r w:rsidR="00B33077" w:rsidRPr="00164DA3">
          <w:rPr>
            <w:rStyle w:val="Hyperlink"/>
            <w:noProof/>
          </w:rPr>
          <w:t>§ 18 Rechtscharakter der Einigungsempfehlung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6" w:history="1">
        <w:r w:rsidR="00B33077" w:rsidRPr="00164DA3">
          <w:rPr>
            <w:rStyle w:val="Hyperlink"/>
            <w:noProof/>
          </w:rPr>
          <w:t>§ 19 Verfahrenskosten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7" w:history="1">
        <w:r w:rsidR="00B33077" w:rsidRPr="00164DA3">
          <w:rPr>
            <w:rStyle w:val="Hyperlink"/>
            <w:noProof/>
          </w:rPr>
          <w:t>§ 20 Kosten der Schlichtungsstelle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8" w:history="1">
        <w:r w:rsidR="00B33077" w:rsidRPr="00164DA3">
          <w:rPr>
            <w:rStyle w:val="Hyperlink"/>
            <w:noProof/>
          </w:rPr>
          <w:t>§ 21 Übergangsregelung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39" w:history="1">
        <w:r w:rsidR="00B33077" w:rsidRPr="00164DA3">
          <w:rPr>
            <w:rStyle w:val="Hyperlink"/>
            <w:noProof/>
          </w:rPr>
          <w:t>§ 22 In-Kraft-Treten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740" w:history="1">
        <w:r w:rsidR="00B33077" w:rsidRPr="00164DA3">
          <w:rPr>
            <w:rStyle w:val="Hyperlink"/>
            <w:noProof/>
          </w:rPr>
          <w:t>3. Ordnung zur Gewährung von Beihilfen in Krankheits-, Pflege-, Geburts- un</w:t>
        </w:r>
        <w:r w:rsidR="00B33077" w:rsidRPr="00164DA3">
          <w:rPr>
            <w:rStyle w:val="Hyperlink"/>
            <w:noProof/>
            <w:lang w:eastAsia="x-none"/>
          </w:rPr>
          <w:t>d sonstigen F</w:t>
        </w:r>
        <w:r w:rsidR="00B33077" w:rsidRPr="00164DA3">
          <w:rPr>
            <w:rStyle w:val="Hyperlink"/>
            <w:noProof/>
          </w:rPr>
          <w:t>ällen: Beihilfeordnung Teil A*</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41" w:history="1">
        <w:r w:rsidR="00B33077" w:rsidRPr="00164DA3">
          <w:rPr>
            <w:rStyle w:val="Hyperlink"/>
            <w:noProof/>
          </w:rPr>
          <w:t>§ 1 Regelungsbereich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42" w:history="1">
        <w:r w:rsidR="00B33077" w:rsidRPr="00164DA3">
          <w:rPr>
            <w:rStyle w:val="Hyperlink"/>
            <w:noProof/>
          </w:rPr>
          <w:t>Erster Abschnitt: Beihilfe nach beamtenrechtlichen Vorschriften oder Grundsätzen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43" w:history="1">
        <w:r w:rsidR="00B33077" w:rsidRPr="00164DA3">
          <w:rPr>
            <w:rStyle w:val="Hyperlink"/>
            <w:noProof/>
          </w:rPr>
          <w:t>§ 2 Privat krankenversicherte Priester und Kirchenbeamte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44" w:history="1">
        <w:r w:rsidR="00B33077" w:rsidRPr="00164DA3">
          <w:rPr>
            <w:rStyle w:val="Hyperlink"/>
            <w:noProof/>
          </w:rPr>
          <w:t>§ 2a Privat krankenversicherte Mitarbeiter mit schriftlicher Zusage auf Beihilfe nach beamtenrechtlichen Grundsätzen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45" w:history="1">
        <w:r w:rsidR="00B33077" w:rsidRPr="00164DA3">
          <w:rPr>
            <w:rStyle w:val="Hyperlink"/>
            <w:noProof/>
          </w:rPr>
          <w:t xml:space="preserve">§ </w:t>
        </w:r>
        <w:r w:rsidR="00B33077" w:rsidRPr="00164DA3">
          <w:rPr>
            <w:rStyle w:val="Hyperlink"/>
            <w:noProof/>
            <w:lang w:eastAsia="x-none"/>
          </w:rPr>
          <w:t>2</w:t>
        </w:r>
        <w:r w:rsidR="00B33077" w:rsidRPr="00164DA3">
          <w:rPr>
            <w:rStyle w:val="Hyperlink"/>
            <w:noProof/>
          </w:rPr>
          <w:t>b Beamte des Katholischen Schulwerks in Bayern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46" w:history="1">
        <w:r w:rsidR="00B33077" w:rsidRPr="00164DA3">
          <w:rPr>
            <w:rStyle w:val="Hyperlink"/>
            <w:noProof/>
          </w:rPr>
          <w:t>§ 3 Gesetzlich krankenversicherte Priester und Kirchenbeamte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47" w:history="1">
        <w:r w:rsidR="00B33077" w:rsidRPr="00164DA3">
          <w:rPr>
            <w:rStyle w:val="Hyperlink"/>
            <w:noProof/>
          </w:rPr>
          <w:t>§ 3a Gesetzlich krankenversicherte Mitarbeiter mit schriftlicher Zusage auf Beihilfe nach beamtenrechtlichen Grundsätzen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48" w:history="1">
        <w:r w:rsidR="00B33077" w:rsidRPr="00164DA3">
          <w:rPr>
            <w:rStyle w:val="Hyperlink"/>
            <w:noProof/>
          </w:rPr>
          <w:t xml:space="preserve">§ </w:t>
        </w:r>
        <w:r w:rsidR="00B33077" w:rsidRPr="00164DA3">
          <w:rPr>
            <w:rStyle w:val="Hyperlink"/>
            <w:noProof/>
            <w:lang w:eastAsia="x-none"/>
          </w:rPr>
          <w:t>4</w:t>
        </w:r>
        <w:r w:rsidR="00B33077" w:rsidRPr="00164DA3">
          <w:rPr>
            <w:rStyle w:val="Hyperlink"/>
            <w:noProof/>
          </w:rPr>
          <w:t xml:space="preserve"> Zuständigkeit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49" w:history="1">
        <w:r w:rsidR="00B33077" w:rsidRPr="00164DA3">
          <w:rPr>
            <w:rStyle w:val="Hyperlink"/>
            <w:noProof/>
            <w:lang w:eastAsia="x-none"/>
          </w:rPr>
          <w:t>Zwei</w:t>
        </w:r>
        <w:r w:rsidR="00B33077" w:rsidRPr="00164DA3">
          <w:rPr>
            <w:rStyle w:val="Hyperlink"/>
            <w:noProof/>
          </w:rPr>
          <w:t>ter Abschnitt: Beihilfe auf</w:t>
        </w:r>
        <w:r w:rsidR="00B33077" w:rsidRPr="00164DA3">
          <w:rPr>
            <w:rStyle w:val="Hyperlink"/>
            <w:noProof/>
            <w:lang w:eastAsia="x-none"/>
          </w:rPr>
          <w:t>g</w:t>
        </w:r>
        <w:r w:rsidR="00B33077" w:rsidRPr="00164DA3">
          <w:rPr>
            <w:rStyle w:val="Hyperlink"/>
            <w:noProof/>
          </w:rPr>
          <w:t xml:space="preserve">rund </w:t>
        </w:r>
        <w:r w:rsidR="00B33077" w:rsidRPr="00164DA3">
          <w:rPr>
            <w:rStyle w:val="Hyperlink"/>
            <w:noProof/>
            <w:lang w:eastAsia="x-none"/>
          </w:rPr>
          <w:t>der Dienst- und Vergütungsordnung für ständige Diakone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0" w:history="1">
        <w:r w:rsidR="00B33077" w:rsidRPr="00164DA3">
          <w:rPr>
            <w:rStyle w:val="Hyperlink"/>
            <w:noProof/>
          </w:rPr>
          <w:t xml:space="preserve">§ </w:t>
        </w:r>
        <w:r w:rsidR="00B33077" w:rsidRPr="00164DA3">
          <w:rPr>
            <w:rStyle w:val="Hyperlink"/>
            <w:noProof/>
            <w:lang w:eastAsia="x-none"/>
          </w:rPr>
          <w:t>5</w:t>
        </w:r>
        <w:r w:rsidR="00B33077" w:rsidRPr="00164DA3">
          <w:rPr>
            <w:rStyle w:val="Hyperlink"/>
            <w:noProof/>
          </w:rPr>
          <w:t xml:space="preserve"> Gesetzlich krankenversicherte hauptberufliche Diakone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1" w:history="1">
        <w:r w:rsidR="00B33077" w:rsidRPr="00164DA3">
          <w:rPr>
            <w:rStyle w:val="Hyperlink"/>
            <w:noProof/>
          </w:rPr>
          <w:t xml:space="preserve">§ </w:t>
        </w:r>
        <w:r w:rsidR="00B33077" w:rsidRPr="00164DA3">
          <w:rPr>
            <w:rStyle w:val="Hyperlink"/>
            <w:noProof/>
            <w:lang w:eastAsia="x-none"/>
          </w:rPr>
          <w:t>5a</w:t>
        </w:r>
        <w:r w:rsidR="00B33077" w:rsidRPr="00164DA3">
          <w:rPr>
            <w:rStyle w:val="Hyperlink"/>
            <w:noProof/>
          </w:rPr>
          <w:t xml:space="preserve"> </w:t>
        </w:r>
        <w:r w:rsidR="00B33077" w:rsidRPr="00164DA3">
          <w:rPr>
            <w:rStyle w:val="Hyperlink"/>
            <w:noProof/>
            <w:lang w:eastAsia="x-none"/>
          </w:rPr>
          <w:t>Privat</w:t>
        </w:r>
        <w:r w:rsidR="00B33077" w:rsidRPr="00164DA3">
          <w:rPr>
            <w:rStyle w:val="Hyperlink"/>
            <w:noProof/>
          </w:rPr>
          <w:t xml:space="preserve"> krankenversicherte hauptberufliche Diakone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52" w:history="1">
        <w:r w:rsidR="00B33077" w:rsidRPr="00164DA3">
          <w:rPr>
            <w:rStyle w:val="Hyperlink"/>
            <w:noProof/>
            <w:lang w:eastAsia="x-none"/>
          </w:rPr>
          <w:t>Drit</w:t>
        </w:r>
        <w:r w:rsidR="00B33077" w:rsidRPr="00164DA3">
          <w:rPr>
            <w:rStyle w:val="Hyperlink"/>
            <w:noProof/>
          </w:rPr>
          <w:t>ter Abschnitt: Beihilfe auf Grund arbeitsvertragsrechtlicher Vorschriften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3" w:history="1">
        <w:r w:rsidR="00B33077" w:rsidRPr="00164DA3">
          <w:rPr>
            <w:rStyle w:val="Hyperlink"/>
            <w:noProof/>
          </w:rPr>
          <w:t>§ 6 Berechtigte Personen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4" w:history="1">
        <w:r w:rsidR="00B33077" w:rsidRPr="00164DA3">
          <w:rPr>
            <w:rStyle w:val="Hyperlink"/>
            <w:noProof/>
          </w:rPr>
          <w:t>§ 7 Beihilfeleistungen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5" w:history="1">
        <w:r w:rsidR="00B33077" w:rsidRPr="00164DA3">
          <w:rPr>
            <w:rStyle w:val="Hyperlink"/>
            <w:noProof/>
          </w:rPr>
          <w:t>§ 7a Beschäftigte im Sinne des § 36 b Teil A, 1.</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6" w:history="1">
        <w:r w:rsidR="00B33077" w:rsidRPr="00164DA3">
          <w:rPr>
            <w:rStyle w:val="Hyperlink"/>
            <w:noProof/>
          </w:rPr>
          <w:t>§ 7b Schriftliche Zusagen auf Beihilfeleistungen im jeweiligen Umfang des Tarifs 820 K</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7" w:history="1">
        <w:r w:rsidR="00B33077" w:rsidRPr="00164DA3">
          <w:rPr>
            <w:rStyle w:val="Hyperlink"/>
            <w:noProof/>
          </w:rPr>
          <w:t>§ 7c Schriftliche Zusagen für Beschäftigte im Sinne des § 7 Abs. 2</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8" w:history="1">
        <w:r w:rsidR="00B33077" w:rsidRPr="00164DA3">
          <w:rPr>
            <w:rStyle w:val="Hyperlink"/>
            <w:noProof/>
          </w:rPr>
          <w:t>§ 7d Übergangsregelung für privat krankenversicherte Arbeitnehmer, die den Arbeitgeberzuschuss nicht in Anspruch nehmen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59" w:history="1">
        <w:r w:rsidR="00B33077" w:rsidRPr="00164DA3">
          <w:rPr>
            <w:rStyle w:val="Hyperlink"/>
            <w:noProof/>
          </w:rPr>
          <w:t>§ 7</w:t>
        </w:r>
        <w:r w:rsidR="00B33077" w:rsidRPr="00164DA3">
          <w:rPr>
            <w:rStyle w:val="Hyperlink"/>
            <w:noProof/>
            <w:lang w:eastAsia="x-none"/>
          </w:rPr>
          <w:t>e</w:t>
        </w:r>
        <w:r w:rsidR="00B33077" w:rsidRPr="00164DA3">
          <w:rPr>
            <w:rStyle w:val="Hyperlink"/>
            <w:noProof/>
          </w:rPr>
          <w:t xml:space="preserve"> Schriftliche Zusagen für Lehrkräfte gemäß ABD Teil B, 4.1. an Schulen in kirchlicher Trägerschaft auf Beihilfeleistungen im jeweiligen Umfang des</w:t>
        </w:r>
        <w:r w:rsidR="00B33077" w:rsidRPr="00164DA3">
          <w:rPr>
            <w:rStyle w:val="Hyperlink"/>
            <w:noProof/>
            <w:lang w:eastAsia="x-none"/>
          </w:rPr>
          <w:t xml:space="preserve"> </w:t>
        </w:r>
        <w:r w:rsidR="00B33077" w:rsidRPr="00164DA3">
          <w:rPr>
            <w:rStyle w:val="Hyperlink"/>
            <w:noProof/>
          </w:rPr>
          <w:t>Tarifs 820 K Plus (ab 01.05.2018)</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60" w:history="1">
        <w:r w:rsidR="00B33077" w:rsidRPr="00164DA3">
          <w:rPr>
            <w:rStyle w:val="Hyperlink"/>
            <w:noProof/>
          </w:rPr>
          <w:t>§ 7</w:t>
        </w:r>
        <w:r w:rsidR="00B33077" w:rsidRPr="00164DA3">
          <w:rPr>
            <w:rStyle w:val="Hyperlink"/>
            <w:noProof/>
            <w:lang w:eastAsia="x-none"/>
          </w:rPr>
          <w:t>f</w:t>
        </w:r>
        <w:r w:rsidR="00B33077" w:rsidRPr="00164DA3">
          <w:rPr>
            <w:rStyle w:val="Hyperlink"/>
            <w:noProof/>
          </w:rPr>
          <w:t xml:space="preserve"> Schriftliche Zusagen für Lehrkräfte gemäß ABD Teil B, 4.1 an Schulen in kirchlicher Trägerschaft im Sinne des § 7 Abs. 2 (ab 01.05.2018)</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61" w:history="1">
        <w:r w:rsidR="00B33077" w:rsidRPr="00164DA3">
          <w:rPr>
            <w:rStyle w:val="Hyperlink"/>
            <w:noProof/>
          </w:rPr>
          <w:t>§ 8 Sonderregelungen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62" w:history="1">
        <w:r w:rsidR="00B33077" w:rsidRPr="00164DA3">
          <w:rPr>
            <w:rStyle w:val="Hyperlink"/>
            <w:noProof/>
            <w:lang w:eastAsia="x-none"/>
          </w:rPr>
          <w:t>Vier</w:t>
        </w:r>
        <w:r w:rsidR="00B33077" w:rsidRPr="00164DA3">
          <w:rPr>
            <w:rStyle w:val="Hyperlink"/>
            <w:noProof/>
          </w:rPr>
          <w:t>ter Abschnitt: Gemeinsame Vorschriften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63" w:history="1">
        <w:r w:rsidR="00B33077" w:rsidRPr="00164DA3">
          <w:rPr>
            <w:rStyle w:val="Hyperlink"/>
            <w:noProof/>
          </w:rPr>
          <w:t>§ 9 Ausschluss von Beihilfeleistungen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64" w:history="1">
        <w:r w:rsidR="00B33077" w:rsidRPr="00164DA3">
          <w:rPr>
            <w:rStyle w:val="Hyperlink"/>
            <w:noProof/>
          </w:rPr>
          <w:t>§ 10 Beihilfeablöseversicherung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65" w:history="1">
        <w:r w:rsidR="00B33077" w:rsidRPr="00164DA3">
          <w:rPr>
            <w:rStyle w:val="Hyperlink"/>
            <w:noProof/>
          </w:rPr>
          <w:t>§ 11 Zusammentreffen mehrerer Beihilfeberechtigungen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66" w:history="1">
        <w:r w:rsidR="00B33077" w:rsidRPr="00164DA3">
          <w:rPr>
            <w:rStyle w:val="Hyperlink"/>
            <w:noProof/>
          </w:rPr>
          <w:t>§ 12 Übergangsregelungen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767" w:history="1">
        <w:r w:rsidR="00B33077" w:rsidRPr="00164DA3">
          <w:rPr>
            <w:rStyle w:val="Hyperlink"/>
            <w:noProof/>
          </w:rPr>
          <w:t>4. Ordnung für eine kirchliche Höherversicherung I in Krankheitsfällen: Beihilfeordnung Teil B*</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68" w:history="1">
        <w:r w:rsidR="00B33077" w:rsidRPr="00164DA3">
          <w:rPr>
            <w:rStyle w:val="Hyperlink"/>
            <w:noProof/>
          </w:rPr>
          <w:t>§ 1 Regelungsbereich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69" w:history="1">
        <w:r w:rsidR="00B33077" w:rsidRPr="00164DA3">
          <w:rPr>
            <w:rStyle w:val="Hyperlink"/>
            <w:noProof/>
          </w:rPr>
          <w:t>Erster Abschnitt: Kirchliche Höherversicherung I</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70" w:history="1">
        <w:r w:rsidR="00B33077" w:rsidRPr="00164DA3">
          <w:rPr>
            <w:rStyle w:val="Hyperlink"/>
            <w:noProof/>
          </w:rPr>
          <w:t>§ 2 Geltungsbereich</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71" w:history="1">
        <w:r w:rsidR="00B33077" w:rsidRPr="00164DA3">
          <w:rPr>
            <w:rStyle w:val="Hyperlink"/>
            <w:noProof/>
          </w:rPr>
          <w:t>§ 3 An- und Abmeldung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72" w:history="1">
        <w:r w:rsidR="00B33077" w:rsidRPr="00164DA3">
          <w:rPr>
            <w:rStyle w:val="Hyperlink"/>
            <w:noProof/>
          </w:rPr>
          <w:t>Zweiter Abschnitt: Kirchliche Höherversicherung in Ausführung von § 36b ABD Teil A, 1.</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73" w:history="1">
        <w:r w:rsidR="00B33077" w:rsidRPr="00164DA3">
          <w:rPr>
            <w:rStyle w:val="Hyperlink"/>
            <w:noProof/>
          </w:rPr>
          <w:t>§ 4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74" w:history="1">
        <w:r w:rsidR="00B33077" w:rsidRPr="00164DA3">
          <w:rPr>
            <w:rStyle w:val="Hyperlink"/>
            <w:noProof/>
          </w:rPr>
          <w:t>Dritter Abschnitt: Gemeinsame Vorschriften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75" w:history="1">
        <w:r w:rsidR="00B33077" w:rsidRPr="00164DA3">
          <w:rPr>
            <w:rStyle w:val="Hyperlink"/>
            <w:noProof/>
          </w:rPr>
          <w:t>§ 5 Versicherungsleistungen und -bedingungen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76" w:history="1">
        <w:r w:rsidR="00B33077" w:rsidRPr="00164DA3">
          <w:rPr>
            <w:rStyle w:val="Hyperlink"/>
            <w:noProof/>
          </w:rPr>
          <w:t>Vierter Abschnitt: Übergangsvorschriften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77" w:history="1">
        <w:r w:rsidR="00B33077" w:rsidRPr="00164DA3">
          <w:rPr>
            <w:rStyle w:val="Hyperlink"/>
            <w:noProof/>
          </w:rPr>
          <w:t>§ 6 Übergangsregelung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778" w:history="1">
        <w:r w:rsidR="00B33077" w:rsidRPr="00164DA3">
          <w:rPr>
            <w:rStyle w:val="Hyperlink"/>
            <w:noProof/>
          </w:rPr>
          <w:t>5. Ordnung für eine kirchliche Höherversicherung II in Krankheitsfällen: Beihilfeordnung Teil C*</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79" w:history="1">
        <w:r w:rsidR="00B33077" w:rsidRPr="00164DA3">
          <w:rPr>
            <w:rStyle w:val="Hyperlink"/>
            <w:noProof/>
          </w:rPr>
          <w:t>§ 1 Regelungsbereich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80" w:history="1">
        <w:r w:rsidR="00B33077" w:rsidRPr="00164DA3">
          <w:rPr>
            <w:rStyle w:val="Hyperlink"/>
            <w:noProof/>
          </w:rPr>
          <w:t>§ 2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81" w:history="1">
        <w:r w:rsidR="00B33077" w:rsidRPr="00164DA3">
          <w:rPr>
            <w:rStyle w:val="Hyperlink"/>
            <w:noProof/>
          </w:rPr>
          <w:t>§ 3 An- und Abmeldung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82" w:history="1">
        <w:r w:rsidR="00B33077" w:rsidRPr="00164DA3">
          <w:rPr>
            <w:rStyle w:val="Hyperlink"/>
            <w:noProof/>
          </w:rPr>
          <w:t>§ 4 Versicherungsleistungen und -bedingungen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783" w:history="1">
        <w:r w:rsidR="00B33077" w:rsidRPr="00164DA3">
          <w:rPr>
            <w:rStyle w:val="Hyperlink"/>
            <w:noProof/>
          </w:rPr>
          <w:t>Anhang zur Beihilfeordnung für die (Erz-)Diözese ... vom 01.01.2004</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84" w:history="1">
        <w:r w:rsidR="00B33077" w:rsidRPr="00164DA3">
          <w:rPr>
            <w:rStyle w:val="Hyperlink"/>
            <w:noProof/>
          </w:rPr>
          <w:t>I. Zusagen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85" w:history="1">
        <w:r w:rsidR="00B33077" w:rsidRPr="00164DA3">
          <w:rPr>
            <w:rStyle w:val="Hyperlink"/>
            <w:noProof/>
          </w:rPr>
          <w:t>II. Lehrkräfte an Schulen in kirchlicher Trägerschaft</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786" w:history="1">
        <w:r w:rsidR="00B33077" w:rsidRPr="00164DA3">
          <w:rPr>
            <w:rStyle w:val="Hyperlink"/>
            <w:noProof/>
          </w:rPr>
          <w:t>Regelung zur Fortführung des kirchlichen Beihilferechts zum Stichtag 31.12.2000</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787" w:history="1">
        <w:r w:rsidR="00B33077" w:rsidRPr="00164DA3">
          <w:rPr>
            <w:rStyle w:val="Hyperlink"/>
            <w:noProof/>
          </w:rPr>
          <w:t>6. Dienstordnung für Gemeindereferentinnen/</w:t>
        </w:r>
        <w:r w:rsidR="00B33077" w:rsidRPr="00164DA3">
          <w:rPr>
            <w:rStyle w:val="Hyperlink"/>
            <w:noProof/>
            <w:lang w:eastAsia="x-none"/>
          </w:rPr>
          <w:t xml:space="preserve"> </w:t>
        </w:r>
        <w:r w:rsidR="00B33077" w:rsidRPr="00164DA3">
          <w:rPr>
            <w:rStyle w:val="Hyperlink"/>
            <w:noProof/>
          </w:rPr>
          <w:t>Gemeindereferenten in den bayerischen (Erz-)Diözesen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88" w:history="1">
        <w:r w:rsidR="00B33077" w:rsidRPr="00164DA3">
          <w:rPr>
            <w:rStyle w:val="Hyperlink"/>
            <w:noProof/>
          </w:rPr>
          <w:t>I. Allgemeiner Teil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89" w:history="1">
        <w:r w:rsidR="00B33077" w:rsidRPr="00164DA3">
          <w:rPr>
            <w:rStyle w:val="Hyperlink"/>
            <w:noProof/>
          </w:rPr>
          <w:t>1. Beruf und kirchliche Stellung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90" w:history="1">
        <w:r w:rsidR="00B33077" w:rsidRPr="00164DA3">
          <w:rPr>
            <w:rStyle w:val="Hyperlink"/>
            <w:noProof/>
          </w:rPr>
          <w:t>2. Einsatzorte und Aufgaben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91" w:history="1">
        <w:r w:rsidR="00B33077" w:rsidRPr="00164DA3">
          <w:rPr>
            <w:rStyle w:val="Hyperlink"/>
            <w:noProof/>
          </w:rPr>
          <w:t>3. Voraussetzungen für den Dienst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92" w:history="1">
        <w:r w:rsidR="00B33077" w:rsidRPr="00164DA3">
          <w:rPr>
            <w:rStyle w:val="Hyperlink"/>
            <w:noProof/>
          </w:rPr>
          <w:t>4. Ausbildung, Berufseinführung, Fortbildung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793" w:history="1">
        <w:r w:rsidR="00B33077" w:rsidRPr="00164DA3">
          <w:rPr>
            <w:rStyle w:val="Hyperlink"/>
            <w:noProof/>
          </w:rPr>
          <w:t>Feststellungsbeschluss der Bayer. Regional-KODA vom 11. Juli 2001:</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794" w:history="1">
        <w:r w:rsidR="00B33077" w:rsidRPr="00164DA3">
          <w:rPr>
            <w:rStyle w:val="Hyperlink"/>
            <w:noProof/>
          </w:rPr>
          <w:t>7. Kirchliche Lehrerdienstordnung (KLDO)</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95" w:history="1">
        <w:r w:rsidR="00B33077" w:rsidRPr="00164DA3">
          <w:rPr>
            <w:rStyle w:val="Hyperlink"/>
            <w:noProof/>
          </w:rPr>
          <w:t>Inhaltsübersicht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96"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97" w:history="1">
        <w:r w:rsidR="00B33077" w:rsidRPr="00164DA3">
          <w:rPr>
            <w:rStyle w:val="Hyperlink"/>
            <w:noProof/>
          </w:rPr>
          <w:t>I. Abschnitt: Allgemeines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98" w:history="1">
        <w:r w:rsidR="00B33077" w:rsidRPr="00164DA3">
          <w:rPr>
            <w:rStyle w:val="Hyperlink"/>
            <w:noProof/>
          </w:rPr>
          <w:t>II. Abschnitt: Die Lehrkraft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799" w:history="1">
        <w:r w:rsidR="00B33077" w:rsidRPr="00164DA3">
          <w:rPr>
            <w:rStyle w:val="Hyperlink"/>
            <w:noProof/>
          </w:rPr>
          <w:t>III. Abschnit</w:t>
        </w:r>
        <w:r w:rsidR="00B33077" w:rsidRPr="00164DA3">
          <w:rPr>
            <w:rStyle w:val="Hyperlink"/>
            <w:noProof/>
            <w:lang w:eastAsia="x-none"/>
          </w:rPr>
          <w:t xml:space="preserve">t: </w:t>
        </w:r>
        <w:r w:rsidR="00B33077" w:rsidRPr="00164DA3">
          <w:rPr>
            <w:rStyle w:val="Hyperlink"/>
            <w:noProof/>
          </w:rPr>
          <w:t>Schulleit</w:t>
        </w:r>
        <w:r w:rsidR="00B33077" w:rsidRPr="00164DA3">
          <w:rPr>
            <w:rStyle w:val="Hyperlink"/>
            <w:noProof/>
            <w:lang w:eastAsia="x-none"/>
          </w:rPr>
          <w: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00" w:history="1">
        <w:r w:rsidR="00B33077" w:rsidRPr="00164DA3">
          <w:rPr>
            <w:rStyle w:val="Hyperlink"/>
            <w:noProof/>
          </w:rPr>
          <w:t>IV. Abschnitt: Schulträger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01" w:history="1">
        <w:r w:rsidR="00B33077" w:rsidRPr="00164DA3">
          <w:rPr>
            <w:rStyle w:val="Hyperlink"/>
            <w:noProof/>
          </w:rPr>
          <w:t>V. Abschnitt: Schulverwaltung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02" w:history="1">
        <w:r w:rsidR="00B33077" w:rsidRPr="00164DA3">
          <w:rPr>
            <w:rStyle w:val="Hyperlink"/>
            <w:noProof/>
          </w:rPr>
          <w:t>VI. Abschnitt: Schulaufsicht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03" w:history="1">
        <w:r w:rsidR="00B33077" w:rsidRPr="00164DA3">
          <w:rPr>
            <w:rStyle w:val="Hyperlink"/>
            <w:noProof/>
          </w:rPr>
          <w:t>VII. Abschnitt: Schlussvorschriften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804" w:history="1">
        <w:r w:rsidR="00B33077" w:rsidRPr="00164DA3">
          <w:rPr>
            <w:rStyle w:val="Hyperlink"/>
            <w:noProof/>
          </w:rPr>
          <w:t>8. Diözesane Regelungen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805" w:history="1">
        <w:r w:rsidR="00B33077" w:rsidRPr="00164DA3">
          <w:rPr>
            <w:rStyle w:val="Hyperlink"/>
            <w:noProof/>
          </w:rPr>
          <w:t>9. Kriterienkatalog für die Beteiligung von Koalitionen gemäß Art. 6 Grundordnung (GO) an der Beteiligung der Aufgaben gemäß Art. 7 Grundordnung</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806" w:history="1">
        <w:r w:rsidR="00B33077" w:rsidRPr="00164DA3">
          <w:rPr>
            <w:rStyle w:val="Hyperlink"/>
            <w:noProof/>
          </w:rPr>
          <w:t>10. Dienstordnung für Pastoralreferenten/Pastoralreferentinnen in den Bayerischen (Erz-)Diözesen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07" w:history="1">
        <w:r w:rsidR="00B33077" w:rsidRPr="00164DA3">
          <w:rPr>
            <w:rStyle w:val="Hyperlink"/>
            <w:noProof/>
          </w:rPr>
          <w:t>Vorwort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08" w:history="1">
        <w:r w:rsidR="00B33077" w:rsidRPr="00164DA3">
          <w:rPr>
            <w:rStyle w:val="Hyperlink"/>
            <w:noProof/>
          </w:rPr>
          <w:t>I. Allgemeiner Teil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09" w:history="1">
        <w:r w:rsidR="00B33077" w:rsidRPr="00164DA3">
          <w:rPr>
            <w:rStyle w:val="Hyperlink"/>
            <w:noProof/>
          </w:rPr>
          <w:t>1. Beruf und kirchliche Stellung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10" w:history="1">
        <w:r w:rsidR="00B33077" w:rsidRPr="00164DA3">
          <w:rPr>
            <w:rStyle w:val="Hyperlink"/>
            <w:noProof/>
          </w:rPr>
          <w:t>2. Einsatzorte und Aufgaben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11" w:history="1">
        <w:r w:rsidR="00B33077" w:rsidRPr="00164DA3">
          <w:rPr>
            <w:rStyle w:val="Hyperlink"/>
            <w:noProof/>
          </w:rPr>
          <w:t>3. Voraussetzungen für den Dienst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12" w:history="1">
        <w:r w:rsidR="00B33077" w:rsidRPr="00164DA3">
          <w:rPr>
            <w:rStyle w:val="Hyperlink"/>
            <w:noProof/>
          </w:rPr>
          <w:t>4. Ausbildung, Berufseinführung, Fortbildung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13" w:history="1">
        <w:r w:rsidR="00B33077" w:rsidRPr="00164DA3">
          <w:rPr>
            <w:rStyle w:val="Hyperlink"/>
            <w:noProof/>
          </w:rPr>
          <w:t>5. Bischöfliche Beauftragung und Dienst</w:t>
        </w:r>
      </w:hyperlink>
    </w:p>
    <w:p w:rsidR="00B33077" w:rsidRDefault="00C23DFA" w:rsidP="00B33077">
      <w:pPr>
        <w:pStyle w:val="Verzeichnis5"/>
        <w:divId w:val="500198663"/>
        <w:rPr>
          <w:rStyle w:val="Hyperlink"/>
          <w:noProof/>
        </w:rPr>
      </w:pPr>
      <w:hyperlink w:anchor="_Toc523926814" w:history="1">
        <w:r w:rsidR="00B33077" w:rsidRPr="00164DA3">
          <w:rPr>
            <w:rStyle w:val="Hyperlink"/>
            <w:noProof/>
          </w:rPr>
          <w:t>Feststellungsbeschluss der Bayerischen Regional-KODA vom 26./27. März 2014</w:t>
        </w:r>
      </w:hyperlink>
    </w:p>
    <w:p w:rsidR="004B73C6" w:rsidRDefault="004B73C6" w:rsidP="004B73C6">
      <w:pPr>
        <w:divId w:val="500198663"/>
        <w:rPr>
          <w:rFonts w:eastAsiaTheme="minorEastAsia"/>
        </w:rPr>
      </w:pPr>
      <w:r>
        <w:rPr>
          <w:rFonts w:eastAsiaTheme="minorEastAsia"/>
        </w:rPr>
        <w:br w:type="page"/>
      </w:r>
    </w:p>
    <w:p w:rsidR="004B73C6" w:rsidRPr="004B73C6" w:rsidRDefault="004B73C6" w:rsidP="004B73C6">
      <w:pPr>
        <w:divId w:val="500198663"/>
        <w:rPr>
          <w:rFonts w:eastAsiaTheme="minorEastAsia"/>
        </w:rPr>
      </w:pPr>
    </w:p>
    <w:p w:rsidR="00B33077" w:rsidRDefault="00C23DFA" w:rsidP="00CC12D3">
      <w:pPr>
        <w:pStyle w:val="Verzeichnis3"/>
        <w:divId w:val="500198663"/>
        <w:rPr>
          <w:rFonts w:asciiTheme="minorHAnsi" w:eastAsiaTheme="minorEastAsia" w:hAnsiTheme="minorHAnsi" w:cstheme="minorBidi"/>
          <w:sz w:val="22"/>
          <w:szCs w:val="22"/>
        </w:rPr>
      </w:pPr>
      <w:hyperlink w:anchor="_Toc523926815" w:history="1">
        <w:r w:rsidR="00B33077" w:rsidRPr="00164DA3">
          <w:rPr>
            <w:rStyle w:val="Hyperlink"/>
          </w:rPr>
          <w:t>Anhang III: Ordnungen zur Gestaltung des Arbeitsvertragsrechts im Bereich der bayerischen Diözesen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816" w:history="1">
        <w:r w:rsidR="00B33077" w:rsidRPr="00164DA3">
          <w:rPr>
            <w:rStyle w:val="Hyperlink"/>
            <w:noProof/>
          </w:rPr>
          <w:t>1. Zentral-KODA-Ordnung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17"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18" w:history="1">
        <w:r w:rsidR="00B33077" w:rsidRPr="00164DA3">
          <w:rPr>
            <w:rStyle w:val="Hyperlink"/>
            <w:noProof/>
          </w:rPr>
          <w:t>§ 1 Aufgabe der Zentral-KODA und 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19" w:history="1">
        <w:r w:rsidR="00B33077" w:rsidRPr="00164DA3">
          <w:rPr>
            <w:rStyle w:val="Hyperlink"/>
            <w:noProof/>
          </w:rPr>
          <w:t>§ 2 Organe der Zentral-KODA</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0" w:history="1">
        <w:r w:rsidR="00B33077" w:rsidRPr="00164DA3">
          <w:rPr>
            <w:rStyle w:val="Hyperlink"/>
            <w:noProof/>
          </w:rPr>
          <w:t>§ 3 Aufgaben der Zentralen Kommission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1" w:history="1">
        <w:r w:rsidR="00B33077" w:rsidRPr="00164DA3">
          <w:rPr>
            <w:rStyle w:val="Hyperlink"/>
            <w:noProof/>
          </w:rPr>
          <w:t>§ 4 Aufgaben des Arbeitsrechtsausschusses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2" w:history="1">
        <w:r w:rsidR="00B33077" w:rsidRPr="00164DA3">
          <w:rPr>
            <w:rStyle w:val="Hyperlink"/>
            <w:noProof/>
          </w:rPr>
          <w:t>§ 5</w:t>
        </w:r>
        <w:r w:rsidR="00B33077" w:rsidRPr="00164DA3">
          <w:rPr>
            <w:rStyle w:val="Hyperlink"/>
            <w:noProof/>
            <w:lang w:eastAsia="x-none"/>
          </w:rPr>
          <w:t xml:space="preserve"> </w:t>
        </w:r>
        <w:r w:rsidR="00B33077" w:rsidRPr="00164DA3">
          <w:rPr>
            <w:rStyle w:val="Hyperlink"/>
            <w:noProof/>
          </w:rPr>
          <w:t>Zusammensetzung der Zentralen Kommission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3" w:history="1">
        <w:r w:rsidR="00B33077" w:rsidRPr="00164DA3">
          <w:rPr>
            <w:rStyle w:val="Hyperlink"/>
            <w:noProof/>
          </w:rPr>
          <w:t>§ 6 Zusammensetzung des Arbeitsrechtsausschusses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4" w:history="1">
        <w:r w:rsidR="00B33077" w:rsidRPr="00164DA3">
          <w:rPr>
            <w:rStyle w:val="Hyperlink"/>
            <w:noProof/>
          </w:rPr>
          <w:t>§ 7 Vorsitzende(r) und stellvertretende(r) Vorsitzende(r)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5" w:history="1">
        <w:r w:rsidR="00B33077" w:rsidRPr="00164DA3">
          <w:rPr>
            <w:rStyle w:val="Hyperlink"/>
            <w:noProof/>
          </w:rPr>
          <w:t>§ 8 Rechtsstellung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6" w:history="1">
        <w:r w:rsidR="00B33077" w:rsidRPr="00164DA3">
          <w:rPr>
            <w:rStyle w:val="Hyperlink"/>
            <w:noProof/>
          </w:rPr>
          <w:t>9 Freistellung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7" w:history="1">
        <w:r w:rsidR="00B33077" w:rsidRPr="00164DA3">
          <w:rPr>
            <w:rStyle w:val="Hyperlink"/>
            <w:noProof/>
          </w:rPr>
          <w:t>§ 10 Beratung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8" w:history="1">
        <w:r w:rsidR="00B33077" w:rsidRPr="00164DA3">
          <w:rPr>
            <w:rStyle w:val="Hyperlink"/>
            <w:noProof/>
          </w:rPr>
          <w:t>§ 11 Arbeitsweise der Zentralen Kommission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29" w:history="1">
        <w:r w:rsidR="00B33077" w:rsidRPr="00164DA3">
          <w:rPr>
            <w:rStyle w:val="Hyperlink"/>
            <w:noProof/>
          </w:rPr>
          <w:t>§ 12 Arbeitsweise des Arbeitsrechtsausschusses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0" w:history="1">
        <w:r w:rsidR="00B33077" w:rsidRPr="00164DA3">
          <w:rPr>
            <w:rStyle w:val="Hyperlink"/>
            <w:noProof/>
          </w:rPr>
          <w:t>§ 13 Inkraftsetzung der Beschlüsse der Zentralen Kommission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1" w:history="1">
        <w:r w:rsidR="00B33077" w:rsidRPr="00164DA3">
          <w:rPr>
            <w:rStyle w:val="Hyperlink"/>
            <w:noProof/>
          </w:rPr>
          <w:t>§ 14 Vermittlungsausschuss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2" w:history="1">
        <w:r w:rsidR="00B33077" w:rsidRPr="00164DA3">
          <w:rPr>
            <w:rStyle w:val="Hyperlink"/>
            <w:noProof/>
          </w:rPr>
          <w:t>§ 15 Voraussetzung und Mitgliedschaft im Vermittlungsausschuss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3" w:history="1">
        <w:r w:rsidR="00B33077" w:rsidRPr="00164DA3">
          <w:rPr>
            <w:rStyle w:val="Hyperlink"/>
            <w:noProof/>
          </w:rPr>
          <w:t>§ 16 Wahl und Amtsperiode des Vermittlungsausschusses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4" w:history="1">
        <w:r w:rsidR="00B33077" w:rsidRPr="00164DA3">
          <w:rPr>
            <w:rStyle w:val="Hyperlink"/>
            <w:noProof/>
          </w:rPr>
          <w:t>§ 17 Anrufung des Vermittlungsausschusses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5" w:history="1">
        <w:r w:rsidR="00B33077" w:rsidRPr="00164DA3">
          <w:rPr>
            <w:rStyle w:val="Hyperlink"/>
            <w:noProof/>
          </w:rPr>
          <w:t>§ 18 Verfahren vor dem Vermittlungsausschuss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6" w:history="1">
        <w:r w:rsidR="00B33077" w:rsidRPr="00164DA3">
          <w:rPr>
            <w:rStyle w:val="Hyperlink"/>
            <w:noProof/>
          </w:rPr>
          <w:t>§ 19 Verfahren zur ersetzenden Entscheidung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7" w:history="1">
        <w:r w:rsidR="00B33077" w:rsidRPr="00164DA3">
          <w:rPr>
            <w:rStyle w:val="Hyperlink"/>
            <w:noProof/>
          </w:rPr>
          <w:t>§ 20 Vorbereitung der Sitzungen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8" w:history="1">
        <w:r w:rsidR="00B33077" w:rsidRPr="00164DA3">
          <w:rPr>
            <w:rStyle w:val="Hyperlink"/>
            <w:noProof/>
          </w:rPr>
          <w:t>§ 21 Ausschüsse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39" w:history="1">
        <w:r w:rsidR="00B33077" w:rsidRPr="00164DA3">
          <w:rPr>
            <w:rStyle w:val="Hyperlink"/>
            <w:noProof/>
          </w:rPr>
          <w:t>§ 22 Kosten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0" w:history="1">
        <w:r w:rsidR="00B33077" w:rsidRPr="00164DA3">
          <w:rPr>
            <w:rStyle w:val="Hyperlink"/>
            <w:noProof/>
          </w:rPr>
          <w:t>§ 23 Inkrafttreten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841" w:history="1">
        <w:r w:rsidR="00B33077" w:rsidRPr="00164DA3">
          <w:rPr>
            <w:rStyle w:val="Hyperlink"/>
            <w:noProof/>
          </w:rPr>
          <w:t>2. Wahlordnung für die Vertreter und Vertreterinnen der Dienstnehmerseite in der Zentral-KODA aus den bayerischen Diözesen (Wahlordnung zur Zentralen Kommission – WOzZK)</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2" w:history="1">
        <w:r w:rsidR="00B33077" w:rsidRPr="00164DA3">
          <w:rPr>
            <w:rStyle w:val="Hyperlink"/>
            <w:noProof/>
          </w:rPr>
          <w:t>§ 1 Wahlversammlung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3" w:history="1">
        <w:r w:rsidR="00B33077" w:rsidRPr="00164DA3">
          <w:rPr>
            <w:rStyle w:val="Hyperlink"/>
            <w:noProof/>
          </w:rPr>
          <w:t>§ 2 Eröffnung der Wahlversammlung und Wahlleitung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4" w:history="1">
        <w:r w:rsidR="00B33077" w:rsidRPr="00164DA3">
          <w:rPr>
            <w:rStyle w:val="Hyperlink"/>
            <w:noProof/>
          </w:rPr>
          <w:t>§ 3 Wählbarkeit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5" w:history="1">
        <w:r w:rsidR="00B33077" w:rsidRPr="00164DA3">
          <w:rPr>
            <w:rStyle w:val="Hyperlink"/>
            <w:noProof/>
          </w:rPr>
          <w:t xml:space="preserve">§ 4 </w:t>
        </w:r>
        <w:r w:rsidR="00B33077" w:rsidRPr="00164DA3">
          <w:rPr>
            <w:rStyle w:val="Hyperlink"/>
            <w:noProof/>
            <w:lang w:eastAsia="x-none"/>
          </w:rPr>
          <w:t>Amtszeit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6" w:history="1">
        <w:r w:rsidR="00B33077" w:rsidRPr="00164DA3">
          <w:rPr>
            <w:rStyle w:val="Hyperlink"/>
            <w:noProof/>
          </w:rPr>
          <w:t>§ 5 Durchführung der Wahl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7" w:history="1">
        <w:r w:rsidR="00B33077" w:rsidRPr="00164DA3">
          <w:rPr>
            <w:rStyle w:val="Hyperlink"/>
            <w:noProof/>
          </w:rPr>
          <w:t>§ 6 Mitteilung des Wahlergebnisses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8" w:history="1">
        <w:r w:rsidR="00B33077" w:rsidRPr="00164DA3">
          <w:rPr>
            <w:rStyle w:val="Hyperlink"/>
            <w:noProof/>
          </w:rPr>
          <w:t>§ 7 Anfechtung der Wahl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49" w:history="1">
        <w:r w:rsidR="00B33077" w:rsidRPr="00164DA3">
          <w:rPr>
            <w:rStyle w:val="Hyperlink"/>
            <w:noProof/>
          </w:rPr>
          <w:t>§ 8 Ausscheiden und Ruhen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0" w:history="1">
        <w:r w:rsidR="00B33077" w:rsidRPr="00164DA3">
          <w:rPr>
            <w:rStyle w:val="Hyperlink"/>
            <w:noProof/>
          </w:rPr>
          <w:t>§ 9 In-Kraft-Treten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851" w:history="1">
        <w:r w:rsidR="00B33077" w:rsidRPr="00164DA3">
          <w:rPr>
            <w:rStyle w:val="Hyperlink"/>
            <w:noProof/>
          </w:rPr>
          <w:t xml:space="preserve">3. Ordnung </w:t>
        </w:r>
        <w:r w:rsidR="00B33077" w:rsidRPr="00164DA3">
          <w:rPr>
            <w:rStyle w:val="Hyperlink"/>
            <w:noProof/>
            <w:lang w:eastAsia="x-none"/>
          </w:rPr>
          <w:t>der Kommission</w:t>
        </w:r>
        <w:r w:rsidR="00B33077" w:rsidRPr="00164DA3">
          <w:rPr>
            <w:rStyle w:val="Hyperlink"/>
            <w:noProof/>
          </w:rPr>
          <w:t xml:space="preserve"> </w:t>
        </w:r>
        <w:r w:rsidR="00B33077" w:rsidRPr="00164DA3">
          <w:rPr>
            <w:rStyle w:val="Hyperlink"/>
            <w:noProof/>
            <w:lang w:eastAsia="x-none"/>
          </w:rPr>
          <w:t xml:space="preserve">für </w:t>
        </w:r>
        <w:r w:rsidR="00B33077" w:rsidRPr="00164DA3">
          <w:rPr>
            <w:rStyle w:val="Hyperlink"/>
            <w:noProof/>
          </w:rPr>
          <w:t>d</w:t>
        </w:r>
        <w:r w:rsidR="00B33077" w:rsidRPr="00164DA3">
          <w:rPr>
            <w:rStyle w:val="Hyperlink"/>
            <w:noProof/>
            <w:lang w:eastAsia="x-none"/>
          </w:rPr>
          <w:t>a</w:t>
        </w:r>
        <w:r w:rsidR="00B33077" w:rsidRPr="00164DA3">
          <w:rPr>
            <w:rStyle w:val="Hyperlink"/>
            <w:noProof/>
          </w:rPr>
          <w:t>s Arbeitsvertragsrechts</w:t>
        </w:r>
        <w:r w:rsidR="00B33077" w:rsidRPr="00164DA3">
          <w:rPr>
            <w:rStyle w:val="Hyperlink"/>
            <w:noProof/>
            <w:lang w:eastAsia="x-none"/>
          </w:rPr>
          <w:t xml:space="preserve"> </w:t>
        </w:r>
        <w:r w:rsidR="00B33077" w:rsidRPr="00164DA3">
          <w:rPr>
            <w:rStyle w:val="Hyperlink"/>
            <w:noProof/>
          </w:rPr>
          <w:t>der bayerischen Diözesen (Bayerische Regional-KODA-Ordnung – BayRKO)</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2" w:history="1">
        <w:r w:rsidR="00B33077" w:rsidRPr="00164DA3">
          <w:rPr>
            <w:rStyle w:val="Hyperlink"/>
            <w:noProof/>
            <w:lang w:eastAsia="x-none"/>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3" w:history="1">
        <w:r w:rsidR="00B33077" w:rsidRPr="00164DA3">
          <w:rPr>
            <w:rStyle w:val="Hyperlink"/>
            <w:noProof/>
          </w:rPr>
          <w:t xml:space="preserve">§ 1 </w:t>
        </w:r>
        <w:r w:rsidR="00B33077" w:rsidRPr="00164DA3">
          <w:rPr>
            <w:rStyle w:val="Hyperlink"/>
            <w:noProof/>
            <w:lang w:eastAsia="x-none"/>
          </w:rPr>
          <w:t>Geltungsbereich</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4" w:history="1">
        <w:r w:rsidR="00B33077" w:rsidRPr="00164DA3">
          <w:rPr>
            <w:rStyle w:val="Hyperlink"/>
            <w:noProof/>
          </w:rPr>
          <w:t xml:space="preserve">§ 2 </w:t>
        </w:r>
        <w:r w:rsidR="00B33077" w:rsidRPr="00164DA3">
          <w:rPr>
            <w:rStyle w:val="Hyperlink"/>
            <w:noProof/>
            <w:lang w:eastAsia="x-none"/>
          </w:rPr>
          <w:t>Kommission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5" w:history="1">
        <w:r w:rsidR="00B33077" w:rsidRPr="00164DA3">
          <w:rPr>
            <w:rStyle w:val="Hyperlink"/>
            <w:noProof/>
          </w:rPr>
          <w:t>§ 3 Aufgabe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6" w:history="1">
        <w:r w:rsidR="00B33077" w:rsidRPr="00164DA3">
          <w:rPr>
            <w:rStyle w:val="Hyperlink"/>
            <w:noProof/>
          </w:rPr>
          <w:t xml:space="preserve">§ 4 </w:t>
        </w:r>
        <w:r w:rsidR="00B33077" w:rsidRPr="00164DA3">
          <w:rPr>
            <w:rStyle w:val="Hyperlink"/>
            <w:noProof/>
            <w:lang w:eastAsia="x-none"/>
          </w:rPr>
          <w:t>Zusammensetzung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7" w:history="1">
        <w:r w:rsidR="00B33077" w:rsidRPr="00164DA3">
          <w:rPr>
            <w:rStyle w:val="Hyperlink"/>
            <w:noProof/>
          </w:rPr>
          <w:t>§ 5 Berufung und Wahl der Mitglieder, Wahlrechtsgrundsätze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8" w:history="1">
        <w:r w:rsidR="00B33077" w:rsidRPr="00164DA3">
          <w:rPr>
            <w:rStyle w:val="Hyperlink"/>
            <w:noProof/>
          </w:rPr>
          <w:t>§ 6 Entsendungsgrundsätze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59" w:history="1">
        <w:r w:rsidR="00B33077" w:rsidRPr="00164DA3">
          <w:rPr>
            <w:rStyle w:val="Hyperlink"/>
            <w:noProof/>
          </w:rPr>
          <w:t>§ 7 Konstituierende Sitzung und Wahl des/der Vorsitzenden und des/der stellvertretenden Vorsitzenden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0" w:history="1">
        <w:r w:rsidR="00B33077" w:rsidRPr="00164DA3">
          <w:rPr>
            <w:rStyle w:val="Hyperlink"/>
            <w:noProof/>
          </w:rPr>
          <w:t xml:space="preserve">§ </w:t>
        </w:r>
        <w:r w:rsidR="00B33077" w:rsidRPr="00164DA3">
          <w:rPr>
            <w:rStyle w:val="Hyperlink"/>
            <w:noProof/>
            <w:lang w:eastAsia="x-none"/>
          </w:rPr>
          <w:t>8</w:t>
        </w:r>
        <w:r w:rsidR="00B33077" w:rsidRPr="00164DA3">
          <w:rPr>
            <w:rStyle w:val="Hyperlink"/>
            <w:noProof/>
          </w:rPr>
          <w:t xml:space="preserve"> Vorzeitiges Ausscheiden, Nachfolge für ausgeschiedene Mitglieder, Ruhen der Mitgliedschaft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1" w:history="1">
        <w:r w:rsidR="00B33077" w:rsidRPr="00164DA3">
          <w:rPr>
            <w:rStyle w:val="Hyperlink"/>
            <w:noProof/>
          </w:rPr>
          <w:t>§ 9 Unterkommissionen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2" w:history="1">
        <w:r w:rsidR="00B33077" w:rsidRPr="00164DA3">
          <w:rPr>
            <w:rStyle w:val="Hyperlink"/>
            <w:noProof/>
          </w:rPr>
          <w:t xml:space="preserve">§ </w:t>
        </w:r>
        <w:r w:rsidR="00B33077" w:rsidRPr="00164DA3">
          <w:rPr>
            <w:rStyle w:val="Hyperlink"/>
            <w:noProof/>
            <w:lang w:eastAsia="x-none"/>
          </w:rPr>
          <w:t>9a</w:t>
        </w:r>
        <w:r w:rsidR="00B33077" w:rsidRPr="00164DA3">
          <w:rPr>
            <w:rStyle w:val="Hyperlink"/>
            <w:noProof/>
          </w:rPr>
          <w:t xml:space="preserve"> </w:t>
        </w:r>
        <w:r w:rsidR="00B33077" w:rsidRPr="00164DA3">
          <w:rPr>
            <w:rStyle w:val="Hyperlink"/>
            <w:noProof/>
            <w:lang w:eastAsia="x-none"/>
          </w:rPr>
          <w:t>Ständige Arbeitsgruppe Lehrkräfte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3" w:history="1">
        <w:r w:rsidR="00B33077" w:rsidRPr="00164DA3">
          <w:rPr>
            <w:rStyle w:val="Hyperlink"/>
            <w:noProof/>
          </w:rPr>
          <w:t>§ 1</w:t>
        </w:r>
        <w:r w:rsidR="00B33077" w:rsidRPr="00164DA3">
          <w:rPr>
            <w:rStyle w:val="Hyperlink"/>
            <w:noProof/>
            <w:lang w:eastAsia="x-none"/>
          </w:rPr>
          <w:t>0</w:t>
        </w:r>
        <w:r w:rsidR="00B33077" w:rsidRPr="00164DA3">
          <w:rPr>
            <w:rStyle w:val="Hyperlink"/>
            <w:noProof/>
          </w:rPr>
          <w:t xml:space="preserve"> </w:t>
        </w:r>
        <w:r w:rsidR="00B33077" w:rsidRPr="00164DA3">
          <w:rPr>
            <w:rStyle w:val="Hyperlink"/>
            <w:noProof/>
            <w:lang w:eastAsia="x-none"/>
          </w:rPr>
          <w:t>Rechtsstellung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4" w:history="1">
        <w:r w:rsidR="00B33077" w:rsidRPr="00164DA3">
          <w:rPr>
            <w:rStyle w:val="Hyperlink"/>
            <w:noProof/>
          </w:rPr>
          <w:t>§ 11 Freistellung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5" w:history="1">
        <w:r w:rsidR="00B33077" w:rsidRPr="00164DA3">
          <w:rPr>
            <w:rStyle w:val="Hyperlink"/>
            <w:noProof/>
          </w:rPr>
          <w:t>§ 1</w:t>
        </w:r>
        <w:r w:rsidR="00B33077" w:rsidRPr="00164DA3">
          <w:rPr>
            <w:rStyle w:val="Hyperlink"/>
            <w:noProof/>
            <w:lang w:eastAsia="x-none"/>
          </w:rPr>
          <w:t>2</w:t>
        </w:r>
        <w:r w:rsidR="00B33077" w:rsidRPr="00164DA3">
          <w:rPr>
            <w:rStyle w:val="Hyperlink"/>
            <w:noProof/>
          </w:rPr>
          <w:t xml:space="preserve"> </w:t>
        </w:r>
        <w:r w:rsidR="00B33077" w:rsidRPr="00164DA3">
          <w:rPr>
            <w:rStyle w:val="Hyperlink"/>
            <w:noProof/>
            <w:lang w:eastAsia="x-none"/>
          </w:rPr>
          <w:t>Schulung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6" w:history="1">
        <w:r w:rsidR="00B33077" w:rsidRPr="00164DA3">
          <w:rPr>
            <w:rStyle w:val="Hyperlink"/>
            <w:noProof/>
          </w:rPr>
          <w:t>§ 1</w:t>
        </w:r>
        <w:r w:rsidR="00B33077" w:rsidRPr="00164DA3">
          <w:rPr>
            <w:rStyle w:val="Hyperlink"/>
            <w:noProof/>
            <w:lang w:eastAsia="x-none"/>
          </w:rPr>
          <w:t>3</w:t>
        </w:r>
        <w:r w:rsidR="00B33077" w:rsidRPr="00164DA3">
          <w:rPr>
            <w:rStyle w:val="Hyperlink"/>
            <w:noProof/>
          </w:rPr>
          <w:t xml:space="preserve"> Kündigungsschutz der Mitglieder der Kommission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7" w:history="1">
        <w:r w:rsidR="00B33077" w:rsidRPr="00164DA3">
          <w:rPr>
            <w:rStyle w:val="Hyperlink"/>
            <w:noProof/>
          </w:rPr>
          <w:t>§ 1</w:t>
        </w:r>
        <w:r w:rsidR="00B33077" w:rsidRPr="00164DA3">
          <w:rPr>
            <w:rStyle w:val="Hyperlink"/>
            <w:noProof/>
            <w:lang w:eastAsia="x-none"/>
          </w:rPr>
          <w:t>4</w:t>
        </w:r>
        <w:r w:rsidR="00B33077" w:rsidRPr="00164DA3">
          <w:rPr>
            <w:rStyle w:val="Hyperlink"/>
            <w:noProof/>
          </w:rPr>
          <w:t xml:space="preserve"> </w:t>
        </w:r>
        <w:r w:rsidR="00B33077" w:rsidRPr="00164DA3">
          <w:rPr>
            <w:rStyle w:val="Hyperlink"/>
            <w:noProof/>
            <w:lang w:eastAsia="x-none"/>
          </w:rPr>
          <w:t>Beratung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8" w:history="1">
        <w:r w:rsidR="00B33077" w:rsidRPr="00164DA3">
          <w:rPr>
            <w:rStyle w:val="Hyperlink"/>
            <w:noProof/>
          </w:rPr>
          <w:t>§ 1</w:t>
        </w:r>
        <w:r w:rsidR="00B33077" w:rsidRPr="00164DA3">
          <w:rPr>
            <w:rStyle w:val="Hyperlink"/>
            <w:noProof/>
            <w:lang w:eastAsia="x-none"/>
          </w:rPr>
          <w:t>5</w:t>
        </w:r>
        <w:r w:rsidR="00B33077" w:rsidRPr="00164DA3">
          <w:rPr>
            <w:rStyle w:val="Hyperlink"/>
            <w:noProof/>
          </w:rPr>
          <w:t xml:space="preserve"> </w:t>
        </w:r>
        <w:r w:rsidR="00B33077" w:rsidRPr="00164DA3">
          <w:rPr>
            <w:rStyle w:val="Hyperlink"/>
            <w:noProof/>
            <w:lang w:eastAsia="x-none"/>
          </w:rPr>
          <w:t>Sitzungen, Antragsstellung und Geschäftsordnung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69" w:history="1">
        <w:r w:rsidR="00B33077" w:rsidRPr="00164DA3">
          <w:rPr>
            <w:rStyle w:val="Hyperlink"/>
            <w:noProof/>
          </w:rPr>
          <w:t>§ 1</w:t>
        </w:r>
        <w:r w:rsidR="00B33077" w:rsidRPr="00164DA3">
          <w:rPr>
            <w:rStyle w:val="Hyperlink"/>
            <w:noProof/>
            <w:lang w:eastAsia="x-none"/>
          </w:rPr>
          <w:t>6</w:t>
        </w:r>
        <w:r w:rsidR="00B33077" w:rsidRPr="00164DA3">
          <w:rPr>
            <w:rStyle w:val="Hyperlink"/>
            <w:noProof/>
          </w:rPr>
          <w:t xml:space="preserve"> </w:t>
        </w:r>
        <w:r w:rsidR="00B33077" w:rsidRPr="00164DA3">
          <w:rPr>
            <w:rStyle w:val="Hyperlink"/>
            <w:noProof/>
            <w:lang w:eastAsia="x-none"/>
          </w:rPr>
          <w:t>Beschlüsse und ihre Inkraftsetzung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0" w:history="1">
        <w:r w:rsidR="00B33077" w:rsidRPr="00164DA3">
          <w:rPr>
            <w:rStyle w:val="Hyperlink"/>
            <w:noProof/>
          </w:rPr>
          <w:t>§ 1</w:t>
        </w:r>
        <w:r w:rsidR="00B33077" w:rsidRPr="00164DA3">
          <w:rPr>
            <w:rStyle w:val="Hyperlink"/>
            <w:noProof/>
            <w:lang w:eastAsia="x-none"/>
          </w:rPr>
          <w:t>6a</w:t>
        </w:r>
        <w:r w:rsidR="00B33077" w:rsidRPr="00164DA3">
          <w:rPr>
            <w:rStyle w:val="Hyperlink"/>
            <w:noProof/>
          </w:rPr>
          <w:t xml:space="preserve"> </w:t>
        </w:r>
        <w:r w:rsidR="00B33077" w:rsidRPr="00164DA3">
          <w:rPr>
            <w:rStyle w:val="Hyperlink"/>
            <w:noProof/>
            <w:lang w:eastAsia="x-none"/>
          </w:rPr>
          <w:t>Beschlussfassung zu Beschlüssen der Zentralen Kommission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1" w:history="1">
        <w:r w:rsidR="00B33077" w:rsidRPr="00164DA3">
          <w:rPr>
            <w:rStyle w:val="Hyperlink"/>
            <w:noProof/>
          </w:rPr>
          <w:t>§ 1</w:t>
        </w:r>
        <w:r w:rsidR="00B33077" w:rsidRPr="00164DA3">
          <w:rPr>
            <w:rStyle w:val="Hyperlink"/>
            <w:noProof/>
            <w:lang w:eastAsia="x-none"/>
          </w:rPr>
          <w:t>7</w:t>
        </w:r>
        <w:r w:rsidR="00B33077" w:rsidRPr="00164DA3">
          <w:rPr>
            <w:rStyle w:val="Hyperlink"/>
            <w:noProof/>
          </w:rPr>
          <w:t xml:space="preserve"> </w:t>
        </w:r>
        <w:r w:rsidR="00B33077" w:rsidRPr="00164DA3">
          <w:rPr>
            <w:rStyle w:val="Hyperlink"/>
            <w:noProof/>
            <w:lang w:eastAsia="x-none"/>
          </w:rPr>
          <w:t>Vermittlungsausschuss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2" w:history="1">
        <w:r w:rsidR="00B33077" w:rsidRPr="00164DA3">
          <w:rPr>
            <w:rStyle w:val="Hyperlink"/>
            <w:noProof/>
          </w:rPr>
          <w:t xml:space="preserve">§ </w:t>
        </w:r>
        <w:r w:rsidR="00B33077" w:rsidRPr="00164DA3">
          <w:rPr>
            <w:rStyle w:val="Hyperlink"/>
            <w:noProof/>
            <w:lang w:eastAsia="x-none"/>
          </w:rPr>
          <w:t>18</w:t>
        </w:r>
        <w:r w:rsidR="00B33077" w:rsidRPr="00164DA3">
          <w:rPr>
            <w:rStyle w:val="Hyperlink"/>
            <w:noProof/>
          </w:rPr>
          <w:t xml:space="preserve"> </w:t>
        </w:r>
        <w:r w:rsidR="00B33077" w:rsidRPr="00164DA3">
          <w:rPr>
            <w:rStyle w:val="Hyperlink"/>
            <w:noProof/>
            <w:lang w:eastAsia="x-none"/>
          </w:rPr>
          <w:t>Voraussetzung der Mitgliedschaft im Vermittlungsausschuss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3" w:history="1">
        <w:r w:rsidR="00B33077" w:rsidRPr="00164DA3">
          <w:rPr>
            <w:rStyle w:val="Hyperlink"/>
            <w:noProof/>
          </w:rPr>
          <w:t>§ 1</w:t>
        </w:r>
        <w:r w:rsidR="00B33077" w:rsidRPr="00164DA3">
          <w:rPr>
            <w:rStyle w:val="Hyperlink"/>
            <w:noProof/>
            <w:lang w:eastAsia="x-none"/>
          </w:rPr>
          <w:t>9</w:t>
        </w:r>
        <w:r w:rsidR="00B33077" w:rsidRPr="00164DA3">
          <w:rPr>
            <w:rStyle w:val="Hyperlink"/>
            <w:noProof/>
          </w:rPr>
          <w:t xml:space="preserve"> </w:t>
        </w:r>
        <w:r w:rsidR="00B33077" w:rsidRPr="00164DA3">
          <w:rPr>
            <w:rStyle w:val="Hyperlink"/>
            <w:noProof/>
            <w:lang w:eastAsia="x-none"/>
          </w:rPr>
          <w:t>Wahl und Amtszeit des Vermittlungsausschusses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4" w:history="1">
        <w:r w:rsidR="00B33077" w:rsidRPr="00164DA3">
          <w:rPr>
            <w:rStyle w:val="Hyperlink"/>
            <w:noProof/>
          </w:rPr>
          <w:t xml:space="preserve">§ </w:t>
        </w:r>
        <w:r w:rsidR="00B33077" w:rsidRPr="00164DA3">
          <w:rPr>
            <w:rStyle w:val="Hyperlink"/>
            <w:noProof/>
            <w:lang w:eastAsia="x-none"/>
          </w:rPr>
          <w:t>20</w:t>
        </w:r>
        <w:r w:rsidR="00B33077" w:rsidRPr="00164DA3">
          <w:rPr>
            <w:rStyle w:val="Hyperlink"/>
            <w:noProof/>
          </w:rPr>
          <w:t xml:space="preserve"> </w:t>
        </w:r>
        <w:r w:rsidR="00B33077" w:rsidRPr="00164DA3">
          <w:rPr>
            <w:rStyle w:val="Hyperlink"/>
            <w:noProof/>
            <w:lang w:eastAsia="x-none"/>
          </w:rPr>
          <w:t>Anrufung des Vermittlungsausschusses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5" w:history="1">
        <w:r w:rsidR="00B33077" w:rsidRPr="00164DA3">
          <w:rPr>
            <w:rStyle w:val="Hyperlink"/>
            <w:noProof/>
          </w:rPr>
          <w:t xml:space="preserve">§ </w:t>
        </w:r>
        <w:r w:rsidR="00B33077" w:rsidRPr="00164DA3">
          <w:rPr>
            <w:rStyle w:val="Hyperlink"/>
            <w:noProof/>
            <w:lang w:eastAsia="x-none"/>
          </w:rPr>
          <w:t>21</w:t>
        </w:r>
        <w:r w:rsidR="00B33077" w:rsidRPr="00164DA3">
          <w:rPr>
            <w:rStyle w:val="Hyperlink"/>
            <w:noProof/>
          </w:rPr>
          <w:t xml:space="preserve"> </w:t>
        </w:r>
        <w:r w:rsidR="00B33077" w:rsidRPr="00164DA3">
          <w:rPr>
            <w:rStyle w:val="Hyperlink"/>
            <w:noProof/>
            <w:lang w:eastAsia="x-none"/>
          </w:rPr>
          <w:t>Verfahren vor dem Vermittlungsausschuss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6" w:history="1">
        <w:r w:rsidR="00B33077" w:rsidRPr="00164DA3">
          <w:rPr>
            <w:rStyle w:val="Hyperlink"/>
            <w:noProof/>
          </w:rPr>
          <w:t xml:space="preserve">§ </w:t>
        </w:r>
        <w:r w:rsidR="00B33077" w:rsidRPr="00164DA3">
          <w:rPr>
            <w:rStyle w:val="Hyperlink"/>
            <w:noProof/>
            <w:lang w:eastAsia="x-none"/>
          </w:rPr>
          <w:t>22</w:t>
        </w:r>
        <w:r w:rsidR="00B33077" w:rsidRPr="00164DA3">
          <w:rPr>
            <w:rStyle w:val="Hyperlink"/>
            <w:noProof/>
          </w:rPr>
          <w:t xml:space="preserve"> </w:t>
        </w:r>
        <w:r w:rsidR="00B33077" w:rsidRPr="00164DA3">
          <w:rPr>
            <w:rStyle w:val="Hyperlink"/>
            <w:noProof/>
            <w:lang w:eastAsia="x-none"/>
          </w:rPr>
          <w:t>Verfahren zur ersetzenden Entscheidung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7" w:history="1">
        <w:r w:rsidR="00B33077" w:rsidRPr="00164DA3">
          <w:rPr>
            <w:rStyle w:val="Hyperlink"/>
            <w:noProof/>
          </w:rPr>
          <w:t xml:space="preserve">§ </w:t>
        </w:r>
        <w:r w:rsidR="00B33077" w:rsidRPr="00164DA3">
          <w:rPr>
            <w:rStyle w:val="Hyperlink"/>
            <w:noProof/>
            <w:lang w:eastAsia="x-none"/>
          </w:rPr>
          <w:t>23</w:t>
        </w:r>
        <w:r w:rsidR="00B33077" w:rsidRPr="00164DA3">
          <w:rPr>
            <w:rStyle w:val="Hyperlink"/>
            <w:noProof/>
          </w:rPr>
          <w:t xml:space="preserve"> </w:t>
        </w:r>
        <w:r w:rsidR="00B33077" w:rsidRPr="00164DA3">
          <w:rPr>
            <w:rStyle w:val="Hyperlink"/>
            <w:noProof/>
            <w:lang w:eastAsia="x-none"/>
          </w:rPr>
          <w:t>Vorbereitungsausschuss</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8" w:history="1">
        <w:r w:rsidR="00B33077" w:rsidRPr="00164DA3">
          <w:rPr>
            <w:rStyle w:val="Hyperlink"/>
            <w:noProof/>
          </w:rPr>
          <w:t xml:space="preserve">§ </w:t>
        </w:r>
        <w:r w:rsidR="00B33077" w:rsidRPr="00164DA3">
          <w:rPr>
            <w:rStyle w:val="Hyperlink"/>
            <w:noProof/>
            <w:lang w:eastAsia="x-none"/>
          </w:rPr>
          <w:t>24</w:t>
        </w:r>
        <w:r w:rsidR="00B33077" w:rsidRPr="00164DA3">
          <w:rPr>
            <w:rStyle w:val="Hyperlink"/>
            <w:noProof/>
          </w:rPr>
          <w:t xml:space="preserve"> </w:t>
        </w:r>
        <w:r w:rsidR="00B33077" w:rsidRPr="00164DA3">
          <w:rPr>
            <w:rStyle w:val="Hyperlink"/>
            <w:noProof/>
            <w:lang w:eastAsia="x-none"/>
          </w:rPr>
          <w:t>Arbeitsgruppen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79" w:history="1">
        <w:r w:rsidR="00B33077" w:rsidRPr="00164DA3">
          <w:rPr>
            <w:rStyle w:val="Hyperlink"/>
            <w:noProof/>
          </w:rPr>
          <w:t xml:space="preserve">§ </w:t>
        </w:r>
        <w:r w:rsidR="00B33077" w:rsidRPr="00164DA3">
          <w:rPr>
            <w:rStyle w:val="Hyperlink"/>
            <w:noProof/>
            <w:lang w:eastAsia="x-none"/>
          </w:rPr>
          <w:t>25 Kosten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880" w:history="1">
        <w:r w:rsidR="00B33077" w:rsidRPr="00164DA3">
          <w:rPr>
            <w:rStyle w:val="Hyperlink"/>
            <w:noProof/>
          </w:rPr>
          <w:t xml:space="preserve">4. Ordnung für das Verfahren zur Wahl der Vertreter/Vertreterinnen der Beschäftigten in der </w:t>
        </w:r>
        <w:r w:rsidR="00B33077" w:rsidRPr="00164DA3">
          <w:rPr>
            <w:rStyle w:val="Hyperlink"/>
            <w:noProof/>
            <w:lang w:eastAsia="x-none"/>
          </w:rPr>
          <w:t xml:space="preserve">Kommission für das Arbeitsvertragsrecht der bayerischen Diözesen </w:t>
        </w:r>
        <w:r w:rsidR="00B33077" w:rsidRPr="00164DA3">
          <w:rPr>
            <w:rStyle w:val="Hyperlink"/>
            <w:noProof/>
          </w:rPr>
          <w:t>(Regional-KODA-Wahlordnung – BayRK</w:t>
        </w:r>
        <w:r w:rsidR="00B33077" w:rsidRPr="00164DA3">
          <w:rPr>
            <w:rStyle w:val="Hyperlink"/>
            <w:noProof/>
            <w:lang w:eastAsia="x-none"/>
          </w:rPr>
          <w:t>WO</w:t>
        </w:r>
        <w:r w:rsidR="00B33077" w:rsidRPr="00164DA3">
          <w:rPr>
            <w:rStyle w:val="Hyperlink"/>
            <w:noProof/>
          </w:rPr>
          <w: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81" w:history="1">
        <w:r w:rsidR="00B33077" w:rsidRPr="00164DA3">
          <w:rPr>
            <w:rStyle w:val="Hyperlink"/>
            <w:noProof/>
          </w:rPr>
          <w:t>Erster Abschnitt – Grundsätze der Wahl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82" w:history="1">
        <w:r w:rsidR="00B33077" w:rsidRPr="00164DA3">
          <w:rPr>
            <w:rStyle w:val="Hyperlink"/>
            <w:noProof/>
          </w:rPr>
          <w:t>§ 1 Wahlrechtsgrundsätze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83" w:history="1">
        <w:r w:rsidR="00B33077" w:rsidRPr="00164DA3">
          <w:rPr>
            <w:rStyle w:val="Hyperlink"/>
            <w:noProof/>
          </w:rPr>
          <w:t>§ 2 Wahlbereiche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84" w:history="1">
        <w:r w:rsidR="00B33077" w:rsidRPr="00164DA3">
          <w:rPr>
            <w:rStyle w:val="Hyperlink"/>
            <w:noProof/>
          </w:rPr>
          <w:t>Zweiter Abschnitt – Wahlvorstände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85" w:history="1">
        <w:r w:rsidR="00B33077" w:rsidRPr="00164DA3">
          <w:rPr>
            <w:rStyle w:val="Hyperlink"/>
            <w:noProof/>
          </w:rPr>
          <w:t>§ 3 Bildung von Wahlvorständen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86" w:history="1">
        <w:r w:rsidR="00B33077" w:rsidRPr="00164DA3">
          <w:rPr>
            <w:rStyle w:val="Hyperlink"/>
            <w:noProof/>
          </w:rPr>
          <w:t>§ 4 Zusammensetzung der Wahlvorstände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87" w:history="1">
        <w:r w:rsidR="00B33077" w:rsidRPr="00164DA3">
          <w:rPr>
            <w:rStyle w:val="Hyperlink"/>
            <w:noProof/>
          </w:rPr>
          <w:t>§ 5 Konstituierung der Wahlvorstände, Wahl der Vorsitzenden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88" w:history="1">
        <w:r w:rsidR="00B33077" w:rsidRPr="00164DA3">
          <w:rPr>
            <w:rStyle w:val="Hyperlink"/>
            <w:noProof/>
          </w:rPr>
          <w:t>§ 6 Beschlussfassung, Verschwiegenheitspflicht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89" w:history="1">
        <w:r w:rsidR="00B33077" w:rsidRPr="00164DA3">
          <w:rPr>
            <w:rStyle w:val="Hyperlink"/>
            <w:noProof/>
          </w:rPr>
          <w:t>Dritter Abschnitt – Wahl</w:t>
        </w:r>
        <w:r w:rsidR="00B33077" w:rsidRPr="00164DA3">
          <w:rPr>
            <w:rStyle w:val="Hyperlink"/>
            <w:noProof/>
            <w:lang w:eastAsia="x-none"/>
          </w:rPr>
          <w:t>be</w:t>
        </w:r>
        <w:r w:rsidR="00B33077" w:rsidRPr="00164DA3">
          <w:rPr>
            <w:rStyle w:val="Hyperlink"/>
            <w:noProof/>
          </w:rPr>
          <w:t>recht</w:t>
        </w:r>
        <w:r w:rsidR="00B33077" w:rsidRPr="00164DA3">
          <w:rPr>
            <w:rStyle w:val="Hyperlink"/>
            <w:noProof/>
            <w:lang w:eastAsia="x-none"/>
          </w:rPr>
          <w:t>igung</w:t>
        </w:r>
        <w:r w:rsidR="00B33077" w:rsidRPr="00164DA3">
          <w:rPr>
            <w:rStyle w:val="Hyperlink"/>
            <w:noProof/>
          </w:rPr>
          <w:t>, Wahlvorschlagsrecht und Wählbarkeit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0" w:history="1">
        <w:r w:rsidR="00B33077" w:rsidRPr="00164DA3">
          <w:rPr>
            <w:rStyle w:val="Hyperlink"/>
            <w:noProof/>
          </w:rPr>
          <w:t>§ 7 Wahl</w:t>
        </w:r>
        <w:r w:rsidR="00B33077" w:rsidRPr="00164DA3">
          <w:rPr>
            <w:rStyle w:val="Hyperlink"/>
            <w:noProof/>
            <w:lang w:eastAsia="x-none"/>
          </w:rPr>
          <w:t>be</w:t>
        </w:r>
        <w:r w:rsidR="00B33077" w:rsidRPr="00164DA3">
          <w:rPr>
            <w:rStyle w:val="Hyperlink"/>
            <w:noProof/>
          </w:rPr>
          <w:t>rech</w:t>
        </w:r>
        <w:r w:rsidR="00B33077" w:rsidRPr="00164DA3">
          <w:rPr>
            <w:rStyle w:val="Hyperlink"/>
            <w:noProof/>
            <w:lang w:eastAsia="x-none"/>
          </w:rPr>
          <w:t>tigung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1" w:history="1">
        <w:r w:rsidR="00B33077" w:rsidRPr="00164DA3">
          <w:rPr>
            <w:rStyle w:val="Hyperlink"/>
            <w:noProof/>
          </w:rPr>
          <w:t>§ 8 Wahlvorschlagsrecht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2" w:history="1">
        <w:r w:rsidR="00B33077" w:rsidRPr="00164DA3">
          <w:rPr>
            <w:rStyle w:val="Hyperlink"/>
            <w:noProof/>
          </w:rPr>
          <w:t>§ 9 Wählbarkeit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893" w:history="1">
        <w:r w:rsidR="00B33077" w:rsidRPr="00164DA3">
          <w:rPr>
            <w:rStyle w:val="Hyperlink"/>
            <w:noProof/>
          </w:rPr>
          <w:t>Vierter Abschnitt – Vorbereitung der Wahl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4" w:history="1">
        <w:r w:rsidR="00B33077" w:rsidRPr="00164DA3">
          <w:rPr>
            <w:rStyle w:val="Hyperlink"/>
            <w:noProof/>
          </w:rPr>
          <w:t>§ 10 Wahltag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5" w:history="1">
        <w:r w:rsidR="00B33077" w:rsidRPr="00164DA3">
          <w:rPr>
            <w:rStyle w:val="Hyperlink"/>
            <w:noProof/>
          </w:rPr>
          <w:t>§ 11 Rechtsträgerverzeichnisse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6" w:history="1">
        <w:r w:rsidR="00B33077" w:rsidRPr="00164DA3">
          <w:rPr>
            <w:rStyle w:val="Hyperlink"/>
            <w:noProof/>
          </w:rPr>
          <w:t>§ 12 Wählerverzeichnisse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7" w:history="1">
        <w:r w:rsidR="00B33077" w:rsidRPr="00164DA3">
          <w:rPr>
            <w:rStyle w:val="Hyperlink"/>
            <w:noProof/>
          </w:rPr>
          <w:t>§ 13 Erstellung der Wahlunterlagen, Bestimmung des Wahlablaufs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8" w:history="1">
        <w:r w:rsidR="00B33077" w:rsidRPr="00164DA3">
          <w:rPr>
            <w:rStyle w:val="Hyperlink"/>
            <w:noProof/>
          </w:rPr>
          <w:t>§ 14 Wahlvorschläge der Beschäftigten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899" w:history="1">
        <w:r w:rsidR="00B33077" w:rsidRPr="00164DA3">
          <w:rPr>
            <w:rStyle w:val="Hyperlink"/>
            <w:noProof/>
          </w:rPr>
          <w:t>§ 15 Prüfung der Wahlvorschläge und vorläufige Kandidatenliste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00" w:history="1">
        <w:r w:rsidR="00B33077" w:rsidRPr="00164DA3">
          <w:rPr>
            <w:rStyle w:val="Hyperlink"/>
            <w:noProof/>
          </w:rPr>
          <w:t>§ 16 Endgültige Kandidatenliste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01" w:history="1">
        <w:r w:rsidR="00B33077" w:rsidRPr="00164DA3">
          <w:rPr>
            <w:rStyle w:val="Hyperlink"/>
            <w:noProof/>
          </w:rPr>
          <w:t>Fünfter Abschnitt – Wahlhandlung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02" w:history="1">
        <w:r w:rsidR="00B33077" w:rsidRPr="00164DA3">
          <w:rPr>
            <w:rStyle w:val="Hyperlink"/>
            <w:noProof/>
          </w:rPr>
          <w:t>§ 17 Stimmen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03" w:history="1">
        <w:r w:rsidR="00B33077" w:rsidRPr="00164DA3">
          <w:rPr>
            <w:rStyle w:val="Hyperlink"/>
            <w:noProof/>
          </w:rPr>
          <w:t>§ 18 Wahlunterlagen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04" w:history="1">
        <w:r w:rsidR="00B33077" w:rsidRPr="00164DA3">
          <w:rPr>
            <w:rStyle w:val="Hyperlink"/>
            <w:noProof/>
          </w:rPr>
          <w:t>§ 19 Durchführung der Wahl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05" w:history="1">
        <w:r w:rsidR="00B33077" w:rsidRPr="00164DA3">
          <w:rPr>
            <w:rStyle w:val="Hyperlink"/>
            <w:noProof/>
          </w:rPr>
          <w:t>Sechster Abschnitt – Feststellung des Wahlergebnisses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06" w:history="1">
        <w:r w:rsidR="00B33077" w:rsidRPr="00164DA3">
          <w:rPr>
            <w:rStyle w:val="Hyperlink"/>
            <w:noProof/>
          </w:rPr>
          <w:t>§ 20 Auszählung der Stimmen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07" w:history="1">
        <w:r w:rsidR="00B33077" w:rsidRPr="00164DA3">
          <w:rPr>
            <w:rStyle w:val="Hyperlink"/>
            <w:noProof/>
          </w:rPr>
          <w:t>§ 21 Ungültige Stimmen, Zurückweisung von Wahlbriefen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08" w:history="1">
        <w:r w:rsidR="00B33077" w:rsidRPr="00164DA3">
          <w:rPr>
            <w:rStyle w:val="Hyperlink"/>
            <w:noProof/>
          </w:rPr>
          <w:t>§ 22 Entscheidung des Wahlvorstandes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09" w:history="1">
        <w:r w:rsidR="00B33077" w:rsidRPr="00164DA3">
          <w:rPr>
            <w:rStyle w:val="Hyperlink"/>
            <w:noProof/>
          </w:rPr>
          <w:t>§ 23 Feststellung des Wahlergebnisses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10" w:history="1">
        <w:r w:rsidR="00B33077" w:rsidRPr="00164DA3">
          <w:rPr>
            <w:rStyle w:val="Hyperlink"/>
            <w:noProof/>
          </w:rPr>
          <w:t>§ 24 Vorläufiges Wahlergebnis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11" w:history="1">
        <w:r w:rsidR="00B33077" w:rsidRPr="00164DA3">
          <w:rPr>
            <w:rStyle w:val="Hyperlink"/>
            <w:noProof/>
          </w:rPr>
          <w:t>§ 2</w:t>
        </w:r>
        <w:r w:rsidR="00B33077" w:rsidRPr="00164DA3">
          <w:rPr>
            <w:rStyle w:val="Hyperlink"/>
            <w:noProof/>
            <w:lang w:eastAsia="x-none"/>
          </w:rPr>
          <w:t>5</w:t>
        </w:r>
        <w:r w:rsidR="00B33077" w:rsidRPr="00164DA3">
          <w:rPr>
            <w:rStyle w:val="Hyperlink"/>
            <w:noProof/>
          </w:rPr>
          <w:t xml:space="preserve"> </w:t>
        </w:r>
        <w:r w:rsidR="00B33077" w:rsidRPr="00164DA3">
          <w:rPr>
            <w:rStyle w:val="Hyperlink"/>
            <w:noProof/>
            <w:lang w:eastAsia="x-none"/>
          </w:rPr>
          <w:t>Wahlanfechtung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12" w:history="1">
        <w:r w:rsidR="00B33077" w:rsidRPr="00164DA3">
          <w:rPr>
            <w:rStyle w:val="Hyperlink"/>
            <w:noProof/>
          </w:rPr>
          <w:t>§ 2</w:t>
        </w:r>
        <w:r w:rsidR="00B33077" w:rsidRPr="00164DA3">
          <w:rPr>
            <w:rStyle w:val="Hyperlink"/>
            <w:noProof/>
            <w:lang w:eastAsia="x-none"/>
          </w:rPr>
          <w:t>6</w:t>
        </w:r>
        <w:r w:rsidR="00B33077" w:rsidRPr="00164DA3">
          <w:rPr>
            <w:rStyle w:val="Hyperlink"/>
            <w:noProof/>
          </w:rPr>
          <w:t xml:space="preserve"> Endgültiges Wahlergebnis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13" w:history="1">
        <w:r w:rsidR="00B33077" w:rsidRPr="00164DA3">
          <w:rPr>
            <w:rStyle w:val="Hyperlink"/>
            <w:noProof/>
          </w:rPr>
          <w:t>§ 27 Wahlniederschrift und Aufbewahrung der Wahlunterlagen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914" w:history="1">
        <w:r w:rsidR="00B33077" w:rsidRPr="00164DA3">
          <w:rPr>
            <w:rStyle w:val="Hyperlink"/>
            <w:noProof/>
          </w:rPr>
          <w:t>5. Kirchliche Arbeitsgerichtsordnung – KAGO – in der Fassung des Beschlusses der Vollversammlung der Deutschen Bischofskonferenz vom 25. Februar 2010</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15" w:history="1">
        <w:r w:rsidR="00B33077" w:rsidRPr="00164DA3">
          <w:rPr>
            <w:rStyle w:val="Hyperlink"/>
            <w:noProof/>
          </w:rPr>
          <w:t>Inhaltsübersicht</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16" w:history="1">
        <w:r w:rsidR="00B33077" w:rsidRPr="00164DA3">
          <w:rPr>
            <w:rStyle w:val="Hyperlink"/>
            <w:noProof/>
          </w:rPr>
          <w:t>Präambel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17" w:history="1">
        <w:r w:rsidR="00B33077" w:rsidRPr="00164DA3">
          <w:rPr>
            <w:rStyle w:val="Hyperlink"/>
            <w:noProof/>
          </w:rPr>
          <w:t>Erster Teil – Allgemeine Vorschriften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18" w:history="1">
        <w:r w:rsidR="00B33077" w:rsidRPr="00164DA3">
          <w:rPr>
            <w:rStyle w:val="Hyperlink"/>
            <w:noProof/>
          </w:rPr>
          <w:t>§ 1 Kirchliche Gerichte für Arbeitssachen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19" w:history="1">
        <w:r w:rsidR="00B33077" w:rsidRPr="00164DA3">
          <w:rPr>
            <w:rStyle w:val="Hyperlink"/>
            <w:noProof/>
          </w:rPr>
          <w:t>§ 2 Sachliche Zuständigkeit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0" w:history="1">
        <w:r w:rsidR="00B33077" w:rsidRPr="00164DA3">
          <w:rPr>
            <w:rStyle w:val="Hyperlink"/>
            <w:noProof/>
          </w:rPr>
          <w:t>§ 3 Örtliche Zuständigkeit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1" w:history="1">
        <w:r w:rsidR="00B33077" w:rsidRPr="00164DA3">
          <w:rPr>
            <w:rStyle w:val="Hyperlink"/>
            <w:noProof/>
          </w:rPr>
          <w:t>§ 4 Besetzung der Gerichte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2" w:history="1">
        <w:r w:rsidR="00B33077" w:rsidRPr="00164DA3">
          <w:rPr>
            <w:rStyle w:val="Hyperlink"/>
            <w:noProof/>
          </w:rPr>
          <w:t>§ 5 Aufbringung der Mittel</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3" w:history="1">
        <w:r w:rsidR="00B33077" w:rsidRPr="00164DA3">
          <w:rPr>
            <w:rStyle w:val="Hyperlink"/>
            <w:noProof/>
          </w:rPr>
          <w:t>§ 6 Gang des Verfahrens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4" w:history="1">
        <w:r w:rsidR="00B33077" w:rsidRPr="00164DA3">
          <w:rPr>
            <w:rStyle w:val="Hyperlink"/>
            <w:noProof/>
          </w:rPr>
          <w:t>§ 7 Verfahrensgrundsätze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5" w:history="1">
        <w:r w:rsidR="00B33077" w:rsidRPr="00164DA3">
          <w:rPr>
            <w:rStyle w:val="Hyperlink"/>
            <w:noProof/>
          </w:rPr>
          <w:t>§ 8 Verfahrensbeteiligte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6" w:history="1">
        <w:r w:rsidR="00B33077" w:rsidRPr="00164DA3">
          <w:rPr>
            <w:rStyle w:val="Hyperlink"/>
            <w:noProof/>
          </w:rPr>
          <w:t>§ 9 Beiladung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7" w:history="1">
        <w:r w:rsidR="00B33077" w:rsidRPr="00164DA3">
          <w:rPr>
            <w:rStyle w:val="Hyperlink"/>
            <w:noProof/>
          </w:rPr>
          <w:t>§ 10 Klagebefugnis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8" w:history="1">
        <w:r w:rsidR="00B33077" w:rsidRPr="00164DA3">
          <w:rPr>
            <w:rStyle w:val="Hyperlink"/>
            <w:noProof/>
          </w:rPr>
          <w:t>§ 11 Prozessvertretung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29" w:history="1">
        <w:r w:rsidR="00B33077" w:rsidRPr="00164DA3">
          <w:rPr>
            <w:rStyle w:val="Hyperlink"/>
            <w:noProof/>
          </w:rPr>
          <w:t>§ 12 Kosten (Gebühren und Auslagen)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30" w:history="1">
        <w:r w:rsidR="00B33077" w:rsidRPr="00164DA3">
          <w:rPr>
            <w:rStyle w:val="Hyperlink"/>
            <w:noProof/>
          </w:rPr>
          <w:t>§ 13 Rechts- und Amtshilfe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31" w:history="1">
        <w:r w:rsidR="00B33077" w:rsidRPr="00164DA3">
          <w:rPr>
            <w:rStyle w:val="Hyperlink"/>
            <w:noProof/>
          </w:rPr>
          <w:t>Zweiter Teil – Aufbau der kirchlichen Gerichte für Arbeitssachen – 1.</w:t>
        </w:r>
        <w:r w:rsidR="00B33077" w:rsidRPr="00164DA3">
          <w:rPr>
            <w:rStyle w:val="Hyperlink"/>
            <w:noProof/>
            <w:lang w:eastAsia="x-none"/>
          </w:rPr>
          <w:t> </w:t>
        </w:r>
        <w:r w:rsidR="00B33077" w:rsidRPr="00164DA3">
          <w:rPr>
            <w:rStyle w:val="Hyperlink"/>
            <w:noProof/>
          </w:rPr>
          <w:t>Abschnitt: Kirchliche Arbeitsgerichte erster Instanz</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32" w:history="1">
        <w:r w:rsidR="00B33077" w:rsidRPr="00164DA3">
          <w:rPr>
            <w:rStyle w:val="Hyperlink"/>
            <w:noProof/>
          </w:rPr>
          <w:t>§ 14 Errichtung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33" w:history="1">
        <w:r w:rsidR="00B33077" w:rsidRPr="00164DA3">
          <w:rPr>
            <w:rStyle w:val="Hyperlink"/>
            <w:noProof/>
          </w:rPr>
          <w:t>§ 15 Gerichtssitz/Dienstaufsicht/Geschäftsstelle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34" w:history="1">
        <w:r w:rsidR="00B33077" w:rsidRPr="00164DA3">
          <w:rPr>
            <w:rStyle w:val="Hyperlink"/>
            <w:noProof/>
          </w:rPr>
          <w:t>§ 16 Zusammensetzung/Besetzung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35" w:history="1">
        <w:r w:rsidR="00B33077" w:rsidRPr="00164DA3">
          <w:rPr>
            <w:rStyle w:val="Hyperlink"/>
            <w:noProof/>
          </w:rPr>
          <w:t>§ 17 Rechtsstellung der Richter</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36" w:history="1">
        <w:r w:rsidR="00B33077" w:rsidRPr="00164DA3">
          <w:rPr>
            <w:rStyle w:val="Hyperlink"/>
            <w:noProof/>
          </w:rPr>
          <w:t>§ 18 Ernennungsvoraussetzungen/Beendigung des Richteramtes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37" w:history="1">
        <w:r w:rsidR="00B33077" w:rsidRPr="00164DA3">
          <w:rPr>
            <w:rStyle w:val="Hyperlink"/>
            <w:noProof/>
          </w:rPr>
          <w:t>§ 19 Ernennung des Vorsitzenden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38" w:history="1">
        <w:r w:rsidR="00B33077" w:rsidRPr="00164DA3">
          <w:rPr>
            <w:rStyle w:val="Hyperlink"/>
            <w:noProof/>
          </w:rPr>
          <w:t>§ 20 Ernennung/Mitwirkung der beisitzenden Richter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39" w:history="1">
        <w:r w:rsidR="00B33077" w:rsidRPr="00164DA3">
          <w:rPr>
            <w:rStyle w:val="Hyperlink"/>
            <w:noProof/>
          </w:rPr>
          <w:t>Zweiter Teil – Aufbau der kirchlichen Gerichte für Arbeitssachen – 2.</w:t>
        </w:r>
        <w:r w:rsidR="00B33077" w:rsidRPr="00164DA3">
          <w:rPr>
            <w:rStyle w:val="Hyperlink"/>
            <w:noProof/>
            <w:lang w:eastAsia="x-none"/>
          </w:rPr>
          <w:t> </w:t>
        </w:r>
        <w:r w:rsidR="00B33077" w:rsidRPr="00164DA3">
          <w:rPr>
            <w:rStyle w:val="Hyperlink"/>
            <w:noProof/>
          </w:rPr>
          <w:t>Abschnitt: Kirchlicher Arbeitsgerichtshof</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0" w:history="1">
        <w:r w:rsidR="00B33077" w:rsidRPr="00164DA3">
          <w:rPr>
            <w:rStyle w:val="Hyperlink"/>
            <w:noProof/>
          </w:rPr>
          <w:t>§ 21 Errichtung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1" w:history="1">
        <w:r w:rsidR="00B33077" w:rsidRPr="00164DA3">
          <w:rPr>
            <w:rStyle w:val="Hyperlink"/>
            <w:noProof/>
          </w:rPr>
          <w:t>§ 22 Zusammensetzung/Besetzung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2" w:history="1">
        <w:r w:rsidR="00B33077" w:rsidRPr="00164DA3">
          <w:rPr>
            <w:rStyle w:val="Hyperlink"/>
            <w:noProof/>
          </w:rPr>
          <w:t>§ 23 Dienstaufsicht/Verwaltung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3" w:history="1">
        <w:r w:rsidR="00B33077" w:rsidRPr="00164DA3">
          <w:rPr>
            <w:rStyle w:val="Hyperlink"/>
            <w:noProof/>
          </w:rPr>
          <w:t>§ 24 Rechtsstellung der Richter/Ernennungsvoraussetzungen/Beendigung des Richteramtes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4" w:history="1">
        <w:r w:rsidR="00B33077" w:rsidRPr="00164DA3">
          <w:rPr>
            <w:rStyle w:val="Hyperlink"/>
            <w:noProof/>
          </w:rPr>
          <w:t>§ 25 Ernennung des Präsidenten und der weiteren Mitglieder mit der Befähigung zum Richteramt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5" w:history="1">
        <w:r w:rsidR="00B33077" w:rsidRPr="00164DA3">
          <w:rPr>
            <w:rStyle w:val="Hyperlink"/>
            <w:noProof/>
          </w:rPr>
          <w:t>§ 26 Ernennung/Mitwirkung der beisitzenden Richter aus den Kreisen der Dienstgeber und Mitarbeiter</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46" w:history="1">
        <w:r w:rsidR="00B33077" w:rsidRPr="00164DA3">
          <w:rPr>
            <w:rStyle w:val="Hyperlink"/>
            <w:noProof/>
          </w:rPr>
          <w:t>Dritter Teil – Verfahren vor den kirchlichen Gerichten für Arbeitssachen –</w:t>
        </w:r>
        <w:r w:rsidR="00B33077" w:rsidRPr="00164DA3">
          <w:rPr>
            <w:rStyle w:val="Hyperlink"/>
            <w:noProof/>
            <w:lang w:eastAsia="x-none"/>
          </w:rPr>
          <w:t xml:space="preserve"> </w:t>
        </w:r>
        <w:r w:rsidR="00B33077" w:rsidRPr="00164DA3">
          <w:rPr>
            <w:rStyle w:val="Hyperlink"/>
            <w:noProof/>
          </w:rPr>
          <w:t>1. Abschnitt: Verfahren im ersten Rechtszug –</w:t>
        </w:r>
        <w:r w:rsidR="00B33077" w:rsidRPr="00164DA3">
          <w:rPr>
            <w:rStyle w:val="Hyperlink"/>
            <w:noProof/>
            <w:lang w:eastAsia="x-none"/>
          </w:rPr>
          <w:t xml:space="preserve"> </w:t>
        </w:r>
        <w:r w:rsidR="00B33077" w:rsidRPr="00164DA3">
          <w:rPr>
            <w:rStyle w:val="Hyperlink"/>
            <w:noProof/>
          </w:rPr>
          <w:t>1. Unterabschnitt: Allgemeine Verfahrensvorschriften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7" w:history="1">
        <w:r w:rsidR="00B33077" w:rsidRPr="00164DA3">
          <w:rPr>
            <w:rStyle w:val="Hyperlink"/>
            <w:noProof/>
          </w:rPr>
          <w:t>§ 27 Anwendbares Recht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8" w:history="1">
        <w:r w:rsidR="00B33077" w:rsidRPr="00164DA3">
          <w:rPr>
            <w:rStyle w:val="Hyperlink"/>
            <w:noProof/>
          </w:rPr>
          <w:t>§ 28 Klageschrift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49" w:history="1">
        <w:r w:rsidR="00B33077" w:rsidRPr="00164DA3">
          <w:rPr>
            <w:rStyle w:val="Hyperlink"/>
            <w:noProof/>
          </w:rPr>
          <w:t>§ 29 Klagerücknahme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0" w:history="1">
        <w:r w:rsidR="00B33077" w:rsidRPr="00164DA3">
          <w:rPr>
            <w:rStyle w:val="Hyperlink"/>
            <w:noProof/>
          </w:rPr>
          <w:t>§ 30 Klageänderung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1" w:history="1">
        <w:r w:rsidR="00B33077" w:rsidRPr="00164DA3">
          <w:rPr>
            <w:rStyle w:val="Hyperlink"/>
            <w:noProof/>
          </w:rPr>
          <w:t>§ 31 Zustellung der Klage/Klageerwiderung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2" w:history="1">
        <w:r w:rsidR="00B33077" w:rsidRPr="00164DA3">
          <w:rPr>
            <w:rStyle w:val="Hyperlink"/>
            <w:noProof/>
          </w:rPr>
          <w:t>§ 32 Ladung zur mündlichen Verhandlung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3" w:history="1">
        <w:r w:rsidR="00B33077" w:rsidRPr="00164DA3">
          <w:rPr>
            <w:rStyle w:val="Hyperlink"/>
            <w:noProof/>
          </w:rPr>
          <w:t>§ 33 Vorbereitung der mündlichen Verhandlung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4" w:history="1">
        <w:r w:rsidR="00B33077" w:rsidRPr="00164DA3">
          <w:rPr>
            <w:rStyle w:val="Hyperlink"/>
            <w:noProof/>
          </w:rPr>
          <w:t>§ 34 Alleinentscheidung durch den Vorsitzenden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5" w:history="1">
        <w:r w:rsidR="00B33077" w:rsidRPr="00164DA3">
          <w:rPr>
            <w:rStyle w:val="Hyperlink"/>
            <w:noProof/>
          </w:rPr>
          <w:t>§ 35 Ablehnung von Gerichtspersonen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6" w:history="1">
        <w:r w:rsidR="00B33077" w:rsidRPr="00164DA3">
          <w:rPr>
            <w:rStyle w:val="Hyperlink"/>
            <w:noProof/>
          </w:rPr>
          <w:t>§ 36 Zustellungen und Fristen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7" w:history="1">
        <w:r w:rsidR="00B33077" w:rsidRPr="00164DA3">
          <w:rPr>
            <w:rStyle w:val="Hyperlink"/>
            <w:noProof/>
          </w:rPr>
          <w:t>§ 37 Wiedereinsetzung in versäumte Fristen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58" w:history="1">
        <w:r w:rsidR="00B33077" w:rsidRPr="00164DA3">
          <w:rPr>
            <w:rStyle w:val="Hyperlink"/>
            <w:noProof/>
          </w:rPr>
          <w:t>Dritter Teil – Verfahren vor den kirchlichen Gerichten für Arbeitssachen – 1.</w:t>
        </w:r>
        <w:r w:rsidR="00B33077" w:rsidRPr="00164DA3">
          <w:rPr>
            <w:rStyle w:val="Hyperlink"/>
            <w:noProof/>
            <w:lang w:eastAsia="x-none"/>
          </w:rPr>
          <w:t> </w:t>
        </w:r>
        <w:r w:rsidR="00B33077" w:rsidRPr="00164DA3">
          <w:rPr>
            <w:rStyle w:val="Hyperlink"/>
            <w:noProof/>
          </w:rPr>
          <w:t>Abschnitt: Verfahren im ersten Rechtszug –</w:t>
        </w:r>
        <w:r w:rsidR="00B33077" w:rsidRPr="00164DA3">
          <w:rPr>
            <w:rStyle w:val="Hyperlink"/>
            <w:noProof/>
            <w:lang w:eastAsia="x-none"/>
          </w:rPr>
          <w:t xml:space="preserve"> </w:t>
        </w:r>
        <w:r w:rsidR="00B33077" w:rsidRPr="00164DA3">
          <w:rPr>
            <w:rStyle w:val="Hyperlink"/>
            <w:noProof/>
          </w:rPr>
          <w:t>2.</w:t>
        </w:r>
        <w:r w:rsidR="00B33077" w:rsidRPr="00164DA3">
          <w:rPr>
            <w:rStyle w:val="Hyperlink"/>
            <w:noProof/>
            <w:lang w:eastAsia="x-none"/>
          </w:rPr>
          <w:t> </w:t>
        </w:r>
        <w:r w:rsidR="00B33077" w:rsidRPr="00164DA3">
          <w:rPr>
            <w:rStyle w:val="Hyperlink"/>
            <w:noProof/>
          </w:rPr>
          <w:t>Unterabschnitt: Mündliche Verhandlung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59" w:history="1">
        <w:r w:rsidR="00B33077" w:rsidRPr="00164DA3">
          <w:rPr>
            <w:rStyle w:val="Hyperlink"/>
            <w:noProof/>
          </w:rPr>
          <w:t>§ 38 Gang der mündlichen Verhandlung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0" w:history="1">
        <w:r w:rsidR="00B33077" w:rsidRPr="00164DA3">
          <w:rPr>
            <w:rStyle w:val="Hyperlink"/>
            <w:noProof/>
          </w:rPr>
          <w:t>§ 39 Anhörung Dritter</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1" w:history="1">
        <w:r w:rsidR="00B33077" w:rsidRPr="00164DA3">
          <w:rPr>
            <w:rStyle w:val="Hyperlink"/>
            <w:noProof/>
          </w:rPr>
          <w:t>§ 40 Beweisaufnahme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2" w:history="1">
        <w:r w:rsidR="00B33077" w:rsidRPr="00164DA3">
          <w:rPr>
            <w:rStyle w:val="Hyperlink"/>
            <w:noProof/>
          </w:rPr>
          <w:t>§ 41 Vergleich, Erledigung des Verfahrens</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3" w:history="1">
        <w:r w:rsidR="00B33077" w:rsidRPr="00164DA3">
          <w:rPr>
            <w:rStyle w:val="Hyperlink"/>
            <w:noProof/>
          </w:rPr>
          <w:t>§ 42 Beratung und Abstimmung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4" w:history="1">
        <w:r w:rsidR="00B33077" w:rsidRPr="00164DA3">
          <w:rPr>
            <w:rStyle w:val="Hyperlink"/>
            <w:noProof/>
          </w:rPr>
          <w:t>§ 43 Urteil</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65" w:history="1">
        <w:r w:rsidR="00B33077" w:rsidRPr="00164DA3">
          <w:rPr>
            <w:rStyle w:val="Hyperlink"/>
            <w:noProof/>
          </w:rPr>
          <w:t>Dritter Teil – Verfahren vor den kirchlichen Gerichten für Arbeitssachen – 1.</w:t>
        </w:r>
        <w:r w:rsidR="00B33077" w:rsidRPr="00164DA3">
          <w:rPr>
            <w:rStyle w:val="Hyperlink"/>
            <w:noProof/>
            <w:lang w:eastAsia="x-none"/>
          </w:rPr>
          <w:t> </w:t>
        </w:r>
        <w:r w:rsidR="00B33077" w:rsidRPr="00164DA3">
          <w:rPr>
            <w:rStyle w:val="Hyperlink"/>
            <w:noProof/>
          </w:rPr>
          <w:t>Abschnitt: Verfahren im ersten Rechtszug – 3.</w:t>
        </w:r>
        <w:r w:rsidR="00B33077" w:rsidRPr="00164DA3">
          <w:rPr>
            <w:rStyle w:val="Hyperlink"/>
            <w:noProof/>
            <w:lang w:eastAsia="x-none"/>
          </w:rPr>
          <w:t> </w:t>
        </w:r>
        <w:r w:rsidR="00B33077" w:rsidRPr="00164DA3">
          <w:rPr>
            <w:rStyle w:val="Hyperlink"/>
            <w:noProof/>
          </w:rPr>
          <w:t>Unterabschnitt: Besondere Verfahrensarten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6" w:history="1">
        <w:r w:rsidR="00B33077" w:rsidRPr="00164DA3">
          <w:rPr>
            <w:rStyle w:val="Hyperlink"/>
            <w:noProof/>
          </w:rPr>
          <w:t>§ 44 Auflösung der Mitarbeitervertretung/Verlust der Mitgliedschaft in der Mitarbeitervertretung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7" w:history="1">
        <w:r w:rsidR="00B33077" w:rsidRPr="00164DA3">
          <w:rPr>
            <w:rStyle w:val="Hyperlink"/>
            <w:noProof/>
          </w:rPr>
          <w:t>§ 44a Verlust der Mitgliedschaft in einer Kommission nach Art. 7 GrO</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8" w:history="1">
        <w:r w:rsidR="00B33077" w:rsidRPr="00164DA3">
          <w:rPr>
            <w:rStyle w:val="Hyperlink"/>
            <w:noProof/>
          </w:rPr>
          <w:t>§ 44b Wahlprüfungsklage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69" w:history="1">
        <w:r w:rsidR="00B33077" w:rsidRPr="00164DA3">
          <w:rPr>
            <w:rStyle w:val="Hyperlink"/>
            <w:noProof/>
          </w:rPr>
          <w:t>§ 45 Organstreitverfahren über Zuständigkeit einer KODA</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70" w:history="1">
        <w:r w:rsidR="00B33077" w:rsidRPr="00164DA3">
          <w:rPr>
            <w:rStyle w:val="Hyperlink"/>
            <w:noProof/>
          </w:rPr>
          <w:t>Dritter Teil – Verfahren vor den kirchlichen Gerichten für Arbeitssachen – 2.</w:t>
        </w:r>
        <w:r w:rsidR="00B33077" w:rsidRPr="00164DA3">
          <w:rPr>
            <w:rStyle w:val="Hyperlink"/>
            <w:noProof/>
            <w:lang w:eastAsia="x-none"/>
          </w:rPr>
          <w:t> </w:t>
        </w:r>
        <w:r w:rsidR="00B33077" w:rsidRPr="00164DA3">
          <w:rPr>
            <w:rStyle w:val="Hyperlink"/>
            <w:noProof/>
          </w:rPr>
          <w:t>Abschnitt: Verfahren im zweiten Rechtszug</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71" w:history="1">
        <w:r w:rsidR="00B33077" w:rsidRPr="00164DA3">
          <w:rPr>
            <w:rStyle w:val="Hyperlink"/>
            <w:noProof/>
          </w:rPr>
          <w:t>§ 46 Anwendbares Recht</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72" w:history="1">
        <w:r w:rsidR="00B33077" w:rsidRPr="00164DA3">
          <w:rPr>
            <w:rStyle w:val="Hyperlink"/>
            <w:noProof/>
          </w:rPr>
          <w:t>§ 47 Revision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73" w:history="1">
        <w:r w:rsidR="00B33077" w:rsidRPr="00164DA3">
          <w:rPr>
            <w:rStyle w:val="Hyperlink"/>
            <w:noProof/>
          </w:rPr>
          <w:t>§ 48 Nichtzulassungsbeschwerde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74" w:history="1">
        <w:r w:rsidR="00B33077" w:rsidRPr="00164DA3">
          <w:rPr>
            <w:rStyle w:val="Hyperlink"/>
            <w:noProof/>
          </w:rPr>
          <w:t>§ 49 Revisionsgründe</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75" w:history="1">
        <w:r w:rsidR="00B33077" w:rsidRPr="00164DA3">
          <w:rPr>
            <w:rStyle w:val="Hyperlink"/>
            <w:noProof/>
          </w:rPr>
          <w:t>§ 50 Einlegung der Revision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76" w:history="1">
        <w:r w:rsidR="00B33077" w:rsidRPr="00164DA3">
          <w:rPr>
            <w:rStyle w:val="Hyperlink"/>
            <w:noProof/>
          </w:rPr>
          <w:t>§ 51 Revisionsentscheidung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77" w:history="1">
        <w:r w:rsidR="00B33077" w:rsidRPr="00164DA3">
          <w:rPr>
            <w:rStyle w:val="Hyperlink"/>
            <w:noProof/>
          </w:rPr>
          <w:t>Dritter Teil – Verfahren vor den kirchlichen Gerichten für Arbeitssachen – 3.</w:t>
        </w:r>
        <w:r w:rsidR="00B33077" w:rsidRPr="00164DA3">
          <w:rPr>
            <w:rStyle w:val="Hyperlink"/>
            <w:noProof/>
            <w:lang w:eastAsia="x-none"/>
          </w:rPr>
          <w:t> </w:t>
        </w:r>
        <w:r w:rsidR="00B33077" w:rsidRPr="00164DA3">
          <w:rPr>
            <w:rStyle w:val="Hyperlink"/>
            <w:noProof/>
          </w:rPr>
          <w:t>Abschnitt: Vorläufiger Rechtsschutz</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78" w:history="1">
        <w:r w:rsidR="00B33077" w:rsidRPr="00164DA3">
          <w:rPr>
            <w:rStyle w:val="Hyperlink"/>
            <w:noProof/>
          </w:rPr>
          <w:t>§ 52 Einstweilige Verfügung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79" w:history="1">
        <w:r w:rsidR="00B33077" w:rsidRPr="00164DA3">
          <w:rPr>
            <w:rStyle w:val="Hyperlink"/>
            <w:noProof/>
          </w:rPr>
          <w:t>Dritter Teil – Verfahren vor den kirchlichen Gerichten für Arbeitssachen – 4.</w:t>
        </w:r>
        <w:r w:rsidR="00B33077" w:rsidRPr="00164DA3">
          <w:rPr>
            <w:rStyle w:val="Hyperlink"/>
            <w:noProof/>
            <w:lang w:eastAsia="x-none"/>
          </w:rPr>
          <w:t> </w:t>
        </w:r>
        <w:r w:rsidR="00B33077" w:rsidRPr="00164DA3">
          <w:rPr>
            <w:rStyle w:val="Hyperlink"/>
            <w:noProof/>
          </w:rPr>
          <w:t>Abschnitt: Vollstreckung gerichtlicher Entscheidungen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80" w:history="1">
        <w:r w:rsidR="00B33077" w:rsidRPr="00164DA3">
          <w:rPr>
            <w:rStyle w:val="Hyperlink"/>
            <w:noProof/>
          </w:rPr>
          <w:t>§ 53 Vollstreckungsmaßnahmen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81" w:history="1">
        <w:r w:rsidR="00B33077" w:rsidRPr="00164DA3">
          <w:rPr>
            <w:rStyle w:val="Hyperlink"/>
            <w:noProof/>
          </w:rPr>
          <w:t>§ 54 Vollstreckung von Willenserklärungen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82" w:history="1">
        <w:r w:rsidR="00B33077" w:rsidRPr="00164DA3">
          <w:rPr>
            <w:rStyle w:val="Hyperlink"/>
            <w:noProof/>
          </w:rPr>
          <w:t>Dritter Teil – Verfahren vor den kirchlichen Gerichten für Arbeitssachen – 5.</w:t>
        </w:r>
        <w:r w:rsidR="00B33077" w:rsidRPr="00164DA3">
          <w:rPr>
            <w:rStyle w:val="Hyperlink"/>
            <w:noProof/>
            <w:lang w:eastAsia="x-none"/>
          </w:rPr>
          <w:t> </w:t>
        </w:r>
        <w:r w:rsidR="00B33077" w:rsidRPr="00164DA3">
          <w:rPr>
            <w:rStyle w:val="Hyperlink"/>
            <w:noProof/>
          </w:rPr>
          <w:t>Abschnitt: Beschwerdeverfahren</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83" w:history="1">
        <w:r w:rsidR="00B33077" w:rsidRPr="00164DA3">
          <w:rPr>
            <w:rStyle w:val="Hyperlink"/>
            <w:noProof/>
          </w:rPr>
          <w:t>§ 55 Verfahrensbeschwerde</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84" w:history="1">
        <w:r w:rsidR="00B33077" w:rsidRPr="00164DA3">
          <w:rPr>
            <w:rStyle w:val="Hyperlink"/>
            <w:noProof/>
          </w:rPr>
          <w:t>Vierter Teil – Schlussvorschriften –</w:t>
        </w:r>
      </w:hyperlink>
    </w:p>
    <w:p w:rsidR="00B33077" w:rsidRDefault="00C23DFA" w:rsidP="00B33077">
      <w:pPr>
        <w:pStyle w:val="Verzeichnis6"/>
        <w:divId w:val="500198663"/>
        <w:rPr>
          <w:rFonts w:asciiTheme="minorHAnsi" w:eastAsiaTheme="minorEastAsia" w:hAnsiTheme="minorHAnsi" w:cstheme="minorBidi"/>
          <w:noProof/>
          <w:sz w:val="22"/>
          <w:szCs w:val="22"/>
        </w:rPr>
      </w:pPr>
      <w:hyperlink w:anchor="_Toc523926985" w:history="1">
        <w:r w:rsidR="00B33077" w:rsidRPr="00164DA3">
          <w:rPr>
            <w:rStyle w:val="Hyperlink"/>
            <w:noProof/>
          </w:rPr>
          <w:t>§ 56 In-Kraft-Treten</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986" w:history="1">
        <w:r w:rsidR="00B33077" w:rsidRPr="00164DA3">
          <w:rPr>
            <w:rStyle w:val="Hyperlink"/>
            <w:noProof/>
            <w:lang w:eastAsia="x-none"/>
          </w:rPr>
          <w:t xml:space="preserve">6. </w:t>
        </w:r>
        <w:r w:rsidR="00B33077" w:rsidRPr="00164DA3">
          <w:rPr>
            <w:rStyle w:val="Hyperlink"/>
            <w:noProof/>
          </w:rPr>
          <w:t>Entsendeordnung für die Vertreter/Vertreterinnen der tariffähigen Arbeitnehmerkoalitionen in die Kommission für das Arbeitsvertragsrecht der bayerischen Diözesen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87" w:history="1">
        <w:r w:rsidR="00B33077" w:rsidRPr="00164DA3">
          <w:rPr>
            <w:rStyle w:val="Hyperlink"/>
            <w:noProof/>
          </w:rPr>
          <w:t>§ 1 Gegenstand</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88" w:history="1">
        <w:r w:rsidR="00B33077" w:rsidRPr="00164DA3">
          <w:rPr>
            <w:rStyle w:val="Hyperlink"/>
            <w:noProof/>
          </w:rPr>
          <w:t>§ 2 Vorbereitung der Entscheidung über die Entsendung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89" w:history="1">
        <w:r w:rsidR="00B33077" w:rsidRPr="00164DA3">
          <w:rPr>
            <w:rStyle w:val="Hyperlink"/>
            <w:noProof/>
          </w:rPr>
          <w:t>§ 3 Entscheidung über die Entsendung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90" w:history="1">
        <w:r w:rsidR="00B33077" w:rsidRPr="00164DA3">
          <w:rPr>
            <w:rStyle w:val="Hyperlink"/>
            <w:noProof/>
          </w:rPr>
          <w:t>§ 4 Bekanntmachung der Entscheidung über die Entsendung</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91" w:history="1">
        <w:r w:rsidR="00B33077" w:rsidRPr="00164DA3">
          <w:rPr>
            <w:rStyle w:val="Hyperlink"/>
            <w:noProof/>
          </w:rPr>
          <w:t>§ 5 Kosten</w:t>
        </w:r>
      </w:hyperlink>
    </w:p>
    <w:p w:rsidR="00B33077" w:rsidRDefault="00C23DFA" w:rsidP="00B33077">
      <w:pPr>
        <w:pStyle w:val="Verzeichnis5"/>
        <w:divId w:val="500198663"/>
        <w:rPr>
          <w:rFonts w:asciiTheme="minorHAnsi" w:eastAsiaTheme="minorEastAsia" w:hAnsiTheme="minorHAnsi" w:cstheme="minorBidi"/>
          <w:noProof/>
          <w:sz w:val="22"/>
          <w:szCs w:val="22"/>
        </w:rPr>
      </w:pPr>
      <w:hyperlink w:anchor="_Toc523926992" w:history="1">
        <w:r w:rsidR="00B33077" w:rsidRPr="00164DA3">
          <w:rPr>
            <w:rStyle w:val="Hyperlink"/>
            <w:noProof/>
          </w:rPr>
          <w:t>§ 6 Übergangsvorschrift</w:t>
        </w:r>
      </w:hyperlink>
    </w:p>
    <w:p w:rsidR="00B33077" w:rsidRDefault="00C23DFA" w:rsidP="00CC12D3">
      <w:pPr>
        <w:pStyle w:val="Verzeichnis3"/>
        <w:divId w:val="500198663"/>
        <w:rPr>
          <w:rFonts w:asciiTheme="minorHAnsi" w:eastAsiaTheme="minorEastAsia" w:hAnsiTheme="minorHAnsi" w:cstheme="minorBidi"/>
          <w:sz w:val="22"/>
          <w:szCs w:val="22"/>
        </w:rPr>
      </w:pPr>
      <w:hyperlink w:anchor="_Toc523926993" w:history="1">
        <w:r w:rsidR="00B33077" w:rsidRPr="00164DA3">
          <w:rPr>
            <w:rStyle w:val="Hyperlink"/>
          </w:rPr>
          <w:t>Anhang IV</w:t>
        </w:r>
      </w:hyperlink>
    </w:p>
    <w:p w:rsidR="00B33077" w:rsidRDefault="00C23DFA" w:rsidP="00B33077">
      <w:pPr>
        <w:pStyle w:val="Verzeichnis4"/>
        <w:divId w:val="500198663"/>
        <w:rPr>
          <w:rFonts w:asciiTheme="minorHAnsi" w:eastAsiaTheme="minorEastAsia" w:hAnsiTheme="minorHAnsi" w:cstheme="minorBidi"/>
          <w:noProof/>
          <w:sz w:val="22"/>
          <w:szCs w:val="22"/>
        </w:rPr>
      </w:pPr>
      <w:hyperlink w:anchor="_Toc523926994" w:history="1">
        <w:r w:rsidR="00B33077" w:rsidRPr="00164DA3">
          <w:rPr>
            <w:rStyle w:val="Hyperlink"/>
            <w:noProof/>
          </w:rPr>
          <w:t>Abkürzungsverzeichnis</w:t>
        </w:r>
      </w:hyperlink>
    </w:p>
    <w:p w:rsidR="00A303D9" w:rsidRDefault="00BE1EFE" w:rsidP="00B33077">
      <w:pPr>
        <w:divId w:val="500198663"/>
      </w:pPr>
      <w:r>
        <w:lastRenderedPageBreak/>
        <w:fldChar w:fldCharType="end"/>
      </w: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A303D9" w:rsidRDefault="00A303D9" w:rsidP="00D22E61">
      <w:pPr>
        <w:divId w:val="500198663"/>
      </w:pPr>
    </w:p>
    <w:p w:rsidR="00BE1EFE" w:rsidRPr="00BE7C5E" w:rsidRDefault="00BE1EFE" w:rsidP="0076048D">
      <w:pPr>
        <w:pStyle w:val="berschrift3"/>
        <w:rPr>
          <w:lang w:eastAsia="x-none"/>
        </w:rPr>
        <w:sectPr w:rsidR="00BE1EFE" w:rsidRPr="00BE7C5E" w:rsidSect="00386681">
          <w:headerReference w:type="even" r:id="rId9"/>
          <w:headerReference w:type="default" r:id="rId10"/>
          <w:footerReference w:type="even" r:id="rId11"/>
          <w:footerReference w:type="default" r:id="rId12"/>
          <w:headerReference w:type="first" r:id="rId13"/>
          <w:footerReference w:type="first" r:id="rId14"/>
          <w:pgSz w:w="8392" w:h="11907" w:code="11"/>
          <w:pgMar w:top="1418" w:right="567" w:bottom="567" w:left="1134" w:header="284" w:footer="284" w:gutter="0"/>
          <w:cols w:space="708"/>
          <w:docGrid w:linePitch="360"/>
        </w:sectPr>
      </w:pPr>
    </w:p>
    <w:p w:rsidR="00BE1EFE" w:rsidRDefault="00BE1EFE" w:rsidP="00160E58">
      <w:pPr>
        <w:pStyle w:val="berschrift3"/>
        <w:spacing w:before="0"/>
      </w:pPr>
      <w:bookmarkStart w:id="2" w:name="_Toc523925673"/>
      <w:r>
        <w:lastRenderedPageBreak/>
        <w:t>Präambel</w:t>
      </w:r>
      <w:bookmarkEnd w:id="2"/>
    </w:p>
    <w:p w:rsidR="00BE1EFE" w:rsidRPr="00B76821" w:rsidRDefault="00BE1EFE" w:rsidP="00B76821">
      <w:pPr>
        <w:pStyle w:val="berschrift4"/>
        <w:keepNext w:val="0"/>
        <w:spacing w:before="0" w:after="0"/>
        <w:rPr>
          <w:sz w:val="2"/>
        </w:rPr>
      </w:pPr>
    </w:p>
    <w:p w:rsidR="00BE1EFE" w:rsidRPr="00576A69" w:rsidRDefault="00BE1EFE" w:rsidP="0076048D">
      <w:pPr>
        <w:pStyle w:val="StandardWeb"/>
      </w:pPr>
      <w:r>
        <w:t>Das Arbeitsvertragsrecht der bayerischen Diözesen umfasst die von der Bayerischen Re</w:t>
      </w:r>
      <w:r>
        <w:softHyphen/>
        <w:t>gional-KODA beschlossenen und von den bayerischen Bischöfen jeweils für ihre Diözese in Kraft gesetzten kirchlichen arbeitsvertragsrechtlichen Regelungen.</w:t>
      </w:r>
    </w:p>
    <w:p w:rsidR="00BE1EFE" w:rsidRPr="00576A69" w:rsidRDefault="00BE1EFE" w:rsidP="0076048D">
      <w:pPr>
        <w:pStyle w:val="StandardWeb"/>
      </w:pPr>
    </w:p>
    <w:p w:rsidR="00BE1EFE" w:rsidRDefault="00BE1EFE" w:rsidP="0076048D">
      <w:pPr>
        <w:pStyle w:val="StandardWeb"/>
      </w:pPr>
      <w:r>
        <w:t>Das einheitliche, regionale und eigenständige kirchliche Arbeitsvertragsrecht in den bayerischen Diözesen wurde durch die Bayerische Regional-KODA auf der Basis grundlegender Beschlüsse gestaltet. Dabei orientierte sich die Bayerische Regional-KODA stets an den tarifrechtlichen Regelungen für Beschäftigte im öffentlichen Dienst im Freistaat Bayern.</w:t>
      </w:r>
    </w:p>
    <w:p w:rsidR="00BE1EFE" w:rsidRDefault="00BE1EFE" w:rsidP="0076048D">
      <w:pPr>
        <w:pStyle w:val="StandardWeb"/>
      </w:pPr>
    </w:p>
    <w:p w:rsidR="00BE1EFE" w:rsidRDefault="00BE1EFE" w:rsidP="0076048D">
      <w:pPr>
        <w:pStyle w:val="StandardWeb"/>
      </w:pPr>
      <w:r>
        <w:t>Die weitere Gestaltung des Arbeitsvertragsrechts der bayerischen Diözesen orientiert sich am Tarifvertrag (TVöD – Fassung VKA) für die Beschäftigten der Arbeitgeber, die Mitglieder des kommunalen Arbeitgeberverbandes Bayern sind. Im Übrigen können Bestandteile der weiteren Tarifverträge des Öffentlichen Dienstes im Freistaat Bayern berücksichtigt werden.</w:t>
      </w:r>
    </w:p>
    <w:p w:rsidR="00BE1EFE" w:rsidRDefault="00BE1EFE" w:rsidP="0076048D">
      <w:pPr>
        <w:pStyle w:val="StandardWeb"/>
      </w:pPr>
      <w:r>
        <w:t>Die weitere Gestaltung der Sonderregelungen für Lehrkräfte an Schulen in kirchlicher Trägerschaft im Arbeitsvertragsrecht der bayerischen Diözesen orientiert sich an den für Lehrkräfte des Freistaates Bayern geltenden Regelungen.</w:t>
      </w:r>
    </w:p>
    <w:p w:rsidR="00BE1EFE" w:rsidRDefault="00BE1EFE" w:rsidP="0076048D">
      <w:pPr>
        <w:pStyle w:val="StandardWeb"/>
      </w:pPr>
      <w:r>
        <w:t>Die Gestaltung des Arbeitsvertragsrechts der bayerischen Diözesen erfolgt auf den genannten Grundlagen, soweit kirchenspezifische Gründe dem nicht entgegenstehen.</w:t>
      </w:r>
    </w:p>
    <w:p w:rsidR="00BE1EFE" w:rsidRDefault="00A303D9" w:rsidP="006B6971">
      <w:pPr>
        <w:pStyle w:val="Leerzeile"/>
      </w:pPr>
      <w:r>
        <w:br w:type="page"/>
      </w:r>
      <w:r>
        <w:lastRenderedPageBreak/>
        <w:br w:type="page"/>
      </w:r>
    </w:p>
    <w:p w:rsidR="00BE1EFE" w:rsidRDefault="00BE1EFE" w:rsidP="00A303D9">
      <w:pPr>
        <w:pStyle w:val="berschrift3"/>
        <w:spacing w:before="0"/>
      </w:pPr>
      <w:bookmarkStart w:id="3" w:name="_Toc523925674"/>
      <w:r>
        <w:lastRenderedPageBreak/>
        <w:t>Teil A</w:t>
      </w:r>
      <w:bookmarkEnd w:id="3"/>
    </w:p>
    <w:p w:rsidR="00BE1EFE" w:rsidRDefault="00BE1EFE" w:rsidP="0076048D">
      <w:pPr>
        <w:pStyle w:val="berschrift4"/>
      </w:pPr>
      <w:bookmarkStart w:id="4" w:name="_Toc523925675"/>
      <w:r>
        <w:t>A, 1. Allgemeiner Teil</w:t>
      </w:r>
      <w:bookmarkEnd w:id="4"/>
    </w:p>
    <w:p w:rsidR="00BE1EFE" w:rsidRDefault="00BE1EFE" w:rsidP="0076048D">
      <w:pPr>
        <w:pStyle w:val="berschrift5"/>
      </w:pPr>
      <w:bookmarkStart w:id="5" w:name="_Toc523925676"/>
      <w:r>
        <w:t>Abschnitt I: Allgemeine Vorschriften (§§ 1-5a)</w:t>
      </w:r>
      <w:bookmarkEnd w:id="5"/>
    </w:p>
    <w:p w:rsidR="00BE1EFE" w:rsidRDefault="00BE1EFE" w:rsidP="00635592">
      <w:pPr>
        <w:pStyle w:val="berschrift6"/>
      </w:pPr>
      <w:bookmarkStart w:id="6" w:name="_Toc523925677"/>
      <w:r>
        <w:t>§ 1 Allgemeiner Geltungsbereich</w:t>
      </w:r>
      <w:bookmarkEnd w:id="6"/>
    </w:p>
    <w:p w:rsidR="00BE1EFE" w:rsidRPr="00B76821" w:rsidRDefault="00BE1EFE" w:rsidP="00B76821">
      <w:pPr>
        <w:pStyle w:val="h7"/>
        <w:keepNext w:val="0"/>
        <w:spacing w:before="0" w:after="0"/>
        <w:jc w:val="left"/>
        <w:outlineLvl w:val="5"/>
        <w:rPr>
          <w:sz w:val="2"/>
        </w:rPr>
      </w:pPr>
    </w:p>
    <w:p w:rsidR="00BE1EFE" w:rsidRPr="00927F8A" w:rsidRDefault="00BE1EFE" w:rsidP="00106AFA">
      <w:pPr>
        <w:pStyle w:val="Textkrper"/>
        <w:spacing w:after="60"/>
        <w:jc w:val="both"/>
        <w:rPr>
          <w:rFonts w:cs="Arial"/>
        </w:rPr>
      </w:pPr>
      <w:r>
        <w:rPr>
          <w:rFonts w:cs="Arial"/>
        </w:rPr>
        <w:t>(1)</w:t>
      </w:r>
      <w:r>
        <w:rPr>
          <w:rFonts w:cs="Arial"/>
          <w:lang w:eastAsia="x-none"/>
        </w:rPr>
        <w:t> </w:t>
      </w:r>
      <w:r w:rsidRPr="00927F8A">
        <w:rPr>
          <w:rFonts w:cs="Arial"/>
        </w:rPr>
        <w:t>Die von der Kom</w:t>
      </w:r>
      <w:r>
        <w:rPr>
          <w:rFonts w:cs="Arial"/>
        </w:rPr>
        <w:t>mission für das Arbeitsvertrags</w:t>
      </w:r>
      <w:r w:rsidRPr="00927F8A">
        <w:rPr>
          <w:rFonts w:cs="Arial"/>
        </w:rPr>
        <w:t>recht der bayerischen Diözesen (Bayerische Regional-KODA) beschlossenen und vom</w:t>
      </w:r>
      <w:r>
        <w:rPr>
          <w:rFonts w:cs="Arial"/>
        </w:rPr>
        <w:t xml:space="preserve"> </w:t>
      </w:r>
      <w:r w:rsidRPr="00144BCA">
        <w:rPr>
          <w:rFonts w:cs="Arial"/>
        </w:rPr>
        <w:t>Diözesanbisch</w:t>
      </w:r>
      <w:r w:rsidRPr="00927F8A">
        <w:rPr>
          <w:rFonts w:cs="Arial"/>
        </w:rPr>
        <w:t>of für die Diözese in Kraft gesetzten arbeitsvertraglichen Regelungen gelten für die Arbeitsverhältnisse der Mitarbeiter</w:t>
      </w:r>
      <w:r>
        <w:rPr>
          <w:rFonts w:cs="Arial"/>
        </w:rPr>
        <w:t>innen</w:t>
      </w:r>
      <w:r w:rsidRPr="00927F8A">
        <w:rPr>
          <w:rFonts w:cs="Arial"/>
        </w:rPr>
        <w:t xml:space="preserve"> und Mitarbeiter – nachfolgend Beschäftigte genannt – im Dienst der katholischen Kirche bei den folgenden Rechtsträgern:</w:t>
      </w:r>
    </w:p>
    <w:p w:rsidR="00BE1EFE" w:rsidRPr="00857D2A" w:rsidRDefault="00BE1EFE" w:rsidP="00106AFA">
      <w:pPr>
        <w:ind w:left="426" w:hanging="426"/>
        <w:jc w:val="both"/>
        <w:rPr>
          <w:rFonts w:cs="Arial"/>
        </w:rPr>
      </w:pPr>
      <w:r>
        <w:rPr>
          <w:rFonts w:cs="Arial"/>
        </w:rPr>
        <w:t>1.</w:t>
      </w:r>
      <w:r>
        <w:rPr>
          <w:rFonts w:cs="Arial"/>
        </w:rPr>
        <w:tab/>
      </w:r>
      <w:r w:rsidRPr="00857D2A">
        <w:rPr>
          <w:rFonts w:cs="Arial"/>
        </w:rPr>
        <w:t xml:space="preserve">den bayerischen Diözesen, </w:t>
      </w:r>
    </w:p>
    <w:p w:rsidR="00BE1EFE" w:rsidRPr="00857D2A" w:rsidRDefault="00BE1EFE" w:rsidP="00106AFA">
      <w:pPr>
        <w:ind w:left="426" w:hanging="426"/>
        <w:jc w:val="both"/>
        <w:rPr>
          <w:rFonts w:cs="Arial"/>
        </w:rPr>
      </w:pPr>
      <w:r>
        <w:rPr>
          <w:rFonts w:cs="Arial"/>
        </w:rPr>
        <w:t>2.</w:t>
      </w:r>
      <w:r>
        <w:rPr>
          <w:rFonts w:cs="Arial"/>
        </w:rPr>
        <w:tab/>
      </w:r>
      <w:r w:rsidRPr="00857D2A">
        <w:rPr>
          <w:rFonts w:cs="Arial"/>
        </w:rPr>
        <w:t xml:space="preserve">den Kirchengemeinden und Kirchenstiftungen, </w:t>
      </w:r>
    </w:p>
    <w:p w:rsidR="00BE1EFE" w:rsidRDefault="00BE1EFE" w:rsidP="00106AFA">
      <w:pPr>
        <w:ind w:left="426" w:hanging="426"/>
        <w:jc w:val="both"/>
        <w:rPr>
          <w:rFonts w:cs="Arial"/>
        </w:rPr>
      </w:pPr>
      <w:r w:rsidRPr="00857D2A">
        <w:rPr>
          <w:rFonts w:cs="Arial"/>
        </w:rPr>
        <w:t>3.</w:t>
      </w:r>
      <w:r>
        <w:rPr>
          <w:rFonts w:cs="Arial"/>
        </w:rPr>
        <w:tab/>
      </w:r>
      <w:r w:rsidRPr="00857D2A">
        <w:rPr>
          <w:rFonts w:cs="Arial"/>
        </w:rPr>
        <w:t>den Verbänden von Kirchenstiftungen</w:t>
      </w:r>
      <w:r>
        <w:rPr>
          <w:rFonts w:cs="Arial"/>
        </w:rPr>
        <w:t xml:space="preserve">, </w:t>
      </w:r>
    </w:p>
    <w:p w:rsidR="00BE1EFE" w:rsidRDefault="00BE1EFE" w:rsidP="00106AFA">
      <w:pPr>
        <w:ind w:left="426" w:hanging="426"/>
        <w:jc w:val="both"/>
        <w:rPr>
          <w:rFonts w:cs="Arial"/>
        </w:rPr>
      </w:pPr>
      <w:r>
        <w:rPr>
          <w:rFonts w:cs="Arial"/>
        </w:rPr>
        <w:t>4.</w:t>
      </w:r>
      <w:r>
        <w:rPr>
          <w:rFonts w:cs="Arial"/>
        </w:rPr>
        <w:tab/>
      </w:r>
      <w:r w:rsidRPr="00857D2A">
        <w:rPr>
          <w:rFonts w:cs="Arial"/>
        </w:rPr>
        <w:t xml:space="preserve">den sonstigen dem Diözesanbischof unterstellten öffentlich juristischen Personen </w:t>
      </w:r>
      <w:r>
        <w:rPr>
          <w:rFonts w:cs="Arial"/>
        </w:rPr>
        <w:t>des kanonischen Rechts,</w:t>
      </w:r>
    </w:p>
    <w:p w:rsidR="00BE1EFE" w:rsidRDefault="00BE1EFE" w:rsidP="00106AFA">
      <w:pPr>
        <w:ind w:left="426" w:hanging="426"/>
        <w:jc w:val="both"/>
        <w:rPr>
          <w:rFonts w:cs="Arial"/>
        </w:rPr>
      </w:pPr>
      <w:r>
        <w:rPr>
          <w:rFonts w:cs="Arial"/>
        </w:rPr>
        <w:t>5.</w:t>
      </w:r>
      <w:r>
        <w:rPr>
          <w:rFonts w:cs="Arial"/>
        </w:rPr>
        <w:tab/>
        <w:t xml:space="preserve">den sonstigen kirchlichen Rechtsträgern, unbeschadet ihrer </w:t>
      </w:r>
      <w:r w:rsidRPr="00E450EE">
        <w:t>Rechtsform</w:t>
      </w:r>
      <w:r>
        <w:rPr>
          <w:rFonts w:cs="Arial"/>
        </w:rPr>
        <w:t xml:space="preserve">, die der bischöflichen Gesetzgebungsgewalt unterliegen, </w:t>
      </w:r>
    </w:p>
    <w:p w:rsidR="00BE1EFE" w:rsidRPr="00B95E7D" w:rsidRDefault="00BE1EFE" w:rsidP="00106AFA">
      <w:pPr>
        <w:ind w:left="426" w:hanging="426"/>
        <w:jc w:val="both"/>
        <w:rPr>
          <w:rFonts w:cs="Arial"/>
        </w:rPr>
      </w:pPr>
      <w:r>
        <w:rPr>
          <w:rFonts w:cs="Arial"/>
        </w:rPr>
        <w:t xml:space="preserve">6. </w:t>
      </w:r>
      <w:r>
        <w:rPr>
          <w:rFonts w:cs="Arial"/>
        </w:rPr>
        <w:tab/>
        <w:t xml:space="preserve">den sonstigen kirchlichen Rechtsträgern, unbeschadet ihrer Rechtsform, wenn sie </w:t>
      </w:r>
      <w:r w:rsidRPr="00B95E7D">
        <w:rPr>
          <w:rFonts w:cs="Arial"/>
        </w:rPr>
        <w:t>gemäß § 1 Absatz 2 BayRKO in den Zuständigkeitsbereich der Bayerischen Regional-KODA fallen,</w:t>
      </w:r>
    </w:p>
    <w:p w:rsidR="00BE1EFE" w:rsidRDefault="00BE1EFE" w:rsidP="00106AFA">
      <w:pPr>
        <w:jc w:val="both"/>
        <w:rPr>
          <w:rFonts w:cs="Arial"/>
        </w:rPr>
      </w:pPr>
      <w:r>
        <w:rPr>
          <w:rFonts w:cs="Arial"/>
        </w:rPr>
        <w:t>und deren rechtlich unselbständigen Einrichtungen.</w:t>
      </w:r>
    </w:p>
    <w:p w:rsidR="00BE1EFE" w:rsidRDefault="00BE1EFE" w:rsidP="00106AFA">
      <w:pPr>
        <w:jc w:val="both"/>
        <w:rPr>
          <w:rFonts w:cs="Arial"/>
        </w:rPr>
      </w:pPr>
    </w:p>
    <w:p w:rsidR="00BE1EFE" w:rsidRDefault="00BE1EFE" w:rsidP="00106AFA">
      <w:pPr>
        <w:jc w:val="both"/>
        <w:rPr>
          <w:rFonts w:cs="Arial"/>
        </w:rPr>
      </w:pPr>
      <w:r>
        <w:rPr>
          <w:rFonts w:cs="Arial"/>
        </w:rPr>
        <w:t xml:space="preserve">(2) Diese Regelungen gelten nicht für </w:t>
      </w:r>
    </w:p>
    <w:p w:rsidR="00BE1EFE" w:rsidRDefault="00BE1EFE" w:rsidP="00106AFA">
      <w:pPr>
        <w:jc w:val="both"/>
        <w:rPr>
          <w:rFonts w:cs="Arial"/>
        </w:rPr>
      </w:pPr>
      <w:r>
        <w:rPr>
          <w:rFonts w:cs="Arial"/>
        </w:rPr>
        <w:t>a) Beschäftigte bei Rechtsträgern, auf deren Arbeitsverhältnisse satzungsgemäß die Richtlinien für Arbeitsverträge in den Ein</w:t>
      </w:r>
      <w:r w:rsidR="00627946">
        <w:rPr>
          <w:rFonts w:cs="Arial"/>
        </w:rPr>
        <w:t>r</w:t>
      </w:r>
      <w:r>
        <w:rPr>
          <w:rFonts w:cs="Arial"/>
        </w:rPr>
        <w:t>ichtungen des Deutschen Caritasverbandes (AVR) Anwendung finden,</w:t>
      </w:r>
    </w:p>
    <w:p w:rsidR="00BE1EFE" w:rsidRDefault="00BE1EFE" w:rsidP="00106AFA">
      <w:pPr>
        <w:pStyle w:val="Textkrper"/>
        <w:spacing w:after="0"/>
        <w:jc w:val="both"/>
        <w:rPr>
          <w:rFonts w:cs="Arial"/>
        </w:rPr>
      </w:pPr>
      <w:r>
        <w:rPr>
          <w:rFonts w:cs="Arial"/>
        </w:rPr>
        <w:t>b)</w:t>
      </w:r>
      <w:r>
        <w:rPr>
          <w:rFonts w:cs="Arial"/>
          <w:lang w:eastAsia="x-none"/>
        </w:rPr>
        <w:t> </w:t>
      </w:r>
      <w:r w:rsidRPr="00927F8A">
        <w:rPr>
          <w:rFonts w:cs="Arial"/>
        </w:rPr>
        <w:t>Beschäftigte an kirchlichen Hochschulen; für diese findet der Tarifvertrag für den öffentlichen Dienst der Länder (TV-L) in der jeweils für den Freistaat Baye</w:t>
      </w:r>
      <w:r>
        <w:rPr>
          <w:rFonts w:cs="Arial"/>
        </w:rPr>
        <w:t>rn geltenden Fassung Anwendung,</w:t>
      </w:r>
    </w:p>
    <w:p w:rsidR="00BE1EFE" w:rsidRDefault="00BE1EFE" w:rsidP="00106AFA">
      <w:pPr>
        <w:pStyle w:val="Textkrper"/>
        <w:spacing w:after="0"/>
        <w:jc w:val="both"/>
        <w:rPr>
          <w:rFonts w:cs="Arial"/>
        </w:rPr>
      </w:pPr>
      <w:r>
        <w:rPr>
          <w:rFonts w:cs="Arial"/>
        </w:rPr>
        <w:t>c)</w:t>
      </w:r>
      <w:r>
        <w:rPr>
          <w:rFonts w:cs="Arial"/>
          <w:lang w:eastAsia="x-none"/>
        </w:rPr>
        <w:t> </w:t>
      </w:r>
      <w:r>
        <w:rPr>
          <w:rFonts w:cs="Arial"/>
        </w:rPr>
        <w:t>Beschäftigte, für die eine kollektivrechtliche Regelung im Bereich des Freistaates Bayern für Waldarbeiter einzelvertraglich zur Anwendung kommt,</w:t>
      </w:r>
    </w:p>
    <w:p w:rsidR="00BE1EFE" w:rsidRDefault="00BE1EFE" w:rsidP="00106AFA">
      <w:pPr>
        <w:jc w:val="both"/>
        <w:rPr>
          <w:rFonts w:cs="Arial"/>
        </w:rPr>
      </w:pPr>
      <w:r>
        <w:rPr>
          <w:rFonts w:cs="Arial"/>
        </w:rPr>
        <w:t xml:space="preserve">d) Beschäftigte für die Eingliederungszuschüsse nach den </w:t>
      </w:r>
      <w:hyperlink r:id="rId15" w:history="1">
        <w:r w:rsidRPr="00106AFA">
          <w:rPr>
            <w:rStyle w:val="Hyperlink"/>
            <w:rFonts w:cs="Arial"/>
          </w:rPr>
          <w:t>§§ 88 ff. SGB III</w:t>
        </w:r>
      </w:hyperlink>
      <w:r>
        <w:rPr>
          <w:rFonts w:cs="Arial"/>
        </w:rPr>
        <w:t xml:space="preserve"> gewährt werden,</w:t>
      </w:r>
    </w:p>
    <w:p w:rsidR="00BE1EFE" w:rsidRDefault="00BE1EFE" w:rsidP="00106AFA">
      <w:pPr>
        <w:jc w:val="both"/>
        <w:rPr>
          <w:rFonts w:cs="Arial"/>
        </w:rPr>
      </w:pPr>
      <w:r>
        <w:rPr>
          <w:rFonts w:cs="Arial"/>
        </w:rPr>
        <w:t>e) Leiharbeitnehmer/Leiharbeitnehmerinnen von nicht kirchlichen Personal-Service-Agentur</w:t>
      </w:r>
      <w:r>
        <w:rPr>
          <w:rFonts w:cs="Arial"/>
        </w:rPr>
        <w:softHyphen/>
        <w:t>en, sofern deren Rechtsverhältnisse kollektivrechtlich geregelt sind,</w:t>
      </w:r>
    </w:p>
    <w:p w:rsidR="00BE1EFE" w:rsidRDefault="00BE1EFE" w:rsidP="00106AFA">
      <w:pPr>
        <w:jc w:val="both"/>
        <w:rPr>
          <w:rFonts w:cs="Arial"/>
        </w:rPr>
      </w:pPr>
      <w:r>
        <w:rPr>
          <w:rFonts w:cs="Arial"/>
        </w:rPr>
        <w:t>f) Beschäftigte in Brauereien, Gaststätten und Hotels, soweit anderweitige kollektivrechtliche Regelungen vereinbart sind.</w:t>
      </w:r>
    </w:p>
    <w:p w:rsidR="00BE1EFE" w:rsidRDefault="00BE1EFE" w:rsidP="00106AFA">
      <w:pPr>
        <w:jc w:val="both"/>
        <w:rPr>
          <w:rFonts w:cs="Arial"/>
        </w:rPr>
      </w:pPr>
    </w:p>
    <w:p w:rsidR="00BE1EFE" w:rsidRDefault="00BE1EFE">
      <w:pPr>
        <w:pStyle w:val="StandardWeb"/>
      </w:pPr>
      <w:r>
        <w:rPr>
          <w:rFonts w:cs="Arial"/>
        </w:rPr>
        <w:t>(3) Bei Beschäftigten, die ein über das Tabellenentgelt der Entgeltgruppe 15 hinausgehendes Entgelt erhalten, kann individualvertraglich von diesen Regelungen abgewichen werden.</w:t>
      </w:r>
      <w:r>
        <w:t xml:space="preserve"> </w:t>
      </w:r>
    </w:p>
    <w:p w:rsidR="00BE1EFE" w:rsidRDefault="00BE1EFE">
      <w:pPr>
        <w:pStyle w:val="berschrift6"/>
      </w:pPr>
      <w:bookmarkStart w:id="7" w:name="_Toc523925678"/>
      <w:r>
        <w:t>§ 2 Arbeitsvertrag, Nebenabreden, Probezeit</w:t>
      </w:r>
      <w:bookmarkEnd w:id="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Arbeitsvertrag wird schriftlich abgeschlossen.</w:t>
      </w:r>
    </w:p>
    <w:p w:rsidR="00BE1EFE" w:rsidRPr="000B1AF8" w:rsidRDefault="00BE1EFE">
      <w:pPr>
        <w:pStyle w:val="StandardWeb"/>
      </w:pPr>
    </w:p>
    <w:p w:rsidR="00BE1EFE" w:rsidRDefault="00BE1EFE">
      <w:pPr>
        <w:pStyle w:val="StandardWeb"/>
      </w:pPr>
      <w:r>
        <w:lastRenderedPageBreak/>
        <w:t>(2) </w:t>
      </w:r>
      <w:r>
        <w:rPr>
          <w:rStyle w:val="kleinschrift"/>
        </w:rPr>
        <w:t>1</w:t>
      </w:r>
      <w:r>
        <w:t xml:space="preserve">Mehrere Arbeitsverhältnisse zu demselben Arbeitgeber dürfen nur begründet werden, wenn die jeweils übertragenen Tätigkeiten nicht in einem unmittelbaren Sachzusammenhang stehen. </w:t>
      </w:r>
      <w:r>
        <w:rPr>
          <w:rStyle w:val="kleinschrift"/>
        </w:rPr>
        <w:t>2</w:t>
      </w:r>
      <w:r>
        <w:t>Andernfalls gelten sie als ein Arbeitsverhältnis.</w:t>
      </w:r>
    </w:p>
    <w:p w:rsidR="00BE1EFE" w:rsidRDefault="00BE1EFE">
      <w:pPr>
        <w:pStyle w:val="StandardWeb"/>
      </w:pPr>
    </w:p>
    <w:p w:rsidR="00BE1EFE" w:rsidRDefault="00BE1EFE">
      <w:pPr>
        <w:pStyle w:val="StandardWeb"/>
      </w:pPr>
      <w:r>
        <w:t>(3)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StandardWeb"/>
      </w:pPr>
    </w:p>
    <w:p w:rsidR="00BE1EFE" w:rsidRDefault="00BE1EFE">
      <w:pPr>
        <w:pStyle w:val="StandardWeb"/>
      </w:pPr>
      <w:r>
        <w:t>(4) </w:t>
      </w:r>
      <w:r>
        <w:rPr>
          <w:rStyle w:val="kleinschrift"/>
        </w:rPr>
        <w:t>1</w:t>
      </w:r>
      <w:r>
        <w:t xml:space="preserve">Die </w:t>
      </w:r>
      <w:proofErr w:type="gramStart"/>
      <w:r>
        <w:t>ersten sechs Monate</w:t>
      </w:r>
      <w:proofErr w:type="gramEnd"/>
      <w:r>
        <w:t xml:space="preserve"> der Beschäftigung gelten als Probezeit, soweit nicht eine kürzere Zeit vereinbart ist. </w:t>
      </w:r>
      <w:r>
        <w:rPr>
          <w:rStyle w:val="kleinschrift"/>
        </w:rPr>
        <w:t>2</w:t>
      </w:r>
      <w:r>
        <w:t>Bei Übernahme von Auszubildenden im unmittelbaren Anschluss an das Ausbildungsverhältnis in ein Arbeitsverhältnis entfällt die Probezeit.</w:t>
      </w:r>
    </w:p>
    <w:p w:rsidR="00BE1EFE" w:rsidRDefault="00BE1EFE">
      <w:pPr>
        <w:pStyle w:val="berschrift6"/>
      </w:pPr>
      <w:bookmarkStart w:id="8" w:name="_Toc523925679"/>
      <w:r>
        <w:t>§ 3 Allgemeine Arbeitsbedingungen</w:t>
      </w:r>
      <w:bookmarkEnd w:id="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haben über Angelegenheiten, deren Geheimhaltung durch gesetzliche Vorschriften vorgesehen oder vom Arbeitgeber angeordnet ist, Verschwiegenheit zu wahren; dies gilt auch über die Beendigung des Arbeitsverhältnisses hinaus.</w:t>
      </w:r>
    </w:p>
    <w:p w:rsidR="00BE1EFE" w:rsidRPr="000B1AF8" w:rsidRDefault="00BE1EFE">
      <w:pPr>
        <w:pStyle w:val="StandardWeb"/>
      </w:pPr>
    </w:p>
    <w:p w:rsidR="00BE1EFE" w:rsidRDefault="00BE1EFE">
      <w:pPr>
        <w:pStyle w:val="StandardWeb"/>
      </w:pPr>
      <w:r>
        <w:t>(2) </w:t>
      </w:r>
      <w:r>
        <w:rPr>
          <w:rStyle w:val="kleinschrift"/>
        </w:rPr>
        <w:t>1</w:t>
      </w:r>
      <w:r>
        <w:t xml:space="preserve">Die Beschäftigten dürfen von Dritten Belohnungen, Geschenke, Provisionen oder sonstige Vergünstigungen in Bezug auf ihre Tätigkeit nicht annehmen. </w:t>
      </w:r>
      <w:r>
        <w:rPr>
          <w:rStyle w:val="kleinschrift"/>
        </w:rPr>
        <w:t>2</w:t>
      </w:r>
      <w:r>
        <w:t xml:space="preserve">Ausnahmen sind nur mit Zustimmung des Arbeitgebers möglich. </w:t>
      </w:r>
      <w:r>
        <w:rPr>
          <w:rStyle w:val="kleinschrift"/>
        </w:rPr>
        <w:t>3</w:t>
      </w:r>
      <w:r>
        <w:t>Werden den Beschäftigten derartige Vergünsti</w:t>
      </w:r>
      <w:r>
        <w:softHyphen/>
        <w:t>gungen angeboten, haben sie dies dem Arbeitgeber unverzüglich anzuzeigen.</w:t>
      </w:r>
    </w:p>
    <w:p w:rsidR="00BE1EFE" w:rsidRDefault="00BE1EFE">
      <w:pPr>
        <w:pStyle w:val="StandardWeb"/>
      </w:pPr>
      <w:r>
        <w:rPr>
          <w:sz w:val="12"/>
          <w:szCs w:val="12"/>
        </w:rPr>
        <w:t>Protokollnotiz zu Absatz 2:</w:t>
      </w:r>
    </w:p>
    <w:p w:rsidR="00BE1EFE" w:rsidRDefault="00BE1EFE">
      <w:pPr>
        <w:pStyle w:val="StandardWeb"/>
      </w:pPr>
      <w:r>
        <w:rPr>
          <w:sz w:val="12"/>
          <w:szCs w:val="12"/>
        </w:rPr>
        <w:t>1. Die Verletzung der Pflichten gemäß § 3 Absatz 2 kann einen wichtigen Grund zur außerordentlichen Kündigung darstellen; ggf. entsteht Schadensersatzpflicht.</w:t>
      </w:r>
    </w:p>
    <w:p w:rsidR="00BE1EFE" w:rsidRDefault="00BE1EFE">
      <w:pPr>
        <w:pStyle w:val="StandardWeb"/>
        <w:rPr>
          <w:sz w:val="12"/>
          <w:szCs w:val="12"/>
        </w:rPr>
      </w:pPr>
      <w:r>
        <w:rPr>
          <w:sz w:val="12"/>
          <w:szCs w:val="12"/>
        </w:rPr>
        <w:t>2. Die Dienstvorgesetzten haben dafür Sorge zu tragen, dass ihre Beschäftigten in regelmäßigen Abständen über diese Verpflichtungen belehrt werden.</w:t>
      </w:r>
    </w:p>
    <w:p w:rsidR="00BE1EFE" w:rsidRDefault="00BE1EFE">
      <w:pPr>
        <w:pStyle w:val="StandardWeb"/>
      </w:pPr>
      <w:r>
        <w:rPr>
          <w:sz w:val="12"/>
          <w:szCs w:val="12"/>
        </w:rPr>
        <w:t>3. Die Dienstvorgesetzten haben etwaigen Verstößen nach Möglichkeit durch geeignete organisatorische und personal</w:t>
      </w:r>
      <w:r>
        <w:rPr>
          <w:sz w:val="12"/>
          <w:szCs w:val="12"/>
        </w:rPr>
        <w:softHyphen/>
        <w:t>politische Maßnahmen vorzubeugen.</w:t>
      </w:r>
    </w:p>
    <w:p w:rsidR="00BE1EFE" w:rsidRDefault="00BE1EFE">
      <w:pPr>
        <w:pStyle w:val="StandardWeb"/>
      </w:pPr>
    </w:p>
    <w:p w:rsidR="00BE1EFE" w:rsidRDefault="00BE1EFE">
      <w:pPr>
        <w:pStyle w:val="StandardWeb"/>
      </w:pPr>
      <w:r>
        <w:t>(3) </w:t>
      </w:r>
      <w:r>
        <w:rPr>
          <w:rStyle w:val="kleinschrift"/>
        </w:rPr>
        <w:t>1</w:t>
      </w:r>
      <w:r>
        <w:t xml:space="preserve">Nebentätigkeiten gegen Entgelt haben die Beschäftigten ihrem Arbeitgeber rechtzeitig vorher schriftlich anzuzeigen. </w:t>
      </w:r>
      <w:r>
        <w:rPr>
          <w:rStyle w:val="kleinschrift"/>
        </w:rPr>
        <w:t>2</w:t>
      </w:r>
      <w:r>
        <w:t xml:space="preserve">Der Arbeitgeber kann die Nebentätigkeit untersagen oder mit Auflagen versehen, wenn diese geeignet ist, die Erfüllung der arbeitsvertraglichen Pflichten der Beschäftigten oder berechtigte Interessen des Arbeitgebers zu beeinträchtigen. </w:t>
      </w:r>
      <w:r>
        <w:rPr>
          <w:rStyle w:val="kleinschrift"/>
        </w:rPr>
        <w:t>3</w:t>
      </w:r>
      <w:r>
        <w:t>Eine Nebentätigkeit ist zu untersagen, wenn und soweit sie</w:t>
      </w:r>
    </w:p>
    <w:p w:rsidR="00BE1EFE" w:rsidRDefault="00BE1EFE">
      <w:pPr>
        <w:pStyle w:val="StandardWeb"/>
      </w:pPr>
      <w:r>
        <w:t>a) gegen kirchliche oder staatliche Gesetze verstößt,</w:t>
      </w:r>
    </w:p>
    <w:p w:rsidR="00BE1EFE" w:rsidRDefault="00BE1EFE">
      <w:pPr>
        <w:pStyle w:val="StandardWeb"/>
      </w:pPr>
      <w:r>
        <w:t>b) mit dem Ansehen des kirchlichen Dienstes nicht vereinbar ist,</w:t>
      </w:r>
    </w:p>
    <w:p w:rsidR="00BE1EFE" w:rsidRDefault="00BE1EFE">
      <w:pPr>
        <w:pStyle w:val="StandardWeb"/>
      </w:pPr>
      <w:r>
        <w:t>c) die/den Beschäftigte/n in Widerspruch zu ihren/seinen dienstlichen Pflichten bringt,</w:t>
      </w:r>
    </w:p>
    <w:p w:rsidR="00BE1EFE" w:rsidRDefault="00BE1EFE">
      <w:pPr>
        <w:pStyle w:val="StandardWeb"/>
      </w:pPr>
      <w:r>
        <w:t>d) in Konkurrenz zu der arbeitsvertraglich vereinbarten Tätigkeit der/des Beschäftigten steht,</w:t>
      </w:r>
    </w:p>
    <w:p w:rsidR="00BE1EFE" w:rsidRDefault="00BE1EFE">
      <w:pPr>
        <w:pStyle w:val="StandardWeb"/>
      </w:pPr>
      <w:r>
        <w:t xml:space="preserve">e) die Zeit oder die Arbeitskraft der/des Beschäftigten so stark in Anspruch nimmt, dass die ordnungsgemäße Erfüllung ihrer/seiner arbeitsvertraglich vereinbarten Pflichten beeinträchtigt wird. </w:t>
      </w:r>
    </w:p>
    <w:p w:rsidR="00BE1EFE" w:rsidRDefault="00BE1EFE">
      <w:pPr>
        <w:pStyle w:val="StandardWeb"/>
      </w:pPr>
      <w:r>
        <w:rPr>
          <w:rStyle w:val="kleinschrift"/>
        </w:rPr>
        <w:t>4</w:t>
      </w:r>
      <w:r>
        <w:t>Auch nicht anzeigepflichtige Nebentätigkeiten dürfen die Dienstobliegenheiten nicht beeinträchtigen.</w:t>
      </w:r>
    </w:p>
    <w:p w:rsidR="00BE1EFE" w:rsidRDefault="00BE1EFE">
      <w:pPr>
        <w:pStyle w:val="StandardWeb"/>
      </w:pPr>
    </w:p>
    <w:p w:rsidR="00BE1EFE" w:rsidRDefault="00BE1EFE">
      <w:pPr>
        <w:pStyle w:val="StandardWeb"/>
      </w:pPr>
      <w:r>
        <w:t>(4) </w:t>
      </w:r>
      <w:r>
        <w:rPr>
          <w:rStyle w:val="kleinschrift"/>
        </w:rPr>
        <w:t>1</w:t>
      </w:r>
      <w:r>
        <w:t xml:space="preserve">Der Arbeitgeber ist bei begründeter Veranlassung berechtigt, die/den Beschäftigte/n zu verpflichten, durch ärztliche Bescheinigung nachzuweisen, dass sie/er zur Leistung der arbeitsvertraglich geschuldeten Tätigkeit in der Lage ist. </w:t>
      </w:r>
      <w:r>
        <w:rPr>
          <w:rStyle w:val="kleinschrift"/>
        </w:rPr>
        <w:t>2</w:t>
      </w:r>
      <w:r>
        <w:t xml:space="preserve">Bei der beauftragten Ärztin/dem beauftragten Arzt kann es sich um eine/n Vertrauensärztin/Vertrauensarzt oder eine Betriebsärztin/einen Betriebsarzt handeln. </w:t>
      </w:r>
      <w:r>
        <w:rPr>
          <w:rStyle w:val="kleinschrift"/>
        </w:rPr>
        <w:t>3</w:t>
      </w:r>
      <w:r>
        <w:t>Die Kosten dieser Untersuchung trägt der Arbeit</w:t>
      </w:r>
      <w:r>
        <w:softHyphen/>
        <w:t>geber.</w:t>
      </w:r>
    </w:p>
    <w:p w:rsidR="00BE1EFE" w:rsidRDefault="00BE1EFE">
      <w:pPr>
        <w:pStyle w:val="StandardWeb"/>
      </w:pPr>
      <w:r>
        <w:rPr>
          <w:sz w:val="12"/>
          <w:szCs w:val="12"/>
        </w:rPr>
        <w:t>Protokollnotiz zu Absatz 4:</w:t>
      </w:r>
    </w:p>
    <w:p w:rsidR="00BE1EFE" w:rsidRDefault="00BE1EFE">
      <w:pPr>
        <w:pStyle w:val="StandardWeb"/>
      </w:pPr>
      <w:r>
        <w:rPr>
          <w:sz w:val="12"/>
          <w:szCs w:val="12"/>
        </w:rPr>
        <w:t>Unter Vertrauensärztin/Vertrauensarzt im Sinne des § 3 Absatz 4 ist eine/ein vom Arbeitgeber mit der Untersuchung beauf</w:t>
      </w:r>
      <w:r>
        <w:rPr>
          <w:sz w:val="12"/>
          <w:szCs w:val="12"/>
        </w:rPr>
        <w:softHyphen/>
        <w:t>tragte/r Ärztin/Arzt zu verstehen.</w:t>
      </w:r>
    </w:p>
    <w:p w:rsidR="00BE1EFE" w:rsidRDefault="00BE1EFE">
      <w:pPr>
        <w:pStyle w:val="StandardWeb"/>
      </w:pPr>
    </w:p>
    <w:p w:rsidR="00BE1EFE" w:rsidRDefault="00BE1EFE">
      <w:pPr>
        <w:pStyle w:val="StandardWeb"/>
      </w:pPr>
      <w:r>
        <w:lastRenderedPageBreak/>
        <w:t>(5) </w:t>
      </w:r>
      <w:r>
        <w:rPr>
          <w:rStyle w:val="kleinschrift"/>
        </w:rPr>
        <w:t>1</w:t>
      </w:r>
      <w:r>
        <w:t xml:space="preserve">Die Beschäftigten haben ein Recht auf Einsicht in ihre vollständigen Personalakten. </w:t>
      </w:r>
      <w:r>
        <w:rPr>
          <w:rStyle w:val="kleinschrift"/>
        </w:rPr>
        <w:t>2</w:t>
      </w:r>
      <w:r>
        <w:t xml:space="preserve">Sie können das Recht auf Einsicht auch durch eine/n hierzu schriftlich Bevollmächtigte/n ausüben lassen. </w:t>
      </w:r>
      <w:r>
        <w:rPr>
          <w:rStyle w:val="kleinschrift"/>
        </w:rPr>
        <w:t>3</w:t>
      </w:r>
      <w:r>
        <w:t>Sie können Auszüge oder Kopien aus ihren Personalakten erhalten.</w:t>
      </w:r>
    </w:p>
    <w:p w:rsidR="00BE1EFE" w:rsidRDefault="00BE1EFE">
      <w:pPr>
        <w:pStyle w:val="StandardWeb"/>
      </w:pPr>
      <w:r>
        <w:rPr>
          <w:sz w:val="12"/>
          <w:szCs w:val="12"/>
        </w:rPr>
        <w:t>Protokollnotiz zu Absatz 5:</w:t>
      </w:r>
    </w:p>
    <w:p w:rsidR="00BE1EFE" w:rsidRDefault="00BE1EFE">
      <w:pPr>
        <w:pStyle w:val="StandardWeb"/>
        <w:rPr>
          <w:sz w:val="12"/>
          <w:szCs w:val="12"/>
        </w:rPr>
      </w:pPr>
      <w:r>
        <w:rPr>
          <w:sz w:val="12"/>
          <w:szCs w:val="12"/>
        </w:rPr>
        <w:t>1. Der Arbeitgeber kann eine Bevollmächtigte/einen Bevollmächtigten zurückweisen, wenn es aus dienstlichen oder betrieblichen Gründen geboten ist.</w:t>
      </w:r>
    </w:p>
    <w:p w:rsidR="00BE1EFE" w:rsidRDefault="00BE1EFE">
      <w:pPr>
        <w:pStyle w:val="StandardWeb"/>
      </w:pPr>
      <w:r>
        <w:rPr>
          <w:sz w:val="12"/>
          <w:szCs w:val="12"/>
        </w:rPr>
        <w:t>2. Beschäftigte müssen zu Beschwerden und Behauptungen tatsächlicher Art, die für sie ungünstig sind oder ihnen nachteilig werden können, vor Aufnahme in die Personalakten gehört werden. Ihre Äußerung ist zu den Personalakten zu nehmen.</w:t>
      </w:r>
    </w:p>
    <w:p w:rsidR="00BE1EFE" w:rsidRDefault="00BE1EFE">
      <w:pPr>
        <w:pStyle w:val="StandardWeb"/>
      </w:pPr>
    </w:p>
    <w:p w:rsidR="00BE1EFE" w:rsidRDefault="00BE1EFE">
      <w:pPr>
        <w:pStyle w:val="StandardWeb"/>
        <w:rPr>
          <w:vertAlign w:val="superscript"/>
        </w:rPr>
      </w:pPr>
      <w:r>
        <w:t>(6) Die Grundordnung des kirchlichen Dienstes im Rahmen kirchlicher Arbeitsverhältnisse in der jeweiligen Fassung ist Bestandteil der Arbeitsverträge der Beschäftigten im Dienst der Katholischen Kirche in den bayerischen Diözesen.</w:t>
      </w:r>
      <w:r>
        <w:rPr>
          <w:rStyle w:val="kleinschrift"/>
          <w:vertAlign w:val="superscript"/>
        </w:rPr>
        <w:t>1</w:t>
      </w:r>
    </w:p>
    <w:p w:rsidR="00BE1EFE" w:rsidRDefault="00BE1EFE">
      <w:pPr>
        <w:pStyle w:val="StandardWeb"/>
      </w:pPr>
      <w:r>
        <w:rPr>
          <w:sz w:val="12"/>
          <w:szCs w:val="12"/>
          <w:vertAlign w:val="superscript"/>
        </w:rPr>
        <w:t>1</w:t>
      </w:r>
      <w:r>
        <w:rPr>
          <w:sz w:val="12"/>
          <w:szCs w:val="12"/>
        </w:rPr>
        <w:t xml:space="preserve">Vgl. hierzu den Beschluss der Zentral-KODA vom 6.11.2008, abgedruckt in </w:t>
      </w:r>
      <w:hyperlink r:id="rId16" w:history="1">
        <w:r w:rsidRPr="00152987">
          <w:rPr>
            <w:rStyle w:val="Hyperlink"/>
            <w:sz w:val="12"/>
            <w:szCs w:val="12"/>
          </w:rPr>
          <w:t>Anhang I</w:t>
        </w:r>
      </w:hyperlink>
      <w:r>
        <w:rPr>
          <w:sz w:val="12"/>
          <w:szCs w:val="12"/>
        </w:rPr>
        <w:t>.</w:t>
      </w:r>
    </w:p>
    <w:p w:rsidR="00BE1EFE" w:rsidRDefault="00BE1EFE">
      <w:pPr>
        <w:pStyle w:val="StandardWeb"/>
      </w:pPr>
    </w:p>
    <w:p w:rsidR="00BE1EFE" w:rsidRDefault="00BE1EFE">
      <w:pPr>
        <w:pStyle w:val="StandardWeb"/>
      </w:pPr>
      <w:r>
        <w:t>(7) </w:t>
      </w:r>
      <w:r>
        <w:rPr>
          <w:rStyle w:val="kleinschrift"/>
        </w:rPr>
        <w:t>1</w:t>
      </w:r>
      <w:r>
        <w:t xml:space="preserve">Zur Schlichtung von Streitigkeiten aus dem kirchlichen Arbeitsverhältnis ist die Schlichtungsstelle anzurufen. </w:t>
      </w:r>
      <w:r>
        <w:rPr>
          <w:rStyle w:val="kleinschrift"/>
        </w:rPr>
        <w:t>2</w:t>
      </w:r>
      <w:r>
        <w:t xml:space="preserve">Das Verfahren richtet sich nach der „Ordnung für Schlichtungsverfahren zur Beilegung von Streitigkeiten zwischen Dienstgebern und Mitarbeitern aus dem Arbeitsverhältnis in den bayerischen (Erz-)Diözesen“. </w:t>
      </w:r>
      <w:r>
        <w:rPr>
          <w:rStyle w:val="kleinschrift"/>
        </w:rPr>
        <w:t>3</w:t>
      </w:r>
      <w:r>
        <w:t xml:space="preserve">Das Recht der/des Beschäftigten, das staatliche Arbeitsgericht fristgerecht anzurufen, bleibt davon unberührt. </w:t>
      </w:r>
      <w:r>
        <w:rPr>
          <w:rStyle w:val="kleinschrift"/>
        </w:rPr>
        <w:t>4</w:t>
      </w:r>
      <w:r>
        <w:t>Auf die Anrufung der Schlichtungsstelle können Arbeitgeber und Beschäftigte/r im Einzelfall einvernehmlich verzichten.</w:t>
      </w:r>
    </w:p>
    <w:p w:rsidR="00BE1EFE" w:rsidRDefault="00BE1EFE">
      <w:pPr>
        <w:pStyle w:val="StandardWeb"/>
      </w:pPr>
    </w:p>
    <w:p w:rsidR="00BE1EFE" w:rsidRDefault="00BE1EFE">
      <w:pPr>
        <w:pStyle w:val="StandardWeb"/>
      </w:pPr>
      <w:r>
        <w:t>(8a) Die Beschäftigten haben einen vorsätzlich oder grob fahrlässig verursachten Schaden im Rahmen des allgemeinen Haftungsrechts dem Arbeitgeber zu ersetzen.</w:t>
      </w:r>
    </w:p>
    <w:p w:rsidR="00BE1EFE" w:rsidRDefault="00BE1EFE">
      <w:pPr>
        <w:pStyle w:val="StandardWeb"/>
      </w:pPr>
    </w:p>
    <w:p w:rsidR="00BE1EFE" w:rsidRDefault="00BE1EFE">
      <w:pPr>
        <w:pStyle w:val="StandardWeb"/>
      </w:pPr>
      <w:r>
        <w:t>(8b) Fügen die Beschäftigten in Ausübung ihres Dienstes weder vorsätzlich noch grob fahrlässig einem Dritten Schaden zu, tritt der Arbeitgeber für den verursachten Schaden ein, soweit es sich nicht um KFZ-Schäden handelt.</w:t>
      </w:r>
    </w:p>
    <w:p w:rsidR="00BE1EFE" w:rsidRDefault="00BE1EFE">
      <w:pPr>
        <w:pStyle w:val="StandardWeb"/>
      </w:pPr>
    </w:p>
    <w:p w:rsidR="00BE1EFE" w:rsidRDefault="00BE1EFE">
      <w:pPr>
        <w:pStyle w:val="StandardWeb"/>
      </w:pPr>
      <w:r>
        <w:t>(8c) Verursachen die Beschäftigten während einer Dienstfahrt weder vorsätzlich noch grob fahrlässig einen Schaden, ersetzt der Arbeitgeber den am KFZ der Beschäftigten entstandenen Schaden. Haben die Beschäftigten für ihr KFZ eine Fahrzeugteilversicherung abgeschlossen, erstattet der Arbeitgeber bei Teilkaskoschäden nur den Selbstbeteiligungs</w:t>
      </w:r>
      <w:r>
        <w:softHyphen/>
        <w:t>anteil, den die Beschäftigten zu tragen haben.</w:t>
      </w:r>
    </w:p>
    <w:p w:rsidR="00BE1EFE" w:rsidRDefault="00BE1EFE">
      <w:pPr>
        <w:pStyle w:val="StandardWeb"/>
      </w:pPr>
    </w:p>
    <w:p w:rsidR="00BE1EFE" w:rsidRDefault="00BE1EFE">
      <w:pPr>
        <w:pStyle w:val="StandardWeb"/>
      </w:pPr>
      <w:r>
        <w:t>(9) </w:t>
      </w:r>
      <w:r>
        <w:rPr>
          <w:rStyle w:val="kleinschrift"/>
        </w:rPr>
        <w:t>1</w:t>
      </w:r>
      <w:r>
        <w:t xml:space="preserve">In Einrichtungen der Kinder- und Jugendhilfe sowie in Einrichtungen und sonstigen Tätigkeitsbereichen, die die Beaufsichtigung, Betreuung, Erziehung oder Ausbildung Minderjähriger enthalten oder die in vergleichbarer Weise  geeignet sind, Kontakt zu Minderjährigen aufzunehmen, ist der Arbeitgeber berechtigt, von den Beschäftigten regelmäßig die Vorlage eines aktuellen erweiterten Führungszeugnisses gemäß den jeweiligen Bestimmungen des Bundeszentralregistergesetzes (BZRG) zu verlangen. </w:t>
      </w:r>
      <w:r>
        <w:rPr>
          <w:rStyle w:val="kleinschrift"/>
        </w:rPr>
        <w:t>2</w:t>
      </w:r>
      <w:r>
        <w:t xml:space="preserve">Die hierbei anfallenden Kosten trägt der Arbeitgeber. </w:t>
      </w:r>
      <w:r>
        <w:rPr>
          <w:rStyle w:val="kleinschrift"/>
        </w:rPr>
        <w:t>3</w:t>
      </w:r>
      <w:r>
        <w:t xml:space="preserve">Enthält das Führungszeugnis Eintragungen, die nicht dem Zweck der Prävention von sexualisierter Gewalt an Minderjährigen dienen, unterliegen diese Informationen einem Verwertungsverbot. </w:t>
      </w:r>
      <w:r>
        <w:rPr>
          <w:rStyle w:val="kleinschrift"/>
        </w:rPr>
        <w:t>4</w:t>
      </w:r>
      <w:r>
        <w:t xml:space="preserve">Darüberhinaus ist der Arbeitgeber berechtigt, von diesen Beschäftigten die Vorlage einer Selbstverpflichtungserklärung gemäß </w:t>
      </w:r>
      <w:hyperlink r:id="rId17" w:history="1">
        <w:r w:rsidRPr="002D1F1D">
          <w:rPr>
            <w:rStyle w:val="Hyperlink"/>
          </w:rPr>
          <w:t xml:space="preserve">Anlage </w:t>
        </w:r>
        <w:r w:rsidR="00C23DFA">
          <w:rPr>
            <w:rStyle w:val="Hyperlink"/>
          </w:rPr>
          <w:t>H</w:t>
        </w:r>
      </w:hyperlink>
      <w:r>
        <w:t xml:space="preserve"> zu verlangen. </w:t>
      </w:r>
      <w:r>
        <w:rPr>
          <w:rStyle w:val="kleinschrift"/>
        </w:rPr>
        <w:t>5</w:t>
      </w:r>
      <w:r>
        <w:t>Näheres kann in einer Dienstvereinbarung geregelt werden.</w:t>
      </w:r>
    </w:p>
    <w:p w:rsidR="00BE1EFE" w:rsidRDefault="00BE1EFE">
      <w:pPr>
        <w:pStyle w:val="berschrift6"/>
      </w:pPr>
      <w:bookmarkStart w:id="9" w:name="_Toc523925680"/>
      <w:r>
        <w:t>§ 4 Versetzung, Abordnung, Zuweisung, Personalgestellung</w:t>
      </w:r>
      <w:bookmarkEnd w:id="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können aus dienstlichen oder betrieblichen Gründen versetzt oder abgeordnet werden. </w:t>
      </w:r>
      <w:r>
        <w:rPr>
          <w:rStyle w:val="kleinschrift"/>
        </w:rPr>
        <w:t>2</w:t>
      </w:r>
      <w:r>
        <w:t>Sollen Beschäftigte an eine Dienststelle oder eine Einrichtung außerhalb des bisherigen Arbeitsortes versetzt oder voraussichtlich länger als drei Monate abgeordnet werden, so sind sie vorher zu hören.</w:t>
      </w:r>
    </w:p>
    <w:p w:rsidR="00BE1EFE" w:rsidRDefault="00BE1EFE">
      <w:pPr>
        <w:pStyle w:val="StandardWeb"/>
      </w:pPr>
      <w:r>
        <w:rPr>
          <w:sz w:val="12"/>
          <w:szCs w:val="12"/>
        </w:rPr>
        <w:t>Anmerkung zu Absatz 1:</w:t>
      </w:r>
    </w:p>
    <w:p w:rsidR="00BE1EFE" w:rsidRDefault="00BE1EFE">
      <w:pPr>
        <w:pStyle w:val="StandardWeb"/>
      </w:pPr>
      <w:r>
        <w:rPr>
          <w:sz w:val="12"/>
          <w:szCs w:val="12"/>
        </w:rPr>
        <w:lastRenderedPageBreak/>
        <w:t>1. Abordnung ist die Zuweisung einer vorübergehenden Beschäftigung bei einer anderen Dienststelle oder einer anderen Einrichtung desselben oder eines anderen Arbeitgebers unter Fortsetzung des bestehenden Arbeitsverhältnisses.</w:t>
      </w:r>
    </w:p>
    <w:p w:rsidR="00BE1EFE" w:rsidRPr="000B1AF8" w:rsidRDefault="00BE1EFE">
      <w:pPr>
        <w:pStyle w:val="StandardWeb"/>
      </w:pPr>
      <w:r>
        <w:rPr>
          <w:sz w:val="12"/>
          <w:szCs w:val="12"/>
        </w:rPr>
        <w:t>2. Versetzung ist die Zuweisung einer auf Dauer bestimmten Beschäftigung bei einer anderen Dienststelle oder einer anderen Einrichtung desselben Arbeitgebers unter Fortsetzung des bestehenden Arbeitsverhältnisses.</w:t>
      </w:r>
    </w:p>
    <w:p w:rsidR="00BE1EFE" w:rsidRPr="000B1AF8" w:rsidRDefault="00BE1EFE">
      <w:pPr>
        <w:pStyle w:val="StandardWeb"/>
      </w:pPr>
    </w:p>
    <w:p w:rsidR="00BE1EFE" w:rsidRDefault="00BE1EFE">
      <w:pPr>
        <w:pStyle w:val="StandardWeb"/>
      </w:pPr>
      <w:r>
        <w:t>(2) </w:t>
      </w:r>
      <w:r>
        <w:rPr>
          <w:rStyle w:val="kleinschrift"/>
        </w:rPr>
        <w:t>1</w:t>
      </w:r>
      <w:r>
        <w:t xml:space="preserve">Beschäftigten kann im dienstlichen/betrieblichen oder kirchlichen Interesse mit ihrer Zustimmung vorübergehend eine mindestens gleich vergütete Tätigkeit bei einem Dritten zugewiesen werden. </w:t>
      </w:r>
      <w:r>
        <w:rPr>
          <w:rStyle w:val="kleinschrift"/>
        </w:rPr>
        <w:t>2</w:t>
      </w:r>
      <w:r>
        <w:t xml:space="preserve">Die Zustimmung kann nur aus wichtigem Grund verweigert werden. </w:t>
      </w:r>
      <w:r>
        <w:rPr>
          <w:rStyle w:val="kleinschrift"/>
        </w:rPr>
        <w:t>3</w:t>
      </w:r>
      <w:r>
        <w:t xml:space="preserve">Die Rechtsstellung der Beschäftigten bleibt unberührt. </w:t>
      </w:r>
      <w:r>
        <w:rPr>
          <w:rStyle w:val="kleinschrift"/>
        </w:rPr>
        <w:t>4</w:t>
      </w:r>
      <w:r>
        <w:t>Bezüge aus der Verwendung nach Satz 1 werden auf das Entgelt angerechnet.</w:t>
      </w:r>
    </w:p>
    <w:p w:rsidR="00BE1EFE" w:rsidRDefault="00BE1EFE">
      <w:pPr>
        <w:pStyle w:val="StandardWeb"/>
      </w:pPr>
      <w:r>
        <w:rPr>
          <w:sz w:val="12"/>
          <w:szCs w:val="12"/>
        </w:rPr>
        <w:t>Anmerkung zu Absatz 2:</w:t>
      </w:r>
    </w:p>
    <w:p w:rsidR="00BE1EFE" w:rsidRDefault="00BE1EFE">
      <w:pPr>
        <w:pStyle w:val="StandardWeb"/>
      </w:pPr>
      <w:r>
        <w:rPr>
          <w:sz w:val="12"/>
          <w:szCs w:val="12"/>
        </w:rPr>
        <w:t>Zuweisung ist – unter Fortsetzung des bestehenden Arbeitsverhältnisses – die vorübergehende Beschäftigung bei einem Dritten im In- und Ausland, bei dem der Allgemeine Teil nicht zur Anwendung kommt.</w:t>
      </w:r>
    </w:p>
    <w:p w:rsidR="00BE1EFE" w:rsidRDefault="00BE1EFE">
      <w:pPr>
        <w:pStyle w:val="StandardWeb"/>
      </w:pPr>
    </w:p>
    <w:p w:rsidR="00BE1EFE" w:rsidRDefault="00BE1EFE">
      <w:pPr>
        <w:pStyle w:val="StandardWeb"/>
      </w:pPr>
      <w:r>
        <w:t>(3) </w:t>
      </w:r>
      <w:r>
        <w:rPr>
          <w:rStyle w:val="kleinschrift"/>
        </w:rPr>
        <w:t>1</w:t>
      </w:r>
      <w:r>
        <w:t xml:space="preserve">Werden Aufgaben der Beschäftigten zu einem Dritten verlagert, ist auf Verlangen des Arbeitgebers bei weiter bestehendem Arbeitsverhältnis die arbeitsvertraglich geschuldete Arbeitsleistung bei dem Dritten zu erbringen (Personalgestellung). </w:t>
      </w:r>
      <w:r>
        <w:rPr>
          <w:rStyle w:val="kleinschrift"/>
        </w:rPr>
        <w:t>2</w:t>
      </w:r>
      <w:hyperlink r:id="rId18" w:tgtFrame="_blank" w:history="1">
        <w:r>
          <w:rPr>
            <w:rStyle w:val="Hyperlink"/>
          </w:rPr>
          <w:t>§ 613a BGB</w:t>
        </w:r>
      </w:hyperlink>
      <w:r>
        <w:t xml:space="preserve"> sowie gesetzliche Kündigungsrechte bleiben unberührt.</w:t>
      </w:r>
    </w:p>
    <w:p w:rsidR="00BE1EFE" w:rsidRDefault="00BE1EFE">
      <w:pPr>
        <w:pStyle w:val="StandardWeb"/>
      </w:pPr>
      <w:r>
        <w:rPr>
          <w:sz w:val="12"/>
          <w:szCs w:val="12"/>
        </w:rPr>
        <w:t>Anmerkung zu Absatz 3:</w:t>
      </w:r>
    </w:p>
    <w:p w:rsidR="00BE1EFE" w:rsidRDefault="00BE1EFE">
      <w:pPr>
        <w:pStyle w:val="StandardWeb"/>
        <w:rPr>
          <w:sz w:val="12"/>
          <w:szCs w:val="12"/>
        </w:rPr>
      </w:pPr>
      <w:r>
        <w:rPr>
          <w:sz w:val="12"/>
          <w:szCs w:val="12"/>
        </w:rPr>
        <w:t xml:space="preserve">1Personalgestellung ist – unter Fortsetzung des bestehenden Arbeitsverhältnisses – die auf Dauer angelegte Beschäftigung bei einem Dritten. 2Die Modalitäten der Personalgestellung werden zwischen dem Arbeitgeber und dem Dritten vertraglich geregelt. </w:t>
      </w:r>
    </w:p>
    <w:p w:rsidR="00BE1EFE" w:rsidRDefault="00BE1EFE">
      <w:pPr>
        <w:pStyle w:val="StandardWeb"/>
        <w:rPr>
          <w:sz w:val="12"/>
          <w:szCs w:val="12"/>
        </w:rPr>
      </w:pPr>
    </w:p>
    <w:p w:rsidR="00BE1EFE" w:rsidRDefault="00BE1EFE">
      <w:pPr>
        <w:pStyle w:val="StandardWeb"/>
      </w:pPr>
      <w:r>
        <w:t>(4) </w:t>
      </w:r>
      <w:r w:rsidRPr="0039522E">
        <w:t>Die von § 1 Absatz 1</w:t>
      </w:r>
      <w:r>
        <w:t>b</w:t>
      </w:r>
      <w:r w:rsidRPr="0039522E">
        <w:t xml:space="preserve"> Satz 1 des Arbeitnehmerüberlassungsgesetzes (AÜG) abweichende Überlassun</w:t>
      </w:r>
      <w:r>
        <w:t>gshöchstdauer beträgt 25 Jahre.</w:t>
      </w:r>
    </w:p>
    <w:p w:rsidR="00BE1EFE" w:rsidRDefault="00BE1EFE">
      <w:pPr>
        <w:pStyle w:val="berschrift6"/>
      </w:pPr>
      <w:bookmarkStart w:id="10" w:name="_Toc523925681"/>
      <w:r>
        <w:t>§ 5 Qualifizierung</w:t>
      </w:r>
      <w:bookmarkEnd w:id="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Ein hohes Qualifikationsniveau und lebenslanges Lernen liegen im gemeinsamen Interesse von Beschäftigten und Arbeitgebern. </w:t>
      </w:r>
      <w:r>
        <w:rPr>
          <w:rStyle w:val="kleinschrift"/>
        </w:rPr>
        <w:t>2</w:t>
      </w:r>
      <w:r>
        <w:t xml:space="preserve">Qualifizierung dient der Steigerung von Effektivität und Effizienz des kirchlichen Dienstes, der Nachwuchsförderung und der Steigerung von beschäftigungsbezogenen Kompetenzen. </w:t>
      </w:r>
      <w:r>
        <w:rPr>
          <w:rStyle w:val="kleinschrift"/>
        </w:rPr>
        <w:t>3</w:t>
      </w:r>
      <w:r>
        <w:t>Qualifizierung wird auch als Teil der Personalentwicklung verstanden.</w:t>
      </w:r>
    </w:p>
    <w:p w:rsidR="00BE1EFE" w:rsidRPr="000B1AF8" w:rsidRDefault="00BE1EFE">
      <w:pPr>
        <w:pStyle w:val="StandardWeb"/>
      </w:pPr>
    </w:p>
    <w:p w:rsidR="00BE1EFE" w:rsidRDefault="00BE1EFE">
      <w:pPr>
        <w:pStyle w:val="StandardWeb"/>
      </w:pPr>
      <w:r>
        <w:t>(2) </w:t>
      </w:r>
      <w:r>
        <w:rPr>
          <w:rStyle w:val="kleinschrift"/>
        </w:rPr>
        <w:t>1</w:t>
      </w:r>
      <w:r>
        <w:t xml:space="preserve">Vor diesem Hintergrund stellt Qualifizierung ein Angebot dar, aus dem für die Beschäftigten kein individueller Anspruch außer nach Absatz 4 abgeleitet, aber das durch Dienstvereinbarung wahrgenommen und näher ausgestaltet werden kann. </w:t>
      </w:r>
      <w:r>
        <w:rPr>
          <w:rStyle w:val="kleinschrift"/>
        </w:rPr>
        <w:t>2</w:t>
      </w:r>
      <w:r>
        <w:t>Weitergehende Mitbestimmungsrechte werden dadurch nicht berührt.</w:t>
      </w:r>
    </w:p>
    <w:p w:rsidR="00BE1EFE" w:rsidRDefault="00BE1EFE">
      <w:pPr>
        <w:pStyle w:val="StandardWeb"/>
      </w:pPr>
    </w:p>
    <w:p w:rsidR="00BE1EFE" w:rsidRDefault="00BE1EFE">
      <w:pPr>
        <w:pStyle w:val="StandardWeb"/>
      </w:pPr>
      <w:r>
        <w:t xml:space="preserve">(3) </w:t>
      </w:r>
      <w:r>
        <w:rPr>
          <w:rStyle w:val="kleinschrift"/>
        </w:rPr>
        <w:t>1</w:t>
      </w:r>
      <w:r>
        <w:t>Qualifizierungsmaßnahmen sind</w:t>
      </w:r>
    </w:p>
    <w:p w:rsidR="00BE1EFE" w:rsidRDefault="00BE1EFE">
      <w:pPr>
        <w:pStyle w:val="StandardWeb"/>
      </w:pPr>
      <w:r>
        <w:t>a) die Fortentwicklung der fachlichen, methodischen und sozialen Kompetenzen für die übertragenen Tätigkeiten (Erhaltungsqualifizierung),</w:t>
      </w:r>
    </w:p>
    <w:p w:rsidR="00BE1EFE" w:rsidRDefault="00BE1EFE">
      <w:pPr>
        <w:pStyle w:val="StandardWeb"/>
      </w:pPr>
      <w:r>
        <w:t>b) der Erwerb zusätzlicher Qualifikationen (Fort- und Weiterbildung),</w:t>
      </w:r>
    </w:p>
    <w:p w:rsidR="00BE1EFE" w:rsidRDefault="00BE1EFE">
      <w:pPr>
        <w:pStyle w:val="StandardWeb"/>
      </w:pPr>
      <w:r>
        <w:t>c) die Qualifizierung zur Arbeitsplatzsicherung (Qualifizierung für eine andere Tätigkeit; Umschulung),</w:t>
      </w:r>
    </w:p>
    <w:p w:rsidR="00BE1EFE" w:rsidRDefault="00BE1EFE">
      <w:pPr>
        <w:pStyle w:val="StandardWeb"/>
      </w:pPr>
      <w:r>
        <w:t>d) die Einarbeitung bei oder nach längerer Abwesenheit (Wiedereinstiegsqualifizierung) und</w:t>
      </w:r>
    </w:p>
    <w:p w:rsidR="00BE1EFE" w:rsidRDefault="00BE1EFE">
      <w:pPr>
        <w:pStyle w:val="StandardWeb"/>
      </w:pPr>
      <w:r>
        <w:t>e) die Reflexion der ethischen und religiösen Aspekte des kirchlichen Dienstes (religiöse Qualifizierung).</w:t>
      </w:r>
    </w:p>
    <w:p w:rsidR="00BE1EFE" w:rsidRDefault="00BE1EFE">
      <w:pPr>
        <w:pStyle w:val="StandardWeb"/>
      </w:pPr>
      <w:r>
        <w:rPr>
          <w:rStyle w:val="kleinschrift"/>
        </w:rPr>
        <w:t>2</w:t>
      </w:r>
      <w:r>
        <w:t>Die Teilnahme an einer Qualifizierungsmaßnahme wird dokumentiert und den Beschäftigten schriftlich bestätigt.</w:t>
      </w:r>
    </w:p>
    <w:p w:rsidR="00BE1EFE" w:rsidRDefault="00BE1EFE">
      <w:pPr>
        <w:pStyle w:val="StandardWeb"/>
      </w:pPr>
    </w:p>
    <w:p w:rsidR="00BE1EFE" w:rsidRDefault="00BE1EFE">
      <w:pPr>
        <w:pStyle w:val="StandardWeb"/>
      </w:pPr>
      <w:r>
        <w:t>(4) </w:t>
      </w:r>
      <w:r>
        <w:rPr>
          <w:rStyle w:val="kleinschrift"/>
        </w:rPr>
        <w:t>1</w:t>
      </w:r>
      <w:r>
        <w:t xml:space="preserve">Beschäftigte haben - auch in den Fällen des Absatzes 3 Satz 1 Buchst. d – Anspruch auf ein regelmäßiges Gespräch mit der jeweiligen Führungskraft, in dem festgestellt wird, ob und welcher Qualifizierungsbedarf besteht. </w:t>
      </w:r>
      <w:r>
        <w:rPr>
          <w:rStyle w:val="kleinschrift"/>
        </w:rPr>
        <w:t>2</w:t>
      </w:r>
      <w:r>
        <w:t xml:space="preserve">Dieses Gespräch kann auch als Gruppengespräch geführt werden. </w:t>
      </w:r>
      <w:r>
        <w:rPr>
          <w:rStyle w:val="kleinschrift"/>
        </w:rPr>
        <w:t>3</w:t>
      </w:r>
      <w:r>
        <w:t>Wird nichts anderes geregelt, ist das Gespräch jährlich zu führen.</w:t>
      </w:r>
    </w:p>
    <w:p w:rsidR="00BE1EFE" w:rsidRDefault="00BE1EFE">
      <w:pPr>
        <w:pStyle w:val="StandardWeb"/>
      </w:pPr>
    </w:p>
    <w:p w:rsidR="00BE1EFE" w:rsidRDefault="00BE1EFE">
      <w:pPr>
        <w:pStyle w:val="StandardWeb"/>
      </w:pPr>
      <w:r>
        <w:lastRenderedPageBreak/>
        <w:t>(5) </w:t>
      </w:r>
      <w:r>
        <w:rPr>
          <w:rStyle w:val="kleinschrift"/>
        </w:rPr>
        <w:t>1</w:t>
      </w:r>
      <w:r>
        <w:t>Die Kosten einer vom Arbeitgeber veranlassten Qualifizierungsmaßnahme – einschließ</w:t>
      </w:r>
      <w:r>
        <w:softHyphen/>
        <w:t xml:space="preserve">lich Reisekosten - werden, soweit sie nicht von Dritten übernommen werden, grundsätzlich vom Arbeitgeber getragen. </w:t>
      </w:r>
      <w:r>
        <w:rPr>
          <w:rStyle w:val="kleinschrift"/>
        </w:rPr>
        <w:t>2</w:t>
      </w:r>
      <w:r>
        <w:t>Ein möglicher Eigenbeitrag wird durch eine Qualifizierungs</w:t>
      </w:r>
      <w:r>
        <w:softHyphen/>
        <w:t xml:space="preserve">vereinbarung geregelt. </w:t>
      </w:r>
      <w:r>
        <w:rPr>
          <w:rStyle w:val="kleinschrift"/>
        </w:rPr>
        <w:t>3</w:t>
      </w:r>
      <w:r>
        <w:t>Arbeitgeber und Mitarbeitervertretungen sind gehalten, die Grund</w:t>
      </w:r>
      <w:r>
        <w:softHyphen/>
        <w:t xml:space="preserve">sätze einer fairen Kostenverteilung unter Berücksichtigung des betrieblichen und individuellen Nutzens zu regeln. </w:t>
      </w:r>
      <w:r>
        <w:rPr>
          <w:rStyle w:val="kleinschrift"/>
        </w:rPr>
        <w:t>4</w:t>
      </w:r>
      <w:r>
        <w:t>Ein Eigenbeitrag der Beschäftigten kann in Geld und/oder Zeit erfolgen.</w:t>
      </w:r>
    </w:p>
    <w:p w:rsidR="00BE1EFE" w:rsidRDefault="00BE1EFE">
      <w:pPr>
        <w:pStyle w:val="StandardWeb"/>
      </w:pPr>
      <w:r>
        <w:rPr>
          <w:sz w:val="12"/>
          <w:szCs w:val="12"/>
        </w:rPr>
        <w:t>Protokollnotiz zu Absatz 5 Satz 1:</w:t>
      </w:r>
    </w:p>
    <w:p w:rsidR="00BE1EFE" w:rsidRDefault="00BE1EFE">
      <w:pPr>
        <w:pStyle w:val="StandardWeb"/>
      </w:pPr>
      <w:r>
        <w:rPr>
          <w:sz w:val="12"/>
          <w:szCs w:val="12"/>
        </w:rPr>
        <w:t>Es findet die Reisekostenordnung der bayerischen Diözesen Anwendung.</w:t>
      </w:r>
    </w:p>
    <w:p w:rsidR="00BE1EFE" w:rsidRDefault="00BE1EFE">
      <w:pPr>
        <w:pStyle w:val="StandardWeb"/>
      </w:pPr>
    </w:p>
    <w:p w:rsidR="00BE1EFE" w:rsidRDefault="00BE1EFE">
      <w:pPr>
        <w:pStyle w:val="StandardWeb"/>
      </w:pPr>
      <w:r>
        <w:t>(6) Zeiten von vereinbarten Qualifizierungsmaßnahmen gelten als Arbeitszeit.</w:t>
      </w:r>
    </w:p>
    <w:p w:rsidR="00BE1EFE" w:rsidRDefault="00BE1EFE">
      <w:pPr>
        <w:pStyle w:val="StandardWeb"/>
      </w:pPr>
    </w:p>
    <w:p w:rsidR="00BE1EFE" w:rsidRDefault="00BE1EFE">
      <w:pPr>
        <w:pStyle w:val="StandardWeb"/>
      </w:pPr>
      <w:r>
        <w:t>(7) Gesetzliche Förderungsmöglichkeiten können in die Qualifizierungsplanung einbezogen werden.</w:t>
      </w:r>
    </w:p>
    <w:p w:rsidR="00BE1EFE" w:rsidRDefault="00BE1EFE">
      <w:pPr>
        <w:pStyle w:val="StandardWeb"/>
      </w:pPr>
    </w:p>
    <w:p w:rsidR="00BE1EFE" w:rsidRDefault="00BE1EFE">
      <w:pPr>
        <w:pStyle w:val="StandardWeb"/>
      </w:pPr>
      <w:r>
        <w:t>(8) Für Beschäftigte mit individuellen Arbeitszeiten sollen Qualifizierungsmaßnahmen so angeboten werden, dass ihnen eine gleichberechtigte Teilnahme ermöglicht wird.</w:t>
      </w:r>
    </w:p>
    <w:p w:rsidR="00BE1EFE" w:rsidRDefault="00BE1EFE">
      <w:pPr>
        <w:pStyle w:val="berschrift6"/>
      </w:pPr>
      <w:bookmarkStart w:id="11" w:name="_Toc523925682"/>
      <w:r>
        <w:t>§ 5a Freiwillige Qualifizierungsmaßnahmen</w:t>
      </w:r>
      <w:bookmarkEnd w:id="11"/>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Unterzieht sich eine Beschäftigte/ein Beschäftigter einer in </w:t>
      </w:r>
      <w:hyperlink r:id="rId19" w:history="1">
        <w:r w:rsidRPr="002D1F1D">
          <w:rPr>
            <w:rStyle w:val="Hyperlink"/>
          </w:rPr>
          <w:t>§ 5</w:t>
        </w:r>
      </w:hyperlink>
      <w:r>
        <w:t xml:space="preserve"> Absatz 3 Buchstabe a) bis c) und e) genannten Qualifizierungsmaßnahme, die der Arbeitgeber als freiwillige Qualifi</w:t>
      </w:r>
      <w:r>
        <w:softHyphen/>
        <w:t xml:space="preserve">zierungsmaßnahme anerkannt hat, hat sie/er zu diesem Zwecke jährlich Anspruch auf Arbeitsbefreiung für drei Arbeitstage unter Fortzahlung des Entgelts. </w:t>
      </w:r>
      <w:r>
        <w:rPr>
          <w:rStyle w:val="kleinschrift"/>
        </w:rPr>
        <w:t>2</w:t>
      </w:r>
      <w:r>
        <w:t>Teilzeitbeschäftigte haben Anspruch auf anteilige Arbeitsbefreiung.</w:t>
      </w:r>
    </w:p>
    <w:p w:rsidR="00BE1EFE" w:rsidRDefault="00BE1EFE">
      <w:pPr>
        <w:pStyle w:val="StandardWeb"/>
      </w:pPr>
      <w:r>
        <w:rPr>
          <w:sz w:val="12"/>
          <w:szCs w:val="12"/>
        </w:rPr>
        <w:t>Protokollnotiz zu § 5a Absatz 1:</w:t>
      </w:r>
    </w:p>
    <w:p w:rsidR="00BE1EFE" w:rsidRDefault="00BE1EFE">
      <w:pPr>
        <w:pStyle w:val="StandardWeb"/>
      </w:pPr>
      <w:r>
        <w:rPr>
          <w:sz w:val="12"/>
          <w:szCs w:val="12"/>
        </w:rPr>
        <w:t xml:space="preserve">1Der Anspruch auf Arbeitsbefreiung unter Fortzahlung des Entgelts richtet sich nach der Anzahl der Arbeitstage pro Woche. 2Beschäftigte haben bei </w:t>
      </w:r>
    </w:p>
    <w:p w:rsidR="00BE1EFE" w:rsidRDefault="00BE1EFE">
      <w:pPr>
        <w:pStyle w:val="StandardWeb"/>
      </w:pPr>
      <w:r>
        <w:rPr>
          <w:sz w:val="12"/>
          <w:szCs w:val="12"/>
        </w:rPr>
        <w:t>– einer Ein- oder Zwei-Tage-Woche Anspruch auf Arbeitsbefreiung für einen Arbeitstag,</w:t>
      </w:r>
    </w:p>
    <w:p w:rsidR="00BE1EFE" w:rsidRDefault="00BE1EFE">
      <w:pPr>
        <w:pStyle w:val="StandardWeb"/>
        <w:rPr>
          <w:sz w:val="12"/>
          <w:szCs w:val="12"/>
        </w:rPr>
      </w:pPr>
      <w:r>
        <w:rPr>
          <w:sz w:val="12"/>
          <w:szCs w:val="12"/>
        </w:rPr>
        <w:t>– einer Drei- oder Vier-Tage-Woche Anspruch auf Arbeitsbefreiung für zwei Arbeitstage,</w:t>
      </w:r>
    </w:p>
    <w:p w:rsidR="00BE1EFE" w:rsidRPr="000B1AF8" w:rsidRDefault="00BE1EFE">
      <w:pPr>
        <w:pStyle w:val="StandardWeb"/>
      </w:pPr>
      <w:r>
        <w:rPr>
          <w:sz w:val="12"/>
          <w:szCs w:val="12"/>
        </w:rPr>
        <w:t xml:space="preserve">– einer Fünf- oder Sechs-Tage-Woche Anspruch auf Arbeitsbefreiung für drei Arbeitstage. </w:t>
      </w:r>
    </w:p>
    <w:p w:rsidR="00BE1EFE" w:rsidRDefault="00BE1EFE">
      <w:pPr>
        <w:pStyle w:val="StandardWeb"/>
      </w:pPr>
      <w:r>
        <w:t>(2) </w:t>
      </w:r>
      <w:r>
        <w:rPr>
          <w:rStyle w:val="kleinschrift"/>
        </w:rPr>
        <w:t>1</w:t>
      </w:r>
      <w:r>
        <w:t xml:space="preserve">Veranlasst der Arbeitgeber eine Qualifizierungsmaßnahme im Sinne des </w:t>
      </w:r>
      <w:hyperlink r:id="rId20" w:history="1">
        <w:r w:rsidRPr="002D1F1D">
          <w:rPr>
            <w:rStyle w:val="Hyperlink"/>
          </w:rPr>
          <w:t>§ 5</w:t>
        </w:r>
      </w:hyperlink>
      <w:r>
        <w:t xml:space="preserve"> Absatz 3, vermindert sich der Anspruch auf Arbeitsbefreiung nach Absatz 1 jeweils um die Arbeitstage, die die angeordnete Qualifizierungsmaßnahme dauert. </w:t>
      </w:r>
      <w:r>
        <w:rPr>
          <w:rStyle w:val="kleinschrift"/>
        </w:rPr>
        <w:t>2</w:t>
      </w:r>
      <w:r>
        <w:t>Eine Anrechnung nach Satz 1 erfolgt auch, wenn der Arbeitgeber aufgrund einer berufsspezifischen Regelung eine Fortbildung anordnet.</w:t>
      </w:r>
    </w:p>
    <w:p w:rsidR="00BE1EFE" w:rsidRDefault="00BE1EFE">
      <w:pPr>
        <w:pStyle w:val="StandardWeb"/>
      </w:pPr>
    </w:p>
    <w:p w:rsidR="00BE1EFE" w:rsidRDefault="00BE1EFE">
      <w:pPr>
        <w:pStyle w:val="StandardWeb"/>
      </w:pPr>
      <w:r>
        <w:t>(3) </w:t>
      </w:r>
      <w:r>
        <w:rPr>
          <w:rStyle w:val="kleinschrift"/>
        </w:rPr>
        <w:t>1</w:t>
      </w:r>
      <w:r>
        <w:t xml:space="preserve">Erkennt der Arbeitgeber auf Antrag der/des Beschäftigten darüber hinaus ein dienstliches Interesse an einer Qualifizierungsmaßnahme nach Absatz 1 an, dann erstattet er auf Antrag der/des Beschäftigten die Hälfte der anfallenden Kosten; der Hälfteanteil der Fahrtkosten zum Ort der Qualifizierungsmaßnahme ist nach den Bestimmungen der Reisekostenordnung zu errechnen. </w:t>
      </w:r>
      <w:r>
        <w:rPr>
          <w:rStyle w:val="kleinschrift"/>
        </w:rPr>
        <w:t>2</w:t>
      </w:r>
      <w:r>
        <w:t>Von der Regelung zur Erstattung der Fahrtkosten, die außerhalb der bayerischen Diözesen anfallen, kann einvernehmlich zwischen Arbeitgeber und der/dem Beschäftigten oder durch Dienstvereinbarung abgewichen werden.</w:t>
      </w:r>
    </w:p>
    <w:p w:rsidR="00BE1EFE" w:rsidRDefault="00BE1EFE" w:rsidP="00D0040A">
      <w:pPr>
        <w:pStyle w:val="berschrift5"/>
        <w:spacing w:before="0"/>
      </w:pPr>
      <w:r>
        <w:br w:type="page"/>
      </w:r>
      <w:bookmarkStart w:id="12" w:name="_Toc523925683"/>
      <w:r>
        <w:lastRenderedPageBreak/>
        <w:t>Abschnitt II: Arbeitszeit (§§ 6-11b)</w:t>
      </w:r>
      <w:bookmarkEnd w:id="12"/>
    </w:p>
    <w:p w:rsidR="00BE1EFE" w:rsidRPr="00B76821" w:rsidRDefault="00BE1EFE" w:rsidP="00B76821">
      <w:pPr>
        <w:pStyle w:val="berschrift6"/>
        <w:keepNext w:val="0"/>
        <w:spacing w:before="0" w:after="0"/>
        <w:rPr>
          <w:sz w:val="2"/>
        </w:rPr>
      </w:pPr>
    </w:p>
    <w:p w:rsidR="00BE1EFE" w:rsidRDefault="00BE1EFE">
      <w:pPr>
        <w:pStyle w:val="StandardWeb"/>
      </w:pPr>
      <w:r>
        <w:t>Anmerkung zu Abschnitt II:</w:t>
      </w:r>
    </w:p>
    <w:p w:rsidR="00BE1EFE" w:rsidRPr="000B1AF8" w:rsidRDefault="00BE1EFE">
      <w:pPr>
        <w:pStyle w:val="StandardWeb"/>
      </w:pPr>
      <w:r>
        <w:t>Bei In-Kraft-Treten dieser Bestimmungen bestehende Gleitzeitregelungen bleiben unberührt.</w:t>
      </w:r>
    </w:p>
    <w:p w:rsidR="00BE1EFE" w:rsidRDefault="00BE1EFE">
      <w:pPr>
        <w:pStyle w:val="berschrift6"/>
      </w:pPr>
      <w:bookmarkStart w:id="13" w:name="_Toc523925684"/>
      <w:r>
        <w:t xml:space="preserve">§ 6 Regelmäßige Arbeitszeit </w:t>
      </w:r>
      <w:r w:rsidRPr="00DD1383">
        <w:rPr>
          <w:vertAlign w:val="superscript"/>
        </w:rPr>
        <w:t>1)</w:t>
      </w:r>
      <w:bookmarkEnd w:id="13"/>
    </w:p>
    <w:p w:rsidR="00BE1EFE" w:rsidRPr="00B76821" w:rsidRDefault="00BE1EFE" w:rsidP="00B76821">
      <w:pPr>
        <w:pStyle w:val="h7"/>
        <w:keepNext w:val="0"/>
        <w:spacing w:before="0" w:after="0"/>
        <w:jc w:val="left"/>
        <w:outlineLvl w:val="5"/>
        <w:rPr>
          <w:sz w:val="2"/>
          <w:vertAlign w:val="superscript"/>
        </w:rPr>
      </w:pPr>
    </w:p>
    <w:p w:rsidR="00BE1EFE" w:rsidRPr="000B1AF8" w:rsidRDefault="00BE1EFE">
      <w:pPr>
        <w:pStyle w:val="StandardWeb"/>
      </w:pPr>
      <w:r w:rsidRPr="00653844">
        <w:rPr>
          <w:sz w:val="12"/>
          <w:szCs w:val="12"/>
          <w:vertAlign w:val="superscript"/>
        </w:rPr>
        <w:t>1)</w:t>
      </w:r>
      <w:r>
        <w:rPr>
          <w:sz w:val="12"/>
          <w:szCs w:val="12"/>
        </w:rPr>
        <w:t xml:space="preserve"> Für Mesner/-innen und Kirchenmusiker/-innen gilt die einschlägige jeweilige Regelung in der Dienstordnung.</w:t>
      </w:r>
    </w:p>
    <w:p w:rsidR="00BE1EFE" w:rsidRPr="000B1AF8" w:rsidRDefault="00BE1EFE">
      <w:pPr>
        <w:pStyle w:val="StandardWeb"/>
      </w:pPr>
    </w:p>
    <w:p w:rsidR="00BE1EFE" w:rsidRDefault="00BE1EFE">
      <w:pPr>
        <w:pStyle w:val="StandardWeb"/>
      </w:pPr>
      <w:r>
        <w:t>(1) </w:t>
      </w:r>
      <w:r>
        <w:rPr>
          <w:rStyle w:val="kleinschrift"/>
        </w:rPr>
        <w:t>1</w:t>
      </w:r>
      <w:r>
        <w:t>Die regelmäßige wöchentliche Arbeitszeit richtet sich nach den Bestimmungen des TVöD - Fassung VKA*.</w:t>
      </w:r>
      <w:r>
        <w:rPr>
          <w:rStyle w:val="kleinschrift"/>
        </w:rPr>
        <w:t xml:space="preserve"> 2</w:t>
      </w:r>
      <w:r>
        <w:t xml:space="preserve">Änderungen der regelmäßigen wöchentlichen Arbeitszeit im Tarifvertrag (TVöD – Fassung VKA) für die Beschäftigten der Arbeitgeber, die Mitglieder des kommunalen Arbeitgeberverbandes Bayern sind, werden zum jeweiligen Zeitpunkt ihres In-Kraft-Tretens Bestandteil des ABD, soweit die Bayerische Regional-KODA nichts anderes beschließt. </w:t>
      </w:r>
      <w:r>
        <w:rPr>
          <w:rStyle w:val="kleinschrift"/>
        </w:rPr>
        <w:t>3</w:t>
      </w:r>
      <w:r>
        <w:t xml:space="preserve">Bei Wechselschichtarbeit werden die gesetzlich vorgeschriebenen Pausen in die Arbeitszeit eingerechnet. </w:t>
      </w:r>
      <w:r>
        <w:rPr>
          <w:rStyle w:val="kleinschrift"/>
        </w:rPr>
        <w:t>4</w:t>
      </w:r>
      <w:r>
        <w:t>Die regelmäßige Arbeitszeit kann auf fünf Tage, aus notwendigen betrieb</w:t>
      </w:r>
      <w:r>
        <w:softHyphen/>
        <w:t>lichen/dienstlichen Gründen auch auf sechs Tage verteilt werden.</w:t>
      </w:r>
    </w:p>
    <w:p w:rsidR="00BE1EFE" w:rsidRDefault="00BE1EFE">
      <w:pPr>
        <w:pStyle w:val="StandardWeb"/>
      </w:pPr>
      <w:r>
        <w:rPr>
          <w:sz w:val="12"/>
          <w:szCs w:val="12"/>
        </w:rPr>
        <w:t>Protokollnotiz zu § 6 Absatz 1 Satz 1:</w:t>
      </w:r>
    </w:p>
    <w:p w:rsidR="00BE1EFE" w:rsidRDefault="00BE1EFE">
      <w:pPr>
        <w:pStyle w:val="StandardWeb"/>
      </w:pPr>
      <w:r>
        <w:rPr>
          <w:sz w:val="12"/>
          <w:szCs w:val="12"/>
        </w:rPr>
        <w:t>1. Ist bei teilzeitbeschäftigtem pädagogischem Personal im Arbeitsvertrag eine feste Stundenzahl vereinbart und verändert sich aufgrund der ab 01.07.2008 auf 39 Stunden erhöhten regelmäßigen wöchentlichen Arbeitszeit das Entgelt wegen einer anderen Relation von ermäßigter zur vollen Arbeitszeit, ist auf Antrag der/des Beschäftigten bis zum 30.06.2008 die Stundenzahl so aufzustocken, dass mindestens die Höhe des bisherigen Brutto-Entgelts erreicht wird.</w:t>
      </w:r>
    </w:p>
    <w:p w:rsidR="00BE1EFE" w:rsidRDefault="00BE1EFE">
      <w:pPr>
        <w:pStyle w:val="StandardWeb"/>
        <w:rPr>
          <w:sz w:val="12"/>
          <w:szCs w:val="12"/>
        </w:rPr>
      </w:pPr>
      <w:r>
        <w:rPr>
          <w:sz w:val="12"/>
          <w:szCs w:val="12"/>
        </w:rPr>
        <w:t>2. </w:t>
      </w:r>
      <w:r>
        <w:rPr>
          <w:rStyle w:val="kleinschrift"/>
          <w:szCs w:val="12"/>
        </w:rPr>
        <w:t>1</w:t>
      </w:r>
      <w:r>
        <w:rPr>
          <w:sz w:val="12"/>
          <w:szCs w:val="12"/>
        </w:rPr>
        <w:t>Für Beschäftigte, deren Altersteilzeitarbeitsverhältnis nach der „Regelung der Altersteilzeitarbeit" spätestens am 01.10.2005 begonnen hat, beträgt die regelmäßige Arbeitszeit im Sinne des Absatzes 1 Satz 1 für die Dauer der Vereinbarung 38,5 Stunden, sofern die Teilnahme des Beschäftigten an der Erhöhung der durchschnittlichen wöchentlichen Arbeitszeit im sozialrechtlichen Sinne zum Wegfall der in § 2 Absatz 1 Ziffer 2 Altersteilzeitgesetz normierten Voraussetzung eines Altersteilzeitarbeitsverhältnisses führen würde. 2Für die nach dem 01.10.2005 beginnenden Altersteilzeit</w:t>
      </w:r>
      <w:r>
        <w:rPr>
          <w:sz w:val="12"/>
          <w:szCs w:val="12"/>
        </w:rPr>
        <w:softHyphen/>
        <w:t>arbeitsverhältnisse ist für die Berechnung der bisherigen Arbeitszeit § 6 Absatz 2 Satz 3 Altersteilzeitgesetz anzuwenden, wobei die Rundung nach oben zu erfolgen hat. 3Die Sätze 1 und 2 finden auf die Altersteilzeitarbeitsverhältnisse mit Religionslehrerinnen und Religionslehrern im Kirchendienst an Volks- und Förderschulen und mit Religionslehrerinnen und Religionslehrern im Kirchendienst an Waldorfschulen und diesen gleichgestellten Schulen, die spätestens am 01.09.2005 begonnen haben, entsprechende Anwendung.</w:t>
      </w:r>
    </w:p>
    <w:p w:rsidR="00BE1EFE" w:rsidRDefault="00BE1EFE">
      <w:pPr>
        <w:pStyle w:val="StandardWeb"/>
      </w:pPr>
      <w:r>
        <w:rPr>
          <w:sz w:val="12"/>
          <w:szCs w:val="12"/>
        </w:rPr>
        <w:t>2a. Für das pädagogische Personal in Kindertageseinrichtungen, die sich in einem Altersteilzeitarbeitsverhältnis befinden oder deren Altersteilzeitarbeitsverhältnis spätestens am 1. Juli 2008 beginnt, gilt Ziffer 1 Satz 1, Halbsatz 2 in der bis zum 30. Juni 2008 geltenden Fassung bei der Berechnung des Tabellenentgelts und von in Monatsbeträgen zustehenden Zulagen.</w:t>
      </w:r>
    </w:p>
    <w:p w:rsidR="00BE1EFE" w:rsidRDefault="00BE1EFE">
      <w:pPr>
        <w:pStyle w:val="StandardWeb"/>
      </w:pPr>
    </w:p>
    <w:p w:rsidR="00BE1EFE" w:rsidRDefault="00BE1EFE">
      <w:pPr>
        <w:pStyle w:val="StandardWeb"/>
      </w:pPr>
      <w:r>
        <w:rPr>
          <w:sz w:val="12"/>
          <w:szCs w:val="12"/>
        </w:rPr>
        <w:t>Anmerkung zu Ziffer 2a: Dem Tabellenentgelt stehen individuelle Zwischen- und Endstufen gleich.</w:t>
      </w:r>
    </w:p>
    <w:p w:rsidR="00BE1EFE" w:rsidRDefault="00BE1EFE">
      <w:pPr>
        <w:pStyle w:val="StandardWeb"/>
      </w:pPr>
    </w:p>
    <w:p w:rsidR="00BE1EFE" w:rsidRDefault="00BE1EFE">
      <w:pPr>
        <w:pStyle w:val="StandardWeb"/>
      </w:pPr>
      <w:r>
        <w:rPr>
          <w:sz w:val="12"/>
          <w:szCs w:val="12"/>
        </w:rPr>
        <w:t>*derzeit 39 Stunden wöchentlich</w:t>
      </w:r>
    </w:p>
    <w:p w:rsidR="00BE1EFE" w:rsidRDefault="00BE1EFE">
      <w:pPr>
        <w:pStyle w:val="StandardWeb"/>
      </w:pPr>
    </w:p>
    <w:p w:rsidR="00BE1EFE" w:rsidRDefault="00BE1EFE">
      <w:pPr>
        <w:pStyle w:val="StandardWeb"/>
      </w:pPr>
      <w:r>
        <w:t>(2) </w:t>
      </w:r>
      <w:r>
        <w:rPr>
          <w:rStyle w:val="kleinschrift"/>
        </w:rPr>
        <w:t>1</w:t>
      </w:r>
      <w:r>
        <w:t xml:space="preserve">Für die Berechnung des Durchschnitts der regelmäßigen wöchentlichen Arbeitszeit ist ein Zeitraum von bis zu einem Jahr zugrunde zu legen. </w:t>
      </w:r>
      <w:r>
        <w:rPr>
          <w:rStyle w:val="kleinschrift"/>
        </w:rPr>
        <w:t>2</w:t>
      </w:r>
      <w:r>
        <w:t>Abweichend von Satz 1 kann bei Beschäftigten, die ständig Wechselschicht- oder Schichtarbeit zu leisten haben, ein längerer Zeitraum zugrunde gelegt werden.</w:t>
      </w:r>
    </w:p>
    <w:p w:rsidR="00BE1EFE" w:rsidRDefault="00BE1EFE">
      <w:pPr>
        <w:pStyle w:val="StandardWeb"/>
      </w:pPr>
    </w:p>
    <w:p w:rsidR="00BE1EFE" w:rsidRDefault="00BE1EFE">
      <w:pPr>
        <w:pStyle w:val="StandardWeb"/>
      </w:pPr>
      <w:r>
        <w:t>(3) </w:t>
      </w:r>
      <w:r>
        <w:rPr>
          <w:rStyle w:val="kleinschrift"/>
        </w:rPr>
        <w:t>1</w:t>
      </w:r>
      <w:r>
        <w:t xml:space="preserve">Soweit es die betrieblichen/dienstlichen Verhältnisse zulassen, wird die/der Beschäftigte am 15. August, am 24. Dezember und am 31. Dezember unter Fortzahlung des Entgelts nach § 21 von der Arbeit freigestellt. </w:t>
      </w:r>
      <w:r>
        <w:rPr>
          <w:rStyle w:val="kleinschrift"/>
        </w:rPr>
        <w:t>2</w:t>
      </w:r>
      <w:r>
        <w:t xml:space="preserve">Kann die Freistellung nach Satz 1 aus betrieblichen/ dienstlichen Gründen nicht erfolgen, ist entsprechender Freizeitausgleich innerhalb von drei Monaten zu gewähren. </w:t>
      </w:r>
      <w:r>
        <w:rPr>
          <w:rStyle w:val="kleinschrift"/>
        </w:rPr>
        <w:t>3</w:t>
      </w:r>
      <w:r>
        <w:t>Die regelmäßige Arbeitszeit vermindert sich für jeden gesetzlichen Feiertag, sowie für den 15. August, den 24. Dezember und den 31. Dezember, sofern sie auf einen Werktag fallen, um die dienstplanmäßig ausgefallenen Stunden.</w:t>
      </w:r>
    </w:p>
    <w:p w:rsidR="00BE1EFE" w:rsidRDefault="00BE1EFE">
      <w:pPr>
        <w:pStyle w:val="StandardWeb"/>
      </w:pPr>
      <w:r>
        <w:rPr>
          <w:sz w:val="12"/>
          <w:szCs w:val="12"/>
        </w:rPr>
        <w:t>Anmerkung zu Absatz 3 Satz 3: Die Verminderung der regelmäßigen Arbeitszeit betrifft die Beschäftigten, die wegen des Dienstplans am Feiertag frei haben und deshalb ohne diese Regelung nacharbeiten müssten.</w:t>
      </w:r>
    </w:p>
    <w:p w:rsidR="00BE1EFE" w:rsidRDefault="00BE1EFE">
      <w:pPr>
        <w:pStyle w:val="StandardWeb"/>
      </w:pPr>
    </w:p>
    <w:p w:rsidR="00BE1EFE" w:rsidRDefault="00BE1EFE">
      <w:pPr>
        <w:pStyle w:val="StandardWeb"/>
      </w:pPr>
      <w:r>
        <w:t>(4) Aus dringenden betrieblichen/dienstlichen Gründen kann auf der Grundlage einer Dienst</w:t>
      </w:r>
      <w:r>
        <w:softHyphen/>
        <w:t>vereinbarung im Rahmen des § 7 Absatz 1, 2 und des § 12 ArbZG von den Vorschriften des Arbeitszeitgesetzes abgewichen werden.</w:t>
      </w:r>
    </w:p>
    <w:p w:rsidR="00BE1EFE" w:rsidRDefault="00BE1EFE">
      <w:pPr>
        <w:pStyle w:val="StandardWeb"/>
      </w:pPr>
      <w:r>
        <w:rPr>
          <w:sz w:val="12"/>
          <w:szCs w:val="12"/>
        </w:rPr>
        <w:lastRenderedPageBreak/>
        <w:t>Anmerkung zu Absatz 4: In vollkontinuierlichen Schichtbetrieben kann an Sonn- und Feiertagen die tägliche Arbeitszeit auf bis zu zwölf Stunden verlängert werden, wenn dadurch zusätzliche freie Schichten an Sonn- und Feiertagen erreicht werden.</w:t>
      </w:r>
    </w:p>
    <w:p w:rsidR="00BE1EFE" w:rsidRDefault="00BE1EFE">
      <w:pPr>
        <w:pStyle w:val="StandardWeb"/>
      </w:pPr>
    </w:p>
    <w:p w:rsidR="00BE1EFE" w:rsidRDefault="00BE1EFE">
      <w:pPr>
        <w:pStyle w:val="StandardWeb"/>
      </w:pPr>
      <w:r>
        <w:t>(5) Die Beschäftigten sind im Rahmen begründeter betrieblicher/dienstlicher Notwendigkeiten zur Leistung von Sonntags-, Feiertags-, Nacht-, Wechselschicht-, Schichtarbeit sowie - bei Teilzeitbeschäftigung aufgrund arbeitsvertraglicher Regelung oder mit ihrer Zustimmung - zu Bereitschaftsdienst, Rufbereitschaft, Überstunden und Mehrarbeit verpflichtet.</w:t>
      </w:r>
    </w:p>
    <w:p w:rsidR="00BE1EFE" w:rsidRDefault="00BE1EFE">
      <w:pPr>
        <w:pStyle w:val="StandardWeb"/>
      </w:pPr>
    </w:p>
    <w:p w:rsidR="00BE1EFE" w:rsidRDefault="00BE1EFE">
      <w:pPr>
        <w:pStyle w:val="StandardWeb"/>
      </w:pPr>
      <w:r>
        <w:t>(6) </w:t>
      </w:r>
      <w:r>
        <w:rPr>
          <w:rStyle w:val="kleinschrift"/>
        </w:rPr>
        <w:t>1</w:t>
      </w:r>
      <w:r>
        <w:t xml:space="preserve">Durch Dienstvereinbarung kann ein wöchentlicher Arbeitszeitkorridor von bis zu 45 Stunden eingerichtet werden. </w:t>
      </w:r>
      <w:r>
        <w:rPr>
          <w:rStyle w:val="kleinschrift"/>
        </w:rPr>
        <w:t>2</w:t>
      </w:r>
      <w:r>
        <w:t>Die innerhalb eines Arbeitszeitkorridors geleisteten zusätzlichen Arbeitsstunden werden im Rahmen des nach Absatz 2 Satz 1 festgelegten Zeitraums ausgeglichen.</w:t>
      </w:r>
    </w:p>
    <w:p w:rsidR="00BE1EFE" w:rsidRDefault="00BE1EFE">
      <w:pPr>
        <w:pStyle w:val="StandardWeb"/>
      </w:pPr>
    </w:p>
    <w:p w:rsidR="00BE1EFE" w:rsidRDefault="00BE1EFE">
      <w:pPr>
        <w:pStyle w:val="StandardWeb"/>
      </w:pPr>
      <w:r>
        <w:t>(7)</w:t>
      </w:r>
      <w:r w:rsidRPr="00852F21">
        <w:rPr>
          <w:rStyle w:val="kleinschrift"/>
          <w:sz w:val="16"/>
          <w:szCs w:val="16"/>
        </w:rPr>
        <w:t> </w:t>
      </w:r>
      <w:r>
        <w:rPr>
          <w:rStyle w:val="kleinschrift"/>
        </w:rPr>
        <w:t>1</w:t>
      </w:r>
      <w:r>
        <w:t xml:space="preserve">Durch Dienstvereinbarung kann in der Zeit von 6 bis 20 Uhr eine tägliche Rahmenzeit von bis zu zwölf Stunden eingeführt werden. </w:t>
      </w:r>
      <w:r>
        <w:rPr>
          <w:rStyle w:val="kleinschrift"/>
        </w:rPr>
        <w:t>2</w:t>
      </w:r>
      <w:r>
        <w:t>Die innerhalb der täglichen Rahmenzeit geleisteten zusätzlichen Arbeitsstunden werden im Rahmen des nach Absatz 2 Satz 1 festgelegten Zeitraums ausgeglichen.</w:t>
      </w:r>
    </w:p>
    <w:p w:rsidR="00BE1EFE" w:rsidRDefault="00BE1EFE">
      <w:pPr>
        <w:pStyle w:val="StandardWeb"/>
      </w:pPr>
    </w:p>
    <w:p w:rsidR="00BE1EFE" w:rsidRDefault="00BE1EFE">
      <w:pPr>
        <w:pStyle w:val="StandardWeb"/>
      </w:pPr>
      <w:r>
        <w:t>(8) Die Absätze 6 und 7 gelten nur alternativ und nicht bei Wechselschicht- und Schichtarbeit.</w:t>
      </w:r>
    </w:p>
    <w:p w:rsidR="00BE1EFE" w:rsidRDefault="00BE1EFE">
      <w:pPr>
        <w:pStyle w:val="StandardWeb"/>
      </w:pPr>
      <w:r>
        <w:rPr>
          <w:sz w:val="12"/>
          <w:szCs w:val="12"/>
        </w:rPr>
        <w:t>Anmerkung zu § 6:</w:t>
      </w:r>
    </w:p>
    <w:p w:rsidR="00BE1EFE" w:rsidRDefault="00BE1EFE">
      <w:pPr>
        <w:pStyle w:val="StandardWeb"/>
      </w:pPr>
      <w:r>
        <w:rPr>
          <w:sz w:val="12"/>
          <w:szCs w:val="12"/>
        </w:rPr>
        <w:t>1Gleitzeitregelungen sind unter Wahrung der jeweils geltenden Mitbestimmungsrechte unabhängig von den Vorgaben zu Arbeitszeitkorridor und Rahmenzeit (Absätze 6 und 7) möglich. 2Sie dürfen keine Regelungen nach Absatz 4 enthalten.</w:t>
      </w:r>
    </w:p>
    <w:p w:rsidR="00BE1EFE" w:rsidRDefault="00BE1EFE">
      <w:pPr>
        <w:pStyle w:val="berschrift6"/>
      </w:pPr>
      <w:bookmarkStart w:id="14" w:name="_Toc523925685"/>
      <w:r>
        <w:t>§ 7 Sonderformen der Arbeit</w:t>
      </w:r>
      <w:bookmarkEnd w:id="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Wechselschichtarbeit ist die Arbeit nach einem Schichtplan, der einen regelmäßigen Wechsel der täglichen Arbeitszeit in Wechselschichten vorsieht, bei denen Beschäftigte durchschnittlich längstens nach Ablauf eines Monats erneut zur Nachtschicht herangezogen werden. </w:t>
      </w:r>
      <w:r>
        <w:rPr>
          <w:rStyle w:val="kleinschrift"/>
        </w:rPr>
        <w:t>2</w:t>
      </w:r>
      <w:r>
        <w:t xml:space="preserve">Wechselschichten sind wechselnde Arbeitsschichten, in denen ununterbrochen bei Tag und Nacht, werktags, sonntags und feiertags gearbeitet wird. </w:t>
      </w:r>
      <w:r>
        <w:rPr>
          <w:rStyle w:val="kleinschrift"/>
        </w:rPr>
        <w:t>3</w:t>
      </w:r>
      <w:r>
        <w:t>Nachtschichten sind Arbeitsschichten, die mindestens zwei Stunden Nachtarbeit umfassen.</w:t>
      </w:r>
    </w:p>
    <w:p w:rsidR="00BE1EFE" w:rsidRPr="000B1AF8" w:rsidRDefault="00BE1EFE">
      <w:pPr>
        <w:pStyle w:val="StandardWeb"/>
      </w:pPr>
    </w:p>
    <w:p w:rsidR="00BE1EFE" w:rsidRDefault="00BE1EFE">
      <w:pPr>
        <w:pStyle w:val="StandardWeb"/>
      </w:pPr>
      <w:r>
        <w:t>(2) Schichtarbeit ist die Arbeit nach einem Schichtplan, der einen regelmäßigen Wechsel des Beginns der täglichen Arbeitszeit um mindestens zwei Stunden in Zeitabschnitten von längstens einem Monat vorsieht, und die innerhalb einer Zeitspanne von mindestens 13 Stunden geleistet wird.</w:t>
      </w:r>
    </w:p>
    <w:p w:rsidR="00BE1EFE" w:rsidRDefault="00BE1EFE">
      <w:pPr>
        <w:pStyle w:val="StandardWeb"/>
      </w:pPr>
    </w:p>
    <w:p w:rsidR="00BE1EFE" w:rsidRDefault="00BE1EFE">
      <w:pPr>
        <w:pStyle w:val="StandardWeb"/>
      </w:pPr>
      <w:r>
        <w:t>(3) Bereitschaftsdienst leisten Beschäftigte, die sich auf Anordnung des Arbeitgebers außerhalb der regelmäßigen Arbeitszeit an einer vom Arbeitgeber bestimmten Stelle aufhalten, um im Bedarfsfall die Arbeit aufzunehmen.</w:t>
      </w:r>
    </w:p>
    <w:p w:rsidR="00BE1EFE" w:rsidRDefault="00BE1EFE">
      <w:pPr>
        <w:pStyle w:val="StandardWeb"/>
      </w:pPr>
    </w:p>
    <w:p w:rsidR="00BE1EFE" w:rsidRDefault="00BE1EFE">
      <w:pPr>
        <w:pStyle w:val="StandardWeb"/>
      </w:pPr>
      <w:r>
        <w:t>(4) </w:t>
      </w:r>
      <w:r>
        <w:rPr>
          <w:rStyle w:val="kleinschrift"/>
        </w:rPr>
        <w:t>1</w:t>
      </w:r>
      <w:r>
        <w:t xml:space="preserve">Rufbereitschaft leisten Beschäftigte, die sich auf Anordnung des Arbeitgebers außerhalb der regelmäßigen Arbeitszeit an einer dem Arbeitgeber anzuzeigenden Stelle aufhalten, um auf Abruf die Arbeit aufzunehmen. </w:t>
      </w:r>
      <w:r>
        <w:rPr>
          <w:rStyle w:val="kleinschrift"/>
        </w:rPr>
        <w:t>2</w:t>
      </w:r>
      <w:r>
        <w:t>Rufbereitschaft wird nicht dadurch ausgeschlossen, dass Beschäftigte vom Arbeitgeber mit einem Mobiltelefon oder einem vergleichbaren technischen Hilfsmittel ausgestattet sind.</w:t>
      </w:r>
    </w:p>
    <w:p w:rsidR="00BE1EFE" w:rsidRDefault="00BE1EFE">
      <w:pPr>
        <w:pStyle w:val="StandardWeb"/>
      </w:pPr>
    </w:p>
    <w:p w:rsidR="00BE1EFE" w:rsidRDefault="00BE1EFE">
      <w:pPr>
        <w:pStyle w:val="StandardWeb"/>
      </w:pPr>
      <w:r>
        <w:t>(5) Nachtarbeit ist die Arbeit zwischen 21 Uhr und 6 Uhr.</w:t>
      </w:r>
    </w:p>
    <w:p w:rsidR="00BE1EFE" w:rsidRDefault="00BE1EFE">
      <w:pPr>
        <w:pStyle w:val="StandardWeb"/>
      </w:pPr>
    </w:p>
    <w:p w:rsidR="00BE1EFE" w:rsidRDefault="00BE1EFE">
      <w:pPr>
        <w:pStyle w:val="StandardWeb"/>
      </w:pPr>
      <w:r>
        <w:t xml:space="preserve">(6) Mehrarbeit sind die Arbeitsstunden, die Teilzeitbeschäftigte über die vereinbarte regelmäßige Arbeitszeit hinaus bis zur regelmäßigen wöchentlichen Arbeitszeit von Vollbeschäftigten </w:t>
      </w:r>
      <w:hyperlink r:id="rId21" w:history="1">
        <w:r w:rsidRPr="00361876">
          <w:rPr>
            <w:rStyle w:val="Hyperlink"/>
          </w:rPr>
          <w:t>(§ 6 Absatz 1 Satz 1)</w:t>
        </w:r>
      </w:hyperlink>
      <w:r>
        <w:t xml:space="preserve"> leisten.</w:t>
      </w:r>
    </w:p>
    <w:p w:rsidR="00BE1EFE" w:rsidRDefault="00BE1EFE">
      <w:pPr>
        <w:pStyle w:val="StandardWeb"/>
      </w:pPr>
    </w:p>
    <w:p w:rsidR="00BE1EFE" w:rsidRDefault="00BE1EFE">
      <w:pPr>
        <w:pStyle w:val="StandardWeb"/>
      </w:pPr>
      <w:r>
        <w:lastRenderedPageBreak/>
        <w:t xml:space="preserve">(7) Überstunden sind die auf Anordnung des Arbeitgebers geleisteten Arbeitsstunden, die über die im Rahmen der regelmäßigen Arbeitszeit von Vollbeschäftigten </w:t>
      </w:r>
      <w:hyperlink r:id="rId22" w:history="1">
        <w:r w:rsidRPr="00361876">
          <w:rPr>
            <w:rStyle w:val="Hyperlink"/>
          </w:rPr>
          <w:t>(§ 6 Absatz 1 Satz 1)</w:t>
        </w:r>
      </w:hyperlink>
      <w:r>
        <w:t xml:space="preserve"> für die Woche dienstplanmäßig bzw. betriebsüblich festgesetzten Arbeitsstunden hinausgehen und nicht bis zum Ende der folgenden Kalenderwoche ausgeglichen werden.</w:t>
      </w:r>
    </w:p>
    <w:p w:rsidR="00BE1EFE" w:rsidRDefault="00BE1EFE">
      <w:pPr>
        <w:pStyle w:val="StandardWeb"/>
      </w:pPr>
    </w:p>
    <w:p w:rsidR="00BE1EFE" w:rsidRDefault="00BE1EFE">
      <w:pPr>
        <w:pStyle w:val="StandardWeb"/>
      </w:pPr>
      <w:r>
        <w:t>(8) Abweichend von Absatz 7 sind nur die Arbeitsstunden Überstunden, die</w:t>
      </w:r>
    </w:p>
    <w:p w:rsidR="00BE1EFE" w:rsidRDefault="00BE1EFE">
      <w:pPr>
        <w:pStyle w:val="StandardWeb"/>
      </w:pPr>
      <w:r>
        <w:t xml:space="preserve">a) im Falle der Festlegung eines Arbeitszeitkorridors nach </w:t>
      </w:r>
      <w:hyperlink r:id="rId23" w:history="1">
        <w:r w:rsidRPr="002D1F1D">
          <w:rPr>
            <w:rStyle w:val="Hyperlink"/>
          </w:rPr>
          <w:t xml:space="preserve">§ 6 </w:t>
        </w:r>
        <w:r>
          <w:rPr>
            <w:rStyle w:val="Hyperlink"/>
          </w:rPr>
          <w:t>Absatz</w:t>
        </w:r>
        <w:r w:rsidRPr="002D1F1D">
          <w:rPr>
            <w:rStyle w:val="Hyperlink"/>
          </w:rPr>
          <w:t xml:space="preserve"> 6</w:t>
        </w:r>
      </w:hyperlink>
      <w:r>
        <w:t xml:space="preserve"> über 45 Stunden oder über die vereinbarte Obergrenze hinaus,</w:t>
      </w:r>
    </w:p>
    <w:p w:rsidR="00BE1EFE" w:rsidRDefault="00BE1EFE">
      <w:pPr>
        <w:pStyle w:val="StandardWeb"/>
      </w:pPr>
      <w:r>
        <w:t xml:space="preserve">b) im Falle der Einführung einer täglichen Rahmenzeit nach </w:t>
      </w:r>
      <w:hyperlink r:id="rId24" w:history="1">
        <w:r w:rsidRPr="002D1F1D">
          <w:rPr>
            <w:rStyle w:val="Hyperlink"/>
          </w:rPr>
          <w:t xml:space="preserve">§ 6 </w:t>
        </w:r>
        <w:r>
          <w:rPr>
            <w:rStyle w:val="Hyperlink"/>
          </w:rPr>
          <w:t>Absatz</w:t>
        </w:r>
        <w:r w:rsidRPr="002D1F1D">
          <w:rPr>
            <w:rStyle w:val="Hyperlink"/>
          </w:rPr>
          <w:t xml:space="preserve"> 7</w:t>
        </w:r>
      </w:hyperlink>
      <w:r>
        <w:t xml:space="preserve"> außerhalb der Rahmenzeit,</w:t>
      </w:r>
    </w:p>
    <w:p w:rsidR="00BE1EFE" w:rsidRDefault="00BE1EFE">
      <w:pPr>
        <w:pStyle w:val="StandardWeb"/>
      </w:pPr>
      <w:r>
        <w:t>c) im Falle von Wechselschicht- oder Schichtarbeit über die im Schichtplan festgelegten täglichen Arbeitsstunden einschließlich der im Schichtplan vorgesehenen Arbeitsstunden, die bezogen auf die regelmäßige wöchentliche Arbeitszeit im Schichtplanturnus nicht ausgeglichen werden,</w:t>
      </w:r>
    </w:p>
    <w:p w:rsidR="00BE1EFE" w:rsidRDefault="00BE1EFE">
      <w:pPr>
        <w:pStyle w:val="StandardWeb"/>
      </w:pPr>
      <w:r>
        <w:t>angeordnet worden sind.</w:t>
      </w:r>
    </w:p>
    <w:p w:rsidR="00BE1EFE" w:rsidRDefault="00BE1EFE">
      <w:pPr>
        <w:pStyle w:val="berschrift6"/>
      </w:pPr>
      <w:bookmarkStart w:id="15" w:name="_Toc523925686"/>
      <w:r>
        <w:t>§ 8 Ausgleich für Sonderformen der Arbeit</w:t>
      </w:r>
      <w:bookmarkEnd w:id="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Der/Die Beschäftigte erhält neben dem Entgelt für die tatsächliche Arbeitsleistung Zeitzuschläge. </w:t>
      </w:r>
      <w:r>
        <w:rPr>
          <w:rStyle w:val="kleinschrift"/>
        </w:rPr>
        <w:t>2</w:t>
      </w:r>
      <w:r>
        <w:t xml:space="preserve">Der Anspruch auf Entgelt für Reisezeiten gemäß </w:t>
      </w:r>
      <w:hyperlink r:id="rId25" w:history="1">
        <w:r w:rsidRPr="002D1F1D">
          <w:rPr>
            <w:rStyle w:val="Hyperlink"/>
          </w:rPr>
          <w:t>§ 40</w:t>
        </w:r>
      </w:hyperlink>
      <w:r>
        <w:t xml:space="preserve"> begründet keinen Anspruch auf Zeitzuschläge. </w:t>
      </w:r>
      <w:r>
        <w:rPr>
          <w:rStyle w:val="kleinschrift"/>
        </w:rPr>
        <w:t>3</w:t>
      </w:r>
      <w:r>
        <w:t>Die Zeitzuschläge betragen – auch bei Teilzeitbeschäftigten – je Stunde</w:t>
      </w:r>
    </w:p>
    <w:tbl>
      <w:tblPr>
        <w:tblW w:w="0" w:type="auto"/>
        <w:tblCellMar>
          <w:left w:w="0" w:type="dxa"/>
          <w:right w:w="0" w:type="dxa"/>
        </w:tblCellMar>
        <w:tblLook w:val="04A0" w:firstRow="1" w:lastRow="0" w:firstColumn="1" w:lastColumn="0" w:noHBand="0" w:noVBand="1"/>
      </w:tblPr>
      <w:tblGrid>
        <w:gridCol w:w="5211"/>
        <w:gridCol w:w="1135"/>
      </w:tblGrid>
      <w:tr w:rsidR="00BE1EFE">
        <w:tc>
          <w:tcPr>
            <w:tcW w:w="5211" w:type="dxa"/>
            <w:tcMar>
              <w:top w:w="0" w:type="dxa"/>
              <w:left w:w="108" w:type="dxa"/>
              <w:bottom w:w="0" w:type="dxa"/>
              <w:right w:w="108" w:type="dxa"/>
            </w:tcMar>
            <w:hideMark/>
          </w:tcPr>
          <w:p w:rsidR="00BE1EFE" w:rsidRPr="000B1AF8" w:rsidRDefault="00BE1EFE">
            <w:pPr>
              <w:pStyle w:val="StandardWeb"/>
            </w:pPr>
            <w:r>
              <w:t>a)  für Überstunden</w:t>
            </w:r>
          </w:p>
        </w:tc>
        <w:tc>
          <w:tcPr>
            <w:tcW w:w="1135" w:type="dxa"/>
            <w:tcMar>
              <w:top w:w="0" w:type="dxa"/>
              <w:left w:w="108" w:type="dxa"/>
              <w:bottom w:w="0" w:type="dxa"/>
              <w:right w:w="108" w:type="dxa"/>
            </w:tcMar>
            <w:hideMark/>
          </w:tcPr>
          <w:p w:rsidR="00BE1EFE" w:rsidRDefault="00BE1EFE">
            <w:pPr>
              <w:rPr>
                <w:sz w:val="24"/>
              </w:rPr>
            </w:pPr>
            <w:r>
              <w:t> </w:t>
            </w:r>
          </w:p>
        </w:tc>
      </w:tr>
      <w:tr w:rsidR="00BE1EFE">
        <w:tc>
          <w:tcPr>
            <w:tcW w:w="5211" w:type="dxa"/>
            <w:tcMar>
              <w:top w:w="0" w:type="dxa"/>
              <w:left w:w="108" w:type="dxa"/>
              <w:bottom w:w="0" w:type="dxa"/>
              <w:right w:w="108" w:type="dxa"/>
            </w:tcMar>
            <w:hideMark/>
          </w:tcPr>
          <w:p w:rsidR="00BE1EFE" w:rsidRPr="000B1AF8" w:rsidRDefault="00BE1EFE">
            <w:pPr>
              <w:pStyle w:val="StandardWeb"/>
            </w:pPr>
            <w:r>
              <w:t>in  den Entgeltgruppen 1 bis 9b</w:t>
            </w:r>
          </w:p>
        </w:tc>
        <w:tc>
          <w:tcPr>
            <w:tcW w:w="1135" w:type="dxa"/>
            <w:tcMar>
              <w:top w:w="0" w:type="dxa"/>
              <w:left w:w="108" w:type="dxa"/>
              <w:bottom w:w="0" w:type="dxa"/>
              <w:right w:w="108" w:type="dxa"/>
            </w:tcMar>
            <w:hideMark/>
          </w:tcPr>
          <w:p w:rsidR="00BE1EFE" w:rsidRPr="000B1AF8" w:rsidRDefault="00BE1EFE">
            <w:pPr>
              <w:pStyle w:val="StandardWeb"/>
              <w:jc w:val="right"/>
            </w:pPr>
            <w:r>
              <w:t>30 v.H.,</w:t>
            </w:r>
          </w:p>
        </w:tc>
      </w:tr>
      <w:tr w:rsidR="00BE1EFE">
        <w:tc>
          <w:tcPr>
            <w:tcW w:w="5211" w:type="dxa"/>
            <w:tcMar>
              <w:top w:w="0" w:type="dxa"/>
              <w:left w:w="108" w:type="dxa"/>
              <w:bottom w:w="0" w:type="dxa"/>
              <w:right w:w="108" w:type="dxa"/>
            </w:tcMar>
            <w:hideMark/>
          </w:tcPr>
          <w:p w:rsidR="00BE1EFE" w:rsidRPr="000B1AF8" w:rsidRDefault="00BE1EFE">
            <w:pPr>
              <w:pStyle w:val="StandardWeb"/>
            </w:pPr>
            <w:r>
              <w:t>in  den Entgeltgruppen 9c bis 15</w:t>
            </w:r>
          </w:p>
        </w:tc>
        <w:tc>
          <w:tcPr>
            <w:tcW w:w="1135" w:type="dxa"/>
            <w:tcMar>
              <w:top w:w="0" w:type="dxa"/>
              <w:left w:w="108" w:type="dxa"/>
              <w:bottom w:w="0" w:type="dxa"/>
              <w:right w:w="108" w:type="dxa"/>
            </w:tcMar>
            <w:hideMark/>
          </w:tcPr>
          <w:p w:rsidR="00BE1EFE" w:rsidRPr="000B1AF8" w:rsidRDefault="00BE1EFE">
            <w:pPr>
              <w:pStyle w:val="StandardWeb"/>
              <w:jc w:val="right"/>
            </w:pPr>
            <w:r>
              <w:t>15 v.H.,</w:t>
            </w:r>
          </w:p>
        </w:tc>
      </w:tr>
      <w:tr w:rsidR="00BE1EFE">
        <w:tc>
          <w:tcPr>
            <w:tcW w:w="5211" w:type="dxa"/>
            <w:tcMar>
              <w:top w:w="0" w:type="dxa"/>
              <w:left w:w="108" w:type="dxa"/>
              <w:bottom w:w="0" w:type="dxa"/>
              <w:right w:w="108" w:type="dxa"/>
            </w:tcMar>
            <w:hideMark/>
          </w:tcPr>
          <w:p w:rsidR="00BE1EFE" w:rsidRPr="000B1AF8" w:rsidRDefault="00BE1EFE">
            <w:pPr>
              <w:pStyle w:val="StandardWeb"/>
            </w:pPr>
            <w:r>
              <w:t>b)  für Nachtarbeit</w:t>
            </w:r>
          </w:p>
        </w:tc>
        <w:tc>
          <w:tcPr>
            <w:tcW w:w="1135" w:type="dxa"/>
            <w:tcMar>
              <w:top w:w="0" w:type="dxa"/>
              <w:left w:w="108" w:type="dxa"/>
              <w:bottom w:w="0" w:type="dxa"/>
              <w:right w:w="108" w:type="dxa"/>
            </w:tcMar>
            <w:hideMark/>
          </w:tcPr>
          <w:p w:rsidR="00BE1EFE" w:rsidRPr="000B1AF8" w:rsidRDefault="00BE1EFE">
            <w:pPr>
              <w:pStyle w:val="StandardWeb"/>
              <w:jc w:val="right"/>
            </w:pPr>
            <w:r>
              <w:t>20 v.H.,</w:t>
            </w:r>
          </w:p>
        </w:tc>
      </w:tr>
      <w:tr w:rsidR="00BE1EFE">
        <w:tc>
          <w:tcPr>
            <w:tcW w:w="5211" w:type="dxa"/>
            <w:tcMar>
              <w:top w:w="0" w:type="dxa"/>
              <w:left w:w="108" w:type="dxa"/>
              <w:bottom w:w="0" w:type="dxa"/>
              <w:right w:w="108" w:type="dxa"/>
            </w:tcMar>
            <w:hideMark/>
          </w:tcPr>
          <w:p w:rsidR="00BE1EFE" w:rsidRPr="000B1AF8" w:rsidRDefault="00BE1EFE">
            <w:pPr>
              <w:pStyle w:val="StandardWeb"/>
            </w:pPr>
            <w:r>
              <w:t>c)  für Sonntagsarbeit</w:t>
            </w:r>
          </w:p>
        </w:tc>
        <w:tc>
          <w:tcPr>
            <w:tcW w:w="1135" w:type="dxa"/>
            <w:tcMar>
              <w:top w:w="0" w:type="dxa"/>
              <w:left w:w="108" w:type="dxa"/>
              <w:bottom w:w="0" w:type="dxa"/>
              <w:right w:w="108" w:type="dxa"/>
            </w:tcMar>
            <w:hideMark/>
          </w:tcPr>
          <w:p w:rsidR="00BE1EFE" w:rsidRPr="000B1AF8" w:rsidRDefault="00BE1EFE">
            <w:pPr>
              <w:pStyle w:val="StandardWeb"/>
              <w:jc w:val="right"/>
            </w:pPr>
            <w:r>
              <w:t>25 v.H.,</w:t>
            </w:r>
          </w:p>
        </w:tc>
      </w:tr>
      <w:tr w:rsidR="00BE1EFE">
        <w:tc>
          <w:tcPr>
            <w:tcW w:w="5211" w:type="dxa"/>
            <w:tcMar>
              <w:top w:w="0" w:type="dxa"/>
              <w:left w:w="108" w:type="dxa"/>
              <w:bottom w:w="0" w:type="dxa"/>
              <w:right w:w="108" w:type="dxa"/>
            </w:tcMar>
            <w:hideMark/>
          </w:tcPr>
          <w:p w:rsidR="00BE1EFE" w:rsidRPr="000B1AF8" w:rsidRDefault="00BE1EFE">
            <w:pPr>
              <w:pStyle w:val="StandardWeb"/>
            </w:pPr>
            <w:r>
              <w:t>d)  bei Feiertagsarbeit</w:t>
            </w:r>
          </w:p>
        </w:tc>
        <w:tc>
          <w:tcPr>
            <w:tcW w:w="1135" w:type="dxa"/>
            <w:tcMar>
              <w:top w:w="0" w:type="dxa"/>
              <w:left w:w="108" w:type="dxa"/>
              <w:bottom w:w="0" w:type="dxa"/>
              <w:right w:w="108" w:type="dxa"/>
            </w:tcMar>
            <w:hideMark/>
          </w:tcPr>
          <w:p w:rsidR="00BE1EFE" w:rsidRDefault="00BE1EFE">
            <w:pPr>
              <w:rPr>
                <w:sz w:val="24"/>
              </w:rPr>
            </w:pPr>
            <w:r>
              <w:t> </w:t>
            </w:r>
          </w:p>
        </w:tc>
      </w:tr>
      <w:tr w:rsidR="00BE1EFE">
        <w:tc>
          <w:tcPr>
            <w:tcW w:w="5211" w:type="dxa"/>
            <w:tcMar>
              <w:top w:w="0" w:type="dxa"/>
              <w:left w:w="108" w:type="dxa"/>
              <w:bottom w:w="0" w:type="dxa"/>
              <w:right w:w="108" w:type="dxa"/>
            </w:tcMar>
            <w:hideMark/>
          </w:tcPr>
          <w:p w:rsidR="00BE1EFE" w:rsidRPr="000B1AF8" w:rsidRDefault="00BE1EFE">
            <w:pPr>
              <w:pStyle w:val="StandardWeb"/>
            </w:pPr>
            <w:r>
              <w:t xml:space="preserve">     -   ohne Freizeitausgleich</w:t>
            </w:r>
          </w:p>
        </w:tc>
        <w:tc>
          <w:tcPr>
            <w:tcW w:w="1135" w:type="dxa"/>
            <w:tcMar>
              <w:top w:w="0" w:type="dxa"/>
              <w:left w:w="108" w:type="dxa"/>
              <w:bottom w:w="0" w:type="dxa"/>
              <w:right w:w="108" w:type="dxa"/>
            </w:tcMar>
            <w:hideMark/>
          </w:tcPr>
          <w:p w:rsidR="00BE1EFE" w:rsidRPr="000B1AF8" w:rsidRDefault="00BE1EFE">
            <w:pPr>
              <w:pStyle w:val="StandardWeb"/>
              <w:jc w:val="right"/>
            </w:pPr>
            <w:r>
              <w:t>135 v.H.,</w:t>
            </w:r>
          </w:p>
        </w:tc>
      </w:tr>
      <w:tr w:rsidR="00BE1EFE">
        <w:tc>
          <w:tcPr>
            <w:tcW w:w="5211" w:type="dxa"/>
            <w:tcMar>
              <w:top w:w="0" w:type="dxa"/>
              <w:left w:w="108" w:type="dxa"/>
              <w:bottom w:w="0" w:type="dxa"/>
              <w:right w:w="108" w:type="dxa"/>
            </w:tcMar>
            <w:hideMark/>
          </w:tcPr>
          <w:p w:rsidR="00BE1EFE" w:rsidRPr="000B1AF8" w:rsidRDefault="00BE1EFE">
            <w:pPr>
              <w:pStyle w:val="StandardWeb"/>
            </w:pPr>
            <w:r>
              <w:t xml:space="preserve">     -   mit Freizeitausgleich</w:t>
            </w:r>
          </w:p>
        </w:tc>
        <w:tc>
          <w:tcPr>
            <w:tcW w:w="1135" w:type="dxa"/>
            <w:tcMar>
              <w:top w:w="0" w:type="dxa"/>
              <w:left w:w="108" w:type="dxa"/>
              <w:bottom w:w="0" w:type="dxa"/>
              <w:right w:w="108" w:type="dxa"/>
            </w:tcMar>
            <w:hideMark/>
          </w:tcPr>
          <w:p w:rsidR="00BE1EFE" w:rsidRPr="000B1AF8" w:rsidRDefault="00BE1EFE">
            <w:pPr>
              <w:pStyle w:val="StandardWeb"/>
              <w:jc w:val="right"/>
            </w:pPr>
            <w:r>
              <w:t>35 v.H.,</w:t>
            </w:r>
          </w:p>
        </w:tc>
      </w:tr>
      <w:tr w:rsidR="00BE1EFE">
        <w:tc>
          <w:tcPr>
            <w:tcW w:w="5211" w:type="dxa"/>
            <w:tcMar>
              <w:top w:w="0" w:type="dxa"/>
              <w:left w:w="108" w:type="dxa"/>
              <w:bottom w:w="0" w:type="dxa"/>
              <w:right w:w="108" w:type="dxa"/>
            </w:tcMar>
            <w:hideMark/>
          </w:tcPr>
          <w:p w:rsidR="00BE1EFE" w:rsidRPr="000B1AF8" w:rsidRDefault="00BE1EFE" w:rsidP="00653844">
            <w:pPr>
              <w:pStyle w:val="StandardWeb"/>
              <w:ind w:left="227" w:hanging="227"/>
            </w:pPr>
            <w:r>
              <w:t xml:space="preserve">e) für Arbeit am 24. Dezember und am 31. Dezember jeweils ab        6 Uhr </w:t>
            </w:r>
          </w:p>
        </w:tc>
        <w:tc>
          <w:tcPr>
            <w:tcW w:w="1135" w:type="dxa"/>
            <w:tcMar>
              <w:top w:w="0" w:type="dxa"/>
              <w:left w:w="108" w:type="dxa"/>
              <w:bottom w:w="0" w:type="dxa"/>
              <w:right w:w="108" w:type="dxa"/>
            </w:tcMar>
            <w:hideMark/>
          </w:tcPr>
          <w:p w:rsidR="00BE1EFE" w:rsidRPr="000B1AF8" w:rsidRDefault="00BE1EFE">
            <w:pPr>
              <w:pStyle w:val="StandardWeb"/>
              <w:ind w:left="34"/>
              <w:jc w:val="right"/>
            </w:pPr>
            <w:r>
              <w:t>35 v.H.,</w:t>
            </w:r>
          </w:p>
        </w:tc>
      </w:tr>
      <w:tr w:rsidR="00BE1EFE">
        <w:tc>
          <w:tcPr>
            <w:tcW w:w="5211" w:type="dxa"/>
            <w:tcMar>
              <w:top w:w="0" w:type="dxa"/>
              <w:left w:w="108" w:type="dxa"/>
              <w:bottom w:w="0" w:type="dxa"/>
              <w:right w:w="108" w:type="dxa"/>
            </w:tcMar>
            <w:hideMark/>
          </w:tcPr>
          <w:p w:rsidR="00BE1EFE" w:rsidRPr="000B1AF8" w:rsidRDefault="00BE1EFE">
            <w:pPr>
              <w:pStyle w:val="StandardWeb"/>
            </w:pPr>
            <w:r>
              <w:t>f)  für Arbeit an Samstagen von 13 bis 21 Uhr, soweit diese nicht im Rahmen von Wechselschicht- oder Schichtarbeit anfällt</w:t>
            </w:r>
          </w:p>
        </w:tc>
        <w:tc>
          <w:tcPr>
            <w:tcW w:w="1135" w:type="dxa"/>
            <w:tcMar>
              <w:top w:w="0" w:type="dxa"/>
              <w:left w:w="108" w:type="dxa"/>
              <w:bottom w:w="0" w:type="dxa"/>
              <w:right w:w="108" w:type="dxa"/>
            </w:tcMar>
            <w:hideMark/>
          </w:tcPr>
          <w:p w:rsidR="00BE1EFE" w:rsidRPr="000B1AF8" w:rsidRDefault="00BE1EFE" w:rsidP="0077280C">
            <w:pPr>
              <w:pStyle w:val="StandardWeb"/>
              <w:jc w:val="center"/>
            </w:pPr>
            <w:r>
              <w:t xml:space="preserve">       20 v.H.</w:t>
            </w:r>
          </w:p>
        </w:tc>
      </w:tr>
    </w:tbl>
    <w:p w:rsidR="00BE1EFE" w:rsidRDefault="00BE1EFE">
      <w:pPr>
        <w:pStyle w:val="StandardWeb"/>
      </w:pPr>
      <w:r>
        <w:t xml:space="preserve">des auf eine Stunde entfallenden Anteils des Tabellenentgelts der Stufe 3 der jeweiligen Entgeltgruppe. </w:t>
      </w:r>
      <w:r>
        <w:rPr>
          <w:rStyle w:val="kleinschrift"/>
        </w:rPr>
        <w:t>4</w:t>
      </w:r>
      <w:r>
        <w:t xml:space="preserve">Beim Zusammentreffen von Zeitzuschlägen nach Satz 3 Buchst. c bis f wird nur der höchste Zeitzuschlag gezahlt. </w:t>
      </w:r>
      <w:r>
        <w:rPr>
          <w:rStyle w:val="kleinschrift"/>
        </w:rPr>
        <w:t>5</w:t>
      </w:r>
      <w:r>
        <w:t xml:space="preserve">Auf Wunsch der/des Beschäftigten können, soweit die betrieblichen/dienstlichen Verhältnisse es zulassen, die nach Satz 3 zu zahlenden Zeitzuschläge entsprechend dem jeweiligen Vomhundertsatz einer Stunde in Zeit umgewandelt und ausgeglichen werden. </w:t>
      </w:r>
      <w:r>
        <w:rPr>
          <w:rStyle w:val="kleinschrift"/>
        </w:rPr>
        <w:t>6</w:t>
      </w:r>
      <w:r>
        <w:t xml:space="preserve">Ist ein Arbeitszeitkonto </w:t>
      </w:r>
      <w:hyperlink r:id="rId26" w:history="1">
        <w:r w:rsidRPr="002D1F1D">
          <w:rPr>
            <w:rStyle w:val="Hyperlink"/>
          </w:rPr>
          <w:t>(§ 10</w:t>
        </w:r>
      </w:hyperlink>
      <w:r>
        <w:t>) eingerichtet, findet abweichend von Satz 3</w:t>
      </w:r>
      <w:hyperlink r:id="rId27" w:history="1">
        <w:r w:rsidRPr="002D1F1D">
          <w:rPr>
            <w:rStyle w:val="Hyperlink"/>
          </w:rPr>
          <w:t xml:space="preserve"> § 7 Teil D, 4.</w:t>
        </w:r>
      </w:hyperlink>
      <w:r>
        <w:t xml:space="preserve"> Anwendung.</w:t>
      </w:r>
    </w:p>
    <w:p w:rsidR="00BE1EFE" w:rsidRDefault="00BE1EFE">
      <w:pPr>
        <w:pStyle w:val="StandardWeb"/>
      </w:pPr>
      <w:r>
        <w:rPr>
          <w:sz w:val="12"/>
          <w:szCs w:val="12"/>
        </w:rPr>
        <w:t>Anmerkung zu Absatz 1 Satz 1:</w:t>
      </w:r>
    </w:p>
    <w:p w:rsidR="00BE1EFE" w:rsidRPr="000B1AF8" w:rsidRDefault="00BE1EFE">
      <w:pPr>
        <w:pStyle w:val="StandardWeb"/>
      </w:pPr>
      <w:r>
        <w:rPr>
          <w:sz w:val="12"/>
          <w:szCs w:val="12"/>
        </w:rPr>
        <w:t>Bei Überstunden richtet sich das Entgelt für die tatsächliche Arbeitsleistung nach der jeweiligen Entgeltgruppe und der individuellen Stufe, höchstens jedoch nach der Stufe 4.</w:t>
      </w:r>
    </w:p>
    <w:p w:rsidR="00BE1EFE" w:rsidRPr="000B1AF8" w:rsidRDefault="00BE1EFE">
      <w:pPr>
        <w:pStyle w:val="StandardWeb"/>
      </w:pPr>
    </w:p>
    <w:p w:rsidR="00BE1EFE" w:rsidRDefault="00BE1EFE">
      <w:pPr>
        <w:pStyle w:val="StandardWeb"/>
      </w:pPr>
      <w:r>
        <w:rPr>
          <w:sz w:val="12"/>
          <w:szCs w:val="12"/>
        </w:rPr>
        <w:t>Anmerkung zu Absatz 1 Satz 2 Buchstabe d):</w:t>
      </w:r>
    </w:p>
    <w:p w:rsidR="00BE1EFE" w:rsidRDefault="00BE1EFE">
      <w:pPr>
        <w:pStyle w:val="StandardWeb"/>
      </w:pPr>
      <w:r>
        <w:rPr>
          <w:sz w:val="12"/>
          <w:szCs w:val="12"/>
        </w:rPr>
        <w:t>1Der Freizeitausgleich muss im Dienstplan besonders ausgewiesen und bezeichnet werden. 2Falls kein Freizeitausgleich gewährt wird, werden als Entgelt einschließlich des Zeitzuschlags und des auf den Feiertag entfallenden Tabellenentgelts höchstens 235 v.H. gezahlt.</w:t>
      </w:r>
    </w:p>
    <w:p w:rsidR="00BE1EFE" w:rsidRDefault="00BE1EFE">
      <w:pPr>
        <w:pStyle w:val="StandardWeb"/>
      </w:pPr>
    </w:p>
    <w:p w:rsidR="00BE1EFE" w:rsidRDefault="00BE1EFE">
      <w:pPr>
        <w:pStyle w:val="StandardWeb"/>
      </w:pPr>
      <w:r>
        <w:rPr>
          <w:sz w:val="12"/>
          <w:szCs w:val="12"/>
        </w:rPr>
        <w:t>Hinweis zu § 8 Absatz 1 Satz 3:</w:t>
      </w:r>
    </w:p>
    <w:p w:rsidR="00BE1EFE" w:rsidRDefault="00BE1EFE">
      <w:pPr>
        <w:pStyle w:val="StandardWeb"/>
      </w:pPr>
      <w:r>
        <w:rPr>
          <w:sz w:val="12"/>
          <w:szCs w:val="12"/>
        </w:rPr>
        <w:t>Die Stundenentgelte werden jeweils in der Anlage C bekannt gemacht.</w:t>
      </w:r>
    </w:p>
    <w:p w:rsidR="00BE1EFE" w:rsidRDefault="00BE1EFE">
      <w:pPr>
        <w:pStyle w:val="StandardWeb"/>
      </w:pPr>
    </w:p>
    <w:p w:rsidR="00BE1EFE" w:rsidRDefault="00BE1EFE">
      <w:pPr>
        <w:pStyle w:val="StandardWeb"/>
      </w:pPr>
      <w:r>
        <w:t xml:space="preserve">(2) Für Arbeitsstunden, die keine Überstunden sind und die aus betrieblichen/dienstlichen Gründen nicht innerhalb des nach </w:t>
      </w:r>
      <w:hyperlink r:id="rId28" w:history="1">
        <w:r w:rsidRPr="002D1F1D">
          <w:rPr>
            <w:rStyle w:val="Hyperlink"/>
          </w:rPr>
          <w:t xml:space="preserve">§ 6 </w:t>
        </w:r>
        <w:r>
          <w:rPr>
            <w:rStyle w:val="Hyperlink"/>
          </w:rPr>
          <w:t>Absatz</w:t>
        </w:r>
        <w:r w:rsidRPr="002D1F1D">
          <w:rPr>
            <w:rStyle w:val="Hyperlink"/>
          </w:rPr>
          <w:t xml:space="preserve"> 2 Satz 1 oder 2</w:t>
        </w:r>
      </w:hyperlink>
      <w:r>
        <w:t xml:space="preserve"> festgelegten Zeitraums mit </w:t>
      </w:r>
      <w:r>
        <w:lastRenderedPageBreak/>
        <w:t>Freizeit ausgeglichen werden, erhält die/der Beschäftigte je Stunde 100 v.H. des auf eine Stunde entfallenden Anteils des Tabellenentgelts der jeweiligen Entgeltgruppe und Stufe.</w:t>
      </w:r>
    </w:p>
    <w:p w:rsidR="00BE1EFE" w:rsidRDefault="00BE1EFE">
      <w:pPr>
        <w:pStyle w:val="StandardWeb"/>
      </w:pPr>
      <w:r>
        <w:rPr>
          <w:sz w:val="12"/>
          <w:szCs w:val="12"/>
        </w:rPr>
        <w:t>Anmerkung zu Absatz 2:</w:t>
      </w:r>
    </w:p>
    <w:p w:rsidR="00BE1EFE" w:rsidRDefault="00BE1EFE">
      <w:pPr>
        <w:pStyle w:val="StandardWeb"/>
      </w:pPr>
      <w:r>
        <w:rPr>
          <w:sz w:val="12"/>
          <w:szCs w:val="12"/>
        </w:rPr>
        <w:t>Mit dem Begriff „Arbeitsstunden“ sind nicht die Stunden gemeint, die im Rahmen von Gleitzeitregelungen im Sinne der Anmerkung zu</w:t>
      </w:r>
      <w:hyperlink r:id="rId29" w:history="1">
        <w:r w:rsidRPr="002D1F1D">
          <w:rPr>
            <w:rStyle w:val="Hyperlink"/>
            <w:sz w:val="12"/>
            <w:szCs w:val="12"/>
          </w:rPr>
          <w:t xml:space="preserve"> § 6</w:t>
        </w:r>
      </w:hyperlink>
      <w:r>
        <w:rPr>
          <w:sz w:val="12"/>
          <w:szCs w:val="12"/>
        </w:rPr>
        <w:t xml:space="preserve"> anfallen, es sei denn, sie sind angeordnet worden.</w:t>
      </w:r>
    </w:p>
    <w:p w:rsidR="00BE1EFE" w:rsidRDefault="00BE1EFE">
      <w:pPr>
        <w:pStyle w:val="StandardWeb"/>
      </w:pPr>
    </w:p>
    <w:p w:rsidR="00BE1EFE" w:rsidRDefault="00BE1EFE">
      <w:pPr>
        <w:pStyle w:val="StandardWeb"/>
      </w:pPr>
      <w:r>
        <w:t>(3) </w:t>
      </w:r>
      <w:r>
        <w:rPr>
          <w:rStyle w:val="kleinschrift"/>
        </w:rPr>
        <w:t>1</w:t>
      </w:r>
      <w:r>
        <w:t xml:space="preserve">Für die Rufbereitschaft wird eine tägliche Pauschale je Entgeltgruppe bezahlt. </w:t>
      </w:r>
      <w:r>
        <w:rPr>
          <w:rStyle w:val="kleinschrift"/>
        </w:rPr>
        <w:t>2</w:t>
      </w:r>
      <w:r>
        <w:t xml:space="preserve">Sie beträgt für die Tage Montag bis Freitag das Zweifache, für Samstag, Sonntag sowie für Feiertage das Vierfache des Stundenentgelts nach Maßgabe der Entgelttabelle. </w:t>
      </w:r>
      <w:r>
        <w:rPr>
          <w:rStyle w:val="kleinschrift"/>
        </w:rPr>
        <w:t>3</w:t>
      </w:r>
      <w:r>
        <w:t xml:space="preserve">Maßgebend für die Bemessung der Pauschale nach Satz 2 ist der Tag, an dem die Rufbereitschaft beginnt. </w:t>
      </w:r>
      <w:r>
        <w:rPr>
          <w:rStyle w:val="kleinschrift"/>
        </w:rPr>
        <w:t>4</w:t>
      </w:r>
      <w:r>
        <w:t xml:space="preserve">Für die Arbeitsleistung innerhalb der Rufbereitschaft außerhalb des Aufenthaltsortes im Sinne des </w:t>
      </w:r>
      <w:hyperlink r:id="rId30" w:history="1">
        <w:r w:rsidRPr="002D1F1D">
          <w:rPr>
            <w:rStyle w:val="Hyperlink"/>
          </w:rPr>
          <w:t xml:space="preserve">§ 7 </w:t>
        </w:r>
        <w:r>
          <w:rPr>
            <w:rStyle w:val="Hyperlink"/>
          </w:rPr>
          <w:t>Absatz</w:t>
        </w:r>
        <w:r w:rsidRPr="002D1F1D">
          <w:rPr>
            <w:rStyle w:val="Hyperlink"/>
          </w:rPr>
          <w:t xml:space="preserve"> 4</w:t>
        </w:r>
      </w:hyperlink>
      <w:r>
        <w:t xml:space="preserve"> wird die Zeit jeder einzelnen Inanspruchnahme einschließlich der hierfür erforderlichen Wegezeiten jeweils auf eine volle Stunde gerundet und mit dem Entgelt für Überstunden sowie mit etwaigen Zeitzuschlägen nach Absatz 1 bezahlt. </w:t>
      </w:r>
      <w:r>
        <w:rPr>
          <w:rStyle w:val="kleinschrift"/>
        </w:rPr>
        <w:t>5</w:t>
      </w:r>
      <w:r>
        <w:t xml:space="preserve">Die nach Satz 4 errechnete Arbeitszeit kann stattdessen bis zum Ende des 3. Kalendermonats auch durch entsprechende Freizeit abgegolten werden (Freizeitausgleich). </w:t>
      </w:r>
      <w:r>
        <w:rPr>
          <w:rStyle w:val="kleinschrift"/>
        </w:rPr>
        <w:t>6</w:t>
      </w:r>
      <w:r>
        <w:t>Für die Zeit des Freizeitausgleichs werden das Tabellenentgelt (</w:t>
      </w:r>
      <w:hyperlink r:id="rId31" w:history="1">
        <w:r w:rsidRPr="002D1F1D">
          <w:rPr>
            <w:rStyle w:val="Hyperlink"/>
          </w:rPr>
          <w:t>§ 15</w:t>
        </w:r>
      </w:hyperlink>
      <w:r>
        <w:t xml:space="preserve">) und die in Monatsbeträgen festgelegten Zulagen fortgezahlt. </w:t>
      </w:r>
      <w:r>
        <w:rPr>
          <w:rStyle w:val="kleinschrift"/>
        </w:rPr>
        <w:t>7</w:t>
      </w:r>
      <w:r>
        <w:t>Wird die Arbeitsleistung innerhalb der Rufbereitschaft am Aufenthaltsort im Sinne des</w:t>
      </w:r>
      <w:hyperlink r:id="rId32" w:history="1">
        <w:r w:rsidRPr="002D1F1D">
          <w:rPr>
            <w:rStyle w:val="Hyperlink"/>
          </w:rPr>
          <w:t xml:space="preserve"> § 7 </w:t>
        </w:r>
        <w:r>
          <w:rPr>
            <w:rStyle w:val="Hyperlink"/>
          </w:rPr>
          <w:t>Absatz</w:t>
        </w:r>
        <w:r w:rsidRPr="002D1F1D">
          <w:rPr>
            <w:rStyle w:val="Hyperlink"/>
          </w:rPr>
          <w:t xml:space="preserve"> 4</w:t>
        </w:r>
      </w:hyperlink>
      <w:r>
        <w:t xml:space="preserve"> telefonisch (z. B. in Form einer Auskunft) oder mittels technischer Einrichtungen erbracht, wird abweichend von Satz 4 die Summe dieser Arbeitsleistungen auf die nächste volle Stunde gerundet und mit dem Entgelt für Überstunden sowie mit etwaigen Zeitzuschlägen nach Absatz 1 bezahlt. </w:t>
      </w:r>
      <w:r>
        <w:rPr>
          <w:rStyle w:val="kleinschrift"/>
        </w:rPr>
        <w:t>8</w:t>
      </w:r>
      <w:r>
        <w:t xml:space="preserve">Absatz 1 Satz 4 gilt entsprechend, soweit die Buchung auf das Arbeitszeitkonto nach </w:t>
      </w:r>
      <w:hyperlink r:id="rId33" w:history="1">
        <w:r w:rsidRPr="002D1F1D">
          <w:rPr>
            <w:rStyle w:val="Hyperlink"/>
          </w:rPr>
          <w:t xml:space="preserve">§ 10 </w:t>
        </w:r>
        <w:r>
          <w:rPr>
            <w:rStyle w:val="Hyperlink"/>
          </w:rPr>
          <w:t>Absatz</w:t>
        </w:r>
        <w:r w:rsidRPr="002D1F1D">
          <w:rPr>
            <w:rStyle w:val="Hyperlink"/>
          </w:rPr>
          <w:t xml:space="preserve"> 3 Satz 2</w:t>
        </w:r>
      </w:hyperlink>
      <w:r>
        <w:t xml:space="preserve"> zulässig ist. </w:t>
      </w:r>
      <w:r>
        <w:rPr>
          <w:rStyle w:val="kleinschrift"/>
        </w:rPr>
        <w:t>9</w:t>
      </w:r>
      <w:r>
        <w:t xml:space="preserve">Satz 1 gilt nicht im Falle einer stundenweisen Rufbereitschaft. </w:t>
      </w:r>
      <w:r>
        <w:rPr>
          <w:rStyle w:val="kleinschrift"/>
        </w:rPr>
        <w:t>10</w:t>
      </w:r>
      <w:r>
        <w:t xml:space="preserve">Eine Rufbereitschaft im Sinne von Satz 9 liegt bei einer ununterbrochenen Rufbereitschaft von weniger als zwölf Stunden vor. </w:t>
      </w:r>
      <w:r>
        <w:rPr>
          <w:rStyle w:val="kleinschrift"/>
        </w:rPr>
        <w:t>11</w:t>
      </w:r>
      <w:r>
        <w:t xml:space="preserve">In diesem Fall wird abweichend von den Sätzen 2 und 3 für jede Stunde der Rufbereitschaft 12,5 v.H. des Stundenentgelts nach Maßgabe der Entgelttabelle gezahlt. </w:t>
      </w:r>
      <w:r>
        <w:rPr>
          <w:rStyle w:val="kleinschrift"/>
        </w:rPr>
        <w:t>12</w:t>
      </w:r>
      <w:r>
        <w:t>Auf Antrag der/des Beschäftigten kann eine Nebenabrede vereinbart werden, dass die nach Satz 1 bis 3 bzw. Satz 10 bis 11 errechnete Pauschale auch durch entsprechende Freizeit abgegolten wird; diese Nebenabrede kann jeweils zum Ende des folgenden Kalenderjahres gekündigt werden.</w:t>
      </w:r>
    </w:p>
    <w:p w:rsidR="00BE1EFE" w:rsidRDefault="00BE1EFE">
      <w:pPr>
        <w:pStyle w:val="StandardWeb"/>
      </w:pPr>
      <w:r>
        <w:rPr>
          <w:sz w:val="12"/>
          <w:szCs w:val="12"/>
        </w:rPr>
        <w:t>Anmerkung zu Absatz 3:</w:t>
      </w:r>
    </w:p>
    <w:p w:rsidR="00BE1EFE" w:rsidRDefault="00BE1EFE">
      <w:pPr>
        <w:pStyle w:val="StandardWeb"/>
      </w:pPr>
      <w:r>
        <w:rPr>
          <w:sz w:val="12"/>
          <w:szCs w:val="12"/>
        </w:rPr>
        <w:t>Zur Ermittlung der Tage einer Rufbereitschaft, für die eine Pauschale gezahlt wird, ist auf den Tag des Beginns der Rufbereitschaft abzustellen.</w:t>
      </w:r>
    </w:p>
    <w:p w:rsidR="00BE1EFE" w:rsidRDefault="00BE1EFE">
      <w:pPr>
        <w:pStyle w:val="StandardWeb"/>
      </w:pPr>
    </w:p>
    <w:p w:rsidR="00BE1EFE" w:rsidRDefault="00BE1EFE">
      <w:pPr>
        <w:pStyle w:val="StandardWeb"/>
      </w:pPr>
      <w:r>
        <w:t>(4) </w:t>
      </w:r>
      <w:r>
        <w:rPr>
          <w:rStyle w:val="kleinschrift"/>
        </w:rPr>
        <w:t>1</w:t>
      </w:r>
      <w:r>
        <w:t xml:space="preserve">Zum Zwecke der Entgeltberechnung wird die Zeit des Bereitschaftsdienstes einschließlich der geleisteten Arbeit entsprechend dem Anteil der erfahrungsgemäß durchschnittlich anfallenden Zeit der Arbeitsleistung als Arbeitszeit gewertet und nach den zum 30.09.2005 geltenden Bedingungen abgegolten. </w:t>
      </w:r>
      <w:r>
        <w:rPr>
          <w:rStyle w:val="kleinschrift"/>
        </w:rPr>
        <w:t>2</w:t>
      </w:r>
      <w:r>
        <w:t xml:space="preserve">Die Bewertung darf 15 v.H., vom 8. Bereitschaftsdienst im Kalendermonat an 25 v. H nicht unterschreiten. </w:t>
      </w:r>
      <w:r>
        <w:rPr>
          <w:rStyle w:val="kleinschrift"/>
        </w:rPr>
        <w:t>3</w:t>
      </w:r>
      <w:r>
        <w:t xml:space="preserve">Die danach errechnete Arbeitszeit kann stattdessen bis zum Ende des 3. Kalendermonats auch durch entsprechende Freizeit abgegolten werden (Freizeitausgleich). </w:t>
      </w:r>
      <w:r>
        <w:rPr>
          <w:rStyle w:val="kleinschrift"/>
        </w:rPr>
        <w:t>4</w:t>
      </w:r>
      <w:r>
        <w:t xml:space="preserve">Für den Freizeitausgleich ist eine angefangene halbe Stunde, die sich bei der Berechnung ergeben hat, auf eine halbe Stunde aufzurunden. </w:t>
      </w:r>
      <w:r>
        <w:rPr>
          <w:rStyle w:val="kleinschrift"/>
        </w:rPr>
        <w:t>5</w:t>
      </w:r>
      <w:r>
        <w:t>Für die Zeit des Freizeitausgleichs werden das Tabellenentgelt (</w:t>
      </w:r>
      <w:hyperlink r:id="rId34" w:history="1">
        <w:r w:rsidRPr="002D1F1D">
          <w:rPr>
            <w:rStyle w:val="Hyperlink"/>
          </w:rPr>
          <w:t>§ 15</w:t>
        </w:r>
      </w:hyperlink>
      <w:r>
        <w:t>) und die in Monatsbeträgen festgelegten Zulagen fortgezahlt.</w:t>
      </w:r>
    </w:p>
    <w:p w:rsidR="00BE1EFE" w:rsidRDefault="00BE1EFE">
      <w:pPr>
        <w:pStyle w:val="StandardWeb"/>
      </w:pPr>
    </w:p>
    <w:p w:rsidR="00BE1EFE" w:rsidRDefault="00BE1EFE">
      <w:pPr>
        <w:pStyle w:val="StandardWeb"/>
      </w:pPr>
      <w:r>
        <w:t>(5) </w:t>
      </w:r>
      <w:r>
        <w:rPr>
          <w:rStyle w:val="kleinschrift"/>
        </w:rPr>
        <w:t>1</w:t>
      </w:r>
      <w:r>
        <w:t>Beschäftigte, die ständig Wechselschichtarbeit leisten, erhalten eine Wechselschicht</w:t>
      </w:r>
      <w:r>
        <w:softHyphen/>
        <w:t xml:space="preserve">zulage von 105 EURO monatlich. </w:t>
      </w:r>
      <w:r>
        <w:rPr>
          <w:rStyle w:val="kleinschrift"/>
        </w:rPr>
        <w:t>2</w:t>
      </w:r>
      <w:r>
        <w:t>Beschäftigte, die nicht ständig Wechselschichtarbeit leisten, erhalten eine Wechselschichtzulage von 0,63 EURO pro Stunde.</w:t>
      </w:r>
    </w:p>
    <w:p w:rsidR="00BE1EFE" w:rsidRDefault="00BE1EFE">
      <w:pPr>
        <w:pStyle w:val="StandardWeb"/>
      </w:pPr>
    </w:p>
    <w:p w:rsidR="00BE1EFE" w:rsidRDefault="00BE1EFE">
      <w:pPr>
        <w:pStyle w:val="StandardWeb"/>
      </w:pPr>
      <w:r>
        <w:t>(6)</w:t>
      </w:r>
      <w:r>
        <w:rPr>
          <w:rStyle w:val="kleinschrift"/>
        </w:rPr>
        <w:t> 1</w:t>
      </w:r>
      <w:r>
        <w:t xml:space="preserve">Beschäftigte, die ständig Schichtarbeit leisten, erhalten eine Schichtzulage von 40 EURO monatlich. </w:t>
      </w:r>
      <w:r>
        <w:rPr>
          <w:rStyle w:val="kleinschrift"/>
        </w:rPr>
        <w:t>2</w:t>
      </w:r>
      <w:r>
        <w:t>Beschäftigte, die nicht ständig Schichtarbeit leisten, erhalten eine Schichtzulage von 0,24 EURO pro Stunde.</w:t>
      </w:r>
    </w:p>
    <w:p w:rsidR="00BE1EFE" w:rsidRDefault="00BE1EFE">
      <w:pPr>
        <w:pStyle w:val="StandardWeb"/>
      </w:pPr>
    </w:p>
    <w:p w:rsidR="00BE1EFE" w:rsidRDefault="00BE1EFE">
      <w:pPr>
        <w:pStyle w:val="StandardWeb"/>
      </w:pPr>
      <w:r>
        <w:lastRenderedPageBreak/>
        <w:t>(7) Für Mesner/innen, Kirchenmusiker/innen, Pfarrhelfer/innen, Seelsorgehelfer/innen, Gemeinde- und Pastoralassistenten/innen und -referenten/innen findet Absatz 1 Satz 3 Buchstabe b) bis f) keine Anwendung.</w:t>
      </w:r>
    </w:p>
    <w:p w:rsidR="00BE1EFE" w:rsidRDefault="00BE1EFE">
      <w:pPr>
        <w:pStyle w:val="berschrift6"/>
      </w:pPr>
      <w:bookmarkStart w:id="16" w:name="_Toc523925687"/>
      <w:r>
        <w:t>§ 9 Bereitschaftszeiten</w:t>
      </w:r>
      <w:bookmarkEnd w:id="16"/>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Bereitschaftszeiten sind die Zeiten, in denen sich die/der Beschäftigte am Arbeitsplatz oder einer anderen vom Arbeitgeber bestimmten Stelle zur Verfügung halten muss, um im Bedarfsfall die Arbeit selbständig, ggf. auch auf Anordnung, aufzunehmen und in denen die Zeiten ohne Arbeitsleistung überwiegen. </w:t>
      </w:r>
      <w:r>
        <w:rPr>
          <w:rStyle w:val="kleinschrift"/>
        </w:rPr>
        <w:t>2</w:t>
      </w:r>
      <w:r>
        <w:t>Für Beschäftigte, in deren Tätigkeit regelmäßig und in nicht unerheblichem Umfang Bereitschaftszeiten fallen, gelten folgende Regelungen:</w:t>
      </w:r>
    </w:p>
    <w:p w:rsidR="00BE1EFE" w:rsidRDefault="00BE1EFE">
      <w:pPr>
        <w:pStyle w:val="StandardWeb"/>
      </w:pPr>
      <w:r>
        <w:t>a) Bereitschaftszeiten werden zur Hälfte als Arbeitszeit gewertet (faktorisiert).</w:t>
      </w:r>
    </w:p>
    <w:p w:rsidR="00BE1EFE" w:rsidRDefault="00BE1EFE">
      <w:pPr>
        <w:pStyle w:val="StandardWeb"/>
      </w:pPr>
      <w:r>
        <w:t>b) Sie werden innerhalb von Beginn und Ende der regelmäßigen täglichen Arbeitszeit nicht gesondert ausgewiesen.</w:t>
      </w:r>
    </w:p>
    <w:p w:rsidR="00BE1EFE" w:rsidRDefault="00BE1EFE">
      <w:pPr>
        <w:pStyle w:val="StandardWeb"/>
      </w:pPr>
      <w:r>
        <w:t xml:space="preserve">c) Die Summe aus den faktorisierten Bereitschaftszeiten und der Vollarbeitszeit darf die Arbeitszeit nach </w:t>
      </w:r>
      <w:hyperlink r:id="rId35" w:history="1">
        <w:r w:rsidRPr="002D1F1D">
          <w:rPr>
            <w:rStyle w:val="Hyperlink"/>
          </w:rPr>
          <w:t xml:space="preserve">§ 6 </w:t>
        </w:r>
        <w:r>
          <w:rPr>
            <w:rStyle w:val="Hyperlink"/>
          </w:rPr>
          <w:t>Absatz</w:t>
        </w:r>
        <w:r w:rsidRPr="002D1F1D">
          <w:rPr>
            <w:rStyle w:val="Hyperlink"/>
          </w:rPr>
          <w:t xml:space="preserve"> 1</w:t>
        </w:r>
      </w:hyperlink>
      <w:r>
        <w:t xml:space="preserve"> nicht überschreiten.</w:t>
      </w:r>
    </w:p>
    <w:p w:rsidR="00BE1EFE" w:rsidRDefault="00BE1EFE">
      <w:pPr>
        <w:pStyle w:val="StandardWeb"/>
      </w:pPr>
      <w:r>
        <w:t>d) Die Summe aus Vollarbeits- und Bereitschaftszeiten darf durchschnittlich 48 Stunden wöchentlich nicht überschreiten.</w:t>
      </w:r>
    </w:p>
    <w:p w:rsidR="00BE1EFE" w:rsidRPr="000B1AF8" w:rsidRDefault="00BE1EFE">
      <w:pPr>
        <w:pStyle w:val="StandardWeb"/>
      </w:pPr>
      <w:r>
        <w:rPr>
          <w:rStyle w:val="kleinschrift"/>
        </w:rPr>
        <w:t>3</w:t>
      </w:r>
      <w:r>
        <w:t>Ferner ist Voraussetzung, dass eine nicht nur vorübergehend angelegte Organisations</w:t>
      </w:r>
      <w:r>
        <w:softHyphen/>
        <w:t>maßnahme besteht, bei der regelmäßig und in nicht unerheblichem Umfang Bereitschaftszeiten anfallen.</w:t>
      </w:r>
    </w:p>
    <w:p w:rsidR="00BE1EFE" w:rsidRPr="000B1AF8" w:rsidRDefault="00BE1EFE">
      <w:pPr>
        <w:pStyle w:val="StandardWeb"/>
      </w:pPr>
    </w:p>
    <w:p w:rsidR="00BE1EFE" w:rsidRDefault="00BE1EFE">
      <w:pPr>
        <w:pStyle w:val="StandardWeb"/>
        <w:rPr>
          <w:i/>
        </w:rPr>
      </w:pPr>
      <w:r>
        <w:t>(2) </w:t>
      </w:r>
      <w:r w:rsidRPr="00D645FF">
        <w:rPr>
          <w:i/>
        </w:rPr>
        <w:t>(frei)</w:t>
      </w:r>
    </w:p>
    <w:p w:rsidR="00BE1EFE" w:rsidRDefault="00BE1EFE">
      <w:pPr>
        <w:pStyle w:val="StandardWeb"/>
      </w:pPr>
    </w:p>
    <w:p w:rsidR="00BE1EFE" w:rsidRDefault="00BE1EFE">
      <w:pPr>
        <w:pStyle w:val="StandardWeb"/>
      </w:pPr>
      <w:r>
        <w:t>(3) </w:t>
      </w:r>
      <w:r w:rsidRPr="00D645FF">
        <w:rPr>
          <w:i/>
        </w:rPr>
        <w:t>(frei)</w:t>
      </w:r>
    </w:p>
    <w:p w:rsidR="00BE1EFE" w:rsidRDefault="00BE1EFE">
      <w:pPr>
        <w:pStyle w:val="StandardWeb"/>
      </w:pPr>
    </w:p>
    <w:p w:rsidR="00BE1EFE" w:rsidRDefault="00BE1EFE">
      <w:pPr>
        <w:jc w:val="both"/>
      </w:pPr>
      <w:r>
        <w:rPr>
          <w:rStyle w:val="kleinschrift"/>
        </w:rPr>
        <w:t>Anmerkung zu § 9:</w:t>
      </w:r>
    </w:p>
    <w:p w:rsidR="00BE1EFE" w:rsidRPr="00C84A68" w:rsidRDefault="00BE1EFE">
      <w:pPr>
        <w:jc w:val="both"/>
        <w:rPr>
          <w:rStyle w:val="kleinschrift"/>
        </w:rPr>
      </w:pPr>
      <w:r>
        <w:rPr>
          <w:rStyle w:val="kleinschrift"/>
        </w:rPr>
        <w:t>Diese Regelung gilt nicht für Wechselschicht- und Schichtarbeit.</w:t>
      </w:r>
    </w:p>
    <w:p w:rsidR="00BE1EFE" w:rsidRDefault="00BE1EFE">
      <w:pPr>
        <w:pStyle w:val="berschrift6"/>
      </w:pPr>
      <w:bookmarkStart w:id="17" w:name="_Toc523925688"/>
      <w:r>
        <w:t>§ 10 Arbeitszeitkonto</w:t>
      </w:r>
      <w:bookmarkEnd w:id="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Mit Beschäftigten kann ein Arbeitszeitkonto nach Maßgabe der </w:t>
      </w:r>
      <w:hyperlink r:id="rId36" w:history="1">
        <w:r w:rsidRPr="002D1F1D">
          <w:rPr>
            <w:rStyle w:val="Hyperlink"/>
          </w:rPr>
          <w:t>Arbeitszeitkontenregelung</w:t>
        </w:r>
      </w:hyperlink>
      <w:r>
        <w:t xml:space="preserve"> (AZKR) eingerichtet werden. </w:t>
      </w:r>
      <w:r>
        <w:rPr>
          <w:rStyle w:val="kleinschrift"/>
        </w:rPr>
        <w:t>2</w:t>
      </w:r>
      <w:r>
        <w:t>Soweit ein Arbeitszeitkorridor (</w:t>
      </w:r>
      <w:hyperlink r:id="rId37" w:history="1">
        <w:r w:rsidRPr="002D1F1D">
          <w:rPr>
            <w:rStyle w:val="Hyperlink"/>
          </w:rPr>
          <w:t xml:space="preserve">§ 6 </w:t>
        </w:r>
        <w:r>
          <w:rPr>
            <w:rStyle w:val="Hyperlink"/>
          </w:rPr>
          <w:t>Absatz</w:t>
        </w:r>
        <w:r w:rsidRPr="002D1F1D">
          <w:rPr>
            <w:rStyle w:val="Hyperlink"/>
          </w:rPr>
          <w:t xml:space="preserve"> 6</w:t>
        </w:r>
      </w:hyperlink>
      <w:r>
        <w:t>) oder eine Rahmenzeit (</w:t>
      </w:r>
      <w:hyperlink r:id="rId38" w:history="1">
        <w:r w:rsidRPr="002D1F1D">
          <w:rPr>
            <w:rStyle w:val="Hyperlink"/>
          </w:rPr>
          <w:t xml:space="preserve">§ 6 </w:t>
        </w:r>
        <w:r>
          <w:rPr>
            <w:rStyle w:val="Hyperlink"/>
          </w:rPr>
          <w:t>Absatz</w:t>
        </w:r>
        <w:r w:rsidRPr="002D1F1D">
          <w:rPr>
            <w:rStyle w:val="Hyperlink"/>
          </w:rPr>
          <w:t xml:space="preserve"> 7</w:t>
        </w:r>
      </w:hyperlink>
      <w:r>
        <w:t xml:space="preserve">) vereinbart wird, ist ein Arbeitszeitkonto nach Maßgabe der </w:t>
      </w:r>
      <w:hyperlink r:id="rId39" w:history="1">
        <w:r w:rsidRPr="002D1F1D">
          <w:rPr>
            <w:rStyle w:val="Hyperlink"/>
          </w:rPr>
          <w:t>AZKR</w:t>
        </w:r>
      </w:hyperlink>
      <w:r>
        <w:t xml:space="preserve"> einzurichten.</w:t>
      </w:r>
    </w:p>
    <w:p w:rsidR="00BE1EFE" w:rsidRPr="000B1AF8" w:rsidRDefault="00BE1EFE">
      <w:pPr>
        <w:pStyle w:val="StandardWeb"/>
      </w:pPr>
    </w:p>
    <w:p w:rsidR="00BE1EFE" w:rsidRDefault="00BE1EFE">
      <w:pPr>
        <w:pStyle w:val="StandardWeb"/>
      </w:pPr>
      <w:r>
        <w:t>(2) Alle Beschäftigten einer Einrichtung oder von Teilen einer Einrichtung, für die ein Arbeitszeitkonto eingerichtet wird, werden von den Regelungen des Arbeitszeitkontos erfasst.</w:t>
      </w:r>
    </w:p>
    <w:p w:rsidR="00BE1EFE" w:rsidRDefault="00BE1EFE">
      <w:pPr>
        <w:pStyle w:val="berschrift6"/>
      </w:pPr>
      <w:bookmarkStart w:id="18" w:name="_Toc523925689"/>
      <w:r>
        <w:t>§ 11 Teilzeitbeschäftigung</w:t>
      </w:r>
      <w:bookmarkEnd w:id="18"/>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Mit Beschäftigten soll auf Antrag eine geringere als die vertraglich festgelegte Arbeitszeit vereinbart werden, wenn sie</w:t>
      </w:r>
    </w:p>
    <w:p w:rsidR="00BE1EFE" w:rsidRDefault="00BE1EFE">
      <w:pPr>
        <w:pStyle w:val="StandardWeb"/>
      </w:pPr>
      <w:r>
        <w:t>a) mindestens ein Kind unter 18 Jahren oder</w:t>
      </w:r>
    </w:p>
    <w:p w:rsidR="00BE1EFE" w:rsidRDefault="00BE1EFE">
      <w:pPr>
        <w:pStyle w:val="StandardWeb"/>
      </w:pPr>
      <w:r>
        <w:t>b) einen nach ärztlichem Gutachten pflegebedürftigen sonstigen Angehörigen</w:t>
      </w:r>
    </w:p>
    <w:p w:rsidR="00BE1EFE" w:rsidRDefault="00BE1EFE">
      <w:pPr>
        <w:pStyle w:val="StandardWeb"/>
      </w:pPr>
      <w:r>
        <w:t xml:space="preserve">tatsächlich betreuen oder pflegen und dringende dienstliche bzw. betriebliche Belange nicht entgegenstehen. </w:t>
      </w:r>
      <w:r>
        <w:rPr>
          <w:rStyle w:val="kleinschrift"/>
        </w:rPr>
        <w:t>2</w:t>
      </w:r>
      <w:r>
        <w:t xml:space="preserve">Die Teilzeitbeschäftigung nach Satz 1 ist auf Antrag auf bis zu fünf Jahre zu befristen. </w:t>
      </w:r>
      <w:r>
        <w:rPr>
          <w:rStyle w:val="kleinschrift"/>
        </w:rPr>
        <w:t>3</w:t>
      </w:r>
      <w:r>
        <w:t xml:space="preserve">Sie kann verlängert werden; der Antrag ist spätestens sechs Monate vor Ablauf der vereinbarten Teilzeitbeschäftigung zu stellen. </w:t>
      </w:r>
      <w:r>
        <w:rPr>
          <w:rStyle w:val="kleinschrift"/>
        </w:rPr>
        <w:t>4</w:t>
      </w:r>
      <w:r>
        <w:t>Bei der Gestaltung der Arbeitszeit hat der Arbeitgeber im Rahmen der dienstlichen bzw. betrieblichen Möglichkeiten der besonderen persönlichen Situation der/des Beschäftigten nach Satz 1 Rechnung zu tragen.</w:t>
      </w:r>
    </w:p>
    <w:p w:rsidR="00BE1EFE" w:rsidRDefault="00BE1EFE">
      <w:pPr>
        <w:pStyle w:val="StandardWeb"/>
      </w:pPr>
      <w:r>
        <w:rPr>
          <w:sz w:val="12"/>
          <w:szCs w:val="12"/>
        </w:rPr>
        <w:t xml:space="preserve">Hinweis zu Absatz 1 Buchstabe b: </w:t>
      </w:r>
    </w:p>
    <w:p w:rsidR="00BE1EFE" w:rsidRPr="000B1AF8" w:rsidRDefault="00BE1EFE">
      <w:pPr>
        <w:pStyle w:val="StandardWeb"/>
      </w:pPr>
      <w:r>
        <w:rPr>
          <w:sz w:val="12"/>
          <w:szCs w:val="12"/>
        </w:rPr>
        <w:lastRenderedPageBreak/>
        <w:t>1Im Falle einer Teilzeitbeschäftigung nach Absatz 1 Buchstabe b kann die Dauer der Teilzeitbeschäftigung durch eine Befristung auf den Fortfall des Zweckes festgelegt werden. 2Wird für die Dauer einer zweckbefristeten Teilzeitbeschäftigung nach Absatz 1 Buchstabe b eine Vertretungskraft eingestellt, liegt hierin ein sachlicher Grund für die Befristung eines Arbeitsverhältnisses. 3Über die Dauer der Vertretung nach Satz 2 hinaus ist die Befristung für notwendige Zeiten einer Einarbeitung zulässig.</w:t>
      </w:r>
    </w:p>
    <w:p w:rsidR="00BE1EFE" w:rsidRPr="000B1AF8" w:rsidRDefault="00BE1EFE">
      <w:pPr>
        <w:pStyle w:val="StandardWeb"/>
      </w:pPr>
    </w:p>
    <w:p w:rsidR="00BE1EFE" w:rsidRDefault="00BE1EFE">
      <w:pPr>
        <w:pStyle w:val="StandardWeb"/>
      </w:pPr>
      <w:r>
        <w:t>(2) Beschäftigte, die in anderen als den in Absatz 1 genannten Fällen eine Teilzeitbeschäf</w:t>
      </w:r>
      <w:r>
        <w:softHyphen/>
        <w:t>tigung vereinbaren wollen, können von ihrem Arbeitgeber verlangen, dass er mit ihnen die Möglichkeit einer Teilzeitbeschäftigung mit dem Ziel erörtert, zu einer entsprechenden Vereinbarung zu gelangen.</w:t>
      </w:r>
    </w:p>
    <w:p w:rsidR="00BE1EFE" w:rsidRDefault="00BE1EFE">
      <w:pPr>
        <w:pStyle w:val="StandardWeb"/>
      </w:pPr>
    </w:p>
    <w:p w:rsidR="00BE1EFE" w:rsidRDefault="00BE1EFE">
      <w:pPr>
        <w:pStyle w:val="StandardWeb"/>
      </w:pPr>
      <w:r>
        <w:t>(3) Ist mit früher Vollbeschäftigten auf ihren Wunsch eine nicht befristete Teilzeitbeschäftigung vereinbart worden, sollen sie bei späterer Besetzung eines Vollzeitarbeitsplatzes bei gleicher Eignung im Rahmen der dienstlichen bzw. betrieblichen Möglichkeiten bevorzugt berücksichtigt werden.</w:t>
      </w:r>
    </w:p>
    <w:p w:rsidR="00BE1EFE" w:rsidRDefault="00BE1EFE">
      <w:pPr>
        <w:pStyle w:val="berschrift6"/>
      </w:pPr>
      <w:bookmarkStart w:id="19" w:name="_Toc523925690"/>
      <w:r>
        <w:t>§ 11a Arbeitsplatzteilung</w:t>
      </w:r>
      <w:bookmarkEnd w:id="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Vereinbart der Arbeitgeber ausnahmsweise mit zwei oder mehr Beschäftigten, dass sich diese die Arbeitszeit an einem Arbeitsplatz teilen (Arbeitsplatzteilung), so ist er beim Abschluss des Arbeitsvertrages für die Beschäftigte/den Beschäftigten vorab berechtigt, die in die Arbeitsplatzteilung einbezogenen Beschäftigten für den Fall eines dringenden betrieblichen Erfordernisses zur Vertretung der/des anderen Beschäftigten arbeitsvertraglich zu verpflichten. </w:t>
      </w:r>
      <w:r>
        <w:rPr>
          <w:rStyle w:val="kleinschrift"/>
        </w:rPr>
        <w:t>2</w:t>
      </w:r>
      <w:r>
        <w:t>Die/der Beschäftigte ist zur Vertretung nur verpflichtet, soweit sie ihr/ihm im Einzelfall zumutbar ist.</w:t>
      </w:r>
    </w:p>
    <w:p w:rsidR="00BE1EFE" w:rsidRPr="000B1AF8" w:rsidRDefault="00BE1EFE">
      <w:pPr>
        <w:pStyle w:val="StandardWeb"/>
      </w:pPr>
    </w:p>
    <w:p w:rsidR="00BE1EFE" w:rsidRDefault="00BE1EFE">
      <w:pPr>
        <w:pStyle w:val="StandardWeb"/>
      </w:pPr>
      <w:r>
        <w:t>(2) Absatz 1 ist entsprechend anzuwenden, wenn sich Gruppen von Beschäftigten auf bestimmten Arbeitsplätzen in festgelegten Zeitabschnitten abwechseln, ohne dass eine Arbeitsplatzteilung im Sinne des Absatz 1 vorliegt.</w:t>
      </w:r>
    </w:p>
    <w:p w:rsidR="00BE1EFE" w:rsidRDefault="00BE1EFE">
      <w:pPr>
        <w:pStyle w:val="berschrift6"/>
      </w:pPr>
      <w:bookmarkStart w:id="20" w:name="_Toc523925691"/>
      <w:r>
        <w:t>§ 11b Mindestdauer, zeitliche Lage der Arbeitszeit</w:t>
      </w:r>
      <w:bookmarkEnd w:id="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die/der Beschäftigte vertraglich zur Arbeitsleistung entsprechend dem Arbeitsanfall in Anspruch genommen, ist für einen bestimmten Zeitraum (Woche, Monat oder drei Monate) eine bestimmte Mindestzahl von Wochenarbeitsstunden vertraglich festzulegen.</w:t>
      </w:r>
    </w:p>
    <w:p w:rsidR="00BE1EFE" w:rsidRPr="000B1AF8" w:rsidRDefault="00BE1EFE">
      <w:pPr>
        <w:pStyle w:val="StandardWeb"/>
      </w:pPr>
    </w:p>
    <w:p w:rsidR="00BE1EFE" w:rsidRDefault="00BE1EFE">
      <w:pPr>
        <w:pStyle w:val="StandardWeb"/>
      </w:pPr>
      <w:r>
        <w:t>(2) Der Arbeitgeber hat der/dem Beschäftigten die zeitliche Lage der Arbeitszeit (Beginn und Ende) so früh wie möglich mitzuteilen.</w:t>
      </w:r>
    </w:p>
    <w:p w:rsidR="00BE1EFE" w:rsidRDefault="00BE1EFE" w:rsidP="00D0040A">
      <w:pPr>
        <w:pStyle w:val="berschrift5"/>
        <w:spacing w:before="0"/>
        <w:rPr>
          <w:lang w:eastAsia="x-none"/>
        </w:rPr>
      </w:pPr>
      <w:r>
        <w:br w:type="page"/>
      </w:r>
      <w:bookmarkStart w:id="21" w:name="_Toc523925692"/>
      <w:r>
        <w:lastRenderedPageBreak/>
        <w:t>Abschnitt III: Eingruppierung, Entgelt und sonstige Leistungen (§§ 12 - 25c)</w:t>
      </w:r>
      <w:bookmarkEnd w:id="21"/>
    </w:p>
    <w:p w:rsidR="00BE1EFE" w:rsidRPr="00B76821" w:rsidRDefault="00BE1EFE" w:rsidP="00B76821">
      <w:pPr>
        <w:pStyle w:val="berschrift6"/>
        <w:keepNext w:val="0"/>
        <w:spacing w:before="0" w:after="0"/>
        <w:rPr>
          <w:sz w:val="2"/>
        </w:rPr>
      </w:pPr>
    </w:p>
    <w:p w:rsidR="00BE1EFE" w:rsidRPr="001B34FE" w:rsidRDefault="00BE1EFE" w:rsidP="001B34FE">
      <w:pPr>
        <w:pStyle w:val="StandardWeb"/>
        <w:rPr>
          <w:i/>
        </w:rPr>
      </w:pPr>
      <w:r w:rsidRPr="001B34FE">
        <w:rPr>
          <w:i/>
        </w:rPr>
        <w:t>(Die Änderungen des § 20</w:t>
      </w:r>
      <w:r>
        <w:rPr>
          <w:i/>
        </w:rPr>
        <w:t xml:space="preserve"> </w:t>
      </w:r>
      <w:r w:rsidRPr="001B34FE">
        <w:rPr>
          <w:i/>
        </w:rPr>
        <w:t>zum 1. Mai 2017 durch Beschluss der Kommission für das Arbeitsvertragsrecht der bayerischen Diözesen vom 16. März 2017 veröffentlicht in der Anlage zu den Amtsblättern der bayerischen Diözesen „</w:t>
      </w:r>
      <w:hyperlink r:id="rId40" w:history="1">
        <w:r w:rsidRPr="001B34FE">
          <w:rPr>
            <w:rStyle w:val="Hyperlink"/>
            <w:i/>
          </w:rPr>
          <w:t>Änderungen und Ergänzungen zum Arbeitsvertragsrecht der bayerischen Diözesen – ABD – Nr. 117</w:t>
        </w:r>
      </w:hyperlink>
      <w:r w:rsidRPr="001B34FE">
        <w:rPr>
          <w:i/>
        </w:rPr>
        <w:t>“ sind befristet bis zum 31. Dezember 2020.)</w:t>
      </w:r>
    </w:p>
    <w:p w:rsidR="00BE1EFE" w:rsidRDefault="00BE1EFE">
      <w:pPr>
        <w:pStyle w:val="berschrift6"/>
        <w:rPr>
          <w:lang w:eastAsia="x-none"/>
        </w:rPr>
      </w:pPr>
      <w:bookmarkStart w:id="22" w:name="_Toc523925693"/>
      <w:r>
        <w:t>§ 12 Eingruppierung</w:t>
      </w:r>
      <w:bookmarkEnd w:id="22"/>
    </w:p>
    <w:p w:rsidR="00BE1EFE" w:rsidRPr="00B76821" w:rsidRDefault="00BE1EFE" w:rsidP="00B76821">
      <w:pPr>
        <w:pStyle w:val="h7"/>
        <w:keepNext w:val="0"/>
        <w:spacing w:before="0" w:after="0"/>
        <w:jc w:val="left"/>
        <w:outlineLvl w:val="5"/>
        <w:rPr>
          <w:sz w:val="2"/>
        </w:rPr>
      </w:pPr>
    </w:p>
    <w:p w:rsidR="00BE1EFE" w:rsidRDefault="00BE1EFE" w:rsidP="003F0E94">
      <w:pPr>
        <w:pStyle w:val="StandardWeb"/>
      </w:pPr>
      <w:r>
        <w:t>(1) </w:t>
      </w:r>
      <w:r w:rsidRPr="003F0E94">
        <w:rPr>
          <w:sz w:val="12"/>
          <w:szCs w:val="12"/>
        </w:rPr>
        <w:t>1</w:t>
      </w:r>
      <w:r>
        <w:t xml:space="preserve">Die Eingruppierung der/des Beschäftigten richtet sich nach den Tätigkeitsmerkmalen des Teil A, 2. - Entgeltordnung. </w:t>
      </w:r>
      <w:r>
        <w:rPr>
          <w:sz w:val="12"/>
          <w:szCs w:val="12"/>
        </w:rPr>
        <w:t>2</w:t>
      </w:r>
      <w:r>
        <w:t>Die/Der Beschäftigte erhält Entgelt nach der Entgeltgruppe, in der sie/er eingruppiert ist.</w:t>
      </w:r>
    </w:p>
    <w:p w:rsidR="00BE1EFE" w:rsidRDefault="00BE1EFE" w:rsidP="003F0E94">
      <w:pPr>
        <w:pStyle w:val="StandardWeb"/>
      </w:pPr>
    </w:p>
    <w:p w:rsidR="00BE1EFE" w:rsidRDefault="00BE1EFE" w:rsidP="003F0E94">
      <w:pPr>
        <w:pStyle w:val="StandardWeb"/>
      </w:pPr>
      <w:r>
        <w:t>(2) </w:t>
      </w:r>
      <w:r w:rsidRPr="003F0E94">
        <w:rPr>
          <w:sz w:val="12"/>
          <w:szCs w:val="12"/>
        </w:rPr>
        <w:t>1</w:t>
      </w:r>
      <w:r>
        <w:t xml:space="preserve">Die/Der Beschäftigte ist in der Entgeltgruppe eingruppiert, deren Tätigkeitsmerkmalen die gesamte von ihr/ihm nicht nur vorübergehend auszuübende Tätigkeit entspricht. </w:t>
      </w:r>
      <w:r w:rsidRPr="003F0E94">
        <w:rPr>
          <w:sz w:val="12"/>
          <w:szCs w:val="12"/>
        </w:rPr>
        <w:t>2</w:t>
      </w:r>
      <w:r>
        <w:t xml:space="preserve">Die gesamte auszuübende Tätigkeit entspricht den Tätigkeitsmerkmalen einer Entgeltgruppe, wenn zeitlich mindestens zur Hälfte Arbeitsvorgänge anfallen, die für sich genommen die Anforderungen eines Tätigkeitsmerkmals oder mehrerer Tätigkeitsmerkmale dieser Entgeltgruppe erfüllen. </w:t>
      </w:r>
      <w:r w:rsidRPr="003F0E94">
        <w:rPr>
          <w:sz w:val="12"/>
          <w:szCs w:val="12"/>
        </w:rPr>
        <w:t>3</w:t>
      </w:r>
      <w:r>
        <w:t>Kann die Erfüllung einer Anforderung in der Regel erst bei der Betrachtung mehrerer Arbeitsvorgänge festgestellt werden (z. B. vielseitige Fachkenntnisse), sind diese Arbeits</w:t>
      </w:r>
      <w:r>
        <w:softHyphen/>
        <w:t xml:space="preserve">vorgänge für die Feststellung, ob diese Anforderung erfüllt ist, insoweit zusammen zu beurteilen. </w:t>
      </w:r>
      <w:r w:rsidRPr="003F0E94">
        <w:rPr>
          <w:sz w:val="12"/>
          <w:szCs w:val="12"/>
        </w:rPr>
        <w:t>4</w:t>
      </w:r>
      <w:r>
        <w:t xml:space="preserve">Werden in einem Tätigkeitsmerkmal mehrere Anforderungen gestellt, gilt das in Satz 2 bestimmte Maß, ebenfalls bezogen auf die gesamte auszuübende Tätigkeit, für jede Anforderung. </w:t>
      </w:r>
      <w:r w:rsidRPr="003F0E94">
        <w:rPr>
          <w:sz w:val="12"/>
          <w:szCs w:val="12"/>
        </w:rPr>
        <w:t>5</w:t>
      </w:r>
      <w:r>
        <w:t xml:space="preserve">Ist in einem Tätigkeitsmerkmal ein von den Sätzen 2 bis 4 abweichendes zeitliches Maß bestimmt, gilt dieses. </w:t>
      </w:r>
      <w:r w:rsidRPr="003F0E94">
        <w:rPr>
          <w:sz w:val="12"/>
          <w:szCs w:val="12"/>
        </w:rPr>
        <w:t>6</w:t>
      </w:r>
      <w:r>
        <w:t>Ist in einem Tätigkeitsmerkmal als Anforderung eine Voraussetzung in der Person der/des Beschäftigten bestimmt, muss auch diese Anforderung erfüllt sein.</w:t>
      </w:r>
    </w:p>
    <w:p w:rsidR="00BE1EFE" w:rsidRPr="003F0E94" w:rsidRDefault="00BE1EFE" w:rsidP="003F0E94">
      <w:pPr>
        <w:pStyle w:val="StandardWeb"/>
        <w:rPr>
          <w:sz w:val="12"/>
          <w:szCs w:val="12"/>
        </w:rPr>
      </w:pPr>
      <w:r w:rsidRPr="003F0E94">
        <w:rPr>
          <w:sz w:val="12"/>
          <w:szCs w:val="12"/>
        </w:rPr>
        <w:t>Anmerkung zu Absatz 2:</w:t>
      </w:r>
    </w:p>
    <w:p w:rsidR="00BE1EFE" w:rsidRPr="003F0E94" w:rsidRDefault="00BE1EFE" w:rsidP="003F0E94">
      <w:pPr>
        <w:pStyle w:val="StandardWeb"/>
        <w:rPr>
          <w:sz w:val="12"/>
          <w:szCs w:val="12"/>
        </w:rPr>
      </w:pPr>
      <w:r w:rsidRPr="003F0E94">
        <w:rPr>
          <w:sz w:val="12"/>
          <w:szCs w:val="12"/>
        </w:rPr>
        <w:t>1Arbeitsvorgänge sind Arbeitsleistungen (einschließlich Zusammenhangsarbeiten), die, bezogen auf den Aufgabenkreis der/des Beschäftigten, zu einem bei natürlicher Betrachtung abgrenzbaren Arbeitsergebnis führen (</w:t>
      </w:r>
      <w:r>
        <w:rPr>
          <w:sz w:val="12"/>
          <w:szCs w:val="12"/>
        </w:rPr>
        <w:t>z. B.</w:t>
      </w:r>
      <w:r w:rsidRPr="003F0E94">
        <w:rPr>
          <w:sz w:val="12"/>
          <w:szCs w:val="12"/>
        </w:rPr>
        <w:t xml:space="preserve"> unterschriftsreife Bearbeitung eines Aktenvorgangs, eines Widerspruchs oder eines Antrags, Erstellung eines EKG, Fertigung einer Bauzeichnung, Konstruktion einer Brücke oder eines Brückenteils, Bearbeitung eines Antrags auf eine Sozialleistung, Betreuung einer Person oder Personengruppe, Durchführung einer Unterhaltungs- oder Instandsetzungsarbeit). 2Jeder einzelne Arbeitsvorgang ist als solcher zu bewerten und darf dabei hinsichtlich der Anforderungen zeitlich nicht aufgespalten werden. 3Eine Anforderung im Sinne der Sätze 2 und 3 ist auch das in einem Tätigkeitsmerkmal geforderte Herausheben der Tätigkeit aus einer niedrigeren Entgeltgruppe.</w:t>
      </w:r>
    </w:p>
    <w:p w:rsidR="00BE1EFE" w:rsidRDefault="00BE1EFE" w:rsidP="003F0E94">
      <w:pPr>
        <w:pStyle w:val="StandardWeb"/>
      </w:pPr>
    </w:p>
    <w:p w:rsidR="00BE1EFE" w:rsidRPr="000B1AF8" w:rsidRDefault="00BE1EFE">
      <w:pPr>
        <w:pStyle w:val="StandardWeb"/>
      </w:pPr>
      <w:r>
        <w:t>(3) Die Entgeltgruppe der/des Beschäftigten ist im Arbeitsvertrag anzugeben.</w:t>
      </w:r>
    </w:p>
    <w:p w:rsidR="00BE1EFE" w:rsidRDefault="00BE1EFE">
      <w:pPr>
        <w:pStyle w:val="berschrift6"/>
        <w:rPr>
          <w:lang w:eastAsia="x-none"/>
        </w:rPr>
      </w:pPr>
      <w:bookmarkStart w:id="23" w:name="_Toc523925694"/>
      <w:r>
        <w:t>§ 13 Eingruppierung in besonderen Fällen</w:t>
      </w:r>
      <w:bookmarkEnd w:id="23"/>
    </w:p>
    <w:p w:rsidR="00BE1EFE" w:rsidRPr="00B76821" w:rsidRDefault="00BE1EFE" w:rsidP="00B76821">
      <w:pPr>
        <w:pStyle w:val="h7"/>
        <w:keepNext w:val="0"/>
        <w:spacing w:before="0" w:after="0"/>
        <w:jc w:val="left"/>
        <w:outlineLvl w:val="5"/>
        <w:rPr>
          <w:sz w:val="2"/>
        </w:rPr>
      </w:pPr>
    </w:p>
    <w:p w:rsidR="00BE1EFE" w:rsidRDefault="00BE1EFE" w:rsidP="003F0E94">
      <w:pPr>
        <w:pStyle w:val="StandardWeb"/>
      </w:pPr>
      <w:r>
        <w:t>(1) </w:t>
      </w:r>
      <w:r w:rsidRPr="003F0E94">
        <w:rPr>
          <w:sz w:val="12"/>
          <w:szCs w:val="12"/>
        </w:rPr>
        <w:t>1</w:t>
      </w:r>
      <w:r>
        <w:t xml:space="preserve">Ist der/dem Beschäftigten eine andere, höherwertige Tätigkeit nicht übertragen worden, hat sich aber die ihr/ihm übertragene Tätigkeit (§ 12 Absatz 2 Satz 1) nicht nur vorübergehend derart geändert, dass sie den Tätigkeitsmerkmalen einer höheren als ihrer/seiner bisherigen Entgeltgruppe entspricht (§ 12 Absatz 2 Sätze 2 bis 6), und hat die/der Beschäftigte die höherwertige Tätigkeit ununterbrochen sechs Monate lang ausgeübt, ist sie/er mit Beginn des darauffolgenden Kalendermonats in der höheren Entgeltgruppe eingruppiert. </w:t>
      </w:r>
      <w:r w:rsidRPr="003F0E94">
        <w:rPr>
          <w:sz w:val="12"/>
          <w:szCs w:val="12"/>
        </w:rPr>
        <w:t>2</w:t>
      </w:r>
      <w:r>
        <w:t>Für die zurückliegenden sechs Kalendermonate gilt § 14 Absatz 1 sinngemäß.</w:t>
      </w:r>
    </w:p>
    <w:p w:rsidR="00BE1EFE" w:rsidRDefault="00BE1EFE" w:rsidP="003F0E94">
      <w:pPr>
        <w:pStyle w:val="StandardWeb"/>
      </w:pPr>
    </w:p>
    <w:p w:rsidR="00BE1EFE" w:rsidRDefault="00BE1EFE" w:rsidP="003F0E94">
      <w:pPr>
        <w:pStyle w:val="StandardWeb"/>
      </w:pPr>
      <w:r>
        <w:t>(2) </w:t>
      </w:r>
      <w:r w:rsidRPr="003F0E94">
        <w:rPr>
          <w:sz w:val="12"/>
          <w:szCs w:val="12"/>
        </w:rPr>
        <w:t>1</w:t>
      </w:r>
      <w:r>
        <w:t xml:space="preserve">Ist die Zeit der Ausübung der höherwertigen Tätigkeit durch Urlaub, Arbeitsbefreiung, Arbeitsunfähigkeit, Kur- oder Heilverfahren oder Vorbereitung auf eine Fachprüfung für die </w:t>
      </w:r>
      <w:r>
        <w:lastRenderedPageBreak/>
        <w:t xml:space="preserve">Dauer von insgesamt nicht mehr als sechs Wochen unterbrochen worden, wird die Unterbrechungszeit in die Frist von sechs Monaten eingerechnet. </w:t>
      </w:r>
      <w:r w:rsidRPr="003F0E94">
        <w:rPr>
          <w:sz w:val="12"/>
          <w:szCs w:val="12"/>
        </w:rPr>
        <w:t>2</w:t>
      </w:r>
      <w:r>
        <w:t>Bei einer längeren Unterbrechung oder bei einer Unterbrechung aus anderen Gründen beginnt die Frist nach der Beendigung der Unterbrechung von neuem.</w:t>
      </w:r>
    </w:p>
    <w:p w:rsidR="00BE1EFE" w:rsidRDefault="00BE1EFE" w:rsidP="003F0E94">
      <w:pPr>
        <w:pStyle w:val="StandardWeb"/>
      </w:pPr>
    </w:p>
    <w:p w:rsidR="00BE1EFE" w:rsidRDefault="00BE1EFE" w:rsidP="003F0E94">
      <w:pPr>
        <w:pStyle w:val="StandardWeb"/>
      </w:pPr>
      <w:r>
        <w:t>(3) Wird der/dem Beschäftigten vor Ablauf der sechs Monate wieder eine Tätigkeit zuge</w:t>
      </w:r>
      <w:r>
        <w:softHyphen/>
        <w:t>wiesen, die den Tätigkeitsmerkmalen ihrer/seiner bisherigen Entgeltgruppe entspricht, gilt § 14 Absatz 1 sinngemäß.</w:t>
      </w:r>
    </w:p>
    <w:p w:rsidR="00BE1EFE" w:rsidRDefault="00BE1EFE" w:rsidP="003F0E94">
      <w:pPr>
        <w:pStyle w:val="StandardWeb"/>
      </w:pPr>
    </w:p>
    <w:p w:rsidR="00BE1EFE" w:rsidRPr="003F0E94" w:rsidRDefault="00BE1EFE" w:rsidP="003F0E94">
      <w:pPr>
        <w:pStyle w:val="StandardWeb"/>
        <w:rPr>
          <w:sz w:val="12"/>
          <w:szCs w:val="12"/>
        </w:rPr>
      </w:pPr>
      <w:r w:rsidRPr="003F0E94">
        <w:rPr>
          <w:sz w:val="12"/>
          <w:szCs w:val="12"/>
        </w:rPr>
        <w:t>Anmerkung zu §§ 12,13:</w:t>
      </w:r>
    </w:p>
    <w:p w:rsidR="00BE1EFE" w:rsidRPr="00C84A68" w:rsidRDefault="00BE1EFE">
      <w:pPr>
        <w:pStyle w:val="StandardWeb"/>
        <w:rPr>
          <w:sz w:val="12"/>
          <w:szCs w:val="12"/>
        </w:rPr>
      </w:pPr>
      <w:r w:rsidRPr="003F0E94">
        <w:rPr>
          <w:sz w:val="12"/>
          <w:szCs w:val="12"/>
        </w:rPr>
        <w:t>Die Grundsätze der korrigierenden Rüc</w:t>
      </w:r>
      <w:r>
        <w:rPr>
          <w:sz w:val="12"/>
          <w:szCs w:val="12"/>
        </w:rPr>
        <w:t>kgruppierung bleiben unberührt.</w:t>
      </w:r>
    </w:p>
    <w:p w:rsidR="00BE1EFE" w:rsidRDefault="00BE1EFE">
      <w:pPr>
        <w:pStyle w:val="berschrift6"/>
      </w:pPr>
      <w:bookmarkStart w:id="24" w:name="_Toc523925695"/>
      <w:r>
        <w:t>§ 14 Vorübergehende Ausübung einer höherwertigen Tätigkeit</w:t>
      </w:r>
      <w:bookmarkEnd w:id="2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der/dem Beschäftigten vorübergehend eine andere Tätigkeit übertragen, die den Tätigkeitsmerkmalen einer höheren als ihrer/seiner Eingruppierung entspricht, und hat sie/er diese mindestens einen Monat ausgeübt, erhält sie/er für die Dauer der Ausübung eine persönliche Zulage rückwirkend ab dem ersten Tag der Übertragung der Tätigkeit.</w:t>
      </w:r>
    </w:p>
    <w:p w:rsidR="00BE1EFE" w:rsidRPr="000B1AF8" w:rsidRDefault="00BE1EFE">
      <w:pPr>
        <w:pStyle w:val="StandardWeb"/>
      </w:pPr>
    </w:p>
    <w:p w:rsidR="00BE1EFE" w:rsidRDefault="00BE1EFE">
      <w:pPr>
        <w:pStyle w:val="StandardWeb"/>
      </w:pPr>
      <w:r>
        <w:t>(2) Durch Regelung der Bayerischen Regional-KODA wird im Rahmen eines Kataloges, der die in Frage kommenden Tätigkeiten aufführt, bestimmt, dass die Voraussetzung für die Zahlung einer persönlichen Zulage bereits erfüllt ist, wenn die vorübergehend übertragene Tätigkeit mindestens drei Arbeitstage angedauert hat und die/der Beschäftigte ab dem ersten Tag der Vertretung in Anspruch genommen worden ist.</w:t>
      </w:r>
    </w:p>
    <w:p w:rsidR="00BE1EFE" w:rsidRDefault="00BE1EFE">
      <w:pPr>
        <w:pStyle w:val="StandardWeb"/>
      </w:pPr>
    </w:p>
    <w:p w:rsidR="00BE1EFE" w:rsidRDefault="00BE1EFE">
      <w:pPr>
        <w:pStyle w:val="StandardWeb"/>
      </w:pPr>
      <w:r>
        <w:t xml:space="preserve">(3) Die persönliche Zulage für Beschäftigte bemisst sich nach jeweiligen Unterschiedsbetrag zu dem Tabellenentgelt, das sich bei dauerhafter Übertragung nach </w:t>
      </w:r>
      <w:hyperlink r:id="rId41" w:history="1">
        <w:r w:rsidRPr="001451C5">
          <w:rPr>
            <w:rStyle w:val="Hyperlink"/>
          </w:rPr>
          <w:t>§ 17 Absatz 4 Satz 1</w:t>
        </w:r>
      </w:hyperlink>
      <w:r>
        <w:t xml:space="preserve"> ergeben hätte.</w:t>
      </w:r>
    </w:p>
    <w:p w:rsidR="00BE1EFE" w:rsidRDefault="00BE1EFE">
      <w:pPr>
        <w:pStyle w:val="berschrift6"/>
      </w:pPr>
      <w:bookmarkStart w:id="25" w:name="_Toc523925696"/>
      <w:r>
        <w:t>§ 14a Höher- bzw. Herabgruppierung von Leiterinnen/Leitern von Kindertageseinrichtungen, Erzieherinnen/Erzieher mit besonders schwierigen fachlichen Tätigkeiten und Kinderpflegerinnen/Kinderpfleger mit schwierigen fachlichen Tätigkeiten</w:t>
      </w:r>
      <w:bookmarkEnd w:id="25"/>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C84A68">
      <w:pPr>
        <w:pStyle w:val="StandardWeb"/>
        <w:autoSpaceDE w:val="0"/>
      </w:pPr>
      <w:r>
        <w:rPr>
          <w:rStyle w:val="Hervorhebung"/>
          <w:iCs/>
        </w:rPr>
        <w:t>(aufgehoben durch Beschluss vom 10.12.2009 mit Inkraftsetzung zum 01.11.2009)</w:t>
      </w:r>
    </w:p>
    <w:p w:rsidR="00BE1EFE" w:rsidRDefault="00BE1EFE">
      <w:pPr>
        <w:pStyle w:val="berschrift6"/>
      </w:pPr>
      <w:bookmarkStart w:id="26" w:name="_Toc523925697"/>
      <w:r>
        <w:t>§ 15 Tabellenentgelt</w:t>
      </w:r>
      <w:bookmarkEnd w:id="2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Die/Der Beschäftigte erhält monatlich ein Tabellenentgelt. </w:t>
      </w:r>
      <w:r>
        <w:rPr>
          <w:rStyle w:val="kleinschrift"/>
        </w:rPr>
        <w:t>2</w:t>
      </w:r>
      <w:r>
        <w:t>Die Höhe bestimmt sich nach der Entgeltgruppe, in die sie/er eingruppiert ist, und nach der für sie/ihn geltenden Stufe.</w:t>
      </w:r>
    </w:p>
    <w:p w:rsidR="00BE1EFE" w:rsidRPr="000B1AF8" w:rsidRDefault="00BE1EFE">
      <w:pPr>
        <w:pStyle w:val="StandardWeb"/>
      </w:pPr>
    </w:p>
    <w:p w:rsidR="00BE1EFE" w:rsidRDefault="00BE1EFE">
      <w:pPr>
        <w:pStyle w:val="StandardWeb"/>
      </w:pPr>
      <w:r>
        <w:t xml:space="preserve">(2) Beschäftigte erhalten Entgelt nach der </w:t>
      </w:r>
      <w:hyperlink r:id="rId42" w:history="1">
        <w:r w:rsidRPr="002D1F1D">
          <w:rPr>
            <w:rStyle w:val="Hyperlink"/>
          </w:rPr>
          <w:t>Anlage A</w:t>
        </w:r>
      </w:hyperlink>
      <w:r>
        <w:t>.</w:t>
      </w:r>
    </w:p>
    <w:p w:rsidR="00BE1EFE" w:rsidRDefault="00BE1EFE">
      <w:pPr>
        <w:pStyle w:val="StandardWeb"/>
      </w:pPr>
    </w:p>
    <w:p w:rsidR="00BE1EFE" w:rsidRDefault="00BE1EFE">
      <w:pPr>
        <w:pStyle w:val="StandardWeb"/>
      </w:pPr>
      <w:r>
        <w:t>(3) </w:t>
      </w:r>
      <w:r>
        <w:rPr>
          <w:rStyle w:val="kleinschrift"/>
        </w:rPr>
        <w:t>1</w:t>
      </w:r>
      <w:r>
        <w:t xml:space="preserve">Durch Regelung der Bayerischen Regional-KODA können für an- und ungelernte Tätigkeiten in von Outsourcing und/oder Privatisierung bedrohten Bereichen in den Entgeltgruppen 1 bis 4 Abweichungen von der Entgelttabelle bis zu einer dort vereinbarten Untergrenze vorgenommen werden. </w:t>
      </w:r>
      <w:r>
        <w:rPr>
          <w:rStyle w:val="kleinschrift"/>
        </w:rPr>
        <w:t>2</w:t>
      </w:r>
      <w:r>
        <w:t>Die Untergrenze muss im Rahmen der Spannbreite des Entgelts der Entgeltgruppe 1 liegen.</w:t>
      </w:r>
    </w:p>
    <w:p w:rsidR="00BE1EFE" w:rsidRDefault="00BE1EFE">
      <w:pPr>
        <w:pStyle w:val="StandardWeb"/>
      </w:pPr>
    </w:p>
    <w:p w:rsidR="00BE1EFE" w:rsidRDefault="00BE1EFE">
      <w:pPr>
        <w:pStyle w:val="berschrift6"/>
      </w:pPr>
      <w:bookmarkStart w:id="27" w:name="_Toc523925698"/>
      <w:r>
        <w:lastRenderedPageBreak/>
        <w:t>§ 16 Stufen der Entgelttabelle</w:t>
      </w:r>
      <w:bookmarkEnd w:id="2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Entgeltgruppen 2 bis 15 umfassen sechs Stufen. </w:t>
      </w:r>
      <w:r>
        <w:rPr>
          <w:rStyle w:val="kleinschrift"/>
        </w:rPr>
        <w:t>2</w:t>
      </w:r>
      <w:r>
        <w:t xml:space="preserve">Die Abweichungen von Satz 1 sind im </w:t>
      </w:r>
      <w:hyperlink r:id="rId43" w:history="1">
        <w:r w:rsidRPr="002D1F1D">
          <w:rPr>
            <w:rStyle w:val="Hyperlink"/>
          </w:rPr>
          <w:t>Anhang zu § 16</w:t>
        </w:r>
      </w:hyperlink>
      <w:r>
        <w:t xml:space="preserve"> geregelt.</w:t>
      </w:r>
    </w:p>
    <w:p w:rsidR="00BE1EFE" w:rsidRPr="000B1AF8" w:rsidRDefault="00BE1EFE">
      <w:pPr>
        <w:pStyle w:val="StandardWeb"/>
      </w:pPr>
    </w:p>
    <w:p w:rsidR="00BE1EFE" w:rsidRDefault="00BE1EFE">
      <w:pPr>
        <w:pStyle w:val="StandardWeb"/>
      </w:pPr>
      <w:r>
        <w:t>(2) </w:t>
      </w:r>
      <w:r>
        <w:rPr>
          <w:rStyle w:val="kleinschrift"/>
        </w:rPr>
        <w:t>1</w:t>
      </w:r>
      <w:r>
        <w:t xml:space="preserve">Bei Einstellung in eine der Entgeltgruppen 2 bis 15 werden die Beschäftigten der Stufe 1 zugeordnet, sofern keine einschlägige Berufserfahrung vorliegt. </w:t>
      </w:r>
      <w:r>
        <w:rPr>
          <w:rStyle w:val="kleinschrift"/>
        </w:rPr>
        <w:t>2</w:t>
      </w:r>
      <w:r>
        <w:t xml:space="preserve">Verfügt die/der Beschäftigte über eine einschlägige Berufserfahrung von mindestens drei Jahren, erfolgt in der Regel eine Zuordnung zur Stufe 3. </w:t>
      </w:r>
      <w:r>
        <w:rPr>
          <w:rStyle w:val="kleinschrift"/>
        </w:rPr>
        <w:t>3</w:t>
      </w:r>
      <w:r>
        <w:t xml:space="preserve">Ansonsten wird die/der Beschäftigte bei entsprechender Berufserfahrung von mindestens einem Jahr der Stufe 2 zugeordnet. </w:t>
      </w:r>
      <w:r>
        <w:rPr>
          <w:rStyle w:val="kleinschrift"/>
        </w:rPr>
        <w:t>4</w:t>
      </w:r>
      <w:r>
        <w:t>Unabhängig davon kann der Arbeitgeber bei Neueinstellungen zur Deckung des Personalbedarfs Zeiten einer vorherigen beruflichen Tätigkeit ganz oder teilweise für die Stufenzuordnung berücksichtigen, wenn diese Tätigkeit für die vorgesehene Tätigkeit förderlich ist.</w:t>
      </w:r>
    </w:p>
    <w:p w:rsidR="00BE1EFE" w:rsidRDefault="00BE1EFE">
      <w:pPr>
        <w:pStyle w:val="StandardWeb"/>
        <w:rPr>
          <w:sz w:val="12"/>
          <w:szCs w:val="12"/>
        </w:rPr>
      </w:pPr>
      <w:r w:rsidRPr="009C6551">
        <w:rPr>
          <w:rStyle w:val="kleinschrift1"/>
        </w:rPr>
        <w:t>Anmerkung zu Absatz 2:</w:t>
      </w:r>
    </w:p>
    <w:p w:rsidR="00BE1EFE" w:rsidRDefault="00BE1EFE">
      <w:pPr>
        <w:pStyle w:val="StandardWeb"/>
        <w:rPr>
          <w:sz w:val="12"/>
          <w:szCs w:val="12"/>
        </w:rPr>
      </w:pPr>
      <w:r>
        <w:rPr>
          <w:rStyle w:val="kleinschrift1"/>
        </w:rPr>
        <w:t>1. </w:t>
      </w:r>
      <w:r w:rsidRPr="009C6551">
        <w:rPr>
          <w:rStyle w:val="kleinschrift1"/>
        </w:rPr>
        <w:t>Einschlägige Berufserfahrung ist eine berufliche Erfahrung in der übertragenen oder einer auf die Aufgabe bezogen entsprechenden Tätigkeit.</w:t>
      </w:r>
    </w:p>
    <w:p w:rsidR="00BE1EFE" w:rsidRDefault="00BE1EFE">
      <w:pPr>
        <w:pStyle w:val="StandardWeb"/>
      </w:pPr>
      <w:r>
        <w:rPr>
          <w:rStyle w:val="kleinschrift1"/>
        </w:rPr>
        <w:t>2. </w:t>
      </w:r>
      <w:r w:rsidRPr="009C6551">
        <w:rPr>
          <w:rStyle w:val="kleinschrift1"/>
        </w:rPr>
        <w:t>Ein Berufspraktikum nach den Regelungen für Praktikantinnen und Praktikanten gilt grundsätzlich als Erwerb einschlägiger Berufserfahrung.</w:t>
      </w:r>
    </w:p>
    <w:p w:rsidR="00BE1EFE" w:rsidRDefault="00BE1EFE">
      <w:pPr>
        <w:pStyle w:val="StandardWeb"/>
      </w:pPr>
    </w:p>
    <w:p w:rsidR="00BE1EFE" w:rsidRDefault="00BE1EFE">
      <w:pPr>
        <w:pStyle w:val="StandardWeb"/>
      </w:pPr>
      <w:r>
        <w:t>(2a) </w:t>
      </w:r>
      <w:r w:rsidRPr="0099296C">
        <w:rPr>
          <w:sz w:val="12"/>
          <w:szCs w:val="12"/>
        </w:rPr>
        <w:t>1</w:t>
      </w:r>
      <w:r>
        <w:t>Bei Einstellung von Beschäftigten in unmittelbarem Anschluss an ein Arbeitsverhältnis bei einem kirchlichen Arbeitgeber (</w:t>
      </w:r>
      <w:hyperlink r:id="rId44" w:history="1">
        <w:r w:rsidRPr="002D1F1D">
          <w:rPr>
            <w:rStyle w:val="Hyperlink"/>
          </w:rPr>
          <w:t xml:space="preserve">§ 34 </w:t>
        </w:r>
        <w:r>
          <w:rPr>
            <w:rStyle w:val="Hyperlink"/>
          </w:rPr>
          <w:t>Absatz</w:t>
        </w:r>
        <w:r w:rsidRPr="002D1F1D">
          <w:rPr>
            <w:rStyle w:val="Hyperlink"/>
          </w:rPr>
          <w:t xml:space="preserve"> 3 Satz 3 und 4</w:t>
        </w:r>
      </w:hyperlink>
      <w:r>
        <w:t xml:space="preserve">) kann die in dem vorhergehenden Arbeitsverhältnis erworbene Stufe bei der Stufenzuordnung ganz oder teilweise berücksichtigt werden; Absatz 2 Satz 3 bleibt unberührt. </w:t>
      </w:r>
      <w:r w:rsidRPr="0099296C">
        <w:rPr>
          <w:sz w:val="12"/>
          <w:szCs w:val="12"/>
        </w:rPr>
        <w:t>2</w:t>
      </w:r>
      <w:r w:rsidRPr="0099296C">
        <w:t>Bei einem Wechsel zwischen Arbeitgebern im Sinne des § 1 Absatz 1 dürfen Beschäftigte nicht mehr als eine Entwicklungsstufe gegenüber dem vorhe</w:t>
      </w:r>
      <w:r>
        <w:t>rigen Arbeitsverhältnis mit einschlä</w:t>
      </w:r>
      <w:r w:rsidRPr="0099296C">
        <w:t>giger beruflicher Tät</w:t>
      </w:r>
      <w:r>
        <w:t>igkeit zurückgestuft werden, so</w:t>
      </w:r>
      <w:r w:rsidRPr="0099296C">
        <w:t>fern nicht mehr als sechs Monate Unterbrech</w:t>
      </w:r>
      <w:r>
        <w:t>ung zwischen den Arbeitsverhält</w:t>
      </w:r>
      <w:r w:rsidRPr="0099296C">
        <w:t>nissen liegen; Ab</w:t>
      </w:r>
      <w:r>
        <w:t>satz 2 Satz 4 bleibt unberührt.</w:t>
      </w:r>
    </w:p>
    <w:p w:rsidR="00BE1EFE" w:rsidRDefault="00BE1EFE">
      <w:pPr>
        <w:pStyle w:val="StandardWeb"/>
        <w:rPr>
          <w:sz w:val="12"/>
          <w:szCs w:val="12"/>
        </w:rPr>
      </w:pPr>
      <w:r w:rsidRPr="009C6551">
        <w:rPr>
          <w:rStyle w:val="kleinschrift1"/>
        </w:rPr>
        <w:t>Protokollnotiz zu Absatz 2a:</w:t>
      </w:r>
    </w:p>
    <w:p w:rsidR="00BE1EFE" w:rsidRDefault="00BE1EFE">
      <w:pPr>
        <w:pStyle w:val="StandardWeb"/>
      </w:pPr>
      <w:r w:rsidRPr="009C6551">
        <w:rPr>
          <w:rStyle w:val="kleinschrift1"/>
        </w:rPr>
        <w:t>Entsprechend kann bei Einstellung von Beschäftigten in unmittelbarem Anschluss an ein Arbeitsverhältnis beim Bund, bei den Ländern, bei den Gemeinden und Gemeindeverbänden und sonstigen Mitgliedern der Arbeitgeberverbände, die der Vereinigung der kommunalen Arbeitgeberverbände oder der Tarifgemeinschaft deutscher Länder angehören, bei kommunalen Spitzenverbänden sowie bei Körperschaften, Anstalten und Stiftungen des öffentlichen Rechts verfahren werden.</w:t>
      </w:r>
    </w:p>
    <w:p w:rsidR="00BE1EFE" w:rsidRDefault="00BE1EFE">
      <w:pPr>
        <w:pStyle w:val="StandardWeb"/>
      </w:pPr>
    </w:p>
    <w:p w:rsidR="00BE1EFE" w:rsidRDefault="00BE1EFE">
      <w:pPr>
        <w:pStyle w:val="StandardWeb"/>
      </w:pPr>
      <w:r>
        <w:t>(2b) Bei Einstellung von Beschäftigten in unmittelbarem Anschluss an ein Arbeitsverhältnis bei einem kirchlichen Arbeitgeber (</w:t>
      </w:r>
      <w:hyperlink r:id="rId45" w:history="1">
        <w:r w:rsidRPr="002D1F1D">
          <w:rPr>
            <w:rStyle w:val="Hyperlink"/>
          </w:rPr>
          <w:t xml:space="preserve">§ 34 </w:t>
        </w:r>
        <w:r>
          <w:rPr>
            <w:rStyle w:val="Hyperlink"/>
          </w:rPr>
          <w:t>Absatz</w:t>
        </w:r>
        <w:r w:rsidRPr="002D1F1D">
          <w:rPr>
            <w:rStyle w:val="Hyperlink"/>
          </w:rPr>
          <w:t xml:space="preserve"> 3 Satz 4</w:t>
        </w:r>
      </w:hyperlink>
      <w:r>
        <w:t>), auf das die Arbeitsvertragsrichtlinien des Deutschen Caritasverbandes (AVR) oder ein anderes arbeitsvertragsrechtliches Regelwerk Anwendung gefunden hat, können Beschäftigte derjenigen Stufe zugeordnet werden, die sie erreicht hätten, wenn das ABD auf das vorherige Arbeitsverhältnis Anwendung gefunden hätte.</w:t>
      </w:r>
    </w:p>
    <w:p w:rsidR="00BE1EFE" w:rsidRDefault="00BE1EFE">
      <w:pPr>
        <w:pStyle w:val="StandardWeb"/>
        <w:rPr>
          <w:sz w:val="12"/>
          <w:szCs w:val="12"/>
        </w:rPr>
      </w:pPr>
      <w:r w:rsidRPr="009C6551">
        <w:rPr>
          <w:rStyle w:val="kleinschrift1"/>
        </w:rPr>
        <w:t>Protokollnotiz zu Absatz 2b:</w:t>
      </w:r>
    </w:p>
    <w:p w:rsidR="00BE1EFE" w:rsidRDefault="00BE1EFE">
      <w:pPr>
        <w:pStyle w:val="StandardWeb"/>
      </w:pPr>
      <w:r w:rsidRPr="009C6551">
        <w:rPr>
          <w:rStyle w:val="kleinschrift1"/>
        </w:rPr>
        <w:t>Entsprechend kann bei Einstellung im unmittelbaren Anschluss an ein Beamtenverhältnis verfahren werden.</w:t>
      </w:r>
    </w:p>
    <w:p w:rsidR="00BE1EFE" w:rsidRDefault="00BE1EFE">
      <w:pPr>
        <w:pStyle w:val="StandardWeb"/>
      </w:pPr>
    </w:p>
    <w:p w:rsidR="00BE1EFE" w:rsidRDefault="00BE1EFE">
      <w:pPr>
        <w:pStyle w:val="StandardWeb"/>
      </w:pPr>
      <w:r>
        <w:t>(3) </w:t>
      </w:r>
      <w:r>
        <w:rPr>
          <w:rStyle w:val="kleinschrift"/>
        </w:rPr>
        <w:t>1</w:t>
      </w:r>
      <w:r>
        <w:t xml:space="preserve">Die Beschäftigten erreichen die jeweils nächste Stufe – von Stufe 3 an in Abhängigkeit von ihrer Leistung gemäß </w:t>
      </w:r>
      <w:hyperlink r:id="rId46" w:history="1">
        <w:r w:rsidRPr="002D1F1D">
          <w:rPr>
            <w:rStyle w:val="Hyperlink"/>
          </w:rPr>
          <w:t xml:space="preserve">§ 17 </w:t>
        </w:r>
        <w:r>
          <w:rPr>
            <w:rStyle w:val="Hyperlink"/>
          </w:rPr>
          <w:t>Absatz</w:t>
        </w:r>
        <w:r w:rsidRPr="002D1F1D">
          <w:rPr>
            <w:rStyle w:val="Hyperlink"/>
          </w:rPr>
          <w:t xml:space="preserve"> 2</w:t>
        </w:r>
      </w:hyperlink>
      <w:r>
        <w:t xml:space="preserve"> – nach folgenden Zeiten einer ununterbrochenen Tätigkeit innerhalb derselben Entgeltgruppe bei ihrem Arbeitgeber (Stufenlaufzeit)</w:t>
      </w:r>
    </w:p>
    <w:p w:rsidR="00BE1EFE" w:rsidRDefault="00BE1EFE">
      <w:pPr>
        <w:pStyle w:val="StandardWeb"/>
      </w:pPr>
      <w:r>
        <w:t>- Stufe 2 nach einem Jahr in Stufe 1,</w:t>
      </w:r>
    </w:p>
    <w:p w:rsidR="00BE1EFE" w:rsidRDefault="00BE1EFE">
      <w:pPr>
        <w:pStyle w:val="StandardWeb"/>
      </w:pPr>
      <w:r>
        <w:t>- Stufe 3 nach zwei Jahren in Stufe 2,</w:t>
      </w:r>
    </w:p>
    <w:p w:rsidR="00BE1EFE" w:rsidRDefault="00BE1EFE">
      <w:pPr>
        <w:pStyle w:val="StandardWeb"/>
      </w:pPr>
      <w:r>
        <w:t>- Stufe 4 nach drei Jahren in Stufe 3,</w:t>
      </w:r>
    </w:p>
    <w:p w:rsidR="00BE1EFE" w:rsidRDefault="00BE1EFE">
      <w:pPr>
        <w:pStyle w:val="StandardWeb"/>
      </w:pPr>
      <w:r>
        <w:t>- Stufe 5 nach vier Jahren in Stufe 4 und</w:t>
      </w:r>
    </w:p>
    <w:p w:rsidR="00BE1EFE" w:rsidRDefault="00BE1EFE">
      <w:pPr>
        <w:pStyle w:val="StandardWeb"/>
      </w:pPr>
      <w:r>
        <w:t>- Stufe 6 nach fünf Jahren in Stufe 5.</w:t>
      </w:r>
    </w:p>
    <w:p w:rsidR="00BE1EFE" w:rsidRDefault="00BE1EFE">
      <w:pPr>
        <w:pStyle w:val="StandardWeb"/>
      </w:pPr>
      <w:r>
        <w:rPr>
          <w:rStyle w:val="kleinschrift"/>
        </w:rPr>
        <w:t>2</w:t>
      </w:r>
      <w:r>
        <w:t>Die Abweichungen von Satz 1 sind im Anhang zu § 16 geregelt.</w:t>
      </w:r>
    </w:p>
    <w:p w:rsidR="00BE1EFE" w:rsidRDefault="00BE1EFE">
      <w:pPr>
        <w:pStyle w:val="StandardWeb"/>
      </w:pPr>
    </w:p>
    <w:p w:rsidR="00BE1EFE" w:rsidRDefault="00BE1EFE">
      <w:pPr>
        <w:pStyle w:val="StandardWeb"/>
      </w:pPr>
      <w:r>
        <w:t>(4) </w:t>
      </w:r>
      <w:r>
        <w:rPr>
          <w:rStyle w:val="kleinschrift"/>
        </w:rPr>
        <w:t>1</w:t>
      </w:r>
      <w:r>
        <w:t xml:space="preserve">Die Entgeltgruppe 1 umfasst fünf Stufen. </w:t>
      </w:r>
      <w:r>
        <w:rPr>
          <w:rStyle w:val="kleinschrift"/>
        </w:rPr>
        <w:t>2</w:t>
      </w:r>
      <w:r>
        <w:t xml:space="preserve">Einstellungen erfolgen zwingend in der Stufe 2 (Eingangsstufe). </w:t>
      </w:r>
      <w:r>
        <w:rPr>
          <w:rStyle w:val="kleinschrift"/>
        </w:rPr>
        <w:t>3</w:t>
      </w:r>
      <w:r>
        <w:t xml:space="preserve">Die jeweils nächste Stufe wird nach vier Jahren in der vorangegangenen Stufe erreicht; </w:t>
      </w:r>
      <w:hyperlink r:id="rId47" w:history="1">
        <w:r w:rsidRPr="002D1F1D">
          <w:rPr>
            <w:rStyle w:val="Hyperlink"/>
          </w:rPr>
          <w:t xml:space="preserve">§ 17 </w:t>
        </w:r>
        <w:r>
          <w:rPr>
            <w:rStyle w:val="Hyperlink"/>
          </w:rPr>
          <w:t>Absatz</w:t>
        </w:r>
        <w:r w:rsidRPr="002D1F1D">
          <w:rPr>
            <w:rStyle w:val="Hyperlink"/>
          </w:rPr>
          <w:t xml:space="preserve"> 2</w:t>
        </w:r>
      </w:hyperlink>
      <w:r>
        <w:t xml:space="preserve"> bleibt unberührt.</w:t>
      </w:r>
    </w:p>
    <w:p w:rsidR="00BE1EFE" w:rsidRDefault="00BE1EFE">
      <w:pPr>
        <w:pStyle w:val="StandardWeb"/>
      </w:pPr>
    </w:p>
    <w:p w:rsidR="00BE1EFE" w:rsidRDefault="00BE1EFE">
      <w:pPr>
        <w:pStyle w:val="berschrift6"/>
      </w:pPr>
      <w:bookmarkStart w:id="28" w:name="_Toc523925699"/>
      <w:r>
        <w:t>§ 16a Weitere Anrechnung von Vordienstzeiten bei Einstellung</w:t>
      </w:r>
      <w:bookmarkEnd w:id="28"/>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Für die Anrechnung von Vordienstzeiten zur Anerkennung von Stufenlaufzeiten bei der Stufenzuordnung findet bei der Einstellung von Beschäftigten, die bereits zuvor in einem Arbeitsverhältnis zu einem kirchlichen Arbeitgeber standen, der Beschluss der Zentral-KODA vom 12.11.2009</w:t>
      </w:r>
      <w:r w:rsidRPr="00E12757">
        <w:rPr>
          <w:rStyle w:val="kleinschrift"/>
          <w:sz w:val="16"/>
          <w:szCs w:val="16"/>
          <w:vertAlign w:val="superscript"/>
        </w:rPr>
        <w:t>1</w:t>
      </w:r>
      <w:r>
        <w:t xml:space="preserve"> Anwendung. </w:t>
      </w:r>
      <w:r>
        <w:rPr>
          <w:rStyle w:val="kleinschrift"/>
        </w:rPr>
        <w:t>2</w:t>
      </w:r>
      <w:r>
        <w:t xml:space="preserve">Unbeschadet dessen findet eine Anrechnung von Unterbrechungszeiträumen im Sinne von Ziffer 1.1 des Zentral-KODA Beschlusses als Zeiten zurückgelegter Tätigkeit für die Berechnung der Stufenlaufzeit im Sinne von </w:t>
      </w:r>
      <w:hyperlink r:id="rId48" w:history="1">
        <w:r w:rsidRPr="00361876">
          <w:rPr>
            <w:rStyle w:val="Hyperlink"/>
          </w:rPr>
          <w:t>§ 16 Absatz 3</w:t>
        </w:r>
      </w:hyperlink>
      <w:r>
        <w:t xml:space="preserve"> nicht statt.</w:t>
      </w:r>
    </w:p>
    <w:p w:rsidR="00BE1EFE" w:rsidRPr="000B1AF8" w:rsidRDefault="00BE1EFE">
      <w:pPr>
        <w:pStyle w:val="StandardWeb"/>
      </w:pPr>
      <w:r>
        <w:rPr>
          <w:rStyle w:val="kleinschrift"/>
          <w:vertAlign w:val="superscript"/>
        </w:rPr>
        <w:t>1</w:t>
      </w:r>
      <w:r>
        <w:rPr>
          <w:rStyle w:val="kleinschrift"/>
        </w:rPr>
        <w:t>abgedruckt in Anhang I</w:t>
      </w:r>
    </w:p>
    <w:p w:rsidR="00BE1EFE" w:rsidRDefault="00BE1EFE">
      <w:pPr>
        <w:pStyle w:val="berschrift6"/>
      </w:pPr>
      <w:bookmarkStart w:id="29" w:name="_Toc523925700"/>
      <w:r>
        <w:t>§ 17 Allgemeine Regelungen zu den Stufen</w:t>
      </w:r>
      <w:bookmarkEnd w:id="2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erhalten vom Beginn des Monats an, in dem die nächste Stufe erreicht wird, das Tabellenentgelt nach der neuen Stufe.</w:t>
      </w:r>
    </w:p>
    <w:p w:rsidR="00BE1EFE" w:rsidRPr="000B1AF8" w:rsidRDefault="00BE1EFE">
      <w:pPr>
        <w:pStyle w:val="StandardWeb"/>
      </w:pPr>
    </w:p>
    <w:p w:rsidR="00BE1EFE" w:rsidRDefault="00BE1EFE">
      <w:pPr>
        <w:pStyle w:val="StandardWeb"/>
      </w:pPr>
      <w:r>
        <w:t>(2) </w:t>
      </w:r>
      <w:r>
        <w:rPr>
          <w:rStyle w:val="kleinschrift"/>
        </w:rPr>
        <w:t>1</w:t>
      </w:r>
      <w:r>
        <w:t xml:space="preserve">Bei Leistungen der/des Beschäftigten, die erheblich über dem Durchschnitt liegen, kann die erforderliche Zeit für das Erreichen der Stufen 4 bis 6 jeweils verkürzt werden. </w:t>
      </w:r>
      <w:r>
        <w:rPr>
          <w:rStyle w:val="kleinschrift"/>
        </w:rPr>
        <w:t>2</w:t>
      </w:r>
      <w:r>
        <w:t xml:space="preserve">Bei Leistungen, die erheblich unter dem Durchschnitt liegen, kann die erforderliche Zeit für das Erreichen der Stufen 4 bis 6 jeweils verlängert werden. </w:t>
      </w:r>
      <w:r>
        <w:rPr>
          <w:rStyle w:val="kleinschrift"/>
        </w:rPr>
        <w:t>3</w:t>
      </w:r>
      <w:r>
        <w:t xml:space="preserve">Bei einer Verlängerung der Stufenlaufzeit hat der Arbeitgeber jährlich zu prüfen, ob die Voraussetzungen für die Verlängerung noch vorliegen. </w:t>
      </w:r>
      <w:r>
        <w:rPr>
          <w:rStyle w:val="kleinschrift"/>
        </w:rPr>
        <w:t>4</w:t>
      </w:r>
      <w:r>
        <w:t xml:space="preserve">Für die Beratung von schriftlich begründeten Beschwerden von Beschäftigten gegen eine Verlängerung nach Satz 2 bzw. 3 ist eine betriebliche Kommission zuständig. </w:t>
      </w:r>
      <w:r>
        <w:rPr>
          <w:rStyle w:val="kleinschrift"/>
        </w:rPr>
        <w:t>5</w:t>
      </w:r>
      <w:r>
        <w:t xml:space="preserve">Die Mitglieder der betrieblichen Kommission werden je zur Hälfte vom Arbeitgeber und von der Mitarbeitervertretung benannt; sie müssen der Einrichtung angehören. </w:t>
      </w:r>
      <w:r>
        <w:rPr>
          <w:rStyle w:val="kleinschrift"/>
        </w:rPr>
        <w:t>5a</w:t>
      </w:r>
      <w:r>
        <w:t xml:space="preserve">In Einrichtungen, in denen keine Mitarbeitervertretung besteht, wählen die Beschäftigten die Vertretung für die betriebliche Kommission unmittelbar. </w:t>
      </w:r>
      <w:r>
        <w:rPr>
          <w:rStyle w:val="kleinschrift"/>
        </w:rPr>
        <w:t>6</w:t>
      </w:r>
      <w:r>
        <w:t>Der Arbeitgeber entscheidet auf Vorschlag der Kommission darüber, ob und in welchem Umfang der Beschwerde abgeholfen werden soll.</w:t>
      </w:r>
    </w:p>
    <w:p w:rsidR="00BE1EFE" w:rsidRDefault="00BE1EFE">
      <w:pPr>
        <w:pStyle w:val="StandardWeb"/>
        <w:rPr>
          <w:sz w:val="12"/>
          <w:szCs w:val="12"/>
        </w:rPr>
      </w:pPr>
      <w:r w:rsidRPr="009C6551">
        <w:rPr>
          <w:rStyle w:val="kleinschrift1"/>
        </w:rPr>
        <w:t>Anmerkung zu Absatz 2:</w:t>
      </w:r>
    </w:p>
    <w:p w:rsidR="00BE1EFE" w:rsidRDefault="00BE1EFE">
      <w:pPr>
        <w:pStyle w:val="StandardWeb"/>
      </w:pPr>
      <w:r>
        <w:rPr>
          <w:rStyle w:val="kleinschrift"/>
          <w:szCs w:val="12"/>
        </w:rPr>
        <w:t>1</w:t>
      </w:r>
      <w:r w:rsidRPr="009C6551">
        <w:rPr>
          <w:rStyle w:val="kleinschrift1"/>
        </w:rPr>
        <w:t>Die Instrumente der materiellen Leistungsanreize (</w:t>
      </w:r>
      <w:hyperlink r:id="rId49" w:history="1">
        <w:r w:rsidRPr="002D1F1D">
          <w:rPr>
            <w:rStyle w:val="Hyperlink"/>
            <w:sz w:val="12"/>
            <w:szCs w:val="12"/>
          </w:rPr>
          <w:t>§ 18</w:t>
        </w:r>
      </w:hyperlink>
      <w:r w:rsidRPr="009C6551">
        <w:rPr>
          <w:rStyle w:val="kleinschrift1"/>
        </w:rPr>
        <w:t xml:space="preserve">) und der leistungsbezogene Stufenaufstieg bestehen unabhängig voneinander und dienen unterschiedlichen Zielen. </w:t>
      </w:r>
      <w:r>
        <w:rPr>
          <w:rStyle w:val="kleinschrift"/>
          <w:szCs w:val="12"/>
        </w:rPr>
        <w:t>2</w:t>
      </w:r>
      <w:r w:rsidRPr="009C6551">
        <w:rPr>
          <w:rStyle w:val="kleinschrift1"/>
        </w:rPr>
        <w:t>Leistungsbezogene Stufenaufstiege unterstützen insbesondere die Anliegen der Personalentwicklung.</w:t>
      </w:r>
    </w:p>
    <w:p w:rsidR="00BE1EFE" w:rsidRDefault="00BE1EFE">
      <w:pPr>
        <w:pStyle w:val="StandardWeb"/>
      </w:pPr>
    </w:p>
    <w:p w:rsidR="00BE1EFE" w:rsidRDefault="00BE1EFE">
      <w:pPr>
        <w:pStyle w:val="StandardWeb"/>
        <w:rPr>
          <w:sz w:val="12"/>
          <w:szCs w:val="12"/>
        </w:rPr>
      </w:pPr>
      <w:r w:rsidRPr="009C6551">
        <w:rPr>
          <w:rStyle w:val="kleinschrift1"/>
        </w:rPr>
        <w:t>Anmerkung zu Absatz 2 Satz 2:</w:t>
      </w:r>
    </w:p>
    <w:p w:rsidR="00BE1EFE" w:rsidRDefault="00BE1EFE">
      <w:pPr>
        <w:pStyle w:val="StandardWeb"/>
      </w:pPr>
      <w:r w:rsidRPr="009C6551">
        <w:rPr>
          <w:rStyle w:val="kleinschrift1"/>
        </w:rPr>
        <w:t xml:space="preserve">Bei Leistungsminderungen, die auf einem anerkannten Arbeitsunfall oder einer Berufskrankheit gemäß </w:t>
      </w:r>
      <w:hyperlink r:id="rId50" w:tgtFrame="_blank" w:history="1">
        <w:r>
          <w:rPr>
            <w:rStyle w:val="Hyperlink"/>
            <w:sz w:val="12"/>
            <w:szCs w:val="12"/>
          </w:rPr>
          <w:t>§§ 8 und 9 SGB VII</w:t>
        </w:r>
      </w:hyperlink>
      <w:r w:rsidRPr="009C6551">
        <w:rPr>
          <w:rStyle w:val="kleinschrift1"/>
        </w:rPr>
        <w:t xml:space="preserve"> beruhen, ist diese Ursache in geeigneter Weise zu berücksichtigen.</w:t>
      </w:r>
    </w:p>
    <w:p w:rsidR="00BE1EFE" w:rsidRDefault="00BE1EFE">
      <w:pPr>
        <w:pStyle w:val="StandardWeb"/>
      </w:pPr>
    </w:p>
    <w:p w:rsidR="00BE1EFE" w:rsidRDefault="00BE1EFE">
      <w:pPr>
        <w:pStyle w:val="StandardWeb"/>
        <w:rPr>
          <w:sz w:val="12"/>
          <w:szCs w:val="12"/>
        </w:rPr>
      </w:pPr>
      <w:r w:rsidRPr="009C6551">
        <w:rPr>
          <w:rStyle w:val="kleinschrift1"/>
        </w:rPr>
        <w:t>Anmerkung zu Absatz 2 Satz 6:</w:t>
      </w:r>
    </w:p>
    <w:p w:rsidR="00BE1EFE" w:rsidRDefault="00BE1EFE">
      <w:pPr>
        <w:pStyle w:val="StandardWeb"/>
      </w:pPr>
      <w:r w:rsidRPr="009C6551">
        <w:rPr>
          <w:rStyle w:val="kleinschrift1"/>
        </w:rPr>
        <w:t>Die Mitwirkung der Kommission erfasst nicht die Entscheidung über die leistungsbezogene Stufenzuordnung.</w:t>
      </w:r>
    </w:p>
    <w:p w:rsidR="00BE1EFE" w:rsidRDefault="00BE1EFE">
      <w:pPr>
        <w:pStyle w:val="StandardWeb"/>
      </w:pPr>
    </w:p>
    <w:p w:rsidR="00BE1EFE" w:rsidRDefault="00BE1EFE">
      <w:pPr>
        <w:pStyle w:val="StandardWeb"/>
      </w:pPr>
      <w:r>
        <w:t>(3) </w:t>
      </w:r>
      <w:r>
        <w:rPr>
          <w:rStyle w:val="kleinschrift"/>
        </w:rPr>
        <w:t>1</w:t>
      </w:r>
      <w:r>
        <w:t xml:space="preserve">Den Zeiten einer ununterbrochenen Tätigkeit im Sinne des </w:t>
      </w:r>
      <w:hyperlink r:id="rId51" w:history="1">
        <w:r w:rsidRPr="002D1F1D">
          <w:rPr>
            <w:rStyle w:val="Hyperlink"/>
          </w:rPr>
          <w:t>§</w:t>
        </w:r>
        <w:r>
          <w:rPr>
            <w:rStyle w:val="Hyperlink"/>
          </w:rPr>
          <w:t xml:space="preserve"> </w:t>
        </w:r>
        <w:r w:rsidRPr="002D1F1D">
          <w:rPr>
            <w:rStyle w:val="Hyperlink"/>
          </w:rPr>
          <w:t>16 Absatz 3 Satz 1</w:t>
        </w:r>
      </w:hyperlink>
      <w:r>
        <w:t xml:space="preserve"> stehen gleich:</w:t>
      </w:r>
    </w:p>
    <w:p w:rsidR="00BE1EFE" w:rsidRDefault="00BE1EFE">
      <w:pPr>
        <w:pStyle w:val="StandardWeb"/>
      </w:pPr>
      <w:r>
        <w:t xml:space="preserve">a) Schutzfristen nach dem </w:t>
      </w:r>
      <w:hyperlink r:id="rId52" w:tgtFrame="_blank" w:history="1">
        <w:r>
          <w:rPr>
            <w:rStyle w:val="Hyperlink"/>
          </w:rPr>
          <w:t>Mutterschutzgesetz</w:t>
        </w:r>
      </w:hyperlink>
      <w:r>
        <w:t>,</w:t>
      </w:r>
    </w:p>
    <w:p w:rsidR="00BE1EFE" w:rsidRDefault="00BE1EFE">
      <w:pPr>
        <w:pStyle w:val="StandardWeb"/>
      </w:pPr>
      <w:r>
        <w:t xml:space="preserve">b) Zeiten einer Arbeitsunfähigkeit nach </w:t>
      </w:r>
      <w:hyperlink r:id="rId53" w:history="1">
        <w:r w:rsidRPr="002D1F1D">
          <w:rPr>
            <w:rStyle w:val="Hyperlink"/>
          </w:rPr>
          <w:t>§ 22</w:t>
        </w:r>
      </w:hyperlink>
      <w:r>
        <w:t xml:space="preserve"> bis zu 39 Wochen,</w:t>
      </w:r>
    </w:p>
    <w:p w:rsidR="00BE1EFE" w:rsidRDefault="00BE1EFE">
      <w:pPr>
        <w:pStyle w:val="StandardWeb"/>
      </w:pPr>
      <w:r>
        <w:t>c) Zeiten eines bezahlten Urlaubs,</w:t>
      </w:r>
    </w:p>
    <w:p w:rsidR="00BE1EFE" w:rsidRDefault="00BE1EFE">
      <w:pPr>
        <w:pStyle w:val="StandardWeb"/>
      </w:pPr>
      <w:r>
        <w:t>d) Zeiten eines Sonderurlaubs, bei denen der Arbeitgeber vor dem Antritt schriftlich ein dienstliches bzw. betriebliches Interesse anerkannt hat,</w:t>
      </w:r>
    </w:p>
    <w:p w:rsidR="00BE1EFE" w:rsidRDefault="00BE1EFE">
      <w:pPr>
        <w:pStyle w:val="StandardWeb"/>
      </w:pPr>
      <w:r>
        <w:t>e) Zeiten einer sonstigen Unterbrechung von weniger als einem Monat im Kalenderjahr,</w:t>
      </w:r>
    </w:p>
    <w:p w:rsidR="00BE1EFE" w:rsidRDefault="00BE1EFE">
      <w:pPr>
        <w:pStyle w:val="StandardWeb"/>
      </w:pPr>
      <w:r>
        <w:t>f) Zeiten der vorübergehenden Übertragung einer höherwertigen Tätigkeit.</w:t>
      </w:r>
    </w:p>
    <w:p w:rsidR="00BE1EFE" w:rsidRDefault="00BE1EFE">
      <w:pPr>
        <w:pStyle w:val="StandardWeb"/>
      </w:pPr>
      <w:r>
        <w:rPr>
          <w:rStyle w:val="kleinschrift"/>
        </w:rPr>
        <w:t>2</w:t>
      </w:r>
      <w:r>
        <w:t xml:space="preserve">Zeiten der Unterbrechung bis zu einer Dauer von jeweils drei Jahren, die nicht von Satz 1 erfasst werden, und Elternzeit bis zu jeweils fünf Jahren sind unschädlich, werden aber nicht </w:t>
      </w:r>
      <w:r>
        <w:lastRenderedPageBreak/>
        <w:t xml:space="preserve">auf die Stufenlaufzeit angerechnet. </w:t>
      </w:r>
      <w:r>
        <w:rPr>
          <w:rStyle w:val="kleinschrift"/>
        </w:rPr>
        <w:t>3</w:t>
      </w:r>
      <w:r>
        <w:t xml:space="preserve">Bei einer Unterbrechung von mehr als drei Jahren, bei Elternzeit von mehr als fünf Jahren, erfolgt eine Zuordnung zu der Stufe, die der vor der Unterbrechung erreichten Stufe vorangeht, jedoch nicht niedriger als bei einer Neueinstellung; die Stufenlaufzeit beginnt mit dem Tag der Arbeitsaufnahme. </w:t>
      </w:r>
      <w:r>
        <w:rPr>
          <w:rStyle w:val="kleinschrift"/>
        </w:rPr>
        <w:t>4</w:t>
      </w:r>
      <w:r>
        <w:t>Zeiten, in denen Beschäftigte mit einer kürzeren als der regelmäßigen wöchentlichen Arbeitszeit eines entsprechenden Vollbeschäftigten beschäftigt waren, werden voll angerechnet.</w:t>
      </w:r>
    </w:p>
    <w:p w:rsidR="00BE1EFE" w:rsidRPr="004E23F1" w:rsidRDefault="00BE1EFE" w:rsidP="004E23F1">
      <w:pPr>
        <w:autoSpaceDE w:val="0"/>
        <w:autoSpaceDN w:val="0"/>
        <w:adjustRightInd w:val="0"/>
        <w:jc w:val="both"/>
        <w:rPr>
          <w:rFonts w:cs="Arial"/>
          <w:color w:val="000000"/>
          <w:sz w:val="12"/>
          <w:szCs w:val="12"/>
        </w:rPr>
      </w:pPr>
      <w:r w:rsidRPr="004E23F1">
        <w:rPr>
          <w:rFonts w:cs="Arial"/>
          <w:color w:val="000000"/>
          <w:sz w:val="12"/>
          <w:szCs w:val="12"/>
        </w:rPr>
        <w:t>Protokollnotiz zu § 17 Absatz 3 Satz 3:</w:t>
      </w:r>
    </w:p>
    <w:p w:rsidR="00BE1EFE" w:rsidRPr="004E23F1" w:rsidRDefault="00BE1EFE" w:rsidP="004E23F1">
      <w:pPr>
        <w:pStyle w:val="StandardWeb"/>
        <w:rPr>
          <w:sz w:val="12"/>
          <w:szCs w:val="12"/>
        </w:rPr>
      </w:pPr>
      <w:r w:rsidRPr="004E23F1">
        <w:rPr>
          <w:rFonts w:cs="Arial"/>
          <w:bCs/>
          <w:sz w:val="12"/>
          <w:szCs w:val="12"/>
        </w:rPr>
        <w:t xml:space="preserve">Für Beschäftigte, die während einer Elternzeit oder eines Sonderurlaubs gemäß </w:t>
      </w:r>
      <w:hyperlink r:id="rId54" w:history="1">
        <w:r w:rsidRPr="004E23F1">
          <w:rPr>
            <w:rStyle w:val="Hyperlink"/>
            <w:rFonts w:cs="Arial"/>
            <w:bCs/>
            <w:sz w:val="12"/>
            <w:szCs w:val="12"/>
          </w:rPr>
          <w:t>§ 28 Absatz 2</w:t>
        </w:r>
      </w:hyperlink>
      <w:r w:rsidRPr="004E23F1">
        <w:rPr>
          <w:rFonts w:cs="Arial"/>
          <w:bCs/>
          <w:sz w:val="12"/>
          <w:szCs w:val="12"/>
        </w:rPr>
        <w:t xml:space="preserve"> an Qualifizierungsmaßnahmen gemäß </w:t>
      </w:r>
      <w:hyperlink r:id="rId55" w:history="1">
        <w:r w:rsidRPr="004E23F1">
          <w:rPr>
            <w:rStyle w:val="Hyperlink"/>
            <w:rFonts w:cs="Arial"/>
            <w:bCs/>
            <w:sz w:val="12"/>
            <w:szCs w:val="12"/>
          </w:rPr>
          <w:t>§ 5 Absatz 3 Buchstabe d)</w:t>
        </w:r>
      </w:hyperlink>
      <w:r w:rsidRPr="004E23F1">
        <w:rPr>
          <w:rFonts w:cs="Arial"/>
          <w:bCs/>
          <w:sz w:val="12"/>
          <w:szCs w:val="12"/>
        </w:rPr>
        <w:t xml:space="preserve"> (Wiedereinstiegsqualifizierung), die der Arbeitgeber der/dem Beschäftigten anbietet oder auf Antrag anerkennt, teilnehmen, findet Absatz 3 Satz 3 keine Anwendung. </w:t>
      </w:r>
      <w:hyperlink r:id="rId56" w:history="1">
        <w:r w:rsidRPr="004E23F1">
          <w:rPr>
            <w:rStyle w:val="Hyperlink"/>
            <w:rFonts w:cs="Arial"/>
            <w:bCs/>
            <w:sz w:val="12"/>
            <w:szCs w:val="12"/>
          </w:rPr>
          <w:t>§ 5 Absatz 6</w:t>
        </w:r>
      </w:hyperlink>
      <w:r w:rsidRPr="004E23F1">
        <w:rPr>
          <w:rFonts w:cs="Arial"/>
          <w:bCs/>
          <w:sz w:val="12"/>
          <w:szCs w:val="12"/>
        </w:rPr>
        <w:t xml:space="preserve"> findet keine Anwendung.</w:t>
      </w:r>
      <w:r>
        <w:rPr>
          <w:rFonts w:cs="Arial"/>
          <w:bCs/>
          <w:sz w:val="12"/>
          <w:szCs w:val="12"/>
        </w:rPr>
        <w:br/>
      </w:r>
    </w:p>
    <w:p w:rsidR="00BE1EFE" w:rsidRDefault="00BE1EFE" w:rsidP="00E50669">
      <w:pPr>
        <w:pStyle w:val="StandardWeb"/>
      </w:pPr>
      <w:r>
        <w:t>(4) </w:t>
      </w:r>
      <w:r>
        <w:rPr>
          <w:rStyle w:val="kleinschrift"/>
        </w:rPr>
        <w:t>1</w:t>
      </w:r>
      <w:r>
        <w:t xml:space="preserve">Bei Eingruppierung in eine höhere Entgeltgruppe </w:t>
      </w:r>
      <w:r w:rsidRPr="00E50669">
        <w:t xml:space="preserve">aus den Entgeltgruppen 2 bis 14 der Anlage A werden die Beschäftigten der gleichen Stufe zugeordnet, die sie in der niedrigeren Entgeltgruppe erreicht haben, mindestens jedoch der Stufe 2. </w:t>
      </w:r>
      <w:r w:rsidRPr="00E50669">
        <w:rPr>
          <w:sz w:val="12"/>
          <w:szCs w:val="12"/>
        </w:rPr>
        <w:t>2</w:t>
      </w:r>
      <w:r w:rsidRPr="00E50669">
        <w:t xml:space="preserve">Die Stufenlaufzeit in der höheren Entgeltgruppe beginnt mit dem Tag der Höhergruppierung. </w:t>
      </w:r>
      <w:r w:rsidRPr="00E50669">
        <w:rPr>
          <w:sz w:val="12"/>
          <w:szCs w:val="12"/>
        </w:rPr>
        <w:t>3</w:t>
      </w:r>
      <w:r w:rsidRPr="00E50669">
        <w:t xml:space="preserve">Bei Höhergruppierungen aus einer der Stufen 2 bis 4 der Entgeltgruppe 9a in die Entgeltgruppe 9b wird abweichend von Satz 2 die in der jeweiligen Stufe der Entgeltgruppe 9a zurückgelegte Stufenlaufzeit auf die Stufenlaufzeit in der Entgeltgruppe 9b angerechnet. </w:t>
      </w:r>
      <w:r w:rsidRPr="00E50669">
        <w:rPr>
          <w:sz w:val="12"/>
          <w:szCs w:val="12"/>
        </w:rPr>
        <w:t>4</w:t>
      </w:r>
      <w:r w:rsidRPr="00E50669">
        <w:t xml:space="preserve">Bei einer Eingruppierung in eine niedrigere Entgeltgruppe ist die/der Beschäftige der in der höheren Entgeltgruppe erreichten Stufe zuzuordnen. </w:t>
      </w:r>
      <w:r w:rsidRPr="00E50669">
        <w:rPr>
          <w:sz w:val="12"/>
          <w:szCs w:val="12"/>
        </w:rPr>
        <w:t>5</w:t>
      </w:r>
      <w:r w:rsidRPr="00E50669">
        <w:t xml:space="preserve">Die/Der Beschäftigte erhält vom Beginn des Monats an, in dem die Veränderung wirksam wird, das entsprechende Tabellenentgelt aus der in Satz 1 oder Satz 4 festgelegten Stufe der betreffenden Entgeltgruppe. </w:t>
      </w:r>
    </w:p>
    <w:p w:rsidR="00BE1EFE" w:rsidRDefault="00BE1EFE" w:rsidP="00E50669">
      <w:pPr>
        <w:pStyle w:val="StandardWeb"/>
      </w:pPr>
    </w:p>
    <w:p w:rsidR="00BE1EFE" w:rsidRDefault="00BE1EFE">
      <w:pPr>
        <w:pStyle w:val="StandardWeb"/>
      </w:pPr>
      <w:r>
        <w:t>(4a) </w:t>
      </w:r>
      <w:r w:rsidRPr="00E50669">
        <w:rPr>
          <w:sz w:val="12"/>
          <w:szCs w:val="12"/>
        </w:rPr>
        <w:t>1</w:t>
      </w:r>
      <w:r w:rsidRPr="00E50669">
        <w:t xml:space="preserve">Bei Eingruppierung in eine höhere Entgeltgruppe aus der Entgeltgruppe 1 werden die Beschäftigten derjenigen Stufe zugeordnet, in der sie mindestens ihr bisheriges Tabellenentgelt erhalten, mindestens jedoch der Stufe 2. </w:t>
      </w:r>
      <w:r w:rsidRPr="00E50669">
        <w:rPr>
          <w:sz w:val="12"/>
          <w:szCs w:val="12"/>
        </w:rPr>
        <w:t>2</w:t>
      </w:r>
      <w:r w:rsidRPr="00E50669">
        <w:t xml:space="preserve">Wird die/der Beschäftigte nicht in die nächsthöhere, sondern in eine darüber liegende Entgeltgruppe höhergruppiert, ist das Tabellenentgelt für jede dazwischen liegende Entgeltgruppe nach Satz 1 zu berechnen. </w:t>
      </w:r>
      <w:r w:rsidRPr="00E50669">
        <w:rPr>
          <w:sz w:val="12"/>
          <w:szCs w:val="12"/>
        </w:rPr>
        <w:t>3</w:t>
      </w:r>
      <w:r w:rsidRPr="00E50669">
        <w:t xml:space="preserve">Die Stufenlaufzeit in der höheren Entgeltgruppe beginnt mit dem Tag der Höhergruppierung. </w:t>
      </w:r>
      <w:r w:rsidRPr="00E50669">
        <w:rPr>
          <w:sz w:val="12"/>
          <w:szCs w:val="12"/>
        </w:rPr>
        <w:t>4</w:t>
      </w:r>
      <w:r w:rsidRPr="00E50669">
        <w:t>Die/Der Beschäftigte erhält vom Beginn des Monats an, in dem die Veränderung wirksam wird, das entsprechende Tabellenentgelt aus der in Satz 1 festgelegten Stufe der betreffenden Entgeltgruppe.</w:t>
      </w:r>
    </w:p>
    <w:p w:rsidR="00BE1EFE" w:rsidRDefault="00BE1EFE">
      <w:pPr>
        <w:pStyle w:val="berschrift6"/>
      </w:pPr>
      <w:bookmarkStart w:id="30" w:name="_Toc523925701"/>
      <w:r>
        <w:t>§ 18 Leistungsentgelt</w:t>
      </w:r>
      <w:bookmarkEnd w:id="3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Ab dem 01. Januar 2007 wird ein Leistungsentgelt eingeführt. </w:t>
      </w:r>
      <w:r>
        <w:rPr>
          <w:rStyle w:val="kleinschrift"/>
        </w:rPr>
        <w:t>2</w:t>
      </w:r>
      <w:r>
        <w:t>Das Leistungsentgelt ist eine variable und leistungsorientierte Bezahlung zusätzlich zum Tabellenentgelt.</w:t>
      </w:r>
    </w:p>
    <w:p w:rsidR="00BE1EFE" w:rsidRPr="000B1AF8" w:rsidRDefault="00BE1EFE">
      <w:pPr>
        <w:pStyle w:val="StandardWeb"/>
      </w:pPr>
    </w:p>
    <w:p w:rsidR="00BE1EFE" w:rsidRDefault="00BE1EFE">
      <w:pPr>
        <w:pStyle w:val="StandardWeb"/>
      </w:pPr>
      <w:r>
        <w:t>(2) </w:t>
      </w:r>
      <w:r>
        <w:rPr>
          <w:rStyle w:val="kleinschrift"/>
        </w:rPr>
        <w:t>1</w:t>
      </w:r>
      <w:r>
        <w:t xml:space="preserve">Ausgehend von einer vereinbarten Zielgröße von 8 v. H. entspricht bis zu einer Vereinbarung eines höheren Vomhundertsatzes das für das Leistungsentgelt zur Verfügung stehende Gesamtvolumen 2,00 v. H. der ständigen Monatsentgelte des Vorjahres aller unter den Geltungsbereich des ABD fallenden Beschäftigten des jeweiligen Arbeitgebers. </w:t>
      </w:r>
      <w:r>
        <w:rPr>
          <w:rStyle w:val="kleinschrift"/>
        </w:rPr>
        <w:t>2</w:t>
      </w:r>
      <w:r>
        <w:t>Das für das Leistungsentgelt zur Verfügung stehende Gesamtvolumen ist zweckentsprechend zu verwenden; es besteht die Verpflichtung zu jährlicher Auszahlung der Leistungsentgelte.</w:t>
      </w:r>
    </w:p>
    <w:p w:rsidR="00BE1EFE" w:rsidRDefault="00BE1EFE">
      <w:pPr>
        <w:pStyle w:val="StandardWeb"/>
        <w:rPr>
          <w:sz w:val="12"/>
          <w:szCs w:val="12"/>
        </w:rPr>
      </w:pPr>
      <w:r w:rsidRPr="009C6551">
        <w:rPr>
          <w:rStyle w:val="kleinschrift1"/>
        </w:rPr>
        <w:t>Protokollnotiz zu Absatz 2:</w:t>
      </w:r>
    </w:p>
    <w:p w:rsidR="00BE1EFE" w:rsidRDefault="00BE1EFE">
      <w:pPr>
        <w:pStyle w:val="StandardWeb"/>
        <w:rPr>
          <w:sz w:val="12"/>
          <w:szCs w:val="12"/>
        </w:rPr>
      </w:pPr>
      <w:r>
        <w:rPr>
          <w:rStyle w:val="kleinschrift1"/>
        </w:rPr>
        <w:t>1. </w:t>
      </w:r>
      <w:r w:rsidRPr="009C6551">
        <w:rPr>
          <w:rStyle w:val="kleinschrift1"/>
        </w:rPr>
        <w:t xml:space="preserve">Das für das Leistungsentgelt zur Verfügung stehende Gesamtvolumen ist vom Arbeitgeber unter Zugrundelegung der </w:t>
      </w:r>
      <w:hyperlink r:id="rId57" w:history="1">
        <w:r w:rsidRPr="002D1F1D">
          <w:rPr>
            <w:rStyle w:val="Hyperlink"/>
            <w:sz w:val="12"/>
            <w:szCs w:val="12"/>
          </w:rPr>
          <w:t>Anlage D</w:t>
        </w:r>
      </w:hyperlink>
      <w:r w:rsidRPr="009C6551">
        <w:rPr>
          <w:rStyle w:val="kleinschrift1"/>
        </w:rPr>
        <w:t xml:space="preserve"> zu ermitteln.</w:t>
      </w:r>
    </w:p>
    <w:p w:rsidR="00BE1EFE" w:rsidRDefault="00BE1EFE">
      <w:pPr>
        <w:pStyle w:val="StandardWeb"/>
        <w:rPr>
          <w:sz w:val="12"/>
          <w:szCs w:val="12"/>
        </w:rPr>
      </w:pPr>
      <w:r w:rsidRPr="009C6551">
        <w:rPr>
          <w:rStyle w:val="kleinschrift1"/>
        </w:rPr>
        <w:t>2.</w:t>
      </w:r>
      <w:r>
        <w:rPr>
          <w:rStyle w:val="kleinschrift1"/>
        </w:rPr>
        <w:t> </w:t>
      </w:r>
      <w:r w:rsidRPr="009C6551">
        <w:rPr>
          <w:rStyle w:val="kleinschrift1"/>
        </w:rPr>
        <w:t>Grundsätzlich steht das Volumen des Leistungsentgelts den Beschäftigten des Arbeitgebers zur Verfügung. Für die wertmäßige Ermittlung des für das Leistungsentgelt zur Verfügung stehenden Gesamtvolumens und zur Auszahlung können bei dem Arbeitgeber auch mehrere Abrechnungskreise gebildet oder mehrere Arbeitgeber zu einem Abrechnungskreis verbunden werden. Die Maßnahme darf nicht rechtsmissbräuchlich sein.</w:t>
      </w:r>
    </w:p>
    <w:p w:rsidR="00BE1EFE" w:rsidRDefault="00BE1EFE">
      <w:pPr>
        <w:pStyle w:val="StandardWeb"/>
        <w:rPr>
          <w:rStyle w:val="kleinschrift1"/>
        </w:rPr>
      </w:pP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Beschließt die Bayerische Regional-KODA einen Teil des Leistungsentgelts für andere Zwecke zu verwenden, mindert sich das für das Leistungsentgelt zur Verfügung stehende Gesamtvolumen um diesen Teil.</w:t>
      </w:r>
    </w:p>
    <w:p w:rsidR="00BE1EFE" w:rsidRDefault="00BE1EFE">
      <w:pPr>
        <w:pStyle w:val="StandardWeb"/>
      </w:pPr>
    </w:p>
    <w:p w:rsidR="00BE1EFE" w:rsidRDefault="00BE1EFE">
      <w:pPr>
        <w:pStyle w:val="StandardWeb"/>
      </w:pPr>
      <w:r>
        <w:lastRenderedPageBreak/>
        <w:t xml:space="preserve">(3) Die Einführung, die Leistungsfeststellung und die Auszahlung des Leistungsentgelts bestimmen sich nach </w:t>
      </w:r>
      <w:hyperlink r:id="rId58" w:history="1">
        <w:r w:rsidRPr="002D1F1D">
          <w:rPr>
            <w:rStyle w:val="Hyperlink"/>
          </w:rPr>
          <w:t>Anlage E</w:t>
        </w:r>
      </w:hyperlink>
      <w:r>
        <w:t>.</w:t>
      </w:r>
    </w:p>
    <w:p w:rsidR="00BE1EFE" w:rsidRDefault="00BE1EFE">
      <w:pPr>
        <w:pStyle w:val="StandardWeb"/>
      </w:pPr>
    </w:p>
    <w:p w:rsidR="00BE1EFE" w:rsidRDefault="00BE1EFE">
      <w:pPr>
        <w:pStyle w:val="StandardWeb"/>
      </w:pPr>
      <w:r>
        <w:t>(4) Die ausgezahlten Leistungsentgelte sind zusatzversorgungspflichtiges Entgelt.</w:t>
      </w:r>
    </w:p>
    <w:p w:rsidR="00BE1EFE" w:rsidRDefault="00BE1EFE">
      <w:pPr>
        <w:pStyle w:val="StandardWeb"/>
      </w:pPr>
    </w:p>
    <w:p w:rsidR="00BE1EFE" w:rsidRDefault="00BE1EFE">
      <w:pPr>
        <w:pStyle w:val="StandardWeb"/>
        <w:rPr>
          <w:sz w:val="12"/>
          <w:szCs w:val="12"/>
        </w:rPr>
      </w:pPr>
      <w:r w:rsidRPr="009C6551">
        <w:rPr>
          <w:rStyle w:val="kleinschrift1"/>
        </w:rPr>
        <w:t>Anmerkungen zu § 18:</w:t>
      </w:r>
    </w:p>
    <w:p w:rsidR="00BE1EFE" w:rsidRDefault="00BE1EFE">
      <w:pPr>
        <w:pStyle w:val="StandardWeb"/>
        <w:rPr>
          <w:sz w:val="12"/>
          <w:szCs w:val="12"/>
        </w:rPr>
      </w:pPr>
      <w:r>
        <w:rPr>
          <w:rStyle w:val="kleinschrift1"/>
        </w:rPr>
        <w:t>1. </w:t>
      </w:r>
      <w:r>
        <w:rPr>
          <w:rStyle w:val="kleinschrift"/>
          <w:szCs w:val="12"/>
        </w:rPr>
        <w:t>1</w:t>
      </w:r>
      <w:r w:rsidRPr="009C6551">
        <w:rPr>
          <w:rStyle w:val="kleinschrift1"/>
        </w:rPr>
        <w:t xml:space="preserve">Eine Nichterfüllung der Voraussetzungen für die Gewährung eines Leistungsentgelts darf für sich genommen keine arbeitsrechtlichen Maßnahmen auslösen. </w:t>
      </w:r>
      <w:r>
        <w:rPr>
          <w:rStyle w:val="kleinschrift"/>
          <w:szCs w:val="12"/>
        </w:rPr>
        <w:t>2</w:t>
      </w:r>
      <w:r w:rsidRPr="009C6551">
        <w:rPr>
          <w:rStyle w:val="kleinschrift1"/>
        </w:rPr>
        <w:t>Umgekehrt sind arbeitsrechtliche Maßnahmen nicht durch Teilnahme an einer Zielvereinbarung bzw. durch Gewährung eines Leistungsentgelts ausgeschlossen.</w:t>
      </w:r>
    </w:p>
    <w:p w:rsidR="00BE1EFE" w:rsidRDefault="00BE1EFE">
      <w:pPr>
        <w:pStyle w:val="StandardWeb"/>
      </w:pPr>
      <w:r>
        <w:rPr>
          <w:rStyle w:val="kleinschrift1"/>
        </w:rPr>
        <w:t>2. </w:t>
      </w:r>
      <w:r>
        <w:rPr>
          <w:rStyle w:val="kleinschrift"/>
          <w:szCs w:val="12"/>
        </w:rPr>
        <w:t>1</w:t>
      </w:r>
      <w:r w:rsidRPr="009C6551">
        <w:rPr>
          <w:rStyle w:val="kleinschrift1"/>
        </w:rPr>
        <w:t xml:space="preserve">Leistungsgeminderte dürfen nicht grundsätzlich aus Leistungsentgelten ausgenommen werden. </w:t>
      </w:r>
      <w:r>
        <w:rPr>
          <w:rStyle w:val="kleinschrift"/>
          <w:szCs w:val="12"/>
        </w:rPr>
        <w:t>2</w:t>
      </w:r>
      <w:r w:rsidRPr="009C6551">
        <w:rPr>
          <w:rStyle w:val="kleinschrift1"/>
        </w:rPr>
        <w:t>Ihre jeweiligen Leistungsminderungen sollen angemessen berücksichtigt werden.</w:t>
      </w:r>
    </w:p>
    <w:p w:rsidR="00BE1EFE" w:rsidRDefault="00BE1EFE">
      <w:pPr>
        <w:pStyle w:val="berschrift6"/>
      </w:pPr>
      <w:bookmarkStart w:id="31" w:name="_Toc523925702"/>
      <w:r>
        <w:t>§ 18a Besondere Einmalzahlung</w:t>
      </w:r>
      <w:bookmarkEnd w:id="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In den Jahren 2011, 2012, 2013, 2014, 2015, 2016 und 2017 erhalten die Beschäftigten anstelle des Leistungsentgeltes gemäß </w:t>
      </w:r>
      <w:hyperlink r:id="rId59" w:history="1">
        <w:r w:rsidRPr="002D1F1D">
          <w:rPr>
            <w:rStyle w:val="Hyperlink"/>
          </w:rPr>
          <w:t>§ 18</w:t>
        </w:r>
      </w:hyperlink>
      <w:r>
        <w:t xml:space="preserve"> zusätzlich zum Tabellenentgelt eine besondere Einmalzahlung.</w:t>
      </w:r>
    </w:p>
    <w:p w:rsidR="00BE1EFE" w:rsidRPr="000B1AF8" w:rsidRDefault="00BE1EFE">
      <w:pPr>
        <w:pStyle w:val="StandardWeb"/>
      </w:pPr>
    </w:p>
    <w:p w:rsidR="00BE1EFE" w:rsidRDefault="00BE1EFE">
      <w:pPr>
        <w:pStyle w:val="StandardWeb"/>
      </w:pPr>
      <w:r>
        <w:t xml:space="preserve">(2) Der Anspruch und die Berechnung der besonderen Einmalzahlung richten sich nach </w:t>
      </w:r>
      <w:hyperlink r:id="rId60" w:history="1">
        <w:r w:rsidRPr="002D1F1D">
          <w:rPr>
            <w:rStyle w:val="Hyperlink"/>
          </w:rPr>
          <w:t>§ 20 Absatz 1, 2 und 4</w:t>
        </w:r>
      </w:hyperlink>
      <w:r>
        <w:t xml:space="preserve"> mit der Maßgabe, dass die besondere Einmalzahlung für die Beschäftigten in allen Entgeltgruppen</w:t>
      </w:r>
    </w:p>
    <w:p w:rsidR="00BE1EFE" w:rsidRDefault="00BE1EFE">
      <w:pPr>
        <w:pStyle w:val="StandardWeb"/>
      </w:pPr>
      <w:r>
        <w:t>im Jahr 2011 17,60 %</w:t>
      </w:r>
    </w:p>
    <w:p w:rsidR="00BE1EFE" w:rsidRDefault="00BE1EFE">
      <w:pPr>
        <w:pStyle w:val="StandardWeb"/>
      </w:pPr>
      <w:r>
        <w:t>im Jahr 2012 20,29 %</w:t>
      </w:r>
    </w:p>
    <w:p w:rsidR="00BE1EFE" w:rsidRDefault="00BE1EFE">
      <w:pPr>
        <w:pStyle w:val="StandardWeb"/>
      </w:pPr>
      <w:r>
        <w:t>im Jahr 2013 23,35 %</w:t>
      </w:r>
    </w:p>
    <w:p w:rsidR="00BE1EFE" w:rsidRDefault="00BE1EFE">
      <w:pPr>
        <w:pStyle w:val="StandardWeb"/>
      </w:pPr>
      <w:r>
        <w:t>im Jahr 2014 23,30 %</w:t>
      </w:r>
    </w:p>
    <w:p w:rsidR="00BE1EFE" w:rsidRDefault="00BE1EFE">
      <w:pPr>
        <w:pStyle w:val="StandardWeb"/>
      </w:pPr>
      <w:r>
        <w:t>im Jahr 2015 23,44 %</w:t>
      </w:r>
    </w:p>
    <w:p w:rsidR="00BE1EFE" w:rsidRDefault="00BE1EFE">
      <w:pPr>
        <w:pStyle w:val="StandardWeb"/>
      </w:pPr>
      <w:r>
        <w:t>im Jahr 2016 23,44 %</w:t>
      </w:r>
    </w:p>
    <w:p w:rsidR="00BE1EFE" w:rsidRDefault="00BE1EFE">
      <w:pPr>
        <w:pStyle w:val="StandardWeb"/>
      </w:pPr>
      <w:r>
        <w:t>und im Jahr 2017 23,45 %</w:t>
      </w:r>
    </w:p>
    <w:p w:rsidR="00BE1EFE" w:rsidRDefault="00BE1EFE">
      <w:pPr>
        <w:pStyle w:val="StandardWeb"/>
      </w:pPr>
      <w:r>
        <w:t>der für die Jahressonderzahlung geltenden Bemessungsgrundlage beträgt.</w:t>
      </w:r>
    </w:p>
    <w:p w:rsidR="00BE1EFE" w:rsidRDefault="00BE1EFE">
      <w:pPr>
        <w:pStyle w:val="StandardWeb"/>
      </w:pPr>
      <w:r>
        <w:rPr>
          <w:sz w:val="12"/>
          <w:szCs w:val="12"/>
        </w:rPr>
        <w:t>Protokollnotiz zu Absatz 2 Satz 1:</w:t>
      </w:r>
    </w:p>
    <w:p w:rsidR="00BE1EFE" w:rsidRDefault="00BE1EFE">
      <w:pPr>
        <w:pStyle w:val="StandardWeb"/>
        <w:rPr>
          <w:sz w:val="12"/>
          <w:szCs w:val="12"/>
        </w:rPr>
      </w:pPr>
      <w:r>
        <w:rPr>
          <w:sz w:val="12"/>
          <w:szCs w:val="12"/>
        </w:rPr>
        <w:t>1Beschäftigte, deren Arbeitsverhältnis vor dem 1. Dezember endet und die mindestens vom Beginn des Kalenderjahres an ununterbrochen in einem Arbeitsverhältnis i. S. des</w:t>
      </w:r>
      <w:hyperlink r:id="rId61" w:history="1">
        <w:r w:rsidRPr="002D1F1D">
          <w:rPr>
            <w:rStyle w:val="Hyperlink"/>
            <w:sz w:val="12"/>
            <w:szCs w:val="12"/>
          </w:rPr>
          <w:t xml:space="preserve"> § 1 Absatz 1</w:t>
        </w:r>
      </w:hyperlink>
      <w:r>
        <w:rPr>
          <w:sz w:val="12"/>
          <w:szCs w:val="12"/>
        </w:rPr>
        <w:t xml:space="preserve"> im kirchlichen Dienst gestanden haben, erhalten bei Ausscheiden aus dem Arbeitsverhältnis ungeachtet des in</w:t>
      </w:r>
      <w:hyperlink r:id="rId62" w:history="1">
        <w:r w:rsidRPr="002D1F1D">
          <w:rPr>
            <w:rStyle w:val="Hyperlink"/>
            <w:sz w:val="12"/>
            <w:szCs w:val="12"/>
          </w:rPr>
          <w:t xml:space="preserve"> § 20 Absatz 1</w:t>
        </w:r>
      </w:hyperlink>
      <w:r>
        <w:rPr>
          <w:sz w:val="12"/>
          <w:szCs w:val="12"/>
        </w:rPr>
        <w:t xml:space="preserve"> genannten Stichtages die anteilige besondere Einmalzahlung, wenn sie </w:t>
      </w:r>
    </w:p>
    <w:p w:rsidR="00BE1EFE" w:rsidRDefault="00BE1EFE">
      <w:pPr>
        <w:pStyle w:val="StandardWeb"/>
      </w:pPr>
      <w:r>
        <w:rPr>
          <w:sz w:val="12"/>
          <w:szCs w:val="12"/>
        </w:rPr>
        <w:t>1. wegen</w:t>
      </w:r>
    </w:p>
    <w:p w:rsidR="00BE1EFE" w:rsidRDefault="00BE1EFE">
      <w:pPr>
        <w:pStyle w:val="StandardWeb"/>
      </w:pPr>
      <w:r>
        <w:rPr>
          <w:sz w:val="12"/>
          <w:szCs w:val="12"/>
        </w:rPr>
        <w:t>a) Erreichens der Regelaltersgrenze oder</w:t>
      </w:r>
    </w:p>
    <w:p w:rsidR="00BE1EFE" w:rsidRDefault="00BE1EFE">
      <w:pPr>
        <w:pStyle w:val="StandardWeb"/>
      </w:pPr>
      <w:r>
        <w:rPr>
          <w:sz w:val="12"/>
          <w:szCs w:val="12"/>
        </w:rPr>
        <w:t>b) Bezugs einer Erwerbsminderungsrente oder</w:t>
      </w:r>
    </w:p>
    <w:p w:rsidR="00BE1EFE" w:rsidRDefault="00BE1EFE">
      <w:pPr>
        <w:pStyle w:val="StandardWeb"/>
      </w:pPr>
      <w:r>
        <w:rPr>
          <w:sz w:val="12"/>
          <w:szCs w:val="12"/>
        </w:rPr>
        <w:t>c) Beendigung des Arbeitsverhältnisses nach Altersteilzeit oder</w:t>
      </w:r>
    </w:p>
    <w:p w:rsidR="00BE1EFE" w:rsidRDefault="00BE1EFE">
      <w:pPr>
        <w:pStyle w:val="StandardWeb"/>
      </w:pPr>
      <w:r>
        <w:rPr>
          <w:sz w:val="12"/>
          <w:szCs w:val="12"/>
        </w:rPr>
        <w:t>d) Ablauf eines befristeten Arbeitsverhältnisses oder</w:t>
      </w:r>
    </w:p>
    <w:p w:rsidR="00BE1EFE" w:rsidRDefault="00BE1EFE">
      <w:pPr>
        <w:pStyle w:val="StandardWeb"/>
      </w:pPr>
      <w:r>
        <w:rPr>
          <w:sz w:val="12"/>
          <w:szCs w:val="12"/>
        </w:rPr>
        <w:t>e) einer betriebsbedingten Arbeitgeberkündigung aus dem Arbeitsverhältnis ausscheiden oder wenn sie</w:t>
      </w:r>
    </w:p>
    <w:p w:rsidR="00BE1EFE" w:rsidRDefault="00BE1EFE">
      <w:pPr>
        <w:pStyle w:val="StandardWeb"/>
      </w:pPr>
      <w:r>
        <w:rPr>
          <w:sz w:val="12"/>
          <w:szCs w:val="12"/>
        </w:rPr>
        <w:t>2. in unmittelbarem Anschluss an das Arbeitsverhältnis zu einem anderen Arbeitgeber des kirchlichen Dienstes wechseln oder wenn sie</w:t>
      </w:r>
    </w:p>
    <w:p w:rsidR="00BE1EFE" w:rsidRDefault="00BE1EFE">
      <w:pPr>
        <w:pStyle w:val="StandardWeb"/>
      </w:pPr>
      <w:r>
        <w:rPr>
          <w:sz w:val="12"/>
          <w:szCs w:val="12"/>
        </w:rPr>
        <w:t>3. wegen</w:t>
      </w:r>
    </w:p>
    <w:p w:rsidR="00BE1EFE" w:rsidRDefault="00BE1EFE">
      <w:pPr>
        <w:pStyle w:val="StandardWeb"/>
      </w:pPr>
      <w:r>
        <w:rPr>
          <w:sz w:val="12"/>
          <w:szCs w:val="12"/>
        </w:rPr>
        <w:t>a) eines mit Sicherheit zu erwartenden Personalabbaus oder</w:t>
      </w:r>
    </w:p>
    <w:p w:rsidR="00BE1EFE" w:rsidRDefault="00BE1EFE">
      <w:pPr>
        <w:pStyle w:val="StandardWeb"/>
      </w:pPr>
      <w:r>
        <w:rPr>
          <w:sz w:val="12"/>
          <w:szCs w:val="12"/>
        </w:rPr>
        <w:t>b) Erfüllung der Voraussetzungen zum Bezug einer vorgezogenen Altersrente oder</w:t>
      </w:r>
    </w:p>
    <w:p w:rsidR="00BE1EFE" w:rsidRDefault="00BE1EFE">
      <w:pPr>
        <w:pStyle w:val="StandardWeb"/>
      </w:pPr>
      <w:r>
        <w:rPr>
          <w:sz w:val="12"/>
          <w:szCs w:val="12"/>
        </w:rPr>
        <w:t>c) Schwangerschaft oder</w:t>
      </w:r>
    </w:p>
    <w:p w:rsidR="00BE1EFE" w:rsidRDefault="00BE1EFE">
      <w:pPr>
        <w:pStyle w:val="StandardWeb"/>
      </w:pPr>
      <w:r>
        <w:rPr>
          <w:sz w:val="12"/>
          <w:szCs w:val="12"/>
        </w:rPr>
        <w:t>d) Niederkunft in den letzten drei Monaten oder</w:t>
      </w:r>
    </w:p>
    <w:p w:rsidR="00BE1EFE" w:rsidRDefault="00BE1EFE">
      <w:pPr>
        <w:pStyle w:val="StandardWeb"/>
      </w:pPr>
      <w:r>
        <w:rPr>
          <w:sz w:val="12"/>
          <w:szCs w:val="12"/>
        </w:rPr>
        <w:t>e) Aufnahme eines Kindes in ihre Obhut mit dem Ziel der Annahme als Kind oder</w:t>
      </w:r>
    </w:p>
    <w:p w:rsidR="00BE1EFE" w:rsidRDefault="00BE1EFE">
      <w:pPr>
        <w:pStyle w:val="StandardWeb"/>
      </w:pPr>
      <w:r>
        <w:rPr>
          <w:sz w:val="12"/>
          <w:szCs w:val="12"/>
        </w:rPr>
        <w:t>f) Pflege eines nach ärztlichem Gutachten pflegebedürftigen Angehörigen gekündigt oder einen Auflösungsvertrag geschlossen haben.</w:t>
      </w:r>
    </w:p>
    <w:p w:rsidR="00BE1EFE" w:rsidRDefault="00BE1EFE">
      <w:pPr>
        <w:pStyle w:val="StandardWeb"/>
      </w:pPr>
      <w:r>
        <w:rPr>
          <w:sz w:val="12"/>
          <w:szCs w:val="12"/>
        </w:rPr>
        <w:t>2Bei Beschäftigten, die vor dem 30. September ausscheiden, tritt an die Stelle des Bemessungszeitraumes der letzte volle Kalendermonat des Arbeitsverhältnisses. 3Bei der Bemessungsgrundlage unberücksichtigt bleiben das zusätzlich für Über</w:t>
      </w:r>
      <w:r>
        <w:rPr>
          <w:sz w:val="12"/>
          <w:szCs w:val="12"/>
        </w:rPr>
        <w:softHyphen/>
        <w:t xml:space="preserve">stunden und Mehrarbeit gezahlte Entgelt (mit Ausnahme der im Dienstplan vorgesehenen Überstunden und Mehrarbeit), Leistungszulagen, Leistungs- und Erfolgsprämien, Sonder- und Einmalzahlungen sowie ggf. Zahlungen zur Urlaubsabgeltung. </w:t>
      </w:r>
      <w:r w:rsidRPr="006B6312">
        <w:rPr>
          <w:sz w:val="12"/>
          <w:szCs w:val="12"/>
        </w:rPr>
        <w:t>4Endet das Arbeitsverhältnis, bevor die Höhe des Bemessungssatzes für das jeweilige Jahr von der Kommission neu festgesetzt ist, erfolgt die Endabrechnung auf Grundlage des für das Vorjahr geltenden Bemessungssatzes. 5Eine Korrektur nach endgütiger Festsetzun</w:t>
      </w:r>
      <w:r>
        <w:rPr>
          <w:sz w:val="12"/>
          <w:szCs w:val="12"/>
        </w:rPr>
        <w:t>g erfolgt in diesem Fall nicht.</w:t>
      </w:r>
    </w:p>
    <w:p w:rsidR="00BE1EFE" w:rsidRDefault="00BE1EFE">
      <w:pPr>
        <w:pStyle w:val="StandardWeb"/>
      </w:pPr>
    </w:p>
    <w:p w:rsidR="00BE1EFE" w:rsidRDefault="00BE1EFE">
      <w:pPr>
        <w:pStyle w:val="StandardWeb"/>
        <w:rPr>
          <w:sz w:val="12"/>
          <w:szCs w:val="12"/>
        </w:rPr>
      </w:pPr>
      <w:r>
        <w:rPr>
          <w:sz w:val="12"/>
          <w:szCs w:val="12"/>
        </w:rPr>
        <w:t>Protokollnotiz zu Absatz 2:</w:t>
      </w:r>
    </w:p>
    <w:p w:rsidR="00BE1EFE" w:rsidRDefault="00BE1EFE">
      <w:pPr>
        <w:pStyle w:val="StandardWeb"/>
        <w:rPr>
          <w:sz w:val="12"/>
          <w:szCs w:val="12"/>
        </w:rPr>
      </w:pPr>
      <w:r>
        <w:rPr>
          <w:sz w:val="12"/>
          <w:szCs w:val="12"/>
        </w:rPr>
        <w:t>Erläuterung zur Festsetzung des Bemessungssatzes:</w:t>
      </w:r>
    </w:p>
    <w:p w:rsidR="00BE1EFE" w:rsidRDefault="00BE1EFE">
      <w:pPr>
        <w:pStyle w:val="StandardWeb"/>
      </w:pPr>
      <w:r>
        <w:rPr>
          <w:sz w:val="12"/>
          <w:szCs w:val="12"/>
        </w:rPr>
        <w:t>1Ab dem Jahr 2011 errechnet sich der Bemessungssatz für die besondere Einmalzahlung aus dem Zwölffachen des als Gesamtvolumen zur Verfügung stehenden Vomhundertsatzes gemäß</w:t>
      </w:r>
      <w:r w:rsidR="00CE16AD">
        <w:rPr>
          <w:sz w:val="12"/>
          <w:szCs w:val="12"/>
        </w:rPr>
        <w:t xml:space="preserve"> </w:t>
      </w:r>
      <w:hyperlink r:id="rId63" w:history="1">
        <w:r w:rsidRPr="00114F9D">
          <w:rPr>
            <w:rStyle w:val="Hyperlink"/>
            <w:sz w:val="12"/>
            <w:szCs w:val="12"/>
          </w:rPr>
          <w:t>§ 18Absatz 2 Satz 1</w:t>
        </w:r>
      </w:hyperlink>
      <w:r>
        <w:rPr>
          <w:sz w:val="12"/>
          <w:szCs w:val="12"/>
        </w:rPr>
        <w:t xml:space="preserve">, bereinigt um die im laufenden </w:t>
      </w:r>
      <w:r>
        <w:rPr>
          <w:sz w:val="12"/>
          <w:szCs w:val="12"/>
        </w:rPr>
        <w:lastRenderedPageBreak/>
        <w:t>Jahr erfolgten linearen Erhöhungen der Tabellenentgelte (Vomhundertsatz gemäß § 18 Absatz 2 Satz 1 für das jeweilige Jahr, multipliziert mit 12, multipliziert mit dem Ergebnis des Quotienten 100/(100 + Prozentpunkte der linearen Entgelt</w:t>
      </w:r>
      <w:r>
        <w:rPr>
          <w:sz w:val="12"/>
          <w:szCs w:val="12"/>
        </w:rPr>
        <w:softHyphen/>
        <w:t>erhöhung(en) im jeweiligen Jahr)). 2Das Ergebnis ist kaufmännisch auf zwei Stellen nach dem Komma zu runden.</w:t>
      </w:r>
    </w:p>
    <w:p w:rsidR="00BE1EFE" w:rsidRDefault="00BE1EFE">
      <w:pPr>
        <w:pStyle w:val="StandardWeb"/>
      </w:pPr>
    </w:p>
    <w:p w:rsidR="00BE1EFE" w:rsidRDefault="00BE1EFE">
      <w:pPr>
        <w:pStyle w:val="StandardWeb"/>
      </w:pPr>
      <w:r>
        <w:t>(2a) </w:t>
      </w:r>
      <w:r>
        <w:rPr>
          <w:rStyle w:val="kleinschrift"/>
        </w:rPr>
        <w:t>1</w:t>
      </w:r>
      <w:r>
        <w:t xml:space="preserve">In einer längstens bis 31. Dezember 2013 zu befristenden Dienstvereinbarung zur Auszahlung eines individuellen leistungsbezogenen Entgelts kann der bereinigte Bemessungssatz für die besondere Einmalzahlung nach Absatz 2 um bis zu 1/5 gemindert werden. </w:t>
      </w:r>
      <w:r>
        <w:rPr>
          <w:rStyle w:val="kleinschrift"/>
        </w:rPr>
        <w:t>2</w:t>
      </w:r>
      <w:r>
        <w:t>Die Summe der sich aus der Minderung ergebenden Differenzbeträge wird entsprechend der Dienstvereinbarung leistungsbezogen unter den beteiligten Beschäftigten neben der geminderten besonderen Einmalzahlung zur Auszahlung gebracht.</w:t>
      </w:r>
    </w:p>
    <w:p w:rsidR="00BE1EFE" w:rsidRDefault="00BE1EFE">
      <w:pPr>
        <w:pStyle w:val="StandardWeb"/>
      </w:pPr>
    </w:p>
    <w:p w:rsidR="00BE1EFE" w:rsidRDefault="00BE1EFE">
      <w:pPr>
        <w:pStyle w:val="StandardWeb"/>
      </w:pPr>
      <w:r>
        <w:t>(3) Die besondere Einmalzahlung wird mit dem Tabellenentgelt für Dezember, spätestens jedoch Anfang Januar des folgenden Jahres ausgezahlt.</w:t>
      </w:r>
    </w:p>
    <w:p w:rsidR="00BE1EFE" w:rsidRDefault="00BE1EFE">
      <w:pPr>
        <w:pStyle w:val="StandardWeb"/>
      </w:pPr>
    </w:p>
    <w:p w:rsidR="00BE1EFE" w:rsidRDefault="00BE1EFE">
      <w:pPr>
        <w:pStyle w:val="StandardWeb"/>
      </w:pPr>
      <w:r>
        <w:t>(4) Die besondere Einmalzahlung ist zusatzversorgungspflichtiges Entgelt.</w:t>
      </w:r>
    </w:p>
    <w:p w:rsidR="00BE1EFE" w:rsidRDefault="00BE1EFE">
      <w:pPr>
        <w:pStyle w:val="StandardWeb"/>
      </w:pPr>
    </w:p>
    <w:p w:rsidR="00BE1EFE" w:rsidRDefault="00BE1EFE">
      <w:pPr>
        <w:pStyle w:val="StandardWeb"/>
      </w:pPr>
      <w:r>
        <w:t xml:space="preserve">(5) Die besondere Einmalzahlung wird neben den Aufstockungsleistungen nach </w:t>
      </w:r>
      <w:hyperlink r:id="rId64" w:history="1">
        <w:r w:rsidRPr="002D1F1D">
          <w:rPr>
            <w:rStyle w:val="Hyperlink"/>
          </w:rPr>
          <w:t>§ 5 Teil D, 6.</w:t>
        </w:r>
      </w:hyperlink>
      <w:r>
        <w:t xml:space="preserve"> gezahlt und bleibt bei der Berechnung von Aufstockungsleistungen nach </w:t>
      </w:r>
      <w:hyperlink r:id="rId65" w:history="1">
        <w:r w:rsidRPr="002D1F1D">
          <w:rPr>
            <w:rStyle w:val="Hyperlink"/>
          </w:rPr>
          <w:t>§ 5 Teil D, 6.</w:t>
        </w:r>
      </w:hyperlink>
      <w:r>
        <w:t xml:space="preserve"> unberücksichtigt.</w:t>
      </w:r>
    </w:p>
    <w:p w:rsidR="00BE1EFE" w:rsidRDefault="00BE1EFE">
      <w:pPr>
        <w:pStyle w:val="StandardWeb"/>
      </w:pPr>
    </w:p>
    <w:p w:rsidR="00BE1EFE" w:rsidRDefault="00BE1EFE">
      <w:pPr>
        <w:pStyle w:val="StandardWeb"/>
      </w:pPr>
      <w:r>
        <w:t>(6) </w:t>
      </w:r>
      <w:r>
        <w:rPr>
          <w:rStyle w:val="kleinschrift"/>
        </w:rPr>
        <w:t>1</w:t>
      </w:r>
      <w:r>
        <w:t xml:space="preserve">Kommt bis zum 31. Juli 2013 keine Einigung über die Ausfüllung der Anlage E zustande, finden die Absätze 1, 2 und 3 bis 5 weitere Anwendung bis solche Bestimmungen erlassen sind oder die Bayerische Regional-KODA beschlossen hat, dass § 18a nicht mehr anzuwenden ist. </w:t>
      </w:r>
      <w:r>
        <w:rPr>
          <w:rStyle w:val="kleinschrift"/>
        </w:rPr>
        <w:t>2</w:t>
      </w:r>
      <w:r>
        <w:t>In diesem Fall kann die Dienstvereinbarung nach Absatz 2a jeweils für ein Jahr längstens bis 31.12.2015 verlängert werden.</w:t>
      </w:r>
    </w:p>
    <w:p w:rsidR="00BE1EFE" w:rsidRDefault="00BE1EFE">
      <w:pPr>
        <w:pStyle w:val="berschrift6"/>
      </w:pPr>
      <w:bookmarkStart w:id="32" w:name="_Toc523925703"/>
      <w:r>
        <w:t>§ 19 Erschwerniszuschläge</w:t>
      </w:r>
      <w:bookmarkEnd w:id="32"/>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Erschwerniszuschläge werden für Arbeiten gezahlt, die außergewöhnliche Erschwernisse beinhalten. </w:t>
      </w:r>
      <w:r>
        <w:rPr>
          <w:rStyle w:val="kleinschrift"/>
        </w:rPr>
        <w:t>2</w:t>
      </w:r>
      <w:r>
        <w:t>Dies gilt nicht für Erschwernisse, die mit dem der Eingruppierung zugrunde liegenden Berufs- oder Tätigkeitsbild verbunden sind.</w:t>
      </w:r>
    </w:p>
    <w:p w:rsidR="00BE1EFE" w:rsidRDefault="00BE1EFE">
      <w:pPr>
        <w:jc w:val="both"/>
      </w:pPr>
    </w:p>
    <w:p w:rsidR="00BE1EFE" w:rsidRDefault="00BE1EFE">
      <w:pPr>
        <w:pStyle w:val="StandardWeb"/>
      </w:pPr>
      <w:r>
        <w:t>(2) Außergewöhnliche Erschwernisse im Sinne des Absatzes 1 ergeben sich grundsätzlich nur bei Arbeiten</w:t>
      </w:r>
    </w:p>
    <w:p w:rsidR="00BE1EFE" w:rsidRDefault="00BE1EFE">
      <w:pPr>
        <w:pStyle w:val="StandardWeb"/>
      </w:pPr>
      <w:r>
        <w:t>a) mit besonderer Gefährdung,</w:t>
      </w:r>
    </w:p>
    <w:p w:rsidR="00BE1EFE" w:rsidRDefault="00BE1EFE">
      <w:pPr>
        <w:pStyle w:val="StandardWeb"/>
      </w:pPr>
      <w:r>
        <w:t>b) mit extremer nicht klimabedingter Hitzeeinwirkung,</w:t>
      </w:r>
    </w:p>
    <w:p w:rsidR="00BE1EFE" w:rsidRDefault="00BE1EFE">
      <w:pPr>
        <w:pStyle w:val="StandardWeb"/>
      </w:pPr>
      <w:r>
        <w:t>c) mit besonders starker Schmutz- oder Staubbelastung,</w:t>
      </w:r>
    </w:p>
    <w:p w:rsidR="00BE1EFE" w:rsidRDefault="00BE1EFE">
      <w:pPr>
        <w:pStyle w:val="StandardWeb"/>
      </w:pPr>
      <w:r>
        <w:t>d) mit besonders starker Strahlenexposition oder</w:t>
      </w:r>
    </w:p>
    <w:p w:rsidR="00BE1EFE" w:rsidRPr="000B1AF8" w:rsidRDefault="00BE1EFE">
      <w:pPr>
        <w:pStyle w:val="StandardWeb"/>
      </w:pPr>
      <w:r>
        <w:t>e) unter sonstigen vergleichbar erschwerten Umständen.</w:t>
      </w:r>
    </w:p>
    <w:p w:rsidR="00BE1EFE" w:rsidRPr="000B1AF8" w:rsidRDefault="00BE1EFE">
      <w:pPr>
        <w:pStyle w:val="StandardWeb"/>
      </w:pPr>
    </w:p>
    <w:p w:rsidR="00BE1EFE" w:rsidRDefault="00BE1EFE">
      <w:pPr>
        <w:pStyle w:val="StandardWeb"/>
      </w:pPr>
      <w:r>
        <w:t>(3) Zuschläge nach Absatz 1 werden nicht gewährt, soweit der außergewöhnlichen Erschwernis durch geeignete Vorkehrungen, insbesondere zum Arbeitsschutz, ausreichend Rechnung getragen wird.</w:t>
      </w:r>
    </w:p>
    <w:p w:rsidR="00BE1EFE" w:rsidRDefault="00BE1EFE">
      <w:pPr>
        <w:pStyle w:val="StandardWeb"/>
      </w:pPr>
    </w:p>
    <w:p w:rsidR="00BE1EFE" w:rsidRDefault="00BE1EFE">
      <w:pPr>
        <w:pStyle w:val="StandardWeb"/>
      </w:pPr>
      <w:r>
        <w:t>(4) </w:t>
      </w:r>
      <w:r>
        <w:rPr>
          <w:rStyle w:val="kleinschrift"/>
        </w:rPr>
        <w:t>1</w:t>
      </w:r>
      <w:r>
        <w:t xml:space="preserve">Die Zuschläge betragen in der Regel 5 bis 15 v. H. - in besonderen Fällen auch abweichend - des auf eine Stunde entfallenden Anteils des monatlichen Tabellenentgelts der Stufe 2 der Entgeltgruppe 2. </w:t>
      </w:r>
      <w:r>
        <w:rPr>
          <w:rStyle w:val="kleinschrift"/>
        </w:rPr>
        <w:t>2</w:t>
      </w:r>
      <w:r>
        <w:t xml:space="preserve">Teilzeitbeschäftigte erhalten Erschwerniszuschläge, die nach Stunden bemessen werden, in voller Höhe; sofern sie pauschaliert gezahlt werden, gilt dagegen </w:t>
      </w:r>
      <w:hyperlink r:id="rId66" w:history="1">
        <w:r w:rsidRPr="002D1F1D">
          <w:rPr>
            <w:rStyle w:val="Hyperlink"/>
          </w:rPr>
          <w:t xml:space="preserve">§ 24 </w:t>
        </w:r>
        <w:r>
          <w:rPr>
            <w:rStyle w:val="Hyperlink"/>
          </w:rPr>
          <w:t>Absatz</w:t>
        </w:r>
        <w:r w:rsidRPr="002D1F1D">
          <w:rPr>
            <w:rStyle w:val="Hyperlink"/>
          </w:rPr>
          <w:t xml:space="preserve"> 2</w:t>
        </w:r>
      </w:hyperlink>
      <w:r>
        <w:t>.</w:t>
      </w:r>
    </w:p>
    <w:p w:rsidR="00BE1EFE" w:rsidRDefault="00BE1EFE">
      <w:pPr>
        <w:pStyle w:val="StandardWeb"/>
      </w:pPr>
    </w:p>
    <w:p w:rsidR="00BE1EFE" w:rsidRDefault="00BE1EFE">
      <w:pPr>
        <w:pStyle w:val="StandardWeb"/>
      </w:pPr>
      <w:r>
        <w:t>(5) </w:t>
      </w:r>
      <w:r>
        <w:rPr>
          <w:rStyle w:val="kleinschrift"/>
        </w:rPr>
        <w:t>1</w:t>
      </w:r>
      <w:r>
        <w:t xml:space="preserve">Die zuschlagspflichtigen Arbeiten und die Höhe der Zuschläge werden gesondert geregelt. </w:t>
      </w:r>
      <w:r>
        <w:rPr>
          <w:rStyle w:val="kleinschrift"/>
        </w:rPr>
        <w:t>2</w:t>
      </w:r>
      <w:r>
        <w:t xml:space="preserve">Bis zum In-Kraft-Treten einer entsprechenden Regelung gelten die Regelungen über die Höhe der Lohnzuschläge gemäß Teil B, 5.1. und 5.2. in der bis zum 30.09.2005 </w:t>
      </w:r>
      <w:r>
        <w:lastRenderedPageBreak/>
        <w:t xml:space="preserve">geltenden Fassung fort. </w:t>
      </w:r>
      <w:r>
        <w:rPr>
          <w:rStyle w:val="kleinschrift"/>
        </w:rPr>
        <w:t>3</w:t>
      </w:r>
      <w:r>
        <w:t xml:space="preserve">Die zu zahlenden Erschwerniszuschlagsbeträge erhöhen sich mit Wirkung zum 01.09.2012 um 6,3 %. </w:t>
      </w:r>
      <w:r>
        <w:rPr>
          <w:rStyle w:val="kleinschrift"/>
        </w:rPr>
        <w:t>4</w:t>
      </w:r>
      <w:r>
        <w:t>Bei der Berechnung sich ergebende Bruchteile eines Cents unter 0,5 sind abzurunden, Bruchteile von 0,5 und mehr aufzurunden.</w:t>
      </w:r>
    </w:p>
    <w:p w:rsidR="00BE1EFE" w:rsidRDefault="00BE1EFE">
      <w:pPr>
        <w:pStyle w:val="berschrift6"/>
      </w:pPr>
      <w:bookmarkStart w:id="33" w:name="_Toc523925704"/>
      <w:r>
        <w:t>§ 20 Jahressonderzahlung</w:t>
      </w:r>
      <w:bookmarkEnd w:id="33"/>
    </w:p>
    <w:p w:rsidR="00BE1EFE" w:rsidRPr="00B76821" w:rsidRDefault="00BE1EFE" w:rsidP="00B76821">
      <w:pPr>
        <w:pStyle w:val="h7"/>
        <w:keepNext w:val="0"/>
        <w:spacing w:before="0" w:after="0"/>
        <w:jc w:val="left"/>
        <w:outlineLvl w:val="5"/>
        <w:rPr>
          <w:sz w:val="2"/>
        </w:rPr>
      </w:pPr>
    </w:p>
    <w:p w:rsidR="00BE1EFE" w:rsidRPr="006B3FAB" w:rsidRDefault="00BE1EFE">
      <w:pPr>
        <w:pStyle w:val="StandardWeb"/>
        <w:rPr>
          <w:i/>
        </w:rPr>
      </w:pPr>
      <w:r w:rsidRPr="006B3FAB">
        <w:rPr>
          <w:i/>
        </w:rPr>
        <w:t>(Die Änderungen in den</w:t>
      </w:r>
      <w:r>
        <w:rPr>
          <w:i/>
        </w:rPr>
        <w:t xml:space="preserve"> Absätzen 1, </w:t>
      </w:r>
      <w:r w:rsidRPr="006B3FAB">
        <w:rPr>
          <w:i/>
        </w:rPr>
        <w:t>3, 4, 5 und 6 durch Beschluss vom 16. März 2017 sind befristet bis zum 31. Dezember 2020)</w:t>
      </w:r>
    </w:p>
    <w:p w:rsidR="00BE1EFE" w:rsidRDefault="00BE1EFE">
      <w:pPr>
        <w:pStyle w:val="StandardWeb"/>
      </w:pPr>
    </w:p>
    <w:p w:rsidR="00BE1EFE" w:rsidRDefault="00BE1EFE">
      <w:pPr>
        <w:pStyle w:val="StandardWeb"/>
      </w:pPr>
      <w:r>
        <w:t>(1) </w:t>
      </w:r>
      <w:r w:rsidRPr="0039522E">
        <w:rPr>
          <w:sz w:val="12"/>
          <w:szCs w:val="12"/>
        </w:rPr>
        <w:t>1</w:t>
      </w:r>
      <w:r>
        <w:t>Beschäftigte, die am 1. Dezember im Arbeitsverhältnis stehen, haben Anspruch auf eine Jahressonderzahlung.</w:t>
      </w:r>
      <w:r w:rsidRPr="0039522E">
        <w:t xml:space="preserve"> </w:t>
      </w:r>
      <w:r w:rsidRPr="0039522E">
        <w:rPr>
          <w:sz w:val="12"/>
          <w:szCs w:val="12"/>
        </w:rPr>
        <w:t>2</w:t>
      </w:r>
      <w:r w:rsidRPr="0039522E">
        <w:t xml:space="preserve">Beschäftigte, deren Arbeitsverhältnis aufgrund des Erreichens der Regelaltersgrenze oder wegen Eintritt einer dauerhaften Erwerbsminderung bzw. einer dauerhaften Berufsunfähigkeit vor dem 1. Dezember endet und die mindestens seit 25 Jahren ununterbrochen in einem Arbeitsverhältnis i. S. des </w:t>
      </w:r>
      <w:hyperlink r:id="rId67" w:history="1">
        <w:r w:rsidRPr="00114F9D">
          <w:rPr>
            <w:rStyle w:val="Hyperlink"/>
          </w:rPr>
          <w:t>§ 1 Absatz 1</w:t>
        </w:r>
      </w:hyperlink>
      <w:r w:rsidRPr="0039522E">
        <w:t xml:space="preserve"> im kirchlichen Dienst gestanden haben, erhalten bei Ausscheiden aus dem Arbeitsverhältnis ungeachtet des in § 20 Absatz 1 genannten Stichtages die</w:t>
      </w:r>
      <w:r>
        <w:t xml:space="preserve"> anteilige Jahressonderzahlung.</w:t>
      </w:r>
    </w:p>
    <w:p w:rsidR="00BE1EFE" w:rsidRDefault="00BE1EFE">
      <w:pPr>
        <w:pStyle w:val="StandardWeb"/>
      </w:pPr>
    </w:p>
    <w:p w:rsidR="00BE1EFE" w:rsidRPr="000B1AF8" w:rsidRDefault="00BE1EFE">
      <w:pPr>
        <w:pStyle w:val="StandardWeb"/>
      </w:pPr>
      <w:r>
        <w:t>(1a) </w:t>
      </w:r>
      <w:r w:rsidRPr="0099296C">
        <w:rPr>
          <w:sz w:val="12"/>
          <w:szCs w:val="12"/>
        </w:rPr>
        <w:t>1</w:t>
      </w:r>
      <w:r>
        <w:t>Beschäftigte erhal</w:t>
      </w:r>
      <w:r w:rsidRPr="0099296C">
        <w:t xml:space="preserve">ten bei einem Wechsel zwischen Arbeitgebern im Sinne des </w:t>
      </w:r>
      <w:hyperlink r:id="rId68" w:history="1">
        <w:r w:rsidRPr="00114F9D">
          <w:rPr>
            <w:rStyle w:val="Hyperlink"/>
          </w:rPr>
          <w:t>§ 1 Absatz 1</w:t>
        </w:r>
      </w:hyperlink>
      <w:r w:rsidRPr="0099296C">
        <w:t xml:space="preserve"> auf Antrag vom bisherig</w:t>
      </w:r>
      <w:r>
        <w:t>en Arbeitgeber die Jahressonderzah</w:t>
      </w:r>
      <w:r w:rsidRPr="0099296C">
        <w:t xml:space="preserve">lung beim Ausscheiden anteilig auch dann, wenn das Arbeitsverhältnis vor dem 1. Dezember endet. </w:t>
      </w:r>
      <w:r w:rsidRPr="0099296C">
        <w:rPr>
          <w:sz w:val="12"/>
          <w:szCs w:val="12"/>
        </w:rPr>
        <w:t>2</w:t>
      </w:r>
      <w:r w:rsidRPr="0099296C">
        <w:t xml:space="preserve">Der Anspruch nach Satz 1 beträgt ein Zwölftel für jeden Kalendermonat, in dem der oder die Beschäftigte Anspruch auf Entgelt oder Fortzahlung des Entgelts hat. </w:t>
      </w:r>
      <w:r w:rsidRPr="00B43590">
        <w:rPr>
          <w:sz w:val="12"/>
          <w:szCs w:val="12"/>
        </w:rPr>
        <w:t>3</w:t>
      </w:r>
      <w:r w:rsidRPr="0099296C">
        <w:t xml:space="preserve">Als Monat gilt eine Beschäftigungszeit von mehr als 15 Kalendertagen. </w:t>
      </w:r>
      <w:r w:rsidRPr="00B43590">
        <w:rPr>
          <w:sz w:val="12"/>
          <w:szCs w:val="12"/>
        </w:rPr>
        <w:t>4</w:t>
      </w:r>
      <w:r w:rsidRPr="0099296C">
        <w:t>Abs</w:t>
      </w:r>
      <w:r>
        <w:t>atz 3 findet analoge Anwendung.</w:t>
      </w:r>
    </w:p>
    <w:p w:rsidR="00BE1EFE" w:rsidRPr="000B1AF8" w:rsidRDefault="00BE1EFE">
      <w:pPr>
        <w:pStyle w:val="StandardWeb"/>
      </w:pPr>
    </w:p>
    <w:p w:rsidR="00BE1EFE" w:rsidRDefault="00BE1EFE" w:rsidP="000E245D">
      <w:pPr>
        <w:pStyle w:val="StandardWeb"/>
        <w:spacing w:after="120"/>
      </w:pPr>
      <w:r>
        <w:t>(2) </w:t>
      </w:r>
      <w:r>
        <w:rPr>
          <w:rStyle w:val="kleinschrift"/>
        </w:rPr>
        <w:t>1</w:t>
      </w:r>
      <w:r>
        <w:t>Die Jahressonderzahlung beträgt bei Beschäftigten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0"/>
        <w:gridCol w:w="692"/>
        <w:gridCol w:w="597"/>
        <w:gridCol w:w="671"/>
      </w:tblGrid>
      <w:tr w:rsidR="00BE1EFE" w:rsidRPr="000E245D" w:rsidTr="000E245D">
        <w:trPr>
          <w:tblCellSpacing w:w="15" w:type="dxa"/>
        </w:trPr>
        <w:tc>
          <w:tcPr>
            <w:tcW w:w="0" w:type="auto"/>
            <w:vAlign w:val="center"/>
          </w:tcPr>
          <w:p w:rsidR="00BE1EFE" w:rsidRPr="000E245D" w:rsidRDefault="00BE1EFE">
            <w:pPr>
              <w:rPr>
                <w:b/>
              </w:rPr>
            </w:pPr>
            <w:r w:rsidRPr="000E245D">
              <w:rPr>
                <w:b/>
              </w:rPr>
              <w:t>In den Kalenderjahren</w:t>
            </w:r>
          </w:p>
        </w:tc>
        <w:tc>
          <w:tcPr>
            <w:tcW w:w="0" w:type="auto"/>
            <w:vAlign w:val="center"/>
          </w:tcPr>
          <w:p w:rsidR="00BE1EFE" w:rsidRPr="000E245D" w:rsidRDefault="00BE1EFE">
            <w:pPr>
              <w:rPr>
                <w:b/>
              </w:rPr>
            </w:pPr>
            <w:r w:rsidRPr="000E245D">
              <w:rPr>
                <w:b/>
              </w:rPr>
              <w:t>bis 2016</w:t>
            </w:r>
          </w:p>
        </w:tc>
        <w:tc>
          <w:tcPr>
            <w:tcW w:w="567" w:type="dxa"/>
          </w:tcPr>
          <w:p w:rsidR="00BE1EFE" w:rsidRPr="000E245D" w:rsidRDefault="00BE1EFE">
            <w:pPr>
              <w:rPr>
                <w:b/>
              </w:rPr>
            </w:pPr>
            <w:r w:rsidRPr="000E245D">
              <w:rPr>
                <w:b/>
              </w:rPr>
              <w:t xml:space="preserve">  </w:t>
            </w:r>
          </w:p>
        </w:tc>
        <w:tc>
          <w:tcPr>
            <w:tcW w:w="0" w:type="auto"/>
          </w:tcPr>
          <w:p w:rsidR="00BE1EFE" w:rsidRPr="000E245D" w:rsidRDefault="00BE1EFE">
            <w:pPr>
              <w:rPr>
                <w:b/>
              </w:rPr>
            </w:pPr>
            <w:r w:rsidRPr="000E245D">
              <w:rPr>
                <w:b/>
              </w:rPr>
              <w:t>ab 2017</w:t>
            </w:r>
          </w:p>
        </w:tc>
      </w:tr>
      <w:tr w:rsidR="00BE1EFE" w:rsidTr="000E245D">
        <w:trPr>
          <w:tblCellSpacing w:w="15" w:type="dxa"/>
        </w:trPr>
        <w:tc>
          <w:tcPr>
            <w:tcW w:w="0" w:type="auto"/>
            <w:vAlign w:val="center"/>
            <w:hideMark/>
          </w:tcPr>
          <w:p w:rsidR="00BE1EFE" w:rsidRDefault="00BE1EFE">
            <w:pPr>
              <w:rPr>
                <w:sz w:val="24"/>
              </w:rPr>
            </w:pPr>
            <w:r>
              <w:t>in den Entgeltgruppen 1 bis 8</w:t>
            </w:r>
          </w:p>
        </w:tc>
        <w:tc>
          <w:tcPr>
            <w:tcW w:w="0" w:type="auto"/>
            <w:vAlign w:val="center"/>
            <w:hideMark/>
          </w:tcPr>
          <w:p w:rsidR="00BE1EFE" w:rsidRDefault="00BE1EFE">
            <w:pPr>
              <w:rPr>
                <w:sz w:val="24"/>
              </w:rPr>
            </w:pPr>
            <w:r>
              <w:t xml:space="preserve"> 90 v. H.</w:t>
            </w:r>
          </w:p>
        </w:tc>
        <w:tc>
          <w:tcPr>
            <w:tcW w:w="567" w:type="dxa"/>
          </w:tcPr>
          <w:p w:rsidR="00BE1EFE" w:rsidRDefault="00BE1EFE"/>
        </w:tc>
        <w:tc>
          <w:tcPr>
            <w:tcW w:w="0" w:type="auto"/>
          </w:tcPr>
          <w:p w:rsidR="00BE1EFE" w:rsidRDefault="00BE1EFE">
            <w:r>
              <w:t xml:space="preserve"> 86 v. H. </w:t>
            </w:r>
          </w:p>
        </w:tc>
      </w:tr>
      <w:tr w:rsidR="00BE1EFE" w:rsidTr="000E245D">
        <w:trPr>
          <w:tblCellSpacing w:w="15" w:type="dxa"/>
        </w:trPr>
        <w:tc>
          <w:tcPr>
            <w:tcW w:w="0" w:type="auto"/>
            <w:vAlign w:val="center"/>
            <w:hideMark/>
          </w:tcPr>
          <w:p w:rsidR="00BE1EFE" w:rsidRDefault="00BE1EFE">
            <w:pPr>
              <w:rPr>
                <w:sz w:val="24"/>
              </w:rPr>
            </w:pPr>
            <w:r>
              <w:t>in den Entgeltgruppen 9a bis 12</w:t>
            </w:r>
          </w:p>
        </w:tc>
        <w:tc>
          <w:tcPr>
            <w:tcW w:w="0" w:type="auto"/>
            <w:vAlign w:val="center"/>
            <w:hideMark/>
          </w:tcPr>
          <w:p w:rsidR="00BE1EFE" w:rsidRDefault="00BE1EFE">
            <w:pPr>
              <w:rPr>
                <w:sz w:val="24"/>
              </w:rPr>
            </w:pPr>
            <w:r>
              <w:t xml:space="preserve"> 80 v. H. </w:t>
            </w:r>
          </w:p>
        </w:tc>
        <w:tc>
          <w:tcPr>
            <w:tcW w:w="567" w:type="dxa"/>
          </w:tcPr>
          <w:p w:rsidR="00BE1EFE" w:rsidRDefault="00BE1EFE"/>
        </w:tc>
        <w:tc>
          <w:tcPr>
            <w:tcW w:w="0" w:type="auto"/>
          </w:tcPr>
          <w:p w:rsidR="00BE1EFE" w:rsidRDefault="00BE1EFE">
            <w:r>
              <w:t xml:space="preserve"> 76 v. H. </w:t>
            </w:r>
          </w:p>
        </w:tc>
      </w:tr>
      <w:tr w:rsidR="00BE1EFE" w:rsidTr="000E245D">
        <w:trPr>
          <w:tblCellSpacing w:w="15" w:type="dxa"/>
        </w:trPr>
        <w:tc>
          <w:tcPr>
            <w:tcW w:w="0" w:type="auto"/>
            <w:vAlign w:val="center"/>
            <w:hideMark/>
          </w:tcPr>
          <w:p w:rsidR="00BE1EFE" w:rsidRDefault="00BE1EFE">
            <w:pPr>
              <w:rPr>
                <w:sz w:val="24"/>
              </w:rPr>
            </w:pPr>
            <w:r>
              <w:t xml:space="preserve">in den Entgeltgruppen 13 bis 15                    </w:t>
            </w:r>
          </w:p>
        </w:tc>
        <w:tc>
          <w:tcPr>
            <w:tcW w:w="0" w:type="auto"/>
            <w:vAlign w:val="center"/>
            <w:hideMark/>
          </w:tcPr>
          <w:p w:rsidR="00BE1EFE" w:rsidRDefault="00BE1EFE">
            <w:pPr>
              <w:rPr>
                <w:sz w:val="24"/>
              </w:rPr>
            </w:pPr>
            <w:r>
              <w:t xml:space="preserve"> 60 v. H.</w:t>
            </w:r>
          </w:p>
        </w:tc>
        <w:tc>
          <w:tcPr>
            <w:tcW w:w="567" w:type="dxa"/>
          </w:tcPr>
          <w:p w:rsidR="00BE1EFE" w:rsidRDefault="00BE1EFE"/>
        </w:tc>
        <w:tc>
          <w:tcPr>
            <w:tcW w:w="0" w:type="auto"/>
          </w:tcPr>
          <w:p w:rsidR="00BE1EFE" w:rsidRDefault="00BE1EFE">
            <w:r>
              <w:t xml:space="preserve"> 56 v. H.</w:t>
            </w:r>
          </w:p>
        </w:tc>
      </w:tr>
    </w:tbl>
    <w:p w:rsidR="00BE1EFE" w:rsidRDefault="00BE1EFE" w:rsidP="009C11F4">
      <w:pPr>
        <w:pStyle w:val="StandardWeb"/>
        <w:spacing w:before="120"/>
      </w:pPr>
      <w:r>
        <w:t>des der/dem Beschäftigten in den Kalendermonaten Juli, August und September durchschnitt</w:t>
      </w:r>
      <w:r>
        <w:softHyphen/>
        <w:t>lich gezahlten monatlichen Entgelts; unberücksichtigt bleiben hierbei das zusätzlich für Überstunden und Mehrarbeit gezahlte Entgelt (mit Ausnahme der im Dienstplan vorgesehenen Überstunden und Mehrarbeit), Leistungszulagen, Leistungs- und Erfolgs</w:t>
      </w:r>
      <w:r>
        <w:softHyphen/>
        <w:t xml:space="preserve">prämien. </w:t>
      </w:r>
      <w:r>
        <w:rPr>
          <w:rStyle w:val="kleinschrift"/>
        </w:rPr>
        <w:t>2</w:t>
      </w:r>
      <w:r>
        <w:t xml:space="preserve">Der Bemessungssatz bestimmt sich nach der Entgeltgruppe am 1. September. </w:t>
      </w:r>
      <w:r>
        <w:rPr>
          <w:rStyle w:val="kleinschrift"/>
        </w:rPr>
        <w:t>3</w:t>
      </w:r>
      <w:r>
        <w:t xml:space="preserve">Bei Beschäftigten, deren Arbeitsverhältnis nach dem 30. September begonnen hat, tritt an die Stelle des Bemessungszeitraums der erste volle Kalendermonat des Arbeitsverhältnisses. </w:t>
      </w:r>
      <w:r>
        <w:rPr>
          <w:rStyle w:val="kleinschrift"/>
        </w:rPr>
        <w:t>4</w:t>
      </w:r>
      <w:r>
        <w:t>In den Fällen, in denen im Kalenderjahr der Geburt des Kindes während des Bemessungs</w:t>
      </w:r>
      <w:r>
        <w:softHyphen/>
        <w:t>zeitraums eine elterngeldunschädliche Teilzeitbeschäftigung ausgeübt wird, bemisst sich die Jahressonderzahlung nach dem Beschäftigungsumfang am Tag vor dem Beginn der Elternzeit.</w:t>
      </w:r>
    </w:p>
    <w:p w:rsidR="00BE1EFE" w:rsidRDefault="00BE1EFE">
      <w:pPr>
        <w:pStyle w:val="StandardWeb"/>
      </w:pPr>
      <w:r>
        <w:rPr>
          <w:sz w:val="12"/>
          <w:szCs w:val="12"/>
        </w:rPr>
        <w:t>Anmerkung zu Absatz 2:</w:t>
      </w:r>
    </w:p>
    <w:p w:rsidR="00BE1EFE" w:rsidRDefault="00BE1EFE">
      <w:pPr>
        <w:pStyle w:val="StandardWeb"/>
        <w:rPr>
          <w:sz w:val="12"/>
          <w:szCs w:val="12"/>
        </w:rPr>
      </w:pPr>
      <w:r>
        <w:rPr>
          <w:sz w:val="12"/>
          <w:szCs w:val="12"/>
        </w:rPr>
        <w:t>1. </w:t>
      </w:r>
      <w:r w:rsidRPr="000E245D">
        <w:rPr>
          <w:sz w:val="8"/>
          <w:szCs w:val="8"/>
        </w:rPr>
        <w:t>1</w:t>
      </w:r>
      <w:r>
        <w:rPr>
          <w:sz w:val="12"/>
          <w:szCs w:val="12"/>
        </w:rPr>
        <w:t xml:space="preserve">Bei der Berechnung des durchschnittlich gezahlten monatlichen Entgelts werden die gezahlten Entgelte der drei Monate addiert und durch drei geteilt; dies gilt auch bei einer Änderung des Beschäftigungsumfangs. </w:t>
      </w:r>
      <w:r w:rsidRPr="000E245D">
        <w:rPr>
          <w:sz w:val="8"/>
          <w:szCs w:val="8"/>
        </w:rPr>
        <w:t>2</w:t>
      </w:r>
      <w:r>
        <w:rPr>
          <w:sz w:val="12"/>
          <w:szCs w:val="12"/>
        </w:rPr>
        <w:t xml:space="preserve">Ist im Bemessungszeitraum nicht für alle Kalendertage Entgelt gezahlt worden, werden die gezahlten Entgelte der drei Monate addiert, durch die Zahl der Kalendertage mit Entgelt geteilt und sodann mit 30,67 multipliziert. </w:t>
      </w:r>
      <w:r w:rsidRPr="000E245D">
        <w:rPr>
          <w:sz w:val="8"/>
          <w:szCs w:val="8"/>
        </w:rPr>
        <w:t>3</w:t>
      </w:r>
      <w:r>
        <w:rPr>
          <w:sz w:val="12"/>
          <w:szCs w:val="12"/>
        </w:rPr>
        <w:t xml:space="preserve">Zeiträume, für die Krankengeldzuschuss gezahlt worden ist, bleiben hierbei unberücksichtigt. </w:t>
      </w:r>
      <w:r w:rsidRPr="000E245D">
        <w:rPr>
          <w:sz w:val="8"/>
          <w:szCs w:val="8"/>
        </w:rPr>
        <w:t>4</w:t>
      </w:r>
      <w:r>
        <w:rPr>
          <w:sz w:val="12"/>
          <w:szCs w:val="12"/>
        </w:rPr>
        <w:t>Besteht während des Bemessungszeitraumes an weniger als 30 Kalendertagen Anspruch auf Entgelt, ist der letzte Kalendermonat, in dem für alle Kalendertage Anspruch auf Entgelt bestand, maßgeblich.</w:t>
      </w:r>
    </w:p>
    <w:p w:rsidR="00BE1EFE" w:rsidRDefault="00BE1EFE" w:rsidP="00EC3E07">
      <w:pPr>
        <w:pStyle w:val="StandardWeb"/>
        <w:spacing w:after="60"/>
        <w:rPr>
          <w:sz w:val="12"/>
          <w:szCs w:val="12"/>
        </w:rPr>
      </w:pPr>
      <w:r w:rsidRPr="000E245D">
        <w:rPr>
          <w:sz w:val="12"/>
          <w:szCs w:val="12"/>
        </w:rPr>
        <w:t>2.</w:t>
      </w:r>
      <w:r>
        <w:rPr>
          <w:sz w:val="12"/>
          <w:szCs w:val="12"/>
        </w:rPr>
        <w:t> </w:t>
      </w:r>
      <w:r w:rsidRPr="00EC3E07">
        <w:rPr>
          <w:sz w:val="8"/>
          <w:szCs w:val="8"/>
        </w:rPr>
        <w:t>1</w:t>
      </w:r>
      <w:r w:rsidRPr="00EC3E07">
        <w:rPr>
          <w:sz w:val="12"/>
          <w:szCs w:val="12"/>
        </w:rPr>
        <w:t>Wegen der am 29. April 2016 von den Tarifvertragsparteien vereinbarten Festschreibung der Jahressonderzahlung beträgt abweichend von Absatz 2 Satz 1 der Bemessungssatz für die Jahressonderzahlung</w:t>
      </w:r>
    </w:p>
    <w:p w:rsidR="00BE1EFE" w:rsidRPr="00EC3E07" w:rsidRDefault="00BE1EFE" w:rsidP="00EC3E07">
      <w:pPr>
        <w:pStyle w:val="StandardWeb"/>
        <w:rPr>
          <w:sz w:val="12"/>
          <w:szCs w:val="12"/>
        </w:rPr>
      </w:pPr>
      <w:r>
        <w:rPr>
          <w:sz w:val="12"/>
          <w:szCs w:val="12"/>
        </w:rPr>
        <w:t>a) </w:t>
      </w:r>
      <w:r w:rsidRPr="00EC3E07">
        <w:rPr>
          <w:sz w:val="12"/>
          <w:szCs w:val="12"/>
        </w:rPr>
        <w:t>im Kalenderjahr 2016</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1 bis 8</w:t>
      </w:r>
      <w:r w:rsidRPr="00EC3E07">
        <w:rPr>
          <w:sz w:val="12"/>
          <w:szCs w:val="12"/>
        </w:rPr>
        <w:tab/>
        <w:t>87,89 v.H.,</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a</w:t>
      </w:r>
      <w:r w:rsidRPr="00EC3E07">
        <w:rPr>
          <w:sz w:val="12"/>
          <w:szCs w:val="12"/>
        </w:rPr>
        <w:t xml:space="preserve"> bis 12</w:t>
      </w:r>
      <w:r w:rsidRPr="00EC3E07">
        <w:rPr>
          <w:sz w:val="12"/>
          <w:szCs w:val="12"/>
        </w:rPr>
        <w:tab/>
        <w:t>78,13 v.H. und</w:t>
      </w:r>
    </w:p>
    <w:p w:rsidR="00BE1EFE" w:rsidRDefault="00BE1EFE" w:rsidP="00EC3E07">
      <w:pPr>
        <w:pStyle w:val="StandardWeb"/>
        <w:spacing w:after="60"/>
        <w:rPr>
          <w:sz w:val="12"/>
          <w:szCs w:val="12"/>
        </w:rPr>
      </w:pPr>
      <w:r>
        <w:rPr>
          <w:sz w:val="12"/>
          <w:szCs w:val="12"/>
        </w:rPr>
        <w:t xml:space="preserve">    </w:t>
      </w:r>
      <w:r w:rsidRPr="00EC3E07">
        <w:rPr>
          <w:sz w:val="12"/>
          <w:szCs w:val="12"/>
        </w:rPr>
        <w:t>in den Entgeltgruppen 13 bis 15</w:t>
      </w:r>
      <w:r w:rsidRPr="00EC3E07">
        <w:rPr>
          <w:sz w:val="12"/>
          <w:szCs w:val="12"/>
        </w:rPr>
        <w:tab/>
        <w:t>58,59 v.H. sow</w:t>
      </w:r>
      <w:r>
        <w:rPr>
          <w:sz w:val="12"/>
          <w:szCs w:val="12"/>
        </w:rPr>
        <w:t>ie</w:t>
      </w:r>
    </w:p>
    <w:p w:rsidR="00BE1EFE" w:rsidRPr="00EC3E07" w:rsidRDefault="00BE1EFE" w:rsidP="00EC3E07">
      <w:pPr>
        <w:pStyle w:val="StandardWeb"/>
        <w:spacing w:after="60"/>
        <w:rPr>
          <w:sz w:val="12"/>
          <w:szCs w:val="12"/>
        </w:rPr>
      </w:pPr>
      <w:r>
        <w:rPr>
          <w:sz w:val="12"/>
          <w:szCs w:val="12"/>
        </w:rPr>
        <w:lastRenderedPageBreak/>
        <w:t>b) </w:t>
      </w:r>
      <w:r w:rsidRPr="00EC3E07">
        <w:rPr>
          <w:sz w:val="12"/>
          <w:szCs w:val="12"/>
        </w:rPr>
        <w:t>im Kalenderjahr 2017</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1 bis 8</w:t>
      </w:r>
      <w:r w:rsidRPr="00EC3E07">
        <w:rPr>
          <w:sz w:val="12"/>
          <w:szCs w:val="12"/>
        </w:rPr>
        <w:tab/>
        <w:t>82,05 v.H.,</w:t>
      </w:r>
    </w:p>
    <w:p w:rsidR="00BE1EFE"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a</w:t>
      </w:r>
      <w:r w:rsidRPr="00EC3E07">
        <w:rPr>
          <w:sz w:val="12"/>
          <w:szCs w:val="12"/>
        </w:rPr>
        <w:t xml:space="preserve"> bis 12</w:t>
      </w:r>
      <w:r w:rsidRPr="00EC3E07">
        <w:rPr>
          <w:sz w:val="12"/>
          <w:szCs w:val="12"/>
        </w:rPr>
        <w:tab/>
        <w:t xml:space="preserve">72,52 v.H. und </w:t>
      </w:r>
    </w:p>
    <w:p w:rsidR="00BE1EFE" w:rsidRPr="00EC3E07" w:rsidRDefault="00BE1EFE" w:rsidP="00EC3E07">
      <w:pPr>
        <w:pStyle w:val="StandardWeb"/>
        <w:spacing w:after="60"/>
        <w:rPr>
          <w:sz w:val="12"/>
          <w:szCs w:val="12"/>
        </w:rPr>
      </w:pPr>
      <w:r>
        <w:rPr>
          <w:sz w:val="12"/>
          <w:szCs w:val="12"/>
        </w:rPr>
        <w:t xml:space="preserve">    </w:t>
      </w:r>
      <w:r w:rsidRPr="00EC3E07">
        <w:rPr>
          <w:sz w:val="12"/>
          <w:szCs w:val="12"/>
        </w:rPr>
        <w:t>in den Entgeltgruppen 13 bis 15</w:t>
      </w:r>
      <w:r w:rsidRPr="00EC3E07">
        <w:rPr>
          <w:sz w:val="12"/>
          <w:szCs w:val="12"/>
        </w:rPr>
        <w:tab/>
        <w:t>53,43 v.H.</w:t>
      </w:r>
    </w:p>
    <w:p w:rsidR="00BE1EFE" w:rsidRPr="00EC3E07" w:rsidRDefault="00BE1EFE" w:rsidP="00EC3E07">
      <w:pPr>
        <w:pStyle w:val="StandardWeb"/>
        <w:spacing w:after="60"/>
        <w:rPr>
          <w:sz w:val="12"/>
          <w:szCs w:val="12"/>
        </w:rPr>
      </w:pPr>
      <w:r w:rsidRPr="00EC3E07">
        <w:rPr>
          <w:sz w:val="12"/>
          <w:szCs w:val="12"/>
          <w:vertAlign w:val="subscript"/>
        </w:rPr>
        <w:t>2</w:t>
      </w:r>
      <w:r w:rsidRPr="00EC3E07">
        <w:rPr>
          <w:sz w:val="12"/>
          <w:szCs w:val="12"/>
        </w:rPr>
        <w:t>Ab dem Kalenderjahr 2018 beträgt mi</w:t>
      </w:r>
      <w:r>
        <w:rPr>
          <w:sz w:val="12"/>
          <w:szCs w:val="12"/>
        </w:rPr>
        <w:t>t dem Wirksamwerden einer allgemei</w:t>
      </w:r>
      <w:r w:rsidRPr="00EC3E07">
        <w:rPr>
          <w:sz w:val="12"/>
          <w:szCs w:val="12"/>
        </w:rPr>
        <w:t>nen Entgeltanpassung der Bemessungssatz</w:t>
      </w:r>
    </w:p>
    <w:p w:rsidR="00BE1EFE" w:rsidRPr="00EC3E07" w:rsidRDefault="00BE1EFE" w:rsidP="00EC3E07">
      <w:pPr>
        <w:pStyle w:val="StandardWeb"/>
        <w:rPr>
          <w:sz w:val="12"/>
          <w:szCs w:val="12"/>
        </w:rPr>
      </w:pPr>
      <w:r>
        <w:rPr>
          <w:sz w:val="12"/>
          <w:szCs w:val="12"/>
        </w:rPr>
        <w:t xml:space="preserve">    </w:t>
      </w:r>
      <w:r w:rsidRPr="00EC3E07">
        <w:rPr>
          <w:sz w:val="12"/>
          <w:szCs w:val="12"/>
        </w:rPr>
        <w:t xml:space="preserve">in den </w:t>
      </w:r>
      <w:r>
        <w:rPr>
          <w:sz w:val="12"/>
          <w:szCs w:val="12"/>
        </w:rPr>
        <w:t xml:space="preserve">Entgeltgruppen 1 bis 8         </w:t>
      </w:r>
      <w:r w:rsidRPr="00EC3E07">
        <w:rPr>
          <w:sz w:val="12"/>
          <w:szCs w:val="12"/>
        </w:rPr>
        <w:t xml:space="preserve">82,05 v.H. : [(100 + x) : 100], </w:t>
      </w:r>
    </w:p>
    <w:p w:rsidR="00BE1EFE" w:rsidRPr="00EC3E07" w:rsidRDefault="00BE1EFE" w:rsidP="00EC3E07">
      <w:pPr>
        <w:pStyle w:val="StandardWeb"/>
        <w:rPr>
          <w:sz w:val="12"/>
          <w:szCs w:val="12"/>
        </w:rPr>
      </w:pPr>
      <w:r>
        <w:rPr>
          <w:sz w:val="12"/>
          <w:szCs w:val="12"/>
        </w:rPr>
        <w:t xml:space="preserve">    </w:t>
      </w:r>
      <w:r w:rsidRPr="00EC3E07">
        <w:rPr>
          <w:sz w:val="12"/>
          <w:szCs w:val="12"/>
        </w:rPr>
        <w:t>in den Entgeltgruppen 9</w:t>
      </w:r>
      <w:r>
        <w:rPr>
          <w:sz w:val="12"/>
          <w:szCs w:val="12"/>
        </w:rPr>
        <w:t xml:space="preserve">a bis 12     </w:t>
      </w:r>
      <w:r w:rsidRPr="00EC3E07">
        <w:rPr>
          <w:sz w:val="12"/>
          <w:szCs w:val="12"/>
        </w:rPr>
        <w:t xml:space="preserve">72,52 v.H. : [(100 + x) : 100], </w:t>
      </w:r>
    </w:p>
    <w:p w:rsidR="00BE1EFE" w:rsidRPr="00EC3E07" w:rsidRDefault="00BE1EFE" w:rsidP="00EC3E07">
      <w:pPr>
        <w:pStyle w:val="StandardWeb"/>
        <w:spacing w:after="60"/>
        <w:rPr>
          <w:sz w:val="12"/>
          <w:szCs w:val="12"/>
        </w:rPr>
      </w:pPr>
      <w:r>
        <w:rPr>
          <w:sz w:val="12"/>
          <w:szCs w:val="12"/>
        </w:rPr>
        <w:t xml:space="preserve">    </w:t>
      </w:r>
      <w:r w:rsidRPr="00EC3E07">
        <w:rPr>
          <w:sz w:val="12"/>
          <w:szCs w:val="12"/>
        </w:rPr>
        <w:t>in de</w:t>
      </w:r>
      <w:r>
        <w:rPr>
          <w:sz w:val="12"/>
          <w:szCs w:val="12"/>
        </w:rPr>
        <w:t xml:space="preserve">n Entgeltgruppen 13 bis 15     </w:t>
      </w:r>
      <w:r w:rsidRPr="00EC3E07">
        <w:rPr>
          <w:sz w:val="12"/>
          <w:szCs w:val="12"/>
        </w:rPr>
        <w:t xml:space="preserve">53,43 v.H. : [(100 + x) : 100], </w:t>
      </w:r>
    </w:p>
    <w:p w:rsidR="00BE1EFE" w:rsidRPr="00EC3E07" w:rsidRDefault="00BE1EFE" w:rsidP="00EC3E07">
      <w:pPr>
        <w:pStyle w:val="StandardWeb"/>
        <w:rPr>
          <w:sz w:val="12"/>
          <w:szCs w:val="12"/>
        </w:rPr>
      </w:pPr>
      <w:r w:rsidRPr="00EC3E07">
        <w:rPr>
          <w:sz w:val="12"/>
          <w:szCs w:val="12"/>
        </w:rPr>
        <w:t>wobei x jeweils dem Vomhunder</w:t>
      </w:r>
      <w:r>
        <w:rPr>
          <w:sz w:val="12"/>
          <w:szCs w:val="12"/>
        </w:rPr>
        <w:t>tsatz der allgemeinen Entgeltan</w:t>
      </w:r>
      <w:r w:rsidRPr="00EC3E07">
        <w:rPr>
          <w:sz w:val="12"/>
          <w:szCs w:val="12"/>
        </w:rPr>
        <w:t xml:space="preserve">passung im Jahr 2018 entspricht. </w:t>
      </w:r>
      <w:r w:rsidRPr="00EC3E07">
        <w:rPr>
          <w:sz w:val="12"/>
          <w:szCs w:val="12"/>
          <w:vertAlign w:val="subscript"/>
        </w:rPr>
        <w:t>3</w:t>
      </w:r>
      <w:r w:rsidRPr="00EC3E07">
        <w:rPr>
          <w:sz w:val="12"/>
          <w:szCs w:val="12"/>
        </w:rPr>
        <w:t xml:space="preserve">Die nach Satz 2 </w:t>
      </w:r>
      <w:proofErr w:type="gramStart"/>
      <w:r w:rsidRPr="00EC3E07">
        <w:rPr>
          <w:sz w:val="12"/>
          <w:szCs w:val="12"/>
        </w:rPr>
        <w:t>berechneten</w:t>
      </w:r>
      <w:proofErr w:type="gramEnd"/>
      <w:r w:rsidRPr="00EC3E07">
        <w:rPr>
          <w:sz w:val="12"/>
          <w:szCs w:val="12"/>
        </w:rPr>
        <w:t xml:space="preserve"> Bemessungssätze sind auf zwei Stellen nach dem Komma kaufmännisch zu runde</w:t>
      </w:r>
      <w:r>
        <w:rPr>
          <w:sz w:val="12"/>
          <w:szCs w:val="12"/>
        </w:rPr>
        <w:t>n.</w:t>
      </w:r>
    </w:p>
    <w:p w:rsidR="00BE1EFE" w:rsidRPr="000B1AF8" w:rsidRDefault="00BE1EFE">
      <w:pPr>
        <w:pStyle w:val="StandardWeb"/>
      </w:pPr>
    </w:p>
    <w:p w:rsidR="00BE1EFE" w:rsidRDefault="00BE1EFE">
      <w:pPr>
        <w:pStyle w:val="StandardWeb"/>
      </w:pPr>
      <w:r>
        <w:t>(3) </w:t>
      </w:r>
      <w:r w:rsidRPr="0039522E">
        <w:t>Bei Beschäftigten, deren Arbeitsverhältnis aufgrund Erreichens der in Absatz 1 Satz 2 genannten Gründe vor dem 1. Oktober endet, werden anstelle der in Absatz 2 Satz 1 benannten Monate die letzten drei vollen Monate vor Ausscheiden als Ber</w:t>
      </w:r>
      <w:r>
        <w:t>echnungsgrundlage herangezogen.</w:t>
      </w:r>
    </w:p>
    <w:p w:rsidR="00BE1EFE" w:rsidRDefault="00BE1EFE">
      <w:pPr>
        <w:pStyle w:val="StandardWeb"/>
      </w:pPr>
    </w:p>
    <w:p w:rsidR="00BE1EFE" w:rsidRDefault="00BE1EFE">
      <w:pPr>
        <w:pStyle w:val="StandardWeb"/>
      </w:pPr>
      <w:r>
        <w:t>(4) </w:t>
      </w:r>
      <w:r>
        <w:rPr>
          <w:rStyle w:val="kleinschrift"/>
        </w:rPr>
        <w:t>1</w:t>
      </w:r>
      <w:r>
        <w:t xml:space="preserve">Der Anspruch nach den Absätzen 1 bis 3 vermindert sich um ein Zwölftel für jeden Kalendermonat, in dem Beschäftigte keinen Anspruch auf Entgelt oder Fortzahlung des Entgelts nach </w:t>
      </w:r>
      <w:hyperlink r:id="rId69" w:history="1">
        <w:r w:rsidRPr="002D1F1D">
          <w:rPr>
            <w:rStyle w:val="Hyperlink"/>
          </w:rPr>
          <w:t>§ 21</w:t>
        </w:r>
      </w:hyperlink>
      <w:r>
        <w:t xml:space="preserve"> haben. </w:t>
      </w:r>
      <w:r>
        <w:rPr>
          <w:rStyle w:val="kleinschrift"/>
        </w:rPr>
        <w:t>2</w:t>
      </w:r>
      <w:r>
        <w:t>Die Verminderung unterbleibt für Kalendermonate,</w:t>
      </w:r>
    </w:p>
    <w:p w:rsidR="00BE1EFE" w:rsidRDefault="00BE1EFE">
      <w:pPr>
        <w:pStyle w:val="StandardWeb"/>
      </w:pPr>
    </w:p>
    <w:p w:rsidR="00BE1EFE" w:rsidRDefault="00BE1EFE">
      <w:pPr>
        <w:pStyle w:val="StandardWeb"/>
      </w:pPr>
      <w:r>
        <w:t>1. für Beschäftigte, die kein Tabellenentgelt erhalten haben wegen</w:t>
      </w:r>
    </w:p>
    <w:p w:rsidR="00BE1EFE" w:rsidRDefault="00BE1EFE">
      <w:pPr>
        <w:pStyle w:val="StandardWeb"/>
      </w:pPr>
      <w:r>
        <w:t>a) Ableistung von Grundwehrdienst oder Zivildienst, wenn sie diesen vor dem 1. Dezember beendet und die Beschäftigung unverzüglich wieder aufgenommen haben,</w:t>
      </w:r>
    </w:p>
    <w:p w:rsidR="00BE1EFE" w:rsidRDefault="00BE1EFE">
      <w:pPr>
        <w:pStyle w:val="StandardWeb"/>
      </w:pPr>
      <w:r>
        <w:t xml:space="preserve">b) Beschäftigungsverboten nach </w:t>
      </w:r>
      <w:hyperlink r:id="rId70" w:tgtFrame="_blank" w:history="1">
        <w:r>
          <w:rPr>
            <w:rStyle w:val="Hyperlink"/>
          </w:rPr>
          <w:t>§ 3 Absatz 2 und § 6 Absatz 1 MuSchG</w:t>
        </w:r>
      </w:hyperlink>
      <w:r>
        <w:t>,</w:t>
      </w:r>
    </w:p>
    <w:p w:rsidR="00BE1EFE" w:rsidRDefault="00BE1EFE">
      <w:pPr>
        <w:pStyle w:val="StandardWeb"/>
      </w:pPr>
      <w:r>
        <w:t>c) Inanspruchnahme der Elternzeit nach dem Gesetz zum Elterngeld und zur Elternzeit (</w:t>
      </w:r>
      <w:hyperlink r:id="rId71" w:tgtFrame="_blank" w:history="1">
        <w:r>
          <w:rPr>
            <w:rStyle w:val="Hyperlink"/>
          </w:rPr>
          <w:t>Bundeselterngeld- und Elternzeitgesetz – BEEG</w:t>
        </w:r>
      </w:hyperlink>
      <w:r>
        <w:t>) bis zum Ende des Kalenderjahres, in dem das Kind geboren ist, wenn am Tag vor Antritt der Elternzeit Entgeltanspruch bestanden hat;</w:t>
      </w:r>
    </w:p>
    <w:p w:rsidR="00BE1EFE" w:rsidRDefault="00BE1EFE">
      <w:pPr>
        <w:pStyle w:val="StandardWeb"/>
      </w:pPr>
      <w:r>
        <w:rPr>
          <w:sz w:val="12"/>
          <w:szCs w:val="12"/>
        </w:rPr>
        <w:t>Protokollnotiz zu Absatz 4 Ziffer 1 Buchstabe c):</w:t>
      </w:r>
    </w:p>
    <w:p w:rsidR="00BE1EFE" w:rsidRDefault="00BE1EFE">
      <w:pPr>
        <w:pStyle w:val="StandardWeb"/>
      </w:pPr>
      <w:r>
        <w:rPr>
          <w:sz w:val="12"/>
          <w:szCs w:val="12"/>
        </w:rPr>
        <w:t>Entgelt in diesem Sinne ist auch der Zuschuss zum Mutterschaftsgeld.</w:t>
      </w:r>
    </w:p>
    <w:p w:rsidR="00BE1EFE" w:rsidRDefault="00BE1EFE">
      <w:pPr>
        <w:pStyle w:val="StandardWeb"/>
      </w:pPr>
    </w:p>
    <w:p w:rsidR="00BE1EFE" w:rsidRDefault="00BE1EFE">
      <w:pPr>
        <w:pStyle w:val="StandardWeb"/>
      </w:pPr>
      <w:r>
        <w:t>2. in denen Beschäftigten Krankengeldzuschuss gezahlt wurde oder nur wegen der Höhe des zustehenden Krankengelds ein Krankengeldzuschuss nicht gezahlt worden ist.</w:t>
      </w:r>
    </w:p>
    <w:p w:rsidR="00BE1EFE" w:rsidRDefault="00BE1EFE">
      <w:pPr>
        <w:pStyle w:val="StandardWeb"/>
      </w:pPr>
    </w:p>
    <w:p w:rsidR="00BE1EFE" w:rsidRDefault="00BE1EFE">
      <w:pPr>
        <w:pStyle w:val="StandardWeb"/>
      </w:pPr>
      <w:r>
        <w:t>(5) </w:t>
      </w:r>
      <w:r>
        <w:rPr>
          <w:rStyle w:val="kleinschrift"/>
        </w:rPr>
        <w:t>1</w:t>
      </w:r>
      <w:r>
        <w:t xml:space="preserve">Die Jahressonderzahlung wird mit dem Tabellenentgelt für November, spätestens jedoch Anfang Dezember ausgezahlt. </w:t>
      </w:r>
      <w:r>
        <w:rPr>
          <w:rStyle w:val="kleinschrift"/>
        </w:rPr>
        <w:t>2</w:t>
      </w:r>
      <w:r>
        <w:t xml:space="preserve">Ein Teilbetrag der Jahressonderzahlung kann zu einem früheren Zeitpunkt ausgezahlt werden. </w:t>
      </w:r>
      <w:r w:rsidRPr="0039522E">
        <w:rPr>
          <w:sz w:val="12"/>
          <w:szCs w:val="12"/>
        </w:rPr>
        <w:t>3</w:t>
      </w:r>
      <w:r w:rsidRPr="0039522E">
        <w:t>Scheidet ein Beschäftigter/eine Beschäftigte aufgrund der in Absatz 1 Satz 2 genannten Gründe aus, wird die Jahressonderzahlung zusammen mit dem letzten regelmäßigen Tabellenentgelt, spätestens im Monat nach dem Ausscheiden, ausbezahlt.</w:t>
      </w:r>
    </w:p>
    <w:p w:rsidR="00BE1EFE" w:rsidRDefault="00BE1EFE">
      <w:pPr>
        <w:pStyle w:val="StandardWeb"/>
      </w:pPr>
    </w:p>
    <w:p w:rsidR="00BE1EFE" w:rsidRDefault="00BE1EFE">
      <w:pPr>
        <w:pStyle w:val="StandardWeb"/>
      </w:pPr>
      <w:r>
        <w:t>(6) </w:t>
      </w:r>
      <w:r>
        <w:rPr>
          <w:rStyle w:val="kleinschrift"/>
        </w:rPr>
        <w:t>1</w:t>
      </w:r>
      <w:r>
        <w:t xml:space="preserve">Beschäftigte, die Altersteilzeitarbeit vereinbart haben, erhalten die Jahressonderzahlung auch dann, wenn das Arbeitsverhältnis wegen Rentenbezugs vor dem 1. Dezember endet. </w:t>
      </w:r>
      <w:r>
        <w:rPr>
          <w:rStyle w:val="kleinschrift"/>
        </w:rPr>
        <w:t>2</w:t>
      </w:r>
      <w:r>
        <w:t>In diesem Falle treten an die Stelle des Bemessungszeitraums gemäß Absatz 2 die letzten drei Kalendermonate vor Beendigung des Arbeitsverhältnisses.</w:t>
      </w:r>
    </w:p>
    <w:p w:rsidR="00BE1EFE" w:rsidRDefault="00BE1EFE">
      <w:pPr>
        <w:pStyle w:val="berschrift6"/>
      </w:pPr>
      <w:bookmarkStart w:id="34" w:name="_Toc523925705"/>
      <w:r>
        <w:t>§ 20a Entgeltbezugsgröße</w:t>
      </w:r>
      <w:bookmarkEnd w:id="3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Bestandteil des ABD werden zum jeweiligen Zeitpunkt des In-Kraft-Tretens im TVöD – Fassung VKA die Einführung oder Änderung</w:t>
      </w:r>
    </w:p>
    <w:p w:rsidR="00BE1EFE" w:rsidRPr="000B1AF8" w:rsidRDefault="00BE1EFE">
      <w:pPr>
        <w:pStyle w:val="StandardWeb"/>
      </w:pPr>
    </w:p>
    <w:p w:rsidR="00BE1EFE" w:rsidRDefault="00BE1EFE">
      <w:pPr>
        <w:pStyle w:val="StandardWeb"/>
      </w:pPr>
      <w:r>
        <w:t>a) der Tabellenentgelte in der Entgelttabelle des TVöD – Fassung VKA,</w:t>
      </w:r>
    </w:p>
    <w:p w:rsidR="00BE1EFE" w:rsidRDefault="00BE1EFE">
      <w:pPr>
        <w:pStyle w:val="StandardWeb"/>
      </w:pPr>
      <w:r>
        <w:t>b) des für das Leistungsentgelt zur Verfügung stehenden Gesamtvolumens der ständigen Monatsentgelte des Vorjahres (§ 18 TVöD-Fassung VKA),</w:t>
      </w:r>
    </w:p>
    <w:p w:rsidR="00BE1EFE" w:rsidRDefault="00BE1EFE">
      <w:pPr>
        <w:pStyle w:val="StandardWeb"/>
      </w:pPr>
      <w:r>
        <w:lastRenderedPageBreak/>
        <w:t>c) der Werte der Bemessungsgrundlage für die Jahressonderzahlung (§ 20 Absatz 2 TVöD – Fassung VKA),</w:t>
      </w:r>
    </w:p>
    <w:p w:rsidR="00BE1EFE" w:rsidRDefault="00BE1EFE">
      <w:pPr>
        <w:pStyle w:val="StandardWeb"/>
      </w:pPr>
      <w:r>
        <w:t>d) sonstiger Entgeltbestandteile, die in einem den TVöD-Fassung VKA ändernden oder ergänzenden Tarifvertrag geregelt werden, insbesondere Einmalzahlungen,</w:t>
      </w:r>
    </w:p>
    <w:p w:rsidR="00BE1EFE" w:rsidRDefault="00BE1EFE">
      <w:pPr>
        <w:pStyle w:val="StandardWeb"/>
      </w:pPr>
    </w:p>
    <w:p w:rsidR="00BE1EFE" w:rsidRDefault="00BE1EFE">
      <w:pPr>
        <w:pStyle w:val="StandardWeb"/>
      </w:pPr>
      <w:r>
        <w:t>soweit die Bayerische Regional-KODA nichts anderes beschließt.</w:t>
      </w:r>
    </w:p>
    <w:p w:rsidR="00BE1EFE" w:rsidRPr="002019A9" w:rsidRDefault="00BE1EFE" w:rsidP="002019A9">
      <w:pPr>
        <w:pStyle w:val="berschrift6"/>
        <w:rPr>
          <w:rStyle w:val="Hervorhebung"/>
          <w:i w:val="0"/>
          <w:lang w:eastAsia="x-none"/>
        </w:rPr>
      </w:pPr>
      <w:bookmarkStart w:id="35" w:name="_Toc523925706"/>
      <w:r>
        <w:t>§ 20b Einmalige Sonderzahlung 2009</w:t>
      </w:r>
      <w:bookmarkEnd w:id="35"/>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C84A68">
      <w:pPr>
        <w:pStyle w:val="StandardWeb"/>
        <w:autoSpaceDE w:val="0"/>
      </w:pPr>
      <w:r>
        <w:rPr>
          <w:rStyle w:val="Hervorhebung"/>
          <w:iCs/>
        </w:rPr>
        <w:t>(aufgehoben durch Beschluss vom 30.11.2011 mit Inkraftsetzung zum 01.02.2012</w:t>
      </w:r>
      <w:r>
        <w:t>)</w:t>
      </w:r>
    </w:p>
    <w:p w:rsidR="00BE1EFE" w:rsidRDefault="00BE1EFE">
      <w:pPr>
        <w:pStyle w:val="berschrift6"/>
      </w:pPr>
      <w:bookmarkStart w:id="36" w:name="_Toc523925707"/>
      <w:r>
        <w:t>§ 21 Bemessungsgrundlage für die Entgeltfortzahlung</w:t>
      </w:r>
      <w:bookmarkEnd w:id="36"/>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In den Fällen der Entgeltfortzahlung nach </w:t>
      </w:r>
      <w:hyperlink r:id="rId72" w:history="1">
        <w:r w:rsidRPr="002D1F1D">
          <w:rPr>
            <w:rStyle w:val="Hyperlink"/>
          </w:rPr>
          <w:t xml:space="preserve">§ 6 </w:t>
        </w:r>
        <w:r>
          <w:rPr>
            <w:rStyle w:val="Hyperlink"/>
          </w:rPr>
          <w:t>Absatz</w:t>
        </w:r>
        <w:r w:rsidRPr="002D1F1D">
          <w:rPr>
            <w:rStyle w:val="Hyperlink"/>
          </w:rPr>
          <w:t xml:space="preserve"> 3 Satz 1</w:t>
        </w:r>
      </w:hyperlink>
      <w:r>
        <w:t xml:space="preserve">, </w:t>
      </w:r>
      <w:hyperlink r:id="rId73" w:history="1">
        <w:r w:rsidRPr="002D1F1D">
          <w:rPr>
            <w:rStyle w:val="Hyperlink"/>
          </w:rPr>
          <w:t xml:space="preserve">§ 22 </w:t>
        </w:r>
        <w:r>
          <w:rPr>
            <w:rStyle w:val="Hyperlink"/>
          </w:rPr>
          <w:t>Absatz</w:t>
        </w:r>
        <w:r w:rsidRPr="002D1F1D">
          <w:rPr>
            <w:rStyle w:val="Hyperlink"/>
          </w:rPr>
          <w:t xml:space="preserve"> 1</w:t>
        </w:r>
      </w:hyperlink>
      <w:r>
        <w:t xml:space="preserve">, </w:t>
      </w:r>
      <w:hyperlink r:id="rId74" w:history="1">
        <w:r w:rsidRPr="002D1F1D">
          <w:rPr>
            <w:rStyle w:val="Hyperlink"/>
          </w:rPr>
          <w:t>§ 26</w:t>
        </w:r>
      </w:hyperlink>
      <w:r>
        <w:t xml:space="preserve">, </w:t>
      </w:r>
      <w:hyperlink r:id="rId75" w:history="1">
        <w:r w:rsidRPr="002D1F1D">
          <w:rPr>
            <w:rStyle w:val="Hyperlink"/>
          </w:rPr>
          <w:t>§ 27</w:t>
        </w:r>
      </w:hyperlink>
      <w:r>
        <w:t xml:space="preserve"> und </w:t>
      </w:r>
      <w:hyperlink r:id="rId76" w:history="1">
        <w:r w:rsidRPr="002D1F1D">
          <w:rPr>
            <w:rStyle w:val="Hyperlink"/>
          </w:rPr>
          <w:t>§ 29</w:t>
        </w:r>
      </w:hyperlink>
      <w:r>
        <w:t xml:space="preserve"> werden das Tabellenentgelt sowie die sonstigen in Monatsbeträgen festgelegten Entgeltbestandteile weitergezahlt. </w:t>
      </w:r>
      <w:r>
        <w:rPr>
          <w:rStyle w:val="kleinschrift"/>
        </w:rPr>
        <w:t>2</w:t>
      </w:r>
      <w:r>
        <w:t>Die nicht in Monatsbeträgen festgelegten Entgeltbestand</w:t>
      </w:r>
      <w:r>
        <w:softHyphen/>
        <w:t>teile werden als Durchschnitt auf Basis der dem maßgebenden Ereignis für die Entgeltfortzahlung vorhergehenden letzten drei vollen Kalendermonate (Berechnungszeit</w:t>
      </w:r>
      <w:r>
        <w:softHyphen/>
        <w:t xml:space="preserve">raum) gezahlt. </w:t>
      </w:r>
      <w:r>
        <w:rPr>
          <w:rStyle w:val="kleinschrift"/>
        </w:rPr>
        <w:t>3</w:t>
      </w:r>
      <w:r>
        <w:t xml:space="preserve">Ausgenommen hiervon sind das zusätzlich für Überstunden und Mehrarbeit gezahlte Entgelt (mit Ausnahme der im Dienstplan vorgesehenen Überstunden und Mehrarbeit), Leistungsentgelte, Jahressonderzahlungen sowie besondere Zahlungen nach </w:t>
      </w:r>
      <w:hyperlink r:id="rId77" w:history="1">
        <w:r>
          <w:rPr>
            <w:rStyle w:val="Hyperlink"/>
          </w:rPr>
          <w:t>§ </w:t>
        </w:r>
        <w:r w:rsidRPr="002D1F1D">
          <w:rPr>
            <w:rStyle w:val="Hyperlink"/>
          </w:rPr>
          <w:t xml:space="preserve">23 </w:t>
        </w:r>
        <w:r>
          <w:rPr>
            <w:rStyle w:val="Hyperlink"/>
          </w:rPr>
          <w:t>Absatz</w:t>
        </w:r>
        <w:r w:rsidRPr="002D1F1D">
          <w:rPr>
            <w:rStyle w:val="Hyperlink"/>
          </w:rPr>
          <w:t xml:space="preserve"> 2 und 3</w:t>
        </w:r>
      </w:hyperlink>
      <w:r>
        <w:t>.</w:t>
      </w:r>
    </w:p>
    <w:p w:rsidR="00BE1EFE" w:rsidRDefault="00BE1EFE">
      <w:pPr>
        <w:pStyle w:val="StandardWeb"/>
      </w:pPr>
      <w:r>
        <w:rPr>
          <w:sz w:val="12"/>
          <w:szCs w:val="12"/>
        </w:rPr>
        <w:t>Anmerkungen zu den Sätzen 2 und 3:</w:t>
      </w:r>
    </w:p>
    <w:p w:rsidR="00BE1EFE" w:rsidRDefault="00BE1EFE">
      <w:pPr>
        <w:pStyle w:val="StandardWeb"/>
      </w:pPr>
      <w:r>
        <w:rPr>
          <w:sz w:val="12"/>
          <w:szCs w:val="12"/>
        </w:rPr>
        <w:t>1. 1Volle Kalendermonate im Sinne der Durchschnittsberechnung nach Satz 2 sind Kalendermonate, in denen an allen Kalendertagen das Arbeitsverhältnis bestanden hat. 2Hat das Arbeitsverhältnis weniger als drei Kalendermonate bestanden, sind die vollen Kalendermonate, in denen das Arbeitsverhältnis bestanden hat, zugrunde zu legen. 3Bei Änderungen der individuellen Arbeitszeit werden die nach der Arbeitszeitänderung liegenden vollen K</w:t>
      </w:r>
      <w:r w:rsidR="00CE16AD">
        <w:rPr>
          <w:sz w:val="12"/>
          <w:szCs w:val="12"/>
        </w:rPr>
        <w:t>alendermonate zugrunde gelegt.</w:t>
      </w:r>
    </w:p>
    <w:p w:rsidR="00BE1EFE" w:rsidRDefault="00BE1EFE">
      <w:pPr>
        <w:pStyle w:val="StandardWeb"/>
      </w:pPr>
      <w:r>
        <w:rPr>
          <w:sz w:val="12"/>
          <w:szCs w:val="12"/>
        </w:rPr>
        <w:t>2. 1Der Tagesdurchschnitt nach Satz 2 beträgt bei einer durchschnittlichen Verteilung der regelmäßigen wöchentlichen Arbeitszeit auf fünf Tage 1/65 aus der Summe der zu berücksichtigenden Entgeltbestandteile, die für den Berechnungs</w:t>
      </w:r>
      <w:r>
        <w:rPr>
          <w:sz w:val="12"/>
          <w:szCs w:val="12"/>
        </w:rPr>
        <w:softHyphen/>
        <w:t xml:space="preserve">zeitraum zugestanden haben. 2Maßgebend ist die Verteilung der Arbeitszeit zu Beginn des Berechnungszeitraums. 3Bei einer abweichenden Verteilung der Arbeitszeit ist der Tagesdurchschnitt entsprechend Satz 1 und 2 zu ermitteln. </w:t>
      </w:r>
      <w:r w:rsidRPr="001451C5">
        <w:rPr>
          <w:sz w:val="12"/>
          <w:szCs w:val="12"/>
        </w:rPr>
        <w:t>4Sofern während des Berechnungszeitraums bereits Fortzahlungstatbestände vorlagen, bleiben bei der Ermittlung des Durchschnitts nach Satz 2 die für diese Ausfalltage auf Basis des Tagesdurchschnitts zustehenden Beträge sowie die Ausfalltage selbst unberücksichtigt.</w:t>
      </w:r>
      <w:r>
        <w:rPr>
          <w:sz w:val="12"/>
          <w:szCs w:val="12"/>
        </w:rPr>
        <w:t> </w:t>
      </w:r>
    </w:p>
    <w:p w:rsidR="00BE1EFE" w:rsidRDefault="00BE1EFE">
      <w:pPr>
        <w:pStyle w:val="StandardWeb"/>
        <w:rPr>
          <w:sz w:val="12"/>
          <w:szCs w:val="12"/>
        </w:rPr>
      </w:pPr>
      <w:r>
        <w:rPr>
          <w:sz w:val="12"/>
          <w:szCs w:val="12"/>
        </w:rPr>
        <w:t>3. </w:t>
      </w:r>
      <w:r w:rsidRPr="001451C5">
        <w:rPr>
          <w:sz w:val="12"/>
          <w:szCs w:val="12"/>
        </w:rPr>
        <w:t>1Liegt zwischen der Begründung des Arbeitsverhältnisses oder der Änderung der individuellen Arbeitszeit und dem maßgeblichen Ereignis für die Entgeltfortzahlung kein voller Kalendermonat, ist der Tagesdurchschnitt anhand der konkreten individuellen Daten zu ermitteln. 2Dazu ist die Summe der zu berücksichtigenden Entgeltbestandteile, die für diesen Zeitraum zugestanden haben, durch die Zahl der tatsächlich in diesem Zeitraum erbrachten Arbeitstage zu teilen.</w:t>
      </w:r>
    </w:p>
    <w:p w:rsidR="00BE1EFE" w:rsidRPr="000B1AF8" w:rsidRDefault="00BE1EFE">
      <w:pPr>
        <w:pStyle w:val="StandardWeb"/>
      </w:pPr>
      <w:r>
        <w:rPr>
          <w:sz w:val="12"/>
          <w:szCs w:val="12"/>
        </w:rPr>
        <w:t>4. Tritt die Fortzahlung des Entgelts nach einer allgemeinen Entgeltanpassung ein, ist die/der Beschäftigte so zu stellen, als sei die Entgeltanpassung bereits mit Beginn des Berechnungszeitraums eingetreten.</w:t>
      </w:r>
    </w:p>
    <w:p w:rsidR="00BE1EFE" w:rsidRDefault="00BE1EFE">
      <w:pPr>
        <w:pStyle w:val="berschrift6"/>
      </w:pPr>
      <w:bookmarkStart w:id="37" w:name="_Toc523925708"/>
      <w:r>
        <w:t>§ 22 Entgelt im Krankheitsfall</w:t>
      </w:r>
      <w:bookmarkEnd w:id="37"/>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Werden Beschäftigte durch Arbeitsunfähigkeit infolge Krankheit an der Arbeitsleistung verhindert, ohne dass sie ein Verschulden trifft, erhalten sie bis zur Dauer von sechs Wochen das Entgelt nach </w:t>
      </w:r>
      <w:hyperlink r:id="rId78" w:history="1">
        <w:r w:rsidRPr="002D1F1D">
          <w:rPr>
            <w:rStyle w:val="Hyperlink"/>
          </w:rPr>
          <w:t>§ 21</w:t>
        </w:r>
      </w:hyperlink>
      <w:r>
        <w:t xml:space="preserve">. </w:t>
      </w:r>
      <w:r>
        <w:rPr>
          <w:rStyle w:val="kleinschrift"/>
        </w:rPr>
        <w:t>2</w:t>
      </w:r>
      <w:r>
        <w:t xml:space="preserve">Bei erneuter Arbeitsunfähigkeit infolge derselben Krankheit sowie bei Beendigung des Arbeitsverhältnisses gelten die gesetzlichen Bestimmungen. </w:t>
      </w:r>
      <w:r>
        <w:rPr>
          <w:rStyle w:val="kleinschrift"/>
        </w:rPr>
        <w:t>3</w:t>
      </w:r>
      <w:r>
        <w:t>Als unverschul</w:t>
      </w:r>
      <w:r>
        <w:softHyphen/>
        <w:t xml:space="preserve">dete Arbeitsunfähigkeit im Sinne der Sätze 1 und 2 gilt auch die Arbeitsverhinderung in Folge einer Maßnahme der medizinischen Vorsorge und Rehabilitation im Sinne von </w:t>
      </w:r>
      <w:hyperlink r:id="rId79" w:tgtFrame="_blank" w:history="1">
        <w:r>
          <w:rPr>
            <w:rStyle w:val="Hyperlink"/>
          </w:rPr>
          <w:t>§ 9 EntgFG</w:t>
        </w:r>
      </w:hyperlink>
      <w:r>
        <w:t>.</w:t>
      </w:r>
    </w:p>
    <w:p w:rsidR="00BE1EFE" w:rsidRDefault="00BE1EFE">
      <w:pPr>
        <w:pStyle w:val="StandardWeb"/>
      </w:pPr>
      <w:r>
        <w:rPr>
          <w:sz w:val="12"/>
          <w:szCs w:val="12"/>
        </w:rPr>
        <w:t>Anmerkung zu Absatz 1 Satz 1:</w:t>
      </w:r>
    </w:p>
    <w:p w:rsidR="00BE1EFE" w:rsidRPr="000B1AF8" w:rsidRDefault="00BE1EFE">
      <w:pPr>
        <w:pStyle w:val="StandardWeb"/>
      </w:pPr>
      <w:r>
        <w:rPr>
          <w:sz w:val="12"/>
          <w:szCs w:val="12"/>
        </w:rPr>
        <w:t>Ein Verschulden liegt nur dann vor, wenn die Arbeitsunfähigkeit vorsätzlich oder grob fahrlässig herbeigeführt wurde.</w:t>
      </w:r>
    </w:p>
    <w:p w:rsidR="00BE1EFE" w:rsidRPr="000B1AF8" w:rsidRDefault="00BE1EFE">
      <w:pPr>
        <w:pStyle w:val="StandardWeb"/>
      </w:pPr>
    </w:p>
    <w:p w:rsidR="00BE1EFE" w:rsidRDefault="00BE1EFE">
      <w:pPr>
        <w:pStyle w:val="StandardWeb"/>
      </w:pPr>
      <w:r>
        <w:t>(2) </w:t>
      </w:r>
      <w:r>
        <w:rPr>
          <w:rStyle w:val="kleinschrift"/>
        </w:rPr>
        <w:t>1</w:t>
      </w:r>
      <w:r>
        <w:t>Nach Ablauf des Zeitraums gemäß Absatz 1 erhalten die Beschäftigten für die Zeit, für die ihnen Krankengeld oder entsprechende gesetzliche Leistungen gezahlt werden, einen Krankengeldzuschuss in Höhe des Unterschiedsbetrags zwischen den tatsächlichen Bar</w:t>
      </w:r>
      <w:r>
        <w:softHyphen/>
        <w:t xml:space="preserve">leistungen des Sozialleistungsträgers und dem Nettoentgelt. </w:t>
      </w:r>
      <w:r>
        <w:rPr>
          <w:rStyle w:val="kleinschrift"/>
        </w:rPr>
        <w:t>2</w:t>
      </w:r>
      <w:r>
        <w:t xml:space="preserve">Nettoentgelt ist das um die </w:t>
      </w:r>
      <w:r>
        <w:lastRenderedPageBreak/>
        <w:t xml:space="preserve">gesetzlichen Abzüge verminderte Entgelt im Sinne des </w:t>
      </w:r>
      <w:hyperlink r:id="rId80" w:history="1">
        <w:r w:rsidRPr="002D1F1D">
          <w:rPr>
            <w:rStyle w:val="Hyperlink"/>
          </w:rPr>
          <w:t>§ 21</w:t>
        </w:r>
      </w:hyperlink>
      <w:r>
        <w:t xml:space="preserve"> (mit Ausnahme der Leistungen nach </w:t>
      </w:r>
      <w:hyperlink r:id="rId81" w:history="1">
        <w:r w:rsidRPr="002D1F1D">
          <w:rPr>
            <w:rStyle w:val="Hyperlink"/>
          </w:rPr>
          <w:t xml:space="preserve">§ 23 </w:t>
        </w:r>
        <w:r>
          <w:rPr>
            <w:rStyle w:val="Hyperlink"/>
          </w:rPr>
          <w:t>Absatz</w:t>
        </w:r>
        <w:r w:rsidRPr="002D1F1D">
          <w:rPr>
            <w:rStyle w:val="Hyperlink"/>
          </w:rPr>
          <w:t xml:space="preserve"> 1</w:t>
        </w:r>
      </w:hyperlink>
      <w:r>
        <w:t xml:space="preserve">); bei freiwillig in der gesetzlichen Krankenversicherung versicherten Beschäftigten ist dabei deren Gesamtkranken- und Pflegeversicherungsbeitrag abzüglich Arbeitgeberzuschuss zu berücksichtigen. </w:t>
      </w:r>
      <w:r>
        <w:rPr>
          <w:rStyle w:val="kleinschrift"/>
        </w:rPr>
        <w:t>3</w:t>
      </w:r>
      <w:r>
        <w:t>Für Beschäftigte, die nicht der Versicherungspflicht in der gesetzlichen Krankenversicherung unterliegen und bei einem privaten Kranken</w:t>
      </w:r>
      <w:r>
        <w:softHyphen/>
        <w:t>versicherungsunternehmen versichert sind, ist bei der Berechnung des Krankengeld</w:t>
      </w:r>
      <w:r>
        <w:softHyphen/>
        <w:t xml:space="preserve">zuschusses der Krankengeldhöchstsatz, der bei Pflichtversicherung in der gesetzlichen Krankenversicherung zustünde, zugrunde zu legen. </w:t>
      </w:r>
      <w:r>
        <w:rPr>
          <w:rStyle w:val="kleinschrift"/>
        </w:rPr>
        <w:t>4</w:t>
      </w:r>
      <w:r>
        <w:t xml:space="preserve">Bei Teilzeitbeschäftigten ist das nach Satz 3 bestimmte fiktive Krankengeld entsprechend </w:t>
      </w:r>
      <w:hyperlink r:id="rId82" w:history="1">
        <w:r w:rsidRPr="002D1F1D">
          <w:rPr>
            <w:rStyle w:val="Hyperlink"/>
          </w:rPr>
          <w:t xml:space="preserve">§ 24 </w:t>
        </w:r>
        <w:r>
          <w:rPr>
            <w:rStyle w:val="Hyperlink"/>
          </w:rPr>
          <w:t>Absatz</w:t>
        </w:r>
        <w:r w:rsidRPr="002D1F1D">
          <w:rPr>
            <w:rStyle w:val="Hyperlink"/>
          </w:rPr>
          <w:t xml:space="preserve"> 2</w:t>
        </w:r>
      </w:hyperlink>
      <w:r>
        <w:t xml:space="preserve"> zeitanteilig umzurechnen.</w:t>
      </w:r>
    </w:p>
    <w:p w:rsidR="00BE1EFE" w:rsidRDefault="00BE1EFE">
      <w:pPr>
        <w:pStyle w:val="StandardWeb"/>
      </w:pPr>
    </w:p>
    <w:p w:rsidR="00BE1EFE" w:rsidRDefault="00BE1EFE">
      <w:pPr>
        <w:pStyle w:val="StandardWeb"/>
      </w:pPr>
      <w:r>
        <w:t>(3) </w:t>
      </w:r>
      <w:r>
        <w:rPr>
          <w:rStyle w:val="kleinschrift"/>
        </w:rPr>
        <w:t>1</w:t>
      </w:r>
      <w:r>
        <w:t xml:space="preserve">Der Krankengeldzuschuss wird bei einer Beschäftigungszeit </w:t>
      </w:r>
      <w:hyperlink r:id="rId83" w:history="1">
        <w:r w:rsidRPr="002D1F1D">
          <w:rPr>
            <w:rStyle w:val="Hyperlink"/>
          </w:rPr>
          <w:t xml:space="preserve">(§ 34 </w:t>
        </w:r>
        <w:r>
          <w:rPr>
            <w:rStyle w:val="Hyperlink"/>
          </w:rPr>
          <w:t>Absatz</w:t>
        </w:r>
        <w:r w:rsidRPr="002D1F1D">
          <w:rPr>
            <w:rStyle w:val="Hyperlink"/>
          </w:rPr>
          <w:t xml:space="preserve"> 3</w:t>
        </w:r>
      </w:hyperlink>
      <w:r>
        <w:t xml:space="preserve">) von mehr als einem Jahr längstens bis zum Ende der 13. Woche und von mehr als drei Jahren längstens bis zum Ende der 39. Woche seit dem Beginn der Arbeitsunfähigkeit infolge derselben Krankheit gezahlt. </w:t>
      </w:r>
      <w:r>
        <w:rPr>
          <w:rStyle w:val="kleinschrift"/>
        </w:rPr>
        <w:t>2</w:t>
      </w:r>
      <w:r>
        <w:t>Maßgeblich für die Berechnung der Fristen nach Satz 1 ist die Beschäftigungszeit, die im Laufe der krankheitsbedingten Arbeitsunfähigkeit vollendet wird.</w:t>
      </w:r>
    </w:p>
    <w:p w:rsidR="00BE1EFE" w:rsidRDefault="00BE1EFE">
      <w:pPr>
        <w:pStyle w:val="StandardWeb"/>
      </w:pPr>
    </w:p>
    <w:p w:rsidR="00BE1EFE" w:rsidRDefault="00BE1EFE">
      <w:pPr>
        <w:pStyle w:val="StandardWeb"/>
      </w:pPr>
      <w:r>
        <w:t>(4) </w:t>
      </w:r>
      <w:r>
        <w:rPr>
          <w:rStyle w:val="kleinschrift"/>
        </w:rPr>
        <w:t>1</w:t>
      </w:r>
      <w:r>
        <w:t xml:space="preserve">Entgelt im Krankheitsfall wird nicht über das Ende des Arbeitsverhältnisses hinaus gezahlt; </w:t>
      </w:r>
      <w:hyperlink r:id="rId84" w:tgtFrame="_blank" w:history="1">
        <w:r>
          <w:rPr>
            <w:rStyle w:val="Hyperlink"/>
          </w:rPr>
          <w:t xml:space="preserve">§ 8 EntgFG </w:t>
        </w:r>
      </w:hyperlink>
      <w:r>
        <w:t xml:space="preserve">bleibt unberührt. </w:t>
      </w:r>
      <w:r>
        <w:rPr>
          <w:rStyle w:val="kleinschrift"/>
        </w:rPr>
        <w:t>2</w:t>
      </w:r>
      <w:r>
        <w:t>Krankengeldzuschuss wird zudem nicht über den Zeitpunkt hinaus gezahlt, von dem an Beschäftigte eine Rente oder eine vergleichbare Leistung auf Grund eigener Versicherung aus der gesetzlichen Rentenversicherung, aus einer zusätzlichen Alters- und Hinterbliebenenversorgung oder aus einer sonstigen Versorgungs</w:t>
      </w:r>
      <w:r>
        <w:softHyphen/>
        <w:t>einrichtung erhalten, die nicht allein aus Mitteln der Beschäftigten finanziert ist. </w:t>
      </w:r>
      <w:r>
        <w:rPr>
          <w:rStyle w:val="kleinschrift"/>
        </w:rPr>
        <w:t>3</w:t>
      </w:r>
      <w:r>
        <w:t xml:space="preserve">Innerhalb eines Kalenderjahres kann das Entgelt im Krankheitsfall nach Absatz 1 und 2 insgesamt längstens bis zum Ende der in Absatz 3 Satz 1 genannten Fristen bezogen werden; bei jeder neuen Arbeitsunfähigkeit besteht jedoch mindestens der sich aus Absatz 1 ergebende Anspruch. </w:t>
      </w:r>
      <w:r>
        <w:rPr>
          <w:rStyle w:val="kleinschrift"/>
        </w:rPr>
        <w:t>4</w:t>
      </w:r>
      <w:r w:rsidRPr="009E5941">
        <w:t>Überzahlter Krankengeldzuschuss und sonstige Überzahlungen gelten als Vorschuss auf die in demselben Zeitraum zustehenden Leistungen nach Satz 2; soweit es sich nicht um öffentlich-rechtliche Sozialversicherungsansprüche auf Rente handelt, gehen die Ansprüche der Beschäftigten insoweit auf den Arbeitgeber über.</w:t>
      </w:r>
      <w:r>
        <w:t xml:space="preserve"> </w:t>
      </w:r>
      <w:r>
        <w:rPr>
          <w:rStyle w:val="kleinschrift"/>
        </w:rPr>
        <w:t>5</w:t>
      </w:r>
      <w:r>
        <w:t>Der Arbeitgeber kann von der Rückforderung des Teils des überzahlten Betrags, der nicht durch die für den Zeitraum der Überzahlung zustehenden Bezüge im Sinne des Satzes 2 ausgeglichen worden ist, absehen, es sei denn, die/der Beschäftigte hat dem Arbeitgeber die Zustellung des Rentenbescheids schuldhaft verspätet mitgeteilt.</w:t>
      </w:r>
    </w:p>
    <w:p w:rsidR="00BE1EFE" w:rsidRDefault="00BE1EFE">
      <w:pPr>
        <w:pStyle w:val="berschrift6"/>
      </w:pPr>
      <w:bookmarkStart w:id="38" w:name="_Toc523925709"/>
      <w:r>
        <w:t>§ 23 Besondere Zahlungen</w:t>
      </w:r>
      <w:bookmarkEnd w:id="38"/>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Nach Maßgabe des Vermögensbildungsgesetzes in seiner jeweiligen Fassung haben Beschäftigte, deren Arbeitsverhältnis voraussichtlich mindestens sechs Monate dauert, einen Anspruch auf vermögenswirksame Leistungen. </w:t>
      </w:r>
      <w:r>
        <w:rPr>
          <w:rStyle w:val="kleinschrift"/>
        </w:rPr>
        <w:t>2</w:t>
      </w:r>
      <w:r>
        <w:t xml:space="preserve">Für Vollbeschäftigte beträgt die vermögenswirksame Leistung für jeden vollen Kalendermonat 6,65 EURO. </w:t>
      </w:r>
      <w:r>
        <w:rPr>
          <w:rStyle w:val="kleinschrift"/>
        </w:rPr>
        <w:t>3</w:t>
      </w:r>
      <w:r>
        <w:t xml:space="preserve">Der Anspruch entsteht frühestens für den Kalendermonat, in dem die/der Beschäftigte dem Arbeitgeber die erforderlichen Angaben schriftlich mitteilt, und für die beiden vorangegangenen Monate desselben Kalenderjahres; die Fälligkeit tritt nicht vor acht Wochen nach Zugang der Mitteilung beim Arbeitgeber ein. </w:t>
      </w:r>
      <w:r>
        <w:rPr>
          <w:rStyle w:val="kleinschrift"/>
        </w:rPr>
        <w:t>4</w:t>
      </w:r>
      <w:r>
        <w:t xml:space="preserve">Die vermögenswirksame Leistung wird nur für Kalendermonate gewährt, für die den Beschäftigten Tabellenentgelt, Entgeltfortzahlung oder Krankengeldzuschuss zusteht. </w:t>
      </w:r>
      <w:r>
        <w:rPr>
          <w:rStyle w:val="kleinschrift"/>
        </w:rPr>
        <w:t>5</w:t>
      </w:r>
      <w:r>
        <w:t xml:space="preserve">Für Zeiten, für die Krankengeldzuschuss zusteht, ist die vermögenswirksame Leistung Teil des Krankengeldzuschusses. </w:t>
      </w:r>
      <w:r>
        <w:rPr>
          <w:rStyle w:val="kleinschrift"/>
        </w:rPr>
        <w:t>6</w:t>
      </w:r>
      <w:r>
        <w:t xml:space="preserve">Die vermögenswirksame Leistung ist kein zusatzversorgungspflichtiges Entgelt. </w:t>
      </w:r>
      <w:r>
        <w:rPr>
          <w:rStyle w:val="kleinschrift"/>
        </w:rPr>
        <w:t>7</w:t>
      </w:r>
      <w:r>
        <w:t xml:space="preserve">Die vermögenswirksame Leistung kann zur Entgeltumwandlung verwendet werden. </w:t>
      </w:r>
      <w:r>
        <w:rPr>
          <w:rStyle w:val="kleinschrift"/>
        </w:rPr>
        <w:t>8</w:t>
      </w:r>
      <w:r>
        <w:t xml:space="preserve">Im Falle der Entgeltumwandlung besteht der Anspruch auf die vermögenswirksame Leistung auch dann, wenn kein Vertrag im Sinne von </w:t>
      </w:r>
      <w:hyperlink r:id="rId85" w:tgtFrame="_blank" w:history="1">
        <w:r>
          <w:rPr>
            <w:rStyle w:val="Hyperlink"/>
          </w:rPr>
          <w:t>§ 2 des 5. VermBG</w:t>
        </w:r>
      </w:hyperlink>
      <w:r>
        <w:t xml:space="preserve"> nachgewiesen wird.</w:t>
      </w:r>
    </w:p>
    <w:p w:rsidR="00BE1EFE" w:rsidRPr="000B1AF8" w:rsidRDefault="00BE1EFE">
      <w:pPr>
        <w:pStyle w:val="StandardWeb"/>
      </w:pPr>
      <w:r>
        <w:rPr>
          <w:rStyle w:val="kleinschrift"/>
        </w:rPr>
        <w:t>9</w:t>
      </w:r>
      <w:r>
        <w:t>Ein Anspruch auf die vermögenswirksame Leistung sowohl für eine Anlage nach dem Vermögensbildungsgesetz als auch zur Entgeltumwandlung ist ausgeschlossen.</w:t>
      </w:r>
    </w:p>
    <w:p w:rsidR="00BE1EFE" w:rsidRPr="000B1AF8" w:rsidRDefault="00BE1EFE">
      <w:pPr>
        <w:pStyle w:val="StandardWeb"/>
      </w:pPr>
    </w:p>
    <w:p w:rsidR="00BE1EFE" w:rsidRDefault="00BE1EFE">
      <w:pPr>
        <w:pStyle w:val="StandardWeb"/>
      </w:pPr>
      <w:r>
        <w:t>(2) </w:t>
      </w:r>
      <w:r>
        <w:rPr>
          <w:rStyle w:val="kleinschrift"/>
        </w:rPr>
        <w:t>1</w:t>
      </w:r>
      <w:r>
        <w:t>Beschäftigte erhalten ein Jubiläumsgeld bei Vollendung einer Jubiläumsdienstzeit</w:t>
      </w:r>
    </w:p>
    <w:p w:rsidR="00BE1EFE" w:rsidRDefault="00BE1EFE">
      <w:pPr>
        <w:pStyle w:val="StandardWeb"/>
      </w:pPr>
      <w:r>
        <w:t>a) von 25 Jahren in Höhe von 613,55 Euro,</w:t>
      </w:r>
    </w:p>
    <w:p w:rsidR="00BE1EFE" w:rsidRDefault="00BE1EFE">
      <w:pPr>
        <w:pStyle w:val="StandardWeb"/>
      </w:pPr>
      <w:r>
        <w:t>b) von 40 Jahren in Höhe von 1 022,58 Euro,</w:t>
      </w:r>
    </w:p>
    <w:p w:rsidR="00BE1EFE" w:rsidRDefault="00BE1EFE">
      <w:pPr>
        <w:pStyle w:val="StandardWeb"/>
      </w:pPr>
      <w:r>
        <w:t>c) von 50 Jahren in Höhe von 1 227,10 Euro.</w:t>
      </w:r>
    </w:p>
    <w:p w:rsidR="00BE1EFE" w:rsidRDefault="00BE1EFE">
      <w:pPr>
        <w:pStyle w:val="StandardWeb"/>
      </w:pPr>
      <w:r>
        <w:rPr>
          <w:rStyle w:val="kleinschrift"/>
        </w:rPr>
        <w:t>2</w:t>
      </w:r>
      <w:r>
        <w:t xml:space="preserve">Zur Jubiläumsdienstzeit rechnen die in einem kirchlichen Beschäftigungsverhältnis im Bereich der bayerischen Diözesen zurückgelegten Zeiten. </w:t>
      </w:r>
      <w:r>
        <w:rPr>
          <w:rStyle w:val="kleinschrift"/>
        </w:rPr>
        <w:t>3</w:t>
      </w:r>
      <w:r>
        <w:t>Die in einem Ausbildungs</w:t>
      </w:r>
      <w:r>
        <w:softHyphen/>
        <w:t xml:space="preserve">verhältnis verbrachten Zeiten stehen diesen gleich. </w:t>
      </w:r>
      <w:r>
        <w:rPr>
          <w:rStyle w:val="kleinschrift"/>
        </w:rPr>
        <w:t>4</w:t>
      </w:r>
      <w:r>
        <w:t xml:space="preserve">Das Jubiläumsgeld zum 25-, 40-, bzw. 50-jährigen Dienstjubiläum kann nur einmal in Anspruch genommen werden. </w:t>
      </w:r>
      <w:r>
        <w:rPr>
          <w:rStyle w:val="kleinschrift"/>
        </w:rPr>
        <w:t>5</w:t>
      </w:r>
      <w:r>
        <w:t>Teilzeit</w:t>
      </w:r>
      <w:r>
        <w:softHyphen/>
        <w:t>beschäftigte erhalten das Jubiläumsgeld in voller Höhe.</w:t>
      </w:r>
    </w:p>
    <w:p w:rsidR="00BE1EFE" w:rsidRDefault="00BE1EFE">
      <w:pPr>
        <w:pStyle w:val="StandardWeb"/>
        <w:rPr>
          <w:sz w:val="12"/>
          <w:szCs w:val="12"/>
        </w:rPr>
      </w:pPr>
      <w:r w:rsidRPr="009C6551">
        <w:rPr>
          <w:rStyle w:val="kleinschrift1"/>
        </w:rPr>
        <w:t>Protokollnotiz zu Absatz 2 Satz 3:</w:t>
      </w:r>
    </w:p>
    <w:p w:rsidR="00BE1EFE" w:rsidRDefault="00BE1EFE">
      <w:pPr>
        <w:pStyle w:val="StandardWeb"/>
      </w:pPr>
      <w:r w:rsidRPr="009C6551">
        <w:rPr>
          <w:rStyle w:val="kleinschrift1"/>
        </w:rPr>
        <w:t>Gleiches gilt für Praktikumszeiten, sofern es sich um ein Berufspraktikum nach der Regelung für Praktikantinnen und Praktikanten handelt.</w:t>
      </w:r>
    </w:p>
    <w:p w:rsidR="00BE1EFE" w:rsidRDefault="00BE1EFE">
      <w:pPr>
        <w:pStyle w:val="StandardWeb"/>
      </w:pPr>
    </w:p>
    <w:p w:rsidR="00BE1EFE" w:rsidRDefault="00BE1EFE">
      <w:pPr>
        <w:pStyle w:val="StandardWeb"/>
      </w:pPr>
      <w:r>
        <w:t>(3) </w:t>
      </w:r>
      <w:r>
        <w:rPr>
          <w:rStyle w:val="kleinschrift"/>
        </w:rPr>
        <w:t>1</w:t>
      </w:r>
      <w:r>
        <w:t xml:space="preserve">Beim Tod von Beschäftigten, deren Arbeitsverhältnis nicht geruht hat, wird der Ehegattin/dem Ehegatten oder den Kindern ein Sterbegeld gewährt. </w:t>
      </w:r>
      <w:r>
        <w:rPr>
          <w:rStyle w:val="kleinschrift"/>
        </w:rPr>
        <w:t>2</w:t>
      </w:r>
      <w:r>
        <w:t xml:space="preserve">Als Sterbegeld wird für die restlichen Tage des Sterbemonats und – in einer Summe – für zwei weitere Monate das Tabellenentgelt der/des Verstorbenen gezahlt. </w:t>
      </w:r>
      <w:r>
        <w:rPr>
          <w:rStyle w:val="kleinschrift"/>
        </w:rPr>
        <w:t>3</w:t>
      </w:r>
      <w:r>
        <w:t>Die Zahlung des Sterbegeldes an einen der Berechtigten bringt den Anspruch der Übrigen gegenüber dem Arbeitgeber zum Erlöschen; die Zahlung auf das Gehaltskonto hat befreiende Wirkung.</w:t>
      </w:r>
    </w:p>
    <w:p w:rsidR="00BE1EFE" w:rsidRDefault="00BE1EFE">
      <w:pPr>
        <w:pStyle w:val="berschrift6"/>
      </w:pPr>
      <w:bookmarkStart w:id="39" w:name="_Toc523925710"/>
      <w:r>
        <w:t>§ 24 Berechnung und Auszahlung des Entgelts</w:t>
      </w:r>
      <w:bookmarkEnd w:id="3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Bemessungszeitraum für das Tabellenentgelt und die sonstigen Entgeltbestandteile ist der Kalendermonat, soweit durch Regelung der Bayerischen Regional-KODA nicht ausdrücklich etwas Abweichendes geregelt ist. </w:t>
      </w:r>
      <w:r>
        <w:rPr>
          <w:rStyle w:val="kleinschrift"/>
        </w:rPr>
        <w:t>2</w:t>
      </w:r>
      <w:r>
        <w:t>Die Zahlung erfolgt am letzten Tag des Monats (Zahltag) für den laufenden Kalendermonat auf ein von der/dem Beschäftigten benanntes Konto innerhalb eines Mitgliedstaats der Europäischen Union. </w:t>
      </w:r>
      <w:r>
        <w:rPr>
          <w:rStyle w:val="kleinschrift"/>
        </w:rPr>
        <w:t>3</w:t>
      </w:r>
      <w:r>
        <w:t xml:space="preserve">Fällt der Zahltag auf einen Samstag, einen Wochenfeiertag oder den 31. Dezember, gilt der vorhergehende Werktag, fällt er auf einen Sonntag, gilt der zweite vorhergehende Werktag als Zahltag. </w:t>
      </w:r>
      <w:r>
        <w:rPr>
          <w:rStyle w:val="kleinschrift"/>
        </w:rPr>
        <w:t>4</w:t>
      </w:r>
      <w:r>
        <w:t xml:space="preserve">Entgeltbestandteile, die nicht in Monatsbeträgen festgelegt sind, sowie der Tagesdurchschnitt nach </w:t>
      </w:r>
      <w:hyperlink r:id="rId86" w:history="1">
        <w:r w:rsidRPr="002D1F1D">
          <w:rPr>
            <w:rStyle w:val="Hyperlink"/>
          </w:rPr>
          <w:t>§ 21</w:t>
        </w:r>
      </w:hyperlink>
      <w:r>
        <w:t xml:space="preserve"> sind am Zahltag des zweiten Kalendermonats, der auf ihre Entstehung folgt, fällig.</w:t>
      </w:r>
    </w:p>
    <w:p w:rsidR="00BE1EFE" w:rsidRDefault="00BE1EFE">
      <w:pPr>
        <w:pStyle w:val="StandardWeb"/>
      </w:pPr>
      <w:r>
        <w:rPr>
          <w:sz w:val="12"/>
          <w:szCs w:val="12"/>
        </w:rPr>
        <w:t>Anmerkung zu Absatz 1:</w:t>
      </w:r>
    </w:p>
    <w:p w:rsidR="00BE1EFE" w:rsidRPr="000B1AF8" w:rsidRDefault="00BE1EFE">
      <w:pPr>
        <w:pStyle w:val="StandardWeb"/>
      </w:pPr>
      <w:r>
        <w:rPr>
          <w:sz w:val="12"/>
          <w:szCs w:val="12"/>
        </w:rPr>
        <w:t>Teilen Beschäftigte ihrem Arbeitgeber die für eine kostenfreie bzw. kostengünstigere Überweisung in einen anderen Mitgliedstaat der Europäischen Union erforderlichen Angaben nicht rechtzeitig mit, so tragen sie die dadurch entstehenden zusätzlichen Überweisungskosten.</w:t>
      </w:r>
    </w:p>
    <w:p w:rsidR="00BE1EFE" w:rsidRPr="000B1AF8" w:rsidRDefault="00BE1EFE">
      <w:pPr>
        <w:pStyle w:val="StandardWeb"/>
      </w:pPr>
    </w:p>
    <w:p w:rsidR="00BE1EFE" w:rsidRDefault="00BE1EFE">
      <w:pPr>
        <w:pStyle w:val="StandardWeb"/>
      </w:pPr>
      <w:r>
        <w:rPr>
          <w:sz w:val="12"/>
          <w:szCs w:val="12"/>
        </w:rPr>
        <w:t>Protokollnotiz zu Absatz 1:</w:t>
      </w:r>
    </w:p>
    <w:p w:rsidR="00BE1EFE" w:rsidRDefault="00BE1EFE">
      <w:pPr>
        <w:pStyle w:val="StandardWeb"/>
      </w:pPr>
      <w:r>
        <w:rPr>
          <w:sz w:val="12"/>
          <w:szCs w:val="12"/>
        </w:rPr>
        <w:t>1Die Umstellung des Zahltages auf spätestens den letzten Tag jeden Monats kann nur im Monat Dezember eines Jahres beginnen; die Jahressonderzahlung sollte bereits im Umstellungsjahr am letzten Tag des Monats November gezahlt werden. 2Im Falle einer geplanten Umstellung sind die Beschäftigten vom Arbeitgeber spätestens in dem der Umstellung vorausgehenden Monat September zu informieren.</w:t>
      </w:r>
    </w:p>
    <w:p w:rsidR="00BE1EFE" w:rsidRDefault="00BE1EFE">
      <w:pPr>
        <w:pStyle w:val="StandardWeb"/>
      </w:pPr>
    </w:p>
    <w:p w:rsidR="00BE1EFE" w:rsidRDefault="00BE1EFE">
      <w:pPr>
        <w:pStyle w:val="StandardWeb"/>
      </w:pPr>
      <w:r>
        <w:t>(2) Soweit durch Regelung der Bayerischen Regional-KODA nicht ausdrücklich etwas anderes geregelt ist, erhalten Teilzeitbeschäftigte das Tabellenentgelt (</w:t>
      </w:r>
      <w:hyperlink r:id="rId87" w:history="1">
        <w:r w:rsidRPr="00114F9D">
          <w:rPr>
            <w:rStyle w:val="Hyperlink"/>
          </w:rPr>
          <w:t>§ 15</w:t>
        </w:r>
      </w:hyperlink>
      <w:r>
        <w:t>) und alle sonstigen Entgeltbestandteile in dem Umfang, der dem Anteil ihrer individuell vereinbarten durchschnittlichen Arbeitszeit an der regelmäßigen Arbeitszeit vergleichbarer Vollzeit</w:t>
      </w:r>
      <w:r>
        <w:softHyphen/>
        <w:t>beschäftigter entspricht.</w:t>
      </w:r>
    </w:p>
    <w:p w:rsidR="00BE1EFE" w:rsidRDefault="00BE1EFE">
      <w:pPr>
        <w:pStyle w:val="StandardWeb"/>
      </w:pPr>
    </w:p>
    <w:p w:rsidR="00BE1EFE" w:rsidRDefault="00BE1EFE">
      <w:pPr>
        <w:pStyle w:val="StandardWeb"/>
      </w:pPr>
      <w:r>
        <w:t>(3) </w:t>
      </w:r>
      <w:r>
        <w:rPr>
          <w:rStyle w:val="kleinschrift"/>
        </w:rPr>
        <w:t>1</w:t>
      </w:r>
      <w:r>
        <w:t xml:space="preserve">Besteht der Anspruch auf das Tabellenentgelt oder die sonstigen Entgeltbestandteile nicht für alle Tage eines Kalendermonats, wird nur der Teil gezahlt, der auf den Anspruchszeitraum entfällt. </w:t>
      </w:r>
      <w:r>
        <w:rPr>
          <w:rStyle w:val="kleinschrift"/>
        </w:rPr>
        <w:t>2</w:t>
      </w:r>
      <w:r>
        <w:t xml:space="preserve">Besteht nur für einen Teil eines Kalendertags Anspruch auf Entgelt, wird für jede geleistete dienstplanmäßige oder betriebsübliche Arbeitsstunde der auf eine Stunde entfallende Anteil des Tabellenentgelts sowie der sonstigen in Monatsbeträgen festgelegten Entgeltbestandteile gezahlt. </w:t>
      </w:r>
      <w:r>
        <w:rPr>
          <w:rStyle w:val="kleinschrift"/>
        </w:rPr>
        <w:t>3</w:t>
      </w:r>
      <w:r>
        <w:t xml:space="preserve">Zur Ermittlung des auf eine Stunde entfallenden Anteils sind die in Monatsbeträgen festgelegten Entgeltbestandteile durch das 4,348-fache der </w:t>
      </w:r>
      <w:r>
        <w:lastRenderedPageBreak/>
        <w:t>regelmäßigen wöchentlichen Arbeitszeit (</w:t>
      </w:r>
      <w:hyperlink r:id="rId88" w:history="1">
        <w:r w:rsidRPr="002D1F1D">
          <w:rPr>
            <w:rStyle w:val="Hyperlink"/>
          </w:rPr>
          <w:t xml:space="preserve">§ 6 </w:t>
        </w:r>
        <w:r>
          <w:rPr>
            <w:rStyle w:val="Hyperlink"/>
          </w:rPr>
          <w:t>Absatz</w:t>
        </w:r>
        <w:r w:rsidRPr="002D1F1D">
          <w:rPr>
            <w:rStyle w:val="Hyperlink"/>
          </w:rPr>
          <w:t xml:space="preserve"> 1</w:t>
        </w:r>
      </w:hyperlink>
      <w:r w:rsidRPr="002D1F1D">
        <w:t xml:space="preserve"> </w:t>
      </w:r>
      <w:r>
        <w:t>und entsprechende Sonderregelungen) zu teilen.</w:t>
      </w:r>
    </w:p>
    <w:p w:rsidR="00BE1EFE" w:rsidRDefault="00BE1EFE">
      <w:pPr>
        <w:pStyle w:val="StandardWeb"/>
      </w:pPr>
    </w:p>
    <w:p w:rsidR="00BE1EFE" w:rsidRDefault="00BE1EFE">
      <w:pPr>
        <w:pStyle w:val="StandardWeb"/>
      </w:pPr>
      <w:r>
        <w:t>(4) </w:t>
      </w:r>
      <w:r>
        <w:rPr>
          <w:rStyle w:val="kleinschrift"/>
        </w:rPr>
        <w:t>1</w:t>
      </w:r>
      <w:r>
        <w:t xml:space="preserve">Ergibt sich bei der Berechnung von Beträgen ein Bruchteil eines Cents von mindestens 0,5, ist er aufzurunden; ein Bruchteil von weniger als 0,5 ist abzurunden. </w:t>
      </w:r>
      <w:r>
        <w:rPr>
          <w:rStyle w:val="kleinschrift"/>
        </w:rPr>
        <w:t>2</w:t>
      </w:r>
      <w:r>
        <w:t>Zwischen</w:t>
      </w:r>
      <w:r>
        <w:softHyphen/>
        <w:t xml:space="preserve">rechnungen werden jeweils auf zwei Dezimalstellen durchgeführt. </w:t>
      </w:r>
      <w:r>
        <w:rPr>
          <w:rStyle w:val="kleinschrift"/>
        </w:rPr>
        <w:t>3</w:t>
      </w:r>
      <w:r>
        <w:t>Jeder Entgeltbestandteil ist einzeln zu runden.</w:t>
      </w:r>
    </w:p>
    <w:p w:rsidR="00BE1EFE" w:rsidRDefault="00BE1EFE">
      <w:pPr>
        <w:pStyle w:val="StandardWeb"/>
      </w:pPr>
    </w:p>
    <w:p w:rsidR="00BE1EFE" w:rsidRDefault="00BE1EFE">
      <w:pPr>
        <w:pStyle w:val="StandardWeb"/>
      </w:pPr>
      <w:r>
        <w:t>(5) Entfallen die Voraussetzungen für eine Zulage im Laufe eines Kalendermonats, gilt Ab</w:t>
      </w:r>
      <w:r>
        <w:softHyphen/>
        <w:t>satz 3 entsprechend.</w:t>
      </w:r>
    </w:p>
    <w:p w:rsidR="00BE1EFE" w:rsidRDefault="00BE1EFE">
      <w:pPr>
        <w:pStyle w:val="StandardWeb"/>
      </w:pPr>
    </w:p>
    <w:p w:rsidR="00BE1EFE" w:rsidRDefault="00BE1EFE">
      <w:pPr>
        <w:pStyle w:val="StandardWeb"/>
      </w:pPr>
      <w:r>
        <w:t>(6) Einzelvertraglich können neben dem Tabellenentgelt zustehende Entgeltbestandteile (z. B. Zeitzuschläge, Erschwerniszuschläge) pauschaliert werden.</w:t>
      </w:r>
    </w:p>
    <w:p w:rsidR="00BE1EFE" w:rsidRDefault="00BE1EFE">
      <w:pPr>
        <w:pStyle w:val="StandardWeb"/>
      </w:pPr>
    </w:p>
    <w:p w:rsidR="00BE1EFE" w:rsidRDefault="00BE1EFE">
      <w:pPr>
        <w:pStyle w:val="StandardWeb"/>
      </w:pPr>
      <w:r>
        <w:t>(7) </w:t>
      </w:r>
      <w:r>
        <w:rPr>
          <w:rStyle w:val="kleinschrift"/>
        </w:rPr>
        <w:t>1</w:t>
      </w:r>
      <w:r>
        <w:t>Die Abtretung von Entgeltansprüchen ist ausgeschlossen (</w:t>
      </w:r>
      <w:hyperlink r:id="rId89" w:tgtFrame="_blank" w:history="1">
        <w:r>
          <w:rPr>
            <w:rStyle w:val="Hyperlink"/>
          </w:rPr>
          <w:t>§ 399 BGB</w:t>
        </w:r>
      </w:hyperlink>
      <w:r>
        <w:t xml:space="preserve">). </w:t>
      </w:r>
      <w:r>
        <w:rPr>
          <w:rStyle w:val="kleinschrift"/>
        </w:rPr>
        <w:t>2</w:t>
      </w:r>
      <w:r>
        <w:t xml:space="preserve">Im Einzelfall kann der/die Beschäftigte mit dem Arbeitgeber die Abtretbarkeit seiner Entgeltansprüche schriftlich vereinbaren. </w:t>
      </w:r>
    </w:p>
    <w:p w:rsidR="00BE1EFE" w:rsidRDefault="00BE1EFE">
      <w:pPr>
        <w:pStyle w:val="StandardWeb"/>
      </w:pPr>
    </w:p>
    <w:p w:rsidR="00BE1EFE" w:rsidRDefault="00BE1EFE">
      <w:pPr>
        <w:pStyle w:val="StandardWeb"/>
      </w:pPr>
      <w:r>
        <w:t xml:space="preserve">(8) </w:t>
      </w:r>
      <w:r>
        <w:rPr>
          <w:rStyle w:val="kleinschrift"/>
        </w:rPr>
        <w:t>1</w:t>
      </w:r>
      <w:r>
        <w:t xml:space="preserve">Die/der im Sinne des </w:t>
      </w:r>
      <w:hyperlink r:id="rId90" w:tgtFrame="_self" w:history="1">
        <w:r>
          <w:rPr>
            <w:rStyle w:val="Hyperlink"/>
          </w:rPr>
          <w:t xml:space="preserve">§ 8 Absatz 1 Nummer 1 SGB IV </w:t>
        </w:r>
      </w:hyperlink>
      <w:r>
        <w:t>Beschäftigte kann</w:t>
      </w:r>
    </w:p>
    <w:p w:rsidR="00BE1EFE" w:rsidRDefault="00BE1EFE">
      <w:pPr>
        <w:pStyle w:val="StandardWeb"/>
      </w:pPr>
      <w:r>
        <w:t xml:space="preserve">1. verlangen, dass insbesondere Entgelt, das die Geringfügigkeitsgrenze übersteigt, durch Entgeltumwandlung gemäß </w:t>
      </w:r>
      <w:hyperlink r:id="rId91" w:history="1">
        <w:r w:rsidRPr="002D1F1D">
          <w:rPr>
            <w:rStyle w:val="Hyperlink"/>
          </w:rPr>
          <w:t>ABD Teil D, 10c.</w:t>
        </w:r>
      </w:hyperlink>
      <w:r>
        <w:t xml:space="preserve"> für die betriebliche Altersvorsorge verwendet wird, soweit nach der Satzung der Kasse, bei der diese zusätzliche betriebliche Altersversorgung durchgeführt wird, wechselnde Beträge innerhalb eines Jahres abgeführt werden können, oder </w:t>
      </w:r>
    </w:p>
    <w:p w:rsidR="00BE1EFE" w:rsidRDefault="00BE1EFE">
      <w:pPr>
        <w:pStyle w:val="StandardWeb"/>
      </w:pPr>
      <w:r>
        <w:t>2. verlangen, dass die individuelle Arbeitszeit so angepasst wird, dass das zeitanteilige Entgelt die Geringfügigkeitsgrenze nicht übersteigt, oder</w:t>
      </w:r>
    </w:p>
    <w:p w:rsidR="00BE1EFE" w:rsidRDefault="00BE1EFE">
      <w:pPr>
        <w:pStyle w:val="StandardWeb"/>
      </w:pPr>
      <w:r>
        <w:t>3. auf neben dem Tabellenentgelt bestehende Entgeltbestandteile und/oder die Jahressonder</w:t>
      </w:r>
      <w:r>
        <w:softHyphen/>
        <w:t xml:space="preserve">zahlung zum Teil oder zur Gänze verzichten. </w:t>
      </w:r>
      <w:r>
        <w:rPr>
          <w:rStyle w:val="kleinschrift"/>
        </w:rPr>
        <w:t>2</w:t>
      </w:r>
      <w:r>
        <w:t xml:space="preserve">Der Verzicht kann frühestens nach einem Jahr widerrufen werden. </w:t>
      </w:r>
      <w:r>
        <w:rPr>
          <w:rStyle w:val="kleinschrift"/>
        </w:rPr>
        <w:t>3</w:t>
      </w:r>
      <w:r>
        <w:t>Verzicht und Widerruf bedürfen der Schriftform.</w:t>
      </w:r>
    </w:p>
    <w:p w:rsidR="00BE1EFE" w:rsidRDefault="00BE1EFE">
      <w:pPr>
        <w:pStyle w:val="berschrift6"/>
      </w:pPr>
      <w:bookmarkStart w:id="40" w:name="_Toc523925711"/>
      <w:r>
        <w:t>§ 25 Betriebliche Altersversorgung bei der Zusatzversorgungskasse der bayerischen Gemeinden</w:t>
      </w:r>
      <w:bookmarkEnd w:id="40"/>
    </w:p>
    <w:p w:rsidR="00BE1EFE" w:rsidRPr="00B76821" w:rsidRDefault="00BE1EFE" w:rsidP="00B76821">
      <w:pPr>
        <w:pStyle w:val="h7"/>
        <w:keepNext w:val="0"/>
        <w:spacing w:before="0" w:after="0"/>
        <w:jc w:val="left"/>
        <w:outlineLvl w:val="5"/>
        <w:rPr>
          <w:sz w:val="2"/>
        </w:rPr>
      </w:pPr>
    </w:p>
    <w:p w:rsidR="00BE1EFE" w:rsidRDefault="00BE1EFE">
      <w:pPr>
        <w:pStyle w:val="StandardWeb"/>
        <w:rPr>
          <w:vertAlign w:val="superscript"/>
        </w:rPr>
      </w:pPr>
      <w:r>
        <w:t>(1) </w:t>
      </w:r>
      <w:r w:rsidRPr="0071371F">
        <w:t>Die Beschäftigten haben Anspruch auf Versicherung unter eigener Beteiligung zum Zwecke einer zusätzlichen betrieblichen Alters- und Hinterbliebenenversorgung bei der Zusatzversorgungskasse der bayerischen Gemeinden (BVK Zusatzversorgung) nach Maßgabe der Versorgungsordnung A in ihrer jeweils geltenden Fassung, sofern in den §§ 25a und 25b keine subsidiären Durchführungswege eröffnet sind</w:t>
      </w:r>
      <w:r>
        <w:t>.</w:t>
      </w:r>
      <w:r>
        <w:rPr>
          <w:vertAlign w:val="superscript"/>
        </w:rPr>
        <w:t>1</w:t>
      </w:r>
    </w:p>
    <w:p w:rsidR="00BE1EFE" w:rsidRPr="000B1AF8" w:rsidRDefault="00BE1EFE">
      <w:pPr>
        <w:pStyle w:val="StandardWeb"/>
      </w:pPr>
      <w:r>
        <w:rPr>
          <w:sz w:val="12"/>
          <w:szCs w:val="12"/>
          <w:vertAlign w:val="superscript"/>
        </w:rPr>
        <w:t>1</w:t>
      </w:r>
      <w:r w:rsidRPr="009C6551">
        <w:rPr>
          <w:rStyle w:val="kleinschrift1"/>
        </w:rPr>
        <w:t xml:space="preserve"> </w:t>
      </w:r>
      <w:hyperlink r:id="rId92" w:history="1">
        <w:r w:rsidRPr="002D1F1D">
          <w:rPr>
            <w:rStyle w:val="Hyperlink"/>
            <w:sz w:val="12"/>
            <w:szCs w:val="12"/>
          </w:rPr>
          <w:t>Versorgungsordnung A</w:t>
        </w:r>
      </w:hyperlink>
      <w:r w:rsidRPr="009C6551">
        <w:rPr>
          <w:rStyle w:val="kleinschrift1"/>
        </w:rPr>
        <w:t xml:space="preserve"> abgedruckt im Teil </w:t>
      </w:r>
      <w:hyperlink r:id="rId93" w:history="1">
        <w:r w:rsidRPr="002D1F1D">
          <w:rPr>
            <w:rStyle w:val="Hyperlink"/>
            <w:sz w:val="12"/>
            <w:szCs w:val="12"/>
          </w:rPr>
          <w:t>D</w:t>
        </w:r>
      </w:hyperlink>
      <w:r w:rsidRPr="009C6551">
        <w:rPr>
          <w:rStyle w:val="kleinschrift1"/>
        </w:rPr>
        <w:t>.</w:t>
      </w:r>
    </w:p>
    <w:p w:rsidR="00BE1EFE" w:rsidRPr="000B1AF8" w:rsidRDefault="00BE1EFE">
      <w:pPr>
        <w:pStyle w:val="StandardWeb"/>
      </w:pPr>
    </w:p>
    <w:p w:rsidR="00BE1EFE" w:rsidRDefault="00BE1EFE">
      <w:pPr>
        <w:pStyle w:val="StandardWeb"/>
      </w:pPr>
      <w:r>
        <w:t>(2) </w:t>
      </w:r>
      <w:r w:rsidRPr="0071371F">
        <w:rPr>
          <w:i/>
        </w:rPr>
        <w:t>(frei)</w:t>
      </w:r>
    </w:p>
    <w:p w:rsidR="00BE1EFE" w:rsidRDefault="00BE1EFE">
      <w:pPr>
        <w:pStyle w:val="berschrift6"/>
      </w:pPr>
      <w:bookmarkStart w:id="41" w:name="_Toc523925712"/>
      <w:r>
        <w:t>§ 25a Betriebliche Altersversorgung bei der</w:t>
      </w:r>
      <w:r>
        <w:rPr>
          <w:lang w:eastAsia="x-none"/>
        </w:rPr>
        <w:t xml:space="preserve"> </w:t>
      </w:r>
      <w:r>
        <w:t>Pensionskasse der Caritas VVaG</w:t>
      </w:r>
      <w:bookmarkEnd w:id="4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Beschäftigten haben Anspruch auf Versicherung unter eigener Beteiligung zum Zwecke einer zusätzlichen Alters- und Hinterbliebenenversorgung nach Maßgabe der </w:t>
      </w:r>
      <w:hyperlink r:id="rId94" w:history="1">
        <w:r w:rsidRPr="002D1F1D">
          <w:rPr>
            <w:rStyle w:val="Hyperlink"/>
          </w:rPr>
          <w:t>Versorgungsordnung B</w:t>
        </w:r>
      </w:hyperlink>
      <w:r>
        <w:t xml:space="preserve"> in ihrer jeweiligen Fassung</w:t>
      </w:r>
      <w:r>
        <w:rPr>
          <w:vertAlign w:val="superscript"/>
        </w:rPr>
        <w:t>1</w:t>
      </w:r>
      <w:r>
        <w:t xml:space="preserve">, sofern der Arbeitgeber nicht Mitglied der Zusatzversorgungskasse der bayerischen Gemeinden oder Mitglied/Beteiligter einer anderen rechtsfähigen Versorgungseinrichtung im Sinne des </w:t>
      </w:r>
      <w:hyperlink r:id="rId95" w:tgtFrame="_blank" w:history="1">
        <w:r>
          <w:rPr>
            <w:rStyle w:val="Hyperlink"/>
          </w:rPr>
          <w:t>§ 1 b Absatz 3 BetrAVG</w:t>
        </w:r>
      </w:hyperlink>
      <w:r>
        <w:t xml:space="preserve"> ist.</w:t>
      </w:r>
    </w:p>
    <w:p w:rsidR="00BE1EFE" w:rsidRPr="000B1AF8" w:rsidRDefault="00BE1EFE">
      <w:pPr>
        <w:pStyle w:val="StandardWeb"/>
      </w:pPr>
      <w:r>
        <w:rPr>
          <w:sz w:val="12"/>
          <w:szCs w:val="12"/>
          <w:vertAlign w:val="superscript"/>
        </w:rPr>
        <w:t>1</w:t>
      </w:r>
      <w:hyperlink r:id="rId96" w:history="1">
        <w:r w:rsidRPr="002D1F1D">
          <w:rPr>
            <w:rStyle w:val="Hyperlink"/>
            <w:sz w:val="12"/>
            <w:szCs w:val="12"/>
          </w:rPr>
          <w:t>Versorgungsordnung B</w:t>
        </w:r>
      </w:hyperlink>
      <w:r w:rsidRPr="009C6551">
        <w:rPr>
          <w:rStyle w:val="kleinschrift1"/>
        </w:rPr>
        <w:t xml:space="preserve"> abgedruckt im Teil </w:t>
      </w:r>
      <w:hyperlink r:id="rId97" w:history="1">
        <w:r w:rsidRPr="002D1F1D">
          <w:rPr>
            <w:rStyle w:val="Hyperlink"/>
            <w:sz w:val="12"/>
            <w:szCs w:val="12"/>
          </w:rPr>
          <w:t>D</w:t>
        </w:r>
      </w:hyperlink>
      <w:r w:rsidRPr="009C6551">
        <w:rPr>
          <w:rStyle w:val="kleinschrift1"/>
        </w:rPr>
        <w:t>.</w:t>
      </w:r>
    </w:p>
    <w:p w:rsidR="00BE1EFE" w:rsidRPr="000B1AF8" w:rsidRDefault="00BE1EFE">
      <w:pPr>
        <w:pStyle w:val="StandardWeb"/>
      </w:pPr>
    </w:p>
    <w:p w:rsidR="00BE1EFE" w:rsidRDefault="00BE1EFE">
      <w:pPr>
        <w:pStyle w:val="StandardWeb"/>
        <w:rPr>
          <w:sz w:val="12"/>
          <w:szCs w:val="12"/>
        </w:rPr>
      </w:pPr>
      <w:r w:rsidRPr="009C6551">
        <w:rPr>
          <w:rStyle w:val="kleinschrift1"/>
        </w:rPr>
        <w:t>Protokollnotiz:</w:t>
      </w:r>
    </w:p>
    <w:p w:rsidR="00BE1EFE" w:rsidRDefault="00BE1EFE">
      <w:pPr>
        <w:pStyle w:val="StandardWeb"/>
      </w:pPr>
      <w:r>
        <w:rPr>
          <w:rStyle w:val="kleinschrift"/>
          <w:szCs w:val="12"/>
        </w:rPr>
        <w:lastRenderedPageBreak/>
        <w:t>1</w:t>
      </w:r>
      <w:r w:rsidRPr="009C6551">
        <w:rPr>
          <w:rStyle w:val="kleinschrift1"/>
        </w:rPr>
        <w:t xml:space="preserve">Der Arbeitgeber ist verpflichtet, die Versicherung der/des Beschäftigten zum Zwecke einer betrieblichen Altersversorgung gemäß den Regelungen des </w:t>
      </w:r>
      <w:hyperlink r:id="rId98" w:history="1">
        <w:r w:rsidRPr="002D1F1D">
          <w:rPr>
            <w:rStyle w:val="Hyperlink"/>
            <w:sz w:val="12"/>
            <w:szCs w:val="12"/>
          </w:rPr>
          <w:t>§ 25</w:t>
        </w:r>
      </w:hyperlink>
      <w:r w:rsidRPr="009C6551">
        <w:rPr>
          <w:rStyle w:val="kleinschrift1"/>
        </w:rPr>
        <w:t xml:space="preserve">, § 25a oder </w:t>
      </w:r>
      <w:hyperlink r:id="rId99" w:history="1">
        <w:r w:rsidRPr="002D1F1D">
          <w:rPr>
            <w:rStyle w:val="Hyperlink"/>
            <w:sz w:val="12"/>
            <w:szCs w:val="12"/>
          </w:rPr>
          <w:t>§ 25b</w:t>
        </w:r>
      </w:hyperlink>
      <w:r w:rsidRPr="009C6551">
        <w:rPr>
          <w:rStyle w:val="kleinschrift1"/>
        </w:rPr>
        <w:t xml:space="preserve"> zu veranlassen. </w:t>
      </w:r>
      <w:r>
        <w:rPr>
          <w:rStyle w:val="kleinschrift"/>
          <w:szCs w:val="12"/>
        </w:rPr>
        <w:t>2</w:t>
      </w:r>
      <w:r w:rsidRPr="009C6551">
        <w:rPr>
          <w:rStyle w:val="kleinschrift1"/>
        </w:rPr>
        <w:t xml:space="preserve">Sofern der Arbeitgeber nicht Mitglied der Zusatzversorgungskasse der bayerischen Gemeinden oder Mitglied/Beteiligter einer anderen rechtsfähigen Versorgungseinrichtung im Sinne des </w:t>
      </w:r>
      <w:hyperlink r:id="rId100" w:tgtFrame="_blank" w:history="1">
        <w:r>
          <w:rPr>
            <w:rStyle w:val="Hyperlink"/>
            <w:sz w:val="12"/>
            <w:szCs w:val="12"/>
          </w:rPr>
          <w:t>§ 1 b Absatz 3 BetrAVG</w:t>
        </w:r>
      </w:hyperlink>
      <w:r w:rsidRPr="009C6551">
        <w:rPr>
          <w:rStyle w:val="kleinschrift1"/>
        </w:rPr>
        <w:t xml:space="preserve"> ist oder er eine derartige Mitgliedschaft/Beteiligung nicht erlangt, ist § 25a anzuwenden.</w:t>
      </w:r>
    </w:p>
    <w:p w:rsidR="00BE1EFE" w:rsidRDefault="00BE1EFE">
      <w:pPr>
        <w:pStyle w:val="berschrift6"/>
      </w:pPr>
      <w:bookmarkStart w:id="42" w:name="_Toc523925713"/>
      <w:r>
        <w:t>§ 25b Betriebliche Altersversorgung bei einer anderen Pensionskasse oder einem Pensionsfonds</w:t>
      </w:r>
      <w:bookmarkEnd w:id="42"/>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71371F">
        <w:rPr>
          <w:sz w:val="12"/>
          <w:szCs w:val="12"/>
        </w:rPr>
        <w:t>1</w:t>
      </w:r>
      <w:r w:rsidRPr="0071371F">
        <w:t xml:space="preserve">Der Arbeitgeber, dem die Möglichkeit einer Mitgliedschaft in der BVK Zusatzversorgung nicht eröffnet oder der am 1. März 2016 Mitglied einer anderen Versorgungseinrichtung ist, kann die betriebliche Alters- und Hinterbliebenenversorgung nach </w:t>
      </w:r>
      <w:hyperlink r:id="rId101" w:history="1">
        <w:r w:rsidRPr="00B07DE3">
          <w:rPr>
            <w:rStyle w:val="Hyperlink"/>
          </w:rPr>
          <w:t>§ 25</w:t>
        </w:r>
      </w:hyperlink>
      <w:r w:rsidRPr="0071371F">
        <w:t xml:space="preserve"> bei einer anderen rechtsfähigen Versorgungseinrichtung im Sinne des § </w:t>
      </w:r>
      <w:hyperlink r:id="rId102" w:history="1">
        <w:r w:rsidRPr="00B07DE3">
          <w:rPr>
            <w:rStyle w:val="Hyperlink"/>
          </w:rPr>
          <w:t xml:space="preserve">1b </w:t>
        </w:r>
        <w:r>
          <w:rPr>
            <w:rStyle w:val="Hyperlink"/>
          </w:rPr>
          <w:t>Absatz</w:t>
        </w:r>
        <w:r w:rsidRPr="00B07DE3">
          <w:rPr>
            <w:rStyle w:val="Hyperlink"/>
          </w:rPr>
          <w:t xml:space="preserve"> 3 BetrAVG</w:t>
        </w:r>
      </w:hyperlink>
      <w:r w:rsidRPr="0071371F">
        <w:t xml:space="preserve"> durchführen lassen. </w:t>
      </w:r>
      <w:r w:rsidRPr="00B07DE3">
        <w:rPr>
          <w:sz w:val="12"/>
          <w:szCs w:val="12"/>
        </w:rPr>
        <w:t>2</w:t>
      </w:r>
      <w:r w:rsidRPr="0071371F">
        <w:t xml:space="preserve">Der Versicherungsumfang muss zum Zeitpunkt des Abschlusses mindestens dem der </w:t>
      </w:r>
      <w:hyperlink r:id="rId103" w:history="1">
        <w:r w:rsidRPr="00114F9D">
          <w:rPr>
            <w:rStyle w:val="Hyperlink"/>
          </w:rPr>
          <w:t>Versorgungsordnung A ABD Teil D, 10 a</w:t>
        </w:r>
      </w:hyperlink>
      <w:r w:rsidRPr="0071371F">
        <w:t xml:space="preserve">. entsprechen. </w:t>
      </w:r>
      <w:r w:rsidRPr="00B07DE3">
        <w:rPr>
          <w:sz w:val="12"/>
          <w:szCs w:val="12"/>
        </w:rPr>
        <w:t>3</w:t>
      </w:r>
      <w:r w:rsidRPr="0071371F">
        <w:t>Arbeitgeber, die betriebliche Altersversorgungen im Rahmen von Betriebsübergängen übernommen haben, können diese in Erfüllung des § 25 weiter führen.</w:t>
      </w:r>
      <w:r>
        <w:t> </w:t>
      </w:r>
    </w:p>
    <w:p w:rsidR="00BE1EFE" w:rsidRPr="000B1AF8" w:rsidRDefault="00BE1EFE">
      <w:pPr>
        <w:pStyle w:val="StandardWeb"/>
      </w:pPr>
    </w:p>
    <w:p w:rsidR="00BE1EFE" w:rsidRDefault="00BE1EFE">
      <w:pPr>
        <w:pStyle w:val="StandardWeb"/>
      </w:pPr>
      <w:r>
        <w:t>(2) </w:t>
      </w:r>
      <w:r w:rsidRPr="009D226A">
        <w:rPr>
          <w:sz w:val="12"/>
          <w:szCs w:val="12"/>
        </w:rPr>
        <w:t>1</w:t>
      </w:r>
      <w:r w:rsidRPr="009D226A">
        <w:t>Der Beitrag zur betrieblichen Altersversorgung (Pflichtversicherung) ist vom zusatz</w:t>
      </w:r>
      <w:r>
        <w:softHyphen/>
      </w:r>
      <w:r w:rsidRPr="009D226A">
        <w:t>versorgungspflichtigen Arbeitsentgelt jeweils mit dem Beitragssatz zu berechnen, den die kirchlichen Dienstgeber als Pflichtbeitrag im Abrechnungsverband II der Bayerisc</w:t>
      </w:r>
      <w:r>
        <w:t>hen Versorgungskammer, Zusatzversor</w:t>
      </w:r>
      <w:r w:rsidRPr="009D226A">
        <w:t xml:space="preserve">gungskasse der bayerischen Gemeinden (BVK Zusatzversorgung), abzuführen hätten. </w:t>
      </w:r>
      <w:r w:rsidRPr="009D226A">
        <w:rPr>
          <w:sz w:val="12"/>
          <w:szCs w:val="12"/>
        </w:rPr>
        <w:t>2</w:t>
      </w:r>
      <w:r w:rsidRPr="009D226A">
        <w:t xml:space="preserve">Für die Aufteilung darüberhinausgehender Beiträge gilt </w:t>
      </w:r>
      <w:hyperlink r:id="rId104" w:history="1">
        <w:r w:rsidRPr="009D226A">
          <w:rPr>
            <w:rStyle w:val="Hyperlink"/>
          </w:rPr>
          <w:t>§ 15a der Versorgungsordnung A ABD Teil D, 10 a.</w:t>
        </w:r>
      </w:hyperlink>
      <w:r>
        <w:t xml:space="preserve"> sinngemäß.</w:t>
      </w:r>
    </w:p>
    <w:p w:rsidR="00BE1EFE" w:rsidRDefault="00BE1EFE">
      <w:pPr>
        <w:pStyle w:val="StandardWeb"/>
      </w:pPr>
    </w:p>
    <w:p w:rsidR="00BE1EFE" w:rsidRDefault="00BE1EFE">
      <w:pPr>
        <w:pStyle w:val="StandardWeb"/>
      </w:pPr>
      <w:r>
        <w:rPr>
          <w:sz w:val="12"/>
          <w:szCs w:val="12"/>
        </w:rPr>
        <w:t>Protokollnotiz:</w:t>
      </w:r>
    </w:p>
    <w:p w:rsidR="00BE1EFE" w:rsidRDefault="00BE1EFE">
      <w:pPr>
        <w:pStyle w:val="StandardWeb"/>
      </w:pPr>
      <w:r>
        <w:rPr>
          <w:sz w:val="12"/>
          <w:szCs w:val="12"/>
        </w:rPr>
        <w:t xml:space="preserve">1Der Arbeitgeber ist verpflichtet, die Versicherung der/des Beschäftigten zum Zwecke einer betrieblichen Altersversorgung gemäß den Regelungen des </w:t>
      </w:r>
      <w:hyperlink r:id="rId105" w:history="1">
        <w:r w:rsidRPr="002D1F1D">
          <w:rPr>
            <w:rStyle w:val="Hyperlink"/>
            <w:sz w:val="12"/>
            <w:szCs w:val="12"/>
          </w:rPr>
          <w:t>§ 25</w:t>
        </w:r>
      </w:hyperlink>
      <w:r>
        <w:rPr>
          <w:sz w:val="12"/>
          <w:szCs w:val="12"/>
        </w:rPr>
        <w:t xml:space="preserve">, </w:t>
      </w:r>
      <w:hyperlink r:id="rId106" w:history="1">
        <w:r w:rsidRPr="002D1F1D">
          <w:rPr>
            <w:rStyle w:val="Hyperlink"/>
            <w:sz w:val="12"/>
            <w:szCs w:val="12"/>
          </w:rPr>
          <w:t>§ 25a</w:t>
        </w:r>
      </w:hyperlink>
      <w:r>
        <w:rPr>
          <w:sz w:val="12"/>
          <w:szCs w:val="12"/>
        </w:rPr>
        <w:t xml:space="preserve"> oder § 25b zu veranlassen. 2Sofern der Arbeitgeber nicht Mitglied der Zusatzversorgungskasse der bayerischen Gemeinden oder Mitglied/Beteiligter einer anderen rechtsfähigen Versorgungseinrichtung im Sinne des </w:t>
      </w:r>
      <w:hyperlink r:id="rId107" w:tgtFrame="_blank" w:history="1">
        <w:r>
          <w:rPr>
            <w:rStyle w:val="Hyperlink"/>
            <w:sz w:val="12"/>
            <w:szCs w:val="12"/>
          </w:rPr>
          <w:t>§ 1 b Absatz 3 BetrAVG</w:t>
        </w:r>
      </w:hyperlink>
      <w:r>
        <w:rPr>
          <w:sz w:val="12"/>
          <w:szCs w:val="12"/>
        </w:rPr>
        <w:t xml:space="preserve"> ist oder er eine derartige Mitgliedschaft/Beteiligung nicht erlangt, ist </w:t>
      </w:r>
      <w:hyperlink r:id="rId108" w:history="1">
        <w:r w:rsidRPr="002D1F1D">
          <w:rPr>
            <w:rStyle w:val="Hyperlink"/>
            <w:sz w:val="12"/>
            <w:szCs w:val="12"/>
          </w:rPr>
          <w:t>§ 25a</w:t>
        </w:r>
      </w:hyperlink>
      <w:r>
        <w:rPr>
          <w:sz w:val="12"/>
          <w:szCs w:val="12"/>
        </w:rPr>
        <w:t xml:space="preserve"> anzuwenden.</w:t>
      </w:r>
    </w:p>
    <w:p w:rsidR="00BE1EFE" w:rsidRDefault="00BE1EFE">
      <w:pPr>
        <w:pStyle w:val="berschrift6"/>
      </w:pPr>
      <w:bookmarkStart w:id="43" w:name="_Toc523925714"/>
      <w:r>
        <w:t>§ 25c Betriebliche Altersversorgung durch Entgeltumwandlung</w:t>
      </w:r>
      <w:bookmarkEnd w:id="43"/>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rPr>
          <w:vertAlign w:val="superscript"/>
        </w:rPr>
      </w:pPr>
      <w:r>
        <w:rPr>
          <w:rStyle w:val="kleinschrift"/>
        </w:rPr>
        <w:t>1</w:t>
      </w:r>
      <w:r>
        <w:t xml:space="preserve">Die/Der Beschäftigte kann vom Arbeitgeber verlangen, dass Teile ihrer/seiner künftigen Entgeltansprüche durch Entgeltumwandlung für ihre/seine betriebliche Altersversorgung verwendet werden. </w:t>
      </w:r>
      <w:r>
        <w:rPr>
          <w:rStyle w:val="kleinschrift"/>
        </w:rPr>
        <w:t>2</w:t>
      </w:r>
      <w:r>
        <w:t xml:space="preserve">Das Nähere regelt die </w:t>
      </w:r>
      <w:hyperlink r:id="rId109" w:history="1">
        <w:r w:rsidRPr="002D1F1D">
          <w:rPr>
            <w:rStyle w:val="Hyperlink"/>
          </w:rPr>
          <w:t>Versorgungsordnung C</w:t>
        </w:r>
      </w:hyperlink>
      <w:r>
        <w:t>.</w:t>
      </w:r>
      <w:r>
        <w:rPr>
          <w:vertAlign w:val="superscript"/>
        </w:rPr>
        <w:t>1</w:t>
      </w:r>
    </w:p>
    <w:p w:rsidR="00BE1EFE" w:rsidRDefault="00BE1EFE">
      <w:pPr>
        <w:pStyle w:val="StandardWeb"/>
        <w:rPr>
          <w:sz w:val="12"/>
          <w:szCs w:val="12"/>
        </w:rPr>
      </w:pPr>
      <w:r>
        <w:rPr>
          <w:sz w:val="12"/>
          <w:szCs w:val="12"/>
          <w:vertAlign w:val="superscript"/>
        </w:rPr>
        <w:t>1</w:t>
      </w:r>
      <w:r>
        <w:rPr>
          <w:sz w:val="12"/>
          <w:szCs w:val="12"/>
        </w:rPr>
        <w:t xml:space="preserve"> </w:t>
      </w:r>
      <w:hyperlink r:id="rId110" w:history="1">
        <w:r w:rsidRPr="002D1F1D">
          <w:rPr>
            <w:rStyle w:val="Hyperlink"/>
            <w:sz w:val="12"/>
            <w:szCs w:val="12"/>
          </w:rPr>
          <w:t>Versorgungsordnung C</w:t>
        </w:r>
      </w:hyperlink>
      <w:r>
        <w:rPr>
          <w:sz w:val="12"/>
          <w:szCs w:val="12"/>
        </w:rPr>
        <w:t xml:space="preserve"> abgedruckt im Teil D.</w:t>
      </w:r>
    </w:p>
    <w:p w:rsidR="00BE1EFE" w:rsidRDefault="00BE1EFE" w:rsidP="006854AD">
      <w:pPr>
        <w:pStyle w:val="berschrift5"/>
        <w:spacing w:before="0"/>
      </w:pPr>
      <w:r>
        <w:rPr>
          <w:sz w:val="12"/>
          <w:szCs w:val="12"/>
        </w:rPr>
        <w:br w:type="page"/>
      </w:r>
      <w:bookmarkStart w:id="44" w:name="_Toc523925715"/>
      <w:r>
        <w:lastRenderedPageBreak/>
        <w:t>Abschnitt IV: Urlaub und Arbeitsbefreiung (§§ 26-29)</w:t>
      </w:r>
      <w:bookmarkEnd w:id="44"/>
    </w:p>
    <w:p w:rsidR="00BE1EFE" w:rsidRDefault="00BE1EFE">
      <w:pPr>
        <w:pStyle w:val="berschrift6"/>
      </w:pPr>
      <w:bookmarkStart w:id="45" w:name="_Toc523925716"/>
      <w:r>
        <w:t>§ 26 Erholungsurlaub</w:t>
      </w:r>
      <w:bookmarkEnd w:id="45"/>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haben in jedem Kalenderjahr Anspruch auf Erholungsurlaub unter Fortzahlung des Entgelts </w:t>
      </w:r>
      <w:hyperlink r:id="rId111" w:history="1">
        <w:r w:rsidRPr="002D1F1D">
          <w:rPr>
            <w:rStyle w:val="Hyperlink"/>
          </w:rPr>
          <w:t>(§ 21</w:t>
        </w:r>
      </w:hyperlink>
      <w:r>
        <w:t xml:space="preserve">). </w:t>
      </w:r>
      <w:r>
        <w:rPr>
          <w:rStyle w:val="kleinschrift"/>
        </w:rPr>
        <w:t>2</w:t>
      </w:r>
      <w:r>
        <w:t>Bei Verteilung der wöchentlichen Arbeitszeit auf fünf Tage in der Kalenderwoche beträgt der Urlaubsanspruch in jedem Kalenderjahr 30 Arbeitstage.</w:t>
      </w:r>
      <w:r>
        <w:rPr>
          <w:rStyle w:val="kleinschrift"/>
        </w:rPr>
        <w:t> 3</w:t>
      </w:r>
      <w:r>
        <w:t xml:space="preserve">Bei einer anderen Verteilung der wöchentlichen Arbeitszeit als auf fünf Tage in der Woche erhöht oder vermindert sich </w:t>
      </w:r>
      <w:proofErr w:type="gramStart"/>
      <w:r>
        <w:t>der</w:t>
      </w:r>
      <w:proofErr w:type="gramEnd"/>
      <w:r>
        <w:t xml:space="preserve"> Urlaubsanspruch entsprechend. </w:t>
      </w:r>
      <w:r>
        <w:rPr>
          <w:rStyle w:val="kleinschrift"/>
        </w:rPr>
        <w:t>4</w:t>
      </w:r>
      <w:r>
        <w:t xml:space="preserve">Verbleibt bei der Berechnung des Urlaubs ein Bruchteil, der mindestens einen halben Urlaubstag ergibt, wird er auf einen vollen Urlaubstag aufgerundet; Bruchteile von weniger als einem halben Urlaubstag bleiben unberücksichtigt. </w:t>
      </w:r>
      <w:r>
        <w:rPr>
          <w:rStyle w:val="kleinschrift"/>
        </w:rPr>
        <w:t>5</w:t>
      </w:r>
      <w:r>
        <w:t>Der Erholungsurlaub muss im laufenden Kalenderjahr gewährt und kann auch in Teilen genommen werden.</w:t>
      </w:r>
    </w:p>
    <w:p w:rsidR="00BE1EFE" w:rsidRDefault="00BE1EFE">
      <w:pPr>
        <w:pStyle w:val="StandardWeb"/>
        <w:rPr>
          <w:sz w:val="12"/>
          <w:szCs w:val="12"/>
        </w:rPr>
      </w:pPr>
      <w:r w:rsidRPr="009C6551">
        <w:rPr>
          <w:rStyle w:val="kleinschrift1"/>
        </w:rPr>
        <w:t>Anmerkung zu Absatz 1 Satz 5</w:t>
      </w:r>
    </w:p>
    <w:p w:rsidR="00BE1EFE" w:rsidRPr="000B1AF8" w:rsidRDefault="00BE1EFE">
      <w:pPr>
        <w:pStyle w:val="StandardWeb"/>
      </w:pPr>
      <w:r w:rsidRPr="009C6551">
        <w:rPr>
          <w:rStyle w:val="kleinschrift1"/>
        </w:rPr>
        <w:t>Der Urlaub soll grundsätzlich zusammenhängend gewährt werden; dabei soll ein Urlaubsteil von zwei Wochen Dauer angestrebt werden.</w:t>
      </w:r>
    </w:p>
    <w:p w:rsidR="00BE1EFE" w:rsidRPr="000B1AF8" w:rsidRDefault="00BE1EFE">
      <w:pPr>
        <w:pStyle w:val="StandardWeb"/>
      </w:pPr>
    </w:p>
    <w:p w:rsidR="00BE1EFE" w:rsidRDefault="00BE1EFE">
      <w:pPr>
        <w:pStyle w:val="StandardWeb"/>
      </w:pPr>
      <w:r>
        <w:t>(2) Im Übrigen gilt das Bundesurlaubsgesetz mit folgenden Maßgaben:</w:t>
      </w:r>
    </w:p>
    <w:p w:rsidR="00BE1EFE" w:rsidRDefault="00BE1EFE">
      <w:pPr>
        <w:pStyle w:val="StandardWeb"/>
      </w:pPr>
      <w:r>
        <w:t>a) </w:t>
      </w:r>
      <w:r>
        <w:rPr>
          <w:rStyle w:val="kleinschrift"/>
        </w:rPr>
        <w:t>1</w:t>
      </w:r>
      <w:r>
        <w:t xml:space="preserve">Im Falle der Übertragung muss der Erholungsurlaub in den ersten drei Monaten des folgenden Kalenderjahres angetreten werden. </w:t>
      </w:r>
      <w:r>
        <w:rPr>
          <w:rStyle w:val="kleinschrift"/>
        </w:rPr>
        <w:t>2</w:t>
      </w:r>
      <w:r>
        <w:t>Kann der Erholungsurlaub wegen Arbeitsunfähigkeit oder aus betrieblichen/dienstlichen Gründen nicht bis zum 31. März angetreten werden, ist er bis zum 31. Mai anzutreten.</w:t>
      </w:r>
    </w:p>
    <w:p w:rsidR="00BE1EFE" w:rsidRDefault="00BE1EFE">
      <w:pPr>
        <w:pStyle w:val="StandardWeb"/>
      </w:pPr>
      <w:r>
        <w:t xml:space="preserve">b) Beginnt oder endet das Arbeitsverhältnis im Laufe eines Jahres, erhält die/der Beschäftigte als Erholungsurlaub für jeden vollen Monat des Arbeitsverhältnisses ein Zwölftel des Urlaubsanspruchs nach Absatz 1; </w:t>
      </w:r>
      <w:hyperlink r:id="rId112" w:tgtFrame="_blank" w:history="1">
        <w:r>
          <w:rPr>
            <w:rStyle w:val="Hyperlink"/>
          </w:rPr>
          <w:t>§ 5 BUrlG</w:t>
        </w:r>
      </w:hyperlink>
      <w:r>
        <w:t xml:space="preserve"> bleibt unberührt.</w:t>
      </w:r>
    </w:p>
    <w:p w:rsidR="00BE1EFE" w:rsidRDefault="00BE1EFE">
      <w:pPr>
        <w:pStyle w:val="StandardWeb"/>
      </w:pPr>
      <w:r>
        <w:t>c) Ruht das Arbeitsverhältnis, so vermindert sich die Dauer des Erholungsurlaubs einschließlich eines etwaigen Zusatzurlaubs für jeden vollen Kalendermonat um ein Zwölftel.</w:t>
      </w:r>
    </w:p>
    <w:p w:rsidR="00BE1EFE" w:rsidRDefault="00BE1EFE">
      <w:pPr>
        <w:pStyle w:val="StandardWeb"/>
      </w:pPr>
      <w:r>
        <w:t xml:space="preserve">d) Das nach Absatz 1 Satz 1 fortzuzahlende Entgelt wird zu dem in </w:t>
      </w:r>
      <w:hyperlink r:id="rId113" w:history="1">
        <w:r w:rsidRPr="002D1F1D">
          <w:rPr>
            <w:rStyle w:val="Hyperlink"/>
          </w:rPr>
          <w:t>§ 24</w:t>
        </w:r>
      </w:hyperlink>
      <w:r>
        <w:t xml:space="preserve"> genannten Zeitpunkt gezahlt.</w:t>
      </w:r>
    </w:p>
    <w:p w:rsidR="00BE1EFE" w:rsidRDefault="00BE1EFE" w:rsidP="002019A9">
      <w:pPr>
        <w:pStyle w:val="berschrift6"/>
        <w:rPr>
          <w:lang w:eastAsia="x-none"/>
        </w:rPr>
      </w:pPr>
      <w:bookmarkStart w:id="46" w:name="_Toc523925717"/>
      <w:r>
        <w:t>§ 26a Übergangsvorschriften zum Erholungsurlaub</w:t>
      </w:r>
      <w:bookmarkEnd w:id="46"/>
    </w:p>
    <w:p w:rsidR="00BE1EFE" w:rsidRPr="00B76821" w:rsidRDefault="00BE1EFE" w:rsidP="00B76821">
      <w:pPr>
        <w:pStyle w:val="h7"/>
        <w:keepNext w:val="0"/>
        <w:spacing w:before="0" w:after="0"/>
        <w:jc w:val="left"/>
        <w:outlineLvl w:val="5"/>
        <w:rPr>
          <w:rStyle w:val="Hervorhebung"/>
          <w:iCs/>
          <w:sz w:val="2"/>
        </w:rPr>
      </w:pPr>
    </w:p>
    <w:p w:rsidR="00BE1EFE" w:rsidRPr="002019A9" w:rsidRDefault="00BE1EFE" w:rsidP="002019A9">
      <w:pPr>
        <w:pStyle w:val="StandardWeb"/>
      </w:pPr>
      <w:r>
        <w:rPr>
          <w:rStyle w:val="Hervorhebung"/>
          <w:iCs/>
        </w:rPr>
        <w:t>(aufgehoben zum 01.01.2014 durch Beschluss vom 04.06.2014)</w:t>
      </w:r>
    </w:p>
    <w:p w:rsidR="00BE1EFE" w:rsidRDefault="00BE1EFE">
      <w:pPr>
        <w:pStyle w:val="berschrift6"/>
      </w:pPr>
      <w:bookmarkStart w:id="47" w:name="_Toc523925718"/>
      <w:r>
        <w:t>§ 27 Zusatzurlaub</w:t>
      </w:r>
      <w:bookmarkEnd w:id="47"/>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Beschäftigte, die ständig Wechselschichtarbeit nach </w:t>
      </w:r>
      <w:hyperlink r:id="rId114" w:history="1">
        <w:r w:rsidRPr="002D1F1D">
          <w:rPr>
            <w:rStyle w:val="Hyperlink"/>
          </w:rPr>
          <w:t xml:space="preserve">§ 7 </w:t>
        </w:r>
        <w:r>
          <w:rPr>
            <w:rStyle w:val="Hyperlink"/>
          </w:rPr>
          <w:t>Absatz</w:t>
        </w:r>
        <w:r w:rsidRPr="002D1F1D">
          <w:rPr>
            <w:rStyle w:val="Hyperlink"/>
          </w:rPr>
          <w:t xml:space="preserve"> 1</w:t>
        </w:r>
      </w:hyperlink>
      <w:r>
        <w:t xml:space="preserve"> oder ständig Schichtarbeit nach </w:t>
      </w:r>
      <w:hyperlink r:id="rId115" w:history="1">
        <w:r w:rsidRPr="002D1F1D">
          <w:rPr>
            <w:rStyle w:val="Hyperlink"/>
          </w:rPr>
          <w:t xml:space="preserve">§ 7 </w:t>
        </w:r>
        <w:r>
          <w:rPr>
            <w:rStyle w:val="Hyperlink"/>
          </w:rPr>
          <w:t>Absatz</w:t>
        </w:r>
        <w:r w:rsidRPr="002D1F1D">
          <w:rPr>
            <w:rStyle w:val="Hyperlink"/>
          </w:rPr>
          <w:t xml:space="preserve"> 2</w:t>
        </w:r>
      </w:hyperlink>
      <w:r>
        <w:t xml:space="preserve"> leisten und denen die Zulage nach </w:t>
      </w:r>
      <w:hyperlink r:id="rId116" w:history="1">
        <w:r w:rsidRPr="002D1F1D">
          <w:rPr>
            <w:rStyle w:val="Hyperlink"/>
          </w:rPr>
          <w:t xml:space="preserve">§ 8 </w:t>
        </w:r>
        <w:r>
          <w:rPr>
            <w:rStyle w:val="Hyperlink"/>
          </w:rPr>
          <w:t>Absatz</w:t>
        </w:r>
        <w:r w:rsidRPr="002D1F1D">
          <w:rPr>
            <w:rStyle w:val="Hyperlink"/>
          </w:rPr>
          <w:t xml:space="preserve"> 5 Satz 1</w:t>
        </w:r>
      </w:hyperlink>
      <w:r>
        <w:t xml:space="preserve"> oder </w:t>
      </w:r>
      <w:hyperlink r:id="rId117" w:history="1">
        <w:r>
          <w:rPr>
            <w:rStyle w:val="Hyperlink"/>
          </w:rPr>
          <w:t>Absatz</w:t>
        </w:r>
        <w:r w:rsidRPr="002D1F1D">
          <w:rPr>
            <w:rStyle w:val="Hyperlink"/>
          </w:rPr>
          <w:t xml:space="preserve"> 6 Satz 1</w:t>
        </w:r>
      </w:hyperlink>
      <w:r>
        <w:t xml:space="preserve"> zusteht, erhalten</w:t>
      </w:r>
    </w:p>
    <w:p w:rsidR="00BE1EFE" w:rsidRDefault="00BE1EFE">
      <w:pPr>
        <w:pStyle w:val="StandardWeb"/>
      </w:pPr>
      <w:r>
        <w:t>a) bei Wechselschichtarbeit für je zwei zusammenhängende Monate und</w:t>
      </w:r>
    </w:p>
    <w:p w:rsidR="00BE1EFE" w:rsidRDefault="00BE1EFE">
      <w:pPr>
        <w:pStyle w:val="StandardWeb"/>
      </w:pPr>
      <w:r>
        <w:t>b) bei Schichtarbeit für je vier zusammenhängende Monate</w:t>
      </w:r>
    </w:p>
    <w:p w:rsidR="00BE1EFE" w:rsidRPr="000B1AF8" w:rsidRDefault="00BE1EFE">
      <w:pPr>
        <w:pStyle w:val="StandardWeb"/>
      </w:pPr>
      <w:r>
        <w:t>einen Arbeitstag Zusatzurlaub.</w:t>
      </w:r>
    </w:p>
    <w:p w:rsidR="00BE1EFE" w:rsidRPr="000B1AF8" w:rsidRDefault="00BE1EFE">
      <w:pPr>
        <w:pStyle w:val="StandardWeb"/>
      </w:pPr>
    </w:p>
    <w:p w:rsidR="00BE1EFE" w:rsidRDefault="00BE1EFE">
      <w:pPr>
        <w:pStyle w:val="StandardWeb"/>
      </w:pPr>
      <w:r>
        <w:t xml:space="preserve">(2) Im Falle nicht ständiger Wechselschicht- oder Schichtarbeit (z. B. ständige Vertreter) erhalten Beschäftigte, denen die Zulage nach </w:t>
      </w:r>
      <w:hyperlink r:id="rId118" w:history="1">
        <w:r w:rsidRPr="002D1F1D">
          <w:rPr>
            <w:rStyle w:val="Hyperlink"/>
          </w:rPr>
          <w:t xml:space="preserve">§ 8 </w:t>
        </w:r>
        <w:r>
          <w:rPr>
            <w:rStyle w:val="Hyperlink"/>
          </w:rPr>
          <w:t>Absatz</w:t>
        </w:r>
        <w:r w:rsidRPr="002D1F1D">
          <w:rPr>
            <w:rStyle w:val="Hyperlink"/>
          </w:rPr>
          <w:t xml:space="preserve"> 5 Satz 2</w:t>
        </w:r>
      </w:hyperlink>
      <w:r>
        <w:t xml:space="preserve"> oder </w:t>
      </w:r>
      <w:hyperlink r:id="rId119" w:history="1">
        <w:r>
          <w:rPr>
            <w:rStyle w:val="Hyperlink"/>
          </w:rPr>
          <w:t>Absatz</w:t>
        </w:r>
        <w:r w:rsidRPr="002D1F1D">
          <w:rPr>
            <w:rStyle w:val="Hyperlink"/>
          </w:rPr>
          <w:t xml:space="preserve"> 6 Satz 2</w:t>
        </w:r>
      </w:hyperlink>
      <w:r>
        <w:t xml:space="preserve"> zusteht, einen Arbeitstag Zusatzurlaub für</w:t>
      </w:r>
    </w:p>
    <w:p w:rsidR="00BE1EFE" w:rsidRDefault="00BE1EFE">
      <w:pPr>
        <w:pStyle w:val="StandardWeb"/>
      </w:pPr>
      <w:r>
        <w:t>a) je drei Monate im Jahr, in denen sie überwiegend Wechselschichtarbeit geleistet haben, und</w:t>
      </w:r>
    </w:p>
    <w:p w:rsidR="00BE1EFE" w:rsidRDefault="00BE1EFE">
      <w:pPr>
        <w:pStyle w:val="StandardWeb"/>
      </w:pPr>
      <w:r>
        <w:t>b) je fünf Monate im Jahr, in denen sie überwiegend Schichtarbeit geleistet haben.</w:t>
      </w:r>
    </w:p>
    <w:p w:rsidR="00BE1EFE" w:rsidRDefault="00BE1EFE">
      <w:pPr>
        <w:pStyle w:val="StandardWeb"/>
      </w:pPr>
    </w:p>
    <w:p w:rsidR="00BE1EFE" w:rsidRDefault="00BE1EFE">
      <w:pPr>
        <w:pStyle w:val="StandardWeb"/>
        <w:rPr>
          <w:sz w:val="12"/>
          <w:szCs w:val="12"/>
        </w:rPr>
      </w:pPr>
      <w:r w:rsidRPr="009C6551">
        <w:rPr>
          <w:rStyle w:val="kleinschrift1"/>
        </w:rPr>
        <w:t>Anmerkung zu den Absätzen 1 und 2:</w:t>
      </w:r>
    </w:p>
    <w:p w:rsidR="00BE1EFE" w:rsidRPr="002176D3" w:rsidRDefault="00BE1EFE">
      <w:pPr>
        <w:pStyle w:val="StandardWeb"/>
        <w:rPr>
          <w:sz w:val="12"/>
          <w:szCs w:val="12"/>
        </w:rPr>
      </w:pPr>
      <w:r>
        <w:rPr>
          <w:rStyle w:val="kleinschrift"/>
          <w:szCs w:val="12"/>
        </w:rPr>
        <w:lastRenderedPageBreak/>
        <w:t>1</w:t>
      </w:r>
      <w:r w:rsidRPr="009C6551">
        <w:rPr>
          <w:rStyle w:val="kleinschrift1"/>
        </w:rPr>
        <w:t xml:space="preserve">Der Anspruch auf Zusatzurlaub bemisst sich nach der abgeleisteten Schicht- oder Wechselschichtarbeit und entsteht im laufenden Jahr, sobald die Voraussetzungen nach Absatz 1 oder 2 erfüllt sind. </w:t>
      </w:r>
      <w:r>
        <w:rPr>
          <w:rStyle w:val="kleinschrift"/>
          <w:szCs w:val="12"/>
        </w:rPr>
        <w:t>2</w:t>
      </w:r>
      <w:r w:rsidRPr="009C6551">
        <w:rPr>
          <w:rStyle w:val="kleinschrift1"/>
        </w:rPr>
        <w:t xml:space="preserve">Für die Feststellung, ob ständige Wechselschichtarbeit oder ständige Schichtarbeit vorliegt, ist eine Unterbrechung durch Arbeitsbefreiung, Freizeitausgleich, bezahlten Urlaub oder Arbeitsunfähigkeit in den Grenzen des </w:t>
      </w:r>
      <w:hyperlink r:id="rId120" w:history="1">
        <w:r w:rsidRPr="002D1F1D">
          <w:rPr>
            <w:rStyle w:val="Hyperlink"/>
            <w:sz w:val="12"/>
            <w:szCs w:val="12"/>
          </w:rPr>
          <w:t>§ 22</w:t>
        </w:r>
      </w:hyperlink>
      <w:r w:rsidRPr="009C6551">
        <w:rPr>
          <w:rStyle w:val="kleinschrift1"/>
        </w:rPr>
        <w:t xml:space="preserve"> unschädlich.</w:t>
      </w:r>
    </w:p>
    <w:p w:rsidR="00BE1EFE" w:rsidRDefault="00BE1EFE">
      <w:pPr>
        <w:pStyle w:val="StandardWeb"/>
      </w:pPr>
    </w:p>
    <w:p w:rsidR="00BE1EFE" w:rsidRDefault="00BE1EFE">
      <w:pPr>
        <w:pStyle w:val="StandardWeb"/>
      </w:pPr>
      <w:r>
        <w:t xml:space="preserve">(3) </w:t>
      </w:r>
      <w:r w:rsidRPr="00D645FF">
        <w:rPr>
          <w:i/>
        </w:rPr>
        <w:t>(frei)</w:t>
      </w:r>
    </w:p>
    <w:p w:rsidR="00BE1EFE" w:rsidRDefault="00BE1EFE">
      <w:pPr>
        <w:pStyle w:val="StandardWeb"/>
      </w:pPr>
    </w:p>
    <w:p w:rsidR="00BE1EFE" w:rsidRDefault="00BE1EFE">
      <w:pPr>
        <w:pStyle w:val="StandardWeb"/>
      </w:pPr>
      <w:r>
        <w:t>(4) </w:t>
      </w:r>
      <w:r>
        <w:rPr>
          <w:rStyle w:val="kleinschrift"/>
        </w:rPr>
        <w:t>1</w:t>
      </w:r>
      <w:r>
        <w:t xml:space="preserve">Zusatzurlaub nach diesen und sonstigen Regelungen mit Ausnahme von </w:t>
      </w:r>
      <w:hyperlink r:id="rId121" w:tgtFrame="_blank" w:history="1">
        <w:r>
          <w:rPr>
            <w:rStyle w:val="Hyperlink"/>
          </w:rPr>
          <w:t>§ 125 SGB IX</w:t>
        </w:r>
      </w:hyperlink>
      <w:r>
        <w:t xml:space="preserve"> wird nur bis zu insgesamt sechs Arbeitstagen im Kalenderjahr gewährt. </w:t>
      </w:r>
      <w:r>
        <w:rPr>
          <w:rStyle w:val="kleinschrift"/>
        </w:rPr>
        <w:t>2</w:t>
      </w:r>
      <w:r>
        <w:t xml:space="preserve">Erholungsurlaub und Zusatzurlaub (Gesamturlaub) dürfen im Kalenderjahr zusammen 35 Arbeitstage nicht überschreiten. </w:t>
      </w:r>
      <w:r>
        <w:rPr>
          <w:rStyle w:val="kleinschrift"/>
        </w:rPr>
        <w:t>3</w:t>
      </w:r>
      <w:r>
        <w:t xml:space="preserve">Satz 2 ist für Zusatzurlaub nach den Absätzen 1 und 2 hierzu nicht anzuwenden. </w:t>
      </w:r>
      <w:r>
        <w:rPr>
          <w:rStyle w:val="kleinschrift"/>
        </w:rPr>
        <w:t>4</w:t>
      </w:r>
      <w:r>
        <w:t>Bei Beschäftigten, die das 50. Lebensjahr vollendet haben, gilt abweichend von Satz 2 eine Höchstgrenze von 36 Arbeitstagen; maßgebend für die Berechnung der Urlaubsdauer ist das Lebensjahr, das im Laufe des Kalenderjahres vollendet wird.</w:t>
      </w:r>
    </w:p>
    <w:p w:rsidR="00BE1EFE" w:rsidRDefault="00BE1EFE">
      <w:pPr>
        <w:pStyle w:val="StandardWeb"/>
      </w:pPr>
    </w:p>
    <w:p w:rsidR="00BE1EFE" w:rsidRDefault="00BE1EFE">
      <w:pPr>
        <w:pStyle w:val="StandardWeb"/>
      </w:pPr>
      <w:r>
        <w:t xml:space="preserve">(5) Im Übrigen gilt </w:t>
      </w:r>
      <w:hyperlink r:id="rId122" w:history="1">
        <w:r w:rsidRPr="002D1F1D">
          <w:rPr>
            <w:rStyle w:val="Hyperlink"/>
          </w:rPr>
          <w:t>§ 26</w:t>
        </w:r>
      </w:hyperlink>
      <w:r>
        <w:t xml:space="preserve"> mit Ausnahme von Absatz 2 Buchstabe b entsprechend.</w:t>
      </w:r>
    </w:p>
    <w:p w:rsidR="00BE1EFE" w:rsidRDefault="00BE1EFE">
      <w:pPr>
        <w:pStyle w:val="berschrift6"/>
      </w:pPr>
      <w:bookmarkStart w:id="48" w:name="_Toc523925719"/>
      <w:r>
        <w:t>§ 28 Sonderurlaub</w:t>
      </w:r>
      <w:bookmarkEnd w:id="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Beschäftigte können bei Vorliegen eines wichtigen Grundes unter Verzicht auf die Fortzahlung des Entgelts Sonderurlaub erhalten.</w:t>
      </w:r>
    </w:p>
    <w:p w:rsidR="00BE1EFE" w:rsidRPr="000B1AF8" w:rsidRDefault="00BE1EFE">
      <w:pPr>
        <w:pStyle w:val="StandardWeb"/>
      </w:pPr>
    </w:p>
    <w:p w:rsidR="00BE1EFE" w:rsidRDefault="00BE1EFE">
      <w:pPr>
        <w:pStyle w:val="StandardWeb"/>
      </w:pPr>
      <w:r>
        <w:t>(2) </w:t>
      </w:r>
      <w:r>
        <w:rPr>
          <w:rStyle w:val="kleinschrift"/>
        </w:rPr>
        <w:t>1</w:t>
      </w:r>
      <w:r>
        <w:t>Beschäftigten soll auf Antrag Sonderurlaub ohne Fortzahlung der Bezüge gewährt werden, wenn sie</w:t>
      </w:r>
    </w:p>
    <w:p w:rsidR="00BE1EFE" w:rsidRDefault="00BE1EFE">
      <w:pPr>
        <w:pStyle w:val="StandardWeb"/>
      </w:pPr>
      <w:r>
        <w:t>a) mindestens ein Kind unter 14 Jahren oder</w:t>
      </w:r>
    </w:p>
    <w:p w:rsidR="00BE1EFE" w:rsidRDefault="00BE1EFE">
      <w:pPr>
        <w:pStyle w:val="StandardWeb"/>
      </w:pPr>
      <w:r>
        <w:t>b) einen nach ärztlichem Gutachten pflegebedürftigen sonstigen Angehörigen tatsächlich betreuen oder pflegen und dringende dienstliche bzw. betriebliche Belange nicht entgegenstehen.</w:t>
      </w:r>
    </w:p>
    <w:p w:rsidR="00BE1EFE" w:rsidRDefault="00BE1EFE">
      <w:pPr>
        <w:pStyle w:val="StandardWeb"/>
      </w:pPr>
      <w:r>
        <w:rPr>
          <w:rStyle w:val="kleinschrift"/>
        </w:rPr>
        <w:t>2</w:t>
      </w:r>
      <w:r>
        <w:t xml:space="preserve">Der Sonderurlaub ist auf bis zu fünf Jahre zu befristen. </w:t>
      </w:r>
      <w:r>
        <w:rPr>
          <w:rStyle w:val="kleinschrift"/>
        </w:rPr>
        <w:t>3</w:t>
      </w:r>
      <w:r>
        <w:t xml:space="preserve">Er kann verlängert werden; der Antrag ist spätestens sechs Monate vor Ablauf des Sonderurlaubs zu stellen. </w:t>
      </w:r>
      <w:r>
        <w:rPr>
          <w:rStyle w:val="kleinschrift"/>
        </w:rPr>
        <w:t>4</w:t>
      </w:r>
      <w:r>
        <w:t xml:space="preserve">Der Sonderurlaub kann längstens bis zu insgesamt 12 Jahren gewährt werden. </w:t>
      </w:r>
      <w:r>
        <w:rPr>
          <w:rStyle w:val="kleinschrift"/>
        </w:rPr>
        <w:t>5</w:t>
      </w:r>
      <w:r>
        <w:t xml:space="preserve">Elternzeiten werden auf den Sonderurlaub nicht angerechnet. </w:t>
      </w:r>
      <w:r>
        <w:rPr>
          <w:rStyle w:val="kleinschrift"/>
        </w:rPr>
        <w:t>6</w:t>
      </w:r>
      <w:r>
        <w:t>Der Sonderurlaub kann auch in zeitlichen Abständen genommen werden.</w:t>
      </w:r>
    </w:p>
    <w:p w:rsidR="00BE1EFE" w:rsidRDefault="00BE1EFE">
      <w:pPr>
        <w:pStyle w:val="StandardWeb"/>
        <w:rPr>
          <w:sz w:val="12"/>
          <w:szCs w:val="12"/>
        </w:rPr>
      </w:pPr>
      <w:r w:rsidRPr="009C6551">
        <w:rPr>
          <w:rStyle w:val="kleinschrift1"/>
        </w:rPr>
        <w:t xml:space="preserve">Hinweis zu Absatz 2 Buchstabe b: </w:t>
      </w:r>
    </w:p>
    <w:p w:rsidR="00BE1EFE" w:rsidRDefault="00BE1EFE">
      <w:pPr>
        <w:pStyle w:val="StandardWeb"/>
      </w:pPr>
      <w:r>
        <w:rPr>
          <w:rStyle w:val="kleinschrift"/>
          <w:szCs w:val="12"/>
        </w:rPr>
        <w:t>1</w:t>
      </w:r>
      <w:r w:rsidRPr="009C6551">
        <w:rPr>
          <w:rStyle w:val="kleinschrift1"/>
        </w:rPr>
        <w:t>Im Falle des Sonderurlaubs nach Absatz 2 Buchstabe b, kann die Dauer des Sonderurlaubs durch eine Befristung auf den Fortfall des Zweckes festgelegt werden.</w:t>
      </w:r>
      <w:r>
        <w:rPr>
          <w:rStyle w:val="kleinschrift"/>
          <w:szCs w:val="12"/>
        </w:rPr>
        <w:t xml:space="preserve"> 2</w:t>
      </w:r>
      <w:r w:rsidRPr="009C6551">
        <w:rPr>
          <w:rStyle w:val="kleinschrift1"/>
        </w:rPr>
        <w:t>Wird für die Dauer eines zweckbefristeten Sonderurlaubs nach Absatz 2 Buchstabe b eine Vertretungskraft eingestellt, liegt hierin ein sachlicher Grund für die Befristung eines Arbeitsverhältnisses.</w:t>
      </w:r>
      <w:r>
        <w:rPr>
          <w:rStyle w:val="kleinschrift"/>
          <w:szCs w:val="12"/>
        </w:rPr>
        <w:t xml:space="preserve"> 3</w:t>
      </w:r>
      <w:r w:rsidRPr="009C6551">
        <w:rPr>
          <w:rStyle w:val="kleinschrift1"/>
        </w:rPr>
        <w:t>Über die Dauer der Vertretung nach Satz 2 hinaus ist die Befristung für notwendige Zeiten einer Einarbeitung zulässig.</w:t>
      </w:r>
    </w:p>
    <w:p w:rsidR="00BE1EFE" w:rsidRDefault="00BE1EFE">
      <w:pPr>
        <w:pStyle w:val="StandardWeb"/>
      </w:pPr>
    </w:p>
    <w:p w:rsidR="00BE1EFE" w:rsidRDefault="00BE1EFE">
      <w:pPr>
        <w:pStyle w:val="StandardWeb"/>
      </w:pPr>
      <w:r>
        <w:t>(3) </w:t>
      </w:r>
      <w:r>
        <w:rPr>
          <w:rStyle w:val="kleinschrift"/>
        </w:rPr>
        <w:t>1</w:t>
      </w:r>
      <w:r>
        <w:t xml:space="preserve">Beschäftigte, die gemäß Absatz 2 beurlaubt sind, können den Sonderurlaub durch Elternzeit unterbrechen, wenn ihnen während des Sonderurlaubes gemäß </w:t>
      </w:r>
      <w:hyperlink r:id="rId123" w:tgtFrame="_blank" w:history="1">
        <w:r>
          <w:rPr>
            <w:rStyle w:val="Hyperlink"/>
          </w:rPr>
          <w:t>§ 15 Absatz 1 Satz 1</w:t>
        </w:r>
      </w:hyperlink>
      <w:r>
        <w:t xml:space="preserve"> Bundelterngeld- und Elternzeitgesetz Elternzeit zusteht. </w:t>
      </w:r>
      <w:r>
        <w:rPr>
          <w:rStyle w:val="kleinschrift"/>
        </w:rPr>
        <w:t>2</w:t>
      </w:r>
      <w:r>
        <w:t>Eine Unterbrechung des Sonder</w:t>
      </w:r>
      <w:r>
        <w:softHyphen/>
        <w:t xml:space="preserve">urlaubs nach Absatz 2 mit dem Ziel, während des Beschäftigungsverbotes nach </w:t>
      </w:r>
      <w:hyperlink r:id="rId124" w:history="1">
        <w:r w:rsidRPr="0071371F">
          <w:rPr>
            <w:rStyle w:val="Hyperlink"/>
          </w:rPr>
          <w:t>§ 3 Ab</w:t>
        </w:r>
        <w:r>
          <w:rPr>
            <w:rStyle w:val="Hyperlink"/>
          </w:rPr>
          <w:t>s</w:t>
        </w:r>
        <w:r w:rsidRPr="0071371F">
          <w:rPr>
            <w:rStyle w:val="Hyperlink"/>
          </w:rPr>
          <w:t>atz 1 und 2 Mutterschutzgesetz</w:t>
        </w:r>
      </w:hyperlink>
      <w:r>
        <w:t xml:space="preserve"> einen Zuschuss zum Mutterschaftsgeld zu erhalten, ist dagegen nicht möglich. </w:t>
      </w:r>
      <w:r>
        <w:rPr>
          <w:rStyle w:val="kleinschrift"/>
        </w:rPr>
        <w:t>3</w:t>
      </w:r>
      <w:r>
        <w:t xml:space="preserve">Die Wiederaufnahme der Beschäftigung erfolgt zu dem für das Ende des Sonderurlaubes vorgesehenen Termin, es sei denn, die Elternzeit überschreitet das vorgesehene Ende des beantragten Sonderurlaubes. </w:t>
      </w:r>
      <w:r>
        <w:rPr>
          <w:rStyle w:val="kleinschrift"/>
        </w:rPr>
        <w:t>4</w:t>
      </w:r>
      <w:r>
        <w:t>Auf die Wiederaufnahme der Beschäftigung am ursprünglichen Arbeitsplatz besteht kein Anspruch.</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rPr>
          <w:rStyle w:val="kleinschrift1"/>
        </w:rPr>
      </w:pPr>
      <w:r w:rsidRPr="009C6551">
        <w:rPr>
          <w:rStyle w:val="kleinschrift1"/>
        </w:rPr>
        <w:t>Ein Sonderurlaub darf – mit Ausnahme der in Absatz 3 geregelten Fälle – nicht unterbrochen werden für Zeiträume, in denen keine Arbeitsverpflichtung besteht.</w:t>
      </w:r>
    </w:p>
    <w:p w:rsidR="00BE1EFE" w:rsidRDefault="00BE1EFE">
      <w:pPr>
        <w:pStyle w:val="StandardWeb"/>
      </w:pPr>
    </w:p>
    <w:p w:rsidR="00BE1EFE" w:rsidRDefault="00BE1EFE">
      <w:pPr>
        <w:pStyle w:val="berschrift6"/>
      </w:pPr>
      <w:bookmarkStart w:id="49" w:name="_Toc523925720"/>
      <w:r>
        <w:lastRenderedPageBreak/>
        <w:t>§ 29 Arbeitsbefreiung</w:t>
      </w:r>
      <w:bookmarkEnd w:id="4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Als Fälle nach </w:t>
      </w:r>
      <w:hyperlink r:id="rId125" w:tgtFrame="_blank" w:history="1">
        <w:r>
          <w:rPr>
            <w:rStyle w:val="Hyperlink"/>
          </w:rPr>
          <w:t>§ 616 BGB</w:t>
        </w:r>
      </w:hyperlink>
      <w:r>
        <w:t xml:space="preserve">, in denen Beschäftigte unter Fortzahlung des Entgelts nach </w:t>
      </w:r>
      <w:hyperlink r:id="rId126" w:history="1">
        <w:r>
          <w:rPr>
            <w:rStyle w:val="Hyperlink"/>
          </w:rPr>
          <w:t>§ </w:t>
        </w:r>
        <w:r w:rsidRPr="002D1F1D">
          <w:rPr>
            <w:rStyle w:val="Hyperlink"/>
          </w:rPr>
          <w:t>21</w:t>
        </w:r>
      </w:hyperlink>
      <w:r>
        <w:t xml:space="preserve"> im nachstehend genannten Ausmaß von der Arbeit freigestellt werden, gelten nur die folgenden Anlässe:</w:t>
      </w:r>
    </w:p>
    <w:tbl>
      <w:tblPr>
        <w:tblW w:w="5000" w:type="pct"/>
        <w:tblCellMar>
          <w:left w:w="0" w:type="dxa"/>
          <w:right w:w="0" w:type="dxa"/>
        </w:tblCellMar>
        <w:tblLook w:val="04A0" w:firstRow="1" w:lastRow="0" w:firstColumn="1" w:lastColumn="0" w:noHBand="0" w:noVBand="1"/>
      </w:tblPr>
      <w:tblGrid>
        <w:gridCol w:w="281"/>
        <w:gridCol w:w="2079"/>
        <w:gridCol w:w="2439"/>
        <w:gridCol w:w="2108"/>
      </w:tblGrid>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a) Niederkunft der Ehefrau,</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1 Arbeitstag,</w:t>
            </w:r>
          </w:p>
        </w:tc>
      </w:tr>
      <w:tr w:rsidR="00BE1EFE" w:rsidTr="00D22DC2">
        <w:tc>
          <w:tcPr>
            <w:tcW w:w="2360" w:type="dxa"/>
            <w:gridSpan w:val="2"/>
            <w:tcMar>
              <w:top w:w="0" w:type="dxa"/>
              <w:left w:w="108" w:type="dxa"/>
              <w:bottom w:w="0" w:type="dxa"/>
              <w:right w:w="108" w:type="dxa"/>
            </w:tcMar>
            <w:hideMark/>
          </w:tcPr>
          <w:p w:rsidR="00BE1EFE" w:rsidRPr="000B1AF8" w:rsidRDefault="00BE1EFE">
            <w:pPr>
              <w:pStyle w:val="StandardWeb"/>
            </w:pPr>
            <w:r>
              <w:t>und</w:t>
            </w:r>
          </w:p>
        </w:tc>
        <w:tc>
          <w:tcPr>
            <w:tcW w:w="2439" w:type="dxa"/>
            <w:tcMar>
              <w:top w:w="0" w:type="dxa"/>
              <w:left w:w="108" w:type="dxa"/>
              <w:bottom w:w="0" w:type="dxa"/>
              <w:right w:w="108" w:type="dxa"/>
            </w:tcMar>
            <w:hideMark/>
          </w:tcPr>
          <w:p w:rsidR="00BE1EFE" w:rsidRDefault="00BE1EFE">
            <w:pPr>
              <w:rPr>
                <w:sz w:val="24"/>
              </w:rPr>
            </w:pPr>
            <w:r>
              <w:t> </w:t>
            </w:r>
          </w:p>
        </w:tc>
        <w:tc>
          <w:tcPr>
            <w:tcW w:w="2108" w:type="dxa"/>
            <w:tcMar>
              <w:top w:w="0" w:type="dxa"/>
              <w:left w:w="108" w:type="dxa"/>
              <w:bottom w:w="0" w:type="dxa"/>
              <w:right w:w="108" w:type="dxa"/>
            </w:tcMar>
            <w:hideMark/>
          </w:tcPr>
          <w:p w:rsidR="00BE1EFE" w:rsidRDefault="00BE1EFE">
            <w:pPr>
              <w:rPr>
                <w:sz w:val="24"/>
              </w:rPr>
            </w:pPr>
            <w:r>
              <w:t> </w:t>
            </w:r>
          </w:p>
        </w:tc>
      </w:tr>
      <w:tr w:rsidR="00BE1EFE" w:rsidTr="00D22DC2">
        <w:tc>
          <w:tcPr>
            <w:tcW w:w="4799" w:type="dxa"/>
            <w:gridSpan w:val="3"/>
            <w:tcMar>
              <w:top w:w="0" w:type="dxa"/>
              <w:left w:w="108" w:type="dxa"/>
              <w:bottom w:w="0" w:type="dxa"/>
              <w:right w:w="108" w:type="dxa"/>
            </w:tcMar>
            <w:hideMark/>
          </w:tcPr>
          <w:p w:rsidR="00BE1EFE" w:rsidRPr="000B1AF8" w:rsidRDefault="00BE1EFE" w:rsidP="000266B5">
            <w:pPr>
              <w:pStyle w:val="StandardWeb"/>
              <w:jc w:val="left"/>
            </w:pPr>
            <w:r>
              <w:t>wenn bereits ein Kind unter 12 Jahren oder eine pflege</w:t>
            </w:r>
            <w:r>
              <w:softHyphen/>
              <w:t>bedürftige Person in demselben Haushalt lebt, zusätzlich</w:t>
            </w:r>
          </w:p>
        </w:tc>
        <w:tc>
          <w:tcPr>
            <w:tcW w:w="2108"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b) Tod der Ehegattin/des Ehegatten, eines Kindes oder Elternteils</w:t>
            </w:r>
          </w:p>
        </w:tc>
        <w:tc>
          <w:tcPr>
            <w:tcW w:w="2108" w:type="dxa"/>
            <w:tcMar>
              <w:top w:w="0" w:type="dxa"/>
              <w:left w:w="108" w:type="dxa"/>
              <w:bottom w:w="0" w:type="dxa"/>
              <w:right w:w="108" w:type="dxa"/>
            </w:tcMar>
            <w:hideMark/>
          </w:tcPr>
          <w:p w:rsidR="00BE1EFE" w:rsidRDefault="00BE1EFE" w:rsidP="0084666A">
            <w:pPr>
              <w:pStyle w:val="StandardWeb"/>
              <w:spacing w:before="60"/>
              <w:jc w:val="right"/>
            </w:pPr>
          </w:p>
          <w:p w:rsidR="00BE1EFE" w:rsidRPr="000B1AF8" w:rsidRDefault="00BE1EFE" w:rsidP="0084666A">
            <w:pPr>
              <w:pStyle w:val="StandardWeb"/>
              <w:spacing w:before="60"/>
              <w:jc w:val="right"/>
            </w:pPr>
            <w:r>
              <w:t>2 Arbeitstage,</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c) Umzug aus dienstlichem oder betrieblichem Grund an einen anderen Ort</w:t>
            </w:r>
          </w:p>
        </w:tc>
        <w:tc>
          <w:tcPr>
            <w:tcW w:w="2108" w:type="dxa"/>
            <w:tcMar>
              <w:top w:w="0" w:type="dxa"/>
              <w:left w:w="108" w:type="dxa"/>
              <w:bottom w:w="0" w:type="dxa"/>
              <w:right w:w="108" w:type="dxa"/>
            </w:tcMar>
            <w:hideMark/>
          </w:tcPr>
          <w:p w:rsidR="00BE1EFE" w:rsidRDefault="00BE1EFE" w:rsidP="0084666A">
            <w:pPr>
              <w:pStyle w:val="StandardWeb"/>
              <w:spacing w:before="60"/>
              <w:jc w:val="right"/>
            </w:pPr>
          </w:p>
          <w:p w:rsidR="00BE1EFE" w:rsidRPr="000B1AF8" w:rsidRDefault="00BE1EFE" w:rsidP="0084666A">
            <w:pPr>
              <w:pStyle w:val="StandardWeb"/>
              <w:spacing w:before="60"/>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d) 25-, 40- und 50jähriges Arbeitsjubiläum</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1 Arbeitstag,</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pPr>
            <w:r>
              <w:t>e) schwere Erkrankung</w:t>
            </w:r>
          </w:p>
        </w:tc>
        <w:tc>
          <w:tcPr>
            <w:tcW w:w="2108" w:type="dxa"/>
            <w:tcMar>
              <w:top w:w="0" w:type="dxa"/>
              <w:left w:w="108" w:type="dxa"/>
              <w:bottom w:w="0" w:type="dxa"/>
              <w:right w:w="108" w:type="dxa"/>
            </w:tcMar>
            <w:hideMark/>
          </w:tcPr>
          <w:p w:rsidR="00BE1EFE" w:rsidRDefault="00BE1EFE" w:rsidP="0084666A">
            <w:pPr>
              <w:spacing w:before="60"/>
              <w:rPr>
                <w:sz w:val="24"/>
              </w:rPr>
            </w:pPr>
            <w:r>
              <w:t> </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aa) einer/eines Angehörigen, soweit sie/er in demselben Haushalt lebt,</w:t>
            </w:r>
          </w:p>
        </w:tc>
        <w:tc>
          <w:tcPr>
            <w:tcW w:w="2108" w:type="dxa"/>
            <w:tcMar>
              <w:top w:w="0" w:type="dxa"/>
              <w:left w:w="108" w:type="dxa"/>
              <w:bottom w:w="0" w:type="dxa"/>
              <w:right w:w="108" w:type="dxa"/>
            </w:tcMar>
            <w:hideMark/>
          </w:tcPr>
          <w:p w:rsidR="00BE1EFE" w:rsidRPr="000B1AF8" w:rsidRDefault="00BE1EFE">
            <w:pPr>
              <w:pStyle w:val="StandardWeb"/>
              <w:jc w:val="right"/>
            </w:pPr>
            <w:r>
              <w:t>1 Arbeitstag im Kalenderjahr</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bb) eines Kindes, das das 12. Lebensjahr noch nicht voll</w:t>
            </w:r>
            <w:r>
              <w:softHyphen/>
              <w:t>endet hat, wenn im laufenden Kalenderjahr kein Anspruch nach</w:t>
            </w:r>
            <w:hyperlink r:id="rId127" w:history="1">
              <w:r>
                <w:rPr>
                  <w:rStyle w:val="Hyperlink"/>
                  <w:color w:val="010101"/>
                </w:rPr>
                <w:t xml:space="preserve"> § 45 SGB V</w:t>
              </w:r>
            </w:hyperlink>
            <w:r w:rsidR="00CE16AD">
              <w:t xml:space="preserve"> </w:t>
            </w:r>
            <w:r>
              <w:t xml:space="preserve"> besteht oder bestanden hat,</w:t>
            </w:r>
          </w:p>
        </w:tc>
        <w:tc>
          <w:tcPr>
            <w:tcW w:w="2108" w:type="dxa"/>
            <w:tcMar>
              <w:top w:w="0" w:type="dxa"/>
              <w:left w:w="108" w:type="dxa"/>
              <w:bottom w:w="0" w:type="dxa"/>
              <w:right w:w="108" w:type="dxa"/>
            </w:tcMar>
            <w:hideMark/>
          </w:tcPr>
          <w:p w:rsidR="00BE1EFE" w:rsidRDefault="00BE1EFE">
            <w:pPr>
              <w:pStyle w:val="StandardWeb"/>
              <w:jc w:val="right"/>
            </w:pPr>
          </w:p>
          <w:p w:rsidR="00BE1EFE" w:rsidRDefault="00BE1EFE">
            <w:pPr>
              <w:pStyle w:val="StandardWeb"/>
              <w:jc w:val="right"/>
            </w:pPr>
            <w:r>
              <w:t>bis zu 4 Arbeitstage</w:t>
            </w:r>
          </w:p>
          <w:p w:rsidR="00BE1EFE" w:rsidRPr="000B1AF8" w:rsidRDefault="00BE1EFE">
            <w:pPr>
              <w:pStyle w:val="StandardWeb"/>
              <w:jc w:val="right"/>
            </w:pPr>
            <w:r>
              <w:t>im Kalenderjahr</w:t>
            </w:r>
          </w:p>
        </w:tc>
      </w:tr>
      <w:tr w:rsidR="00BE1EFE" w:rsidTr="00D22DC2">
        <w:tc>
          <w:tcPr>
            <w:tcW w:w="281" w:type="dxa"/>
            <w:tcMar>
              <w:top w:w="0" w:type="dxa"/>
              <w:left w:w="108" w:type="dxa"/>
              <w:bottom w:w="0" w:type="dxa"/>
              <w:right w:w="108" w:type="dxa"/>
            </w:tcMar>
            <w:hideMark/>
          </w:tcPr>
          <w:p w:rsidR="00BE1EFE" w:rsidRDefault="00BE1EFE">
            <w:pPr>
              <w:rPr>
                <w:sz w:val="24"/>
              </w:rPr>
            </w:pPr>
            <w:r>
              <w:t> </w:t>
            </w:r>
          </w:p>
        </w:tc>
        <w:tc>
          <w:tcPr>
            <w:tcW w:w="4518" w:type="dxa"/>
            <w:gridSpan w:val="2"/>
            <w:tcMar>
              <w:top w:w="0" w:type="dxa"/>
              <w:left w:w="108" w:type="dxa"/>
              <w:bottom w:w="0" w:type="dxa"/>
              <w:right w:w="108" w:type="dxa"/>
            </w:tcMar>
            <w:hideMark/>
          </w:tcPr>
          <w:p w:rsidR="00BE1EFE" w:rsidRPr="000B1AF8" w:rsidRDefault="00BE1EFE" w:rsidP="000266B5">
            <w:pPr>
              <w:pStyle w:val="StandardWeb"/>
              <w:jc w:val="left"/>
            </w:pPr>
            <w:r>
              <w:t>cc) einer Betreuungsperson, wenn die/der Beschäftigte deshalb die Betreuung ihres/seines Kindes, das das 8. Lebensjahr noch nicht vollendet hat oder wegen körper</w:t>
            </w:r>
            <w:r>
              <w:softHyphen/>
              <w:t>licher, geistiger oder seelischer Behinderung dauernd pflegebedürftig ist, übernehmen muss,</w:t>
            </w:r>
          </w:p>
        </w:tc>
        <w:tc>
          <w:tcPr>
            <w:tcW w:w="2108" w:type="dxa"/>
            <w:tcMar>
              <w:top w:w="0" w:type="dxa"/>
              <w:left w:w="108" w:type="dxa"/>
              <w:bottom w:w="0" w:type="dxa"/>
              <w:right w:w="108" w:type="dxa"/>
            </w:tcMar>
            <w:hideMark/>
          </w:tcPr>
          <w:p w:rsidR="00BE1EFE" w:rsidRDefault="00BE1EFE">
            <w:pPr>
              <w:pStyle w:val="StandardWeb"/>
              <w:jc w:val="right"/>
            </w:pPr>
          </w:p>
          <w:p w:rsidR="00BE1EFE" w:rsidRDefault="00BE1EFE">
            <w:pPr>
              <w:pStyle w:val="StandardWeb"/>
              <w:jc w:val="right"/>
            </w:pPr>
          </w:p>
          <w:p w:rsidR="00BE1EFE" w:rsidRDefault="00BE1EFE">
            <w:pPr>
              <w:pStyle w:val="StandardWeb"/>
              <w:jc w:val="right"/>
            </w:pPr>
          </w:p>
          <w:p w:rsidR="00BE1EFE" w:rsidRDefault="00BE1EFE">
            <w:pPr>
              <w:pStyle w:val="StandardWeb"/>
              <w:jc w:val="right"/>
            </w:pPr>
            <w:r>
              <w:t>bis zu 4 Arbeitstage</w:t>
            </w:r>
          </w:p>
          <w:p w:rsidR="00BE1EFE" w:rsidRPr="000B1AF8" w:rsidRDefault="00BE1EFE">
            <w:pPr>
              <w:pStyle w:val="StandardWeb"/>
              <w:jc w:val="right"/>
            </w:pPr>
            <w:r>
              <w:t>im Kalenderjahr,</w:t>
            </w:r>
          </w:p>
        </w:tc>
      </w:tr>
      <w:tr w:rsidR="00BE1EFE" w:rsidTr="00D22DC2">
        <w:tc>
          <w:tcPr>
            <w:tcW w:w="4799" w:type="dxa"/>
            <w:gridSpan w:val="3"/>
            <w:tcMar>
              <w:top w:w="0" w:type="dxa"/>
              <w:left w:w="108" w:type="dxa"/>
              <w:bottom w:w="0" w:type="dxa"/>
              <w:right w:w="108" w:type="dxa"/>
            </w:tcMar>
            <w:hideMark/>
          </w:tcPr>
          <w:p w:rsidR="00BE1EFE" w:rsidRPr="000B1AF8" w:rsidRDefault="00BE1EFE" w:rsidP="0084666A">
            <w:pPr>
              <w:pStyle w:val="StandardWeb"/>
              <w:spacing w:before="60"/>
              <w:jc w:val="left"/>
            </w:pPr>
            <w:r>
              <w:t>f) Ärztliche Behandlung von Beschäftigten, wenn diese während der Arbeitszeit erfolgen muss, es sei denn, es besteht dies</w:t>
            </w:r>
            <w:r>
              <w:softHyphen/>
              <w:t>bezüglich eine abweichende Gleitzeitregelung</w:t>
            </w:r>
          </w:p>
        </w:tc>
        <w:tc>
          <w:tcPr>
            <w:tcW w:w="2108" w:type="dxa"/>
            <w:tcMar>
              <w:top w:w="0" w:type="dxa"/>
              <w:left w:w="108" w:type="dxa"/>
              <w:bottom w:w="0" w:type="dxa"/>
              <w:right w:w="108" w:type="dxa"/>
            </w:tcMar>
            <w:hideMark/>
          </w:tcPr>
          <w:p w:rsidR="00BE1EFE" w:rsidRPr="000B1AF8" w:rsidRDefault="00BE1EFE" w:rsidP="0084666A">
            <w:pPr>
              <w:pStyle w:val="StandardWeb"/>
              <w:spacing w:before="60"/>
              <w:jc w:val="right"/>
            </w:pPr>
            <w:r>
              <w:t>erforderliche nachgewiesene Abwesenheitszeit einschließlich erforderlicher Wegezeiten.</w:t>
            </w:r>
          </w:p>
        </w:tc>
      </w:tr>
      <w:tr w:rsidR="00BE1EFE" w:rsidTr="00D22DC2">
        <w:tc>
          <w:tcPr>
            <w:tcW w:w="281" w:type="dxa"/>
            <w:vAlign w:val="center"/>
            <w:hideMark/>
          </w:tcPr>
          <w:p w:rsidR="00BE1EFE" w:rsidRDefault="00BE1EFE">
            <w:pPr>
              <w:rPr>
                <w:sz w:val="24"/>
              </w:rPr>
            </w:pPr>
            <w:r>
              <w:t> </w:t>
            </w:r>
          </w:p>
        </w:tc>
        <w:tc>
          <w:tcPr>
            <w:tcW w:w="2079" w:type="dxa"/>
            <w:vAlign w:val="center"/>
            <w:hideMark/>
          </w:tcPr>
          <w:p w:rsidR="00BE1EFE" w:rsidRDefault="00BE1EFE">
            <w:pPr>
              <w:rPr>
                <w:sz w:val="24"/>
              </w:rPr>
            </w:pPr>
            <w:r>
              <w:t> </w:t>
            </w:r>
          </w:p>
        </w:tc>
        <w:tc>
          <w:tcPr>
            <w:tcW w:w="2439" w:type="dxa"/>
            <w:vAlign w:val="center"/>
            <w:hideMark/>
          </w:tcPr>
          <w:p w:rsidR="00BE1EFE" w:rsidRDefault="00BE1EFE">
            <w:pPr>
              <w:rPr>
                <w:sz w:val="24"/>
              </w:rPr>
            </w:pPr>
            <w:r>
              <w:t> </w:t>
            </w:r>
          </w:p>
        </w:tc>
        <w:tc>
          <w:tcPr>
            <w:tcW w:w="2108" w:type="dxa"/>
            <w:vAlign w:val="center"/>
            <w:hideMark/>
          </w:tcPr>
          <w:p w:rsidR="00BE1EFE" w:rsidRDefault="00BE1EFE">
            <w:pPr>
              <w:rPr>
                <w:sz w:val="24"/>
              </w:rPr>
            </w:pPr>
            <w:r>
              <w:t> </w:t>
            </w:r>
          </w:p>
        </w:tc>
      </w:tr>
    </w:tbl>
    <w:p w:rsidR="00BE1EFE" w:rsidRDefault="00BE1EFE">
      <w:pPr>
        <w:pStyle w:val="StandardWeb"/>
      </w:pPr>
      <w:r>
        <w:rPr>
          <w:rStyle w:val="kleinschrift"/>
        </w:rPr>
        <w:t>2</w:t>
      </w:r>
      <w:r>
        <w:t xml:space="preserve">Eine Freistellung nach Satz 1 Buchstabe e) erfolgt nur, soweit eine andere Person zur Pflege oder Betreuung nicht sofort zur Verfügung steht und die Ärztin/der Arzt in den Fällen der Doppelbuchstaben aa) und bb) die Notwendigkeit der Anwesenheit der/des Beschäftigten zur vorläufigen Pflege bescheinigt. </w:t>
      </w:r>
      <w:r>
        <w:rPr>
          <w:rStyle w:val="kleinschrift"/>
        </w:rPr>
        <w:t>3</w:t>
      </w:r>
      <w:r>
        <w:t>Die Freistellung nach Satz 1 Buchstabe e) darf insgesamt fünf Arbeitstage im Kalenderjahr nicht überschreiten.</w:t>
      </w:r>
    </w:p>
    <w:p w:rsidR="00BE1EFE" w:rsidRDefault="00BE1EFE">
      <w:pPr>
        <w:pStyle w:val="StandardWeb"/>
      </w:pPr>
    </w:p>
    <w:p w:rsidR="00BE1EFE" w:rsidRPr="000B1AF8" w:rsidRDefault="00BE1EFE">
      <w:pPr>
        <w:pStyle w:val="StandardWeb"/>
      </w:pPr>
      <w:r>
        <w:t xml:space="preserve">(1a) Ferner wird die/der Beschäftigte unter Fortzahlung des Entgelts </w:t>
      </w:r>
      <w:hyperlink r:id="rId128" w:history="1">
        <w:r w:rsidRPr="002D1F1D">
          <w:rPr>
            <w:rStyle w:val="Hyperlink"/>
          </w:rPr>
          <w:t>(§ 21)</w:t>
        </w:r>
      </w:hyperlink>
      <w:r>
        <w:t xml:space="preserve"> im nachstehend genannten Ausmaß von der Arbeit freigestellt bei:</w:t>
      </w:r>
    </w:p>
    <w:tbl>
      <w:tblPr>
        <w:tblW w:w="5000" w:type="pct"/>
        <w:tblCellMar>
          <w:left w:w="0" w:type="dxa"/>
          <w:right w:w="0" w:type="dxa"/>
        </w:tblCellMar>
        <w:tblLook w:val="04A0" w:firstRow="1" w:lastRow="0" w:firstColumn="1" w:lastColumn="0" w:noHBand="0" w:noVBand="1"/>
      </w:tblPr>
      <w:tblGrid>
        <w:gridCol w:w="261"/>
        <w:gridCol w:w="4714"/>
        <w:gridCol w:w="1932"/>
      </w:tblGrid>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spacing w:before="60"/>
            </w:pPr>
            <w:r>
              <w:t>a)</w:t>
            </w:r>
          </w:p>
          <w:p w:rsidR="00BE1EFE" w:rsidRPr="000B1AF8" w:rsidRDefault="00BE1EFE" w:rsidP="0084666A">
            <w:pPr>
              <w:pStyle w:val="StandardWeb"/>
              <w:spacing w:before="60"/>
              <w:jc w:val="left"/>
            </w:pPr>
            <w:r>
              <w:t>aa) Übernahme des kirchlichen Patenamtes bei Taufe oder Firmung,</w:t>
            </w:r>
          </w:p>
        </w:tc>
        <w:tc>
          <w:tcPr>
            <w:tcW w:w="2384" w:type="dxa"/>
            <w:tcMar>
              <w:top w:w="0" w:type="dxa"/>
              <w:left w:w="108" w:type="dxa"/>
              <w:bottom w:w="0" w:type="dxa"/>
              <w:right w:w="108" w:type="dxa"/>
            </w:tcMar>
            <w:hideMark/>
          </w:tcPr>
          <w:p w:rsidR="00BE1EFE" w:rsidRPr="0084666A" w:rsidRDefault="00BE1EFE" w:rsidP="0084666A">
            <w:pPr>
              <w:spacing w:before="60"/>
              <w:rPr>
                <w:szCs w:val="16"/>
              </w:rPr>
            </w:pP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jc w:val="left"/>
            </w:pPr>
            <w:r>
              <w:t>bb) Taufe, Erstkommunion, Firmung, Konfirmation oder kirchlicher Eheschließung eines Kindes, wenn die kirchliche Feier auf einen Arbeitstag fällt,</w:t>
            </w:r>
          </w:p>
        </w:tc>
        <w:tc>
          <w:tcPr>
            <w:tcW w:w="2384" w:type="dxa"/>
            <w:tcMar>
              <w:top w:w="0" w:type="dxa"/>
              <w:left w:w="108" w:type="dxa"/>
              <w:bottom w:w="0" w:type="dxa"/>
              <w:right w:w="108" w:type="dxa"/>
            </w:tcMar>
            <w:hideMark/>
          </w:tcPr>
          <w:p w:rsidR="00BE1EFE" w:rsidRPr="000B1AF8" w:rsidRDefault="00BE1EFE" w:rsidP="0084666A">
            <w:pPr>
              <w:pStyle w:val="StandardWeb"/>
              <w:jc w:val="right"/>
            </w:pPr>
            <w:r>
              <w:t>insgesamt nur 1 Arbeitstag im Kalenderjahr,</w:t>
            </w: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jc w:val="left"/>
            </w:pPr>
            <w:r>
              <w:t>b) kirchlichen Begräbnis eines Kindes, der Ehegattin/des Ehe</w:t>
            </w:r>
            <w:r>
              <w:softHyphen/>
              <w:t>gatten, eines Geschwisters, eines Eltern-, Großeltern- oder Schwiegerelternteils, wenn die kirchliche Feier auf einen Arbeitstag fällt</w:t>
            </w:r>
          </w:p>
        </w:tc>
        <w:tc>
          <w:tcPr>
            <w:tcW w:w="2384" w:type="dxa"/>
            <w:tcMar>
              <w:top w:w="0" w:type="dxa"/>
              <w:left w:w="108" w:type="dxa"/>
              <w:bottom w:w="0" w:type="dxa"/>
              <w:right w:w="108" w:type="dxa"/>
            </w:tcMar>
            <w:hideMark/>
          </w:tcPr>
          <w:p w:rsidR="00BE1EFE" w:rsidRDefault="00BE1EFE" w:rsidP="0084666A">
            <w:pPr>
              <w:pStyle w:val="StandardWeb"/>
              <w:jc w:val="right"/>
            </w:pPr>
          </w:p>
          <w:p w:rsidR="00BE1EFE" w:rsidRDefault="00BE1EFE" w:rsidP="0084666A">
            <w:pPr>
              <w:pStyle w:val="StandardWeb"/>
              <w:jc w:val="right"/>
            </w:pPr>
          </w:p>
          <w:p w:rsidR="00BE1EFE" w:rsidRDefault="00BE1EFE" w:rsidP="0084666A">
            <w:pPr>
              <w:pStyle w:val="StandardWeb"/>
              <w:jc w:val="right"/>
            </w:pPr>
          </w:p>
          <w:p w:rsidR="00BE1EFE" w:rsidRPr="000B1AF8" w:rsidRDefault="00BE1EFE" w:rsidP="0084666A">
            <w:pPr>
              <w:pStyle w:val="StandardWeb"/>
              <w:jc w:val="right"/>
            </w:pPr>
            <w:r>
              <w:t>1 Arbeitstag,</w:t>
            </w:r>
          </w:p>
        </w:tc>
      </w:tr>
      <w:tr w:rsidR="00BE1EFE">
        <w:tc>
          <w:tcPr>
            <w:tcW w:w="6904" w:type="dxa"/>
            <w:gridSpan w:val="2"/>
            <w:tcMar>
              <w:top w:w="0" w:type="dxa"/>
              <w:left w:w="108" w:type="dxa"/>
              <w:bottom w:w="0" w:type="dxa"/>
              <w:right w:w="108" w:type="dxa"/>
            </w:tcMar>
            <w:hideMark/>
          </w:tcPr>
          <w:p w:rsidR="00BE1EFE" w:rsidRPr="000B1AF8" w:rsidRDefault="00BE1EFE" w:rsidP="000266B5">
            <w:pPr>
              <w:pStyle w:val="StandardWeb"/>
              <w:jc w:val="left"/>
            </w:pPr>
            <w:r>
              <w:t xml:space="preserve">c) kirchlicher Eheschließung der/des Beschäftigten, wenn die </w:t>
            </w:r>
            <w:r>
              <w:lastRenderedPageBreak/>
              <w:t>kirchliche Feier auf einen Arbeitstag fällt</w:t>
            </w:r>
          </w:p>
        </w:tc>
        <w:tc>
          <w:tcPr>
            <w:tcW w:w="2384"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lastRenderedPageBreak/>
              <w:t>1 Arbeitstag,</w:t>
            </w:r>
          </w:p>
        </w:tc>
      </w:tr>
      <w:tr w:rsidR="00BE1EFE">
        <w:tc>
          <w:tcPr>
            <w:tcW w:w="6904" w:type="dxa"/>
            <w:gridSpan w:val="2"/>
            <w:tcMar>
              <w:top w:w="0" w:type="dxa"/>
              <w:left w:w="108" w:type="dxa"/>
              <w:bottom w:w="0" w:type="dxa"/>
              <w:right w:w="108" w:type="dxa"/>
            </w:tcMar>
            <w:hideMark/>
          </w:tcPr>
          <w:p w:rsidR="00BE1EFE" w:rsidRPr="000B1AF8" w:rsidRDefault="00BE1EFE" w:rsidP="0084666A">
            <w:pPr>
              <w:pStyle w:val="StandardWeb"/>
              <w:spacing w:before="60"/>
            </w:pPr>
            <w:r>
              <w:lastRenderedPageBreak/>
              <w:t>d) Teilnahme an</w:t>
            </w:r>
          </w:p>
        </w:tc>
        <w:tc>
          <w:tcPr>
            <w:tcW w:w="2384" w:type="dxa"/>
            <w:tcMar>
              <w:top w:w="0" w:type="dxa"/>
              <w:left w:w="108" w:type="dxa"/>
              <w:bottom w:w="0" w:type="dxa"/>
              <w:right w:w="108" w:type="dxa"/>
            </w:tcMar>
            <w:hideMark/>
          </w:tcPr>
          <w:p w:rsidR="00BE1EFE" w:rsidRDefault="00BE1EFE" w:rsidP="0084666A">
            <w:pPr>
              <w:spacing w:before="60"/>
              <w:rPr>
                <w:sz w:val="24"/>
              </w:rPr>
            </w:pPr>
            <w:r>
              <w:t> </w:t>
            </w:r>
          </w:p>
        </w:tc>
      </w:tr>
      <w:tr w:rsidR="00BE1EFE">
        <w:tc>
          <w:tcPr>
            <w:tcW w:w="248" w:type="dxa"/>
            <w:tcMar>
              <w:top w:w="0" w:type="dxa"/>
              <w:left w:w="108" w:type="dxa"/>
              <w:bottom w:w="0" w:type="dxa"/>
              <w:right w:w="108" w:type="dxa"/>
            </w:tcMar>
            <w:hideMark/>
          </w:tcPr>
          <w:p w:rsidR="00BE1EFE" w:rsidRDefault="00BE1EFE">
            <w:pPr>
              <w:rPr>
                <w:sz w:val="24"/>
              </w:rPr>
            </w:pPr>
            <w:r>
              <w:t> </w:t>
            </w:r>
          </w:p>
        </w:tc>
        <w:tc>
          <w:tcPr>
            <w:tcW w:w="6656" w:type="dxa"/>
            <w:tcMar>
              <w:top w:w="0" w:type="dxa"/>
              <w:left w:w="108" w:type="dxa"/>
              <w:bottom w:w="0" w:type="dxa"/>
              <w:right w:w="108" w:type="dxa"/>
            </w:tcMar>
            <w:hideMark/>
          </w:tcPr>
          <w:p w:rsidR="00BE1EFE" w:rsidRPr="000B1AF8" w:rsidRDefault="00BE1EFE" w:rsidP="000266B5">
            <w:pPr>
              <w:pStyle w:val="StandardWeb"/>
              <w:jc w:val="left"/>
            </w:pPr>
            <w:r>
              <w:t>aa) Exerzitien, Einkehrtagen oder Wallfahrten im Rahmen der betrieblichen Möglichkeiten</w:t>
            </w:r>
          </w:p>
        </w:tc>
        <w:tc>
          <w:tcPr>
            <w:tcW w:w="2384" w:type="dxa"/>
            <w:tcMar>
              <w:top w:w="0" w:type="dxa"/>
              <w:left w:w="108" w:type="dxa"/>
              <w:bottom w:w="0" w:type="dxa"/>
              <w:right w:w="108" w:type="dxa"/>
            </w:tcMar>
            <w:hideMark/>
          </w:tcPr>
          <w:p w:rsidR="00BE1EFE" w:rsidRDefault="00BE1EFE">
            <w:pPr>
              <w:pStyle w:val="StandardWeb"/>
              <w:jc w:val="right"/>
            </w:pPr>
            <w:r>
              <w:t xml:space="preserve">bis zu 3 Arbeitstage </w:t>
            </w:r>
          </w:p>
          <w:p w:rsidR="00BE1EFE" w:rsidRDefault="00BE1EFE">
            <w:pPr>
              <w:pStyle w:val="StandardWeb"/>
              <w:jc w:val="right"/>
            </w:pPr>
            <w:r>
              <w:t>im Kalenderjahr</w:t>
            </w:r>
          </w:p>
          <w:p w:rsidR="00BE1EFE" w:rsidRPr="000B1AF8" w:rsidRDefault="00BE1EFE" w:rsidP="00254F3D">
            <w:pPr>
              <w:pStyle w:val="StandardWeb"/>
              <w:jc w:val="center"/>
            </w:pPr>
          </w:p>
        </w:tc>
      </w:tr>
      <w:tr w:rsidR="00BE1EFE">
        <w:tc>
          <w:tcPr>
            <w:tcW w:w="6904" w:type="dxa"/>
            <w:gridSpan w:val="2"/>
            <w:tcMar>
              <w:top w:w="0" w:type="dxa"/>
              <w:left w:w="108" w:type="dxa"/>
              <w:bottom w:w="0" w:type="dxa"/>
              <w:right w:w="108" w:type="dxa"/>
            </w:tcMar>
            <w:hideMark/>
          </w:tcPr>
          <w:p w:rsidR="00BE1EFE" w:rsidRPr="000B1AF8" w:rsidRDefault="00BE1EFE">
            <w:pPr>
              <w:pStyle w:val="StandardWeb"/>
            </w:pPr>
            <w:r>
              <w:t>Auf Arbeitsbefreiungen nach diesem Buchstaben sind Arbeits</w:t>
            </w:r>
            <w:r>
              <w:softHyphen/>
              <w:t>befreiungen zur Teilnahme an Exerzitien oder Einkehrtagen nach diözesanen Regelungen anzurechnen.</w:t>
            </w:r>
          </w:p>
        </w:tc>
        <w:tc>
          <w:tcPr>
            <w:tcW w:w="2384" w:type="dxa"/>
            <w:tcMar>
              <w:top w:w="0" w:type="dxa"/>
              <w:left w:w="108" w:type="dxa"/>
              <w:bottom w:w="0" w:type="dxa"/>
              <w:right w:w="108" w:type="dxa"/>
            </w:tcMar>
            <w:hideMark/>
          </w:tcPr>
          <w:p w:rsidR="00BE1EFE" w:rsidRDefault="00BE1EFE">
            <w:pPr>
              <w:rPr>
                <w:sz w:val="24"/>
              </w:rPr>
            </w:pPr>
            <w:r>
              <w:t> </w:t>
            </w:r>
          </w:p>
        </w:tc>
      </w:tr>
      <w:tr w:rsidR="00BE1EFE">
        <w:tc>
          <w:tcPr>
            <w:tcW w:w="248" w:type="dxa"/>
            <w:tcMar>
              <w:top w:w="0" w:type="dxa"/>
              <w:left w:w="108" w:type="dxa"/>
              <w:bottom w:w="0" w:type="dxa"/>
              <w:right w:w="108" w:type="dxa"/>
            </w:tcMar>
            <w:hideMark/>
          </w:tcPr>
          <w:p w:rsidR="00BE1EFE" w:rsidRDefault="00BE1EFE" w:rsidP="0084666A">
            <w:pPr>
              <w:spacing w:before="60"/>
              <w:rPr>
                <w:sz w:val="24"/>
              </w:rPr>
            </w:pPr>
            <w:r>
              <w:t> </w:t>
            </w:r>
          </w:p>
        </w:tc>
        <w:tc>
          <w:tcPr>
            <w:tcW w:w="6656" w:type="dxa"/>
            <w:tcMar>
              <w:top w:w="0" w:type="dxa"/>
              <w:left w:w="108" w:type="dxa"/>
              <w:bottom w:w="0" w:type="dxa"/>
              <w:right w:w="108" w:type="dxa"/>
            </w:tcMar>
            <w:hideMark/>
          </w:tcPr>
          <w:p w:rsidR="00BE1EFE" w:rsidRPr="000B1AF8" w:rsidRDefault="00BE1EFE" w:rsidP="0084666A">
            <w:pPr>
              <w:pStyle w:val="StandardWeb"/>
              <w:spacing w:before="60"/>
              <w:jc w:val="left"/>
            </w:pPr>
            <w:r>
              <w:t>bb) Deutschen Katholikentagen bzw. Deutschen Evange</w:t>
            </w:r>
            <w:r>
              <w:softHyphen/>
              <w:t>lischen Kirchentagen im Rahmen der betrieblichen Möglichkeiten</w:t>
            </w:r>
          </w:p>
        </w:tc>
        <w:tc>
          <w:tcPr>
            <w:tcW w:w="2384" w:type="dxa"/>
            <w:tcMar>
              <w:top w:w="0" w:type="dxa"/>
              <w:left w:w="108" w:type="dxa"/>
              <w:bottom w:w="0" w:type="dxa"/>
              <w:right w:w="108" w:type="dxa"/>
            </w:tcMar>
            <w:hideMark/>
          </w:tcPr>
          <w:p w:rsidR="00BE1EFE" w:rsidRDefault="00BE1EFE">
            <w:pPr>
              <w:pStyle w:val="StandardWeb"/>
              <w:jc w:val="right"/>
            </w:pPr>
          </w:p>
          <w:p w:rsidR="00BE1EFE" w:rsidRPr="000B1AF8" w:rsidRDefault="00BE1EFE">
            <w:pPr>
              <w:pStyle w:val="StandardWeb"/>
              <w:jc w:val="right"/>
            </w:pPr>
            <w:r>
              <w:t>bis zu 2 Arbeitstage im Kalenderjahr.</w:t>
            </w:r>
          </w:p>
        </w:tc>
      </w:tr>
    </w:tbl>
    <w:p w:rsidR="00BE1EFE" w:rsidRDefault="00BE1EFE">
      <w:pPr>
        <w:pStyle w:val="StandardWeb"/>
      </w:pPr>
    </w:p>
    <w:p w:rsidR="00BE1EFE" w:rsidRPr="000B1AF8" w:rsidRDefault="00BE1EFE">
      <w:pPr>
        <w:pStyle w:val="StandardWeb"/>
      </w:pPr>
      <w:r>
        <w:t>(2) </w:t>
      </w:r>
      <w:r>
        <w:rPr>
          <w:rStyle w:val="kleinschrift"/>
        </w:rPr>
        <w:t>1</w:t>
      </w:r>
      <w:r>
        <w:t xml:space="preserve">Bei Erfüllung allgemeiner staatsbürgerlicher Pflichten nach deutschem Recht, soweit die Arbeitsbefreiung gesetzlich vorgeschrieben ist und soweit die Pflichten nicht außerhalb der Arbeitszeit, gegebenenfalls nach ihrer Verlegung, wahrgenommen werden können, besteht der Anspruch auf Fortzahlung des Entgelts nach </w:t>
      </w:r>
      <w:hyperlink r:id="rId129" w:history="1">
        <w:r w:rsidRPr="002D1F1D">
          <w:rPr>
            <w:rStyle w:val="Hyperlink"/>
          </w:rPr>
          <w:t>§ 21</w:t>
        </w:r>
      </w:hyperlink>
      <w:r>
        <w:t xml:space="preserve"> nur insoweit, als Beschäftigte nicht Ansprüche auf Ersatz des Entgelts geltend machen können. </w:t>
      </w:r>
      <w:r>
        <w:rPr>
          <w:rStyle w:val="kleinschrift"/>
        </w:rPr>
        <w:t>2</w:t>
      </w:r>
      <w:r>
        <w:t xml:space="preserve">Das fortgezahlte Entgelt gilt in Höhe des Ersatzanspruchs als Vorschuss auf die Leistungen der Kostenträger. </w:t>
      </w:r>
      <w:r>
        <w:rPr>
          <w:rStyle w:val="kleinschrift"/>
        </w:rPr>
        <w:t>3</w:t>
      </w:r>
      <w:r>
        <w:t>Die Beschäftigten haben den Ersatzanspruch geltend zu machen und die erhaltenen Beträge an den Arbeitgeber abzuführen.</w:t>
      </w:r>
    </w:p>
    <w:p w:rsidR="00BE1EFE" w:rsidRDefault="00BE1EFE">
      <w:pPr>
        <w:pStyle w:val="StandardWeb"/>
      </w:pPr>
    </w:p>
    <w:p w:rsidR="00BE1EFE" w:rsidRDefault="00BE1EFE">
      <w:pPr>
        <w:pStyle w:val="StandardWeb"/>
      </w:pPr>
      <w:r>
        <w:t>(2a) </w:t>
      </w:r>
      <w:r w:rsidRPr="00B43590">
        <w:rPr>
          <w:sz w:val="12"/>
          <w:szCs w:val="12"/>
        </w:rPr>
        <w:t>1</w:t>
      </w:r>
      <w:r w:rsidRPr="00B43590">
        <w:t xml:space="preserve">Bei Freistellungen gemäß </w:t>
      </w:r>
      <w:hyperlink r:id="rId130" w:history="1">
        <w:r w:rsidRPr="00B43590">
          <w:rPr>
            <w:rStyle w:val="Hyperlink"/>
          </w:rPr>
          <w:t>Art. 1 des Gesetzes zur Freistellung von Arbeitnehmern für Zwecke der Jugendarbeit</w:t>
        </w:r>
      </w:hyperlink>
      <w:r w:rsidRPr="00B43590">
        <w:t xml:space="preserve"> kann der Arbeitgeber das Entgelt gemäß </w:t>
      </w:r>
      <w:hyperlink r:id="rId131" w:history="1">
        <w:r w:rsidRPr="00B43590">
          <w:rPr>
            <w:rStyle w:val="Hyperlink"/>
          </w:rPr>
          <w:t>§ 21</w:t>
        </w:r>
      </w:hyperlink>
      <w:r w:rsidRPr="00B43590">
        <w:t xml:space="preserve"> fortzahlen. </w:t>
      </w:r>
      <w:r w:rsidRPr="00B43590">
        <w:rPr>
          <w:sz w:val="12"/>
          <w:szCs w:val="12"/>
        </w:rPr>
        <w:t>2</w:t>
      </w:r>
      <w:r w:rsidRPr="00B43590">
        <w:t>Soweit Beschäftigte einen Ersatz entgangenen Entgelts im Rahmen der Förderung der Maßnahme nicht geltend machen können, soll der Arbeitgeber das Entgelt für die Dauer einer Freistellung bis zum Einfachen der individuell vereinbarten wöchentlichen Arbeitszeit, ohne Begrenzung der Veranstaltungszahl p</w:t>
      </w:r>
      <w:r>
        <w:t xml:space="preserve">ro Jahr, gemäß </w:t>
      </w:r>
      <w:hyperlink r:id="rId132" w:history="1">
        <w:r w:rsidRPr="00B43590">
          <w:rPr>
            <w:rStyle w:val="Hyperlink"/>
          </w:rPr>
          <w:t>§ 21</w:t>
        </w:r>
      </w:hyperlink>
      <w:r>
        <w:t xml:space="preserve"> fortzahlen.</w:t>
      </w:r>
    </w:p>
    <w:p w:rsidR="00BE1EFE" w:rsidRPr="000B1AF8" w:rsidRDefault="00BE1EFE">
      <w:pPr>
        <w:pStyle w:val="StandardWeb"/>
      </w:pPr>
    </w:p>
    <w:p w:rsidR="00BE1EFE" w:rsidRDefault="00BE1EFE">
      <w:pPr>
        <w:pStyle w:val="StandardWeb"/>
      </w:pPr>
      <w:r>
        <w:t>(3) </w:t>
      </w:r>
      <w:r>
        <w:rPr>
          <w:rStyle w:val="kleinschrift"/>
        </w:rPr>
        <w:t>1</w:t>
      </w:r>
      <w:r>
        <w:t xml:space="preserve">Der Arbeitgeber kann in sonstigen dringenden Fällen Arbeitsbefreiung unter Fortzahlung des Entgelts nach </w:t>
      </w:r>
      <w:hyperlink r:id="rId133" w:history="1">
        <w:r w:rsidRPr="002D1F1D">
          <w:rPr>
            <w:rStyle w:val="Hyperlink"/>
          </w:rPr>
          <w:t>§ 21</w:t>
        </w:r>
      </w:hyperlink>
      <w:r>
        <w:t xml:space="preserve"> bis zu drei Arbeitstagen gewähren. </w:t>
      </w:r>
      <w:r>
        <w:rPr>
          <w:rStyle w:val="kleinschrift"/>
        </w:rPr>
        <w:t>2</w:t>
      </w:r>
      <w:r>
        <w:t>In begründeten Fällen kann bei Verzicht auf das Entgelt kurzfristige Arbeitsbefreiung gewährt werden, wenn die dienstlichen oder betrieblichen Verhältnisse es gestatten.</w:t>
      </w:r>
    </w:p>
    <w:p w:rsidR="00BE1EFE" w:rsidRDefault="00BE1EFE">
      <w:pPr>
        <w:pStyle w:val="StandardWeb"/>
      </w:pPr>
      <w:r>
        <w:rPr>
          <w:sz w:val="12"/>
          <w:szCs w:val="12"/>
        </w:rPr>
        <w:t>Anmerkung zu Absatz 3 Satz 2:</w:t>
      </w:r>
    </w:p>
    <w:p w:rsidR="00BE1EFE" w:rsidRDefault="00BE1EFE">
      <w:pPr>
        <w:pStyle w:val="StandardWeb"/>
      </w:pPr>
      <w:r>
        <w:rPr>
          <w:sz w:val="12"/>
          <w:szCs w:val="12"/>
        </w:rPr>
        <w:t>Zu den „begründeten Fällen“ können auch solche Anlässe gehören, für die nach Absatz 1 kein Anspruch auf Arbeitsbefreiung besteht (z. B. Umzug aus persönlichen Gründen).</w:t>
      </w:r>
    </w:p>
    <w:p w:rsidR="00BE1EFE" w:rsidRDefault="00BE1EFE">
      <w:pPr>
        <w:pStyle w:val="StandardWeb"/>
      </w:pPr>
    </w:p>
    <w:p w:rsidR="00BE1EFE" w:rsidRDefault="00BE1EFE">
      <w:pPr>
        <w:pStyle w:val="StandardWeb"/>
      </w:pPr>
      <w:r>
        <w:t>(4) Unter Fortzahlung des Entgelts (</w:t>
      </w:r>
      <w:hyperlink r:id="rId134" w:history="1">
        <w:r w:rsidRPr="002D1F1D">
          <w:rPr>
            <w:rStyle w:val="Hyperlink"/>
          </w:rPr>
          <w:t>§ 21</w:t>
        </w:r>
      </w:hyperlink>
      <w:r>
        <w:t>) kann die/der Beschäftigte bis zu sechs Werktage im Kalenderjahr von der Arbeit freigestellt werden, wenn dienstliche Gründe nicht entgegenstehen, für die Teilnahme an Tagungen eines kirchlichen Berufsverbandes, der berufliche und fachliche Interessen von Angestellten vertritt auf überdiözesaner und diözesaner Ebene, Bundes oder Landesebene, wenn die/der Beschäftigte als Mitglied eines Vorstandes oder als Delegierter teilnimmt und der kirchliche Berufsverband in seiner Zielsetzung der Grundordnung des kirchlichen Dienstes im Rahmen kirchlicher Arbeitsverhältnisse in der jeweiligen Fassung nicht widerspricht.</w:t>
      </w:r>
    </w:p>
    <w:p w:rsidR="00BE1EFE" w:rsidRDefault="00BE1EFE">
      <w:pPr>
        <w:pStyle w:val="StandardWeb"/>
      </w:pPr>
    </w:p>
    <w:p w:rsidR="00BE1EFE" w:rsidRDefault="00BE1EFE">
      <w:pPr>
        <w:pStyle w:val="StandardWeb"/>
      </w:pPr>
      <w:r>
        <w:t>(4a) Unter Fortzahlung des Entgelts (</w:t>
      </w:r>
      <w:hyperlink r:id="rId135" w:history="1">
        <w:r w:rsidRPr="002D1F1D">
          <w:rPr>
            <w:rStyle w:val="Hyperlink"/>
          </w:rPr>
          <w:t>§ 21</w:t>
        </w:r>
      </w:hyperlink>
      <w:r>
        <w:t>) kann die/der Beschäftigte bis zu sechs Werktage im Kalenderjahr von der Arbeit freigestellt werden, wenn dienstliche Gründe nicht entgegenstehen, für die Teilnahme an Tagungen auf Bundes- oder Landesebene, wenn die/der Beschäftigte als gewähltes Vorstandsmitglied einer Tarifvertragspartei des öffentlichen Dienstes auf Anforderung der Tarifvertragspartei daran teilnimmt.</w:t>
      </w:r>
    </w:p>
    <w:p w:rsidR="00BE1EFE" w:rsidRDefault="00BE1EFE">
      <w:pPr>
        <w:pStyle w:val="StandardWeb"/>
      </w:pPr>
    </w:p>
    <w:p w:rsidR="00BE1EFE" w:rsidRDefault="00BE1EFE">
      <w:pPr>
        <w:pStyle w:val="StandardWeb"/>
      </w:pPr>
      <w:r>
        <w:t xml:space="preserve">(4b) Für die Freistellung nach Absatz 4 und 4a werden nicht mehr als sechs Werktage im Kalenderjahr genehmigt. Werden in den Fällen des Absatzes 4 und 4a mehr als drei Tage </w:t>
      </w:r>
      <w:r>
        <w:lastRenderedPageBreak/>
        <w:t xml:space="preserve">Freistellung im Kalenderjahr in Anspruch genommen, werden diese auf den Anspruch gemäß </w:t>
      </w:r>
      <w:hyperlink r:id="rId136" w:history="1">
        <w:r w:rsidRPr="002D1F1D">
          <w:rPr>
            <w:rStyle w:val="Hyperlink"/>
          </w:rPr>
          <w:t xml:space="preserve">§ 5 a </w:t>
        </w:r>
        <w:r>
          <w:rPr>
            <w:rStyle w:val="Hyperlink"/>
          </w:rPr>
          <w:t>Absatz</w:t>
        </w:r>
        <w:r w:rsidRPr="002D1F1D">
          <w:rPr>
            <w:rStyle w:val="Hyperlink"/>
          </w:rPr>
          <w:t xml:space="preserve"> 1</w:t>
        </w:r>
      </w:hyperlink>
      <w:r>
        <w:t xml:space="preserve"> angerechnet.</w:t>
      </w:r>
    </w:p>
    <w:p w:rsidR="00BE1EFE" w:rsidRDefault="00BE1EFE">
      <w:pPr>
        <w:pStyle w:val="StandardWeb"/>
      </w:pPr>
    </w:p>
    <w:p w:rsidR="00BE1EFE" w:rsidRDefault="00BE1EFE">
      <w:pPr>
        <w:pStyle w:val="StandardWeb"/>
      </w:pPr>
      <w:r>
        <w:t xml:space="preserve">(5) Zur Teilnahme an Sitzungen von Prüfungs- und von Berufsbildungsausschüssen nach dem Berufsbildungsgesetz sowie für eine Tätigkeit in Organen von Sozialversicherungsträgern kann den Mitgliedern Arbeitsbefreiung unter Fortzahlung des Entgelts nach </w:t>
      </w:r>
      <w:hyperlink r:id="rId137" w:history="1">
        <w:r w:rsidRPr="002D1F1D">
          <w:rPr>
            <w:rStyle w:val="Hyperlink"/>
          </w:rPr>
          <w:t>§ 21</w:t>
        </w:r>
      </w:hyperlink>
      <w:r>
        <w:t xml:space="preserve"> gewährt werden, sofern nicht dringende dienstliche oder betriebliche Interessen entgegenstehen.</w:t>
      </w:r>
    </w:p>
    <w:p w:rsidR="00BE1EFE" w:rsidRDefault="00BE1EFE">
      <w:pPr>
        <w:pStyle w:val="StandardWeb"/>
      </w:pPr>
      <w:r>
        <w:rPr>
          <w:sz w:val="12"/>
          <w:szCs w:val="12"/>
        </w:rPr>
        <w:t>Protokollnotiz zu Absatz 5:</w:t>
      </w:r>
    </w:p>
    <w:p w:rsidR="00BE1EFE" w:rsidRPr="007D735A" w:rsidRDefault="00BE1EFE" w:rsidP="007D735A">
      <w:pPr>
        <w:pStyle w:val="StandardWeb"/>
        <w:rPr>
          <w:sz w:val="2"/>
          <w:szCs w:val="2"/>
        </w:rPr>
      </w:pPr>
      <w:r>
        <w:rPr>
          <w:sz w:val="12"/>
          <w:szCs w:val="12"/>
        </w:rPr>
        <w:t>Einer Tätigkeit in Organen von Sozialversicherungsträgern steht die Tätigkeit im Verwaltungsrat von Zusatzversorgungs</w:t>
      </w:r>
      <w:r>
        <w:rPr>
          <w:sz w:val="12"/>
          <w:szCs w:val="12"/>
        </w:rPr>
        <w:softHyphen/>
        <w:t>einrichtungen gleich.</w:t>
      </w:r>
      <w:r>
        <w:rPr>
          <w:sz w:val="12"/>
          <w:szCs w:val="12"/>
        </w:rPr>
        <w:br w:type="page"/>
      </w:r>
    </w:p>
    <w:p w:rsidR="00BE1EFE" w:rsidRDefault="00BE1EFE" w:rsidP="007D735A">
      <w:pPr>
        <w:pStyle w:val="berschrift5"/>
        <w:spacing w:before="0"/>
      </w:pPr>
      <w:bookmarkStart w:id="50" w:name="_Toc523925721"/>
      <w:r>
        <w:lastRenderedPageBreak/>
        <w:t>Abschnitt V: Befristung und Beendigung des Arbeitsverhältnisses (§§ 30-35)</w:t>
      </w:r>
      <w:bookmarkEnd w:id="50"/>
    </w:p>
    <w:p w:rsidR="00BE1EFE" w:rsidRDefault="00BE1EFE" w:rsidP="007D735A">
      <w:pPr>
        <w:pStyle w:val="berschrift6"/>
        <w:spacing w:before="0"/>
      </w:pPr>
      <w:bookmarkStart w:id="51" w:name="_Toc523925722"/>
      <w:r>
        <w:t>§ 30 Befristete Arbeitsverträge</w:t>
      </w:r>
      <w:bookmarkEnd w:id="5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Befristete Arbeitsverträge sind nach Maßgabe des Teilzeit- und Befristungsgesetzes sowie anderer gesetzlicher Vorschriften über die Befristung von Arbeitsverträgen zulässig. </w:t>
      </w:r>
      <w:r>
        <w:rPr>
          <w:rStyle w:val="kleinschrift"/>
        </w:rPr>
        <w:t>2</w:t>
      </w:r>
      <w:r>
        <w:t xml:space="preserve">Für Beschäftigte, deren Tätigkeit vor dem 1. Januar 2005 der Rentenversicherung der Angestellten unterlegen hätte, gelten die in den Absätzen 2 bis 5 geregelten Besonderheiten; dies gilt nicht für Arbeitsverhältnisse, für die die </w:t>
      </w:r>
      <w:hyperlink r:id="rId138" w:tgtFrame="_blank" w:history="1">
        <w:r>
          <w:rPr>
            <w:rStyle w:val="Hyperlink"/>
          </w:rPr>
          <w:t>§§ 57a ff. HRG</w:t>
        </w:r>
      </w:hyperlink>
      <w:r>
        <w:t>, das Gesetz über befristete Arbeitsverträge in der Wissenschaft (</w:t>
      </w:r>
      <w:hyperlink r:id="rId139" w:tgtFrame="_blank" w:history="1">
        <w:r>
          <w:rPr>
            <w:rStyle w:val="Hyperlink"/>
          </w:rPr>
          <w:t>Wissenschaftszeitvertragsgesetz</w:t>
        </w:r>
      </w:hyperlink>
      <w:r>
        <w:t>) oder gesetzliche Nachfolgeregelungen unmittelbar oder entsprechend gelten.</w:t>
      </w:r>
    </w:p>
    <w:p w:rsidR="00BE1EFE" w:rsidRPr="000B1AF8" w:rsidRDefault="00BE1EFE">
      <w:pPr>
        <w:pStyle w:val="StandardWeb"/>
      </w:pPr>
    </w:p>
    <w:p w:rsidR="00BE1EFE" w:rsidRDefault="00BE1EFE">
      <w:pPr>
        <w:pStyle w:val="StandardWeb"/>
      </w:pPr>
      <w:r>
        <w:t>(2) </w:t>
      </w:r>
      <w:r>
        <w:rPr>
          <w:rStyle w:val="kleinschrift"/>
        </w:rPr>
        <w:t>1</w:t>
      </w:r>
      <w:r>
        <w:t xml:space="preserve">Kalendermäßig befristete Arbeitsverträge mit sachlichem Grund sind nur zulässig, wenn die Dauer des einzelnen Vertrages fünf Jahre nicht übersteigt; weitergehende Regelungen im Sinne von </w:t>
      </w:r>
      <w:hyperlink r:id="rId140" w:tgtFrame="_blank" w:history="1">
        <w:r>
          <w:rPr>
            <w:rStyle w:val="Hyperlink"/>
          </w:rPr>
          <w:t xml:space="preserve">§ 23 TzBfG </w:t>
        </w:r>
      </w:hyperlink>
      <w:r>
        <w:t xml:space="preserve">bleiben unberührt. </w:t>
      </w:r>
      <w:r>
        <w:rPr>
          <w:rStyle w:val="kleinschrift"/>
        </w:rPr>
        <w:t>2</w:t>
      </w:r>
      <w:r>
        <w:t>Beschäftigte mit einem Arbeitsvertrag nach Satz 1 sind bei der Besetzung von Dauerarbeitsplätzen bevorzugt zu berücksichtigen, wenn die sachlichen und persönlichen Voraussetzungen erfüllt sind.</w:t>
      </w:r>
    </w:p>
    <w:p w:rsidR="00BE1EFE" w:rsidRDefault="00BE1EFE">
      <w:pPr>
        <w:pStyle w:val="StandardWeb"/>
      </w:pPr>
    </w:p>
    <w:p w:rsidR="00BE1EFE" w:rsidRDefault="00BE1EFE">
      <w:pPr>
        <w:pStyle w:val="StandardWeb"/>
      </w:pPr>
      <w:r>
        <w:t>(3) </w:t>
      </w:r>
      <w:r>
        <w:rPr>
          <w:rStyle w:val="kleinschrift"/>
        </w:rPr>
        <w:t>1</w:t>
      </w:r>
      <w:r>
        <w:t xml:space="preserve">Ein befristeter Arbeitsvertrag ohne sachlichen Grund soll in der Regel zwölf Monate nicht unterschreiten; die Vertragsdauer muss mindestens sechs Monate betragen. </w:t>
      </w:r>
      <w:r>
        <w:rPr>
          <w:rStyle w:val="kleinschrift"/>
        </w:rPr>
        <w:t>2</w:t>
      </w:r>
      <w:r>
        <w:t>Vor Ablauf des Arbeitsvertrages hat der Arbeitgeber zu prüfen, ob eine unbefristete oder befristete Weiterbeschäftigung möglich ist.</w:t>
      </w:r>
    </w:p>
    <w:p w:rsidR="00BE1EFE" w:rsidRDefault="00BE1EFE">
      <w:pPr>
        <w:pStyle w:val="StandardWeb"/>
      </w:pPr>
    </w:p>
    <w:p w:rsidR="00BE1EFE" w:rsidRDefault="00BE1EFE">
      <w:pPr>
        <w:pStyle w:val="StandardWeb"/>
      </w:pPr>
      <w:r>
        <w:t>(4) </w:t>
      </w:r>
      <w:r>
        <w:rPr>
          <w:rStyle w:val="kleinschrift"/>
        </w:rPr>
        <w:t>1</w:t>
      </w:r>
      <w:r>
        <w:t xml:space="preserve">Bei befristeten Arbeitsverträgen ohne sachlichen Grund gelten die ersten sechs Wochen und bei befristeten Arbeitsverträgen mit sachlichem Grund die ersten sechs Monate als Probezeit. </w:t>
      </w:r>
      <w:r>
        <w:rPr>
          <w:rStyle w:val="kleinschrift"/>
        </w:rPr>
        <w:t>2</w:t>
      </w:r>
      <w:r>
        <w:t>Innerhalb der Probezeit kann der Arbeitsvertrag mit einer Frist von zwei Wochen zum Monatsschluss gekündigt werden.</w:t>
      </w:r>
    </w:p>
    <w:p w:rsidR="00BE1EFE" w:rsidRDefault="00BE1EFE">
      <w:pPr>
        <w:pStyle w:val="StandardWeb"/>
      </w:pPr>
    </w:p>
    <w:p w:rsidR="00BE1EFE" w:rsidRDefault="00BE1EFE">
      <w:pPr>
        <w:pStyle w:val="StandardWeb"/>
      </w:pPr>
      <w:r>
        <w:t>(5) </w:t>
      </w:r>
      <w:r>
        <w:rPr>
          <w:rStyle w:val="kleinschrift"/>
        </w:rPr>
        <w:t>1</w:t>
      </w:r>
      <w:r>
        <w:t xml:space="preserve">Eine ordentliche Kündigung nach Ablauf der Probezeit ist nur zulässig, wenn die Vertragsdauer mindestens zwölf Monate beträgt. </w:t>
      </w:r>
      <w:r>
        <w:rPr>
          <w:rStyle w:val="kleinschrift"/>
        </w:rPr>
        <w:t>2</w:t>
      </w:r>
      <w:r>
        <w:t>Nach Ablauf der Probezeit beträgt die Kündigungsfrist in einem oder mehreren aneinander gereihten Arbeitsverhältnissen bei demselben Arbeitgeber</w:t>
      </w:r>
    </w:p>
    <w:tbl>
      <w:tblPr>
        <w:tblW w:w="5000" w:type="pct"/>
        <w:tblCellMar>
          <w:left w:w="0" w:type="dxa"/>
          <w:right w:w="0" w:type="dxa"/>
        </w:tblCellMar>
        <w:tblLook w:val="04A0" w:firstRow="1" w:lastRow="0" w:firstColumn="1" w:lastColumn="0" w:noHBand="0" w:noVBand="1"/>
      </w:tblPr>
      <w:tblGrid>
        <w:gridCol w:w="5289"/>
        <w:gridCol w:w="1618"/>
      </w:tblGrid>
      <w:tr w:rsidR="00BE1EFE">
        <w:tc>
          <w:tcPr>
            <w:tcW w:w="7277" w:type="dxa"/>
            <w:tcMar>
              <w:top w:w="0" w:type="dxa"/>
              <w:left w:w="108" w:type="dxa"/>
              <w:bottom w:w="0" w:type="dxa"/>
              <w:right w:w="108" w:type="dxa"/>
            </w:tcMar>
            <w:hideMark/>
          </w:tcPr>
          <w:p w:rsidR="00BE1EFE" w:rsidRPr="000B1AF8" w:rsidRDefault="00BE1EFE">
            <w:pPr>
              <w:pStyle w:val="StandardWeb"/>
              <w:ind w:left="120" w:right="120"/>
            </w:pPr>
            <w:r>
              <w:rPr>
                <w:rFonts w:cs="Arial"/>
                <w:color w:val="000000"/>
              </w:rPr>
              <w:t>von insgesamt mehr als sechs Monaten</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 xml:space="preserve">  vier Wochen,</w:t>
            </w:r>
          </w:p>
        </w:tc>
      </w:tr>
      <w:tr w:rsidR="00BE1EFE">
        <w:tc>
          <w:tcPr>
            <w:tcW w:w="7277" w:type="dxa"/>
            <w:tcMar>
              <w:top w:w="0" w:type="dxa"/>
              <w:left w:w="108" w:type="dxa"/>
              <w:bottom w:w="0" w:type="dxa"/>
              <w:right w:w="108" w:type="dxa"/>
            </w:tcMar>
            <w:hideMark/>
          </w:tcPr>
          <w:p w:rsidR="00BE1EFE" w:rsidRPr="000B1AF8" w:rsidRDefault="00BE1EFE" w:rsidP="00550BCE">
            <w:pPr>
              <w:pStyle w:val="StandardWeb"/>
              <w:spacing w:after="60"/>
              <w:ind w:left="119" w:right="119"/>
            </w:pPr>
            <w:r>
              <w:rPr>
                <w:rFonts w:cs="Arial"/>
                <w:color w:val="000000"/>
              </w:rPr>
              <w:t>von insgesamt mehr als einem Jahr</w:t>
            </w:r>
          </w:p>
          <w:p w:rsidR="00BE1EFE" w:rsidRPr="000B1AF8" w:rsidRDefault="00BE1EFE" w:rsidP="00550BCE">
            <w:pPr>
              <w:pStyle w:val="StandardWeb"/>
              <w:spacing w:after="60"/>
              <w:ind w:left="119" w:right="119"/>
            </w:pPr>
            <w:r>
              <w:rPr>
                <w:rFonts w:cs="Arial"/>
                <w:color w:val="000000"/>
              </w:rPr>
              <w:t>zum Schluss eines Kalendermonats,</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sechs Wochen</w:t>
            </w:r>
          </w:p>
        </w:tc>
      </w:tr>
      <w:tr w:rsidR="00BE1EFE">
        <w:tc>
          <w:tcPr>
            <w:tcW w:w="7277" w:type="dxa"/>
            <w:tcMar>
              <w:top w:w="0" w:type="dxa"/>
              <w:left w:w="108" w:type="dxa"/>
              <w:bottom w:w="0" w:type="dxa"/>
              <w:right w:w="108" w:type="dxa"/>
            </w:tcMar>
            <w:hideMark/>
          </w:tcPr>
          <w:p w:rsidR="00BE1EFE" w:rsidRPr="000B1AF8" w:rsidRDefault="00BE1EFE" w:rsidP="005416DC">
            <w:pPr>
              <w:pStyle w:val="StandardWeb"/>
              <w:ind w:left="120" w:right="120"/>
            </w:pPr>
            <w:r>
              <w:rPr>
                <w:rFonts w:cs="Arial"/>
                <w:color w:val="000000"/>
              </w:rPr>
              <w:t>von insgesamt mehr als zwei Jahren</w:t>
            </w:r>
          </w:p>
          <w:p w:rsidR="00BE1EFE" w:rsidRDefault="00BE1EFE" w:rsidP="00550BCE">
            <w:pPr>
              <w:pStyle w:val="StandardWeb"/>
              <w:spacing w:after="60"/>
              <w:ind w:left="119" w:right="119"/>
            </w:pPr>
            <w:r>
              <w:rPr>
                <w:rFonts w:cs="Arial"/>
                <w:color w:val="000000"/>
              </w:rPr>
              <w:t>von insgesamt mehr als drei Jahren</w:t>
            </w:r>
          </w:p>
          <w:p w:rsidR="00BE1EFE" w:rsidRPr="000B1AF8" w:rsidRDefault="00BE1EFE" w:rsidP="00550BCE">
            <w:pPr>
              <w:pStyle w:val="StandardWeb"/>
              <w:spacing w:after="60"/>
              <w:ind w:left="119" w:right="119"/>
            </w:pPr>
            <w:r>
              <w:rPr>
                <w:rFonts w:cs="Arial"/>
                <w:color w:val="000000"/>
              </w:rPr>
              <w:t>zum Schluss eines Kalendervierteljahres.</w:t>
            </w:r>
          </w:p>
        </w:tc>
        <w:tc>
          <w:tcPr>
            <w:tcW w:w="2011" w:type="dxa"/>
            <w:tcMar>
              <w:top w:w="0" w:type="dxa"/>
              <w:left w:w="108" w:type="dxa"/>
              <w:bottom w:w="0" w:type="dxa"/>
              <w:right w:w="108" w:type="dxa"/>
            </w:tcMar>
            <w:hideMark/>
          </w:tcPr>
          <w:p w:rsidR="00BE1EFE" w:rsidRPr="000B1AF8" w:rsidRDefault="00BE1EFE" w:rsidP="00772B74">
            <w:pPr>
              <w:pStyle w:val="StandardWeb"/>
              <w:ind w:left="119"/>
              <w:jc w:val="right"/>
            </w:pPr>
            <w:r>
              <w:rPr>
                <w:rFonts w:cs="Arial"/>
                <w:color w:val="000000"/>
              </w:rPr>
              <w:t>drei Monate,</w:t>
            </w:r>
          </w:p>
          <w:p w:rsidR="00BE1EFE" w:rsidRPr="000B1AF8" w:rsidRDefault="00BE1EFE" w:rsidP="00772B74">
            <w:pPr>
              <w:pStyle w:val="StandardWeb"/>
              <w:ind w:left="119"/>
              <w:jc w:val="right"/>
            </w:pPr>
            <w:r>
              <w:rPr>
                <w:rFonts w:cs="Arial"/>
                <w:color w:val="000000"/>
              </w:rPr>
              <w:t>vier Monate</w:t>
            </w:r>
          </w:p>
        </w:tc>
      </w:tr>
    </w:tbl>
    <w:p w:rsidR="00BE1EFE" w:rsidRDefault="00BE1EFE">
      <w:pPr>
        <w:pStyle w:val="StandardWeb"/>
      </w:pPr>
      <w:r>
        <w:rPr>
          <w:rStyle w:val="kleinschrift"/>
        </w:rPr>
        <w:t>3</w:t>
      </w:r>
      <w:r>
        <w:t xml:space="preserve">Eine Unterbrechung bis zu drei Monaten ist unschädlich, es sei denn, dass das Ausscheiden von der/dem Beschäftigten verschuldet oder veranlasst war. </w:t>
      </w:r>
      <w:r>
        <w:rPr>
          <w:rStyle w:val="kleinschrift"/>
        </w:rPr>
        <w:t>4</w:t>
      </w:r>
      <w:r>
        <w:t>Die Unterbrechungszeit bleibt unberücksichtigt.</w:t>
      </w:r>
    </w:p>
    <w:p w:rsidR="00BE1EFE" w:rsidRDefault="00BE1EFE">
      <w:pPr>
        <w:pStyle w:val="StandardWeb"/>
      </w:pPr>
      <w:r>
        <w:rPr>
          <w:sz w:val="12"/>
          <w:szCs w:val="12"/>
        </w:rPr>
        <w:t>Anmerkung zu Absatz 5:</w:t>
      </w:r>
    </w:p>
    <w:p w:rsidR="00BE1EFE" w:rsidRPr="000B1AF8" w:rsidRDefault="00BE1EFE">
      <w:pPr>
        <w:pStyle w:val="StandardWeb"/>
      </w:pPr>
      <w:r>
        <w:rPr>
          <w:sz w:val="12"/>
          <w:szCs w:val="12"/>
        </w:rPr>
        <w:t>Bei mehreren aneinander gereihten Arbeitsverhältnissen führen weitere vereinbarte Probezeiten nicht zu einer Verkürzung der Kündigungsfrist.</w:t>
      </w:r>
    </w:p>
    <w:p w:rsidR="00BE1EFE" w:rsidRPr="000B1AF8" w:rsidRDefault="00BE1EFE">
      <w:pPr>
        <w:pStyle w:val="StandardWeb"/>
      </w:pPr>
    </w:p>
    <w:p w:rsidR="00BE1EFE" w:rsidRDefault="00BE1EFE">
      <w:pPr>
        <w:pStyle w:val="StandardWeb"/>
      </w:pPr>
      <w:r>
        <w:t xml:space="preserve">(6) Die </w:t>
      </w:r>
      <w:hyperlink r:id="rId141" w:history="1">
        <w:r w:rsidRPr="002D1F1D">
          <w:rPr>
            <w:rStyle w:val="Hyperlink"/>
          </w:rPr>
          <w:t>§§ 31,</w:t>
        </w:r>
      </w:hyperlink>
      <w:r>
        <w:t xml:space="preserve"> </w:t>
      </w:r>
      <w:hyperlink r:id="rId142" w:history="1">
        <w:r>
          <w:rPr>
            <w:rStyle w:val="Hyperlink"/>
          </w:rPr>
          <w:t>32</w:t>
        </w:r>
      </w:hyperlink>
      <w:r>
        <w:t xml:space="preserve"> bleiben von den Bestimmungen der Absätze 3 bis 5 unberührt.</w:t>
      </w:r>
    </w:p>
    <w:p w:rsidR="00BE1EFE" w:rsidRDefault="00BE1EFE">
      <w:pPr>
        <w:pStyle w:val="StandardWeb"/>
      </w:pPr>
    </w:p>
    <w:p w:rsidR="00BE1EFE" w:rsidRDefault="00BE1EFE">
      <w:pPr>
        <w:pStyle w:val="StandardWeb"/>
      </w:pPr>
    </w:p>
    <w:p w:rsidR="00BE1EFE" w:rsidRDefault="00BE1EFE">
      <w:pPr>
        <w:pStyle w:val="berschrift6"/>
      </w:pPr>
      <w:bookmarkStart w:id="52" w:name="_Toc523925723"/>
      <w:r>
        <w:lastRenderedPageBreak/>
        <w:t>§ 31 Führung auf Probe</w:t>
      </w:r>
      <w:bookmarkEnd w:id="5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Führungspositionen können als befristetes Arbeitsverhältnis bis zur Gesamtdauer von zwei Jahren vereinbart werden. </w:t>
      </w:r>
      <w:r>
        <w:rPr>
          <w:rStyle w:val="kleinschrift"/>
        </w:rPr>
        <w:t>2</w:t>
      </w:r>
      <w:r>
        <w:t xml:space="preserve">Innerhalb dieser Gesamtdauer ist eine höchstens zweimalige Verlängerung des Arbeitsvertrages zulässig. </w:t>
      </w:r>
      <w:r>
        <w:rPr>
          <w:rStyle w:val="kleinschrift"/>
        </w:rPr>
        <w:t>3</w:t>
      </w:r>
      <w:r>
        <w:t xml:space="preserve">Die </w:t>
      </w:r>
      <w:proofErr w:type="gramStart"/>
      <w:r>
        <w:t>beiderseitigen</w:t>
      </w:r>
      <w:proofErr w:type="gramEnd"/>
      <w:r>
        <w:t xml:space="preserve"> Kündigungsrechte bleiben unberührt.</w:t>
      </w:r>
    </w:p>
    <w:p w:rsidR="00BE1EFE" w:rsidRPr="000B1AF8" w:rsidRDefault="00BE1EFE">
      <w:pPr>
        <w:pStyle w:val="StandardWeb"/>
      </w:pPr>
    </w:p>
    <w:p w:rsidR="00BE1EFE" w:rsidRDefault="00BE1EFE">
      <w:pPr>
        <w:pStyle w:val="StandardWeb"/>
      </w:pPr>
      <w:r>
        <w:t>(2) Führungspositionen sind die ab Entgeltgruppe 10 zugewiesenen Tätigkeiten mit Weisungs</w:t>
      </w:r>
      <w:r>
        <w:softHyphen/>
        <w:t>befugnis, die vor Übertragung vom Arbeitgeber ausdrücklich als Führungspositionen auf Probe bezeichnet worden sind.</w:t>
      </w:r>
    </w:p>
    <w:p w:rsidR="00BE1EFE" w:rsidRDefault="00BE1EFE">
      <w:pPr>
        <w:pStyle w:val="StandardWeb"/>
      </w:pPr>
    </w:p>
    <w:p w:rsidR="00BE1EFE" w:rsidRDefault="00BE1EFE">
      <w:pPr>
        <w:pStyle w:val="StandardWeb"/>
      </w:pPr>
      <w:r>
        <w:t>(3) </w:t>
      </w:r>
      <w:r>
        <w:rPr>
          <w:rStyle w:val="kleinschrift"/>
        </w:rPr>
        <w:t>1</w:t>
      </w:r>
      <w:r>
        <w:t xml:space="preserve">Besteht bereits ein Arbeitsverhältnis mit demselben Arbeitgeber, kann der/dem Beschäftigten vorübergehend eine Führungsposition bis zu der in Absatz 1 genannten Gesamtdauer übertragen </w:t>
      </w:r>
      <w:proofErr w:type="gramStart"/>
      <w:r>
        <w:t>werden</w:t>
      </w:r>
      <w:proofErr w:type="gramEnd"/>
      <w:r>
        <w:t xml:space="preserve">. </w:t>
      </w:r>
      <w:r>
        <w:rPr>
          <w:rStyle w:val="kleinschrift"/>
        </w:rPr>
        <w:t>2</w:t>
      </w:r>
      <w:r>
        <w:t xml:space="preserve">Der/Dem Beschäftigten wird für die Dauer der Übertragung eine Zulage in Höhe des Unterschiedsbetrags zwischen den Tabellenentgelten nach der bisherigen Entgeltgruppe und dem sich bei Höhergruppierung nach </w:t>
      </w:r>
      <w:hyperlink r:id="rId143" w:history="1">
        <w:r w:rsidRPr="009E5941">
          <w:rPr>
            <w:rStyle w:val="Hyperlink"/>
          </w:rPr>
          <w:t>§ 17 Absatz 4 Satz 1</w:t>
        </w:r>
      </w:hyperlink>
      <w:r>
        <w:t xml:space="preserve"> ergebenden Tabellenentgelt gewährt. </w:t>
      </w:r>
      <w:r>
        <w:rPr>
          <w:rStyle w:val="kleinschrift"/>
        </w:rPr>
        <w:t>3</w:t>
      </w:r>
      <w:r>
        <w:t xml:space="preserve">Nach Fristablauf endet die Erprobung. </w:t>
      </w:r>
      <w:r>
        <w:rPr>
          <w:rStyle w:val="kleinschrift"/>
        </w:rPr>
        <w:t>4</w:t>
      </w:r>
      <w:r>
        <w:t>Bei Bewährung wird die Führungsfunktion auf Dauer übertragen; ansonsten erhält die/der Beschäftigte eine der bisherigen Eingruppierung entsprechende Tätigkeit.</w:t>
      </w:r>
    </w:p>
    <w:p w:rsidR="00BE1EFE" w:rsidRDefault="00BE1EFE">
      <w:pPr>
        <w:pStyle w:val="berschrift6"/>
      </w:pPr>
      <w:bookmarkStart w:id="53" w:name="_Toc523925724"/>
      <w:r>
        <w:t>§ 32 Führung auf Zeit</w:t>
      </w:r>
      <w:bookmarkEnd w:id="5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Führungspositionen können als befristetes Arbeitsverhältnis bis zur Dauer von vier Jahren vereinbart werden. </w:t>
      </w:r>
      <w:r>
        <w:rPr>
          <w:rStyle w:val="kleinschrift"/>
        </w:rPr>
        <w:t>2</w:t>
      </w:r>
      <w:r>
        <w:t>Folgende Verlängerungen des Arbeitsvertrages sind zulässig:</w:t>
      </w:r>
    </w:p>
    <w:p w:rsidR="00BE1EFE" w:rsidRDefault="00BE1EFE">
      <w:pPr>
        <w:pStyle w:val="StandardWeb"/>
      </w:pPr>
      <w:r>
        <w:t>a) in den Entgeltgruppen 10 bis 12 eine höchstens zweimalige Verlängerung bis zu einer Gesamtdauer von acht Jahren,</w:t>
      </w:r>
    </w:p>
    <w:p w:rsidR="00BE1EFE" w:rsidRDefault="00BE1EFE">
      <w:pPr>
        <w:pStyle w:val="StandardWeb"/>
      </w:pPr>
      <w:r>
        <w:t>b) ab Entgeltgruppe 13 eine höchstens dreimalige Verlängerung bis zu einer Gesamtdauer von zwölf Jahren.</w:t>
      </w:r>
    </w:p>
    <w:p w:rsidR="00BE1EFE" w:rsidRPr="000B1AF8" w:rsidRDefault="00BE1EFE">
      <w:pPr>
        <w:pStyle w:val="StandardWeb"/>
      </w:pPr>
      <w:r>
        <w:rPr>
          <w:rStyle w:val="kleinschrift"/>
        </w:rPr>
        <w:t>3</w:t>
      </w:r>
      <w:r>
        <w:t xml:space="preserve">Zeiten in einer Führungsposition nach Buchstabe a) bei demselben Arbeitgeber können auf die Gesamtdauer nach Buchstabe b) zur Hälfte angerechnet werden. </w:t>
      </w:r>
      <w:r>
        <w:rPr>
          <w:rStyle w:val="kleinschrift"/>
        </w:rPr>
        <w:t>4</w:t>
      </w:r>
      <w:r>
        <w:t xml:space="preserve">Die allgemeinen Vorschriften über die Probezeit </w:t>
      </w:r>
      <w:hyperlink r:id="rId144" w:history="1">
        <w:r w:rsidRPr="002D1F1D">
          <w:rPr>
            <w:rStyle w:val="Hyperlink"/>
          </w:rPr>
          <w:t>(§ 2 Absatz 4)</w:t>
        </w:r>
      </w:hyperlink>
      <w:r>
        <w:t xml:space="preserve"> und die beiderseitigen Kündigungsrechte bleiben unberührt.</w:t>
      </w:r>
    </w:p>
    <w:p w:rsidR="00BE1EFE" w:rsidRPr="000B1AF8" w:rsidRDefault="00BE1EFE">
      <w:pPr>
        <w:pStyle w:val="StandardWeb"/>
      </w:pPr>
    </w:p>
    <w:p w:rsidR="00BE1EFE" w:rsidRDefault="00BE1EFE">
      <w:pPr>
        <w:pStyle w:val="StandardWeb"/>
      </w:pPr>
      <w:r>
        <w:t>(2) Führungspositionen sind die ab Entgeltgruppe 10 zugewiesenen Tätigkeiten mit Weisungs</w:t>
      </w:r>
      <w:r>
        <w:softHyphen/>
        <w:t>befugnis, die vor Übertragung vom Arbeitgeber ausdrücklich als Führungspositionen auf Zeit bezeichnet worden sind.</w:t>
      </w:r>
    </w:p>
    <w:p w:rsidR="00BE1EFE" w:rsidRDefault="00BE1EFE">
      <w:pPr>
        <w:pStyle w:val="StandardWeb"/>
      </w:pPr>
    </w:p>
    <w:p w:rsidR="00BE1EFE" w:rsidRDefault="00BE1EFE">
      <w:pPr>
        <w:pStyle w:val="StandardWeb"/>
      </w:pPr>
      <w:r>
        <w:t>(3) </w:t>
      </w:r>
      <w:r>
        <w:rPr>
          <w:rStyle w:val="kleinschrift"/>
        </w:rPr>
        <w:t>1</w:t>
      </w:r>
      <w:r>
        <w:t xml:space="preserve">Besteht bereits ein Arbeitsverhältnis mit demselben Arbeitgeber, kann der/dem Beschäftigten vorübergehend eine Führungsposition bis zu den in Absatz 1 genannten Fristen übertragen </w:t>
      </w:r>
      <w:proofErr w:type="gramStart"/>
      <w:r>
        <w:t>werden</w:t>
      </w:r>
      <w:proofErr w:type="gramEnd"/>
      <w:r>
        <w:t xml:space="preserve">. </w:t>
      </w:r>
      <w:r>
        <w:rPr>
          <w:rStyle w:val="kleinschrift"/>
        </w:rPr>
        <w:t>2</w:t>
      </w:r>
      <w:r>
        <w:t xml:space="preserve">Der/Dem Beschäftigten wird für die Dauer der Übertragung eine Zulage gewährt in Höhe des Unterschiedsbetrags zwischen den Tabellenentgelten nach der bisherigen Entgeltgruppe und dem sich bei Höhergruppierung nach </w:t>
      </w:r>
      <w:hyperlink r:id="rId145" w:history="1">
        <w:r w:rsidRPr="009E5941">
          <w:rPr>
            <w:rStyle w:val="Hyperlink"/>
          </w:rPr>
          <w:t>§ 17 Absatz 4 Satz 1</w:t>
        </w:r>
      </w:hyperlink>
      <w:r>
        <w:t xml:space="preserve"> ergebenden Tabellenentgelt, zuzüglich eines Zuschlags von 75 v. H. des Unterschiedsbetrags zwischen den Tabellenentgelten der Entgeltgruppe, die der übertragenen Funktion entspricht, zur nächsthöheren Entgeltgruppe nach </w:t>
      </w:r>
      <w:hyperlink r:id="rId146" w:history="1">
        <w:r w:rsidRPr="009E5941">
          <w:rPr>
            <w:rStyle w:val="Hyperlink"/>
          </w:rPr>
          <w:t>§ 17 Absatz 4 Satz 1</w:t>
        </w:r>
      </w:hyperlink>
      <w:r>
        <w:t>.</w:t>
      </w:r>
      <w:r>
        <w:rPr>
          <w:rStyle w:val="kleinschrift"/>
        </w:rPr>
        <w:t xml:space="preserve"> 3</w:t>
      </w:r>
      <w:r>
        <w:t>Nach Fristablauf erhält die/der Beschäftigte eine der bisherigen Eingruppierung entsprechende Tätigkeit; der Zuschlag entfällt.</w:t>
      </w:r>
    </w:p>
    <w:p w:rsidR="00BE1EFE" w:rsidRDefault="00BE1EFE">
      <w:pPr>
        <w:pStyle w:val="berschrift6"/>
      </w:pPr>
      <w:bookmarkStart w:id="54" w:name="_Toc523925725"/>
      <w:r>
        <w:t>§ 33 Beendigung des Arbeitsverhältnisses ohne Kündigung</w:t>
      </w:r>
      <w:bookmarkEnd w:id="54"/>
    </w:p>
    <w:p w:rsidR="00BE1EFE" w:rsidRPr="00B76821" w:rsidRDefault="00BE1EFE" w:rsidP="00B76821">
      <w:pPr>
        <w:pStyle w:val="h7"/>
        <w:keepNext w:val="0"/>
        <w:spacing w:before="0" w:after="0"/>
        <w:jc w:val="left"/>
        <w:outlineLvl w:val="5"/>
        <w:rPr>
          <w:sz w:val="2"/>
        </w:rPr>
      </w:pPr>
    </w:p>
    <w:p w:rsidR="00BE1EFE" w:rsidRDefault="00BE1EFE">
      <w:pPr>
        <w:pStyle w:val="StandardWeb"/>
      </w:pPr>
      <w:r>
        <w:t>(1) Das Arbeitsverhältnis endet, ohne dass es einer Kündigung bedarf,</w:t>
      </w:r>
    </w:p>
    <w:p w:rsidR="00BE1EFE" w:rsidRDefault="00BE1EFE">
      <w:pPr>
        <w:pStyle w:val="StandardWeb"/>
      </w:pPr>
      <w:r>
        <w:lastRenderedPageBreak/>
        <w:t>a) mit Ablauf des Monats, in dem die/der Beschäftigte das gesetzlich festgelegte Alter zum Erreichen der Regelaltersrente vollendet hat,</w:t>
      </w:r>
    </w:p>
    <w:p w:rsidR="00BE1EFE" w:rsidRPr="000B1AF8" w:rsidRDefault="00BE1EFE">
      <w:pPr>
        <w:pStyle w:val="StandardWeb"/>
      </w:pPr>
      <w:r>
        <w:t>b) jederzeit im gegenseitigen Einvernehmen (Auflösungsvertrag).</w:t>
      </w:r>
    </w:p>
    <w:p w:rsidR="00BE1EFE" w:rsidRPr="000B1AF8" w:rsidRDefault="00BE1EFE">
      <w:pPr>
        <w:pStyle w:val="StandardWeb"/>
      </w:pPr>
    </w:p>
    <w:p w:rsidR="00BE1EFE" w:rsidRDefault="00BE1EFE">
      <w:pPr>
        <w:pStyle w:val="StandardWeb"/>
      </w:pPr>
      <w:r>
        <w:t>(2) </w:t>
      </w:r>
      <w:r>
        <w:rPr>
          <w:rStyle w:val="kleinschrift"/>
        </w:rPr>
        <w:t>1</w:t>
      </w:r>
      <w:r>
        <w:t xml:space="preserve">Das Arbeitsverhältnis endet ferner mit Ablauf des Monats, in dem der Bescheid eines Rentenversicherungsträgers (Rentenbescheid) zugestellt wird, wonach die/der Beschäftigte voll oder teilweise erwerbsgemindert ist. </w:t>
      </w:r>
      <w:r>
        <w:rPr>
          <w:rStyle w:val="kleinschrift"/>
        </w:rPr>
        <w:t>2</w:t>
      </w:r>
      <w:r>
        <w:t xml:space="preserve">Die/Der Beschäftigte hat den Arbeitgeber von der Zustellung des Rentenbescheids unverzüglich zu unterrichten. </w:t>
      </w:r>
      <w:r>
        <w:rPr>
          <w:rStyle w:val="kleinschrift"/>
        </w:rPr>
        <w:t>3</w:t>
      </w:r>
      <w:r>
        <w:t xml:space="preserve">Beginnt die Rente erst nach der Zustellung des Rentenbescheids, endet das Arbeitsverhältnis mit Ablauf des dem Rentenbeginn vorangehenden Tages. </w:t>
      </w:r>
      <w:r>
        <w:rPr>
          <w:rStyle w:val="kleinschrift"/>
        </w:rPr>
        <w:t>4</w:t>
      </w:r>
      <w:r>
        <w:t xml:space="preserve">Liegt im Zeitpunkt der Beendigung des Arbeitsverhältnisses eine nach </w:t>
      </w:r>
      <w:hyperlink r:id="rId147" w:history="1">
        <w:r w:rsidRPr="00241474">
          <w:rPr>
            <w:rStyle w:val="Hyperlink"/>
          </w:rPr>
          <w:t>§ 175 SGB XI</w:t>
        </w:r>
      </w:hyperlink>
      <w:hyperlink r:id="rId148" w:tgtFrame="_blank" w:history="1">
        <w:r>
          <w:rPr>
            <w:rStyle w:val="Hyperlink"/>
          </w:rPr>
          <w:t xml:space="preserve"> </w:t>
        </w:r>
      </w:hyperlink>
      <w:r>
        <w:t xml:space="preserve">erforderliche Zustimmung des Integrationsamtes noch nicht vor, endet das Arbeitsverhältnis mit Ablauf des Tages der Zustellung des Zustimmungsbescheids des Integrationsamtes. </w:t>
      </w:r>
      <w:r>
        <w:rPr>
          <w:rStyle w:val="kleinschrift"/>
        </w:rPr>
        <w:t>5</w:t>
      </w:r>
      <w:r>
        <w:t xml:space="preserve">Das Arbeitsverhältnis endet nicht, wenn nach dem Bescheid des Rentenversicherungsträgers eine Rente auf Zeit gewährt wird. </w:t>
      </w:r>
      <w:r>
        <w:rPr>
          <w:rStyle w:val="kleinschrift"/>
        </w:rPr>
        <w:t>6</w:t>
      </w:r>
      <w:r>
        <w:t>In diesem Fall ruht das Arbeitsverhältnis für den Zeitraum, für den eine Rente auf Zeit gewährt wird; beginnt die Rente rückwirkend, ruht das Arbeitsverhältnis ab dem ersten Tag des Monats, der auf den Monat der Zustellung des Rentenbescheids folgt.</w:t>
      </w:r>
    </w:p>
    <w:p w:rsidR="00BE1EFE" w:rsidRDefault="00BE1EFE">
      <w:pPr>
        <w:pStyle w:val="StandardWeb"/>
      </w:pPr>
    </w:p>
    <w:p w:rsidR="00BE1EFE" w:rsidRDefault="00BE1EFE">
      <w:pPr>
        <w:pStyle w:val="StandardWeb"/>
      </w:pPr>
      <w:r>
        <w:t>(3) Im Falle teilweiser Erwerbsminderung endet bzw. ruht das Arbeitsverhältnis nicht, wenn die/der Beschäftigte nach ihrem/seinem vom Rentenversicherungsträger festgestellten Leistungsvermögen auf seinem bisherigen oder einem anderen geeigneten und freien Arbeitsplatz weiterbeschäftigt werden könnte, soweit dringende dienstliche bzw. betriebliche Gründe nicht entgegenstehen, und die/der Beschäftigte innerhalb von zwei Wochen nach Zugang des Rentenbescheids ihre/seine Weiterbeschäftigung schriftlich beantragt.</w:t>
      </w:r>
    </w:p>
    <w:p w:rsidR="00BE1EFE" w:rsidRDefault="00BE1EFE">
      <w:pPr>
        <w:pStyle w:val="StandardWeb"/>
      </w:pPr>
    </w:p>
    <w:p w:rsidR="00BE1EFE" w:rsidRDefault="00BE1EFE">
      <w:pPr>
        <w:pStyle w:val="StandardWeb"/>
      </w:pPr>
      <w:r>
        <w:t>(4) </w:t>
      </w:r>
      <w:r>
        <w:rPr>
          <w:rStyle w:val="kleinschrift"/>
        </w:rPr>
        <w:t>1</w:t>
      </w:r>
      <w:r>
        <w:t>Verzögert die/der Beschäftigte schuldhaft den Rentenantrag oder bezieht sie/er Alters</w:t>
      </w:r>
      <w:r>
        <w:softHyphen/>
        <w:t xml:space="preserve">rente nach </w:t>
      </w:r>
      <w:hyperlink r:id="rId149" w:tgtFrame="_blank" w:history="1">
        <w:r>
          <w:rPr>
            <w:rStyle w:val="Hyperlink"/>
          </w:rPr>
          <w:t>§ 236</w:t>
        </w:r>
      </w:hyperlink>
      <w:r>
        <w:t xml:space="preserve"> oder </w:t>
      </w:r>
      <w:hyperlink r:id="rId150" w:tgtFrame="_blank" w:history="1">
        <w:r>
          <w:rPr>
            <w:rStyle w:val="Hyperlink"/>
          </w:rPr>
          <w:t>§ 236a SGB VI</w:t>
        </w:r>
      </w:hyperlink>
      <w:r>
        <w:t xml:space="preserve"> oder ist sie/er nicht in der gesetzlichen Renten</w:t>
      </w:r>
      <w:r>
        <w:softHyphen/>
        <w:t>versicherung versichert, so tritt an die Stelle des Rentenbescheids das Gutachten einer Amts</w:t>
      </w:r>
      <w:r>
        <w:softHyphen/>
        <w:t xml:space="preserve">ärztin/eines Amtsarztes oder einer/eines nach </w:t>
      </w:r>
      <w:hyperlink r:id="rId151" w:history="1">
        <w:r w:rsidRPr="002D1F1D">
          <w:rPr>
            <w:rStyle w:val="Hyperlink"/>
          </w:rPr>
          <w:t xml:space="preserve">§ 3 </w:t>
        </w:r>
        <w:r>
          <w:rPr>
            <w:rStyle w:val="Hyperlink"/>
          </w:rPr>
          <w:t>Absatz</w:t>
        </w:r>
        <w:r w:rsidRPr="002D1F1D">
          <w:rPr>
            <w:rStyle w:val="Hyperlink"/>
          </w:rPr>
          <w:t xml:space="preserve"> 4 Satz 2</w:t>
        </w:r>
      </w:hyperlink>
      <w:r>
        <w:t xml:space="preserve"> bestimmten Ärztin/Arztes. </w:t>
      </w:r>
      <w:r>
        <w:rPr>
          <w:rStyle w:val="kleinschrift"/>
        </w:rPr>
        <w:t>2</w:t>
      </w:r>
      <w:r>
        <w:t>Das Arbeitsverhältnis endet in diesem Fall mit Ablauf des Monats, in dem der/dem Beschäftigten das Gutachten bekannt gegeben worden ist.</w:t>
      </w:r>
    </w:p>
    <w:p w:rsidR="00BE1EFE" w:rsidRDefault="00BE1EFE">
      <w:pPr>
        <w:pStyle w:val="StandardWeb"/>
      </w:pPr>
    </w:p>
    <w:p w:rsidR="00BE1EFE" w:rsidRDefault="00BE1EFE">
      <w:pPr>
        <w:pStyle w:val="StandardWeb"/>
      </w:pPr>
      <w:r>
        <w:t>(5) </w:t>
      </w:r>
      <w:r>
        <w:rPr>
          <w:rStyle w:val="kleinschrift"/>
        </w:rPr>
        <w:t>1</w:t>
      </w:r>
      <w:r>
        <w:t xml:space="preserve">Soll die/der Beschäftigte, deren/dessen Arbeitsverhältnis nach Absatz 1 Buchstabe a) geendet hat, weiterbeschäftigt werden, ist ein neuer schriftlicher Arbeitsvertrag abzuschließen. </w:t>
      </w:r>
      <w:r>
        <w:rPr>
          <w:rStyle w:val="kleinschrift"/>
        </w:rPr>
        <w:t>2</w:t>
      </w:r>
      <w:r>
        <w:t>Das Arbeitsverhältnis kann jederzeit mit einer Frist von vier Wochen zum Monatsende gekündigt werden, wenn im Arbeitsvertrag nichts anderes vereinbart ist.</w:t>
      </w:r>
    </w:p>
    <w:p w:rsidR="00BE1EFE" w:rsidRDefault="00BE1EFE">
      <w:pPr>
        <w:pStyle w:val="berschrift6"/>
      </w:pPr>
      <w:bookmarkStart w:id="55" w:name="_Toc523925726"/>
      <w:r>
        <w:t>§ 34 Kündigung des Arbeitsverhältnisses</w:t>
      </w:r>
      <w:bookmarkEnd w:id="5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Bis zum Ende des sechsten Monats seit Beginn des Arbeitsverhältnisses beträgt die Kündigungsfrist zwei Wochen zum Monatsschluss. </w:t>
      </w:r>
      <w:r>
        <w:rPr>
          <w:rStyle w:val="kleinschrift"/>
        </w:rPr>
        <w:t>2</w:t>
      </w:r>
      <w:r>
        <w:t>Im Übrigen beträgt die Kündigungsfrist bei einer Beschäftigungszeit (Absatz 3 Satz 1 und 2)</w:t>
      </w:r>
    </w:p>
    <w:tbl>
      <w:tblPr>
        <w:tblW w:w="0" w:type="auto"/>
        <w:tblCellMar>
          <w:left w:w="0" w:type="dxa"/>
          <w:right w:w="0" w:type="dxa"/>
        </w:tblCellMar>
        <w:tblLook w:val="04A0" w:firstRow="1" w:lastRow="0" w:firstColumn="1" w:lastColumn="0" w:noHBand="0" w:noVBand="1"/>
      </w:tblPr>
      <w:tblGrid>
        <w:gridCol w:w="4467"/>
        <w:gridCol w:w="2440"/>
      </w:tblGrid>
      <w:tr w:rsidR="00BE1EFE">
        <w:tc>
          <w:tcPr>
            <w:tcW w:w="6204" w:type="dxa"/>
            <w:tcMar>
              <w:top w:w="0" w:type="dxa"/>
              <w:left w:w="108" w:type="dxa"/>
              <w:bottom w:w="0" w:type="dxa"/>
              <w:right w:w="108" w:type="dxa"/>
            </w:tcMar>
            <w:hideMark/>
          </w:tcPr>
          <w:p w:rsidR="00BE1EFE" w:rsidRPr="000B1AF8" w:rsidRDefault="00BE1EFE">
            <w:pPr>
              <w:pStyle w:val="StandardWeb"/>
            </w:pPr>
            <w:r>
              <w:t>bis zu einem Jahr</w:t>
            </w:r>
          </w:p>
        </w:tc>
        <w:tc>
          <w:tcPr>
            <w:tcW w:w="3008" w:type="dxa"/>
            <w:tcMar>
              <w:top w:w="0" w:type="dxa"/>
              <w:left w:w="108" w:type="dxa"/>
              <w:bottom w:w="0" w:type="dxa"/>
              <w:right w:w="108" w:type="dxa"/>
            </w:tcMar>
            <w:hideMark/>
          </w:tcPr>
          <w:p w:rsidR="00BE1EFE" w:rsidRPr="000B1AF8" w:rsidRDefault="00BE1EFE">
            <w:pPr>
              <w:pStyle w:val="StandardWeb"/>
            </w:pPr>
            <w:r>
              <w:t>1 Monat zum Monatsschluss,</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mehr als einem Jahr</w:t>
            </w:r>
          </w:p>
        </w:tc>
        <w:tc>
          <w:tcPr>
            <w:tcW w:w="3008" w:type="dxa"/>
            <w:tcMar>
              <w:top w:w="0" w:type="dxa"/>
              <w:left w:w="108" w:type="dxa"/>
              <w:bottom w:w="0" w:type="dxa"/>
              <w:right w:w="108" w:type="dxa"/>
            </w:tcMar>
            <w:hideMark/>
          </w:tcPr>
          <w:p w:rsidR="00BE1EFE" w:rsidRPr="000B1AF8" w:rsidRDefault="00BE1EFE">
            <w:pPr>
              <w:pStyle w:val="StandardWeb"/>
            </w:pPr>
            <w:r>
              <w:t>6 Wochen,</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5 Jahren</w:t>
            </w:r>
          </w:p>
        </w:tc>
        <w:tc>
          <w:tcPr>
            <w:tcW w:w="3008" w:type="dxa"/>
            <w:tcMar>
              <w:top w:w="0" w:type="dxa"/>
              <w:left w:w="108" w:type="dxa"/>
              <w:bottom w:w="0" w:type="dxa"/>
              <w:right w:w="108" w:type="dxa"/>
            </w:tcMar>
            <w:hideMark/>
          </w:tcPr>
          <w:p w:rsidR="00BE1EFE" w:rsidRPr="000B1AF8" w:rsidRDefault="00BE1EFE">
            <w:pPr>
              <w:pStyle w:val="StandardWeb"/>
            </w:pPr>
            <w:r>
              <w:t>3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8 Jahren</w:t>
            </w:r>
          </w:p>
        </w:tc>
        <w:tc>
          <w:tcPr>
            <w:tcW w:w="3008" w:type="dxa"/>
            <w:tcMar>
              <w:top w:w="0" w:type="dxa"/>
              <w:left w:w="108" w:type="dxa"/>
              <w:bottom w:w="0" w:type="dxa"/>
              <w:right w:w="108" w:type="dxa"/>
            </w:tcMar>
            <w:hideMark/>
          </w:tcPr>
          <w:p w:rsidR="00BE1EFE" w:rsidRPr="000B1AF8" w:rsidRDefault="00BE1EFE">
            <w:pPr>
              <w:pStyle w:val="StandardWeb"/>
            </w:pPr>
            <w:r>
              <w:t>4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10 Jahren</w:t>
            </w:r>
          </w:p>
        </w:tc>
        <w:tc>
          <w:tcPr>
            <w:tcW w:w="3008" w:type="dxa"/>
            <w:tcMar>
              <w:top w:w="0" w:type="dxa"/>
              <w:left w:w="108" w:type="dxa"/>
              <w:bottom w:w="0" w:type="dxa"/>
              <w:right w:w="108" w:type="dxa"/>
            </w:tcMar>
            <w:hideMark/>
          </w:tcPr>
          <w:p w:rsidR="00BE1EFE" w:rsidRPr="000B1AF8" w:rsidRDefault="00BE1EFE">
            <w:pPr>
              <w:pStyle w:val="StandardWeb"/>
            </w:pPr>
            <w:r>
              <w:t>5 Monate,</w:t>
            </w:r>
          </w:p>
        </w:tc>
      </w:tr>
      <w:tr w:rsidR="00BE1EFE">
        <w:tc>
          <w:tcPr>
            <w:tcW w:w="6204" w:type="dxa"/>
            <w:tcMar>
              <w:top w:w="0" w:type="dxa"/>
              <w:left w:w="108" w:type="dxa"/>
              <w:bottom w:w="0" w:type="dxa"/>
              <w:right w:w="108" w:type="dxa"/>
            </w:tcMar>
            <w:hideMark/>
          </w:tcPr>
          <w:p w:rsidR="00BE1EFE" w:rsidRPr="000B1AF8" w:rsidRDefault="00BE1EFE">
            <w:pPr>
              <w:pStyle w:val="StandardWeb"/>
            </w:pPr>
            <w:r>
              <w:t>von mindestens 12 Jahren</w:t>
            </w:r>
          </w:p>
        </w:tc>
        <w:tc>
          <w:tcPr>
            <w:tcW w:w="3008" w:type="dxa"/>
            <w:tcMar>
              <w:top w:w="0" w:type="dxa"/>
              <w:left w:w="108" w:type="dxa"/>
              <w:bottom w:w="0" w:type="dxa"/>
              <w:right w:w="108" w:type="dxa"/>
            </w:tcMar>
            <w:hideMark/>
          </w:tcPr>
          <w:p w:rsidR="00BE1EFE" w:rsidRPr="000B1AF8" w:rsidRDefault="00BE1EFE">
            <w:pPr>
              <w:pStyle w:val="StandardWeb"/>
            </w:pPr>
            <w:r>
              <w:t>6 Monate</w:t>
            </w:r>
          </w:p>
        </w:tc>
      </w:tr>
    </w:tbl>
    <w:p w:rsidR="00BE1EFE" w:rsidRDefault="00BE1EFE">
      <w:pPr>
        <w:pStyle w:val="StandardWeb"/>
      </w:pPr>
    </w:p>
    <w:p w:rsidR="00BE1EFE" w:rsidRPr="000B1AF8" w:rsidRDefault="00BE1EFE">
      <w:pPr>
        <w:pStyle w:val="StandardWeb"/>
      </w:pPr>
      <w:r>
        <w:t xml:space="preserve">zum Schluss eines Kalendervierteljahres. </w:t>
      </w:r>
      <w:r w:rsidRPr="00B43590">
        <w:rPr>
          <w:sz w:val="12"/>
          <w:szCs w:val="12"/>
        </w:rPr>
        <w:t>3</w:t>
      </w:r>
      <w:r w:rsidRPr="00B43590">
        <w:t xml:space="preserve">Für die Berechnung der Kündigungsfrist gemäß Satz 2 werden Vorbeschäftigungszeiten aus einem vorherigen Arbeitsverhältnis bei einem anderen Arbeitgeber im Sinne des § 1 Absatz 1 mit einem Faktor von 0,5 berücksichtigt </w:t>
      </w:r>
      <w:r w:rsidRPr="00B43590">
        <w:lastRenderedPageBreak/>
        <w:t>(Vorbeschäftigungszeiten von mehr als sechs Monaten werden hierbei wi</w:t>
      </w:r>
      <w:r>
        <w:t>e ein volles Jahr angerechnet).</w:t>
      </w:r>
    </w:p>
    <w:p w:rsidR="00BE1EFE" w:rsidRPr="000B1AF8" w:rsidRDefault="00BE1EFE">
      <w:pPr>
        <w:pStyle w:val="StandardWeb"/>
      </w:pPr>
    </w:p>
    <w:p w:rsidR="00BE1EFE" w:rsidRDefault="00BE1EFE">
      <w:pPr>
        <w:pStyle w:val="StandardWeb"/>
      </w:pPr>
      <w:r>
        <w:t>(2) </w:t>
      </w:r>
      <w:r>
        <w:rPr>
          <w:rStyle w:val="kleinschrift"/>
        </w:rPr>
        <w:t>1</w:t>
      </w:r>
      <w:r>
        <w:t xml:space="preserve">Arbeitsverhältnisse von Beschäftigten, die das 40. Lebensjahr vollendet haben, können nach einer Beschäftigungszeit (Absatz 3 Satz 1 und 2) von mehr als 15 Jahren durch den Arbeitgeber nur aus einem wichtigen Grund gekündigt werden. </w:t>
      </w:r>
      <w:r>
        <w:rPr>
          <w:rStyle w:val="kleinschrift"/>
        </w:rPr>
        <w:t>2</w:t>
      </w:r>
      <w:r>
        <w:t>Soweit Beschäftigte nach den bis zum 30. September 2005 geltenden Regelungen unkündbar waren, verbleibt es dabei.</w:t>
      </w:r>
    </w:p>
    <w:p w:rsidR="00BE1EFE" w:rsidRDefault="00BE1EFE">
      <w:pPr>
        <w:pStyle w:val="StandardWeb"/>
      </w:pPr>
    </w:p>
    <w:p w:rsidR="00BE1EFE" w:rsidRDefault="00BE1EFE">
      <w:pPr>
        <w:pStyle w:val="StandardWeb"/>
      </w:pPr>
      <w:r>
        <w:t>(3) </w:t>
      </w:r>
      <w:r>
        <w:rPr>
          <w:rStyle w:val="kleinschrift"/>
        </w:rPr>
        <w:t>1</w:t>
      </w:r>
      <w:r>
        <w:t xml:space="preserve">Beschäftigungszeit ist die bei demselben Arbeitgeber im Arbeitsverhältnis zurückgelegte Zeit, auch wenn sie unterbrochen ist. </w:t>
      </w:r>
      <w:r>
        <w:rPr>
          <w:rStyle w:val="kleinschrift"/>
        </w:rPr>
        <w:t>2</w:t>
      </w:r>
      <w:r>
        <w:t xml:space="preserve">Unberücksichtigt bleibt die Zeit eines Sonderurlaubs gemäß </w:t>
      </w:r>
      <w:hyperlink r:id="rId152" w:history="1">
        <w:r w:rsidRPr="002D1F1D">
          <w:rPr>
            <w:rStyle w:val="Hyperlink"/>
          </w:rPr>
          <w:t>§ 28</w:t>
        </w:r>
      </w:hyperlink>
      <w:r>
        <w:t xml:space="preserve">, es sei denn, der Arbeitgeber hat vor Antritt des Sonderurlaubs schriftlich ein dienstliches oder betriebliches Interesse anerkannt. </w:t>
      </w:r>
      <w:r>
        <w:rPr>
          <w:rStyle w:val="kleinschrift"/>
        </w:rPr>
        <w:t>3</w:t>
      </w:r>
      <w:r>
        <w:t xml:space="preserve">Wechseln Beschäftigte zwischen Arbeitgebern, die vom Geltungsbereich des ABD erfasst werden, werden die Zeiten bei dem anderen Arbeitgeber als Beschäftigungszeit anerkannt. </w:t>
      </w:r>
      <w:r>
        <w:rPr>
          <w:rStyle w:val="kleinschrift"/>
        </w:rPr>
        <w:t>4</w:t>
      </w:r>
      <w:r>
        <w:t>Satz 3 gilt entsprechend bei einem Wechsel von einem anderen kirchlichen Arbeitgeber.</w:t>
      </w:r>
    </w:p>
    <w:p w:rsidR="00BE1EFE" w:rsidRDefault="00BE1EFE">
      <w:pPr>
        <w:pStyle w:val="StandardWeb"/>
      </w:pPr>
      <w:r>
        <w:rPr>
          <w:sz w:val="12"/>
          <w:szCs w:val="12"/>
        </w:rPr>
        <w:t>Protokollnotiz zu Satz 4:</w:t>
      </w:r>
    </w:p>
    <w:p w:rsidR="00BE1EFE" w:rsidRDefault="00BE1EFE">
      <w:pPr>
        <w:pStyle w:val="StandardWeb"/>
      </w:pPr>
      <w:r>
        <w:rPr>
          <w:sz w:val="12"/>
          <w:szCs w:val="12"/>
        </w:rPr>
        <w:t>Kirchlicher Arbeitgeber sind auch die Kirchen und kirchlichen Gemeinschaften, die Mitglied in der Arbeitsgemeinschaft christlicher Kirchen in der Bundesrepublik Deutschland sind.</w:t>
      </w:r>
    </w:p>
    <w:p w:rsidR="00BE1EFE" w:rsidRDefault="00BE1EFE">
      <w:pPr>
        <w:pStyle w:val="berschrift6"/>
      </w:pPr>
      <w:bookmarkStart w:id="56" w:name="_Toc523925727"/>
      <w:r>
        <w:t>§ 35 Zeugnis</w:t>
      </w:r>
      <w:bookmarkEnd w:id="5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Bei Beendigung des Arbeitsverhältnisses haben die Beschäftigten Anspruch auf ein schriftliches Zeugnis über Art und Dauer ihrer Tätigkeit, das sich auch auf Führung und Leistung erstrecken muss (Endzeugnis).</w:t>
      </w:r>
    </w:p>
    <w:p w:rsidR="00BE1EFE" w:rsidRPr="000B1AF8" w:rsidRDefault="00BE1EFE">
      <w:pPr>
        <w:pStyle w:val="StandardWeb"/>
      </w:pPr>
    </w:p>
    <w:p w:rsidR="00BE1EFE" w:rsidRDefault="00BE1EFE">
      <w:pPr>
        <w:pStyle w:val="StandardWeb"/>
      </w:pPr>
      <w:r>
        <w:t>(2) Aus triftigen Gründen können Beschäftigte auch während des Arbeitsverhältnisses ein Zeugnis verlangen (Zwischenzeugnis).</w:t>
      </w:r>
    </w:p>
    <w:p w:rsidR="00BE1EFE" w:rsidRDefault="00BE1EFE">
      <w:pPr>
        <w:pStyle w:val="StandardWeb"/>
      </w:pPr>
    </w:p>
    <w:p w:rsidR="00BE1EFE" w:rsidRDefault="00BE1EFE">
      <w:pPr>
        <w:pStyle w:val="StandardWeb"/>
      </w:pPr>
      <w:r>
        <w:t>(3) Bei bevorstehender Beendigung des Arbeitsverhältnisses können die Beschäftigten ein Zeugnis über Art und Dauer ihrer Tätigkeit verlangen (vorläufiges Zeugnis).</w:t>
      </w:r>
    </w:p>
    <w:p w:rsidR="00BE1EFE" w:rsidRDefault="00BE1EFE">
      <w:pPr>
        <w:pStyle w:val="StandardWeb"/>
      </w:pPr>
    </w:p>
    <w:p w:rsidR="00BE1EFE" w:rsidRPr="002C2E7C" w:rsidRDefault="00BE1EFE" w:rsidP="002C2E7C">
      <w:pPr>
        <w:pStyle w:val="StandardWeb"/>
        <w:jc w:val="left"/>
        <w:rPr>
          <w:sz w:val="2"/>
          <w:szCs w:val="2"/>
        </w:rPr>
      </w:pPr>
      <w:r>
        <w:t>(4) Die Zeugnisse gemäß den Absätzen 1 bis 3 sind unverzüglich auszustellen.</w:t>
      </w:r>
      <w:r>
        <w:br w:type="page"/>
      </w:r>
    </w:p>
    <w:p w:rsidR="00BE1EFE" w:rsidRDefault="00BE1EFE" w:rsidP="002C2E7C">
      <w:pPr>
        <w:pStyle w:val="berschrift5"/>
        <w:spacing w:before="0"/>
      </w:pPr>
      <w:bookmarkStart w:id="57" w:name="_Toc523925728"/>
      <w:r>
        <w:lastRenderedPageBreak/>
        <w:t>Abschnitt VI: Sonstige Vorschriften (§§ 36-43)</w:t>
      </w:r>
      <w:bookmarkEnd w:id="57"/>
    </w:p>
    <w:p w:rsidR="00BE1EFE" w:rsidRDefault="00BE1EFE">
      <w:pPr>
        <w:pStyle w:val="berschrift6"/>
      </w:pPr>
      <w:bookmarkStart w:id="58" w:name="_Toc523925729"/>
      <w:r>
        <w:t>§ 36 Beihilfen bei Krankheits-, Pflege-, Geburts- und Todesfällen, Unterstützungen</w:t>
      </w:r>
      <w:bookmarkEnd w:id="58"/>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Für die Gewährung von Beihilfen in Krankheits-, Pflege-, Geburts- und Todesfällen sowie von Unterstützungen gilt die </w:t>
      </w:r>
      <w:hyperlink r:id="rId153" w:history="1">
        <w:r w:rsidRPr="002D1F1D">
          <w:rPr>
            <w:rStyle w:val="Hyperlink"/>
          </w:rPr>
          <w:t>Beihilfeordnung Teil A</w:t>
        </w:r>
      </w:hyperlink>
      <w:r>
        <w:rPr>
          <w:vertAlign w:val="superscript"/>
        </w:rPr>
        <w:t>1</w:t>
      </w:r>
      <w:r>
        <w:t xml:space="preserve"> in ihrer jeweiligen Fassung.</w:t>
      </w:r>
    </w:p>
    <w:p w:rsidR="00BE1EFE" w:rsidRPr="000B1AF8" w:rsidRDefault="00BE1EFE">
      <w:pPr>
        <w:pStyle w:val="StandardWeb"/>
      </w:pPr>
      <w:r>
        <w:rPr>
          <w:sz w:val="12"/>
          <w:szCs w:val="12"/>
          <w:vertAlign w:val="superscript"/>
        </w:rPr>
        <w:t>1</w:t>
      </w:r>
      <w:r>
        <w:rPr>
          <w:sz w:val="12"/>
          <w:szCs w:val="12"/>
        </w:rPr>
        <w:t xml:space="preserve"> </w:t>
      </w:r>
      <w:hyperlink r:id="rId154" w:history="1">
        <w:r w:rsidRPr="002D1F1D">
          <w:rPr>
            <w:rStyle w:val="Hyperlink"/>
            <w:sz w:val="12"/>
            <w:szCs w:val="12"/>
          </w:rPr>
          <w:t>Beihilfeordnung Teil A</w:t>
        </w:r>
      </w:hyperlink>
      <w:r>
        <w:rPr>
          <w:sz w:val="12"/>
          <w:szCs w:val="12"/>
        </w:rPr>
        <w:t xml:space="preserve"> abgedruckt im </w:t>
      </w:r>
      <w:hyperlink r:id="rId155" w:history="1">
        <w:r w:rsidRPr="002D1F1D">
          <w:rPr>
            <w:rStyle w:val="Hyperlink"/>
            <w:sz w:val="12"/>
            <w:szCs w:val="12"/>
          </w:rPr>
          <w:t>Anhang II</w:t>
        </w:r>
      </w:hyperlink>
      <w:r>
        <w:rPr>
          <w:sz w:val="12"/>
          <w:szCs w:val="12"/>
        </w:rPr>
        <w:t>.</w:t>
      </w:r>
    </w:p>
    <w:p w:rsidR="00BE1EFE" w:rsidRDefault="00BE1EFE">
      <w:pPr>
        <w:pStyle w:val="berschrift6"/>
      </w:pPr>
      <w:bookmarkStart w:id="59" w:name="_Toc523925730"/>
      <w:r>
        <w:t>§ 36a Kirchliche Höherversicherung I in Krankheitsfällen</w:t>
      </w:r>
      <w:bookmarkEnd w:id="59"/>
    </w:p>
    <w:p w:rsidR="00BE1EFE" w:rsidRPr="00B76821" w:rsidRDefault="00BE1EFE" w:rsidP="00B76821">
      <w:pPr>
        <w:pStyle w:val="h7"/>
        <w:keepNext w:val="0"/>
        <w:spacing w:before="0" w:after="0"/>
        <w:jc w:val="left"/>
        <w:outlineLvl w:val="5"/>
        <w:rPr>
          <w:sz w:val="2"/>
        </w:rPr>
      </w:pPr>
    </w:p>
    <w:p w:rsidR="00BE1EFE" w:rsidRDefault="00BE1EFE">
      <w:pPr>
        <w:pStyle w:val="StandardWeb"/>
        <w:rPr>
          <w:vertAlign w:val="superscript"/>
        </w:rPr>
      </w:pPr>
      <w:r>
        <w:t xml:space="preserve">Der/Dem Beschäftigten wird unbeschadet der Gewährung von Beihilfen nach </w:t>
      </w:r>
      <w:hyperlink r:id="rId156" w:history="1">
        <w:r w:rsidRPr="002D1F1D">
          <w:rPr>
            <w:rStyle w:val="Hyperlink"/>
          </w:rPr>
          <w:t>§ 36</w:t>
        </w:r>
      </w:hyperlink>
      <w:r>
        <w:t xml:space="preserve"> eine gesonderte kirchliche Höherversicherung in Krankheitsfällen nach Maßgabe der </w:t>
      </w:r>
      <w:hyperlink r:id="rId157" w:history="1">
        <w:r w:rsidRPr="002D1F1D">
          <w:rPr>
            <w:rStyle w:val="Hyperlink"/>
          </w:rPr>
          <w:t>Beihilfeordnung Teil B</w:t>
        </w:r>
      </w:hyperlink>
      <w:r>
        <w:rPr>
          <w:vertAlign w:val="superscript"/>
        </w:rPr>
        <w:t xml:space="preserve">1 </w:t>
      </w:r>
      <w:r>
        <w:t>in ihrer jeweiligen Fassung ermöglicht.</w:t>
      </w:r>
      <w:r>
        <w:rPr>
          <w:vertAlign w:val="superscript"/>
        </w:rPr>
        <w:t>2</w:t>
      </w:r>
    </w:p>
    <w:p w:rsidR="00BE1EFE" w:rsidRDefault="00BE1EFE">
      <w:pPr>
        <w:pStyle w:val="StandardWeb"/>
        <w:rPr>
          <w:sz w:val="12"/>
          <w:szCs w:val="12"/>
          <w:vertAlign w:val="superscript"/>
        </w:rPr>
      </w:pPr>
      <w:r>
        <w:rPr>
          <w:sz w:val="12"/>
          <w:szCs w:val="12"/>
          <w:vertAlign w:val="superscript"/>
        </w:rPr>
        <w:t>1</w:t>
      </w:r>
      <w:hyperlink r:id="rId158" w:history="1">
        <w:r w:rsidRPr="002D1F1D">
          <w:rPr>
            <w:rStyle w:val="Hyperlink"/>
            <w:sz w:val="12"/>
            <w:szCs w:val="12"/>
          </w:rPr>
          <w:t>Beihilfeordnung Teil B</w:t>
        </w:r>
      </w:hyperlink>
      <w:r>
        <w:rPr>
          <w:sz w:val="12"/>
          <w:szCs w:val="12"/>
        </w:rPr>
        <w:t xml:space="preserve"> abgedruckt im </w:t>
      </w:r>
      <w:hyperlink r:id="rId159" w:history="1">
        <w:r w:rsidRPr="002D1F1D">
          <w:rPr>
            <w:rStyle w:val="Hyperlink"/>
            <w:sz w:val="12"/>
            <w:szCs w:val="12"/>
          </w:rPr>
          <w:t>Anhang II.</w:t>
        </w:r>
      </w:hyperlink>
    </w:p>
    <w:p w:rsidR="00BE1EFE" w:rsidRPr="000B1AF8" w:rsidRDefault="00BE1EFE">
      <w:pPr>
        <w:pStyle w:val="StandardWeb"/>
      </w:pPr>
      <w:r>
        <w:rPr>
          <w:sz w:val="12"/>
          <w:szCs w:val="12"/>
          <w:vertAlign w:val="superscript"/>
        </w:rPr>
        <w:t>2</w:t>
      </w:r>
      <w:r>
        <w:rPr>
          <w:sz w:val="12"/>
          <w:szCs w:val="12"/>
        </w:rPr>
        <w:t>Bei Änderungen der kirchlichen Höherversicherung in Krankheitsfällen haben sich die bayerischen Diözesen mit der Bayerischen Regional-KODA ins Benehmen zu setzen.</w:t>
      </w:r>
    </w:p>
    <w:p w:rsidR="00BE1EFE" w:rsidRDefault="00BE1EFE">
      <w:pPr>
        <w:pStyle w:val="berschrift6"/>
      </w:pPr>
      <w:bookmarkStart w:id="60" w:name="_Toc523925731"/>
      <w:r>
        <w:t>§ 36b Übergangsregelung für die kirchliche Beihilfeversicherung bei Krankheitsfällen</w:t>
      </w:r>
      <w:bookmarkEnd w:id="6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w:t>
      </w:r>
      <w:r>
        <w:rPr>
          <w:rStyle w:val="kleinschrift"/>
        </w:rPr>
        <w:t>1</w:t>
      </w:r>
      <w:r>
        <w:t>Zur Wahrung des Besitzstandes wird den Beschäftigten, die</w:t>
      </w:r>
    </w:p>
    <w:p w:rsidR="00BE1EFE" w:rsidRPr="000B1AF8" w:rsidRDefault="00BE1EFE">
      <w:pPr>
        <w:pStyle w:val="StandardWeb"/>
      </w:pPr>
    </w:p>
    <w:p w:rsidR="00BE1EFE" w:rsidRDefault="00BE1EFE">
      <w:pPr>
        <w:pStyle w:val="StandardWeb"/>
      </w:pPr>
      <w:r>
        <w:t>1. am 31.08.1994 in einem unter die arbeitsvertragsrechtlichen Regelungen der bayerischen Diözesen fallenden Arbeitsverhältnis gestanden haben, das am 01.09.1994 mit mindestens der Hälfte der durchschnittlichen regelmäßigen wöchentlichen Arbeitszeit eines/einer entsprechenden vollbeschäftigten Beschäftigten fortbestanden hat,</w:t>
      </w:r>
    </w:p>
    <w:p w:rsidR="00BE1EFE" w:rsidRDefault="00BE1EFE">
      <w:pPr>
        <w:pStyle w:val="StandardWeb"/>
      </w:pPr>
      <w:r>
        <w:t>und die</w:t>
      </w:r>
    </w:p>
    <w:p w:rsidR="00BE1EFE" w:rsidRDefault="00BE1EFE">
      <w:pPr>
        <w:pStyle w:val="StandardWeb"/>
      </w:pPr>
      <w:r>
        <w:t>2. am 31.08.1994 nach diözesaner Regelung einen Anspruch auf Gewährung von Beihilfen in Krankheits-, Pflege-, Geburts- und Todesfällen sowie von Unterstützungen nach Tarif 820 der Beihilfeversicherung hatten,</w:t>
      </w:r>
    </w:p>
    <w:p w:rsidR="00BE1EFE" w:rsidRDefault="00BE1EFE">
      <w:pPr>
        <w:pStyle w:val="StandardWeb"/>
      </w:pPr>
      <w:r>
        <w:t xml:space="preserve">die kirchliche Höherversicherung in Krankheitsfällen gemäß </w:t>
      </w:r>
      <w:hyperlink r:id="rId160" w:history="1">
        <w:r w:rsidRPr="002D1F1D">
          <w:rPr>
            <w:rStyle w:val="Hyperlink"/>
          </w:rPr>
          <w:t>§ 36a</w:t>
        </w:r>
      </w:hyperlink>
      <w:r>
        <w:t xml:space="preserve"> nach Ablauf der jeweiligen diözesanen Wartezeit für die Dauer dieses Arbeitsverhältnisses als Beihilfe ohne eigene Kostenbeteiligung gewährt. </w:t>
      </w:r>
      <w:r>
        <w:rPr>
          <w:rStyle w:val="kleinschrift"/>
        </w:rPr>
        <w:t>2</w:t>
      </w:r>
      <w:r>
        <w:t>Der Übertritt in ein Arbeitsverhältnis zu einem anderen Arbeitgeber, der das Arbeitsvertragsrecht der bayerischen Diözesen anwendet, ist unschädlich, soweit eine Unterbrechung nicht vorliegt und der neue Arbeitgeber die gleichen diözesanen Beihilferegelungen anwendet.</w:t>
      </w:r>
      <w:r>
        <w:rPr>
          <w:vertAlign w:val="superscript"/>
        </w:rPr>
        <w:t>1</w:t>
      </w:r>
      <w:r>
        <w:t xml:space="preserve"> </w:t>
      </w:r>
      <w:r>
        <w:rPr>
          <w:rStyle w:val="kleinschrift"/>
        </w:rPr>
        <w:t>3</w:t>
      </w:r>
      <w:r>
        <w:t xml:space="preserve">Satz 1 und 2 gilt auch für Beschäftigte, die die Voraussetzungen des Satz 1 Nr. 2 wegen Inanspruchnahme von Elternzeit, Sonderurlaub nach </w:t>
      </w:r>
      <w:hyperlink r:id="rId161" w:history="1">
        <w:r w:rsidRPr="002D1F1D">
          <w:rPr>
            <w:rStyle w:val="Hyperlink"/>
          </w:rPr>
          <w:t xml:space="preserve">§ 28 </w:t>
        </w:r>
        <w:r>
          <w:rPr>
            <w:rStyle w:val="Hyperlink"/>
          </w:rPr>
          <w:t>Absatz</w:t>
        </w:r>
        <w:r w:rsidRPr="002D1F1D">
          <w:rPr>
            <w:rStyle w:val="Hyperlink"/>
          </w:rPr>
          <w:t xml:space="preserve"> 2</w:t>
        </w:r>
      </w:hyperlink>
      <w:r>
        <w:t xml:space="preserve"> oder Teilzeitbeschäftigung nach </w:t>
      </w:r>
      <w:hyperlink r:id="rId162" w:history="1">
        <w:r w:rsidRPr="002D1F1D">
          <w:rPr>
            <w:rStyle w:val="Hyperlink"/>
          </w:rPr>
          <w:t>§ 11</w:t>
        </w:r>
      </w:hyperlink>
      <w:r>
        <w:t xml:space="preserve"> nicht erfüllen, sofern der Beschäftigungsumfang des/der Beschäftigten im unmittelbaren Anschluss wieder mindestens die Hälfte der durchschnittlichen regelmäßigen wöchentlichen Arbeitszeit eines/einer entsprechenden vollbeschäftigten Beschäftigten beträgt.</w:t>
      </w:r>
    </w:p>
    <w:p w:rsidR="00BE1EFE" w:rsidRDefault="00BE1EFE">
      <w:pPr>
        <w:pStyle w:val="StandardWeb"/>
      </w:pPr>
      <w:r>
        <w:rPr>
          <w:vertAlign w:val="superscript"/>
        </w:rPr>
        <w:t>1</w:t>
      </w:r>
      <w:r>
        <w:rPr>
          <w:rStyle w:val="kleinschrift"/>
        </w:rPr>
        <w:t>Satz 1 findet auch Anwendung im Ruhestand, sofern und soweit dem/der Beschäftigten eine entsprechende Zusage erteilt worden ist.</w:t>
      </w:r>
    </w:p>
    <w:p w:rsidR="00BE1EFE" w:rsidRDefault="00BE1EFE">
      <w:pPr>
        <w:pStyle w:val="StandardWeb"/>
      </w:pPr>
    </w:p>
    <w:p w:rsidR="00BE1EFE" w:rsidRDefault="00BE1EFE">
      <w:pPr>
        <w:pStyle w:val="StandardWeb"/>
      </w:pPr>
      <w:r>
        <w:t>(2) Beschäftigte, die am 31.12.1998 Beihilfeansprüche nach Tarif 825 hatten, erhalten für die Dauer dieses Beschäftigungsverhältnisses bei einer Versicherung im Tarif 820 K den Betrag, der der Differenz aus dem Tarif 825 der Beihilfeversicherung und dem Tarif 810 der Beihilfeversicherung zum Stande vom 31.12.1998 entspricht.</w:t>
      </w:r>
    </w:p>
    <w:p w:rsidR="00BE1EFE" w:rsidRDefault="00BE1EFE">
      <w:pPr>
        <w:pStyle w:val="StandardWeb"/>
      </w:pPr>
    </w:p>
    <w:p w:rsidR="00BE1EFE" w:rsidRDefault="00BE1EFE">
      <w:pPr>
        <w:pStyle w:val="berschrift6"/>
      </w:pPr>
      <w:bookmarkStart w:id="61" w:name="_Toc523925732"/>
      <w:r>
        <w:lastRenderedPageBreak/>
        <w:t>§ 36c Kirchliche Höherversicherung II in Krankheitsfällen</w:t>
      </w:r>
      <w:bookmarkEnd w:id="6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Der/Dem Beschäftigten wird unbeschadet der Gewährung von Beihilfen nach </w:t>
      </w:r>
      <w:hyperlink r:id="rId163" w:history="1">
        <w:r w:rsidRPr="002D1F1D">
          <w:rPr>
            <w:rStyle w:val="Hyperlink"/>
          </w:rPr>
          <w:t>§ 36</w:t>
        </w:r>
      </w:hyperlink>
      <w:r>
        <w:t xml:space="preserve"> eine gesonderte kirchliche Höherversicherung in Krankheitsfällen nach Maßgabe der Beihilfeord</w:t>
      </w:r>
      <w:r>
        <w:softHyphen/>
        <w:t>nung Teil C</w:t>
      </w:r>
      <w:r>
        <w:rPr>
          <w:vertAlign w:val="superscript"/>
        </w:rPr>
        <w:t>1</w:t>
      </w:r>
      <w:r>
        <w:t xml:space="preserve"> in ihrer jeweiligen Fassung ermöglicht.</w:t>
      </w:r>
      <w:r>
        <w:rPr>
          <w:vertAlign w:val="superscript"/>
        </w:rPr>
        <w:t>2</w:t>
      </w:r>
    </w:p>
    <w:p w:rsidR="00BE1EFE" w:rsidRPr="000B1AF8" w:rsidRDefault="00BE1EFE">
      <w:pPr>
        <w:pStyle w:val="StandardWeb"/>
      </w:pPr>
    </w:p>
    <w:p w:rsidR="00BE1EFE" w:rsidRDefault="00BE1EFE">
      <w:pPr>
        <w:pStyle w:val="StandardWeb"/>
      </w:pPr>
      <w:r>
        <w:t>(2) </w:t>
      </w:r>
      <w:r>
        <w:rPr>
          <w:rStyle w:val="kleinschrift"/>
        </w:rPr>
        <w:t>1</w:t>
      </w:r>
      <w:r>
        <w:t xml:space="preserve">Für Beschäftigte mit Anspruch auf Beihilfen nach </w:t>
      </w:r>
      <w:hyperlink r:id="rId164" w:history="1">
        <w:r w:rsidRPr="002D1F1D">
          <w:rPr>
            <w:rStyle w:val="Hyperlink"/>
          </w:rPr>
          <w:t>§ 36b Absatz 1</w:t>
        </w:r>
      </w:hyperlink>
      <w:r>
        <w:t xml:space="preserve">, die von der Möglichkeit der gesonderten kirchlichen Höherversicherung nach Absatz 1 (Beihilfeordnung Teil C) Gebrauch machen, bleibt der Anspruch aus </w:t>
      </w:r>
      <w:hyperlink r:id="rId165" w:history="1">
        <w:r w:rsidRPr="002D1F1D">
          <w:rPr>
            <w:rStyle w:val="Hyperlink"/>
          </w:rPr>
          <w:t>§ 36b Absatz 1</w:t>
        </w:r>
      </w:hyperlink>
      <w:r>
        <w:t xml:space="preserve"> unberührt. </w:t>
      </w:r>
      <w:r>
        <w:rPr>
          <w:rStyle w:val="kleinschrift"/>
        </w:rPr>
        <w:t>2</w:t>
      </w:r>
      <w:r>
        <w:t xml:space="preserve">Die/Der Beschäftigte trägt nur die über den Anspruch auf Beihilfen nach </w:t>
      </w:r>
      <w:hyperlink r:id="rId166" w:history="1">
        <w:r w:rsidRPr="002D1F1D">
          <w:rPr>
            <w:rStyle w:val="Hyperlink"/>
          </w:rPr>
          <w:t>§ 36b Absatz 1</w:t>
        </w:r>
      </w:hyperlink>
      <w:r>
        <w:t xml:space="preserve"> hinausgehenden Kosten der Kirchlichen Höherversicherung II in Krankheitsfällen.</w:t>
      </w:r>
      <w:r>
        <w:rPr>
          <w:vertAlign w:val="superscript"/>
        </w:rPr>
        <w:t>3</w:t>
      </w:r>
    </w:p>
    <w:p w:rsidR="00BE1EFE" w:rsidRDefault="00BE1EFE">
      <w:pPr>
        <w:pStyle w:val="StandardWeb"/>
      </w:pPr>
    </w:p>
    <w:p w:rsidR="00BE1EFE" w:rsidRDefault="00BE1EFE">
      <w:pPr>
        <w:pStyle w:val="StandardWeb"/>
      </w:pPr>
      <w:r>
        <w:t xml:space="preserve">(3) Für Beschäftigte mit Anspruch nach </w:t>
      </w:r>
      <w:hyperlink r:id="rId167" w:history="1">
        <w:r w:rsidRPr="002D1F1D">
          <w:rPr>
            <w:rStyle w:val="Hyperlink"/>
          </w:rPr>
          <w:t>§ 36b Absatz 2</w:t>
        </w:r>
      </w:hyperlink>
      <w:r>
        <w:t xml:space="preserve">, die von der Möglichkeit der gesonderten kirchlichen Höherversicherung nach Absatz 1 (Beihilfeordnung Teil C) Gebrauch machen, bleibt der Anspruch aus </w:t>
      </w:r>
      <w:hyperlink r:id="rId168" w:history="1">
        <w:r w:rsidRPr="002D1F1D">
          <w:rPr>
            <w:rStyle w:val="Hyperlink"/>
          </w:rPr>
          <w:t>§ 36b Absatz 2</w:t>
        </w:r>
      </w:hyperlink>
      <w:r>
        <w:t xml:space="preserve"> unberührt.</w:t>
      </w:r>
    </w:p>
    <w:p w:rsidR="00BE1EFE" w:rsidRDefault="00BE1EFE">
      <w:pPr>
        <w:pStyle w:val="StandardWeb"/>
      </w:pPr>
      <w:r>
        <w:rPr>
          <w:sz w:val="12"/>
          <w:szCs w:val="12"/>
          <w:vertAlign w:val="superscript"/>
        </w:rPr>
        <w:t>1</w:t>
      </w:r>
      <w:r>
        <w:rPr>
          <w:rStyle w:val="kleinschrift"/>
          <w:szCs w:val="12"/>
        </w:rPr>
        <w:t>Beihilfeordnung Teil C abgedruckt im Anhang II.</w:t>
      </w:r>
    </w:p>
    <w:p w:rsidR="00BE1EFE" w:rsidRDefault="00BE1EFE">
      <w:pPr>
        <w:pStyle w:val="StandardWeb"/>
      </w:pPr>
    </w:p>
    <w:p w:rsidR="00BE1EFE" w:rsidRDefault="00BE1EFE">
      <w:pPr>
        <w:pStyle w:val="StandardWeb"/>
      </w:pPr>
      <w:r>
        <w:rPr>
          <w:sz w:val="12"/>
          <w:szCs w:val="12"/>
          <w:vertAlign w:val="superscript"/>
        </w:rPr>
        <w:t>2</w:t>
      </w:r>
      <w:r>
        <w:rPr>
          <w:rStyle w:val="kleinschrift"/>
          <w:szCs w:val="12"/>
        </w:rPr>
        <w:t>Bei Änderungen der kirchlichen Höherversicherung II in Krankheitsfällen haben sich die bayerischen Diözesen mit der Bayerischen Regional-KODA ins Benehmen zu setzen.</w:t>
      </w:r>
    </w:p>
    <w:p w:rsidR="00BE1EFE" w:rsidRDefault="00BE1EFE">
      <w:pPr>
        <w:pStyle w:val="StandardWeb"/>
      </w:pPr>
    </w:p>
    <w:p w:rsidR="00BE1EFE" w:rsidRDefault="00BE1EFE">
      <w:pPr>
        <w:pStyle w:val="StandardWeb"/>
      </w:pPr>
      <w:r>
        <w:rPr>
          <w:sz w:val="12"/>
          <w:szCs w:val="12"/>
          <w:vertAlign w:val="superscript"/>
        </w:rPr>
        <w:t>3</w:t>
      </w:r>
      <w:hyperlink r:id="rId169" w:history="1">
        <w:r w:rsidRPr="002D1F1D">
          <w:rPr>
            <w:rStyle w:val="Hyperlink"/>
            <w:sz w:val="12"/>
            <w:szCs w:val="12"/>
          </w:rPr>
          <w:t>§ 36c Absatz 2</w:t>
        </w:r>
      </w:hyperlink>
      <w:r>
        <w:rPr>
          <w:rStyle w:val="kleinschrift"/>
          <w:szCs w:val="12"/>
        </w:rPr>
        <w:t xml:space="preserve"> findet auch Anwendung im Ruhestand, sofern und soweit der/dem Beschäftigten eine entsprechende Zusage gem. </w:t>
      </w:r>
      <w:hyperlink r:id="rId170" w:history="1">
        <w:r w:rsidRPr="002D1F1D">
          <w:rPr>
            <w:rStyle w:val="Hyperlink"/>
            <w:sz w:val="12"/>
            <w:szCs w:val="12"/>
          </w:rPr>
          <w:t>§ 36b Absatz 1</w:t>
        </w:r>
      </w:hyperlink>
      <w:r>
        <w:rPr>
          <w:rStyle w:val="kleinschrift"/>
          <w:szCs w:val="12"/>
        </w:rPr>
        <w:t xml:space="preserve"> (Fußnote 1) erteilt worden ist.</w:t>
      </w:r>
    </w:p>
    <w:p w:rsidR="00BE1EFE" w:rsidRDefault="00BE1EFE">
      <w:pPr>
        <w:pStyle w:val="berschrift6"/>
      </w:pPr>
      <w:bookmarkStart w:id="62" w:name="_Toc523925733"/>
      <w:r>
        <w:t>§ 36d Erstausstattung bei Geburten</w:t>
      </w:r>
      <w:bookmarkEnd w:id="62"/>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Beschäftigte erhalten bei der Geburt eines Kindes eine Geburtspauschale. </w:t>
      </w:r>
      <w:r>
        <w:rPr>
          <w:rStyle w:val="kleinschrift"/>
        </w:rPr>
        <w:t>2</w:t>
      </w:r>
      <w:r>
        <w:t>Die Geburts</w:t>
      </w:r>
      <w:r>
        <w:softHyphen/>
        <w:t xml:space="preserve">pauschale beträgt 358,00 Euro pro Kind. </w:t>
      </w:r>
      <w:r>
        <w:rPr>
          <w:rStyle w:val="kleinschrift"/>
        </w:rPr>
        <w:t>3</w:t>
      </w:r>
      <w:r>
        <w:t>Stehen beide Eltern in einem Arbeitsverhältnis, auf welches das Arbeitsvertragsrecht der bayerischen Diözesen Anwendung findet, erhalten beide jeweils die Hälfte der Geburtspauschale.</w:t>
      </w:r>
    </w:p>
    <w:p w:rsidR="00BE1EFE" w:rsidRPr="000B1AF8" w:rsidRDefault="00BE1EFE">
      <w:pPr>
        <w:pStyle w:val="StandardWeb"/>
      </w:pPr>
    </w:p>
    <w:p w:rsidR="00BE1EFE" w:rsidRDefault="00BE1EFE">
      <w:pPr>
        <w:pStyle w:val="StandardWeb"/>
      </w:pPr>
      <w:r>
        <w:t xml:space="preserve">(2) Der Anspruch nach Absatz 1 besteht auch, wenn das Beschäftigungsverhältnis wegen Elternzeit oder Sonderurlaubs zum Zwecke der Erziehung eines Kindes </w:t>
      </w:r>
      <w:r w:rsidRPr="004E23F1">
        <w:t xml:space="preserve">bzw. wegen der Betreuung eines nach ärztlichem Gutachten pflegebedürftigen sonstigen Angehörigen </w:t>
      </w:r>
      <w:r>
        <w:t>ruht.</w:t>
      </w:r>
    </w:p>
    <w:p w:rsidR="00BE1EFE" w:rsidRDefault="00BE1EFE">
      <w:pPr>
        <w:pStyle w:val="StandardWeb"/>
      </w:pPr>
    </w:p>
    <w:p w:rsidR="00BE1EFE" w:rsidRDefault="00BE1EFE">
      <w:pPr>
        <w:pStyle w:val="StandardWeb"/>
      </w:pPr>
      <w:r>
        <w:t>(3) Etwaige Leistungen Dritter, insbesondere aus der Beihilfeversicherung, werden auf den Anspruch nach Absatz 1 nicht angerechnet.</w:t>
      </w:r>
    </w:p>
    <w:p w:rsidR="00BE1EFE" w:rsidRDefault="00BE1EFE">
      <w:pPr>
        <w:pStyle w:val="StandardWeb"/>
      </w:pPr>
    </w:p>
    <w:p w:rsidR="00BE1EFE" w:rsidRDefault="00BE1EFE">
      <w:pPr>
        <w:pStyle w:val="StandardWeb"/>
      </w:pPr>
      <w:r>
        <w:t>(4) Steht eine Beschäftigte/ein Beschäftigter in mehreren Beschäftigungsverhältnissen, auf die das Arbeitsvertragsrecht der bayerischen Diözesen Anwendung findet, erhält die/der Beschäftigte die Geburtspauschale bzw. im Fall des Absatzes 1 Satz 3 die Hälfte der Geburtspauschale von jedem Arbeitgeber anteilig, insgesamt jedoch nur ein Mal.</w:t>
      </w:r>
    </w:p>
    <w:p w:rsidR="00BE1EFE" w:rsidRDefault="00BE1EFE">
      <w:pPr>
        <w:pStyle w:val="berschrift6"/>
      </w:pPr>
      <w:bookmarkStart w:id="63" w:name="_Toc523925734"/>
      <w:r>
        <w:t>§ 36e Kostenpauschale bei Fehl- oder Totgeburten</w:t>
      </w:r>
      <w:bookmarkEnd w:id="6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Arbeitgeber gewährt der/dem Beschäftigten zu den Kosten der Beerdigung einer Fehl- oder Totgeburt eine Kostenpauschale in Höhe von 358,00 Euro.</w:t>
      </w:r>
    </w:p>
    <w:p w:rsidR="00BE1EFE" w:rsidRPr="000B1AF8" w:rsidRDefault="00BE1EFE">
      <w:pPr>
        <w:pStyle w:val="StandardWeb"/>
      </w:pPr>
    </w:p>
    <w:p w:rsidR="00BE1EFE" w:rsidRDefault="00BE1EFE">
      <w:pPr>
        <w:pStyle w:val="StandardWeb"/>
      </w:pPr>
      <w:r>
        <w:t xml:space="preserve">(2) Der Anspruch nach Absatz 1 besteht auch, wenn das Beschäftigungsverhältnis wegen Elternzeit oder Sonderurlaubs zum Zwecke der Erziehung eines Kindes </w:t>
      </w:r>
      <w:r w:rsidRPr="004E23F1">
        <w:t xml:space="preserve">bzw. wegen der Betreuung eines nach ärztlichem Gutachten pflegebedürftigen sonstigen Angehörigen </w:t>
      </w:r>
      <w:r>
        <w:t>ruht.</w:t>
      </w:r>
    </w:p>
    <w:p w:rsidR="00BE1EFE" w:rsidRDefault="00BE1EFE">
      <w:pPr>
        <w:pStyle w:val="StandardWeb"/>
      </w:pPr>
    </w:p>
    <w:p w:rsidR="00BE1EFE" w:rsidRDefault="00BE1EFE">
      <w:pPr>
        <w:pStyle w:val="StandardWeb"/>
      </w:pPr>
      <w:r>
        <w:t>(3) Etwaige Leistungen Dritter werden auf den Anspruch nach Absatz 1 nicht angerechnet.</w:t>
      </w:r>
    </w:p>
    <w:p w:rsidR="00BE1EFE" w:rsidRDefault="00BE1EFE">
      <w:pPr>
        <w:pStyle w:val="StandardWeb"/>
      </w:pPr>
    </w:p>
    <w:p w:rsidR="00BE1EFE" w:rsidRDefault="00BE1EFE">
      <w:pPr>
        <w:pStyle w:val="StandardWeb"/>
      </w:pPr>
      <w:r>
        <w:t>(4) </w:t>
      </w:r>
      <w:r>
        <w:rPr>
          <w:rStyle w:val="kleinschrift"/>
        </w:rPr>
        <w:t>1</w:t>
      </w:r>
      <w:r>
        <w:t xml:space="preserve">Bei Beschäftigungsverhältnissen zu mehreren Arbeitgebern, die das Arbeitsvertragsrecht der bayerischen Diözesen anwenden, erhält der/die Beschäftigte die Kostenpauschale von jedem Arbeitgeber anteilig, insgesamt jedoch nur ein Mal. </w:t>
      </w:r>
      <w:r>
        <w:rPr>
          <w:rStyle w:val="kleinschrift"/>
        </w:rPr>
        <w:t>2</w:t>
      </w:r>
      <w:r>
        <w:t>Dies gilt auch, wenn beide Ehepartner bei einem Arbeitgeber beschäftigt sind, der das Arbeitsvertragsrecht der bayerischen Diözesen anwendet.</w:t>
      </w:r>
    </w:p>
    <w:p w:rsidR="00BE1EFE" w:rsidRDefault="00BE1EFE">
      <w:pPr>
        <w:pStyle w:val="berschrift6"/>
      </w:pPr>
      <w:bookmarkStart w:id="64" w:name="_Toc523925735"/>
      <w:r>
        <w:t>§ 37 Ausschlussfrist</w:t>
      </w:r>
      <w:bookmarkEnd w:id="6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Ansprüche aus dem Arbeitsverhältnis verfallen, wenn sie nicht innerhalb einer Aus</w:t>
      </w:r>
      <w:r>
        <w:softHyphen/>
        <w:t xml:space="preserve">schlussfrist von sechs Monaten nach Fälligkeit von der/dem Beschäftigten oder vom Arbeitgeber schriftlich geltend gemacht werden. </w:t>
      </w:r>
      <w:r>
        <w:rPr>
          <w:rStyle w:val="kleinschrift"/>
        </w:rPr>
        <w:t>2</w:t>
      </w:r>
      <w:r>
        <w:t>Für denselben Sachverhalt reicht die einmalige Geltendmachung des Anspruchs auch für später fällige Leistungen aus.</w:t>
      </w:r>
    </w:p>
    <w:p w:rsidR="00BE1EFE" w:rsidRDefault="00BE1EFE">
      <w:pPr>
        <w:pStyle w:val="StandardWeb"/>
      </w:pPr>
      <w:r>
        <w:rPr>
          <w:sz w:val="12"/>
          <w:szCs w:val="12"/>
        </w:rPr>
        <w:t xml:space="preserve">Protokollnotiz zu Absatz 1: </w:t>
      </w:r>
    </w:p>
    <w:p w:rsidR="00BE1EFE" w:rsidRPr="000B1AF8" w:rsidRDefault="00BE1EFE">
      <w:pPr>
        <w:pStyle w:val="StandardWeb"/>
      </w:pPr>
      <w:r>
        <w:rPr>
          <w:sz w:val="12"/>
          <w:szCs w:val="12"/>
        </w:rPr>
        <w:t>Bei Beschlüssen der Bayerischen Regional-KODA, die vom jeweiligen Diözesanbischof rückwirkend in Kraft gesetzt werden, beginnt die Ausschlussfrist frühestens mit dem Erscheinungsdatum des Amtsblatts der jeweiligen Diözese.</w:t>
      </w:r>
    </w:p>
    <w:p w:rsidR="00BE1EFE" w:rsidRPr="000B1AF8" w:rsidRDefault="00BE1EFE">
      <w:pPr>
        <w:pStyle w:val="StandardWeb"/>
      </w:pPr>
    </w:p>
    <w:p w:rsidR="00BE1EFE" w:rsidRDefault="00BE1EFE">
      <w:pPr>
        <w:pStyle w:val="StandardWeb"/>
      </w:pPr>
      <w:r>
        <w:t>(2) Absatz 1 gilt nicht für Ansprüche aus einem Sozialplan.</w:t>
      </w:r>
    </w:p>
    <w:p w:rsidR="00BE1EFE" w:rsidRDefault="00BE1EFE">
      <w:pPr>
        <w:pStyle w:val="berschrift6"/>
      </w:pPr>
      <w:bookmarkStart w:id="65" w:name="_Toc523925736"/>
      <w:r>
        <w:t>§ 38 Begriffsbestimmungen</w:t>
      </w:r>
      <w:bookmarkEnd w:id="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w:t>
      </w:r>
      <w:r w:rsidRPr="00D645FF">
        <w:rPr>
          <w:i/>
        </w:rPr>
        <w:t>(frei)</w:t>
      </w:r>
    </w:p>
    <w:p w:rsidR="00BE1EFE" w:rsidRPr="000B1AF8" w:rsidRDefault="00BE1EFE">
      <w:pPr>
        <w:pStyle w:val="StandardWeb"/>
      </w:pPr>
    </w:p>
    <w:p w:rsidR="00BE1EFE" w:rsidRDefault="00BE1EFE">
      <w:pPr>
        <w:pStyle w:val="StandardWeb"/>
      </w:pPr>
      <w:r>
        <w:t xml:space="preserve">(2) </w:t>
      </w:r>
      <w:r w:rsidRPr="00D645FF">
        <w:rPr>
          <w:i/>
        </w:rPr>
        <w:t>(frei)</w:t>
      </w:r>
    </w:p>
    <w:p w:rsidR="00BE1EFE" w:rsidRDefault="00BE1EFE">
      <w:pPr>
        <w:pStyle w:val="StandardWeb"/>
      </w:pPr>
    </w:p>
    <w:p w:rsidR="00BE1EFE" w:rsidRDefault="00BE1EFE">
      <w:pPr>
        <w:pStyle w:val="StandardWeb"/>
      </w:pPr>
      <w:r>
        <w:t xml:space="preserve">(3) </w:t>
      </w:r>
      <w:r w:rsidRPr="00D645FF">
        <w:rPr>
          <w:i/>
        </w:rPr>
        <w:t>(frei)</w:t>
      </w:r>
    </w:p>
    <w:p w:rsidR="00BE1EFE" w:rsidRDefault="00BE1EFE">
      <w:pPr>
        <w:pStyle w:val="StandardWeb"/>
      </w:pPr>
    </w:p>
    <w:p w:rsidR="00BE1EFE" w:rsidRDefault="00BE1EFE">
      <w:pPr>
        <w:pStyle w:val="StandardWeb"/>
      </w:pPr>
      <w:r>
        <w:t>(4) Leistungsgeminderte Beschäftigte sind Beschäftigte, die ausweislich einer Bescheinigung des beauftragten Arztes (</w:t>
      </w:r>
      <w:hyperlink r:id="rId171" w:history="1">
        <w:r w:rsidRPr="002D1F1D">
          <w:rPr>
            <w:rStyle w:val="Hyperlink"/>
          </w:rPr>
          <w:t xml:space="preserve">§ 3 </w:t>
        </w:r>
        <w:r>
          <w:rPr>
            <w:rStyle w:val="Hyperlink"/>
          </w:rPr>
          <w:t>Absatz</w:t>
        </w:r>
        <w:r w:rsidRPr="002D1F1D">
          <w:rPr>
            <w:rStyle w:val="Hyperlink"/>
          </w:rPr>
          <w:t xml:space="preserve"> 4</w:t>
        </w:r>
      </w:hyperlink>
      <w:r>
        <w:t xml:space="preserve">) nicht mehr in der Lage sind, auf Dauer die vertraglich geschuldete Arbeitsleistung in vollem Umfang zu erbringen, ohne deswegen zugleich teilweise oder in vollem Umfang erwerbsgemindert im Sinne des </w:t>
      </w:r>
      <w:hyperlink r:id="rId172" w:tgtFrame="_blank" w:history="1">
        <w:r>
          <w:rPr>
            <w:rStyle w:val="Hyperlink"/>
          </w:rPr>
          <w:t>SGB VI</w:t>
        </w:r>
      </w:hyperlink>
      <w:r>
        <w:t xml:space="preserve"> zu sein.</w:t>
      </w:r>
    </w:p>
    <w:p w:rsidR="00BE1EFE" w:rsidRDefault="00BE1EFE">
      <w:pPr>
        <w:pStyle w:val="StandardWeb"/>
        <w:rPr>
          <w:sz w:val="12"/>
          <w:szCs w:val="12"/>
        </w:rPr>
      </w:pPr>
      <w:r>
        <w:rPr>
          <w:sz w:val="12"/>
          <w:szCs w:val="12"/>
        </w:rPr>
        <w:t>Anmerkung zu § 38 Absatz 4:</w:t>
      </w:r>
    </w:p>
    <w:p w:rsidR="00BE1EFE" w:rsidRDefault="00BE1EFE">
      <w:pPr>
        <w:pStyle w:val="StandardWeb"/>
      </w:pPr>
      <w:r>
        <w:rPr>
          <w:sz w:val="12"/>
          <w:szCs w:val="12"/>
        </w:rPr>
        <w:t xml:space="preserve">Die auf leistungsgeminderte Beschäftigte anzuwendenden Regelungen zur Entgeltsicherung bestimmen sich nach </w:t>
      </w:r>
      <w:hyperlink r:id="rId173" w:history="1">
        <w:r w:rsidRPr="002D1F1D">
          <w:rPr>
            <w:rStyle w:val="Hyperlink"/>
            <w:sz w:val="12"/>
            <w:szCs w:val="12"/>
          </w:rPr>
          <w:t>§ 16a Teil A, 3</w:t>
        </w:r>
      </w:hyperlink>
      <w:r>
        <w:rPr>
          <w:sz w:val="12"/>
          <w:szCs w:val="12"/>
        </w:rPr>
        <w:t>.</w:t>
      </w:r>
    </w:p>
    <w:p w:rsidR="00BE1EFE" w:rsidRDefault="00BE1EFE">
      <w:pPr>
        <w:pStyle w:val="StandardWeb"/>
      </w:pPr>
    </w:p>
    <w:p w:rsidR="00BE1EFE" w:rsidRDefault="00BE1EFE">
      <w:pPr>
        <w:pStyle w:val="StandardWeb"/>
      </w:pPr>
      <w:r>
        <w:t>(5) </w:t>
      </w:r>
      <w:r>
        <w:rPr>
          <w:rStyle w:val="kleinschrift"/>
        </w:rPr>
        <w:t>1</w:t>
      </w:r>
      <w:r>
        <w:t xml:space="preserve">Die Regelungen für Angestellte finden Anwendung auf Beschäftigte, deren Tätigkeit vor dem 1. Januar 2005 der Rentenversicherung der Angestellten unterlegen hätte. </w:t>
      </w:r>
      <w:r>
        <w:rPr>
          <w:rStyle w:val="kleinschrift"/>
        </w:rPr>
        <w:t>2</w:t>
      </w:r>
      <w:r>
        <w:t>Die Rege</w:t>
      </w:r>
      <w:r>
        <w:softHyphen/>
        <w:t>lungen für Arbeiterinnen und Arbeiter finden Anwendung auf Beschäftigte, deren Tätigkeit vor dem 1. Januar 2005 der Rentenversicherung der Arbeiter unterlegen hätte.</w:t>
      </w:r>
    </w:p>
    <w:p w:rsidR="00BE1EFE" w:rsidRDefault="00BE1EFE">
      <w:pPr>
        <w:pStyle w:val="berschrift6"/>
      </w:pPr>
      <w:bookmarkStart w:id="66" w:name="_Toc523925737"/>
      <w:r>
        <w:t>§ 39 Erstattung von Auslagen</w:t>
      </w:r>
      <w:bookmarkEnd w:id="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die Erstattung von Auslagen für Dienstreisen und Dienstgänge findet die Reisekosten</w:t>
      </w:r>
      <w:r>
        <w:softHyphen/>
        <w:t>ordnung der bayerischen Diözesen Anwendung.</w:t>
      </w:r>
    </w:p>
    <w:p w:rsidR="00BE1EFE" w:rsidRPr="000B1AF8" w:rsidRDefault="00BE1EFE">
      <w:pPr>
        <w:pStyle w:val="StandardWeb"/>
      </w:pPr>
    </w:p>
    <w:p w:rsidR="00BE1EFE" w:rsidRDefault="00BE1EFE">
      <w:pPr>
        <w:pStyle w:val="StandardWeb"/>
      </w:pPr>
      <w:r>
        <w:t>(2) Für die Erstattung von</w:t>
      </w:r>
    </w:p>
    <w:p w:rsidR="00BE1EFE" w:rsidRDefault="00BE1EFE">
      <w:pPr>
        <w:pStyle w:val="StandardWeb"/>
      </w:pPr>
      <w:r>
        <w:t>a) Auslagen aus Anlass der Abordnung,</w:t>
      </w:r>
    </w:p>
    <w:p w:rsidR="00BE1EFE" w:rsidRDefault="00BE1EFE">
      <w:pPr>
        <w:pStyle w:val="StandardWeb"/>
      </w:pPr>
      <w:r>
        <w:t>b) Auslagen für Reisen zur Einstellung vor Begründung des Arbeitsverhältnisses,</w:t>
      </w:r>
    </w:p>
    <w:p w:rsidR="00BE1EFE" w:rsidRDefault="00BE1EFE">
      <w:pPr>
        <w:pStyle w:val="StandardWeb"/>
      </w:pPr>
      <w:r>
        <w:t>c) Auslagen aus Anlass der Ausbildung,</w:t>
      </w:r>
    </w:p>
    <w:p w:rsidR="00BE1EFE" w:rsidRDefault="00BE1EFE">
      <w:pPr>
        <w:pStyle w:val="StandardWeb"/>
      </w:pPr>
      <w:r>
        <w:t>d) Fahrtkosten für Fahrten zwischen Wohnung und Arbeitsstelle aus besonderem Anlass</w:t>
      </w:r>
    </w:p>
    <w:p w:rsidR="00BE1EFE" w:rsidRDefault="00BE1EFE">
      <w:pPr>
        <w:pStyle w:val="StandardWeb"/>
      </w:pPr>
      <w:r>
        <w:t>finden die in der jeweiligen Diözese geltenden Bestimmungen Anwendung.</w:t>
      </w:r>
    </w:p>
    <w:p w:rsidR="00BE1EFE" w:rsidRDefault="00BE1EFE">
      <w:pPr>
        <w:pStyle w:val="berschrift6"/>
      </w:pPr>
      <w:bookmarkStart w:id="67" w:name="_Toc523925738"/>
      <w:r>
        <w:lastRenderedPageBreak/>
        <w:t>§ 40 Dienstreisen</w:t>
      </w:r>
      <w:bookmarkEnd w:id="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Bei Dienstreisen gilt nur die Zeit der dienstlichen Inanspruchnahme am auswärtigen Geschäftsort als Arbeitszeit. </w:t>
      </w:r>
      <w:r>
        <w:rPr>
          <w:rStyle w:val="kleinschrift"/>
        </w:rPr>
        <w:t>2</w:t>
      </w:r>
      <w:r>
        <w:t>Es wird jedoch für jeden Tag einschließlich der Reisetage mindestens die dienstplanmäßige bzw. betriebsübliche Arbeitszeit berücksichtigt.</w:t>
      </w:r>
    </w:p>
    <w:p w:rsidR="00BE1EFE" w:rsidRPr="000B1AF8" w:rsidRDefault="00BE1EFE">
      <w:pPr>
        <w:pStyle w:val="StandardWeb"/>
      </w:pPr>
    </w:p>
    <w:p w:rsidR="00BE1EFE" w:rsidRDefault="00BE1EFE">
      <w:pPr>
        <w:pStyle w:val="StandardWeb"/>
      </w:pPr>
      <w:r>
        <w:t>(2) </w:t>
      </w:r>
      <w:r>
        <w:rPr>
          <w:rStyle w:val="kleinschrift"/>
        </w:rPr>
        <w:t>1</w:t>
      </w:r>
      <w:r>
        <w:t xml:space="preserve">Die über die tägliche dienstplanmäßige bzw. betriebsübliche Arbeitszeit hinausgehende Reisezeit wird wie regelmäßige Arbeitszeit vergütet oder wie Zeiten im Sinne des </w:t>
      </w:r>
      <w:hyperlink r:id="rId174" w:history="1">
        <w:r w:rsidRPr="002D1F1D">
          <w:rPr>
            <w:rStyle w:val="Hyperlink"/>
          </w:rPr>
          <w:t xml:space="preserve">§ 6 </w:t>
        </w:r>
        <w:r>
          <w:rPr>
            <w:rStyle w:val="Hyperlink"/>
          </w:rPr>
          <w:t>Absatz</w:t>
        </w:r>
        <w:r w:rsidRPr="002D1F1D">
          <w:rPr>
            <w:rStyle w:val="Hyperlink"/>
          </w:rPr>
          <w:t xml:space="preserve"> 1 und 2</w:t>
        </w:r>
      </w:hyperlink>
      <w:r>
        <w:t xml:space="preserve"> ausgeglichen. </w:t>
      </w:r>
      <w:r>
        <w:rPr>
          <w:rStyle w:val="kleinschrift"/>
        </w:rPr>
        <w:t>2</w:t>
      </w:r>
      <w:r>
        <w:t xml:space="preserve">Dabei wird bei Dienstreisen die Zeit, die für die Hin- und Rückreise zum und vom auswärtigen Geschäftsort benötigt wird, bis zu zehn Stunden täglich einschließlich der Arbeitszeit (Montag mit Freitag) angerechnet. </w:t>
      </w:r>
      <w:r>
        <w:rPr>
          <w:rStyle w:val="kleinschrift"/>
        </w:rPr>
        <w:t>3</w:t>
      </w:r>
      <w:r>
        <w:t xml:space="preserve">Bei Dienstreisen an Samstagen und Sonntagen wird die Reisezeit in vollem Umfang bis 60 Stunden pro Kalenderwoche (Montag mit Sonntag) angerechnet. </w:t>
      </w:r>
      <w:r>
        <w:rPr>
          <w:rStyle w:val="kleinschrift"/>
        </w:rPr>
        <w:t>4</w:t>
      </w:r>
      <w:r>
        <w:t>Muss bei eintägigen Dienstreisen von Beschäftigten, die in der Regel mindestens an zehn Tagen im Monat außerhalb ihres ständigen Dienstortes arbeiten, am auswärtigen Geschäftsort mindestens die dienstplanmäßige bzw. betriebsübliche Arbeitszeit abgeleistet werden und müssen für die Hin- und Rückreise zum oder vom Geschäftsort einschließlich der erforderlichen Wartezeiten mehr als zwei Stunden aufgewendet werden, wird der Arbeitszeit eine Stunde hinzugerechnet.</w:t>
      </w:r>
    </w:p>
    <w:p w:rsidR="00BE1EFE" w:rsidRDefault="00BE1EFE">
      <w:pPr>
        <w:pStyle w:val="StandardWeb"/>
      </w:pPr>
    </w:p>
    <w:p w:rsidR="00BE1EFE" w:rsidRDefault="00BE1EFE">
      <w:pPr>
        <w:pStyle w:val="StandardWeb"/>
      </w:pPr>
      <w:r>
        <w:t>(3) </w:t>
      </w:r>
      <w:r>
        <w:rPr>
          <w:rStyle w:val="kleinschrift"/>
        </w:rPr>
        <w:t>1</w:t>
      </w:r>
      <w:r>
        <w:t xml:space="preserve">Zeitzuschläge gemäß </w:t>
      </w:r>
      <w:hyperlink r:id="rId175" w:history="1">
        <w:r w:rsidRPr="002D1F1D">
          <w:rPr>
            <w:rStyle w:val="Hyperlink"/>
          </w:rPr>
          <w:t>§ 8</w:t>
        </w:r>
      </w:hyperlink>
      <w:r>
        <w:t xml:space="preserve"> werden nur für Zeiten der dienstlichen Inanspruchnahme, nicht jedoch für Reisezeiten gewährt. </w:t>
      </w:r>
      <w:r>
        <w:rPr>
          <w:rStyle w:val="kleinschrift"/>
        </w:rPr>
        <w:t>2</w:t>
      </w:r>
      <w:r>
        <w:t>Die über die regelmäßige wöchentliche Arbeitszeit (</w:t>
      </w:r>
      <w:hyperlink r:id="rId176" w:history="1">
        <w:r w:rsidRPr="002D1F1D">
          <w:rPr>
            <w:rStyle w:val="Hyperlink"/>
          </w:rPr>
          <w:t>§ 6</w:t>
        </w:r>
      </w:hyperlink>
      <w:r>
        <w:t>) hinaus geleisteten Arbeitsstunden und Reisezeiten sind grundsätzlich durch entsprechende Arbeitsbefreiung auszugleichen.</w:t>
      </w:r>
    </w:p>
    <w:p w:rsidR="00BE1EFE" w:rsidRDefault="00BE1EFE">
      <w:pPr>
        <w:pStyle w:val="berschrift6"/>
      </w:pPr>
      <w:bookmarkStart w:id="68" w:name="_Toc523925739"/>
      <w:r>
        <w:t>§ 41 Umzugskosten/Trennungsgeld</w:t>
      </w:r>
      <w:bookmarkEnd w:id="6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Für die Erstattung von Umzugskosten sowie Trennungsgeld finden die in der jeweiligen Diözese geltenden Regelungen Anwendung.</w:t>
      </w:r>
    </w:p>
    <w:p w:rsidR="00BE1EFE" w:rsidRDefault="00BE1EFE">
      <w:pPr>
        <w:pStyle w:val="berschrift6"/>
      </w:pPr>
      <w:bookmarkStart w:id="69" w:name="_Toc523925740"/>
      <w:r>
        <w:t>§ 42 Saisonaler Ausgleich</w:t>
      </w:r>
      <w:bookmarkEnd w:id="6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In Einrichtungen, in denen aufgrund besonderer kirchlicher Aufgaben oder Feierstunden oder saisonbedingt erheblich verstärkte Tätigkeiten anfallen, kann für diese Tätigkeiten die regelmäßige Arbeitszeit auf bis zu 60 Stunden in einem Zeitraum von bis zu sieben Tagen verlängert werden, wenn durch Verkürzung der regelmäßigen wöchentlichen Arbeitszeit bis zum Ende des Ausgleichszeitraums nach </w:t>
      </w:r>
      <w:hyperlink r:id="rId177" w:history="1">
        <w:r w:rsidRPr="002D1F1D">
          <w:rPr>
            <w:rStyle w:val="Hyperlink"/>
          </w:rPr>
          <w:t xml:space="preserve">§ 6 </w:t>
        </w:r>
        <w:r>
          <w:rPr>
            <w:rStyle w:val="Hyperlink"/>
          </w:rPr>
          <w:t>Absatz</w:t>
        </w:r>
        <w:r w:rsidRPr="002D1F1D">
          <w:rPr>
            <w:rStyle w:val="Hyperlink"/>
          </w:rPr>
          <w:t xml:space="preserve"> 2 Satz 1</w:t>
        </w:r>
      </w:hyperlink>
      <w:r>
        <w:t xml:space="preserve"> ein entsprechender Zeitausgleich durchgeführt wird.</w:t>
      </w:r>
    </w:p>
    <w:p w:rsidR="00BE1EFE" w:rsidRDefault="00BE1EFE">
      <w:pPr>
        <w:pStyle w:val="berschrift6"/>
      </w:pPr>
      <w:bookmarkStart w:id="70" w:name="_Toc523925741"/>
      <w:r>
        <w:t>§ 43 Überstunden</w:t>
      </w:r>
      <w:bookmarkEnd w:id="7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Überstunden sind grundsätzlich durch entsprechende Freizeit auszugleichen. </w:t>
      </w:r>
      <w:r>
        <w:rPr>
          <w:rStyle w:val="kleinschrift"/>
        </w:rPr>
        <w:t>2</w:t>
      </w:r>
      <w:r>
        <w:t xml:space="preserve">Sofern kein Arbeitszeitkonto nach </w:t>
      </w:r>
      <w:hyperlink r:id="rId178" w:history="1">
        <w:r w:rsidRPr="002D1F1D">
          <w:rPr>
            <w:rStyle w:val="Hyperlink"/>
          </w:rPr>
          <w:t>§ 10</w:t>
        </w:r>
      </w:hyperlink>
      <w:r>
        <w:t xml:space="preserve"> eingerichtet ist, oder wenn ein solches besteht, die/der Beschäftigte jedoch keine Faktorisierung nach </w:t>
      </w:r>
      <w:hyperlink r:id="rId179" w:history="1">
        <w:r w:rsidRPr="002D1F1D">
          <w:rPr>
            <w:rStyle w:val="Hyperlink"/>
          </w:rPr>
          <w:t xml:space="preserve">§ 8 </w:t>
        </w:r>
        <w:r>
          <w:rPr>
            <w:rStyle w:val="Hyperlink"/>
          </w:rPr>
          <w:t>Absatz</w:t>
        </w:r>
        <w:r w:rsidRPr="002D1F1D">
          <w:rPr>
            <w:rStyle w:val="Hyperlink"/>
          </w:rPr>
          <w:t xml:space="preserve"> 1</w:t>
        </w:r>
      </w:hyperlink>
      <w:r>
        <w:t xml:space="preserve"> geltend macht, erhält die/der Beschäftigte für Überstunden </w:t>
      </w:r>
      <w:hyperlink r:id="rId180" w:history="1">
        <w:r w:rsidRPr="002D1F1D">
          <w:rPr>
            <w:rStyle w:val="Hyperlink"/>
          </w:rPr>
          <w:t>(§ 7 </w:t>
        </w:r>
        <w:r>
          <w:rPr>
            <w:rStyle w:val="Hyperlink"/>
          </w:rPr>
          <w:t>Absatz</w:t>
        </w:r>
        <w:r w:rsidRPr="002D1F1D">
          <w:rPr>
            <w:rStyle w:val="Hyperlink"/>
          </w:rPr>
          <w:t xml:space="preserve"> 7),</w:t>
        </w:r>
      </w:hyperlink>
      <w:r>
        <w:t xml:space="preserve"> die nicht bis zum Ende des dritten Kalendermonats – möglichst aber schon bis zum Ende des nächsten Kalendermonats – nach deren Entstehen mit Freizeit ausgeglichen worden sind, je Stunde 100 v. H. des auf die Stunde entfallenden Anteils des Tabellenentgelts der jeweiligen Entgeltgruppe und Stufe, höchstens jedoch nach der Stufe 4. </w:t>
      </w:r>
      <w:r>
        <w:rPr>
          <w:rStyle w:val="kleinschrift"/>
        </w:rPr>
        <w:t>3</w:t>
      </w:r>
      <w:r>
        <w:t xml:space="preserve">Der Anspruch auf den Zeitzuschlag für Überstunden nach </w:t>
      </w:r>
      <w:hyperlink r:id="rId181" w:history="1">
        <w:r w:rsidRPr="002D1F1D">
          <w:rPr>
            <w:rStyle w:val="Hyperlink"/>
          </w:rPr>
          <w:t xml:space="preserve">§ 8 </w:t>
        </w:r>
        <w:r>
          <w:rPr>
            <w:rStyle w:val="Hyperlink"/>
          </w:rPr>
          <w:t>Absatz</w:t>
        </w:r>
        <w:r w:rsidRPr="002D1F1D">
          <w:rPr>
            <w:rStyle w:val="Hyperlink"/>
          </w:rPr>
          <w:t xml:space="preserve"> 1</w:t>
        </w:r>
      </w:hyperlink>
      <w:r>
        <w:t xml:space="preserve"> besteht unabhängig von einem Freizeitausgleich.</w:t>
      </w:r>
    </w:p>
    <w:p w:rsidR="00BE1EFE" w:rsidRPr="000B1AF8" w:rsidRDefault="00BE1EFE">
      <w:pPr>
        <w:pStyle w:val="StandardWeb"/>
      </w:pPr>
    </w:p>
    <w:p w:rsidR="00BE1EFE" w:rsidRPr="002C2E7C" w:rsidRDefault="00BE1EFE" w:rsidP="00C2476E">
      <w:pPr>
        <w:pStyle w:val="StandardWeb"/>
        <w:rPr>
          <w:sz w:val="2"/>
          <w:szCs w:val="2"/>
        </w:rPr>
      </w:pPr>
      <w:r>
        <w:lastRenderedPageBreak/>
        <w:t>(2) </w:t>
      </w:r>
      <w:r>
        <w:rPr>
          <w:rStyle w:val="kleinschrift"/>
        </w:rPr>
        <w:t>1</w:t>
      </w:r>
      <w:r>
        <w:t xml:space="preserve">Für Beschäftigte der Entgeltgruppe 15 in den Ordinariaten sind Mehrarbeiten und Überstunden durch das Tabellenentgelt abgegolten. </w:t>
      </w:r>
      <w:r>
        <w:rPr>
          <w:rStyle w:val="kleinschrift"/>
        </w:rPr>
        <w:t>2</w:t>
      </w:r>
      <w:r>
        <w:t xml:space="preserve">Beschäftigte der Entgeltgruppen 13 und 14 in den Ordinariaten erhalten nur dann ein Überstundenentgelt, wenn die Leistung der Mehrarbeit oder der Überstunden für sämtliche Beschäftigte des Ordinariates angeordnet ist; im Übrigen ist über die regelmäßige Arbeitszeit hinaus geleistete Arbeit dieser Beschäftigten durch das Tabellenentgelt abgegolten. </w:t>
      </w:r>
      <w:r>
        <w:rPr>
          <w:rStyle w:val="kleinschrift"/>
        </w:rPr>
        <w:t>3</w:t>
      </w:r>
      <w:r>
        <w:t xml:space="preserve">Satz 1 gilt auch für Leiterinnen/Leiter von Dienststellen und deren ständige Vertreterinnen/Vertreter, die in die Entgeltgruppen 14 und 15 </w:t>
      </w:r>
      <w:r w:rsidRPr="002C2E7C">
        <w:t>eingruppiert</w:t>
      </w:r>
      <w:r>
        <w:t> </w:t>
      </w:r>
      <w:r w:rsidRPr="002C2E7C">
        <w:t>sind</w:t>
      </w:r>
      <w:r>
        <w:t>.</w:t>
      </w:r>
      <w:r>
        <w:br w:type="page"/>
      </w:r>
    </w:p>
    <w:p w:rsidR="00BE1EFE" w:rsidRPr="003E0C20" w:rsidRDefault="00BE1EFE" w:rsidP="002C2E7C">
      <w:pPr>
        <w:pStyle w:val="berschrift5"/>
        <w:spacing w:before="0"/>
        <w:rPr>
          <w:lang w:eastAsia="x-none"/>
        </w:rPr>
      </w:pPr>
      <w:bookmarkStart w:id="71" w:name="_Toc523925742"/>
      <w:r>
        <w:lastRenderedPageBreak/>
        <w:t xml:space="preserve">Abschnitt VII: Sonderregelungen </w:t>
      </w:r>
      <w:r>
        <w:rPr>
          <w:lang w:eastAsia="x-none"/>
        </w:rPr>
        <w:t>(§§ 44-45)</w:t>
      </w:r>
      <w:bookmarkEnd w:id="71"/>
    </w:p>
    <w:p w:rsidR="00BE1EFE" w:rsidRDefault="00BE1EFE">
      <w:pPr>
        <w:pStyle w:val="berschrift6"/>
      </w:pPr>
      <w:bookmarkStart w:id="72" w:name="_Toc523925743"/>
      <w:r>
        <w:t>§ 44 Besondere Regelungen für Beschäftigte im Sozial- und Erziehungsdienst</w:t>
      </w:r>
      <w:bookmarkEnd w:id="72"/>
    </w:p>
    <w:p w:rsidR="00BE1EFE" w:rsidRPr="00B76821" w:rsidRDefault="00BE1EFE" w:rsidP="00B76821">
      <w:pPr>
        <w:pStyle w:val="h7"/>
        <w:keepNext w:val="0"/>
        <w:spacing w:before="0" w:after="0"/>
        <w:jc w:val="left"/>
        <w:outlineLvl w:val="5"/>
        <w:rPr>
          <w:sz w:val="2"/>
        </w:rPr>
      </w:pPr>
    </w:p>
    <w:p w:rsidR="00BE1EFE" w:rsidRDefault="00BE1EFE" w:rsidP="0098642E">
      <w:pPr>
        <w:pStyle w:val="StandardWeb"/>
      </w:pPr>
      <w:r>
        <w:t xml:space="preserve">Für die Beschäftigten im Sozial- und Erziehungsdienst gelten die in der </w:t>
      </w:r>
      <w:hyperlink r:id="rId182" w:history="1">
        <w:r w:rsidRPr="002D1F1D">
          <w:rPr>
            <w:rStyle w:val="Hyperlink"/>
          </w:rPr>
          <w:t>Anlage zu § 44</w:t>
        </w:r>
      </w:hyperlink>
      <w:r>
        <w:t xml:space="preserve"> aufgeführten besonderen Regelungen.</w:t>
      </w:r>
    </w:p>
    <w:p w:rsidR="00BE1EFE" w:rsidRPr="00B95026" w:rsidRDefault="00BE1EFE" w:rsidP="00B95026">
      <w:pPr>
        <w:pStyle w:val="berschrift6"/>
      </w:pPr>
      <w:bookmarkStart w:id="73" w:name="_Toc523925744"/>
      <w:r w:rsidRPr="00B95026">
        <w:t>§ 45 Entgelt der Beschäftigten in der Pflege</w:t>
      </w:r>
      <w:bookmarkEnd w:id="73"/>
    </w:p>
    <w:p w:rsidR="00BE1EFE" w:rsidRPr="00B76821" w:rsidRDefault="00BE1EFE" w:rsidP="00B76821">
      <w:pPr>
        <w:pStyle w:val="h7"/>
        <w:keepNext w:val="0"/>
        <w:spacing w:before="0" w:after="0"/>
        <w:jc w:val="left"/>
        <w:outlineLvl w:val="5"/>
        <w:rPr>
          <w:sz w:val="2"/>
        </w:rPr>
      </w:pPr>
    </w:p>
    <w:p w:rsidR="00BE1EFE" w:rsidRDefault="00BE1EFE" w:rsidP="00B95026">
      <w:pPr>
        <w:tabs>
          <w:tab w:val="left" w:pos="1276"/>
        </w:tabs>
        <w:jc w:val="both"/>
        <w:rPr>
          <w:rFonts w:cs="Arial"/>
          <w:szCs w:val="16"/>
        </w:rPr>
      </w:pPr>
      <w:r>
        <w:rPr>
          <w:rFonts w:cs="Arial"/>
          <w:szCs w:val="16"/>
        </w:rPr>
        <w:t>(1) </w:t>
      </w:r>
      <w:r w:rsidRPr="00E64AC2">
        <w:rPr>
          <w:rFonts w:cs="Arial"/>
          <w:szCs w:val="16"/>
        </w:rPr>
        <w:t>Für die Beschäftigten die nach</w:t>
      </w:r>
      <w:hyperlink r:id="rId183" w:history="1">
        <w:r w:rsidRPr="00AA4EF3">
          <w:rPr>
            <w:rStyle w:val="Hyperlink"/>
            <w:rFonts w:cs="Arial"/>
            <w:szCs w:val="16"/>
          </w:rPr>
          <w:t xml:space="preserve"> Teil A, 2.3.</w:t>
        </w:r>
      </w:hyperlink>
      <w:r w:rsidRPr="00AA4EF3">
        <w:rPr>
          <w:rFonts w:cs="Arial"/>
          <w:szCs w:val="16"/>
        </w:rPr>
        <w:t xml:space="preserve"> Nummer 17</w:t>
      </w:r>
      <w:r w:rsidRPr="00E64AC2">
        <w:rPr>
          <w:rFonts w:cs="Arial"/>
          <w:szCs w:val="16"/>
        </w:rPr>
        <w:t xml:space="preserve"> eingruppiert sind gelten hinsichtlich der Berücksichtigung und dem Ausgleich für Sonderformen de</w:t>
      </w:r>
      <w:r>
        <w:rPr>
          <w:rFonts w:cs="Arial"/>
          <w:szCs w:val="16"/>
        </w:rPr>
        <w:t xml:space="preserve">r Arbeit die in der </w:t>
      </w:r>
      <w:hyperlink r:id="rId184" w:history="1">
        <w:r w:rsidRPr="002C2184">
          <w:rPr>
            <w:rStyle w:val="Hyperlink"/>
            <w:rFonts w:cs="Arial"/>
            <w:szCs w:val="16"/>
          </w:rPr>
          <w:t>Anlage zu § 45</w:t>
        </w:r>
      </w:hyperlink>
      <w:r w:rsidRPr="00E64AC2">
        <w:rPr>
          <w:rFonts w:cs="Arial"/>
          <w:szCs w:val="16"/>
        </w:rPr>
        <w:t xml:space="preserve"> zusammengefassten ergänzenden, te</w:t>
      </w:r>
      <w:r>
        <w:rPr>
          <w:rFonts w:cs="Arial"/>
          <w:szCs w:val="16"/>
        </w:rPr>
        <w:t>ilweise ersetzenden Regelungen.</w:t>
      </w:r>
    </w:p>
    <w:p w:rsidR="00BE1EFE" w:rsidRDefault="00BE1EFE" w:rsidP="00B95026">
      <w:pPr>
        <w:tabs>
          <w:tab w:val="left" w:pos="1276"/>
        </w:tabs>
        <w:jc w:val="both"/>
        <w:rPr>
          <w:rFonts w:cs="Arial"/>
          <w:szCs w:val="16"/>
        </w:rPr>
      </w:pPr>
    </w:p>
    <w:p w:rsidR="00BE1EFE" w:rsidRPr="00B95026" w:rsidRDefault="00BE1EFE" w:rsidP="00B95026">
      <w:pPr>
        <w:tabs>
          <w:tab w:val="left" w:pos="1276"/>
        </w:tabs>
        <w:jc w:val="both"/>
        <w:rPr>
          <w:rFonts w:cs="Arial"/>
          <w:szCs w:val="16"/>
        </w:rPr>
      </w:pPr>
      <w:r>
        <w:rPr>
          <w:rFonts w:cs="Arial"/>
          <w:szCs w:val="16"/>
        </w:rPr>
        <w:t>(2) </w:t>
      </w:r>
      <w:r w:rsidRPr="00B95026">
        <w:rPr>
          <w:rFonts w:cs="Arial"/>
          <w:sz w:val="12"/>
          <w:szCs w:val="12"/>
        </w:rPr>
        <w:t>1</w:t>
      </w:r>
      <w:r w:rsidRPr="00B95026">
        <w:rPr>
          <w:rFonts w:cs="Arial"/>
          <w:szCs w:val="16"/>
        </w:rPr>
        <w:t xml:space="preserve">Beschäftigte, die nach </w:t>
      </w:r>
      <w:hyperlink r:id="rId185" w:history="1">
        <w:r w:rsidRPr="00AA4EF3">
          <w:rPr>
            <w:rStyle w:val="Hyperlink"/>
            <w:rFonts w:cs="Arial"/>
            <w:szCs w:val="16"/>
          </w:rPr>
          <w:t>Teil A, 2.3</w:t>
        </w:r>
      </w:hyperlink>
      <w:r w:rsidRPr="00AA4EF3">
        <w:rPr>
          <w:rFonts w:cs="Arial"/>
          <w:szCs w:val="16"/>
        </w:rPr>
        <w:t>. Nummern 17.1.</w:t>
      </w:r>
      <w:r w:rsidRPr="00B95026">
        <w:rPr>
          <w:rFonts w:cs="Arial"/>
          <w:szCs w:val="16"/>
        </w:rPr>
        <w:t xml:space="preserve"> und </w:t>
      </w:r>
      <w:r w:rsidRPr="00AA4EF3">
        <w:rPr>
          <w:rFonts w:cs="Arial"/>
          <w:szCs w:val="16"/>
        </w:rPr>
        <w:t>17.2.</w:t>
      </w:r>
      <w:r>
        <w:rPr>
          <w:rFonts w:cs="Arial"/>
          <w:szCs w:val="16"/>
        </w:rPr>
        <w:t xml:space="preserve"> in eine der Entgeltgruppen P </w:t>
      </w:r>
      <w:r w:rsidRPr="00B95026">
        <w:rPr>
          <w:rFonts w:cs="Arial"/>
          <w:szCs w:val="16"/>
        </w:rPr>
        <w:t xml:space="preserve">5 bis P 16 eingruppiert sind, erhalten Entgelt nach der </w:t>
      </w:r>
      <w:hyperlink r:id="rId186" w:history="1">
        <w:r w:rsidRPr="002C2184">
          <w:rPr>
            <w:rStyle w:val="Hyperlink"/>
            <w:rFonts w:cs="Arial"/>
            <w:szCs w:val="16"/>
          </w:rPr>
          <w:t>Anlage F</w:t>
        </w:r>
      </w:hyperlink>
      <w:r w:rsidRPr="00B95026">
        <w:rPr>
          <w:rFonts w:cs="Arial"/>
          <w:szCs w:val="16"/>
        </w:rPr>
        <w:t xml:space="preserve">. </w:t>
      </w:r>
      <w:r w:rsidRPr="00B95026">
        <w:rPr>
          <w:rFonts w:cs="Arial"/>
          <w:sz w:val="12"/>
          <w:szCs w:val="12"/>
        </w:rPr>
        <w:t>2</w:t>
      </w:r>
      <w:r w:rsidRPr="00B95026">
        <w:rPr>
          <w:rFonts w:cs="Arial"/>
          <w:szCs w:val="16"/>
        </w:rPr>
        <w:t xml:space="preserve">Soweit in </w:t>
      </w:r>
      <w:hyperlink r:id="rId187" w:history="1">
        <w:r w:rsidRPr="002C2184">
          <w:rPr>
            <w:rStyle w:val="Hyperlink"/>
            <w:rFonts w:cs="Arial"/>
            <w:szCs w:val="16"/>
          </w:rPr>
          <w:t>Teil A, 2.2.</w:t>
        </w:r>
      </w:hyperlink>
      <w:r w:rsidRPr="00B95026">
        <w:rPr>
          <w:rFonts w:cs="Arial"/>
          <w:szCs w:val="16"/>
        </w:rPr>
        <w:t xml:space="preserve"> auf bestimmte Entgeltgruppen der Anlage A Bezug genommen wird, entspricht</w:t>
      </w:r>
    </w:p>
    <w:p w:rsidR="00BE1EFE" w:rsidRPr="00B95026" w:rsidRDefault="00BE1EFE" w:rsidP="00764F04">
      <w:pPr>
        <w:jc w:val="both"/>
        <w:rPr>
          <w:rFonts w:cs="Arial"/>
          <w:szCs w:val="16"/>
        </w:rPr>
      </w:pPr>
    </w:p>
    <w:p w:rsidR="00BE1EFE" w:rsidRPr="00B95026" w:rsidRDefault="00BE1EFE" w:rsidP="00764F04">
      <w:pPr>
        <w:tabs>
          <w:tab w:val="left" w:pos="4360"/>
        </w:tabs>
        <w:ind w:left="567"/>
        <w:jc w:val="center"/>
        <w:rPr>
          <w:rFonts w:cs="Arial"/>
          <w:szCs w:val="16"/>
        </w:rPr>
      </w:pPr>
      <w:r>
        <w:rPr>
          <w:rFonts w:cs="Arial"/>
          <w:szCs w:val="16"/>
        </w:rPr>
        <w:t>die Entgeltgruppe</w:t>
      </w:r>
      <w:r>
        <w:rPr>
          <w:rFonts w:cs="Arial"/>
          <w:szCs w:val="16"/>
        </w:rPr>
        <w:tab/>
      </w:r>
      <w:r w:rsidRPr="00B95026">
        <w:rPr>
          <w:rFonts w:cs="Arial"/>
          <w:szCs w:val="16"/>
        </w:rPr>
        <w:t>der Entgeltgruppe</w:t>
      </w:r>
    </w:p>
    <w:p w:rsidR="00BE1EFE" w:rsidRPr="00B95026" w:rsidRDefault="00BE1EFE" w:rsidP="00764F04">
      <w:pPr>
        <w:jc w:val="both"/>
        <w:rPr>
          <w:rFonts w:cs="Arial"/>
          <w:szCs w:val="16"/>
        </w:rPr>
      </w:pPr>
    </w:p>
    <w:tbl>
      <w:tblPr>
        <w:tblW w:w="0" w:type="auto"/>
        <w:tblInd w:w="817" w:type="dxa"/>
        <w:tblLook w:val="04A0" w:firstRow="1" w:lastRow="0" w:firstColumn="1" w:lastColumn="0" w:noHBand="0" w:noVBand="1"/>
      </w:tblPr>
      <w:tblGrid>
        <w:gridCol w:w="2222"/>
        <w:gridCol w:w="1921"/>
        <w:gridCol w:w="1947"/>
      </w:tblGrid>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5</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3</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6</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4</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7</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7</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8</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8</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9, P 10</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9a</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11</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9b</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12</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9c</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13</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10</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14, P 15</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11</w:t>
            </w:r>
          </w:p>
        </w:tc>
      </w:tr>
      <w:tr w:rsidR="00BE1EFE" w:rsidRPr="009738E7" w:rsidTr="009738E7">
        <w:tc>
          <w:tcPr>
            <w:tcW w:w="2268" w:type="dxa"/>
          </w:tcPr>
          <w:p w:rsidR="00BE1EFE" w:rsidRPr="009738E7" w:rsidRDefault="00BE1EFE" w:rsidP="00764F04">
            <w:pPr>
              <w:ind w:left="567"/>
              <w:rPr>
                <w:rFonts w:cs="Arial"/>
                <w:szCs w:val="16"/>
              </w:rPr>
            </w:pPr>
            <w:r w:rsidRPr="009738E7">
              <w:rPr>
                <w:rFonts w:cs="Arial"/>
                <w:szCs w:val="16"/>
              </w:rPr>
              <w:t>P 16</w:t>
            </w:r>
          </w:p>
        </w:tc>
        <w:tc>
          <w:tcPr>
            <w:tcW w:w="1985" w:type="dxa"/>
          </w:tcPr>
          <w:p w:rsidR="00BE1EFE" w:rsidRPr="009738E7" w:rsidRDefault="00BE1EFE" w:rsidP="009738E7">
            <w:pPr>
              <w:ind w:left="567"/>
              <w:rPr>
                <w:rFonts w:cs="Arial"/>
                <w:szCs w:val="16"/>
              </w:rPr>
            </w:pPr>
          </w:p>
        </w:tc>
        <w:tc>
          <w:tcPr>
            <w:tcW w:w="1984" w:type="dxa"/>
          </w:tcPr>
          <w:p w:rsidR="00BE1EFE" w:rsidRPr="009738E7" w:rsidRDefault="00BE1EFE" w:rsidP="00764F04">
            <w:pPr>
              <w:ind w:left="567"/>
              <w:rPr>
                <w:rFonts w:cs="Arial"/>
                <w:szCs w:val="16"/>
              </w:rPr>
            </w:pPr>
            <w:r w:rsidRPr="009738E7">
              <w:rPr>
                <w:rFonts w:cs="Arial"/>
                <w:szCs w:val="16"/>
              </w:rPr>
              <w:t>12</w:t>
            </w:r>
          </w:p>
        </w:tc>
      </w:tr>
    </w:tbl>
    <w:p w:rsidR="00BE1EFE" w:rsidRPr="00B95026" w:rsidRDefault="00BE1EFE" w:rsidP="00764F04">
      <w:pPr>
        <w:jc w:val="both"/>
        <w:rPr>
          <w:rFonts w:cs="Arial"/>
          <w:szCs w:val="16"/>
        </w:rPr>
      </w:pPr>
    </w:p>
    <w:p w:rsidR="00BE1EFE" w:rsidRPr="00B95026" w:rsidRDefault="00BE1EFE" w:rsidP="00B95026">
      <w:pPr>
        <w:tabs>
          <w:tab w:val="left" w:pos="1276"/>
        </w:tabs>
        <w:jc w:val="both"/>
        <w:rPr>
          <w:rFonts w:cs="Arial"/>
          <w:szCs w:val="16"/>
        </w:rPr>
      </w:pPr>
      <w:r>
        <w:rPr>
          <w:rFonts w:cs="Arial"/>
          <w:szCs w:val="16"/>
        </w:rPr>
        <w:t>(3) </w:t>
      </w:r>
      <w:r w:rsidRPr="00B95026">
        <w:rPr>
          <w:rFonts w:cs="Arial"/>
          <w:szCs w:val="16"/>
        </w:rPr>
        <w:t xml:space="preserve">Abweichend von </w:t>
      </w:r>
      <w:hyperlink r:id="rId188" w:history="1">
        <w:r w:rsidRPr="002C2184">
          <w:rPr>
            <w:rStyle w:val="Hyperlink"/>
            <w:rFonts w:cs="Arial"/>
            <w:szCs w:val="16"/>
          </w:rPr>
          <w:t>§ 16 Absatz 1 Satz 1</w:t>
        </w:r>
      </w:hyperlink>
      <w:r w:rsidRPr="00B95026">
        <w:rPr>
          <w:rFonts w:cs="Arial"/>
          <w:szCs w:val="16"/>
        </w:rPr>
        <w:t xml:space="preserve"> ist für die Beschäftigten im Pflegedienst nach </w:t>
      </w:r>
      <w:hyperlink r:id="rId189" w:history="1">
        <w:r w:rsidRPr="00AA4EF3">
          <w:rPr>
            <w:rStyle w:val="Hyperlink"/>
            <w:rFonts w:cs="Arial"/>
            <w:szCs w:val="16"/>
          </w:rPr>
          <w:t>Teil A, 2.3.</w:t>
        </w:r>
      </w:hyperlink>
      <w:r w:rsidRPr="00AA4EF3">
        <w:rPr>
          <w:rFonts w:cs="Arial"/>
          <w:szCs w:val="16"/>
        </w:rPr>
        <w:t xml:space="preserve"> Nummern 17.1.</w:t>
      </w:r>
      <w:r w:rsidRPr="00B95026">
        <w:rPr>
          <w:rFonts w:cs="Arial"/>
          <w:szCs w:val="16"/>
        </w:rPr>
        <w:t xml:space="preserve"> und </w:t>
      </w:r>
      <w:r w:rsidRPr="00AA4EF3">
        <w:rPr>
          <w:rFonts w:cs="Arial"/>
          <w:szCs w:val="16"/>
        </w:rPr>
        <w:t>17.2.</w:t>
      </w:r>
      <w:r>
        <w:rPr>
          <w:rFonts w:cs="Arial"/>
          <w:szCs w:val="16"/>
        </w:rPr>
        <w:t xml:space="preserve"> </w:t>
      </w:r>
      <w:r w:rsidRPr="00B95026">
        <w:rPr>
          <w:rFonts w:cs="Arial"/>
          <w:szCs w:val="16"/>
        </w:rPr>
        <w:t>Eingangsstufe in den Entgeltgruppen P 7 bis P 16 die Stufe 2.</w:t>
      </w:r>
    </w:p>
    <w:p w:rsidR="00BE1EFE" w:rsidRPr="00B95026" w:rsidRDefault="00BE1EFE" w:rsidP="0098642E">
      <w:pPr>
        <w:jc w:val="both"/>
        <w:rPr>
          <w:rFonts w:cs="Arial"/>
          <w:sz w:val="12"/>
          <w:szCs w:val="12"/>
        </w:rPr>
      </w:pPr>
      <w:r w:rsidRPr="00B95026">
        <w:rPr>
          <w:rFonts w:cs="Arial"/>
          <w:sz w:val="12"/>
          <w:szCs w:val="12"/>
        </w:rPr>
        <w:t>Anmerkung zu Absatz 3:</w:t>
      </w:r>
    </w:p>
    <w:p w:rsidR="00BE1EFE" w:rsidRDefault="00BE1EFE" w:rsidP="0098642E">
      <w:pPr>
        <w:jc w:val="both"/>
        <w:rPr>
          <w:rFonts w:cs="Arial"/>
          <w:sz w:val="12"/>
          <w:szCs w:val="12"/>
        </w:rPr>
      </w:pPr>
      <w:r w:rsidRPr="00B95026">
        <w:rPr>
          <w:rFonts w:cs="Arial"/>
          <w:sz w:val="12"/>
          <w:szCs w:val="12"/>
        </w:rPr>
        <w:t xml:space="preserve">Absatz 3 findet keine Anwendung auf Beschäftigte, die mindestens zur Hälfte eine oder mehrere der folgenden Tätigkeiten auszuüben haben: </w:t>
      </w:r>
    </w:p>
    <w:p w:rsidR="00BE1EFE" w:rsidRDefault="00BE1EFE" w:rsidP="0098642E">
      <w:pPr>
        <w:jc w:val="both"/>
        <w:rPr>
          <w:rFonts w:cs="Arial"/>
          <w:sz w:val="12"/>
          <w:szCs w:val="12"/>
        </w:rPr>
      </w:pPr>
      <w:r>
        <w:rPr>
          <w:rFonts w:cs="Arial"/>
          <w:sz w:val="12"/>
          <w:szCs w:val="12"/>
        </w:rPr>
        <w:t>– </w:t>
      </w:r>
      <w:r w:rsidRPr="00B95026">
        <w:rPr>
          <w:rFonts w:cs="Arial"/>
          <w:sz w:val="12"/>
          <w:szCs w:val="12"/>
        </w:rPr>
        <w:t>Erfüllung von Pflegeaufgaben an Patienten von psychiatrischen oder neurologischen Krankenhäusern, die nicht in diesen Krankenhäusern untergebracht sind,</w:t>
      </w:r>
    </w:p>
    <w:p w:rsidR="00BE1EFE" w:rsidRDefault="00BE1EFE" w:rsidP="0098642E">
      <w:pPr>
        <w:jc w:val="both"/>
        <w:rPr>
          <w:rFonts w:cs="Arial"/>
          <w:sz w:val="12"/>
          <w:szCs w:val="12"/>
        </w:rPr>
      </w:pPr>
      <w:r>
        <w:rPr>
          <w:rFonts w:cs="Arial"/>
          <w:sz w:val="12"/>
          <w:szCs w:val="12"/>
        </w:rPr>
        <w:t>– </w:t>
      </w:r>
      <w:r w:rsidRPr="00B95026">
        <w:rPr>
          <w:rFonts w:cs="Arial"/>
          <w:sz w:val="12"/>
          <w:szCs w:val="12"/>
        </w:rPr>
        <w:t>dem zentralen Sterilisationsdienst vorstehen.</w:t>
      </w:r>
    </w:p>
    <w:p w:rsidR="00BE1EFE" w:rsidRPr="00B95026" w:rsidRDefault="00BE1EFE" w:rsidP="00A21414">
      <w:pPr>
        <w:autoSpaceDE w:val="0"/>
        <w:autoSpaceDN w:val="0"/>
        <w:adjustRightInd w:val="0"/>
        <w:jc w:val="both"/>
        <w:rPr>
          <w:rFonts w:cs="Arial"/>
          <w:szCs w:val="16"/>
        </w:rPr>
      </w:pPr>
    </w:p>
    <w:p w:rsidR="00BE1EFE" w:rsidRPr="00B95026" w:rsidRDefault="00BE1EFE" w:rsidP="00B95026">
      <w:pPr>
        <w:tabs>
          <w:tab w:val="left" w:pos="1276"/>
        </w:tabs>
        <w:jc w:val="both"/>
        <w:rPr>
          <w:rFonts w:cs="Arial"/>
          <w:szCs w:val="16"/>
        </w:rPr>
      </w:pPr>
      <w:r>
        <w:rPr>
          <w:rFonts w:cs="Arial"/>
          <w:szCs w:val="16"/>
        </w:rPr>
        <w:t>(4) </w:t>
      </w:r>
      <w:r w:rsidRPr="00B95026">
        <w:rPr>
          <w:rFonts w:cs="Arial"/>
          <w:szCs w:val="16"/>
        </w:rPr>
        <w:t xml:space="preserve">Abweichend von </w:t>
      </w:r>
      <w:hyperlink r:id="rId190" w:history="1">
        <w:r w:rsidRPr="002C2184">
          <w:rPr>
            <w:rStyle w:val="Hyperlink"/>
            <w:rFonts w:cs="Arial"/>
            <w:szCs w:val="16"/>
          </w:rPr>
          <w:t>§ 16 Absatz 3 Satz 1</w:t>
        </w:r>
      </w:hyperlink>
      <w:r w:rsidRPr="00B95026">
        <w:rPr>
          <w:rFonts w:cs="Arial"/>
          <w:szCs w:val="16"/>
        </w:rPr>
        <w:t xml:space="preserve"> wird von den Beschäftigten im Pflegedienst nach </w:t>
      </w:r>
      <w:hyperlink r:id="rId191" w:history="1">
        <w:r w:rsidRPr="00AA4EF3">
          <w:rPr>
            <w:rStyle w:val="Hyperlink"/>
            <w:rFonts w:cs="Arial"/>
            <w:szCs w:val="16"/>
          </w:rPr>
          <w:t>Teil A, 2.3</w:t>
        </w:r>
      </w:hyperlink>
      <w:r w:rsidRPr="00AA4EF3">
        <w:rPr>
          <w:rFonts w:cs="Arial"/>
          <w:szCs w:val="16"/>
        </w:rPr>
        <w:t>. Nummern 17.1.</w:t>
      </w:r>
      <w:r w:rsidRPr="00B95026">
        <w:rPr>
          <w:rFonts w:cs="Arial"/>
          <w:szCs w:val="16"/>
        </w:rPr>
        <w:t xml:space="preserve"> und </w:t>
      </w:r>
      <w:r w:rsidRPr="00AA4EF3">
        <w:rPr>
          <w:rFonts w:cs="Arial"/>
          <w:szCs w:val="16"/>
        </w:rPr>
        <w:t>17.2</w:t>
      </w:r>
      <w:r w:rsidRPr="00B95026">
        <w:rPr>
          <w:rFonts w:cs="Arial"/>
          <w:szCs w:val="16"/>
        </w:rPr>
        <w:t>. in den Entgeltgruppen P 7 und P 8 die Stufe 3 nach drei Jahren in Stufe 2 erreicht.</w:t>
      </w:r>
    </w:p>
    <w:p w:rsidR="00BE1EFE" w:rsidRDefault="00BE1EFE" w:rsidP="00B95026">
      <w:pPr>
        <w:jc w:val="both"/>
        <w:rPr>
          <w:rFonts w:cs="Arial"/>
          <w:sz w:val="12"/>
          <w:szCs w:val="12"/>
        </w:rPr>
      </w:pPr>
    </w:p>
    <w:p w:rsidR="00BE1EFE" w:rsidRPr="0095087B" w:rsidRDefault="00BE1EFE" w:rsidP="00B95026">
      <w:pPr>
        <w:jc w:val="both"/>
        <w:rPr>
          <w:rFonts w:cs="Arial"/>
          <w:szCs w:val="16"/>
        </w:rPr>
      </w:pPr>
      <w:r>
        <w:rPr>
          <w:rFonts w:cs="Arial"/>
          <w:szCs w:val="16"/>
        </w:rPr>
        <w:t>(5) </w:t>
      </w:r>
      <w:r w:rsidRPr="0095087B">
        <w:rPr>
          <w:rFonts w:cs="Arial"/>
          <w:sz w:val="12"/>
          <w:szCs w:val="12"/>
        </w:rPr>
        <w:t>1</w:t>
      </w:r>
      <w:r w:rsidRPr="0095087B">
        <w:rPr>
          <w:rFonts w:cs="Arial"/>
          <w:szCs w:val="16"/>
        </w:rPr>
        <w:t xml:space="preserve">Abweichend von </w:t>
      </w:r>
      <w:hyperlink r:id="rId192" w:history="1">
        <w:r w:rsidRPr="004E759C">
          <w:rPr>
            <w:rStyle w:val="Hyperlink"/>
            <w:rFonts w:cs="Arial"/>
            <w:szCs w:val="16"/>
          </w:rPr>
          <w:t>§ 17 Absatz 4</w:t>
        </w:r>
      </w:hyperlink>
      <w:r w:rsidRPr="0095087B">
        <w:rPr>
          <w:rFonts w:cs="Arial"/>
          <w:szCs w:val="16"/>
        </w:rPr>
        <w:t xml:space="preserve"> werden die in </w:t>
      </w:r>
      <w:hyperlink r:id="rId193" w:history="1">
        <w:r w:rsidRPr="00C522FB">
          <w:rPr>
            <w:rStyle w:val="Hyperlink"/>
            <w:rFonts w:cs="Arial"/>
            <w:szCs w:val="16"/>
          </w:rPr>
          <w:t>Teil A, 2.3</w:t>
        </w:r>
      </w:hyperlink>
      <w:r w:rsidRPr="00AA4EF3">
        <w:rPr>
          <w:rFonts w:cs="Arial"/>
          <w:szCs w:val="16"/>
        </w:rPr>
        <w:t>. Nummern 17.1.</w:t>
      </w:r>
      <w:r w:rsidRPr="0095087B">
        <w:rPr>
          <w:rFonts w:cs="Arial"/>
          <w:szCs w:val="16"/>
        </w:rPr>
        <w:t xml:space="preserve"> und </w:t>
      </w:r>
      <w:r w:rsidRPr="00AA4EF3">
        <w:rPr>
          <w:rFonts w:cs="Arial"/>
          <w:szCs w:val="16"/>
        </w:rPr>
        <w:t>17.2.</w:t>
      </w:r>
      <w:r w:rsidRPr="0095087B">
        <w:rPr>
          <w:rFonts w:cs="Arial"/>
          <w:szCs w:val="16"/>
        </w:rPr>
        <w:t xml:space="preserve"> eingruppierten Beschäftigten bei Eingruppierung in eine höhere Entgeltgruppe der gleichen Stufe zugeordnet, die sie in der niedrigeren Entgeltgruppe erreicht haben. </w:t>
      </w:r>
      <w:r w:rsidRPr="0095087B">
        <w:rPr>
          <w:rFonts w:cs="Arial"/>
          <w:sz w:val="12"/>
          <w:szCs w:val="12"/>
        </w:rPr>
        <w:t>2</w:t>
      </w:r>
      <w:r w:rsidRPr="0095087B">
        <w:rPr>
          <w:rFonts w:cs="Arial"/>
          <w:szCs w:val="16"/>
        </w:rPr>
        <w:t xml:space="preserve">Die Stufenlaufzeit in der höheren Entgeltgruppe beginnt mit dem Tag der Höhergruppierung. </w:t>
      </w:r>
      <w:r w:rsidRPr="0095087B">
        <w:rPr>
          <w:rFonts w:cs="Arial"/>
          <w:sz w:val="12"/>
          <w:szCs w:val="12"/>
        </w:rPr>
        <w:t>3</w:t>
      </w:r>
      <w:r w:rsidRPr="0095087B">
        <w:rPr>
          <w:rFonts w:cs="Arial"/>
          <w:szCs w:val="16"/>
        </w:rPr>
        <w:t xml:space="preserve">Bei einer Eingruppierung in eine niedrigere Entgeltgruppe ist die/der Beschäftige der in der höheren Entgeltgruppe erreichten Stufe zuzuordnen. </w:t>
      </w:r>
      <w:r w:rsidRPr="0095087B">
        <w:rPr>
          <w:rFonts w:cs="Arial"/>
          <w:sz w:val="12"/>
          <w:szCs w:val="12"/>
        </w:rPr>
        <w:t>4</w:t>
      </w:r>
      <w:r w:rsidRPr="0095087B">
        <w:rPr>
          <w:rFonts w:cs="Arial"/>
          <w:szCs w:val="16"/>
        </w:rPr>
        <w:t>Die/Der Beschäftigte erhält vom Beginn des Monats an, indem die Veränderung wirksam wird, das entsprechende Tabellenentgelt aus der in Satz 1 oder Satz 3 festgelegten Stufe der betreffenden Entgeltgruppe.</w:t>
      </w:r>
    </w:p>
    <w:p w:rsidR="00BE1EFE" w:rsidRPr="00144EB3" w:rsidRDefault="00BE1EFE" w:rsidP="00144EB3">
      <w:pPr>
        <w:pStyle w:val="Leerzeile"/>
      </w:pPr>
    </w:p>
    <w:p w:rsidR="00BE1EFE" w:rsidRDefault="00BE1EFE">
      <w:pPr>
        <w:pStyle w:val="berschrift6"/>
      </w:pPr>
      <w:bookmarkStart w:id="74" w:name="_Toc523925745"/>
      <w:r>
        <w:lastRenderedPageBreak/>
        <w:t>Anlage zu § 44</w:t>
      </w:r>
      <w:bookmarkEnd w:id="74"/>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center"/>
      </w:pPr>
      <w:r>
        <w:rPr>
          <w:rStyle w:val="Fett"/>
          <w:bCs/>
        </w:rPr>
        <w:t>§ 1 Entgelt</w:t>
      </w:r>
    </w:p>
    <w:p w:rsidR="00BE1EFE" w:rsidRPr="000B1AF8" w:rsidRDefault="00BE1EFE">
      <w:pPr>
        <w:pStyle w:val="StandardWeb"/>
        <w:jc w:val="center"/>
      </w:pPr>
    </w:p>
    <w:p w:rsidR="00BE1EFE" w:rsidRPr="002A7185" w:rsidRDefault="00BE1EFE">
      <w:pPr>
        <w:pStyle w:val="StandardWeb"/>
        <w:rPr>
          <w:szCs w:val="16"/>
        </w:rPr>
      </w:pPr>
      <w:r>
        <w:rPr>
          <w:rStyle w:val="kleinschrift"/>
          <w:sz w:val="16"/>
          <w:szCs w:val="16"/>
        </w:rPr>
        <w:t>(1) </w:t>
      </w:r>
      <w:r w:rsidRPr="002A7185">
        <w:rPr>
          <w:rStyle w:val="kleinschrift"/>
          <w:sz w:val="16"/>
          <w:szCs w:val="16"/>
        </w:rPr>
        <w:t xml:space="preserve">Beschäftigte, die nach </w:t>
      </w:r>
      <w:hyperlink r:id="rId194" w:history="1">
        <w:r w:rsidRPr="00C522FB">
          <w:rPr>
            <w:rStyle w:val="Hyperlink"/>
            <w:szCs w:val="16"/>
          </w:rPr>
          <w:t>Teil A, 2.3.</w:t>
        </w:r>
      </w:hyperlink>
      <w:r w:rsidRPr="002A7185">
        <w:rPr>
          <w:rStyle w:val="kleinschrift"/>
          <w:sz w:val="16"/>
          <w:szCs w:val="16"/>
        </w:rPr>
        <w:t xml:space="preserve"> Nummer 30 eingruppiert sind, erhalten abweichend von </w:t>
      </w:r>
      <w:hyperlink r:id="rId195" w:history="1">
        <w:r w:rsidRPr="0065324B">
          <w:rPr>
            <w:rStyle w:val="Hyperlink"/>
            <w:szCs w:val="16"/>
          </w:rPr>
          <w:t>§ 15 Absatz 2 Satz 2</w:t>
        </w:r>
      </w:hyperlink>
      <w:r>
        <w:rPr>
          <w:rStyle w:val="kleinschrift"/>
          <w:sz w:val="16"/>
          <w:szCs w:val="16"/>
        </w:rPr>
        <w:t xml:space="preserve"> Entgelt nach der Anlage F.</w:t>
      </w:r>
    </w:p>
    <w:p w:rsidR="00BE1EFE" w:rsidRDefault="00BE1EFE">
      <w:pPr>
        <w:pStyle w:val="StandardWeb"/>
      </w:pPr>
    </w:p>
    <w:p w:rsidR="00BE1EFE" w:rsidRDefault="00BE1EFE">
      <w:pPr>
        <w:pStyle w:val="StandardWeb"/>
      </w:pPr>
      <w:r>
        <w:t>(2) Anstelle des § 16 gilt folgendes:</w:t>
      </w:r>
    </w:p>
    <w:p w:rsidR="00BE1EFE" w:rsidRPr="00B43590" w:rsidRDefault="00BE1EFE" w:rsidP="00B43590">
      <w:pPr>
        <w:pStyle w:val="StandardWeb"/>
        <w:rPr>
          <w:szCs w:val="16"/>
        </w:rPr>
      </w:pPr>
      <w:r>
        <w:rPr>
          <w:rStyle w:val="kleinschrift"/>
        </w:rPr>
        <w:t>1</w:t>
      </w:r>
      <w:r>
        <w:t xml:space="preserve">Die Entgeltgruppen S 2 bis S 18 umfassen sechs Stufen. </w:t>
      </w:r>
      <w:r>
        <w:rPr>
          <w:rStyle w:val="kleinschrift"/>
        </w:rPr>
        <w:t>2</w:t>
      </w:r>
      <w:r>
        <w:t xml:space="preserve">Bei Einstellung werden die Beschäftigten der Stufe 1 zugeordnet, sofern keine einschlägige Berufserfahrung vorliegt. </w:t>
      </w:r>
      <w:r>
        <w:rPr>
          <w:rStyle w:val="kleinschrift"/>
        </w:rPr>
        <w:t>3</w:t>
      </w:r>
      <w:r>
        <w:t xml:space="preserve">Verfügt die/der Beschäftigte über eine einschlägige Berufserfahrung von mindestens einem Jahr, erfolgt die Einstellung in die Stufe 2; verfügt sie/er über eine einschlägige Berufserfahrung von mindestens vier Jahren, erfolgt in der Regel eine Zuordnung zur Stufe 3. </w:t>
      </w:r>
      <w:r>
        <w:rPr>
          <w:rStyle w:val="kleinschrift"/>
        </w:rPr>
        <w:t>4</w:t>
      </w:r>
      <w:r>
        <w:t>Unabhängig davon kann der Arbeitgeber bei Neueinstellungen zur Deckung des Personal</w:t>
      </w:r>
      <w:r>
        <w:softHyphen/>
        <w:t>bedarfs Zeiten einer vorherigen beruflichen Tätigkeit ganz oder teilweise für die Stufenzu</w:t>
      </w:r>
      <w:r>
        <w:softHyphen/>
        <w:t xml:space="preserve">ordnung berücksichtigen, wenn diese Tätigkeit für die vorgesehene Tätigkeit förderlich ist. </w:t>
      </w:r>
      <w:r w:rsidRPr="00B43590">
        <w:rPr>
          <w:rStyle w:val="kleinschrift"/>
          <w:szCs w:val="12"/>
        </w:rPr>
        <w:t>5</w:t>
      </w:r>
      <w:r w:rsidRPr="00B43590">
        <w:rPr>
          <w:rStyle w:val="kleinschrift"/>
          <w:sz w:val="16"/>
          <w:szCs w:val="16"/>
        </w:rPr>
        <w:t>Bei einem Wechsel zwischen Arbeitgebern im Sinne des § 1 Absatz 1 dürfen Beschäftigte nicht mehr als eine Entwicklungsstufe gegenüber dem vorhe</w:t>
      </w:r>
      <w:r>
        <w:rPr>
          <w:rStyle w:val="kleinschrift"/>
          <w:sz w:val="16"/>
          <w:szCs w:val="16"/>
        </w:rPr>
        <w:t>rigen Arbeitsverhältnis mit einschlä</w:t>
      </w:r>
      <w:r w:rsidRPr="00B43590">
        <w:rPr>
          <w:rStyle w:val="kleinschrift"/>
          <w:sz w:val="16"/>
          <w:szCs w:val="16"/>
        </w:rPr>
        <w:t>giger beruflicher Tätigkeit zurückgestuft werden, sofern nicht mehr als sechs Monate Unt</w:t>
      </w:r>
      <w:r>
        <w:rPr>
          <w:rStyle w:val="kleinschrift"/>
          <w:sz w:val="16"/>
          <w:szCs w:val="16"/>
        </w:rPr>
        <w:t xml:space="preserve">erbrechung zwischen den Arbeitsverhältnissen liegen. </w:t>
      </w:r>
      <w:r w:rsidRPr="00B43590">
        <w:rPr>
          <w:rStyle w:val="kleinschrift"/>
          <w:szCs w:val="12"/>
        </w:rPr>
        <w:t>5a</w:t>
      </w:r>
      <w:r w:rsidRPr="00B43590">
        <w:rPr>
          <w:rStyle w:val="kleinschrift"/>
          <w:sz w:val="16"/>
          <w:szCs w:val="16"/>
        </w:rPr>
        <w:t>Bei Einstellung von Beschäftigten in unmittelbarem Anschluss an ein Arbeitsverhältnis bei einem Arbeitgeber, der ein dem ABD vergleichbares Arbeitsvertragsrecht anwendet, kann die in dem</w:t>
      </w:r>
      <w:r>
        <w:rPr>
          <w:rStyle w:val="kleinschrift"/>
          <w:sz w:val="16"/>
          <w:szCs w:val="16"/>
        </w:rPr>
        <w:t xml:space="preserve"> vorhergehenden Arbeitsver-hält</w:t>
      </w:r>
      <w:r w:rsidRPr="00B43590">
        <w:rPr>
          <w:rStyle w:val="kleinschrift"/>
          <w:sz w:val="16"/>
          <w:szCs w:val="16"/>
        </w:rPr>
        <w:t>nis erworbene Stufe bei der Stufenzuordnung ganz oder teilweise berücksichtigt w</w:t>
      </w:r>
      <w:r>
        <w:rPr>
          <w:rStyle w:val="kleinschrift"/>
          <w:sz w:val="16"/>
          <w:szCs w:val="16"/>
        </w:rPr>
        <w:t>erden; Satz 4 bleibt unberührt.</w:t>
      </w:r>
      <w:r w:rsidRPr="00B43590">
        <w:rPr>
          <w:rStyle w:val="kleinschrift"/>
        </w:rPr>
        <w:t xml:space="preserve"> </w:t>
      </w:r>
      <w:r>
        <w:rPr>
          <w:rStyle w:val="kleinschrift"/>
        </w:rPr>
        <w:t>6</w:t>
      </w:r>
      <w:r>
        <w:t xml:space="preserve">Die Beschäftigten erreichen die jeweils nächste Stufe – von Stufe 3 an in Abhängigkeit von ihrer Leistung gemäß </w:t>
      </w:r>
      <w:hyperlink r:id="rId196" w:history="1">
        <w:r w:rsidRPr="002D1F1D">
          <w:rPr>
            <w:rStyle w:val="Hyperlink"/>
          </w:rPr>
          <w:t xml:space="preserve">§ 17 </w:t>
        </w:r>
        <w:r>
          <w:rPr>
            <w:rStyle w:val="Hyperlink"/>
          </w:rPr>
          <w:t>Absatz</w:t>
        </w:r>
        <w:r w:rsidRPr="002D1F1D">
          <w:rPr>
            <w:rStyle w:val="Hyperlink"/>
          </w:rPr>
          <w:t xml:space="preserve"> 2</w:t>
        </w:r>
      </w:hyperlink>
      <w:r>
        <w:t xml:space="preserve"> – nach folgenden Zeiten einer ununterbrochenen Tätigkeit innerhalb derselben Entgeltgruppe bei ihrem Arbeitgeber (Stufenlaufzeit):</w:t>
      </w:r>
    </w:p>
    <w:p w:rsidR="00BE1EFE" w:rsidRDefault="00BE1EFE">
      <w:pPr>
        <w:pStyle w:val="StandardWeb"/>
      </w:pPr>
      <w:r>
        <w:t>– Stufe 2 nach einem Jahr in Stufe 1,</w:t>
      </w:r>
    </w:p>
    <w:p w:rsidR="00BE1EFE" w:rsidRDefault="00BE1EFE">
      <w:pPr>
        <w:pStyle w:val="StandardWeb"/>
      </w:pPr>
      <w:r>
        <w:t>– Stufe 3 nach drei Jahren in Stufe 2,</w:t>
      </w:r>
    </w:p>
    <w:p w:rsidR="00BE1EFE" w:rsidRDefault="00BE1EFE">
      <w:pPr>
        <w:pStyle w:val="StandardWeb"/>
      </w:pPr>
      <w:r>
        <w:t>– Stufe 4 nach vier Jahren in Stufe 3,</w:t>
      </w:r>
    </w:p>
    <w:p w:rsidR="00BE1EFE" w:rsidRDefault="00BE1EFE">
      <w:pPr>
        <w:pStyle w:val="StandardWeb"/>
      </w:pPr>
      <w:r>
        <w:t>– Stufe 5 nach vier Jahren in Stufe 4 und</w:t>
      </w:r>
    </w:p>
    <w:p w:rsidR="00BE1EFE" w:rsidRDefault="00BE1EFE">
      <w:pPr>
        <w:pStyle w:val="StandardWeb"/>
      </w:pPr>
      <w:r>
        <w:t>– Stufe 6 nach fünf Jahren in Stufe 5.</w:t>
      </w:r>
    </w:p>
    <w:p w:rsidR="00BE1EFE" w:rsidRDefault="00BE1EFE">
      <w:pPr>
        <w:pStyle w:val="StandardWeb"/>
      </w:pPr>
      <w:r>
        <w:rPr>
          <w:rStyle w:val="kleinschrift"/>
        </w:rPr>
        <w:t>7</w:t>
      </w:r>
      <w:r>
        <w:t>Abweichend von Satz 1 ist Endstufe die Stufe 4</w:t>
      </w:r>
    </w:p>
    <w:p w:rsidR="00BE1EFE" w:rsidRDefault="00BE1EFE">
      <w:pPr>
        <w:pStyle w:val="StandardWeb"/>
      </w:pPr>
      <w:r>
        <w:t>a) in der Entgeltgruppe S 4 bei Tätigkeiten der Fallgruppe 3 und</w:t>
      </w:r>
    </w:p>
    <w:p w:rsidR="00BE1EFE" w:rsidRDefault="00BE1EFE">
      <w:pPr>
        <w:pStyle w:val="StandardWeb"/>
      </w:pPr>
      <w:r>
        <w:t>b) in der Entgeltgruppe S 8b bei Tätigkeiten der Fallgruppe 3.</w:t>
      </w:r>
    </w:p>
    <w:p w:rsidR="00BE1EFE" w:rsidRDefault="00BE1EFE">
      <w:pPr>
        <w:pStyle w:val="StandardWeb"/>
      </w:pPr>
      <w:r>
        <w:rPr>
          <w:rStyle w:val="kleinschrift"/>
        </w:rPr>
        <w:t>8</w:t>
      </w:r>
      <w:r w:rsidRPr="00215E7C">
        <w:t>Abweichend von Satz 6 erreichen B</w:t>
      </w:r>
      <w:r>
        <w:t>eschäftigte, die nach den Tätig</w:t>
      </w:r>
      <w:r w:rsidRPr="00215E7C">
        <w:t xml:space="preserve">keitsmerkmalen des </w:t>
      </w:r>
      <w:hyperlink r:id="rId197" w:history="1">
        <w:r w:rsidRPr="00C522FB">
          <w:rPr>
            <w:rStyle w:val="Hyperlink"/>
          </w:rPr>
          <w:t>Teil A, 2.3.</w:t>
        </w:r>
      </w:hyperlink>
      <w:r w:rsidRPr="00C522FB">
        <w:t xml:space="preserve"> Nummer 30</w:t>
      </w:r>
      <w:r w:rsidRPr="00215E7C">
        <w:t xml:space="preserve"> in der Entgeltgruppe S 8b bei Tätigkeiten der Fallgruppen 1 oder 2 eingruppiert sind, die Stufe 5 nach sechs Jahren in Stufe 4 und die Stufe 6 nach acht Jahren in Stufe 5.</w:t>
      </w:r>
    </w:p>
    <w:p w:rsidR="00BE1EFE" w:rsidRDefault="00BE1EFE">
      <w:pPr>
        <w:pStyle w:val="StandardWeb"/>
      </w:pPr>
      <w:r>
        <w:rPr>
          <w:sz w:val="12"/>
          <w:szCs w:val="12"/>
        </w:rPr>
        <w:t>Anmerkung zu Absatz 2 Satz 3:</w:t>
      </w:r>
    </w:p>
    <w:p w:rsidR="00BE1EFE" w:rsidRDefault="00BE1EFE">
      <w:pPr>
        <w:pStyle w:val="StandardWeb"/>
      </w:pPr>
      <w:r>
        <w:rPr>
          <w:sz w:val="12"/>
          <w:szCs w:val="12"/>
        </w:rPr>
        <w:t>Ein Berufspraktikum nach den Regelungen für die Praktikantinnen und Praktikanten gilt grundsätzlich als Erwerb ein</w:t>
      </w:r>
      <w:r>
        <w:rPr>
          <w:sz w:val="12"/>
          <w:szCs w:val="12"/>
        </w:rPr>
        <w:softHyphen/>
        <w:t>schlägiger Berufserfahrung.</w:t>
      </w:r>
    </w:p>
    <w:p w:rsidR="00BE1EFE" w:rsidRPr="0098642E" w:rsidRDefault="00BE1EFE">
      <w:pPr>
        <w:pStyle w:val="StandardWeb"/>
        <w:rPr>
          <w:sz w:val="12"/>
          <w:szCs w:val="12"/>
        </w:rPr>
      </w:pPr>
    </w:p>
    <w:p w:rsidR="00BE1EFE" w:rsidRDefault="00BE1EFE">
      <w:pPr>
        <w:jc w:val="both"/>
      </w:pPr>
      <w:r>
        <w:rPr>
          <w:sz w:val="12"/>
          <w:szCs w:val="12"/>
        </w:rPr>
        <w:t xml:space="preserve">Protokollnotiz zu Absatz 2 Satz 5: </w:t>
      </w:r>
    </w:p>
    <w:p w:rsidR="00BE1EFE" w:rsidRDefault="00BE1EFE">
      <w:pPr>
        <w:pStyle w:val="StandardWeb"/>
      </w:pPr>
      <w:r>
        <w:rPr>
          <w:sz w:val="12"/>
          <w:szCs w:val="12"/>
        </w:rPr>
        <w:t>Bei Einstellung von Beschäftigten in unmittelbarem Anschluss an ein Arbeitsverhältnis zu einem kirchlichen Arbeitgeber, auf das die Arbeitsvertragsrichtlinien des Deutschen Caritasverbandes (AVR) oder ein anderes arbeitsvertragsrechtliches Regelwerk Anwendung gefunden haben, können Beschäftigte derjenigen Stufe zugeordnet werden, die sie erreicht hätten, wenn das ABD auf das vorherige Arbeitsverhältnis Anwendung gefunden hätte; Absatz 2 Satz 4 bleibt unberührt.</w:t>
      </w:r>
    </w:p>
    <w:p w:rsidR="00BE1EFE" w:rsidRDefault="00BE1EFE">
      <w:pPr>
        <w:pStyle w:val="StandardWeb"/>
      </w:pPr>
    </w:p>
    <w:p w:rsidR="00BE1EFE" w:rsidRDefault="00BE1EFE">
      <w:pPr>
        <w:pStyle w:val="StandardWeb"/>
      </w:pPr>
      <w:r>
        <w:t>(2a) </w:t>
      </w:r>
      <w:r>
        <w:rPr>
          <w:rStyle w:val="kleinschrift"/>
        </w:rPr>
        <w:t>1</w:t>
      </w:r>
      <w:r>
        <w:t>Für die Herabgruppierung von Leiterinnen/Leitern von Kindertageseinrichtungen, ständigen Vertreterinnen/Vertretern von Leiterinnen/Leitern von Kindertageseinrichtungen, Erzieherinnen/Erziehern mit besonders schwierigen fachlichen Tätigkeiten und Kinder</w:t>
      </w:r>
      <w:r>
        <w:softHyphen/>
        <w:t xml:space="preserve">pflegerinnen/Kinderpflegern mit schwierigen fachlichen Tätigkeiten gilt anstelle des </w:t>
      </w:r>
      <w:hyperlink r:id="rId198" w:history="1">
        <w:r>
          <w:rPr>
            <w:rStyle w:val="Hyperlink"/>
          </w:rPr>
          <w:t>§ 17 Absatz</w:t>
        </w:r>
        <w:r w:rsidRPr="002D1F1D">
          <w:rPr>
            <w:rStyle w:val="Hyperlink"/>
          </w:rPr>
          <w:t xml:space="preserve"> 4 Satz 5</w:t>
        </w:r>
      </w:hyperlink>
      <w:r>
        <w:t xml:space="preserve"> folgendes:</w:t>
      </w:r>
    </w:p>
    <w:p w:rsidR="00BE1EFE" w:rsidRDefault="00BE1EFE">
      <w:pPr>
        <w:pStyle w:val="StandardWeb"/>
      </w:pPr>
      <w:r>
        <w:lastRenderedPageBreak/>
        <w:t xml:space="preserve">Bei einer durch das Absinken der Kinderzahl bedingten Eingruppierung in eine niedrigere Entgeltgruppe wird die/der Beschäftigte derjenigen Stufe zugeordnet, die sie/er erreicht hätte, wenn sie/er während der Dauer ihrer/seiner zuletzt ausgeübten Tätigkeit in der niedrigeren Entgeltgruppe eingruppiert gewesen wäre. </w:t>
      </w:r>
      <w:r>
        <w:rPr>
          <w:rStyle w:val="kleinschrift"/>
        </w:rPr>
        <w:t>2</w:t>
      </w:r>
      <w:r>
        <w:t>Ist das Tabellenentgelt der Stufe, zu der die Zuordnung bei der Herabgruppierung erfolgt, höher als das bisherige Tabellenentgelt, beginnt die Stufenlaufzeit in der niedrigeren Entgeltgruppe mit dem Tag der Herabgruppierung.</w:t>
      </w:r>
    </w:p>
    <w:p w:rsidR="00BE1EFE" w:rsidRDefault="00BE1EFE">
      <w:pPr>
        <w:pStyle w:val="StandardWeb"/>
      </w:pPr>
    </w:p>
    <w:p w:rsidR="00BE1EFE" w:rsidRDefault="00BE1EFE">
      <w:pPr>
        <w:pStyle w:val="StandardWeb"/>
      </w:pPr>
      <w:r>
        <w:t>(3) Soweit in Teil A, 2.2. auf bestimmte Entgeltgruppen der Anlage A Bezug genommen wird, entspricht</w:t>
      </w:r>
    </w:p>
    <w:p w:rsidR="00BE1EFE" w:rsidRDefault="00BE1EFE">
      <w:pPr>
        <w:pStyle w:val="StandardWeb"/>
      </w:pPr>
    </w:p>
    <w:tbl>
      <w:tblPr>
        <w:tblW w:w="0" w:type="auto"/>
        <w:tblCellMar>
          <w:left w:w="0" w:type="dxa"/>
          <w:right w:w="0" w:type="dxa"/>
        </w:tblCellMar>
        <w:tblLook w:val="04A0" w:firstRow="1" w:lastRow="0" w:firstColumn="1" w:lastColumn="0" w:noHBand="0" w:noVBand="1"/>
      </w:tblPr>
      <w:tblGrid>
        <w:gridCol w:w="3085"/>
        <w:gridCol w:w="3119"/>
      </w:tblGrid>
      <w:tr w:rsidR="00BE1EFE">
        <w:tc>
          <w:tcPr>
            <w:tcW w:w="3085" w:type="dxa"/>
            <w:tcMar>
              <w:top w:w="0" w:type="dxa"/>
              <w:left w:w="108" w:type="dxa"/>
              <w:bottom w:w="0" w:type="dxa"/>
              <w:right w:w="108" w:type="dxa"/>
            </w:tcMar>
            <w:hideMark/>
          </w:tcPr>
          <w:p w:rsidR="00BE1EFE" w:rsidRPr="000B1AF8" w:rsidRDefault="00BE1EFE">
            <w:pPr>
              <w:pStyle w:val="StandardWeb"/>
              <w:jc w:val="center"/>
            </w:pPr>
            <w:r>
              <w:rPr>
                <w:rFonts w:cs="Arial"/>
              </w:rPr>
              <w:t>die Entgeltgruppe</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der Entgeltgruppe</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2</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2</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3</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4</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4</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5</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5</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6</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6 bis S 8b</w:t>
            </w:r>
          </w:p>
        </w:tc>
        <w:tc>
          <w:tcPr>
            <w:tcW w:w="3119" w:type="dxa"/>
            <w:tcMar>
              <w:top w:w="0" w:type="dxa"/>
              <w:left w:w="108" w:type="dxa"/>
              <w:bottom w:w="0" w:type="dxa"/>
              <w:right w:w="108" w:type="dxa"/>
            </w:tcMar>
            <w:hideMark/>
          </w:tcPr>
          <w:p w:rsidR="00BE1EFE" w:rsidRPr="000B1AF8" w:rsidRDefault="00BE1EFE">
            <w:pPr>
              <w:pStyle w:val="StandardWeb"/>
              <w:jc w:val="center"/>
            </w:pPr>
            <w:r>
              <w:rPr>
                <w:rFonts w:cs="Arial"/>
              </w:rPr>
              <w:t>8</w:t>
            </w:r>
          </w:p>
        </w:tc>
      </w:tr>
      <w:tr w:rsidR="00BE1EFE">
        <w:tc>
          <w:tcPr>
            <w:tcW w:w="3085" w:type="dxa"/>
            <w:tcMar>
              <w:top w:w="0" w:type="dxa"/>
              <w:left w:w="108" w:type="dxa"/>
              <w:bottom w:w="0" w:type="dxa"/>
              <w:right w:w="108" w:type="dxa"/>
            </w:tcMar>
            <w:hideMark/>
          </w:tcPr>
          <w:p w:rsidR="00BE1EFE" w:rsidRPr="000B1AF8" w:rsidRDefault="00BE1EFE" w:rsidP="00CC1A35">
            <w:pPr>
              <w:pStyle w:val="StandardWeb"/>
              <w:jc w:val="center"/>
            </w:pPr>
            <w:r>
              <w:rPr>
                <w:rFonts w:cs="Arial"/>
              </w:rPr>
              <w:t>S 9 bis S 11a</w:t>
            </w:r>
          </w:p>
        </w:tc>
        <w:tc>
          <w:tcPr>
            <w:tcW w:w="3119" w:type="dxa"/>
            <w:tcMar>
              <w:top w:w="0" w:type="dxa"/>
              <w:left w:w="108" w:type="dxa"/>
              <w:bottom w:w="0" w:type="dxa"/>
              <w:right w:w="108" w:type="dxa"/>
            </w:tcMar>
            <w:hideMark/>
          </w:tcPr>
          <w:p w:rsidR="00BE1EFE" w:rsidRPr="000B1AF8" w:rsidRDefault="00BE1EFE" w:rsidP="002A7185">
            <w:pPr>
              <w:pStyle w:val="StandardWeb"/>
              <w:jc w:val="center"/>
            </w:pPr>
            <w:r>
              <w:rPr>
                <w:rFonts w:cs="Arial"/>
              </w:rPr>
              <w:t xml:space="preserve"> 9a </w:t>
            </w:r>
          </w:p>
        </w:tc>
      </w:tr>
      <w:tr w:rsidR="00BE1EFE">
        <w:tc>
          <w:tcPr>
            <w:tcW w:w="3085" w:type="dxa"/>
            <w:tcMar>
              <w:top w:w="0" w:type="dxa"/>
              <w:left w:w="108" w:type="dxa"/>
              <w:bottom w:w="0" w:type="dxa"/>
              <w:right w:w="108" w:type="dxa"/>
            </w:tcMar>
            <w:hideMark/>
          </w:tcPr>
          <w:p w:rsidR="00BE1EFE" w:rsidRPr="000B1AF8" w:rsidRDefault="00BE1EFE" w:rsidP="002A7185">
            <w:pPr>
              <w:pStyle w:val="StandardWeb"/>
              <w:ind w:left="-1345" w:firstLine="1345"/>
              <w:jc w:val="center"/>
            </w:pPr>
            <w:r>
              <w:rPr>
                <w:rFonts w:cs="Arial"/>
              </w:rPr>
              <w:t>S 11b bis S 13</w:t>
            </w:r>
          </w:p>
        </w:tc>
        <w:tc>
          <w:tcPr>
            <w:tcW w:w="3119" w:type="dxa"/>
            <w:tcMar>
              <w:top w:w="0" w:type="dxa"/>
              <w:left w:w="108" w:type="dxa"/>
              <w:bottom w:w="0" w:type="dxa"/>
              <w:right w:w="108" w:type="dxa"/>
            </w:tcMar>
            <w:hideMark/>
          </w:tcPr>
          <w:p w:rsidR="00BE1EFE" w:rsidRPr="000B1AF8" w:rsidRDefault="00BE1EFE" w:rsidP="002A7185">
            <w:pPr>
              <w:pStyle w:val="StandardWeb"/>
              <w:ind w:left="-1345" w:firstLine="1345"/>
              <w:jc w:val="center"/>
            </w:pPr>
            <w:r>
              <w:rPr>
                <w:rFonts w:cs="Arial"/>
              </w:rPr>
              <w:t xml:space="preserve"> 9b</w:t>
            </w:r>
          </w:p>
        </w:tc>
      </w:tr>
      <w:tr w:rsidR="00BE1EFE">
        <w:tc>
          <w:tcPr>
            <w:tcW w:w="3085" w:type="dxa"/>
            <w:tcMar>
              <w:top w:w="0" w:type="dxa"/>
              <w:left w:w="108" w:type="dxa"/>
              <w:bottom w:w="0" w:type="dxa"/>
              <w:right w:w="108" w:type="dxa"/>
            </w:tcMar>
            <w:hideMark/>
          </w:tcPr>
          <w:p w:rsidR="00BE1EFE" w:rsidRPr="000B1AF8" w:rsidRDefault="00BE1EFE" w:rsidP="002A7185">
            <w:pPr>
              <w:pStyle w:val="StandardWeb"/>
              <w:jc w:val="center"/>
            </w:pPr>
            <w:r>
              <w:rPr>
                <w:rFonts w:cs="Arial"/>
              </w:rPr>
              <w:t>S 14</w:t>
            </w:r>
          </w:p>
        </w:tc>
        <w:tc>
          <w:tcPr>
            <w:tcW w:w="3119" w:type="dxa"/>
            <w:tcMar>
              <w:top w:w="0" w:type="dxa"/>
              <w:left w:w="108" w:type="dxa"/>
              <w:bottom w:w="0" w:type="dxa"/>
              <w:right w:w="108" w:type="dxa"/>
            </w:tcMar>
            <w:hideMark/>
          </w:tcPr>
          <w:p w:rsidR="00BE1EFE" w:rsidRPr="000B1AF8" w:rsidRDefault="00BE1EFE" w:rsidP="002A7185">
            <w:pPr>
              <w:pStyle w:val="StandardWeb"/>
              <w:jc w:val="center"/>
            </w:pPr>
            <w:r>
              <w:rPr>
                <w:rFonts w:cs="Arial"/>
              </w:rPr>
              <w:t xml:space="preserve"> 9c</w:t>
            </w:r>
          </w:p>
        </w:tc>
      </w:tr>
      <w:tr w:rsidR="00BE1EFE">
        <w:tc>
          <w:tcPr>
            <w:tcW w:w="3085" w:type="dxa"/>
            <w:tcMar>
              <w:top w:w="0" w:type="dxa"/>
              <w:left w:w="108" w:type="dxa"/>
              <w:bottom w:w="0" w:type="dxa"/>
              <w:right w:w="108" w:type="dxa"/>
            </w:tcMar>
            <w:hideMark/>
          </w:tcPr>
          <w:p w:rsidR="00BE1EFE" w:rsidRDefault="00BE1EFE" w:rsidP="00CC1A35">
            <w:pPr>
              <w:pStyle w:val="StandardWeb"/>
              <w:jc w:val="center"/>
              <w:rPr>
                <w:rFonts w:cs="Arial"/>
              </w:rPr>
            </w:pPr>
            <w:r>
              <w:rPr>
                <w:rFonts w:cs="Arial"/>
              </w:rPr>
              <w:t>S 15 und S 16</w:t>
            </w:r>
          </w:p>
          <w:p w:rsidR="00BE1EFE" w:rsidRDefault="00BE1EFE" w:rsidP="00CC1A35">
            <w:pPr>
              <w:pStyle w:val="StandardWeb"/>
              <w:jc w:val="center"/>
              <w:rPr>
                <w:rFonts w:cs="Arial"/>
              </w:rPr>
            </w:pPr>
            <w:r>
              <w:rPr>
                <w:rFonts w:cs="Arial"/>
              </w:rPr>
              <w:t>S 17</w:t>
            </w:r>
          </w:p>
          <w:p w:rsidR="00BE1EFE" w:rsidRPr="000B1AF8" w:rsidRDefault="00BE1EFE" w:rsidP="00CC1A35">
            <w:pPr>
              <w:pStyle w:val="StandardWeb"/>
              <w:jc w:val="center"/>
            </w:pPr>
            <w:r>
              <w:rPr>
                <w:rFonts w:cs="Arial"/>
              </w:rPr>
              <w:t>S 18</w:t>
            </w:r>
          </w:p>
        </w:tc>
        <w:tc>
          <w:tcPr>
            <w:tcW w:w="3119" w:type="dxa"/>
            <w:tcMar>
              <w:top w:w="0" w:type="dxa"/>
              <w:left w:w="108" w:type="dxa"/>
              <w:bottom w:w="0" w:type="dxa"/>
              <w:right w:w="108" w:type="dxa"/>
            </w:tcMar>
            <w:hideMark/>
          </w:tcPr>
          <w:p w:rsidR="00BE1EFE" w:rsidRDefault="00BE1EFE" w:rsidP="002A7185">
            <w:pPr>
              <w:pStyle w:val="StandardWeb"/>
              <w:jc w:val="center"/>
              <w:rPr>
                <w:rFonts w:cs="Arial"/>
              </w:rPr>
            </w:pPr>
            <w:r>
              <w:rPr>
                <w:rFonts w:cs="Arial"/>
              </w:rPr>
              <w:t xml:space="preserve"> 10</w:t>
            </w:r>
          </w:p>
          <w:p w:rsidR="00BE1EFE" w:rsidRDefault="00BE1EFE" w:rsidP="002A7185">
            <w:pPr>
              <w:pStyle w:val="StandardWeb"/>
              <w:jc w:val="center"/>
              <w:rPr>
                <w:rFonts w:cs="Arial"/>
              </w:rPr>
            </w:pPr>
            <w:r>
              <w:rPr>
                <w:rFonts w:cs="Arial"/>
              </w:rPr>
              <w:t xml:space="preserve"> 11</w:t>
            </w:r>
          </w:p>
          <w:p w:rsidR="00BE1EFE" w:rsidRPr="000B1AF8" w:rsidRDefault="00BE1EFE" w:rsidP="002A7185">
            <w:pPr>
              <w:pStyle w:val="StandardWeb"/>
              <w:jc w:val="center"/>
            </w:pPr>
            <w:r>
              <w:rPr>
                <w:rFonts w:cs="Arial"/>
              </w:rPr>
              <w:t xml:space="preserve">  12.</w:t>
            </w:r>
          </w:p>
        </w:tc>
      </w:tr>
    </w:tbl>
    <w:p w:rsidR="00BE1EFE" w:rsidRDefault="00BE1EFE">
      <w:pPr>
        <w:pStyle w:val="StandardWeb"/>
      </w:pPr>
    </w:p>
    <w:p w:rsidR="00BE1EFE" w:rsidRPr="00942E08" w:rsidRDefault="00BE1EFE" w:rsidP="00942E08">
      <w:pPr>
        <w:pStyle w:val="StandardWeb"/>
        <w:spacing w:after="60"/>
        <w:rPr>
          <w:sz w:val="12"/>
          <w:szCs w:val="12"/>
        </w:rPr>
      </w:pPr>
      <w:r>
        <w:t>(4) </w:t>
      </w:r>
      <w:r w:rsidRPr="00E50669">
        <w:rPr>
          <w:sz w:val="12"/>
          <w:szCs w:val="12"/>
        </w:rPr>
        <w:t>1</w:t>
      </w:r>
      <w:r>
        <w:t xml:space="preserve">Bei Eingruppierung in eine höhere Entgeltgruppe der </w:t>
      </w:r>
      <w:hyperlink r:id="rId199" w:history="1">
        <w:r w:rsidRPr="00942E08">
          <w:rPr>
            <w:rStyle w:val="Hyperlink"/>
          </w:rPr>
          <w:t>Anlage F</w:t>
        </w:r>
      </w:hyperlink>
      <w:r>
        <w:t xml:space="preserve"> (Tabelle Beschäftigte im Sozial- und Erziehungsdienst) werden die Beschäftigten der gleichen Stufe zugeordnet, die sie in der niedrigeren Entgeltgruppe erreicht haben. </w:t>
      </w:r>
      <w:r>
        <w:rPr>
          <w:rStyle w:val="kleinschrift"/>
        </w:rPr>
        <w:t>2</w:t>
      </w:r>
      <w:r>
        <w:t>Beträgt bei Höhergruppierungen inner</w:t>
      </w:r>
      <w:r>
        <w:softHyphen/>
        <w:t xml:space="preserve">halb der </w:t>
      </w:r>
      <w:hyperlink r:id="rId200" w:history="1">
        <w:r w:rsidRPr="00942E08">
          <w:rPr>
            <w:rStyle w:val="Hyperlink"/>
          </w:rPr>
          <w:t>Anlage F</w:t>
        </w:r>
      </w:hyperlink>
      <w:r>
        <w:t xml:space="preserve"> (Tabelle Beschäftigte im Sozial- und Erziehungsdienst) der Unterschieds</w:t>
      </w:r>
      <w:r>
        <w:softHyphen/>
        <w:t xml:space="preserve">betrag zwischen dem derzeitigen Tabellenentgelt und dem Tabellenentgelt nach </w:t>
      </w:r>
      <w:hyperlink r:id="rId201" w:history="1">
        <w:r w:rsidRPr="00942E08">
          <w:rPr>
            <w:rStyle w:val="Hyperlink"/>
          </w:rPr>
          <w:t>§ 17 Ab</w:t>
        </w:r>
        <w:r w:rsidRPr="00942E08">
          <w:rPr>
            <w:rStyle w:val="Hyperlink"/>
          </w:rPr>
          <w:softHyphen/>
          <w:t>satz 4 Satz 1</w:t>
        </w:r>
      </w:hyperlink>
      <w:r>
        <w:t xml:space="preserve"> in der höheren Entgeltgruppe </w:t>
      </w:r>
    </w:p>
    <w:p w:rsidR="00BE1EFE" w:rsidRDefault="00BE1EFE" w:rsidP="00942E08">
      <w:pPr>
        <w:pStyle w:val="StandardWeb"/>
        <w:spacing w:after="60"/>
      </w:pPr>
      <w:r>
        <w:t>- in den Entgeltgruppen S 2 bis S 8b weniger als 58,98 Euro,</w:t>
      </w:r>
    </w:p>
    <w:p w:rsidR="00BE1EFE" w:rsidRDefault="00BE1EFE" w:rsidP="00942E08">
      <w:pPr>
        <w:pStyle w:val="StandardWeb"/>
        <w:spacing w:after="60"/>
      </w:pPr>
      <w:r>
        <w:t xml:space="preserve">- in den Entgeltgruppen S 9 bis S 18 weniger als 94,39 Euro, </w:t>
      </w:r>
    </w:p>
    <w:p w:rsidR="00BE1EFE" w:rsidRDefault="00BE1EFE" w:rsidP="00942E08">
      <w:pPr>
        <w:pStyle w:val="StandardWeb"/>
      </w:pPr>
      <w:r>
        <w:t>erhält die/der Beschäftigte während der betreffenden Stufenlaufzeit anstelle des Unterschieds</w:t>
      </w:r>
      <w:r>
        <w:softHyphen/>
        <w:t xml:space="preserve">betrages den vorgenannten jeweils zustehenden Garantiebetrag. </w:t>
      </w:r>
      <w:r>
        <w:rPr>
          <w:rStyle w:val="kleinschrift"/>
        </w:rPr>
        <w:t>3</w:t>
      </w:r>
      <w:r>
        <w:t>Wird die/der Beschäftigte nicht in die nächsthöhere, sondern in eine darüber liegende Entgeltgruppe höhergruppiert, gilt Satz 2 gilt mit der Maßgabe, dass auf das derzeitige Tabellenentgelt und das Tabellenentgelt der Entgeltgruppe abzustellen ist, in die die/der Beschäftigte höhergruppiert wird.</w:t>
      </w:r>
    </w:p>
    <w:p w:rsidR="00BE1EFE" w:rsidRPr="00E50669" w:rsidRDefault="00BE1EFE" w:rsidP="00E50669">
      <w:pPr>
        <w:pStyle w:val="StandardWeb"/>
        <w:rPr>
          <w:sz w:val="12"/>
          <w:szCs w:val="12"/>
        </w:rPr>
      </w:pPr>
      <w:r>
        <w:rPr>
          <w:sz w:val="12"/>
          <w:szCs w:val="12"/>
        </w:rPr>
        <w:t>Anmerkung zu Absatz 4 Satz 2</w:t>
      </w:r>
      <w:r w:rsidRPr="00E50669">
        <w:rPr>
          <w:sz w:val="12"/>
          <w:szCs w:val="12"/>
        </w:rPr>
        <w:t>:</w:t>
      </w:r>
    </w:p>
    <w:p w:rsidR="00BE1EFE" w:rsidRPr="00E50669" w:rsidRDefault="00BE1EFE" w:rsidP="00E50669">
      <w:pPr>
        <w:pStyle w:val="StandardWeb"/>
        <w:rPr>
          <w:sz w:val="12"/>
          <w:szCs w:val="12"/>
        </w:rPr>
      </w:pPr>
      <w:r w:rsidRPr="00E50669">
        <w:rPr>
          <w:sz w:val="12"/>
          <w:szCs w:val="12"/>
        </w:rPr>
        <w:t>Die Garantiebeträge nehmen an allgemeinen Entgeltanpassungen teil.</w:t>
      </w:r>
    </w:p>
    <w:p w:rsidR="00BE1EFE" w:rsidRDefault="00BE1EFE" w:rsidP="00E50669">
      <w:pPr>
        <w:pStyle w:val="StandardWeb"/>
      </w:pPr>
    </w:p>
    <w:p w:rsidR="00BE1EFE" w:rsidRDefault="00BE1EFE" w:rsidP="00E50669">
      <w:pPr>
        <w:pStyle w:val="StandardWeb"/>
      </w:pPr>
      <w:r>
        <w:t>(5) </w:t>
      </w:r>
      <w:r w:rsidRPr="00215E7C">
        <w:t xml:space="preserve">Auf Beschäftigte der Entgeltgruppe S 9 findet der in </w:t>
      </w:r>
      <w:hyperlink r:id="rId202" w:history="1">
        <w:r w:rsidRPr="004E759C">
          <w:rPr>
            <w:rStyle w:val="Hyperlink"/>
          </w:rPr>
          <w:t>§ 20 Absatz 2 Satz 1</w:t>
        </w:r>
      </w:hyperlink>
      <w:r w:rsidRPr="00215E7C">
        <w:t xml:space="preserve"> für die Entgeltgruppen 1 bis 8 ausg</w:t>
      </w:r>
      <w:r>
        <w:t>ewiesene Prozentsatz Anwendung.</w:t>
      </w:r>
    </w:p>
    <w:p w:rsidR="00BE1EFE" w:rsidRPr="000B1AF8" w:rsidRDefault="00BE1EFE">
      <w:pPr>
        <w:pStyle w:val="StandardWeb"/>
      </w:pPr>
    </w:p>
    <w:p w:rsidR="00BE1EFE" w:rsidRDefault="00BE1EFE" w:rsidP="0054275E">
      <w:pPr>
        <w:pStyle w:val="StandardWeb"/>
        <w:autoSpaceDE w:val="0"/>
        <w:jc w:val="center"/>
        <w:rPr>
          <w:b/>
          <w:bCs/>
        </w:rPr>
      </w:pPr>
      <w:r>
        <w:t> </w:t>
      </w:r>
      <w:r>
        <w:rPr>
          <w:rStyle w:val="Fett"/>
          <w:bCs/>
        </w:rPr>
        <w:t xml:space="preserve">§ 2 Gesundheitsvorsorge in kirchlichen Einrichtungen für Beschäftigte im </w:t>
      </w:r>
    </w:p>
    <w:p w:rsidR="00BE1EFE" w:rsidRDefault="00BE1EFE" w:rsidP="0054275E">
      <w:pPr>
        <w:pStyle w:val="StandardWeb"/>
        <w:autoSpaceDE w:val="0"/>
        <w:jc w:val="center"/>
        <w:rPr>
          <w:b/>
          <w:bCs/>
        </w:rPr>
      </w:pPr>
      <w:r>
        <w:rPr>
          <w:rStyle w:val="Fett"/>
          <w:bCs/>
        </w:rPr>
        <w:t>Sozial- und Erziehungsdienst – Betrieblicher Gesundheitsschutz/</w:t>
      </w:r>
    </w:p>
    <w:p w:rsidR="00BE1EFE" w:rsidRDefault="00BE1EFE" w:rsidP="0054275E">
      <w:pPr>
        <w:pStyle w:val="StandardWeb"/>
        <w:autoSpaceDE w:val="0"/>
        <w:jc w:val="center"/>
      </w:pPr>
      <w:r>
        <w:rPr>
          <w:rStyle w:val="Fett"/>
          <w:bCs/>
        </w:rPr>
        <w:t>Betriebliche Gesundheitsförderung</w:t>
      </w:r>
    </w:p>
    <w:p w:rsidR="00BE1EFE" w:rsidRDefault="00BE1EFE">
      <w:pPr>
        <w:pStyle w:val="StandardWeb"/>
        <w:jc w:val="center"/>
      </w:pPr>
    </w:p>
    <w:p w:rsidR="00BE1EFE" w:rsidRDefault="00BE1EFE">
      <w:pPr>
        <w:pStyle w:val="StandardWeb"/>
      </w:pPr>
      <w:r>
        <w:t>(1) </w:t>
      </w:r>
      <w:r>
        <w:rPr>
          <w:rStyle w:val="kleinschrift"/>
        </w:rPr>
        <w:t>1</w:t>
      </w:r>
      <w:r>
        <w:t>Betriebliche Gesundheitsförderung zielt darauf ab, die Arbeit und die Arbeitsbedingungen so zu organisieren, dass diese nicht Ursache von Erkrankungen oder Gesundheitsschädigun</w:t>
      </w:r>
      <w:r>
        <w:softHyphen/>
        <w:t xml:space="preserve">gen sind. </w:t>
      </w:r>
      <w:r>
        <w:rPr>
          <w:rStyle w:val="kleinschrift"/>
        </w:rPr>
        <w:t>2</w:t>
      </w:r>
      <w:r>
        <w:t xml:space="preserve">Sie fördert die Erhaltung bzw. Herstellung gesundheitsgerechter Verhältnisse am Arbeitsplatz sowie gesundheitsbewusstes Verhalten. </w:t>
      </w:r>
      <w:r>
        <w:rPr>
          <w:rStyle w:val="kleinschrift"/>
        </w:rPr>
        <w:t>3</w:t>
      </w:r>
      <w:r>
        <w:t xml:space="preserve">Zugleich werden damit die Motivation der Beschäftigten und die Qualitätsstandards der Verwaltungen und Betriebe verbessert. </w:t>
      </w:r>
      <w:r>
        <w:rPr>
          <w:rStyle w:val="kleinschrift"/>
        </w:rPr>
        <w:t>4</w:t>
      </w:r>
      <w:r>
        <w:t xml:space="preserve">Die betriebliche Gesundheitsförderung basiert auf einem aktiv betriebenen Arbeits- und Gesundheitsschutz. </w:t>
      </w:r>
      <w:r>
        <w:rPr>
          <w:rStyle w:val="kleinschrift"/>
        </w:rPr>
        <w:t>5</w:t>
      </w:r>
      <w:r>
        <w:t xml:space="preserve">Dieser reduziert Arbeitsunfälle, Berufskrankheiten sowie arbeitsbedingte </w:t>
      </w:r>
      <w:r>
        <w:lastRenderedPageBreak/>
        <w:t xml:space="preserve">Gesundheitsgefahren und verbessert durch den Abbau von Fehlzeiten und die Vermeidung von Betriebsstörungen die Wettbewerbsfähigkeit der Einrichtungen. </w:t>
      </w:r>
      <w:r>
        <w:rPr>
          <w:rStyle w:val="kleinschrift"/>
        </w:rPr>
        <w:t>6</w:t>
      </w:r>
      <w:r>
        <w:t>Der Arbeits- und Gesundheitsschutz sowie die betriebliche Gesundheitsförderung gehören zu einem zeitgemäßen Gesundheitsmanagement.</w:t>
      </w:r>
    </w:p>
    <w:p w:rsidR="00BE1EFE" w:rsidRDefault="00BE1EFE">
      <w:pPr>
        <w:pStyle w:val="StandardWeb"/>
      </w:pPr>
    </w:p>
    <w:p w:rsidR="00BE1EFE" w:rsidRDefault="00BE1EFE">
      <w:pPr>
        <w:pStyle w:val="StandardWeb"/>
      </w:pPr>
      <w:r>
        <w:t>(2) </w:t>
      </w:r>
      <w:r>
        <w:rPr>
          <w:rStyle w:val="kleinschrift"/>
        </w:rPr>
        <w:t>1</w:t>
      </w:r>
      <w:r>
        <w:t xml:space="preserve">Die Beschäftigten haben einen individuellen Anspruch auf die Durchführung einer Gefährdungsbeurteilung. </w:t>
      </w:r>
      <w:r>
        <w:rPr>
          <w:rStyle w:val="kleinschrift"/>
        </w:rPr>
        <w:t>2</w:t>
      </w:r>
      <w:r>
        <w:t xml:space="preserve">Die Durchführung erfolgt nach Maßgabe </w:t>
      </w:r>
      <w:proofErr w:type="gramStart"/>
      <w:r>
        <w:t>des Gesetzes</w:t>
      </w:r>
      <w:proofErr w:type="gramEnd"/>
      <w:r>
        <w:t xml:space="preserve"> über die Durchführung von Maßnahmen des Arbeitsschutzes zur Verbesserung der Sicherheit und des Gesundheitsschutzes der Beschäftigten bei der Arbeit (Arbeitsschutzgesetz). </w:t>
      </w:r>
      <w:r>
        <w:rPr>
          <w:rStyle w:val="kleinschrift"/>
        </w:rPr>
        <w:t>3</w:t>
      </w:r>
      <w:r>
        <w:t xml:space="preserve">Die Beschäftigten sind in die Durchführung der Gefährdungsbeurteilung einzubeziehen. </w:t>
      </w:r>
      <w:r>
        <w:rPr>
          <w:rStyle w:val="kleinschrift"/>
        </w:rPr>
        <w:t>4</w:t>
      </w:r>
      <w:r>
        <w:t xml:space="preserve">Sie sind über das Ergebnis von Gefährdungsbeurteilungen zu unterrichten. </w:t>
      </w:r>
      <w:r>
        <w:rPr>
          <w:rStyle w:val="kleinschrift"/>
        </w:rPr>
        <w:t>5</w:t>
      </w:r>
      <w:r>
        <w:t xml:space="preserve">Vorgesehene Maßnahmen sind mit ihnen zu erörtern. </w:t>
      </w:r>
      <w:r>
        <w:rPr>
          <w:rStyle w:val="kleinschrift"/>
        </w:rPr>
        <w:t>6</w:t>
      </w:r>
      <w:r>
        <w:t xml:space="preserve">Widersprechen betroffene Beschäftigte den vorgesehenen Maßnahmen, ist die Kommission nach Absatz 3 oder 3a zu befassen. </w:t>
      </w:r>
      <w:r>
        <w:rPr>
          <w:rStyle w:val="kleinschrift"/>
        </w:rPr>
        <w:t>7</w:t>
      </w:r>
      <w:r>
        <w:t xml:space="preserve">Die Beschäftigten können verlangen, dass eine erneute Gefährdungsbeurteilung durchgeführt wird, wenn sich die Umstände, unter denen die Tätigkeiten zu verrichten sind, wesentlich ändern, neu entstandene wesentliche Gefährdungen auftreten oder eine Gefährdung auf Grund veränderter arbeitswissenschaftlicher Erkenntnisse erkannt wird. </w:t>
      </w:r>
      <w:r>
        <w:rPr>
          <w:rStyle w:val="kleinschrift"/>
        </w:rPr>
        <w:t>8</w:t>
      </w:r>
      <w:r>
        <w:t>Die Wirksamkeit der Maßnahmen ist in angemessenen Abständen zu überprüfen.</w:t>
      </w:r>
    </w:p>
    <w:p w:rsidR="00BE1EFE" w:rsidRDefault="00BE1EFE">
      <w:pPr>
        <w:pStyle w:val="StandardWeb"/>
      </w:pPr>
    </w:p>
    <w:p w:rsidR="00BE1EFE" w:rsidRDefault="00BE1EFE">
      <w:pPr>
        <w:pStyle w:val="StandardWeb"/>
      </w:pPr>
      <w:r>
        <w:t>(3) </w:t>
      </w:r>
      <w:r>
        <w:rPr>
          <w:rStyle w:val="kleinschrift"/>
        </w:rPr>
        <w:t>1</w:t>
      </w:r>
      <w:r>
        <w:t xml:space="preserve">Beim Arbeitgeber wird auf Antrag der Mitarbeitervertretung eine betriebliche Kommission gebildet, deren Mitglieder je zur Hälfte vom Arbeitgeber und von der Mitarbeitervertretung benannt werden. </w:t>
      </w:r>
      <w:r>
        <w:rPr>
          <w:rStyle w:val="kleinschrift"/>
        </w:rPr>
        <w:t>1a</w:t>
      </w:r>
      <w:r>
        <w:t xml:space="preserve">Die Anzahl der jeweils vom Arbeitgeber und von der Mitarbeitervertretung benannten Mitglieder der betrieblichen Kommission beträgt bei bis zu 15 Beschäftigten jeweils ein Mitglied, bei 16 bis zu 200 Beschäftigten jeweils zwei Mitglieder und bei mehr als 200 Beschäftigten jeweils drei Mitglieder. </w:t>
      </w:r>
      <w:r>
        <w:rPr>
          <w:rStyle w:val="kleinschrift"/>
        </w:rPr>
        <w:t>2</w:t>
      </w:r>
      <w:r>
        <w:t xml:space="preserve">Die von der Mitarbeitervertretung benannten Mitglieder müssen Beschäftigte des Arbeitgebers sein. </w:t>
      </w:r>
      <w:r>
        <w:rPr>
          <w:rStyle w:val="kleinschrift"/>
        </w:rPr>
        <w:t>3</w:t>
      </w:r>
      <w:r>
        <w:t xml:space="preserve">Soweit ein Arbeitsschutzausschuss gebildet ist, kann die betriebliche Kommission als Unterausschuss des Arbeitsschutzausschusses gebildet werden. </w:t>
      </w:r>
      <w:r>
        <w:rPr>
          <w:rStyle w:val="kleinschrift"/>
        </w:rPr>
        <w:t>4</w:t>
      </w:r>
      <w:r>
        <w:t xml:space="preserve">Im Falle des Absatzes 2 Satz 6 berät die betriebliche Kommission über die erforderlichen Maßnahmen und kann Vorschläge zu den zu treffenden Maßnahmen machen. </w:t>
      </w:r>
      <w:r>
        <w:rPr>
          <w:rStyle w:val="kleinschrift"/>
        </w:rPr>
        <w:t>5</w:t>
      </w:r>
      <w:r>
        <w:t xml:space="preserve">Der Arbeitgeber führt die Maßnahmen durch, wenn die Mehrheit der vom Arbeitgeber benannten Mitglieder der betrieblichen Kommission im Einvernehmen mit dem Arbeitgeber dem Beschluss zugestimmt hat. </w:t>
      </w:r>
      <w:r>
        <w:rPr>
          <w:rStyle w:val="kleinschrift"/>
        </w:rPr>
        <w:t>6</w:t>
      </w:r>
      <w:r>
        <w:t xml:space="preserve">Gesetzliche Rechte der kirchlichen Beschlussorgane und der kirchlichen Stiftungsaufsicht bleiben unberührt. </w:t>
      </w:r>
      <w:r>
        <w:rPr>
          <w:rStyle w:val="kleinschrift"/>
        </w:rPr>
        <w:t>7</w:t>
      </w:r>
      <w:r>
        <w:t xml:space="preserve">Wird ein Vorschlag nur von </w:t>
      </w:r>
      <w:proofErr w:type="gramStart"/>
      <w:r>
        <w:t>den</w:t>
      </w:r>
      <w:proofErr w:type="gramEnd"/>
      <w:r>
        <w:t xml:space="preserve"> von der Mitarbeiterseite benannten Mitgliedern gemacht und folgt der Arbeitgeber diesem Vorschlag nicht, sind die Gründe darzulegen. </w:t>
      </w:r>
      <w:r>
        <w:rPr>
          <w:rStyle w:val="kleinschrift"/>
        </w:rPr>
        <w:t>8</w:t>
      </w:r>
      <w:r>
        <w:t xml:space="preserve">Die betriebliche Kommission ist auch für die Beratung von schriftlich begründeten Beschwerden zuständig, wenn der Arbeitgeber eine erneute Gefährdungsbeurteilung ablehnt. </w:t>
      </w:r>
      <w:r>
        <w:rPr>
          <w:rStyle w:val="kleinschrift"/>
        </w:rPr>
        <w:t>9</w:t>
      </w:r>
      <w:r>
        <w:t xml:space="preserve">Der Arbeitgeber entscheidet auf Vorschlag des Arbeitsschutzausschusses bzw. der betrieblichen Kommission, ob und in welchem Umfang der Beschwerde im Einzelfall abgeholfen wird. </w:t>
      </w:r>
      <w:r>
        <w:rPr>
          <w:rStyle w:val="kleinschrift"/>
        </w:rPr>
        <w:t>10</w:t>
      </w:r>
      <w:r>
        <w:t>Wird dem Vorschlag nicht gefolgt, sind die Gründe darzulegen.</w:t>
      </w:r>
    </w:p>
    <w:p w:rsidR="00BE1EFE" w:rsidRDefault="00BE1EFE">
      <w:pPr>
        <w:pStyle w:val="StandardWeb"/>
      </w:pPr>
    </w:p>
    <w:p w:rsidR="00BE1EFE" w:rsidRDefault="00BE1EFE">
      <w:pPr>
        <w:pStyle w:val="StandardWeb"/>
      </w:pPr>
      <w:r>
        <w:t>(3a) </w:t>
      </w:r>
      <w:r>
        <w:rPr>
          <w:rStyle w:val="kleinschrift"/>
        </w:rPr>
        <w:t>1</w:t>
      </w:r>
      <w:r>
        <w:t xml:space="preserve">Anstelle einer betrieblichen Kommission nach Absatz 3 kann für mehrere Einrichtungen eines Rechtsträgers oder verschiedener Rechtsträger eine gemeinsame Kommission nach Maßgabe diözesaner Bestimmungen gebildet werden. </w:t>
      </w:r>
      <w:r>
        <w:rPr>
          <w:rStyle w:val="kleinschrift"/>
        </w:rPr>
        <w:t>2</w:t>
      </w:r>
      <w:r>
        <w:t>Wird eine gemeinsame Kommission gebildet, werden deren Mitglieder je zur Hälfte von den Arbeitgebern und von den Mitarbeiter</w:t>
      </w:r>
      <w:r>
        <w:softHyphen/>
        <w:t xml:space="preserve">vertretungen benannt. </w:t>
      </w:r>
      <w:r>
        <w:rPr>
          <w:rStyle w:val="kleinschrift"/>
        </w:rPr>
        <w:t>3</w:t>
      </w:r>
      <w:r>
        <w:t>Besteht nicht in allen beteiligten Einrichtungen eine Mitarbeiterver</w:t>
      </w:r>
      <w:r>
        <w:softHyphen/>
        <w:t xml:space="preserve">tretung, so werden die Vertreter der Beschäftigten in der Kommission für alle beteiligten Einrichtungen von </w:t>
      </w:r>
      <w:proofErr w:type="gramStart"/>
      <w:r>
        <w:t>den</w:t>
      </w:r>
      <w:proofErr w:type="gramEnd"/>
      <w:r>
        <w:t xml:space="preserve"> oder der vorhandenen Mitarbeitervertretungen/Mitarbeitervertretung benannt. </w:t>
      </w:r>
      <w:r>
        <w:rPr>
          <w:rStyle w:val="kleinschrift"/>
        </w:rPr>
        <w:t>4</w:t>
      </w:r>
      <w:r>
        <w:t xml:space="preserve">Besteht in keiner der beteiligten Einrichtungen eine Mitarbeitervertretung, werden die Vertreter der Beschäftigten in der Kommission von den Beschäftigten der beteiligten Einrichtungen direkt benannt. </w:t>
      </w:r>
      <w:r>
        <w:rPr>
          <w:rStyle w:val="kleinschrift"/>
        </w:rPr>
        <w:t>5</w:t>
      </w:r>
      <w:r>
        <w:t xml:space="preserve">Die von den Mitarbeitervertretungen oder den Beschäftigten </w:t>
      </w:r>
      <w:proofErr w:type="gramStart"/>
      <w:r>
        <w:t>benannten Mitglieder</w:t>
      </w:r>
      <w:proofErr w:type="gramEnd"/>
      <w:r>
        <w:t xml:space="preserve"> müssen in einer der Einrichtungen, für die die gemeinsame Kommission </w:t>
      </w:r>
      <w:r>
        <w:lastRenderedPageBreak/>
        <w:t xml:space="preserve">gebildet wird, beschäftigt sein. </w:t>
      </w:r>
      <w:r>
        <w:rPr>
          <w:rStyle w:val="kleinschrift"/>
        </w:rPr>
        <w:t>6</w:t>
      </w:r>
      <w:r>
        <w:t>Absatz 3 Satz 1a und Satz 4 mit Satz 9 gelten für die gemeinsame Kommission entsprechend.</w:t>
      </w:r>
    </w:p>
    <w:p w:rsidR="00BE1EFE" w:rsidRDefault="00BE1EFE">
      <w:pPr>
        <w:pStyle w:val="StandardWeb"/>
      </w:pPr>
    </w:p>
    <w:p w:rsidR="00BE1EFE" w:rsidRDefault="00BE1EFE">
      <w:pPr>
        <w:pStyle w:val="StandardWeb"/>
      </w:pPr>
      <w:r>
        <w:t>(4) </w:t>
      </w:r>
      <w:r>
        <w:rPr>
          <w:rStyle w:val="kleinschrift"/>
        </w:rPr>
        <w:t>1</w:t>
      </w:r>
      <w:r>
        <w:t xml:space="preserve">Die Kommission nach Absatz 3 oder 3a kann zeitlich befristet Gesundheitszirkel zur Gesundheitsförderung einrichten, deren Aufgabe es ist, Belastungen am Arbeitsplatz und deren Ursachen zu analysieren und Lösungsansätze zur Verbesserung der Arbeitssituation zu erarbeiten. </w:t>
      </w:r>
      <w:r>
        <w:rPr>
          <w:rStyle w:val="kleinschrift"/>
        </w:rPr>
        <w:t>2</w:t>
      </w:r>
      <w:r>
        <w:t xml:space="preserve">Sie berät über Vorschläge der Gesundheitszirkel und unterbreitet, wenn ein Arbeitsschutzausschuss gebildet ist, diesem, ansonsten dem Arbeitgeber Vorschläge. </w:t>
      </w:r>
      <w:r>
        <w:rPr>
          <w:rStyle w:val="kleinschrift"/>
        </w:rPr>
        <w:t>3</w:t>
      </w:r>
      <w:r>
        <w:t xml:space="preserve">Die Ablehnung eines Vorschlags ist durch den Arbeitgeber zu begründen. </w:t>
      </w:r>
      <w:r>
        <w:rPr>
          <w:rStyle w:val="kleinschrift"/>
        </w:rPr>
        <w:t>4</w:t>
      </w:r>
      <w:r>
        <w:t>Näheres regelt die Geschäftsordnung der Kommission.</w:t>
      </w:r>
    </w:p>
    <w:p w:rsidR="00BE1EFE" w:rsidRDefault="00BE1EFE">
      <w:pPr>
        <w:pStyle w:val="StandardWeb"/>
      </w:pPr>
    </w:p>
    <w:p w:rsidR="00BE1EFE" w:rsidRDefault="00BE1EFE">
      <w:pPr>
        <w:pStyle w:val="StandardWeb"/>
      </w:pPr>
      <w:r>
        <w:t>(5) </w:t>
      </w:r>
      <w:r>
        <w:rPr>
          <w:rStyle w:val="kleinschrift"/>
        </w:rPr>
        <w:t>1</w:t>
      </w:r>
      <w:r>
        <w:t xml:space="preserve">Zur Durchführung ihrer Aufgaben sind der Kommission nach Absatz 3 oder 3a die erforderlichen, zur Verfügung stehenden Unterlagen zugänglich zu machen. </w:t>
      </w:r>
      <w:r>
        <w:rPr>
          <w:rStyle w:val="kleinschrift"/>
        </w:rPr>
        <w:t>2</w:t>
      </w:r>
      <w:r>
        <w:t>Die Kommission gibt sich eine Geschäftsordnung, in der auch Regelungen über die Beteiligung der Beschäftigten bei der Gefährdungsbeurteilung, deren Bekanntgabe und Erörterung sowie über die Qualifizierung der Mitglieder der Kommission und von Gesundheitszirkeln zu treffen sind.</w:t>
      </w:r>
    </w:p>
    <w:p w:rsidR="00BE1EFE" w:rsidRDefault="00BE1EFE">
      <w:pPr>
        <w:pStyle w:val="StandardWeb"/>
      </w:pPr>
    </w:p>
    <w:p w:rsidR="00BE1EFE" w:rsidRDefault="00BE1EFE">
      <w:pPr>
        <w:pStyle w:val="StandardWeb"/>
      </w:pPr>
      <w:r>
        <w:t>(6) Gesetzliche Bestimmungen, günstigere betriebliche Regelungen und die Rechte der Mitarbeitervertretung bleiben unberührt.</w:t>
      </w:r>
    </w:p>
    <w:p w:rsidR="00BE1EFE" w:rsidRDefault="00BE1EFE" w:rsidP="00E64AC2">
      <w:pPr>
        <w:pStyle w:val="berschrift6"/>
      </w:pPr>
      <w:bookmarkStart w:id="75" w:name="_Toc523925746"/>
      <w:r>
        <w:t>Anlage zu § 45</w:t>
      </w:r>
      <w:bookmarkEnd w:id="75"/>
    </w:p>
    <w:p w:rsidR="00BE1EFE" w:rsidRPr="00B76821" w:rsidRDefault="00BE1EFE" w:rsidP="00B76821">
      <w:pPr>
        <w:pStyle w:val="h7"/>
        <w:keepNext w:val="0"/>
        <w:spacing w:before="0" w:after="0"/>
        <w:jc w:val="left"/>
        <w:outlineLvl w:val="5"/>
        <w:rPr>
          <w:sz w:val="2"/>
        </w:rPr>
      </w:pPr>
    </w:p>
    <w:p w:rsidR="00BE1EFE" w:rsidRDefault="00BE1EFE" w:rsidP="00E64AC2">
      <w:pPr>
        <w:pStyle w:val="StandardWeb"/>
        <w:jc w:val="center"/>
      </w:pPr>
      <w:r>
        <w:t>Nr. 1</w:t>
      </w:r>
    </w:p>
    <w:p w:rsidR="00BE1EFE" w:rsidRDefault="00BE1EFE" w:rsidP="00E64AC2">
      <w:pPr>
        <w:pStyle w:val="StandardWeb"/>
        <w:jc w:val="center"/>
      </w:pPr>
      <w:r>
        <w:t xml:space="preserve">zu </w:t>
      </w:r>
      <w:hyperlink r:id="rId203" w:history="1">
        <w:r w:rsidRPr="004E759C">
          <w:rPr>
            <w:rStyle w:val="Hyperlink"/>
          </w:rPr>
          <w:t>§ 6</w:t>
        </w:r>
      </w:hyperlink>
      <w:r>
        <w:t xml:space="preserve"> – Regelmäßige Arbeitszeit –</w:t>
      </w:r>
    </w:p>
    <w:p w:rsidR="00BE1EFE" w:rsidRDefault="00BE1EFE" w:rsidP="00E64AC2">
      <w:pPr>
        <w:pStyle w:val="StandardWeb"/>
      </w:pPr>
    </w:p>
    <w:p w:rsidR="00BE1EFE" w:rsidRDefault="00BE1EFE" w:rsidP="00E64AC2">
      <w:pPr>
        <w:pStyle w:val="StandardWeb"/>
      </w:pPr>
      <w:r>
        <w:t xml:space="preserve">In Ergänzung zu </w:t>
      </w:r>
      <w:hyperlink r:id="rId204" w:history="1">
        <w:r w:rsidRPr="00CA2707">
          <w:rPr>
            <w:rStyle w:val="Hyperlink"/>
          </w:rPr>
          <w:t>§ 6 Absatz 3 Satz 3 und Absatz 5</w:t>
        </w:r>
      </w:hyperlink>
      <w:r>
        <w:t xml:space="preserve"> gilt für Sonn- und Feiertage Folgendes: </w:t>
      </w:r>
    </w:p>
    <w:p w:rsidR="00BE1EFE" w:rsidRDefault="00BE1EFE" w:rsidP="00E64AC2">
      <w:pPr>
        <w:pStyle w:val="StandardWeb"/>
      </w:pPr>
    </w:p>
    <w:p w:rsidR="00BE1EFE" w:rsidRDefault="00BE1EFE" w:rsidP="00E64AC2">
      <w:pPr>
        <w:pStyle w:val="StandardWeb"/>
      </w:pPr>
      <w:r>
        <w:t>(1) </w:t>
      </w:r>
      <w:r w:rsidRPr="00E64AC2">
        <w:rPr>
          <w:sz w:val="12"/>
          <w:szCs w:val="12"/>
        </w:rPr>
        <w:t>1</w:t>
      </w:r>
      <w:r>
        <w:t xml:space="preserve">Die Arbeitszeit an einem gesetzlichen Feiertag, der auf einen Werktag fällt, wird durch eine entsprechende Freistellung an einem anderen Werktag bis zum Ende des dritten Kalendermonats – möglichst aber schon bis zum Ende des nächsten Kalendermonats – ausgeglichen, wenn es die betrieblichen Verhältnisse zulassen. </w:t>
      </w:r>
      <w:r w:rsidRPr="00E64AC2">
        <w:rPr>
          <w:sz w:val="12"/>
          <w:szCs w:val="12"/>
        </w:rPr>
        <w:t>2</w:t>
      </w:r>
      <w:r>
        <w:t xml:space="preserve">Kann ein Freizeitausgleich nicht gewährt werden, erhält die/der Beschäftigte je Stunde 100 v.H. des auf eine Stunde entfallenden Anteils des monatlichen Entgelts der jeweiligen Entgeltgruppe und Stufe nach Maßgabe der Entgelttabelle. </w:t>
      </w:r>
      <w:r w:rsidRPr="00E64AC2">
        <w:rPr>
          <w:sz w:val="12"/>
          <w:szCs w:val="12"/>
        </w:rPr>
        <w:t>3</w:t>
      </w:r>
      <w:r>
        <w:t xml:space="preserve">Ist ein Arbeitszeitkonto eingerichtet, ist eine Buchung gemäß </w:t>
      </w:r>
      <w:hyperlink r:id="rId205" w:history="1">
        <w:r w:rsidRPr="00791082">
          <w:rPr>
            <w:rStyle w:val="Hyperlink"/>
          </w:rPr>
          <w:t>§ 6 Teil D, 4.</w:t>
        </w:r>
      </w:hyperlink>
      <w:r>
        <w:t xml:space="preserve"> zulässig. </w:t>
      </w:r>
      <w:r w:rsidRPr="00E64AC2">
        <w:rPr>
          <w:sz w:val="12"/>
          <w:szCs w:val="12"/>
        </w:rPr>
        <w:t>4</w:t>
      </w:r>
      <w:hyperlink r:id="rId206" w:history="1">
        <w:r w:rsidRPr="004E759C">
          <w:rPr>
            <w:rStyle w:val="Hyperlink"/>
          </w:rPr>
          <w:t>§ 8 Absatz 1 Satz 2 Buchstabe d)</w:t>
        </w:r>
      </w:hyperlink>
      <w:r>
        <w:t xml:space="preserve"> bleibt unberührt. </w:t>
      </w:r>
    </w:p>
    <w:p w:rsidR="00BE1EFE" w:rsidRDefault="00BE1EFE" w:rsidP="00E64AC2">
      <w:pPr>
        <w:pStyle w:val="StandardWeb"/>
      </w:pPr>
    </w:p>
    <w:p w:rsidR="00BE1EFE" w:rsidRDefault="00BE1EFE" w:rsidP="00E64AC2">
      <w:pPr>
        <w:pStyle w:val="StandardWeb"/>
      </w:pPr>
      <w:r>
        <w:t>(2) </w:t>
      </w:r>
      <w:r w:rsidRPr="00E64AC2">
        <w:rPr>
          <w:sz w:val="12"/>
          <w:szCs w:val="12"/>
        </w:rPr>
        <w:t>1</w:t>
      </w:r>
      <w:r>
        <w:t xml:space="preserve">Für Beschäftigte, die regelmäßig nach einem Dienstplan eingesetzt werden, der Wechselschicht oder Schichtdienst an sieben Tagen in der Woche vorsieht, vermindert sich die regelmäßige Wochenarbeitszeit um ein Fünftel der arbeitsvertraglich vereinbarten durchschnittlichen Wochenarbeitszeit, wenn sie an einem gesetzlichen Feiertag, der auf einen Werktag fällt, </w:t>
      </w:r>
    </w:p>
    <w:p w:rsidR="00BE1EFE" w:rsidRDefault="00BE1EFE" w:rsidP="00E64AC2">
      <w:pPr>
        <w:pStyle w:val="StandardWeb"/>
      </w:pPr>
      <w:r>
        <w:t xml:space="preserve">a) Arbeitsleistung zu erbringen haben oder </w:t>
      </w:r>
    </w:p>
    <w:p w:rsidR="00BE1EFE" w:rsidRDefault="00BE1EFE" w:rsidP="00E64AC2">
      <w:pPr>
        <w:pStyle w:val="StandardWeb"/>
      </w:pPr>
      <w:r>
        <w:t xml:space="preserve">b) nicht wegen des Feiertags, sondern dienstplanmäßig nicht zur Arbeit eingeteilt sind und deswegen an anderen Tagen der Woche ihre regelmäßige Arbeitszeit erbringen müssen. </w:t>
      </w:r>
    </w:p>
    <w:p w:rsidR="00BE1EFE" w:rsidRDefault="00BE1EFE" w:rsidP="00E64AC2">
      <w:pPr>
        <w:pStyle w:val="StandardWeb"/>
      </w:pPr>
      <w:r w:rsidRPr="00E64AC2">
        <w:rPr>
          <w:sz w:val="12"/>
          <w:szCs w:val="12"/>
        </w:rPr>
        <w:t>2</w:t>
      </w:r>
      <w:r>
        <w:t xml:space="preserve">Absatz 1 gilt in diesen Fällen nicht. </w:t>
      </w:r>
      <w:r w:rsidRPr="00E64AC2">
        <w:rPr>
          <w:sz w:val="12"/>
          <w:szCs w:val="12"/>
        </w:rPr>
        <w:t>3</w:t>
      </w:r>
      <w:hyperlink r:id="rId207" w:history="1">
        <w:r w:rsidRPr="004E759C">
          <w:rPr>
            <w:rStyle w:val="Hyperlink"/>
          </w:rPr>
          <w:t>§ 8 Absatz 1 Satz 2 Buchstabe d)</w:t>
        </w:r>
      </w:hyperlink>
      <w:r>
        <w:t xml:space="preserve"> bleibt unberührt. </w:t>
      </w:r>
    </w:p>
    <w:p w:rsidR="00BE1EFE" w:rsidRDefault="00BE1EFE" w:rsidP="00E64AC2">
      <w:pPr>
        <w:pStyle w:val="StandardWeb"/>
      </w:pPr>
    </w:p>
    <w:p w:rsidR="00BE1EFE" w:rsidRDefault="00BE1EFE" w:rsidP="00E64AC2">
      <w:pPr>
        <w:pStyle w:val="StandardWeb"/>
      </w:pPr>
      <w:r>
        <w:t>(3) </w:t>
      </w:r>
      <w:r w:rsidRPr="00E64AC2">
        <w:rPr>
          <w:sz w:val="12"/>
          <w:szCs w:val="12"/>
        </w:rPr>
        <w:t>1</w:t>
      </w:r>
      <w:r>
        <w:t xml:space="preserve">Beschäftigte, die regelmäßig an Sonn- und Feiertagen arbeiten müssen, erhalten innerhalb von zwei Wochen zwei arbeitsfreie Tage. </w:t>
      </w:r>
      <w:r w:rsidRPr="00E64AC2">
        <w:rPr>
          <w:sz w:val="12"/>
          <w:szCs w:val="12"/>
        </w:rPr>
        <w:t>2</w:t>
      </w:r>
      <w:r>
        <w:t>Hiervon soll ein freier Tag auf einen Sonntag fallen.</w:t>
      </w:r>
    </w:p>
    <w:p w:rsidR="00BE1EFE" w:rsidRDefault="00BE1EFE" w:rsidP="00E64AC2">
      <w:pPr>
        <w:pStyle w:val="StandardWeb"/>
      </w:pPr>
    </w:p>
    <w:p w:rsidR="00BE1EFE" w:rsidRDefault="00BE1EFE" w:rsidP="00E64AC2">
      <w:pPr>
        <w:pStyle w:val="StandardWeb"/>
        <w:jc w:val="center"/>
      </w:pPr>
      <w:r>
        <w:t>Nr. 2</w:t>
      </w:r>
    </w:p>
    <w:p w:rsidR="00BE1EFE" w:rsidRDefault="00BE1EFE" w:rsidP="00E64AC2">
      <w:pPr>
        <w:pStyle w:val="StandardWeb"/>
        <w:jc w:val="center"/>
      </w:pPr>
      <w:r>
        <w:t xml:space="preserve">zu </w:t>
      </w:r>
      <w:hyperlink r:id="rId208" w:history="1">
        <w:r w:rsidRPr="004E759C">
          <w:rPr>
            <w:rStyle w:val="Hyperlink"/>
          </w:rPr>
          <w:t>§ 7</w:t>
        </w:r>
      </w:hyperlink>
      <w:r>
        <w:t>* – Sonderformen der Arbeit –</w:t>
      </w:r>
    </w:p>
    <w:p w:rsidR="00BE1EFE" w:rsidRDefault="00BE1EFE" w:rsidP="00E64AC2">
      <w:pPr>
        <w:pStyle w:val="StandardWeb"/>
      </w:pPr>
    </w:p>
    <w:p w:rsidR="00BE1EFE" w:rsidRDefault="00BE1EFE" w:rsidP="00E64AC2">
      <w:pPr>
        <w:pStyle w:val="StandardWeb"/>
      </w:pPr>
      <w:r>
        <w:lastRenderedPageBreak/>
        <w:t xml:space="preserve">Abweichend von </w:t>
      </w:r>
      <w:hyperlink r:id="rId209" w:history="1">
        <w:r w:rsidRPr="0098089F">
          <w:rPr>
            <w:rStyle w:val="Hyperlink"/>
          </w:rPr>
          <w:t>§ 7 Absatz 1 Satz 1</w:t>
        </w:r>
      </w:hyperlink>
      <w:r>
        <w:t xml:space="preserve"> ist Wechselschichtarbeit die Arbeit, die nach einem Schichtplan/Dienstplan, der einen regelmäßigen Wechsel der täglichen Arbeitszeit in Wechselschichten vorsieht, bei denen die/der Beschäftigte längstens nach Ablauf eines Monats erneut zu mindestens zwei Nachtschichten herangezogen wird.** </w:t>
      </w:r>
    </w:p>
    <w:p w:rsidR="00BE1EFE" w:rsidRPr="0098089F" w:rsidRDefault="00BE1EFE" w:rsidP="00E64AC2">
      <w:pPr>
        <w:pStyle w:val="StandardWeb"/>
        <w:rPr>
          <w:sz w:val="12"/>
          <w:szCs w:val="12"/>
        </w:rPr>
      </w:pPr>
      <w:r>
        <w:rPr>
          <w:sz w:val="12"/>
          <w:szCs w:val="12"/>
        </w:rPr>
        <w:t>** h</w:t>
      </w:r>
      <w:r w:rsidRPr="0098089F">
        <w:rPr>
          <w:sz w:val="12"/>
          <w:szCs w:val="12"/>
        </w:rPr>
        <w:t xml:space="preserve">ierzu Anmerkungen Nr. 1 und Nr. 2 </w:t>
      </w:r>
    </w:p>
    <w:p w:rsidR="00BE1EFE" w:rsidRDefault="00BE1EFE" w:rsidP="00E64AC2">
      <w:pPr>
        <w:pStyle w:val="StandardWeb"/>
      </w:pPr>
    </w:p>
    <w:p w:rsidR="00BE1EFE" w:rsidRDefault="00BE1EFE" w:rsidP="00E64AC2">
      <w:pPr>
        <w:pStyle w:val="StandardWeb"/>
      </w:pPr>
      <w:r>
        <w:t xml:space="preserve">(1) Der Arbeitgeber darf Bereitschaftsdienst nur anordnen, wenn zu erwarten ist, dass zwar Arbeit anfällt, erfahrungsgemäß aber die Zeit ohne Arbeitsleistung überwiegt. </w:t>
      </w:r>
    </w:p>
    <w:p w:rsidR="00BE1EFE" w:rsidRDefault="00BE1EFE" w:rsidP="00E64AC2">
      <w:pPr>
        <w:pStyle w:val="StandardWeb"/>
      </w:pPr>
    </w:p>
    <w:p w:rsidR="00BE1EFE" w:rsidRDefault="00BE1EFE" w:rsidP="00E64AC2">
      <w:pPr>
        <w:pStyle w:val="StandardWeb"/>
      </w:pPr>
      <w:r>
        <w:t xml:space="preserve">(2) Abweichend von den </w:t>
      </w:r>
      <w:hyperlink r:id="rId210" w:history="1">
        <w:r w:rsidRPr="0098089F">
          <w:rPr>
            <w:rStyle w:val="Hyperlink"/>
          </w:rPr>
          <w:t>§§ 3, 5 und 6 Absatz 2 ArbZG</w:t>
        </w:r>
      </w:hyperlink>
      <w:r>
        <w:t xml:space="preserve"> kann im Rahmen des </w:t>
      </w:r>
      <w:hyperlink r:id="rId211" w:history="1">
        <w:r w:rsidRPr="0098089F">
          <w:rPr>
            <w:rStyle w:val="Hyperlink"/>
          </w:rPr>
          <w:t>§ 7 ArbZG</w:t>
        </w:r>
      </w:hyperlink>
      <w:r>
        <w:t xml:space="preserve"> die tägliche Arbeitszeit im Sinne des Arbeitszeitgesetzes über acht Stunden hinaus verlängert werden, wenn mindestens die acht Stunden überschreitende Zeit im Rahmen von Bereitschaftsdienst geleistet wird, und zwar wie folgt: </w:t>
      </w:r>
    </w:p>
    <w:p w:rsidR="00BE1EFE" w:rsidRDefault="00BE1EFE" w:rsidP="00E64AC2">
      <w:pPr>
        <w:pStyle w:val="StandardWeb"/>
      </w:pPr>
      <w:r>
        <w:t xml:space="preserve">a) bei Bereitschaftsdiensten der Stufen A und B bis zu insgesamt maximal 16 Stunden täglich; die gesetzlich vorgeschriebene Pause verlängert diesen Zeitraum nicht, </w:t>
      </w:r>
    </w:p>
    <w:p w:rsidR="00BE1EFE" w:rsidRDefault="00BE1EFE" w:rsidP="00E64AC2">
      <w:pPr>
        <w:pStyle w:val="StandardWeb"/>
      </w:pPr>
      <w:r>
        <w:t xml:space="preserve">b) bei Bereitschaftsdiensten der Stufen C und D bis zu insgesamt maximal 13 Stunden täglich; die gesetzlich vorgeschriebene Pause verlängert diesen Zeitraum nicht. </w:t>
      </w:r>
    </w:p>
    <w:p w:rsidR="00BE1EFE" w:rsidRDefault="00BE1EFE" w:rsidP="00E64AC2">
      <w:pPr>
        <w:pStyle w:val="StandardWeb"/>
      </w:pPr>
    </w:p>
    <w:p w:rsidR="00BE1EFE" w:rsidRDefault="00BE1EFE" w:rsidP="00E64AC2">
      <w:pPr>
        <w:pStyle w:val="StandardWeb"/>
      </w:pPr>
      <w:r>
        <w:t>(3) </w:t>
      </w:r>
      <w:r w:rsidRPr="00E64AC2">
        <w:rPr>
          <w:sz w:val="12"/>
          <w:szCs w:val="12"/>
        </w:rPr>
        <w:t>1</w:t>
      </w:r>
      <w:r>
        <w:t xml:space="preserve">Im Rahmen des </w:t>
      </w:r>
      <w:hyperlink r:id="rId212" w:history="1">
        <w:r w:rsidRPr="0098089F">
          <w:rPr>
            <w:rStyle w:val="Hyperlink"/>
          </w:rPr>
          <w:t>§ 7 ArbZG</w:t>
        </w:r>
      </w:hyperlink>
      <w:r>
        <w:t xml:space="preserve"> kann unter den Voraussetzungen </w:t>
      </w:r>
    </w:p>
    <w:p w:rsidR="00BE1EFE" w:rsidRDefault="00BE1EFE" w:rsidP="00E64AC2">
      <w:pPr>
        <w:pStyle w:val="StandardWeb"/>
      </w:pPr>
      <w:r>
        <w:t xml:space="preserve">a) einer Prüfung alternativer Arbeitszeitmodelle, </w:t>
      </w:r>
    </w:p>
    <w:p w:rsidR="00BE1EFE" w:rsidRDefault="00BE1EFE" w:rsidP="00E64AC2">
      <w:pPr>
        <w:pStyle w:val="StandardWeb"/>
      </w:pPr>
      <w:r>
        <w:t xml:space="preserve">b) einer Belastungsanalyse gemäß </w:t>
      </w:r>
      <w:hyperlink r:id="rId213" w:history="1">
        <w:r w:rsidRPr="00791082">
          <w:rPr>
            <w:rStyle w:val="Hyperlink"/>
          </w:rPr>
          <w:t>§ 5 ArbSchG</w:t>
        </w:r>
      </w:hyperlink>
      <w:r>
        <w:t xml:space="preserve"> und </w:t>
      </w:r>
    </w:p>
    <w:p w:rsidR="00BE1EFE" w:rsidRDefault="00BE1EFE" w:rsidP="00E64AC2">
      <w:pPr>
        <w:pStyle w:val="StandardWeb"/>
      </w:pPr>
      <w:r>
        <w:t xml:space="preserve">c) ggf. daraus resultierender Maßnahmen zur Gewährleistung des Gesundheitsschutzes aufgrund einer Dienstvereinbarung von den Regelungen des Arbeitszeitgesetzes abgewichen werden. </w:t>
      </w:r>
      <w:r w:rsidRPr="00E64AC2">
        <w:rPr>
          <w:sz w:val="12"/>
          <w:szCs w:val="12"/>
        </w:rPr>
        <w:t>2</w:t>
      </w:r>
      <w:r>
        <w:t xml:space="preserve">Für eine Dienststelle/eine Einrichtung, in der die Mitarbeitervertretungsordnung Anwendung findet, kann eine Regelung nach Satz 1 durch die Kommission getroffen werden, wenn eine Dienstvereinbarung nicht einvernehmlich zustande kommt. </w:t>
      </w:r>
      <w:r w:rsidRPr="00E64AC2">
        <w:rPr>
          <w:sz w:val="12"/>
          <w:szCs w:val="12"/>
        </w:rPr>
        <w:t>3</w:t>
      </w:r>
      <w:r>
        <w:t xml:space="preserve">Abweichend von den </w:t>
      </w:r>
      <w:hyperlink r:id="rId214" w:history="1">
        <w:r w:rsidRPr="0098089F">
          <w:rPr>
            <w:rStyle w:val="Hyperlink"/>
          </w:rPr>
          <w:t>§§ 3, 5 und 6 Absatz 2 ArbZG</w:t>
        </w:r>
      </w:hyperlink>
      <w:r>
        <w:t xml:space="preserve"> kann die tägliche Arbeitszeit im Sinne des Arbeitszeitgesetzes über acht Stunden hinaus verlängert werden, wenn in die Arbeitszeit regelmäßig und in erheblichem Umfang Bereitschaftsdienst fällt. </w:t>
      </w:r>
      <w:r w:rsidRPr="00E64AC2">
        <w:rPr>
          <w:sz w:val="12"/>
          <w:szCs w:val="12"/>
        </w:rPr>
        <w:t>4</w:t>
      </w:r>
      <w:r>
        <w:t xml:space="preserve">Hierbei darf die tägliche Arbeitszeit ausschließlich der Pausen maximal 24 Stunden betragen. </w:t>
      </w:r>
    </w:p>
    <w:p w:rsidR="00BE1EFE" w:rsidRDefault="00BE1EFE" w:rsidP="00E64AC2">
      <w:pPr>
        <w:pStyle w:val="StandardWeb"/>
      </w:pPr>
    </w:p>
    <w:p w:rsidR="00BE1EFE" w:rsidRDefault="00BE1EFE" w:rsidP="00E64AC2">
      <w:pPr>
        <w:pStyle w:val="StandardWeb"/>
      </w:pPr>
      <w:r>
        <w:t xml:space="preserve">(4) Unter den Voraussetzungen des Absatzes 3 Satz 1 und 2 kann die tägliche Arbeitszeit gemäß </w:t>
      </w:r>
      <w:hyperlink r:id="rId215" w:history="1">
        <w:r w:rsidRPr="0098089F">
          <w:rPr>
            <w:rStyle w:val="Hyperlink"/>
          </w:rPr>
          <w:t>§ 7 Absatz 2a ArbZG</w:t>
        </w:r>
      </w:hyperlink>
      <w:r>
        <w:t xml:space="preserve"> ohne Ausgleich verlängert werden, wobei </w:t>
      </w:r>
    </w:p>
    <w:p w:rsidR="00BE1EFE" w:rsidRDefault="00BE1EFE" w:rsidP="00E64AC2">
      <w:pPr>
        <w:pStyle w:val="StandardWeb"/>
      </w:pPr>
      <w:r>
        <w:t xml:space="preserve">a) bei Bereitschaftsdiensten der Stufen A und B eine wöchentliche Arbeitszeit von bis zu maximal durchschnittlich 58 Stunden, </w:t>
      </w:r>
    </w:p>
    <w:p w:rsidR="00BE1EFE" w:rsidRDefault="00BE1EFE" w:rsidP="00E64AC2">
      <w:pPr>
        <w:pStyle w:val="StandardWeb"/>
      </w:pPr>
      <w:r>
        <w:t xml:space="preserve">b) bei Bereitschaftsdiensten der Stufen C und D eine wöchentliche Arbeitszeit von bis zu maximal durchschnittlich 54 Stunden zulässig ist. </w:t>
      </w:r>
    </w:p>
    <w:p w:rsidR="00BE1EFE" w:rsidRDefault="00BE1EFE" w:rsidP="00E64AC2">
      <w:pPr>
        <w:pStyle w:val="StandardWeb"/>
      </w:pPr>
    </w:p>
    <w:p w:rsidR="00BE1EFE" w:rsidRDefault="00BE1EFE" w:rsidP="00E64AC2">
      <w:pPr>
        <w:pStyle w:val="StandardWeb"/>
      </w:pPr>
      <w:r>
        <w:t xml:space="preserve">(5) Für den Ausgleichszeitraum nach den Absätzen 2 bis 4 gilt </w:t>
      </w:r>
      <w:hyperlink r:id="rId216" w:history="1">
        <w:r w:rsidRPr="00791082">
          <w:rPr>
            <w:rStyle w:val="Hyperlink"/>
          </w:rPr>
          <w:t>§ 6 Absatz 2 Satz 1</w:t>
        </w:r>
      </w:hyperlink>
      <w:r>
        <w:t xml:space="preserve">. </w:t>
      </w:r>
    </w:p>
    <w:p w:rsidR="00BE1EFE" w:rsidRDefault="00BE1EFE" w:rsidP="00E64AC2">
      <w:pPr>
        <w:pStyle w:val="StandardWeb"/>
      </w:pPr>
    </w:p>
    <w:p w:rsidR="00BE1EFE" w:rsidRDefault="00BE1EFE" w:rsidP="00E64AC2">
      <w:pPr>
        <w:pStyle w:val="StandardWeb"/>
      </w:pPr>
      <w:r>
        <w:t xml:space="preserve">(6) Bei Aufnahme von Verhandlungen über eine Dienstvereinbarung nach den Absätzen 3 und 4 ist die Kommission zu informieren. </w:t>
      </w:r>
    </w:p>
    <w:p w:rsidR="00BE1EFE" w:rsidRDefault="00BE1EFE" w:rsidP="00E64AC2">
      <w:pPr>
        <w:pStyle w:val="StandardWeb"/>
      </w:pPr>
    </w:p>
    <w:p w:rsidR="00BE1EFE" w:rsidRDefault="00BE1EFE" w:rsidP="00E64AC2">
      <w:pPr>
        <w:pStyle w:val="StandardWeb"/>
      </w:pPr>
      <w:r>
        <w:t>(7) </w:t>
      </w:r>
      <w:r w:rsidRPr="00E64AC2">
        <w:rPr>
          <w:sz w:val="12"/>
          <w:szCs w:val="12"/>
        </w:rPr>
        <w:t>1</w:t>
      </w:r>
      <w:r>
        <w:t xml:space="preserve">In den Fällen, in denen Beschäftigte Teilzeitarbeit gemäß </w:t>
      </w:r>
      <w:hyperlink r:id="rId217" w:history="1">
        <w:r>
          <w:rPr>
            <w:rStyle w:val="Hyperlink"/>
          </w:rPr>
          <w:t>§ </w:t>
        </w:r>
        <w:r w:rsidRPr="00791082">
          <w:rPr>
            <w:rStyle w:val="Hyperlink"/>
          </w:rPr>
          <w:t>11</w:t>
        </w:r>
      </w:hyperlink>
      <w:r>
        <w:t xml:space="preserve"> vereinbart haben, verringern sich die Höchstgrenzen der wöchentlichen Arbeitszeit nach den Absätzen 2 bis 4 in demselben Verhältnis wie die Arbeitszeit dieser Beschäftigten zu der regelmäßigen Arbeitszeit der Vollbeschäftigten. </w:t>
      </w:r>
      <w:r w:rsidRPr="00E64AC2">
        <w:rPr>
          <w:sz w:val="12"/>
          <w:szCs w:val="12"/>
        </w:rPr>
        <w:t>2</w:t>
      </w:r>
      <w:r>
        <w:t xml:space="preserve">Mit Zustimmung der/des Beschäftigten oder aufgrund von dringenden dienstlichen oder betrieblichen Belangen kann hiervon abgewichen werden. </w:t>
      </w:r>
    </w:p>
    <w:p w:rsidR="00BE1EFE" w:rsidRDefault="00BE1EFE" w:rsidP="00E64AC2">
      <w:pPr>
        <w:pStyle w:val="StandardWeb"/>
      </w:pPr>
    </w:p>
    <w:p w:rsidR="00BE1EFE" w:rsidRDefault="00BE1EFE" w:rsidP="00E64AC2">
      <w:pPr>
        <w:pStyle w:val="StandardWeb"/>
      </w:pPr>
      <w:r>
        <w:t>(8) </w:t>
      </w:r>
      <w:r w:rsidRPr="00E64AC2">
        <w:rPr>
          <w:sz w:val="12"/>
          <w:szCs w:val="12"/>
        </w:rPr>
        <w:t>1</w:t>
      </w:r>
      <w:r>
        <w:t xml:space="preserve">Der Arbeitgeber darf Rufbereitschaft nur anordnen, wenn erfahrungsgemäß lediglich in Ausnahmefällen Arbeit anfällt. </w:t>
      </w:r>
      <w:r w:rsidRPr="00E64AC2">
        <w:rPr>
          <w:sz w:val="12"/>
          <w:szCs w:val="12"/>
        </w:rPr>
        <w:t>2</w:t>
      </w:r>
      <w:r>
        <w:t>Durch tatsächliche Arbeitsleistung innerhalb der Rufbereit</w:t>
      </w:r>
      <w:r>
        <w:softHyphen/>
        <w:t xml:space="preserve">schaft kann die tägliche Höchstarbeitszeit von zehn Stunden </w:t>
      </w:r>
      <w:hyperlink r:id="rId218" w:history="1">
        <w:r>
          <w:rPr>
            <w:rStyle w:val="Hyperlink"/>
          </w:rPr>
          <w:t>(§ </w:t>
        </w:r>
        <w:r w:rsidRPr="0098089F">
          <w:rPr>
            <w:rStyle w:val="Hyperlink"/>
          </w:rPr>
          <w:t>3 ArbZG</w:t>
        </w:r>
      </w:hyperlink>
      <w:r>
        <w:t xml:space="preserve">) überschritten werden </w:t>
      </w:r>
      <w:hyperlink r:id="rId219" w:history="1">
        <w:r>
          <w:rPr>
            <w:rStyle w:val="Hyperlink"/>
          </w:rPr>
          <w:t>(§ </w:t>
        </w:r>
        <w:r w:rsidRPr="0098089F">
          <w:rPr>
            <w:rStyle w:val="Hyperlink"/>
          </w:rPr>
          <w:t>7 ArbZG</w:t>
        </w:r>
      </w:hyperlink>
      <w:r>
        <w:t xml:space="preserve">). </w:t>
      </w:r>
    </w:p>
    <w:p w:rsidR="00BE1EFE" w:rsidRDefault="00BE1EFE" w:rsidP="00E64AC2">
      <w:pPr>
        <w:pStyle w:val="StandardWeb"/>
      </w:pPr>
    </w:p>
    <w:p w:rsidR="00BE1EFE" w:rsidRDefault="00BE1EFE" w:rsidP="00E64AC2">
      <w:pPr>
        <w:pStyle w:val="StandardWeb"/>
      </w:pPr>
      <w:r>
        <w:lastRenderedPageBreak/>
        <w:t>(9) </w:t>
      </w:r>
      <w:hyperlink r:id="rId220" w:history="1">
        <w:r w:rsidRPr="00791082">
          <w:rPr>
            <w:rStyle w:val="Hyperlink"/>
          </w:rPr>
          <w:t>§ 6 Absatz 4</w:t>
        </w:r>
      </w:hyperlink>
      <w:r>
        <w:t xml:space="preserve"> bleibt im Übrigen unberührt. </w:t>
      </w:r>
    </w:p>
    <w:p w:rsidR="00BE1EFE" w:rsidRDefault="00BE1EFE" w:rsidP="00E64AC2">
      <w:pPr>
        <w:pStyle w:val="StandardWeb"/>
      </w:pPr>
    </w:p>
    <w:p w:rsidR="00BE1EFE" w:rsidRDefault="00BE1EFE" w:rsidP="00E64AC2">
      <w:pPr>
        <w:pStyle w:val="StandardWeb"/>
      </w:pPr>
      <w:r>
        <w:t>(10) </w:t>
      </w:r>
      <w:r w:rsidRPr="00E64AC2">
        <w:rPr>
          <w:sz w:val="12"/>
          <w:szCs w:val="12"/>
        </w:rPr>
        <w:t>1</w:t>
      </w:r>
      <w:r>
        <w:t xml:space="preserve">Für Beschäftigte in Einrichtungen und Heimen, die der Förderung der Gesundheit, der Erziehung, der Fürsorge oder Betreuung von Kindern und Jugendlichen, der Fürsorge und Betreuung von obdachlosen, alten, gebrechlichen, erwerbsbeschränkten oder sonstigen hilfsbedürftigen Personen dienen, auch wenn diese Einrichtungen nicht der ärztlichen Behandlung der betreuten Personen dienen, gelten die Absätze 1 bis 9 mit der Maßgabe, dass die Grenzen für die Stufen A und B einzuhalten sind. </w:t>
      </w:r>
      <w:r w:rsidRPr="00E64AC2">
        <w:rPr>
          <w:sz w:val="12"/>
          <w:szCs w:val="12"/>
        </w:rPr>
        <w:t>2</w:t>
      </w:r>
      <w:r>
        <w:t xml:space="preserve">Dazu gehören auch die Beschäftigten in Einrichtungen, in denen die betreuten Personen nicht regelmäßig ärztlich </w:t>
      </w:r>
      <w:proofErr w:type="gramStart"/>
      <w:r>
        <w:t>behandelt</w:t>
      </w:r>
      <w:proofErr w:type="gramEnd"/>
      <w:r>
        <w:t xml:space="preserve"> und beaufsichtigt werden (Erholungsheime). </w:t>
      </w:r>
    </w:p>
    <w:p w:rsidR="00BE1EFE" w:rsidRPr="00E64AC2" w:rsidRDefault="00BE1EFE" w:rsidP="00E64AC2">
      <w:pPr>
        <w:pStyle w:val="StandardWeb"/>
        <w:rPr>
          <w:sz w:val="12"/>
          <w:szCs w:val="12"/>
        </w:rPr>
      </w:pPr>
      <w:r>
        <w:rPr>
          <w:sz w:val="12"/>
          <w:szCs w:val="12"/>
        </w:rPr>
        <w:t>* h</w:t>
      </w:r>
      <w:r w:rsidRPr="00E64AC2">
        <w:rPr>
          <w:sz w:val="12"/>
          <w:szCs w:val="12"/>
        </w:rPr>
        <w:t xml:space="preserve">ierzu Anmerkung Nr. 2 </w:t>
      </w:r>
    </w:p>
    <w:p w:rsidR="00BE1EFE" w:rsidRDefault="00BE1EFE" w:rsidP="00E64AC2">
      <w:pPr>
        <w:pStyle w:val="StandardWeb"/>
      </w:pPr>
    </w:p>
    <w:p w:rsidR="00BE1EFE" w:rsidRDefault="00BE1EFE" w:rsidP="00E64AC2">
      <w:pPr>
        <w:pStyle w:val="StandardWeb"/>
        <w:jc w:val="center"/>
      </w:pPr>
      <w:r>
        <w:t>Nr. 3</w:t>
      </w:r>
    </w:p>
    <w:p w:rsidR="00BE1EFE" w:rsidRDefault="00BE1EFE" w:rsidP="00E64AC2">
      <w:pPr>
        <w:pStyle w:val="StandardWeb"/>
        <w:jc w:val="center"/>
      </w:pPr>
      <w:r>
        <w:t xml:space="preserve">zu </w:t>
      </w:r>
      <w:hyperlink r:id="rId221" w:history="1">
        <w:r w:rsidRPr="00791082">
          <w:rPr>
            <w:rStyle w:val="Hyperlink"/>
          </w:rPr>
          <w:t>§ 8 Absatz 4*</w:t>
        </w:r>
      </w:hyperlink>
      <w:r>
        <w:t xml:space="preserve"> – Ausgleich für Sonderformen der Arbeit –</w:t>
      </w:r>
    </w:p>
    <w:p w:rsidR="00BE1EFE" w:rsidRDefault="00BE1EFE" w:rsidP="00E64AC2">
      <w:pPr>
        <w:pStyle w:val="StandardWeb"/>
      </w:pPr>
    </w:p>
    <w:p w:rsidR="00BE1EFE" w:rsidRDefault="00BE1EFE" w:rsidP="00E64AC2">
      <w:pPr>
        <w:pStyle w:val="StandardWeb"/>
      </w:pPr>
      <w:r>
        <w:t xml:space="preserve">(1) Zum Zwecke der Entgeltberechnung wird die Zeit des Bereitschaftsdienstes einschließlich der geleisteten Arbeit wie folgt als Arbeitszeit gewertet: </w:t>
      </w:r>
    </w:p>
    <w:p w:rsidR="00BE1EFE" w:rsidRDefault="00BE1EFE" w:rsidP="00E64AC2">
      <w:pPr>
        <w:pStyle w:val="StandardWeb"/>
      </w:pPr>
      <w:r>
        <w:br/>
        <w:t xml:space="preserve">a) Nach dem Maß der während des Bereitschaftsdienstes erfahrungsgemäß durchschnittlich anfallenden Arbeitsleistungen wird die Zeit des Bereitschaftsdienstes wie folgt als Arbeitszeit gewertet: </w:t>
      </w:r>
    </w:p>
    <w:p w:rsidR="00BE1EFE" w:rsidRDefault="00BE1EFE" w:rsidP="00E64AC2">
      <w:pPr>
        <w:pStyle w:val="StandardWeb"/>
      </w:pPr>
    </w:p>
    <w:p w:rsidR="00BE1EFE" w:rsidRDefault="00BE1EFE" w:rsidP="00E64AC2">
      <w:pPr>
        <w:pStyle w:val="StandardWeb"/>
      </w:pPr>
      <w:r>
        <w:t xml:space="preserve">Stufe </w:t>
      </w:r>
      <w:r>
        <w:tab/>
      </w:r>
      <w:r>
        <w:tab/>
        <w:t xml:space="preserve">Arbeitsleistung innerhalb </w:t>
      </w:r>
      <w:r>
        <w:tab/>
        <w:t xml:space="preserve">Bewertung </w:t>
      </w:r>
    </w:p>
    <w:p w:rsidR="00BE1EFE" w:rsidRDefault="00BE1EFE" w:rsidP="00E64AC2">
      <w:pPr>
        <w:pStyle w:val="StandardWeb"/>
      </w:pPr>
      <w:r>
        <w:tab/>
      </w:r>
      <w:r>
        <w:tab/>
        <w:t>des Bereitschaftsdienstes</w:t>
      </w:r>
      <w:r>
        <w:tab/>
        <w:t xml:space="preserve">als Arbeitszeit </w:t>
      </w:r>
    </w:p>
    <w:p w:rsidR="00BE1EFE" w:rsidRDefault="00BE1EFE" w:rsidP="00E64AC2">
      <w:pPr>
        <w:pStyle w:val="StandardWeb"/>
      </w:pPr>
      <w:r>
        <w:t>A</w:t>
      </w:r>
      <w:r>
        <w:tab/>
      </w:r>
      <w:r>
        <w:tab/>
        <w:t>0 bis 10 v.H.</w:t>
      </w:r>
      <w:r>
        <w:tab/>
      </w:r>
      <w:r>
        <w:tab/>
        <w:t xml:space="preserve">15 v.H. </w:t>
      </w:r>
    </w:p>
    <w:p w:rsidR="00BE1EFE" w:rsidRDefault="00BE1EFE" w:rsidP="00E64AC2">
      <w:pPr>
        <w:pStyle w:val="StandardWeb"/>
      </w:pPr>
      <w:r>
        <w:t>B</w:t>
      </w:r>
      <w:r>
        <w:tab/>
      </w:r>
      <w:r>
        <w:tab/>
        <w:t>mehr als 10 bis 25 v.H.</w:t>
      </w:r>
      <w:r>
        <w:tab/>
        <w:t xml:space="preserve">25 v.H. </w:t>
      </w:r>
    </w:p>
    <w:p w:rsidR="00BE1EFE" w:rsidRDefault="00BE1EFE" w:rsidP="00E64AC2">
      <w:pPr>
        <w:pStyle w:val="StandardWeb"/>
      </w:pPr>
      <w:r>
        <w:t>C</w:t>
      </w:r>
      <w:r>
        <w:tab/>
      </w:r>
      <w:r>
        <w:tab/>
        <w:t>mehr als 25 bis 40 v.H.</w:t>
      </w:r>
      <w:r>
        <w:tab/>
        <w:t xml:space="preserve">40 v.H. </w:t>
      </w:r>
    </w:p>
    <w:p w:rsidR="00BE1EFE" w:rsidRDefault="00BE1EFE" w:rsidP="00E64AC2">
      <w:pPr>
        <w:pStyle w:val="StandardWeb"/>
      </w:pPr>
      <w:r>
        <w:t>D</w:t>
      </w:r>
      <w:r>
        <w:tab/>
      </w:r>
      <w:r>
        <w:tab/>
        <w:t>mehr als 40 bis 49 v.H.</w:t>
      </w:r>
      <w:r>
        <w:tab/>
        <w:t xml:space="preserve">55 v.H. </w:t>
      </w:r>
    </w:p>
    <w:p w:rsidR="00BE1EFE" w:rsidRDefault="00BE1EFE" w:rsidP="00E64AC2">
      <w:pPr>
        <w:pStyle w:val="StandardWeb"/>
      </w:pPr>
    </w:p>
    <w:p w:rsidR="00BE1EFE" w:rsidRDefault="00BE1EFE" w:rsidP="00E64AC2">
      <w:pPr>
        <w:pStyle w:val="StandardWeb"/>
      </w:pPr>
      <w:r>
        <w:t xml:space="preserve">Ein hiernach der Stufe A zugeordneter Bereitschaftsdienst wird der Stufe B zugeteilt, wenn der Beschäftigte während des Bereitschaftsdienstes in der Zeit von 22 bis 6 Uhr erfahrungsgemäß durchschnittlich mehr als dreimal dienstlich in Anspruch genommen wird. </w:t>
      </w:r>
    </w:p>
    <w:p w:rsidR="00BE1EFE" w:rsidRDefault="00BE1EFE" w:rsidP="00E64AC2">
      <w:pPr>
        <w:pStyle w:val="StandardWeb"/>
      </w:pPr>
      <w:r>
        <w:br/>
        <w:t>b) Entsprechend der Zahl der vom Beschäftigten je Kalendermonat abgeleisteten Bereit</w:t>
      </w:r>
      <w:r>
        <w:softHyphen/>
        <w:t xml:space="preserve">schaftsdienste wird die Zeit eines jeden Bereitschaftsdienstes zusätzlich wie folgt als Arbeitszeit gewertet: </w:t>
      </w:r>
    </w:p>
    <w:p w:rsidR="00BE1EFE" w:rsidRDefault="00BE1EFE" w:rsidP="00E64AC2">
      <w:pPr>
        <w:pStyle w:val="StandardWeb"/>
      </w:pPr>
    </w:p>
    <w:p w:rsidR="00BE1EFE" w:rsidRDefault="00BE1EFE" w:rsidP="00E64AC2">
      <w:pPr>
        <w:pStyle w:val="StandardWeb"/>
      </w:pPr>
      <w:r>
        <w:t>Zahl der Bereitschaftsdienste</w:t>
      </w:r>
      <w:r>
        <w:tab/>
      </w:r>
      <w:r>
        <w:tab/>
      </w:r>
      <w:r>
        <w:tab/>
        <w:t xml:space="preserve">Bewertung als </w:t>
      </w:r>
    </w:p>
    <w:p w:rsidR="00BE1EFE" w:rsidRDefault="00BE1EFE" w:rsidP="00E64AC2">
      <w:pPr>
        <w:pStyle w:val="StandardWeb"/>
      </w:pPr>
      <w:r>
        <w:t xml:space="preserve">im Kalendermonat </w:t>
      </w:r>
      <w:r>
        <w:tab/>
      </w:r>
      <w:r>
        <w:tab/>
      </w:r>
      <w:r>
        <w:tab/>
      </w:r>
      <w:r>
        <w:tab/>
        <w:t xml:space="preserve">Arbeitszeit </w:t>
      </w:r>
    </w:p>
    <w:p w:rsidR="00BE1EFE" w:rsidRDefault="00BE1EFE" w:rsidP="00E64AC2">
      <w:pPr>
        <w:pStyle w:val="StandardWeb"/>
      </w:pPr>
      <w:r>
        <w:t xml:space="preserve">1. bis 8. Bereitschaftsdienst </w:t>
      </w:r>
      <w:r>
        <w:tab/>
      </w:r>
      <w:r>
        <w:tab/>
      </w:r>
      <w:r>
        <w:tab/>
        <w:t xml:space="preserve">25 v.H. </w:t>
      </w:r>
    </w:p>
    <w:p w:rsidR="00BE1EFE" w:rsidRDefault="00BE1EFE" w:rsidP="00E64AC2">
      <w:pPr>
        <w:pStyle w:val="StandardWeb"/>
      </w:pPr>
      <w:r>
        <w:t xml:space="preserve">9. bis 12. Bereitschaftsdienst </w:t>
      </w:r>
      <w:r>
        <w:tab/>
      </w:r>
      <w:r>
        <w:tab/>
      </w:r>
      <w:r>
        <w:tab/>
        <w:t xml:space="preserve">35 v.H. </w:t>
      </w:r>
    </w:p>
    <w:p w:rsidR="00BE1EFE" w:rsidRDefault="00BE1EFE" w:rsidP="00E64AC2">
      <w:pPr>
        <w:pStyle w:val="StandardWeb"/>
      </w:pPr>
      <w:r>
        <w:t xml:space="preserve">13. und folgende Bereitschaftsdienste </w:t>
      </w:r>
      <w:r>
        <w:tab/>
      </w:r>
      <w:r>
        <w:tab/>
        <w:t xml:space="preserve">45 v.H. </w:t>
      </w:r>
    </w:p>
    <w:p w:rsidR="00BE1EFE" w:rsidRDefault="00BE1EFE" w:rsidP="00E64AC2">
      <w:pPr>
        <w:pStyle w:val="StandardWeb"/>
      </w:pPr>
    </w:p>
    <w:p w:rsidR="00BE1EFE" w:rsidRDefault="00BE1EFE" w:rsidP="00E64AC2">
      <w:pPr>
        <w:pStyle w:val="StandardWeb"/>
      </w:pPr>
      <w:r>
        <w:t>(2) Die Zuweisung zu den einzelnen Stufen des Bereitschaftsdienstes erfolgt durch die Betriebsparteien.</w:t>
      </w:r>
    </w:p>
    <w:p w:rsidR="00BE1EFE" w:rsidRDefault="00BE1EFE" w:rsidP="00E64AC2">
      <w:pPr>
        <w:pStyle w:val="StandardWeb"/>
      </w:pPr>
    </w:p>
    <w:p w:rsidR="00BE1EFE" w:rsidRDefault="00BE1EFE" w:rsidP="00E64AC2">
      <w:pPr>
        <w:pStyle w:val="StandardWeb"/>
      </w:pPr>
      <w:r>
        <w:t xml:space="preserve">(3) </w:t>
      </w:r>
      <w:r w:rsidRPr="00D04CE2">
        <w:rPr>
          <w:sz w:val="12"/>
          <w:szCs w:val="12"/>
        </w:rPr>
        <w:t>1</w:t>
      </w:r>
      <w:r>
        <w:t xml:space="preserve">Für die Beschäftigten gemäß Absatz 10 der obigen Nummer 2 zu </w:t>
      </w:r>
      <w:hyperlink r:id="rId222" w:history="1">
        <w:r w:rsidRPr="00791082">
          <w:rPr>
            <w:rStyle w:val="Hyperlink"/>
          </w:rPr>
          <w:t>§ 7</w:t>
        </w:r>
      </w:hyperlink>
      <w:r>
        <w:t xml:space="preserve"> wird zum Zwecke der Entgeltberechnung die Zeit des Bereitschaftsdienstes einschließlich der geleisteten Arbeit mit 25 v.H. als Arbeitszeit bewertet. </w:t>
      </w:r>
      <w:r w:rsidRPr="00D04CE2">
        <w:rPr>
          <w:sz w:val="12"/>
          <w:szCs w:val="12"/>
        </w:rPr>
        <w:t>2</w:t>
      </w:r>
      <w:r>
        <w:t xml:space="preserve">Leistet die/der Beschäftigte in einem Kalendermonat mehr als acht Bereitschaftsdienste, wird die Zeit eines jeden über acht Bereitschaftsdienste hinausgehenden Bereitschaftsdienstes zusätzlich mit 15 v.H. als Arbeitszeit gewertet. </w:t>
      </w:r>
    </w:p>
    <w:p w:rsidR="00BE1EFE" w:rsidRDefault="00BE1EFE" w:rsidP="00E64AC2">
      <w:pPr>
        <w:pStyle w:val="StandardWeb"/>
      </w:pPr>
    </w:p>
    <w:p w:rsidR="00BE1EFE" w:rsidRDefault="00BE1EFE" w:rsidP="00E64AC2">
      <w:pPr>
        <w:pStyle w:val="StandardWeb"/>
      </w:pPr>
      <w:r>
        <w:t>(4) </w:t>
      </w:r>
      <w:r w:rsidRPr="00D04CE2">
        <w:rPr>
          <w:sz w:val="12"/>
          <w:szCs w:val="12"/>
        </w:rPr>
        <w:t>1</w:t>
      </w:r>
      <w:r>
        <w:t xml:space="preserve">Das Entgelt für die nach den Absätzen 1 und 3 zum Zwecke der Entgeltberechnung als Arbeitszeit gewertete Bereitschaftsdienstzeit bestimmt sich nach der </w:t>
      </w:r>
      <w:hyperlink r:id="rId223" w:history="1">
        <w:r w:rsidRPr="00791082">
          <w:rPr>
            <w:rStyle w:val="Hyperlink"/>
          </w:rPr>
          <w:t>Anlage G</w:t>
        </w:r>
      </w:hyperlink>
      <w:r>
        <w:t xml:space="preserve">. </w:t>
      </w:r>
      <w:r w:rsidRPr="00D04CE2">
        <w:rPr>
          <w:sz w:val="12"/>
          <w:szCs w:val="12"/>
        </w:rPr>
        <w:t>2</w:t>
      </w:r>
      <w:r>
        <w:t xml:space="preserve">Die Beträge </w:t>
      </w:r>
      <w:r>
        <w:lastRenderedPageBreak/>
        <w:t xml:space="preserve">der </w:t>
      </w:r>
      <w:hyperlink r:id="rId224" w:history="1">
        <w:r w:rsidRPr="00C33353">
          <w:rPr>
            <w:rStyle w:val="Hyperlink"/>
          </w:rPr>
          <w:t>Anlage G</w:t>
        </w:r>
      </w:hyperlink>
      <w:r>
        <w:t xml:space="preserve"> verändern sich bei allgemeinen Entgeltanpassungen gem. </w:t>
      </w:r>
      <w:hyperlink r:id="rId225" w:history="1">
        <w:r w:rsidRPr="00791082">
          <w:rPr>
            <w:rStyle w:val="Hyperlink"/>
          </w:rPr>
          <w:t>§ 20a</w:t>
        </w:r>
      </w:hyperlink>
      <w:r>
        <w:t xml:space="preserve">. </w:t>
      </w:r>
      <w:r w:rsidRPr="00D04CE2">
        <w:rPr>
          <w:sz w:val="12"/>
          <w:szCs w:val="12"/>
        </w:rPr>
        <w:t>3</w:t>
      </w:r>
      <w:r>
        <w:t xml:space="preserve">Für die Zeit des Bereitschaftsdienstes einschließlich der geleisteten Arbeit und für die Zeit der Rufbereitschaft werden Zeitzuschläge nach </w:t>
      </w:r>
      <w:hyperlink r:id="rId226" w:history="1">
        <w:r w:rsidRPr="00791082">
          <w:rPr>
            <w:rStyle w:val="Hyperlink"/>
          </w:rPr>
          <w:t>§ 8</w:t>
        </w:r>
      </w:hyperlink>
      <w:r>
        <w:t xml:space="preserve"> nicht gezahlt. </w:t>
      </w:r>
    </w:p>
    <w:p w:rsidR="00BE1EFE" w:rsidRDefault="00BE1EFE" w:rsidP="00E64AC2">
      <w:pPr>
        <w:pStyle w:val="StandardWeb"/>
      </w:pPr>
    </w:p>
    <w:p w:rsidR="00BE1EFE" w:rsidRDefault="00BE1EFE" w:rsidP="00E64AC2">
      <w:pPr>
        <w:pStyle w:val="StandardWeb"/>
      </w:pPr>
      <w:r>
        <w:t>(5) </w:t>
      </w:r>
      <w:r w:rsidRPr="00D04CE2">
        <w:rPr>
          <w:sz w:val="12"/>
          <w:szCs w:val="12"/>
        </w:rPr>
        <w:t>1</w:t>
      </w:r>
      <w:r>
        <w:t xml:space="preserve">Die Beschäftigten erhalten zusätzlich zu dem Entgelt nach Absatz 4 für die Zeit des Bereitschaftsdienstes in den Nachtstunden </w:t>
      </w:r>
      <w:hyperlink r:id="rId227" w:history="1">
        <w:r w:rsidRPr="00791082">
          <w:rPr>
            <w:rStyle w:val="Hyperlink"/>
          </w:rPr>
          <w:t>(§ 7 Absatz 5</w:t>
        </w:r>
      </w:hyperlink>
      <w:r>
        <w:t xml:space="preserve">) je Stunde einen Zeitzuschlag in Höhe von 15 v.H. des Entgelts nach Absatz 4. </w:t>
      </w:r>
      <w:r w:rsidRPr="00791082">
        <w:rPr>
          <w:sz w:val="12"/>
          <w:szCs w:val="12"/>
        </w:rPr>
        <w:t>2</w:t>
      </w:r>
      <w:r>
        <w:t xml:space="preserve">Absatz 4 Satz 3 gilt entsprechend. </w:t>
      </w:r>
    </w:p>
    <w:p w:rsidR="00BE1EFE" w:rsidRDefault="00BE1EFE" w:rsidP="00E64AC2">
      <w:pPr>
        <w:pStyle w:val="StandardWeb"/>
      </w:pPr>
    </w:p>
    <w:p w:rsidR="00BE1EFE" w:rsidRDefault="00BE1EFE" w:rsidP="00E64AC2">
      <w:pPr>
        <w:pStyle w:val="StandardWeb"/>
      </w:pPr>
      <w:r>
        <w:t xml:space="preserve">(6) Das Bereitschaftsdienstentgelt kann im Falle der Faktorisierung nach </w:t>
      </w:r>
      <w:hyperlink r:id="rId228" w:history="1">
        <w:r w:rsidRPr="00C33353">
          <w:rPr>
            <w:rStyle w:val="Hyperlink"/>
          </w:rPr>
          <w:t>§ 6 Teil D, 4.</w:t>
        </w:r>
      </w:hyperlink>
      <w:r>
        <w:t xml:space="preserve"> im Verhältnis 1:1 in Freizeit abgegolten werden.</w:t>
      </w:r>
    </w:p>
    <w:p w:rsidR="00BE1EFE" w:rsidRPr="00D04CE2" w:rsidRDefault="00BE1EFE" w:rsidP="00E64AC2">
      <w:pPr>
        <w:pStyle w:val="StandardWeb"/>
        <w:rPr>
          <w:sz w:val="12"/>
          <w:szCs w:val="12"/>
        </w:rPr>
      </w:pPr>
      <w:r>
        <w:rPr>
          <w:sz w:val="12"/>
          <w:szCs w:val="12"/>
        </w:rPr>
        <w:t>* h</w:t>
      </w:r>
      <w:r w:rsidRPr="00D04CE2">
        <w:rPr>
          <w:sz w:val="12"/>
          <w:szCs w:val="12"/>
        </w:rPr>
        <w:t xml:space="preserve">ierzu Anmerkung Nr. 2 </w:t>
      </w:r>
    </w:p>
    <w:p w:rsidR="00BE1EFE" w:rsidRDefault="00BE1EFE" w:rsidP="00E64AC2">
      <w:pPr>
        <w:pStyle w:val="StandardWeb"/>
      </w:pPr>
    </w:p>
    <w:p w:rsidR="00BE1EFE" w:rsidRDefault="00BE1EFE" w:rsidP="00D04CE2">
      <w:pPr>
        <w:pStyle w:val="StandardWeb"/>
        <w:jc w:val="center"/>
      </w:pPr>
      <w:r>
        <w:t>Nr. 4</w:t>
      </w:r>
    </w:p>
    <w:p w:rsidR="00BE1EFE" w:rsidRDefault="00BE1EFE" w:rsidP="00D04CE2">
      <w:pPr>
        <w:pStyle w:val="StandardWeb"/>
        <w:jc w:val="center"/>
      </w:pPr>
      <w:r>
        <w:t xml:space="preserve">zu </w:t>
      </w:r>
      <w:hyperlink r:id="rId229" w:history="1">
        <w:r w:rsidRPr="00C33353">
          <w:rPr>
            <w:rStyle w:val="Hyperlink"/>
          </w:rPr>
          <w:t>§ 10</w:t>
        </w:r>
      </w:hyperlink>
      <w:r>
        <w:t xml:space="preserve"> – Arbeitszeitkonto –</w:t>
      </w:r>
    </w:p>
    <w:p w:rsidR="00BE1EFE" w:rsidRDefault="00BE1EFE" w:rsidP="00E64AC2">
      <w:pPr>
        <w:pStyle w:val="StandardWeb"/>
      </w:pPr>
    </w:p>
    <w:p w:rsidR="00BE1EFE" w:rsidRDefault="00BE1EFE" w:rsidP="00E64AC2">
      <w:pPr>
        <w:pStyle w:val="StandardWeb"/>
      </w:pPr>
      <w:r>
        <w:t xml:space="preserve">Im Falle einer unverzüglich angezeigten und durch ärztliches Attest nachgewiesenen Arbeitsunfähigkeit während eines Zeitausgleichs vom Arbeitszeitkonto (Zeiten nach </w:t>
      </w:r>
      <w:hyperlink r:id="rId230" w:history="1">
        <w:r w:rsidRPr="00C33353">
          <w:rPr>
            <w:rStyle w:val="Hyperlink"/>
          </w:rPr>
          <w:t>§ 6 Teil D, 4.</w:t>
        </w:r>
      </w:hyperlink>
      <w:r>
        <w:t>) tritt eine Minderung des Zeitguthabens nicht ein.*</w:t>
      </w:r>
    </w:p>
    <w:p w:rsidR="00BE1EFE" w:rsidRPr="00D04CE2" w:rsidRDefault="00BE1EFE" w:rsidP="00E64AC2">
      <w:pPr>
        <w:pStyle w:val="StandardWeb"/>
        <w:rPr>
          <w:sz w:val="12"/>
          <w:szCs w:val="12"/>
        </w:rPr>
      </w:pPr>
      <w:r w:rsidRPr="00D04CE2">
        <w:rPr>
          <w:sz w:val="12"/>
          <w:szCs w:val="12"/>
        </w:rPr>
        <w:t>* Hierzu Anmerkung Nr. 3</w:t>
      </w:r>
    </w:p>
    <w:p w:rsidR="00BE1EFE" w:rsidRDefault="00BE1EFE" w:rsidP="00E64AC2">
      <w:pPr>
        <w:pStyle w:val="StandardWeb"/>
      </w:pPr>
      <w:r>
        <w:t> </w:t>
      </w:r>
    </w:p>
    <w:p w:rsidR="00BE1EFE" w:rsidRPr="00D04CE2" w:rsidRDefault="00BE1EFE" w:rsidP="00E64AC2">
      <w:pPr>
        <w:pStyle w:val="StandardWeb"/>
        <w:rPr>
          <w:sz w:val="12"/>
          <w:szCs w:val="12"/>
        </w:rPr>
      </w:pPr>
      <w:r w:rsidRPr="00D04CE2">
        <w:rPr>
          <w:sz w:val="12"/>
          <w:szCs w:val="12"/>
        </w:rPr>
        <w:t>Anmerkungen</w:t>
      </w:r>
      <w:r>
        <w:rPr>
          <w:sz w:val="12"/>
          <w:szCs w:val="12"/>
        </w:rPr>
        <w:t>:</w:t>
      </w:r>
    </w:p>
    <w:p w:rsidR="00BE1EFE" w:rsidRPr="00D04CE2" w:rsidRDefault="00BE1EFE" w:rsidP="00E64AC2">
      <w:pPr>
        <w:pStyle w:val="StandardWeb"/>
        <w:rPr>
          <w:sz w:val="12"/>
          <w:szCs w:val="12"/>
        </w:rPr>
      </w:pPr>
      <w:r w:rsidRPr="00D04CE2">
        <w:rPr>
          <w:sz w:val="12"/>
          <w:szCs w:val="12"/>
        </w:rPr>
        <w:t>Nr. 1:</w:t>
      </w:r>
    </w:p>
    <w:p w:rsidR="00BE1EFE" w:rsidRPr="00D04CE2" w:rsidRDefault="00BE1EFE" w:rsidP="00E64AC2">
      <w:pPr>
        <w:pStyle w:val="StandardWeb"/>
        <w:rPr>
          <w:sz w:val="12"/>
          <w:szCs w:val="12"/>
        </w:rPr>
      </w:pPr>
      <w:r w:rsidRPr="00D04CE2">
        <w:rPr>
          <w:sz w:val="12"/>
          <w:szCs w:val="12"/>
        </w:rPr>
        <w:t>Der Anspruch auf die Wechselschichtzulage ist auch erfüllt, wenn unter Einhaltung der Monatsfrist zwei Nachtdienste geleistet wurden, die nicht unmittelbar zwingend aufeinander folgen müssen.</w:t>
      </w:r>
    </w:p>
    <w:p w:rsidR="00BE1EFE" w:rsidRPr="00D04CE2" w:rsidRDefault="00BE1EFE" w:rsidP="00E64AC2">
      <w:pPr>
        <w:pStyle w:val="StandardWeb"/>
        <w:rPr>
          <w:sz w:val="12"/>
          <w:szCs w:val="12"/>
        </w:rPr>
      </w:pPr>
      <w:r w:rsidRPr="00D04CE2">
        <w:rPr>
          <w:sz w:val="12"/>
          <w:szCs w:val="12"/>
        </w:rPr>
        <w:t>Nr. 2:</w:t>
      </w:r>
    </w:p>
    <w:p w:rsidR="00BE1EFE" w:rsidRPr="00D04CE2" w:rsidRDefault="00BE1EFE" w:rsidP="00E64AC2">
      <w:pPr>
        <w:pStyle w:val="StandardWeb"/>
        <w:rPr>
          <w:sz w:val="12"/>
          <w:szCs w:val="12"/>
        </w:rPr>
      </w:pPr>
      <w:r w:rsidRPr="00D04CE2">
        <w:rPr>
          <w:sz w:val="12"/>
          <w:szCs w:val="12"/>
        </w:rPr>
        <w:t xml:space="preserve">1Die Dokumentation der Arbeitszeit, der Mehrarbeit, der Überstunden, der Bereitschaftsdienste etc. ist nicht mit dem Arbeitszeitkonto gemäß </w:t>
      </w:r>
      <w:hyperlink r:id="rId231" w:history="1">
        <w:r w:rsidRPr="00C33353">
          <w:rPr>
            <w:rStyle w:val="Hyperlink"/>
            <w:sz w:val="12"/>
            <w:szCs w:val="12"/>
          </w:rPr>
          <w:t>§ 5 Teil D, 4.</w:t>
        </w:r>
      </w:hyperlink>
      <w:r w:rsidRPr="00D04CE2">
        <w:rPr>
          <w:sz w:val="12"/>
          <w:szCs w:val="12"/>
        </w:rPr>
        <w:t xml:space="preserve"> gleichzusetzen. 2Arbeitszeitkonten können nur durch Dienstvereinbarungen eingerichtet und geführt werden.</w:t>
      </w:r>
    </w:p>
    <w:p w:rsidR="00BE1EFE" w:rsidRPr="00D04CE2" w:rsidRDefault="00BE1EFE" w:rsidP="00E64AC2">
      <w:pPr>
        <w:pStyle w:val="StandardWeb"/>
        <w:rPr>
          <w:sz w:val="12"/>
          <w:szCs w:val="12"/>
        </w:rPr>
      </w:pPr>
      <w:r w:rsidRPr="00D04CE2">
        <w:rPr>
          <w:sz w:val="12"/>
          <w:szCs w:val="12"/>
        </w:rPr>
        <w:t>Nr. 3:</w:t>
      </w:r>
    </w:p>
    <w:p w:rsidR="00BE1EFE" w:rsidRPr="00F537B0" w:rsidRDefault="00BE1EFE" w:rsidP="00F537B0">
      <w:pPr>
        <w:pStyle w:val="StandardWeb"/>
        <w:jc w:val="left"/>
        <w:rPr>
          <w:sz w:val="2"/>
          <w:szCs w:val="2"/>
        </w:rPr>
      </w:pPr>
      <w:r w:rsidRPr="00D04CE2">
        <w:rPr>
          <w:sz w:val="12"/>
          <w:szCs w:val="12"/>
        </w:rPr>
        <w:t>Durch diese Regelung werden aus dem Urlaubsrecht entle</w:t>
      </w:r>
      <w:r>
        <w:rPr>
          <w:sz w:val="12"/>
          <w:szCs w:val="12"/>
        </w:rPr>
        <w:t>hnte Ansprüche nicht begründet.</w:t>
      </w:r>
      <w:r>
        <w:rPr>
          <w:sz w:val="12"/>
          <w:szCs w:val="12"/>
        </w:rPr>
        <w:br w:type="page"/>
      </w:r>
    </w:p>
    <w:p w:rsidR="00BE1EFE" w:rsidRDefault="00BE1EFE" w:rsidP="00F537B0">
      <w:pPr>
        <w:pStyle w:val="berschrift5"/>
        <w:spacing w:before="0"/>
      </w:pPr>
      <w:bookmarkStart w:id="76" w:name="_Toc523925747"/>
      <w:r>
        <w:lastRenderedPageBreak/>
        <w:t>Abschnitt VIII: Anhänge und Anlagen</w:t>
      </w:r>
      <w:bookmarkEnd w:id="76"/>
    </w:p>
    <w:p w:rsidR="00BE1EFE" w:rsidRDefault="00BE1EFE">
      <w:pPr>
        <w:pStyle w:val="berschrift6"/>
      </w:pPr>
      <w:bookmarkStart w:id="77" w:name="_Toc523925748"/>
      <w:r>
        <w:t>Anhang zu § 5</w:t>
      </w:r>
      <w:bookmarkEnd w:id="7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Zusätzliche Vorbereitungs- und Qualifizierungszeit in Einrichtungen des Sozial- und Erziehungsdienstes</w:t>
      </w:r>
    </w:p>
    <w:p w:rsidR="00BE1EFE" w:rsidRPr="000B1AF8" w:rsidRDefault="00BE1EFE">
      <w:pPr>
        <w:pStyle w:val="StandardWeb"/>
      </w:pPr>
    </w:p>
    <w:p w:rsidR="00BE1EFE" w:rsidRDefault="00BE1EFE">
      <w:pPr>
        <w:pStyle w:val="StandardWeb"/>
      </w:pPr>
      <w:r>
        <w:rPr>
          <w:rStyle w:val="kleinschrift"/>
        </w:rPr>
        <w:t>1</w:t>
      </w:r>
      <w:r>
        <w:t>In Einrichtungen des Sozial- und Erziehungsdienstes stehen innerhalb der Einrichtung den Beschäftigten im Sozial- und Erziehungsdienst – soweit gesetzliche Regelungen bestehen, zusätzlich zu diesen gesetzlichen Regelungen – im Rahmen der regelmäßigen durchschnitt</w:t>
      </w:r>
      <w:r>
        <w:softHyphen/>
        <w:t xml:space="preserve">lichen wöchentlichen Arbeitszeit im Kalenderjahr 19,5 Stunden für Zwecke gemeinsamer Vorbereitung und Qualifizierung zur Verfügung. </w:t>
      </w:r>
      <w:r>
        <w:rPr>
          <w:rStyle w:val="kleinschrift"/>
        </w:rPr>
        <w:t>2</w:t>
      </w:r>
      <w:r>
        <w:t xml:space="preserve">Bei Teilzeitbeschäftigten gilt Satz 1 entsprechend mit der Maßgabe, dass sich die Stundenzahl nach Satz 1 in dem Umfang, der dem Verhältnis der individuell vereinbarten durchschnittlichen Arbeitszeit zu der regelmäßigen Arbeitszeit vergleichbarer Vollzeitbeschäftigter entspricht, reduziert. </w:t>
      </w:r>
      <w:r>
        <w:rPr>
          <w:rStyle w:val="kleinschrift"/>
        </w:rPr>
        <w:t>3</w:t>
      </w:r>
      <w:r>
        <w:t xml:space="preserve">Die nach den Sätzen 1 und 2 ermittelten Gesamtstunden werden zu gleichen Zeitanteilen auf die Beschäftigten im Sozial- und Erziehungsdienst aufgeteilt. </w:t>
      </w:r>
      <w:r>
        <w:rPr>
          <w:rStyle w:val="kleinschrift"/>
        </w:rPr>
        <w:t>4</w:t>
      </w:r>
      <w:r>
        <w:t>Die Leiterin/der Leiter der Einrichtung entscheidet im Einvernehmen mit dem Träger, zu welchen Zwecken im Rahmen des Satzes 1 die zur Verfügung stehenden Stunden verwendet werden und mit welchen Arbeits- und Bildungs</w:t>
      </w:r>
      <w:r>
        <w:softHyphen/>
        <w:t>methoden die Zwecke erreicht werden sollen.</w:t>
      </w:r>
    </w:p>
    <w:p w:rsidR="00BE1EFE" w:rsidRDefault="00BE1EFE">
      <w:pPr>
        <w:pStyle w:val="berschrift6"/>
      </w:pPr>
      <w:bookmarkStart w:id="78" w:name="_Toc523925749"/>
      <w:r>
        <w:t>Anhang zu § 9</w:t>
      </w:r>
      <w:bookmarkEnd w:id="7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Bereitschaftszeiten Hausmeisterinnen/Hausmeister</w:t>
      </w:r>
    </w:p>
    <w:p w:rsidR="00BE1EFE" w:rsidRPr="000B1AF8" w:rsidRDefault="00BE1EFE">
      <w:pPr>
        <w:pStyle w:val="StandardWeb"/>
      </w:pPr>
    </w:p>
    <w:p w:rsidR="00BE1EFE" w:rsidRDefault="00BE1EFE">
      <w:pPr>
        <w:pStyle w:val="StandardWeb"/>
      </w:pPr>
      <w:r>
        <w:rPr>
          <w:rStyle w:val="kleinschrift"/>
        </w:rPr>
        <w:t>1</w:t>
      </w:r>
      <w:r>
        <w:t xml:space="preserve">Für Hausmeisterinnen/Hausmeister, in deren Tätigkeit regelmäßig und in nicht unerheblichem Umfang Bereitschaftszeiten fallen, gelten folgende besondere Regelungen zu </w:t>
      </w:r>
      <w:hyperlink r:id="rId232" w:history="1">
        <w:r w:rsidRPr="002D1F1D">
          <w:rPr>
            <w:rStyle w:val="Hyperlink"/>
          </w:rPr>
          <w:t xml:space="preserve">§ 6 </w:t>
        </w:r>
        <w:r>
          <w:rPr>
            <w:rStyle w:val="Hyperlink"/>
          </w:rPr>
          <w:t>Absatz</w:t>
        </w:r>
        <w:r w:rsidRPr="002D1F1D">
          <w:rPr>
            <w:rStyle w:val="Hyperlink"/>
          </w:rPr>
          <w:t xml:space="preserve"> 1 Satz 1</w:t>
        </w:r>
      </w:hyperlink>
      <w:r>
        <w:t xml:space="preserve">: </w:t>
      </w:r>
      <w:r>
        <w:rPr>
          <w:rStyle w:val="kleinschrift"/>
        </w:rPr>
        <w:t>2</w:t>
      </w:r>
      <w:r>
        <w:t xml:space="preserve">Die Summe aus den faktorisierten Bereitschaftszeiten und der Vollarbeitszeit darf die Arbeitszeit nach </w:t>
      </w:r>
      <w:hyperlink r:id="rId233" w:history="1">
        <w:r w:rsidRPr="002D1F1D">
          <w:rPr>
            <w:rStyle w:val="Hyperlink"/>
          </w:rPr>
          <w:t xml:space="preserve">§ 6 </w:t>
        </w:r>
        <w:r>
          <w:rPr>
            <w:rStyle w:val="Hyperlink"/>
          </w:rPr>
          <w:t>Absatz</w:t>
        </w:r>
        <w:r w:rsidRPr="002D1F1D">
          <w:rPr>
            <w:rStyle w:val="Hyperlink"/>
          </w:rPr>
          <w:t xml:space="preserve"> 1</w:t>
        </w:r>
      </w:hyperlink>
      <w:r>
        <w:t xml:space="preserve"> nicht überschreiten. </w:t>
      </w:r>
      <w:r>
        <w:rPr>
          <w:rStyle w:val="kleinschrift"/>
        </w:rPr>
        <w:t>3</w:t>
      </w:r>
      <w:r>
        <w:t xml:space="preserve">Die Summe aus Vollarbeits- und Bereitschaftszeiten darf durchschnittlich 48 Stunden wöchentlich nicht überschreiten. </w:t>
      </w:r>
      <w:r>
        <w:rPr>
          <w:rStyle w:val="kleinschrift"/>
        </w:rPr>
        <w:t>4</w:t>
      </w:r>
      <w:r>
        <w:t xml:space="preserve">Bereitschaftszeiten sind die Zeiten, in denen sich die Hausmeisterin/der Hausmeister am Arbeitsplatz oder einer anderen vom Arbeitgeber bestimmten Stelle zur Verfügung halten muss, um im Bedarfsfall die Arbeit selbständig, ggf. auch auf Anordnung, aufzunehmen und in denen die Zeiten ohne Arbeitsleistung überwiegen. </w:t>
      </w:r>
      <w:r>
        <w:rPr>
          <w:rStyle w:val="kleinschrift"/>
        </w:rPr>
        <w:t>5</w:t>
      </w:r>
      <w:r>
        <w:t xml:space="preserve">Bereitschaftszeiten werden zur Hälfte als Arbeitszeit gewertet (faktorisiert). </w:t>
      </w:r>
      <w:r>
        <w:rPr>
          <w:rStyle w:val="kleinschrift"/>
        </w:rPr>
        <w:t>6</w:t>
      </w:r>
      <w:r>
        <w:t>Bereitschaftszeiten werden innerhalb von Beginn und Ende der regelmäßigen täglichen Arbeitszeit nicht gesondert ausgewiesen.</w:t>
      </w:r>
    </w:p>
    <w:p w:rsidR="00BE1EFE" w:rsidRDefault="00BE1EFE" w:rsidP="006B6971">
      <w:pPr>
        <w:pStyle w:val="Leerzeile"/>
      </w:pPr>
      <w:r>
        <w:br w:type="page"/>
      </w:r>
    </w:p>
    <w:p w:rsidR="00BE1EFE" w:rsidRDefault="00BE1EFE">
      <w:pPr>
        <w:pStyle w:val="berschrift6"/>
      </w:pPr>
      <w:bookmarkStart w:id="79" w:name="_Toc523925750"/>
      <w:r>
        <w:lastRenderedPageBreak/>
        <w:t>Anhang zu § 16</w:t>
      </w:r>
      <w:bookmarkEnd w:id="7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E46EA2">
      <w:pPr>
        <w:pStyle w:val="StandardWeb"/>
        <w:autoSpaceDE w:val="0"/>
        <w:jc w:val="center"/>
      </w:pPr>
      <w:r>
        <w:rPr>
          <w:rStyle w:val="Fett"/>
          <w:bCs/>
        </w:rPr>
        <w:t>Besondere Stufenregelungen</w:t>
      </w:r>
    </w:p>
    <w:p w:rsidR="00BE1EFE" w:rsidRPr="000B1AF8" w:rsidRDefault="00BE1EFE" w:rsidP="00E46EA2">
      <w:pPr>
        <w:pStyle w:val="StandardWeb"/>
        <w:jc w:val="center"/>
      </w:pPr>
    </w:p>
    <w:p w:rsidR="00BE1EFE" w:rsidRDefault="00BE1EFE" w:rsidP="00E46EA2">
      <w:pPr>
        <w:pStyle w:val="StandardWeb"/>
        <w:autoSpaceDE w:val="0"/>
      </w:pPr>
      <w:r>
        <w:rPr>
          <w:rStyle w:val="Fett"/>
          <w:bCs/>
        </w:rPr>
        <w:t>1. Allgemein*</w:t>
      </w:r>
    </w:p>
    <w:p w:rsidR="00BE1EFE" w:rsidRDefault="00BE1EFE" w:rsidP="00E46EA2">
      <w:pPr>
        <w:pStyle w:val="StandardWeb"/>
      </w:pPr>
    </w:p>
    <w:p w:rsidR="00BE1EFE" w:rsidRDefault="00BE1EFE" w:rsidP="00E46EA2">
      <w:pPr>
        <w:pStyle w:val="StandardWeb"/>
      </w:pPr>
      <w:r>
        <w:t xml:space="preserve">(1) Abweichend von </w:t>
      </w:r>
      <w:hyperlink r:id="rId234" w:history="1">
        <w:r w:rsidRPr="00515687">
          <w:rPr>
            <w:rStyle w:val="Hyperlink"/>
          </w:rPr>
          <w:t>§ 16 Absatz 1 Satz 1</w:t>
        </w:r>
      </w:hyperlink>
      <w:r>
        <w:t xml:space="preserve"> ist Endstufe</w:t>
      </w:r>
    </w:p>
    <w:p w:rsidR="00BE1EFE" w:rsidRDefault="00BE1EFE" w:rsidP="00E46EA2">
      <w:pPr>
        <w:pStyle w:val="StandardWeb"/>
        <w:ind w:left="360"/>
      </w:pPr>
    </w:p>
    <w:p w:rsidR="00BE1EFE" w:rsidRDefault="00BE1EFE" w:rsidP="00E46EA2">
      <w:pPr>
        <w:pStyle w:val="StandardWeb"/>
      </w:pPr>
      <w:r>
        <w:t>a) in der Entgeltgruppe 2 die Stufe 5 bei Tätigkeiten entsprechend Teil A, 2.2.1. Nummer 2 (handwerkliche Tätigkeiten),</w:t>
      </w:r>
    </w:p>
    <w:p w:rsidR="00BE1EFE" w:rsidRDefault="00BE1EFE" w:rsidP="00E46EA2">
      <w:pPr>
        <w:pStyle w:val="StandardWeb"/>
      </w:pPr>
      <w:r>
        <w:t>b) in der Entgeltgruppe 9a die Stufe 4 bei Tätigkeiten entsprechend Teil A, 2.2.1. Nummer 2 (handwerkliche Tätigkeiten).</w:t>
      </w:r>
    </w:p>
    <w:p w:rsidR="00BE1EFE" w:rsidRDefault="00BE1EFE" w:rsidP="00E46EA2">
      <w:pPr>
        <w:pStyle w:val="StandardWeb"/>
      </w:pPr>
    </w:p>
    <w:p w:rsidR="00BE1EFE" w:rsidRDefault="00BE1EFE" w:rsidP="00E46EA2">
      <w:pPr>
        <w:pStyle w:val="StandardWeb"/>
      </w:pPr>
      <w:r>
        <w:t>(2) </w:t>
      </w:r>
      <w:r w:rsidRPr="00515687">
        <w:rPr>
          <w:sz w:val="12"/>
          <w:szCs w:val="12"/>
        </w:rPr>
        <w:t>1</w:t>
      </w:r>
      <w:r>
        <w:t xml:space="preserve">Abweichend von </w:t>
      </w:r>
      <w:hyperlink r:id="rId235" w:history="1">
        <w:r w:rsidRPr="00515687">
          <w:rPr>
            <w:rStyle w:val="Hyperlink"/>
          </w:rPr>
          <w:t>§ 16 Absatz 3 Satz 1</w:t>
        </w:r>
      </w:hyperlink>
      <w:r>
        <w:t xml:space="preserve"> wird in der Entgeltgruppe 9a entsprechend Teil A, 2.2.1. Nummer 2 (handwerkliche Tätigkeiten) die Stufe 4 nach sieben Jahren in Stufe 3 erreicht. </w:t>
      </w:r>
      <w:r w:rsidRPr="00515687">
        <w:rPr>
          <w:sz w:val="12"/>
          <w:szCs w:val="12"/>
        </w:rPr>
        <w:t>2</w:t>
      </w:r>
      <w:r>
        <w:t>Die Stufe 2 der Entgeltgruppe 9a entsprechend Teil A, 2.2.1. Nummer 2 (handwerk</w:t>
      </w:r>
      <w:r>
        <w:softHyphen/>
        <w:t>liche Tätigkeiten) hat den Betrag der Stufe 2 der Entgeltgruppe 9b.</w:t>
      </w:r>
    </w:p>
    <w:p w:rsidR="00BE1EFE" w:rsidRDefault="00BE1EFE" w:rsidP="00E46EA2">
      <w:pPr>
        <w:pStyle w:val="StandardWeb"/>
      </w:pPr>
    </w:p>
    <w:p w:rsidR="00BE1EFE" w:rsidRDefault="00BE1EFE" w:rsidP="00E46EA2">
      <w:pPr>
        <w:pStyle w:val="StandardWeb"/>
        <w:autoSpaceDE w:val="0"/>
      </w:pPr>
      <w:r>
        <w:rPr>
          <w:rStyle w:val="Fett"/>
          <w:bCs/>
        </w:rPr>
        <w:t>2. Pädagogisches Personal in Kindertageseinrichtungen</w:t>
      </w:r>
    </w:p>
    <w:p w:rsidR="00BE1EFE" w:rsidRDefault="00BE1EFE" w:rsidP="00E46EA2">
      <w:pPr>
        <w:pStyle w:val="StandardWeb"/>
      </w:pPr>
    </w:p>
    <w:p w:rsidR="00BE1EFE" w:rsidRDefault="00BE1EFE" w:rsidP="00E46EA2">
      <w:pPr>
        <w:pStyle w:val="StandardWeb"/>
      </w:pPr>
      <w:r>
        <w:t>(aufgehoben)</w:t>
      </w:r>
    </w:p>
    <w:p w:rsidR="00BE1EFE" w:rsidRDefault="00BE1EFE" w:rsidP="00E46EA2">
      <w:pPr>
        <w:pStyle w:val="StandardWeb"/>
      </w:pPr>
    </w:p>
    <w:p w:rsidR="00BE1EFE" w:rsidRDefault="00BE1EFE" w:rsidP="00E46EA2">
      <w:pPr>
        <w:pStyle w:val="StandardWeb"/>
      </w:pPr>
    </w:p>
    <w:p w:rsidR="00BE1EFE" w:rsidRDefault="00BE1EFE" w:rsidP="00E46EA2">
      <w:pPr>
        <w:pStyle w:val="StandardWeb"/>
        <w:autoSpaceDE w:val="0"/>
      </w:pPr>
      <w:r>
        <w:rPr>
          <w:rStyle w:val="Fett"/>
          <w:bCs/>
        </w:rPr>
        <w:t>3. Kirchenspezifische Berufe</w:t>
      </w:r>
    </w:p>
    <w:p w:rsidR="00BE1EFE" w:rsidRDefault="00BE1EFE" w:rsidP="00E46EA2">
      <w:pPr>
        <w:pStyle w:val="StandardWeb"/>
      </w:pPr>
    </w:p>
    <w:p w:rsidR="00BE1EFE" w:rsidRDefault="00BE1EFE" w:rsidP="00E46EA2">
      <w:pPr>
        <w:pStyle w:val="StandardWeb"/>
      </w:pPr>
      <w:r>
        <w:t xml:space="preserve">Abweichend von </w:t>
      </w:r>
      <w:hyperlink r:id="rId236" w:history="1">
        <w:r w:rsidRPr="002D1F1D">
          <w:rPr>
            <w:rStyle w:val="Hyperlink"/>
          </w:rPr>
          <w:t xml:space="preserve">§ 16 </w:t>
        </w:r>
        <w:r>
          <w:rPr>
            <w:rStyle w:val="Hyperlink"/>
          </w:rPr>
          <w:t>Absatz</w:t>
        </w:r>
        <w:r w:rsidRPr="002D1F1D">
          <w:rPr>
            <w:rStyle w:val="Hyperlink"/>
          </w:rPr>
          <w:t xml:space="preserve"> 1</w:t>
        </w:r>
      </w:hyperlink>
      <w:r>
        <w:t xml:space="preserve"> ist Endstufe</w:t>
      </w:r>
    </w:p>
    <w:p w:rsidR="00BE1EFE" w:rsidRDefault="00BE1EFE" w:rsidP="00E46EA2">
      <w:pPr>
        <w:pStyle w:val="StandardWeb"/>
      </w:pPr>
      <w:r>
        <w:t>a) (aufgehoben)</w:t>
      </w:r>
    </w:p>
    <w:p w:rsidR="00BE1EFE" w:rsidRDefault="00BE1EFE" w:rsidP="00E46EA2">
      <w:pPr>
        <w:pStyle w:val="StandardWeb"/>
      </w:pPr>
      <w:r>
        <w:t>b) in der Entgeltgruppe 9b</w:t>
      </w:r>
    </w:p>
    <w:p w:rsidR="00BE1EFE" w:rsidRDefault="00BE1EFE" w:rsidP="00E46EA2">
      <w:pPr>
        <w:pStyle w:val="StandardWeb"/>
      </w:pPr>
      <w:r>
        <w:t>– die Stufe 3 bei Tätigkeit als Religionslehrerin/Religionslehrer im kirchlichen Vorbereitungs</w:t>
      </w:r>
      <w:r>
        <w:softHyphen/>
        <w:t xml:space="preserve">dienst (oder Seminardienst) oder Gemeindeassistentin/Gemeindeassistent (bei Zuordnung nach </w:t>
      </w:r>
      <w:hyperlink r:id="rId237" w:history="1">
        <w:r w:rsidRPr="002D1F1D">
          <w:rPr>
            <w:rStyle w:val="Hyperlink"/>
          </w:rPr>
          <w:t>Anlage 2 K Teil A, 3</w:t>
        </w:r>
      </w:hyperlink>
      <w:r>
        <w:t>.),</w:t>
      </w:r>
    </w:p>
    <w:p w:rsidR="00BE1EFE" w:rsidRDefault="00BE1EFE" w:rsidP="00E46EA2">
      <w:pPr>
        <w:pStyle w:val="StandardWeb"/>
      </w:pPr>
      <w:r>
        <w:t>– die Stufe 2 bei Tätigkeit als Religionslehrerin/Religionslehrer im kirchlichen Vorbereitungs</w:t>
      </w:r>
      <w:r>
        <w:softHyphen/>
        <w:t xml:space="preserve">dienst (oder Seminardienst) oder Gemeindeassistentin/Gemeindeassistent (bei Zuordnung nach </w:t>
      </w:r>
      <w:hyperlink r:id="rId238" w:history="1">
        <w:r w:rsidRPr="002D1F1D">
          <w:rPr>
            <w:rStyle w:val="Hyperlink"/>
          </w:rPr>
          <w:t>Anlage 4 K Teil A, 3</w:t>
        </w:r>
      </w:hyperlink>
      <w:r>
        <w:t>.).</w:t>
      </w:r>
    </w:p>
    <w:p w:rsidR="00BE1EFE" w:rsidRDefault="00BE1EFE" w:rsidP="00E46EA2">
      <w:pPr>
        <w:pStyle w:val="StandardWeb"/>
      </w:pPr>
      <w:r>
        <w:t>c) (aufgehoben)</w:t>
      </w:r>
    </w:p>
    <w:p w:rsidR="00BE1EFE" w:rsidRPr="002C0215" w:rsidRDefault="00BE1EFE" w:rsidP="00E46EA2">
      <w:pPr>
        <w:pStyle w:val="StandardWeb"/>
        <w:rPr>
          <w:sz w:val="2"/>
          <w:szCs w:val="2"/>
        </w:rPr>
      </w:pPr>
      <w:r>
        <w:t>d) (aufgehoben)</w:t>
      </w:r>
      <w:r w:rsidR="00F82168">
        <w:br w:type="page"/>
      </w:r>
    </w:p>
    <w:p w:rsidR="00BE1EFE" w:rsidRPr="00B46706" w:rsidRDefault="00BE1EFE" w:rsidP="00B46706">
      <w:pPr>
        <w:pStyle w:val="berschrift6"/>
        <w:spacing w:before="0"/>
        <w:rPr>
          <w:sz w:val="2"/>
          <w:szCs w:val="2"/>
        </w:rPr>
      </w:pPr>
      <w:bookmarkStart w:id="80" w:name="_Toc523925751"/>
      <w:r>
        <w:lastRenderedPageBreak/>
        <w:t>Anlage A: Entgelttabelle</w:t>
      </w:r>
      <w:bookmarkEnd w:id="80"/>
    </w:p>
    <w:tbl>
      <w:tblPr>
        <w:tblW w:w="7143" w:type="dxa"/>
        <w:jc w:val="center"/>
        <w:tblLayout w:type="fixed"/>
        <w:tblCellMar>
          <w:left w:w="0" w:type="dxa"/>
          <w:right w:w="0" w:type="dxa"/>
        </w:tblCellMar>
        <w:tblLook w:val="04A0" w:firstRow="1" w:lastRow="0" w:firstColumn="1" w:lastColumn="0" w:noHBand="0" w:noVBand="1"/>
      </w:tblPr>
      <w:tblGrid>
        <w:gridCol w:w="1701"/>
        <w:gridCol w:w="907"/>
        <w:gridCol w:w="907"/>
        <w:gridCol w:w="907"/>
        <w:gridCol w:w="907"/>
        <w:gridCol w:w="907"/>
        <w:gridCol w:w="907"/>
      </w:tblGrid>
      <w:tr w:rsidR="00BE1EFE" w:rsidRPr="007160F6" w:rsidTr="00FB2198">
        <w:trPr>
          <w:trHeight w:val="1412"/>
          <w:jc w:val="center"/>
        </w:trPr>
        <w:tc>
          <w:tcPr>
            <w:tcW w:w="7143" w:type="dxa"/>
            <w:gridSpan w:val="7"/>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B76821" w:rsidRDefault="00BE1EFE" w:rsidP="00B76821">
            <w:pPr>
              <w:pStyle w:val="h7"/>
              <w:keepNext w:val="0"/>
              <w:spacing w:before="0" w:after="0"/>
              <w:jc w:val="left"/>
              <w:outlineLvl w:val="5"/>
              <w:rPr>
                <w:sz w:val="2"/>
              </w:rPr>
            </w:pPr>
          </w:p>
          <w:p w:rsidR="00BE1EFE" w:rsidRPr="007160F6" w:rsidRDefault="00BE1EFE" w:rsidP="0095087B">
            <w:pPr>
              <w:spacing w:before="120" w:after="120"/>
              <w:ind w:left="240" w:right="240"/>
              <w:jc w:val="center"/>
              <w:rPr>
                <w:rFonts w:ascii="Times New Roman" w:hAnsi="Times New Roman"/>
                <w:color w:val="000000"/>
                <w:sz w:val="24"/>
              </w:rPr>
            </w:pPr>
            <w:r w:rsidRPr="007160F6">
              <w:rPr>
                <w:rFonts w:cs="Arial"/>
                <w:b/>
                <w:bCs/>
                <w:color w:val="000000"/>
                <w:szCs w:val="16"/>
              </w:rPr>
              <w:t>Entgelttabelle</w:t>
            </w:r>
            <w:r w:rsidRPr="007160F6">
              <w:rPr>
                <w:rFonts w:ascii="Times New Roman" w:hAnsi="Times New Roman"/>
                <w:color w:val="000000"/>
                <w:sz w:val="24"/>
              </w:rPr>
              <w:t> </w:t>
            </w:r>
          </w:p>
          <w:p w:rsidR="00BE1EFE" w:rsidRPr="007160F6" w:rsidRDefault="00BE1EFE" w:rsidP="0095087B">
            <w:pPr>
              <w:spacing w:before="120" w:after="120"/>
              <w:ind w:left="240" w:right="240"/>
              <w:jc w:val="center"/>
              <w:rPr>
                <w:rFonts w:ascii="Times New Roman" w:hAnsi="Times New Roman"/>
                <w:color w:val="000000"/>
                <w:sz w:val="24"/>
              </w:rPr>
            </w:pPr>
            <w:r>
              <w:rPr>
                <w:rFonts w:cs="Arial"/>
                <w:b/>
                <w:bCs/>
                <w:color w:val="000000"/>
                <w:szCs w:val="16"/>
              </w:rPr>
              <w:t xml:space="preserve">gültig vom 1. </w:t>
            </w:r>
            <w:r w:rsidRPr="00FB2198">
              <w:rPr>
                <w:rFonts w:cs="Arial"/>
                <w:b/>
                <w:bCs/>
                <w:color w:val="000000"/>
                <w:szCs w:val="16"/>
              </w:rPr>
              <w:t>März 2018 bis 31. März 2019</w:t>
            </w:r>
          </w:p>
          <w:p w:rsidR="00BE1EFE" w:rsidRPr="007160F6" w:rsidRDefault="00BE1EFE" w:rsidP="0095087B">
            <w:pPr>
              <w:spacing w:before="120" w:after="120"/>
              <w:ind w:left="240" w:right="240"/>
              <w:jc w:val="center"/>
              <w:rPr>
                <w:rFonts w:ascii="Times New Roman" w:hAnsi="Times New Roman"/>
                <w:color w:val="000000"/>
                <w:sz w:val="24"/>
              </w:rPr>
            </w:pPr>
            <w:r w:rsidRPr="007160F6">
              <w:rPr>
                <w:rFonts w:cs="Arial"/>
                <w:color w:val="000000"/>
                <w:szCs w:val="16"/>
              </w:rPr>
              <w:t>(monatlich in Euro)</w:t>
            </w:r>
            <w:r w:rsidRPr="007160F6">
              <w:rPr>
                <w:rFonts w:ascii="Times New Roman" w:hAnsi="Times New Roman"/>
                <w:color w:val="000000"/>
                <w:sz w:val="24"/>
              </w:rPr>
              <w:t> </w:t>
            </w:r>
          </w:p>
        </w:tc>
      </w:tr>
      <w:tr w:rsidR="00BE1EFE" w:rsidRPr="007160F6" w:rsidTr="00FB2198">
        <w:trPr>
          <w:trHeight w:val="295"/>
          <w:jc w:val="center"/>
        </w:trPr>
        <w:tc>
          <w:tcPr>
            <w:tcW w:w="7143" w:type="dxa"/>
            <w:gridSpan w:val="7"/>
            <w:tcBorders>
              <w:top w:val="nil"/>
              <w:left w:val="nil"/>
              <w:bottom w:val="single" w:sz="8" w:space="0" w:color="auto"/>
              <w:right w:val="nil"/>
            </w:tcBorders>
            <w:noWrap/>
            <w:tcMar>
              <w:top w:w="0" w:type="dxa"/>
              <w:left w:w="70" w:type="dxa"/>
              <w:bottom w:w="0" w:type="dxa"/>
              <w:right w:w="70" w:type="dxa"/>
            </w:tcMar>
            <w:vAlign w:val="center"/>
            <w:hideMark/>
          </w:tcPr>
          <w:p w:rsidR="00BE1EFE" w:rsidRPr="007160F6" w:rsidRDefault="00BE1EFE" w:rsidP="0095087B">
            <w:pPr>
              <w:spacing w:before="120" w:after="120"/>
              <w:ind w:left="240" w:right="240"/>
              <w:rPr>
                <w:rFonts w:ascii="Times New Roman" w:hAnsi="Times New Roman"/>
                <w:color w:val="000000"/>
                <w:sz w:val="24"/>
              </w:rPr>
            </w:pPr>
            <w:r w:rsidRPr="007160F6">
              <w:rPr>
                <w:rFonts w:ascii="Verdana" w:hAnsi="Verdana"/>
                <w:color w:val="000000"/>
                <w:sz w:val="17"/>
                <w:szCs w:val="17"/>
              </w:rPr>
              <w:t> </w:t>
            </w:r>
            <w:r w:rsidRPr="007160F6">
              <w:rPr>
                <w:rFonts w:ascii="Times New Roman" w:hAnsi="Times New Roman"/>
                <w:color w:val="000000"/>
                <w:sz w:val="24"/>
              </w:rPr>
              <w:t> </w:t>
            </w:r>
          </w:p>
        </w:tc>
      </w:tr>
      <w:tr w:rsidR="00BE1EFE" w:rsidRPr="007160F6" w:rsidTr="00FB2198">
        <w:trPr>
          <w:trHeight w:val="525"/>
          <w:jc w:val="center"/>
        </w:trPr>
        <w:tc>
          <w:tcPr>
            <w:tcW w:w="1701" w:type="dxa"/>
            <w:tcBorders>
              <w:top w:val="nil"/>
              <w:left w:val="single" w:sz="8" w:space="0" w:color="auto"/>
              <w:bottom w:val="nil"/>
              <w:right w:val="single" w:sz="8" w:space="0" w:color="auto"/>
            </w:tcBorders>
            <w:vAlign w:val="center"/>
            <w:hideMark/>
          </w:tcPr>
          <w:p w:rsidR="00BE1EFE" w:rsidRPr="007160F6" w:rsidRDefault="00BE1EFE" w:rsidP="0095087B">
            <w:pPr>
              <w:spacing w:before="100" w:beforeAutospacing="1"/>
              <w:ind w:left="240" w:right="240"/>
              <w:jc w:val="center"/>
              <w:rPr>
                <w:rFonts w:ascii="Times New Roman" w:hAnsi="Times New Roman"/>
                <w:color w:val="000000"/>
                <w:sz w:val="24"/>
              </w:rPr>
            </w:pPr>
            <w:r w:rsidRPr="007160F6">
              <w:rPr>
                <w:rFonts w:cs="Arial"/>
                <w:b/>
                <w:bCs/>
                <w:color w:val="000000"/>
                <w:szCs w:val="16"/>
              </w:rPr>
              <w:t>Entgeltgruppe</w:t>
            </w:r>
            <w:r w:rsidRPr="007160F6">
              <w:rPr>
                <w:rFonts w:ascii="Times New Roman" w:hAnsi="Times New Roman"/>
                <w:color w:val="000000"/>
                <w:sz w:val="24"/>
              </w:rPr>
              <w:t> </w:t>
            </w:r>
          </w:p>
        </w:tc>
        <w:tc>
          <w:tcPr>
            <w:tcW w:w="1814" w:type="dxa"/>
            <w:gridSpan w:val="2"/>
            <w:tcBorders>
              <w:top w:val="nil"/>
              <w:left w:val="nil"/>
              <w:bottom w:val="nil"/>
              <w:right w:val="single" w:sz="8" w:space="0" w:color="auto"/>
            </w:tcBorders>
            <w:noWrap/>
            <w:vAlign w:val="center"/>
            <w:hideMark/>
          </w:tcPr>
          <w:p w:rsidR="00BE1EFE" w:rsidRPr="007160F6" w:rsidRDefault="00BE1EFE" w:rsidP="0095087B">
            <w:pPr>
              <w:ind w:left="238" w:right="238"/>
              <w:jc w:val="center"/>
              <w:rPr>
                <w:rFonts w:ascii="Times New Roman" w:hAnsi="Times New Roman"/>
                <w:color w:val="000000"/>
                <w:sz w:val="24"/>
              </w:rPr>
            </w:pPr>
            <w:r w:rsidRPr="007160F6">
              <w:rPr>
                <w:rFonts w:cs="Arial"/>
                <w:b/>
                <w:bCs/>
                <w:color w:val="000000"/>
                <w:szCs w:val="16"/>
              </w:rPr>
              <w:t>Grundentgelt</w:t>
            </w:r>
            <w:r w:rsidRPr="007160F6">
              <w:rPr>
                <w:rFonts w:ascii="Times New Roman" w:hAnsi="Times New Roman"/>
                <w:color w:val="000000"/>
                <w:sz w:val="24"/>
              </w:rPr>
              <w:t> </w:t>
            </w:r>
          </w:p>
        </w:tc>
        <w:tc>
          <w:tcPr>
            <w:tcW w:w="3628" w:type="dxa"/>
            <w:gridSpan w:val="4"/>
            <w:tcBorders>
              <w:top w:val="nil"/>
              <w:left w:val="nil"/>
              <w:bottom w:val="nil"/>
              <w:right w:val="single" w:sz="8" w:space="0" w:color="auto"/>
            </w:tcBorders>
            <w:noWrap/>
            <w:vAlign w:val="center"/>
            <w:hideMark/>
          </w:tcPr>
          <w:p w:rsidR="00BE1EFE" w:rsidRPr="007160F6" w:rsidRDefault="00BE1EFE" w:rsidP="0095087B">
            <w:pPr>
              <w:spacing w:before="100" w:beforeAutospacing="1"/>
              <w:ind w:left="240" w:right="240"/>
              <w:jc w:val="center"/>
              <w:rPr>
                <w:rFonts w:ascii="Times New Roman" w:hAnsi="Times New Roman"/>
                <w:color w:val="000000"/>
                <w:sz w:val="24"/>
              </w:rPr>
            </w:pPr>
            <w:r w:rsidRPr="007160F6">
              <w:rPr>
                <w:rFonts w:cs="Arial"/>
                <w:b/>
                <w:bCs/>
                <w:color w:val="000000"/>
                <w:szCs w:val="16"/>
              </w:rPr>
              <w:t>Entwicklungsstufen</w:t>
            </w:r>
          </w:p>
        </w:tc>
      </w:tr>
      <w:tr w:rsidR="00BE1EFE" w:rsidRPr="007160F6" w:rsidTr="00FB2198">
        <w:trPr>
          <w:trHeight w:val="300"/>
          <w:jc w:val="center"/>
        </w:trPr>
        <w:tc>
          <w:tcPr>
            <w:tcW w:w="170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7160F6" w:rsidRDefault="00BE1EFE" w:rsidP="0095087B">
            <w:pPr>
              <w:spacing w:before="100" w:beforeAutospacing="1"/>
              <w:ind w:left="240" w:right="240"/>
              <w:jc w:val="center"/>
              <w:rPr>
                <w:rFonts w:ascii="Times New Roman" w:hAnsi="Times New Roman"/>
                <w:color w:val="000000"/>
                <w:sz w:val="24"/>
              </w:rPr>
            </w:pPr>
            <w:r w:rsidRPr="007160F6">
              <w:rPr>
                <w:rFonts w:cs="Arial"/>
                <w:b/>
                <w:bCs/>
                <w:color w:val="000000"/>
                <w:szCs w:val="16"/>
              </w:rPr>
              <w:t> </w:t>
            </w:r>
          </w:p>
        </w:tc>
        <w:tc>
          <w:tcPr>
            <w:tcW w:w="907" w:type="dxa"/>
            <w:tcBorders>
              <w:top w:val="single" w:sz="8" w:space="0" w:color="auto"/>
              <w:left w:val="nil"/>
              <w:bottom w:val="single" w:sz="8" w:space="0" w:color="auto"/>
              <w:right w:val="single" w:sz="8" w:space="0" w:color="auto"/>
            </w:tcBorders>
            <w:noWrap/>
            <w:vAlign w:val="center"/>
            <w:hideMark/>
          </w:tcPr>
          <w:p w:rsidR="00BE1EFE" w:rsidRPr="007160F6" w:rsidRDefault="00BE1EFE" w:rsidP="0095087B">
            <w:pPr>
              <w:spacing w:before="100" w:beforeAutospacing="1" w:after="100" w:afterAutospacing="1"/>
              <w:ind w:left="120" w:right="120"/>
              <w:jc w:val="center"/>
              <w:rPr>
                <w:rFonts w:ascii="Times New Roman" w:hAnsi="Times New Roman"/>
                <w:color w:val="000000"/>
                <w:sz w:val="24"/>
              </w:rPr>
            </w:pPr>
            <w:r w:rsidRPr="007160F6">
              <w:rPr>
                <w:rFonts w:cs="Arial"/>
                <w:b/>
                <w:bCs/>
                <w:color w:val="000000"/>
                <w:szCs w:val="16"/>
              </w:rPr>
              <w:t>Stufe 1</w:t>
            </w:r>
          </w:p>
        </w:tc>
        <w:tc>
          <w:tcPr>
            <w:tcW w:w="907" w:type="dxa"/>
            <w:tcBorders>
              <w:top w:val="single" w:sz="8" w:space="0" w:color="auto"/>
              <w:left w:val="nil"/>
              <w:bottom w:val="single" w:sz="8" w:space="0" w:color="auto"/>
              <w:right w:val="single" w:sz="8" w:space="0" w:color="auto"/>
            </w:tcBorders>
            <w:noWrap/>
            <w:vAlign w:val="center"/>
            <w:hideMark/>
          </w:tcPr>
          <w:p w:rsidR="00BE1EFE" w:rsidRPr="007160F6" w:rsidRDefault="00BE1EFE" w:rsidP="0095087B">
            <w:pPr>
              <w:spacing w:before="100" w:beforeAutospacing="1" w:after="100" w:afterAutospacing="1"/>
              <w:ind w:left="120" w:right="120"/>
              <w:jc w:val="center"/>
              <w:rPr>
                <w:rFonts w:ascii="Times New Roman" w:hAnsi="Times New Roman"/>
                <w:color w:val="000000"/>
                <w:sz w:val="24"/>
              </w:rPr>
            </w:pPr>
            <w:r w:rsidRPr="007160F6">
              <w:rPr>
                <w:rFonts w:cs="Arial"/>
                <w:b/>
                <w:bCs/>
                <w:color w:val="000000"/>
                <w:szCs w:val="16"/>
              </w:rPr>
              <w:t>Stufe 2</w:t>
            </w:r>
            <w:r w:rsidRPr="007160F6">
              <w:rPr>
                <w:rFonts w:cs="Arial"/>
                <w:color w:val="000000"/>
                <w:szCs w:val="16"/>
              </w:rPr>
              <w:t> </w:t>
            </w:r>
          </w:p>
        </w:tc>
        <w:tc>
          <w:tcPr>
            <w:tcW w:w="907" w:type="dxa"/>
            <w:tcBorders>
              <w:top w:val="single" w:sz="8" w:space="0" w:color="auto"/>
              <w:left w:val="nil"/>
              <w:bottom w:val="single" w:sz="8" w:space="0" w:color="auto"/>
              <w:right w:val="single" w:sz="8" w:space="0" w:color="auto"/>
            </w:tcBorders>
            <w:noWrap/>
            <w:vAlign w:val="center"/>
            <w:hideMark/>
          </w:tcPr>
          <w:p w:rsidR="00BE1EFE" w:rsidRPr="007160F6" w:rsidRDefault="00BE1EFE" w:rsidP="0095087B">
            <w:pPr>
              <w:spacing w:before="100" w:beforeAutospacing="1" w:after="100" w:afterAutospacing="1"/>
              <w:ind w:left="120" w:right="120"/>
              <w:jc w:val="center"/>
              <w:rPr>
                <w:rFonts w:ascii="Times New Roman" w:hAnsi="Times New Roman"/>
                <w:color w:val="000000"/>
                <w:sz w:val="24"/>
              </w:rPr>
            </w:pPr>
            <w:r w:rsidRPr="007160F6">
              <w:rPr>
                <w:rFonts w:cs="Arial"/>
                <w:b/>
                <w:bCs/>
                <w:color w:val="000000"/>
                <w:szCs w:val="16"/>
              </w:rPr>
              <w:t>Stufe 3</w:t>
            </w:r>
            <w:r w:rsidRPr="007160F6">
              <w:rPr>
                <w:rFonts w:cs="Arial"/>
                <w:color w:val="000000"/>
                <w:szCs w:val="16"/>
              </w:rPr>
              <w:t> </w:t>
            </w:r>
          </w:p>
        </w:tc>
        <w:tc>
          <w:tcPr>
            <w:tcW w:w="907" w:type="dxa"/>
            <w:tcBorders>
              <w:top w:val="single" w:sz="8" w:space="0" w:color="auto"/>
              <w:left w:val="nil"/>
              <w:bottom w:val="single" w:sz="8" w:space="0" w:color="auto"/>
              <w:right w:val="single" w:sz="8" w:space="0" w:color="auto"/>
            </w:tcBorders>
            <w:noWrap/>
            <w:vAlign w:val="center"/>
            <w:hideMark/>
          </w:tcPr>
          <w:p w:rsidR="00BE1EFE" w:rsidRPr="007160F6" w:rsidRDefault="00BE1EFE" w:rsidP="0095087B">
            <w:pPr>
              <w:spacing w:before="100" w:beforeAutospacing="1" w:after="100" w:afterAutospacing="1"/>
              <w:ind w:left="120" w:right="120"/>
              <w:jc w:val="center"/>
              <w:rPr>
                <w:rFonts w:ascii="Times New Roman" w:hAnsi="Times New Roman"/>
                <w:color w:val="000000"/>
                <w:sz w:val="24"/>
              </w:rPr>
            </w:pPr>
            <w:r w:rsidRPr="007160F6">
              <w:rPr>
                <w:rFonts w:cs="Arial"/>
                <w:b/>
                <w:bCs/>
                <w:color w:val="000000"/>
                <w:szCs w:val="16"/>
              </w:rPr>
              <w:t>Stufe 4</w:t>
            </w:r>
            <w:r w:rsidRPr="007160F6">
              <w:rPr>
                <w:rFonts w:cs="Arial"/>
                <w:color w:val="000000"/>
                <w:szCs w:val="16"/>
              </w:rPr>
              <w:t> </w:t>
            </w:r>
          </w:p>
        </w:tc>
        <w:tc>
          <w:tcPr>
            <w:tcW w:w="907" w:type="dxa"/>
            <w:tcBorders>
              <w:top w:val="single" w:sz="8" w:space="0" w:color="auto"/>
              <w:left w:val="nil"/>
              <w:bottom w:val="single" w:sz="8" w:space="0" w:color="auto"/>
              <w:right w:val="single" w:sz="8" w:space="0" w:color="auto"/>
            </w:tcBorders>
            <w:noWrap/>
            <w:vAlign w:val="center"/>
            <w:hideMark/>
          </w:tcPr>
          <w:p w:rsidR="00BE1EFE" w:rsidRPr="007160F6" w:rsidRDefault="00BE1EFE" w:rsidP="0095087B">
            <w:pPr>
              <w:spacing w:before="100" w:beforeAutospacing="1" w:after="100" w:afterAutospacing="1"/>
              <w:ind w:left="120" w:right="120"/>
              <w:jc w:val="center"/>
              <w:rPr>
                <w:rFonts w:ascii="Times New Roman" w:hAnsi="Times New Roman"/>
                <w:color w:val="000000"/>
                <w:sz w:val="24"/>
              </w:rPr>
            </w:pPr>
            <w:r w:rsidRPr="007160F6">
              <w:rPr>
                <w:rFonts w:cs="Arial"/>
                <w:b/>
                <w:bCs/>
                <w:color w:val="000000"/>
                <w:szCs w:val="16"/>
              </w:rPr>
              <w:t>Stufe 5</w:t>
            </w:r>
            <w:r w:rsidRPr="007160F6">
              <w:rPr>
                <w:rFonts w:cs="Arial"/>
                <w:color w:val="000000"/>
                <w:szCs w:val="16"/>
              </w:rPr>
              <w:t> </w:t>
            </w:r>
          </w:p>
        </w:tc>
        <w:tc>
          <w:tcPr>
            <w:tcW w:w="907" w:type="dxa"/>
            <w:tcBorders>
              <w:top w:val="single" w:sz="8" w:space="0" w:color="auto"/>
              <w:left w:val="nil"/>
              <w:bottom w:val="single" w:sz="8" w:space="0" w:color="auto"/>
              <w:right w:val="single" w:sz="8" w:space="0" w:color="auto"/>
            </w:tcBorders>
            <w:noWrap/>
            <w:vAlign w:val="center"/>
            <w:hideMark/>
          </w:tcPr>
          <w:p w:rsidR="00BE1EFE" w:rsidRPr="007160F6" w:rsidRDefault="00BE1EFE" w:rsidP="0095087B">
            <w:pPr>
              <w:spacing w:before="100" w:beforeAutospacing="1" w:after="100" w:afterAutospacing="1"/>
              <w:ind w:left="120" w:right="120"/>
              <w:jc w:val="center"/>
              <w:rPr>
                <w:rFonts w:ascii="Times New Roman" w:hAnsi="Times New Roman"/>
                <w:color w:val="000000"/>
                <w:sz w:val="24"/>
              </w:rPr>
            </w:pPr>
            <w:r w:rsidRPr="007160F6">
              <w:rPr>
                <w:rFonts w:cs="Arial"/>
                <w:b/>
                <w:bCs/>
                <w:color w:val="000000"/>
                <w:szCs w:val="16"/>
              </w:rPr>
              <w:t>Stufe 6</w:t>
            </w:r>
            <w:r w:rsidRPr="007160F6">
              <w:rPr>
                <w:rFonts w:cs="Arial"/>
                <w:color w:val="000000"/>
                <w:szCs w:val="16"/>
              </w:rPr>
              <w:t> </w:t>
            </w:r>
          </w:p>
        </w:tc>
      </w:tr>
      <w:tr w:rsidR="00BE1EFE" w:rsidRPr="007160F6" w:rsidTr="00FB2198">
        <w:trPr>
          <w:trHeight w:val="300"/>
          <w:jc w:val="center"/>
        </w:trPr>
        <w:tc>
          <w:tcPr>
            <w:tcW w:w="170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tcPr>
          <w:p w:rsidR="00BE1EFE" w:rsidRPr="00331D93" w:rsidRDefault="00BE1EFE" w:rsidP="0095087B">
            <w:pPr>
              <w:ind w:left="240" w:right="240"/>
              <w:jc w:val="center"/>
              <w:rPr>
                <w:rFonts w:cs="Arial"/>
                <w:b/>
                <w:bCs/>
                <w:color w:val="000000"/>
                <w:szCs w:val="16"/>
              </w:rPr>
            </w:pPr>
            <w:r w:rsidRPr="00331D93">
              <w:rPr>
                <w:rFonts w:cs="Arial"/>
                <w:b/>
                <w:bCs/>
                <w:color w:val="000000"/>
                <w:szCs w:val="16"/>
              </w:rPr>
              <w:t>15Ü</w:t>
            </w:r>
          </w:p>
        </w:tc>
        <w:tc>
          <w:tcPr>
            <w:tcW w:w="907" w:type="dxa"/>
            <w:tcBorders>
              <w:top w:val="single" w:sz="8" w:space="0" w:color="auto"/>
              <w:left w:val="nil"/>
              <w:bottom w:val="single" w:sz="8" w:space="0" w:color="auto"/>
              <w:right w:val="single" w:sz="8" w:space="0" w:color="auto"/>
            </w:tcBorders>
            <w:noWrap/>
            <w:vAlign w:val="center"/>
          </w:tcPr>
          <w:p w:rsidR="00BE1EFE" w:rsidRPr="00331D93" w:rsidRDefault="00BE1EFE" w:rsidP="00244E1E">
            <w:pPr>
              <w:jc w:val="center"/>
              <w:rPr>
                <w:rFonts w:cs="Arial"/>
                <w:b/>
                <w:szCs w:val="16"/>
              </w:rPr>
            </w:pPr>
            <w:r>
              <w:rPr>
                <w:rFonts w:cs="Arial"/>
                <w:b/>
                <w:szCs w:val="16"/>
              </w:rPr>
              <w:t>-</w:t>
            </w:r>
          </w:p>
        </w:tc>
        <w:tc>
          <w:tcPr>
            <w:tcW w:w="907" w:type="dxa"/>
            <w:tcBorders>
              <w:top w:val="single" w:sz="8" w:space="0" w:color="auto"/>
              <w:left w:val="nil"/>
              <w:bottom w:val="single" w:sz="8" w:space="0" w:color="auto"/>
              <w:right w:val="single" w:sz="8" w:space="0" w:color="auto"/>
            </w:tcBorders>
            <w:noWrap/>
            <w:vAlign w:val="center"/>
          </w:tcPr>
          <w:p w:rsidR="00BE1EFE" w:rsidRPr="00331D93" w:rsidRDefault="00BE1EFE" w:rsidP="0095087B">
            <w:pPr>
              <w:jc w:val="center"/>
              <w:rPr>
                <w:rFonts w:cs="Arial"/>
                <w:b/>
                <w:szCs w:val="16"/>
              </w:rPr>
            </w:pPr>
            <w:r>
              <w:rPr>
                <w:rFonts w:cs="Arial"/>
                <w:b/>
                <w:szCs w:val="16"/>
              </w:rPr>
              <w:t>5.765,67</w:t>
            </w:r>
          </w:p>
        </w:tc>
        <w:tc>
          <w:tcPr>
            <w:tcW w:w="907" w:type="dxa"/>
            <w:tcBorders>
              <w:top w:val="single" w:sz="8" w:space="0" w:color="auto"/>
              <w:left w:val="nil"/>
              <w:bottom w:val="single" w:sz="8" w:space="0" w:color="auto"/>
              <w:right w:val="single" w:sz="8" w:space="0" w:color="auto"/>
            </w:tcBorders>
            <w:noWrap/>
            <w:vAlign w:val="center"/>
          </w:tcPr>
          <w:p w:rsidR="00BE1EFE" w:rsidRPr="00331D93" w:rsidRDefault="00BE1EFE" w:rsidP="0095087B">
            <w:pPr>
              <w:jc w:val="center"/>
              <w:rPr>
                <w:rFonts w:cs="Arial"/>
                <w:b/>
                <w:szCs w:val="16"/>
              </w:rPr>
            </w:pPr>
            <w:r>
              <w:rPr>
                <w:rFonts w:cs="Arial"/>
                <w:b/>
                <w:szCs w:val="16"/>
              </w:rPr>
              <w:t>6.390,93</w:t>
            </w:r>
          </w:p>
        </w:tc>
        <w:tc>
          <w:tcPr>
            <w:tcW w:w="907" w:type="dxa"/>
            <w:tcBorders>
              <w:top w:val="single" w:sz="8" w:space="0" w:color="auto"/>
              <w:left w:val="nil"/>
              <w:bottom w:val="single" w:sz="8" w:space="0" w:color="auto"/>
              <w:right w:val="single" w:sz="8" w:space="0" w:color="auto"/>
            </w:tcBorders>
            <w:noWrap/>
            <w:vAlign w:val="center"/>
          </w:tcPr>
          <w:p w:rsidR="00BE1EFE" w:rsidRPr="00331D93" w:rsidRDefault="00BE1EFE" w:rsidP="0095087B">
            <w:pPr>
              <w:jc w:val="center"/>
              <w:rPr>
                <w:rFonts w:cs="Arial"/>
                <w:b/>
                <w:szCs w:val="16"/>
              </w:rPr>
            </w:pPr>
            <w:r>
              <w:rPr>
                <w:rFonts w:cs="Arial"/>
                <w:b/>
                <w:szCs w:val="16"/>
              </w:rPr>
              <w:t>6.983,30</w:t>
            </w:r>
          </w:p>
        </w:tc>
        <w:tc>
          <w:tcPr>
            <w:tcW w:w="907" w:type="dxa"/>
            <w:tcBorders>
              <w:top w:val="single" w:sz="8" w:space="0" w:color="auto"/>
              <w:left w:val="nil"/>
              <w:bottom w:val="single" w:sz="8" w:space="0" w:color="auto"/>
              <w:right w:val="single" w:sz="8" w:space="0" w:color="auto"/>
            </w:tcBorders>
            <w:noWrap/>
            <w:vAlign w:val="center"/>
          </w:tcPr>
          <w:p w:rsidR="00BE1EFE" w:rsidRPr="00331D93" w:rsidRDefault="00BE1EFE" w:rsidP="00244E1E">
            <w:pPr>
              <w:jc w:val="center"/>
              <w:rPr>
                <w:rFonts w:cs="Arial"/>
                <w:b/>
                <w:szCs w:val="16"/>
              </w:rPr>
            </w:pPr>
            <w:r>
              <w:rPr>
                <w:rFonts w:cs="Arial"/>
                <w:b/>
                <w:szCs w:val="16"/>
              </w:rPr>
              <w:t>7,378,23</w:t>
            </w:r>
          </w:p>
        </w:tc>
        <w:tc>
          <w:tcPr>
            <w:tcW w:w="907" w:type="dxa"/>
            <w:tcBorders>
              <w:top w:val="single" w:sz="8" w:space="0" w:color="auto"/>
              <w:left w:val="nil"/>
              <w:bottom w:val="single" w:sz="8" w:space="0" w:color="auto"/>
              <w:right w:val="single" w:sz="8" w:space="0" w:color="auto"/>
            </w:tcBorders>
            <w:noWrap/>
            <w:vAlign w:val="center"/>
          </w:tcPr>
          <w:p w:rsidR="00BE1EFE" w:rsidRPr="00331D93" w:rsidRDefault="00BE1EFE" w:rsidP="0095087B">
            <w:pPr>
              <w:jc w:val="center"/>
              <w:rPr>
                <w:rFonts w:cs="Arial"/>
                <w:b/>
                <w:szCs w:val="16"/>
              </w:rPr>
            </w:pPr>
            <w:r>
              <w:rPr>
                <w:rFonts w:cs="Arial"/>
                <w:b/>
                <w:szCs w:val="16"/>
              </w:rPr>
              <w:t>7.470,36</w:t>
            </w:r>
          </w:p>
        </w:tc>
      </w:tr>
      <w:tr w:rsidR="00BE1EFE" w:rsidRPr="007160F6" w:rsidTr="00244E1E">
        <w:trPr>
          <w:trHeight w:val="300"/>
          <w:jc w:val="center"/>
        </w:trPr>
        <w:tc>
          <w:tcPr>
            <w:tcW w:w="1701"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15</w:t>
            </w:r>
            <w:r w:rsidRPr="00331D93">
              <w:rPr>
                <w:rFonts w:cs="Arial"/>
                <w:b/>
                <w:color w:val="000000"/>
                <w:szCs w:val="16"/>
              </w:rPr>
              <w:t> </w:t>
            </w:r>
            <w:r w:rsidRPr="00331D93">
              <w:rPr>
                <w:rFonts w:ascii="Times New Roman" w:hAnsi="Times New Roman"/>
                <w:b/>
                <w:color w:val="000000"/>
                <w:sz w:val="24"/>
              </w:rPr>
              <w:t> </w:t>
            </w:r>
          </w:p>
        </w:tc>
        <w:tc>
          <w:tcPr>
            <w:tcW w:w="907" w:type="dxa"/>
            <w:tcBorders>
              <w:top w:val="single" w:sz="8" w:space="0" w:color="auto"/>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4.584,49</w:t>
            </w:r>
          </w:p>
        </w:tc>
        <w:tc>
          <w:tcPr>
            <w:tcW w:w="907" w:type="dxa"/>
            <w:tcBorders>
              <w:top w:val="single" w:sz="8" w:space="0" w:color="auto"/>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5.000,77</w:t>
            </w:r>
          </w:p>
        </w:tc>
        <w:tc>
          <w:tcPr>
            <w:tcW w:w="907" w:type="dxa"/>
            <w:tcBorders>
              <w:top w:val="single" w:sz="8" w:space="0" w:color="auto"/>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5.260,14</w:t>
            </w:r>
          </w:p>
        </w:tc>
        <w:tc>
          <w:tcPr>
            <w:tcW w:w="907" w:type="dxa"/>
            <w:tcBorders>
              <w:top w:val="single" w:sz="8" w:space="0" w:color="auto"/>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5.840,78</w:t>
            </w:r>
          </w:p>
        </w:tc>
        <w:tc>
          <w:tcPr>
            <w:tcW w:w="907" w:type="dxa"/>
            <w:tcBorders>
              <w:top w:val="single" w:sz="8" w:space="0" w:color="auto"/>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6.339,54</w:t>
            </w:r>
          </w:p>
        </w:tc>
        <w:tc>
          <w:tcPr>
            <w:tcW w:w="907" w:type="dxa"/>
            <w:tcBorders>
              <w:top w:val="single" w:sz="8" w:space="0" w:color="auto"/>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6.667,67</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14</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4.151,65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4.528,23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4.841,03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5.245,42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5.788,30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6.119,17</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13</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3.827,03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4.196,02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4.479,41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4.893,73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5.433,88</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5.683,28</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12</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3.430,90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3.796,05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4.276,90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4.741,63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5.315,77</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5.578,27</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11</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3.312,60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3.656,01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3.941,33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4.311,77</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4.836,69</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5.099,20</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10</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3.194,27</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3.497,22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3.775,33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4.064,56</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4.501,99</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4.620,12</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E1EFE" w:rsidRPr="00331D93" w:rsidRDefault="00BE1EFE" w:rsidP="0095087B">
            <w:pPr>
              <w:jc w:val="center"/>
              <w:rPr>
                <w:rFonts w:cs="Arial"/>
                <w:b/>
                <w:szCs w:val="16"/>
              </w:rPr>
            </w:pPr>
            <w:r w:rsidRPr="00331D93">
              <w:rPr>
                <w:rFonts w:cs="Arial"/>
                <w:b/>
                <w:szCs w:val="16"/>
              </w:rPr>
              <w:t>9c</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3.099,42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3.349,91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3.637,10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3.888,65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4.214,62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4.392,69</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E1EFE" w:rsidRPr="00331D93" w:rsidRDefault="00BE1EFE" w:rsidP="0095087B">
            <w:pPr>
              <w:jc w:val="center"/>
              <w:rPr>
                <w:rFonts w:cs="Arial"/>
                <w:b/>
                <w:szCs w:val="16"/>
              </w:rPr>
            </w:pPr>
            <w:r w:rsidRPr="00331D93">
              <w:rPr>
                <w:rFonts w:cs="Arial"/>
                <w:b/>
                <w:szCs w:val="16"/>
              </w:rPr>
              <w:t>9b</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2.865,63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3.126,71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3.273,66</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3.685,60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3.975,34</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4.245,23</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E1EFE" w:rsidRPr="00331D93" w:rsidRDefault="00BE1EFE" w:rsidP="0095087B">
            <w:pPr>
              <w:jc w:val="center"/>
              <w:rPr>
                <w:rFonts w:cs="Arial"/>
                <w:b/>
                <w:szCs w:val="16"/>
              </w:rPr>
            </w:pPr>
            <w:r w:rsidRPr="00331D93">
              <w:rPr>
                <w:rFonts w:cs="Arial"/>
                <w:b/>
                <w:szCs w:val="16"/>
              </w:rPr>
              <w:t>9a</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2.818,96</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3.049,32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3.234,09</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3.647,35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3.739,87</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3.975,66</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8</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2.656,52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2.890,09</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3.017,56</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3.137,78</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3.269,20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3.343,02</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7</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2.493,12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2.729,06</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2.877,36</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3.004,81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3.111,25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3.189,58</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color w:val="000000"/>
                <w:szCs w:val="16"/>
              </w:rPr>
              <w:t>6</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2.446,41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2.662,97</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2.788,15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2.909,22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3.007,98</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3.081,00</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5</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2.347,55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2.555,40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2.673,48</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2.794,54</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2.894,01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2.955,27</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color w:val="000000"/>
                <w:szCs w:val="16"/>
              </w:rPr>
              <w:t>4</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2.236,29</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2.438,63</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2.587,48</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2.676,80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2.766,11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2.818,41</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3</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2.201,29</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2.407,15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2.462,55</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2.564,71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2.641,37</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2.711,60</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rsidR="00BE1EFE" w:rsidRPr="00331D93" w:rsidRDefault="00BE1EFE" w:rsidP="0095087B">
            <w:pPr>
              <w:ind w:left="240" w:right="240"/>
              <w:jc w:val="center"/>
              <w:rPr>
                <w:rFonts w:cs="Arial"/>
                <w:b/>
                <w:bCs/>
                <w:color w:val="000000"/>
                <w:szCs w:val="16"/>
              </w:rPr>
            </w:pPr>
            <w:r w:rsidRPr="00331D93">
              <w:rPr>
                <w:rFonts w:cs="Arial"/>
                <w:b/>
                <w:bCs/>
                <w:color w:val="000000"/>
                <w:szCs w:val="16"/>
              </w:rPr>
              <w:t>2Ü</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2.084,42</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2.297,88</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2.374,56</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2.476,80</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2.547,07</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2.599,50</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2</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hideMark/>
          </w:tcPr>
          <w:p w:rsidR="00BE1EFE" w:rsidRPr="00244E1E" w:rsidRDefault="00BE1EFE" w:rsidP="00244E1E">
            <w:pPr>
              <w:jc w:val="center"/>
              <w:rPr>
                <w:b/>
              </w:rPr>
            </w:pPr>
            <w:r w:rsidRPr="00244E1E">
              <w:rPr>
                <w:b/>
              </w:rPr>
              <w:t>2.037,85</w:t>
            </w:r>
          </w:p>
        </w:tc>
        <w:tc>
          <w:tcPr>
            <w:tcW w:w="907" w:type="dxa"/>
            <w:tcBorders>
              <w:top w:val="nil"/>
              <w:left w:val="nil"/>
              <w:bottom w:val="single" w:sz="8" w:space="0" w:color="auto"/>
              <w:right w:val="single" w:sz="8" w:space="0" w:color="auto"/>
            </w:tcBorders>
            <w:noWrap/>
            <w:vAlign w:val="center"/>
            <w:hideMark/>
          </w:tcPr>
          <w:p w:rsidR="00BE1EFE" w:rsidRPr="00244E1E" w:rsidRDefault="00BE1EFE" w:rsidP="00244E1E">
            <w:pPr>
              <w:jc w:val="center"/>
              <w:rPr>
                <w:b/>
              </w:rPr>
            </w:pPr>
            <w:r w:rsidRPr="00244E1E">
              <w:rPr>
                <w:b/>
              </w:rPr>
              <w:t>2.234,74</w:t>
            </w:r>
          </w:p>
        </w:tc>
        <w:tc>
          <w:tcPr>
            <w:tcW w:w="907" w:type="dxa"/>
            <w:tcBorders>
              <w:top w:val="nil"/>
              <w:left w:val="nil"/>
              <w:bottom w:val="single" w:sz="8" w:space="0" w:color="auto"/>
              <w:right w:val="single" w:sz="8" w:space="0" w:color="auto"/>
            </w:tcBorders>
            <w:noWrap/>
            <w:vAlign w:val="center"/>
            <w:hideMark/>
          </w:tcPr>
          <w:p w:rsidR="00BE1EFE" w:rsidRPr="00244E1E" w:rsidRDefault="00BE1EFE" w:rsidP="00244E1E">
            <w:pPr>
              <w:jc w:val="center"/>
              <w:rPr>
                <w:b/>
              </w:rPr>
            </w:pPr>
            <w:r w:rsidRPr="00244E1E">
              <w:rPr>
                <w:b/>
              </w:rPr>
              <w:t>2.290,29</w:t>
            </w:r>
          </w:p>
        </w:tc>
        <w:tc>
          <w:tcPr>
            <w:tcW w:w="907" w:type="dxa"/>
            <w:tcBorders>
              <w:top w:val="nil"/>
              <w:left w:val="nil"/>
              <w:bottom w:val="single" w:sz="8" w:space="0" w:color="auto"/>
              <w:right w:val="single" w:sz="8" w:space="0" w:color="auto"/>
            </w:tcBorders>
            <w:noWrap/>
            <w:vAlign w:val="center"/>
            <w:hideMark/>
          </w:tcPr>
          <w:p w:rsidR="00BE1EFE" w:rsidRPr="00244E1E" w:rsidRDefault="00BE1EFE" w:rsidP="00244E1E">
            <w:pPr>
              <w:jc w:val="center"/>
              <w:rPr>
                <w:b/>
              </w:rPr>
            </w:pPr>
            <w:r w:rsidRPr="00244E1E">
              <w:rPr>
                <w:b/>
              </w:rPr>
              <w:t>2.354,37</w:t>
            </w:r>
          </w:p>
        </w:tc>
        <w:tc>
          <w:tcPr>
            <w:tcW w:w="907" w:type="dxa"/>
            <w:tcBorders>
              <w:top w:val="nil"/>
              <w:left w:val="nil"/>
              <w:bottom w:val="single" w:sz="8" w:space="0" w:color="auto"/>
              <w:right w:val="single" w:sz="8" w:space="0" w:color="auto"/>
            </w:tcBorders>
            <w:noWrap/>
            <w:vAlign w:val="center"/>
            <w:hideMark/>
          </w:tcPr>
          <w:p w:rsidR="00BE1EFE" w:rsidRPr="00244E1E" w:rsidRDefault="00BE1EFE" w:rsidP="00244E1E">
            <w:pPr>
              <w:jc w:val="center"/>
              <w:rPr>
                <w:b/>
              </w:rPr>
            </w:pPr>
            <w:r w:rsidRPr="00244E1E">
              <w:rPr>
                <w:b/>
              </w:rPr>
              <w:t>2.495,22</w:t>
            </w:r>
          </w:p>
        </w:tc>
        <w:tc>
          <w:tcPr>
            <w:tcW w:w="907" w:type="dxa"/>
            <w:tcBorders>
              <w:top w:val="nil"/>
              <w:left w:val="nil"/>
              <w:bottom w:val="single" w:sz="8" w:space="0" w:color="auto"/>
              <w:right w:val="single" w:sz="8" w:space="0" w:color="auto"/>
            </w:tcBorders>
            <w:noWrap/>
            <w:vAlign w:val="center"/>
            <w:hideMark/>
          </w:tcPr>
          <w:p w:rsidR="00BE1EFE" w:rsidRPr="00244E1E" w:rsidRDefault="00BE1EFE" w:rsidP="00244E1E">
            <w:pPr>
              <w:jc w:val="center"/>
              <w:rPr>
                <w:b/>
              </w:rPr>
            </w:pPr>
            <w:r w:rsidRPr="00244E1E">
              <w:rPr>
                <w:b/>
              </w:rPr>
              <w:t>2.642,56</w:t>
            </w:r>
          </w:p>
        </w:tc>
      </w:tr>
      <w:tr w:rsidR="00BE1EFE" w:rsidRPr="007160F6" w:rsidTr="00244E1E">
        <w:trPr>
          <w:trHeight w:val="300"/>
          <w:jc w:val="center"/>
        </w:trPr>
        <w:tc>
          <w:tcPr>
            <w:tcW w:w="1701"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331D93" w:rsidRDefault="00BE1EFE" w:rsidP="0095087B">
            <w:pPr>
              <w:ind w:left="240" w:right="240"/>
              <w:jc w:val="center"/>
              <w:rPr>
                <w:rFonts w:ascii="Times New Roman" w:hAnsi="Times New Roman"/>
                <w:b/>
                <w:color w:val="000000"/>
                <w:sz w:val="24"/>
              </w:rPr>
            </w:pPr>
            <w:r w:rsidRPr="00331D93">
              <w:rPr>
                <w:rFonts w:cs="Arial"/>
                <w:b/>
                <w:bCs/>
                <w:color w:val="000000"/>
                <w:szCs w:val="16"/>
              </w:rPr>
              <w:t>1</w:t>
            </w:r>
            <w:r w:rsidRPr="00331D93">
              <w:rPr>
                <w:rFonts w:cs="Arial"/>
                <w:b/>
                <w:color w:val="000000"/>
                <w:szCs w:val="16"/>
              </w:rPr>
              <w:t> </w:t>
            </w:r>
            <w:r w:rsidRPr="00331D93">
              <w:rPr>
                <w:rFonts w:ascii="Times New Roman" w:hAnsi="Times New Roman"/>
                <w:b/>
                <w:color w:val="000000"/>
                <w:sz w:val="24"/>
              </w:rPr>
              <w:t> </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1.827,17</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1.858,18</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1.896,96</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1.933,11</w:t>
            </w:r>
          </w:p>
        </w:tc>
        <w:tc>
          <w:tcPr>
            <w:tcW w:w="907" w:type="dxa"/>
            <w:tcBorders>
              <w:top w:val="nil"/>
              <w:left w:val="nil"/>
              <w:bottom w:val="single" w:sz="8" w:space="0" w:color="auto"/>
              <w:right w:val="single" w:sz="8" w:space="0" w:color="auto"/>
            </w:tcBorders>
            <w:noWrap/>
            <w:vAlign w:val="center"/>
          </w:tcPr>
          <w:p w:rsidR="00BE1EFE" w:rsidRPr="00244E1E" w:rsidRDefault="00BE1EFE" w:rsidP="00244E1E">
            <w:pPr>
              <w:jc w:val="center"/>
              <w:rPr>
                <w:b/>
              </w:rPr>
            </w:pPr>
            <w:r w:rsidRPr="00244E1E">
              <w:rPr>
                <w:b/>
              </w:rPr>
              <w:t>2.026,15</w:t>
            </w:r>
          </w:p>
        </w:tc>
      </w:tr>
    </w:tbl>
    <w:p w:rsidR="00BE1EFE" w:rsidRDefault="00BE1EFE" w:rsidP="00F65E52">
      <w:pPr>
        <w:pStyle w:val="berschrift6"/>
      </w:pPr>
      <w:bookmarkStart w:id="81" w:name="_Toc523925752"/>
      <w:r>
        <w:lastRenderedPageBreak/>
        <w:t>Anlage B: Bereitschaftsdienstentgelt</w:t>
      </w:r>
      <w:bookmarkEnd w:id="81"/>
    </w:p>
    <w:p w:rsidR="00BE1EFE" w:rsidRPr="00B76821" w:rsidRDefault="00BE1EFE" w:rsidP="00B76821">
      <w:pPr>
        <w:pStyle w:val="h7"/>
        <w:keepNext w:val="0"/>
        <w:spacing w:before="0" w:after="0"/>
        <w:jc w:val="left"/>
        <w:outlineLvl w:val="5"/>
        <w:rPr>
          <w:rStyle w:val="Fett"/>
          <w:bCs/>
          <w:sz w:val="2"/>
        </w:rPr>
      </w:pPr>
    </w:p>
    <w:p w:rsidR="00BE1EFE" w:rsidRPr="001B1582" w:rsidRDefault="00BE1EFE" w:rsidP="0054275E">
      <w:pPr>
        <w:pStyle w:val="StandardWeb"/>
        <w:autoSpaceDE w:val="0"/>
        <w:jc w:val="center"/>
        <w:rPr>
          <w:sz w:val="18"/>
          <w:szCs w:val="18"/>
        </w:rPr>
      </w:pPr>
      <w:r w:rsidRPr="001B1582">
        <w:rPr>
          <w:rStyle w:val="Fett"/>
          <w:rFonts w:cs="Arial"/>
          <w:bCs/>
          <w:sz w:val="18"/>
          <w:szCs w:val="18"/>
        </w:rPr>
        <w:t>Anlage B: Bereitschaftsdienstentgelt</w:t>
      </w:r>
    </w:p>
    <w:p w:rsidR="00BE1EFE" w:rsidRPr="000B1AF8" w:rsidRDefault="00BE1EFE">
      <w:pPr>
        <w:pStyle w:val="StandardWeb"/>
        <w:jc w:val="center"/>
      </w:pPr>
    </w:p>
    <w:p w:rsidR="00BE1EFE" w:rsidRDefault="00BE1EFE" w:rsidP="00374732">
      <w:pPr>
        <w:pStyle w:val="StandardWeb"/>
        <w:jc w:val="center"/>
        <w:rPr>
          <w:rFonts w:cs="Arial"/>
        </w:rPr>
      </w:pPr>
      <w:r>
        <w:rPr>
          <w:rFonts w:cs="Arial"/>
        </w:rPr>
        <w:t>Beschäftigte, deren Eingruppierung sich nach Teil A, 3. in der bis zum 30.09.2005</w:t>
      </w:r>
    </w:p>
    <w:p w:rsidR="00BE1EFE" w:rsidRDefault="00BE1EFE" w:rsidP="00374732">
      <w:pPr>
        <w:pStyle w:val="StandardWeb"/>
        <w:jc w:val="center"/>
        <w:rPr>
          <w:rFonts w:cs="Arial"/>
        </w:rPr>
      </w:pPr>
      <w:r>
        <w:rPr>
          <w:rFonts w:cs="Arial"/>
        </w:rPr>
        <w:t xml:space="preserve"> </w:t>
      </w:r>
      <w:proofErr w:type="gramStart"/>
      <w:r>
        <w:rPr>
          <w:rFonts w:cs="Arial"/>
        </w:rPr>
        <w:t>geltenden</w:t>
      </w:r>
      <w:proofErr w:type="gramEnd"/>
      <w:r>
        <w:rPr>
          <w:rFonts w:cs="Arial"/>
        </w:rPr>
        <w:t xml:space="preserve"> Fassung richtet</w:t>
      </w:r>
    </w:p>
    <w:p w:rsidR="00BE1EFE" w:rsidRDefault="00BE1EFE" w:rsidP="00374732">
      <w:pPr>
        <w:pStyle w:val="StandardWeb"/>
        <w:jc w:val="center"/>
        <w:rPr>
          <w:rFonts w:cs="Arial"/>
        </w:rPr>
      </w:pPr>
    </w:p>
    <w:tbl>
      <w:tblPr>
        <w:tblW w:w="2498"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725"/>
        <w:gridCol w:w="1726"/>
      </w:tblGrid>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jc w:val="center"/>
              <w:rPr>
                <w:rFonts w:cs="Arial"/>
                <w:b/>
                <w:bCs/>
                <w:color w:val="000000"/>
              </w:rPr>
            </w:pPr>
            <w:r w:rsidRPr="00D02B45">
              <w:rPr>
                <w:rFonts w:cs="Arial"/>
                <w:b/>
                <w:bCs/>
                <w:color w:val="000000"/>
              </w:rPr>
              <w:t>Vergütungsgruppe</w:t>
            </w:r>
          </w:p>
        </w:tc>
        <w:tc>
          <w:tcPr>
            <w:tcW w:w="2501" w:type="pct"/>
            <w:vAlign w:val="center"/>
          </w:tcPr>
          <w:p w:rsidR="00BE1EFE" w:rsidRPr="00D02B45" w:rsidRDefault="00BE1EFE" w:rsidP="00394846">
            <w:pPr>
              <w:autoSpaceDE w:val="0"/>
              <w:autoSpaceDN w:val="0"/>
              <w:adjustRightInd w:val="0"/>
              <w:jc w:val="center"/>
              <w:rPr>
                <w:rFonts w:cs="Arial"/>
                <w:b/>
                <w:bCs/>
                <w:color w:val="000000"/>
              </w:rPr>
            </w:pPr>
            <w:r w:rsidRPr="00D02B45">
              <w:rPr>
                <w:rFonts w:cs="Arial"/>
                <w:b/>
                <w:bCs/>
                <w:color w:val="000000"/>
              </w:rPr>
              <w:t>Beträge in Euro</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jc w:val="center"/>
              <w:rPr>
                <w:rFonts w:cs="Arial"/>
                <w:b/>
                <w:bCs/>
                <w:color w:val="000000"/>
              </w:rPr>
            </w:pPr>
          </w:p>
        </w:tc>
        <w:tc>
          <w:tcPr>
            <w:tcW w:w="2501" w:type="pct"/>
            <w:vAlign w:val="center"/>
          </w:tcPr>
          <w:p w:rsidR="00BE1EFE" w:rsidRPr="00D02B45" w:rsidRDefault="00BE1EFE" w:rsidP="00394846">
            <w:pPr>
              <w:autoSpaceDE w:val="0"/>
              <w:autoSpaceDN w:val="0"/>
              <w:adjustRightInd w:val="0"/>
              <w:jc w:val="center"/>
              <w:rPr>
                <w:rFonts w:cs="Arial"/>
                <w:b/>
                <w:bCs/>
                <w:color w:val="000000"/>
              </w:rPr>
            </w:pPr>
            <w:r w:rsidRPr="00D02B45">
              <w:rPr>
                <w:rFonts w:cs="Arial"/>
                <w:b/>
                <w:bCs/>
                <w:color w:val="000000"/>
              </w:rPr>
              <w:t>ab 1.3.2016</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w:t>
            </w:r>
          </w:p>
        </w:tc>
        <w:tc>
          <w:tcPr>
            <w:tcW w:w="2501" w:type="pct"/>
            <w:vAlign w:val="center"/>
          </w:tcPr>
          <w:p w:rsidR="00BE1EFE" w:rsidRPr="00D02B45" w:rsidRDefault="00BE1EFE" w:rsidP="00394846">
            <w:pPr>
              <w:jc w:val="center"/>
              <w:rPr>
                <w:rFonts w:cs="Arial"/>
                <w:b/>
              </w:rPr>
            </w:pPr>
            <w:r w:rsidRPr="00D02B45">
              <w:rPr>
                <w:rFonts w:cs="Arial"/>
                <w:b/>
              </w:rPr>
              <w:t xml:space="preserve">35,50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Ia</w:t>
            </w:r>
          </w:p>
        </w:tc>
        <w:tc>
          <w:tcPr>
            <w:tcW w:w="2501" w:type="pct"/>
            <w:vAlign w:val="center"/>
          </w:tcPr>
          <w:p w:rsidR="00BE1EFE" w:rsidRPr="00D02B45" w:rsidRDefault="00BE1EFE" w:rsidP="00394846">
            <w:pPr>
              <w:jc w:val="center"/>
              <w:rPr>
                <w:rFonts w:cs="Arial"/>
                <w:b/>
              </w:rPr>
            </w:pPr>
            <w:r w:rsidRPr="00D02B45">
              <w:rPr>
                <w:rFonts w:cs="Arial"/>
                <w:b/>
              </w:rPr>
              <w:t xml:space="preserve">32,54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Ib</w:t>
            </w:r>
          </w:p>
        </w:tc>
        <w:tc>
          <w:tcPr>
            <w:tcW w:w="2501" w:type="pct"/>
            <w:vAlign w:val="center"/>
          </w:tcPr>
          <w:p w:rsidR="00BE1EFE" w:rsidRPr="00D02B45" w:rsidRDefault="00BE1EFE" w:rsidP="00394846">
            <w:pPr>
              <w:jc w:val="center"/>
              <w:rPr>
                <w:rFonts w:cs="Arial"/>
                <w:b/>
              </w:rPr>
            </w:pPr>
            <w:r w:rsidRPr="00D02B45">
              <w:rPr>
                <w:rFonts w:cs="Arial"/>
                <w:b/>
              </w:rPr>
              <w:t xml:space="preserve">29,94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II</w:t>
            </w:r>
          </w:p>
        </w:tc>
        <w:tc>
          <w:tcPr>
            <w:tcW w:w="2501" w:type="pct"/>
            <w:vAlign w:val="center"/>
          </w:tcPr>
          <w:p w:rsidR="00BE1EFE" w:rsidRPr="00D02B45" w:rsidRDefault="00BE1EFE" w:rsidP="00394846">
            <w:pPr>
              <w:jc w:val="center"/>
              <w:rPr>
                <w:rFonts w:cs="Arial"/>
                <w:b/>
              </w:rPr>
            </w:pPr>
            <w:r w:rsidRPr="00D02B45">
              <w:rPr>
                <w:rFonts w:cs="Arial"/>
                <w:b/>
              </w:rPr>
              <w:t xml:space="preserve">27,43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III</w:t>
            </w:r>
          </w:p>
        </w:tc>
        <w:tc>
          <w:tcPr>
            <w:tcW w:w="2501" w:type="pct"/>
            <w:vAlign w:val="center"/>
          </w:tcPr>
          <w:p w:rsidR="00BE1EFE" w:rsidRPr="00D02B45" w:rsidRDefault="00BE1EFE" w:rsidP="00394846">
            <w:pPr>
              <w:jc w:val="center"/>
              <w:rPr>
                <w:rFonts w:cs="Arial"/>
                <w:b/>
              </w:rPr>
            </w:pPr>
            <w:r w:rsidRPr="00D02B45">
              <w:rPr>
                <w:rFonts w:cs="Arial"/>
                <w:b/>
              </w:rPr>
              <w:t xml:space="preserve">24,77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Iva</w:t>
            </w:r>
          </w:p>
        </w:tc>
        <w:tc>
          <w:tcPr>
            <w:tcW w:w="2501" w:type="pct"/>
            <w:vAlign w:val="center"/>
          </w:tcPr>
          <w:p w:rsidR="00BE1EFE" w:rsidRPr="00D02B45" w:rsidRDefault="00BE1EFE" w:rsidP="00394846">
            <w:pPr>
              <w:jc w:val="center"/>
              <w:rPr>
                <w:rFonts w:cs="Arial"/>
                <w:b/>
              </w:rPr>
            </w:pPr>
            <w:r w:rsidRPr="00D02B45">
              <w:rPr>
                <w:rFonts w:cs="Arial"/>
                <w:b/>
              </w:rPr>
              <w:t xml:space="preserve">22,78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IVb</w:t>
            </w:r>
          </w:p>
        </w:tc>
        <w:tc>
          <w:tcPr>
            <w:tcW w:w="2501" w:type="pct"/>
            <w:vAlign w:val="center"/>
          </w:tcPr>
          <w:p w:rsidR="00BE1EFE" w:rsidRPr="00D02B45" w:rsidRDefault="00BE1EFE" w:rsidP="00394846">
            <w:pPr>
              <w:jc w:val="center"/>
              <w:rPr>
                <w:rFonts w:cs="Arial"/>
                <w:b/>
              </w:rPr>
            </w:pPr>
            <w:r w:rsidRPr="00D02B45">
              <w:rPr>
                <w:rFonts w:cs="Arial"/>
                <w:b/>
              </w:rPr>
              <w:t xml:space="preserve">20,97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Vb</w:t>
            </w:r>
          </w:p>
        </w:tc>
        <w:tc>
          <w:tcPr>
            <w:tcW w:w="2501" w:type="pct"/>
            <w:vAlign w:val="center"/>
          </w:tcPr>
          <w:p w:rsidR="00BE1EFE" w:rsidRPr="00D02B45" w:rsidRDefault="00BE1EFE" w:rsidP="00394846">
            <w:pPr>
              <w:jc w:val="center"/>
              <w:rPr>
                <w:rFonts w:cs="Arial"/>
                <w:b/>
              </w:rPr>
            </w:pPr>
            <w:r w:rsidRPr="00D02B45">
              <w:rPr>
                <w:rFonts w:cs="Arial"/>
                <w:b/>
              </w:rPr>
              <w:t xml:space="preserve">20,23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Vc</w:t>
            </w:r>
          </w:p>
        </w:tc>
        <w:tc>
          <w:tcPr>
            <w:tcW w:w="2501" w:type="pct"/>
            <w:vAlign w:val="center"/>
          </w:tcPr>
          <w:p w:rsidR="00BE1EFE" w:rsidRPr="00D02B45" w:rsidRDefault="00BE1EFE" w:rsidP="00394846">
            <w:pPr>
              <w:jc w:val="center"/>
              <w:rPr>
                <w:rFonts w:cs="Arial"/>
                <w:b/>
              </w:rPr>
            </w:pPr>
            <w:r w:rsidRPr="00D02B45">
              <w:rPr>
                <w:rFonts w:cs="Arial"/>
                <w:b/>
              </w:rPr>
              <w:t xml:space="preserve">19,24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VIb</w:t>
            </w:r>
          </w:p>
        </w:tc>
        <w:tc>
          <w:tcPr>
            <w:tcW w:w="2501" w:type="pct"/>
            <w:vAlign w:val="center"/>
          </w:tcPr>
          <w:p w:rsidR="00BE1EFE" w:rsidRPr="00D02B45" w:rsidRDefault="00BE1EFE" w:rsidP="00394846">
            <w:pPr>
              <w:jc w:val="center"/>
              <w:rPr>
                <w:rFonts w:cs="Arial"/>
                <w:b/>
              </w:rPr>
            </w:pPr>
            <w:r w:rsidRPr="00D02B45">
              <w:rPr>
                <w:rFonts w:cs="Arial"/>
                <w:b/>
              </w:rPr>
              <w:t xml:space="preserve">17,87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VII</w:t>
            </w:r>
          </w:p>
        </w:tc>
        <w:tc>
          <w:tcPr>
            <w:tcW w:w="2501" w:type="pct"/>
            <w:vAlign w:val="center"/>
          </w:tcPr>
          <w:p w:rsidR="00BE1EFE" w:rsidRPr="00D02B45" w:rsidRDefault="00BE1EFE" w:rsidP="00394846">
            <w:pPr>
              <w:jc w:val="center"/>
              <w:rPr>
                <w:rFonts w:cs="Arial"/>
                <w:b/>
              </w:rPr>
            </w:pPr>
            <w:r w:rsidRPr="00D02B45">
              <w:rPr>
                <w:rFonts w:cs="Arial"/>
                <w:b/>
              </w:rPr>
              <w:t xml:space="preserve">16,75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VIII</w:t>
            </w:r>
          </w:p>
        </w:tc>
        <w:tc>
          <w:tcPr>
            <w:tcW w:w="2501" w:type="pct"/>
            <w:vAlign w:val="center"/>
          </w:tcPr>
          <w:p w:rsidR="00BE1EFE" w:rsidRPr="00D02B45" w:rsidRDefault="00BE1EFE" w:rsidP="00394846">
            <w:pPr>
              <w:jc w:val="center"/>
              <w:rPr>
                <w:rFonts w:cs="Arial"/>
                <w:b/>
              </w:rPr>
            </w:pPr>
            <w:r w:rsidRPr="00D02B45">
              <w:rPr>
                <w:rFonts w:cs="Arial"/>
                <w:b/>
              </w:rPr>
              <w:t xml:space="preserve">15,75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IXa</w:t>
            </w:r>
          </w:p>
        </w:tc>
        <w:tc>
          <w:tcPr>
            <w:tcW w:w="2501" w:type="pct"/>
            <w:vAlign w:val="center"/>
          </w:tcPr>
          <w:p w:rsidR="00BE1EFE" w:rsidRPr="00D02B45" w:rsidRDefault="00BE1EFE" w:rsidP="00394846">
            <w:pPr>
              <w:jc w:val="center"/>
              <w:rPr>
                <w:rFonts w:cs="Arial"/>
                <w:b/>
              </w:rPr>
            </w:pPr>
            <w:r w:rsidRPr="00D02B45">
              <w:rPr>
                <w:rFonts w:cs="Arial"/>
                <w:b/>
              </w:rPr>
              <w:t xml:space="preserve">15,16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IX</w:t>
            </w:r>
          </w:p>
        </w:tc>
        <w:tc>
          <w:tcPr>
            <w:tcW w:w="2501" w:type="pct"/>
            <w:vAlign w:val="center"/>
          </w:tcPr>
          <w:p w:rsidR="00BE1EFE" w:rsidRPr="00D02B45" w:rsidRDefault="00BE1EFE" w:rsidP="00394846">
            <w:pPr>
              <w:jc w:val="center"/>
              <w:rPr>
                <w:rFonts w:cs="Arial"/>
                <w:b/>
              </w:rPr>
            </w:pPr>
            <w:r w:rsidRPr="00D02B45">
              <w:rPr>
                <w:rFonts w:cs="Arial"/>
                <w:b/>
              </w:rPr>
              <w:t xml:space="preserve">14,87 </w:t>
            </w:r>
          </w:p>
        </w:tc>
      </w:tr>
      <w:tr w:rsidR="00BE1EFE" w:rsidRPr="000C727A" w:rsidTr="00E87479">
        <w:trPr>
          <w:trHeight w:val="420"/>
          <w:jc w:val="center"/>
        </w:trPr>
        <w:tc>
          <w:tcPr>
            <w:tcW w:w="2499" w:type="pct"/>
            <w:vAlign w:val="center"/>
          </w:tcPr>
          <w:p w:rsidR="00BE1EFE" w:rsidRPr="00D02B45" w:rsidRDefault="00BE1EFE" w:rsidP="00394846">
            <w:pPr>
              <w:autoSpaceDE w:val="0"/>
              <w:autoSpaceDN w:val="0"/>
              <w:adjustRightInd w:val="0"/>
              <w:ind w:left="680"/>
              <w:rPr>
                <w:rFonts w:cs="Arial"/>
                <w:b/>
                <w:color w:val="000000"/>
              </w:rPr>
            </w:pPr>
            <w:r w:rsidRPr="00D02B45">
              <w:rPr>
                <w:rFonts w:cs="Arial"/>
                <w:b/>
                <w:color w:val="000000"/>
              </w:rPr>
              <w:t>X</w:t>
            </w:r>
          </w:p>
        </w:tc>
        <w:tc>
          <w:tcPr>
            <w:tcW w:w="2501" w:type="pct"/>
            <w:vAlign w:val="center"/>
          </w:tcPr>
          <w:p w:rsidR="00BE1EFE" w:rsidRPr="00D02B45" w:rsidRDefault="00BE1EFE" w:rsidP="00394846">
            <w:pPr>
              <w:autoSpaceDE w:val="0"/>
              <w:autoSpaceDN w:val="0"/>
              <w:adjustRightInd w:val="0"/>
              <w:jc w:val="center"/>
              <w:rPr>
                <w:rFonts w:cs="Arial"/>
                <w:b/>
                <w:color w:val="000000"/>
              </w:rPr>
            </w:pPr>
            <w:r w:rsidRPr="00D02B45">
              <w:rPr>
                <w:rFonts w:cs="Arial"/>
                <w:b/>
                <w:color w:val="000000"/>
              </w:rPr>
              <w:t xml:space="preserve">14,11 </w:t>
            </w:r>
          </w:p>
        </w:tc>
      </w:tr>
    </w:tbl>
    <w:p w:rsidR="00BE1EFE" w:rsidRDefault="00BE1EFE" w:rsidP="00E87479">
      <w:pPr>
        <w:pStyle w:val="StandardWeb"/>
        <w:spacing w:after="60" w:line="260" w:lineRule="atLeast"/>
      </w:pPr>
    </w:p>
    <w:p w:rsidR="00BE1EFE" w:rsidRDefault="00BE1EFE" w:rsidP="00FF0738">
      <w:pPr>
        <w:jc w:val="center"/>
      </w:pPr>
      <w:r>
        <w:t> </w:t>
      </w:r>
    </w:p>
    <w:p w:rsidR="00BE1EFE" w:rsidRPr="00C95B82" w:rsidRDefault="00BE1EFE">
      <w:pPr>
        <w:pStyle w:val="berschrift6"/>
        <w:rPr>
          <w:lang w:eastAsia="x-none"/>
        </w:rPr>
      </w:pPr>
      <w:bookmarkStart w:id="82" w:name="_Toc523925753"/>
      <w:r>
        <w:lastRenderedPageBreak/>
        <w:t>Anlage C: Stunden</w:t>
      </w:r>
      <w:r>
        <w:rPr>
          <w:lang w:eastAsia="x-none"/>
        </w:rPr>
        <w:t>entgelte</w:t>
      </w:r>
      <w:bookmarkEnd w:id="82"/>
    </w:p>
    <w:p w:rsidR="00BE1EFE" w:rsidRPr="00B76821" w:rsidRDefault="00BE1EFE" w:rsidP="00B76821">
      <w:pPr>
        <w:pStyle w:val="h7"/>
        <w:keepNext w:val="0"/>
        <w:spacing w:before="0" w:after="0"/>
        <w:jc w:val="left"/>
        <w:outlineLvl w:val="5"/>
        <w:rPr>
          <w:sz w:val="2"/>
        </w:rPr>
      </w:pPr>
    </w:p>
    <w:p w:rsidR="00BE1EFE" w:rsidRPr="001B1582" w:rsidRDefault="00BE1EFE">
      <w:pPr>
        <w:pStyle w:val="StandardWeb"/>
        <w:jc w:val="center"/>
        <w:rPr>
          <w:rFonts w:cs="Arial"/>
          <w:b/>
          <w:sz w:val="18"/>
          <w:szCs w:val="18"/>
        </w:rPr>
      </w:pPr>
      <w:r w:rsidRPr="001B1582">
        <w:rPr>
          <w:rFonts w:cs="Arial"/>
          <w:b/>
          <w:sz w:val="18"/>
          <w:szCs w:val="18"/>
        </w:rPr>
        <w:t>Anlage C: Stundenentgelte</w:t>
      </w:r>
    </w:p>
    <w:p w:rsidR="00BE1EFE" w:rsidRPr="008661E5" w:rsidRDefault="00BE1EFE">
      <w:pPr>
        <w:pStyle w:val="StandardWeb"/>
        <w:jc w:val="center"/>
        <w:rPr>
          <w:rFonts w:cs="Arial"/>
          <w:sz w:val="18"/>
          <w:szCs w:val="18"/>
        </w:rPr>
      </w:pPr>
      <w:r w:rsidRPr="008661E5">
        <w:rPr>
          <w:rFonts w:cs="Arial"/>
          <w:sz w:val="18"/>
          <w:szCs w:val="18"/>
        </w:rPr>
        <w:t xml:space="preserve">(gültig </w:t>
      </w:r>
      <w:r>
        <w:rPr>
          <w:rFonts w:cs="Arial"/>
          <w:sz w:val="18"/>
          <w:szCs w:val="18"/>
        </w:rPr>
        <w:t xml:space="preserve">vom </w:t>
      </w:r>
      <w:r w:rsidRPr="008661E5">
        <w:rPr>
          <w:rFonts w:cs="Arial"/>
          <w:sz w:val="18"/>
          <w:szCs w:val="18"/>
        </w:rPr>
        <w:t xml:space="preserve">1. </w:t>
      </w:r>
      <w:r>
        <w:rPr>
          <w:rFonts w:cs="Arial"/>
          <w:sz w:val="18"/>
          <w:szCs w:val="18"/>
        </w:rPr>
        <w:t>März 2018 bis 31. März 2019</w:t>
      </w:r>
      <w:r w:rsidRPr="008661E5">
        <w:rPr>
          <w:rFonts w:cs="Arial"/>
          <w:sz w:val="18"/>
          <w:szCs w:val="18"/>
        </w:rPr>
        <w:t>)</w:t>
      </w:r>
    </w:p>
    <w:p w:rsidR="00BE1EFE" w:rsidRPr="008661E5" w:rsidRDefault="00BE1EFE">
      <w:pPr>
        <w:pStyle w:val="StandardWeb"/>
        <w:jc w:val="center"/>
        <w:rPr>
          <w:rFonts w:cs="Arial"/>
          <w:sz w:val="18"/>
          <w:szCs w:val="18"/>
        </w:rPr>
      </w:pPr>
      <w:r w:rsidRPr="008661E5">
        <w:rPr>
          <w:rFonts w:cs="Arial"/>
          <w:sz w:val="18"/>
          <w:szCs w:val="18"/>
        </w:rPr>
        <w:t>(in Euro)</w:t>
      </w:r>
    </w:p>
    <w:p w:rsidR="00BE1EFE" w:rsidRPr="000B1AF8" w:rsidRDefault="00BE1EFE">
      <w:pPr>
        <w:pStyle w:val="StandardWeb"/>
        <w:jc w:val="center"/>
      </w:pPr>
    </w:p>
    <w:tbl>
      <w:tblPr>
        <w:tblW w:w="5115" w:type="dxa"/>
        <w:jc w:val="center"/>
        <w:tblCellMar>
          <w:left w:w="0" w:type="dxa"/>
          <w:right w:w="0" w:type="dxa"/>
        </w:tblCellMar>
        <w:tblLook w:val="04A0" w:firstRow="1" w:lastRow="0" w:firstColumn="1" w:lastColumn="0" w:noHBand="0" w:noVBand="1"/>
      </w:tblPr>
      <w:tblGrid>
        <w:gridCol w:w="1900"/>
        <w:gridCol w:w="1200"/>
        <w:gridCol w:w="1960"/>
        <w:gridCol w:w="55"/>
      </w:tblGrid>
      <w:tr w:rsidR="00BE1EFE" w:rsidTr="007138DC">
        <w:trPr>
          <w:trHeight w:val="227"/>
          <w:jc w:val="center"/>
        </w:trPr>
        <w:tc>
          <w:tcPr>
            <w:tcW w:w="1900" w:type="dxa"/>
            <w:vMerge w:val="restart"/>
            <w:tcBorders>
              <w:top w:val="single" w:sz="8" w:space="0" w:color="auto"/>
              <w:left w:val="single" w:sz="8" w:space="0" w:color="auto"/>
              <w:bottom w:val="single" w:sz="8" w:space="0" w:color="000000"/>
              <w:right w:val="single" w:sz="8" w:space="0" w:color="auto"/>
            </w:tcBorders>
            <w:shd w:val="clear" w:color="auto" w:fill="FFFFFF"/>
            <w:tcMar>
              <w:top w:w="0" w:type="dxa"/>
              <w:left w:w="70" w:type="dxa"/>
              <w:bottom w:w="0" w:type="dxa"/>
              <w:right w:w="70" w:type="dxa"/>
            </w:tcMar>
            <w:vAlign w:val="center"/>
            <w:hideMark/>
          </w:tcPr>
          <w:p w:rsidR="00BE1EFE" w:rsidRPr="004D3F5B" w:rsidRDefault="00BE1EFE">
            <w:pPr>
              <w:pStyle w:val="StandardWeb"/>
              <w:spacing w:line="227" w:lineRule="atLeast"/>
              <w:jc w:val="center"/>
              <w:rPr>
                <w:b/>
                <w:szCs w:val="16"/>
              </w:rPr>
            </w:pPr>
            <w:r w:rsidRPr="004D3F5B">
              <w:rPr>
                <w:rFonts w:cs="Arial"/>
                <w:b/>
                <w:szCs w:val="16"/>
              </w:rPr>
              <w:t>Entgeltgruppe</w:t>
            </w:r>
          </w:p>
        </w:tc>
        <w:tc>
          <w:tcPr>
            <w:tcW w:w="1200" w:type="dxa"/>
            <w:vMerge w:val="restart"/>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4D3F5B" w:rsidRDefault="00BE1EFE">
            <w:pPr>
              <w:pStyle w:val="StandardWeb"/>
              <w:spacing w:line="227" w:lineRule="atLeast"/>
              <w:jc w:val="center"/>
              <w:rPr>
                <w:b/>
                <w:szCs w:val="16"/>
              </w:rPr>
            </w:pPr>
            <w:r w:rsidRPr="004D3F5B">
              <w:rPr>
                <w:rFonts w:cs="Arial"/>
                <w:b/>
                <w:szCs w:val="16"/>
              </w:rPr>
              <w:t>Stufe 3</w:t>
            </w:r>
          </w:p>
        </w:tc>
        <w:tc>
          <w:tcPr>
            <w:tcW w:w="1960" w:type="dxa"/>
            <w:vMerge w:val="restart"/>
            <w:tcBorders>
              <w:top w:val="single" w:sz="8" w:space="0" w:color="auto"/>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4D3F5B" w:rsidRDefault="00BE1EFE">
            <w:pPr>
              <w:pStyle w:val="StandardWeb"/>
              <w:spacing w:line="227" w:lineRule="atLeast"/>
              <w:jc w:val="center"/>
              <w:rPr>
                <w:b/>
                <w:szCs w:val="16"/>
              </w:rPr>
            </w:pPr>
            <w:r w:rsidRPr="004D3F5B">
              <w:rPr>
                <w:rFonts w:cs="Arial"/>
                <w:b/>
                <w:szCs w:val="16"/>
              </w:rPr>
              <w:t>Stundenentgelt*</w:t>
            </w:r>
          </w:p>
        </w:tc>
        <w:tc>
          <w:tcPr>
            <w:tcW w:w="55" w:type="dxa"/>
            <w:vAlign w:val="center"/>
            <w:hideMark/>
          </w:tcPr>
          <w:p w:rsidR="00BE1EFE" w:rsidRDefault="00BE1EFE">
            <w:pPr>
              <w:spacing w:line="227" w:lineRule="atLeast"/>
              <w:rPr>
                <w:sz w:val="24"/>
              </w:rPr>
            </w:pPr>
            <w:r>
              <w:t> </w:t>
            </w:r>
          </w:p>
        </w:tc>
      </w:tr>
      <w:tr w:rsidR="00BE1EFE" w:rsidTr="00AB2F65">
        <w:trPr>
          <w:trHeight w:val="321"/>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3F5B"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3F5B"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3F5B" w:rsidRDefault="00BE1EFE">
            <w:pPr>
              <w:rPr>
                <w:szCs w:val="16"/>
              </w:rPr>
            </w:pP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tcPr>
          <w:p w:rsidR="00BE1EFE" w:rsidRPr="00D02B45" w:rsidRDefault="00BE1EFE" w:rsidP="00D02B45">
            <w:pPr>
              <w:pStyle w:val="StandardWeb"/>
              <w:ind w:left="851"/>
              <w:jc w:val="left"/>
              <w:rPr>
                <w:rFonts w:cs="Arial"/>
                <w:b/>
                <w:szCs w:val="16"/>
              </w:rPr>
            </w:pPr>
            <w:r w:rsidRPr="00D02B45">
              <w:rPr>
                <w:rFonts w:cs="Arial"/>
                <w:b/>
                <w:szCs w:val="16"/>
              </w:rPr>
              <w:t>15Ü</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E1EFE" w:rsidRPr="00FE3BE9" w:rsidRDefault="00BE1EFE" w:rsidP="00FE3BE9">
            <w:pPr>
              <w:jc w:val="center"/>
              <w:rPr>
                <w:b/>
              </w:rPr>
            </w:pPr>
            <w:r w:rsidRPr="00FE3BE9">
              <w:rPr>
                <w:b/>
              </w:rPr>
              <w:t>6.390,93</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BE1EFE" w:rsidRPr="00FE3BE9" w:rsidRDefault="00BE1EFE" w:rsidP="00FE3BE9">
            <w:pPr>
              <w:jc w:val="center"/>
              <w:rPr>
                <w:b/>
              </w:rPr>
            </w:pPr>
            <w:r w:rsidRPr="00FE3BE9">
              <w:rPr>
                <w:b/>
              </w:rPr>
              <w:t>37,69</w:t>
            </w:r>
          </w:p>
        </w:tc>
        <w:tc>
          <w:tcPr>
            <w:tcW w:w="55" w:type="dxa"/>
            <w:vAlign w:val="center"/>
          </w:tcPr>
          <w:p w:rsidR="00BE1EFE" w:rsidRDefault="00BE1EFE"/>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15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5.260,14</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31,02</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14</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4.841,03</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28,55</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13</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4.479,41</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26,42</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12</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4.276,90</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25,22</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11</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3.941,33</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23,24</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10</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3.775,33</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22,26</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tcPr>
          <w:p w:rsidR="00BE1EFE" w:rsidRPr="00D02B45" w:rsidRDefault="00BE1EFE" w:rsidP="00D02B45">
            <w:pPr>
              <w:pStyle w:val="StandardWeb"/>
              <w:ind w:left="851"/>
              <w:jc w:val="left"/>
              <w:rPr>
                <w:rFonts w:cs="Arial"/>
                <w:b/>
                <w:szCs w:val="16"/>
              </w:rPr>
            </w:pPr>
            <w:r w:rsidRPr="00D02B45">
              <w:rPr>
                <w:rFonts w:cs="Arial"/>
                <w:b/>
                <w:szCs w:val="16"/>
              </w:rPr>
              <w:t>9c</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E1EFE" w:rsidRPr="00FE3BE9" w:rsidRDefault="00BE1EFE" w:rsidP="00FE3BE9">
            <w:pPr>
              <w:jc w:val="center"/>
              <w:rPr>
                <w:b/>
              </w:rPr>
            </w:pPr>
            <w:r w:rsidRPr="00FE3BE9">
              <w:rPr>
                <w:b/>
              </w:rPr>
              <w:t>3.637,10</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BE1EFE" w:rsidRPr="00FE3BE9" w:rsidRDefault="00BE1EFE" w:rsidP="00FE3BE9">
            <w:pPr>
              <w:jc w:val="center"/>
              <w:rPr>
                <w:b/>
              </w:rPr>
            </w:pPr>
            <w:r w:rsidRPr="00FE3BE9">
              <w:rPr>
                <w:b/>
              </w:rPr>
              <w:t>21,45</w:t>
            </w:r>
          </w:p>
        </w:tc>
        <w:tc>
          <w:tcPr>
            <w:tcW w:w="55" w:type="dxa"/>
            <w:vAlign w:val="center"/>
          </w:tcPr>
          <w:p w:rsidR="00BE1EFE" w:rsidRDefault="00BE1EFE"/>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tcPr>
          <w:p w:rsidR="00BE1EFE" w:rsidRPr="00D02B45" w:rsidRDefault="00BE1EFE" w:rsidP="00D02B45">
            <w:pPr>
              <w:pStyle w:val="StandardWeb"/>
              <w:ind w:left="851"/>
              <w:jc w:val="left"/>
              <w:rPr>
                <w:rFonts w:cs="Arial"/>
                <w:b/>
                <w:szCs w:val="16"/>
              </w:rPr>
            </w:pPr>
            <w:r w:rsidRPr="00D02B45">
              <w:rPr>
                <w:rFonts w:cs="Arial"/>
                <w:b/>
                <w:szCs w:val="16"/>
              </w:rPr>
              <w:t>9b</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E1EFE" w:rsidRPr="00FE3BE9" w:rsidRDefault="00BE1EFE" w:rsidP="00FE3BE9">
            <w:pPr>
              <w:jc w:val="center"/>
              <w:rPr>
                <w:b/>
              </w:rPr>
            </w:pPr>
            <w:r w:rsidRPr="00FE3BE9">
              <w:rPr>
                <w:b/>
              </w:rPr>
              <w:t>3.273,66</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BE1EFE" w:rsidRPr="00FE3BE9" w:rsidRDefault="00BE1EFE" w:rsidP="00FE3BE9">
            <w:pPr>
              <w:jc w:val="center"/>
              <w:rPr>
                <w:b/>
              </w:rPr>
            </w:pPr>
            <w:r w:rsidRPr="00FE3BE9">
              <w:rPr>
                <w:b/>
              </w:rPr>
              <w:t>19,31</w:t>
            </w:r>
          </w:p>
        </w:tc>
        <w:tc>
          <w:tcPr>
            <w:tcW w:w="55" w:type="dxa"/>
            <w:vAlign w:val="center"/>
          </w:tcPr>
          <w:p w:rsidR="00BE1EFE" w:rsidRDefault="00BE1EFE"/>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9a</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3.234,09</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19,07</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8</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3.017,56</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17,80</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7</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2.877,36</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16,97</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6</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2.788,15</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16,44</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5</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2.673,48</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15,77</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4</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2.587,48</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15,26</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3</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2.462,55</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14,52</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tcPr>
          <w:p w:rsidR="00BE1EFE" w:rsidRPr="00D02B45" w:rsidRDefault="00BE1EFE" w:rsidP="00D02B45">
            <w:pPr>
              <w:pStyle w:val="StandardWeb"/>
              <w:ind w:left="851"/>
              <w:jc w:val="left"/>
              <w:rPr>
                <w:rFonts w:cs="Arial"/>
                <w:b/>
                <w:szCs w:val="16"/>
              </w:rPr>
            </w:pPr>
            <w:r w:rsidRPr="00D02B45">
              <w:rPr>
                <w:rFonts w:cs="Arial"/>
                <w:b/>
                <w:szCs w:val="16"/>
              </w:rPr>
              <w:t>2Ü</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tcPr>
          <w:p w:rsidR="00BE1EFE" w:rsidRPr="00FE3BE9" w:rsidRDefault="00BE1EFE" w:rsidP="00FE3BE9">
            <w:pPr>
              <w:jc w:val="center"/>
              <w:rPr>
                <w:b/>
              </w:rPr>
            </w:pPr>
            <w:r w:rsidRPr="00FE3BE9">
              <w:rPr>
                <w:b/>
              </w:rPr>
              <w:t>2.374,56</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tcPr>
          <w:p w:rsidR="00BE1EFE" w:rsidRPr="00FE3BE9" w:rsidRDefault="00BE1EFE" w:rsidP="00FE3BE9">
            <w:pPr>
              <w:jc w:val="center"/>
              <w:rPr>
                <w:b/>
              </w:rPr>
            </w:pPr>
            <w:r w:rsidRPr="00FE3BE9">
              <w:rPr>
                <w:b/>
              </w:rPr>
              <w:t>14,00</w:t>
            </w:r>
          </w:p>
        </w:tc>
        <w:tc>
          <w:tcPr>
            <w:tcW w:w="55" w:type="dxa"/>
            <w:vAlign w:val="center"/>
          </w:tcPr>
          <w:p w:rsidR="00BE1EFE" w:rsidRDefault="00BE1EFE"/>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2</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2.290,29</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13,51</w:t>
            </w:r>
          </w:p>
        </w:tc>
        <w:tc>
          <w:tcPr>
            <w:tcW w:w="55" w:type="dxa"/>
            <w:vAlign w:val="center"/>
            <w:hideMark/>
          </w:tcPr>
          <w:p w:rsidR="00BE1EFE" w:rsidRDefault="00BE1EFE">
            <w:pPr>
              <w:rPr>
                <w:sz w:val="24"/>
              </w:rPr>
            </w:pPr>
            <w:r>
              <w:t> </w:t>
            </w:r>
          </w:p>
        </w:tc>
      </w:tr>
      <w:tr w:rsidR="00BE1EFE" w:rsidTr="00FE3BE9">
        <w:trPr>
          <w:trHeight w:val="340"/>
          <w:jc w:val="center"/>
        </w:trPr>
        <w:tc>
          <w:tcPr>
            <w:tcW w:w="1900"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D02B45" w:rsidRDefault="00BE1EFE" w:rsidP="00D02B45">
            <w:pPr>
              <w:pStyle w:val="StandardWeb"/>
              <w:ind w:left="851"/>
              <w:jc w:val="left"/>
              <w:rPr>
                <w:b/>
                <w:szCs w:val="16"/>
              </w:rPr>
            </w:pPr>
            <w:r w:rsidRPr="00D02B45">
              <w:rPr>
                <w:rFonts w:cs="Arial"/>
                <w:b/>
                <w:szCs w:val="16"/>
              </w:rPr>
              <w:t>1</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1.858,18</w:t>
            </w:r>
          </w:p>
        </w:tc>
        <w:tc>
          <w:tcPr>
            <w:tcW w:w="196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BE1EFE" w:rsidRPr="00FE3BE9" w:rsidRDefault="00BE1EFE" w:rsidP="00FE3BE9">
            <w:pPr>
              <w:jc w:val="center"/>
              <w:rPr>
                <w:b/>
              </w:rPr>
            </w:pPr>
            <w:r w:rsidRPr="00FE3BE9">
              <w:rPr>
                <w:b/>
              </w:rPr>
              <w:t>10,96</w:t>
            </w:r>
          </w:p>
        </w:tc>
        <w:tc>
          <w:tcPr>
            <w:tcW w:w="55" w:type="dxa"/>
            <w:vAlign w:val="center"/>
            <w:hideMark/>
          </w:tcPr>
          <w:p w:rsidR="00BE1EFE" w:rsidRDefault="00BE1EFE">
            <w:pPr>
              <w:rPr>
                <w:sz w:val="24"/>
              </w:rPr>
            </w:pPr>
            <w:r>
              <w:t> </w:t>
            </w:r>
          </w:p>
        </w:tc>
      </w:tr>
    </w:tbl>
    <w:p w:rsidR="00BE1EFE" w:rsidRDefault="00BE1EFE">
      <w:pPr>
        <w:pStyle w:val="StandardWeb"/>
        <w:jc w:val="center"/>
        <w:rPr>
          <w:rFonts w:cs="Arial"/>
          <w:szCs w:val="16"/>
        </w:rPr>
      </w:pPr>
    </w:p>
    <w:p w:rsidR="00BE1EFE" w:rsidRDefault="00BE1EFE">
      <w:pPr>
        <w:pStyle w:val="StandardWeb"/>
        <w:jc w:val="center"/>
        <w:rPr>
          <w:rFonts w:cs="Arial"/>
          <w:szCs w:val="16"/>
        </w:rPr>
      </w:pPr>
      <w:r w:rsidRPr="007138DC">
        <w:rPr>
          <w:rFonts w:cs="Arial"/>
          <w:szCs w:val="16"/>
        </w:rPr>
        <w:t>*errechnet aus Stufe 3 der Entgeltgruppe geteilt durch das 4,348-fache</w:t>
      </w:r>
    </w:p>
    <w:p w:rsidR="00BE1EFE" w:rsidRPr="004D3F5B" w:rsidRDefault="00BE1EFE" w:rsidP="004D3F5B">
      <w:pPr>
        <w:pStyle w:val="StandardWeb"/>
        <w:jc w:val="center"/>
        <w:rPr>
          <w:rFonts w:cs="Arial"/>
          <w:szCs w:val="16"/>
        </w:rPr>
      </w:pPr>
      <w:r w:rsidRPr="007138DC">
        <w:rPr>
          <w:rFonts w:cs="Arial"/>
          <w:szCs w:val="16"/>
        </w:rPr>
        <w:t xml:space="preserve"> der wöchentlichen Arbeitszeit</w:t>
      </w:r>
    </w:p>
    <w:p w:rsidR="00BE1EFE" w:rsidRPr="000B1AF8" w:rsidRDefault="00BE1EFE">
      <w:pPr>
        <w:pStyle w:val="StandardWeb"/>
        <w:jc w:val="center"/>
      </w:pPr>
    </w:p>
    <w:p w:rsidR="00BE1EFE" w:rsidRDefault="00BE1EFE">
      <w:pPr>
        <w:pStyle w:val="berschrift6"/>
      </w:pPr>
      <w:bookmarkStart w:id="83" w:name="_Toc523925754"/>
      <w:r>
        <w:lastRenderedPageBreak/>
        <w:t>Anlage D: Auszahlungsvolumen des Leistungsentgelts gemäß ABD</w:t>
      </w:r>
      <w:bookmarkEnd w:id="83"/>
    </w:p>
    <w:p w:rsidR="00BE1EFE" w:rsidRPr="00B76821" w:rsidRDefault="00BE1EFE" w:rsidP="00B76821">
      <w:pPr>
        <w:pStyle w:val="h7"/>
        <w:keepNext w:val="0"/>
        <w:spacing w:before="0" w:after="0"/>
        <w:jc w:val="left"/>
        <w:outlineLvl w:val="5"/>
        <w:rPr>
          <w:sz w:val="2"/>
        </w:rPr>
      </w:pPr>
    </w:p>
    <w:p w:rsidR="00BE1EFE" w:rsidRDefault="00BE1EFE">
      <w:pPr>
        <w:jc w:val="both"/>
      </w:pPr>
      <w:r>
        <w:t xml:space="preserve">1. Als Entgeltbestandteile des Gesamtvolumens gemäß </w:t>
      </w:r>
      <w:hyperlink r:id="rId239" w:history="1">
        <w:r w:rsidRPr="002D1F1D">
          <w:rPr>
            <w:rStyle w:val="Hyperlink"/>
          </w:rPr>
          <w:t xml:space="preserve">§ 18 </w:t>
        </w:r>
        <w:r>
          <w:rPr>
            <w:rStyle w:val="Hyperlink"/>
          </w:rPr>
          <w:t>Absatz</w:t>
        </w:r>
        <w:r w:rsidRPr="002D1F1D">
          <w:rPr>
            <w:rStyle w:val="Hyperlink"/>
          </w:rPr>
          <w:t xml:space="preserve"> 2</w:t>
        </w:r>
      </w:hyperlink>
      <w:r>
        <w:t xml:space="preserve"> zählen:</w:t>
      </w:r>
    </w:p>
    <w:p w:rsidR="00BE1EFE" w:rsidRDefault="00BE1EFE">
      <w:pPr>
        <w:jc w:val="both"/>
      </w:pPr>
    </w:p>
    <w:p w:rsidR="00BE1EFE" w:rsidRDefault="00BE1EFE">
      <w:pPr>
        <w:pStyle w:val="StandardWeb"/>
      </w:pPr>
      <w:r>
        <w:t>– Tabellenentgelt ohne Sozialversicherungsbeiträge des Arbeitgebers und ohne dessen Kosten für die betriebliche Altersvorsorge und Beihilfe</w:t>
      </w:r>
    </w:p>
    <w:p w:rsidR="00BE1EFE" w:rsidRDefault="00BE1EFE">
      <w:pPr>
        <w:pStyle w:val="StandardWeb"/>
      </w:pPr>
      <w:r>
        <w:t>– die in Monatsbeträgen festgelegten zusatzversorgungspflichtigen Zulagen, z. B.</w:t>
      </w:r>
    </w:p>
    <w:p w:rsidR="00BE1EFE" w:rsidRDefault="00BE1EFE" w:rsidP="00D22B10">
      <w:pPr>
        <w:pStyle w:val="StandardWeb"/>
        <w:ind w:left="113"/>
      </w:pPr>
      <w:r>
        <w:t xml:space="preserve">– ständige Wechselschicht-/Schichtzulage gemäß </w:t>
      </w:r>
      <w:hyperlink r:id="rId240" w:history="1">
        <w:r w:rsidRPr="002D1F1D">
          <w:rPr>
            <w:rStyle w:val="Hyperlink"/>
          </w:rPr>
          <w:t xml:space="preserve">§ 8 </w:t>
        </w:r>
        <w:r>
          <w:rPr>
            <w:rStyle w:val="Hyperlink"/>
          </w:rPr>
          <w:t>Absatz</w:t>
        </w:r>
        <w:r w:rsidRPr="002D1F1D">
          <w:rPr>
            <w:rStyle w:val="Hyperlink"/>
          </w:rPr>
          <w:t xml:space="preserve"> 5 Satz 1 und </w:t>
        </w:r>
        <w:r>
          <w:rPr>
            <w:rStyle w:val="Hyperlink"/>
          </w:rPr>
          <w:t>Absatz</w:t>
        </w:r>
        <w:r w:rsidRPr="002D1F1D">
          <w:rPr>
            <w:rStyle w:val="Hyperlink"/>
          </w:rPr>
          <w:t xml:space="preserve"> 6 Satz 1</w:t>
        </w:r>
      </w:hyperlink>
    </w:p>
    <w:p w:rsidR="00BE1EFE" w:rsidRDefault="00BE1EFE" w:rsidP="00D22B10">
      <w:pPr>
        <w:pStyle w:val="StandardWeb"/>
        <w:ind w:left="113"/>
      </w:pPr>
      <w:r>
        <w:t>– monatliche Erschwerniszuschläge</w:t>
      </w:r>
    </w:p>
    <w:p w:rsidR="00BE1EFE" w:rsidRDefault="00BE1EFE" w:rsidP="00D22B10">
      <w:pPr>
        <w:pStyle w:val="StandardWeb"/>
        <w:ind w:left="113"/>
      </w:pPr>
      <w:r>
        <w:t xml:space="preserve">– pauschalierte Entgeltbestandteile gemäß </w:t>
      </w:r>
      <w:hyperlink r:id="rId241" w:history="1">
        <w:r w:rsidRPr="002D1F1D">
          <w:rPr>
            <w:rStyle w:val="Hyperlink"/>
          </w:rPr>
          <w:t xml:space="preserve">§ 24 </w:t>
        </w:r>
        <w:r>
          <w:rPr>
            <w:rStyle w:val="Hyperlink"/>
          </w:rPr>
          <w:t>Absatz</w:t>
        </w:r>
        <w:r w:rsidRPr="002D1F1D">
          <w:rPr>
            <w:rStyle w:val="Hyperlink"/>
          </w:rPr>
          <w:t xml:space="preserve"> 6</w:t>
        </w:r>
      </w:hyperlink>
    </w:p>
    <w:p w:rsidR="00BE1EFE" w:rsidRDefault="00BE1EFE" w:rsidP="00D22B10">
      <w:pPr>
        <w:pStyle w:val="StandardWeb"/>
        <w:ind w:left="113"/>
      </w:pPr>
      <w:r>
        <w:t xml:space="preserve">– Zulage wegen vorübergehend übertragener höherwertiger Tätigkeit gemäß </w:t>
      </w:r>
      <w:hyperlink r:id="rId242" w:history="1">
        <w:r w:rsidRPr="002D1F1D">
          <w:rPr>
            <w:rStyle w:val="Hyperlink"/>
          </w:rPr>
          <w:t>§ 14</w:t>
        </w:r>
      </w:hyperlink>
    </w:p>
    <w:p w:rsidR="00BE1EFE" w:rsidRDefault="00BE1EFE" w:rsidP="00D22B10">
      <w:pPr>
        <w:pStyle w:val="StandardWeb"/>
        <w:ind w:left="113"/>
      </w:pPr>
      <w:r>
        <w:t>– Zulage als Unterschiedsbetrag zur nächst höheren Entgeltgruppe</w:t>
      </w:r>
    </w:p>
    <w:p w:rsidR="00BE1EFE" w:rsidRDefault="00BE1EFE" w:rsidP="00D22B10">
      <w:pPr>
        <w:pStyle w:val="StandardWeb"/>
        <w:ind w:left="113"/>
      </w:pPr>
      <w:r>
        <w:t>– persönliche Zulagen</w:t>
      </w:r>
    </w:p>
    <w:p w:rsidR="00BE1EFE" w:rsidRDefault="00BE1EFE" w:rsidP="00D22B10">
      <w:pPr>
        <w:pStyle w:val="StandardWeb"/>
        <w:ind w:left="113"/>
      </w:pPr>
      <w:r>
        <w:t>– Zulage im Pastoralen Bereich</w:t>
      </w:r>
    </w:p>
    <w:p w:rsidR="00BE1EFE" w:rsidRDefault="00BE1EFE" w:rsidP="00D22B10">
      <w:pPr>
        <w:pStyle w:val="StandardWeb"/>
        <w:ind w:left="113"/>
      </w:pPr>
      <w:r>
        <w:t>– Zulage bei Religionslehrerinnen/Religionslehrern im Kirchendienst</w:t>
      </w:r>
    </w:p>
    <w:p w:rsidR="00BE1EFE" w:rsidRDefault="00BE1EFE">
      <w:pPr>
        <w:pStyle w:val="StandardWeb"/>
      </w:pPr>
      <w:r>
        <w:t>– die in Monatsbeträgen festgelegten Besitzstandszulagen, z. B.</w:t>
      </w:r>
    </w:p>
    <w:p w:rsidR="00BE1EFE" w:rsidRDefault="00BE1EFE" w:rsidP="00D22B10">
      <w:pPr>
        <w:pStyle w:val="StandardWeb"/>
        <w:ind w:left="113"/>
      </w:pPr>
      <w:r>
        <w:t xml:space="preserve">– Besitzstand betreffend kinderbezogene Entgeltbestandteile gemäß </w:t>
      </w:r>
      <w:hyperlink r:id="rId243" w:history="1">
        <w:r w:rsidRPr="002D1F1D">
          <w:rPr>
            <w:rStyle w:val="Hyperlink"/>
          </w:rPr>
          <w:t>§ 11</w:t>
        </w:r>
      </w:hyperlink>
      <w:r>
        <w:t xml:space="preserve"> und </w:t>
      </w:r>
      <w:hyperlink r:id="rId244" w:history="1">
        <w:r>
          <w:rPr>
            <w:rStyle w:val="Hyperlink"/>
          </w:rPr>
          <w:t>§ 17a Teil A, </w:t>
        </w:r>
        <w:r w:rsidRPr="002D1F1D">
          <w:rPr>
            <w:rStyle w:val="Hyperlink"/>
          </w:rPr>
          <w:t>3.</w:t>
        </w:r>
      </w:hyperlink>
    </w:p>
    <w:p w:rsidR="00BE1EFE" w:rsidRDefault="00BE1EFE" w:rsidP="00D22B10">
      <w:pPr>
        <w:pStyle w:val="StandardWeb"/>
        <w:ind w:left="113"/>
      </w:pPr>
      <w:r>
        <w:t xml:space="preserve">– Besitzstand betreffend Vergütungsgruppenzulagen gemäß </w:t>
      </w:r>
      <w:hyperlink r:id="rId245" w:history="1">
        <w:r w:rsidRPr="002D1F1D">
          <w:rPr>
            <w:rStyle w:val="Hyperlink"/>
          </w:rPr>
          <w:t>§ 9 Teil A, 3.</w:t>
        </w:r>
      </w:hyperlink>
    </w:p>
    <w:p w:rsidR="00BE1EFE" w:rsidRDefault="00BE1EFE" w:rsidP="00D22B10">
      <w:pPr>
        <w:pStyle w:val="StandardWeb"/>
        <w:ind w:left="113"/>
      </w:pPr>
      <w:r>
        <w:t xml:space="preserve">– Besitzstand betreffend vorübergehend übertragene höherwertige Tätigkeiten gemäß </w:t>
      </w:r>
      <w:hyperlink r:id="rId246" w:history="1">
        <w:r w:rsidRPr="002D1F1D">
          <w:rPr>
            <w:rStyle w:val="Hyperlink"/>
          </w:rPr>
          <w:t>§ 10 Teil A, 3.</w:t>
        </w:r>
      </w:hyperlink>
    </w:p>
    <w:p w:rsidR="00BE1EFE" w:rsidRDefault="00BE1EFE">
      <w:pPr>
        <w:pStyle w:val="StandardWeb"/>
      </w:pPr>
      <w:r>
        <w:t xml:space="preserve">– Entgelt im Krankheitsfall gemäß </w:t>
      </w:r>
      <w:hyperlink r:id="rId247" w:history="1">
        <w:r w:rsidRPr="002D1F1D">
          <w:rPr>
            <w:rStyle w:val="Hyperlink"/>
          </w:rPr>
          <w:t>§ 22</w:t>
        </w:r>
      </w:hyperlink>
      <w:r>
        <w:t xml:space="preserve">, soweit dieses Entgelt in dem betreffenden Kalenderjahr ausgezahlt worden ist, </w:t>
      </w:r>
    </w:p>
    <w:p w:rsidR="00BE1EFE" w:rsidRPr="000B1AF8" w:rsidRDefault="00BE1EFE">
      <w:pPr>
        <w:pStyle w:val="StandardWeb"/>
      </w:pPr>
      <w:r>
        <w:t xml:space="preserve">– Entgelt bei Urlaub gemäß </w:t>
      </w:r>
      <w:hyperlink r:id="rId248" w:history="1">
        <w:r w:rsidRPr="002D1F1D">
          <w:rPr>
            <w:rStyle w:val="Hyperlink"/>
          </w:rPr>
          <w:t>§ 21</w:t>
        </w:r>
      </w:hyperlink>
      <w:r>
        <w:t>, soweit dieses Entgelt in dem betreffenden Kalenderjahr ausgezahlt worden ist.</w:t>
      </w:r>
    </w:p>
    <w:p w:rsidR="00BE1EFE" w:rsidRPr="000B1AF8" w:rsidRDefault="00BE1EFE">
      <w:pPr>
        <w:pStyle w:val="StandardWeb"/>
      </w:pPr>
    </w:p>
    <w:p w:rsidR="00BE1EFE" w:rsidRDefault="00BE1EFE">
      <w:pPr>
        <w:pStyle w:val="StandardWeb"/>
      </w:pPr>
      <w:r>
        <w:t xml:space="preserve">2. Für die Ermittlung des Gesamtvolumens gemäß </w:t>
      </w:r>
      <w:hyperlink r:id="rId249" w:history="1">
        <w:r w:rsidRPr="002D1F1D">
          <w:rPr>
            <w:rStyle w:val="Hyperlink"/>
          </w:rPr>
          <w:t xml:space="preserve">§ 18 </w:t>
        </w:r>
        <w:r>
          <w:rPr>
            <w:rStyle w:val="Hyperlink"/>
          </w:rPr>
          <w:t>Absatz</w:t>
        </w:r>
        <w:r w:rsidRPr="002D1F1D">
          <w:rPr>
            <w:rStyle w:val="Hyperlink"/>
          </w:rPr>
          <w:t xml:space="preserve"> 2 Satz 1</w:t>
        </w:r>
      </w:hyperlink>
      <w:r>
        <w:t xml:space="preserve"> sind nicht zu berücksichtigen:</w:t>
      </w:r>
    </w:p>
    <w:p w:rsidR="00BE1EFE" w:rsidRDefault="00BE1EFE">
      <w:pPr>
        <w:pStyle w:val="StandardWeb"/>
      </w:pPr>
    </w:p>
    <w:p w:rsidR="00BE1EFE" w:rsidRDefault="00BE1EFE">
      <w:pPr>
        <w:pStyle w:val="StandardWeb"/>
      </w:pPr>
      <w:r>
        <w:t>– Abfindungen</w:t>
      </w:r>
    </w:p>
    <w:p w:rsidR="00BE1EFE" w:rsidRDefault="00BE1EFE">
      <w:pPr>
        <w:pStyle w:val="StandardWeb"/>
      </w:pPr>
      <w:r>
        <w:t>– Aufwandsentschädigungen</w:t>
      </w:r>
    </w:p>
    <w:p w:rsidR="00BE1EFE" w:rsidRDefault="00BE1EFE">
      <w:pPr>
        <w:pStyle w:val="StandardWeb"/>
      </w:pPr>
      <w:r>
        <w:t>– Einmalzahlungen</w:t>
      </w:r>
    </w:p>
    <w:p w:rsidR="00BE1EFE" w:rsidRDefault="00BE1EFE">
      <w:pPr>
        <w:pStyle w:val="StandardWeb"/>
      </w:pPr>
      <w:r>
        <w:t>– Jahressonderzahlungen</w:t>
      </w:r>
    </w:p>
    <w:p w:rsidR="00BE1EFE" w:rsidRDefault="00BE1EFE">
      <w:pPr>
        <w:pStyle w:val="StandardWeb"/>
      </w:pPr>
      <w:r>
        <w:t>– Leistungsentgelte</w:t>
      </w:r>
    </w:p>
    <w:p w:rsidR="00BE1EFE" w:rsidRDefault="00BE1EFE">
      <w:pPr>
        <w:pStyle w:val="StandardWeb"/>
      </w:pPr>
      <w:r>
        <w:t>– Strukturausgleiche</w:t>
      </w:r>
    </w:p>
    <w:p w:rsidR="00BE1EFE" w:rsidRDefault="00BE1EFE">
      <w:pPr>
        <w:pStyle w:val="StandardWeb"/>
      </w:pPr>
      <w:r>
        <w:t>– unständige Entgeltbestandteile</w:t>
      </w:r>
    </w:p>
    <w:p w:rsidR="00BE1EFE" w:rsidRDefault="00BE1EFE">
      <w:pPr>
        <w:pStyle w:val="StandardWeb"/>
      </w:pPr>
      <w:r>
        <w:t>– nicht ständige Wechselschicht-/Schichtzulage</w:t>
      </w:r>
    </w:p>
    <w:p w:rsidR="00BE1EFE" w:rsidRDefault="00BE1EFE">
      <w:pPr>
        <w:pStyle w:val="StandardWeb"/>
      </w:pPr>
      <w:r>
        <w:t>– spitz abgerechnete Entgeltbestandteile</w:t>
      </w:r>
    </w:p>
    <w:p w:rsidR="00BE1EFE" w:rsidRDefault="00BE1EFE">
      <w:pPr>
        <w:pStyle w:val="StandardWeb"/>
      </w:pPr>
      <w:r>
        <w:t>– Entgelte der außertariflich Beschäftigten</w:t>
      </w:r>
    </w:p>
    <w:p w:rsidR="00BE1EFE" w:rsidRDefault="00BE1EFE">
      <w:pPr>
        <w:pStyle w:val="StandardWeb"/>
      </w:pPr>
    </w:p>
    <w:p w:rsidR="00BE1EFE" w:rsidRDefault="00BE1EFE">
      <w:pPr>
        <w:pStyle w:val="StandardWeb"/>
      </w:pPr>
      <w:r>
        <w:t xml:space="preserve">3. Für die Ermittlung des Gesamtvolumens gemäß </w:t>
      </w:r>
      <w:hyperlink r:id="rId250" w:history="1">
        <w:r>
          <w:rPr>
            <w:rStyle w:val="Hyperlink"/>
          </w:rPr>
          <w:t>§ </w:t>
        </w:r>
        <w:r w:rsidRPr="002D1F1D">
          <w:rPr>
            <w:rStyle w:val="Hyperlink"/>
          </w:rPr>
          <w:t xml:space="preserve">18 </w:t>
        </w:r>
        <w:r>
          <w:rPr>
            <w:rStyle w:val="Hyperlink"/>
          </w:rPr>
          <w:t>Absatz</w:t>
        </w:r>
        <w:r w:rsidRPr="002D1F1D">
          <w:rPr>
            <w:rStyle w:val="Hyperlink"/>
          </w:rPr>
          <w:t xml:space="preserve"> 2 Satz 1</w:t>
        </w:r>
      </w:hyperlink>
      <w:r>
        <w:t xml:space="preserve"> sind auch zu berücksichtigen:</w:t>
      </w:r>
    </w:p>
    <w:p w:rsidR="00BE1EFE" w:rsidRDefault="00BE1EFE">
      <w:pPr>
        <w:pStyle w:val="StandardWeb"/>
      </w:pPr>
    </w:p>
    <w:p w:rsidR="00BE1EFE" w:rsidRDefault="00BE1EFE">
      <w:pPr>
        <w:pStyle w:val="StandardWeb"/>
      </w:pPr>
      <w:r>
        <w:t>– Arbeitgeberzuschuss zur vermögenswirksamen Leistung</w:t>
      </w:r>
    </w:p>
    <w:p w:rsidR="00BE1EFE" w:rsidRDefault="00BE1EFE">
      <w:pPr>
        <w:pStyle w:val="StandardWeb"/>
      </w:pPr>
      <w:r>
        <w:t xml:space="preserve">– Aufschläge gemäß </w:t>
      </w:r>
      <w:hyperlink r:id="rId251" w:history="1">
        <w:r w:rsidRPr="002D1F1D">
          <w:rPr>
            <w:rStyle w:val="Hyperlink"/>
          </w:rPr>
          <w:t>§ 21</w:t>
        </w:r>
      </w:hyperlink>
      <w:r>
        <w:t>*</w:t>
      </w:r>
    </w:p>
    <w:p w:rsidR="00BE1EFE" w:rsidRDefault="00BE1EFE">
      <w:pPr>
        <w:pStyle w:val="StandardWeb"/>
      </w:pPr>
      <w:r>
        <w:t>– Aufstockungsbetrag bei Altersteilzeitarbeit</w:t>
      </w:r>
    </w:p>
    <w:p w:rsidR="00BE1EFE" w:rsidRDefault="00BE1EFE">
      <w:pPr>
        <w:pStyle w:val="StandardWeb"/>
      </w:pPr>
      <w:r>
        <w:t>– Ballungsraumzulage</w:t>
      </w:r>
    </w:p>
    <w:p w:rsidR="00BE1EFE" w:rsidRDefault="00BE1EFE">
      <w:pPr>
        <w:pStyle w:val="StandardWeb"/>
      </w:pPr>
      <w:r>
        <w:t>– Entgelt von dauerhaft geringfügig Beschäftigten</w:t>
      </w:r>
    </w:p>
    <w:p w:rsidR="00BE1EFE" w:rsidRDefault="00BE1EFE">
      <w:pPr>
        <w:pStyle w:val="StandardWeb"/>
      </w:pPr>
      <w:r>
        <w:t>– Entgelt von Beschäftigten, die im Laufe des Vorjahres in Elternzeit gegangen sind</w:t>
      </w:r>
    </w:p>
    <w:p w:rsidR="00BE1EFE" w:rsidRDefault="00BE1EFE">
      <w:pPr>
        <w:pStyle w:val="StandardWeb"/>
      </w:pPr>
      <w:r>
        <w:t>– Entgelt von Beschäftigten, die wegen langer krankheitsbedingter Arbeitsunfähigkeit im Laufe des Vorjahres aus dem Krankengeldzuschuss heraus gefallen sind</w:t>
      </w:r>
    </w:p>
    <w:p w:rsidR="00BE1EFE" w:rsidRDefault="00BE1EFE">
      <w:pPr>
        <w:pStyle w:val="StandardWeb"/>
      </w:pPr>
      <w:r>
        <w:t>– Entgelt von Beschäftigten, die im Laufe des Vorjahres im Rahmen der Altersteilzeit in die Freizeitphase wechseln</w:t>
      </w:r>
    </w:p>
    <w:p w:rsidR="00BE1EFE" w:rsidRDefault="00BE1EFE">
      <w:pPr>
        <w:pStyle w:val="StandardWeb"/>
      </w:pPr>
      <w:r>
        <w:lastRenderedPageBreak/>
        <w:t>– Entgelt von Beschäftigten, die im Laufe des Vorjahres ausgeschieden sind</w:t>
      </w:r>
    </w:p>
    <w:p w:rsidR="00BE1EFE" w:rsidRDefault="00BE1EFE">
      <w:pPr>
        <w:pStyle w:val="StandardWeb"/>
      </w:pPr>
      <w:r>
        <w:t>– Krankengeldzuschuss</w:t>
      </w:r>
    </w:p>
    <w:p w:rsidR="00BE1EFE" w:rsidRDefault="00BE1EFE">
      <w:pPr>
        <w:pStyle w:val="StandardWeb"/>
      </w:pPr>
      <w:r>
        <w:t>– Zuschuss zum Mutterschaftsgeld</w:t>
      </w:r>
    </w:p>
    <w:p w:rsidR="00BE1EFE" w:rsidRDefault="00BE1EFE">
      <w:pPr>
        <w:pStyle w:val="StandardWeb"/>
      </w:pPr>
      <w:r>
        <w:t>– Monatsentgelte von vertretungsweisen Aushilfen, soweit nicht kurzfristig beschäftigt</w:t>
      </w:r>
    </w:p>
    <w:p w:rsidR="00BE1EFE" w:rsidRDefault="00BE1EFE">
      <w:pPr>
        <w:pStyle w:val="StandardWeb"/>
      </w:pPr>
      <w:r w:rsidRPr="009C6551">
        <w:rPr>
          <w:rStyle w:val="kleinschrift1"/>
        </w:rPr>
        <w:t>*§ 21 stellt lediglich eine Berechnungsgrundlage dar, aber Entgelt im Krankheitsfall fließt im vollen Umfang mit ein.</w:t>
      </w:r>
    </w:p>
    <w:p w:rsidR="00BE1EFE" w:rsidRDefault="00BE1EFE">
      <w:pPr>
        <w:pStyle w:val="StandardWeb"/>
      </w:pPr>
    </w:p>
    <w:p w:rsidR="00BE1EFE" w:rsidRDefault="00BE1EFE">
      <w:pPr>
        <w:pStyle w:val="StandardWeb"/>
      </w:pPr>
      <w:r>
        <w:t xml:space="preserve">4. Für die Ermittlung des Gesamtvolumens gemäß </w:t>
      </w:r>
      <w:hyperlink r:id="rId252" w:history="1">
        <w:r w:rsidRPr="002D1F1D">
          <w:rPr>
            <w:rStyle w:val="Hyperlink"/>
          </w:rPr>
          <w:t xml:space="preserve">§ 18 </w:t>
        </w:r>
        <w:r>
          <w:rPr>
            <w:rStyle w:val="Hyperlink"/>
          </w:rPr>
          <w:t>Absatz</w:t>
        </w:r>
        <w:r w:rsidRPr="002D1F1D">
          <w:rPr>
            <w:rStyle w:val="Hyperlink"/>
          </w:rPr>
          <w:t xml:space="preserve"> 2 Satz 1</w:t>
        </w:r>
      </w:hyperlink>
      <w:r>
        <w:t xml:space="preserve"> sind ferner nicht zu berücksichtigen:</w:t>
      </w:r>
    </w:p>
    <w:p w:rsidR="00BE1EFE" w:rsidRDefault="00BE1EFE">
      <w:pPr>
        <w:pStyle w:val="StandardWeb"/>
      </w:pPr>
    </w:p>
    <w:p w:rsidR="00BE1EFE" w:rsidRDefault="00BE1EFE">
      <w:pPr>
        <w:pStyle w:val="StandardWeb"/>
      </w:pPr>
      <w:r>
        <w:t>– Entgelt von kurzfristig Beschäftigten</w:t>
      </w:r>
    </w:p>
    <w:p w:rsidR="00BE1EFE" w:rsidRDefault="00BE1EFE">
      <w:pPr>
        <w:pStyle w:val="StandardWeb"/>
      </w:pPr>
      <w:r>
        <w:t>– Fahrtkostenzuschuss</w:t>
      </w:r>
    </w:p>
    <w:p w:rsidR="00BE1EFE" w:rsidRDefault="00BE1EFE">
      <w:pPr>
        <w:pStyle w:val="berschrift6"/>
      </w:pPr>
      <w:bookmarkStart w:id="84" w:name="_Toc523925755"/>
      <w:r>
        <w:t>Anlage E: Einführung, Leistungsfeststellung und Auszahlung des Leistungsentgelts</w:t>
      </w:r>
      <w:bookmarkEnd w:id="8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(Derzeit nicht belegt. Bis zur Ausfüllung der Anlage E gilt </w:t>
      </w:r>
      <w:hyperlink r:id="rId253" w:history="1">
        <w:r>
          <w:rPr>
            <w:rStyle w:val="Hyperlink"/>
          </w:rPr>
          <w:t>§ 18</w:t>
        </w:r>
        <w:r w:rsidRPr="002D1F1D">
          <w:rPr>
            <w:rStyle w:val="Hyperlink"/>
          </w:rPr>
          <w:t>a</w:t>
        </w:r>
      </w:hyperlink>
      <w:r>
        <w:t>.)</w:t>
      </w:r>
    </w:p>
    <w:p w:rsidR="00BE1EFE" w:rsidRDefault="00BE1EFE" w:rsidP="00DA47CC">
      <w:pPr>
        <w:pStyle w:val="StandardWeb"/>
      </w:pPr>
      <w:r>
        <w:br w:type="page"/>
      </w:r>
    </w:p>
    <w:p w:rsidR="00BE1EFE" w:rsidRPr="00B46706" w:rsidRDefault="00BE1EFE" w:rsidP="00B46706">
      <w:pPr>
        <w:pStyle w:val="berschrift6"/>
        <w:spacing w:before="0"/>
        <w:rPr>
          <w:sz w:val="2"/>
          <w:szCs w:val="2"/>
        </w:rPr>
      </w:pPr>
      <w:bookmarkStart w:id="85" w:name="_Toc523925756"/>
      <w:r>
        <w:lastRenderedPageBreak/>
        <w:t>Anlage F: Tabellenentgelte zu Abschnitt VII</w:t>
      </w:r>
      <w:bookmarkEnd w:id="85"/>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11"/>
        <w:gridCol w:w="849"/>
        <w:gridCol w:w="849"/>
        <w:gridCol w:w="849"/>
        <w:gridCol w:w="849"/>
        <w:gridCol w:w="849"/>
        <w:gridCol w:w="849"/>
      </w:tblGrid>
      <w:tr w:rsidR="00BE1EFE" w:rsidRPr="008C5D3C" w:rsidTr="0095087B">
        <w:trPr>
          <w:trHeight w:val="1418"/>
          <w:jc w:val="center"/>
        </w:trPr>
        <w:tc>
          <w:tcPr>
            <w:tcW w:w="0" w:type="auto"/>
            <w:gridSpan w:val="7"/>
            <w:tcBorders>
              <w:top w:val="single" w:sz="8" w:space="0" w:color="auto"/>
              <w:left w:val="single" w:sz="8" w:space="0" w:color="auto"/>
              <w:bottom w:val="single" w:sz="8" w:space="0" w:color="auto"/>
              <w:right w:val="single" w:sz="8" w:space="0" w:color="auto"/>
            </w:tcBorders>
            <w:tcMar>
              <w:top w:w="28" w:type="dxa"/>
              <w:left w:w="113" w:type="dxa"/>
              <w:bottom w:w="0" w:type="dxa"/>
              <w:right w:w="113" w:type="dxa"/>
            </w:tcMar>
            <w:vAlign w:val="center"/>
            <w:hideMark/>
          </w:tcPr>
          <w:p w:rsidR="00BE1EFE" w:rsidRPr="00B76821" w:rsidRDefault="00BE1EFE" w:rsidP="00B76821">
            <w:pPr>
              <w:pStyle w:val="h7"/>
              <w:keepNext w:val="0"/>
              <w:spacing w:before="0" w:after="0"/>
              <w:jc w:val="left"/>
              <w:outlineLvl w:val="5"/>
              <w:rPr>
                <w:sz w:val="2"/>
              </w:rPr>
            </w:pPr>
          </w:p>
          <w:p w:rsidR="00BE1EFE" w:rsidRPr="008C5D3C" w:rsidRDefault="00BE1EFE" w:rsidP="0095087B">
            <w:pPr>
              <w:spacing w:before="120" w:after="120"/>
              <w:jc w:val="center"/>
              <w:rPr>
                <w:rFonts w:ascii="Helvetica" w:hAnsi="Helvetica"/>
                <w:color w:val="000000"/>
                <w:sz w:val="20"/>
                <w:szCs w:val="20"/>
              </w:rPr>
            </w:pPr>
            <w:r w:rsidRPr="008C5D3C">
              <w:rPr>
                <w:rFonts w:cs="Arial"/>
                <w:b/>
                <w:bCs/>
                <w:color w:val="000000"/>
                <w:szCs w:val="16"/>
              </w:rPr>
              <w:t>Tabelle</w:t>
            </w:r>
          </w:p>
          <w:p w:rsidR="00BE1EFE" w:rsidRPr="008C5D3C" w:rsidRDefault="00BE1EFE" w:rsidP="0095087B">
            <w:pPr>
              <w:spacing w:after="120"/>
              <w:jc w:val="center"/>
              <w:rPr>
                <w:rFonts w:ascii="Helvetica" w:hAnsi="Helvetica"/>
                <w:color w:val="000000"/>
                <w:sz w:val="20"/>
                <w:szCs w:val="20"/>
              </w:rPr>
            </w:pPr>
            <w:r w:rsidRPr="008C5D3C">
              <w:rPr>
                <w:rFonts w:cs="Arial"/>
                <w:b/>
                <w:bCs/>
                <w:color w:val="000000"/>
                <w:szCs w:val="16"/>
              </w:rPr>
              <w:t>Beschäftigte im Sozial- und Erziehungsdienst</w:t>
            </w:r>
          </w:p>
          <w:p w:rsidR="00BE1EFE" w:rsidRPr="008C5D3C" w:rsidRDefault="00BE1EFE" w:rsidP="0095087B">
            <w:pPr>
              <w:spacing w:after="120"/>
              <w:jc w:val="center"/>
              <w:rPr>
                <w:rFonts w:ascii="Helvetica" w:hAnsi="Helvetica"/>
                <w:color w:val="000000"/>
                <w:sz w:val="20"/>
                <w:szCs w:val="20"/>
              </w:rPr>
            </w:pPr>
            <w:r w:rsidRPr="008C5D3C">
              <w:rPr>
                <w:rFonts w:cs="Arial"/>
                <w:b/>
                <w:bCs/>
                <w:color w:val="000000"/>
                <w:szCs w:val="16"/>
              </w:rPr>
              <w:t xml:space="preserve">gültig </w:t>
            </w:r>
            <w:r>
              <w:rPr>
                <w:rFonts w:cs="Arial"/>
                <w:b/>
                <w:bCs/>
                <w:color w:val="000000"/>
                <w:szCs w:val="16"/>
              </w:rPr>
              <w:t>vom</w:t>
            </w:r>
            <w:r w:rsidRPr="00244E1E">
              <w:rPr>
                <w:rFonts w:cs="Arial"/>
                <w:b/>
                <w:bCs/>
                <w:color w:val="000000"/>
                <w:szCs w:val="16"/>
              </w:rPr>
              <w:t xml:space="preserve"> 1. März 2018 bis 31. März 2019</w:t>
            </w:r>
          </w:p>
          <w:p w:rsidR="00BE1EFE" w:rsidRPr="008C5D3C" w:rsidRDefault="00BE1EFE" w:rsidP="0095087B">
            <w:pPr>
              <w:spacing w:after="120"/>
              <w:jc w:val="center"/>
              <w:rPr>
                <w:rFonts w:ascii="Helvetica" w:hAnsi="Helvetica"/>
                <w:color w:val="000000"/>
                <w:sz w:val="20"/>
                <w:szCs w:val="20"/>
              </w:rPr>
            </w:pPr>
            <w:r w:rsidRPr="008C5D3C">
              <w:rPr>
                <w:rFonts w:cs="Arial"/>
                <w:color w:val="000000"/>
                <w:szCs w:val="16"/>
              </w:rPr>
              <w:t>(monatlich in Euro)</w:t>
            </w:r>
          </w:p>
        </w:tc>
      </w:tr>
      <w:tr w:rsidR="00BE1EFE" w:rsidRPr="008C5D3C" w:rsidTr="0095087B">
        <w:trPr>
          <w:trHeight w:val="170"/>
          <w:jc w:val="center"/>
        </w:trPr>
        <w:tc>
          <w:tcPr>
            <w:tcW w:w="0" w:type="auto"/>
            <w:gridSpan w:val="7"/>
            <w:tcBorders>
              <w:top w:val="nil"/>
              <w:left w:val="nil"/>
              <w:bottom w:val="single" w:sz="8" w:space="0" w:color="auto"/>
              <w:right w:val="nil"/>
            </w:tcBorders>
            <w:noWrap/>
            <w:tcMar>
              <w:top w:w="28" w:type="dxa"/>
              <w:left w:w="113" w:type="dxa"/>
              <w:bottom w:w="0" w:type="dxa"/>
              <w:right w:w="113" w:type="dxa"/>
            </w:tcMar>
            <w:vAlign w:val="center"/>
            <w:hideMark/>
          </w:tcPr>
          <w:p w:rsidR="00BE1EFE" w:rsidRPr="008C5D3C" w:rsidRDefault="00BE1EFE" w:rsidP="0095087B">
            <w:pPr>
              <w:spacing w:line="170" w:lineRule="atLeast"/>
              <w:rPr>
                <w:rFonts w:ascii="Helvetica" w:hAnsi="Helvetica"/>
                <w:color w:val="000000"/>
                <w:sz w:val="20"/>
                <w:szCs w:val="20"/>
              </w:rPr>
            </w:pPr>
            <w:r w:rsidRPr="008C5D3C">
              <w:rPr>
                <w:rFonts w:cs="Arial"/>
                <w:color w:val="000000"/>
                <w:szCs w:val="16"/>
              </w:rPr>
              <w:t> </w:t>
            </w:r>
            <w:r w:rsidRPr="008C5D3C">
              <w:rPr>
                <w:rFonts w:ascii="Times New Roman" w:hAnsi="Times New Roman"/>
                <w:color w:val="000000"/>
                <w:sz w:val="24"/>
              </w:rPr>
              <w:t xml:space="preserve"> </w:t>
            </w:r>
          </w:p>
        </w:tc>
      </w:tr>
      <w:tr w:rsidR="00BE1EFE" w:rsidRPr="008C5D3C" w:rsidTr="0095087B">
        <w:trPr>
          <w:trHeight w:val="284"/>
          <w:jc w:val="center"/>
        </w:trPr>
        <w:tc>
          <w:tcPr>
            <w:tcW w:w="0" w:type="auto"/>
            <w:tcBorders>
              <w:top w:val="nil"/>
              <w:left w:val="single" w:sz="8" w:space="0" w:color="auto"/>
              <w:bottom w:val="single" w:sz="8" w:space="0" w:color="auto"/>
              <w:right w:val="single" w:sz="8" w:space="0" w:color="auto"/>
            </w:tcBorders>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Entgeltgruppe</w:t>
            </w:r>
            <w:r w:rsidRPr="008C5D3C">
              <w:rPr>
                <w:rFonts w:ascii="Times New Roman" w:hAnsi="Times New Roman"/>
                <w:color w:val="000000"/>
                <w:sz w:val="24"/>
              </w:rPr>
              <w:t xml:space="preserve"> </w:t>
            </w:r>
          </w:p>
        </w:tc>
        <w:tc>
          <w:tcPr>
            <w:tcW w:w="0" w:type="auto"/>
            <w:gridSpan w:val="2"/>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Grundentgelt</w:t>
            </w:r>
            <w:r w:rsidRPr="008C5D3C">
              <w:rPr>
                <w:rFonts w:ascii="Times New Roman" w:hAnsi="Times New Roman"/>
                <w:color w:val="000000"/>
                <w:sz w:val="24"/>
              </w:rPr>
              <w:t xml:space="preserve"> </w:t>
            </w:r>
          </w:p>
        </w:tc>
        <w:tc>
          <w:tcPr>
            <w:tcW w:w="0" w:type="auto"/>
            <w:gridSpan w:val="4"/>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Entwicklungsstufen</w:t>
            </w:r>
            <w:r w:rsidRPr="008C5D3C">
              <w:rPr>
                <w:rFonts w:ascii="Times New Roman" w:hAnsi="Times New Roman"/>
                <w:color w:val="000000"/>
                <w:sz w:val="24"/>
              </w:rPr>
              <w:t xml:space="preserve"> </w:t>
            </w:r>
          </w:p>
        </w:tc>
      </w:tr>
      <w:tr w:rsidR="00BE1EFE" w:rsidRPr="008C5D3C" w:rsidTr="0095087B">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color w:val="000000"/>
                <w:szCs w:val="16"/>
              </w:rPr>
              <w:t> </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Stufe 1</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Stufe 2</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Stufe 3</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Stufe 4</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Stufe 5</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Stufe 6</w:t>
            </w:r>
            <w:r w:rsidRPr="008C5D3C">
              <w:rPr>
                <w:rFonts w:ascii="Times New Roman" w:hAnsi="Times New Roman"/>
                <w:color w:val="000000"/>
                <w:sz w:val="24"/>
              </w:rPr>
              <w:t xml:space="preserve"> </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18</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3.733,74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3.847,26</w:t>
            </w:r>
          </w:p>
        </w:tc>
        <w:tc>
          <w:tcPr>
            <w:tcW w:w="0" w:type="auto"/>
            <w:tcBorders>
              <w:top w:val="nil"/>
              <w:left w:val="nil"/>
              <w:bottom w:val="single" w:sz="8" w:space="0" w:color="auto"/>
              <w:right w:val="single" w:sz="8" w:space="0" w:color="auto"/>
            </w:tcBorders>
            <w:noWrap/>
            <w:tcMar>
              <w:top w:w="0" w:type="dxa"/>
              <w:left w:w="113" w:type="dxa"/>
              <w:bottom w:w="0" w:type="dxa"/>
              <w:right w:w="113" w:type="dxa"/>
            </w:tcMar>
            <w:vAlign w:val="center"/>
            <w:hideMark/>
          </w:tcPr>
          <w:p w:rsidR="00BE1EFE" w:rsidRPr="00B7121D" w:rsidRDefault="00BE1EFE" w:rsidP="00B7121D">
            <w:pPr>
              <w:jc w:val="center"/>
              <w:rPr>
                <w:b/>
              </w:rPr>
            </w:pPr>
            <w:r w:rsidRPr="00B7121D">
              <w:rPr>
                <w:b/>
              </w:rPr>
              <w:t>4.343,71</w:t>
            </w:r>
          </w:p>
        </w:tc>
        <w:tc>
          <w:tcPr>
            <w:tcW w:w="0" w:type="auto"/>
            <w:tcBorders>
              <w:top w:val="nil"/>
              <w:left w:val="nil"/>
              <w:bottom w:val="single" w:sz="8" w:space="0" w:color="auto"/>
              <w:right w:val="single" w:sz="8" w:space="0" w:color="auto"/>
            </w:tcBorders>
            <w:noWrap/>
            <w:tcMar>
              <w:top w:w="0" w:type="dxa"/>
              <w:left w:w="113" w:type="dxa"/>
              <w:bottom w:w="0" w:type="dxa"/>
              <w:right w:w="113" w:type="dxa"/>
            </w:tcMar>
            <w:vAlign w:val="center"/>
            <w:hideMark/>
          </w:tcPr>
          <w:p w:rsidR="00BE1EFE" w:rsidRPr="00B7121D" w:rsidRDefault="00BE1EFE" w:rsidP="00B7121D">
            <w:pPr>
              <w:jc w:val="center"/>
              <w:rPr>
                <w:b/>
              </w:rPr>
            </w:pPr>
            <w:r w:rsidRPr="00B7121D">
              <w:rPr>
                <w:b/>
              </w:rPr>
              <w:t>4.716,01</w:t>
            </w:r>
          </w:p>
        </w:tc>
        <w:tc>
          <w:tcPr>
            <w:tcW w:w="0" w:type="auto"/>
            <w:tcBorders>
              <w:top w:val="nil"/>
              <w:left w:val="nil"/>
              <w:bottom w:val="single" w:sz="8" w:space="0" w:color="auto"/>
              <w:right w:val="single" w:sz="8" w:space="0" w:color="auto"/>
            </w:tcBorders>
            <w:noWrap/>
            <w:tcMar>
              <w:top w:w="0" w:type="dxa"/>
              <w:left w:w="113" w:type="dxa"/>
              <w:bottom w:w="0" w:type="dxa"/>
              <w:right w:w="113" w:type="dxa"/>
            </w:tcMar>
            <w:vAlign w:val="center"/>
            <w:hideMark/>
          </w:tcPr>
          <w:p w:rsidR="00BE1EFE" w:rsidRPr="00B7121D" w:rsidRDefault="00BE1EFE" w:rsidP="00B7121D">
            <w:pPr>
              <w:jc w:val="center"/>
              <w:rPr>
                <w:b/>
              </w:rPr>
            </w:pPr>
            <w:r w:rsidRPr="00B7121D">
              <w:rPr>
                <w:b/>
              </w:rPr>
              <w:t>5.274,49</w:t>
            </w:r>
          </w:p>
        </w:tc>
        <w:tc>
          <w:tcPr>
            <w:tcW w:w="0" w:type="auto"/>
            <w:tcBorders>
              <w:top w:val="nil"/>
              <w:left w:val="nil"/>
              <w:bottom w:val="single" w:sz="8" w:space="0" w:color="auto"/>
              <w:right w:val="single" w:sz="8" w:space="0" w:color="auto"/>
            </w:tcBorders>
            <w:noWrap/>
            <w:tcMar>
              <w:top w:w="0" w:type="dxa"/>
              <w:left w:w="113" w:type="dxa"/>
              <w:bottom w:w="0" w:type="dxa"/>
              <w:right w:w="113" w:type="dxa"/>
            </w:tcMar>
            <w:vAlign w:val="center"/>
            <w:hideMark/>
          </w:tcPr>
          <w:p w:rsidR="00BE1EFE" w:rsidRPr="00B7121D" w:rsidRDefault="00BE1EFE" w:rsidP="00B7121D">
            <w:pPr>
              <w:jc w:val="center"/>
              <w:rPr>
                <w:b/>
              </w:rPr>
            </w:pPr>
            <w:r w:rsidRPr="00B7121D">
              <w:rPr>
                <w:b/>
              </w:rPr>
              <w:t>5.615,77</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17</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3.391,53</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3.692,14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4.095,47</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4.343,71</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4.840,10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5.131,76</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16</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3.311,26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3.611,48</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3.884,50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4.219,58</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4.591,90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4.815,29</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15</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3.187,77</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3.474,93</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3.723,18</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4.008,62</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4.467,80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4.666,35</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14</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3.171,02</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3.439,30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3.715,15</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3.995,76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4.306,04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4.523,21</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13</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3.117,30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3.352,84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3.661,11</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3.909,30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4.219,58</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4.374,70</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12</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3.074,50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3.343,35</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3.638,92</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3.899,53</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4.222,22</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4.358,74</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11b</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2.994,79</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3.295,80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3.453,43</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3.850,57</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4.160,84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4.347,00</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11a</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2.933,26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3.232,36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3.388,98</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3.785,22</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4.095,47</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4.281,63</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10</w:t>
            </w:r>
            <w:r w:rsidRPr="008C5D3C">
              <w:rPr>
                <w:rFonts w:ascii="Times New Roman" w:hAnsi="Times New Roman"/>
                <w:color w:val="000000"/>
                <w:sz w:val="24"/>
              </w:rPr>
              <w:t xml:space="preserve"> </w:t>
            </w:r>
          </w:p>
        </w:tc>
        <w:tc>
          <w:tcPr>
            <w:tcW w:w="0" w:type="auto"/>
            <w:gridSpan w:val="6"/>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rFonts w:ascii="Helvetica" w:hAnsi="Helvetica"/>
                <w:b/>
                <w:color w:val="000000"/>
                <w:sz w:val="20"/>
                <w:szCs w:val="20"/>
              </w:rPr>
            </w:pPr>
            <w:r w:rsidRPr="00B7121D">
              <w:rPr>
                <w:rFonts w:cs="Arial"/>
                <w:b/>
                <w:color w:val="000000"/>
                <w:szCs w:val="16"/>
              </w:rPr>
              <w:t>[nicht besetzt]</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9</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2.723,92</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2.982,65</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3.220,39</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3.566,21</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3.890,41</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4.138,97</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8b</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2.723,92</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2.982,65</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3.220,39</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3.566,21</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3.890,41</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4.138,97</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8a</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2.685,14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2.917,80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3.123,13</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3.317,66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3.506,77</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3.703,99</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7</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2.620,66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2.840,76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3.033,56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3.226,32</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3.370,93</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3.586,65</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6</w:t>
            </w:r>
            <w:r w:rsidRPr="008C5D3C">
              <w:rPr>
                <w:rFonts w:ascii="Times New Roman" w:hAnsi="Times New Roman"/>
                <w:color w:val="000000"/>
                <w:sz w:val="24"/>
              </w:rPr>
              <w:t xml:space="preserve"> </w:t>
            </w:r>
          </w:p>
        </w:tc>
        <w:tc>
          <w:tcPr>
            <w:tcW w:w="0" w:type="auto"/>
            <w:gridSpan w:val="6"/>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rFonts w:ascii="Helvetica" w:hAnsi="Helvetica"/>
                <w:b/>
                <w:color w:val="000000"/>
                <w:sz w:val="20"/>
                <w:szCs w:val="20"/>
              </w:rPr>
            </w:pPr>
            <w:r w:rsidRPr="00B7121D">
              <w:rPr>
                <w:rFonts w:cs="Arial"/>
                <w:b/>
                <w:color w:val="000000"/>
                <w:szCs w:val="16"/>
              </w:rPr>
              <w:t>[nicht besetzt]</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5</w:t>
            </w:r>
            <w:r w:rsidRPr="008C5D3C">
              <w:rPr>
                <w:rFonts w:ascii="Times New Roman" w:hAnsi="Times New Roman"/>
                <w:color w:val="000000"/>
                <w:sz w:val="24"/>
              </w:rPr>
              <w:t xml:space="preserve"> </w:t>
            </w:r>
          </w:p>
        </w:tc>
        <w:tc>
          <w:tcPr>
            <w:tcW w:w="0" w:type="auto"/>
            <w:gridSpan w:val="6"/>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rFonts w:ascii="Helvetica" w:hAnsi="Helvetica"/>
                <w:b/>
                <w:color w:val="000000"/>
                <w:sz w:val="20"/>
                <w:szCs w:val="20"/>
              </w:rPr>
            </w:pPr>
            <w:r w:rsidRPr="00B7121D">
              <w:rPr>
                <w:rFonts w:cs="Arial"/>
                <w:b/>
                <w:color w:val="000000"/>
                <w:szCs w:val="16"/>
              </w:rPr>
              <w:t>[nicht besetzt]</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4</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2.481,17</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2.714,24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2.882,94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2.997,41</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3.105,85</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3.274,79</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3</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2.321,05</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2.553,99</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2.716,05</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2.864,86</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2.932,94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3.014,27</w:t>
            </w:r>
          </w:p>
        </w:tc>
      </w:tr>
      <w:tr w:rsidR="00BE1EFE" w:rsidRPr="008C5D3C" w:rsidTr="00B7121D">
        <w:trPr>
          <w:trHeight w:val="284"/>
          <w:jc w:val="center"/>
        </w:trPr>
        <w:tc>
          <w:tcPr>
            <w:tcW w:w="0" w:type="auto"/>
            <w:tcBorders>
              <w:top w:val="nil"/>
              <w:left w:val="single" w:sz="8" w:space="0" w:color="auto"/>
              <w:bottom w:val="single" w:sz="8" w:space="0" w:color="auto"/>
              <w:right w:val="single" w:sz="8" w:space="0" w:color="auto"/>
            </w:tcBorders>
            <w:noWrap/>
            <w:tcMar>
              <w:top w:w="28" w:type="dxa"/>
              <w:left w:w="113" w:type="dxa"/>
              <w:bottom w:w="0" w:type="dxa"/>
              <w:right w:w="113" w:type="dxa"/>
            </w:tcMar>
            <w:vAlign w:val="center"/>
            <w:hideMark/>
          </w:tcPr>
          <w:p w:rsidR="00BE1EFE" w:rsidRPr="008C5D3C" w:rsidRDefault="00BE1EFE" w:rsidP="0095087B">
            <w:pPr>
              <w:rPr>
                <w:rFonts w:ascii="Helvetica" w:hAnsi="Helvetica"/>
                <w:color w:val="000000"/>
                <w:sz w:val="20"/>
                <w:szCs w:val="20"/>
              </w:rPr>
            </w:pPr>
            <w:r w:rsidRPr="008C5D3C">
              <w:rPr>
                <w:rFonts w:cs="Arial"/>
                <w:b/>
                <w:bCs/>
                <w:color w:val="000000"/>
                <w:szCs w:val="16"/>
              </w:rPr>
              <w:t>S 2</w:t>
            </w:r>
            <w:r w:rsidRPr="008C5D3C">
              <w:rPr>
                <w:rFonts w:ascii="Times New Roman" w:hAnsi="Times New Roman"/>
                <w:color w:val="000000"/>
                <w:sz w:val="24"/>
              </w:rPr>
              <w:t xml:space="preserve"> </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2.182,40</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2.293,44</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2.375,39</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2.467,05</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2.563,43</w:t>
            </w:r>
          </w:p>
        </w:tc>
        <w:tc>
          <w:tcPr>
            <w:tcW w:w="0" w:type="auto"/>
            <w:tcBorders>
              <w:top w:val="nil"/>
              <w:left w:val="nil"/>
              <w:bottom w:val="single" w:sz="8" w:space="0" w:color="auto"/>
              <w:right w:val="single" w:sz="8" w:space="0" w:color="auto"/>
            </w:tcBorders>
            <w:noWrap/>
            <w:tcMar>
              <w:top w:w="28" w:type="dxa"/>
              <w:left w:w="113" w:type="dxa"/>
              <w:bottom w:w="0" w:type="dxa"/>
              <w:right w:w="113" w:type="dxa"/>
            </w:tcMar>
            <w:vAlign w:val="center"/>
            <w:hideMark/>
          </w:tcPr>
          <w:p w:rsidR="00BE1EFE" w:rsidRPr="00B7121D" w:rsidRDefault="00BE1EFE" w:rsidP="00B7121D">
            <w:pPr>
              <w:jc w:val="center"/>
              <w:rPr>
                <w:b/>
              </w:rPr>
            </w:pPr>
            <w:r w:rsidRPr="00B7121D">
              <w:rPr>
                <w:b/>
              </w:rPr>
              <w:t>2.659,84</w:t>
            </w:r>
          </w:p>
        </w:tc>
      </w:tr>
    </w:tbl>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p>
    <w:tbl>
      <w:tblPr>
        <w:tblW w:w="62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76"/>
        <w:gridCol w:w="886"/>
        <w:gridCol w:w="876"/>
        <w:gridCol w:w="876"/>
        <w:gridCol w:w="876"/>
        <w:gridCol w:w="971"/>
        <w:gridCol w:w="876"/>
      </w:tblGrid>
      <w:tr w:rsidR="00BE1EFE" w:rsidRPr="000A0BC8" w:rsidTr="00E87479">
        <w:trPr>
          <w:trHeight w:val="983"/>
          <w:jc w:val="center"/>
        </w:trPr>
        <w:tc>
          <w:tcPr>
            <w:tcW w:w="6237" w:type="dxa"/>
            <w:gridSpan w:val="7"/>
          </w:tcPr>
          <w:p w:rsidR="00BE1EFE" w:rsidRPr="000A0BC8" w:rsidRDefault="00BE1EFE" w:rsidP="00394846">
            <w:pPr>
              <w:spacing w:before="2"/>
              <w:jc w:val="center"/>
              <w:rPr>
                <w:rFonts w:cs="Arial"/>
                <w:szCs w:val="16"/>
              </w:rPr>
            </w:pPr>
          </w:p>
          <w:p w:rsidR="00BE1EFE" w:rsidRPr="000A0BC8" w:rsidRDefault="00BE1EFE" w:rsidP="00394846">
            <w:pPr>
              <w:jc w:val="center"/>
              <w:rPr>
                <w:rFonts w:cs="Arial"/>
                <w:b/>
                <w:szCs w:val="16"/>
              </w:rPr>
            </w:pPr>
            <w:r w:rsidRPr="000A0BC8">
              <w:rPr>
                <w:rFonts w:cs="Arial"/>
                <w:b/>
                <w:szCs w:val="16"/>
              </w:rPr>
              <w:t>Entgelttabelle</w:t>
            </w:r>
          </w:p>
          <w:p w:rsidR="00BE1EFE" w:rsidRPr="000A0BC8" w:rsidRDefault="00BE1EFE" w:rsidP="00394846">
            <w:pPr>
              <w:spacing w:before="2"/>
              <w:jc w:val="center"/>
              <w:rPr>
                <w:rFonts w:cs="Arial"/>
                <w:b/>
                <w:szCs w:val="16"/>
              </w:rPr>
            </w:pPr>
            <w:r w:rsidRPr="000A0BC8">
              <w:rPr>
                <w:rFonts w:cs="Arial"/>
                <w:b/>
                <w:szCs w:val="16"/>
              </w:rPr>
              <w:t>Beschäftigte in der Pflege</w:t>
            </w:r>
          </w:p>
          <w:p w:rsidR="00BE1EFE" w:rsidRPr="000A0BC8" w:rsidRDefault="00BE1EFE" w:rsidP="00394846">
            <w:pPr>
              <w:spacing w:before="2"/>
              <w:jc w:val="center"/>
              <w:rPr>
                <w:rFonts w:cs="Arial"/>
                <w:b/>
                <w:szCs w:val="16"/>
              </w:rPr>
            </w:pPr>
            <w:r w:rsidRPr="000A0BC8">
              <w:rPr>
                <w:rFonts w:cs="Arial"/>
                <w:b/>
                <w:szCs w:val="16"/>
              </w:rPr>
              <w:t>gültig</w:t>
            </w:r>
            <w:r>
              <w:rPr>
                <w:rFonts w:cs="Arial"/>
                <w:b/>
                <w:szCs w:val="16"/>
              </w:rPr>
              <w:t xml:space="preserve"> </w:t>
            </w:r>
            <w:r w:rsidRPr="004527D6">
              <w:rPr>
                <w:rFonts w:cs="Arial"/>
                <w:b/>
                <w:szCs w:val="16"/>
              </w:rPr>
              <w:t xml:space="preserve">vom 1. März 2018 bis </w:t>
            </w:r>
            <w:r>
              <w:rPr>
                <w:rFonts w:cs="Arial"/>
                <w:b/>
                <w:szCs w:val="16"/>
              </w:rPr>
              <w:t>28</w:t>
            </w:r>
            <w:r w:rsidRPr="004527D6">
              <w:rPr>
                <w:rFonts w:cs="Arial"/>
                <w:b/>
                <w:szCs w:val="16"/>
              </w:rPr>
              <w:t xml:space="preserve">. </w:t>
            </w:r>
            <w:r>
              <w:rPr>
                <w:rFonts w:cs="Arial"/>
                <w:b/>
                <w:szCs w:val="16"/>
              </w:rPr>
              <w:t>Februar</w:t>
            </w:r>
            <w:r w:rsidRPr="004527D6">
              <w:rPr>
                <w:rFonts w:cs="Arial"/>
                <w:b/>
                <w:szCs w:val="16"/>
              </w:rPr>
              <w:t xml:space="preserve"> 2019</w:t>
            </w:r>
          </w:p>
          <w:p w:rsidR="00BE1EFE" w:rsidRPr="000A0BC8" w:rsidRDefault="00BE1EFE" w:rsidP="00394846">
            <w:pPr>
              <w:spacing w:before="2"/>
              <w:jc w:val="center"/>
              <w:rPr>
                <w:rFonts w:cs="Arial"/>
                <w:szCs w:val="16"/>
              </w:rPr>
            </w:pPr>
            <w:r w:rsidRPr="000A0BC8">
              <w:rPr>
                <w:rFonts w:cs="Arial"/>
                <w:szCs w:val="16"/>
              </w:rPr>
              <w:t>(monatlich in EUR)</w:t>
            </w:r>
          </w:p>
        </w:tc>
      </w:tr>
      <w:tr w:rsidR="00BE1EFE" w:rsidRPr="000A0BC8" w:rsidTr="00E87479">
        <w:trPr>
          <w:trHeight w:hRule="exact" w:val="730"/>
          <w:jc w:val="center"/>
        </w:trPr>
        <w:tc>
          <w:tcPr>
            <w:tcW w:w="876" w:type="dxa"/>
            <w:vAlign w:val="center"/>
          </w:tcPr>
          <w:p w:rsidR="00BE1EFE" w:rsidRDefault="00BE1EFE" w:rsidP="00394846">
            <w:pPr>
              <w:jc w:val="center"/>
              <w:rPr>
                <w:rFonts w:cs="Arial"/>
                <w:b/>
                <w:bCs/>
                <w:szCs w:val="16"/>
              </w:rPr>
            </w:pPr>
          </w:p>
          <w:p w:rsidR="00BE1EFE" w:rsidRPr="000A0BC8" w:rsidRDefault="00BE1EFE" w:rsidP="00394846">
            <w:pPr>
              <w:jc w:val="center"/>
              <w:rPr>
                <w:rFonts w:cs="Arial"/>
                <w:szCs w:val="16"/>
              </w:rPr>
            </w:pPr>
            <w:r w:rsidRPr="000A0BC8">
              <w:rPr>
                <w:rFonts w:cs="Arial"/>
                <w:b/>
                <w:bCs/>
                <w:szCs w:val="16"/>
              </w:rPr>
              <w:t>Entgelt-gruppe</w:t>
            </w:r>
          </w:p>
        </w:tc>
        <w:tc>
          <w:tcPr>
            <w:tcW w:w="1762" w:type="dxa"/>
            <w:gridSpan w:val="2"/>
            <w:vAlign w:val="center"/>
          </w:tcPr>
          <w:p w:rsidR="00BE1EFE" w:rsidRPr="000A0BC8" w:rsidRDefault="00BE1EFE" w:rsidP="00394846">
            <w:pPr>
              <w:jc w:val="center"/>
              <w:rPr>
                <w:rFonts w:cs="Arial"/>
                <w:szCs w:val="16"/>
              </w:rPr>
            </w:pPr>
            <w:r w:rsidRPr="000A0BC8">
              <w:rPr>
                <w:rFonts w:cs="Arial"/>
                <w:b/>
                <w:bCs/>
                <w:szCs w:val="16"/>
              </w:rPr>
              <w:t>Grundentgelt</w:t>
            </w:r>
          </w:p>
        </w:tc>
        <w:tc>
          <w:tcPr>
            <w:tcW w:w="3599" w:type="dxa"/>
            <w:gridSpan w:val="4"/>
            <w:vAlign w:val="center"/>
          </w:tcPr>
          <w:p w:rsidR="00BE1EFE" w:rsidRPr="000A0BC8" w:rsidRDefault="00BE1EFE" w:rsidP="00394846">
            <w:pPr>
              <w:jc w:val="center"/>
              <w:rPr>
                <w:rFonts w:cs="Arial"/>
                <w:szCs w:val="16"/>
              </w:rPr>
            </w:pPr>
            <w:r w:rsidRPr="000A0BC8">
              <w:rPr>
                <w:rFonts w:cs="Arial"/>
                <w:b/>
                <w:bCs/>
                <w:szCs w:val="16"/>
              </w:rPr>
              <w:t>Ent</w:t>
            </w:r>
            <w:r w:rsidRPr="000A0BC8">
              <w:rPr>
                <w:rFonts w:cs="Arial"/>
                <w:b/>
                <w:bCs/>
                <w:spacing w:val="2"/>
                <w:szCs w:val="16"/>
              </w:rPr>
              <w:t>w</w:t>
            </w:r>
            <w:r w:rsidRPr="000A0BC8">
              <w:rPr>
                <w:rFonts w:cs="Arial"/>
                <w:b/>
                <w:bCs/>
                <w:szCs w:val="16"/>
              </w:rPr>
              <w:t>icklungsstufen</w:t>
            </w:r>
          </w:p>
        </w:tc>
      </w:tr>
      <w:tr w:rsidR="00BE1EFE" w:rsidRPr="000A0BC8" w:rsidTr="00E87479">
        <w:trPr>
          <w:trHeight w:hRule="exact" w:val="370"/>
          <w:jc w:val="center"/>
        </w:trPr>
        <w:tc>
          <w:tcPr>
            <w:tcW w:w="876" w:type="dxa"/>
            <w:vAlign w:val="center"/>
          </w:tcPr>
          <w:p w:rsidR="00BE1EFE" w:rsidRPr="000A0BC8" w:rsidRDefault="00BE1EFE" w:rsidP="00394846">
            <w:pPr>
              <w:jc w:val="center"/>
              <w:rPr>
                <w:rFonts w:cs="Arial"/>
                <w:szCs w:val="16"/>
              </w:rPr>
            </w:pPr>
          </w:p>
        </w:tc>
        <w:tc>
          <w:tcPr>
            <w:tcW w:w="886" w:type="dxa"/>
            <w:vAlign w:val="center"/>
          </w:tcPr>
          <w:p w:rsidR="00BE1EFE" w:rsidRPr="000A0BC8" w:rsidRDefault="00BE1EFE" w:rsidP="00394846">
            <w:pPr>
              <w:jc w:val="center"/>
              <w:rPr>
                <w:rFonts w:cs="Arial"/>
                <w:szCs w:val="16"/>
              </w:rPr>
            </w:pPr>
            <w:r w:rsidRPr="000A0BC8">
              <w:rPr>
                <w:rFonts w:cs="Arial"/>
                <w:b/>
                <w:bCs/>
                <w:szCs w:val="16"/>
              </w:rPr>
              <w:t>Stufe 1</w:t>
            </w:r>
          </w:p>
        </w:tc>
        <w:tc>
          <w:tcPr>
            <w:tcW w:w="876" w:type="dxa"/>
            <w:vAlign w:val="center"/>
          </w:tcPr>
          <w:p w:rsidR="00BE1EFE" w:rsidRPr="000A0BC8" w:rsidRDefault="00BE1EFE" w:rsidP="00394846">
            <w:pPr>
              <w:jc w:val="center"/>
              <w:rPr>
                <w:rFonts w:cs="Arial"/>
                <w:szCs w:val="16"/>
              </w:rPr>
            </w:pPr>
            <w:r w:rsidRPr="000A0BC8">
              <w:rPr>
                <w:rFonts w:cs="Arial"/>
                <w:b/>
                <w:bCs/>
                <w:szCs w:val="16"/>
              </w:rPr>
              <w:t>Stufe 2</w:t>
            </w:r>
          </w:p>
        </w:tc>
        <w:tc>
          <w:tcPr>
            <w:tcW w:w="876" w:type="dxa"/>
            <w:vAlign w:val="center"/>
          </w:tcPr>
          <w:p w:rsidR="00BE1EFE" w:rsidRPr="000A0BC8" w:rsidRDefault="00BE1EFE" w:rsidP="00394846">
            <w:pPr>
              <w:jc w:val="center"/>
              <w:rPr>
                <w:rFonts w:cs="Arial"/>
                <w:szCs w:val="16"/>
              </w:rPr>
            </w:pPr>
            <w:r w:rsidRPr="000A0BC8">
              <w:rPr>
                <w:rFonts w:cs="Arial"/>
                <w:b/>
                <w:bCs/>
                <w:szCs w:val="16"/>
              </w:rPr>
              <w:t>Stufe 3</w:t>
            </w:r>
          </w:p>
        </w:tc>
        <w:tc>
          <w:tcPr>
            <w:tcW w:w="876" w:type="dxa"/>
            <w:vAlign w:val="center"/>
          </w:tcPr>
          <w:p w:rsidR="00BE1EFE" w:rsidRPr="000A0BC8" w:rsidRDefault="00BE1EFE" w:rsidP="00394846">
            <w:pPr>
              <w:jc w:val="center"/>
              <w:rPr>
                <w:rFonts w:cs="Arial"/>
                <w:szCs w:val="16"/>
              </w:rPr>
            </w:pPr>
            <w:r w:rsidRPr="000A0BC8">
              <w:rPr>
                <w:rFonts w:cs="Arial"/>
                <w:b/>
                <w:bCs/>
                <w:szCs w:val="16"/>
              </w:rPr>
              <w:t>Stufe 4</w:t>
            </w:r>
          </w:p>
        </w:tc>
        <w:tc>
          <w:tcPr>
            <w:tcW w:w="971" w:type="dxa"/>
            <w:vAlign w:val="center"/>
          </w:tcPr>
          <w:p w:rsidR="00BE1EFE" w:rsidRPr="000A0BC8" w:rsidRDefault="00BE1EFE" w:rsidP="00394846">
            <w:pPr>
              <w:jc w:val="center"/>
              <w:rPr>
                <w:rFonts w:cs="Arial"/>
                <w:szCs w:val="16"/>
              </w:rPr>
            </w:pPr>
            <w:r w:rsidRPr="000A0BC8">
              <w:rPr>
                <w:rFonts w:cs="Arial"/>
                <w:b/>
                <w:bCs/>
                <w:szCs w:val="16"/>
              </w:rPr>
              <w:t>Stufe 5</w:t>
            </w:r>
          </w:p>
        </w:tc>
        <w:tc>
          <w:tcPr>
            <w:tcW w:w="876" w:type="dxa"/>
            <w:vAlign w:val="center"/>
          </w:tcPr>
          <w:p w:rsidR="00BE1EFE" w:rsidRPr="000A0BC8" w:rsidRDefault="00BE1EFE" w:rsidP="00394846">
            <w:pPr>
              <w:jc w:val="center"/>
              <w:rPr>
                <w:rFonts w:cs="Arial"/>
                <w:szCs w:val="16"/>
              </w:rPr>
            </w:pPr>
            <w:r w:rsidRPr="000A0BC8">
              <w:rPr>
                <w:rFonts w:cs="Arial"/>
                <w:b/>
                <w:bCs/>
                <w:szCs w:val="16"/>
              </w:rPr>
              <w:t>Stufe 6</w:t>
            </w:r>
          </w:p>
        </w:tc>
      </w:tr>
      <w:tr w:rsidR="00BE1EFE" w:rsidRPr="000A0BC8" w:rsidTr="00E87479">
        <w:trPr>
          <w:trHeight w:hRule="exact" w:val="371"/>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16</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4.168,28</w:t>
            </w:r>
          </w:p>
        </w:tc>
        <w:tc>
          <w:tcPr>
            <w:tcW w:w="876" w:type="dxa"/>
            <w:vAlign w:val="center"/>
          </w:tcPr>
          <w:p w:rsidR="00BE1EFE" w:rsidRPr="004527D6" w:rsidRDefault="00BE1EFE" w:rsidP="00394846">
            <w:pPr>
              <w:jc w:val="center"/>
              <w:rPr>
                <w:b/>
              </w:rPr>
            </w:pPr>
            <w:r w:rsidRPr="004527D6">
              <w:rPr>
                <w:b/>
              </w:rPr>
              <w:t>4.314,41</w:t>
            </w:r>
          </w:p>
        </w:tc>
        <w:tc>
          <w:tcPr>
            <w:tcW w:w="876" w:type="dxa"/>
            <w:vAlign w:val="center"/>
          </w:tcPr>
          <w:p w:rsidR="00BE1EFE" w:rsidRPr="004527D6" w:rsidRDefault="00BE1EFE" w:rsidP="00394846">
            <w:pPr>
              <w:jc w:val="center"/>
              <w:rPr>
                <w:b/>
              </w:rPr>
            </w:pPr>
            <w:r w:rsidRPr="004527D6">
              <w:rPr>
                <w:b/>
              </w:rPr>
              <w:t>4.786,24</w:t>
            </w:r>
          </w:p>
        </w:tc>
        <w:tc>
          <w:tcPr>
            <w:tcW w:w="971" w:type="dxa"/>
            <w:vAlign w:val="center"/>
          </w:tcPr>
          <w:p w:rsidR="00BE1EFE" w:rsidRPr="004527D6" w:rsidRDefault="00BE1EFE" w:rsidP="00394846">
            <w:pPr>
              <w:jc w:val="center"/>
              <w:rPr>
                <w:b/>
              </w:rPr>
            </w:pPr>
            <w:r w:rsidRPr="004527D6">
              <w:rPr>
                <w:b/>
              </w:rPr>
              <w:t>5.336,25</w:t>
            </w:r>
          </w:p>
        </w:tc>
        <w:tc>
          <w:tcPr>
            <w:tcW w:w="876" w:type="dxa"/>
            <w:vAlign w:val="center"/>
          </w:tcPr>
          <w:p w:rsidR="00BE1EFE" w:rsidRPr="004527D6" w:rsidRDefault="00BE1EFE" w:rsidP="00394846">
            <w:pPr>
              <w:jc w:val="center"/>
              <w:rPr>
                <w:b/>
              </w:rPr>
            </w:pPr>
            <w:r w:rsidRPr="004527D6">
              <w:rPr>
                <w:b/>
              </w:rPr>
              <w:t>5.578,86</w:t>
            </w:r>
          </w:p>
        </w:tc>
      </w:tr>
      <w:tr w:rsidR="00BE1EFE" w:rsidRPr="000A0BC8" w:rsidTr="00E87479">
        <w:trPr>
          <w:trHeight w:hRule="exact" w:val="370"/>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15</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4.078,76</w:t>
            </w:r>
          </w:p>
        </w:tc>
        <w:tc>
          <w:tcPr>
            <w:tcW w:w="876" w:type="dxa"/>
            <w:vAlign w:val="center"/>
          </w:tcPr>
          <w:p w:rsidR="00BE1EFE" w:rsidRPr="004527D6" w:rsidRDefault="00BE1EFE" w:rsidP="00394846">
            <w:pPr>
              <w:jc w:val="center"/>
              <w:rPr>
                <w:b/>
              </w:rPr>
            </w:pPr>
            <w:r w:rsidRPr="004527D6">
              <w:rPr>
                <w:b/>
              </w:rPr>
              <w:t>4.212,48</w:t>
            </w:r>
          </w:p>
        </w:tc>
        <w:tc>
          <w:tcPr>
            <w:tcW w:w="876" w:type="dxa"/>
            <w:vAlign w:val="center"/>
          </w:tcPr>
          <w:p w:rsidR="00BE1EFE" w:rsidRPr="004527D6" w:rsidRDefault="00BE1EFE" w:rsidP="00394846">
            <w:pPr>
              <w:jc w:val="center"/>
              <w:rPr>
                <w:b/>
              </w:rPr>
            </w:pPr>
            <w:r w:rsidRPr="004527D6">
              <w:rPr>
                <w:b/>
              </w:rPr>
              <w:t>4.546,81</w:t>
            </w:r>
          </w:p>
        </w:tc>
        <w:tc>
          <w:tcPr>
            <w:tcW w:w="971" w:type="dxa"/>
            <w:vAlign w:val="center"/>
          </w:tcPr>
          <w:p w:rsidR="00BE1EFE" w:rsidRPr="004527D6" w:rsidRDefault="00BE1EFE" w:rsidP="00394846">
            <w:pPr>
              <w:jc w:val="center"/>
              <w:rPr>
                <w:b/>
              </w:rPr>
            </w:pPr>
            <w:r w:rsidRPr="004527D6">
              <w:rPr>
                <w:b/>
              </w:rPr>
              <w:t>4.946,92</w:t>
            </w:r>
          </w:p>
        </w:tc>
        <w:tc>
          <w:tcPr>
            <w:tcW w:w="876" w:type="dxa"/>
            <w:vAlign w:val="center"/>
          </w:tcPr>
          <w:p w:rsidR="00BE1EFE" w:rsidRPr="004527D6" w:rsidRDefault="00BE1EFE" w:rsidP="00394846">
            <w:pPr>
              <w:jc w:val="center"/>
              <w:rPr>
                <w:b/>
              </w:rPr>
            </w:pPr>
            <w:r w:rsidRPr="004527D6">
              <w:rPr>
                <w:b/>
              </w:rPr>
              <w:t>5.099,73</w:t>
            </w:r>
          </w:p>
        </w:tc>
      </w:tr>
      <w:tr w:rsidR="00BE1EFE" w:rsidRPr="000A0BC8" w:rsidTr="00E87479">
        <w:trPr>
          <w:trHeight w:hRule="exact" w:val="370"/>
          <w:jc w:val="center"/>
        </w:trPr>
        <w:tc>
          <w:tcPr>
            <w:tcW w:w="876" w:type="dxa"/>
            <w:vAlign w:val="center"/>
          </w:tcPr>
          <w:p w:rsidR="00BE1EFE" w:rsidRPr="000A0BC8" w:rsidRDefault="00BE1EFE" w:rsidP="00394846">
            <w:pPr>
              <w:ind w:right="20"/>
              <w:jc w:val="center"/>
              <w:rPr>
                <w:rFonts w:cs="Arial"/>
                <w:b/>
                <w:szCs w:val="16"/>
              </w:rPr>
            </w:pPr>
            <w:r w:rsidRPr="000A0BC8">
              <w:rPr>
                <w:rFonts w:cs="Arial"/>
                <w:b/>
                <w:szCs w:val="16"/>
              </w:rPr>
              <w:t>P 14</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3.980,08</w:t>
            </w:r>
          </w:p>
        </w:tc>
        <w:tc>
          <w:tcPr>
            <w:tcW w:w="876" w:type="dxa"/>
            <w:vAlign w:val="center"/>
          </w:tcPr>
          <w:p w:rsidR="00BE1EFE" w:rsidRPr="004527D6" w:rsidRDefault="00BE1EFE" w:rsidP="00394846">
            <w:pPr>
              <w:jc w:val="center"/>
              <w:rPr>
                <w:b/>
              </w:rPr>
            </w:pPr>
            <w:r w:rsidRPr="004527D6">
              <w:rPr>
                <w:b/>
              </w:rPr>
              <w:t>4.110,58</w:t>
            </w:r>
          </w:p>
        </w:tc>
        <w:tc>
          <w:tcPr>
            <w:tcW w:w="876" w:type="dxa"/>
            <w:vAlign w:val="center"/>
          </w:tcPr>
          <w:p w:rsidR="00BE1EFE" w:rsidRPr="004527D6" w:rsidRDefault="00BE1EFE" w:rsidP="00394846">
            <w:pPr>
              <w:jc w:val="center"/>
              <w:rPr>
                <w:b/>
              </w:rPr>
            </w:pPr>
            <w:r w:rsidRPr="004527D6">
              <w:rPr>
                <w:b/>
              </w:rPr>
              <w:t>4.436,82</w:t>
            </w:r>
          </w:p>
        </w:tc>
        <w:tc>
          <w:tcPr>
            <w:tcW w:w="971" w:type="dxa"/>
            <w:vAlign w:val="center"/>
          </w:tcPr>
          <w:p w:rsidR="00BE1EFE" w:rsidRPr="004527D6" w:rsidRDefault="00BE1EFE" w:rsidP="00394846">
            <w:pPr>
              <w:jc w:val="center"/>
              <w:rPr>
                <w:b/>
              </w:rPr>
            </w:pPr>
            <w:r w:rsidRPr="004527D6">
              <w:rPr>
                <w:b/>
              </w:rPr>
              <w:t>4.880,06</w:t>
            </w:r>
          </w:p>
        </w:tc>
        <w:tc>
          <w:tcPr>
            <w:tcW w:w="876" w:type="dxa"/>
            <w:vAlign w:val="center"/>
          </w:tcPr>
          <w:p w:rsidR="00BE1EFE" w:rsidRPr="004527D6" w:rsidRDefault="00BE1EFE" w:rsidP="00394846">
            <w:pPr>
              <w:jc w:val="center"/>
              <w:rPr>
                <w:b/>
              </w:rPr>
            </w:pPr>
            <w:r w:rsidRPr="004527D6">
              <w:rPr>
                <w:b/>
              </w:rPr>
              <w:t>4.960,94</w:t>
            </w:r>
          </w:p>
        </w:tc>
      </w:tr>
      <w:tr w:rsidR="00BE1EFE" w:rsidRPr="000A0BC8" w:rsidTr="00E87479">
        <w:trPr>
          <w:trHeight w:hRule="exact" w:val="371"/>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13</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3.881,41</w:t>
            </w:r>
          </w:p>
        </w:tc>
        <w:tc>
          <w:tcPr>
            <w:tcW w:w="876" w:type="dxa"/>
            <w:vAlign w:val="center"/>
          </w:tcPr>
          <w:p w:rsidR="00BE1EFE" w:rsidRPr="004527D6" w:rsidRDefault="00BE1EFE" w:rsidP="00394846">
            <w:pPr>
              <w:jc w:val="center"/>
              <w:rPr>
                <w:b/>
              </w:rPr>
            </w:pPr>
            <w:r w:rsidRPr="004527D6">
              <w:rPr>
                <w:b/>
              </w:rPr>
              <w:t>4.008,67</w:t>
            </w:r>
          </w:p>
        </w:tc>
        <w:tc>
          <w:tcPr>
            <w:tcW w:w="876" w:type="dxa"/>
            <w:vAlign w:val="center"/>
          </w:tcPr>
          <w:p w:rsidR="00BE1EFE" w:rsidRPr="004527D6" w:rsidRDefault="00BE1EFE" w:rsidP="00394846">
            <w:pPr>
              <w:jc w:val="center"/>
              <w:rPr>
                <w:b/>
              </w:rPr>
            </w:pPr>
            <w:r w:rsidRPr="004527D6">
              <w:rPr>
                <w:b/>
              </w:rPr>
              <w:t>4.326,80</w:t>
            </w:r>
          </w:p>
        </w:tc>
        <w:tc>
          <w:tcPr>
            <w:tcW w:w="971" w:type="dxa"/>
            <w:vAlign w:val="center"/>
          </w:tcPr>
          <w:p w:rsidR="00BE1EFE" w:rsidRPr="004527D6" w:rsidRDefault="00BE1EFE" w:rsidP="00394846">
            <w:pPr>
              <w:jc w:val="center"/>
              <w:rPr>
                <w:b/>
              </w:rPr>
            </w:pPr>
            <w:r w:rsidRPr="004527D6">
              <w:rPr>
                <w:b/>
              </w:rPr>
              <w:t>4.556,52</w:t>
            </w:r>
          </w:p>
        </w:tc>
        <w:tc>
          <w:tcPr>
            <w:tcW w:w="876" w:type="dxa"/>
            <w:vAlign w:val="center"/>
          </w:tcPr>
          <w:p w:rsidR="00BE1EFE" w:rsidRPr="004527D6" w:rsidRDefault="00BE1EFE" w:rsidP="00394846">
            <w:pPr>
              <w:jc w:val="center"/>
              <w:rPr>
                <w:b/>
              </w:rPr>
            </w:pPr>
            <w:r w:rsidRPr="004527D6">
              <w:rPr>
                <w:b/>
              </w:rPr>
              <w:t>4.615,83</w:t>
            </w:r>
          </w:p>
        </w:tc>
      </w:tr>
      <w:tr w:rsidR="00BE1EFE" w:rsidRPr="000A0BC8" w:rsidTr="00E87479">
        <w:trPr>
          <w:trHeight w:hRule="exact" w:val="370"/>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12</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3.684,03</w:t>
            </w:r>
          </w:p>
        </w:tc>
        <w:tc>
          <w:tcPr>
            <w:tcW w:w="876" w:type="dxa"/>
            <w:vAlign w:val="center"/>
          </w:tcPr>
          <w:p w:rsidR="00BE1EFE" w:rsidRPr="004527D6" w:rsidRDefault="00BE1EFE" w:rsidP="00394846">
            <w:pPr>
              <w:jc w:val="center"/>
              <w:rPr>
                <w:b/>
              </w:rPr>
            </w:pPr>
            <w:r w:rsidRPr="004527D6">
              <w:rPr>
                <w:b/>
              </w:rPr>
              <w:t>3.804,83</w:t>
            </w:r>
          </w:p>
        </w:tc>
        <w:tc>
          <w:tcPr>
            <w:tcW w:w="876" w:type="dxa"/>
            <w:vAlign w:val="center"/>
          </w:tcPr>
          <w:p w:rsidR="00BE1EFE" w:rsidRPr="004527D6" w:rsidRDefault="00BE1EFE" w:rsidP="00394846">
            <w:pPr>
              <w:jc w:val="center"/>
              <w:rPr>
                <w:b/>
              </w:rPr>
            </w:pPr>
            <w:r w:rsidRPr="004527D6">
              <w:rPr>
                <w:b/>
              </w:rPr>
              <w:t>4.106,80</w:t>
            </w:r>
          </w:p>
        </w:tc>
        <w:tc>
          <w:tcPr>
            <w:tcW w:w="971" w:type="dxa"/>
            <w:vAlign w:val="center"/>
          </w:tcPr>
          <w:p w:rsidR="00BE1EFE" w:rsidRPr="004527D6" w:rsidRDefault="00BE1EFE" w:rsidP="00394846">
            <w:pPr>
              <w:jc w:val="center"/>
              <w:rPr>
                <w:b/>
              </w:rPr>
            </w:pPr>
            <w:r w:rsidRPr="004527D6">
              <w:rPr>
                <w:b/>
              </w:rPr>
              <w:t>4.292,29</w:t>
            </w:r>
          </w:p>
        </w:tc>
        <w:tc>
          <w:tcPr>
            <w:tcW w:w="876" w:type="dxa"/>
            <w:vAlign w:val="center"/>
          </w:tcPr>
          <w:p w:rsidR="00BE1EFE" w:rsidRPr="004527D6" w:rsidRDefault="00BE1EFE" w:rsidP="00394846">
            <w:pPr>
              <w:jc w:val="center"/>
              <w:rPr>
                <w:b/>
              </w:rPr>
            </w:pPr>
            <w:r w:rsidRPr="004527D6">
              <w:rPr>
                <w:b/>
              </w:rPr>
              <w:t>4.378,57</w:t>
            </w:r>
          </w:p>
        </w:tc>
      </w:tr>
      <w:tr w:rsidR="00BE1EFE" w:rsidRPr="000A0BC8" w:rsidTr="00E87479">
        <w:trPr>
          <w:trHeight w:hRule="exact" w:val="370"/>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11</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3.486,68</w:t>
            </w:r>
          </w:p>
        </w:tc>
        <w:tc>
          <w:tcPr>
            <w:tcW w:w="876" w:type="dxa"/>
            <w:vAlign w:val="center"/>
          </w:tcPr>
          <w:p w:rsidR="00BE1EFE" w:rsidRPr="004527D6" w:rsidRDefault="00BE1EFE" w:rsidP="00394846">
            <w:pPr>
              <w:jc w:val="center"/>
              <w:rPr>
                <w:b/>
              </w:rPr>
            </w:pPr>
            <w:r w:rsidRPr="004527D6">
              <w:rPr>
                <w:b/>
              </w:rPr>
              <w:t>3.601,00</w:t>
            </w:r>
          </w:p>
        </w:tc>
        <w:tc>
          <w:tcPr>
            <w:tcW w:w="876" w:type="dxa"/>
            <w:vAlign w:val="center"/>
          </w:tcPr>
          <w:p w:rsidR="00BE1EFE" w:rsidRPr="004527D6" w:rsidRDefault="00BE1EFE" w:rsidP="00394846">
            <w:pPr>
              <w:jc w:val="center"/>
              <w:rPr>
                <w:b/>
              </w:rPr>
            </w:pPr>
            <w:r w:rsidRPr="004527D6">
              <w:rPr>
                <w:b/>
              </w:rPr>
              <w:t>3.886,80</w:t>
            </w:r>
          </w:p>
        </w:tc>
        <w:tc>
          <w:tcPr>
            <w:tcW w:w="971" w:type="dxa"/>
            <w:vAlign w:val="center"/>
          </w:tcPr>
          <w:p w:rsidR="00BE1EFE" w:rsidRPr="004527D6" w:rsidRDefault="00BE1EFE" w:rsidP="00394846">
            <w:pPr>
              <w:jc w:val="center"/>
              <w:rPr>
                <w:b/>
              </w:rPr>
            </w:pPr>
            <w:r w:rsidRPr="004527D6">
              <w:rPr>
                <w:b/>
              </w:rPr>
              <w:t>4.076,60</w:t>
            </w:r>
          </w:p>
        </w:tc>
        <w:tc>
          <w:tcPr>
            <w:tcW w:w="876" w:type="dxa"/>
            <w:vAlign w:val="center"/>
          </w:tcPr>
          <w:p w:rsidR="00BE1EFE" w:rsidRPr="004527D6" w:rsidRDefault="00BE1EFE" w:rsidP="00394846">
            <w:pPr>
              <w:jc w:val="center"/>
              <w:rPr>
                <w:b/>
              </w:rPr>
            </w:pPr>
            <w:r w:rsidRPr="004527D6">
              <w:rPr>
                <w:b/>
              </w:rPr>
              <w:t>4.162,88</w:t>
            </w:r>
          </w:p>
        </w:tc>
      </w:tr>
      <w:tr w:rsidR="00BE1EFE" w:rsidRPr="000A0BC8" w:rsidTr="00E87479">
        <w:trPr>
          <w:trHeight w:hRule="exact" w:val="371"/>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10</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3.289,33</w:t>
            </w:r>
          </w:p>
        </w:tc>
        <w:tc>
          <w:tcPr>
            <w:tcW w:w="876" w:type="dxa"/>
            <w:vAlign w:val="center"/>
          </w:tcPr>
          <w:p w:rsidR="00BE1EFE" w:rsidRPr="004527D6" w:rsidRDefault="00BE1EFE" w:rsidP="00394846">
            <w:pPr>
              <w:jc w:val="center"/>
              <w:rPr>
                <w:b/>
              </w:rPr>
            </w:pPr>
            <w:r w:rsidRPr="004527D6">
              <w:rPr>
                <w:b/>
              </w:rPr>
              <w:t>3.397,17</w:t>
            </w:r>
          </w:p>
        </w:tc>
        <w:tc>
          <w:tcPr>
            <w:tcW w:w="876" w:type="dxa"/>
            <w:vAlign w:val="center"/>
          </w:tcPr>
          <w:p w:rsidR="00BE1EFE" w:rsidRPr="004527D6" w:rsidRDefault="00BE1EFE" w:rsidP="00394846">
            <w:pPr>
              <w:jc w:val="center"/>
              <w:rPr>
                <w:b/>
              </w:rPr>
            </w:pPr>
            <w:r w:rsidRPr="004527D6">
              <w:rPr>
                <w:b/>
              </w:rPr>
              <w:t>3.699,14</w:t>
            </w:r>
          </w:p>
        </w:tc>
        <w:tc>
          <w:tcPr>
            <w:tcW w:w="971" w:type="dxa"/>
            <w:vAlign w:val="center"/>
          </w:tcPr>
          <w:p w:rsidR="00BE1EFE" w:rsidRPr="004527D6" w:rsidRDefault="00BE1EFE" w:rsidP="00394846">
            <w:pPr>
              <w:jc w:val="center"/>
              <w:rPr>
                <w:b/>
              </w:rPr>
            </w:pPr>
            <w:r w:rsidRPr="004527D6">
              <w:rPr>
                <w:b/>
              </w:rPr>
              <w:t>3.844,73</w:t>
            </w:r>
          </w:p>
        </w:tc>
        <w:tc>
          <w:tcPr>
            <w:tcW w:w="876" w:type="dxa"/>
            <w:vAlign w:val="center"/>
          </w:tcPr>
          <w:p w:rsidR="00BE1EFE" w:rsidRPr="004527D6" w:rsidRDefault="00BE1EFE" w:rsidP="00394846">
            <w:pPr>
              <w:jc w:val="center"/>
              <w:rPr>
                <w:b/>
              </w:rPr>
            </w:pPr>
            <w:r w:rsidRPr="004527D6">
              <w:rPr>
                <w:b/>
              </w:rPr>
              <w:t>3.936,40</w:t>
            </w:r>
          </w:p>
        </w:tc>
      </w:tr>
      <w:tr w:rsidR="00BE1EFE" w:rsidRPr="000A0BC8" w:rsidTr="00E87479">
        <w:trPr>
          <w:trHeight w:hRule="exact" w:val="370"/>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9</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3.127,55</w:t>
            </w:r>
          </w:p>
        </w:tc>
        <w:tc>
          <w:tcPr>
            <w:tcW w:w="876" w:type="dxa"/>
            <w:vAlign w:val="center"/>
          </w:tcPr>
          <w:p w:rsidR="00BE1EFE" w:rsidRPr="004527D6" w:rsidRDefault="00BE1EFE" w:rsidP="00394846">
            <w:pPr>
              <w:jc w:val="center"/>
              <w:rPr>
                <w:b/>
              </w:rPr>
            </w:pPr>
            <w:r w:rsidRPr="004527D6">
              <w:rPr>
                <w:b/>
              </w:rPr>
              <w:t>3.289,33</w:t>
            </w:r>
          </w:p>
        </w:tc>
        <w:tc>
          <w:tcPr>
            <w:tcW w:w="876" w:type="dxa"/>
            <w:vAlign w:val="center"/>
          </w:tcPr>
          <w:p w:rsidR="00BE1EFE" w:rsidRPr="004527D6" w:rsidRDefault="00BE1EFE" w:rsidP="00394846">
            <w:pPr>
              <w:jc w:val="center"/>
              <w:rPr>
                <w:b/>
              </w:rPr>
            </w:pPr>
            <w:r w:rsidRPr="004527D6">
              <w:rPr>
                <w:b/>
              </w:rPr>
              <w:t>3.397,17</w:t>
            </w:r>
          </w:p>
        </w:tc>
        <w:tc>
          <w:tcPr>
            <w:tcW w:w="971" w:type="dxa"/>
            <w:vAlign w:val="center"/>
          </w:tcPr>
          <w:p w:rsidR="00BE1EFE" w:rsidRPr="004527D6" w:rsidRDefault="00BE1EFE" w:rsidP="00394846">
            <w:pPr>
              <w:jc w:val="center"/>
              <w:rPr>
                <w:b/>
              </w:rPr>
            </w:pPr>
            <w:r w:rsidRPr="004527D6">
              <w:rPr>
                <w:b/>
              </w:rPr>
              <w:t>3.602,07</w:t>
            </w:r>
          </w:p>
        </w:tc>
        <w:tc>
          <w:tcPr>
            <w:tcW w:w="876" w:type="dxa"/>
            <w:vAlign w:val="center"/>
          </w:tcPr>
          <w:p w:rsidR="00BE1EFE" w:rsidRPr="004527D6" w:rsidRDefault="00BE1EFE" w:rsidP="00394846">
            <w:pPr>
              <w:jc w:val="center"/>
              <w:rPr>
                <w:b/>
              </w:rPr>
            </w:pPr>
            <w:r w:rsidRPr="004527D6">
              <w:rPr>
                <w:b/>
              </w:rPr>
              <w:t>3.688,35</w:t>
            </w:r>
          </w:p>
        </w:tc>
      </w:tr>
      <w:tr w:rsidR="00BE1EFE" w:rsidRPr="000A0BC8" w:rsidTr="00E87479">
        <w:trPr>
          <w:trHeight w:hRule="exact" w:val="370"/>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8</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2.877,66</w:t>
            </w:r>
          </w:p>
        </w:tc>
        <w:tc>
          <w:tcPr>
            <w:tcW w:w="876" w:type="dxa"/>
            <w:vAlign w:val="center"/>
          </w:tcPr>
          <w:p w:rsidR="00BE1EFE" w:rsidRPr="004527D6" w:rsidRDefault="00BE1EFE" w:rsidP="00394846">
            <w:pPr>
              <w:jc w:val="center"/>
              <w:rPr>
                <w:b/>
              </w:rPr>
            </w:pPr>
            <w:r w:rsidRPr="004527D6">
              <w:rPr>
                <w:b/>
              </w:rPr>
              <w:t>3.017,88</w:t>
            </w:r>
          </w:p>
        </w:tc>
        <w:tc>
          <w:tcPr>
            <w:tcW w:w="876" w:type="dxa"/>
            <w:vAlign w:val="center"/>
          </w:tcPr>
          <w:p w:rsidR="00BE1EFE" w:rsidRPr="004527D6" w:rsidRDefault="00BE1EFE" w:rsidP="00394846">
            <w:pPr>
              <w:jc w:val="center"/>
              <w:rPr>
                <w:b/>
              </w:rPr>
            </w:pPr>
            <w:r w:rsidRPr="004527D6">
              <w:rPr>
                <w:b/>
              </w:rPr>
              <w:t>3.197,65</w:t>
            </w:r>
          </w:p>
        </w:tc>
        <w:tc>
          <w:tcPr>
            <w:tcW w:w="971" w:type="dxa"/>
            <w:vAlign w:val="center"/>
          </w:tcPr>
          <w:p w:rsidR="00BE1EFE" w:rsidRPr="004527D6" w:rsidRDefault="00BE1EFE" w:rsidP="00394846">
            <w:pPr>
              <w:jc w:val="center"/>
              <w:rPr>
                <w:b/>
              </w:rPr>
            </w:pPr>
            <w:r w:rsidRPr="004527D6">
              <w:rPr>
                <w:b/>
              </w:rPr>
              <w:t>3.342,85</w:t>
            </w:r>
          </w:p>
        </w:tc>
        <w:tc>
          <w:tcPr>
            <w:tcW w:w="876" w:type="dxa"/>
            <w:vAlign w:val="center"/>
          </w:tcPr>
          <w:p w:rsidR="00BE1EFE" w:rsidRPr="004527D6" w:rsidRDefault="00BE1EFE" w:rsidP="00394846">
            <w:pPr>
              <w:jc w:val="center"/>
              <w:rPr>
                <w:b/>
              </w:rPr>
            </w:pPr>
            <w:r w:rsidRPr="004527D6">
              <w:rPr>
                <w:b/>
              </w:rPr>
              <w:t>3.544,22</w:t>
            </w:r>
          </w:p>
        </w:tc>
      </w:tr>
      <w:tr w:rsidR="00BE1EFE" w:rsidRPr="000A0BC8" w:rsidTr="00E87479">
        <w:trPr>
          <w:trHeight w:hRule="exact" w:val="371"/>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7</w:t>
            </w:r>
          </w:p>
        </w:tc>
        <w:tc>
          <w:tcPr>
            <w:tcW w:w="886" w:type="dxa"/>
            <w:vAlign w:val="center"/>
          </w:tcPr>
          <w:p w:rsidR="00BE1EFE" w:rsidRPr="004527D6" w:rsidRDefault="00BE1EFE" w:rsidP="00394846">
            <w:pPr>
              <w:jc w:val="center"/>
              <w:rPr>
                <w:b/>
              </w:rPr>
            </w:pPr>
            <w:r w:rsidRPr="004527D6">
              <w:rPr>
                <w:b/>
              </w:rPr>
              <w:t>-</w:t>
            </w:r>
          </w:p>
        </w:tc>
        <w:tc>
          <w:tcPr>
            <w:tcW w:w="876" w:type="dxa"/>
            <w:vAlign w:val="center"/>
          </w:tcPr>
          <w:p w:rsidR="00BE1EFE" w:rsidRPr="004527D6" w:rsidRDefault="00BE1EFE" w:rsidP="00394846">
            <w:pPr>
              <w:jc w:val="center"/>
              <w:rPr>
                <w:b/>
              </w:rPr>
            </w:pPr>
            <w:r w:rsidRPr="004527D6">
              <w:rPr>
                <w:b/>
              </w:rPr>
              <w:t>2.711,98</w:t>
            </w:r>
          </w:p>
        </w:tc>
        <w:tc>
          <w:tcPr>
            <w:tcW w:w="876" w:type="dxa"/>
            <w:vAlign w:val="center"/>
          </w:tcPr>
          <w:p w:rsidR="00BE1EFE" w:rsidRPr="004527D6" w:rsidRDefault="00BE1EFE" w:rsidP="00394846">
            <w:pPr>
              <w:jc w:val="center"/>
              <w:rPr>
                <w:b/>
              </w:rPr>
            </w:pPr>
            <w:r w:rsidRPr="004527D6">
              <w:rPr>
                <w:b/>
              </w:rPr>
              <w:t>2.877,66</w:t>
            </w:r>
          </w:p>
        </w:tc>
        <w:tc>
          <w:tcPr>
            <w:tcW w:w="876" w:type="dxa"/>
            <w:vAlign w:val="center"/>
          </w:tcPr>
          <w:p w:rsidR="00BE1EFE" w:rsidRPr="004527D6" w:rsidRDefault="00BE1EFE" w:rsidP="00394846">
            <w:pPr>
              <w:jc w:val="center"/>
              <w:rPr>
                <w:b/>
              </w:rPr>
            </w:pPr>
            <w:r w:rsidRPr="004527D6">
              <w:rPr>
                <w:b/>
              </w:rPr>
              <w:t>3.132,57</w:t>
            </w:r>
          </w:p>
        </w:tc>
        <w:tc>
          <w:tcPr>
            <w:tcW w:w="971" w:type="dxa"/>
            <w:vAlign w:val="center"/>
          </w:tcPr>
          <w:p w:rsidR="00BE1EFE" w:rsidRPr="004527D6" w:rsidRDefault="00BE1EFE" w:rsidP="00394846">
            <w:pPr>
              <w:jc w:val="center"/>
              <w:rPr>
                <w:b/>
              </w:rPr>
            </w:pPr>
            <w:r w:rsidRPr="004527D6">
              <w:rPr>
                <w:b/>
              </w:rPr>
              <w:t>3.260,00</w:t>
            </w:r>
          </w:p>
        </w:tc>
        <w:tc>
          <w:tcPr>
            <w:tcW w:w="876" w:type="dxa"/>
            <w:vAlign w:val="center"/>
          </w:tcPr>
          <w:p w:rsidR="00BE1EFE" w:rsidRPr="004527D6" w:rsidRDefault="00BE1EFE" w:rsidP="00394846">
            <w:pPr>
              <w:jc w:val="center"/>
              <w:rPr>
                <w:b/>
              </w:rPr>
            </w:pPr>
            <w:r w:rsidRPr="004527D6">
              <w:rPr>
                <w:b/>
              </w:rPr>
              <w:t>3.391,28</w:t>
            </w:r>
          </w:p>
        </w:tc>
      </w:tr>
      <w:tr w:rsidR="00BE1EFE" w:rsidRPr="000A0BC8" w:rsidTr="00E87479">
        <w:trPr>
          <w:trHeight w:hRule="exact" w:val="370"/>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6</w:t>
            </w:r>
          </w:p>
        </w:tc>
        <w:tc>
          <w:tcPr>
            <w:tcW w:w="886" w:type="dxa"/>
            <w:vAlign w:val="center"/>
          </w:tcPr>
          <w:p w:rsidR="00BE1EFE" w:rsidRPr="004527D6" w:rsidRDefault="00BE1EFE" w:rsidP="00394846">
            <w:pPr>
              <w:jc w:val="center"/>
              <w:rPr>
                <w:b/>
              </w:rPr>
            </w:pPr>
            <w:r w:rsidRPr="004527D6">
              <w:rPr>
                <w:b/>
              </w:rPr>
              <w:t>2.273,18</w:t>
            </w:r>
          </w:p>
        </w:tc>
        <w:tc>
          <w:tcPr>
            <w:tcW w:w="876" w:type="dxa"/>
            <w:vAlign w:val="center"/>
          </w:tcPr>
          <w:p w:rsidR="00BE1EFE" w:rsidRPr="004527D6" w:rsidRDefault="00BE1EFE" w:rsidP="00394846">
            <w:pPr>
              <w:jc w:val="center"/>
              <w:rPr>
                <w:b/>
              </w:rPr>
            </w:pPr>
            <w:r w:rsidRPr="004527D6">
              <w:rPr>
                <w:b/>
              </w:rPr>
              <w:t>2.431,68</w:t>
            </w:r>
          </w:p>
        </w:tc>
        <w:tc>
          <w:tcPr>
            <w:tcW w:w="876" w:type="dxa"/>
            <w:vAlign w:val="center"/>
          </w:tcPr>
          <w:p w:rsidR="00BE1EFE" w:rsidRPr="004527D6" w:rsidRDefault="00BE1EFE" w:rsidP="00394846">
            <w:pPr>
              <w:jc w:val="center"/>
              <w:rPr>
                <w:b/>
              </w:rPr>
            </w:pPr>
            <w:r w:rsidRPr="004527D6">
              <w:rPr>
                <w:b/>
              </w:rPr>
              <w:t>2.584,55</w:t>
            </w:r>
          </w:p>
        </w:tc>
        <w:tc>
          <w:tcPr>
            <w:tcW w:w="876" w:type="dxa"/>
            <w:vAlign w:val="center"/>
          </w:tcPr>
          <w:p w:rsidR="00BE1EFE" w:rsidRPr="004527D6" w:rsidRDefault="00BE1EFE" w:rsidP="00394846">
            <w:pPr>
              <w:jc w:val="center"/>
              <w:rPr>
                <w:b/>
              </w:rPr>
            </w:pPr>
            <w:r w:rsidRPr="004527D6">
              <w:rPr>
                <w:b/>
              </w:rPr>
              <w:t>2.909,53</w:t>
            </w:r>
          </w:p>
        </w:tc>
        <w:tc>
          <w:tcPr>
            <w:tcW w:w="971" w:type="dxa"/>
            <w:vAlign w:val="center"/>
          </w:tcPr>
          <w:p w:rsidR="00BE1EFE" w:rsidRPr="004527D6" w:rsidRDefault="00BE1EFE" w:rsidP="00394846">
            <w:pPr>
              <w:jc w:val="center"/>
              <w:rPr>
                <w:b/>
              </w:rPr>
            </w:pPr>
            <w:r w:rsidRPr="004527D6">
              <w:rPr>
                <w:b/>
              </w:rPr>
              <w:t>2.992,37</w:t>
            </w:r>
          </w:p>
        </w:tc>
        <w:tc>
          <w:tcPr>
            <w:tcW w:w="876" w:type="dxa"/>
            <w:vAlign w:val="center"/>
          </w:tcPr>
          <w:p w:rsidR="00BE1EFE" w:rsidRPr="004527D6" w:rsidRDefault="00BE1EFE" w:rsidP="00394846">
            <w:pPr>
              <w:jc w:val="center"/>
              <w:rPr>
                <w:b/>
              </w:rPr>
            </w:pPr>
            <w:r w:rsidRPr="004527D6">
              <w:rPr>
                <w:b/>
              </w:rPr>
              <w:t>3.145,28</w:t>
            </w:r>
          </w:p>
        </w:tc>
      </w:tr>
      <w:tr w:rsidR="00BE1EFE" w:rsidRPr="000A0BC8" w:rsidTr="00E87479">
        <w:trPr>
          <w:trHeight w:hRule="exact" w:val="370"/>
          <w:jc w:val="center"/>
        </w:trPr>
        <w:tc>
          <w:tcPr>
            <w:tcW w:w="876" w:type="dxa"/>
            <w:vAlign w:val="center"/>
          </w:tcPr>
          <w:p w:rsidR="00BE1EFE" w:rsidRPr="000A0BC8" w:rsidRDefault="00BE1EFE" w:rsidP="00394846">
            <w:pPr>
              <w:ind w:right="20"/>
              <w:jc w:val="center"/>
              <w:rPr>
                <w:rFonts w:cs="Arial"/>
                <w:szCs w:val="16"/>
              </w:rPr>
            </w:pPr>
            <w:r w:rsidRPr="000A0BC8">
              <w:rPr>
                <w:rFonts w:cs="Arial"/>
                <w:b/>
                <w:bCs/>
                <w:szCs w:val="16"/>
              </w:rPr>
              <w:t>P 5</w:t>
            </w:r>
          </w:p>
        </w:tc>
        <w:tc>
          <w:tcPr>
            <w:tcW w:w="886" w:type="dxa"/>
            <w:vAlign w:val="center"/>
          </w:tcPr>
          <w:p w:rsidR="00BE1EFE" w:rsidRPr="004527D6" w:rsidRDefault="00BE1EFE" w:rsidP="00394846">
            <w:pPr>
              <w:jc w:val="center"/>
              <w:rPr>
                <w:b/>
              </w:rPr>
            </w:pPr>
            <w:r w:rsidRPr="004527D6">
              <w:rPr>
                <w:b/>
              </w:rPr>
              <w:t>2.177,82</w:t>
            </w:r>
          </w:p>
        </w:tc>
        <w:tc>
          <w:tcPr>
            <w:tcW w:w="876" w:type="dxa"/>
            <w:vAlign w:val="center"/>
          </w:tcPr>
          <w:p w:rsidR="00BE1EFE" w:rsidRPr="004527D6" w:rsidRDefault="00BE1EFE" w:rsidP="00394846">
            <w:pPr>
              <w:jc w:val="center"/>
              <w:rPr>
                <w:b/>
              </w:rPr>
            </w:pPr>
            <w:r w:rsidRPr="004527D6">
              <w:rPr>
                <w:b/>
              </w:rPr>
              <w:t>2.394,49</w:t>
            </w:r>
          </w:p>
        </w:tc>
        <w:tc>
          <w:tcPr>
            <w:tcW w:w="876" w:type="dxa"/>
            <w:vAlign w:val="center"/>
          </w:tcPr>
          <w:p w:rsidR="00BE1EFE" w:rsidRPr="004527D6" w:rsidRDefault="00BE1EFE" w:rsidP="00394846">
            <w:pPr>
              <w:jc w:val="center"/>
              <w:rPr>
                <w:b/>
              </w:rPr>
            </w:pPr>
            <w:r w:rsidRPr="004527D6">
              <w:rPr>
                <w:b/>
              </w:rPr>
              <w:t>2.457,13</w:t>
            </w:r>
          </w:p>
        </w:tc>
        <w:tc>
          <w:tcPr>
            <w:tcW w:w="876" w:type="dxa"/>
            <w:vAlign w:val="center"/>
          </w:tcPr>
          <w:p w:rsidR="00BE1EFE" w:rsidRPr="004527D6" w:rsidRDefault="00BE1EFE" w:rsidP="00394846">
            <w:pPr>
              <w:jc w:val="center"/>
              <w:rPr>
                <w:b/>
              </w:rPr>
            </w:pPr>
            <w:r w:rsidRPr="004527D6">
              <w:rPr>
                <w:b/>
              </w:rPr>
              <w:t>2.559,06</w:t>
            </w:r>
          </w:p>
        </w:tc>
        <w:tc>
          <w:tcPr>
            <w:tcW w:w="971" w:type="dxa"/>
            <w:vAlign w:val="center"/>
          </w:tcPr>
          <w:p w:rsidR="00BE1EFE" w:rsidRPr="004527D6" w:rsidRDefault="00BE1EFE" w:rsidP="00394846">
            <w:pPr>
              <w:jc w:val="center"/>
              <w:rPr>
                <w:b/>
              </w:rPr>
            </w:pPr>
            <w:r w:rsidRPr="004527D6">
              <w:rPr>
                <w:b/>
              </w:rPr>
              <w:t>2.635,55</w:t>
            </w:r>
          </w:p>
        </w:tc>
        <w:tc>
          <w:tcPr>
            <w:tcW w:w="876" w:type="dxa"/>
            <w:vAlign w:val="center"/>
          </w:tcPr>
          <w:p w:rsidR="00BE1EFE" w:rsidRPr="004527D6" w:rsidRDefault="00BE1EFE" w:rsidP="00394846">
            <w:pPr>
              <w:jc w:val="center"/>
              <w:rPr>
                <w:b/>
              </w:rPr>
            </w:pPr>
            <w:r w:rsidRPr="004527D6">
              <w:rPr>
                <w:b/>
              </w:rPr>
              <w:t>2.815,21</w:t>
            </w:r>
          </w:p>
        </w:tc>
      </w:tr>
    </w:tbl>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Default="00BE1EFE" w:rsidP="00CE777F">
      <w:pPr>
        <w:pStyle w:val="Leerzeile"/>
      </w:pPr>
    </w:p>
    <w:p w:rsidR="00BE1EFE" w:rsidRPr="00B46706" w:rsidRDefault="00BE1EFE" w:rsidP="00B46706">
      <w:pPr>
        <w:pStyle w:val="berschrift6"/>
        <w:spacing w:before="0"/>
        <w:rPr>
          <w:sz w:val="2"/>
          <w:szCs w:val="2"/>
        </w:rPr>
      </w:pPr>
      <w:bookmarkStart w:id="86" w:name="_Toc523925757"/>
      <w:r>
        <w:lastRenderedPageBreak/>
        <w:t>Anlage G</w:t>
      </w:r>
      <w:r>
        <w:rPr>
          <w:lang w:eastAsia="x-none"/>
        </w:rPr>
        <w:t xml:space="preserve">: </w:t>
      </w:r>
      <w:r>
        <w:t>Anlage</w:t>
      </w:r>
      <w:r>
        <w:rPr>
          <w:lang w:eastAsia="x-none"/>
        </w:rPr>
        <w:t xml:space="preserve"> </w:t>
      </w:r>
      <w:r w:rsidRPr="00D04CE2">
        <w:t>zu Nr. 3 Absatz 4 der Anlage zu § 45 (Bereitschaftsdienstentgelt)</w:t>
      </w:r>
      <w:bookmarkEnd w:id="86"/>
      <w:r w:rsidRPr="00D04CE2">
        <w:t xml:space="preserve"> </w:t>
      </w:r>
    </w:p>
    <w:p w:rsidR="00BE1EFE" w:rsidRPr="00B76821" w:rsidRDefault="00BE1EFE" w:rsidP="00B76821">
      <w:pPr>
        <w:pStyle w:val="h7"/>
        <w:keepNext w:val="0"/>
        <w:spacing w:before="0" w:after="0"/>
        <w:jc w:val="left"/>
        <w:outlineLvl w:val="5"/>
        <w:rPr>
          <w:sz w:val="2"/>
        </w:rPr>
      </w:pPr>
    </w:p>
    <w:p w:rsidR="00BE1EFE" w:rsidRPr="00D04CE2" w:rsidRDefault="00BE1EFE" w:rsidP="00D04CE2">
      <w:pPr>
        <w:ind w:left="426"/>
        <w:rPr>
          <w:rFonts w:cs="Arial"/>
          <w:bCs/>
          <w:sz w:val="18"/>
          <w:szCs w:val="18"/>
        </w:rPr>
      </w:pPr>
      <w:r w:rsidRPr="00D04CE2">
        <w:rPr>
          <w:rFonts w:cs="Arial"/>
          <w:bCs/>
          <w:sz w:val="18"/>
          <w:szCs w:val="18"/>
        </w:rPr>
        <w:t>(ausgenommen Beschäftigte nach nachfolgenden Ziffern I. und II.)</w:t>
      </w:r>
    </w:p>
    <w:p w:rsidR="00BE1EFE" w:rsidRPr="00D04CE2" w:rsidRDefault="00BE1EFE" w:rsidP="00D04CE2">
      <w:pPr>
        <w:pStyle w:val="Default"/>
        <w:rPr>
          <w:sz w:val="18"/>
          <w:szCs w:val="18"/>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68"/>
        <w:gridCol w:w="2268"/>
      </w:tblGrid>
      <w:tr w:rsidR="00BE1EFE" w:rsidRPr="00D04CE2" w:rsidTr="00E87479">
        <w:trPr>
          <w:trHeight w:val="765"/>
          <w:jc w:val="center"/>
        </w:trPr>
        <w:tc>
          <w:tcPr>
            <w:tcW w:w="2268" w:type="dxa"/>
          </w:tcPr>
          <w:p w:rsidR="00BE1EFE" w:rsidRDefault="00BE1EFE" w:rsidP="00394846">
            <w:pPr>
              <w:pStyle w:val="Default"/>
              <w:jc w:val="center"/>
              <w:rPr>
                <w:b/>
                <w:bCs/>
                <w:sz w:val="16"/>
                <w:szCs w:val="16"/>
              </w:rPr>
            </w:pPr>
          </w:p>
          <w:p w:rsidR="00BE1EFE" w:rsidRPr="009D436D" w:rsidRDefault="00BE1EFE" w:rsidP="00E87479">
            <w:pPr>
              <w:pStyle w:val="Default"/>
              <w:jc w:val="center"/>
              <w:rPr>
                <w:sz w:val="16"/>
                <w:szCs w:val="16"/>
              </w:rPr>
            </w:pPr>
            <w:r w:rsidRPr="009D436D">
              <w:rPr>
                <w:b/>
                <w:bCs/>
                <w:sz w:val="16"/>
                <w:szCs w:val="16"/>
              </w:rPr>
              <w:t>Entgeltgruppe</w:t>
            </w:r>
          </w:p>
        </w:tc>
        <w:tc>
          <w:tcPr>
            <w:tcW w:w="2268" w:type="dxa"/>
          </w:tcPr>
          <w:p w:rsidR="00BE1EFE" w:rsidRPr="00E87479" w:rsidRDefault="00BE1EFE" w:rsidP="00394846">
            <w:pPr>
              <w:pStyle w:val="Default"/>
              <w:jc w:val="center"/>
              <w:rPr>
                <w:b/>
                <w:bCs/>
                <w:sz w:val="6"/>
                <w:szCs w:val="6"/>
              </w:rPr>
            </w:pPr>
          </w:p>
          <w:p w:rsidR="00BE1EFE" w:rsidRPr="009D436D" w:rsidRDefault="00BE1EFE" w:rsidP="00394846">
            <w:pPr>
              <w:pStyle w:val="Default"/>
              <w:jc w:val="center"/>
              <w:rPr>
                <w:sz w:val="16"/>
                <w:szCs w:val="16"/>
              </w:rPr>
            </w:pPr>
            <w:r w:rsidRPr="009D436D">
              <w:rPr>
                <w:b/>
                <w:bCs/>
                <w:sz w:val="16"/>
                <w:szCs w:val="16"/>
              </w:rPr>
              <w:t>Stundenentgelt</w:t>
            </w:r>
          </w:p>
          <w:p w:rsidR="00BE1EFE" w:rsidRPr="009D436D" w:rsidRDefault="00BE1EFE" w:rsidP="00394846">
            <w:pPr>
              <w:pStyle w:val="Default"/>
              <w:jc w:val="center"/>
              <w:rPr>
                <w:sz w:val="16"/>
                <w:szCs w:val="16"/>
              </w:rPr>
            </w:pPr>
            <w:r w:rsidRPr="009D436D">
              <w:rPr>
                <w:b/>
                <w:bCs/>
                <w:sz w:val="16"/>
                <w:szCs w:val="16"/>
              </w:rPr>
              <w:t>gültig ab</w:t>
            </w:r>
          </w:p>
          <w:p w:rsidR="00BE1EFE" w:rsidRPr="009D436D" w:rsidRDefault="00BE1EFE" w:rsidP="00394846">
            <w:pPr>
              <w:pStyle w:val="Default"/>
              <w:jc w:val="center"/>
              <w:rPr>
                <w:b/>
                <w:bCs/>
                <w:sz w:val="16"/>
                <w:szCs w:val="16"/>
              </w:rPr>
            </w:pPr>
            <w:r w:rsidRPr="009D436D">
              <w:rPr>
                <w:b/>
                <w:bCs/>
                <w:sz w:val="16"/>
                <w:szCs w:val="16"/>
              </w:rPr>
              <w:t>1. Februar 2017</w:t>
            </w:r>
          </w:p>
          <w:p w:rsidR="00BE1EFE" w:rsidRPr="00E87479" w:rsidRDefault="00BE1EFE" w:rsidP="00394846">
            <w:pPr>
              <w:pStyle w:val="Default"/>
              <w:jc w:val="center"/>
              <w:rPr>
                <w:sz w:val="6"/>
                <w:szCs w:val="6"/>
              </w:rPr>
            </w:pP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15</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33,30 €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14</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30,64 €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13</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28,07 €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12</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27,62 €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11</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27,16 €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10</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24,67 €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9c</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21,46 €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9b</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21,08 €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9a</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20,71 €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8</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19,69 €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7</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18,99 €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6</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18,29 €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5</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17,14 €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4</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16,63 €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3</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16,12 €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2</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15,52 €</w:t>
            </w:r>
          </w:p>
        </w:tc>
      </w:tr>
      <w:tr w:rsidR="00BE1EFE" w:rsidRPr="00D04CE2" w:rsidTr="00E87479">
        <w:trPr>
          <w:trHeight w:val="159"/>
          <w:jc w:val="center"/>
        </w:trPr>
        <w:tc>
          <w:tcPr>
            <w:tcW w:w="2268" w:type="dxa"/>
            <w:vAlign w:val="center"/>
          </w:tcPr>
          <w:p w:rsidR="00BE1EFE" w:rsidRPr="00D02B45" w:rsidRDefault="00BE1EFE" w:rsidP="00E87479">
            <w:pPr>
              <w:pStyle w:val="Default"/>
              <w:spacing w:before="120" w:line="360" w:lineRule="auto"/>
              <w:jc w:val="center"/>
              <w:rPr>
                <w:b/>
                <w:sz w:val="16"/>
                <w:szCs w:val="16"/>
              </w:rPr>
            </w:pPr>
            <w:r w:rsidRPr="00D02B45">
              <w:rPr>
                <w:b/>
                <w:sz w:val="16"/>
                <w:szCs w:val="16"/>
              </w:rPr>
              <w:t>EG 1</w:t>
            </w:r>
          </w:p>
        </w:tc>
        <w:tc>
          <w:tcPr>
            <w:tcW w:w="2268" w:type="dxa"/>
            <w:vAlign w:val="center"/>
          </w:tcPr>
          <w:p w:rsidR="00BE1EFE" w:rsidRPr="00D02B45" w:rsidRDefault="00BE1EFE" w:rsidP="00394846">
            <w:pPr>
              <w:pStyle w:val="Default"/>
              <w:spacing w:before="120" w:line="360" w:lineRule="auto"/>
              <w:jc w:val="center"/>
              <w:rPr>
                <w:b/>
                <w:sz w:val="16"/>
                <w:szCs w:val="16"/>
              </w:rPr>
            </w:pPr>
            <w:r w:rsidRPr="00D02B45">
              <w:rPr>
                <w:b/>
                <w:sz w:val="16"/>
                <w:szCs w:val="16"/>
              </w:rPr>
              <w:t>12,31 €</w:t>
            </w:r>
          </w:p>
        </w:tc>
      </w:tr>
    </w:tbl>
    <w:p w:rsidR="00BE1EFE" w:rsidRDefault="00BE1EFE" w:rsidP="00D04CE2">
      <w:pPr>
        <w:rPr>
          <w:rFonts w:cs="Arial"/>
          <w:sz w:val="18"/>
          <w:szCs w:val="18"/>
        </w:rPr>
      </w:pPr>
    </w:p>
    <w:p w:rsidR="00BE1EFE" w:rsidRDefault="00BE1EFE" w:rsidP="00D04CE2">
      <w:pPr>
        <w:rPr>
          <w:rFonts w:cs="Arial"/>
          <w:sz w:val="18"/>
          <w:szCs w:val="18"/>
        </w:rPr>
      </w:pPr>
    </w:p>
    <w:p w:rsidR="00BE1EFE" w:rsidRDefault="00BE1EFE" w:rsidP="00D04CE2">
      <w:pPr>
        <w:rPr>
          <w:rFonts w:cs="Arial"/>
          <w:sz w:val="18"/>
          <w:szCs w:val="18"/>
        </w:rPr>
      </w:pPr>
    </w:p>
    <w:p w:rsidR="00BE1EFE" w:rsidRDefault="00BE1EFE" w:rsidP="00D04CE2">
      <w:pPr>
        <w:rPr>
          <w:rFonts w:cs="Arial"/>
          <w:sz w:val="18"/>
          <w:szCs w:val="18"/>
        </w:rPr>
      </w:pPr>
    </w:p>
    <w:p w:rsidR="00BE1EFE" w:rsidRPr="0082193E" w:rsidRDefault="00BE1EFE" w:rsidP="00D04CE2">
      <w:pPr>
        <w:rPr>
          <w:rFonts w:cs="Arial"/>
          <w:szCs w:val="16"/>
        </w:rPr>
      </w:pPr>
      <w:r w:rsidRPr="0082193E">
        <w:rPr>
          <w:rFonts w:cs="Arial"/>
          <w:szCs w:val="16"/>
        </w:rPr>
        <w:lastRenderedPageBreak/>
        <w:t>I. Beschäftigte, die nach dem Teil A, 2.3. Nummern 17.1 und 17.2 eingruppiert sind</w:t>
      </w:r>
    </w:p>
    <w:p w:rsidR="00BE1EFE" w:rsidRPr="0082193E" w:rsidRDefault="00BE1EFE" w:rsidP="00D04CE2">
      <w:pPr>
        <w:rPr>
          <w:rFonts w:cs="Arial"/>
          <w:sz w:val="8"/>
          <w:szCs w:val="8"/>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68"/>
        <w:gridCol w:w="2268"/>
      </w:tblGrid>
      <w:tr w:rsidR="00BE1EFE" w:rsidRPr="00CB63B9" w:rsidTr="0082193E">
        <w:trPr>
          <w:trHeight w:val="518"/>
          <w:jc w:val="center"/>
        </w:trPr>
        <w:tc>
          <w:tcPr>
            <w:tcW w:w="2268" w:type="dxa"/>
          </w:tcPr>
          <w:p w:rsidR="00BE1EFE" w:rsidRDefault="00BE1EFE" w:rsidP="00394846">
            <w:pPr>
              <w:pStyle w:val="Default"/>
              <w:jc w:val="center"/>
              <w:rPr>
                <w:b/>
                <w:bCs/>
                <w:sz w:val="16"/>
                <w:szCs w:val="16"/>
              </w:rPr>
            </w:pPr>
          </w:p>
          <w:p w:rsidR="00BE1EFE" w:rsidRPr="009D436D" w:rsidRDefault="00BE1EFE" w:rsidP="00E87479">
            <w:pPr>
              <w:pStyle w:val="Default"/>
              <w:jc w:val="center"/>
              <w:rPr>
                <w:sz w:val="16"/>
                <w:szCs w:val="16"/>
              </w:rPr>
            </w:pPr>
            <w:r w:rsidRPr="009D436D">
              <w:rPr>
                <w:b/>
                <w:bCs/>
                <w:sz w:val="16"/>
                <w:szCs w:val="16"/>
              </w:rPr>
              <w:t>Entgeltgruppe</w:t>
            </w:r>
          </w:p>
        </w:tc>
        <w:tc>
          <w:tcPr>
            <w:tcW w:w="2268" w:type="dxa"/>
          </w:tcPr>
          <w:p w:rsidR="00BE1EFE" w:rsidRPr="00E87479" w:rsidRDefault="00BE1EFE" w:rsidP="00394846">
            <w:pPr>
              <w:pStyle w:val="Default"/>
              <w:jc w:val="center"/>
              <w:rPr>
                <w:b/>
                <w:bCs/>
                <w:sz w:val="6"/>
                <w:szCs w:val="6"/>
              </w:rPr>
            </w:pPr>
          </w:p>
          <w:p w:rsidR="00BE1EFE" w:rsidRDefault="00BE1EFE" w:rsidP="0082193E">
            <w:pPr>
              <w:pStyle w:val="Default"/>
              <w:jc w:val="center"/>
              <w:rPr>
                <w:sz w:val="16"/>
                <w:szCs w:val="16"/>
              </w:rPr>
            </w:pPr>
            <w:r w:rsidRPr="009D436D">
              <w:rPr>
                <w:b/>
                <w:bCs/>
                <w:sz w:val="16"/>
                <w:szCs w:val="16"/>
              </w:rPr>
              <w:t>Stundenentgelt</w:t>
            </w:r>
            <w:r>
              <w:rPr>
                <w:sz w:val="16"/>
                <w:szCs w:val="16"/>
              </w:rPr>
              <w:t xml:space="preserve"> </w:t>
            </w:r>
          </w:p>
          <w:p w:rsidR="00BE1EFE" w:rsidRPr="00E87479" w:rsidRDefault="00BE1EFE" w:rsidP="002418C4">
            <w:pPr>
              <w:pStyle w:val="Default"/>
              <w:jc w:val="center"/>
              <w:rPr>
                <w:sz w:val="6"/>
                <w:szCs w:val="6"/>
              </w:rPr>
            </w:pPr>
            <w:r w:rsidRPr="009D436D">
              <w:rPr>
                <w:b/>
                <w:bCs/>
                <w:sz w:val="16"/>
                <w:szCs w:val="16"/>
              </w:rPr>
              <w:t xml:space="preserve">gültig </w:t>
            </w:r>
            <w:r w:rsidRPr="002418C4">
              <w:rPr>
                <w:b/>
                <w:bCs/>
                <w:sz w:val="16"/>
                <w:szCs w:val="16"/>
              </w:rPr>
              <w:t>vom 1. März 2018 bis 31. März 2019</w:t>
            </w:r>
            <w:r>
              <w:rPr>
                <w:b/>
                <w:bCs/>
                <w:sz w:val="16"/>
                <w:szCs w:val="16"/>
              </w:rPr>
              <w:t xml:space="preserve">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16</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29,59 €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15</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27,41 €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14</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25,83 €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13</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24,30 €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12</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23,13 €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11</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22,51 €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10</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21,36 €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9</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20,89 €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8</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20,47 €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7</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19,69 €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6</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18,02 €</w:t>
            </w:r>
          </w:p>
        </w:tc>
      </w:tr>
      <w:tr w:rsidR="00BE1EFE" w:rsidRPr="00D02B45" w:rsidTr="00E87479">
        <w:trPr>
          <w:trHeight w:val="159"/>
          <w:jc w:val="center"/>
        </w:trPr>
        <w:tc>
          <w:tcPr>
            <w:tcW w:w="2268" w:type="dxa"/>
          </w:tcPr>
          <w:p w:rsidR="00BE1EFE" w:rsidRPr="00D02B45" w:rsidRDefault="00BE1EFE" w:rsidP="00394846">
            <w:pPr>
              <w:pStyle w:val="Default"/>
              <w:spacing w:before="60" w:line="360" w:lineRule="auto"/>
              <w:ind w:left="851"/>
              <w:rPr>
                <w:b/>
                <w:sz w:val="16"/>
                <w:szCs w:val="16"/>
              </w:rPr>
            </w:pPr>
            <w:r w:rsidRPr="00D02B45">
              <w:rPr>
                <w:b/>
                <w:sz w:val="16"/>
                <w:szCs w:val="16"/>
              </w:rPr>
              <w:t>P 5</w:t>
            </w:r>
          </w:p>
        </w:tc>
        <w:tc>
          <w:tcPr>
            <w:tcW w:w="2268" w:type="dxa"/>
          </w:tcPr>
          <w:p w:rsidR="00BE1EFE" w:rsidRPr="00D02B45" w:rsidRDefault="00BE1EFE" w:rsidP="00394846">
            <w:pPr>
              <w:pStyle w:val="Default"/>
              <w:spacing w:before="60" w:line="360" w:lineRule="auto"/>
              <w:jc w:val="center"/>
              <w:rPr>
                <w:b/>
                <w:sz w:val="16"/>
                <w:szCs w:val="16"/>
              </w:rPr>
            </w:pPr>
            <w:r w:rsidRPr="00D02B45">
              <w:rPr>
                <w:b/>
                <w:sz w:val="16"/>
                <w:szCs w:val="16"/>
              </w:rPr>
              <w:t>16,59 €</w:t>
            </w:r>
          </w:p>
        </w:tc>
      </w:tr>
    </w:tbl>
    <w:p w:rsidR="00BE1EFE" w:rsidRPr="0082193E" w:rsidRDefault="00BE1EFE" w:rsidP="00B46706">
      <w:pPr>
        <w:pStyle w:val="StandardWeb"/>
        <w:rPr>
          <w:sz w:val="8"/>
          <w:szCs w:val="8"/>
        </w:rPr>
      </w:pPr>
    </w:p>
    <w:p w:rsidR="00B33077" w:rsidRDefault="00B33077" w:rsidP="00D04CE2">
      <w:pPr>
        <w:pStyle w:val="Default"/>
        <w:jc w:val="both"/>
        <w:rPr>
          <w:bCs/>
          <w:color w:val="auto"/>
          <w:sz w:val="16"/>
          <w:szCs w:val="16"/>
        </w:rPr>
      </w:pPr>
      <w:r>
        <w:rPr>
          <w:bCs/>
          <w:color w:val="auto"/>
          <w:sz w:val="16"/>
          <w:szCs w:val="16"/>
        </w:rPr>
        <w:br w:type="page"/>
      </w:r>
    </w:p>
    <w:p w:rsidR="00B33077" w:rsidRDefault="00B33077" w:rsidP="00D04CE2">
      <w:pPr>
        <w:pStyle w:val="Default"/>
        <w:jc w:val="both"/>
        <w:rPr>
          <w:bCs/>
          <w:color w:val="auto"/>
          <w:sz w:val="16"/>
          <w:szCs w:val="16"/>
        </w:rPr>
      </w:pPr>
    </w:p>
    <w:p w:rsidR="00BE1EFE" w:rsidRPr="0082193E" w:rsidRDefault="00BE1EFE" w:rsidP="00D04CE2">
      <w:pPr>
        <w:pStyle w:val="Default"/>
        <w:jc w:val="both"/>
        <w:rPr>
          <w:color w:val="auto"/>
          <w:sz w:val="16"/>
          <w:szCs w:val="16"/>
        </w:rPr>
      </w:pPr>
      <w:r w:rsidRPr="0082193E">
        <w:rPr>
          <w:bCs/>
          <w:color w:val="auto"/>
          <w:sz w:val="16"/>
          <w:szCs w:val="16"/>
        </w:rPr>
        <w:t xml:space="preserve">II. Beschäftigte, die nach dem Teil A, 2.2.1. Nummer 2 eingruppiert oder nach der Anlage 4 Teil A, 3. den Entgeltgruppen der Anlage A zum Teil A, 1. zugeordnet sind </w:t>
      </w:r>
    </w:p>
    <w:p w:rsidR="00BE1EFE" w:rsidRPr="0082193E" w:rsidRDefault="00BE1EFE" w:rsidP="00B46706">
      <w:pPr>
        <w:pStyle w:val="StandardWeb"/>
        <w:rPr>
          <w:sz w:val="8"/>
          <w:szCs w:val="8"/>
        </w:rPr>
      </w:pP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268"/>
        <w:gridCol w:w="2268"/>
      </w:tblGrid>
      <w:tr w:rsidR="00BE1EFE" w:rsidRPr="00CB63B9" w:rsidTr="00E87479">
        <w:trPr>
          <w:trHeight w:val="737"/>
          <w:jc w:val="center"/>
        </w:trPr>
        <w:tc>
          <w:tcPr>
            <w:tcW w:w="2268" w:type="dxa"/>
            <w:vAlign w:val="center"/>
          </w:tcPr>
          <w:p w:rsidR="00BE1EFE" w:rsidRPr="009D436D" w:rsidRDefault="00BE1EFE" w:rsidP="00E87479">
            <w:pPr>
              <w:pStyle w:val="Default"/>
              <w:rPr>
                <w:b/>
                <w:bCs/>
                <w:sz w:val="16"/>
                <w:szCs w:val="16"/>
              </w:rPr>
            </w:pPr>
          </w:p>
          <w:p w:rsidR="00BE1EFE" w:rsidRPr="009D436D" w:rsidRDefault="00BE1EFE" w:rsidP="00E87479">
            <w:pPr>
              <w:pStyle w:val="Default"/>
              <w:jc w:val="center"/>
              <w:rPr>
                <w:sz w:val="16"/>
                <w:szCs w:val="16"/>
              </w:rPr>
            </w:pPr>
            <w:r w:rsidRPr="009D436D">
              <w:rPr>
                <w:b/>
                <w:bCs/>
                <w:sz w:val="16"/>
                <w:szCs w:val="16"/>
              </w:rPr>
              <w:t>Entgeltgruppe</w:t>
            </w:r>
          </w:p>
        </w:tc>
        <w:tc>
          <w:tcPr>
            <w:tcW w:w="2268" w:type="dxa"/>
            <w:vAlign w:val="center"/>
          </w:tcPr>
          <w:p w:rsidR="00BE1EFE" w:rsidRPr="00E87479" w:rsidRDefault="00BE1EFE" w:rsidP="00E87479">
            <w:pPr>
              <w:pStyle w:val="Default"/>
              <w:jc w:val="center"/>
              <w:rPr>
                <w:b/>
                <w:bCs/>
                <w:sz w:val="6"/>
                <w:szCs w:val="6"/>
              </w:rPr>
            </w:pPr>
          </w:p>
          <w:p w:rsidR="00BE1EFE" w:rsidRPr="009D436D" w:rsidRDefault="00BE1EFE" w:rsidP="00E87479">
            <w:pPr>
              <w:pStyle w:val="Default"/>
              <w:jc w:val="center"/>
              <w:rPr>
                <w:sz w:val="16"/>
                <w:szCs w:val="16"/>
              </w:rPr>
            </w:pPr>
            <w:r w:rsidRPr="009D436D">
              <w:rPr>
                <w:b/>
                <w:bCs/>
                <w:sz w:val="16"/>
                <w:szCs w:val="16"/>
              </w:rPr>
              <w:t>Stundenentgelt</w:t>
            </w:r>
          </w:p>
          <w:p w:rsidR="00BE1EFE" w:rsidRPr="00E87479" w:rsidRDefault="00BE1EFE" w:rsidP="00E87479">
            <w:pPr>
              <w:pStyle w:val="Default"/>
              <w:jc w:val="center"/>
              <w:rPr>
                <w:sz w:val="6"/>
                <w:szCs w:val="6"/>
              </w:rPr>
            </w:pPr>
            <w:r w:rsidRPr="009D436D">
              <w:rPr>
                <w:b/>
                <w:bCs/>
                <w:sz w:val="16"/>
                <w:szCs w:val="16"/>
              </w:rPr>
              <w:t xml:space="preserve">gültig </w:t>
            </w:r>
            <w:r w:rsidRPr="002418C4">
              <w:rPr>
                <w:b/>
                <w:bCs/>
                <w:sz w:val="16"/>
                <w:szCs w:val="16"/>
              </w:rPr>
              <w:t>vom 1. März 2018 bis 31. März 2019</w:t>
            </w:r>
          </w:p>
        </w:tc>
      </w:tr>
      <w:tr w:rsidR="00BE1EFE" w:rsidRPr="00CB63B9" w:rsidTr="00E87479">
        <w:trPr>
          <w:trHeight w:val="159"/>
          <w:jc w:val="center"/>
        </w:trPr>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9a</w:t>
            </w:r>
          </w:p>
        </w:tc>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21,23 €</w:t>
            </w:r>
          </w:p>
        </w:tc>
      </w:tr>
      <w:tr w:rsidR="00BE1EFE" w:rsidRPr="00CB63B9" w:rsidTr="00E87479">
        <w:trPr>
          <w:trHeight w:val="159"/>
          <w:jc w:val="center"/>
        </w:trPr>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8</w:t>
            </w:r>
          </w:p>
        </w:tc>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20,39 €</w:t>
            </w:r>
          </w:p>
        </w:tc>
      </w:tr>
      <w:tr w:rsidR="00BE1EFE" w:rsidRPr="00CB63B9" w:rsidTr="00E87479">
        <w:trPr>
          <w:trHeight w:val="159"/>
          <w:jc w:val="center"/>
        </w:trPr>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7</w:t>
            </w:r>
          </w:p>
        </w:tc>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19,51 €</w:t>
            </w:r>
          </w:p>
        </w:tc>
      </w:tr>
      <w:tr w:rsidR="00BE1EFE" w:rsidRPr="00CB63B9" w:rsidTr="00E87479">
        <w:trPr>
          <w:trHeight w:val="159"/>
          <w:jc w:val="center"/>
        </w:trPr>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6</w:t>
            </w:r>
          </w:p>
        </w:tc>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18,70 €</w:t>
            </w:r>
          </w:p>
        </w:tc>
      </w:tr>
      <w:tr w:rsidR="00BE1EFE" w:rsidRPr="00CB63B9" w:rsidTr="00E87479">
        <w:trPr>
          <w:trHeight w:val="159"/>
          <w:jc w:val="center"/>
        </w:trPr>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5</w:t>
            </w:r>
          </w:p>
        </w:tc>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17,87 €</w:t>
            </w:r>
          </w:p>
        </w:tc>
      </w:tr>
      <w:tr w:rsidR="00BE1EFE" w:rsidRPr="00CB63B9" w:rsidTr="00E87479">
        <w:trPr>
          <w:trHeight w:val="159"/>
          <w:jc w:val="center"/>
        </w:trPr>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4</w:t>
            </w:r>
          </w:p>
        </w:tc>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17,09 €</w:t>
            </w:r>
          </w:p>
        </w:tc>
      </w:tr>
      <w:tr w:rsidR="00BE1EFE" w:rsidRPr="00CB63B9" w:rsidTr="00E87479">
        <w:trPr>
          <w:trHeight w:val="159"/>
          <w:jc w:val="center"/>
        </w:trPr>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3</w:t>
            </w:r>
          </w:p>
        </w:tc>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16,36 €</w:t>
            </w:r>
          </w:p>
        </w:tc>
      </w:tr>
      <w:tr w:rsidR="00BE1EFE" w:rsidRPr="00CB63B9" w:rsidTr="00E87479">
        <w:trPr>
          <w:trHeight w:val="159"/>
          <w:jc w:val="center"/>
        </w:trPr>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2Ü</w:t>
            </w:r>
          </w:p>
        </w:tc>
        <w:tc>
          <w:tcPr>
            <w:tcW w:w="2268" w:type="dxa"/>
            <w:vAlign w:val="center"/>
          </w:tcPr>
          <w:p w:rsidR="00BE1EFE" w:rsidRPr="00D02B45" w:rsidRDefault="00BE1EFE" w:rsidP="00E87479">
            <w:pPr>
              <w:pStyle w:val="Default"/>
              <w:spacing w:before="60" w:line="360" w:lineRule="auto"/>
              <w:jc w:val="center"/>
              <w:rPr>
                <w:b/>
                <w:sz w:val="16"/>
                <w:szCs w:val="16"/>
              </w:rPr>
            </w:pPr>
            <w:r w:rsidRPr="00D02B45">
              <w:rPr>
                <w:b/>
                <w:sz w:val="16"/>
                <w:szCs w:val="16"/>
              </w:rPr>
              <w:t>15,67 €</w:t>
            </w:r>
          </w:p>
        </w:tc>
      </w:tr>
      <w:tr w:rsidR="00BE1EFE" w:rsidRPr="00CB63B9" w:rsidTr="00E87479">
        <w:trPr>
          <w:trHeight w:val="159"/>
          <w:jc w:val="center"/>
        </w:trPr>
        <w:tc>
          <w:tcPr>
            <w:tcW w:w="2268" w:type="dxa"/>
          </w:tcPr>
          <w:p w:rsidR="00BE1EFE" w:rsidRPr="00D02B45" w:rsidRDefault="00BE1EFE" w:rsidP="00E87479">
            <w:pPr>
              <w:pStyle w:val="Default"/>
              <w:spacing w:before="60" w:line="360" w:lineRule="auto"/>
              <w:jc w:val="center"/>
              <w:rPr>
                <w:b/>
                <w:sz w:val="16"/>
                <w:szCs w:val="16"/>
              </w:rPr>
            </w:pPr>
            <w:r w:rsidRPr="00D02B45">
              <w:rPr>
                <w:b/>
                <w:sz w:val="16"/>
                <w:szCs w:val="16"/>
              </w:rPr>
              <w:t>2</w:t>
            </w:r>
          </w:p>
        </w:tc>
        <w:tc>
          <w:tcPr>
            <w:tcW w:w="2268" w:type="dxa"/>
          </w:tcPr>
          <w:p w:rsidR="00BE1EFE" w:rsidRPr="00D02B45" w:rsidRDefault="00BE1EFE" w:rsidP="00E87479">
            <w:pPr>
              <w:pStyle w:val="Default"/>
              <w:spacing w:before="60" w:line="360" w:lineRule="auto"/>
              <w:jc w:val="center"/>
              <w:rPr>
                <w:b/>
                <w:sz w:val="16"/>
                <w:szCs w:val="16"/>
              </w:rPr>
            </w:pPr>
            <w:r w:rsidRPr="00D02B45">
              <w:rPr>
                <w:b/>
                <w:sz w:val="16"/>
                <w:szCs w:val="16"/>
              </w:rPr>
              <w:t>15,17 €</w:t>
            </w:r>
          </w:p>
        </w:tc>
      </w:tr>
    </w:tbl>
    <w:p w:rsidR="00BE1EFE" w:rsidRDefault="00BE1EFE" w:rsidP="00CE777F">
      <w:pPr>
        <w:pStyle w:val="Leerzeile"/>
      </w:pPr>
    </w:p>
    <w:p w:rsidR="00B33077" w:rsidRDefault="00B33077" w:rsidP="00B33077">
      <w:pPr>
        <w:pStyle w:val="StandardWeb"/>
      </w:pPr>
      <w:bookmarkStart w:id="87" w:name="_Toc523925758"/>
      <w:r>
        <w:br w:type="page"/>
      </w:r>
    </w:p>
    <w:p w:rsidR="00B33077" w:rsidRDefault="00B33077" w:rsidP="00B33077">
      <w:pPr>
        <w:pStyle w:val="StandardWeb"/>
      </w:pPr>
    </w:p>
    <w:p w:rsidR="00BE1EFE" w:rsidRPr="00B46706" w:rsidRDefault="00BE1EFE" w:rsidP="00B46706">
      <w:pPr>
        <w:pStyle w:val="berschrift6"/>
        <w:spacing w:before="0"/>
        <w:rPr>
          <w:sz w:val="2"/>
          <w:szCs w:val="2"/>
        </w:rPr>
      </w:pPr>
      <w:r>
        <w:t xml:space="preserve">Anlage </w:t>
      </w:r>
      <w:r>
        <w:rPr>
          <w:lang w:eastAsia="x-none"/>
        </w:rPr>
        <w:t>H</w:t>
      </w:r>
      <w:r>
        <w:t>: Selbstauskunft und Verpflichtungserklärung für Beschäftigte zur persönlichen Eignung für den Umgang mit Kindern und Jugendlichen gemäß § 3 Absatz 9</w:t>
      </w:r>
      <w:bookmarkEnd w:id="87"/>
    </w:p>
    <w:tbl>
      <w:tblPr>
        <w:tblW w:w="5000" w:type="pct"/>
        <w:tblInd w:w="55" w:type="dxa"/>
        <w:tblCellMar>
          <w:left w:w="0" w:type="dxa"/>
          <w:right w:w="0" w:type="dxa"/>
        </w:tblCellMar>
        <w:tblLook w:val="04A0" w:firstRow="1" w:lastRow="0" w:firstColumn="1" w:lastColumn="0" w:noHBand="0" w:noVBand="1"/>
      </w:tblPr>
      <w:tblGrid>
        <w:gridCol w:w="1294"/>
        <w:gridCol w:w="2621"/>
        <w:gridCol w:w="1299"/>
        <w:gridCol w:w="1617"/>
      </w:tblGrid>
      <w:tr w:rsidR="00BE1EFE" w:rsidTr="009478FD">
        <w:trPr>
          <w:trHeight w:val="315"/>
        </w:trPr>
        <w:tc>
          <w:tcPr>
            <w:tcW w:w="6831" w:type="dxa"/>
            <w:gridSpan w:val="4"/>
            <w:tcBorders>
              <w:top w:val="nil"/>
              <w:left w:val="nil"/>
              <w:bottom w:val="single" w:sz="8" w:space="0" w:color="auto"/>
              <w:right w:val="nil"/>
            </w:tcBorders>
            <w:tcMar>
              <w:top w:w="0" w:type="dxa"/>
              <w:left w:w="70" w:type="dxa"/>
              <w:bottom w:w="0" w:type="dxa"/>
              <w:right w:w="70" w:type="dxa"/>
            </w:tcMar>
            <w:vAlign w:val="center"/>
            <w:hideMark/>
          </w:tcPr>
          <w:p w:rsidR="00BE1EFE" w:rsidRPr="00B76821" w:rsidRDefault="00BE1EFE" w:rsidP="00B76821">
            <w:pPr>
              <w:pStyle w:val="h7"/>
              <w:keepNext w:val="0"/>
              <w:spacing w:before="0" w:after="0"/>
              <w:jc w:val="left"/>
              <w:outlineLvl w:val="5"/>
              <w:rPr>
                <w:sz w:val="2"/>
              </w:rPr>
            </w:pPr>
          </w:p>
          <w:p w:rsidR="00BE1EFE" w:rsidRDefault="00BE1EFE">
            <w:pPr>
              <w:rPr>
                <w:sz w:val="24"/>
              </w:rPr>
            </w:pPr>
            <w:r>
              <w:t> </w:t>
            </w:r>
          </w:p>
          <w:p w:rsidR="00BE1EFE" w:rsidRDefault="00BE1EFE">
            <w:pPr>
              <w:rPr>
                <w:sz w:val="24"/>
              </w:rPr>
            </w:pPr>
            <w:r>
              <w:t> </w:t>
            </w:r>
          </w:p>
        </w:tc>
      </w:tr>
      <w:tr w:rsidR="00BE1EFE" w:rsidTr="005C0351">
        <w:trPr>
          <w:trHeight w:val="300"/>
        </w:trPr>
        <w:tc>
          <w:tcPr>
            <w:tcW w:w="3915" w:type="dxa"/>
            <w:gridSpan w:val="2"/>
            <w:tcMar>
              <w:top w:w="0" w:type="dxa"/>
              <w:left w:w="70" w:type="dxa"/>
              <w:bottom w:w="0" w:type="dxa"/>
              <w:right w:w="70" w:type="dxa"/>
            </w:tcMar>
            <w:vAlign w:val="center"/>
            <w:hideMark/>
          </w:tcPr>
          <w:p w:rsidR="00BE1EFE" w:rsidRPr="000B1AF8" w:rsidRDefault="00BE1EFE">
            <w:pPr>
              <w:pStyle w:val="StandardWeb"/>
            </w:pPr>
            <w:r>
              <w:t>Name, Vorname</w:t>
            </w:r>
          </w:p>
        </w:tc>
        <w:tc>
          <w:tcPr>
            <w:tcW w:w="1299" w:type="dxa"/>
            <w:tcMar>
              <w:top w:w="0" w:type="dxa"/>
              <w:left w:w="70" w:type="dxa"/>
              <w:bottom w:w="0" w:type="dxa"/>
              <w:right w:w="70" w:type="dxa"/>
            </w:tcMar>
            <w:vAlign w:val="center"/>
            <w:hideMark/>
          </w:tcPr>
          <w:p w:rsidR="00BE1EFE" w:rsidRDefault="00BE1EFE">
            <w:pPr>
              <w:rPr>
                <w:sz w:val="24"/>
              </w:rPr>
            </w:pPr>
            <w:r>
              <w:t> </w:t>
            </w:r>
          </w:p>
        </w:tc>
        <w:tc>
          <w:tcPr>
            <w:tcW w:w="1617" w:type="dxa"/>
            <w:tcMar>
              <w:top w:w="0" w:type="dxa"/>
              <w:left w:w="70" w:type="dxa"/>
              <w:bottom w:w="0" w:type="dxa"/>
              <w:right w:w="70" w:type="dxa"/>
            </w:tcMar>
            <w:vAlign w:val="center"/>
            <w:hideMark/>
          </w:tcPr>
          <w:p w:rsidR="00BE1EFE" w:rsidRPr="000B1AF8" w:rsidRDefault="00BE1EFE">
            <w:pPr>
              <w:pStyle w:val="StandardWeb"/>
            </w:pPr>
            <w:r>
              <w:t>Geburtsdatum</w:t>
            </w:r>
          </w:p>
        </w:tc>
      </w:tr>
      <w:tr w:rsidR="00BE1EFE" w:rsidTr="005C0351">
        <w:trPr>
          <w:trHeight w:val="450"/>
        </w:trPr>
        <w:tc>
          <w:tcPr>
            <w:tcW w:w="6831" w:type="dxa"/>
            <w:gridSpan w:val="4"/>
            <w:tcMar>
              <w:top w:w="0" w:type="dxa"/>
              <w:left w:w="70" w:type="dxa"/>
              <w:bottom w:w="0" w:type="dxa"/>
              <w:right w:w="70" w:type="dxa"/>
            </w:tcMar>
            <w:vAlign w:val="center"/>
            <w:hideMark/>
          </w:tcPr>
          <w:p w:rsidR="00BE1EFE" w:rsidRPr="000B1AF8" w:rsidRDefault="00BE1EFE">
            <w:pPr>
              <w:pStyle w:val="StandardWeb"/>
            </w:pPr>
            <w:r>
              <w:t>Hiermit erkläre ich, dass ich nicht gerichtlich bestraft*) bin wegen der Vollendung oder des Versuchs folgender Straftaten:</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Verletzung der Fürsorge- oder Erziehungspflicht </w:t>
            </w:r>
            <w:r w:rsidRPr="00F56A6F">
              <w:t>(</w:t>
            </w:r>
            <w:hyperlink r:id="rId254" w:history="1">
              <w:r w:rsidRPr="00F56A6F">
                <w:rPr>
                  <w:rStyle w:val="Hyperlink"/>
                </w:rPr>
                <w:t>§ 171 StGB</w:t>
              </w:r>
            </w:hyperlink>
            <w:r>
              <w:t>);</w:t>
            </w:r>
          </w:p>
        </w:tc>
      </w:tr>
      <w:tr w:rsidR="00BE1EFE" w:rsidTr="005C0351">
        <w:trPr>
          <w:trHeight w:val="45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Straftaten gegen die sexuelle Selbstbestimmung </w:t>
            </w:r>
            <w:r w:rsidRPr="00F56A6F">
              <w:t>(</w:t>
            </w:r>
            <w:hyperlink r:id="rId255" w:anchor="BJNR001270871BJNG005002307" w:history="1">
              <w:r w:rsidRPr="00F56A6F">
                <w:rPr>
                  <w:rStyle w:val="Hyperlink"/>
                </w:rPr>
                <w:t>§§ 174 bis 184i StGB</w:t>
              </w:r>
            </w:hyperlink>
            <w:r>
              <w:t>);</w:t>
            </w:r>
          </w:p>
        </w:tc>
      </w:tr>
      <w:tr w:rsidR="00BE1EFE" w:rsidTr="00256065">
        <w:trPr>
          <w:trHeight w:val="300"/>
        </w:trPr>
        <w:tc>
          <w:tcPr>
            <w:tcW w:w="1294" w:type="dxa"/>
            <w:tcMar>
              <w:top w:w="0" w:type="dxa"/>
              <w:left w:w="70" w:type="dxa"/>
              <w:bottom w:w="0" w:type="dxa"/>
              <w:right w:w="70" w:type="dxa"/>
            </w:tcMar>
            <w:vAlign w:val="center"/>
            <w:hideMark/>
          </w:tcPr>
          <w:p w:rsidR="00BE1EFE" w:rsidRPr="00CE40D1" w:rsidRDefault="00BE1EFE" w:rsidP="00ED479B">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ED479B">
            <w:pPr>
              <w:pStyle w:val="StandardWeb"/>
              <w:jc w:val="left"/>
            </w:pPr>
            <w:r>
              <w:t xml:space="preserve">Verletzung des höchstpersönlichen Lebensbereich durch Bildaufnahmen </w:t>
            </w:r>
            <w:r>
              <w:rPr>
                <w:color w:val="010101"/>
              </w:rPr>
              <w:t>(</w:t>
            </w:r>
            <w:hyperlink r:id="rId256" w:history="1">
              <w:r w:rsidRPr="00F56A6F">
                <w:rPr>
                  <w:rStyle w:val="Hyperlink"/>
                </w:rPr>
                <w:t>§ 201a Absatz 3 StGB</w:t>
              </w:r>
            </w:hyperlink>
            <w:r>
              <w:rPr>
                <w:color w:val="010101"/>
              </w:rP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Vorsätzliche Tötungsdelikte </w:t>
            </w:r>
            <w:r>
              <w:rPr>
                <w:color w:val="010101"/>
              </w:rPr>
              <w:t>(</w:t>
            </w:r>
            <w:hyperlink r:id="rId257" w:anchor="BJNR001270871BJNG005302307" w:history="1">
              <w:r w:rsidRPr="00F56A6F">
                <w:rPr>
                  <w:rStyle w:val="Hyperlink"/>
                </w:rPr>
                <w:t>§§ 211 bis 216 StGB</w:t>
              </w:r>
            </w:hyperlink>
            <w:r>
              <w:rPr>
                <w:color w:val="010101"/>
              </w:rP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Misshandlung von Schutzbefohlenen </w:t>
            </w:r>
            <w:r w:rsidRPr="00F56A6F">
              <w:t>(</w:t>
            </w:r>
            <w:hyperlink r:id="rId258" w:history="1">
              <w:r w:rsidRPr="00F56A6F">
                <w:rPr>
                  <w:rStyle w:val="Hyperlink"/>
                </w:rPr>
                <w:t>§ 225 StGB</w:t>
              </w:r>
            </w:hyperlink>
            <w:r w:rsidRPr="00F56A6F">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Menschenhandel </w:t>
            </w:r>
            <w:r w:rsidRPr="00F56A6F">
              <w:t>(</w:t>
            </w:r>
            <w:hyperlink r:id="rId259" w:anchor="BJNR001270871BJNG005503377" w:history="1">
              <w:r w:rsidRPr="00F56A6F">
                <w:rPr>
                  <w:rStyle w:val="Hyperlink"/>
                </w:rPr>
                <w:t>§§ 232 bis 233a StGB</w:t>
              </w:r>
            </w:hyperlink>
            <w:r>
              <w:t>);</w:t>
            </w:r>
          </w:p>
        </w:tc>
      </w:tr>
      <w:tr w:rsidR="00BE1EFE" w:rsidTr="005C0351">
        <w:trPr>
          <w:trHeight w:val="45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Menschenraub, Verschleppung, Entziehung Minderjähriger oder Kinderhandel </w:t>
            </w:r>
            <w:r w:rsidRPr="00F56A6F">
              <w:t>(</w:t>
            </w:r>
            <w:hyperlink r:id="rId260" w:anchor="BJNR001270871BJNG005503377" w:history="1">
              <w:r w:rsidRPr="004A694A">
                <w:rPr>
                  <w:rStyle w:val="Hyperlink"/>
                </w:rPr>
                <w:t>§§ 234 bis 236 StGB</w:t>
              </w:r>
            </w:hyperlink>
            <w:r w:rsidRPr="00F56A6F">
              <w:t>)</w:t>
            </w:r>
            <w:r>
              <w:t>;</w:t>
            </w:r>
          </w:p>
        </w:tc>
      </w:tr>
      <w:tr w:rsidR="00BE1EFE" w:rsidTr="005C0351">
        <w:trPr>
          <w:trHeight w:val="3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Nachstellung </w:t>
            </w:r>
            <w:r w:rsidRPr="004A694A">
              <w:t>(</w:t>
            </w:r>
            <w:hyperlink r:id="rId261" w:history="1">
              <w:r w:rsidRPr="004A694A">
                <w:rPr>
                  <w:rStyle w:val="Hyperlink"/>
                </w:rPr>
                <w:t>§ 238 StGB</w:t>
              </w:r>
            </w:hyperlink>
            <w:r w:rsidRPr="004A694A">
              <w:t>);</w:t>
            </w:r>
          </w:p>
        </w:tc>
      </w:tr>
      <w:tr w:rsidR="00BE1EFE" w:rsidTr="005C0351">
        <w:trPr>
          <w:trHeight w:val="675"/>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Straftaten nach dem Betäubungsmittelgesetz, für die eine Freiheitsstrafe von mindestens einem Jahr angedroht ist. </w:t>
            </w:r>
            <w:r w:rsidRPr="004A694A">
              <w:t>(</w:t>
            </w:r>
            <w:hyperlink r:id="rId262" w:anchor="BJNR106810981BJNG000601308" w:history="1">
              <w:r w:rsidRPr="004A694A">
                <w:rPr>
                  <w:rStyle w:val="Hyperlink"/>
                </w:rPr>
                <w:t>§§ 29 Absatz 3, 29a bis 30b BtMG</w:t>
              </w:r>
            </w:hyperlink>
            <w:r w:rsidRPr="004A694A">
              <w:t>);</w:t>
            </w:r>
          </w:p>
        </w:tc>
      </w:tr>
      <w:tr w:rsidR="00BE1EFE" w:rsidTr="005C0351">
        <w:trPr>
          <w:trHeight w:val="900"/>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vorsätzliche </w:t>
            </w:r>
            <w:r w:rsidRPr="00B6742C">
              <w:rPr>
                <w:color w:val="000000"/>
              </w:rPr>
              <w:t xml:space="preserve">Körperverletzungsdelikte </w:t>
            </w:r>
            <w:r w:rsidRPr="004A694A">
              <w:rPr>
                <w:color w:val="000000"/>
              </w:rPr>
              <w:t xml:space="preserve">(§§ </w:t>
            </w:r>
            <w:hyperlink r:id="rId263" w:history="1">
              <w:r w:rsidRPr="004A694A">
                <w:rPr>
                  <w:rStyle w:val="Hyperlink"/>
                </w:rPr>
                <w:t>223</w:t>
              </w:r>
            </w:hyperlink>
            <w:r w:rsidRPr="004A694A">
              <w:rPr>
                <w:color w:val="000000"/>
              </w:rPr>
              <w:t xml:space="preserve">, </w:t>
            </w:r>
            <w:hyperlink r:id="rId264" w:history="1">
              <w:r w:rsidRPr="004A694A">
                <w:rPr>
                  <w:rStyle w:val="Hyperlink"/>
                </w:rPr>
                <w:t>224</w:t>
              </w:r>
            </w:hyperlink>
            <w:r w:rsidRPr="004A694A">
              <w:rPr>
                <w:color w:val="000000"/>
              </w:rPr>
              <w:t xml:space="preserve">, </w:t>
            </w:r>
            <w:hyperlink r:id="rId265" w:history="1">
              <w:r w:rsidRPr="004A694A">
                <w:rPr>
                  <w:rStyle w:val="Hyperlink"/>
                </w:rPr>
                <w:t>226</w:t>
              </w:r>
            </w:hyperlink>
            <w:r w:rsidRPr="004A694A">
              <w:rPr>
                <w:color w:val="000000"/>
              </w:rPr>
              <w:t xml:space="preserve">, </w:t>
            </w:r>
            <w:hyperlink r:id="rId266" w:history="1">
              <w:r w:rsidRPr="004A694A">
                <w:rPr>
                  <w:rStyle w:val="Hyperlink"/>
                </w:rPr>
                <w:t>227</w:t>
              </w:r>
            </w:hyperlink>
            <w:r w:rsidRPr="004A694A">
              <w:rPr>
                <w:color w:val="000000"/>
              </w:rPr>
              <w:t xml:space="preserve">, </w:t>
            </w:r>
            <w:hyperlink r:id="rId267" w:history="1">
              <w:r w:rsidRPr="004A694A">
                <w:rPr>
                  <w:rStyle w:val="Hyperlink"/>
                </w:rPr>
                <w:t>231 StGB</w:t>
              </w:r>
            </w:hyperlink>
            <w:r w:rsidRPr="004A694A">
              <w:rPr>
                <w:color w:val="000000"/>
              </w:rPr>
              <w:t>),</w:t>
            </w:r>
            <w:r>
              <w:t xml:space="preserve"> Raubdelikte </w:t>
            </w:r>
            <w:r w:rsidRPr="004A694A">
              <w:t>(</w:t>
            </w:r>
            <w:hyperlink r:id="rId268" w:anchor="BJNR001270871BJNG005702307" w:history="1">
              <w:r w:rsidRPr="004A694A">
                <w:rPr>
                  <w:rStyle w:val="Hyperlink"/>
                </w:rPr>
                <w:t>§§ 249 bis 255 StGB</w:t>
              </w:r>
            </w:hyperlink>
            <w:r w:rsidRPr="004A694A">
              <w:t>)</w:t>
            </w:r>
            <w:r>
              <w:t xml:space="preserve"> Aussetzung </w:t>
            </w:r>
            <w:r w:rsidRPr="004A694A">
              <w:t>(</w:t>
            </w:r>
            <w:hyperlink r:id="rId269" w:history="1">
              <w:r w:rsidRPr="004A694A">
                <w:rPr>
                  <w:rStyle w:val="Hyperlink"/>
                </w:rPr>
                <w:t>§ 221 StGB</w:t>
              </w:r>
            </w:hyperlink>
            <w:r>
              <w:t xml:space="preserve">), Beleidigung </w:t>
            </w:r>
            <w:r w:rsidRPr="004A694A">
              <w:t>(</w:t>
            </w:r>
            <w:hyperlink r:id="rId270" w:history="1">
              <w:r w:rsidRPr="004A694A">
                <w:rPr>
                  <w:rStyle w:val="Hyperlink"/>
                </w:rPr>
                <w:t>§ 185 StGB</w:t>
              </w:r>
            </w:hyperlink>
            <w:r w:rsidRPr="004A694A">
              <w:t>)</w:t>
            </w:r>
            <w:r>
              <w:t xml:space="preserve"> auf sexueller Ebene zum Nachteil einer/s Minderjährigen;</w:t>
            </w:r>
          </w:p>
        </w:tc>
      </w:tr>
      <w:tr w:rsidR="00BE1EFE" w:rsidTr="005C0351">
        <w:trPr>
          <w:trHeight w:val="675"/>
        </w:trPr>
        <w:tc>
          <w:tcPr>
            <w:tcW w:w="1294"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537" w:type="dxa"/>
            <w:gridSpan w:val="3"/>
            <w:tcMar>
              <w:top w:w="0" w:type="dxa"/>
              <w:left w:w="70" w:type="dxa"/>
              <w:bottom w:w="0" w:type="dxa"/>
              <w:right w:w="70" w:type="dxa"/>
            </w:tcMar>
            <w:vAlign w:val="center"/>
            <w:hideMark/>
          </w:tcPr>
          <w:p w:rsidR="00BE1EFE" w:rsidRPr="000B1AF8" w:rsidRDefault="00BE1EFE" w:rsidP="005B34B6">
            <w:pPr>
              <w:pStyle w:val="StandardWeb"/>
              <w:jc w:val="left"/>
            </w:pPr>
            <w:r>
              <w:t xml:space="preserve">Strafbarer Vollrausch </w:t>
            </w:r>
            <w:r w:rsidRPr="004A694A">
              <w:t>(</w:t>
            </w:r>
            <w:hyperlink r:id="rId271" w:history="1">
              <w:r w:rsidRPr="004A694A">
                <w:rPr>
                  <w:rStyle w:val="Hyperlink"/>
                </w:rPr>
                <w:t>§ 323a StGB</w:t>
              </w:r>
            </w:hyperlink>
            <w:r w:rsidRPr="004A694A">
              <w:t>)</w:t>
            </w:r>
            <w:r>
              <w:t xml:space="preserve"> unter Begehung einer oder strafbare Bedrohung (</w:t>
            </w:r>
            <w:hyperlink r:id="rId272" w:history="1">
              <w:r w:rsidRPr="004A694A">
                <w:rPr>
                  <w:rStyle w:val="Hyperlink"/>
                </w:rPr>
                <w:t>§ 241 StGB</w:t>
              </w:r>
            </w:hyperlink>
            <w:r w:rsidRPr="004A694A">
              <w:t xml:space="preserve">) </w:t>
            </w:r>
            <w:r>
              <w:t>mit einer der oben genannten Straftaten;</w:t>
            </w:r>
          </w:p>
        </w:tc>
      </w:tr>
    </w:tbl>
    <w:p w:rsidR="00BE1EFE" w:rsidRPr="000B1AF8" w:rsidRDefault="00BE1EFE" w:rsidP="006B6971">
      <w:pPr>
        <w:pStyle w:val="Leerzeile"/>
      </w:pPr>
    </w:p>
    <w:tbl>
      <w:tblPr>
        <w:tblW w:w="5000" w:type="pct"/>
        <w:tblInd w:w="55" w:type="dxa"/>
        <w:tblCellMar>
          <w:left w:w="0" w:type="dxa"/>
          <w:right w:w="0" w:type="dxa"/>
        </w:tblCellMar>
        <w:tblLook w:val="04A0" w:firstRow="1" w:lastRow="0" w:firstColumn="1" w:lastColumn="0" w:noHBand="0" w:noVBand="1"/>
      </w:tblPr>
      <w:tblGrid>
        <w:gridCol w:w="1373"/>
        <w:gridCol w:w="2700"/>
        <w:gridCol w:w="2758"/>
      </w:tblGrid>
      <w:tr w:rsidR="00BE1EFE" w:rsidTr="005B34B6">
        <w:trPr>
          <w:trHeight w:val="450"/>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sz w:val="20"/>
                <w:szCs w:val="20"/>
              </w:rPr>
            </w:pPr>
            <w:r w:rsidRPr="00CE40D1">
              <w:rPr>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Ich wegen folgender oben genannter Straftat/-en gerichtlich bestraft*) bin:</w:t>
            </w:r>
          </w:p>
        </w:tc>
      </w:tr>
      <w:tr w:rsidR="00BE1EFE" w:rsidTr="009478FD">
        <w:trPr>
          <w:trHeight w:val="852"/>
        </w:trPr>
        <w:tc>
          <w:tcPr>
            <w:tcW w:w="6831" w:type="dxa"/>
            <w:gridSpan w:val="3"/>
            <w:tcMar>
              <w:top w:w="0" w:type="dxa"/>
              <w:left w:w="70" w:type="dxa"/>
              <w:bottom w:w="0" w:type="dxa"/>
              <w:right w:w="70" w:type="dxa"/>
            </w:tcMar>
            <w:vAlign w:val="center"/>
            <w:hideMark/>
          </w:tcPr>
          <w:p w:rsidR="00BE1EFE" w:rsidRPr="000B1AF8" w:rsidRDefault="00BE1EFE">
            <w:pPr>
              <w:pStyle w:val="StandardWeb"/>
            </w:pPr>
            <w:r>
              <w:t>Straftatbestand:</w:t>
            </w:r>
          </w:p>
          <w:p w:rsidR="00BE1EFE" w:rsidRDefault="00BE1EFE">
            <w:pPr>
              <w:rPr>
                <w:sz w:val="24"/>
              </w:rPr>
            </w:pPr>
            <w:r>
              <w:t> </w:t>
            </w:r>
          </w:p>
          <w:p w:rsidR="00BE1EFE" w:rsidRPr="005C0351" w:rsidRDefault="00BE1EFE" w:rsidP="009478FD">
            <w:pPr>
              <w:rPr>
                <w:sz w:val="24"/>
              </w:rPr>
            </w:pPr>
            <w:r>
              <w:t> </w:t>
            </w:r>
          </w:p>
        </w:tc>
      </w:tr>
      <w:tr w:rsidR="00BE1EFE" w:rsidTr="005B34B6">
        <w:trPr>
          <w:trHeight w:val="300"/>
        </w:trPr>
        <w:tc>
          <w:tcPr>
            <w:tcW w:w="6831" w:type="dxa"/>
            <w:gridSpan w:val="3"/>
            <w:tcMar>
              <w:top w:w="0" w:type="dxa"/>
              <w:left w:w="70" w:type="dxa"/>
              <w:bottom w:w="0" w:type="dxa"/>
              <w:right w:w="70" w:type="dxa"/>
            </w:tcMar>
            <w:vAlign w:val="center"/>
            <w:hideMark/>
          </w:tcPr>
          <w:p w:rsidR="00BE1EFE" w:rsidRPr="000B1AF8" w:rsidRDefault="00BE1EFE">
            <w:pPr>
              <w:pStyle w:val="StandardWeb"/>
            </w:pPr>
            <w:r>
              <w:t>Datum der Verurteilung/des Erlasses des Strafbefehls</w:t>
            </w:r>
          </w:p>
        </w:tc>
      </w:tr>
      <w:tr w:rsidR="00BE1EFE" w:rsidTr="009478FD">
        <w:trPr>
          <w:trHeight w:val="315"/>
        </w:trPr>
        <w:tc>
          <w:tcPr>
            <w:tcW w:w="6831" w:type="dxa"/>
            <w:gridSpan w:val="3"/>
            <w:tcBorders>
              <w:top w:val="nil"/>
              <w:left w:val="nil"/>
              <w:bottom w:val="single" w:sz="8" w:space="0" w:color="auto"/>
              <w:right w:val="nil"/>
            </w:tcBorders>
            <w:tcMar>
              <w:top w:w="0" w:type="dxa"/>
              <w:left w:w="70" w:type="dxa"/>
              <w:bottom w:w="0" w:type="dxa"/>
              <w:right w:w="70" w:type="dxa"/>
            </w:tcMar>
            <w:vAlign w:val="center"/>
            <w:hideMark/>
          </w:tcPr>
          <w:p w:rsidR="00BE1EFE" w:rsidRDefault="00BE1EFE">
            <w:pPr>
              <w:rPr>
                <w:sz w:val="24"/>
              </w:rPr>
            </w:pPr>
            <w:r>
              <w:t> </w:t>
            </w:r>
          </w:p>
          <w:p w:rsidR="00BE1EFE" w:rsidRDefault="00BE1EFE">
            <w:pPr>
              <w:rPr>
                <w:sz w:val="24"/>
              </w:rPr>
            </w:pPr>
            <w:r>
              <w:t> </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lastRenderedPageBreak/>
              <w:t>*) Gemeint sind alle rechtskräftigen Strafbefehle oder Verurteilungen im In- und Ausland (dort nach den entsprechenden ausländischen Strafrechtsnormen), die noch nicht getilgt im Sinne des Bundeszentralregistergesetzes (BZRG) sind.</w:t>
            </w:r>
          </w:p>
        </w:tc>
      </w:tr>
      <w:tr w:rsidR="00BE1EFE" w:rsidTr="005B34B6">
        <w:trPr>
          <w:trHeight w:val="300"/>
        </w:trPr>
        <w:tc>
          <w:tcPr>
            <w:tcW w:w="6831" w:type="dxa"/>
            <w:gridSpan w:val="3"/>
            <w:tcMar>
              <w:top w:w="0" w:type="dxa"/>
              <w:left w:w="70" w:type="dxa"/>
              <w:bottom w:w="0" w:type="dxa"/>
              <w:right w:w="70" w:type="dxa"/>
            </w:tcMar>
            <w:vAlign w:val="center"/>
            <w:hideMark/>
          </w:tcPr>
          <w:p w:rsidR="00BE1EFE" w:rsidRPr="000B1AF8" w:rsidRDefault="00BE1EFE">
            <w:pPr>
              <w:pStyle w:val="StandardWeb"/>
            </w:pPr>
            <w:r>
              <w:t>Weiter erkläre ich, dass</w:t>
            </w:r>
          </w:p>
        </w:tc>
      </w:tr>
      <w:tr w:rsidR="00BE1EFE" w:rsidTr="005B34B6">
        <w:trPr>
          <w:trHeight w:val="675"/>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b/>
                <w:sz w:val="20"/>
                <w:szCs w:val="20"/>
              </w:rPr>
            </w:pPr>
            <w:r w:rsidRPr="00CE40D1">
              <w:rPr>
                <w:b/>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ich keine Kenntnis davon habe, dass gegen mich wegen des Verdachts der Begehung einer der oben genannten Straftaten ein Haftbefehl erlassen oder Anklage erhoben ist.</w:t>
            </w:r>
          </w:p>
        </w:tc>
      </w:tr>
      <w:tr w:rsidR="00BE1EFE" w:rsidTr="005B34B6">
        <w:trPr>
          <w:trHeight w:val="675"/>
        </w:trPr>
        <w:tc>
          <w:tcPr>
            <w:tcW w:w="1373" w:type="dxa"/>
            <w:tcMar>
              <w:top w:w="0" w:type="dxa"/>
              <w:left w:w="70" w:type="dxa"/>
              <w:bottom w:w="0" w:type="dxa"/>
              <w:right w:w="70" w:type="dxa"/>
            </w:tcMar>
            <w:vAlign w:val="center"/>
            <w:hideMark/>
          </w:tcPr>
          <w:p w:rsidR="00BE1EFE" w:rsidRPr="00CE40D1" w:rsidRDefault="00BE1EFE" w:rsidP="005B34B6">
            <w:pPr>
              <w:pStyle w:val="StandardWeb"/>
              <w:jc w:val="center"/>
              <w:rPr>
                <w:b/>
                <w:sz w:val="20"/>
                <w:szCs w:val="20"/>
              </w:rPr>
            </w:pPr>
            <w:r w:rsidRPr="00CE40D1">
              <w:rPr>
                <w:b/>
                <w:sz w:val="20"/>
                <w:szCs w:val="20"/>
              </w:rPr>
              <w:t>□</w:t>
            </w:r>
          </w:p>
        </w:tc>
        <w:tc>
          <w:tcPr>
            <w:tcW w:w="5458" w:type="dxa"/>
            <w:gridSpan w:val="2"/>
            <w:tcMar>
              <w:top w:w="0" w:type="dxa"/>
              <w:left w:w="70" w:type="dxa"/>
              <w:bottom w:w="0" w:type="dxa"/>
              <w:right w:w="70" w:type="dxa"/>
            </w:tcMar>
            <w:vAlign w:val="center"/>
            <w:hideMark/>
          </w:tcPr>
          <w:p w:rsidR="00BE1EFE" w:rsidRPr="000B1AF8" w:rsidRDefault="00BE1EFE" w:rsidP="005B34B6">
            <w:pPr>
              <w:pStyle w:val="StandardWeb"/>
              <w:jc w:val="left"/>
            </w:pPr>
            <w:r>
              <w:t>wegen des Verdachts der Begehung folgender der oben genannten Straftat/-en gegen mich ein Haftbefehl erlassen oder Anklage erhoben ist:</w:t>
            </w:r>
          </w:p>
        </w:tc>
      </w:tr>
      <w:tr w:rsidR="00BE1EFE" w:rsidTr="005B34B6">
        <w:trPr>
          <w:trHeight w:val="112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Ich verpflichte mich, meinen Arbeitgeber unverzüglich zu informieren, sobald ich davon Kenntnis erhalte, dass wegen des Verdachts der Begehung einer der oben genannten Straftat/-en gegen mich ein Haftbefehl erlassen oder Anklage erhoben ist. Eine rechtskräftige Verurteilung wegen einer der oben genannten Straftat/-en werde ich dem Arbeitgeber unverzüglich anzeigen.</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 xml:space="preserve">Ich werde auf Verlangen des Arbeitgebers gegen Kostenerstattung meine persönliche Eignung im Sinne des </w:t>
            </w:r>
            <w:hyperlink r:id="rId273" w:history="1">
              <w:r w:rsidRPr="004A694A">
                <w:rPr>
                  <w:rStyle w:val="Hyperlink"/>
                </w:rPr>
                <w:t>§ 72a SGB VIII</w:t>
              </w:r>
            </w:hyperlink>
            <w:r>
              <w:t xml:space="preserve"> durch Vorlage eines erweiterten Führungszeugnisses gem. </w:t>
            </w:r>
            <w:hyperlink r:id="rId274" w:history="1">
              <w:r w:rsidRPr="004A694A">
                <w:rPr>
                  <w:rStyle w:val="Hyperlink"/>
                </w:rPr>
                <w:t>§ 30a BZRG</w:t>
              </w:r>
            </w:hyperlink>
            <w:r>
              <w:t xml:space="preserve"> in regelmäßigen Abständen nachweisen.</w:t>
            </w:r>
          </w:p>
        </w:tc>
      </w:tr>
      <w:tr w:rsidR="00BE1EFE" w:rsidTr="005B34B6">
        <w:trPr>
          <w:trHeight w:val="675"/>
        </w:trPr>
        <w:tc>
          <w:tcPr>
            <w:tcW w:w="6831" w:type="dxa"/>
            <w:gridSpan w:val="3"/>
            <w:tcMar>
              <w:top w:w="0" w:type="dxa"/>
              <w:left w:w="70" w:type="dxa"/>
              <w:bottom w:w="0" w:type="dxa"/>
              <w:right w:w="70" w:type="dxa"/>
            </w:tcMar>
            <w:vAlign w:val="center"/>
            <w:hideMark/>
          </w:tcPr>
          <w:p w:rsidR="00BE1EFE" w:rsidRPr="000B1AF8" w:rsidRDefault="00BE1EFE">
            <w:pPr>
              <w:pStyle w:val="StandardWeb"/>
            </w:pPr>
            <w:r>
              <w:t>Ich bin mir bewusst, dass die Abgabe einer wahrheitswidrigen Erklärung in aller Regel schwer wiegende arbeitsrechtliche Maßnahmen bis hin zu einer fristlosen Kündigung zur Folge hat.</w:t>
            </w:r>
          </w:p>
        </w:tc>
      </w:tr>
      <w:tr w:rsidR="00BE1EFE" w:rsidTr="009478FD">
        <w:trPr>
          <w:trHeight w:val="615"/>
        </w:trPr>
        <w:tc>
          <w:tcPr>
            <w:tcW w:w="6831" w:type="dxa"/>
            <w:gridSpan w:val="3"/>
            <w:tcMar>
              <w:top w:w="0" w:type="dxa"/>
              <w:left w:w="70" w:type="dxa"/>
              <w:bottom w:w="0" w:type="dxa"/>
              <w:right w:w="70" w:type="dxa"/>
            </w:tcMar>
            <w:vAlign w:val="center"/>
            <w:hideMark/>
          </w:tcPr>
          <w:p w:rsidR="00BE1EFE" w:rsidRDefault="00BE1EFE">
            <w:pPr>
              <w:rPr>
                <w:sz w:val="24"/>
              </w:rPr>
            </w:pPr>
            <w:r>
              <w:t> </w:t>
            </w:r>
          </w:p>
          <w:p w:rsidR="00BE1EFE" w:rsidRDefault="00BE1EFE">
            <w:pPr>
              <w:rPr>
                <w:sz w:val="24"/>
              </w:rPr>
            </w:pPr>
            <w:r>
              <w:t> </w:t>
            </w:r>
          </w:p>
          <w:p w:rsidR="00BE1EFE" w:rsidRDefault="00BE1EFE">
            <w:pPr>
              <w:rPr>
                <w:sz w:val="24"/>
              </w:rPr>
            </w:pPr>
            <w:r>
              <w:t> </w:t>
            </w:r>
          </w:p>
          <w:p w:rsidR="00BE1EFE" w:rsidRDefault="00BE1EFE" w:rsidP="009478FD">
            <w:pPr>
              <w:rPr>
                <w:sz w:val="24"/>
              </w:rPr>
            </w:pPr>
            <w:r>
              <w:t> </w:t>
            </w:r>
          </w:p>
        </w:tc>
      </w:tr>
      <w:tr w:rsidR="00BE1EFE" w:rsidTr="005B34B6">
        <w:trPr>
          <w:trHeight w:val="300"/>
        </w:trPr>
        <w:tc>
          <w:tcPr>
            <w:tcW w:w="4073" w:type="dxa"/>
            <w:gridSpan w:val="2"/>
            <w:tcMar>
              <w:top w:w="0" w:type="dxa"/>
              <w:left w:w="70" w:type="dxa"/>
              <w:bottom w:w="0" w:type="dxa"/>
              <w:right w:w="70" w:type="dxa"/>
            </w:tcMar>
            <w:vAlign w:val="center"/>
            <w:hideMark/>
          </w:tcPr>
          <w:p w:rsidR="00BE1EFE" w:rsidRPr="000B1AF8" w:rsidRDefault="00BE1EFE">
            <w:pPr>
              <w:pStyle w:val="StandardWeb"/>
            </w:pPr>
            <w:r>
              <w:t>Ort, Datum</w:t>
            </w:r>
          </w:p>
        </w:tc>
        <w:tc>
          <w:tcPr>
            <w:tcW w:w="2758" w:type="dxa"/>
            <w:tcMar>
              <w:top w:w="0" w:type="dxa"/>
              <w:left w:w="70" w:type="dxa"/>
              <w:bottom w:w="0" w:type="dxa"/>
              <w:right w:w="70" w:type="dxa"/>
            </w:tcMar>
            <w:vAlign w:val="center"/>
            <w:hideMark/>
          </w:tcPr>
          <w:p w:rsidR="00BE1EFE" w:rsidRPr="000B1AF8" w:rsidRDefault="00BE1EFE">
            <w:pPr>
              <w:pStyle w:val="StandardWeb"/>
            </w:pPr>
            <w:r>
              <w:t>Unterschrift</w:t>
            </w:r>
          </w:p>
        </w:tc>
      </w:tr>
    </w:tbl>
    <w:p w:rsidR="00BE1EFE" w:rsidRDefault="00BE1EFE" w:rsidP="0035266A">
      <w:r>
        <w:br w:type="page"/>
      </w:r>
    </w:p>
    <w:p w:rsidR="00BE1EFE" w:rsidRDefault="00BE1EFE">
      <w:pPr>
        <w:pStyle w:val="StandardWeb"/>
        <w:jc w:val="center"/>
      </w:pPr>
    </w:p>
    <w:p w:rsidR="00BE1EFE" w:rsidRDefault="00BE1EFE">
      <w:pPr>
        <w:pStyle w:val="StandardWeb"/>
        <w:jc w:val="center"/>
      </w:pPr>
    </w:p>
    <w:p w:rsidR="00BE1EFE" w:rsidRDefault="00BE1EFE" w:rsidP="00FF0738">
      <w:pPr>
        <w:pStyle w:val="berschrift6"/>
        <w:rPr>
          <w:lang w:eastAsia="x-none"/>
        </w:rPr>
      </w:pPr>
      <w:bookmarkStart w:id="88" w:name="_Toc523925759"/>
      <w:r>
        <w:t xml:space="preserve">Anlage </w:t>
      </w:r>
      <w:r w:rsidR="00B33077">
        <w:rPr>
          <w:lang w:eastAsia="x-none"/>
        </w:rPr>
        <w:t>I</w:t>
      </w:r>
      <w:r>
        <w:t>: Stundenentgelte (Sozial- und Erziehungsdienst)</w:t>
      </w:r>
      <w:bookmarkEnd w:id="88"/>
    </w:p>
    <w:p w:rsidR="00BE1EFE" w:rsidRPr="00B76821" w:rsidRDefault="00BE1EFE" w:rsidP="00B76821">
      <w:pPr>
        <w:pStyle w:val="h7"/>
        <w:keepNext w:val="0"/>
        <w:spacing w:before="0" w:after="0"/>
        <w:jc w:val="left"/>
        <w:outlineLvl w:val="5"/>
        <w:rPr>
          <w:sz w:val="2"/>
        </w:rPr>
      </w:pPr>
    </w:p>
    <w:p w:rsidR="00BE1EFE" w:rsidRPr="000C727A" w:rsidRDefault="00BE1EFE" w:rsidP="00FF0738">
      <w:pPr>
        <w:widowControl w:val="0"/>
        <w:autoSpaceDE w:val="0"/>
        <w:autoSpaceDN w:val="0"/>
        <w:adjustRightInd w:val="0"/>
        <w:jc w:val="center"/>
      </w:pPr>
      <w:r>
        <w:t>(gültig vom 1</w:t>
      </w:r>
      <w:r w:rsidRPr="000C727A">
        <w:t xml:space="preserve">. </w:t>
      </w:r>
      <w:r>
        <w:t>März 2018 bis 31. März 2019</w:t>
      </w:r>
      <w:r w:rsidRPr="000C727A">
        <w:t xml:space="preserve">) </w:t>
      </w:r>
    </w:p>
    <w:p w:rsidR="00BE1EFE" w:rsidRDefault="00BE1EFE" w:rsidP="00FF0738">
      <w:pPr>
        <w:widowControl w:val="0"/>
        <w:autoSpaceDE w:val="0"/>
        <w:autoSpaceDN w:val="0"/>
        <w:adjustRightInd w:val="0"/>
        <w:jc w:val="center"/>
      </w:pPr>
      <w:r>
        <w:t>(in Euro)</w:t>
      </w:r>
    </w:p>
    <w:p w:rsidR="00BE1EFE" w:rsidRDefault="00BE1EFE" w:rsidP="00FF0738">
      <w:pPr>
        <w:widowControl w:val="0"/>
        <w:autoSpaceDE w:val="0"/>
        <w:autoSpaceDN w:val="0"/>
        <w:adjustRightInd w:val="0"/>
        <w:jc w:val="center"/>
      </w:pPr>
    </w:p>
    <w:tbl>
      <w:tblPr>
        <w:tblW w:w="4820" w:type="dxa"/>
        <w:jc w:val="center"/>
        <w:tblCellMar>
          <w:left w:w="70" w:type="dxa"/>
          <w:right w:w="70" w:type="dxa"/>
        </w:tblCellMar>
        <w:tblLook w:val="04A0" w:firstRow="1" w:lastRow="0" w:firstColumn="1" w:lastColumn="0" w:noHBand="0" w:noVBand="1"/>
      </w:tblPr>
      <w:tblGrid>
        <w:gridCol w:w="1606"/>
        <w:gridCol w:w="1607"/>
        <w:gridCol w:w="1607"/>
      </w:tblGrid>
      <w:tr w:rsidR="00BE1EFE" w:rsidRPr="000C727A" w:rsidTr="00FD3D8E">
        <w:trPr>
          <w:trHeight w:hRule="exact" w:val="284"/>
          <w:jc w:val="center"/>
        </w:trPr>
        <w:tc>
          <w:tcPr>
            <w:tcW w:w="1606" w:type="dxa"/>
            <w:tcBorders>
              <w:top w:val="single" w:sz="8" w:space="0" w:color="auto"/>
              <w:left w:val="single" w:sz="8" w:space="0" w:color="auto"/>
              <w:bottom w:val="single" w:sz="8" w:space="0" w:color="auto"/>
              <w:right w:val="single" w:sz="8" w:space="0" w:color="auto"/>
            </w:tcBorders>
            <w:vAlign w:val="center"/>
          </w:tcPr>
          <w:p w:rsidR="00BE1EFE" w:rsidRPr="00D038EE" w:rsidRDefault="00BE1EFE" w:rsidP="00E87479">
            <w:pPr>
              <w:spacing w:before="60" w:line="360" w:lineRule="auto"/>
              <w:jc w:val="center"/>
              <w:rPr>
                <w:rFonts w:cs="Arial"/>
                <w:b/>
                <w:bCs/>
                <w:color w:val="000000"/>
              </w:rPr>
            </w:pPr>
            <w:r w:rsidRPr="00D038EE">
              <w:rPr>
                <w:rFonts w:cs="Arial"/>
                <w:b/>
                <w:bCs/>
                <w:color w:val="000000"/>
              </w:rPr>
              <w:t>Entgeltgruppe</w:t>
            </w:r>
          </w:p>
        </w:tc>
        <w:tc>
          <w:tcPr>
            <w:tcW w:w="1607" w:type="dxa"/>
            <w:tcBorders>
              <w:top w:val="single" w:sz="8" w:space="0" w:color="auto"/>
              <w:left w:val="nil"/>
              <w:bottom w:val="single" w:sz="8" w:space="0" w:color="auto"/>
              <w:right w:val="single" w:sz="8" w:space="0" w:color="auto"/>
            </w:tcBorders>
            <w:noWrap/>
            <w:vAlign w:val="center"/>
          </w:tcPr>
          <w:p w:rsidR="00BE1EFE" w:rsidRPr="00D038EE" w:rsidRDefault="00BE1EFE" w:rsidP="00E87479">
            <w:pPr>
              <w:spacing w:before="60" w:line="360" w:lineRule="auto"/>
              <w:jc w:val="center"/>
              <w:rPr>
                <w:rFonts w:cs="Arial"/>
                <w:b/>
                <w:bCs/>
                <w:color w:val="000000"/>
                <w:szCs w:val="16"/>
              </w:rPr>
            </w:pPr>
            <w:r w:rsidRPr="00D038EE">
              <w:rPr>
                <w:rFonts w:cs="Arial"/>
                <w:b/>
                <w:bCs/>
                <w:color w:val="000000"/>
                <w:szCs w:val="16"/>
              </w:rPr>
              <w:t>Stufe 3</w:t>
            </w:r>
          </w:p>
        </w:tc>
        <w:tc>
          <w:tcPr>
            <w:tcW w:w="1607" w:type="dxa"/>
            <w:tcBorders>
              <w:top w:val="single" w:sz="8" w:space="0" w:color="auto"/>
              <w:left w:val="nil"/>
              <w:bottom w:val="single" w:sz="8" w:space="0" w:color="auto"/>
              <w:right w:val="single" w:sz="8" w:space="0" w:color="auto"/>
            </w:tcBorders>
            <w:vAlign w:val="center"/>
          </w:tcPr>
          <w:p w:rsidR="00BE1EFE" w:rsidRPr="00D038EE" w:rsidRDefault="00BE1EFE" w:rsidP="00E87479">
            <w:pPr>
              <w:spacing w:before="60" w:line="360" w:lineRule="auto"/>
              <w:jc w:val="center"/>
              <w:rPr>
                <w:rFonts w:cs="Arial"/>
                <w:b/>
                <w:bCs/>
                <w:color w:val="000000"/>
              </w:rPr>
            </w:pPr>
            <w:r w:rsidRPr="00D038EE">
              <w:rPr>
                <w:rFonts w:cs="Arial"/>
                <w:b/>
                <w:bCs/>
                <w:color w:val="000000"/>
              </w:rPr>
              <w:t>Stundenentgelt *</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18</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4.115,93</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25,62</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17</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3.880,71</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24,15</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16 Ü</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3.816,04</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23,75</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16</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3.680,80</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22,91</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15</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3.527,94</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21,96</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14</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3.520,33</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21,91</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13 Ü</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3.518,67</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21,90</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13</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3.469,13</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21,59</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12</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3.448,10</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21,46</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11b</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3.272,34</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20,37</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11a</w:t>
            </w:r>
          </w:p>
        </w:tc>
        <w:tc>
          <w:tcPr>
            <w:tcW w:w="1607" w:type="dxa"/>
            <w:tcBorders>
              <w:top w:val="nil"/>
              <w:left w:val="nil"/>
              <w:bottom w:val="single" w:sz="8" w:space="0" w:color="auto"/>
              <w:right w:val="single" w:sz="8" w:space="0" w:color="auto"/>
            </w:tcBorders>
            <w:noWrap/>
            <w:vAlign w:val="center"/>
          </w:tcPr>
          <w:p w:rsidR="00BE1EFE" w:rsidRPr="0082193E" w:rsidRDefault="00BE1EFE" w:rsidP="0082193E">
            <w:pPr>
              <w:jc w:val="center"/>
              <w:rPr>
                <w:b/>
              </w:rPr>
            </w:pPr>
            <w:r w:rsidRPr="0082193E">
              <w:rPr>
                <w:b/>
              </w:rPr>
              <w:t>3.211,27</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19,99</w:t>
            </w:r>
          </w:p>
        </w:tc>
      </w:tr>
      <w:tr w:rsidR="00BE1EFE" w:rsidRPr="000C727A" w:rsidTr="00FD3D8E">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10</w:t>
            </w:r>
          </w:p>
        </w:tc>
        <w:tc>
          <w:tcPr>
            <w:tcW w:w="3214" w:type="dxa"/>
            <w:gridSpan w:val="2"/>
            <w:tcBorders>
              <w:top w:val="nil"/>
              <w:left w:val="nil"/>
              <w:bottom w:val="single" w:sz="8" w:space="0" w:color="auto"/>
              <w:right w:val="single" w:sz="8" w:space="0" w:color="auto"/>
            </w:tcBorders>
            <w:noWrap/>
            <w:vAlign w:val="center"/>
          </w:tcPr>
          <w:p w:rsidR="00BE1EFE" w:rsidRPr="005B0CEF" w:rsidRDefault="00BE1EFE" w:rsidP="00E87479">
            <w:pPr>
              <w:spacing w:before="60" w:line="360" w:lineRule="auto"/>
              <w:jc w:val="center"/>
              <w:rPr>
                <w:b/>
              </w:rPr>
            </w:pPr>
            <w:r w:rsidRPr="005B0CEF">
              <w:rPr>
                <w:rFonts w:cs="Arial"/>
                <w:b/>
              </w:rPr>
              <w:t>[</w:t>
            </w:r>
            <w:r w:rsidRPr="005B0CEF">
              <w:rPr>
                <w:rFonts w:cs="Arial"/>
                <w:b/>
                <w:spacing w:val="1"/>
              </w:rPr>
              <w:t>n</w:t>
            </w:r>
            <w:r w:rsidRPr="005B0CEF">
              <w:rPr>
                <w:rFonts w:cs="Arial"/>
                <w:b/>
              </w:rPr>
              <w:t>ic</w:t>
            </w:r>
            <w:r w:rsidRPr="005B0CEF">
              <w:rPr>
                <w:rFonts w:cs="Arial"/>
                <w:b/>
                <w:spacing w:val="1"/>
              </w:rPr>
              <w:t>h</w:t>
            </w:r>
            <w:r w:rsidRPr="005B0CEF">
              <w:rPr>
                <w:rFonts w:cs="Arial"/>
                <w:b/>
              </w:rPr>
              <w:t>t</w:t>
            </w:r>
            <w:r w:rsidRPr="005B0CEF">
              <w:rPr>
                <w:rFonts w:cs="Arial"/>
                <w:b/>
                <w:spacing w:val="-1"/>
              </w:rPr>
              <w:t xml:space="preserve"> </w:t>
            </w:r>
            <w:r w:rsidRPr="005B0CEF">
              <w:rPr>
                <w:rFonts w:cs="Arial"/>
                <w:b/>
                <w:spacing w:val="1"/>
              </w:rPr>
              <w:t>be</w:t>
            </w:r>
            <w:r w:rsidRPr="005B0CEF">
              <w:rPr>
                <w:rFonts w:cs="Arial"/>
                <w:b/>
              </w:rPr>
              <w:t>s</w:t>
            </w:r>
            <w:r w:rsidRPr="005B0CEF">
              <w:rPr>
                <w:rFonts w:cs="Arial"/>
                <w:b/>
                <w:spacing w:val="-1"/>
              </w:rPr>
              <w:t>e</w:t>
            </w:r>
            <w:r w:rsidRPr="005B0CEF">
              <w:rPr>
                <w:rFonts w:cs="Arial"/>
                <w:b/>
              </w:rPr>
              <w:t>t</w:t>
            </w:r>
            <w:r w:rsidRPr="005B0CEF">
              <w:rPr>
                <w:rFonts w:cs="Arial"/>
                <w:b/>
                <w:spacing w:val="-2"/>
              </w:rPr>
              <w:t>z</w:t>
            </w:r>
            <w:r w:rsidRPr="005B0CEF">
              <w:rPr>
                <w:rFonts w:cs="Arial"/>
                <w:b/>
              </w:rPr>
              <w:t>t]</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9</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3.051,52</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jc w:val="center"/>
              <w:rPr>
                <w:rFonts w:cs="Arial"/>
                <w:b/>
              </w:rPr>
            </w:pPr>
            <w:r w:rsidRPr="0082193E">
              <w:rPr>
                <w:rFonts w:cs="Arial"/>
                <w:b/>
              </w:rPr>
              <w:t>18,99</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8b</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3.051,52</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jc w:val="center"/>
              <w:rPr>
                <w:rFonts w:cs="Arial"/>
                <w:b/>
              </w:rPr>
            </w:pPr>
            <w:r w:rsidRPr="0082193E">
              <w:rPr>
                <w:rFonts w:cs="Arial"/>
                <w:b/>
              </w:rPr>
              <w:t>18,99</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8a</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2.959,36</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jc w:val="center"/>
              <w:rPr>
                <w:rFonts w:cs="Arial"/>
                <w:b/>
              </w:rPr>
            </w:pPr>
            <w:r w:rsidRPr="0082193E">
              <w:rPr>
                <w:rFonts w:cs="Arial"/>
                <w:b/>
              </w:rPr>
              <w:t>18,42</w:t>
            </w:r>
          </w:p>
        </w:tc>
      </w:tr>
      <w:tr w:rsidR="00BE1EFE" w:rsidRPr="000C727A" w:rsidTr="008321D4">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7</w:t>
            </w:r>
          </w:p>
        </w:tc>
        <w:tc>
          <w:tcPr>
            <w:tcW w:w="1607" w:type="dxa"/>
            <w:tcBorders>
              <w:top w:val="nil"/>
              <w:left w:val="nil"/>
              <w:bottom w:val="single" w:sz="8" w:space="0" w:color="auto"/>
              <w:right w:val="single" w:sz="8" w:space="0" w:color="auto"/>
            </w:tcBorders>
            <w:noWrap/>
          </w:tcPr>
          <w:p w:rsidR="00BE1EFE" w:rsidRPr="0082193E" w:rsidRDefault="00BE1EFE" w:rsidP="0082193E">
            <w:pPr>
              <w:jc w:val="center"/>
              <w:rPr>
                <w:b/>
              </w:rPr>
            </w:pPr>
            <w:r w:rsidRPr="0082193E">
              <w:rPr>
                <w:b/>
              </w:rPr>
              <w:t>2.874,48</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jc w:val="center"/>
              <w:rPr>
                <w:rFonts w:cs="Arial"/>
                <w:b/>
              </w:rPr>
            </w:pPr>
            <w:r w:rsidRPr="0082193E">
              <w:rPr>
                <w:rFonts w:cs="Arial"/>
                <w:b/>
              </w:rPr>
              <w:t>17,89</w:t>
            </w:r>
          </w:p>
        </w:tc>
      </w:tr>
      <w:tr w:rsidR="00BE1EFE" w:rsidRPr="000C727A" w:rsidTr="00FD3D8E">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6</w:t>
            </w:r>
          </w:p>
        </w:tc>
        <w:tc>
          <w:tcPr>
            <w:tcW w:w="3214" w:type="dxa"/>
            <w:gridSpan w:val="2"/>
            <w:tcBorders>
              <w:top w:val="nil"/>
              <w:left w:val="nil"/>
              <w:bottom w:val="single" w:sz="8" w:space="0" w:color="auto"/>
              <w:right w:val="single" w:sz="8" w:space="0" w:color="auto"/>
            </w:tcBorders>
            <w:noWrap/>
            <w:vAlign w:val="center"/>
          </w:tcPr>
          <w:p w:rsidR="00BE1EFE" w:rsidRPr="005B0CEF" w:rsidRDefault="00BE1EFE" w:rsidP="00E87479">
            <w:pPr>
              <w:spacing w:before="60" w:line="360" w:lineRule="auto"/>
              <w:jc w:val="center"/>
              <w:rPr>
                <w:b/>
              </w:rPr>
            </w:pPr>
            <w:r w:rsidRPr="005B0CEF">
              <w:rPr>
                <w:rFonts w:cs="Arial"/>
                <w:b/>
              </w:rPr>
              <w:t>[</w:t>
            </w:r>
            <w:r w:rsidRPr="005B0CEF">
              <w:rPr>
                <w:rFonts w:cs="Arial"/>
                <w:b/>
                <w:spacing w:val="1"/>
              </w:rPr>
              <w:t>n</w:t>
            </w:r>
            <w:r w:rsidRPr="005B0CEF">
              <w:rPr>
                <w:rFonts w:cs="Arial"/>
                <w:b/>
              </w:rPr>
              <w:t>ic</w:t>
            </w:r>
            <w:r w:rsidRPr="005B0CEF">
              <w:rPr>
                <w:rFonts w:cs="Arial"/>
                <w:b/>
                <w:spacing w:val="1"/>
              </w:rPr>
              <w:t>h</w:t>
            </w:r>
            <w:r w:rsidRPr="005B0CEF">
              <w:rPr>
                <w:rFonts w:cs="Arial"/>
                <w:b/>
              </w:rPr>
              <w:t>t</w:t>
            </w:r>
            <w:r w:rsidRPr="005B0CEF">
              <w:rPr>
                <w:rFonts w:cs="Arial"/>
                <w:b/>
                <w:spacing w:val="-1"/>
              </w:rPr>
              <w:t xml:space="preserve"> </w:t>
            </w:r>
            <w:r w:rsidRPr="005B0CEF">
              <w:rPr>
                <w:rFonts w:cs="Arial"/>
                <w:b/>
                <w:spacing w:val="1"/>
              </w:rPr>
              <w:t>be</w:t>
            </w:r>
            <w:r w:rsidRPr="005B0CEF">
              <w:rPr>
                <w:rFonts w:cs="Arial"/>
                <w:b/>
              </w:rPr>
              <w:t>s</w:t>
            </w:r>
            <w:r w:rsidRPr="005B0CEF">
              <w:rPr>
                <w:rFonts w:cs="Arial"/>
                <w:b/>
                <w:spacing w:val="-1"/>
              </w:rPr>
              <w:t>e</w:t>
            </w:r>
            <w:r w:rsidRPr="005B0CEF">
              <w:rPr>
                <w:rFonts w:cs="Arial"/>
                <w:b/>
              </w:rPr>
              <w:t>t</w:t>
            </w:r>
            <w:r w:rsidRPr="005B0CEF">
              <w:rPr>
                <w:rFonts w:cs="Arial"/>
                <w:b/>
                <w:spacing w:val="-2"/>
              </w:rPr>
              <w:t>z</w:t>
            </w:r>
            <w:r w:rsidRPr="005B0CEF">
              <w:rPr>
                <w:rFonts w:cs="Arial"/>
                <w:b/>
              </w:rPr>
              <w:t>t]</w:t>
            </w:r>
          </w:p>
        </w:tc>
      </w:tr>
      <w:tr w:rsidR="00BE1EFE" w:rsidRPr="000C727A" w:rsidTr="00FD3D8E">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5</w:t>
            </w:r>
          </w:p>
        </w:tc>
        <w:tc>
          <w:tcPr>
            <w:tcW w:w="3214" w:type="dxa"/>
            <w:gridSpan w:val="2"/>
            <w:tcBorders>
              <w:top w:val="nil"/>
              <w:left w:val="nil"/>
              <w:bottom w:val="single" w:sz="8" w:space="0" w:color="auto"/>
              <w:right w:val="single" w:sz="8" w:space="0" w:color="auto"/>
            </w:tcBorders>
            <w:noWrap/>
            <w:vAlign w:val="center"/>
          </w:tcPr>
          <w:p w:rsidR="00BE1EFE" w:rsidRPr="005B0CEF" w:rsidRDefault="00BE1EFE" w:rsidP="00E87479">
            <w:pPr>
              <w:spacing w:before="60" w:line="360" w:lineRule="auto"/>
              <w:jc w:val="center"/>
              <w:rPr>
                <w:b/>
              </w:rPr>
            </w:pPr>
            <w:r w:rsidRPr="005B0CEF">
              <w:rPr>
                <w:rFonts w:cs="Arial"/>
                <w:b/>
              </w:rPr>
              <w:t>[</w:t>
            </w:r>
            <w:r w:rsidRPr="005B0CEF">
              <w:rPr>
                <w:rFonts w:cs="Arial"/>
                <w:b/>
                <w:spacing w:val="1"/>
              </w:rPr>
              <w:t>n</w:t>
            </w:r>
            <w:r w:rsidRPr="005B0CEF">
              <w:rPr>
                <w:rFonts w:cs="Arial"/>
                <w:b/>
              </w:rPr>
              <w:t>ic</w:t>
            </w:r>
            <w:r w:rsidRPr="005B0CEF">
              <w:rPr>
                <w:rFonts w:cs="Arial"/>
                <w:b/>
                <w:spacing w:val="1"/>
              </w:rPr>
              <w:t>h</w:t>
            </w:r>
            <w:r w:rsidRPr="005B0CEF">
              <w:rPr>
                <w:rFonts w:cs="Arial"/>
                <w:b/>
              </w:rPr>
              <w:t>t</w:t>
            </w:r>
            <w:r w:rsidRPr="005B0CEF">
              <w:rPr>
                <w:rFonts w:cs="Arial"/>
                <w:b/>
                <w:spacing w:val="-1"/>
              </w:rPr>
              <w:t xml:space="preserve"> </w:t>
            </w:r>
            <w:r w:rsidRPr="005B0CEF">
              <w:rPr>
                <w:rFonts w:cs="Arial"/>
                <w:b/>
                <w:spacing w:val="1"/>
              </w:rPr>
              <w:t>be</w:t>
            </w:r>
            <w:r w:rsidRPr="005B0CEF">
              <w:rPr>
                <w:rFonts w:cs="Arial"/>
                <w:b/>
              </w:rPr>
              <w:t>s</w:t>
            </w:r>
            <w:r w:rsidRPr="005B0CEF">
              <w:rPr>
                <w:rFonts w:cs="Arial"/>
                <w:b/>
                <w:spacing w:val="-1"/>
              </w:rPr>
              <w:t>e</w:t>
            </w:r>
            <w:r w:rsidRPr="005B0CEF">
              <w:rPr>
                <w:rFonts w:cs="Arial"/>
                <w:b/>
              </w:rPr>
              <w:t>t</w:t>
            </w:r>
            <w:r w:rsidRPr="005B0CEF">
              <w:rPr>
                <w:rFonts w:cs="Arial"/>
                <w:b/>
                <w:spacing w:val="-2"/>
              </w:rPr>
              <w:t>z</w:t>
            </w:r>
            <w:r w:rsidRPr="005B0CEF">
              <w:rPr>
                <w:rFonts w:cs="Arial"/>
                <w:b/>
              </w:rPr>
              <w:t>t]</w:t>
            </w:r>
          </w:p>
        </w:tc>
      </w:tr>
      <w:tr w:rsidR="00BE1EFE" w:rsidRPr="000C727A" w:rsidTr="00FD3D8E">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4</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ind w:right="-20"/>
              <w:jc w:val="center"/>
              <w:rPr>
                <w:rFonts w:cs="Arial"/>
                <w:b/>
              </w:rPr>
            </w:pPr>
            <w:r w:rsidRPr="0082193E">
              <w:rPr>
                <w:rFonts w:cs="Arial"/>
                <w:b/>
                <w:spacing w:val="1"/>
              </w:rPr>
              <w:t>2</w:t>
            </w:r>
            <w:r w:rsidRPr="0082193E">
              <w:rPr>
                <w:rFonts w:cs="Arial"/>
                <w:b/>
              </w:rPr>
              <w:t>.</w:t>
            </w:r>
            <w:r w:rsidRPr="0082193E">
              <w:rPr>
                <w:rFonts w:cs="Arial"/>
                <w:b/>
                <w:spacing w:val="1"/>
              </w:rPr>
              <w:t>7</w:t>
            </w:r>
            <w:r w:rsidRPr="0082193E">
              <w:rPr>
                <w:rFonts w:cs="Arial"/>
                <w:b/>
                <w:spacing w:val="-1"/>
              </w:rPr>
              <w:t>3</w:t>
            </w:r>
            <w:r w:rsidRPr="0082193E">
              <w:rPr>
                <w:rFonts w:cs="Arial"/>
                <w:b/>
                <w:spacing w:val="1"/>
              </w:rPr>
              <w:t>1</w:t>
            </w:r>
            <w:r w:rsidRPr="0082193E">
              <w:rPr>
                <w:rFonts w:cs="Arial"/>
                <w:b/>
              </w:rPr>
              <w:t>,</w:t>
            </w:r>
            <w:r w:rsidRPr="0082193E">
              <w:rPr>
                <w:rFonts w:cs="Arial"/>
                <w:b/>
                <w:spacing w:val="-1"/>
              </w:rPr>
              <w:t>7</w:t>
            </w:r>
            <w:r w:rsidRPr="0082193E">
              <w:rPr>
                <w:rFonts w:cs="Arial"/>
                <w:b/>
              </w:rPr>
              <w:t>6</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jc w:val="center"/>
              <w:rPr>
                <w:rFonts w:cs="Arial"/>
                <w:b/>
              </w:rPr>
            </w:pPr>
            <w:r w:rsidRPr="0082193E">
              <w:rPr>
                <w:rFonts w:cs="Arial"/>
                <w:b/>
              </w:rPr>
              <w:t>17,00</w:t>
            </w:r>
          </w:p>
        </w:tc>
      </w:tr>
      <w:tr w:rsidR="00BE1EFE" w:rsidRPr="000C727A" w:rsidTr="00FD3D8E">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3</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ind w:right="-20"/>
              <w:jc w:val="center"/>
              <w:rPr>
                <w:rFonts w:cs="Arial"/>
                <w:b/>
              </w:rPr>
            </w:pPr>
            <w:r w:rsidRPr="0082193E">
              <w:rPr>
                <w:rFonts w:cs="Arial"/>
                <w:b/>
                <w:spacing w:val="1"/>
              </w:rPr>
              <w:t>2</w:t>
            </w:r>
            <w:r w:rsidRPr="0082193E">
              <w:rPr>
                <w:rFonts w:cs="Arial"/>
                <w:b/>
              </w:rPr>
              <w:t>.</w:t>
            </w:r>
            <w:r w:rsidRPr="0082193E">
              <w:rPr>
                <w:rFonts w:cs="Arial"/>
                <w:b/>
                <w:spacing w:val="1"/>
              </w:rPr>
              <w:t>5</w:t>
            </w:r>
            <w:r w:rsidRPr="0082193E">
              <w:rPr>
                <w:rFonts w:cs="Arial"/>
                <w:b/>
                <w:spacing w:val="-1"/>
              </w:rPr>
              <w:t>7</w:t>
            </w:r>
            <w:r w:rsidRPr="0082193E">
              <w:rPr>
                <w:rFonts w:cs="Arial"/>
                <w:b/>
                <w:spacing w:val="1"/>
              </w:rPr>
              <w:t>3</w:t>
            </w:r>
            <w:r w:rsidRPr="0082193E">
              <w:rPr>
                <w:rFonts w:cs="Arial"/>
                <w:b/>
              </w:rPr>
              <w:t>,</w:t>
            </w:r>
            <w:r w:rsidRPr="0082193E">
              <w:rPr>
                <w:rFonts w:cs="Arial"/>
                <w:b/>
                <w:spacing w:val="-1"/>
              </w:rPr>
              <w:t>6</w:t>
            </w:r>
            <w:r w:rsidRPr="0082193E">
              <w:rPr>
                <w:rFonts w:cs="Arial"/>
                <w:b/>
              </w:rPr>
              <w:t>2</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jc w:val="center"/>
              <w:rPr>
                <w:rFonts w:cs="Arial"/>
                <w:b/>
              </w:rPr>
            </w:pPr>
            <w:r w:rsidRPr="0082193E">
              <w:rPr>
                <w:rFonts w:cs="Arial"/>
                <w:b/>
              </w:rPr>
              <w:t>16,02</w:t>
            </w:r>
          </w:p>
        </w:tc>
      </w:tr>
      <w:tr w:rsidR="00BE1EFE" w:rsidRPr="000C727A" w:rsidTr="00FD3D8E">
        <w:trPr>
          <w:trHeight w:hRule="exact" w:val="284"/>
          <w:jc w:val="center"/>
        </w:trPr>
        <w:tc>
          <w:tcPr>
            <w:tcW w:w="1606" w:type="dxa"/>
            <w:tcBorders>
              <w:top w:val="nil"/>
              <w:left w:val="single" w:sz="8" w:space="0" w:color="auto"/>
              <w:bottom w:val="single" w:sz="8" w:space="0" w:color="auto"/>
              <w:right w:val="single" w:sz="8" w:space="0" w:color="auto"/>
            </w:tcBorders>
            <w:noWrap/>
            <w:vAlign w:val="center"/>
          </w:tcPr>
          <w:p w:rsidR="00BE1EFE" w:rsidRPr="005B0CEF" w:rsidRDefault="00BE1EFE" w:rsidP="00E87479">
            <w:pPr>
              <w:spacing w:before="60" w:line="360" w:lineRule="auto"/>
              <w:ind w:left="567"/>
              <w:rPr>
                <w:rFonts w:cs="Arial"/>
                <w:b/>
                <w:bCs/>
                <w:color w:val="000000"/>
              </w:rPr>
            </w:pPr>
            <w:r w:rsidRPr="005B0CEF">
              <w:rPr>
                <w:rFonts w:cs="Arial"/>
                <w:b/>
                <w:bCs/>
                <w:color w:val="000000"/>
              </w:rPr>
              <w:t>S 2</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ind w:right="-20"/>
              <w:jc w:val="center"/>
              <w:rPr>
                <w:rFonts w:cs="Arial"/>
                <w:b/>
              </w:rPr>
            </w:pPr>
            <w:r w:rsidRPr="0082193E">
              <w:rPr>
                <w:rFonts w:cs="Arial"/>
                <w:b/>
                <w:spacing w:val="1"/>
              </w:rPr>
              <w:t>2</w:t>
            </w:r>
            <w:r w:rsidRPr="0082193E">
              <w:rPr>
                <w:rFonts w:cs="Arial"/>
                <w:b/>
              </w:rPr>
              <w:t>.</w:t>
            </w:r>
            <w:r w:rsidRPr="0082193E">
              <w:rPr>
                <w:rFonts w:cs="Arial"/>
                <w:b/>
                <w:spacing w:val="1"/>
              </w:rPr>
              <w:t>2</w:t>
            </w:r>
            <w:r w:rsidRPr="0082193E">
              <w:rPr>
                <w:rFonts w:cs="Arial"/>
                <w:b/>
                <w:spacing w:val="-1"/>
              </w:rPr>
              <w:t>4</w:t>
            </w:r>
            <w:r w:rsidRPr="0082193E">
              <w:rPr>
                <w:rFonts w:cs="Arial"/>
                <w:b/>
                <w:spacing w:val="1"/>
              </w:rPr>
              <w:t>6</w:t>
            </w:r>
            <w:r w:rsidRPr="0082193E">
              <w:rPr>
                <w:rFonts w:cs="Arial"/>
                <w:b/>
              </w:rPr>
              <w:t>,</w:t>
            </w:r>
            <w:r w:rsidRPr="0082193E">
              <w:rPr>
                <w:rFonts w:cs="Arial"/>
                <w:b/>
                <w:spacing w:val="-1"/>
              </w:rPr>
              <w:t>3</w:t>
            </w:r>
            <w:r w:rsidRPr="0082193E">
              <w:rPr>
                <w:rFonts w:cs="Arial"/>
                <w:b/>
              </w:rPr>
              <w:t>4</w:t>
            </w:r>
          </w:p>
        </w:tc>
        <w:tc>
          <w:tcPr>
            <w:tcW w:w="1607" w:type="dxa"/>
            <w:tcBorders>
              <w:top w:val="nil"/>
              <w:left w:val="nil"/>
              <w:bottom w:val="single" w:sz="8" w:space="0" w:color="auto"/>
              <w:right w:val="single" w:sz="8" w:space="0" w:color="auto"/>
            </w:tcBorders>
            <w:noWrap/>
            <w:vAlign w:val="center"/>
          </w:tcPr>
          <w:p w:rsidR="00BE1EFE" w:rsidRPr="0082193E" w:rsidRDefault="00BE1EFE" w:rsidP="008321D4">
            <w:pPr>
              <w:jc w:val="center"/>
              <w:rPr>
                <w:rFonts w:cs="Arial"/>
                <w:b/>
              </w:rPr>
            </w:pPr>
            <w:r w:rsidRPr="0082193E">
              <w:rPr>
                <w:rFonts w:cs="Arial"/>
                <w:b/>
              </w:rPr>
              <w:t>14,01</w:t>
            </w:r>
          </w:p>
        </w:tc>
      </w:tr>
      <w:tr w:rsidR="00BE1EFE" w:rsidRPr="000C727A" w:rsidTr="00FD3D8E">
        <w:trPr>
          <w:trHeight w:val="567"/>
          <w:jc w:val="center"/>
        </w:trPr>
        <w:tc>
          <w:tcPr>
            <w:tcW w:w="4820" w:type="dxa"/>
            <w:gridSpan w:val="3"/>
            <w:tcBorders>
              <w:top w:val="single" w:sz="8" w:space="0" w:color="auto"/>
              <w:left w:val="nil"/>
              <w:bottom w:val="nil"/>
              <w:right w:val="nil"/>
            </w:tcBorders>
            <w:vAlign w:val="bottom"/>
          </w:tcPr>
          <w:p w:rsidR="00BE1EFE" w:rsidRPr="006E41D0" w:rsidRDefault="00BE1EFE" w:rsidP="00FF0738">
            <w:pPr>
              <w:spacing w:before="200"/>
              <w:jc w:val="both"/>
              <w:rPr>
                <w:rFonts w:cs="Arial"/>
              </w:rPr>
            </w:pPr>
            <w:r w:rsidRPr="006E41D0">
              <w:rPr>
                <w:rFonts w:cs="Arial"/>
              </w:rPr>
              <w:t>*errechnet aus Stufe 3 der Entgeltgruppe geteilt durch das 4,348-fache der wöchentlichen Arbeitszeit</w:t>
            </w:r>
          </w:p>
        </w:tc>
      </w:tr>
    </w:tbl>
    <w:p w:rsidR="00BE1EFE" w:rsidRDefault="00BE1EFE" w:rsidP="00FF0738">
      <w:pPr>
        <w:pStyle w:val="StandardWeb"/>
      </w:pPr>
    </w:p>
    <w:p w:rsidR="00BE1EFE" w:rsidRDefault="00BE1EFE" w:rsidP="006B6971">
      <w:pPr>
        <w:pStyle w:val="Leerzeile"/>
      </w:pPr>
      <w:r>
        <w:br w:type="page"/>
      </w:r>
    </w:p>
    <w:p w:rsidR="00BE1EFE" w:rsidRDefault="00BE1EFE" w:rsidP="00E87479">
      <w:pPr>
        <w:pStyle w:val="berschrift6"/>
        <w:spacing w:before="120"/>
      </w:pPr>
      <w:bookmarkStart w:id="89" w:name="_Toc523925760"/>
      <w:r>
        <w:lastRenderedPageBreak/>
        <w:t>Feststellungs- bzw. Redaktionsbeschluss</w:t>
      </w:r>
      <w:bookmarkEnd w:id="8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Tarifliche Korrekturen</w:t>
      </w:r>
    </w:p>
    <w:p w:rsidR="00BE1EFE" w:rsidRPr="000B1AF8" w:rsidRDefault="00BE1EFE">
      <w:pPr>
        <w:pStyle w:val="StandardWeb"/>
      </w:pPr>
    </w:p>
    <w:p w:rsidR="00BE1EFE" w:rsidRDefault="00BE1EFE">
      <w:pPr>
        <w:pStyle w:val="StandardWeb"/>
      </w:pPr>
      <w:r>
        <w:t>Korrekturen der Tarifvertragsparteien zum TVöD und den ihn begleitenden Tarifverträgen vom 13.09.2005 sind Bestandteil des ABD in der ab dem 01.10.2005 geltenden Fassung, soweit die Bayerische Regional-KODA keine abweichenden Beschlüsse fasst.</w:t>
      </w:r>
    </w:p>
    <w:p w:rsidR="00BE1EFE" w:rsidRDefault="00BE1EFE">
      <w:pPr>
        <w:pStyle w:val="StandardWeb"/>
      </w:pPr>
    </w:p>
    <w:p w:rsidR="00BE1EFE" w:rsidRDefault="00BE1EFE" w:rsidP="0054275E">
      <w:pPr>
        <w:pStyle w:val="StandardWeb"/>
        <w:autoSpaceDE w:val="0"/>
      </w:pPr>
      <w:r>
        <w:rPr>
          <w:rStyle w:val="Fett"/>
          <w:bCs/>
        </w:rPr>
        <w:t>KODA-Korrekturen</w:t>
      </w:r>
    </w:p>
    <w:p w:rsidR="00BE1EFE" w:rsidRDefault="00BE1EFE">
      <w:pPr>
        <w:pStyle w:val="StandardWeb"/>
      </w:pPr>
    </w:p>
    <w:p w:rsidR="00BE1EFE" w:rsidRDefault="00BE1EFE">
      <w:pPr>
        <w:pStyle w:val="StandardWeb"/>
      </w:pPr>
      <w:r>
        <w:t>Korrekturen des ABD in der Fassung vom 01.10.2005 im Zusammenhang mit der Überführung des TVöD und den ihn begleitenden Tarifverträgen vom 13.09.2005 werden Bestandteil des ABD.</w:t>
      </w:r>
    </w:p>
    <w:p w:rsidR="00BE1EFE" w:rsidRDefault="00BE1EFE">
      <w:pPr>
        <w:pStyle w:val="StandardWeb"/>
      </w:pPr>
    </w:p>
    <w:p w:rsidR="00BE1EFE" w:rsidRDefault="00BE1EFE">
      <w:pPr>
        <w:pStyle w:val="StandardWeb"/>
      </w:pPr>
      <w:r>
        <w:t>In der Frage, ob es sich bei der vorgesehenen Änderung um eine Korrektur handelt, kann der Vermittlungsausschuss angerufen werden.</w:t>
      </w:r>
    </w:p>
    <w:p w:rsidR="00BE1EFE" w:rsidRPr="00E91516" w:rsidRDefault="00BE1EFE" w:rsidP="0006492D">
      <w:pPr>
        <w:pStyle w:val="berschrift4"/>
        <w:spacing w:before="0"/>
      </w:pPr>
      <w:r>
        <w:br w:type="page"/>
      </w:r>
      <w:bookmarkStart w:id="90" w:name="_Toc523925761"/>
      <w:r>
        <w:lastRenderedPageBreak/>
        <w:t>A, 2. Entgeltordnung</w:t>
      </w:r>
      <w:bookmarkEnd w:id="90"/>
    </w:p>
    <w:p w:rsidR="00BE1EFE" w:rsidRPr="00B76821" w:rsidRDefault="00BE1EFE" w:rsidP="00B76821">
      <w:pPr>
        <w:pStyle w:val="berschrift5"/>
        <w:keepNext w:val="0"/>
        <w:spacing w:before="0" w:after="0"/>
        <w:rPr>
          <w:sz w:val="2"/>
        </w:rPr>
      </w:pPr>
    </w:p>
    <w:p w:rsidR="00BE1EFE" w:rsidRPr="00DF2A4E" w:rsidRDefault="00BE1EFE" w:rsidP="001D298D">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D45060">
      <w:pPr>
        <w:pStyle w:val="berschrift5"/>
        <w:spacing w:before="0"/>
      </w:pPr>
      <w:bookmarkStart w:id="91" w:name="_Toc523925762"/>
      <w:r>
        <w:t xml:space="preserve">A, 2.1. </w:t>
      </w:r>
      <w:r>
        <w:rPr>
          <w:lang w:eastAsia="x-none"/>
        </w:rPr>
        <w:t>Grundsätzliche Eingruppierungsregelungen (</w:t>
      </w:r>
      <w:r>
        <w:t>Vorbemerkungen</w:t>
      </w:r>
      <w:r>
        <w:rPr>
          <w:lang w:eastAsia="x-none"/>
        </w:rPr>
        <w:t>)</w:t>
      </w:r>
      <w:bookmarkEnd w:id="91"/>
      <w:r>
        <w:t xml:space="preserve"> </w:t>
      </w:r>
    </w:p>
    <w:p w:rsidR="00BE1EFE" w:rsidRPr="00604213" w:rsidRDefault="00BE1EFE" w:rsidP="00604213">
      <w:pPr>
        <w:pStyle w:val="berschrift6"/>
        <w:rPr>
          <w:lang w:eastAsia="x-none"/>
        </w:rPr>
      </w:pPr>
      <w:bookmarkStart w:id="92" w:name="_Toc523925763"/>
      <w:r>
        <w:t>1.</w:t>
      </w:r>
      <w:r>
        <w:rPr>
          <w:lang w:eastAsia="x-none"/>
        </w:rPr>
        <w:t> </w:t>
      </w:r>
      <w:r w:rsidRPr="00093DCD">
        <w:rPr>
          <w:u w:color="000000"/>
        </w:rPr>
        <w:t>Vorrang spezieller Tätigkeitsmerkmale</w:t>
      </w:r>
      <w:bookmarkEnd w:id="92"/>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4"/>
        <w:jc w:val="both"/>
        <w:rPr>
          <w:rFonts w:cs="Arial"/>
          <w:szCs w:val="16"/>
        </w:rPr>
      </w:pPr>
      <w:r w:rsidRPr="00E91516">
        <w:rPr>
          <w:rFonts w:cs="Arial"/>
          <w:sz w:val="12"/>
          <w:szCs w:val="12"/>
        </w:rPr>
        <w:t>1</w:t>
      </w:r>
      <w:r w:rsidRPr="00093DCD">
        <w:rPr>
          <w:rFonts w:cs="Arial"/>
          <w:szCs w:val="16"/>
        </w:rPr>
        <w:t xml:space="preserve">Für Beschäftigte, deren Tätigkeit in einem speziellen Tätigkeitsmerkmal aufgeführt ist, gelten die allgemeinen Tätigkeitsmerkmale weder in der Entgeltgruppe, in der sie aufgeführt sind, noch in einer höheren Entgeltgruppe. </w:t>
      </w:r>
      <w:r w:rsidRPr="00E91516">
        <w:rPr>
          <w:rFonts w:cs="Arial"/>
          <w:sz w:val="12"/>
          <w:szCs w:val="12"/>
        </w:rPr>
        <w:t>2</w:t>
      </w:r>
      <w:r w:rsidRPr="00093DCD">
        <w:rPr>
          <w:rFonts w:cs="Arial"/>
          <w:szCs w:val="16"/>
        </w:rPr>
        <w:t>Die Allgemeinen Tätigkeitsmerkmale der Entgelt</w:t>
      </w:r>
      <w:r>
        <w:rPr>
          <w:rFonts w:cs="Arial"/>
          <w:szCs w:val="16"/>
        </w:rPr>
        <w:softHyphen/>
      </w:r>
      <w:r w:rsidRPr="00093DCD">
        <w:rPr>
          <w:rFonts w:cs="Arial"/>
          <w:szCs w:val="16"/>
        </w:rPr>
        <w:t>gruppen 2 bis 12 für Beschäftigte im Büro-, Buchhalterei-, sonstigen Innendienst und Außendienst (</w:t>
      </w:r>
      <w:hyperlink r:id="rId275" w:history="1">
        <w:r w:rsidRPr="00F7532D">
          <w:rPr>
            <w:rStyle w:val="Hyperlink"/>
            <w:rFonts w:cs="Arial"/>
            <w:szCs w:val="16"/>
          </w:rPr>
          <w:t>Teil A, 2.2.1. Nummer 3</w:t>
        </w:r>
      </w:hyperlink>
      <w:r w:rsidRPr="00093DCD">
        <w:rPr>
          <w:rFonts w:cs="Arial"/>
          <w:szCs w:val="16"/>
        </w:rPr>
        <w:t>) gelten, sofern die auszuübende Tätigkeit einen unmittelbaren Bezug zu den eigentlichen Aufgaben der betreffenden Verwaltungsdienst</w:t>
      </w:r>
      <w:r>
        <w:rPr>
          <w:rFonts w:cs="Arial"/>
          <w:szCs w:val="16"/>
        </w:rPr>
        <w:softHyphen/>
      </w:r>
      <w:r w:rsidRPr="00093DCD">
        <w:rPr>
          <w:rFonts w:cs="Arial"/>
          <w:szCs w:val="16"/>
        </w:rPr>
        <w:t xml:space="preserve">stellen, -behörden oder -institutionen hat. </w:t>
      </w:r>
      <w:r w:rsidRPr="00E91516">
        <w:rPr>
          <w:rFonts w:cs="Arial"/>
          <w:sz w:val="12"/>
          <w:szCs w:val="12"/>
        </w:rPr>
        <w:t>3</w:t>
      </w:r>
      <w:r w:rsidRPr="00093DCD">
        <w:rPr>
          <w:rFonts w:cs="Arial"/>
          <w:szCs w:val="16"/>
        </w:rPr>
        <w:t>Für Beschäftigte mit handwerklichen Tätigkeiten, deren Tätigkeit nicht in einem speziellen Tätigkeitsmerkmal aufgeführt ist, gelten die allgemeinen Tätigkeitsmerkmale für Beschäftigte mit handwerklichen Tätigkeiten (</w:t>
      </w:r>
      <w:hyperlink r:id="rId276" w:history="1">
        <w:r w:rsidRPr="00F7532D">
          <w:rPr>
            <w:rStyle w:val="Hyperlink"/>
            <w:rFonts w:cs="Arial"/>
            <w:szCs w:val="16"/>
          </w:rPr>
          <w:t>Teil A, 2.2.1. Nummer 2</w:t>
        </w:r>
      </w:hyperlink>
      <w:r w:rsidRPr="00093DCD">
        <w:rPr>
          <w:rFonts w:cs="Arial"/>
          <w:szCs w:val="16"/>
        </w:rPr>
        <w:t>); die allgemeinen Tätigkeitsmerkmale für Beschäftigte im Büro-, Buch</w:t>
      </w:r>
      <w:r>
        <w:rPr>
          <w:rFonts w:cs="Arial"/>
          <w:szCs w:val="16"/>
        </w:rPr>
        <w:softHyphen/>
      </w:r>
      <w:r w:rsidRPr="00093DCD">
        <w:rPr>
          <w:rFonts w:cs="Arial"/>
          <w:szCs w:val="16"/>
        </w:rPr>
        <w:t>halterei-, sonstigen Innendienst und Außendienst (</w:t>
      </w:r>
      <w:hyperlink r:id="rId277" w:history="1">
        <w:r w:rsidRPr="00F7532D">
          <w:rPr>
            <w:rStyle w:val="Hyperlink"/>
            <w:rFonts w:cs="Arial"/>
            <w:szCs w:val="16"/>
          </w:rPr>
          <w:t>Teil A, 2.2.1. Nummer 3</w:t>
        </w:r>
      </w:hyperlink>
      <w:r w:rsidRPr="00093DCD">
        <w:rPr>
          <w:rFonts w:cs="Arial"/>
          <w:szCs w:val="16"/>
        </w:rPr>
        <w:t xml:space="preserve">) gelten nicht. </w:t>
      </w:r>
      <w:r w:rsidRPr="00E91516">
        <w:rPr>
          <w:rFonts w:cs="Arial"/>
          <w:sz w:val="12"/>
          <w:szCs w:val="12"/>
        </w:rPr>
        <w:t>4</w:t>
      </w:r>
      <w:r w:rsidRPr="00093DCD">
        <w:rPr>
          <w:rFonts w:cs="Arial"/>
          <w:szCs w:val="16"/>
        </w:rPr>
        <w:t>Für Beschäftigte mit abgeschlossener wissenschaftlicher Hochschulbildung und entsprechender Tätigkeit sowie für sonstige Beschäftigte, die aufgrund gleichwertiger Fähigkeiten und ihrer Erfahrungen entsprechende Tätigkeiten ausüben, gelten die allgemeinen Tätigkeitsmerkmale der Entgeltgruppen 13 bis 15 (</w:t>
      </w:r>
      <w:hyperlink r:id="rId278" w:history="1">
        <w:r w:rsidRPr="00F7532D">
          <w:rPr>
            <w:rStyle w:val="Hyperlink"/>
            <w:rFonts w:cs="Arial"/>
            <w:szCs w:val="16"/>
          </w:rPr>
          <w:t>Teil A, 2.2.1. Nummer 4</w:t>
        </w:r>
      </w:hyperlink>
      <w:r w:rsidRPr="00093DCD">
        <w:rPr>
          <w:rFonts w:cs="Arial"/>
          <w:szCs w:val="16"/>
        </w:rPr>
        <w:t xml:space="preserve">), es sei denn, dass ihre Tätigkeit in einem speziellen Tätigkeitsmerkmal aufgeführt ist. </w:t>
      </w:r>
      <w:r w:rsidRPr="00E91516">
        <w:rPr>
          <w:rFonts w:cs="Arial"/>
          <w:sz w:val="12"/>
          <w:szCs w:val="12"/>
        </w:rPr>
        <w:t>5</w:t>
      </w:r>
      <w:r w:rsidRPr="00093DCD">
        <w:rPr>
          <w:rFonts w:cs="Arial"/>
          <w:szCs w:val="16"/>
        </w:rPr>
        <w:t xml:space="preserve">Wird ein Arbeitsvorgang von einem speziellen Tätigkeitsmerkmal erfasst, findet dieses auch dann Anwendung, wenn die/der Beschäftigte außerhalb des Geltungsbereichs des </w:t>
      </w:r>
      <w:hyperlink r:id="rId279" w:history="1">
        <w:r w:rsidRPr="00F7532D">
          <w:rPr>
            <w:rStyle w:val="Hyperlink"/>
            <w:rFonts w:cs="Arial"/>
            <w:szCs w:val="16"/>
          </w:rPr>
          <w:t>Teil A, 2.3.</w:t>
        </w:r>
      </w:hyperlink>
      <w:r w:rsidRPr="00093DCD">
        <w:rPr>
          <w:rFonts w:cs="Arial"/>
          <w:szCs w:val="16"/>
        </w:rPr>
        <w:t xml:space="preserve"> beschäftigt ist, zu dem bzw. denen dieses Tätigkeitsmerkmal vereinbart ist.</w:t>
      </w:r>
    </w:p>
    <w:p w:rsidR="00BE1EFE" w:rsidRPr="00093DCD" w:rsidRDefault="00BE1EFE" w:rsidP="001D298D">
      <w:pPr>
        <w:widowControl w:val="0"/>
        <w:ind w:right="55"/>
        <w:jc w:val="both"/>
        <w:rPr>
          <w:rFonts w:cs="Arial"/>
          <w:szCs w:val="16"/>
        </w:rPr>
      </w:pPr>
    </w:p>
    <w:p w:rsidR="00BE1EFE" w:rsidRPr="00E91516" w:rsidRDefault="00BE1EFE" w:rsidP="001D298D">
      <w:pPr>
        <w:widowControl w:val="0"/>
        <w:jc w:val="both"/>
        <w:rPr>
          <w:rFonts w:cs="Arial"/>
          <w:sz w:val="12"/>
          <w:szCs w:val="12"/>
        </w:rPr>
      </w:pPr>
      <w:r w:rsidRPr="00E91516">
        <w:rPr>
          <w:rFonts w:cs="Arial"/>
          <w:sz w:val="12"/>
          <w:szCs w:val="12"/>
        </w:rPr>
        <w:t>Anmerkung zu Nummer 1 Satz 2:</w:t>
      </w:r>
    </w:p>
    <w:p w:rsidR="00BE1EFE" w:rsidRPr="00E91516" w:rsidRDefault="00BE1EFE" w:rsidP="001D298D">
      <w:pPr>
        <w:widowControl w:val="0"/>
        <w:jc w:val="both"/>
        <w:rPr>
          <w:rFonts w:cs="Arial"/>
          <w:sz w:val="12"/>
          <w:szCs w:val="12"/>
        </w:rPr>
      </w:pPr>
      <w:r w:rsidRPr="00E91516">
        <w:rPr>
          <w:rFonts w:cs="Arial"/>
          <w:sz w:val="12"/>
          <w:szCs w:val="12"/>
        </w:rPr>
        <w:t>Die allgemeinen Tätigkeitsmerkmale für Beschäftigte im Büro-, Buchhalterei-, sonstigen Innendienst und im Außendienst besitzen eine Auffangfunktion in dem gleichen Umfang wie – bestätigt durch die bisherige st</w:t>
      </w:r>
      <w:r>
        <w:rPr>
          <w:rFonts w:cs="Arial"/>
          <w:sz w:val="12"/>
          <w:szCs w:val="12"/>
        </w:rPr>
        <w:t xml:space="preserve">ändige Rechtsprechung des BAG – </w:t>
      </w:r>
      <w:r w:rsidRPr="00E91516">
        <w:rPr>
          <w:rFonts w:cs="Arial"/>
          <w:sz w:val="12"/>
          <w:szCs w:val="12"/>
        </w:rPr>
        <w:t>die bisherigen ersten Fallgruppen des Allgemeinen Teils der Anlage 1a zum BAT.</w:t>
      </w:r>
    </w:p>
    <w:p w:rsidR="00BE1EFE" w:rsidRPr="00093DCD" w:rsidRDefault="00BE1EFE" w:rsidP="001D298D">
      <w:pPr>
        <w:widowControl w:val="0"/>
        <w:jc w:val="both"/>
        <w:rPr>
          <w:rFonts w:cs="Arial"/>
          <w:szCs w:val="16"/>
        </w:rPr>
      </w:pPr>
    </w:p>
    <w:p w:rsidR="00BE1EFE" w:rsidRPr="00E91516" w:rsidRDefault="00BE1EFE" w:rsidP="001D298D">
      <w:pPr>
        <w:widowControl w:val="0"/>
        <w:jc w:val="both"/>
        <w:rPr>
          <w:rFonts w:cs="Arial"/>
          <w:sz w:val="12"/>
          <w:szCs w:val="12"/>
        </w:rPr>
      </w:pPr>
      <w:r w:rsidRPr="00E91516">
        <w:rPr>
          <w:rFonts w:cs="Arial"/>
          <w:sz w:val="12"/>
          <w:szCs w:val="12"/>
        </w:rPr>
        <w:t>Protokollnotiz zu Nummer 1 Satz 3:</w:t>
      </w:r>
    </w:p>
    <w:p w:rsidR="00BE1EFE" w:rsidRPr="00604213" w:rsidRDefault="00BE1EFE" w:rsidP="001D298D">
      <w:pPr>
        <w:widowControl w:val="0"/>
        <w:jc w:val="both"/>
        <w:rPr>
          <w:rFonts w:cs="Arial"/>
          <w:sz w:val="12"/>
          <w:szCs w:val="12"/>
        </w:rPr>
      </w:pPr>
      <w:r w:rsidRPr="00E91516">
        <w:rPr>
          <w:rFonts w:cs="Arial"/>
          <w:sz w:val="12"/>
          <w:szCs w:val="12"/>
        </w:rPr>
        <w:t xml:space="preserve">Spezielle Tätigkeitsmerkmale im Sinne des Satzes 3 sind auch die Fernermerkmale des </w:t>
      </w:r>
      <w:hyperlink r:id="rId280" w:history="1">
        <w:r w:rsidRPr="000B3E82">
          <w:rPr>
            <w:rStyle w:val="Hyperlink"/>
            <w:rFonts w:cs="Arial"/>
            <w:sz w:val="12"/>
            <w:szCs w:val="12"/>
          </w:rPr>
          <w:t>Teil A, 2.14.</w:t>
        </w:r>
      </w:hyperlink>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3" w:name="_Toc523925764"/>
      <w:r>
        <w:t>2.</w:t>
      </w:r>
      <w:r w:rsidRPr="00093DCD">
        <w:t>Tätigkeitsmerkmale mit Anforderungen in der Person</w:t>
      </w:r>
      <w:bookmarkEnd w:id="93"/>
    </w:p>
    <w:p w:rsidR="00BE1EFE" w:rsidRPr="00B76821" w:rsidRDefault="00BE1EFE" w:rsidP="00B76821">
      <w:pPr>
        <w:pStyle w:val="h7"/>
        <w:keepNext w:val="0"/>
        <w:spacing w:before="0" w:after="0"/>
        <w:jc w:val="left"/>
        <w:outlineLvl w:val="5"/>
        <w:rPr>
          <w:sz w:val="2"/>
        </w:rPr>
      </w:pPr>
    </w:p>
    <w:p w:rsidR="00BE1EFE" w:rsidRDefault="00BE1EFE" w:rsidP="000B65C8">
      <w:pPr>
        <w:widowControl w:val="0"/>
        <w:ind w:right="57"/>
        <w:jc w:val="both"/>
        <w:rPr>
          <w:rFonts w:cs="Arial"/>
          <w:szCs w:val="16"/>
        </w:rPr>
      </w:pPr>
      <w:r w:rsidRPr="00E91516">
        <w:rPr>
          <w:rFonts w:cs="Arial"/>
          <w:sz w:val="12"/>
          <w:szCs w:val="12"/>
        </w:rPr>
        <w:t>1</w:t>
      </w:r>
      <w:r w:rsidRPr="00093DCD">
        <w:rPr>
          <w:rFonts w:cs="Arial"/>
          <w:szCs w:val="16"/>
        </w:rPr>
        <w:t>Ist in einem Tätigkeitsmerkmal eine Vorbildung oder Ausbildung als Anforderung bestimmt, sind Beschäftigte, die die geforderte Vorbildung oder Ausbildung nicht besitzen,</w:t>
      </w:r>
    </w:p>
    <w:p w:rsidR="00BE1EFE" w:rsidRPr="000B65C8" w:rsidRDefault="00BE1EFE" w:rsidP="000B65C8">
      <w:pPr>
        <w:widowControl w:val="0"/>
        <w:ind w:right="57"/>
        <w:jc w:val="both"/>
        <w:rPr>
          <w:rFonts w:cs="Arial"/>
          <w:szCs w:val="16"/>
        </w:rPr>
      </w:pPr>
    </w:p>
    <w:p w:rsidR="00BE1EFE" w:rsidRPr="00093DCD" w:rsidRDefault="00BE1EFE" w:rsidP="000B65C8">
      <w:pPr>
        <w:pStyle w:val="Listenabsatz"/>
        <w:widowControl w:val="0"/>
        <w:ind w:left="0" w:right="57"/>
        <w:jc w:val="both"/>
        <w:rPr>
          <w:rFonts w:cs="Arial"/>
          <w:szCs w:val="16"/>
        </w:rPr>
      </w:pPr>
      <w:r w:rsidRPr="000B65C8">
        <w:rPr>
          <w:rFonts w:cs="Arial"/>
          <w:szCs w:val="16"/>
        </w:rPr>
        <w:t>-</w:t>
      </w:r>
      <w:r>
        <w:rPr>
          <w:rFonts w:cs="Arial"/>
          <w:szCs w:val="16"/>
        </w:rPr>
        <w:t xml:space="preserve"> </w:t>
      </w:r>
      <w:r w:rsidRPr="00093DCD">
        <w:rPr>
          <w:rFonts w:cs="Arial"/>
          <w:szCs w:val="16"/>
        </w:rPr>
        <w:t>wenn nicht auch „sonstige Beschäftigte“ von d</w:t>
      </w:r>
      <w:r>
        <w:rPr>
          <w:rFonts w:cs="Arial"/>
          <w:szCs w:val="16"/>
        </w:rPr>
        <w:t xml:space="preserve">iesem Tätigkeitsmerkmal erfasst </w:t>
      </w:r>
      <w:r w:rsidRPr="00093DCD">
        <w:rPr>
          <w:rFonts w:cs="Arial"/>
          <w:szCs w:val="16"/>
        </w:rPr>
        <w:t>werden oder</w:t>
      </w:r>
    </w:p>
    <w:p w:rsidR="00BE1EFE" w:rsidRDefault="00BE1EFE" w:rsidP="001D298D">
      <w:pPr>
        <w:pStyle w:val="Listenabsatz"/>
        <w:widowControl w:val="0"/>
        <w:ind w:left="0" w:right="57"/>
        <w:jc w:val="both"/>
        <w:rPr>
          <w:rFonts w:cs="Arial"/>
          <w:szCs w:val="16"/>
        </w:rPr>
      </w:pPr>
    </w:p>
    <w:p w:rsidR="00BE1EFE" w:rsidRPr="00093DCD" w:rsidRDefault="00BE1EFE" w:rsidP="000B65C8">
      <w:pPr>
        <w:pStyle w:val="Listenabsatz"/>
        <w:widowControl w:val="0"/>
        <w:ind w:left="0" w:right="57"/>
        <w:jc w:val="both"/>
        <w:rPr>
          <w:rFonts w:cs="Arial"/>
          <w:szCs w:val="16"/>
        </w:rPr>
      </w:pPr>
      <w:r w:rsidRPr="000B65C8">
        <w:rPr>
          <w:rFonts w:cs="Arial"/>
          <w:szCs w:val="16"/>
        </w:rPr>
        <w:t>-</w:t>
      </w:r>
      <w:r>
        <w:rPr>
          <w:rFonts w:cs="Arial"/>
          <w:szCs w:val="16"/>
        </w:rPr>
        <w:t xml:space="preserve"> </w:t>
      </w:r>
      <w:r w:rsidRPr="00093DCD">
        <w:rPr>
          <w:rFonts w:cs="Arial"/>
          <w:szCs w:val="16"/>
        </w:rPr>
        <w:t>wenn auch „sonstige Beschäftigte“ von diesem Tätigkeitsmerkmal erfasst werden, diese Beschäftigten jedoch nicht die Voraussetzungen des „sonstigen Beschäftigten“ erfüllen,</w:t>
      </w:r>
    </w:p>
    <w:p w:rsidR="00BE1EFE" w:rsidRPr="00093DCD" w:rsidRDefault="00BE1EFE" w:rsidP="001D298D">
      <w:pPr>
        <w:widowControl w:val="0"/>
        <w:jc w:val="both"/>
        <w:rPr>
          <w:rFonts w:cs="Arial"/>
          <w:szCs w:val="16"/>
        </w:rPr>
      </w:pPr>
    </w:p>
    <w:p w:rsidR="00BE1EFE" w:rsidRPr="00093DCD" w:rsidRDefault="00BE1EFE" w:rsidP="001D298D">
      <w:pPr>
        <w:widowControl w:val="0"/>
        <w:ind w:right="55"/>
        <w:jc w:val="both"/>
        <w:rPr>
          <w:rFonts w:cs="Arial"/>
          <w:szCs w:val="16"/>
        </w:rPr>
      </w:pPr>
      <w:r w:rsidRPr="00093DCD">
        <w:rPr>
          <w:rFonts w:cs="Arial"/>
          <w:szCs w:val="16"/>
        </w:rPr>
        <w:t xml:space="preserve">bei Erfüllung der sonstigen Anforderungen dieses Tätigkeitsmerkmals in der nächst niedrigeren Entgeltgruppe eingruppiert. </w:t>
      </w:r>
      <w:r w:rsidRPr="00E91516">
        <w:rPr>
          <w:rFonts w:cs="Arial"/>
          <w:sz w:val="12"/>
          <w:szCs w:val="12"/>
        </w:rPr>
        <w:t>2</w:t>
      </w:r>
      <w:r w:rsidRPr="00093DCD">
        <w:rPr>
          <w:rFonts w:cs="Arial"/>
          <w:szCs w:val="16"/>
        </w:rPr>
        <w:t xml:space="preserve">Satz 1 gilt entsprechend für Tätigkeitsmerkmale, die bei Erfüllung qualifizierter Anforderungen eine höhere Eingruppierung vorsehen. </w:t>
      </w:r>
      <w:r>
        <w:rPr>
          <w:rFonts w:cs="Arial"/>
          <w:sz w:val="12"/>
          <w:szCs w:val="12"/>
        </w:rPr>
        <w:t>3</w:t>
      </w:r>
      <w:r w:rsidRPr="00093DCD">
        <w:rPr>
          <w:rFonts w:cs="Arial"/>
          <w:szCs w:val="16"/>
        </w:rPr>
        <w:t>Satz 1 gilt nicht, wenn die Entgeltordnung für diesen Fall ein Tätigkeitsmerkmal (</w:t>
      </w:r>
      <w:r>
        <w:rPr>
          <w:rFonts w:cs="Arial"/>
          <w:szCs w:val="16"/>
        </w:rPr>
        <w:t>z. B.</w:t>
      </w:r>
      <w:r w:rsidRPr="00093DCD">
        <w:rPr>
          <w:rFonts w:cs="Arial"/>
          <w:szCs w:val="16"/>
        </w:rPr>
        <w:t xml:space="preserve"> „in der Tätigkeit von…“) enthält.</w:t>
      </w:r>
    </w:p>
    <w:p w:rsidR="00BE1EFE" w:rsidRDefault="00BE1EFE" w:rsidP="001D298D">
      <w:pPr>
        <w:widowControl w:val="0"/>
        <w:jc w:val="both"/>
        <w:rPr>
          <w:rFonts w:cs="Arial"/>
          <w:szCs w:val="16"/>
        </w:rPr>
      </w:pPr>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4" w:name="_Toc523925765"/>
      <w:r>
        <w:rPr>
          <w:u w:color="000000"/>
        </w:rPr>
        <w:lastRenderedPageBreak/>
        <w:t xml:space="preserve">3. </w:t>
      </w:r>
      <w:r w:rsidRPr="00093DCD">
        <w:rPr>
          <w:u w:color="000000"/>
        </w:rPr>
        <w:t>Wissenschaftliche Hochschulbildung</w:t>
      </w:r>
      <w:bookmarkEnd w:id="94"/>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20"/>
        <w:jc w:val="both"/>
        <w:rPr>
          <w:rFonts w:cs="Arial"/>
          <w:szCs w:val="16"/>
        </w:rPr>
      </w:pPr>
      <w:r w:rsidRPr="00E91516">
        <w:rPr>
          <w:rFonts w:cs="Arial"/>
          <w:sz w:val="12"/>
          <w:szCs w:val="12"/>
        </w:rPr>
        <w:t>1</w:t>
      </w:r>
      <w:r w:rsidRPr="00093DCD">
        <w:rPr>
          <w:rFonts w:cs="Arial"/>
          <w:szCs w:val="16"/>
        </w:rPr>
        <w:t>Eine abgeschlossene wissenschaftliche Hochschulbildung liegt vor, wenn das Studium</w:t>
      </w:r>
    </w:p>
    <w:p w:rsidR="00BE1EFE" w:rsidRPr="00093DCD" w:rsidRDefault="00BE1EFE" w:rsidP="001D298D">
      <w:pPr>
        <w:widowControl w:val="0"/>
        <w:jc w:val="both"/>
        <w:rPr>
          <w:rFonts w:cs="Arial"/>
          <w:szCs w:val="16"/>
        </w:rPr>
      </w:pPr>
    </w:p>
    <w:p w:rsidR="00BE1EFE" w:rsidRPr="00093DCD" w:rsidRDefault="00BE1EFE" w:rsidP="001D298D">
      <w:pPr>
        <w:pStyle w:val="Listenabsatz"/>
        <w:widowControl w:val="0"/>
        <w:ind w:left="0" w:right="57"/>
        <w:jc w:val="both"/>
        <w:rPr>
          <w:rFonts w:cs="Arial"/>
          <w:szCs w:val="16"/>
        </w:rPr>
      </w:pPr>
      <w:r>
        <w:rPr>
          <w:rFonts w:cs="Arial"/>
          <w:szCs w:val="16"/>
        </w:rPr>
        <w:t>a) </w:t>
      </w:r>
      <w:r w:rsidRPr="00093DCD">
        <w:rPr>
          <w:rFonts w:cs="Arial"/>
          <w:szCs w:val="16"/>
        </w:rPr>
        <w:t>an einer Universität, Technischen Hochschule, Pädagogischen Hochschule, Kunsthoch</w:t>
      </w:r>
      <w:r>
        <w:rPr>
          <w:rFonts w:cs="Arial"/>
          <w:szCs w:val="16"/>
        </w:rPr>
        <w:softHyphen/>
      </w:r>
      <w:r w:rsidRPr="00093DCD">
        <w:rPr>
          <w:rFonts w:cs="Arial"/>
          <w:szCs w:val="16"/>
        </w:rPr>
        <w:t>schule oder einer anderen nach Landesrecht anerkannten Hochschule (außer Fachhoch</w:t>
      </w:r>
      <w:r>
        <w:rPr>
          <w:rFonts w:cs="Arial"/>
          <w:szCs w:val="16"/>
        </w:rPr>
        <w:softHyphen/>
      </w:r>
      <w:r w:rsidRPr="00093DCD">
        <w:rPr>
          <w:rFonts w:cs="Arial"/>
          <w:szCs w:val="16"/>
        </w:rPr>
        <w:t>schulen) mit einer ersten Staatsprüfung, mit einer Magisterprüfung oder mit einer Diplomprüfung beendet worden ist oder</w:t>
      </w:r>
    </w:p>
    <w:p w:rsidR="00BE1EFE" w:rsidRPr="00093DCD" w:rsidRDefault="00BE1EFE" w:rsidP="001D298D">
      <w:pPr>
        <w:widowControl w:val="0"/>
        <w:jc w:val="both"/>
        <w:rPr>
          <w:rFonts w:cs="Arial"/>
          <w:szCs w:val="16"/>
        </w:rPr>
      </w:pPr>
    </w:p>
    <w:p w:rsidR="00BE1EFE" w:rsidRPr="00093DCD" w:rsidRDefault="00BE1EFE" w:rsidP="001D298D">
      <w:pPr>
        <w:pStyle w:val="Listenabsatz"/>
        <w:widowControl w:val="0"/>
        <w:ind w:left="0" w:right="55"/>
        <w:jc w:val="both"/>
        <w:rPr>
          <w:rFonts w:cs="Arial"/>
          <w:szCs w:val="16"/>
        </w:rPr>
      </w:pPr>
      <w:r>
        <w:rPr>
          <w:rFonts w:cs="Arial"/>
          <w:szCs w:val="16"/>
        </w:rPr>
        <w:t>b) </w:t>
      </w:r>
      <w:r w:rsidRPr="00093DCD">
        <w:rPr>
          <w:rFonts w:cs="Arial"/>
          <w:szCs w:val="16"/>
        </w:rPr>
        <w:t>mit einer Masterprüfung beendet worden ist.</w:t>
      </w:r>
    </w:p>
    <w:p w:rsidR="00BE1EFE" w:rsidRPr="00093DCD" w:rsidRDefault="00BE1EFE" w:rsidP="001D298D">
      <w:pPr>
        <w:widowControl w:val="0"/>
        <w:jc w:val="both"/>
        <w:rPr>
          <w:rFonts w:cs="Arial"/>
          <w:szCs w:val="16"/>
        </w:rPr>
      </w:pPr>
    </w:p>
    <w:p w:rsidR="00BE1EFE" w:rsidRPr="00604213" w:rsidRDefault="00BE1EFE" w:rsidP="00604213">
      <w:pPr>
        <w:widowControl w:val="0"/>
        <w:ind w:right="53"/>
        <w:jc w:val="both"/>
        <w:rPr>
          <w:rFonts w:cs="Arial"/>
          <w:szCs w:val="16"/>
        </w:rPr>
      </w:pPr>
      <w:r w:rsidRPr="00E91516">
        <w:rPr>
          <w:rFonts w:cs="Arial"/>
          <w:sz w:val="12"/>
          <w:szCs w:val="12"/>
        </w:rPr>
        <w:t>2</w:t>
      </w:r>
      <w:r w:rsidRPr="00093DCD">
        <w:rPr>
          <w:rFonts w:cs="Arial"/>
          <w:szCs w:val="16"/>
        </w:rPr>
        <w:t xml:space="preserve">Diesen Prüfungen steht eine Promotion oder die Akademische Abschlussprüfung (Magisterprüfung) einer Philosophischen Fakultät nur in den Fällen gleich, in denen die Ablegung einer ersten Staatsprüfung, einer Masterprüfung oder einer Diplomprüfung nach den einschlägigen Ausbildungsvorschriften nicht vorgesehen ist. </w:t>
      </w:r>
      <w:r w:rsidRPr="00E91516">
        <w:rPr>
          <w:rFonts w:cs="Arial"/>
          <w:sz w:val="12"/>
          <w:szCs w:val="12"/>
        </w:rPr>
        <w:t>3</w:t>
      </w:r>
      <w:r w:rsidRPr="00093DCD">
        <w:rPr>
          <w:rFonts w:cs="Arial"/>
          <w:szCs w:val="16"/>
        </w:rPr>
        <w:t>Eine abgeschlossene wissenschaftliche Hochschulbildung im Sinne des Satzes 1 Buchstabe a</w:t>
      </w:r>
      <w:r>
        <w:rPr>
          <w:rFonts w:cs="Arial"/>
          <w:szCs w:val="16"/>
        </w:rPr>
        <w:t>)</w:t>
      </w:r>
      <w:r w:rsidRPr="00093DCD">
        <w:rPr>
          <w:rFonts w:cs="Arial"/>
          <w:szCs w:val="16"/>
        </w:rPr>
        <w:t xml:space="preserve"> setzt voraus, dass die Abschlussprüfung in einem Studiengang abgelegt wird, der seinerseits mindestens das Zeugnis der Hochschulreife (allgemeine Hochschulreife oder einschlägige fachgebundene Hochschulreife) oder eine andere landesrechtliche Hochschulzug</w:t>
      </w:r>
      <w:r>
        <w:rPr>
          <w:rFonts w:cs="Arial"/>
          <w:szCs w:val="16"/>
        </w:rPr>
        <w:t>angsberechtigung als Zugangsvor</w:t>
      </w:r>
      <w:r w:rsidRPr="00093DCD">
        <w:rPr>
          <w:rFonts w:cs="Arial"/>
          <w:szCs w:val="16"/>
        </w:rPr>
        <w:t xml:space="preserve">aussetzung erfordert, und für den Abschluss eine Regelstudienzeit von mindestens acht Semestern – ohne etwaige Praxissemester, Prüfungssemester o.Ä. – vorschreibt. </w:t>
      </w:r>
      <w:r w:rsidRPr="00E91516">
        <w:rPr>
          <w:rFonts w:cs="Arial"/>
          <w:sz w:val="12"/>
          <w:szCs w:val="12"/>
        </w:rPr>
        <w:t>4</w:t>
      </w:r>
      <w:r>
        <w:rPr>
          <w:rFonts w:cs="Arial"/>
          <w:szCs w:val="16"/>
        </w:rPr>
        <w:t>Ein Bachelorstudien</w:t>
      </w:r>
      <w:r w:rsidRPr="00093DCD">
        <w:rPr>
          <w:rFonts w:cs="Arial"/>
          <w:szCs w:val="16"/>
        </w:rPr>
        <w:t xml:space="preserve">gang erfüllt diese Voraussetzung auch dann nicht, wenn mehr als sechs Semester für den Abschluss vorgeschrieben sind. </w:t>
      </w:r>
      <w:r w:rsidRPr="00E91516">
        <w:rPr>
          <w:rFonts w:cs="Arial"/>
          <w:sz w:val="12"/>
          <w:szCs w:val="12"/>
        </w:rPr>
        <w:t>5</w:t>
      </w:r>
      <w:r>
        <w:rPr>
          <w:rFonts w:cs="Arial"/>
          <w:szCs w:val="16"/>
        </w:rPr>
        <w:t>Der Master</w:t>
      </w:r>
      <w:r w:rsidRPr="00093DCD">
        <w:rPr>
          <w:rFonts w:cs="Arial"/>
          <w:szCs w:val="16"/>
        </w:rPr>
        <w:t>studiengang muss nach den Regelungen des Akkredit</w:t>
      </w:r>
      <w:r>
        <w:rPr>
          <w:rFonts w:cs="Arial"/>
          <w:szCs w:val="16"/>
        </w:rPr>
        <w:t>ierungs</w:t>
      </w:r>
      <w:r w:rsidRPr="00093DCD">
        <w:rPr>
          <w:rFonts w:cs="Arial"/>
          <w:szCs w:val="16"/>
        </w:rPr>
        <w:t xml:space="preserve">rats akkreditiert sein. </w:t>
      </w:r>
      <w:r w:rsidRPr="00E91516">
        <w:rPr>
          <w:rFonts w:cs="Arial"/>
          <w:sz w:val="12"/>
          <w:szCs w:val="12"/>
        </w:rPr>
        <w:t>6</w:t>
      </w:r>
      <w:r w:rsidRPr="00093DCD">
        <w:rPr>
          <w:rFonts w:cs="Arial"/>
          <w:szCs w:val="16"/>
        </w:rPr>
        <w:t>Ein Abschluss an einer ausländischen Hochschule gilt als abgeschlossene wissenschaftliche Hochschul</w:t>
      </w:r>
      <w:r>
        <w:rPr>
          <w:rFonts w:cs="Arial"/>
          <w:szCs w:val="16"/>
        </w:rPr>
        <w:softHyphen/>
      </w:r>
      <w:r w:rsidRPr="00093DCD">
        <w:rPr>
          <w:rFonts w:cs="Arial"/>
          <w:szCs w:val="16"/>
        </w:rPr>
        <w:t>bildung, wenn er von der zuständigen staatlichen Anerkennun</w:t>
      </w:r>
      <w:r>
        <w:rPr>
          <w:rFonts w:cs="Arial"/>
          <w:szCs w:val="16"/>
        </w:rPr>
        <w:t>gsstelle als dem deutschen Hochschul</w:t>
      </w:r>
      <w:r w:rsidRPr="00093DCD">
        <w:rPr>
          <w:rFonts w:cs="Arial"/>
          <w:szCs w:val="16"/>
        </w:rPr>
        <w:t>abschlus</w:t>
      </w:r>
      <w:r>
        <w:rPr>
          <w:rFonts w:cs="Arial"/>
          <w:szCs w:val="16"/>
        </w:rPr>
        <w:t>s gleichwertig anerkannt wurde.</w:t>
      </w:r>
    </w:p>
    <w:p w:rsidR="00BE1EFE" w:rsidRPr="00604213" w:rsidRDefault="00BE1EFE" w:rsidP="00604213">
      <w:pPr>
        <w:pStyle w:val="berschrift6"/>
        <w:rPr>
          <w:lang w:eastAsia="x-none"/>
        </w:rPr>
      </w:pPr>
      <w:bookmarkStart w:id="95" w:name="_Toc523925766"/>
      <w:r>
        <w:rPr>
          <w:u w:color="000000"/>
        </w:rPr>
        <w:t xml:space="preserve">4. </w:t>
      </w:r>
      <w:r w:rsidRPr="00093DCD">
        <w:rPr>
          <w:u w:color="000000"/>
        </w:rPr>
        <w:t>Hochschulbildung</w:t>
      </w:r>
      <w:bookmarkEnd w:id="95"/>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2"/>
        <w:jc w:val="both"/>
        <w:rPr>
          <w:rFonts w:cs="Arial"/>
          <w:szCs w:val="16"/>
        </w:rPr>
      </w:pPr>
      <w:r w:rsidRPr="00E91516">
        <w:rPr>
          <w:rFonts w:cs="Arial"/>
          <w:sz w:val="12"/>
          <w:szCs w:val="12"/>
        </w:rPr>
        <w:t>1</w:t>
      </w:r>
      <w:r w:rsidRPr="00093DCD">
        <w:rPr>
          <w:rFonts w:cs="Arial"/>
          <w:szCs w:val="16"/>
        </w:rPr>
        <w:t xml:space="preserve">Eine abgeschlossene Hochschulbildung liegt vor, wenn von einer Hochschule im Sinne des </w:t>
      </w:r>
      <w:hyperlink r:id="rId281" w:history="1">
        <w:r w:rsidRPr="00BD4463">
          <w:rPr>
            <w:rStyle w:val="Hyperlink"/>
            <w:rFonts w:cs="Arial"/>
            <w:szCs w:val="16"/>
          </w:rPr>
          <w:t>§ 1 HRG</w:t>
        </w:r>
      </w:hyperlink>
      <w:r w:rsidRPr="00093DCD">
        <w:rPr>
          <w:rFonts w:cs="Arial"/>
          <w:szCs w:val="16"/>
        </w:rPr>
        <w:t xml:space="preserve"> ein Diplomgrad mit dem Zusatz "Fachhochschule" ("FH"), ein anderer nach </w:t>
      </w:r>
      <w:hyperlink r:id="rId282" w:history="1">
        <w:r w:rsidRPr="00BD4463">
          <w:rPr>
            <w:rStyle w:val="Hyperlink"/>
            <w:rFonts w:cs="Arial"/>
            <w:szCs w:val="16"/>
          </w:rPr>
          <w:t>§ 18 HRG</w:t>
        </w:r>
      </w:hyperlink>
      <w:r w:rsidRPr="00093DCD">
        <w:rPr>
          <w:rFonts w:cs="Arial"/>
          <w:szCs w:val="16"/>
        </w:rPr>
        <w:t xml:space="preserve"> gleich</w:t>
      </w:r>
      <w:r>
        <w:rPr>
          <w:rFonts w:cs="Arial"/>
          <w:szCs w:val="16"/>
        </w:rPr>
        <w:t>wertiger Abschluss</w:t>
      </w:r>
      <w:r w:rsidRPr="00093DCD">
        <w:rPr>
          <w:rFonts w:cs="Arial"/>
          <w:szCs w:val="16"/>
        </w:rPr>
        <w:t xml:space="preserve">grad oder ein Bachelorgrad verliehen wurde. </w:t>
      </w:r>
      <w:r w:rsidRPr="00E91516">
        <w:rPr>
          <w:rFonts w:cs="Arial"/>
          <w:sz w:val="12"/>
          <w:szCs w:val="12"/>
        </w:rPr>
        <w:t>2</w:t>
      </w:r>
      <w:r w:rsidRPr="00093DCD">
        <w:rPr>
          <w:rFonts w:cs="Arial"/>
          <w:szCs w:val="16"/>
        </w:rPr>
        <w:t>Die Abschluss</w:t>
      </w:r>
      <w:r w:rsidRPr="00093DCD">
        <w:rPr>
          <w:rFonts w:cs="Arial"/>
          <w:szCs w:val="16"/>
        </w:rPr>
        <w:softHyphen/>
        <w:t>prüfung muss in einem Studiengang abgelegt worden sein, der seinerseits mindestens das Zeugnis der Hochschulreife (allgemeine Hochschulreife oder einschlägige fachgebundene Hochschulreife) oder eine andere landesrechtliche Hochschul</w:t>
      </w:r>
      <w:r>
        <w:rPr>
          <w:rFonts w:cs="Arial"/>
          <w:szCs w:val="16"/>
        </w:rPr>
        <w:t>zugangsberechtigung als Zugangsvor</w:t>
      </w:r>
      <w:r w:rsidRPr="00093DCD">
        <w:rPr>
          <w:rFonts w:cs="Arial"/>
          <w:szCs w:val="16"/>
        </w:rPr>
        <w:t>aussetzung erfordert, und für den Abschluss eine Regelstudienzeit von mindestens sechs Semestern – ohne e</w:t>
      </w:r>
      <w:r>
        <w:rPr>
          <w:rFonts w:cs="Arial"/>
          <w:szCs w:val="16"/>
        </w:rPr>
        <w:t>twaige Praxissemester, Prüfungs</w:t>
      </w:r>
      <w:r w:rsidRPr="00093DCD">
        <w:rPr>
          <w:rFonts w:cs="Arial"/>
          <w:szCs w:val="16"/>
        </w:rPr>
        <w:t xml:space="preserve">semester o.Ä. – vorschreibt. </w:t>
      </w:r>
      <w:r w:rsidRPr="00E91516">
        <w:rPr>
          <w:rFonts w:cs="Arial"/>
          <w:sz w:val="12"/>
          <w:szCs w:val="12"/>
        </w:rPr>
        <w:t>3</w:t>
      </w:r>
      <w:r w:rsidRPr="00093DCD">
        <w:rPr>
          <w:rFonts w:cs="Arial"/>
          <w:szCs w:val="16"/>
        </w:rPr>
        <w:t xml:space="preserve">Der Bachelorstudiengang muss nach den Regelungen des Akkreditierungsrats akkreditiert sein. </w:t>
      </w:r>
      <w:r w:rsidRPr="00E91516">
        <w:rPr>
          <w:rFonts w:cs="Arial"/>
          <w:sz w:val="12"/>
          <w:szCs w:val="12"/>
        </w:rPr>
        <w:t>4</w:t>
      </w:r>
      <w:r w:rsidRPr="00093DCD">
        <w:rPr>
          <w:rFonts w:cs="Arial"/>
          <w:szCs w:val="16"/>
        </w:rPr>
        <w:t>Dem gleichgestellt sind Abschlüsse in akkreditierten Bacheloraus</w:t>
      </w:r>
      <w:r>
        <w:rPr>
          <w:rFonts w:cs="Arial"/>
          <w:szCs w:val="16"/>
        </w:rPr>
        <w:softHyphen/>
      </w:r>
      <w:r w:rsidRPr="00093DCD">
        <w:rPr>
          <w:rFonts w:cs="Arial"/>
          <w:szCs w:val="16"/>
        </w:rPr>
        <w:t xml:space="preserve">bildungsgängen an Berufsakademien. </w:t>
      </w:r>
      <w:r w:rsidRPr="008A5C6B">
        <w:rPr>
          <w:rFonts w:cs="Arial"/>
          <w:sz w:val="12"/>
          <w:szCs w:val="12"/>
        </w:rPr>
        <w:t>5</w:t>
      </w:r>
      <w:r w:rsidRPr="00093DCD">
        <w:rPr>
          <w:rFonts w:cs="Arial"/>
          <w:szCs w:val="16"/>
        </w:rPr>
        <w:t>Nummer 3 Satz 6 gilt entsprechend.</w:t>
      </w:r>
    </w:p>
    <w:p w:rsidR="00BE1EFE" w:rsidRPr="00604213" w:rsidRDefault="00BE1EFE" w:rsidP="00604213">
      <w:pPr>
        <w:pStyle w:val="berschrift6"/>
        <w:rPr>
          <w:u w:color="000000"/>
          <w:lang w:eastAsia="x-none"/>
        </w:rPr>
      </w:pPr>
      <w:bookmarkStart w:id="96" w:name="_Toc523925767"/>
      <w:r>
        <w:rPr>
          <w:u w:color="000000"/>
        </w:rPr>
        <w:t xml:space="preserve">5. </w:t>
      </w:r>
      <w:r w:rsidRPr="00093DCD">
        <w:rPr>
          <w:u w:color="000000"/>
        </w:rPr>
        <w:t>Anerkannte Ausbildungsberufe</w:t>
      </w:r>
      <w:bookmarkEnd w:id="96"/>
    </w:p>
    <w:p w:rsidR="00BE1EFE" w:rsidRPr="00B76821" w:rsidRDefault="00BE1EFE" w:rsidP="00B76821">
      <w:pPr>
        <w:pStyle w:val="h7"/>
        <w:keepNext w:val="0"/>
        <w:spacing w:before="0" w:after="0"/>
        <w:jc w:val="left"/>
        <w:outlineLvl w:val="5"/>
        <w:rPr>
          <w:sz w:val="2"/>
        </w:rPr>
      </w:pPr>
    </w:p>
    <w:p w:rsidR="00BE1EFE" w:rsidRPr="00767F41" w:rsidRDefault="00BE1EFE" w:rsidP="00767F41">
      <w:pPr>
        <w:widowControl w:val="0"/>
        <w:ind w:right="54"/>
        <w:jc w:val="both"/>
        <w:rPr>
          <w:rFonts w:cs="Arial"/>
          <w:szCs w:val="16"/>
        </w:rPr>
      </w:pPr>
      <w:r w:rsidRPr="00E91516">
        <w:rPr>
          <w:rFonts w:cs="Arial"/>
          <w:sz w:val="12"/>
          <w:szCs w:val="12"/>
        </w:rPr>
        <w:t>1</w:t>
      </w:r>
      <w:r w:rsidRPr="00093DCD">
        <w:rPr>
          <w:rFonts w:cs="Arial"/>
          <w:szCs w:val="16"/>
        </w:rPr>
        <w:t xml:space="preserve">Anerkannte Ausbildungsberufe sind nur solche, die auf der Grundlage des Berufsbildungsgesetzes bzw. der Handwerksordnung geregelt sind. </w:t>
      </w:r>
      <w:r w:rsidRPr="00E91516">
        <w:rPr>
          <w:rFonts w:cs="Arial"/>
          <w:sz w:val="12"/>
          <w:szCs w:val="12"/>
        </w:rPr>
        <w:t>2</w:t>
      </w:r>
      <w:r w:rsidRPr="00093DCD">
        <w:rPr>
          <w:rFonts w:cs="Arial"/>
          <w:szCs w:val="16"/>
        </w:rPr>
        <w:t>In Tätigkeitsmerkmalen genannte Ausbildungsberufe umfassen auch die entsprechenden früheren Ausbildungsberufe vor Inkrafttreten der Entgeltordnung.</w:t>
      </w:r>
    </w:p>
    <w:p w:rsidR="00BE1EFE" w:rsidRPr="00093DCD" w:rsidRDefault="00BE1EFE" w:rsidP="001D298D">
      <w:pPr>
        <w:widowControl w:val="0"/>
        <w:jc w:val="both"/>
        <w:rPr>
          <w:rFonts w:cs="Arial"/>
          <w:szCs w:val="16"/>
        </w:rPr>
      </w:pPr>
    </w:p>
    <w:p w:rsidR="00BE1EFE" w:rsidRPr="00604213" w:rsidRDefault="00BE1EFE" w:rsidP="00604213">
      <w:pPr>
        <w:pStyle w:val="berschrift6"/>
        <w:rPr>
          <w:lang w:eastAsia="x-none"/>
        </w:rPr>
      </w:pPr>
      <w:bookmarkStart w:id="97" w:name="_Toc523925768"/>
      <w:r>
        <w:rPr>
          <w:u w:color="000000"/>
          <w:lang w:eastAsia="x-none"/>
        </w:rPr>
        <w:lastRenderedPageBreak/>
        <w:t>6</w:t>
      </w:r>
      <w:r>
        <w:rPr>
          <w:u w:color="000000"/>
        </w:rPr>
        <w:t xml:space="preserve">. </w:t>
      </w:r>
      <w:r w:rsidRPr="00093DCD">
        <w:rPr>
          <w:u w:color="000000"/>
        </w:rPr>
        <w:t>Übergangsregelungen zu in der DDR erworbenen Abschlüssen</w:t>
      </w:r>
      <w:bookmarkEnd w:id="97"/>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tabs>
          <w:tab w:val="left" w:pos="1701"/>
        </w:tabs>
        <w:jc w:val="both"/>
        <w:rPr>
          <w:rFonts w:cs="Arial"/>
          <w:szCs w:val="16"/>
        </w:rPr>
      </w:pPr>
      <w:r>
        <w:rPr>
          <w:rFonts w:cs="Arial"/>
          <w:szCs w:val="16"/>
        </w:rPr>
        <w:t>(1) </w:t>
      </w:r>
      <w:r w:rsidRPr="00E91516">
        <w:rPr>
          <w:rFonts w:cs="Arial"/>
          <w:sz w:val="12"/>
          <w:szCs w:val="12"/>
        </w:rPr>
        <w:t>1</w:t>
      </w:r>
      <w:r w:rsidRPr="00093DCD">
        <w:rPr>
          <w:rFonts w:cs="Arial"/>
          <w:szCs w:val="16"/>
        </w:rPr>
        <w:t xml:space="preserve">Aufgrund des </w:t>
      </w:r>
      <w:hyperlink r:id="rId283" w:history="1">
        <w:r w:rsidRPr="00BD4463">
          <w:rPr>
            <w:rStyle w:val="Hyperlink"/>
            <w:rFonts w:cs="Arial"/>
            <w:szCs w:val="16"/>
          </w:rPr>
          <w:t>Artikels 37 des Einigungsvertrages</w:t>
        </w:r>
      </w:hyperlink>
      <w:r w:rsidRPr="00093DCD">
        <w:rPr>
          <w:rFonts w:cs="Arial"/>
          <w:szCs w:val="16"/>
        </w:rPr>
        <w:t xml:space="preserve"> und der Vorschriften hierzu als gleichwertig festgestellte Abschlüsse, Prüfungen und Befähigungsnachweise stehen ab dem Zeitpunkt ihres Erwerbs den in den Tätigkeitsmerkmalen geforderten entsprechenden Anforderungen gleich. </w:t>
      </w:r>
      <w:r w:rsidRPr="00E91516">
        <w:rPr>
          <w:rFonts w:cs="Arial"/>
          <w:sz w:val="12"/>
          <w:szCs w:val="12"/>
        </w:rPr>
        <w:t>2</w:t>
      </w:r>
      <w:r w:rsidRPr="00093DCD">
        <w:rPr>
          <w:rFonts w:cs="Arial"/>
          <w:szCs w:val="16"/>
        </w:rPr>
        <w:t>Ist die Gleichwertigkeit erst nach Erfüllung zusätzlicher Erfordernisse festgestellt worden, gilt die Gleichstellung ab der Feststellung.</w:t>
      </w:r>
    </w:p>
    <w:p w:rsidR="00BE1EFE" w:rsidRPr="00093DCD" w:rsidRDefault="00BE1EFE" w:rsidP="001D298D">
      <w:pPr>
        <w:widowControl w:val="0"/>
        <w:jc w:val="both"/>
        <w:rPr>
          <w:rFonts w:cs="Arial"/>
          <w:szCs w:val="16"/>
        </w:rPr>
      </w:pPr>
    </w:p>
    <w:p w:rsidR="00BE1EFE" w:rsidRPr="007B08F0" w:rsidRDefault="00BE1EFE" w:rsidP="007B08F0">
      <w:pPr>
        <w:widowControl w:val="0"/>
        <w:tabs>
          <w:tab w:val="left" w:pos="1701"/>
        </w:tabs>
        <w:jc w:val="both"/>
        <w:rPr>
          <w:rFonts w:cs="Arial"/>
          <w:szCs w:val="16"/>
        </w:rPr>
      </w:pPr>
      <w:r>
        <w:rPr>
          <w:rFonts w:cs="Arial"/>
          <w:szCs w:val="16"/>
        </w:rPr>
        <w:t>(2) </w:t>
      </w:r>
      <w:r w:rsidRPr="00093DCD">
        <w:rPr>
          <w:rFonts w:cs="Arial"/>
          <w:szCs w:val="16"/>
        </w:rPr>
        <w:t>Facharbeiterinnen und Facharbeiter mit einem im Beitrittsgebiet erworbenen Facharbeiter</w:t>
      </w:r>
      <w:r>
        <w:rPr>
          <w:rFonts w:cs="Arial"/>
          <w:szCs w:val="16"/>
        </w:rPr>
        <w:softHyphen/>
      </w:r>
      <w:r w:rsidRPr="00093DCD">
        <w:rPr>
          <w:rFonts w:cs="Arial"/>
          <w:szCs w:val="16"/>
        </w:rPr>
        <w:t xml:space="preserve">zeugnis, das nach </w:t>
      </w:r>
      <w:hyperlink r:id="rId284" w:history="1">
        <w:r w:rsidRPr="00BD4463">
          <w:rPr>
            <w:rStyle w:val="Hyperlink"/>
            <w:rFonts w:cs="Arial"/>
            <w:szCs w:val="16"/>
          </w:rPr>
          <w:t>Artikel 37 des Einigungsvertrages</w:t>
        </w:r>
      </w:hyperlink>
      <w:r w:rsidRPr="00093DCD">
        <w:rPr>
          <w:rFonts w:cs="Arial"/>
          <w:szCs w:val="16"/>
        </w:rPr>
        <w:t xml:space="preserve"> und der Vorschriften hierzu dem Prüfungszeugnis in einem anerkannten Ausbildungsberuf mit einer Ausbildungsdauer von mindestens drei Jahren bzw. mit einer kürzeren Ausbildungsdauer gleichgestellt ist, werden bei entsprechender Tätigkeit wie Beschäftigte mit erfolgreich abgeschlossener Ausbildung in einem solchen Ausb</w:t>
      </w:r>
      <w:r>
        <w:rPr>
          <w:rFonts w:cs="Arial"/>
          <w:szCs w:val="16"/>
        </w:rPr>
        <w:t>ildungsberuf eingruppiert.</w:t>
      </w:r>
    </w:p>
    <w:p w:rsidR="00BE1EFE" w:rsidRPr="00A4541B" w:rsidRDefault="00BE1EFE" w:rsidP="00A4541B">
      <w:pPr>
        <w:pStyle w:val="berschrift6"/>
        <w:rPr>
          <w:lang w:eastAsia="x-none"/>
        </w:rPr>
      </w:pPr>
      <w:bookmarkStart w:id="98" w:name="_Toc523925769"/>
      <w:r>
        <w:rPr>
          <w:u w:color="000000"/>
        </w:rPr>
        <w:t xml:space="preserve">7. </w:t>
      </w:r>
      <w:r w:rsidRPr="00093DCD">
        <w:rPr>
          <w:u w:color="000000"/>
        </w:rPr>
        <w:t>Ausbildungs- und Prüfpflicht</w:t>
      </w:r>
      <w:r w:rsidR="00694224">
        <w:rPr>
          <w:u w:color="000000"/>
        </w:rPr>
        <w:t xml:space="preserve"> </w:t>
      </w:r>
      <w:r w:rsidR="00694224" w:rsidRPr="00694224">
        <w:rPr>
          <w:b w:val="0"/>
          <w:i/>
          <w:u w:color="000000"/>
        </w:rPr>
        <w:t>(frei)</w:t>
      </w:r>
      <w:bookmarkEnd w:id="98"/>
    </w:p>
    <w:p w:rsidR="00BE1EFE" w:rsidRPr="00B76821" w:rsidRDefault="00BE1EFE" w:rsidP="00B76821">
      <w:pPr>
        <w:pStyle w:val="h7"/>
        <w:keepNext w:val="0"/>
        <w:spacing w:before="0" w:after="0"/>
        <w:jc w:val="left"/>
        <w:outlineLvl w:val="5"/>
        <w:rPr>
          <w:sz w:val="2"/>
        </w:rPr>
      </w:pPr>
    </w:p>
    <w:p w:rsidR="00BE1EFE" w:rsidRPr="00A4541B" w:rsidRDefault="00BE1EFE" w:rsidP="00A4541B">
      <w:pPr>
        <w:pStyle w:val="berschrift6"/>
      </w:pPr>
      <w:bookmarkStart w:id="99" w:name="_Toc523925770"/>
      <w:r>
        <w:rPr>
          <w:u w:color="000000"/>
        </w:rPr>
        <w:t xml:space="preserve">8. </w:t>
      </w:r>
      <w:r w:rsidRPr="00093DCD">
        <w:rPr>
          <w:u w:color="000000"/>
        </w:rPr>
        <w:t>Geltungsausschluss für Lehrkräfte</w:t>
      </w:r>
      <w:bookmarkEnd w:id="99"/>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jc w:val="both"/>
        <w:rPr>
          <w:rFonts w:cs="Arial"/>
          <w:szCs w:val="16"/>
        </w:rPr>
      </w:pPr>
      <w:r w:rsidRPr="00093DCD">
        <w:rPr>
          <w:rFonts w:cs="Arial"/>
          <w:szCs w:val="16"/>
        </w:rPr>
        <w:t>Die Tätigkeitsmerkmale unter nachfolgend 2.2. Allgemeiner Teil und 2.3. Zusätzliche Tätig</w:t>
      </w:r>
      <w:r>
        <w:rPr>
          <w:rFonts w:cs="Arial"/>
          <w:szCs w:val="16"/>
        </w:rPr>
        <w:softHyphen/>
      </w:r>
      <w:r w:rsidRPr="00093DCD">
        <w:rPr>
          <w:rFonts w:cs="Arial"/>
          <w:szCs w:val="16"/>
        </w:rPr>
        <w:t>keitsmerkmale für bestimmte Angestelltengruppen gelten nicht für Angestellte, die als Lehrkräfte an Schulen in kirchlicher Trägerschaft beschäftigt sind, soweit nicht ein besonderes Tätigkeitsmerkmal vereinbart ist.</w:t>
      </w:r>
    </w:p>
    <w:p w:rsidR="00BE1EFE" w:rsidRPr="00A4541B" w:rsidRDefault="00BE1EFE" w:rsidP="00A4541B">
      <w:pPr>
        <w:pStyle w:val="berschrift6"/>
        <w:rPr>
          <w:lang w:eastAsia="x-none"/>
        </w:rPr>
      </w:pPr>
      <w:bookmarkStart w:id="100" w:name="_Toc523925771"/>
      <w:r>
        <w:rPr>
          <w:u w:color="000000"/>
        </w:rPr>
        <w:t xml:space="preserve">9. </w:t>
      </w:r>
      <w:r w:rsidRPr="00093DCD">
        <w:rPr>
          <w:u w:color="000000"/>
        </w:rPr>
        <w:t>Unterstellungsverhältnisse</w:t>
      </w:r>
      <w:bookmarkEnd w:id="100"/>
    </w:p>
    <w:p w:rsidR="00BE1EFE" w:rsidRPr="00B76821" w:rsidRDefault="00BE1EFE" w:rsidP="00B76821">
      <w:pPr>
        <w:pStyle w:val="h7"/>
        <w:keepNext w:val="0"/>
        <w:spacing w:before="0" w:after="0"/>
        <w:jc w:val="left"/>
        <w:outlineLvl w:val="5"/>
        <w:rPr>
          <w:sz w:val="2"/>
        </w:rPr>
      </w:pPr>
    </w:p>
    <w:p w:rsidR="00BE1EFE" w:rsidRDefault="00BE1EFE" w:rsidP="001D298D">
      <w:pPr>
        <w:widowControl w:val="0"/>
        <w:ind w:right="54"/>
        <w:jc w:val="both"/>
        <w:rPr>
          <w:rFonts w:cs="Arial"/>
          <w:szCs w:val="16"/>
        </w:rPr>
      </w:pPr>
      <w:r w:rsidRPr="00E91516">
        <w:rPr>
          <w:rFonts w:cs="Arial"/>
          <w:sz w:val="12"/>
          <w:szCs w:val="12"/>
        </w:rPr>
        <w:t>1</w:t>
      </w:r>
      <w:r w:rsidRPr="00093DCD">
        <w:rPr>
          <w:rFonts w:cs="Arial"/>
          <w:szCs w:val="16"/>
        </w:rPr>
        <w:t xml:space="preserve">Soweit die Eingruppierung von der Zahl der unterstellten oder in der Regel unterstellten Beschäftigten abhängig ist, rechnen hierzu auch Beamtinnen und Beamte der vergleichbaren Besoldungsgruppen. </w:t>
      </w:r>
      <w:r w:rsidRPr="00E91516">
        <w:rPr>
          <w:rFonts w:cs="Arial"/>
          <w:sz w:val="12"/>
          <w:szCs w:val="12"/>
        </w:rPr>
        <w:t>2</w:t>
      </w:r>
      <w:r w:rsidRPr="00093DCD">
        <w:rPr>
          <w:rFonts w:cs="Arial"/>
          <w:szCs w:val="16"/>
        </w:rPr>
        <w:t xml:space="preserve">Für </w:t>
      </w:r>
      <w:proofErr w:type="gramStart"/>
      <w:r w:rsidRPr="00093DCD">
        <w:rPr>
          <w:rFonts w:cs="Arial"/>
          <w:szCs w:val="16"/>
        </w:rPr>
        <w:t>diesen</w:t>
      </w:r>
      <w:proofErr w:type="gramEnd"/>
      <w:r w:rsidRPr="00093DCD">
        <w:rPr>
          <w:rFonts w:cs="Arial"/>
          <w:szCs w:val="16"/>
        </w:rPr>
        <w:t xml:space="preserve"> Zweck ist vergleichbar:</w:t>
      </w:r>
    </w:p>
    <w:p w:rsidR="00BE1EFE" w:rsidRPr="00093DCD" w:rsidRDefault="00BE1EFE" w:rsidP="001D298D">
      <w:pPr>
        <w:widowControl w:val="0"/>
        <w:ind w:right="54"/>
        <w:jc w:val="both"/>
        <w:rPr>
          <w:rFonts w:cs="Arial"/>
          <w:szCs w:val="16"/>
        </w:rPr>
      </w:pPr>
    </w:p>
    <w:tbl>
      <w:tblPr>
        <w:tblW w:w="0" w:type="auto"/>
        <w:tblInd w:w="1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100"/>
        <w:gridCol w:w="1456"/>
      </w:tblGrid>
      <w:tr w:rsidR="00BE1EFE" w:rsidRPr="00093DCD" w:rsidTr="00E87479">
        <w:trPr>
          <w:trHeight w:hRule="exact" w:val="730"/>
        </w:trPr>
        <w:tc>
          <w:tcPr>
            <w:tcW w:w="0" w:type="auto"/>
            <w:tcMar>
              <w:left w:w="85" w:type="dxa"/>
              <w:right w:w="85" w:type="dxa"/>
            </w:tcMar>
            <w:vAlign w:val="center"/>
            <w:hideMark/>
          </w:tcPr>
          <w:p w:rsidR="00BE1EFE" w:rsidRPr="00093DCD" w:rsidRDefault="00BE1EFE" w:rsidP="00394846">
            <w:pPr>
              <w:widowControl w:val="0"/>
              <w:ind w:left="41"/>
              <w:jc w:val="center"/>
              <w:rPr>
                <w:rFonts w:cs="Arial"/>
                <w:szCs w:val="16"/>
              </w:rPr>
            </w:pPr>
            <w:r w:rsidRPr="00093DCD">
              <w:rPr>
                <w:rFonts w:cs="Arial"/>
                <w:b/>
                <w:bCs/>
                <w:szCs w:val="16"/>
              </w:rPr>
              <w:t>der Entgelt-</w:t>
            </w:r>
          </w:p>
          <w:p w:rsidR="00BE1EFE" w:rsidRPr="00093DCD" w:rsidRDefault="00BE1EFE" w:rsidP="00394846">
            <w:pPr>
              <w:widowControl w:val="0"/>
              <w:ind w:left="41"/>
              <w:jc w:val="center"/>
              <w:rPr>
                <w:rFonts w:cs="Arial"/>
                <w:szCs w:val="16"/>
              </w:rPr>
            </w:pPr>
            <w:r w:rsidRPr="00093DCD">
              <w:rPr>
                <w:rFonts w:cs="Arial"/>
                <w:b/>
                <w:bCs/>
                <w:szCs w:val="16"/>
              </w:rPr>
              <w:t>gruppe</w:t>
            </w:r>
          </w:p>
        </w:tc>
        <w:tc>
          <w:tcPr>
            <w:tcW w:w="0" w:type="auto"/>
            <w:tcMar>
              <w:left w:w="85" w:type="dxa"/>
              <w:right w:w="85" w:type="dxa"/>
            </w:tcMar>
            <w:vAlign w:val="center"/>
            <w:hideMark/>
          </w:tcPr>
          <w:p w:rsidR="00BE1EFE" w:rsidRPr="00093DCD" w:rsidRDefault="00BE1EFE" w:rsidP="00394846">
            <w:pPr>
              <w:widowControl w:val="0"/>
              <w:ind w:left="41"/>
              <w:jc w:val="center"/>
              <w:rPr>
                <w:rFonts w:cs="Arial"/>
                <w:szCs w:val="16"/>
              </w:rPr>
            </w:pPr>
            <w:r w:rsidRPr="00093DCD">
              <w:rPr>
                <w:rFonts w:cs="Arial"/>
                <w:b/>
                <w:bCs/>
                <w:szCs w:val="16"/>
              </w:rPr>
              <w:t>die Besoldungs-</w:t>
            </w:r>
          </w:p>
          <w:p w:rsidR="00BE1EFE" w:rsidRPr="00093DCD" w:rsidRDefault="00BE1EFE" w:rsidP="00394846">
            <w:pPr>
              <w:widowControl w:val="0"/>
              <w:ind w:left="41"/>
              <w:jc w:val="center"/>
              <w:rPr>
                <w:rFonts w:cs="Arial"/>
                <w:szCs w:val="16"/>
              </w:rPr>
            </w:pPr>
            <w:r w:rsidRPr="00093DCD">
              <w:rPr>
                <w:rFonts w:cs="Arial"/>
                <w:b/>
                <w:bCs/>
                <w:szCs w:val="16"/>
              </w:rPr>
              <w:t>gruppe</w:t>
            </w:r>
          </w:p>
        </w:tc>
      </w:tr>
      <w:tr w:rsidR="00BE1EFE" w:rsidRPr="00093DCD" w:rsidTr="00E87479">
        <w:trPr>
          <w:trHeight w:hRule="exact" w:val="370"/>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2</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2</w:t>
            </w:r>
          </w:p>
        </w:tc>
      </w:tr>
      <w:tr w:rsidR="00BE1EFE" w:rsidRPr="00093DCD" w:rsidTr="00E87479">
        <w:trPr>
          <w:trHeight w:hRule="exact" w:val="371"/>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3</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3</w:t>
            </w:r>
          </w:p>
        </w:tc>
      </w:tr>
      <w:tr w:rsidR="00BE1EFE" w:rsidRPr="00093DCD" w:rsidTr="00E87479">
        <w:trPr>
          <w:trHeight w:hRule="exact" w:val="370"/>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4</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4</w:t>
            </w:r>
          </w:p>
        </w:tc>
      </w:tr>
      <w:tr w:rsidR="00BE1EFE" w:rsidRPr="00093DCD" w:rsidTr="00E87479">
        <w:trPr>
          <w:trHeight w:hRule="exact" w:val="370"/>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5</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5</w:t>
            </w:r>
          </w:p>
        </w:tc>
      </w:tr>
      <w:tr w:rsidR="00BE1EFE" w:rsidRPr="00093DCD" w:rsidTr="00E87479">
        <w:trPr>
          <w:trHeight w:hRule="exact" w:val="371"/>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6</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6</w:t>
            </w:r>
          </w:p>
        </w:tc>
      </w:tr>
      <w:tr w:rsidR="00BE1EFE" w:rsidRPr="00093DCD" w:rsidTr="00E87479">
        <w:trPr>
          <w:trHeight w:hRule="exact" w:val="370"/>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7</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7</w:t>
            </w:r>
          </w:p>
        </w:tc>
      </w:tr>
      <w:tr w:rsidR="00BE1EFE" w:rsidRPr="00093DCD" w:rsidTr="00E87479">
        <w:trPr>
          <w:trHeight w:hRule="exact" w:val="370"/>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8</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8</w:t>
            </w:r>
          </w:p>
        </w:tc>
      </w:tr>
      <w:tr w:rsidR="00BE1EFE" w:rsidRPr="00093DCD" w:rsidTr="00E87479">
        <w:trPr>
          <w:trHeight w:hRule="exact" w:val="371"/>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lastRenderedPageBreak/>
              <w:t>9a, 9b, 9c</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9</w:t>
            </w:r>
          </w:p>
        </w:tc>
      </w:tr>
      <w:tr w:rsidR="00BE1EFE" w:rsidRPr="00093DCD" w:rsidTr="00E87479">
        <w:trPr>
          <w:trHeight w:hRule="exact" w:val="370"/>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10</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10</w:t>
            </w:r>
          </w:p>
        </w:tc>
      </w:tr>
      <w:tr w:rsidR="00BE1EFE" w:rsidRPr="00093DCD" w:rsidTr="00E87479">
        <w:trPr>
          <w:trHeight w:hRule="exact" w:val="371"/>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11</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11</w:t>
            </w:r>
          </w:p>
        </w:tc>
      </w:tr>
      <w:tr w:rsidR="00BE1EFE" w:rsidRPr="00093DCD" w:rsidTr="00E87479">
        <w:trPr>
          <w:trHeight w:hRule="exact" w:val="370"/>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12</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12</w:t>
            </w:r>
          </w:p>
        </w:tc>
      </w:tr>
      <w:tr w:rsidR="00BE1EFE" w:rsidRPr="00093DCD" w:rsidTr="00E87479">
        <w:trPr>
          <w:trHeight w:hRule="exact" w:val="370"/>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13</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13</w:t>
            </w:r>
          </w:p>
        </w:tc>
      </w:tr>
      <w:tr w:rsidR="00BE1EFE" w:rsidRPr="00093DCD" w:rsidTr="00E87479">
        <w:trPr>
          <w:trHeight w:hRule="exact" w:val="371"/>
        </w:trPr>
        <w:tc>
          <w:tcPr>
            <w:tcW w:w="0" w:type="auto"/>
            <w:tcMar>
              <w:left w:w="85" w:type="dxa"/>
              <w:right w:w="85" w:type="dxa"/>
            </w:tcMar>
            <w:vAlign w:val="center"/>
            <w:hideMark/>
          </w:tcPr>
          <w:p w:rsidR="00BE1EFE" w:rsidRPr="00E87479" w:rsidRDefault="00BE1EFE" w:rsidP="00394846">
            <w:pPr>
              <w:widowControl w:val="0"/>
              <w:ind w:left="41"/>
              <w:jc w:val="center"/>
              <w:rPr>
                <w:rFonts w:cs="Arial"/>
                <w:b/>
                <w:szCs w:val="16"/>
              </w:rPr>
            </w:pPr>
            <w:r w:rsidRPr="00E87479">
              <w:rPr>
                <w:rFonts w:cs="Arial"/>
                <w:b/>
                <w:szCs w:val="16"/>
              </w:rPr>
              <w:t>14</w:t>
            </w:r>
          </w:p>
        </w:tc>
        <w:tc>
          <w:tcPr>
            <w:tcW w:w="0" w:type="auto"/>
            <w:vAlign w:val="center"/>
            <w:hideMark/>
          </w:tcPr>
          <w:p w:rsidR="00BE1EFE" w:rsidRPr="00E87479" w:rsidRDefault="00BE1EFE" w:rsidP="00394846">
            <w:pPr>
              <w:widowControl w:val="0"/>
              <w:ind w:left="41"/>
              <w:jc w:val="center"/>
              <w:rPr>
                <w:rFonts w:cs="Arial"/>
                <w:b/>
                <w:szCs w:val="16"/>
              </w:rPr>
            </w:pPr>
            <w:r w:rsidRPr="00E87479">
              <w:rPr>
                <w:rFonts w:cs="Arial"/>
                <w:b/>
                <w:szCs w:val="16"/>
              </w:rPr>
              <w:t>A 14</w:t>
            </w:r>
          </w:p>
        </w:tc>
      </w:tr>
      <w:tr w:rsidR="00BE1EFE" w:rsidRPr="00093DCD" w:rsidTr="00E87479">
        <w:trPr>
          <w:trHeight w:hRule="exact" w:val="371"/>
        </w:trPr>
        <w:tc>
          <w:tcPr>
            <w:tcW w:w="0" w:type="auto"/>
            <w:tcMar>
              <w:left w:w="85" w:type="dxa"/>
              <w:right w:w="85" w:type="dxa"/>
            </w:tcMar>
            <w:vAlign w:val="center"/>
          </w:tcPr>
          <w:p w:rsidR="00BE1EFE" w:rsidRPr="00E87479" w:rsidRDefault="00BE1EFE" w:rsidP="00394846">
            <w:pPr>
              <w:widowControl w:val="0"/>
              <w:ind w:left="41"/>
              <w:jc w:val="center"/>
              <w:rPr>
                <w:rFonts w:cs="Arial"/>
                <w:b/>
                <w:szCs w:val="16"/>
              </w:rPr>
            </w:pPr>
            <w:r w:rsidRPr="00E87479">
              <w:rPr>
                <w:rFonts w:cs="Arial"/>
                <w:b/>
                <w:szCs w:val="16"/>
              </w:rPr>
              <w:t>15</w:t>
            </w:r>
          </w:p>
        </w:tc>
        <w:tc>
          <w:tcPr>
            <w:tcW w:w="0" w:type="auto"/>
            <w:vAlign w:val="center"/>
          </w:tcPr>
          <w:p w:rsidR="00BE1EFE" w:rsidRPr="00E87479" w:rsidRDefault="00BE1EFE" w:rsidP="00394846">
            <w:pPr>
              <w:widowControl w:val="0"/>
              <w:ind w:left="41"/>
              <w:jc w:val="center"/>
              <w:rPr>
                <w:rFonts w:cs="Arial"/>
                <w:b/>
                <w:szCs w:val="16"/>
              </w:rPr>
            </w:pPr>
            <w:r w:rsidRPr="00E87479">
              <w:rPr>
                <w:rFonts w:cs="Arial"/>
                <w:b/>
                <w:szCs w:val="16"/>
              </w:rPr>
              <w:t>A 15</w:t>
            </w:r>
          </w:p>
        </w:tc>
      </w:tr>
    </w:tbl>
    <w:p w:rsidR="00BE1EFE" w:rsidRPr="00093DCD" w:rsidRDefault="00BE1EFE" w:rsidP="001D298D">
      <w:pPr>
        <w:widowControl w:val="0"/>
        <w:jc w:val="both"/>
        <w:rPr>
          <w:rFonts w:cs="Arial"/>
          <w:szCs w:val="16"/>
        </w:rPr>
      </w:pPr>
    </w:p>
    <w:p w:rsidR="00BE1EFE" w:rsidRPr="00093DCD" w:rsidRDefault="00BE1EFE" w:rsidP="001D298D">
      <w:pPr>
        <w:widowControl w:val="0"/>
        <w:ind w:right="54"/>
        <w:jc w:val="both"/>
        <w:rPr>
          <w:rFonts w:cs="Arial"/>
          <w:szCs w:val="16"/>
        </w:rPr>
      </w:pPr>
      <w:r w:rsidRPr="00E91516">
        <w:rPr>
          <w:rFonts w:cs="Arial"/>
          <w:sz w:val="12"/>
          <w:szCs w:val="12"/>
        </w:rPr>
        <w:t>3</w:t>
      </w:r>
      <w:r w:rsidRPr="00093DCD">
        <w:rPr>
          <w:rFonts w:cs="Arial"/>
          <w:szCs w:val="16"/>
        </w:rPr>
        <w:t xml:space="preserve">Bei der Zahl der unterstellten oder in der Regel unterstellten bzw. beaufsichtigten oder der in dem betreffenden Bereich beschäftigten Personen zählen Teilzeitbeschäftigte entsprechend dem Verhältnis der mit ihnen im Arbeitsvertrag vereinbarten Arbeitszeit zur regelmäßigen Arbeitszeit einer/eines Vollzeitbeschäftigten. </w:t>
      </w:r>
      <w:r w:rsidRPr="00E91516">
        <w:rPr>
          <w:rFonts w:cs="Arial"/>
          <w:sz w:val="12"/>
          <w:szCs w:val="12"/>
        </w:rPr>
        <w:t>4</w:t>
      </w:r>
      <w:r w:rsidRPr="00093DCD">
        <w:rPr>
          <w:rFonts w:cs="Arial"/>
          <w:szCs w:val="16"/>
        </w:rPr>
        <w:t>Für die Eingruppierung ist es unschädlich, wenn im Organisations- und Stellenplan zur Besetzung ausgewiesene Stellen n</w:t>
      </w:r>
      <w:r>
        <w:rPr>
          <w:rFonts w:cs="Arial"/>
          <w:szCs w:val="16"/>
        </w:rPr>
        <w:t>icht besetzt sind.</w:t>
      </w:r>
    </w:p>
    <w:p w:rsidR="00BE1EFE" w:rsidRPr="00A4541B" w:rsidRDefault="00BE1EFE" w:rsidP="00A4541B">
      <w:pPr>
        <w:pStyle w:val="berschrift6"/>
        <w:rPr>
          <w:lang w:eastAsia="x-none"/>
        </w:rPr>
      </w:pPr>
      <w:bookmarkStart w:id="101" w:name="_Toc523925772"/>
      <w:r>
        <w:rPr>
          <w:u w:color="000000"/>
        </w:rPr>
        <w:t xml:space="preserve">10. </w:t>
      </w:r>
      <w:r w:rsidRPr="00093DCD">
        <w:rPr>
          <w:u w:color="000000"/>
        </w:rPr>
        <w:t>Ständige Vertreterinnen und Vertreter</w:t>
      </w:r>
      <w:bookmarkEnd w:id="101"/>
    </w:p>
    <w:p w:rsidR="00BE1EFE" w:rsidRPr="00B76821" w:rsidRDefault="00BE1EFE" w:rsidP="00B76821">
      <w:pPr>
        <w:pStyle w:val="h7"/>
        <w:keepNext w:val="0"/>
        <w:spacing w:before="0" w:after="0"/>
        <w:jc w:val="left"/>
        <w:outlineLvl w:val="5"/>
        <w:rPr>
          <w:sz w:val="2"/>
        </w:rPr>
      </w:pPr>
    </w:p>
    <w:p w:rsidR="00BE1EFE" w:rsidRPr="00093DCD" w:rsidRDefault="00BE1EFE" w:rsidP="001D298D">
      <w:pPr>
        <w:widowControl w:val="0"/>
        <w:ind w:right="54"/>
        <w:jc w:val="both"/>
        <w:rPr>
          <w:rFonts w:cs="Arial"/>
          <w:szCs w:val="16"/>
        </w:rPr>
      </w:pPr>
      <w:r w:rsidRPr="00093DCD">
        <w:rPr>
          <w:rFonts w:cs="Arial"/>
          <w:szCs w:val="16"/>
        </w:rPr>
        <w:t>Ständige Vertreterinnen und Vertreter sind nicht die Vertreterinnen und Vertreter in Urlaubs- und sonstigen Abwesenheitsfällen</w:t>
      </w:r>
      <w:r>
        <w:rPr>
          <w:rFonts w:cs="Arial"/>
          <w:szCs w:val="16"/>
        </w:rPr>
        <w:t>.</w:t>
      </w:r>
    </w:p>
    <w:p w:rsidR="00BE1EFE" w:rsidRPr="00D45060" w:rsidRDefault="00BE1EFE" w:rsidP="005311ED">
      <w:pPr>
        <w:pStyle w:val="StandardWeb"/>
        <w:rPr>
          <w:sz w:val="2"/>
          <w:szCs w:val="2"/>
        </w:rPr>
      </w:pPr>
      <w:r>
        <w:br w:type="page"/>
      </w:r>
    </w:p>
    <w:p w:rsidR="00BE1EFE" w:rsidRPr="00DD292D" w:rsidRDefault="00BE1EFE" w:rsidP="00DD292D">
      <w:pPr>
        <w:pStyle w:val="berschrift5"/>
        <w:spacing w:before="0"/>
        <w:rPr>
          <w:lang w:eastAsia="x-none"/>
        </w:rPr>
      </w:pPr>
      <w:bookmarkStart w:id="102" w:name="_Toc523925773"/>
      <w:r>
        <w:lastRenderedPageBreak/>
        <w:t>A, 2.2. Allgemeine</w:t>
      </w:r>
      <w:r>
        <w:rPr>
          <w:lang w:eastAsia="x-none"/>
        </w:rPr>
        <w:t>r</w:t>
      </w:r>
      <w:r>
        <w:t xml:space="preserve"> Teil</w:t>
      </w:r>
      <w:bookmarkEnd w:id="102"/>
    </w:p>
    <w:p w:rsidR="00BE1EFE" w:rsidRPr="00B76821" w:rsidRDefault="00BE1EFE" w:rsidP="00B76821">
      <w:pPr>
        <w:pStyle w:val="h8"/>
        <w:keepNext w:val="0"/>
        <w:spacing w:before="0" w:after="0"/>
        <w:outlineLvl w:val="5"/>
        <w:rPr>
          <w:sz w:val="2"/>
        </w:rPr>
      </w:pPr>
    </w:p>
    <w:p w:rsidR="00BE1EFE" w:rsidRPr="0015659F" w:rsidRDefault="00BE1EFE" w:rsidP="0015659F">
      <w:pPr>
        <w:pStyle w:val="berschrift6"/>
        <w:rPr>
          <w:lang w:eastAsia="x-none"/>
        </w:rPr>
      </w:pPr>
      <w:bookmarkStart w:id="103" w:name="_Toc523925774"/>
      <w:r>
        <w:t>2.2.1. Allgemeine Tätigkeitsmerkmale</w:t>
      </w:r>
      <w:bookmarkEnd w:id="103"/>
    </w:p>
    <w:p w:rsidR="00BE1EFE" w:rsidRPr="0015659F" w:rsidRDefault="00BE1EFE" w:rsidP="00A4541B">
      <w:pPr>
        <w:pStyle w:val="h7"/>
        <w:jc w:val="left"/>
      </w:pPr>
      <w:bookmarkStart w:id="104" w:name="_Toc523925775"/>
      <w:r w:rsidRPr="0015659F">
        <w:t>1. Entgeltgruppe 1 (einfachste Tätigkeiten)</w:t>
      </w:r>
      <w:bookmarkEnd w:id="104"/>
    </w:p>
    <w:p w:rsidR="00BE1EFE" w:rsidRPr="0015659F" w:rsidRDefault="00BE1EFE" w:rsidP="00A4541B">
      <w:pPr>
        <w:pStyle w:val="h8"/>
      </w:pPr>
      <w:bookmarkStart w:id="105" w:name="_Toc523925776"/>
      <w:r>
        <w:t>Entgeltgruppe 1</w:t>
      </w:r>
      <w:bookmarkEnd w:id="105"/>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einfachsten Tätigkeiten, zum Beispiel</w:t>
      </w:r>
    </w:p>
    <w:p w:rsidR="00BE1EFE" w:rsidRDefault="00BE1EFE" w:rsidP="00E91516">
      <w:pPr>
        <w:pStyle w:val="StandardWeb"/>
      </w:pPr>
    </w:p>
    <w:p w:rsidR="00BE1EFE" w:rsidRDefault="00BE1EFE" w:rsidP="00E91516">
      <w:pPr>
        <w:pStyle w:val="StandardWeb"/>
      </w:pPr>
      <w:r>
        <w:t>– Essens- und Getränkeausgeberinnen/-ausgeber,</w:t>
      </w:r>
    </w:p>
    <w:p w:rsidR="00BE1EFE" w:rsidRDefault="00BE1EFE" w:rsidP="00E91516">
      <w:pPr>
        <w:pStyle w:val="StandardWeb"/>
      </w:pPr>
      <w:r>
        <w:t>– Garderobenpersonal,</w:t>
      </w:r>
    </w:p>
    <w:p w:rsidR="00BE1EFE" w:rsidRDefault="00BE1EFE" w:rsidP="00E91516">
      <w:pPr>
        <w:pStyle w:val="StandardWeb"/>
      </w:pPr>
      <w:r>
        <w:t>– Spülen und Gemüseputzen und sonstige Tätigkeiten im Haus- und Küchenbereich,</w:t>
      </w:r>
    </w:p>
    <w:p w:rsidR="00BE1EFE" w:rsidRDefault="00BE1EFE" w:rsidP="00E91516">
      <w:pPr>
        <w:pStyle w:val="StandardWeb"/>
      </w:pPr>
      <w:r>
        <w:t>– Reinigerinnen/Reiniger in Außenbereichen wie Höfe, Wege, Grünanlagen, Parks,</w:t>
      </w:r>
    </w:p>
    <w:p w:rsidR="00BE1EFE" w:rsidRDefault="00BE1EFE" w:rsidP="00E91516">
      <w:pPr>
        <w:pStyle w:val="StandardWeb"/>
      </w:pPr>
      <w:r>
        <w:t>– Wärterinnen/Wärter von Bedürfnisanstalten,</w:t>
      </w:r>
    </w:p>
    <w:p w:rsidR="00BE1EFE" w:rsidRDefault="00BE1EFE" w:rsidP="00E91516">
      <w:pPr>
        <w:pStyle w:val="StandardWeb"/>
      </w:pPr>
      <w:r>
        <w:t>– Serviererinnen/Servierer,</w:t>
      </w:r>
    </w:p>
    <w:p w:rsidR="00BE1EFE" w:rsidRDefault="00BE1EFE" w:rsidP="00E91516">
      <w:pPr>
        <w:pStyle w:val="StandardWeb"/>
      </w:pPr>
      <w:r>
        <w:t>– Hausarbeiterinnen/Hausarbeiter,</w:t>
      </w:r>
    </w:p>
    <w:p w:rsidR="00BE1EFE" w:rsidRDefault="00BE1EFE" w:rsidP="00E91516">
      <w:pPr>
        <w:pStyle w:val="StandardWeb"/>
      </w:pPr>
      <w:r>
        <w:t>– Hausgehilfin/Hausgehilfe,</w:t>
      </w:r>
    </w:p>
    <w:p w:rsidR="00BE1EFE" w:rsidRDefault="00BE1EFE" w:rsidP="00E91516">
      <w:pPr>
        <w:pStyle w:val="StandardWeb"/>
      </w:pPr>
      <w:r>
        <w:t>– Botin/Bote (ohne Aufsichtsfunktion).</w:t>
      </w:r>
    </w:p>
    <w:p w:rsidR="00BE1EFE" w:rsidRDefault="00BE1EFE" w:rsidP="00E91516">
      <w:pPr>
        <w:pStyle w:val="StandardWeb"/>
      </w:pPr>
    </w:p>
    <w:p w:rsidR="00BE1EFE" w:rsidRDefault="00BE1EFE" w:rsidP="00E91516">
      <w:pPr>
        <w:pStyle w:val="StandardWeb"/>
      </w:pPr>
      <w:r>
        <w:t>Ergänzungen können durch Beschluss der Kommission für das Arbeitsvertragsrecht der bayerischen Diözesen geregelt werden.</w:t>
      </w:r>
    </w:p>
    <w:p w:rsidR="00BE1EFE" w:rsidRPr="0015659F" w:rsidRDefault="00BE1EFE" w:rsidP="00A4541B">
      <w:pPr>
        <w:pStyle w:val="h7"/>
        <w:jc w:val="left"/>
      </w:pPr>
      <w:bookmarkStart w:id="106" w:name="_Toc523925777"/>
      <w:r w:rsidRPr="0015659F">
        <w:t>2. Entgeltgruppen 2 bis 9a (handwerkliche Tätigkeiten)</w:t>
      </w:r>
      <w:bookmarkEnd w:id="106"/>
    </w:p>
    <w:p w:rsidR="00BE1EFE" w:rsidRPr="006C60ED" w:rsidRDefault="00BE1EFE" w:rsidP="00A4541B">
      <w:pPr>
        <w:pStyle w:val="h8"/>
      </w:pPr>
      <w:bookmarkStart w:id="107" w:name="_Toc523925778"/>
      <w:r w:rsidRPr="006C60ED">
        <w:t>Entgeltgruppe 2</w:t>
      </w:r>
      <w:bookmarkEnd w:id="10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einfachen Tätigkeiten.</w:t>
      </w:r>
    </w:p>
    <w:p w:rsidR="00BE1EFE" w:rsidRDefault="00BE1EFE" w:rsidP="00E91516">
      <w:pPr>
        <w:pStyle w:val="StandardWeb"/>
      </w:pPr>
    </w:p>
    <w:p w:rsidR="00BE1EFE" w:rsidRDefault="00BE1EFE" w:rsidP="00E91516">
      <w:pPr>
        <w:pStyle w:val="StandardWeb"/>
      </w:pPr>
      <w:r>
        <w:t>(</w:t>
      </w:r>
      <w:r w:rsidRPr="001F32AC">
        <w:rPr>
          <w:sz w:val="12"/>
          <w:szCs w:val="12"/>
        </w:rPr>
        <w:t>1</w:t>
      </w:r>
      <w:r>
        <w:t xml:space="preserve">Einfache Tätigkeiten sind Tätigkeiten, die keine Vor- oder Ausbildung, aber eine fachliche Einarbeitung erfordern, die über eine sehr kurze Einweisung oder Anlernphase hinausgeht. </w:t>
      </w:r>
      <w:r w:rsidRPr="001F32AC">
        <w:rPr>
          <w:sz w:val="12"/>
          <w:szCs w:val="12"/>
        </w:rPr>
        <w:t>2</w:t>
      </w:r>
      <w:r>
        <w:t>Einarbeitung dient dem Erwerb derjenigen Kenntnisse und Fertigkeiten, die für die Beherrschung der Arbeitsabläufe als solche erforderlich sind.)</w:t>
      </w:r>
    </w:p>
    <w:p w:rsidR="00BE1EFE" w:rsidRDefault="00BE1EFE" w:rsidP="00767F41">
      <w:pPr>
        <w:pStyle w:val="h8"/>
      </w:pPr>
      <w:bookmarkStart w:id="108" w:name="_Toc523925779"/>
      <w:r w:rsidRPr="006C60ED">
        <w:t>Entgeltgruppe 3</w:t>
      </w:r>
      <w:bookmarkEnd w:id="10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2 heraushebt, dass sie eine eingehende fachliche Einarbeitung erfordert.</w:t>
      </w:r>
    </w:p>
    <w:p w:rsidR="00BE1EFE" w:rsidRDefault="00BE1EFE" w:rsidP="00767F41">
      <w:pPr>
        <w:pStyle w:val="h8"/>
      </w:pPr>
      <w:bookmarkStart w:id="109" w:name="_Toc523925780"/>
      <w:r w:rsidRPr="006C60ED">
        <w:t>Entgeltgruppe 4</w:t>
      </w:r>
      <w:bookmarkEnd w:id="109"/>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erfolgreich abgeschlossener Ausbildung in einem anerkannten Ausbildungsberuf mit einer Ausbildungsdauer von weniger als drei Jahren, die in ihrem oder einem diesem verwandten Beruf beschäftigt werden.</w:t>
      </w:r>
    </w:p>
    <w:p w:rsidR="00BE1EFE" w:rsidRDefault="00BE1EFE" w:rsidP="00E91516">
      <w:pPr>
        <w:pStyle w:val="StandardWeb"/>
      </w:pPr>
    </w:p>
    <w:p w:rsidR="00BE1EFE" w:rsidRDefault="00BE1EFE" w:rsidP="00E91516">
      <w:pPr>
        <w:pStyle w:val="StandardWeb"/>
      </w:pPr>
      <w:r>
        <w:t>2. Beschäftigte mit schwierigen Tätigkeiten.</w:t>
      </w:r>
    </w:p>
    <w:p w:rsidR="00BE1EFE" w:rsidRDefault="00BE1EFE" w:rsidP="00E91516">
      <w:pPr>
        <w:pStyle w:val="StandardWeb"/>
      </w:pPr>
    </w:p>
    <w:p w:rsidR="00BE1EFE" w:rsidRDefault="00BE1EFE" w:rsidP="00E91516">
      <w:pPr>
        <w:pStyle w:val="StandardWeb"/>
      </w:pPr>
      <w:r>
        <w:lastRenderedPageBreak/>
        <w:t>(</w:t>
      </w:r>
      <w:r w:rsidRPr="003D12C3">
        <w:rPr>
          <w:sz w:val="12"/>
          <w:szCs w:val="12"/>
        </w:rPr>
        <w:t>1</w:t>
      </w:r>
      <w:r>
        <w:t xml:space="preserve">Schwierige Tätigkeiten sind Tätigkeiten, die mehr als eine eingehende fachliche Einarbeitung im Sinne der Entgeltgruppe 3 erfordern. </w:t>
      </w:r>
      <w:r w:rsidRPr="003D12C3">
        <w:rPr>
          <w:sz w:val="12"/>
          <w:szCs w:val="12"/>
        </w:rPr>
        <w:t>2</w:t>
      </w:r>
      <w:r>
        <w:t>Danach müssen Tätigkeiten anfallen, die an das Überlegungsvermögen oder das fachliche Geschick Anforderungen stellen, die über das Maß dessen hinausgehen, was üblicherweise von Beschäftigten der Entgeltgruppe 3 verlangt werden kann.)</w:t>
      </w:r>
    </w:p>
    <w:p w:rsidR="00BE1EFE" w:rsidRDefault="00BE1EFE" w:rsidP="00A4541B">
      <w:pPr>
        <w:pStyle w:val="h8"/>
      </w:pPr>
      <w:bookmarkStart w:id="110" w:name="_Toc523925781"/>
      <w:r w:rsidRPr="006C60ED">
        <w:t>Entgeltgruppe 5</w:t>
      </w:r>
      <w:bookmarkEnd w:id="110"/>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erfolgreich abgeschlossener Ausbildung in einem anerkannten Ausbildungsberuf mit einer Ausbildungsdauer von mindestens drei Jahren, die in ihrem oder einem diesem verwandten Beruf beschäftigt werden.</w:t>
      </w:r>
    </w:p>
    <w:p w:rsidR="00BE1EFE" w:rsidRDefault="00BE1EFE" w:rsidP="00A4541B">
      <w:pPr>
        <w:pStyle w:val="h8"/>
      </w:pPr>
      <w:bookmarkStart w:id="111" w:name="_Toc523925782"/>
      <w:r w:rsidRPr="006C60ED">
        <w:t>Entgeltgruppe 6</w:t>
      </w:r>
      <w:bookmarkEnd w:id="111"/>
    </w:p>
    <w:p w:rsidR="00BE1EFE" w:rsidRPr="00B76821" w:rsidRDefault="00BE1EFE" w:rsidP="00B76821">
      <w:pPr>
        <w:pStyle w:val="h9"/>
        <w:keepNext w:val="0"/>
        <w:spacing w:before="0" w:after="0"/>
        <w:outlineLvl w:val="5"/>
        <w:rPr>
          <w:sz w:val="2"/>
        </w:rPr>
      </w:pPr>
    </w:p>
    <w:p w:rsidR="00BE1EFE" w:rsidRDefault="00BE1EFE" w:rsidP="00E91516">
      <w:pPr>
        <w:pStyle w:val="StandardWeb"/>
      </w:pPr>
      <w:r>
        <w:t xml:space="preserve">Beschäftigte der Entgeltgruppe 5, die hochwertige Arbeiten verrichten. </w:t>
      </w:r>
    </w:p>
    <w:p w:rsidR="00BE1EFE" w:rsidRDefault="00BE1EFE" w:rsidP="00E91516">
      <w:pPr>
        <w:pStyle w:val="StandardWeb"/>
      </w:pPr>
    </w:p>
    <w:p w:rsidR="00BE1EFE" w:rsidRDefault="00BE1EFE" w:rsidP="00E91516">
      <w:pPr>
        <w:pStyle w:val="StandardWeb"/>
      </w:pPr>
      <w:r>
        <w:t>(Hochwertige Arbeiten sind Arbeiten, die an das Überlegungsvermögen und das fachliche Geschick der/des Beschäftigten Anforderungen stellen, die über das Maß dessen hinausgehen, was üblicherweise von Beschäftigten der Entgeltgruppe 5 verlangt werden kann.)</w:t>
      </w:r>
    </w:p>
    <w:p w:rsidR="00BE1EFE" w:rsidRDefault="00BE1EFE" w:rsidP="00A4541B">
      <w:pPr>
        <w:pStyle w:val="h8"/>
      </w:pPr>
      <w:bookmarkStart w:id="112" w:name="_Toc523925783"/>
      <w:r w:rsidRPr="006C60ED">
        <w:t>Entgeltgruppe 7</w:t>
      </w:r>
      <w:bookmarkEnd w:id="112"/>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5, die besonders hochwertige Arbeiten verrichten.</w:t>
      </w:r>
    </w:p>
    <w:p w:rsidR="00BE1EFE" w:rsidRDefault="00BE1EFE" w:rsidP="00E91516">
      <w:pPr>
        <w:pStyle w:val="StandardWeb"/>
      </w:pPr>
    </w:p>
    <w:p w:rsidR="00BE1EFE" w:rsidRDefault="00BE1EFE" w:rsidP="00E91516">
      <w:pPr>
        <w:pStyle w:val="StandardWeb"/>
      </w:pPr>
      <w:r>
        <w:t>(Besonders hochwertige Arbeiten sind Arbeiten, die neben vielseitigem, hochwertigem fachlichen Können besondere Umsicht und Zuverlässigkeit erfordern.)</w:t>
      </w:r>
    </w:p>
    <w:p w:rsidR="00BE1EFE" w:rsidRDefault="00BE1EFE" w:rsidP="00A4541B">
      <w:pPr>
        <w:pStyle w:val="h8"/>
      </w:pPr>
      <w:bookmarkStart w:id="113" w:name="_Toc523925784"/>
      <w:r w:rsidRPr="006C60ED">
        <w:t>Entgeltgruppe 8</w:t>
      </w:r>
      <w:bookmarkEnd w:id="113"/>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5, deren Tätigkeiten in einem Beschluss der Kommission für das Arbeitsvertragsrecht der bayerischen Diözesen abschließend aufgeführt sind.</w:t>
      </w:r>
    </w:p>
    <w:p w:rsidR="00BE1EFE" w:rsidRDefault="00BE1EFE" w:rsidP="00A4541B">
      <w:pPr>
        <w:pStyle w:val="h8"/>
      </w:pPr>
      <w:bookmarkStart w:id="114" w:name="_Toc523925785"/>
      <w:r w:rsidRPr="006C60ED">
        <w:t>Entgeltgruppe 9a</w:t>
      </w:r>
      <w:bookmarkEnd w:id="114"/>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5, deren Tätigkeiten in einem Beschluss der Kommission für das Arbeitsvertragsrecht der bayerischen Diözesen abschließend aufgeführt sind.</w:t>
      </w:r>
    </w:p>
    <w:p w:rsidR="00BE1EFE" w:rsidRPr="00A4541B" w:rsidRDefault="00BE1EFE" w:rsidP="000B7B1F">
      <w:pPr>
        <w:pStyle w:val="h7"/>
        <w:jc w:val="left"/>
      </w:pPr>
      <w:r>
        <w:br w:type="page"/>
      </w:r>
      <w:bookmarkStart w:id="115" w:name="_Toc523925786"/>
      <w:r w:rsidRPr="0015659F">
        <w:lastRenderedPageBreak/>
        <w:t>3. Entgeltgruppen 2 bis 12 (Büro-, Buchhalterei-, sonstiger Innendienst und Außendienst)</w:t>
      </w:r>
      <w:bookmarkEnd w:id="115"/>
    </w:p>
    <w:p w:rsidR="00BE1EFE" w:rsidRPr="003D12C3" w:rsidRDefault="00BE1EFE" w:rsidP="00A4541B">
      <w:pPr>
        <w:pStyle w:val="h8"/>
      </w:pPr>
      <w:bookmarkStart w:id="116" w:name="_Toc523925787"/>
      <w:r w:rsidRPr="003D12C3">
        <w:t>Vorbemerkung</w:t>
      </w:r>
      <w:bookmarkEnd w:id="116"/>
    </w:p>
    <w:p w:rsidR="00BE1EFE" w:rsidRPr="00B76821" w:rsidRDefault="00BE1EFE" w:rsidP="00B76821">
      <w:pPr>
        <w:pStyle w:val="h9"/>
        <w:keepNext w:val="0"/>
        <w:spacing w:before="0" w:after="0"/>
        <w:outlineLvl w:val="5"/>
        <w:rPr>
          <w:sz w:val="2"/>
        </w:rPr>
      </w:pPr>
    </w:p>
    <w:p w:rsidR="00BE1EFE" w:rsidRPr="00205DEC" w:rsidRDefault="00BE1EFE" w:rsidP="0015659F">
      <w:pPr>
        <w:pStyle w:val="StandardWeb"/>
      </w:pPr>
      <w:r>
        <w:t>Buchhaltereidienst bezieht sich nur auf Tätigkeiten von Beschäftigten, die mit kaufmännischer Buchführung beschäftigt sind.</w:t>
      </w:r>
    </w:p>
    <w:p w:rsidR="00BE1EFE" w:rsidRDefault="00BE1EFE" w:rsidP="00A4541B">
      <w:pPr>
        <w:pStyle w:val="h8"/>
      </w:pPr>
      <w:bookmarkStart w:id="117" w:name="_Toc523925788"/>
      <w:r w:rsidRPr="006C60ED">
        <w:t>Entgeltgruppe 2</w:t>
      </w:r>
      <w:bookmarkEnd w:id="11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mit einfachen Tätigkeiten.</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Einfache Tätigkeiten sind Tätigkeiten, die keine Vor- oder Ausbildung, aber eine fachliche Einarbeitung erfordern, die über eine sehr kurze Einweisung oder Anlernphase hinausgeht. </w:t>
      </w:r>
      <w:r w:rsidRPr="003D12C3">
        <w:rPr>
          <w:sz w:val="12"/>
          <w:szCs w:val="12"/>
        </w:rPr>
        <w:t>2</w:t>
      </w:r>
      <w:r>
        <w:t>Einarbeitung dient dem Erwerb derjenigen Kenntnisse und Fertigkeiten, die für die Beherrschung der Arbeitsabläufe als solche erforderlich sind.)</w:t>
      </w:r>
    </w:p>
    <w:p w:rsidR="00BE1EFE" w:rsidRDefault="00BE1EFE" w:rsidP="00A4541B">
      <w:pPr>
        <w:pStyle w:val="h8"/>
      </w:pPr>
      <w:bookmarkStart w:id="118" w:name="_Toc523925789"/>
      <w:r w:rsidRPr="006C60ED">
        <w:t>Entgeltgruppe 3</w:t>
      </w:r>
      <w:bookmarkEnd w:id="11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2 heraushebt, dass sie eine eingehende fachliche Einarbeitung erfordert.</w:t>
      </w:r>
    </w:p>
    <w:p w:rsidR="00BE1EFE" w:rsidRDefault="00BE1EFE" w:rsidP="00A4541B">
      <w:pPr>
        <w:pStyle w:val="h8"/>
      </w:pPr>
      <w:bookmarkStart w:id="119" w:name="_Toc523925790"/>
      <w:r w:rsidRPr="006C60ED">
        <w:t>Entgeltgruppe 4</w:t>
      </w:r>
      <w:bookmarkEnd w:id="119"/>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deren Tätigkeit sich dadurch aus der Entgeltgruppe 3 heraushebt, dass sie mindestens zu einem Viertel gründliche Fachkenntnisse erfordert.</w:t>
      </w:r>
    </w:p>
    <w:p w:rsidR="00BE1EFE" w:rsidRDefault="00BE1EFE" w:rsidP="00E91516">
      <w:pPr>
        <w:pStyle w:val="StandardWeb"/>
      </w:pPr>
    </w:p>
    <w:p w:rsidR="00BE1EFE" w:rsidRDefault="00BE1EFE" w:rsidP="00E91516">
      <w:pPr>
        <w:pStyle w:val="StandardWeb"/>
      </w:pPr>
      <w:r>
        <w:t>(Gründliche Fachkenntnisse erfordern nähere Kenntnisse von Rechtsvorschriften oder näheres kaufmännisches oder technisches Fachwissen usw. des Aufgabenkreises.)</w:t>
      </w:r>
    </w:p>
    <w:p w:rsidR="00BE1EFE" w:rsidRDefault="00BE1EFE" w:rsidP="00E91516">
      <w:pPr>
        <w:pStyle w:val="StandardWeb"/>
      </w:pPr>
    </w:p>
    <w:p w:rsidR="00BE1EFE" w:rsidRDefault="00BE1EFE" w:rsidP="00E91516">
      <w:pPr>
        <w:pStyle w:val="StandardWeb"/>
      </w:pPr>
      <w:r>
        <w:t>2. Beschäftigte mit schwierigen Tätigkeiten.</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Schwierige Tätigkeiten sind Tätigkeiten, die mehr als eine eingehende fachliche Einarbeitung im Sinne der Entgeltgruppe 3 erfordern. </w:t>
      </w:r>
      <w:r w:rsidRPr="003D12C3">
        <w:rPr>
          <w:sz w:val="12"/>
          <w:szCs w:val="12"/>
        </w:rPr>
        <w:t>2</w:t>
      </w:r>
      <w:r>
        <w:t>Danach müssen Tätigkeiten anfallen, die an das Überlegungsvermögen oder das fachliche Geschick Anforderungen stellen die über das Maß dessen hinausgehen, was üblicherweise von Beschäftigten der Entgeltgruppe 3 verlangt werden kann.)</w:t>
      </w:r>
    </w:p>
    <w:p w:rsidR="00BE1EFE" w:rsidRDefault="00BE1EFE" w:rsidP="00A4541B">
      <w:pPr>
        <w:pStyle w:val="h8"/>
      </w:pPr>
      <w:bookmarkStart w:id="120" w:name="_Toc523925791"/>
      <w:r w:rsidRPr="006C60ED">
        <w:t>Entgeltgruppe 5</w:t>
      </w:r>
      <w:bookmarkEnd w:id="120"/>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erfolgreich abgeschlossener Ausbildung in einem anerkannten Ausbildungsberuf mit einer Ausbildungsdauer von mindestens drei Jahren und entsprechender Tätigkeit.</w:t>
      </w:r>
    </w:p>
    <w:p w:rsidR="00BE1EFE" w:rsidRDefault="00BE1EFE" w:rsidP="00E91516">
      <w:pPr>
        <w:pStyle w:val="StandardWeb"/>
      </w:pPr>
    </w:p>
    <w:p w:rsidR="00BE1EFE" w:rsidRDefault="00BE1EFE" w:rsidP="00E91516">
      <w:pPr>
        <w:pStyle w:val="StandardWeb"/>
      </w:pPr>
      <w:r>
        <w:t xml:space="preserve">2. Beschäftigte, deren Tätigkeit gründliche Fachkenntnisse erfordert. </w:t>
      </w:r>
    </w:p>
    <w:p w:rsidR="00BE1EFE" w:rsidRDefault="00BE1EFE" w:rsidP="00E91516">
      <w:pPr>
        <w:pStyle w:val="StandardWeb"/>
      </w:pPr>
    </w:p>
    <w:p w:rsidR="00BE1EFE" w:rsidRDefault="00BE1EFE" w:rsidP="00E91516">
      <w:pPr>
        <w:pStyle w:val="StandardWeb"/>
      </w:pPr>
      <w:r>
        <w:lastRenderedPageBreak/>
        <w:t>(Gründliche Fachkenntnisse erfordern nähere Kenntnisse von Rechtsvorschriften oder näheres kaufmännisches oder technisches Fachwissen usw. des Aufgabenkreises.)</w:t>
      </w:r>
    </w:p>
    <w:p w:rsidR="00BE1EFE" w:rsidRDefault="00BE1EFE" w:rsidP="00A4541B">
      <w:pPr>
        <w:pStyle w:val="h8"/>
      </w:pPr>
      <w:bookmarkStart w:id="121" w:name="_Toc523925792"/>
      <w:r w:rsidRPr="006C60ED">
        <w:t>Entgeltgruppe 6</w:t>
      </w:r>
      <w:bookmarkEnd w:id="121"/>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5 Fallgruppe 1, deren Tätigkeit gründliche und vielseitige Fachkenntnisse erfordert, sowie</w:t>
      </w:r>
    </w:p>
    <w:p w:rsidR="00BE1EFE" w:rsidRDefault="00BE1EFE" w:rsidP="00E91516">
      <w:pPr>
        <w:pStyle w:val="StandardWeb"/>
      </w:pPr>
    </w:p>
    <w:p w:rsidR="00BE1EFE" w:rsidRDefault="00BE1EFE" w:rsidP="00E91516">
      <w:pPr>
        <w:pStyle w:val="StandardWeb"/>
      </w:pPr>
      <w:r>
        <w:t>2. Beschäftigte der Entgeltgruppe 5 Fallgruppe 2, deren Tätigkeit vielseitige Fachkenntnisse erfordert.</w:t>
      </w:r>
    </w:p>
    <w:p w:rsidR="00BE1EFE" w:rsidRDefault="00BE1EFE" w:rsidP="00E91516">
      <w:pPr>
        <w:pStyle w:val="StandardWeb"/>
      </w:pPr>
    </w:p>
    <w:p w:rsidR="00BE1EFE" w:rsidRDefault="00BE1EFE" w:rsidP="00E91516">
      <w:pPr>
        <w:pStyle w:val="StandardWeb"/>
      </w:pPr>
      <w:r>
        <w:t>(</w:t>
      </w:r>
      <w:r w:rsidRPr="003D12C3">
        <w:rPr>
          <w:sz w:val="12"/>
          <w:szCs w:val="12"/>
        </w:rPr>
        <w:t>1</w:t>
      </w:r>
      <w:r>
        <w:t xml:space="preserve">Die gründlichen und vielseitigen Fachkenntnisse brauchen sich nicht auf das gesamte Gebiet der Verwaltung (des Betriebes), bei der die/der Beschäftigte tätig ist, zu beziehen. </w:t>
      </w:r>
      <w:r w:rsidRPr="003D12C3">
        <w:rPr>
          <w:sz w:val="12"/>
          <w:szCs w:val="12"/>
        </w:rPr>
        <w:t>2</w:t>
      </w:r>
      <w:r>
        <w:t>Der Aufgabenkreis der/des Beschäftigten muss aber so gestaltet sein, dass er nur beim Vorhandensein gründlicher und vielseitiger Fachkenntnisse ordnungsgemäß bearbeitet werden kann.)</w:t>
      </w:r>
    </w:p>
    <w:p w:rsidR="00BE1EFE" w:rsidRDefault="00BE1EFE" w:rsidP="00A4541B">
      <w:pPr>
        <w:pStyle w:val="h8"/>
      </w:pPr>
      <w:bookmarkStart w:id="122" w:name="_Toc523925793"/>
      <w:r w:rsidRPr="006C60ED">
        <w:t>Entgeltgruppe 7</w:t>
      </w:r>
      <w:bookmarkEnd w:id="122"/>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6, deren Tätigkeit mindestens zu einem Fünftel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entsprechendes selbstständiges Erarbeiten eines Ergebnisses unter Entwicklung einer eigenen geistigen Initiative; eine leichte geistige Arbeit kann diese Anforderung nicht erfüllen.)</w:t>
      </w:r>
    </w:p>
    <w:p w:rsidR="00BE1EFE" w:rsidRPr="006C60ED" w:rsidRDefault="00BE1EFE" w:rsidP="00EC3F42">
      <w:pPr>
        <w:pStyle w:val="berschrift7"/>
        <w:rPr>
          <w:sz w:val="16"/>
          <w:szCs w:val="16"/>
        </w:rPr>
      </w:pPr>
      <w:bookmarkStart w:id="123" w:name="_Toc523925794"/>
      <w:r w:rsidRPr="006C60ED">
        <w:rPr>
          <w:sz w:val="16"/>
          <w:szCs w:val="16"/>
        </w:rPr>
        <w:t>Entgeltgruppe 8</w:t>
      </w:r>
      <w:bookmarkEnd w:id="123"/>
    </w:p>
    <w:p w:rsidR="00BE1EFE" w:rsidRDefault="00BE1EFE" w:rsidP="00E91516">
      <w:pPr>
        <w:pStyle w:val="StandardWeb"/>
      </w:pPr>
    </w:p>
    <w:p w:rsidR="00BE1EFE" w:rsidRDefault="00BE1EFE" w:rsidP="00E91516">
      <w:pPr>
        <w:pStyle w:val="StandardWeb"/>
      </w:pPr>
      <w:r>
        <w:t>Beschäftigte der Entgeltgruppe 6, deren Tätigkeit mindestens zu einem Drittel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entsprechendes selbstständiges Erarbeiten eines Ergebnisses unter Entwicklung einer eigenen geistigen Initiative; eine leichte geistige Arbeit kann diese Anforderung nicht erfüllen.)</w:t>
      </w:r>
    </w:p>
    <w:p w:rsidR="00BE1EFE" w:rsidRDefault="00BE1EFE" w:rsidP="00A4541B">
      <w:pPr>
        <w:pStyle w:val="h8"/>
      </w:pPr>
      <w:bookmarkStart w:id="124" w:name="_Toc523925795"/>
      <w:r w:rsidRPr="006C60ED">
        <w:t>Entgeltgruppe 9a</w:t>
      </w:r>
      <w:bookmarkEnd w:id="124"/>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 Entgeltgruppe 6, deren Tätigkeit selbstständige Leistungen erfordert.</w:t>
      </w:r>
    </w:p>
    <w:p w:rsidR="00BE1EFE" w:rsidRDefault="00BE1EFE" w:rsidP="00E91516">
      <w:pPr>
        <w:pStyle w:val="StandardWeb"/>
      </w:pPr>
    </w:p>
    <w:p w:rsidR="00BE1EFE" w:rsidRDefault="00BE1EFE" w:rsidP="00E91516">
      <w:pPr>
        <w:pStyle w:val="StandardWeb"/>
      </w:pPr>
      <w:r>
        <w:t>(Selbstständige Leistungen erfordern ein den vorausgesetzten Fachkenntnissen entsprechen</w:t>
      </w:r>
      <w:r>
        <w:softHyphen/>
        <w:t>des selbstständiges Erarbeiten eines Ergebnisses unter Entwicklung einer eigenen geistigen Initiative; eine leichte geistige Arbeit kann diese Anforderung nicht erfüllen.)</w:t>
      </w:r>
    </w:p>
    <w:p w:rsidR="00BE1EFE" w:rsidRDefault="00BE1EFE" w:rsidP="00A4541B">
      <w:pPr>
        <w:pStyle w:val="h8"/>
      </w:pPr>
      <w:bookmarkStart w:id="125" w:name="_Toc523925796"/>
      <w:r w:rsidRPr="006C60ED">
        <w:t>Entgeltgruppe 9b</w:t>
      </w:r>
      <w:bookmarkEnd w:id="125"/>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abgeschlossener Hochschulbildung und entsprechender Tätigkeit sowie sonstige Beschäftigte, die aufgrund gleichwertiger Fähigkeiten und ihrer Erfahrungen entsprechende Tätigkeiten ausüben.</w:t>
      </w:r>
    </w:p>
    <w:p w:rsidR="00BE1EFE" w:rsidRDefault="00BE1EFE" w:rsidP="00E91516">
      <w:pPr>
        <w:pStyle w:val="StandardWeb"/>
      </w:pPr>
    </w:p>
    <w:p w:rsidR="00BE1EFE" w:rsidRDefault="00BE1EFE" w:rsidP="00E91516">
      <w:pPr>
        <w:pStyle w:val="StandardWeb"/>
      </w:pPr>
      <w:r>
        <w:lastRenderedPageBreak/>
        <w:t>2. Beschäftigte, deren Tätigkeit gründliche, umfassende Fachkenntnisse und selbstständige Leistungen erfordert.</w:t>
      </w:r>
    </w:p>
    <w:p w:rsidR="00BE1EFE" w:rsidRDefault="00BE1EFE" w:rsidP="00E91516">
      <w:pPr>
        <w:pStyle w:val="StandardWeb"/>
      </w:pPr>
    </w:p>
    <w:p w:rsidR="00BE1EFE" w:rsidRDefault="00BE1EFE" w:rsidP="00E91516">
      <w:pPr>
        <w:pStyle w:val="StandardWeb"/>
      </w:pPr>
      <w:r>
        <w:t xml:space="preserve">(Gründliche, umfassende Fachkenntnisse bedeuten gegenüber </w:t>
      </w:r>
      <w:proofErr w:type="gramStart"/>
      <w:r>
        <w:t>den</w:t>
      </w:r>
      <w:proofErr w:type="gramEnd"/>
      <w:r>
        <w:t xml:space="preserve"> in den Entgeltgruppen 6 bis 9a geforderten gründlichen und vielseitigen Fachkenntnissen eine Steigerung der Tiefe und der Breite nach.)</w:t>
      </w:r>
    </w:p>
    <w:p w:rsidR="00BE1EFE" w:rsidRDefault="00BE1EFE" w:rsidP="00A4541B">
      <w:pPr>
        <w:pStyle w:val="h8"/>
      </w:pPr>
      <w:bookmarkStart w:id="126" w:name="_Toc523925797"/>
      <w:r w:rsidRPr="006C60ED">
        <w:t>Entgeltgruppe 9c</w:t>
      </w:r>
      <w:bookmarkEnd w:id="126"/>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dadurch aus der Entgeltgruppe 9b heraushebt, dass sie besonders verantwortungsvoll ist.</w:t>
      </w:r>
    </w:p>
    <w:p w:rsidR="00BE1EFE" w:rsidRDefault="00BE1EFE" w:rsidP="00E91516">
      <w:pPr>
        <w:pStyle w:val="StandardWeb"/>
      </w:pPr>
    </w:p>
    <w:p w:rsidR="00BE1EFE" w:rsidRDefault="00BE1EFE" w:rsidP="00A4541B">
      <w:pPr>
        <w:pStyle w:val="h8"/>
      </w:pPr>
      <w:bookmarkStart w:id="127" w:name="_Toc523925798"/>
      <w:r w:rsidRPr="006C60ED">
        <w:t>Entgeltgruppe 10</w:t>
      </w:r>
      <w:bookmarkEnd w:id="127"/>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mindestens zu einem Drittel durch besondere Schwierigkeit und Bedeutung aus der Entgeltgruppe 9c heraushebt.</w:t>
      </w:r>
    </w:p>
    <w:p w:rsidR="00BE1EFE" w:rsidRDefault="00BE1EFE" w:rsidP="00A4541B">
      <w:pPr>
        <w:pStyle w:val="h8"/>
      </w:pPr>
      <w:bookmarkStart w:id="128" w:name="_Toc523925799"/>
      <w:r w:rsidRPr="006C60ED">
        <w:t>Entgeltgruppe 11</w:t>
      </w:r>
      <w:bookmarkEnd w:id="128"/>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durch besondere Schwierigkeit und Bedeutung aus der Entgeltgruppe 9c heraushebt.</w:t>
      </w:r>
    </w:p>
    <w:p w:rsidR="00BE1EFE" w:rsidRDefault="00BE1EFE" w:rsidP="00A4541B">
      <w:pPr>
        <w:pStyle w:val="h8"/>
      </w:pPr>
      <w:bookmarkStart w:id="129" w:name="_Toc523925800"/>
      <w:r w:rsidRPr="00EC3F42">
        <w:t>Entgeltgruppe 12</w:t>
      </w:r>
      <w:bookmarkEnd w:id="129"/>
    </w:p>
    <w:p w:rsidR="00BE1EFE" w:rsidRPr="00B76821" w:rsidRDefault="00BE1EFE" w:rsidP="00B76821">
      <w:pPr>
        <w:pStyle w:val="h9"/>
        <w:keepNext w:val="0"/>
        <w:spacing w:before="0" w:after="0"/>
        <w:outlineLvl w:val="5"/>
        <w:rPr>
          <w:sz w:val="2"/>
        </w:rPr>
      </w:pPr>
    </w:p>
    <w:p w:rsidR="00BE1EFE" w:rsidRDefault="00BE1EFE" w:rsidP="00E91516">
      <w:pPr>
        <w:pStyle w:val="StandardWeb"/>
      </w:pPr>
      <w:r>
        <w:t>Beschäftigte, deren Tätigkeit sich durch das Maß der damit verbundenen Verantwortung erheblich aus der Entgeltgruppe 11 heraushebt.</w:t>
      </w:r>
    </w:p>
    <w:p w:rsidR="00BE1EFE" w:rsidRPr="0015659F" w:rsidRDefault="00BE1EFE" w:rsidP="000B7B1F">
      <w:pPr>
        <w:pStyle w:val="h7"/>
        <w:jc w:val="left"/>
      </w:pPr>
      <w:r>
        <w:br w:type="page"/>
      </w:r>
      <w:bookmarkStart w:id="130" w:name="_Toc523925801"/>
      <w:r w:rsidRPr="0015659F">
        <w:lastRenderedPageBreak/>
        <w:t>4. Entgeltgruppen 13 bis 15</w:t>
      </w:r>
      <w:bookmarkEnd w:id="130"/>
    </w:p>
    <w:p w:rsidR="00BE1EFE" w:rsidRDefault="00BE1EFE" w:rsidP="00A4541B">
      <w:pPr>
        <w:pStyle w:val="h8"/>
      </w:pPr>
      <w:bookmarkStart w:id="131" w:name="_Toc523925802"/>
      <w:r w:rsidRPr="006C60ED">
        <w:t>Entgeltgruppe 13</w:t>
      </w:r>
      <w:bookmarkEnd w:id="131"/>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mit abgeschlossener wissenschaftlicher Hochschulbildung und entsprechender Tätigkeit sowie sonstige Beschäftigte, die aufgrund gleichwertiger Fähigkeiten und ihrer Erfahrungen entsprechende Tätigkeiten ausüben.</w:t>
      </w:r>
    </w:p>
    <w:p w:rsidR="00BE1EFE" w:rsidRDefault="00BE1EFE" w:rsidP="00E91516">
      <w:pPr>
        <w:pStyle w:val="StandardWeb"/>
      </w:pPr>
    </w:p>
    <w:p w:rsidR="00BE1EFE" w:rsidRDefault="00BE1EFE" w:rsidP="00E91516">
      <w:pPr>
        <w:pStyle w:val="StandardWeb"/>
      </w:pPr>
      <w:r>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A4541B">
      <w:pPr>
        <w:pStyle w:val="h8"/>
      </w:pPr>
      <w:bookmarkStart w:id="132" w:name="_Toc523925803"/>
      <w:r w:rsidRPr="006C60ED">
        <w:t>Entgeltgruppe 14</w:t>
      </w:r>
      <w:bookmarkEnd w:id="132"/>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13 Fallgruppe 1, deren Tätigkeit sich mindestens zu einem Drittel</w:t>
      </w:r>
    </w:p>
    <w:p w:rsidR="00BE1EFE" w:rsidRDefault="00BE1EFE" w:rsidP="00E91516">
      <w:pPr>
        <w:pStyle w:val="StandardWeb"/>
      </w:pPr>
    </w:p>
    <w:p w:rsidR="00BE1EFE" w:rsidRDefault="00BE1EFE" w:rsidP="00E91516">
      <w:pPr>
        <w:pStyle w:val="StandardWeb"/>
      </w:pPr>
      <w:r>
        <w:t>– durch besondere Schwierigkeit und Bedeutung oder</w:t>
      </w:r>
    </w:p>
    <w:p w:rsidR="00BE1EFE" w:rsidRDefault="00BE1EFE" w:rsidP="00E91516">
      <w:pPr>
        <w:pStyle w:val="StandardWeb"/>
      </w:pPr>
    </w:p>
    <w:p w:rsidR="00BE1EFE" w:rsidRDefault="00BE1EFE" w:rsidP="00E91516">
      <w:pPr>
        <w:pStyle w:val="StandardWeb"/>
      </w:pPr>
      <w:r>
        <w:t>– durch das Erfordernis hochwertiger Leistungen bei besonders schwierigen Aufgaben</w:t>
      </w:r>
    </w:p>
    <w:p w:rsidR="00BE1EFE" w:rsidRDefault="00BE1EFE" w:rsidP="00E91516">
      <w:pPr>
        <w:pStyle w:val="StandardWeb"/>
      </w:pPr>
    </w:p>
    <w:p w:rsidR="00BE1EFE" w:rsidRDefault="00BE1EFE" w:rsidP="00E91516">
      <w:pPr>
        <w:pStyle w:val="StandardWeb"/>
      </w:pPr>
      <w:r>
        <w:t>aus der Entgeltgruppe 13 Fallgruppe 1 heraushebt.</w:t>
      </w:r>
    </w:p>
    <w:p w:rsidR="00BE1EFE" w:rsidRDefault="00BE1EFE" w:rsidP="00E91516">
      <w:pPr>
        <w:pStyle w:val="StandardWeb"/>
      </w:pPr>
    </w:p>
    <w:p w:rsidR="00BE1EFE" w:rsidRDefault="00BE1EFE" w:rsidP="00E91516">
      <w:pPr>
        <w:pStyle w:val="StandardWeb"/>
      </w:pPr>
      <w:r>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E91516">
      <w:pPr>
        <w:pStyle w:val="StandardWeb"/>
      </w:pPr>
    </w:p>
    <w:p w:rsidR="00BE1EFE" w:rsidRDefault="00BE1EFE" w:rsidP="00E91516">
      <w:pPr>
        <w:pStyle w:val="StandardWeb"/>
      </w:pPr>
      <w:r>
        <w:t>3. Beschäftigte der Entgeltgruppe 13 Fallgruppe 1, denen mindestens drei Beschäftigte mindestens der Entgeltgruppe 13 durch ausdrückliche Anordnung ständig unterstellt sind.</w:t>
      </w:r>
    </w:p>
    <w:p w:rsidR="00BE1EFE" w:rsidRDefault="00BE1EFE" w:rsidP="00E91516">
      <w:pPr>
        <w:pStyle w:val="StandardWeb"/>
      </w:pPr>
      <w:r>
        <w:t>(Hierzu Anmerkung)</w:t>
      </w:r>
    </w:p>
    <w:p w:rsidR="00BE1EFE" w:rsidRDefault="00BE1EFE" w:rsidP="00A4541B">
      <w:pPr>
        <w:pStyle w:val="h8"/>
      </w:pPr>
      <w:bookmarkStart w:id="133" w:name="_Toc523925804"/>
      <w:r w:rsidRPr="006C60ED">
        <w:t>Entgeltgruppe 15</w:t>
      </w:r>
      <w:bookmarkEnd w:id="133"/>
    </w:p>
    <w:p w:rsidR="00BE1EFE" w:rsidRPr="00B76821" w:rsidRDefault="00BE1EFE" w:rsidP="00B76821">
      <w:pPr>
        <w:pStyle w:val="h9"/>
        <w:keepNext w:val="0"/>
        <w:spacing w:before="0" w:after="0"/>
        <w:outlineLvl w:val="5"/>
        <w:rPr>
          <w:sz w:val="2"/>
        </w:rPr>
      </w:pPr>
    </w:p>
    <w:p w:rsidR="00BE1EFE" w:rsidRDefault="00BE1EFE" w:rsidP="00E91516">
      <w:pPr>
        <w:pStyle w:val="StandardWeb"/>
      </w:pPr>
      <w:r>
        <w:t>1. Beschäftigte der Entgeltgruppe 13 Fallgruppe 1, deren Tätigkeit sich</w:t>
      </w:r>
    </w:p>
    <w:p w:rsidR="00BE1EFE" w:rsidRDefault="00BE1EFE" w:rsidP="00E91516">
      <w:pPr>
        <w:pStyle w:val="StandardWeb"/>
      </w:pPr>
    </w:p>
    <w:p w:rsidR="00BE1EFE" w:rsidRDefault="00BE1EFE" w:rsidP="00E91516">
      <w:pPr>
        <w:pStyle w:val="StandardWeb"/>
      </w:pPr>
      <w:r>
        <w:t>– durch besondere Schwierigkeit und Bedeutung sowie</w:t>
      </w:r>
    </w:p>
    <w:p w:rsidR="00BE1EFE" w:rsidRDefault="00BE1EFE" w:rsidP="00E91516">
      <w:pPr>
        <w:pStyle w:val="StandardWeb"/>
      </w:pPr>
    </w:p>
    <w:p w:rsidR="00BE1EFE" w:rsidRDefault="00BE1EFE" w:rsidP="00E91516">
      <w:pPr>
        <w:pStyle w:val="StandardWeb"/>
      </w:pPr>
      <w:r>
        <w:t>– erheblich durch das Maß der damit verbundenen Verantwortung aus</w:t>
      </w:r>
    </w:p>
    <w:p w:rsidR="00BE1EFE" w:rsidRDefault="00BE1EFE" w:rsidP="00E91516">
      <w:pPr>
        <w:pStyle w:val="StandardWeb"/>
      </w:pPr>
    </w:p>
    <w:p w:rsidR="00BE1EFE" w:rsidRDefault="00BE1EFE" w:rsidP="00E91516">
      <w:pPr>
        <w:pStyle w:val="StandardWeb"/>
      </w:pPr>
      <w:r>
        <w:t>der Entgeltgruppe 13 Fallgruppe 1 heraushebt.</w:t>
      </w:r>
    </w:p>
    <w:p w:rsidR="00BE1EFE" w:rsidRDefault="00BE1EFE" w:rsidP="00E91516">
      <w:pPr>
        <w:pStyle w:val="StandardWeb"/>
      </w:pPr>
    </w:p>
    <w:p w:rsidR="00BE1EFE" w:rsidRDefault="00BE1EFE" w:rsidP="00E91516">
      <w:pPr>
        <w:pStyle w:val="StandardWeb"/>
      </w:pPr>
      <w:r>
        <w:lastRenderedPageBreak/>
        <w:t>2. Beschäftigte in Einrichtungen und Betrieben, deren Tätigkeit wegen der Schwierigkeit der Aufgaben und der Größe ihrer Verantwortung ebenso zu bewerten ist wie Tätigkeiten nach Fallgruppe 1.</w:t>
      </w:r>
    </w:p>
    <w:p w:rsidR="00BE1EFE" w:rsidRDefault="00BE1EFE" w:rsidP="00E91516">
      <w:pPr>
        <w:pStyle w:val="StandardWeb"/>
      </w:pPr>
    </w:p>
    <w:p w:rsidR="00BE1EFE" w:rsidRDefault="00BE1EFE" w:rsidP="00E91516">
      <w:pPr>
        <w:pStyle w:val="StandardWeb"/>
      </w:pPr>
      <w:r>
        <w:t xml:space="preserve">(Einrichtungen und Betriebe im Sinne dieses Tätigkeitsmerkmals müssen dem Begriff der kommunalen Einrichtungen und Betriebe im Sinne des TVöD (VKA) entsprechen.) </w:t>
      </w:r>
    </w:p>
    <w:p w:rsidR="00BE1EFE" w:rsidRDefault="00BE1EFE" w:rsidP="00E91516">
      <w:pPr>
        <w:pStyle w:val="StandardWeb"/>
      </w:pPr>
    </w:p>
    <w:p w:rsidR="00BE1EFE" w:rsidRDefault="00BE1EFE" w:rsidP="00E91516">
      <w:pPr>
        <w:pStyle w:val="StandardWeb"/>
      </w:pPr>
      <w:r>
        <w:t>3. Beschäftigte mit der Entgeltgruppe 13 Fallgruppe 1, denen mindestens fünf Beschäftigte mindestens der Entgeltgruppe 13 durch ausdrückliche Anordnung ständig unterstellt sind.</w:t>
      </w:r>
    </w:p>
    <w:p w:rsidR="00BE1EFE" w:rsidRDefault="00BE1EFE" w:rsidP="00E91516">
      <w:pPr>
        <w:pStyle w:val="StandardWeb"/>
      </w:pPr>
      <w:r>
        <w:t>(Hierzu Anmerkung)</w:t>
      </w:r>
    </w:p>
    <w:p w:rsidR="00BE1EFE" w:rsidRDefault="00BE1EFE" w:rsidP="00E91516">
      <w:pPr>
        <w:pStyle w:val="StandardWeb"/>
      </w:pPr>
    </w:p>
    <w:p w:rsidR="00BE1EFE" w:rsidRPr="003D12C3" w:rsidRDefault="00BE1EFE" w:rsidP="00767F41">
      <w:pPr>
        <w:pStyle w:val="h7"/>
        <w:jc w:val="left"/>
      </w:pPr>
      <w:bookmarkStart w:id="134" w:name="_Toc523925805"/>
      <w:r w:rsidRPr="003D12C3">
        <w:t>Anmerkung:</w:t>
      </w:r>
      <w:bookmarkEnd w:id="134"/>
    </w:p>
    <w:p w:rsidR="00BE1EFE" w:rsidRPr="00B76821" w:rsidRDefault="00BE1EFE" w:rsidP="00B76821">
      <w:pPr>
        <w:pStyle w:val="h8"/>
        <w:keepNext w:val="0"/>
        <w:spacing w:before="0" w:after="0"/>
        <w:outlineLvl w:val="5"/>
        <w:rPr>
          <w:sz w:val="2"/>
        </w:rPr>
      </w:pPr>
    </w:p>
    <w:p w:rsidR="00BE1EFE" w:rsidRPr="003D12C3" w:rsidRDefault="00BE1EFE" w:rsidP="00E91516">
      <w:pPr>
        <w:pStyle w:val="StandardWeb"/>
        <w:rPr>
          <w:sz w:val="12"/>
          <w:szCs w:val="12"/>
        </w:rPr>
      </w:pPr>
      <w:r w:rsidRPr="003D12C3">
        <w:rPr>
          <w:sz w:val="12"/>
          <w:szCs w:val="12"/>
        </w:rPr>
        <w:t>Bei der Zahl der Unterstellten zählen nicht mit:</w:t>
      </w:r>
    </w:p>
    <w:p w:rsidR="00BE1EFE" w:rsidRPr="003D12C3" w:rsidRDefault="00BE1EFE" w:rsidP="00E91516">
      <w:pPr>
        <w:pStyle w:val="StandardWeb"/>
        <w:rPr>
          <w:sz w:val="12"/>
          <w:szCs w:val="12"/>
        </w:rPr>
      </w:pPr>
      <w:r w:rsidRPr="003D12C3">
        <w:rPr>
          <w:sz w:val="12"/>
          <w:szCs w:val="12"/>
        </w:rPr>
        <w:t>a) Beschäftigte der En</w:t>
      </w:r>
      <w:r>
        <w:rPr>
          <w:sz w:val="12"/>
          <w:szCs w:val="12"/>
        </w:rPr>
        <w:t>tgeltgruppe 13 nach Abschnitt 2.2.2.</w:t>
      </w:r>
      <w:r w:rsidRPr="003D12C3">
        <w:rPr>
          <w:sz w:val="12"/>
          <w:szCs w:val="12"/>
        </w:rPr>
        <w:t xml:space="preserve"> Nummern 2 und 3,</w:t>
      </w:r>
    </w:p>
    <w:p w:rsidR="00BE1EFE" w:rsidRDefault="00BE1EFE" w:rsidP="00E91516">
      <w:pPr>
        <w:pStyle w:val="StandardWeb"/>
        <w:rPr>
          <w:sz w:val="12"/>
          <w:szCs w:val="12"/>
        </w:rPr>
      </w:pPr>
      <w:r w:rsidRPr="003D12C3">
        <w:rPr>
          <w:sz w:val="12"/>
          <w:szCs w:val="12"/>
        </w:rPr>
        <w:t>b) Beamte des gehobenen Dien</w:t>
      </w:r>
      <w:r>
        <w:rPr>
          <w:sz w:val="12"/>
          <w:szCs w:val="12"/>
        </w:rPr>
        <w:t>stes der Besoldungsgruppe A 13.</w:t>
      </w:r>
    </w:p>
    <w:p w:rsidR="00BE1EFE" w:rsidRPr="000B7B1F" w:rsidRDefault="00BE1EFE" w:rsidP="000B7B1F">
      <w:pPr>
        <w:pStyle w:val="StandardWeb"/>
        <w:rPr>
          <w:szCs w:val="16"/>
        </w:rPr>
      </w:pPr>
      <w:r>
        <w:rPr>
          <w:szCs w:val="16"/>
        </w:rPr>
        <w:br w:type="page"/>
      </w:r>
    </w:p>
    <w:p w:rsidR="00BE1EFE" w:rsidRPr="00120F45" w:rsidRDefault="00BE1EFE" w:rsidP="00BC3138">
      <w:pPr>
        <w:pStyle w:val="berschrift6"/>
        <w:rPr>
          <w:lang w:eastAsia="x-none"/>
        </w:rPr>
      </w:pPr>
      <w:bookmarkStart w:id="135" w:name="_Toc473549817"/>
      <w:bookmarkStart w:id="136" w:name="_Toc523925806"/>
      <w:r w:rsidRPr="00120F45">
        <w:lastRenderedPageBreak/>
        <w:t>2.2.2. Spezielle Tätigkeitsmerkmale</w:t>
      </w:r>
      <w:bookmarkEnd w:id="135"/>
      <w:bookmarkEnd w:id="136"/>
    </w:p>
    <w:p w:rsidR="00BE1EFE" w:rsidRPr="00205DEC" w:rsidRDefault="00BE1EFE" w:rsidP="00D73AE0">
      <w:pPr>
        <w:pStyle w:val="h7"/>
        <w:jc w:val="left"/>
      </w:pPr>
      <w:bookmarkStart w:id="137" w:name="_Toc473549818"/>
      <w:bookmarkStart w:id="138" w:name="_Toc523925807"/>
      <w:r w:rsidRPr="00205DEC">
        <w:t>1. Bezügerechnerinnen und Bezügerechner</w:t>
      </w:r>
      <w:bookmarkEnd w:id="137"/>
      <w:bookmarkEnd w:id="138"/>
    </w:p>
    <w:p w:rsidR="00BE1EFE" w:rsidRPr="002222C8" w:rsidRDefault="00BE1EFE" w:rsidP="00604213">
      <w:pPr>
        <w:pStyle w:val="h8"/>
      </w:pPr>
      <w:bookmarkStart w:id="139" w:name="_Toc523925808"/>
      <w:r w:rsidRPr="006C60ED">
        <w:t>Entgeltgruppe 5</w:t>
      </w:r>
      <w:bookmarkEnd w:id="13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Berechnerinnen und Berechner von Dienst- oder Versorgungsbezügen, von Entgelten, einschließlich der Krankenbezüge oder Urlaubsentgelte deren Tätigkeit gründliche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(Gründliche Fachkenntnisse erfordern nähere Kenntnisse von Rechtsvorschriften oder näheres kaufmännisches oder technisches Fachwissen usw. des Aufgabenkreises.)</w:t>
      </w:r>
    </w:p>
    <w:p w:rsidR="00BE1EFE" w:rsidRPr="00120F45" w:rsidRDefault="00BE1EFE" w:rsidP="00E91516">
      <w:pPr>
        <w:pStyle w:val="StandardWeb"/>
        <w:rPr>
          <w:szCs w:val="16"/>
        </w:rPr>
      </w:pPr>
      <w:r w:rsidRPr="00120F45">
        <w:rPr>
          <w:szCs w:val="16"/>
        </w:rPr>
        <w:t>(Hierzu An</w:t>
      </w:r>
      <w:r>
        <w:rPr>
          <w:szCs w:val="16"/>
        </w:rPr>
        <w:t>merkung)</w:t>
      </w:r>
    </w:p>
    <w:p w:rsidR="00BE1EFE" w:rsidRPr="002222C8" w:rsidRDefault="00BE1EFE" w:rsidP="00604213">
      <w:pPr>
        <w:pStyle w:val="h8"/>
      </w:pPr>
      <w:bookmarkStart w:id="140" w:name="_Toc523925809"/>
      <w:r w:rsidRPr="006C60ED">
        <w:t>Entgeltgruppe 6</w:t>
      </w:r>
      <w:bookmarkEnd w:id="14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5 heraushebt, dass aufgrund der angegebenen Merkmale Dienst- oder Versorgungsbezüge, Entgelte einschließlich der Krankenbezüge und Urlaubsentgelte selbstständig zu errechnen sind.</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die aufgrund der angegebenen Merkmale die für die Errechnung und Zahlbarmachung der Dienst- oder Versorgungsbezüge, Entgelte einschließlich der Krankenbezüge und Urlaubsentgelte im DV-Verfahren erforderlichen Arbeiten und Kontrollen zur maschinellen Berechnung verantwortlich vornehmen.</w:t>
      </w:r>
    </w:p>
    <w:p w:rsidR="00BE1EFE" w:rsidRPr="00120F45" w:rsidRDefault="00BE1EFE" w:rsidP="00E91516">
      <w:pPr>
        <w:pStyle w:val="StandardWeb"/>
        <w:rPr>
          <w:szCs w:val="16"/>
        </w:rPr>
      </w:pPr>
      <w:r>
        <w:rPr>
          <w:szCs w:val="16"/>
        </w:rPr>
        <w:t>(Hierzu Anmerkung)</w:t>
      </w:r>
    </w:p>
    <w:p w:rsidR="00BE1EFE" w:rsidRPr="002222C8" w:rsidRDefault="00BE1EFE" w:rsidP="00604213">
      <w:pPr>
        <w:pStyle w:val="h8"/>
      </w:pPr>
      <w:bookmarkStart w:id="141" w:name="_Toc523925810"/>
      <w:r w:rsidRPr="006C60ED">
        <w:t>Entgeltgruppe 7</w:t>
      </w:r>
      <w:bookmarkEnd w:id="14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5 heraushebt, dass aufgrund der angegebenen Merkmale Entgelte einschließlich der Krankenbezüge und Urlaubsentgelte selbstständig zu errechnen sind und der damit zusammenhängende Schriftwechsel selbstständig zu führen ist.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die aufgrund der angegebenen Merkmale die für die Errechnung und Zahlbarmachung der Dienst- oder Versorgungsbezüge, Entgelte einschließlich der Krankenbezüge und Urlaubsentgelte im DV-Verfahren erforderlichen Arbeiten und Kontrollen zur maschinellen Berechnung verantwortlich vornehmen und den damit zusammenhängenden Schriftwechsel selbstständig führen.</w:t>
      </w:r>
    </w:p>
    <w:p w:rsidR="00BE1EFE" w:rsidRPr="00120F45" w:rsidRDefault="00BE1EFE" w:rsidP="00E91516">
      <w:pPr>
        <w:pStyle w:val="StandardWeb"/>
        <w:rPr>
          <w:szCs w:val="16"/>
        </w:rPr>
      </w:pPr>
      <w:r>
        <w:rPr>
          <w:szCs w:val="16"/>
        </w:rPr>
        <w:t>(Hierzu Anmerkung)</w:t>
      </w:r>
    </w:p>
    <w:p w:rsidR="00BE1EFE" w:rsidRPr="006C60ED" w:rsidRDefault="00BE1EFE" w:rsidP="00604213">
      <w:pPr>
        <w:pStyle w:val="h8"/>
      </w:pPr>
      <w:bookmarkStart w:id="142" w:name="_Toc523925811"/>
      <w:r w:rsidRPr="006C60ED">
        <w:t>Entgeltgruppe 9a</w:t>
      </w:r>
      <w:bookmarkEnd w:id="14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deren Tätigkeit sich dadurch aus der Entgeltgruppe 6 Fallgruppe 1 heraushebt, dass aufgrund der angegebenen tatsächlichen Verhältnisse Entgelte einschließlich der Krankenbezüge und Urlaubsentgelte selbständig zu errechnen und die damit zusammenhängenden Arbeiten (</w:t>
      </w:r>
      <w:r>
        <w:rPr>
          <w:szCs w:val="16"/>
        </w:rPr>
        <w:t>z. B.</w:t>
      </w:r>
      <w:r w:rsidRPr="00120F45">
        <w:rPr>
          <w:szCs w:val="16"/>
        </w:rPr>
        <w:t xml:space="preserve"> Feststellen der Versicherungspflicht in der Sozialversicherung und der Zusatzversicherung, Bearbeiten von Abtretungen und </w:t>
      </w:r>
      <w:r w:rsidRPr="00120F45">
        <w:rPr>
          <w:szCs w:val="16"/>
        </w:rPr>
        <w:lastRenderedPageBreak/>
        <w:t>Pfändungen) selbstständig auszuführen sind sowie der damit zusammenhängende Schriftwechsel selbstständig zu führen ist.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(Das Tätigkeitsmerkmal ist auch erfüllt, wenn die/der Beschäftigte die Beschäftigungszeit sowie das Tabellenentgelt nach </w:t>
      </w:r>
      <w:hyperlink r:id="rId285" w:history="1">
        <w:r w:rsidRPr="008F22D8">
          <w:rPr>
            <w:rStyle w:val="Hyperlink"/>
            <w:szCs w:val="16"/>
          </w:rPr>
          <w:t>§§ 15</w:t>
        </w:r>
      </w:hyperlink>
      <w:r w:rsidRPr="00120F45">
        <w:rPr>
          <w:szCs w:val="16"/>
        </w:rPr>
        <w:t xml:space="preserve"> und </w:t>
      </w:r>
      <w:hyperlink r:id="rId286" w:history="1">
        <w:r w:rsidRPr="008F22D8">
          <w:rPr>
            <w:rStyle w:val="Hyperlink"/>
            <w:szCs w:val="16"/>
          </w:rPr>
          <w:t>16 Teil A</w:t>
        </w:r>
        <w:proofErr w:type="gramStart"/>
        <w:r w:rsidRPr="008F22D8">
          <w:rPr>
            <w:rStyle w:val="Hyperlink"/>
            <w:szCs w:val="16"/>
          </w:rPr>
          <w:t>,1</w:t>
        </w:r>
        <w:proofErr w:type="gramEnd"/>
        <w:r w:rsidRPr="008F22D8">
          <w:rPr>
            <w:rStyle w:val="Hyperlink"/>
            <w:szCs w:val="16"/>
          </w:rPr>
          <w:t>.</w:t>
        </w:r>
      </w:hyperlink>
      <w:r w:rsidRPr="00120F45">
        <w:rPr>
          <w:szCs w:val="16"/>
        </w:rPr>
        <w:t xml:space="preserve"> bei der Einstellung nicht festzusetzen und Abtretungen und Pfändungen nicht zu bearbeiten hat.)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deren Tätigkeit sich dadurch aus der Entgeltgruppe 6 Fallgruppe 2 heraushebt, dass aufgrund der angegebenen tatsächlichen Verhältnisse die für die Errechnung und Zahlbarmachung der Dienst- oder Versorgungsbezüge, Entgelte, einschließlich der Krankenbezüge und Urlaubsentgelte im DV-Verfahren notwendigen Merkmale und die sonstigen Anspruchsvoraussetzungen festzustellen, die erforderlichen Arbeiten (</w:t>
      </w:r>
      <w:r>
        <w:rPr>
          <w:szCs w:val="16"/>
        </w:rPr>
        <w:t>z. B.</w:t>
      </w:r>
      <w:r w:rsidRPr="00120F45">
        <w:rPr>
          <w:szCs w:val="16"/>
        </w:rPr>
        <w:t xml:space="preserve"> Feststellen der Versicherungspflicht in der Sozialversicherung und der Zusatzversicherung, Bearbeiten von Abtretungen und Pfändungen) und Kontrollen zur maschinellen Berechnung verantwortlich vorzunehmen sind sowie der damit zusammenhängende Schriftwechsel selbstständig zu führen ist.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(Das Tätigkeitsmerkmal ist auch erfüllt, wenn die/der Beschäftigte das Besoldungsdienstalter nicht erstmals, die ruhegehaltfähigen Dienstbezüge nicht erstmals, die ruhegehaltfähige Dienstzeit, die Beschäftigungszeit sowie das Tabellenentgelt nach </w:t>
      </w:r>
      <w:hyperlink r:id="rId287" w:history="1">
        <w:r w:rsidRPr="008F22D8">
          <w:rPr>
            <w:rStyle w:val="Hyperlink"/>
            <w:szCs w:val="16"/>
          </w:rPr>
          <w:t>§§ 15</w:t>
        </w:r>
      </w:hyperlink>
      <w:r w:rsidRPr="00120F45">
        <w:rPr>
          <w:szCs w:val="16"/>
        </w:rPr>
        <w:t xml:space="preserve"> und </w:t>
      </w:r>
      <w:hyperlink r:id="rId288" w:history="1">
        <w:r w:rsidRPr="008F22D8">
          <w:rPr>
            <w:rStyle w:val="Hyperlink"/>
            <w:szCs w:val="16"/>
          </w:rPr>
          <w:t>16 Teil A,1.</w:t>
        </w:r>
      </w:hyperlink>
      <w:r w:rsidRPr="00120F45">
        <w:rPr>
          <w:szCs w:val="16"/>
        </w:rPr>
        <w:t xml:space="preserve"> bei der Einstellung nicht festzusetzen, keine Widerspruchsbescheide zu erteilen und Abtretungen und Pfändungen nicht zu bearbeiten hat.)</w:t>
      </w:r>
    </w:p>
    <w:p w:rsidR="00BE1EFE" w:rsidRPr="00120F45" w:rsidRDefault="00BE1EFE" w:rsidP="00E91516">
      <w:pPr>
        <w:pStyle w:val="StandardWeb"/>
        <w:rPr>
          <w:szCs w:val="16"/>
        </w:rPr>
      </w:pPr>
      <w:r w:rsidRPr="00120F45">
        <w:rPr>
          <w:szCs w:val="16"/>
        </w:rPr>
        <w:t>(Hierzu Anmerkung)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3. </w:t>
      </w:r>
      <w:r w:rsidRPr="00120F45">
        <w:rPr>
          <w:szCs w:val="16"/>
        </w:rPr>
        <w:t>Beschäftigte, denen mindestens drei Beschäftigte mit Tätigkeiten mindestens der Entgeltgruppe 6 Fallgruppen 1 oder 2 durch ausdrückliche Anor</w:t>
      </w:r>
      <w:r>
        <w:rPr>
          <w:szCs w:val="16"/>
        </w:rPr>
        <w:t>dnung ständig unterstellt sind.</w:t>
      </w:r>
    </w:p>
    <w:p w:rsidR="00BE1EFE" w:rsidRPr="002222C8" w:rsidRDefault="00BE1EFE" w:rsidP="00604213">
      <w:pPr>
        <w:pStyle w:val="h8"/>
      </w:pPr>
      <w:bookmarkStart w:id="143" w:name="_Toc523925812"/>
      <w:r w:rsidRPr="006C60ED">
        <w:t>Entgeltgruppe 9b</w:t>
      </w:r>
      <w:bookmarkEnd w:id="14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denen mindestens vier Beschäftigte mit Tätigkeiten mindestens der Entgeltgruppe 9a Fallgruppen 1 oder 2 durch ausdrückliche Anor</w:t>
      </w:r>
      <w:r>
        <w:rPr>
          <w:szCs w:val="16"/>
        </w:rPr>
        <w:t>dnung ständig unterstellt sind.</w:t>
      </w:r>
    </w:p>
    <w:p w:rsidR="00BE1EFE" w:rsidRPr="008F22D8" w:rsidRDefault="00BE1EFE" w:rsidP="00604213">
      <w:pPr>
        <w:pStyle w:val="h8"/>
      </w:pPr>
      <w:bookmarkStart w:id="144" w:name="_Toc523925813"/>
      <w:r w:rsidRPr="008F22D8">
        <w:t>Anmerkung:</w:t>
      </w:r>
      <w:bookmarkEnd w:id="144"/>
    </w:p>
    <w:p w:rsidR="00BE1EFE" w:rsidRPr="00B76821" w:rsidRDefault="00BE1EFE" w:rsidP="00B76821">
      <w:pPr>
        <w:pStyle w:val="h9"/>
        <w:keepNext w:val="0"/>
        <w:spacing w:before="0" w:after="0"/>
        <w:outlineLvl w:val="5"/>
        <w:rPr>
          <w:sz w:val="2"/>
        </w:rPr>
      </w:pPr>
    </w:p>
    <w:p w:rsidR="00BE1EFE" w:rsidRPr="008F22D8" w:rsidRDefault="00BE1EFE" w:rsidP="00E91516">
      <w:pPr>
        <w:pStyle w:val="StandardWeb"/>
        <w:rPr>
          <w:sz w:val="12"/>
          <w:szCs w:val="12"/>
        </w:rPr>
      </w:pPr>
      <w:r w:rsidRPr="008F22D8">
        <w:rPr>
          <w:sz w:val="12"/>
          <w:szCs w:val="12"/>
        </w:rPr>
        <w:t xml:space="preserve">Zu den Dienst- oder Versorgungsbezügen, Entgelten im Sinne dieses Tätigkeitsmerkmals gehören gegebenenfalls auch sonstige Leistungen, </w:t>
      </w:r>
      <w:r>
        <w:rPr>
          <w:sz w:val="12"/>
          <w:szCs w:val="12"/>
        </w:rPr>
        <w:t>z. B.</w:t>
      </w:r>
      <w:r w:rsidRPr="008F22D8">
        <w:rPr>
          <w:sz w:val="12"/>
          <w:szCs w:val="12"/>
        </w:rPr>
        <w:t xml:space="preserve"> Kindergeld, Beitragszuschuss nach § 257 SGB V, vermögenswirksame Leistungen.</w:t>
      </w:r>
    </w:p>
    <w:p w:rsidR="00BE1EFE" w:rsidRPr="00EC3F42" w:rsidRDefault="00BE1EFE" w:rsidP="000B7B1F">
      <w:pPr>
        <w:pStyle w:val="h7"/>
        <w:jc w:val="left"/>
      </w:pPr>
      <w:r>
        <w:rPr>
          <w:szCs w:val="16"/>
        </w:rPr>
        <w:br w:type="page"/>
      </w:r>
      <w:bookmarkStart w:id="145" w:name="_Toc473549819"/>
      <w:bookmarkStart w:id="146" w:name="_Toc523925814"/>
      <w:r w:rsidRPr="00EC3F42">
        <w:lastRenderedPageBreak/>
        <w:t>2. Beschäftigte in der Informations- und Kommunikationstechnik</w:t>
      </w:r>
      <w:bookmarkEnd w:id="145"/>
      <w:bookmarkEnd w:id="146"/>
    </w:p>
    <w:p w:rsidR="00BE1EFE" w:rsidRPr="00120F45" w:rsidRDefault="00BE1EFE" w:rsidP="00E91516">
      <w:pPr>
        <w:pStyle w:val="StandardWeb"/>
        <w:rPr>
          <w:szCs w:val="16"/>
        </w:rPr>
      </w:pPr>
    </w:p>
    <w:p w:rsidR="00BE1EFE" w:rsidRPr="00604213" w:rsidRDefault="00BE1EFE" w:rsidP="00604213">
      <w:pPr>
        <w:pStyle w:val="h8"/>
      </w:pPr>
      <w:bookmarkStart w:id="147" w:name="_Toc523925815"/>
      <w:r w:rsidRPr="00EC3F42">
        <w:t>Vorbemerkung</w:t>
      </w:r>
      <w:bookmarkEnd w:id="147"/>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8F22D8">
        <w:rPr>
          <w:sz w:val="12"/>
          <w:szCs w:val="12"/>
        </w:rPr>
        <w:t>1</w:t>
      </w:r>
      <w:r w:rsidRPr="00120F45">
        <w:rPr>
          <w:szCs w:val="16"/>
        </w:rPr>
        <w:t xml:space="preserve">Nach Teil A, 2.2.2. Nummer 2 sind Beschäftigte eingruppiert, die sich mit Systemen der Informations- und Kommunikationstechnik befassen ohne Rücksicht auf ihre organisatorische Eingliederung. </w:t>
      </w:r>
      <w:r w:rsidRPr="008F22D8">
        <w:rPr>
          <w:sz w:val="12"/>
          <w:szCs w:val="12"/>
        </w:rPr>
        <w:t>2</w:t>
      </w:r>
      <w:r w:rsidRPr="00120F45">
        <w:rPr>
          <w:szCs w:val="16"/>
        </w:rPr>
        <w:t>Zu diesen Systemen zählen insbesondere informationstechnisch</w:t>
      </w:r>
      <w:r>
        <w:rPr>
          <w:szCs w:val="16"/>
        </w:rPr>
        <w:t>e Hard- und Softwaresysteme, Anwendungs</w:t>
      </w:r>
      <w:r w:rsidRPr="00120F45">
        <w:rPr>
          <w:szCs w:val="16"/>
        </w:rPr>
        <w:t>programme, Datenbanken, Komponenten der Kommuni</w:t>
      </w:r>
      <w:r>
        <w:rPr>
          <w:szCs w:val="16"/>
        </w:rPr>
        <w:softHyphen/>
      </w:r>
      <w:r w:rsidRPr="00120F45">
        <w:rPr>
          <w:szCs w:val="16"/>
        </w:rPr>
        <w:t xml:space="preserve">kationstechnik in lokalen IKT-Netzen und IKT-Weitverkehrsnetzen sowie Produkte und Services, die mit diesen Systemen erstellt werden. </w:t>
      </w:r>
      <w:r w:rsidRPr="008F22D8">
        <w:rPr>
          <w:sz w:val="12"/>
          <w:szCs w:val="12"/>
        </w:rPr>
        <w:t>3</w:t>
      </w:r>
      <w:r w:rsidRPr="00120F45">
        <w:rPr>
          <w:szCs w:val="16"/>
        </w:rPr>
        <w:t xml:space="preserve">Dabei werden Tätigkeiten im gesamten Lebenszyklus eines solchen IKT-Systems erfasst, also dessen Planung, Spezifikation, Entwurf, Design, Erstellung, Implementierung, Test, Integration in die operative Umgebung, Produktion, Optimierung und Tuning, Pflege, Fehlerbeseitigung und Qualitätssicherung. </w:t>
      </w:r>
      <w:r w:rsidRPr="008F22D8">
        <w:rPr>
          <w:sz w:val="12"/>
          <w:szCs w:val="12"/>
        </w:rPr>
        <w:t>4</w:t>
      </w:r>
      <w:r w:rsidRPr="00120F45">
        <w:rPr>
          <w:szCs w:val="16"/>
        </w:rPr>
        <w:t xml:space="preserve">Auch Tätigkeiten zur Sicherstellung der Informationssicherheit fallen unter die nachfolgenden Merkmale. </w:t>
      </w:r>
      <w:r w:rsidRPr="008F22D8">
        <w:rPr>
          <w:sz w:val="12"/>
          <w:szCs w:val="12"/>
        </w:rPr>
        <w:t>5</w:t>
      </w:r>
      <w:r w:rsidRPr="00120F45">
        <w:rPr>
          <w:szCs w:val="16"/>
        </w:rPr>
        <w:t xml:space="preserve">Da mit den informationstechnischen Systemen in der Regel Produkte oder Services erstellt werden, gelten die nachfolgenden Tätigkeitsmerkmale auch für die Beschäftigten in der Produktionssteuerung und im IKT-Servicemanagement. </w:t>
      </w:r>
      <w:r w:rsidRPr="008F22D8">
        <w:rPr>
          <w:sz w:val="12"/>
          <w:szCs w:val="12"/>
        </w:rPr>
        <w:t>6</w:t>
      </w:r>
      <w:r w:rsidRPr="00120F45">
        <w:rPr>
          <w:szCs w:val="16"/>
        </w:rPr>
        <w:t>Nicht unter den Teil A, 2.2.2. Nummer 2 fallen Beschäftigte, die lediglich IKT-Systeme anwenden oder Beschäftigte, die lediglich die Rahmenbedingungen für die Informations- und Kommunikationstechnik schaffen und sich die informationstechnischen Spezifikationen von den IKT-Fachleuten zu</w:t>
      </w:r>
      <w:r>
        <w:rPr>
          <w:szCs w:val="16"/>
        </w:rPr>
        <w:t>arbeiten lassen.</w:t>
      </w:r>
    </w:p>
    <w:p w:rsidR="00BE1EFE" w:rsidRPr="002222C8" w:rsidRDefault="00BE1EFE" w:rsidP="00604213">
      <w:pPr>
        <w:pStyle w:val="h8"/>
      </w:pPr>
      <w:bookmarkStart w:id="148" w:name="_Toc523925816"/>
      <w:r w:rsidRPr="006C60ED">
        <w:t>Entgeltgruppe 6</w:t>
      </w:r>
      <w:bookmarkEnd w:id="148"/>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mit einschlägiger abgeschlossener Berufsausbildung (</w:t>
      </w:r>
      <w:r>
        <w:rPr>
          <w:szCs w:val="16"/>
        </w:rPr>
        <w:t>z. B.</w:t>
      </w:r>
      <w:r w:rsidRPr="00120F45">
        <w:rPr>
          <w:szCs w:val="16"/>
        </w:rPr>
        <w:t xml:space="preserve"> Fachinforma</w:t>
      </w:r>
      <w:r>
        <w:rPr>
          <w:szCs w:val="16"/>
        </w:rPr>
        <w:softHyphen/>
      </w:r>
      <w:r w:rsidRPr="00120F45">
        <w:rPr>
          <w:szCs w:val="16"/>
        </w:rPr>
        <w:t>tikerinnen und -informatiker der Fachrichtungen Anwendungsentwicklung oder System</w:t>
      </w:r>
      <w:r>
        <w:rPr>
          <w:szCs w:val="16"/>
        </w:rPr>
        <w:softHyphen/>
      </w:r>
      <w:r w:rsidRPr="00120F45">
        <w:rPr>
          <w:szCs w:val="16"/>
        </w:rPr>
        <w:t>integration, Technische Systeminformatikerinnen und -informatiker, IT-System-Kaufleute oder IT-Systemelektronikerinnen und -elektroniker) und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2. </w:t>
      </w:r>
      <w:r w:rsidRPr="00120F45">
        <w:rPr>
          <w:szCs w:val="16"/>
        </w:rPr>
        <w:t>Beschäftigte, deren Tätigkeit gründliche und vielseitige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w:t>
      </w:r>
      <w:r w:rsidRPr="008F22D8">
        <w:rPr>
          <w:sz w:val="12"/>
          <w:szCs w:val="12"/>
        </w:rPr>
        <w:t>1</w:t>
      </w:r>
      <w:r w:rsidRPr="00120F45">
        <w:rPr>
          <w:szCs w:val="16"/>
        </w:rPr>
        <w:t xml:space="preserve">Gründliche Fachkenntnisse erfordern nähere Kenntnisse von Rechtsvorschriften oder näheres kaufmännisches oder technisches Fachwissen usw. des Aufgabenkreises. </w:t>
      </w:r>
      <w:r w:rsidRPr="008F22D8">
        <w:rPr>
          <w:sz w:val="12"/>
          <w:szCs w:val="12"/>
        </w:rPr>
        <w:t>2</w:t>
      </w:r>
      <w:r w:rsidRPr="00120F45">
        <w:rPr>
          <w:szCs w:val="16"/>
        </w:rPr>
        <w:t xml:space="preserve">Die gründlichen und vielseitigen Fachkenntnisse brauchen sich nicht auf das gesamte Gebiet der Verwaltung [der Einrichtung], bei der die/der Beschäftigte tätig ist, zu beziehen. </w:t>
      </w:r>
      <w:r w:rsidRPr="008F22D8">
        <w:rPr>
          <w:sz w:val="12"/>
          <w:szCs w:val="12"/>
        </w:rPr>
        <w:t>3</w:t>
      </w:r>
      <w:r w:rsidRPr="00120F45">
        <w:rPr>
          <w:szCs w:val="16"/>
        </w:rPr>
        <w:t>Der Aufgabenkreis der/des Beschäftigten muss aber so gestaltet sein, dass er nur beim Vorhandensein gründlicher und vielseitiger Fachkenntnisse ordnung</w:t>
      </w:r>
      <w:r>
        <w:rPr>
          <w:szCs w:val="16"/>
        </w:rPr>
        <w:t>sgemäß bearbeitet werden kann.)</w:t>
      </w:r>
    </w:p>
    <w:p w:rsidR="00BE1EFE" w:rsidRPr="002222C8" w:rsidRDefault="00BE1EFE" w:rsidP="00604213">
      <w:pPr>
        <w:pStyle w:val="h8"/>
      </w:pPr>
      <w:bookmarkStart w:id="149" w:name="_Toc523925817"/>
      <w:r w:rsidRPr="006C60ED">
        <w:t>Entgeltgruppe 7</w:t>
      </w:r>
      <w:bookmarkEnd w:id="14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6,</w:t>
      </w:r>
      <w:r>
        <w:rPr>
          <w:szCs w:val="16"/>
        </w:rPr>
        <w:t xml:space="preserve"> die ohne Anleitung tätig sind.</w:t>
      </w:r>
    </w:p>
    <w:p w:rsidR="00BE1EFE" w:rsidRPr="002222C8" w:rsidRDefault="00BE1EFE" w:rsidP="00604213">
      <w:pPr>
        <w:pStyle w:val="h8"/>
      </w:pPr>
      <w:bookmarkStart w:id="150" w:name="_Toc523925818"/>
      <w:r w:rsidRPr="006C60ED">
        <w:lastRenderedPageBreak/>
        <w:t>Entgeltgruppe 8</w:t>
      </w:r>
      <w:bookmarkEnd w:id="15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 xml:space="preserve">Beschäftigte der Entgeltgruppe 7, deren Tätigkeit über die Standardfälle hinaus </w:t>
      </w:r>
      <w:r>
        <w:rPr>
          <w:szCs w:val="16"/>
        </w:rPr>
        <w:t>Gestaltungsspielraum erfordert.</w:t>
      </w:r>
    </w:p>
    <w:p w:rsidR="00BE1EFE" w:rsidRPr="00120F45" w:rsidRDefault="00BE1EFE" w:rsidP="00E91516">
      <w:pPr>
        <w:pStyle w:val="StandardWeb"/>
        <w:rPr>
          <w:szCs w:val="16"/>
        </w:rPr>
      </w:pPr>
    </w:p>
    <w:p w:rsidR="00BE1EFE" w:rsidRPr="002222C8" w:rsidRDefault="00BE1EFE" w:rsidP="00604213">
      <w:pPr>
        <w:pStyle w:val="h8"/>
      </w:pPr>
      <w:bookmarkStart w:id="151" w:name="_Toc523925819"/>
      <w:r w:rsidRPr="008F22D8">
        <w:t>Entgeltgruppe 9a</w:t>
      </w:r>
      <w:bookmarkEnd w:id="15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deren Tätigkeit zusätz</w:t>
      </w:r>
      <w:r>
        <w:rPr>
          <w:szCs w:val="16"/>
        </w:rPr>
        <w:t>liche Fachkenntnisse erfordert.</w:t>
      </w:r>
    </w:p>
    <w:p w:rsidR="00BE1EFE" w:rsidRPr="002222C8" w:rsidRDefault="00BE1EFE" w:rsidP="00604213">
      <w:pPr>
        <w:pStyle w:val="h8"/>
      </w:pPr>
      <w:bookmarkStart w:id="152" w:name="_Toc523925820"/>
      <w:r w:rsidRPr="006C60ED">
        <w:t>Entgeltgruppe 9b</w:t>
      </w:r>
      <w:bookmarkEnd w:id="15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9a, deren Tätigkeit umfassende Fachkenntnisse erfordert.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(Umfassende Fachkenntnisse bedeuten gegenüber </w:t>
      </w:r>
      <w:proofErr w:type="gramStart"/>
      <w:r w:rsidRPr="00120F45">
        <w:rPr>
          <w:szCs w:val="16"/>
        </w:rPr>
        <w:t>den</w:t>
      </w:r>
      <w:proofErr w:type="gramEnd"/>
      <w:r w:rsidRPr="00120F45">
        <w:rPr>
          <w:szCs w:val="16"/>
        </w:rPr>
        <w:t xml:space="preserve"> in der Entgeltgruppe 9a geforderten Fachkenntnissen eine Steigerung </w:t>
      </w:r>
      <w:r>
        <w:rPr>
          <w:szCs w:val="16"/>
        </w:rPr>
        <w:t>der Tiefe und der Breite nach.)</w:t>
      </w:r>
    </w:p>
    <w:p w:rsidR="00BE1EFE" w:rsidRPr="002222C8" w:rsidRDefault="00BE1EFE" w:rsidP="00604213">
      <w:pPr>
        <w:pStyle w:val="h8"/>
      </w:pPr>
      <w:bookmarkStart w:id="153" w:name="_Toc523925821"/>
      <w:r w:rsidRPr="006C60ED">
        <w:t>Entgeltgruppe 10</w:t>
      </w:r>
      <w:bookmarkEnd w:id="15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mit einschlägiger abgeschlossener Hochschulbildung (z. B. in der Fach</w:t>
      </w:r>
      <w:r>
        <w:rPr>
          <w:szCs w:val="16"/>
        </w:rPr>
        <w:softHyphen/>
      </w:r>
      <w:r w:rsidRPr="00120F45">
        <w:rPr>
          <w:szCs w:val="16"/>
        </w:rPr>
        <w:t>richtung Informatik) und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9b, deren Tätigkeit einen Gestaltungsspielraum erfordert, der über den Gestaltungsspielraum</w:t>
      </w:r>
      <w:r>
        <w:rPr>
          <w:szCs w:val="16"/>
        </w:rPr>
        <w:t xml:space="preserve"> in Entgeltgruppe 8 hinausgeht.</w:t>
      </w:r>
    </w:p>
    <w:p w:rsidR="00BE1EFE" w:rsidRPr="002222C8" w:rsidRDefault="00BE1EFE" w:rsidP="00604213">
      <w:pPr>
        <w:pStyle w:val="h8"/>
      </w:pPr>
      <w:bookmarkStart w:id="154" w:name="_Toc523925822"/>
      <w:r w:rsidRPr="006C60ED">
        <w:t>Entgeltgruppe 11</w:t>
      </w:r>
      <w:bookmarkEnd w:id="154"/>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10, deren Tätigkeit sich mindestens zu einem Drittel durch besondere Leistungen aus der Entgeltgruppe 10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(Besondere Leistungen sind Tätigkeiten, deren Bearbeitung besondere Fachkenntnisse und besondere praktische Erfahrung voraussetzt oder die eine fachliche Weisungsbefugnis beinhalten.)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10, deren Tätigkeit sich durch besondere Leistungen aus der Entgeltgruppe 10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(Besondere Leistungen sind Tätigkeiten, deren Bearbeitung besondere Fachkenntnisse und besondere praktische Erfahrung voraussetzt oder die eine fachlich</w:t>
      </w:r>
      <w:r>
        <w:rPr>
          <w:szCs w:val="16"/>
        </w:rPr>
        <w:t>e Weisungsbefugnis beinhalten.)</w:t>
      </w:r>
    </w:p>
    <w:p w:rsidR="00BE1EFE" w:rsidRPr="002222C8" w:rsidRDefault="00BE1EFE" w:rsidP="00604213">
      <w:pPr>
        <w:pStyle w:val="h8"/>
      </w:pPr>
      <w:bookmarkStart w:id="155" w:name="_Toc523925823"/>
      <w:r w:rsidRPr="006C60ED">
        <w:t>Entgeltgruppe 12</w:t>
      </w:r>
      <w:bookmarkEnd w:id="155"/>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11 Fallgruppe 2 mit mindestens dreijähriger praktischer Erfahrung, deren Tätigkeit sich mindestens zu einem Drittel durch besondere Schwierigkeit und Bedeutung oder durch Spezialaufgaben aus der Entgeltgruppe 11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lastRenderedPageBreak/>
        <w:t>2. </w:t>
      </w:r>
      <w:r w:rsidRPr="00120F45">
        <w:rPr>
          <w:szCs w:val="16"/>
        </w:rPr>
        <w:t>Beschäftigte der Entgeltgruppe 11 Fallgruppe 2 mit mindestens dreijähriger praktischer Erfahrung, deren Tätigkeit sich durch besondere Schwierigkeit und Bedeutung oder durch Spezialaufgaben aus der Entgeltgruppe 11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3. </w:t>
      </w:r>
      <w:r w:rsidRPr="00120F45">
        <w:rPr>
          <w:szCs w:val="16"/>
        </w:rPr>
        <w:t>Beschäftigte der Entgeltgruppe 10 mit mindestens dreijähriger praktischer Erfahrung, die durch ausdrückliche Anordnung als Leiterin oder Leiter einer IT-Gruppe bestellt sind und denen mindestens</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a) </w:t>
      </w:r>
      <w:r w:rsidRPr="00120F45">
        <w:rPr>
          <w:szCs w:val="16"/>
        </w:rPr>
        <w:t>zwei Beschäftigte dieses Abschnitts mindestens der Entgeltgruppe 11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drei Beschäftigte dieses Abschnitts mindestens der Entgeltgruppe 10 durch ausdrückliche Anor</w:t>
      </w:r>
      <w:r>
        <w:rPr>
          <w:szCs w:val="16"/>
        </w:rPr>
        <w:t>dnung ständig unterstellt sind.</w:t>
      </w:r>
    </w:p>
    <w:p w:rsidR="00BE1EFE" w:rsidRPr="00604213" w:rsidRDefault="00BE1EFE" w:rsidP="00604213">
      <w:pPr>
        <w:pStyle w:val="h8"/>
      </w:pPr>
      <w:bookmarkStart w:id="156" w:name="_Toc523925824"/>
      <w:r w:rsidRPr="006C60ED">
        <w:t>Entgeltgruppe 13</w:t>
      </w:r>
      <w:bookmarkEnd w:id="156"/>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12 Fallgruppe 2, deren Tätigkeit sich mindestens zu einem Drittel durch das Maß der Verantwortung erheblich aus der Entgeltgruppe 12 Fallgruppe 2 heraushebt.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Beschäftigte der Entgeltgruppe 10 mit mindestens dreijähriger praktischer Erfahrung, die durch ausdrückliche Anordnung als Leiterin oder Leiter einer IT-Gruppe bestellt sind und denen mindestens</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 xml:space="preserve">a) </w:t>
      </w:r>
      <w:r w:rsidRPr="00120F45">
        <w:rPr>
          <w:szCs w:val="16"/>
        </w:rPr>
        <w:t>zwei Beschäftigte dieses Abschnitts mindestens der Entgeltgruppe 12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drei Beschäftigte dieses Abschnitts mindestens der Entgeltgruppe 11 durch ausdrückliche Anordnung ständig unterstellt sind.</w:t>
      </w:r>
    </w:p>
    <w:p w:rsidR="00BE1EFE" w:rsidRPr="00120F45" w:rsidRDefault="00BE1EFE" w:rsidP="00E91516">
      <w:pPr>
        <w:pStyle w:val="StandardWeb"/>
        <w:rPr>
          <w:szCs w:val="16"/>
        </w:rPr>
      </w:pPr>
      <w:r>
        <w:rPr>
          <w:szCs w:val="16"/>
        </w:rPr>
        <w:br w:type="page"/>
      </w:r>
    </w:p>
    <w:p w:rsidR="00BE1EFE" w:rsidRPr="00604213" w:rsidRDefault="00BE1EFE" w:rsidP="00604213">
      <w:pPr>
        <w:pStyle w:val="h7"/>
        <w:jc w:val="left"/>
      </w:pPr>
      <w:bookmarkStart w:id="157" w:name="_Toc473549820"/>
      <w:bookmarkStart w:id="158" w:name="_Toc523925825"/>
      <w:r w:rsidRPr="00E91516">
        <w:lastRenderedPageBreak/>
        <w:t>3. Ingenieurinnen und Ingenieure</w:t>
      </w:r>
      <w:bookmarkEnd w:id="157"/>
      <w:bookmarkEnd w:id="158"/>
    </w:p>
    <w:p w:rsidR="00BE1EFE" w:rsidRPr="00604213" w:rsidRDefault="00BE1EFE" w:rsidP="00604213">
      <w:pPr>
        <w:pStyle w:val="h8"/>
      </w:pPr>
      <w:bookmarkStart w:id="159" w:name="_Toc523925826"/>
      <w:r w:rsidRPr="008F22D8">
        <w:t>Vorbemerkungen</w:t>
      </w:r>
      <w:bookmarkEnd w:id="159"/>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Ingenieurinnen und Ingenieure sind Beschäftigte, die</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a) </w:t>
      </w:r>
      <w:r w:rsidRPr="00120F45">
        <w:rPr>
          <w:szCs w:val="16"/>
        </w:rPr>
        <w:t>einen erfolgreichen Abschluss eines technisch-ingenieurwissenschaftlichen Studiengangs im Sinne der Nummer 4 der grundsätzlichen Eingruppierungsregelungen (Vorbemerkungen) einschließlich der Fachrichtungen Gartenbau, Landschaftsplanung/-architektur oder Landschaftsgestaltung oder der Fachrichtung Forstwirtschaft nachweisen und</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b) </w:t>
      </w:r>
      <w:r w:rsidRPr="00120F45">
        <w:rPr>
          <w:szCs w:val="16"/>
        </w:rPr>
        <w:t>die Berufsbezeichnung „Ingenieurin“ oder „Ingenieur“ führen.</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Die Tätigkeitsmerkmale der Fallgruppen 2 Teil A, 2.2. Nummer 4 finden auch auf Ingenieurinnen und Ingenieure im Sinne der Nummer 1 Anwendung; Nummer 1 Satz 4 der grundsätzlichen Eingruppierungsregelungen (Vorbemerkungen) bleibt unberühr</w:t>
      </w:r>
      <w:r>
        <w:rPr>
          <w:szCs w:val="16"/>
        </w:rPr>
        <w:t>t.</w:t>
      </w:r>
    </w:p>
    <w:p w:rsidR="00BE1EFE" w:rsidRPr="00604213" w:rsidRDefault="00BE1EFE" w:rsidP="00604213">
      <w:pPr>
        <w:pStyle w:val="h8"/>
      </w:pPr>
      <w:bookmarkStart w:id="160" w:name="_Toc523925827"/>
      <w:r w:rsidRPr="006C60ED">
        <w:t>Entgeltgruppe 10</w:t>
      </w:r>
      <w:bookmarkEnd w:id="16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Ingenieurinnen und Ingenieure mit entsprechender Tätigkeit sowie sonstige Beschäftigte, die aufgrund gleichwertiger Fähigkeiten und ihrer Erfahrungen entsprechende Tätigkeiten ausüben.</w:t>
      </w:r>
    </w:p>
    <w:p w:rsidR="00BE1EFE" w:rsidRPr="00120F45" w:rsidRDefault="00BE1EFE" w:rsidP="00E91516">
      <w:pPr>
        <w:pStyle w:val="StandardWeb"/>
        <w:rPr>
          <w:szCs w:val="16"/>
        </w:rPr>
      </w:pPr>
      <w:r>
        <w:rPr>
          <w:szCs w:val="16"/>
        </w:rPr>
        <w:t>(Hierzu Anmerkung Nummer 1)</w:t>
      </w:r>
    </w:p>
    <w:p w:rsidR="00BE1EFE" w:rsidRPr="00604213" w:rsidRDefault="00BE1EFE" w:rsidP="00604213">
      <w:pPr>
        <w:pStyle w:val="h8"/>
      </w:pPr>
      <w:bookmarkStart w:id="161" w:name="_Toc523925828"/>
      <w:r w:rsidRPr="006C60ED">
        <w:t>Entgeltgruppe 11</w:t>
      </w:r>
      <w:bookmarkEnd w:id="161"/>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10, deren Tätigkeit sich mindestens zu einem Drittel durch besondere Leistungen aus der Entgeltgruppe 10 heraushebt.</w:t>
      </w:r>
    </w:p>
    <w:p w:rsidR="00BE1EFE" w:rsidRPr="00120F45" w:rsidRDefault="00BE1EFE" w:rsidP="00E91516">
      <w:pPr>
        <w:pStyle w:val="StandardWeb"/>
        <w:rPr>
          <w:szCs w:val="16"/>
        </w:rPr>
      </w:pPr>
      <w:r w:rsidRPr="00120F45">
        <w:rPr>
          <w:szCs w:val="16"/>
        </w:rPr>
        <w:t>(Hierzu Anmerkung Nummer 2)</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 xml:space="preserve">Beschäftigte der Entgeltgruppe 10, deren Tätigkeit sich durch besondere Leistungen aus der Entgeltgruppe 10 heraushebt. </w:t>
      </w:r>
    </w:p>
    <w:p w:rsidR="00BE1EFE" w:rsidRPr="00120F45" w:rsidRDefault="00BE1EFE" w:rsidP="00E91516">
      <w:pPr>
        <w:pStyle w:val="StandardWeb"/>
        <w:rPr>
          <w:szCs w:val="16"/>
        </w:rPr>
      </w:pPr>
      <w:r>
        <w:rPr>
          <w:szCs w:val="16"/>
        </w:rPr>
        <w:t>(Hierzu Anmerkung Nummer 2)</w:t>
      </w:r>
    </w:p>
    <w:p w:rsidR="00BE1EFE" w:rsidRPr="00604213" w:rsidRDefault="00BE1EFE" w:rsidP="00604213">
      <w:pPr>
        <w:pStyle w:val="h8"/>
      </w:pPr>
      <w:bookmarkStart w:id="162" w:name="_Toc523925829"/>
      <w:r w:rsidRPr="006C60ED">
        <w:t>Entgeltgruppe 12</w:t>
      </w:r>
      <w:bookmarkEnd w:id="162"/>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Beschäftigte der Entgeltgruppe 11 Fallgruppe 2 mit langjähriger praktischer Erfahrung, deren Tätigkeit sich mindestens zu einem Drittel durch besondere Schwierigkeit und Bedeutung oder durch künstlerische oder Spezialaufgaben aus der Entgeltgruppe 11 Fallgruppe 2 heraushebt.</w:t>
      </w:r>
    </w:p>
    <w:p w:rsidR="00BE1EFE" w:rsidRPr="00120F45" w:rsidRDefault="00BE1EFE" w:rsidP="00E91516">
      <w:pPr>
        <w:pStyle w:val="StandardWeb"/>
        <w:rPr>
          <w:szCs w:val="16"/>
        </w:rPr>
      </w:pPr>
    </w:p>
    <w:p w:rsidR="00BE1EFE" w:rsidRDefault="00BE1EFE" w:rsidP="00E91516">
      <w:pPr>
        <w:pStyle w:val="StandardWeb"/>
        <w:rPr>
          <w:szCs w:val="16"/>
        </w:rPr>
      </w:pPr>
      <w:r>
        <w:rPr>
          <w:szCs w:val="16"/>
        </w:rPr>
        <w:t>2. </w:t>
      </w:r>
      <w:r w:rsidRPr="00120F45">
        <w:rPr>
          <w:szCs w:val="16"/>
        </w:rPr>
        <w:t>Beschäftigte der Entgeltgruppe 11 Fallgruppe 2 mit langjähriger praktischer Erfahrung, deren Tätigkeit sich durch besondere Schwierigkeit und Bedeutung oder durch künstlerische oder Spezialaufgaben aus der Entgeltgru</w:t>
      </w:r>
      <w:r>
        <w:rPr>
          <w:szCs w:val="16"/>
        </w:rPr>
        <w:t>ppe 11 Fallgruppe 2 heraushebt.</w:t>
      </w: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Default="00BE1EFE" w:rsidP="00E91516">
      <w:pPr>
        <w:pStyle w:val="StandardWeb"/>
        <w:rPr>
          <w:szCs w:val="16"/>
        </w:rPr>
      </w:pPr>
    </w:p>
    <w:p w:rsidR="00BE1EFE" w:rsidRPr="006C60ED" w:rsidRDefault="00BE1EFE" w:rsidP="00604213">
      <w:pPr>
        <w:pStyle w:val="h8"/>
      </w:pPr>
      <w:bookmarkStart w:id="163" w:name="_Toc523925830"/>
      <w:r w:rsidRPr="006C60ED">
        <w:lastRenderedPageBreak/>
        <w:t>Entgeltgruppe 13</w:t>
      </w:r>
      <w:bookmarkEnd w:id="163"/>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12 Fallgruppe 2, deren Tätigkeit sich mindestens zu einem Drittel durch das Maß der Verantwortung erheblich aus der Entgeltgru</w:t>
      </w:r>
      <w:r>
        <w:rPr>
          <w:szCs w:val="16"/>
        </w:rPr>
        <w:t>ppe 12 Fallgruppe 2 heraushebt.</w:t>
      </w:r>
    </w:p>
    <w:p w:rsidR="00BE1EFE" w:rsidRPr="008F22D8" w:rsidRDefault="00BE1EFE" w:rsidP="00604213">
      <w:pPr>
        <w:pStyle w:val="h8"/>
      </w:pPr>
      <w:bookmarkStart w:id="164" w:name="_Toc523925831"/>
      <w:r w:rsidRPr="008F22D8">
        <w:t>Anmerkungen:</w:t>
      </w:r>
      <w:bookmarkEnd w:id="164"/>
    </w:p>
    <w:p w:rsidR="00BE1EFE" w:rsidRPr="00B76821" w:rsidRDefault="00BE1EFE" w:rsidP="00B76821">
      <w:pPr>
        <w:pStyle w:val="h9"/>
        <w:keepNext w:val="0"/>
        <w:spacing w:before="0" w:after="0"/>
        <w:outlineLvl w:val="5"/>
        <w:rPr>
          <w:sz w:val="2"/>
        </w:rPr>
      </w:pPr>
    </w:p>
    <w:p w:rsidR="00BE1EFE" w:rsidRPr="008F22D8" w:rsidRDefault="00BE1EFE" w:rsidP="00E91516">
      <w:pPr>
        <w:pStyle w:val="StandardWeb"/>
        <w:rPr>
          <w:sz w:val="12"/>
          <w:szCs w:val="12"/>
        </w:rPr>
      </w:pPr>
      <w:r w:rsidRPr="008F22D8">
        <w:rPr>
          <w:sz w:val="12"/>
          <w:szCs w:val="12"/>
        </w:rPr>
        <w:t xml:space="preserve">1. Entsprechende Tätigkeiten sind </w:t>
      </w:r>
      <w:r>
        <w:rPr>
          <w:sz w:val="12"/>
          <w:szCs w:val="12"/>
        </w:rPr>
        <w:t>z. B.</w:t>
      </w:r>
      <w:r w:rsidRPr="008F22D8">
        <w:rPr>
          <w:sz w:val="12"/>
          <w:szCs w:val="12"/>
        </w:rPr>
        <w:t>:</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a) </w:t>
      </w:r>
      <w:r w:rsidRPr="008F22D8">
        <w:rPr>
          <w:sz w:val="12"/>
          <w:szCs w:val="12"/>
        </w:rPr>
        <w:t xml:space="preserve">Aufstellung oder Prüfung von Entwürfen nicht nur einfacher Art einschließlich Massen-, Kosten- und statischen Berechnungen und Verdingungsunterlagen, Bearbeitung der damit zusammenhängenden laufenden technischen Angelegenheiten </w:t>
      </w:r>
      <w:r>
        <w:rPr>
          <w:sz w:val="12"/>
          <w:szCs w:val="12"/>
        </w:rPr>
        <w:t>–</w:t>
      </w:r>
      <w:r w:rsidRPr="008F22D8">
        <w:rPr>
          <w:sz w:val="12"/>
          <w:szCs w:val="12"/>
        </w:rPr>
        <w:t xml:space="preserve"> auch im technischen Rechnungswesen </w:t>
      </w:r>
      <w:r>
        <w:rPr>
          <w:sz w:val="12"/>
          <w:szCs w:val="12"/>
        </w:rPr>
        <w:t>–</w:t>
      </w:r>
      <w:r w:rsidRPr="008F22D8">
        <w:rPr>
          <w:sz w:val="12"/>
          <w:szCs w:val="12"/>
        </w:rPr>
        <w:t>, örtliche Leitung oder Mitwirkung bei der Leitung von Bauten und Bauabschnitten sowie deren Abrechnung.</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b) </w:t>
      </w:r>
      <w:r w:rsidRPr="008F22D8">
        <w:rPr>
          <w:sz w:val="12"/>
          <w:szCs w:val="12"/>
        </w:rPr>
        <w:t xml:space="preserve">Im Bereich Garten- und Landschaftsbau: Aufstellung und Prüfung von Entwürfen nicht nur einfacher Art einschließlich Massen- und Kostenberechnung oder von Verdingungsunterlagen, Bearbeiten der damit zusammenhängenden technischen Angelegenheiten </w:t>
      </w:r>
      <w:r>
        <w:rPr>
          <w:sz w:val="12"/>
          <w:szCs w:val="12"/>
        </w:rPr>
        <w:t>–</w:t>
      </w:r>
      <w:r w:rsidRPr="008F22D8">
        <w:rPr>
          <w:sz w:val="12"/>
          <w:szCs w:val="12"/>
        </w:rPr>
        <w:t xml:space="preserve"> auch im technischen Rechnungswesen; örtliche Leitung oder Mitwirkung bei der Leitung von nicht nur einfachen Gartenbau-, Landschaftsbau-, Obstbau-, Pflanzenbau-, Pflanzenschutz- oder Weinbaumaßnahmen und deren Abrechnung.</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 xml:space="preserve">2. </w:t>
      </w:r>
      <w:r w:rsidRPr="008F22D8">
        <w:rPr>
          <w:sz w:val="12"/>
          <w:szCs w:val="12"/>
        </w:rPr>
        <w:t>Besondere Leistungen sind z. B.:</w:t>
      </w:r>
    </w:p>
    <w:p w:rsidR="00BE1EFE" w:rsidRPr="008F22D8" w:rsidRDefault="00BE1EFE" w:rsidP="00E91516">
      <w:pPr>
        <w:pStyle w:val="StandardWeb"/>
        <w:rPr>
          <w:sz w:val="12"/>
          <w:szCs w:val="12"/>
        </w:rPr>
      </w:pPr>
    </w:p>
    <w:p w:rsidR="00BE1EFE" w:rsidRPr="008F22D8" w:rsidRDefault="00BE1EFE" w:rsidP="00E91516">
      <w:pPr>
        <w:pStyle w:val="StandardWeb"/>
        <w:rPr>
          <w:sz w:val="12"/>
          <w:szCs w:val="12"/>
        </w:rPr>
      </w:pPr>
      <w:r>
        <w:rPr>
          <w:sz w:val="12"/>
          <w:szCs w:val="12"/>
        </w:rPr>
        <w:t>a) </w:t>
      </w:r>
      <w:r w:rsidRPr="008F22D8">
        <w:rPr>
          <w:sz w:val="12"/>
          <w:szCs w:val="12"/>
        </w:rPr>
        <w:t>Aufstellung oder Prüfung von Entwürfen, deren Bearbeitung besondere Fachkenntnisse und besondere praktische Erfahrung oder künstlerische Begabung voraussetzt, sowie örtliche Leitung bzw. Mitwirkung bei der Leitung von schwierigen Bauten und Bauabschnitten und deren Abrechnung.</w:t>
      </w:r>
    </w:p>
    <w:p w:rsidR="00BE1EFE" w:rsidRPr="008F22D8" w:rsidRDefault="00BE1EFE" w:rsidP="00E91516">
      <w:pPr>
        <w:pStyle w:val="StandardWeb"/>
        <w:rPr>
          <w:sz w:val="12"/>
          <w:szCs w:val="12"/>
        </w:rPr>
      </w:pPr>
    </w:p>
    <w:p w:rsidR="00BE1EFE" w:rsidRDefault="00BE1EFE" w:rsidP="00E91516">
      <w:pPr>
        <w:pStyle w:val="StandardWeb"/>
        <w:rPr>
          <w:sz w:val="12"/>
          <w:szCs w:val="12"/>
        </w:rPr>
      </w:pPr>
      <w:r>
        <w:rPr>
          <w:sz w:val="12"/>
          <w:szCs w:val="12"/>
        </w:rPr>
        <w:t>b) </w:t>
      </w:r>
      <w:r w:rsidRPr="008F22D8">
        <w:rPr>
          <w:sz w:val="12"/>
          <w:szCs w:val="12"/>
        </w:rPr>
        <w:t>Im Bereich Garten- und Landschaftsbau: Aufstellung oder Prüfung von Entwürfen einschließlich Massen- und Kostenberechnungen oder Verdingungsunterlagen, deren Bearbeitung besondere Fachkenntnisse und besondere praktische Erfahrungen oder künstlerische Begabung voraussetzt, örtliche Leitung schwieriger Baumaßnahmen und deren Abrechnung sowie selbstständige Planung und Organisation von Pflanzenschutz- oder Schädlingsbekämpfungsmaßnahmen, die sich auf das Gebiet einer oder mehrerer Gemeinden erstrecken, und das</w:t>
      </w:r>
      <w:r>
        <w:rPr>
          <w:sz w:val="12"/>
          <w:szCs w:val="12"/>
        </w:rPr>
        <w:t xml:space="preserve"> Überwachen ihrer Auswirkungen.</w:t>
      </w:r>
    </w:p>
    <w:p w:rsidR="00BE1EFE" w:rsidRDefault="00BE1EFE" w:rsidP="00E91516">
      <w:pPr>
        <w:pStyle w:val="StandardWeb"/>
        <w:rPr>
          <w:sz w:val="12"/>
          <w:szCs w:val="12"/>
        </w:rPr>
      </w:pPr>
      <w:r>
        <w:rPr>
          <w:sz w:val="12"/>
          <w:szCs w:val="12"/>
        </w:rPr>
        <w:br w:type="page"/>
      </w:r>
    </w:p>
    <w:p w:rsidR="00BE1EFE" w:rsidRPr="00EC3F42" w:rsidRDefault="00BE1EFE" w:rsidP="00D73AE0">
      <w:pPr>
        <w:pStyle w:val="h7"/>
        <w:jc w:val="left"/>
      </w:pPr>
      <w:bookmarkStart w:id="165" w:name="_Toc473549821"/>
      <w:bookmarkStart w:id="166" w:name="_Toc523925832"/>
      <w:r w:rsidRPr="00EC3F42">
        <w:lastRenderedPageBreak/>
        <w:t>4. Meisterinnen und Meister</w:t>
      </w:r>
      <w:bookmarkEnd w:id="165"/>
      <w:bookmarkEnd w:id="166"/>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p>
    <w:p w:rsidR="00BE1EFE" w:rsidRPr="008F22D8" w:rsidRDefault="00BE1EFE" w:rsidP="00E91516">
      <w:pPr>
        <w:pStyle w:val="StandardWeb"/>
        <w:rPr>
          <w:b/>
          <w:szCs w:val="16"/>
        </w:rPr>
      </w:pPr>
      <w:r w:rsidRPr="008F22D8">
        <w:rPr>
          <w:b/>
          <w:szCs w:val="16"/>
        </w:rPr>
        <w:t>Vorbemerkung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8F22D8">
        <w:rPr>
          <w:sz w:val="12"/>
          <w:szCs w:val="12"/>
        </w:rPr>
        <w:t>1</w:t>
      </w:r>
      <w:r w:rsidRPr="00120F45">
        <w:rPr>
          <w:szCs w:val="16"/>
        </w:rPr>
        <w:t xml:space="preserve">Meisterinnen und Meister sind Beschäftigte, die eine Meisterprüfung auf Grundlage der Handwerksordnung oder des Berufsbildungsgesetzes aufbauend auf einer einschlägigen mindestens dreijährigen Ausbildung bestanden haben. </w:t>
      </w:r>
      <w:r w:rsidRPr="008F22D8">
        <w:rPr>
          <w:sz w:val="12"/>
          <w:szCs w:val="12"/>
        </w:rPr>
        <w:t>2</w:t>
      </w:r>
      <w:r w:rsidRPr="00120F45">
        <w:rPr>
          <w:szCs w:val="16"/>
        </w:rPr>
        <w:t>Die Voraussetzung der Meisterprüfung ist auch erfüllt, wenn diese auf einer früheren Ausbildung mit einer kür</w:t>
      </w:r>
      <w:r>
        <w:rPr>
          <w:szCs w:val="16"/>
        </w:rPr>
        <w:t>zeren Ausbildungsdauer aufbaut.</w:t>
      </w:r>
    </w:p>
    <w:p w:rsidR="00BE1EFE" w:rsidRPr="006C60ED" w:rsidRDefault="00BE1EFE" w:rsidP="00EC3F42">
      <w:pPr>
        <w:pStyle w:val="berschrift7"/>
        <w:rPr>
          <w:sz w:val="16"/>
          <w:szCs w:val="16"/>
        </w:rPr>
      </w:pPr>
      <w:bookmarkStart w:id="167" w:name="_Toc523925833"/>
      <w:r w:rsidRPr="006C60ED">
        <w:rPr>
          <w:sz w:val="16"/>
          <w:szCs w:val="16"/>
        </w:rPr>
        <w:t>Entgeltgruppe 8</w:t>
      </w:r>
      <w:bookmarkEnd w:id="167"/>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Meisterinnen und Meiste</w:t>
      </w:r>
      <w:r>
        <w:rPr>
          <w:szCs w:val="16"/>
        </w:rPr>
        <w:t>r mit entsprechender Tätigkeit.</w:t>
      </w:r>
    </w:p>
    <w:p w:rsidR="00BE1EFE" w:rsidRPr="006C60ED" w:rsidRDefault="00BE1EFE" w:rsidP="00EC3F42">
      <w:pPr>
        <w:pStyle w:val="berschrift7"/>
        <w:rPr>
          <w:sz w:val="16"/>
          <w:szCs w:val="16"/>
        </w:rPr>
      </w:pPr>
      <w:bookmarkStart w:id="168" w:name="_Toc523925834"/>
      <w:r w:rsidRPr="006C60ED">
        <w:rPr>
          <w:sz w:val="16"/>
          <w:szCs w:val="16"/>
        </w:rPr>
        <w:t>Entgeltgruppe 9a</w:t>
      </w:r>
      <w:bookmarkEnd w:id="168"/>
    </w:p>
    <w:p w:rsidR="00BE1EFE" w:rsidRPr="00120F45" w:rsidRDefault="00BE1EFE" w:rsidP="00E91516">
      <w:pPr>
        <w:pStyle w:val="StandardWeb"/>
        <w:rPr>
          <w:szCs w:val="16"/>
        </w:rPr>
      </w:pPr>
    </w:p>
    <w:p w:rsidR="00BE1EFE" w:rsidRPr="00CE7860" w:rsidRDefault="00BE1EFE" w:rsidP="00E91516">
      <w:pPr>
        <w:pStyle w:val="StandardWeb"/>
        <w:rPr>
          <w:szCs w:val="16"/>
        </w:rPr>
      </w:pPr>
      <w:r>
        <w:rPr>
          <w:szCs w:val="16"/>
        </w:rPr>
        <w:t>1. </w:t>
      </w:r>
      <w:r w:rsidRPr="00CE7860">
        <w:rPr>
          <w:szCs w:val="16"/>
        </w:rPr>
        <w:t>Beschäftigte der Entgeltgruppe 8,</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große Arbeitsstätten (Bereiche, Werkstätten, Abteilungen oder Betriebe) zu beaufsichtigen haben, in denen Handwerkerinnen oder Handwerker oder Facharbeiterinnen oder Fachar</w:t>
      </w:r>
      <w:r>
        <w:rPr>
          <w:szCs w:val="16"/>
        </w:rPr>
        <w:softHyphen/>
      </w:r>
      <w:r w:rsidRPr="00120F45">
        <w:rPr>
          <w:szCs w:val="16"/>
        </w:rPr>
        <w:t>beiter beschäftigt sind,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an einer besonders wichtigen Arbeitsstätte mit einem höheren Maß von Verantwortlichkeit beschäftigt sind.</w:t>
      </w:r>
    </w:p>
    <w:p w:rsidR="00BE1EFE" w:rsidRPr="00120F45" w:rsidRDefault="00BE1EFE" w:rsidP="00E91516">
      <w:pPr>
        <w:pStyle w:val="StandardWeb"/>
        <w:rPr>
          <w:szCs w:val="16"/>
        </w:rPr>
      </w:pPr>
    </w:p>
    <w:p w:rsidR="00BE1EFE" w:rsidRPr="00120F45" w:rsidRDefault="00BE1EFE" w:rsidP="00E91516">
      <w:pPr>
        <w:pStyle w:val="StandardWeb"/>
        <w:rPr>
          <w:szCs w:val="16"/>
        </w:rPr>
      </w:pPr>
    </w:p>
    <w:p w:rsidR="00BE1EFE" w:rsidRPr="00CE7860" w:rsidRDefault="00BE1EFE" w:rsidP="00E91516">
      <w:pPr>
        <w:pStyle w:val="StandardWeb"/>
        <w:rPr>
          <w:szCs w:val="16"/>
        </w:rPr>
      </w:pPr>
      <w:r>
        <w:rPr>
          <w:szCs w:val="16"/>
        </w:rPr>
        <w:t>2. </w:t>
      </w:r>
      <w:r w:rsidRPr="00CE7860">
        <w:rPr>
          <w:szCs w:val="16"/>
        </w:rPr>
        <w:t>Gärtnermeisterinnen und Gärtnermeister der Entgeltgruppe 8,</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die besonders schwierige Arbeitsbereiche zu beaufsichtigen haben, in denen Gärtnerinnen oder Gärtner mit abgeschlossener Berufsausbildung beschäftigt werden, oder</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deren Tätigkeit sich dadurch aus der Entgeltgruppe 8 heraushebt, dass sie in einem besonders bedeutenden Arbeitsbereich mit einem höheren Maß von Verantwortlichkeit auszuüben ist.</w:t>
      </w:r>
    </w:p>
    <w:p w:rsidR="00BE1EFE" w:rsidRPr="00120F45" w:rsidRDefault="00BE1EFE" w:rsidP="00E91516">
      <w:pPr>
        <w:pStyle w:val="StandardWeb"/>
        <w:rPr>
          <w:szCs w:val="16"/>
        </w:rPr>
      </w:pPr>
      <w:r w:rsidRPr="00120F45">
        <w:rPr>
          <w:szCs w:val="16"/>
        </w:rPr>
        <w:t>(Hier</w:t>
      </w:r>
      <w:r>
        <w:rPr>
          <w:szCs w:val="16"/>
        </w:rPr>
        <w:t>zu Anmerkungen Nummern 1 und 2)</w:t>
      </w:r>
    </w:p>
    <w:p w:rsidR="00BE1EFE" w:rsidRPr="006C60ED" w:rsidRDefault="00BE1EFE" w:rsidP="00EC3F42">
      <w:pPr>
        <w:pStyle w:val="berschrift7"/>
        <w:rPr>
          <w:sz w:val="16"/>
          <w:szCs w:val="16"/>
        </w:rPr>
      </w:pPr>
      <w:bookmarkStart w:id="169" w:name="_Toc523925835"/>
      <w:r w:rsidRPr="006C60ED">
        <w:rPr>
          <w:sz w:val="16"/>
          <w:szCs w:val="16"/>
        </w:rPr>
        <w:t>Entgeltgruppe 9b</w:t>
      </w:r>
      <w:bookmarkEnd w:id="169"/>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1. </w:t>
      </w:r>
      <w:r w:rsidRPr="00120F45">
        <w:rPr>
          <w:szCs w:val="16"/>
        </w:rPr>
        <w:t>Beschäftigte der Entgeltgruppe 9a Fallgruppe 1, deren Tätigkeit sich durch den Umfang und die Bedeutung des Aufgabengebietes sowie durch große Selbstständigkeit wesentlich aus der Entgeltgruppe 9a Fallgruppe 1 heraushebt.</w:t>
      </w:r>
    </w:p>
    <w:p w:rsidR="00BE1EFE" w:rsidRPr="00120F45" w:rsidRDefault="00BE1EFE" w:rsidP="00E91516">
      <w:pPr>
        <w:pStyle w:val="StandardWeb"/>
        <w:rPr>
          <w:szCs w:val="16"/>
        </w:rPr>
      </w:pPr>
    </w:p>
    <w:p w:rsidR="00BE1EFE" w:rsidRDefault="00BE1EFE" w:rsidP="00E91516">
      <w:pPr>
        <w:pStyle w:val="StandardWeb"/>
        <w:rPr>
          <w:szCs w:val="16"/>
        </w:rPr>
      </w:pPr>
      <w:r>
        <w:rPr>
          <w:szCs w:val="16"/>
        </w:rPr>
        <w:t>2. </w:t>
      </w:r>
      <w:r w:rsidRPr="00120F45">
        <w:rPr>
          <w:szCs w:val="16"/>
        </w:rPr>
        <w:t>Beschäftigte der Entgeltgruppe 9a Fallgruppe 2, deren Tätigkeit sich durch den Umfang und die Bedeutung ihres Aufgabengebietes sowie durch große Selbstständigkeit wesentlich aus der Entgeltgru</w:t>
      </w:r>
      <w:r>
        <w:rPr>
          <w:szCs w:val="16"/>
        </w:rPr>
        <w:t>ppe 9a Fallgruppe 2 heraushebt.</w:t>
      </w:r>
    </w:p>
    <w:p w:rsidR="00BE1EFE" w:rsidRDefault="00BE1EFE" w:rsidP="00E91516">
      <w:pPr>
        <w:pStyle w:val="StandardWeb"/>
        <w:rPr>
          <w:szCs w:val="16"/>
        </w:rPr>
      </w:pPr>
    </w:p>
    <w:p w:rsidR="00BE1EFE" w:rsidRPr="00120F45" w:rsidRDefault="00BE1EFE" w:rsidP="00E91516">
      <w:pPr>
        <w:pStyle w:val="StandardWeb"/>
        <w:rPr>
          <w:szCs w:val="16"/>
        </w:rPr>
      </w:pPr>
    </w:p>
    <w:p w:rsidR="00BE1EFE" w:rsidRPr="006C60ED" w:rsidRDefault="00BE1EFE" w:rsidP="00EC3F42">
      <w:pPr>
        <w:pStyle w:val="berschrift7"/>
        <w:rPr>
          <w:sz w:val="16"/>
          <w:szCs w:val="16"/>
        </w:rPr>
      </w:pPr>
      <w:bookmarkStart w:id="170" w:name="_Toc523925836"/>
      <w:r w:rsidRPr="006C60ED">
        <w:rPr>
          <w:sz w:val="16"/>
          <w:szCs w:val="16"/>
        </w:rPr>
        <w:t>Entgeltgruppe 9c</w:t>
      </w:r>
      <w:bookmarkEnd w:id="170"/>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Meisterinnen und Meister mit besonders verantwortungsvoller Tätigkeit als Leiterinnen oder Leiter von großen und vielschichtig strukturierten Instandsetzungsbereichen oder mit vergleichbarer Tätigkeit, die wegen der Schwierigkeit der Aufgaben und der Größe der Verantwortung ebenso zu bewerten </w:t>
      </w:r>
      <w:proofErr w:type="gramStart"/>
      <w:r w:rsidRPr="00120F45">
        <w:rPr>
          <w:szCs w:val="16"/>
        </w:rPr>
        <w:t>ist</w:t>
      </w:r>
      <w:proofErr w:type="gramEnd"/>
      <w:r w:rsidRPr="00120F45">
        <w:rPr>
          <w:szCs w:val="16"/>
        </w:rPr>
        <w:t>.</w:t>
      </w:r>
    </w:p>
    <w:p w:rsidR="00BE1EFE" w:rsidRPr="00120F45" w:rsidRDefault="00BE1EFE" w:rsidP="00E91516">
      <w:pPr>
        <w:pStyle w:val="StandardWeb"/>
        <w:rPr>
          <w:szCs w:val="16"/>
        </w:rPr>
      </w:pPr>
      <w:r>
        <w:rPr>
          <w:szCs w:val="16"/>
        </w:rPr>
        <w:t xml:space="preserve">(Hierzu Anmerkung Nummer 3) </w:t>
      </w:r>
    </w:p>
    <w:p w:rsidR="00BE1EFE" w:rsidRPr="001F22A4" w:rsidRDefault="00BE1EFE" w:rsidP="00604213">
      <w:pPr>
        <w:pStyle w:val="h8"/>
      </w:pPr>
      <w:bookmarkStart w:id="171" w:name="_Toc523925837"/>
      <w:r w:rsidRPr="001F22A4">
        <w:t>Anmerkungen:</w:t>
      </w:r>
      <w:bookmarkEnd w:id="171"/>
    </w:p>
    <w:p w:rsidR="00BE1EFE" w:rsidRPr="00B76821" w:rsidRDefault="00BE1EFE" w:rsidP="00B76821">
      <w:pPr>
        <w:pStyle w:val="h9"/>
        <w:keepNext w:val="0"/>
        <w:spacing w:before="0" w:after="0"/>
        <w:outlineLvl w:val="5"/>
        <w:rPr>
          <w:sz w:val="2"/>
        </w:rPr>
      </w:pPr>
    </w:p>
    <w:p w:rsidR="00BE1EFE" w:rsidRPr="001F22A4" w:rsidRDefault="00BE1EFE" w:rsidP="00E91516">
      <w:pPr>
        <w:pStyle w:val="StandardWeb"/>
        <w:rPr>
          <w:sz w:val="12"/>
          <w:szCs w:val="12"/>
        </w:rPr>
      </w:pPr>
      <w:r w:rsidRPr="001F22A4">
        <w:rPr>
          <w:sz w:val="12"/>
          <w:szCs w:val="12"/>
        </w:rPr>
        <w:t xml:space="preserve">1. Arbeitsbereiche im Sinne dieses Tätigkeitsmerkmals sind </w:t>
      </w:r>
      <w:r>
        <w:rPr>
          <w:sz w:val="12"/>
          <w:szCs w:val="12"/>
        </w:rPr>
        <w:t>z. B.</w:t>
      </w:r>
      <w:r w:rsidRPr="001F22A4">
        <w:rPr>
          <w:sz w:val="12"/>
          <w:szCs w:val="12"/>
        </w:rPr>
        <w:t xml:space="preserve"> Reviere (Bezirke), Betriebsstätten, Friedhöfe.</w:t>
      </w:r>
    </w:p>
    <w:p w:rsidR="00BE1EFE" w:rsidRPr="001F22A4" w:rsidRDefault="00BE1EFE" w:rsidP="00E91516">
      <w:pPr>
        <w:pStyle w:val="StandardWeb"/>
        <w:rPr>
          <w:sz w:val="12"/>
          <w:szCs w:val="12"/>
        </w:rPr>
      </w:pPr>
    </w:p>
    <w:p w:rsidR="00BE1EFE" w:rsidRPr="001F22A4" w:rsidRDefault="00BE1EFE" w:rsidP="00E91516">
      <w:pPr>
        <w:pStyle w:val="StandardWeb"/>
        <w:rPr>
          <w:sz w:val="12"/>
          <w:szCs w:val="12"/>
        </w:rPr>
      </w:pPr>
      <w:r w:rsidRPr="001F22A4">
        <w:rPr>
          <w:sz w:val="12"/>
          <w:szCs w:val="12"/>
        </w:rPr>
        <w:t>2. Besonders schwierige Arbeitsbereiche im Sinne dieses Tätigkeitsmerkmals sind solche, die erheblich über den normalen Schwierigkeitsgrad hinausgehen.</w:t>
      </w:r>
    </w:p>
    <w:p w:rsidR="00BE1EFE" w:rsidRPr="001F22A4" w:rsidRDefault="00BE1EFE" w:rsidP="00E91516">
      <w:pPr>
        <w:pStyle w:val="StandardWeb"/>
        <w:rPr>
          <w:sz w:val="12"/>
          <w:szCs w:val="12"/>
        </w:rPr>
      </w:pPr>
    </w:p>
    <w:p w:rsidR="00BE1EFE" w:rsidRDefault="00BE1EFE" w:rsidP="00E91516">
      <w:pPr>
        <w:pStyle w:val="StandardWeb"/>
        <w:rPr>
          <w:sz w:val="12"/>
          <w:szCs w:val="12"/>
        </w:rPr>
      </w:pPr>
      <w:r>
        <w:rPr>
          <w:sz w:val="12"/>
          <w:szCs w:val="12"/>
        </w:rPr>
        <w:t>3. </w:t>
      </w:r>
      <w:r w:rsidRPr="001F22A4">
        <w:rPr>
          <w:sz w:val="12"/>
          <w:szCs w:val="12"/>
        </w:rPr>
        <w:t>1Ein vielschichtig strukturierter Bereich liegt vor, wenn in diesem Bereich die Arbeit von mindestens drei Gewerken zu koordinieren ist und mindestens drei Gewerken jeweils Meisterinnen oder Meister vorstehen. 2Gewerke sind Fachrichtungen im Sinne anerkannter Ausbildungsberufe, in denen die Meisterprüfung abgelegt werden kann. 3Im Mehrschichtbetrieb ist es unschädlich, wenn in den mindestens drei Gewerken nicht in allen Schichten jeweils Meisterinne</w:t>
      </w:r>
      <w:r>
        <w:rPr>
          <w:sz w:val="12"/>
          <w:szCs w:val="12"/>
        </w:rPr>
        <w:t>n oder Meister eingesetzt sind.</w:t>
      </w:r>
    </w:p>
    <w:p w:rsidR="00BE1EFE" w:rsidRPr="00120F45" w:rsidRDefault="00BE1EFE" w:rsidP="00E91516">
      <w:pPr>
        <w:pStyle w:val="StandardWeb"/>
        <w:rPr>
          <w:szCs w:val="16"/>
        </w:rPr>
      </w:pPr>
      <w:r>
        <w:rPr>
          <w:szCs w:val="16"/>
        </w:rPr>
        <w:br w:type="page"/>
      </w:r>
    </w:p>
    <w:p w:rsidR="00BE1EFE" w:rsidRPr="00EC3F42" w:rsidRDefault="00BE1EFE" w:rsidP="00D73AE0">
      <w:pPr>
        <w:pStyle w:val="h7"/>
        <w:jc w:val="left"/>
      </w:pPr>
      <w:bookmarkStart w:id="172" w:name="_Toc473549822"/>
      <w:bookmarkStart w:id="173" w:name="_Toc523925838"/>
      <w:r w:rsidRPr="00EC3F42">
        <w:lastRenderedPageBreak/>
        <w:t>5. Technikerinnen und Techniker</w:t>
      </w:r>
      <w:bookmarkEnd w:id="172"/>
      <w:bookmarkEnd w:id="173"/>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p>
    <w:p w:rsidR="00BE1EFE" w:rsidRPr="001F22A4" w:rsidRDefault="00BE1EFE" w:rsidP="00E91516">
      <w:pPr>
        <w:pStyle w:val="StandardWeb"/>
        <w:rPr>
          <w:b/>
          <w:szCs w:val="16"/>
        </w:rPr>
      </w:pPr>
      <w:r w:rsidRPr="001F22A4">
        <w:rPr>
          <w:b/>
          <w:szCs w:val="16"/>
        </w:rPr>
        <w:t>Vorbemerkung</w:t>
      </w:r>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Staatlich geprüfte Technikerinnen und Techniker sind Beschäftigte, die nach dem Berufsordnungsrecht </w:t>
      </w:r>
      <w:r>
        <w:rPr>
          <w:szCs w:val="16"/>
        </w:rPr>
        <w:t>diese Berufsbezeichnung führen.</w:t>
      </w:r>
    </w:p>
    <w:p w:rsidR="00BE1EFE" w:rsidRPr="006C60ED" w:rsidRDefault="00BE1EFE" w:rsidP="00EC3F42">
      <w:pPr>
        <w:pStyle w:val="berschrift7"/>
        <w:rPr>
          <w:sz w:val="16"/>
          <w:szCs w:val="16"/>
        </w:rPr>
      </w:pPr>
      <w:bookmarkStart w:id="174" w:name="_Toc523925839"/>
      <w:r w:rsidRPr="006C60ED">
        <w:rPr>
          <w:sz w:val="16"/>
          <w:szCs w:val="16"/>
        </w:rPr>
        <w:t>Entgeltgruppe 8</w:t>
      </w:r>
      <w:bookmarkEnd w:id="174"/>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Staatlich geprüfte Technikerinnen und Techniker mit entsprechender Tätigkeit sowie sonstige Beschäftigte, die aufgrund gleichwertiger Fähigkeiten und ihrer Erfahrungen ent</w:t>
      </w:r>
      <w:r>
        <w:rPr>
          <w:szCs w:val="16"/>
        </w:rPr>
        <w:t>sprechende Tätigkeiten ausüben.</w:t>
      </w:r>
    </w:p>
    <w:p w:rsidR="00BE1EFE" w:rsidRPr="006C60ED" w:rsidRDefault="00BE1EFE" w:rsidP="00EC3F42">
      <w:pPr>
        <w:pStyle w:val="berschrift7"/>
        <w:rPr>
          <w:sz w:val="16"/>
          <w:szCs w:val="16"/>
        </w:rPr>
      </w:pPr>
      <w:bookmarkStart w:id="175" w:name="_Toc523925840"/>
      <w:r w:rsidRPr="006C60ED">
        <w:rPr>
          <w:sz w:val="16"/>
          <w:szCs w:val="16"/>
        </w:rPr>
        <w:t>Entgeltgruppe 9a</w:t>
      </w:r>
      <w:bookmarkEnd w:id="175"/>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Beschäftigte der Entgeltgruppe 8, die selbstständig tätig sind. </w:t>
      </w:r>
    </w:p>
    <w:p w:rsidR="00BE1EFE" w:rsidRPr="00120F45" w:rsidRDefault="00BE1EFE" w:rsidP="00E91516">
      <w:pPr>
        <w:pStyle w:val="StandardWeb"/>
        <w:rPr>
          <w:szCs w:val="16"/>
        </w:rPr>
      </w:pPr>
      <w:r>
        <w:rPr>
          <w:szCs w:val="16"/>
        </w:rPr>
        <w:t>(Hierzu Anmerkung Nummer 1)</w:t>
      </w:r>
    </w:p>
    <w:p w:rsidR="00BE1EFE" w:rsidRPr="006C60ED" w:rsidRDefault="00BE1EFE" w:rsidP="00EC3F42">
      <w:pPr>
        <w:pStyle w:val="berschrift7"/>
        <w:rPr>
          <w:sz w:val="16"/>
          <w:szCs w:val="16"/>
        </w:rPr>
      </w:pPr>
      <w:bookmarkStart w:id="176" w:name="_Toc523925841"/>
      <w:r w:rsidRPr="006C60ED">
        <w:rPr>
          <w:sz w:val="16"/>
          <w:szCs w:val="16"/>
        </w:rPr>
        <w:t>Entgeltgruppe 9b</w:t>
      </w:r>
      <w:bookmarkEnd w:id="176"/>
    </w:p>
    <w:p w:rsidR="00BE1EFE" w:rsidRPr="00120F45" w:rsidRDefault="00BE1EFE" w:rsidP="00E91516">
      <w:pPr>
        <w:pStyle w:val="StandardWeb"/>
        <w:rPr>
          <w:szCs w:val="16"/>
        </w:rPr>
      </w:pPr>
    </w:p>
    <w:p w:rsidR="00BE1EFE" w:rsidRPr="00120F45" w:rsidRDefault="00BE1EFE" w:rsidP="00E91516">
      <w:pPr>
        <w:pStyle w:val="StandardWeb"/>
        <w:rPr>
          <w:szCs w:val="16"/>
        </w:rPr>
      </w:pPr>
      <w:r w:rsidRPr="00120F45">
        <w:rPr>
          <w:szCs w:val="16"/>
        </w:rPr>
        <w:t xml:space="preserve">Beschäftigte der Entgeltgruppe 9a, die schwierige Aufgaben erfüllen. </w:t>
      </w:r>
    </w:p>
    <w:p w:rsidR="00BE1EFE" w:rsidRPr="00120F45" w:rsidRDefault="00BE1EFE" w:rsidP="00E91516">
      <w:pPr>
        <w:pStyle w:val="StandardWeb"/>
        <w:rPr>
          <w:szCs w:val="16"/>
        </w:rPr>
      </w:pPr>
      <w:r>
        <w:rPr>
          <w:szCs w:val="16"/>
        </w:rPr>
        <w:t>(Hierzu Anmerkung Nummer 2)</w:t>
      </w:r>
    </w:p>
    <w:p w:rsidR="00BE1EFE" w:rsidRPr="001F22A4" w:rsidRDefault="00BE1EFE" w:rsidP="00604213">
      <w:pPr>
        <w:pStyle w:val="h8"/>
      </w:pPr>
      <w:bookmarkStart w:id="177" w:name="_Toc523925842"/>
      <w:r w:rsidRPr="001F22A4">
        <w:t>Anmerkungen:</w:t>
      </w:r>
      <w:bookmarkEnd w:id="177"/>
    </w:p>
    <w:p w:rsidR="00BE1EFE" w:rsidRPr="00B76821" w:rsidRDefault="00BE1EFE" w:rsidP="00B76821">
      <w:pPr>
        <w:pStyle w:val="h9"/>
        <w:keepNext w:val="0"/>
        <w:spacing w:before="0" w:after="0"/>
        <w:outlineLvl w:val="5"/>
        <w:rPr>
          <w:sz w:val="2"/>
        </w:rPr>
      </w:pPr>
    </w:p>
    <w:p w:rsidR="00BE1EFE" w:rsidRPr="001F22A4" w:rsidRDefault="00BE1EFE" w:rsidP="00E91516">
      <w:pPr>
        <w:pStyle w:val="StandardWeb"/>
        <w:rPr>
          <w:sz w:val="12"/>
          <w:szCs w:val="12"/>
        </w:rPr>
      </w:pPr>
      <w:r>
        <w:rPr>
          <w:sz w:val="12"/>
          <w:szCs w:val="12"/>
        </w:rPr>
        <w:t>1. </w:t>
      </w:r>
      <w:r w:rsidRPr="001F22A4">
        <w:rPr>
          <w:sz w:val="12"/>
          <w:szCs w:val="12"/>
        </w:rPr>
        <w:t>1Technikerinnen und Techniker sind selbstständig tätig, wenn sie bei technischen Arbeitsabläufen in Ausführung technischer, mehr routinemäßiger Entwurfs-, Leitungs- und Planungsarbeiten eigene technische Entscheidungen zu treffen haben. 2Dass das Arbeitsergebnis einer Kontrolle, einer fachlichen Anleitung und Überwachung durch Vorgesetzte unterworfen wird, berührt die Selbstständigkeit der Tätigkeit nicht. 3Anhand der nach der Ausbildung vorauszusetzenden Kenntnisse sind der zur Erfüllung der Aufgabe einzuschlagende Weg und die anzuwendende Methode zu finden.</w:t>
      </w:r>
    </w:p>
    <w:p w:rsidR="00BE1EFE" w:rsidRPr="001F22A4" w:rsidRDefault="00BE1EFE" w:rsidP="00E91516">
      <w:pPr>
        <w:pStyle w:val="StandardWeb"/>
        <w:rPr>
          <w:sz w:val="12"/>
          <w:szCs w:val="12"/>
        </w:rPr>
      </w:pPr>
    </w:p>
    <w:p w:rsidR="00BE1EFE" w:rsidRPr="007B08F0" w:rsidRDefault="00BE1EFE" w:rsidP="00E91516">
      <w:pPr>
        <w:pStyle w:val="StandardWeb"/>
        <w:rPr>
          <w:sz w:val="12"/>
          <w:szCs w:val="12"/>
        </w:rPr>
      </w:pPr>
      <w:r>
        <w:rPr>
          <w:sz w:val="12"/>
          <w:szCs w:val="12"/>
        </w:rPr>
        <w:t>2. </w:t>
      </w:r>
      <w:r w:rsidRPr="001F22A4">
        <w:rPr>
          <w:sz w:val="12"/>
          <w:szCs w:val="12"/>
        </w:rPr>
        <w:t>Schwierige Aufgaben sind Aufgaben, die in dem betreffenden Fachgebiet im oberen Bereich der Schwierigkeitsskala liegen oder die in konkreten Einzelfällen wegen der Besonderheiten Leistungen erfordern, die über das im Regelfall erforderliche Maß an Kenntnissen und Fähigkeiten wesentlich hinausgehen, z. B. durch die Breite des geforderten fachlichen Wissens und Könnens, die geforderten Spezialkenntnisse, außergewöhnliche Erfahrungen oder sonstige Qualifizieru</w:t>
      </w:r>
      <w:r>
        <w:rPr>
          <w:sz w:val="12"/>
          <w:szCs w:val="12"/>
        </w:rPr>
        <w:t>ngen vergleichbarer Wertigkeit.</w:t>
      </w:r>
    </w:p>
    <w:p w:rsidR="00BE1EFE" w:rsidRPr="00EC3F42" w:rsidRDefault="00BE1EFE" w:rsidP="00D73AE0">
      <w:pPr>
        <w:pStyle w:val="h7"/>
        <w:jc w:val="left"/>
      </w:pPr>
      <w:bookmarkStart w:id="178" w:name="_Toc473549823"/>
      <w:bookmarkStart w:id="179" w:name="_Toc523925843"/>
      <w:r w:rsidRPr="00EC3F42">
        <w:t>6. Vorlesekräfte für Blinde</w:t>
      </w:r>
      <w:bookmarkEnd w:id="178"/>
      <w:bookmarkEnd w:id="179"/>
    </w:p>
    <w:p w:rsidR="00BE1EFE" w:rsidRPr="00604213" w:rsidRDefault="00BE1EFE" w:rsidP="00590469">
      <w:pPr>
        <w:pStyle w:val="h8"/>
      </w:pPr>
      <w:bookmarkStart w:id="180" w:name="_Toc523925844"/>
      <w:r w:rsidRPr="006C60ED">
        <w:t>Entgeltgruppe 5</w:t>
      </w:r>
      <w:bookmarkEnd w:id="180"/>
    </w:p>
    <w:p w:rsidR="00BE1EFE" w:rsidRPr="00B76821" w:rsidRDefault="00BE1EFE" w:rsidP="00B76821">
      <w:pPr>
        <w:pStyle w:val="h9"/>
        <w:keepNext w:val="0"/>
        <w:spacing w:before="0" w:after="0"/>
        <w:outlineLvl w:val="5"/>
        <w:rPr>
          <w:sz w:val="2"/>
        </w:rPr>
      </w:pPr>
    </w:p>
    <w:p w:rsidR="00BE1EFE" w:rsidRPr="00120F45" w:rsidRDefault="00BE1EFE" w:rsidP="00E91516">
      <w:pPr>
        <w:pStyle w:val="StandardWeb"/>
        <w:rPr>
          <w:szCs w:val="16"/>
        </w:rPr>
      </w:pPr>
      <w:r>
        <w:rPr>
          <w:szCs w:val="16"/>
        </w:rPr>
        <w:t>Vorlesekräfte für Blinde.</w:t>
      </w:r>
    </w:p>
    <w:p w:rsidR="00BE1EFE" w:rsidRPr="00604213" w:rsidRDefault="00BE1EFE" w:rsidP="00604213">
      <w:pPr>
        <w:pStyle w:val="h8"/>
      </w:pPr>
      <w:bookmarkStart w:id="181" w:name="_Toc523925845"/>
      <w:r w:rsidRPr="006C60ED">
        <w:t>Entgeltgruppe 6</w:t>
      </w:r>
      <w:bookmarkEnd w:id="181"/>
    </w:p>
    <w:p w:rsidR="00BE1EFE" w:rsidRPr="00B76821" w:rsidRDefault="00BE1EFE" w:rsidP="00B76821">
      <w:pPr>
        <w:pStyle w:val="h9"/>
        <w:keepNext w:val="0"/>
        <w:spacing w:before="0" w:after="0"/>
        <w:outlineLvl w:val="5"/>
        <w:rPr>
          <w:sz w:val="2"/>
        </w:rPr>
      </w:pPr>
    </w:p>
    <w:p w:rsidR="00BE1EFE" w:rsidRDefault="00BE1EFE" w:rsidP="00767F41">
      <w:pPr>
        <w:pStyle w:val="StandardWeb"/>
        <w:rPr>
          <w:szCs w:val="16"/>
        </w:rPr>
      </w:pPr>
      <w:r w:rsidRPr="00120F45">
        <w:rPr>
          <w:szCs w:val="16"/>
        </w:rPr>
        <w:t>Vorlesekräfte für Blin</w:t>
      </w:r>
      <w:r>
        <w:rPr>
          <w:szCs w:val="16"/>
        </w:rPr>
        <w:t>de mit schwierigerer Tätigkeit.</w:t>
      </w:r>
    </w:p>
    <w:p w:rsidR="00BE1EFE" w:rsidRDefault="00BE1EFE" w:rsidP="00E91516">
      <w:pPr>
        <w:pStyle w:val="StandardWeb"/>
        <w:rPr>
          <w:sz w:val="12"/>
          <w:szCs w:val="12"/>
        </w:rPr>
      </w:pPr>
    </w:p>
    <w:p w:rsidR="00BE1EFE" w:rsidRPr="00947F4C" w:rsidRDefault="00BE1EFE" w:rsidP="004D7DD8">
      <w:pPr>
        <w:pStyle w:val="StandardWeb"/>
        <w:rPr>
          <w:sz w:val="2"/>
          <w:szCs w:val="2"/>
        </w:rPr>
      </w:pPr>
      <w:r>
        <w:br w:type="page"/>
      </w:r>
    </w:p>
    <w:p w:rsidR="00BE1EFE" w:rsidRDefault="00BE1EFE" w:rsidP="00947F4C">
      <w:pPr>
        <w:pStyle w:val="berschrift5"/>
        <w:spacing w:before="0"/>
      </w:pPr>
      <w:bookmarkStart w:id="182" w:name="_Toc523925846"/>
      <w:r>
        <w:lastRenderedPageBreak/>
        <w:t>A, 2.3. Zusätzliche Tätigkeitsmerkmale für bestimmte Angestelltengruppen</w:t>
      </w:r>
      <w:bookmarkEnd w:id="182"/>
    </w:p>
    <w:p w:rsidR="00BE1EFE" w:rsidRPr="00120F45" w:rsidRDefault="00BE1EFE" w:rsidP="00224544">
      <w:pPr>
        <w:pStyle w:val="berschrift6"/>
      </w:pPr>
      <w:bookmarkStart w:id="183" w:name="_Toc473549825"/>
      <w:bookmarkStart w:id="184" w:name="_Toc523925847"/>
      <w:r>
        <w:t>7.</w:t>
      </w:r>
      <w:r>
        <w:rPr>
          <w:lang w:eastAsia="x-none"/>
        </w:rPr>
        <w:t xml:space="preserve"> </w:t>
      </w:r>
      <w:r w:rsidRPr="00120F45">
        <w:t>Apothekerinnen und Apotheker</w:t>
      </w:r>
      <w:bookmarkEnd w:id="183"/>
      <w:r w:rsidR="00694224">
        <w:t xml:space="preserve"> </w:t>
      </w:r>
      <w:r w:rsidR="00694224" w:rsidRPr="00694224">
        <w:rPr>
          <w:b w:val="0"/>
          <w:i/>
        </w:rPr>
        <w:t>(frei)</w:t>
      </w:r>
      <w:bookmarkEnd w:id="184"/>
    </w:p>
    <w:p w:rsidR="00BE1EFE" w:rsidRPr="00120F45" w:rsidRDefault="00BE1EFE" w:rsidP="00D645FF">
      <w:pPr>
        <w:pStyle w:val="StandardWeb"/>
        <w:jc w:val="left"/>
        <w:rPr>
          <w:szCs w:val="16"/>
        </w:rPr>
      </w:pPr>
    </w:p>
    <w:p w:rsidR="00BE1EFE" w:rsidRPr="00120F45" w:rsidRDefault="00BE1EFE" w:rsidP="00224544">
      <w:pPr>
        <w:pStyle w:val="berschrift6"/>
      </w:pPr>
      <w:bookmarkStart w:id="185" w:name="_Toc473549826"/>
      <w:bookmarkStart w:id="186" w:name="_Toc523925848"/>
      <w:r>
        <w:t xml:space="preserve">8. </w:t>
      </w:r>
      <w:r w:rsidRPr="00120F45">
        <w:t>Ärztinnen und Ärzte</w:t>
      </w:r>
      <w:bookmarkEnd w:id="185"/>
      <w:r w:rsidRPr="00120F45">
        <w:t xml:space="preserve"> </w:t>
      </w:r>
      <w:r w:rsidR="00694224" w:rsidRPr="00694224">
        <w:rPr>
          <w:b w:val="0"/>
          <w:i/>
        </w:rPr>
        <w:t>(frei)</w:t>
      </w:r>
      <w:bookmarkEnd w:id="186"/>
    </w:p>
    <w:p w:rsidR="00BE1EFE" w:rsidRPr="00B76821" w:rsidRDefault="00BE1EFE" w:rsidP="00B76821">
      <w:pPr>
        <w:pStyle w:val="h7"/>
        <w:keepNext w:val="0"/>
        <w:spacing w:before="0" w:after="0"/>
        <w:jc w:val="left"/>
        <w:outlineLvl w:val="5"/>
        <w:rPr>
          <w:sz w:val="2"/>
        </w:rPr>
      </w:pPr>
    </w:p>
    <w:p w:rsidR="00BE1EFE" w:rsidRPr="00120F45" w:rsidRDefault="00BE1EFE" w:rsidP="008A1E74">
      <w:pPr>
        <w:pStyle w:val="StandardWeb"/>
        <w:jc w:val="left"/>
        <w:rPr>
          <w:szCs w:val="16"/>
        </w:rPr>
      </w:pPr>
    </w:p>
    <w:p w:rsidR="00BE1EFE" w:rsidRPr="00E93D41" w:rsidRDefault="00BE1EFE" w:rsidP="00224544">
      <w:pPr>
        <w:pStyle w:val="berschrift6"/>
        <w:rPr>
          <w:lang w:eastAsia="x-none"/>
        </w:rPr>
      </w:pPr>
      <w:bookmarkStart w:id="187" w:name="_Toc473549827"/>
      <w:bookmarkStart w:id="188" w:name="_Toc523925849"/>
      <w:r>
        <w:t xml:space="preserve">9. </w:t>
      </w:r>
      <w:r w:rsidRPr="00120F45">
        <w:t>Beschäftigte in Bäderbetrieben</w:t>
      </w:r>
      <w:bookmarkEnd w:id="187"/>
      <w:bookmarkEnd w:id="188"/>
    </w:p>
    <w:p w:rsidR="00BE1EFE" w:rsidRPr="00B76821" w:rsidRDefault="00BE1EFE" w:rsidP="00B76821">
      <w:pPr>
        <w:pStyle w:val="h7"/>
        <w:keepNext w:val="0"/>
        <w:spacing w:before="0" w:after="0"/>
        <w:jc w:val="left"/>
        <w:outlineLvl w:val="5"/>
        <w:rPr>
          <w:sz w:val="2"/>
        </w:rPr>
      </w:pPr>
      <w:bookmarkStart w:id="189" w:name="_Toc473549828"/>
    </w:p>
    <w:p w:rsidR="00BE1EFE" w:rsidRPr="002222C8" w:rsidRDefault="00BE1EFE" w:rsidP="00590469">
      <w:pPr>
        <w:pStyle w:val="berschrift7"/>
      </w:pPr>
      <w:bookmarkStart w:id="190" w:name="_Toc523925850"/>
      <w:r w:rsidRPr="006C60ED">
        <w:t>Entgeltgruppe 3</w:t>
      </w:r>
      <w:bookmarkEnd w:id="189"/>
      <w:bookmarkEnd w:id="190"/>
    </w:p>
    <w:p w:rsidR="00BE1EFE" w:rsidRPr="00120F45" w:rsidRDefault="00BE1EFE" w:rsidP="00E91516">
      <w:pPr>
        <w:pStyle w:val="StandardWeb"/>
        <w:rPr>
          <w:szCs w:val="16"/>
        </w:rPr>
      </w:pPr>
      <w:r w:rsidRPr="00120F45">
        <w:rPr>
          <w:szCs w:val="16"/>
        </w:rPr>
        <w:t>Besc</w:t>
      </w:r>
      <w:r>
        <w:rPr>
          <w:szCs w:val="16"/>
        </w:rPr>
        <w:t>häftigte in der Wasseraufsicht.</w:t>
      </w:r>
    </w:p>
    <w:p w:rsidR="00BE1EFE" w:rsidRPr="002222C8" w:rsidRDefault="00BE1EFE" w:rsidP="00590469">
      <w:pPr>
        <w:pStyle w:val="berschrift7"/>
      </w:pPr>
      <w:bookmarkStart w:id="191" w:name="_Toc473549829"/>
      <w:bookmarkStart w:id="192" w:name="_Toc523925851"/>
      <w:r w:rsidRPr="006C60ED">
        <w:t>Entgeltgruppe 4</w:t>
      </w:r>
      <w:bookmarkEnd w:id="191"/>
      <w:bookmarkEnd w:id="192"/>
    </w:p>
    <w:p w:rsidR="00BE1EFE" w:rsidRPr="00120F45" w:rsidRDefault="00BE1EFE" w:rsidP="00E91516">
      <w:pPr>
        <w:pStyle w:val="StandardWeb"/>
        <w:rPr>
          <w:szCs w:val="16"/>
        </w:rPr>
      </w:pPr>
      <w:r w:rsidRPr="00120F45">
        <w:rPr>
          <w:szCs w:val="16"/>
        </w:rPr>
        <w:t>Beschäftigte in der Tätigkeit von Fachangestellten für Bäde</w:t>
      </w:r>
      <w:r>
        <w:rPr>
          <w:szCs w:val="16"/>
        </w:rPr>
        <w:t>rbetriebe mit Abschlussprüfung.</w:t>
      </w:r>
    </w:p>
    <w:p w:rsidR="00BE1EFE" w:rsidRPr="002222C8" w:rsidRDefault="00BE1EFE" w:rsidP="00590469">
      <w:pPr>
        <w:pStyle w:val="berschrift7"/>
      </w:pPr>
      <w:bookmarkStart w:id="193" w:name="_Toc473549830"/>
      <w:bookmarkStart w:id="194" w:name="_Toc523925852"/>
      <w:r w:rsidRPr="006C60ED">
        <w:t>Entgeltgruppe 5</w:t>
      </w:r>
      <w:bookmarkEnd w:id="193"/>
      <w:bookmarkEnd w:id="194"/>
    </w:p>
    <w:p w:rsidR="00BE1EFE" w:rsidRPr="00120F45" w:rsidRDefault="00BE1EFE" w:rsidP="00E91516">
      <w:pPr>
        <w:pStyle w:val="StandardWeb"/>
        <w:rPr>
          <w:szCs w:val="16"/>
        </w:rPr>
      </w:pPr>
      <w:r w:rsidRPr="00120F45">
        <w:rPr>
          <w:szCs w:val="16"/>
        </w:rPr>
        <w:t>Fachangestellte für Bäderbetriebe mit Abschlussprüfun</w:t>
      </w:r>
      <w:r>
        <w:rPr>
          <w:szCs w:val="16"/>
        </w:rPr>
        <w:t>g und entsprechender Tätigkeit.</w:t>
      </w:r>
    </w:p>
    <w:p w:rsidR="00BE1EFE" w:rsidRPr="00590469" w:rsidRDefault="00BE1EFE" w:rsidP="00590469">
      <w:pPr>
        <w:pStyle w:val="berschrift7"/>
      </w:pPr>
      <w:bookmarkStart w:id="195" w:name="_Toc473549831"/>
      <w:bookmarkStart w:id="196" w:name="_Toc523925853"/>
      <w:r w:rsidRPr="00590469">
        <w:rPr>
          <w:rStyle w:val="Fett"/>
          <w:b/>
        </w:rPr>
        <w:t>Entgeltgruppe 6</w:t>
      </w:r>
      <w:bookmarkEnd w:id="195"/>
      <w:bookmarkEnd w:id="196"/>
    </w:p>
    <w:p w:rsidR="00BE1EFE" w:rsidRPr="00120F45" w:rsidRDefault="00BE1EFE" w:rsidP="00E91516">
      <w:pPr>
        <w:pStyle w:val="StandardWeb"/>
        <w:rPr>
          <w:szCs w:val="16"/>
        </w:rPr>
      </w:pPr>
      <w:r w:rsidRPr="00120F45">
        <w:rPr>
          <w:szCs w:val="16"/>
        </w:rPr>
        <w:t>Fachangestellte für Bäderbetriebe mit Abschlussprüfung, denen als Schichtführerin oder Schichtführer die Aufsicht über mindestens vier Beschäftigte oder über mindestens zwei Fachangestellte für Bäderbetriebe mit Abschlussprüfung bzw. Beschäftigte in der Tätigkeit von Fachangestellten für Bäderbetriebe durch ausdrückliche Anordnung ständig übertragen ist.</w:t>
      </w:r>
    </w:p>
    <w:p w:rsidR="00BE1EFE" w:rsidRPr="00120F45" w:rsidRDefault="00BE1EFE" w:rsidP="00E91516">
      <w:pPr>
        <w:pStyle w:val="StandardWeb"/>
        <w:rPr>
          <w:szCs w:val="16"/>
        </w:rPr>
      </w:pPr>
      <w:r>
        <w:rPr>
          <w:szCs w:val="16"/>
        </w:rPr>
        <w:t>(Hierzu Anmerkung Nummer 1)</w:t>
      </w:r>
    </w:p>
    <w:p w:rsidR="00BE1EFE" w:rsidRPr="00767F41" w:rsidRDefault="00BE1EFE" w:rsidP="00590469">
      <w:pPr>
        <w:pStyle w:val="berschrift7"/>
      </w:pPr>
      <w:bookmarkStart w:id="197" w:name="_Toc473549832"/>
      <w:bookmarkStart w:id="198" w:name="_Toc523925854"/>
      <w:r w:rsidRPr="00767F41">
        <w:rPr>
          <w:rStyle w:val="Fett"/>
          <w:b/>
        </w:rPr>
        <w:t>Entgeltgruppe 7</w:t>
      </w:r>
      <w:bookmarkEnd w:id="197"/>
      <w:bookmarkEnd w:id="198"/>
    </w:p>
    <w:p w:rsidR="00BE1EFE" w:rsidRPr="00120F45" w:rsidRDefault="00BE1EFE" w:rsidP="00E91516">
      <w:pPr>
        <w:pStyle w:val="StandardWeb"/>
        <w:rPr>
          <w:szCs w:val="16"/>
        </w:rPr>
      </w:pPr>
      <w:r w:rsidRPr="00120F45">
        <w:rPr>
          <w:szCs w:val="16"/>
        </w:rPr>
        <w:t>Fachangestellte für Bäderbetriebe mit Abschlussprüfung als stellvertretende Badbe</w:t>
      </w:r>
      <w:r>
        <w:rPr>
          <w:szCs w:val="16"/>
        </w:rPr>
        <w:t>triebsleiterinnen oder -leiter.</w:t>
      </w:r>
    </w:p>
    <w:p w:rsidR="00BE1EFE" w:rsidRPr="00F93E09" w:rsidRDefault="00BE1EFE" w:rsidP="00F93E09">
      <w:pPr>
        <w:pStyle w:val="h7"/>
        <w:jc w:val="left"/>
      </w:pPr>
      <w:bookmarkStart w:id="199" w:name="_Toc473549833"/>
      <w:bookmarkStart w:id="200" w:name="_Toc523925855"/>
      <w:r w:rsidRPr="006C60ED">
        <w:t>Entgeltgruppe 8</w:t>
      </w:r>
      <w:bookmarkEnd w:id="199"/>
      <w:bookmarkEnd w:id="200"/>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Pr>
          <w:szCs w:val="16"/>
        </w:rPr>
        <w:t>1. </w:t>
      </w:r>
      <w:r w:rsidRPr="00120F45">
        <w:rPr>
          <w:szCs w:val="16"/>
        </w:rPr>
        <w:t>Geprüfte Meisterinnen und Meister für Bäderbetriebe mit entsprechender Tätigkeit.</w:t>
      </w:r>
    </w:p>
    <w:p w:rsidR="00BE1EFE" w:rsidRPr="00120F45" w:rsidRDefault="00BE1EFE" w:rsidP="00E91516">
      <w:pPr>
        <w:pStyle w:val="StandardWeb"/>
        <w:rPr>
          <w:szCs w:val="16"/>
        </w:rPr>
      </w:pPr>
    </w:p>
    <w:p w:rsidR="00BE1EFE" w:rsidRPr="00120F45" w:rsidRDefault="00BE1EFE" w:rsidP="00E91516">
      <w:pPr>
        <w:pStyle w:val="StandardWeb"/>
        <w:rPr>
          <w:szCs w:val="16"/>
        </w:rPr>
      </w:pPr>
      <w:r>
        <w:rPr>
          <w:szCs w:val="16"/>
        </w:rPr>
        <w:t>2. </w:t>
      </w:r>
      <w:r w:rsidRPr="00120F45">
        <w:rPr>
          <w:szCs w:val="16"/>
        </w:rPr>
        <w:t>Fachangestellte für Bäderbetriebe mit Abschlussprüfung als Badbetriebsleiterinnen oder -</w:t>
      </w:r>
      <w:r>
        <w:rPr>
          <w:szCs w:val="16"/>
        </w:rPr>
        <w:t>leiter.</w:t>
      </w:r>
    </w:p>
    <w:p w:rsidR="00BE1EFE" w:rsidRPr="00F93E09" w:rsidRDefault="00BE1EFE" w:rsidP="00F93E09">
      <w:pPr>
        <w:pStyle w:val="h7"/>
        <w:jc w:val="left"/>
      </w:pPr>
      <w:bookmarkStart w:id="201" w:name="_Toc473549834"/>
      <w:bookmarkStart w:id="202" w:name="_Toc523925856"/>
      <w:r w:rsidRPr="006C60ED">
        <w:t>Entgeltgruppe 9a</w:t>
      </w:r>
      <w:bookmarkEnd w:id="201"/>
      <w:bookmarkEnd w:id="202"/>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Fallgruppe 1, die besonders schwierige Arbeitsbereiche zu beaufsichtigen haben, in denen Fachangestellte für Bäderbetriebe beschäftigt werden.</w:t>
      </w:r>
    </w:p>
    <w:p w:rsidR="00BE1EFE" w:rsidRPr="00120F45" w:rsidRDefault="00BE1EFE" w:rsidP="00E91516">
      <w:pPr>
        <w:pStyle w:val="StandardWeb"/>
        <w:rPr>
          <w:szCs w:val="16"/>
        </w:rPr>
      </w:pPr>
      <w:r>
        <w:rPr>
          <w:szCs w:val="16"/>
        </w:rPr>
        <w:lastRenderedPageBreak/>
        <w:t>(Hierzu Anmerkung Nummer 2)</w:t>
      </w:r>
    </w:p>
    <w:p w:rsidR="00BE1EFE" w:rsidRPr="00F93E09" w:rsidRDefault="00BE1EFE" w:rsidP="00F93E09">
      <w:pPr>
        <w:pStyle w:val="h7"/>
        <w:jc w:val="left"/>
      </w:pPr>
      <w:bookmarkStart w:id="203" w:name="_Toc473549835"/>
      <w:bookmarkStart w:id="204" w:name="_Toc523925857"/>
      <w:r w:rsidRPr="006C60ED">
        <w:t>Entgeltgruppe 9b</w:t>
      </w:r>
      <w:bookmarkEnd w:id="203"/>
      <w:bookmarkEnd w:id="204"/>
    </w:p>
    <w:p w:rsidR="00BE1EFE" w:rsidRPr="00B76821" w:rsidRDefault="00BE1EFE" w:rsidP="00B76821">
      <w:pPr>
        <w:pStyle w:val="h8"/>
        <w:keepNext w:val="0"/>
        <w:spacing w:before="0" w:after="0"/>
        <w:outlineLvl w:val="5"/>
        <w:rPr>
          <w:sz w:val="2"/>
        </w:rPr>
      </w:pPr>
    </w:p>
    <w:p w:rsidR="00BE1EFE" w:rsidRPr="00120F45" w:rsidRDefault="00BE1EFE" w:rsidP="00E91516">
      <w:pPr>
        <w:pStyle w:val="StandardWeb"/>
        <w:rPr>
          <w:szCs w:val="16"/>
        </w:rPr>
      </w:pPr>
      <w:r w:rsidRPr="00120F45">
        <w:rPr>
          <w:szCs w:val="16"/>
        </w:rPr>
        <w:t>Beschäftigte der Entgeltgruppe 8 Fallgruppe 1, die in einem besonders bedeutenden Arbeitsbereich mit einem höheren Maß von Verantwortlichkeit beschäftigt sind und deren Aufgabengebiet sich durch den Umfang und die Bedeutung sowie durch große Selbstständigkeit wesentlich aus d</w:t>
      </w:r>
      <w:r>
        <w:rPr>
          <w:szCs w:val="16"/>
        </w:rPr>
        <w:t>er Entgeltgruppe 9a heraushebt.</w:t>
      </w:r>
    </w:p>
    <w:p w:rsidR="00BE1EFE" w:rsidRPr="001F22A4" w:rsidRDefault="00BE1EFE" w:rsidP="00767F41">
      <w:pPr>
        <w:pStyle w:val="h7"/>
        <w:jc w:val="left"/>
      </w:pPr>
      <w:bookmarkStart w:id="205" w:name="_Toc523925858"/>
      <w:r w:rsidRPr="001F22A4">
        <w:t>Anmerkungen:</w:t>
      </w:r>
      <w:bookmarkEnd w:id="205"/>
    </w:p>
    <w:p w:rsidR="00BE1EFE" w:rsidRPr="00B76821" w:rsidRDefault="00BE1EFE" w:rsidP="00B76821">
      <w:pPr>
        <w:pStyle w:val="h8"/>
        <w:keepNext w:val="0"/>
        <w:spacing w:before="0" w:after="0"/>
        <w:outlineLvl w:val="5"/>
        <w:rPr>
          <w:sz w:val="2"/>
        </w:rPr>
      </w:pPr>
    </w:p>
    <w:p w:rsidR="00BE1EFE" w:rsidRPr="001F22A4" w:rsidRDefault="00BE1EFE" w:rsidP="00E91516">
      <w:pPr>
        <w:pStyle w:val="StandardWeb"/>
        <w:rPr>
          <w:sz w:val="12"/>
          <w:szCs w:val="12"/>
        </w:rPr>
      </w:pPr>
      <w:r>
        <w:rPr>
          <w:sz w:val="12"/>
          <w:szCs w:val="12"/>
        </w:rPr>
        <w:t>1. </w:t>
      </w:r>
      <w:r w:rsidRPr="001F22A4">
        <w:rPr>
          <w:sz w:val="12"/>
          <w:szCs w:val="12"/>
        </w:rPr>
        <w:t>Anstelle einer oder eines Beschäftigten in der Tätigkeit von Fachangestellten für Bäderbetriebe kann auch eine Aufsichtskraft mit Rettungsschwimmernachweis treten.</w:t>
      </w:r>
    </w:p>
    <w:p w:rsidR="00BE1EFE" w:rsidRPr="00BF4F71" w:rsidRDefault="00BE1EFE" w:rsidP="00E91516">
      <w:pPr>
        <w:pStyle w:val="StandardWeb"/>
        <w:rPr>
          <w:sz w:val="12"/>
          <w:szCs w:val="12"/>
        </w:rPr>
      </w:pPr>
      <w:r w:rsidRPr="001F22A4">
        <w:rPr>
          <w:sz w:val="12"/>
          <w:szCs w:val="12"/>
        </w:rPr>
        <w:t xml:space="preserve">2. Besonders schwierige Arbeitsbereiche sind solche, die erheblich über den normalen </w:t>
      </w:r>
      <w:r>
        <w:rPr>
          <w:sz w:val="12"/>
          <w:szCs w:val="12"/>
        </w:rPr>
        <w:t>Schwierigkeitsgrad hinausgehen.</w:t>
      </w:r>
    </w:p>
    <w:p w:rsidR="00BE1EFE" w:rsidRPr="000F3AEF" w:rsidRDefault="00BE1EFE" w:rsidP="00224544">
      <w:pPr>
        <w:pStyle w:val="berschrift6"/>
        <w:rPr>
          <w:lang w:eastAsia="x-none"/>
        </w:rPr>
      </w:pPr>
      <w:bookmarkStart w:id="206" w:name="_Toc473549836"/>
      <w:bookmarkStart w:id="207" w:name="_Toc523925859"/>
      <w:r>
        <w:t>10.</w:t>
      </w:r>
      <w:r>
        <w:rPr>
          <w:lang w:eastAsia="x-none"/>
        </w:rPr>
        <w:t xml:space="preserve"> </w:t>
      </w:r>
      <w:r w:rsidRPr="000F3AEF">
        <w:t>Baustellenaufseherinnen und Baustellenaufseher</w:t>
      </w:r>
      <w:bookmarkEnd w:id="206"/>
      <w:bookmarkEnd w:id="207"/>
    </w:p>
    <w:p w:rsidR="00BE1EFE" w:rsidRPr="00F93E09" w:rsidRDefault="00BE1EFE" w:rsidP="00F93E09">
      <w:pPr>
        <w:pStyle w:val="h7"/>
        <w:jc w:val="left"/>
      </w:pPr>
      <w:bookmarkStart w:id="208" w:name="_Toc473549837"/>
      <w:bookmarkStart w:id="209" w:name="_Toc523925860"/>
      <w:r w:rsidRPr="006C60ED">
        <w:t>Entgeltgruppe 5</w:t>
      </w:r>
      <w:bookmarkEnd w:id="208"/>
      <w:bookmarkEnd w:id="209"/>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die die vorgeschriebene Ausführung von Bauarbeiten und das Baumaterial nach Menge und Güte kontrollieren (Baustellenaufseherinnen und Baustellenaufseher, Bau</w:t>
      </w:r>
      <w:r>
        <w:rPr>
          <w:szCs w:val="16"/>
        </w:rPr>
        <w:t>auf</w:t>
      </w:r>
      <w:r>
        <w:rPr>
          <w:szCs w:val="16"/>
        </w:rPr>
        <w:softHyphen/>
        <w:t>seherinnen und Bauaufseher).</w:t>
      </w:r>
    </w:p>
    <w:p w:rsidR="00BE1EFE" w:rsidRPr="00F93E09" w:rsidRDefault="00BE1EFE" w:rsidP="00F93E09">
      <w:pPr>
        <w:pStyle w:val="h7"/>
        <w:jc w:val="left"/>
      </w:pPr>
      <w:bookmarkStart w:id="210" w:name="_Toc473549838"/>
      <w:bookmarkStart w:id="211" w:name="_Toc523925861"/>
      <w:r w:rsidRPr="006C60ED">
        <w:t>Entgeltgruppe 6</w:t>
      </w:r>
      <w:bookmarkEnd w:id="210"/>
      <w:bookmarkEnd w:id="211"/>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Baustellenaufseherinnen und Baustellenaufseher (Bauaufseherinnen und Bauaufseher), deren Tätigkeit sich dadurch aus der Entgeltgruppe 5 heraushebt, dass schwierigere Kontrollarbeiten zu verrichten sind.</w:t>
      </w:r>
    </w:p>
    <w:p w:rsidR="00BE1EFE" w:rsidRPr="000F3AEF" w:rsidRDefault="00BE1EFE" w:rsidP="00E91516">
      <w:pPr>
        <w:pStyle w:val="StandardWeb"/>
        <w:rPr>
          <w:szCs w:val="16"/>
        </w:rPr>
      </w:pPr>
      <w:r w:rsidRPr="000F3AEF">
        <w:rPr>
          <w:szCs w:val="16"/>
        </w:rPr>
        <w:t>(Hie</w:t>
      </w:r>
      <w:r>
        <w:rPr>
          <w:szCs w:val="16"/>
        </w:rPr>
        <w:t xml:space="preserve">rzu Anmerkung) </w:t>
      </w:r>
    </w:p>
    <w:p w:rsidR="00BE1EFE" w:rsidRPr="000F3AEF" w:rsidRDefault="00BE1EFE" w:rsidP="00767F41">
      <w:pPr>
        <w:pStyle w:val="h7"/>
        <w:jc w:val="left"/>
      </w:pPr>
      <w:bookmarkStart w:id="212" w:name="_Toc523925862"/>
      <w:r w:rsidRPr="000F3AEF">
        <w:t>Anmerkung:</w:t>
      </w:r>
      <w:bookmarkEnd w:id="21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 w:val="12"/>
          <w:szCs w:val="12"/>
        </w:rPr>
      </w:pPr>
      <w:r w:rsidRPr="000F3AEF">
        <w:rPr>
          <w:sz w:val="12"/>
          <w:szCs w:val="12"/>
        </w:rPr>
        <w:t xml:space="preserve">Schwierigere Kontrollarbeiten sind </w:t>
      </w:r>
      <w:r>
        <w:rPr>
          <w:sz w:val="12"/>
          <w:szCs w:val="12"/>
        </w:rPr>
        <w:t>z. B.</w:t>
      </w:r>
      <w:r w:rsidRPr="000F3AEF">
        <w:rPr>
          <w:sz w:val="12"/>
          <w:szCs w:val="12"/>
        </w:rPr>
        <w:t>:</w:t>
      </w:r>
    </w:p>
    <w:p w:rsidR="00BE1EFE" w:rsidRPr="000F3AEF" w:rsidRDefault="00BE1EFE" w:rsidP="00E91516">
      <w:pPr>
        <w:pStyle w:val="StandardWeb"/>
        <w:rPr>
          <w:sz w:val="12"/>
          <w:szCs w:val="12"/>
        </w:rPr>
      </w:pPr>
      <w:r>
        <w:rPr>
          <w:sz w:val="12"/>
          <w:szCs w:val="12"/>
        </w:rPr>
        <w:t>– </w:t>
      </w:r>
      <w:r w:rsidRPr="000F3AEF">
        <w:rPr>
          <w:sz w:val="12"/>
          <w:szCs w:val="12"/>
        </w:rPr>
        <w:t>Festhalten von Zwischenaufnahmen, die während der Bauausführung erforderlich werden;</w:t>
      </w:r>
    </w:p>
    <w:p w:rsidR="00BE1EFE" w:rsidRPr="000F3AEF" w:rsidRDefault="00BE1EFE" w:rsidP="00E91516">
      <w:pPr>
        <w:pStyle w:val="StandardWeb"/>
        <w:rPr>
          <w:sz w:val="12"/>
          <w:szCs w:val="12"/>
        </w:rPr>
      </w:pPr>
      <w:r>
        <w:rPr>
          <w:sz w:val="12"/>
          <w:szCs w:val="12"/>
        </w:rPr>
        <w:t>– </w:t>
      </w:r>
      <w:r w:rsidRPr="000F3AEF">
        <w:rPr>
          <w:sz w:val="12"/>
          <w:szCs w:val="12"/>
        </w:rPr>
        <w:t>Fertigen von einfacheren Aufmaßskizzen sowie einfacheren Flächen- und Massenberechnungen;</w:t>
      </w:r>
    </w:p>
    <w:p w:rsidR="00BE1EFE" w:rsidRPr="000F3AEF" w:rsidRDefault="00BE1EFE" w:rsidP="00E91516">
      <w:pPr>
        <w:pStyle w:val="StandardWeb"/>
        <w:rPr>
          <w:sz w:val="12"/>
          <w:szCs w:val="12"/>
        </w:rPr>
      </w:pPr>
      <w:r>
        <w:rPr>
          <w:sz w:val="12"/>
          <w:szCs w:val="12"/>
        </w:rPr>
        <w:t>– </w:t>
      </w:r>
      <w:r w:rsidRPr="000F3AEF">
        <w:rPr>
          <w:sz w:val="12"/>
          <w:szCs w:val="12"/>
        </w:rPr>
        <w:t>Überwachen von Erdarbeiten in schwierigem Gelände;</w:t>
      </w:r>
    </w:p>
    <w:p w:rsidR="00BE1EFE" w:rsidRPr="000F3AEF" w:rsidRDefault="00BE1EFE" w:rsidP="00E91516">
      <w:pPr>
        <w:pStyle w:val="StandardWeb"/>
        <w:rPr>
          <w:sz w:val="12"/>
          <w:szCs w:val="12"/>
        </w:rPr>
      </w:pPr>
      <w:r>
        <w:rPr>
          <w:sz w:val="12"/>
          <w:szCs w:val="12"/>
        </w:rPr>
        <w:t>– </w:t>
      </w:r>
      <w:r w:rsidRPr="000F3AEF">
        <w:rPr>
          <w:sz w:val="12"/>
          <w:szCs w:val="12"/>
        </w:rPr>
        <w:t>Kontrolle des Gefälles bei Gräben und Rohrleitungen;</w:t>
      </w:r>
    </w:p>
    <w:p w:rsidR="00BE1EFE" w:rsidRPr="000F3AEF" w:rsidRDefault="00BE1EFE" w:rsidP="00E91516">
      <w:pPr>
        <w:pStyle w:val="StandardWeb"/>
        <w:rPr>
          <w:sz w:val="12"/>
          <w:szCs w:val="12"/>
        </w:rPr>
      </w:pPr>
      <w:r>
        <w:rPr>
          <w:sz w:val="12"/>
          <w:szCs w:val="12"/>
        </w:rPr>
        <w:t>– </w:t>
      </w:r>
      <w:r w:rsidRPr="000F3AEF">
        <w:rPr>
          <w:sz w:val="12"/>
          <w:szCs w:val="12"/>
        </w:rPr>
        <w:t>Kontrolle der Materialeinbringung für Stahlbetonarbeiten;</w:t>
      </w:r>
    </w:p>
    <w:p w:rsidR="00BE1EFE" w:rsidRPr="008A1E74" w:rsidRDefault="00BE1EFE" w:rsidP="00E91516">
      <w:pPr>
        <w:pStyle w:val="StandardWeb"/>
        <w:rPr>
          <w:sz w:val="12"/>
          <w:szCs w:val="12"/>
        </w:rPr>
      </w:pPr>
      <w:r>
        <w:rPr>
          <w:sz w:val="12"/>
          <w:szCs w:val="12"/>
        </w:rPr>
        <w:t>– </w:t>
      </w:r>
      <w:r w:rsidRPr="000F3AEF">
        <w:rPr>
          <w:sz w:val="12"/>
          <w:szCs w:val="12"/>
        </w:rPr>
        <w:t>Überwachen der Arbeiten zahlreicher Ba</w:t>
      </w:r>
      <w:r>
        <w:rPr>
          <w:sz w:val="12"/>
          <w:szCs w:val="12"/>
        </w:rPr>
        <w:t>uwerke auf größeren Baustellen.</w:t>
      </w:r>
    </w:p>
    <w:p w:rsidR="00BE1EFE" w:rsidRPr="000F3AEF" w:rsidRDefault="00BE1EFE" w:rsidP="00224544">
      <w:pPr>
        <w:pStyle w:val="berschrift6"/>
      </w:pPr>
      <w:bookmarkStart w:id="213" w:name="_Toc473549839"/>
      <w:bookmarkStart w:id="214" w:name="_Toc523925863"/>
      <w:r>
        <w:t>11.</w:t>
      </w:r>
      <w:r>
        <w:rPr>
          <w:lang w:eastAsia="x-none"/>
        </w:rPr>
        <w:t xml:space="preserve"> </w:t>
      </w:r>
      <w:r w:rsidRPr="000F3AEF">
        <w:t>Beschäftigte in Bibliotheken, Büchereien, Archiven, Museen und anderen wissenschaftlichen Anstalten</w:t>
      </w:r>
      <w:bookmarkEnd w:id="213"/>
      <w:bookmarkEnd w:id="214"/>
    </w:p>
    <w:p w:rsidR="00BE1EFE" w:rsidRPr="00B76821" w:rsidRDefault="00BE1EFE" w:rsidP="00B76821">
      <w:pPr>
        <w:pStyle w:val="h7"/>
        <w:keepNext w:val="0"/>
        <w:spacing w:before="0" w:after="0"/>
        <w:jc w:val="left"/>
        <w:outlineLvl w:val="5"/>
        <w:rPr>
          <w:sz w:val="2"/>
        </w:rPr>
      </w:pPr>
    </w:p>
    <w:p w:rsidR="00BE1EFE" w:rsidRPr="000F3AEF" w:rsidRDefault="00BE1EFE" w:rsidP="00E91516">
      <w:pPr>
        <w:pStyle w:val="StandardWeb"/>
        <w:rPr>
          <w:szCs w:val="16"/>
        </w:rPr>
      </w:pPr>
    </w:p>
    <w:p w:rsidR="00BE1EFE" w:rsidRPr="000F3AEF" w:rsidRDefault="00BE1EFE" w:rsidP="00E91516">
      <w:pPr>
        <w:pStyle w:val="StandardWeb"/>
        <w:rPr>
          <w:szCs w:val="16"/>
        </w:rPr>
      </w:pPr>
      <w:r w:rsidRPr="000F3AEF">
        <w:rPr>
          <w:szCs w:val="16"/>
        </w:rPr>
        <w:t>Es finden die Allgemeinen Tätigkeitsmerkmale des Teils A, 2.2.1. Anwendung.</w:t>
      </w:r>
    </w:p>
    <w:p w:rsidR="00BE1EFE" w:rsidRPr="000F3AEF" w:rsidRDefault="00BE1EFE" w:rsidP="00E91516">
      <w:pPr>
        <w:pStyle w:val="StandardWeb"/>
        <w:rPr>
          <w:szCs w:val="16"/>
        </w:rPr>
      </w:pPr>
    </w:p>
    <w:p w:rsidR="00BE1EFE" w:rsidRPr="000F3AEF" w:rsidRDefault="00BE1EFE" w:rsidP="00E91516">
      <w:pPr>
        <w:pStyle w:val="StandardWeb"/>
        <w:rPr>
          <w:szCs w:val="16"/>
        </w:rPr>
      </w:pPr>
    </w:p>
    <w:p w:rsidR="00BE1EFE" w:rsidRDefault="00BE1EFE" w:rsidP="00694224">
      <w:pPr>
        <w:pStyle w:val="berschrift6"/>
        <w:rPr>
          <w:b w:val="0"/>
          <w:i/>
        </w:rPr>
      </w:pPr>
      <w:bookmarkStart w:id="215" w:name="_Toc473549840"/>
      <w:bookmarkStart w:id="216" w:name="_Toc523925864"/>
      <w:r>
        <w:lastRenderedPageBreak/>
        <w:t>12.</w:t>
      </w:r>
      <w:r>
        <w:rPr>
          <w:lang w:eastAsia="x-none"/>
        </w:rPr>
        <w:t xml:space="preserve"> </w:t>
      </w:r>
      <w:r w:rsidRPr="000F3AEF">
        <w:t>Beschäftigte im Fernmeldebetriebsdienst</w:t>
      </w:r>
      <w:bookmarkEnd w:id="215"/>
      <w:r w:rsidR="00694224">
        <w:t xml:space="preserve"> </w:t>
      </w:r>
      <w:r w:rsidR="00694224" w:rsidRPr="00694224">
        <w:rPr>
          <w:b w:val="0"/>
          <w:i/>
        </w:rPr>
        <w:t>(frei)</w:t>
      </w:r>
      <w:bookmarkEnd w:id="216"/>
    </w:p>
    <w:p w:rsidR="00694224" w:rsidRPr="00694224" w:rsidRDefault="00694224" w:rsidP="00694224">
      <w:pPr>
        <w:pStyle w:val="StandardWeb"/>
      </w:pPr>
    </w:p>
    <w:p w:rsidR="00BE1EFE" w:rsidRDefault="00BE1EFE" w:rsidP="00694224">
      <w:pPr>
        <w:pStyle w:val="berschrift6"/>
        <w:rPr>
          <w:b w:val="0"/>
          <w:i/>
        </w:rPr>
      </w:pPr>
      <w:bookmarkStart w:id="217" w:name="_Toc473549841"/>
      <w:bookmarkStart w:id="218" w:name="_Toc523925865"/>
      <w:r>
        <w:t>13.</w:t>
      </w:r>
      <w:r>
        <w:rPr>
          <w:lang w:eastAsia="x-none"/>
        </w:rPr>
        <w:t xml:space="preserve"> </w:t>
      </w:r>
      <w:r w:rsidRPr="000F3AEF">
        <w:t>Beschäftigte in der Fleischuntersuchung</w:t>
      </w:r>
      <w:bookmarkEnd w:id="217"/>
      <w:r w:rsidR="00694224">
        <w:t xml:space="preserve"> </w:t>
      </w:r>
      <w:r w:rsidR="00694224" w:rsidRPr="00694224">
        <w:rPr>
          <w:b w:val="0"/>
          <w:i/>
        </w:rPr>
        <w:t>(frei)</w:t>
      </w:r>
      <w:bookmarkEnd w:id="218"/>
    </w:p>
    <w:p w:rsidR="00694224" w:rsidRPr="00694224" w:rsidRDefault="00694224" w:rsidP="00694224">
      <w:pPr>
        <w:pStyle w:val="StandardWeb"/>
      </w:pPr>
    </w:p>
    <w:p w:rsidR="00BE1EFE" w:rsidRPr="000F3AEF" w:rsidRDefault="00BE1EFE" w:rsidP="00224544">
      <w:pPr>
        <w:pStyle w:val="berschrift6"/>
        <w:rPr>
          <w:lang w:eastAsia="x-none"/>
        </w:rPr>
      </w:pPr>
      <w:bookmarkStart w:id="219" w:name="_Toc473549842"/>
      <w:bookmarkStart w:id="220" w:name="_Toc523925866"/>
      <w:r>
        <w:t>14.</w:t>
      </w:r>
      <w:r>
        <w:rPr>
          <w:lang w:eastAsia="x-none"/>
        </w:rPr>
        <w:t xml:space="preserve"> </w:t>
      </w:r>
      <w:r w:rsidRPr="000F3AEF">
        <w:t>Fotografinnen und Fotografen</w:t>
      </w:r>
      <w:bookmarkEnd w:id="219"/>
      <w:bookmarkEnd w:id="220"/>
    </w:p>
    <w:p w:rsidR="00BE1EFE" w:rsidRPr="006C60ED" w:rsidRDefault="00BE1EFE" w:rsidP="00F93E09">
      <w:pPr>
        <w:pStyle w:val="h7"/>
        <w:jc w:val="left"/>
      </w:pPr>
      <w:bookmarkStart w:id="221" w:name="_Toc473549843"/>
      <w:bookmarkStart w:id="222" w:name="_Toc523925867"/>
      <w:r w:rsidRPr="006C60ED">
        <w:t>Entgeltgruppe 5</w:t>
      </w:r>
      <w:bookmarkEnd w:id="221"/>
      <w:bookmarkEnd w:id="22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Fotografinnen und Fotografen mit Abschlussprüfung und entsprechender Tätigkeit sowie sonstige Beschäftigte, die aufgrund gleichwertiger Fähigkeiten und ihrer Erfahrungen ent</w:t>
      </w:r>
      <w:r>
        <w:rPr>
          <w:szCs w:val="16"/>
        </w:rPr>
        <w:t>sprechende Tätigkeiten ausüben.</w:t>
      </w:r>
    </w:p>
    <w:p w:rsidR="00BE1EFE" w:rsidRPr="006C60ED" w:rsidRDefault="00BE1EFE" w:rsidP="00F93E09">
      <w:pPr>
        <w:pStyle w:val="h7"/>
        <w:jc w:val="left"/>
      </w:pPr>
      <w:bookmarkStart w:id="223" w:name="_Toc473549844"/>
      <w:bookmarkStart w:id="224" w:name="_Toc523925868"/>
      <w:r w:rsidRPr="006C60ED">
        <w:t>Entgeltgruppe 6</w:t>
      </w:r>
      <w:bookmarkEnd w:id="223"/>
      <w:bookmarkEnd w:id="224"/>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der Entgeltgruppe 5 mit schwierigen Tätigkeiten.</w:t>
      </w:r>
    </w:p>
    <w:p w:rsidR="00BE1EFE" w:rsidRPr="000F3AEF" w:rsidRDefault="00BE1EFE" w:rsidP="00E91516">
      <w:pPr>
        <w:pStyle w:val="StandardWeb"/>
        <w:rPr>
          <w:szCs w:val="16"/>
        </w:rPr>
      </w:pPr>
      <w:r>
        <w:rPr>
          <w:szCs w:val="16"/>
        </w:rPr>
        <w:t>(Hierzu Anmerkung Nummer 1)</w:t>
      </w:r>
    </w:p>
    <w:p w:rsidR="00BE1EFE" w:rsidRPr="00F93E09" w:rsidRDefault="00BE1EFE" w:rsidP="00F93E09">
      <w:pPr>
        <w:pStyle w:val="h7"/>
        <w:jc w:val="left"/>
      </w:pPr>
      <w:bookmarkStart w:id="225" w:name="_Toc473549845"/>
      <w:bookmarkStart w:id="226" w:name="_Toc523925869"/>
      <w:r w:rsidRPr="006C60ED">
        <w:t>Entgeltgruppe 8</w:t>
      </w:r>
      <w:bookmarkEnd w:id="225"/>
      <w:bookmarkEnd w:id="226"/>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 xml:space="preserve">Beschäftigte der Entgeltgruppe 5 mit besonders schwierigen Tätigkeiten. </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denen mindestens vier Beschäftigte in der Tätigkeit von Fotografinnen und Fotografen durch ausdrückliche Anor</w:t>
      </w:r>
      <w:r>
        <w:rPr>
          <w:szCs w:val="16"/>
        </w:rPr>
        <w:t>dnung ständig unterstellt sind.</w:t>
      </w:r>
    </w:p>
    <w:p w:rsidR="00BE1EFE" w:rsidRPr="00F93E09" w:rsidRDefault="00BE1EFE" w:rsidP="00F93E09">
      <w:pPr>
        <w:pStyle w:val="h7"/>
        <w:jc w:val="left"/>
      </w:pPr>
      <w:bookmarkStart w:id="227" w:name="_Toc473549846"/>
      <w:bookmarkStart w:id="228" w:name="_Toc523925870"/>
      <w:r w:rsidRPr="006C60ED">
        <w:t>Entgeltgruppe 9a</w:t>
      </w:r>
      <w:bookmarkEnd w:id="227"/>
      <w:bookmarkEnd w:id="228"/>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der Entgeltgruppe 5, denen mindestens acht Beschäftigte in der Tätigkeit von Fotografinnen und Fotografen durch ausdrückliche Anordnung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denen mindestens vier Beschäftigte in der Tätigkeit von Fotografinnen und Fotografen der Entgeltgruppe 8 durch ausdrückliche Anor</w:t>
      </w:r>
      <w:r>
        <w:rPr>
          <w:szCs w:val="16"/>
        </w:rPr>
        <w:t>dnung ständig unterstellt sind.</w:t>
      </w:r>
    </w:p>
    <w:p w:rsidR="00BE1EFE" w:rsidRPr="006C60ED" w:rsidRDefault="00BE1EFE" w:rsidP="008A1E74">
      <w:pPr>
        <w:pStyle w:val="h7"/>
        <w:jc w:val="left"/>
      </w:pPr>
      <w:bookmarkStart w:id="229" w:name="_Toc523925871"/>
      <w:r w:rsidRPr="006C60ED">
        <w:t>Anmerkungen:</w:t>
      </w:r>
      <w:bookmarkEnd w:id="229"/>
    </w:p>
    <w:p w:rsidR="00BE1EFE" w:rsidRPr="00B76821" w:rsidRDefault="00BE1EFE" w:rsidP="00B76821">
      <w:pPr>
        <w:pStyle w:val="h8"/>
        <w:keepNext w:val="0"/>
        <w:spacing w:before="0" w:after="0"/>
        <w:outlineLvl w:val="5"/>
        <w:rPr>
          <w:sz w:val="2"/>
        </w:rPr>
      </w:pPr>
    </w:p>
    <w:p w:rsidR="00BE1EFE" w:rsidRPr="000F3AEF" w:rsidRDefault="00BE1EFE" w:rsidP="006C60ED">
      <w:pPr>
        <w:pStyle w:val="StandardWeb"/>
        <w:rPr>
          <w:sz w:val="12"/>
          <w:szCs w:val="12"/>
        </w:rPr>
      </w:pPr>
      <w:r>
        <w:rPr>
          <w:sz w:val="12"/>
          <w:szCs w:val="12"/>
        </w:rPr>
        <w:t>1. </w:t>
      </w:r>
      <w:r w:rsidRPr="000F3AEF">
        <w:rPr>
          <w:sz w:val="12"/>
          <w:szCs w:val="12"/>
        </w:rPr>
        <w:t>Schwierige Tätigkeiten sind</w:t>
      </w:r>
    </w:p>
    <w:p w:rsidR="00BE1EFE" w:rsidRPr="000F3AEF" w:rsidRDefault="00BE1EFE" w:rsidP="00E91516">
      <w:pPr>
        <w:pStyle w:val="StandardWeb"/>
        <w:rPr>
          <w:sz w:val="12"/>
          <w:szCs w:val="12"/>
        </w:rPr>
      </w:pPr>
      <w:r>
        <w:rPr>
          <w:sz w:val="12"/>
          <w:szCs w:val="12"/>
        </w:rPr>
        <w:t>–</w:t>
      </w:r>
      <w:r w:rsidRPr="000F3AEF">
        <w:rPr>
          <w:sz w:val="12"/>
          <w:szCs w:val="12"/>
        </w:rPr>
        <w:t xml:space="preserve"> das selbstständige Herstellen objektgerechter fotografischer Aufnahmen unter Berücksichtigung der jeweiligen fachlichen Anforderungen, </w:t>
      </w:r>
      <w:r>
        <w:rPr>
          <w:sz w:val="12"/>
          <w:szCs w:val="12"/>
        </w:rPr>
        <w:t>z. B.</w:t>
      </w:r>
      <w:r w:rsidRPr="000F3AEF">
        <w:rPr>
          <w:sz w:val="12"/>
          <w:szCs w:val="12"/>
        </w:rPr>
        <w:t xml:space="preserve"> Aufnahmen zur Beweissicherung an Tat- und Unfallorten im Polizeidienst;</w:t>
      </w:r>
    </w:p>
    <w:p w:rsidR="00BE1EFE" w:rsidRPr="000F3AEF" w:rsidRDefault="00BE1EFE" w:rsidP="00E91516">
      <w:pPr>
        <w:pStyle w:val="StandardWeb"/>
        <w:rPr>
          <w:sz w:val="12"/>
          <w:szCs w:val="12"/>
        </w:rPr>
      </w:pPr>
      <w:r>
        <w:rPr>
          <w:sz w:val="12"/>
          <w:szCs w:val="12"/>
        </w:rPr>
        <w:t>– </w:t>
      </w:r>
      <w:r w:rsidRPr="000F3AEF">
        <w:rPr>
          <w:sz w:val="12"/>
          <w:szCs w:val="12"/>
        </w:rPr>
        <w:t>Operationsaufnahmen im medizinischen Bereich;</w:t>
      </w:r>
    </w:p>
    <w:p w:rsidR="00BE1EFE" w:rsidRPr="000F3AEF" w:rsidRDefault="00BE1EFE" w:rsidP="00E91516">
      <w:pPr>
        <w:pStyle w:val="StandardWeb"/>
        <w:rPr>
          <w:sz w:val="12"/>
          <w:szCs w:val="12"/>
        </w:rPr>
      </w:pPr>
      <w:r>
        <w:rPr>
          <w:sz w:val="12"/>
          <w:szCs w:val="12"/>
        </w:rPr>
        <w:t>– </w:t>
      </w:r>
      <w:r w:rsidRPr="000F3AEF">
        <w:rPr>
          <w:sz w:val="12"/>
          <w:szCs w:val="12"/>
        </w:rPr>
        <w:t>Aufnahmen bei der Durchführung von Forschungsaufgaben, für Lehrzwecke oder bei Versuchen zur Materialprüfung in den Bereichen der Forschung, der wissenschaftlichen Lehre und der Materialprüfung.</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2. </w:t>
      </w:r>
      <w:r w:rsidRPr="000F3AEF">
        <w:rPr>
          <w:sz w:val="12"/>
          <w:szCs w:val="12"/>
        </w:rPr>
        <w:t>Besonders schwierige Tätigkeiten sind</w:t>
      </w:r>
    </w:p>
    <w:p w:rsidR="00BE1EFE" w:rsidRPr="000F3AEF" w:rsidRDefault="00BE1EFE" w:rsidP="00E91516">
      <w:pPr>
        <w:pStyle w:val="StandardWeb"/>
        <w:rPr>
          <w:sz w:val="12"/>
          <w:szCs w:val="12"/>
        </w:rPr>
      </w:pPr>
      <w:r>
        <w:rPr>
          <w:sz w:val="12"/>
          <w:szCs w:val="12"/>
        </w:rPr>
        <w:lastRenderedPageBreak/>
        <w:t>– </w:t>
      </w:r>
      <w:r w:rsidRPr="000F3AEF">
        <w:rPr>
          <w:sz w:val="12"/>
          <w:szCs w:val="12"/>
        </w:rPr>
        <w:t xml:space="preserve">das selbstständige Herstellen objektgerechter fotografischer Aufnahmen unter Berücksichtigung der jeweiligen fachlichen Anforderungen bei besonders erschwerten fototechnischen Aufnahmebedingungen, </w:t>
      </w:r>
      <w:r>
        <w:rPr>
          <w:sz w:val="12"/>
          <w:szCs w:val="12"/>
        </w:rPr>
        <w:t>z. B.</w:t>
      </w:r>
      <w:r w:rsidRPr="000F3AEF">
        <w:rPr>
          <w:sz w:val="12"/>
          <w:szCs w:val="12"/>
        </w:rPr>
        <w:t xml:space="preserve"> Aufnahmen von schlecht sichtbaren Spuren im Polizeidienst;</w:t>
      </w:r>
    </w:p>
    <w:p w:rsidR="00BE1EFE" w:rsidRPr="000F3AEF" w:rsidRDefault="00BE1EFE" w:rsidP="00E91516">
      <w:pPr>
        <w:pStyle w:val="StandardWeb"/>
        <w:rPr>
          <w:sz w:val="12"/>
          <w:szCs w:val="12"/>
        </w:rPr>
      </w:pPr>
      <w:r>
        <w:rPr>
          <w:sz w:val="12"/>
          <w:szCs w:val="12"/>
        </w:rPr>
        <w:t>– </w:t>
      </w:r>
      <w:r w:rsidRPr="000F3AEF">
        <w:rPr>
          <w:sz w:val="12"/>
          <w:szCs w:val="12"/>
        </w:rPr>
        <w:t>Intraoralaufnahmen, Aufnahmen eines Lehrfilmes bei einer Shuntoperation im medizinischen Bereich;</w:t>
      </w:r>
    </w:p>
    <w:p w:rsidR="00BE1EFE" w:rsidRPr="000F3AEF" w:rsidRDefault="00BE1EFE" w:rsidP="00E91516">
      <w:pPr>
        <w:pStyle w:val="StandardWeb"/>
        <w:rPr>
          <w:sz w:val="12"/>
          <w:szCs w:val="12"/>
        </w:rPr>
      </w:pPr>
      <w:r>
        <w:rPr>
          <w:sz w:val="12"/>
          <w:szCs w:val="12"/>
        </w:rPr>
        <w:t>– </w:t>
      </w:r>
      <w:r w:rsidRPr="000F3AEF">
        <w:rPr>
          <w:sz w:val="12"/>
          <w:szCs w:val="12"/>
        </w:rPr>
        <w:t>Aufnahmen, die die besondere Herausarbeitung bestimmter, für die wissenschaftliche Bearbeitung notwendiger Merkmale erfordern, in der Forschung und in der Materialprüfung.</w:t>
      </w:r>
    </w:p>
    <w:p w:rsidR="00BE1EFE" w:rsidRPr="000F3AEF" w:rsidRDefault="00BE1EFE" w:rsidP="00E91516">
      <w:pPr>
        <w:pStyle w:val="StandardWeb"/>
        <w:rPr>
          <w:szCs w:val="16"/>
        </w:rPr>
      </w:pPr>
    </w:p>
    <w:p w:rsidR="00BE1EFE" w:rsidRPr="000F3AEF" w:rsidRDefault="00BE1EFE" w:rsidP="00224544">
      <w:pPr>
        <w:pStyle w:val="berschrift6"/>
      </w:pPr>
      <w:bookmarkStart w:id="230" w:name="_Toc473549847"/>
      <w:bookmarkStart w:id="231" w:name="_Toc523925872"/>
      <w:r>
        <w:t>15.</w:t>
      </w:r>
      <w:r>
        <w:rPr>
          <w:lang w:eastAsia="x-none"/>
        </w:rPr>
        <w:t xml:space="preserve"> </w:t>
      </w:r>
      <w:r w:rsidRPr="000F3AEF">
        <w:t>Beschäftigte im Fremdsprachendienst</w:t>
      </w:r>
      <w:bookmarkEnd w:id="230"/>
      <w:r w:rsidR="00694224">
        <w:t xml:space="preserve"> </w:t>
      </w:r>
      <w:r w:rsidR="00694224" w:rsidRPr="00694224">
        <w:rPr>
          <w:b w:val="0"/>
          <w:i/>
        </w:rPr>
        <w:t>(frei)</w:t>
      </w:r>
      <w:bookmarkEnd w:id="231"/>
    </w:p>
    <w:p w:rsidR="00BE1EFE" w:rsidRPr="00B76821" w:rsidRDefault="00BE1EFE" w:rsidP="00B76821">
      <w:pPr>
        <w:pStyle w:val="h7"/>
        <w:keepNext w:val="0"/>
        <w:spacing w:before="0" w:after="0"/>
        <w:jc w:val="left"/>
        <w:outlineLvl w:val="5"/>
        <w:rPr>
          <w:sz w:val="2"/>
        </w:rPr>
      </w:pPr>
    </w:p>
    <w:p w:rsidR="00BE1EFE" w:rsidRDefault="00BE1EFE" w:rsidP="00D73AE0">
      <w:pPr>
        <w:pStyle w:val="StandardWeb"/>
        <w:jc w:val="left"/>
        <w:rPr>
          <w:i/>
          <w:szCs w:val="16"/>
        </w:rPr>
      </w:pPr>
    </w:p>
    <w:p w:rsidR="00BE1EFE" w:rsidRPr="000F3AEF" w:rsidRDefault="00BE1EFE" w:rsidP="00224544">
      <w:pPr>
        <w:pStyle w:val="berschrift6"/>
        <w:rPr>
          <w:lang w:eastAsia="x-none"/>
        </w:rPr>
      </w:pPr>
      <w:bookmarkStart w:id="232" w:name="_Toc473549848"/>
      <w:bookmarkStart w:id="233" w:name="_Toc523925873"/>
      <w:r>
        <w:t>16.</w:t>
      </w:r>
      <w:r>
        <w:rPr>
          <w:lang w:eastAsia="x-none"/>
        </w:rPr>
        <w:t xml:space="preserve"> </w:t>
      </w:r>
      <w:r w:rsidRPr="000F3AEF">
        <w:t>Gartenbau-, landwirtschafts- und weinbautechnische Beschäftigte</w:t>
      </w:r>
      <w:bookmarkEnd w:id="232"/>
      <w:bookmarkEnd w:id="233"/>
    </w:p>
    <w:p w:rsidR="00BE1EFE" w:rsidRPr="00F93E09" w:rsidRDefault="00BE1EFE" w:rsidP="00F93E09">
      <w:pPr>
        <w:pStyle w:val="h7"/>
        <w:jc w:val="left"/>
      </w:pPr>
      <w:bookmarkStart w:id="234" w:name="_Toc473549849"/>
      <w:bookmarkStart w:id="235" w:name="_Toc523925874"/>
      <w:r w:rsidRPr="006C60ED">
        <w:t>Entgeltgruppe 5</w:t>
      </w:r>
      <w:bookmarkEnd w:id="234"/>
      <w:bookmarkEnd w:id="235"/>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Gartenbau-, landwirtschafts- und weinbautechnische Beschäftigte aller Fachrichtungen mit einschlägiger abgeschlossener Berufsausbildung und entsprechender Tätigkeit sowie sonstige Beschäftigte, die aufgrund gleichwertiger Fähigkeiten und ihrer Erfahrungen ent</w:t>
      </w:r>
      <w:r>
        <w:rPr>
          <w:szCs w:val="16"/>
        </w:rPr>
        <w:t>sprechende Tätigkeiten ausüben.</w:t>
      </w:r>
    </w:p>
    <w:p w:rsidR="00BE1EFE" w:rsidRPr="00F93E09" w:rsidRDefault="00BE1EFE" w:rsidP="00767F41">
      <w:pPr>
        <w:pStyle w:val="h7"/>
        <w:jc w:val="left"/>
      </w:pPr>
      <w:bookmarkStart w:id="236" w:name="_Toc473549850"/>
      <w:bookmarkStart w:id="237" w:name="_Toc523925875"/>
      <w:r w:rsidRPr="006C60ED">
        <w:t>Entgeltgruppe 6</w:t>
      </w:r>
      <w:bookmarkEnd w:id="236"/>
      <w:bookmarkEnd w:id="237"/>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Gartenbau-, landwirtschafts- und weinbautechnische Beschäftigte (staatlich geprüfte Land</w:t>
      </w:r>
      <w:r>
        <w:rPr>
          <w:szCs w:val="16"/>
        </w:rPr>
        <w:softHyphen/>
      </w:r>
      <w:r w:rsidRPr="000F3AEF">
        <w:rPr>
          <w:szCs w:val="16"/>
        </w:rPr>
        <w:t>wirte und staatlich geprüfte Weinbauer sowie Beschäftigte mit abgeschlossener gleichwertiger Ausbildung) mit entsprechender Tätigkeit nach Abschluss der Ausbildung sowie sonstige Beschäftigte, die aufgrund gleichwertiger Fähigkeiten und ihrer Erfahrungen entsprechende Tätigkeiten ausüben.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der Entgeltgruppe 5, deren Tätigkeit sich dadurch aus der Entgeltgruppe 5 heraushebt, dass auf dem jeweiligen Fachgebiet technische Beratungen einfacherer Art oder Versuche und sonstige Arbeiten mit entsprechendem Schwier</w:t>
      </w:r>
      <w:r>
        <w:rPr>
          <w:szCs w:val="16"/>
        </w:rPr>
        <w:t>igkeitsgrad durchzuführen sind.</w:t>
      </w:r>
    </w:p>
    <w:p w:rsidR="00BE1EFE" w:rsidRPr="00F93E09" w:rsidRDefault="00BE1EFE" w:rsidP="00F93E09">
      <w:pPr>
        <w:pStyle w:val="h7"/>
        <w:jc w:val="left"/>
      </w:pPr>
      <w:bookmarkStart w:id="238" w:name="_Toc473549851"/>
      <w:bookmarkStart w:id="239" w:name="_Toc523925876"/>
      <w:r w:rsidRPr="006C60ED">
        <w:t>Entgeltgruppe 8</w:t>
      </w:r>
      <w:bookmarkEnd w:id="238"/>
      <w:bookmarkEnd w:id="239"/>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sidRPr="000F3AEF">
        <w:rPr>
          <w:szCs w:val="16"/>
        </w:rPr>
        <w:t>Beschäftigte der Entgeltgruppe 6 Fallgruppe 1 in Tätigkeiten, die vielseitige Fachkenntnisse und zu mindestens einem Viertel selbstständige Leistungen erfordern.</w:t>
      </w:r>
    </w:p>
    <w:p w:rsidR="00BE1EFE" w:rsidRPr="000F3AEF" w:rsidRDefault="00BE1EFE" w:rsidP="00E91516">
      <w:pPr>
        <w:pStyle w:val="StandardWeb"/>
        <w:rPr>
          <w:szCs w:val="16"/>
        </w:rPr>
      </w:pPr>
    </w:p>
    <w:p w:rsidR="00BE1EFE" w:rsidRPr="00F93E09" w:rsidRDefault="00BE1EFE" w:rsidP="00F93E09">
      <w:pPr>
        <w:pStyle w:val="h7"/>
        <w:jc w:val="left"/>
      </w:pPr>
      <w:bookmarkStart w:id="240" w:name="_Toc473549852"/>
      <w:bookmarkStart w:id="241" w:name="_Toc523925877"/>
      <w:r w:rsidRPr="006C60ED">
        <w:t>Entgeltgruppe 9a</w:t>
      </w:r>
      <w:bookmarkEnd w:id="240"/>
      <w:bookmarkEnd w:id="241"/>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der Entgeltgruppe 6 Fallgruppe 1, deren Tätigkeit sich durch den Umfang und die Bedeutung ihres Aufgabengebietes und große Selbstständigkeit wesentlich aus der Entgeltgruppe 8 heraushebt.</w:t>
      </w:r>
    </w:p>
    <w:p w:rsidR="00BE1EFE" w:rsidRPr="000F3AEF" w:rsidRDefault="00BE1EFE" w:rsidP="00E91516">
      <w:pPr>
        <w:pStyle w:val="StandardWeb"/>
        <w:rPr>
          <w:szCs w:val="16"/>
        </w:rPr>
      </w:pPr>
    </w:p>
    <w:p w:rsidR="00BE1EFE" w:rsidRDefault="00BE1EFE" w:rsidP="00E91516">
      <w:pPr>
        <w:pStyle w:val="StandardWeb"/>
        <w:rPr>
          <w:szCs w:val="16"/>
        </w:rPr>
      </w:pPr>
      <w:r>
        <w:rPr>
          <w:szCs w:val="16"/>
        </w:rPr>
        <w:t>2. </w:t>
      </w:r>
      <w:r w:rsidRPr="000F3AEF">
        <w:rPr>
          <w:szCs w:val="16"/>
        </w:rPr>
        <w:t>Beschäftigte der Entgeltgruppe 5, deren Tätigkeit sich durch den Umfang und die Bedeutung ihres Aufgabengebietes und große Selbstständigkeit wesentlich aus der Entgeltgr</w:t>
      </w:r>
      <w:r>
        <w:rPr>
          <w:szCs w:val="16"/>
        </w:rPr>
        <w:t>uppe 6 Fallgruppe 2 heraushebt.</w:t>
      </w:r>
    </w:p>
    <w:p w:rsidR="00BE1EFE" w:rsidRPr="00B76821" w:rsidRDefault="00BE1EFE" w:rsidP="002C0A17">
      <w:pPr>
        <w:pStyle w:val="StandardWeb"/>
        <w:rPr>
          <w:sz w:val="2"/>
        </w:rPr>
      </w:pPr>
      <w:r>
        <w:rPr>
          <w:szCs w:val="16"/>
        </w:rPr>
        <w:br w:type="page"/>
      </w:r>
    </w:p>
    <w:p w:rsidR="00BE1EFE" w:rsidRPr="000F3AEF" w:rsidRDefault="00BE1EFE" w:rsidP="00646A07">
      <w:pPr>
        <w:pStyle w:val="berschrift6"/>
        <w:spacing w:before="0"/>
        <w:rPr>
          <w:lang w:eastAsia="x-none"/>
        </w:rPr>
      </w:pPr>
      <w:bookmarkStart w:id="242" w:name="_Toc473549853"/>
      <w:bookmarkStart w:id="243" w:name="_Toc523925878"/>
      <w:r>
        <w:lastRenderedPageBreak/>
        <w:t>17.</w:t>
      </w:r>
      <w:r>
        <w:rPr>
          <w:lang w:eastAsia="x-none"/>
        </w:rPr>
        <w:t xml:space="preserve"> </w:t>
      </w:r>
      <w:r w:rsidRPr="000F3AEF">
        <w:t>Beschäftigte in Gesundheitsberufen</w:t>
      </w:r>
      <w:bookmarkEnd w:id="242"/>
      <w:bookmarkEnd w:id="243"/>
    </w:p>
    <w:p w:rsidR="00BE1EFE" w:rsidRDefault="00BE1EFE" w:rsidP="00BD3BFC">
      <w:pPr>
        <w:pStyle w:val="h7"/>
        <w:jc w:val="left"/>
      </w:pPr>
      <w:bookmarkStart w:id="244" w:name="_Toc523925879"/>
      <w:r w:rsidRPr="00CE7860">
        <w:t>17.1. Beschäftigte in der Pflege</w:t>
      </w:r>
      <w:bookmarkEnd w:id="244"/>
    </w:p>
    <w:p w:rsidR="00BE1EFE" w:rsidRPr="00767F41" w:rsidRDefault="00BE1EFE" w:rsidP="00767F41">
      <w:pPr>
        <w:pStyle w:val="h8"/>
      </w:pPr>
      <w:bookmarkStart w:id="245" w:name="_Toc523925880"/>
      <w:r w:rsidRPr="00EC3F42">
        <w:t>Vorbemerkungen</w:t>
      </w:r>
      <w:bookmarkEnd w:id="24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 w:val="12"/>
          <w:szCs w:val="12"/>
        </w:rPr>
        <w:t>1</w:t>
      </w:r>
      <w:r w:rsidRPr="008F423C">
        <w:rPr>
          <w:szCs w:val="16"/>
        </w:rPr>
        <w:t>Die Bezeichnung „Pflegehelferinnen und Pflegehelfer" umfasst auch Gesundheits- und Krankenpflegehelferinnen und Gesundheits- und Krankenpflegehelfer sowie Altenpflege</w:t>
      </w:r>
      <w:r>
        <w:rPr>
          <w:szCs w:val="16"/>
        </w:rPr>
        <w:softHyphen/>
      </w:r>
      <w:r w:rsidRPr="008F423C">
        <w:rPr>
          <w:szCs w:val="16"/>
        </w:rPr>
        <w:t xml:space="preserve">helferinnen und Altenpflegehelfer. </w:t>
      </w:r>
      <w:r w:rsidRPr="008F423C">
        <w:rPr>
          <w:sz w:val="12"/>
          <w:szCs w:val="12"/>
        </w:rPr>
        <w:t>2</w:t>
      </w:r>
      <w:r w:rsidRPr="008F423C">
        <w:rPr>
          <w:szCs w:val="16"/>
        </w:rPr>
        <w:t>Die Bezeichnung "Pflegerinnen und Pfleger" umfasst Gesundheits- und Krankenpflegerinnen und Gesundheits- und Krankenpfleger, Gesundheits- und Kinderkrankenpflegerinnen und Gesundheits- und Kinderkrankenpfleger sowie Alten</w:t>
      </w:r>
      <w:r>
        <w:rPr>
          <w:szCs w:val="16"/>
        </w:rPr>
        <w:softHyphen/>
      </w:r>
      <w:r w:rsidRPr="008F423C">
        <w:rPr>
          <w:szCs w:val="16"/>
        </w:rPr>
        <w:t>pflegerinnen und Altenpfleger in allen Fachrichtungen bzw. Spezialisierungen.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Gesundheits- und Krankenpflegerinnen und Gesundheits- und Krankenpfleger, die die Tätigkeiten von Gesundheits- und Kinderkrankenpflegerinnen und Gesundheits- und Kinder</w:t>
      </w:r>
      <w:r>
        <w:rPr>
          <w:szCs w:val="16"/>
        </w:rPr>
        <w:softHyphen/>
      </w:r>
      <w:r w:rsidRPr="008F423C">
        <w:rPr>
          <w:szCs w:val="16"/>
        </w:rPr>
        <w:t>krankenpflegern oder von Altenpflegerinnen und Altenpflegern ausüben, sind als Gesundheits- und Kinderkrankenpflegerinnen und Gesundheits- und Kinderkrankenpfleger bzw. als Altenpflegerinnen und Altenpfleger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Gesundheits- und Kinderkrankenpflegerinnen und Gesundheits- und Kinderkrankenpfleger, die die Tätigkeiten von Gesundheits- und Krankenpflegerinnen und Gesundheits- und Krankenpflegern oder von Altenpflegerinnen und Altenpflegern ausüben, sind als Gesundheits- und Krankenpflegerinnen und Gesundheits- und Krankenpfleger bzw. als Altenpflegerinnen und Altenpfleger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4. </w:t>
      </w:r>
      <w:r w:rsidRPr="008F423C">
        <w:rPr>
          <w:szCs w:val="16"/>
        </w:rPr>
        <w:t>Altenpflegerinnen und Altenpfleger, die die Tätigkeiten von Gesundheits- und Kranken</w:t>
      </w:r>
      <w:r>
        <w:rPr>
          <w:szCs w:val="16"/>
        </w:rPr>
        <w:softHyphen/>
      </w:r>
      <w:r w:rsidRPr="008F423C">
        <w:rPr>
          <w:szCs w:val="16"/>
        </w:rPr>
        <w:t>pflegerinnen und Gesundheits- und Krankenpflegern ausüben, sind als Gesundheits- und Krankenpflegerinnen und Gesundheits- und Krankenpfleger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5. </w:t>
      </w:r>
      <w:r w:rsidRPr="008F423C">
        <w:rPr>
          <w:szCs w:val="16"/>
        </w:rPr>
        <w:t>Nach den Tätigkeitsmerkmalen für Pflegerinnen und Pfleger sind auch Hebammen und Entbindungspfleger sowie Operationstechnische Assistentinnen und Assistenten und Anästhesietechnische Assistentinnen und Assistenten mit abgeschlossener Ausbildung nach der DKG-Empfehlung vom 17. September 2013 in der jeweiligen Fassung oder nach gleichwertiger landesrechtlicher Regelung, die die Tätigkeit von Gesundheits- und Kranken</w:t>
      </w:r>
      <w:r>
        <w:rPr>
          <w:szCs w:val="16"/>
        </w:rPr>
        <w:softHyphen/>
      </w:r>
      <w:r w:rsidRPr="008F423C">
        <w:rPr>
          <w:szCs w:val="16"/>
        </w:rPr>
        <w:t>pflegerinnen und Gesundheits- und Krankenpflegern oder von Gesundheits- und Kinder</w:t>
      </w:r>
      <w:r>
        <w:rPr>
          <w:szCs w:val="16"/>
        </w:rPr>
        <w:softHyphen/>
      </w:r>
      <w:r w:rsidRPr="008F423C">
        <w:rPr>
          <w:szCs w:val="16"/>
        </w:rPr>
        <w:t>krankenpflegerinnen und Gesundheits- und Kinderkrankenpflegern auszuüben haben, eingruppiert.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6. </w:t>
      </w:r>
      <w:r w:rsidRPr="008F423C">
        <w:rPr>
          <w:szCs w:val="16"/>
        </w:rPr>
        <w:t>Zu der entsprechenden Tätigkeit von Pflegehelferinnen und Pflegehelfern bzw. von Pflegerinnen und Pflegern gehört auch die Tätigkeit in Ambulanzen, Blutzentralen und Dialyseeinheiten, soweit es sich nicht überwiegend um eine Verwaltungs- oder Empfangstätigkeit handelt.</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7. Die Bezeichnungen umfassen auch</w:t>
      </w:r>
    </w:p>
    <w:p w:rsidR="00BE1EFE" w:rsidRDefault="00BE1EFE" w:rsidP="008F423C">
      <w:pPr>
        <w:pStyle w:val="StandardWeb"/>
        <w:rPr>
          <w:szCs w:val="16"/>
        </w:rPr>
      </w:pPr>
    </w:p>
    <w:tbl>
      <w:tblPr>
        <w:tblW w:w="6237" w:type="dxa"/>
        <w:tblLayout w:type="fixed"/>
        <w:tblCellMar>
          <w:left w:w="0" w:type="dxa"/>
          <w:right w:w="0" w:type="dxa"/>
        </w:tblCellMar>
        <w:tblLook w:val="01E0" w:firstRow="1" w:lastRow="1" w:firstColumn="1" w:lastColumn="1" w:noHBand="0" w:noVBand="0"/>
      </w:tblPr>
      <w:tblGrid>
        <w:gridCol w:w="3358"/>
        <w:gridCol w:w="2879"/>
      </w:tblGrid>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Kranken</w:t>
            </w:r>
            <w:r w:rsidRPr="008F423C">
              <w:rPr>
                <w:rFonts w:cs="Arial"/>
                <w:szCs w:val="16"/>
              </w:rPr>
              <w:t>pflegehelferinn</w:t>
            </w:r>
            <w:r>
              <w:rPr>
                <w:rFonts w:cs="Arial"/>
                <w:szCs w:val="16"/>
              </w:rPr>
              <w:t>en und Gesundheits- und Kranken</w:t>
            </w:r>
            <w:r w:rsidRPr="008F423C">
              <w:rPr>
                <w:rFonts w:cs="Arial"/>
                <w:szCs w:val="16"/>
              </w:rPr>
              <w:t>pflegehelfer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tabs>
                <w:tab w:val="left" w:pos="3060"/>
              </w:tabs>
              <w:ind w:left="57"/>
              <w:rPr>
                <w:rFonts w:cs="Arial"/>
                <w:szCs w:val="16"/>
              </w:rPr>
            </w:pPr>
            <w:r w:rsidRPr="008F423C">
              <w:rPr>
                <w:rFonts w:cs="Arial"/>
                <w:szCs w:val="16"/>
              </w:rPr>
              <w:t>Krankenpflegehelferinnen und Krankenpflegehelfer</w:t>
            </w:r>
          </w:p>
        </w:tc>
      </w:tr>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Kranken</w:t>
            </w:r>
            <w:r w:rsidRPr="008F423C">
              <w:rPr>
                <w:rFonts w:cs="Arial"/>
                <w:szCs w:val="16"/>
              </w:rPr>
              <w:t>pflegerinnen und Gesundheits- und Krankenpfleger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sidRPr="008F423C">
              <w:rPr>
                <w:rFonts w:cs="Arial"/>
                <w:szCs w:val="16"/>
              </w:rPr>
              <w:t>Krankenschwestern und Krankenpfleger</w:t>
            </w:r>
          </w:p>
        </w:tc>
      </w:tr>
      <w:tr w:rsidR="00BE1EFE" w:rsidRPr="008F423C" w:rsidTr="008F423C">
        <w:trPr>
          <w:trHeight w:hRule="exact" w:val="397"/>
        </w:trPr>
        <w:tc>
          <w:tcPr>
            <w:tcW w:w="3969"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ind w:left="57"/>
              <w:rPr>
                <w:rFonts w:cs="Arial"/>
                <w:szCs w:val="16"/>
              </w:rPr>
            </w:pPr>
            <w:r>
              <w:rPr>
                <w:rFonts w:cs="Arial"/>
                <w:szCs w:val="16"/>
              </w:rPr>
              <w:t>Gesundheits- und Kinder</w:t>
            </w:r>
            <w:r w:rsidRPr="008F423C">
              <w:rPr>
                <w:rFonts w:cs="Arial"/>
                <w:szCs w:val="16"/>
              </w:rPr>
              <w:t>krankenpflegerinnen und Gesundheits- und Kinderkrankenpfleger</w:t>
            </w:r>
          </w:p>
        </w:tc>
        <w:tc>
          <w:tcPr>
            <w:tcW w:w="3401" w:type="dxa"/>
            <w:tcBorders>
              <w:top w:val="single" w:sz="4" w:space="0" w:color="000000"/>
              <w:left w:val="single" w:sz="4" w:space="0" w:color="000000"/>
              <w:bottom w:val="single" w:sz="4" w:space="0" w:color="000000"/>
              <w:right w:val="single" w:sz="4" w:space="0" w:color="000000"/>
            </w:tcBorders>
            <w:hideMark/>
          </w:tcPr>
          <w:p w:rsidR="00BE1EFE" w:rsidRPr="008F423C" w:rsidRDefault="00BE1EFE" w:rsidP="008F423C">
            <w:pPr>
              <w:widowControl w:val="0"/>
              <w:tabs>
                <w:tab w:val="left" w:pos="3060"/>
              </w:tabs>
              <w:ind w:left="57"/>
              <w:rPr>
                <w:rFonts w:cs="Arial"/>
                <w:szCs w:val="16"/>
              </w:rPr>
            </w:pPr>
            <w:r w:rsidRPr="008F423C">
              <w:rPr>
                <w:rFonts w:cs="Arial"/>
                <w:szCs w:val="16"/>
              </w:rPr>
              <w:t>Kinderkrankenschwestern und Kinderkrankenpfleger</w:t>
            </w:r>
          </w:p>
        </w:tc>
      </w:tr>
    </w:tbl>
    <w:p w:rsidR="00BE1EFE" w:rsidRPr="00D25BED" w:rsidRDefault="00BE1EFE" w:rsidP="00D25BED">
      <w:pPr>
        <w:pStyle w:val="h8"/>
      </w:pPr>
      <w:bookmarkStart w:id="246" w:name="_Toc523925881"/>
      <w:r w:rsidRPr="006C60ED">
        <w:lastRenderedPageBreak/>
        <w:t>Entgeltgruppe P 5</w:t>
      </w:r>
      <w:bookmarkEnd w:id="24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Pflegehelferinnen und Pflegehelfer mit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7" w:name="_Toc523925882"/>
      <w:r w:rsidRPr="006C60ED">
        <w:t>Entgeltgruppe P 6</w:t>
      </w:r>
      <w:bookmarkEnd w:id="24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Pflegehelferinnen und Pflegehelfer mit mindestens einjähriger Ausbildung und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8" w:name="_Toc523925883"/>
      <w:r w:rsidRPr="006C60ED">
        <w:t>Entgeltgruppe P 7</w:t>
      </w:r>
      <w:bookmarkEnd w:id="24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Pflegerinnen und Pfleger mit mindestens dreijähriger Ausbildung und entsprechender Tätigkeit.</w:t>
      </w:r>
    </w:p>
    <w:p w:rsidR="00BE1EFE" w:rsidRPr="008F423C" w:rsidRDefault="00BE1EFE" w:rsidP="008F423C">
      <w:pPr>
        <w:pStyle w:val="StandardWeb"/>
        <w:rPr>
          <w:szCs w:val="16"/>
        </w:rPr>
      </w:pPr>
      <w:r w:rsidRPr="008F423C">
        <w:rPr>
          <w:szCs w:val="16"/>
        </w:rPr>
        <w:t>(Hierzu Anmerkungen Nummern 1 bis 3 und 7)</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Operationstechnische Assistentinnen und Assistenten sowie Anästhesietechnische Assistentinnen und Assistenten mit abgeschlossener Ausbildung nach der DKG-Empfehlung vom 17. September 2013 in der jeweiligen Fassung oder nach gleichwertiger landesrechtlicher Regelung und jeweils entsprechender Tätigkeit.</w:t>
      </w:r>
    </w:p>
    <w:p w:rsidR="00BE1EFE" w:rsidRPr="008F423C" w:rsidRDefault="00BE1EFE" w:rsidP="008F423C">
      <w:pPr>
        <w:pStyle w:val="StandardWeb"/>
        <w:rPr>
          <w:szCs w:val="16"/>
        </w:rPr>
      </w:pPr>
      <w:r w:rsidRPr="008F423C">
        <w:rPr>
          <w:szCs w:val="16"/>
        </w:rPr>
        <w:t>(Hier</w:t>
      </w:r>
      <w:r>
        <w:rPr>
          <w:szCs w:val="16"/>
        </w:rPr>
        <w:t>zu Anmerkungen Nummern 1 bis 3)</w:t>
      </w:r>
    </w:p>
    <w:p w:rsidR="00BE1EFE" w:rsidRPr="00D25BED" w:rsidRDefault="00BE1EFE" w:rsidP="00D25BED">
      <w:pPr>
        <w:pStyle w:val="h8"/>
      </w:pPr>
      <w:bookmarkStart w:id="249" w:name="_Toc523925884"/>
      <w:r w:rsidRPr="006C60ED">
        <w:t>Entgeltgruppe P 8</w:t>
      </w:r>
      <w:bookmarkEnd w:id="24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P 7 Fallgruppe 1, deren Tätigkeit sich aufgrund besonderer Schwierigkeit erheblich aus der Entgeltgruppe P 7 Fallgruppe 1 heraushebt.</w:t>
      </w:r>
    </w:p>
    <w:p w:rsidR="00BE1EFE" w:rsidRPr="008F423C" w:rsidRDefault="00BE1EFE" w:rsidP="008F423C">
      <w:pPr>
        <w:pStyle w:val="StandardWeb"/>
        <w:rPr>
          <w:szCs w:val="16"/>
        </w:rPr>
      </w:pPr>
      <w:r w:rsidRPr="008F423C">
        <w:rPr>
          <w:szCs w:val="16"/>
        </w:rPr>
        <w:t>(Hierzu Anmerkungen Nummern 1 bis 6)</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Praxisanleiterinnen und Praxisanleiter in der Pflege mit berufspädagogischer Zusatzquali</w:t>
      </w:r>
      <w:r>
        <w:rPr>
          <w:szCs w:val="16"/>
        </w:rPr>
        <w:softHyphen/>
      </w:r>
      <w:r w:rsidRPr="008F423C">
        <w:rPr>
          <w:szCs w:val="16"/>
        </w:rPr>
        <w:t>fikation nach bundesrechtlicher Regelung und entsprechender Tätigkeit.</w:t>
      </w:r>
    </w:p>
    <w:p w:rsidR="00BE1EFE" w:rsidRPr="008F423C" w:rsidRDefault="00BE1EFE" w:rsidP="008F423C">
      <w:pPr>
        <w:pStyle w:val="StandardWeb"/>
        <w:rPr>
          <w:szCs w:val="16"/>
        </w:rPr>
      </w:pPr>
      <w:r w:rsidRPr="008F423C">
        <w:rPr>
          <w:szCs w:val="16"/>
        </w:rPr>
        <w:t>(Hierzu Anmerkungen Nummern 1 bis 3)</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Hebammen und Entbindungspfleger mit mindestens dreijähriger Ausbildung und ent</w:t>
      </w:r>
      <w:r>
        <w:rPr>
          <w:szCs w:val="16"/>
        </w:rPr>
        <w:softHyphen/>
      </w:r>
      <w:r w:rsidRPr="008F423C">
        <w:rPr>
          <w:szCs w:val="16"/>
        </w:rPr>
        <w:t>sprechender Tätigkeit.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4. </w:t>
      </w:r>
      <w:r w:rsidRPr="008F423C">
        <w:rPr>
          <w:szCs w:val="16"/>
        </w:rPr>
        <w:t>Beschäftigte der Entgeltgruppe P 7 Fallgruppe 2, deren Tätigkeit sich aufgrund besonderer Schwierigkeit erheblich aus der Entgeltgruppe P 7 Fallgruppe 2 heraushebt.</w:t>
      </w:r>
    </w:p>
    <w:p w:rsidR="00BE1EFE" w:rsidRPr="008F423C" w:rsidRDefault="00BE1EFE" w:rsidP="008F423C">
      <w:pPr>
        <w:pStyle w:val="StandardWeb"/>
        <w:rPr>
          <w:szCs w:val="16"/>
        </w:rPr>
      </w:pPr>
      <w:r w:rsidRPr="008F423C">
        <w:rPr>
          <w:szCs w:val="16"/>
        </w:rPr>
        <w:t>(Hier</w:t>
      </w:r>
      <w:r>
        <w:rPr>
          <w:szCs w:val="16"/>
        </w:rPr>
        <w:t>zu Anmerkungen Nummern 1 bis 6)</w:t>
      </w:r>
    </w:p>
    <w:p w:rsidR="00BE1EFE" w:rsidRPr="00D25BED" w:rsidRDefault="00BE1EFE" w:rsidP="00D25BED">
      <w:pPr>
        <w:pStyle w:val="h8"/>
      </w:pPr>
      <w:bookmarkStart w:id="250" w:name="_Toc523925885"/>
      <w:r w:rsidRPr="006C60ED">
        <w:t>Entgeltgruppe P 9</w:t>
      </w:r>
      <w:bookmarkEnd w:id="25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P 7 Fa</w:t>
      </w:r>
      <w:r>
        <w:rPr>
          <w:szCs w:val="16"/>
        </w:rPr>
        <w:t xml:space="preserve">llgruppe 1 mit abgeschlossener </w:t>
      </w:r>
      <w:r w:rsidRPr="008F423C">
        <w:rPr>
          <w:szCs w:val="16"/>
        </w:rPr>
        <w:t>Fachweiterbildung und entsprechender Tätigkeit.</w:t>
      </w:r>
    </w:p>
    <w:p w:rsidR="00BE1EFE" w:rsidRPr="008F423C" w:rsidRDefault="00BE1EFE" w:rsidP="008F423C">
      <w:pPr>
        <w:pStyle w:val="StandardWeb"/>
        <w:rPr>
          <w:szCs w:val="16"/>
        </w:rPr>
      </w:pPr>
      <w:r w:rsidRPr="008F423C">
        <w:rPr>
          <w:szCs w:val="16"/>
        </w:rPr>
        <w:t>(Hierzu Anmerkungen Nummern 1 bis 3 und 6)</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P 7 Fallgruppe 1 mit erfolgreich abgeschlossener Fachweiterbildung zur Hygienefachkraft und entsprechender Tätigkeit.</w:t>
      </w:r>
    </w:p>
    <w:p w:rsidR="00BE1EFE" w:rsidRPr="008F423C" w:rsidRDefault="00BE1EFE" w:rsidP="008F423C">
      <w:pPr>
        <w:pStyle w:val="StandardWeb"/>
        <w:rPr>
          <w:szCs w:val="16"/>
        </w:rPr>
      </w:pPr>
    </w:p>
    <w:p w:rsidR="00BE1EFE" w:rsidRPr="008F423C" w:rsidRDefault="00BE1EFE" w:rsidP="008F423C">
      <w:pPr>
        <w:pStyle w:val="StandardWeb"/>
        <w:rPr>
          <w:szCs w:val="16"/>
        </w:rPr>
      </w:pPr>
    </w:p>
    <w:p w:rsidR="00BE1EFE" w:rsidRPr="00D25BED" w:rsidRDefault="00BE1EFE" w:rsidP="00D25BED">
      <w:pPr>
        <w:pStyle w:val="h8"/>
      </w:pPr>
      <w:bookmarkStart w:id="251" w:name="_Toc523925886"/>
      <w:r w:rsidRPr="006C60ED">
        <w:t>Entgeltgruppe 9b (Anlage A zum Teil A, 1.)</w:t>
      </w:r>
      <w:bookmarkEnd w:id="25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mit abgeschlossener Hochschulbildung und den Anforderungen der Anmerkung Nummer 7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r>
        <w:rPr>
          <w:szCs w:val="16"/>
        </w:rPr>
        <w:t>(Hierzu Anmerkungen Nummer 7)</w:t>
      </w:r>
    </w:p>
    <w:p w:rsidR="00BE1EFE" w:rsidRPr="00D25BED" w:rsidRDefault="00BE1EFE" w:rsidP="00D25BED">
      <w:pPr>
        <w:pStyle w:val="h8"/>
      </w:pPr>
      <w:bookmarkStart w:id="252" w:name="_Toc523925887"/>
      <w:r w:rsidRPr="006C60ED">
        <w:t>Entgeltgruppe 9c (Anlage A zum Teil A, 1.)</w:t>
      </w:r>
      <w:bookmarkEnd w:id="25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dadurch aus der Entgeltgruppe 9b heraushebt, dass sie be</w:t>
      </w:r>
      <w:r>
        <w:rPr>
          <w:szCs w:val="16"/>
        </w:rPr>
        <w:t>sonders verantwortungsvoll ist.</w:t>
      </w:r>
    </w:p>
    <w:p w:rsidR="00BE1EFE" w:rsidRPr="00D25BED" w:rsidRDefault="00BE1EFE" w:rsidP="00D25BED">
      <w:pPr>
        <w:pStyle w:val="h8"/>
      </w:pPr>
      <w:bookmarkStart w:id="253" w:name="_Toc523925888"/>
      <w:r w:rsidRPr="006C60ED">
        <w:t>Entgeltgruppe 10 (Anlage A zum Teil A, 1.)</w:t>
      </w:r>
      <w:bookmarkEnd w:id="25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mindestens zu einem Drittel durch besondere Schwierigkeit und Bedeutung aus d</w:t>
      </w:r>
      <w:r>
        <w:rPr>
          <w:szCs w:val="16"/>
        </w:rPr>
        <w:t>er Entgeltgruppe 9c heraushebt.</w:t>
      </w:r>
    </w:p>
    <w:p w:rsidR="00BE1EFE" w:rsidRPr="00D25BED" w:rsidRDefault="00BE1EFE" w:rsidP="00D25BED">
      <w:pPr>
        <w:pStyle w:val="h8"/>
      </w:pPr>
      <w:bookmarkStart w:id="254" w:name="_Toc523925889"/>
      <w:r w:rsidRPr="006C60ED">
        <w:t>Entgeltgruppe 11 (Anlage A zum Teil A, 1.)</w:t>
      </w:r>
      <w:bookmarkEnd w:id="25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durch besondere Schwierigkeit und Bedeutung aus d</w:t>
      </w:r>
      <w:r>
        <w:rPr>
          <w:szCs w:val="16"/>
        </w:rPr>
        <w:t>er Entgeltgruppe 9c heraushebt.</w:t>
      </w:r>
    </w:p>
    <w:p w:rsidR="00BE1EFE" w:rsidRPr="00D25BED" w:rsidRDefault="00BE1EFE" w:rsidP="00D25BED">
      <w:pPr>
        <w:pStyle w:val="h8"/>
      </w:pPr>
      <w:bookmarkStart w:id="255" w:name="_Toc523925890"/>
      <w:r w:rsidRPr="006C60ED">
        <w:t>Entgeltgruppe 12 (Anlage A zum Teil A, 1.)</w:t>
      </w:r>
      <w:bookmarkEnd w:id="25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deren Tätigkeit sich durch das Maß der damit verbundenen Verantwortung erheblich aus d</w:t>
      </w:r>
      <w:r>
        <w:rPr>
          <w:szCs w:val="16"/>
        </w:rPr>
        <w:t>er Entgeltgruppe 11 heraushebt.</w:t>
      </w:r>
    </w:p>
    <w:p w:rsidR="00BE1EFE" w:rsidRPr="008F423C" w:rsidRDefault="00BE1EFE" w:rsidP="00D25BED">
      <w:pPr>
        <w:pStyle w:val="h8"/>
      </w:pPr>
      <w:bookmarkStart w:id="256" w:name="_Toc523925891"/>
      <w:r w:rsidRPr="008F423C">
        <w:t>Anmerkungen:</w:t>
      </w:r>
      <w:bookmarkEnd w:id="25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 w:val="12"/>
          <w:szCs w:val="12"/>
        </w:rPr>
      </w:pPr>
      <w:r w:rsidRPr="008F423C">
        <w:rPr>
          <w:sz w:val="12"/>
          <w:szCs w:val="12"/>
        </w:rPr>
        <w:t>1. Beschäftigte der Entgeltgruppen P 5 bis P 9, die die Grund- und Behandlungspflege zeitlich überwiegend bei</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an schweren Infektionskrankheiten erkrankten Patientinnen oder Patienten (</w:t>
      </w:r>
      <w:r>
        <w:rPr>
          <w:sz w:val="12"/>
          <w:szCs w:val="12"/>
        </w:rPr>
        <w:t>z. B.</w:t>
      </w:r>
      <w:r w:rsidRPr="008F423C">
        <w:rPr>
          <w:sz w:val="12"/>
          <w:szCs w:val="12"/>
        </w:rPr>
        <w:t xml:space="preserve"> Tuberkulose-Patientinnen oder -Patien</w:t>
      </w:r>
      <w:r>
        <w:rPr>
          <w:sz w:val="12"/>
          <w:szCs w:val="12"/>
        </w:rPr>
        <w:softHyphen/>
      </w:r>
      <w:r w:rsidRPr="008F423C">
        <w:rPr>
          <w:sz w:val="12"/>
          <w:szCs w:val="12"/>
        </w:rPr>
        <w:t>ten), die wegen der Ansteckungsgefahr in besonderen Infektionsabteilungen oder Infektionsstationen untergebracht sind,</w:t>
      </w:r>
    </w:p>
    <w:p w:rsidR="00BE1EFE" w:rsidRPr="008F423C" w:rsidRDefault="00BE1EFE" w:rsidP="008F423C">
      <w:pPr>
        <w:pStyle w:val="StandardWeb"/>
        <w:rPr>
          <w:sz w:val="12"/>
          <w:szCs w:val="12"/>
        </w:rPr>
      </w:pPr>
      <w:r>
        <w:rPr>
          <w:sz w:val="12"/>
          <w:szCs w:val="12"/>
        </w:rPr>
        <w:t>b) </w:t>
      </w:r>
      <w:r w:rsidRPr="008F423C">
        <w:rPr>
          <w:sz w:val="12"/>
          <w:szCs w:val="12"/>
        </w:rPr>
        <w:t>Kranken in geschlossenen oder halbgeschlossenen (Open-door-system) psychiatrischen Abteilungen oder Stationen,</w:t>
      </w:r>
    </w:p>
    <w:p w:rsidR="00BE1EFE" w:rsidRPr="008F423C" w:rsidRDefault="00BE1EFE" w:rsidP="008F423C">
      <w:pPr>
        <w:pStyle w:val="StandardWeb"/>
        <w:rPr>
          <w:sz w:val="12"/>
          <w:szCs w:val="12"/>
        </w:rPr>
      </w:pPr>
      <w:r>
        <w:rPr>
          <w:sz w:val="12"/>
          <w:szCs w:val="12"/>
        </w:rPr>
        <w:t>c) </w:t>
      </w:r>
      <w:r w:rsidRPr="008F423C">
        <w:rPr>
          <w:sz w:val="12"/>
          <w:szCs w:val="12"/>
        </w:rPr>
        <w:t>Kranken in geriatrischen Abteilungen und Stationen,</w:t>
      </w:r>
    </w:p>
    <w:p w:rsidR="00BE1EFE" w:rsidRPr="008F423C" w:rsidRDefault="00BE1EFE" w:rsidP="008F423C">
      <w:pPr>
        <w:pStyle w:val="StandardWeb"/>
        <w:rPr>
          <w:sz w:val="12"/>
          <w:szCs w:val="12"/>
        </w:rPr>
      </w:pPr>
      <w:r>
        <w:rPr>
          <w:sz w:val="12"/>
          <w:szCs w:val="12"/>
        </w:rPr>
        <w:t>d) </w:t>
      </w:r>
      <w:r w:rsidRPr="008F423C">
        <w:rPr>
          <w:sz w:val="12"/>
          <w:szCs w:val="12"/>
        </w:rPr>
        <w:t>Gelähmten oder an multipler Sklerose erkrankten Patientinnen und Patienten,</w:t>
      </w:r>
    </w:p>
    <w:p w:rsidR="00BE1EFE" w:rsidRPr="008F423C" w:rsidRDefault="00BE1EFE" w:rsidP="008F423C">
      <w:pPr>
        <w:pStyle w:val="StandardWeb"/>
        <w:rPr>
          <w:sz w:val="12"/>
          <w:szCs w:val="12"/>
        </w:rPr>
      </w:pPr>
      <w:r>
        <w:rPr>
          <w:sz w:val="12"/>
          <w:szCs w:val="12"/>
        </w:rPr>
        <w:t>e) </w:t>
      </w:r>
      <w:r w:rsidRPr="008F423C">
        <w:rPr>
          <w:sz w:val="12"/>
          <w:szCs w:val="12"/>
        </w:rPr>
        <w:t>Patientinnen oder Patienten nach Transplantationen innerer Organe oder von Knochenmark,</w:t>
      </w:r>
    </w:p>
    <w:p w:rsidR="00BE1EFE" w:rsidRPr="008F423C" w:rsidRDefault="00BE1EFE" w:rsidP="008F423C">
      <w:pPr>
        <w:pStyle w:val="StandardWeb"/>
        <w:rPr>
          <w:sz w:val="12"/>
          <w:szCs w:val="12"/>
        </w:rPr>
      </w:pPr>
      <w:r>
        <w:rPr>
          <w:sz w:val="12"/>
          <w:szCs w:val="12"/>
        </w:rPr>
        <w:t>f) </w:t>
      </w:r>
      <w:r w:rsidRPr="008F423C">
        <w:rPr>
          <w:sz w:val="12"/>
          <w:szCs w:val="12"/>
        </w:rPr>
        <w:t>an AIDS (Vollbild) erkrankten Patientinnen oder Patienten,</w:t>
      </w:r>
    </w:p>
    <w:p w:rsidR="00BE1EFE" w:rsidRPr="008F423C" w:rsidRDefault="00BE1EFE" w:rsidP="008F423C">
      <w:pPr>
        <w:pStyle w:val="StandardWeb"/>
        <w:rPr>
          <w:sz w:val="12"/>
          <w:szCs w:val="12"/>
        </w:rPr>
      </w:pPr>
      <w:r>
        <w:rPr>
          <w:sz w:val="12"/>
          <w:szCs w:val="12"/>
        </w:rPr>
        <w:t>g) </w:t>
      </w:r>
      <w:r w:rsidRPr="008F423C">
        <w:rPr>
          <w:sz w:val="12"/>
          <w:szCs w:val="12"/>
        </w:rPr>
        <w:t>Patientinnen oder Patienten, bei denen Chemotherapien durchgeführt oder die mit Strahlen oder mit inkorporierten radioaktiven Stoffen behandelt werden, ausüben, erhalten für die Dauer dieser Tätigkeit eine monatliche Zulage in Höhe von 46,02 Euro.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2. Beschäftigte der Entgeltgruppen P 5 bis P 9, die zeitlich überwiegend in Einheiten für Intensivmedizin (Stationen für Intensivbehandlungen und Intensivüberwachung sowie Wachstationen, die für Intensivüberwachung eingerichtet sind) Patientinnen oder Patienten pflegen, erhalten für die Dauer dieser Tätigkeit eine monatliche Zulage von 46,02 Euro.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3. 1Beschäftigte der Entgeltgruppen P 5 bis P 9, die die Grund- und Behandlungspflege bei schwerbrandverletzten Patientinnen oder Patienten in Einheiten für Schwerbrandverletzte, denen durch die Einsatzzentrale/Rettungsleitstelle der Feuerwehr Hamburg Schwerbrandverletzte vermittelt werden, ausüben, erhalten eine Zulage in Höhe von 1,80 Euro für jede volle Arbeitsstunde dieser Pflegetätigkeit. 2Eine nach den Anmerkungen Nummern 1 und 2 zustehende Zulage vermindert sich um den Betrag, der in demselben Kalendermonat nach Satz 1 zusteht.</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lastRenderedPageBreak/>
        <w:t>4. </w:t>
      </w:r>
      <w:r w:rsidRPr="008F423C">
        <w:rPr>
          <w:sz w:val="12"/>
          <w:szCs w:val="12"/>
        </w:rPr>
        <w:t>Tätigkeiten, die sich aufgrund besonderer Schwierigkeit erheblich aus der Entgeltgruppe P 7 herausheben, sind</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 xml:space="preserve">Tätigkeiten in Spezialbereichen, in denen eine </w:t>
      </w:r>
      <w:r>
        <w:rPr>
          <w:sz w:val="12"/>
          <w:szCs w:val="12"/>
        </w:rPr>
        <w:t>Fachweiterbildung nach den</w:t>
      </w:r>
      <w:r w:rsidRPr="008F423C">
        <w:rPr>
          <w:sz w:val="12"/>
          <w:szCs w:val="12"/>
        </w:rPr>
        <w:t xml:space="preserve"> DKG-Empfehlung</w:t>
      </w:r>
      <w:r>
        <w:rPr>
          <w:sz w:val="12"/>
          <w:szCs w:val="12"/>
        </w:rPr>
        <w:t>en</w:t>
      </w:r>
      <w:r w:rsidRPr="008F423C">
        <w:rPr>
          <w:sz w:val="12"/>
          <w:szCs w:val="12"/>
        </w:rPr>
        <w:t xml:space="preserve"> zur Weiterbildung von Gesundheits- und (Kinder-) Krankenpflegekräften (siehe Anmerkung Nummer 6) vorgesehen ist, oder</w:t>
      </w:r>
    </w:p>
    <w:p w:rsidR="00BE1EFE" w:rsidRPr="008F423C" w:rsidRDefault="00BE1EFE" w:rsidP="008F423C">
      <w:pPr>
        <w:pStyle w:val="StandardWeb"/>
        <w:rPr>
          <w:sz w:val="12"/>
          <w:szCs w:val="12"/>
        </w:rPr>
      </w:pPr>
      <w:r>
        <w:rPr>
          <w:sz w:val="12"/>
          <w:szCs w:val="12"/>
        </w:rPr>
        <w:t>b) </w:t>
      </w:r>
      <w:r w:rsidRPr="008F423C">
        <w:rPr>
          <w:sz w:val="12"/>
          <w:szCs w:val="12"/>
        </w:rPr>
        <w:t>die Wahrnehmung einer der folgenden besonderen pflegerischen Aufgaben außerhalb von Spezialbereichen nach Buchstabe a):</w:t>
      </w:r>
    </w:p>
    <w:p w:rsidR="00BE1EFE" w:rsidRPr="008F423C" w:rsidRDefault="00BE1EFE" w:rsidP="008F423C">
      <w:pPr>
        <w:pStyle w:val="StandardWeb"/>
        <w:rPr>
          <w:sz w:val="12"/>
          <w:szCs w:val="12"/>
        </w:rPr>
      </w:pPr>
      <w:r>
        <w:rPr>
          <w:sz w:val="12"/>
          <w:szCs w:val="12"/>
        </w:rPr>
        <w:t>– </w:t>
      </w:r>
      <w:r w:rsidRPr="008F423C">
        <w:rPr>
          <w:sz w:val="12"/>
          <w:szCs w:val="12"/>
        </w:rPr>
        <w:t>Wundmanagerin oder Wundmanager,</w:t>
      </w:r>
    </w:p>
    <w:p w:rsidR="00BE1EFE" w:rsidRPr="008F423C" w:rsidRDefault="00BE1EFE" w:rsidP="008F423C">
      <w:pPr>
        <w:pStyle w:val="StandardWeb"/>
        <w:rPr>
          <w:sz w:val="12"/>
          <w:szCs w:val="12"/>
        </w:rPr>
      </w:pPr>
      <w:r>
        <w:rPr>
          <w:sz w:val="12"/>
          <w:szCs w:val="12"/>
        </w:rPr>
        <w:t>– </w:t>
      </w:r>
      <w:r w:rsidRPr="008F423C">
        <w:rPr>
          <w:sz w:val="12"/>
          <w:szCs w:val="12"/>
        </w:rPr>
        <w:t>Gefäßassistentin oder Gefäßassistent,</w:t>
      </w:r>
    </w:p>
    <w:p w:rsidR="00BE1EFE" w:rsidRPr="008F423C" w:rsidRDefault="00BE1EFE" w:rsidP="008F423C">
      <w:pPr>
        <w:pStyle w:val="StandardWeb"/>
        <w:rPr>
          <w:sz w:val="12"/>
          <w:szCs w:val="12"/>
        </w:rPr>
      </w:pPr>
      <w:r>
        <w:rPr>
          <w:sz w:val="12"/>
          <w:szCs w:val="12"/>
        </w:rPr>
        <w:t>– </w:t>
      </w:r>
      <w:r w:rsidRPr="008F423C">
        <w:rPr>
          <w:sz w:val="12"/>
          <w:szCs w:val="12"/>
        </w:rPr>
        <w:t>Breast Nurse/Lactation,</w:t>
      </w:r>
    </w:p>
    <w:p w:rsidR="00BE1EFE" w:rsidRPr="008F423C" w:rsidRDefault="00BE1EFE" w:rsidP="008F423C">
      <w:pPr>
        <w:pStyle w:val="StandardWeb"/>
        <w:rPr>
          <w:sz w:val="12"/>
          <w:szCs w:val="12"/>
        </w:rPr>
      </w:pPr>
      <w:r>
        <w:rPr>
          <w:sz w:val="12"/>
          <w:szCs w:val="12"/>
        </w:rPr>
        <w:t>– </w:t>
      </w:r>
      <w:r w:rsidRPr="008F423C">
        <w:rPr>
          <w:sz w:val="12"/>
          <w:szCs w:val="12"/>
        </w:rPr>
        <w:t>Painnurse oder</w:t>
      </w:r>
    </w:p>
    <w:p w:rsidR="00BE1EFE" w:rsidRPr="008F423C" w:rsidRDefault="00BE1EFE" w:rsidP="008F423C">
      <w:pPr>
        <w:pStyle w:val="StandardWeb"/>
        <w:rPr>
          <w:sz w:val="12"/>
          <w:szCs w:val="12"/>
        </w:rPr>
      </w:pPr>
      <w:r>
        <w:rPr>
          <w:sz w:val="12"/>
          <w:szCs w:val="12"/>
        </w:rPr>
        <w:t>c) </w:t>
      </w:r>
      <w:r w:rsidRPr="008F423C">
        <w:rPr>
          <w:sz w:val="12"/>
          <w:szCs w:val="12"/>
        </w:rPr>
        <w:t>die Tätigkeit im Case- oder Caremanagement.</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5. </w:t>
      </w:r>
      <w:r w:rsidRPr="008F423C">
        <w:rPr>
          <w:sz w:val="12"/>
          <w:szCs w:val="12"/>
        </w:rPr>
        <w:t>Auf Pflegerinnen und Pfleger in Psychiatrien und psychiatrischen Krankenhäusern oder Einrichtungen, die aufgrund Erfüllung der Anforderung des Buchstaben a) der Anmerkung Nummer 4 in Entgeltgruppe P 8 eingruppiert sind, finden</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Buchstabe b) der Anmerkung Nummer 1 und</w:t>
      </w:r>
    </w:p>
    <w:p w:rsidR="00BE1EFE" w:rsidRPr="008F423C" w:rsidRDefault="00BE1EFE" w:rsidP="008F423C">
      <w:pPr>
        <w:pStyle w:val="StandardWeb"/>
        <w:rPr>
          <w:sz w:val="12"/>
          <w:szCs w:val="12"/>
        </w:rPr>
      </w:pPr>
      <w:r>
        <w:rPr>
          <w:sz w:val="12"/>
          <w:szCs w:val="12"/>
        </w:rPr>
        <w:t>b) </w:t>
      </w:r>
      <w:r w:rsidRPr="008F423C">
        <w:rPr>
          <w:sz w:val="12"/>
          <w:szCs w:val="12"/>
        </w:rPr>
        <w:t>§ 1 Absatz 1 Nummer 5 Unterabsatz 1 des Tarifvertrages über die Gewährung von Zulagen gemäß § 33 Absatz 1 Buchstabe c BAT bzw. § 2 Absatz 1 Nummer 5 Unterabsatz 1 des Tarifvertrages über die Gewährung von Zulagen gemäß § 33 Absatz 1 Buchstabe c BAT-O</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keine Anwendung.</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sidRPr="008F423C">
        <w:rPr>
          <w:sz w:val="12"/>
          <w:szCs w:val="12"/>
        </w:rPr>
        <w:t xml:space="preserve">6. Bei der Fachweiterbildung muss es sich um eine Fachweiterbildung nach § 1 der DKG-Empfehlung zur pflegerischen Weiterbildung vom 29. September 2015 in der </w:t>
      </w:r>
      <w:r>
        <w:rPr>
          <w:sz w:val="12"/>
          <w:szCs w:val="12"/>
        </w:rPr>
        <w:t xml:space="preserve">jeweiligen Fassung oder um </w:t>
      </w:r>
      <w:r w:rsidRPr="00942E08">
        <w:rPr>
          <w:sz w:val="12"/>
          <w:szCs w:val="12"/>
        </w:rPr>
        <w:t xml:space="preserve">eine Fachweiterbildung nach § 1 der DKG-Empfehlung für die Weiterbildung Notfallpflege vom 29. November 2016 bzw. </w:t>
      </w:r>
      <w:r>
        <w:rPr>
          <w:sz w:val="12"/>
          <w:szCs w:val="12"/>
        </w:rPr>
        <w:t xml:space="preserve">um eine </w:t>
      </w:r>
      <w:r w:rsidRPr="008F423C">
        <w:rPr>
          <w:sz w:val="12"/>
          <w:szCs w:val="12"/>
        </w:rPr>
        <w:t xml:space="preserve">gleichwertige Weiterbildung </w:t>
      </w:r>
      <w:r>
        <w:rPr>
          <w:sz w:val="12"/>
          <w:szCs w:val="12"/>
        </w:rPr>
        <w:t xml:space="preserve">jeweils </w:t>
      </w:r>
      <w:r w:rsidRPr="008F423C">
        <w:rPr>
          <w:sz w:val="12"/>
          <w:szCs w:val="12"/>
        </w:rPr>
        <w:t>nach § 21 dieser DKG-Empfehlung</w:t>
      </w:r>
      <w:r>
        <w:rPr>
          <w:sz w:val="12"/>
          <w:szCs w:val="12"/>
        </w:rPr>
        <w:t>en</w:t>
      </w:r>
      <w:r w:rsidRPr="008F423C">
        <w:rPr>
          <w:sz w:val="12"/>
          <w:szCs w:val="12"/>
        </w:rPr>
        <w:t xml:space="preserve"> handeln.</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7. </w:t>
      </w:r>
      <w:r w:rsidRPr="008F423C">
        <w:rPr>
          <w:sz w:val="12"/>
          <w:szCs w:val="12"/>
        </w:rPr>
        <w:t>Die hochschulische Ausbildung befähigt darüber hinaus insbesondere</w:t>
      </w:r>
    </w:p>
    <w:p w:rsidR="00BE1EFE" w:rsidRPr="008F423C" w:rsidRDefault="00BE1EFE" w:rsidP="008F423C">
      <w:pPr>
        <w:pStyle w:val="StandardWeb"/>
        <w:rPr>
          <w:sz w:val="12"/>
          <w:szCs w:val="12"/>
        </w:rPr>
      </w:pPr>
    </w:p>
    <w:p w:rsidR="00BE1EFE" w:rsidRPr="008F423C" w:rsidRDefault="00BE1EFE" w:rsidP="008F423C">
      <w:pPr>
        <w:pStyle w:val="StandardWeb"/>
        <w:rPr>
          <w:sz w:val="12"/>
          <w:szCs w:val="12"/>
        </w:rPr>
      </w:pPr>
      <w:r>
        <w:rPr>
          <w:sz w:val="12"/>
          <w:szCs w:val="12"/>
        </w:rPr>
        <w:t>a) </w:t>
      </w:r>
      <w:r w:rsidRPr="008F423C">
        <w:rPr>
          <w:sz w:val="12"/>
          <w:szCs w:val="12"/>
        </w:rPr>
        <w:t>zur Steuerung und Gestaltung hochkomplexer Pflegeprozesse auf der Grundlage wissenschaftsbasierter oder wissenschaftsorientierter Entscheidungen,</w:t>
      </w:r>
    </w:p>
    <w:p w:rsidR="00BE1EFE" w:rsidRPr="008F423C" w:rsidRDefault="00BE1EFE" w:rsidP="008F423C">
      <w:pPr>
        <w:pStyle w:val="StandardWeb"/>
        <w:rPr>
          <w:sz w:val="12"/>
          <w:szCs w:val="12"/>
        </w:rPr>
      </w:pPr>
      <w:r>
        <w:rPr>
          <w:sz w:val="12"/>
          <w:szCs w:val="12"/>
        </w:rPr>
        <w:t>b) </w:t>
      </w:r>
      <w:r w:rsidRPr="008F423C">
        <w:rPr>
          <w:sz w:val="12"/>
          <w:szCs w:val="12"/>
        </w:rPr>
        <w:t>vertieftes Wissen über Grundlagen der Pflegewissenschaft, des gesellschaftlich institutionellen Rahmens des pflegerischen Handelns sowie des normativ-institutionellen Systems der Versorgung anzuwenden und die Weiterentwicklung der gesundheitlichen und pflegerischen Versorgung dadurch maßgeblich mitzugestalten,</w:t>
      </w:r>
    </w:p>
    <w:p w:rsidR="00BE1EFE" w:rsidRPr="008F423C" w:rsidRDefault="00BE1EFE" w:rsidP="008F423C">
      <w:pPr>
        <w:pStyle w:val="StandardWeb"/>
        <w:rPr>
          <w:sz w:val="12"/>
          <w:szCs w:val="12"/>
        </w:rPr>
      </w:pPr>
      <w:r>
        <w:rPr>
          <w:sz w:val="12"/>
          <w:szCs w:val="12"/>
        </w:rPr>
        <w:t>c) </w:t>
      </w:r>
      <w:r w:rsidRPr="008F423C">
        <w:rPr>
          <w:sz w:val="12"/>
          <w:szCs w:val="12"/>
        </w:rPr>
        <w:t>sich Forschungsgebiete der professionellen Pflege auf dem neuesten Stand der gesicherten Erkenntnisse erschließen und forschungsgestützte Problemlösungen wie auch neue Technologien in das berufliche Handeln übertragen zu können sowie berufsbezogene Fort- und Weiterbildungsbedarfe zu erkennen,</w:t>
      </w:r>
    </w:p>
    <w:p w:rsidR="00BE1EFE" w:rsidRPr="008F423C" w:rsidRDefault="00BE1EFE" w:rsidP="008F423C">
      <w:pPr>
        <w:pStyle w:val="StandardWeb"/>
        <w:rPr>
          <w:sz w:val="12"/>
          <w:szCs w:val="12"/>
        </w:rPr>
      </w:pPr>
      <w:r>
        <w:rPr>
          <w:sz w:val="12"/>
          <w:szCs w:val="12"/>
        </w:rPr>
        <w:t>d) </w:t>
      </w:r>
      <w:r w:rsidRPr="008F423C">
        <w:rPr>
          <w:sz w:val="12"/>
          <w:szCs w:val="12"/>
        </w:rPr>
        <w:t>sich kritisch reflexiv und analytisch sowohl mit theoretischem als auch praktischem Wissen auseinandersetzen und wissenschaftsbasiert innovative Lösungsansätze zur Verbesserung im eigenen beruflichen Handlungsfeld entwickeln und implementieren zu können und</w:t>
      </w:r>
    </w:p>
    <w:p w:rsidR="00BE1EFE" w:rsidRDefault="00BE1EFE" w:rsidP="008F423C">
      <w:pPr>
        <w:pStyle w:val="StandardWeb"/>
        <w:rPr>
          <w:sz w:val="12"/>
          <w:szCs w:val="12"/>
        </w:rPr>
      </w:pPr>
      <w:r>
        <w:rPr>
          <w:sz w:val="12"/>
          <w:szCs w:val="12"/>
        </w:rPr>
        <w:t>e) </w:t>
      </w:r>
      <w:r w:rsidRPr="008F423C">
        <w:rPr>
          <w:sz w:val="12"/>
          <w:szCs w:val="12"/>
        </w:rPr>
        <w:t>an der Entwicklung von Qualitätsmanagementkonzepten, Leitlinien und</w:t>
      </w:r>
      <w:r>
        <w:rPr>
          <w:sz w:val="12"/>
          <w:szCs w:val="12"/>
        </w:rPr>
        <w:t xml:space="preserve"> Expertenstandards mitzuwirken.</w:t>
      </w:r>
    </w:p>
    <w:p w:rsidR="00BE1EFE" w:rsidRPr="003C4DC5" w:rsidRDefault="00BE1EFE" w:rsidP="008F423C">
      <w:pPr>
        <w:pStyle w:val="StandardWeb"/>
        <w:rPr>
          <w:sz w:val="12"/>
          <w:szCs w:val="12"/>
        </w:rPr>
      </w:pPr>
    </w:p>
    <w:p w:rsidR="00BE1EFE" w:rsidRPr="00143909" w:rsidRDefault="00BE1EFE" w:rsidP="00143909">
      <w:pPr>
        <w:rPr>
          <w:sz w:val="2"/>
          <w:szCs w:val="2"/>
        </w:rPr>
      </w:pPr>
      <w:r>
        <w:br w:type="page"/>
      </w:r>
    </w:p>
    <w:p w:rsidR="00BE1EFE" w:rsidRPr="001A6A8D" w:rsidRDefault="00BE1EFE" w:rsidP="00224544">
      <w:pPr>
        <w:pStyle w:val="h7"/>
        <w:jc w:val="left"/>
      </w:pPr>
      <w:bookmarkStart w:id="257" w:name="_Toc523925892"/>
      <w:r w:rsidRPr="001A6A8D">
        <w:lastRenderedPageBreak/>
        <w:t>17.2. Leitende Beschäftigte in der Pflege</w:t>
      </w:r>
      <w:bookmarkEnd w:id="257"/>
    </w:p>
    <w:p w:rsidR="00BE1EFE" w:rsidRPr="008F423C" w:rsidRDefault="00BE1EFE" w:rsidP="008A1E74">
      <w:pPr>
        <w:pStyle w:val="h8"/>
      </w:pPr>
      <w:bookmarkStart w:id="258" w:name="_Toc523925893"/>
      <w:r w:rsidRPr="008F423C">
        <w:t>Vorbemerkungen</w:t>
      </w:r>
      <w:bookmarkEnd w:id="25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 w:val="12"/>
          <w:szCs w:val="12"/>
        </w:rPr>
        <w:t>1</w:t>
      </w:r>
      <w:r w:rsidRPr="008F423C">
        <w:rPr>
          <w:szCs w:val="16"/>
        </w:rPr>
        <w:t>Die Kommission für das Arbeitsvertragsrecht der bayerischen Diözesen legt dem Aufbau der Tätigkeitsmerkmale für Leitungskräfte in der Pflege folgende regelmäßige Organisa</w:t>
      </w:r>
      <w:r>
        <w:rPr>
          <w:szCs w:val="16"/>
        </w:rPr>
        <w:softHyphen/>
      </w:r>
      <w:r w:rsidRPr="008F423C">
        <w:rPr>
          <w:szCs w:val="16"/>
        </w:rPr>
        <w:t>tionsstruktur zu Grunde: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a) </w:t>
      </w:r>
      <w:r w:rsidRPr="008F423C">
        <w:rPr>
          <w:sz w:val="12"/>
          <w:szCs w:val="12"/>
        </w:rPr>
        <w:t>1</w:t>
      </w:r>
      <w:r w:rsidRPr="008F423C">
        <w:rPr>
          <w:szCs w:val="16"/>
        </w:rPr>
        <w:t xml:space="preserve">Die Gruppen- bzw. Teamleitung stellt die unterste Leitungsebene dar. </w:t>
      </w:r>
      <w:r w:rsidRPr="008F423C">
        <w:rPr>
          <w:sz w:val="12"/>
          <w:szCs w:val="12"/>
        </w:rPr>
        <w:t>2</w:t>
      </w:r>
      <w:r w:rsidRPr="008F423C">
        <w:rPr>
          <w:szCs w:val="16"/>
        </w:rPr>
        <w:t>Einer Gruppen- bzw. einer Teamleitung sind in der Regel nicht mehr als neun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b) </w:t>
      </w:r>
      <w:r w:rsidRPr="008F423C">
        <w:rPr>
          <w:sz w:val="12"/>
          <w:szCs w:val="12"/>
        </w:rPr>
        <w:t>1</w:t>
      </w:r>
      <w:r w:rsidRPr="008F423C">
        <w:rPr>
          <w:szCs w:val="16"/>
        </w:rPr>
        <w:t xml:space="preserve">Die Station ist die kleinste organisatorische Einheit. </w:t>
      </w:r>
      <w:r w:rsidRPr="008F423C">
        <w:rPr>
          <w:sz w:val="12"/>
          <w:szCs w:val="12"/>
        </w:rPr>
        <w:t>2</w:t>
      </w:r>
      <w:r w:rsidRPr="008F423C">
        <w:rPr>
          <w:szCs w:val="16"/>
        </w:rPr>
        <w:t>Einer Stationsleitung sind in der Regel nicht mehr als zwölf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c) </w:t>
      </w:r>
      <w:r w:rsidRPr="008F423C">
        <w:rPr>
          <w:sz w:val="12"/>
          <w:szCs w:val="12"/>
        </w:rPr>
        <w:t>1</w:t>
      </w:r>
      <w:r w:rsidRPr="008F423C">
        <w:rPr>
          <w:szCs w:val="16"/>
        </w:rPr>
        <w:t xml:space="preserve">Ein Bereich bzw. eine Abteilung umfasst in der Regel mehrere Stationen. </w:t>
      </w:r>
      <w:r w:rsidRPr="008F423C">
        <w:rPr>
          <w:sz w:val="12"/>
          <w:szCs w:val="12"/>
        </w:rPr>
        <w:t>2</w:t>
      </w:r>
      <w:r w:rsidRPr="008F423C">
        <w:rPr>
          <w:szCs w:val="16"/>
        </w:rPr>
        <w:t xml:space="preserve">Einer Bereichs- bzw. Abteilungsleitung sind in der Regel nicht mehr als 48 Beschäftigte unterstellt. </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 w:val="12"/>
          <w:szCs w:val="12"/>
        </w:rPr>
        <w:t>2</w:t>
      </w:r>
      <w:r w:rsidRPr="008F423C">
        <w:rPr>
          <w:szCs w:val="16"/>
        </w:rPr>
        <w:t>Die Beschäftigten müssen fachlich unterstellt sein.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Soweit für vergleichbare organisatorische Einheiten von den vorstehenden Bezeichnungen abweichende Bezeichnungen verwandt werden, ist dies unbeachtlich.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Diese Regelungen gelten auch für Leitungsk</w:t>
      </w:r>
      <w:r>
        <w:rPr>
          <w:szCs w:val="16"/>
        </w:rPr>
        <w:t>räfte in der Entbindungspflege.</w:t>
      </w:r>
    </w:p>
    <w:p w:rsidR="00BE1EFE" w:rsidRPr="006C60ED" w:rsidRDefault="00BE1EFE" w:rsidP="008A1E74">
      <w:pPr>
        <w:pStyle w:val="h8"/>
      </w:pPr>
      <w:bookmarkStart w:id="259" w:name="_Toc523925894"/>
      <w:r w:rsidRPr="006C60ED">
        <w:t>Entgeltgruppe P 9</w:t>
      </w:r>
      <w:bookmarkEnd w:id="25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ständige Vertreterinnen oder Vertreter von Gruppenleiterinnen oder Gruppenleitern bzw. von Teamleiterinnen oder Teamleitern.</w:t>
      </w:r>
    </w:p>
    <w:p w:rsidR="00BE1EFE" w:rsidRPr="008F423C" w:rsidRDefault="00BE1EFE" w:rsidP="008F423C">
      <w:pPr>
        <w:pStyle w:val="StandardWeb"/>
        <w:rPr>
          <w:szCs w:val="16"/>
        </w:rPr>
      </w:pPr>
      <w:r>
        <w:rPr>
          <w:szCs w:val="16"/>
        </w:rPr>
        <w:t>(Hierzu Anmerkung)</w:t>
      </w:r>
    </w:p>
    <w:p w:rsidR="00BE1EFE" w:rsidRPr="008A1E74" w:rsidRDefault="00BE1EFE" w:rsidP="008A1E74">
      <w:pPr>
        <w:pStyle w:val="h8"/>
      </w:pPr>
      <w:bookmarkStart w:id="260" w:name="_Toc523925895"/>
      <w:r w:rsidRPr="006C60ED">
        <w:t>Entgeltgruppe P 10</w:t>
      </w:r>
      <w:bookmarkEnd w:id="26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Gruppenleiterinnen oder Gruppenleiter oder als Teamleiterinnen oder Teamleiter.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Gruppenleiterinnen oder Gruppenleitern bzw. von Teamleiterinnen oder Teamleitern der Entgeltgruppe P 11 Fall</w:t>
      </w:r>
      <w:r>
        <w:rPr>
          <w:szCs w:val="16"/>
        </w:rPr>
        <w:t>-gruppe 1.</w:t>
      </w:r>
    </w:p>
    <w:p w:rsidR="00BE1EFE" w:rsidRPr="006C60ED" w:rsidRDefault="00BE1EFE" w:rsidP="008A1E74">
      <w:pPr>
        <w:pStyle w:val="h8"/>
      </w:pPr>
      <w:bookmarkStart w:id="261" w:name="_Toc523925896"/>
      <w:r w:rsidRPr="006C60ED">
        <w:t>Entgeltgruppe P 11</w:t>
      </w:r>
      <w:bookmarkEnd w:id="26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Gruppenleiterinnen oder Gruppenleiter oder als Teamleiterinnen oder Teamleiter mit einem höheren Maß von Verantwortlichkeit oder von großen Gruppen oder Teams.</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Stationsle</w:t>
      </w:r>
      <w:r>
        <w:rPr>
          <w:szCs w:val="16"/>
        </w:rPr>
        <w:t>iterinnen oder Stationsleitern.</w:t>
      </w:r>
    </w:p>
    <w:p w:rsidR="00BE1EFE" w:rsidRPr="006C60ED" w:rsidRDefault="00BE1EFE" w:rsidP="008A1E74">
      <w:pPr>
        <w:pStyle w:val="h8"/>
      </w:pPr>
      <w:bookmarkStart w:id="262" w:name="_Toc523925897"/>
      <w:r w:rsidRPr="006C60ED">
        <w:lastRenderedPageBreak/>
        <w:t>Entgeltgruppe P 12</w:t>
      </w:r>
      <w:bookmarkEnd w:id="26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Stationsleiterinnen oder Stationsleiter.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Stationsleiterinnen oder Stationsleitern der Entgeltgruppe P 13 oder von Bereichsleiterinnen oder Bereichsleitern oder Abteilungsleit</w:t>
      </w:r>
      <w:r>
        <w:rPr>
          <w:szCs w:val="16"/>
        </w:rPr>
        <w:t>erinnen oder Abteilungsleitern.</w:t>
      </w:r>
    </w:p>
    <w:p w:rsidR="00BE1EFE" w:rsidRPr="006C60ED" w:rsidRDefault="00BE1EFE" w:rsidP="008A1E74">
      <w:pPr>
        <w:pStyle w:val="h8"/>
      </w:pPr>
      <w:bookmarkStart w:id="263" w:name="_Toc523925898"/>
      <w:r w:rsidRPr="006C60ED">
        <w:t>Entgeltgruppe P 13</w:t>
      </w:r>
      <w:bookmarkEnd w:id="26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Stationsleiterinnen oder Stationsleiter mit einem höheren Maß von Verantwortlich</w:t>
      </w:r>
      <w:r>
        <w:rPr>
          <w:szCs w:val="16"/>
        </w:rPr>
        <w:t>keit oder von großen Stationen.</w:t>
      </w:r>
    </w:p>
    <w:p w:rsidR="00BE1EFE" w:rsidRPr="006C60ED" w:rsidRDefault="00BE1EFE" w:rsidP="008A1E74">
      <w:pPr>
        <w:pStyle w:val="h8"/>
      </w:pPr>
      <w:bookmarkStart w:id="264" w:name="_Toc523925899"/>
      <w:r w:rsidRPr="006C60ED">
        <w:t>Entgeltgruppe P 14</w:t>
      </w:r>
      <w:bookmarkEnd w:id="26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als Bereichsleiterinnen oder Bereichsleiter oder als Abteilungsleiterinnen oder Abteilungsleiter.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als ständige Vertreterinnen oder Vertreter von Bereichsleiterinnen oder Bereichs</w:t>
      </w:r>
      <w:r>
        <w:rPr>
          <w:szCs w:val="16"/>
        </w:rPr>
        <w:t>leitern der Entgeltgruppe P 15.</w:t>
      </w:r>
    </w:p>
    <w:p w:rsidR="00BE1EFE" w:rsidRPr="006C60ED" w:rsidRDefault="00BE1EFE" w:rsidP="008A1E74">
      <w:pPr>
        <w:pStyle w:val="h8"/>
      </w:pPr>
      <w:bookmarkStart w:id="265" w:name="_Toc523925900"/>
      <w:r w:rsidRPr="006C60ED">
        <w:t>Entgeltgruppe P 15</w:t>
      </w:r>
      <w:bookmarkEnd w:id="26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als Bereichsleiterinnen oder Bereichsleiter oder als Abteilungsleiterinnen oder Abteilungsleiter, deren Tätigkeit sich durch den Umfang und die Bedeutung ihres Aufgabengebietes sowie durch große Selbständigkeit erheblich aus der Entgeltgruppe P 14 heraushebt oder von gro</w:t>
      </w:r>
      <w:r>
        <w:rPr>
          <w:szCs w:val="16"/>
        </w:rPr>
        <w:t>ßen Bereichen bzw. Abteilungen.</w:t>
      </w:r>
    </w:p>
    <w:p w:rsidR="00BE1EFE" w:rsidRPr="006C60ED" w:rsidRDefault="00BE1EFE" w:rsidP="008A1E74">
      <w:pPr>
        <w:pStyle w:val="h8"/>
      </w:pPr>
      <w:bookmarkStart w:id="266" w:name="_Toc523925901"/>
      <w:r w:rsidRPr="006C60ED">
        <w:t>Entgeltgruppe P 16</w:t>
      </w:r>
      <w:bookmarkEnd w:id="26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P 15, deren Tätigkeit sich durch das Maß der damit verbundenen Verantwortung erheblich aus der</w:t>
      </w:r>
      <w:r>
        <w:rPr>
          <w:szCs w:val="16"/>
        </w:rPr>
        <w:t xml:space="preserve"> Entgeltgruppe P 15 heraushebt.</w:t>
      </w:r>
    </w:p>
    <w:p w:rsidR="00BE1EFE" w:rsidRPr="006C60ED" w:rsidRDefault="00BE1EFE" w:rsidP="008A1E74">
      <w:pPr>
        <w:pStyle w:val="h8"/>
      </w:pPr>
      <w:bookmarkStart w:id="267" w:name="_Toc523925902"/>
      <w:r w:rsidRPr="006C60ED">
        <w:t>Entgeltgruppe 13 (Anlage A zum Teil A, 1.)</w:t>
      </w:r>
      <w:bookmarkEnd w:id="26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mit abgeschlossener wissenschaftlicher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6C60ED" w:rsidRDefault="00BE1EFE" w:rsidP="008A1E74">
      <w:pPr>
        <w:pStyle w:val="h8"/>
      </w:pPr>
      <w:bookmarkStart w:id="268" w:name="_Toc523925903"/>
      <w:r w:rsidRPr="006C60ED">
        <w:t>Entgeltgruppe 14 (Anlage A zum Teil A, 1.)</w:t>
      </w:r>
      <w:bookmarkEnd w:id="26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13 Fallgruppe 1, deren Tätigkeit sich mindestens zu einem Drittel</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lastRenderedPageBreak/>
        <w:t>– </w:t>
      </w:r>
      <w:r w:rsidRPr="008F423C">
        <w:rPr>
          <w:szCs w:val="16"/>
        </w:rPr>
        <w:t>durch besondere Schwierigkeit und Bedeutung oder</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 das Erfordernis hochwertiger Leistungen bei besonders schwierigen Aufgaben</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aus der Entgeltgruppe 13 Fallgruppe 1 heraushebt.</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2.</w:t>
      </w:r>
      <w:r>
        <w:rPr>
          <w:szCs w:val="16"/>
        </w:rPr>
        <w:t>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6C60ED" w:rsidRDefault="00BE1EFE" w:rsidP="008A1E74">
      <w:pPr>
        <w:pStyle w:val="h8"/>
      </w:pPr>
      <w:bookmarkStart w:id="269" w:name="_Toc523925904"/>
      <w:r w:rsidRPr="006C60ED">
        <w:t>Entgeltgruppe 15 (Anlage A zum Teil A, 1.)</w:t>
      </w:r>
      <w:bookmarkEnd w:id="26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13 Fallgruppe 1, deren Tätigkeit sich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 besondere Schwierigkeit und Bedeutung sowie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erheblich durch das Maß der damit verbundenen Verantwortung aus der Entgeltgruppe 13 Fallgruppe 1 heraushebt.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in Krankenhäusern und Pflegeeinrichtungen, deren Tätigkeit wegen der Schwierigkeit der Aufgaben und der Größe ihrer Verantwortung ebenso zu bewerten ist wie</w:t>
      </w:r>
      <w:r>
        <w:rPr>
          <w:szCs w:val="16"/>
        </w:rPr>
        <w:t xml:space="preserve"> Tätigkeiten nach Fallgruppe 1.</w:t>
      </w:r>
    </w:p>
    <w:p w:rsidR="00BE1EFE" w:rsidRPr="0085529B" w:rsidRDefault="00BE1EFE" w:rsidP="008A1E74">
      <w:pPr>
        <w:pStyle w:val="h8"/>
      </w:pPr>
      <w:bookmarkStart w:id="270" w:name="_Toc523925905"/>
      <w:r w:rsidRPr="0085529B">
        <w:t>Anmerkung:</w:t>
      </w:r>
      <w:bookmarkEnd w:id="270"/>
    </w:p>
    <w:p w:rsidR="00BE1EFE" w:rsidRPr="00B76821" w:rsidRDefault="00BE1EFE" w:rsidP="00B76821">
      <w:pPr>
        <w:pStyle w:val="h9"/>
        <w:keepNext w:val="0"/>
        <w:spacing w:before="0" w:after="0"/>
        <w:outlineLvl w:val="5"/>
        <w:rPr>
          <w:sz w:val="2"/>
        </w:rPr>
      </w:pPr>
    </w:p>
    <w:p w:rsidR="00BE1EFE" w:rsidRPr="003C4DC5" w:rsidRDefault="00BE1EFE" w:rsidP="008F423C">
      <w:pPr>
        <w:pStyle w:val="StandardWeb"/>
        <w:rPr>
          <w:sz w:val="12"/>
          <w:szCs w:val="12"/>
        </w:rPr>
      </w:pPr>
      <w:r w:rsidRPr="0085529B">
        <w:rPr>
          <w:sz w:val="12"/>
          <w:szCs w:val="12"/>
        </w:rPr>
        <w:t xml:space="preserve">Diese Beschäftigten erhalten die Zulage nach den Anmerkungen Nummern 1 und 2 zu Nummer 1 ebenfalls, wenn alle der Gruppenleiterin oder dem Gruppenleiter bzw. der Teamleiterin oder dem Teamleiter durch ausdrückliche Anordnung ständig unterstellten Pflegekräfte Anspruch </w:t>
      </w:r>
      <w:r>
        <w:rPr>
          <w:sz w:val="12"/>
          <w:szCs w:val="12"/>
        </w:rPr>
        <w:t>auf die jeweilige Zulage haben.</w:t>
      </w:r>
    </w:p>
    <w:p w:rsidR="00BE1EFE" w:rsidRPr="001A6A8D" w:rsidRDefault="00BE1EFE" w:rsidP="00224544">
      <w:pPr>
        <w:pStyle w:val="h7"/>
        <w:jc w:val="left"/>
      </w:pPr>
      <w:bookmarkStart w:id="271" w:name="_Toc523925906"/>
      <w:r w:rsidRPr="001A6A8D">
        <w:t>17.3. Lehrkräfte in der Pflege</w:t>
      </w:r>
      <w:bookmarkEnd w:id="271"/>
    </w:p>
    <w:p w:rsidR="00BE1EFE" w:rsidRPr="006C60ED" w:rsidRDefault="00BE1EFE" w:rsidP="008A1E74">
      <w:pPr>
        <w:pStyle w:val="h8"/>
      </w:pPr>
      <w:bookmarkStart w:id="272" w:name="_Toc523925907"/>
      <w:r w:rsidRPr="006C60ED">
        <w:t>Entgeltgruppe 10</w:t>
      </w:r>
      <w:bookmarkEnd w:id="27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Lehrkräfte mit ents</w:t>
      </w:r>
      <w:r>
        <w:rPr>
          <w:szCs w:val="16"/>
        </w:rPr>
        <w:t>prechender Zusatzqualifikation.</w:t>
      </w:r>
    </w:p>
    <w:p w:rsidR="00BE1EFE" w:rsidRPr="006C60ED" w:rsidRDefault="00BE1EFE" w:rsidP="008A1E74">
      <w:pPr>
        <w:pStyle w:val="h8"/>
      </w:pPr>
      <w:bookmarkStart w:id="273" w:name="_Toc523925908"/>
      <w:r w:rsidRPr="006C60ED">
        <w:t>Entgeltgruppe 11</w:t>
      </w:r>
      <w:bookmarkEnd w:id="27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an Pflegeschulen mit abgeschlossener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10 als stellvertretende Leiterinnen oder Leiter oder als Fachbereichsleiterinnen oder Fachberei</w:t>
      </w:r>
      <w:r>
        <w:rPr>
          <w:szCs w:val="16"/>
        </w:rPr>
        <w:t>chsleiter einer Hebammenschule.</w:t>
      </w:r>
    </w:p>
    <w:p w:rsidR="00BE1EFE" w:rsidRPr="006C60ED" w:rsidRDefault="00BE1EFE" w:rsidP="008A1E74">
      <w:pPr>
        <w:pStyle w:val="h8"/>
      </w:pPr>
      <w:bookmarkStart w:id="274" w:name="_Toc523925909"/>
      <w:r w:rsidRPr="006C60ED">
        <w:t>Entgeltgruppe 12</w:t>
      </w:r>
      <w:bookmarkEnd w:id="27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10 als Leiterinnen oder Leiter einer Hebammenschule.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lastRenderedPageBreak/>
        <w:t>2. </w:t>
      </w:r>
      <w:r w:rsidRPr="008F423C">
        <w:rPr>
          <w:szCs w:val="16"/>
        </w:rPr>
        <w:t>Beschäftigte der Entgeltgruppe 11 Fallgruppe 1 als stellvertretende Leiterinnen oder Leiter oder als Fachbereichsleiterinnen oder Fachberei</w:t>
      </w:r>
      <w:r>
        <w:rPr>
          <w:szCs w:val="16"/>
        </w:rPr>
        <w:t>chsleiter einer Hebammenschule.</w:t>
      </w:r>
    </w:p>
    <w:p w:rsidR="00BE1EFE" w:rsidRPr="006C60ED" w:rsidRDefault="00BE1EFE" w:rsidP="008A1E74">
      <w:pPr>
        <w:pStyle w:val="h8"/>
      </w:pPr>
      <w:bookmarkStart w:id="275" w:name="_Toc523925910"/>
      <w:r w:rsidRPr="006C60ED">
        <w:t>Entgeltgruppe 13</w:t>
      </w:r>
      <w:bookmarkEnd w:id="27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wissenschaftlicher Hochschulbildung und – soweit nach dem jeweiligen Landesrecht vorgesehen – mit erfolgreich absolviertem Vorbereitungsdienst (Referendariat) mit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Leiterinnen od</w:t>
      </w:r>
      <w:r>
        <w:rPr>
          <w:szCs w:val="16"/>
        </w:rPr>
        <w:t>er Leiter einer Hebammenschule.</w:t>
      </w:r>
    </w:p>
    <w:p w:rsidR="00BE1EFE" w:rsidRPr="006C60ED" w:rsidRDefault="00BE1EFE" w:rsidP="008A1E74">
      <w:pPr>
        <w:pStyle w:val="h8"/>
      </w:pPr>
      <w:bookmarkStart w:id="276" w:name="_Toc523925911"/>
      <w:r w:rsidRPr="006C60ED">
        <w:t>Entgeltgruppe 14</w:t>
      </w:r>
      <w:bookmarkEnd w:id="27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Stellvertretende Leiterinnen und Leiter einer Pflegeschule.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Fachbereichsleiterinnen und Fachbereichslei</w:t>
      </w:r>
      <w:r>
        <w:rPr>
          <w:szCs w:val="16"/>
        </w:rPr>
        <w:t>ter einer Pflegeschule.</w:t>
      </w:r>
    </w:p>
    <w:p w:rsidR="00BE1EFE" w:rsidRPr="008A1E74" w:rsidRDefault="00BE1EFE" w:rsidP="008A1E74">
      <w:pPr>
        <w:pStyle w:val="h8"/>
      </w:pPr>
      <w:bookmarkStart w:id="277" w:name="_Toc523925912"/>
      <w:r w:rsidRPr="006C60ED">
        <w:t>Entgeltgruppe 15</w:t>
      </w:r>
      <w:bookmarkEnd w:id="27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Leiterinnen</w:t>
      </w:r>
      <w:r>
        <w:rPr>
          <w:szCs w:val="16"/>
        </w:rPr>
        <w:t xml:space="preserve"> und Leiter einer Pflegeschule.</w:t>
      </w:r>
    </w:p>
    <w:p w:rsidR="00BE1EFE" w:rsidRPr="00C34F07" w:rsidRDefault="00BE1EFE" w:rsidP="00224544">
      <w:pPr>
        <w:pStyle w:val="h7"/>
        <w:jc w:val="left"/>
      </w:pPr>
      <w:bookmarkStart w:id="278" w:name="_Toc523925913"/>
      <w:r>
        <w:t>17.4. </w:t>
      </w:r>
      <w:r w:rsidRPr="00C34F07">
        <w:t>Kardiotechnikerinnen und Kardiotechniker</w:t>
      </w:r>
      <w:bookmarkEnd w:id="278"/>
    </w:p>
    <w:p w:rsidR="00BE1EFE" w:rsidRPr="00B76821" w:rsidRDefault="00BE1EFE" w:rsidP="00B76821">
      <w:pPr>
        <w:pStyle w:val="h8"/>
        <w:keepNext w:val="0"/>
        <w:spacing w:before="0" w:after="0"/>
        <w:outlineLvl w:val="5"/>
        <w:rPr>
          <w:sz w:val="2"/>
        </w:rPr>
      </w:pPr>
    </w:p>
    <w:p w:rsidR="00BE1EFE" w:rsidRDefault="00BE1EFE" w:rsidP="008F423C">
      <w:pPr>
        <w:pStyle w:val="StandardWeb"/>
        <w:rPr>
          <w:szCs w:val="16"/>
        </w:rPr>
      </w:pPr>
      <w:r w:rsidRPr="008F423C">
        <w:rPr>
          <w:szCs w:val="16"/>
        </w:rPr>
        <w:t xml:space="preserve">Es finden die Tätigkeitsmerkmale des </w:t>
      </w:r>
      <w:hyperlink r:id="rId289" w:history="1">
        <w:r w:rsidRPr="00CC586E">
          <w:rPr>
            <w:rStyle w:val="Hyperlink"/>
            <w:szCs w:val="16"/>
          </w:rPr>
          <w:t>Teils A, 2.2.2. Nummer 5</w:t>
        </w:r>
      </w:hyperlink>
      <w:r>
        <w:rPr>
          <w:szCs w:val="16"/>
        </w:rPr>
        <w:t xml:space="preserve"> entsprechende Anwendung.</w:t>
      </w:r>
    </w:p>
    <w:p w:rsidR="00BE1EFE" w:rsidRPr="00C34F07" w:rsidRDefault="00BE1EFE" w:rsidP="000A49E3">
      <w:pPr>
        <w:pStyle w:val="h7"/>
        <w:jc w:val="left"/>
      </w:pPr>
      <w:bookmarkStart w:id="279" w:name="_Toc523925914"/>
      <w:r>
        <w:t>17.4a. </w:t>
      </w:r>
      <w:r w:rsidRPr="000A49E3">
        <w:t>Alltagsbegleiterinnen und -begleiter, Betreuungskräfte sowie Präsenzkräfte</w:t>
      </w:r>
      <w:bookmarkEnd w:id="279"/>
    </w:p>
    <w:p w:rsidR="00BE1EFE" w:rsidRPr="000A49E3" w:rsidRDefault="00BE1EFE" w:rsidP="008F423C">
      <w:pPr>
        <w:pStyle w:val="StandardWeb"/>
        <w:rPr>
          <w:szCs w:val="16"/>
        </w:rPr>
      </w:pPr>
      <w:r w:rsidRPr="000A49E3">
        <w:rPr>
          <w:rFonts w:cs="Arial"/>
          <w:szCs w:val="16"/>
        </w:rPr>
        <w:t xml:space="preserve">Es finden die allgemeinen Tätigkeitsmerkmale des </w:t>
      </w:r>
      <w:hyperlink r:id="rId290" w:history="1">
        <w:r w:rsidRPr="001B3A98">
          <w:rPr>
            <w:rStyle w:val="Hyperlink"/>
            <w:rFonts w:cs="Arial"/>
            <w:szCs w:val="16"/>
          </w:rPr>
          <w:t>Teils A</w:t>
        </w:r>
      </w:hyperlink>
      <w:r w:rsidRPr="001B3A98">
        <w:rPr>
          <w:rFonts w:cs="Arial"/>
          <w:szCs w:val="16"/>
        </w:rPr>
        <w:t>, 2.2.1. Nummer 3</w:t>
      </w:r>
      <w:r w:rsidRPr="000A49E3">
        <w:rPr>
          <w:rFonts w:cs="Arial"/>
          <w:szCs w:val="16"/>
        </w:rPr>
        <w:t xml:space="preserve"> Anwendung.</w:t>
      </w:r>
    </w:p>
    <w:p w:rsidR="00BE1EFE" w:rsidRPr="00C34F07" w:rsidRDefault="00BE1EFE" w:rsidP="00224544">
      <w:pPr>
        <w:pStyle w:val="h7"/>
        <w:jc w:val="left"/>
      </w:pPr>
      <w:bookmarkStart w:id="280" w:name="_Toc523925915"/>
      <w:r>
        <w:t>17.5. </w:t>
      </w:r>
      <w:r w:rsidRPr="00C34F07">
        <w:t>Diätassistentinnen und Diätassistenten</w:t>
      </w:r>
      <w:bookmarkEnd w:id="280"/>
    </w:p>
    <w:p w:rsidR="00BE1EFE" w:rsidRPr="008A1E74" w:rsidRDefault="00BE1EFE" w:rsidP="008A1E74">
      <w:pPr>
        <w:pStyle w:val="h8"/>
      </w:pPr>
      <w:bookmarkStart w:id="281" w:name="_Toc523925916"/>
      <w:r w:rsidRPr="006C60ED">
        <w:t>Entgeltgruppe 5</w:t>
      </w:r>
      <w:bookmarkEnd w:id="28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Diätassi</w:t>
      </w:r>
      <w:r>
        <w:rPr>
          <w:szCs w:val="16"/>
        </w:rPr>
        <w:t>stentinnen und Diätassistenten.</w:t>
      </w:r>
    </w:p>
    <w:p w:rsidR="00BE1EFE" w:rsidRPr="006C60ED" w:rsidRDefault="00BE1EFE" w:rsidP="008A1E74">
      <w:pPr>
        <w:pStyle w:val="h8"/>
      </w:pPr>
      <w:bookmarkStart w:id="282" w:name="_Toc523925917"/>
      <w:r w:rsidRPr="006C60ED">
        <w:t>Entgeltgruppe 7</w:t>
      </w:r>
      <w:bookmarkEnd w:id="28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Staatlich anerkannte Diätassistentinnen und Diätassistenten mit entsprechender Tätigkeit.</w:t>
      </w:r>
    </w:p>
    <w:p w:rsidR="00BE1EFE" w:rsidRPr="006C60ED" w:rsidRDefault="00BE1EFE" w:rsidP="008A1E74">
      <w:pPr>
        <w:pStyle w:val="h8"/>
      </w:pPr>
      <w:bookmarkStart w:id="283" w:name="_Toc523925918"/>
      <w:r w:rsidRPr="006C60ED">
        <w:t>Entgeltgruppe 8</w:t>
      </w:r>
      <w:bookmarkEnd w:id="28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lastRenderedPageBreak/>
        <w:t>(Hierzu Anmerkung)</w:t>
      </w:r>
    </w:p>
    <w:p w:rsidR="00BE1EFE" w:rsidRPr="006C60ED" w:rsidRDefault="00BE1EFE" w:rsidP="008A1E74">
      <w:pPr>
        <w:pStyle w:val="h8"/>
      </w:pPr>
      <w:bookmarkStart w:id="284" w:name="_Toc523925919"/>
      <w:r w:rsidRPr="006C60ED">
        <w:t>Entgeltgruppe 9a</w:t>
      </w:r>
      <w:bookmarkEnd w:id="28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85" w:name="_Toc523925920"/>
      <w:r w:rsidRPr="00C34F07">
        <w:t>Entgeltgruppe 9b</w:t>
      </w:r>
      <w:bookmarkEnd w:id="28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mit Fortbildung zur Ernährungsberaterin oder zum Ernährungsberater oder mit vergleichbarer Fortbildung (</w:t>
      </w:r>
      <w:r>
        <w:rPr>
          <w:szCs w:val="16"/>
        </w:rPr>
        <w:t>z. B.</w:t>
      </w:r>
      <w:r w:rsidRPr="008F423C">
        <w:rPr>
          <w:szCs w:val="16"/>
        </w:rPr>
        <w:t xml:space="preserve"> Diabetesberaterin oder Diabetesberater</w:t>
      </w:r>
      <w:r>
        <w:rPr>
          <w:szCs w:val="16"/>
        </w:rPr>
        <w:t>) und entsprechender Tätigkeit.</w:t>
      </w:r>
    </w:p>
    <w:p w:rsidR="00BE1EFE" w:rsidRPr="00D45F25" w:rsidRDefault="00BE1EFE" w:rsidP="008A1E74">
      <w:pPr>
        <w:pStyle w:val="h8"/>
      </w:pPr>
      <w:bookmarkStart w:id="286" w:name="_Toc523925921"/>
      <w:r w:rsidRPr="00D45F25">
        <w:t>Anmerkung:</w:t>
      </w:r>
      <w:bookmarkEnd w:id="286"/>
    </w:p>
    <w:p w:rsidR="00BE1EFE" w:rsidRPr="00B76821" w:rsidRDefault="00BE1EFE" w:rsidP="00B76821">
      <w:pPr>
        <w:pStyle w:val="h9"/>
        <w:keepNext w:val="0"/>
        <w:spacing w:before="0" w:after="0"/>
        <w:outlineLvl w:val="5"/>
        <w:rPr>
          <w:sz w:val="2"/>
        </w:rPr>
      </w:pPr>
    </w:p>
    <w:p w:rsidR="00BE1EFE" w:rsidRPr="00D45F25" w:rsidRDefault="00BE1EFE" w:rsidP="008F423C">
      <w:pPr>
        <w:pStyle w:val="StandardWeb"/>
        <w:rPr>
          <w:sz w:val="12"/>
          <w:szCs w:val="12"/>
        </w:rPr>
      </w:pPr>
      <w:r w:rsidRPr="00D45F25">
        <w:rPr>
          <w:sz w:val="12"/>
          <w:szCs w:val="12"/>
        </w:rPr>
        <w:t xml:space="preserve">Schwierige Aufgaben sind </w:t>
      </w:r>
      <w:r>
        <w:rPr>
          <w:sz w:val="12"/>
          <w:szCs w:val="12"/>
        </w:rPr>
        <w:t>z. B.</w:t>
      </w:r>
      <w:r w:rsidRPr="00D45F25">
        <w:rPr>
          <w:sz w:val="12"/>
          <w:szCs w:val="12"/>
        </w:rPr>
        <w:t xml:space="preserve"> Diätberatung von einzelnen Patientinnen oder Patienten, selbstständige Durchführung von Ernährungserhebungen, Mitarbeit bei Grundlagenforschung im Fachbereich klinische Ernährungslehre, Herstellung und Berechnung spezifischer Diätformen bei dekompensierten Leberzirrhosen, Niereninsuffizienz, Hyperlipidämien, Stoffwechsel-Bilanz-Studien, Maldigestion und Malabsorption, nach Shuntoperationen, Kalzium-Test-Diäten, spezielle Anfertigung von Sonderernährung für Patienten auf Intensiv- und Wachstationen.</w:t>
      </w:r>
    </w:p>
    <w:p w:rsidR="00BE1EFE" w:rsidRPr="00C34F07" w:rsidRDefault="00BE1EFE" w:rsidP="00224544">
      <w:pPr>
        <w:pStyle w:val="h7"/>
        <w:jc w:val="left"/>
      </w:pPr>
      <w:bookmarkStart w:id="287" w:name="_Toc523925922"/>
      <w:r>
        <w:t>17.6. </w:t>
      </w:r>
      <w:r w:rsidRPr="00C34F07">
        <w:t>Ergotherapeutinnen und Ergotherapeuten</w:t>
      </w:r>
      <w:bookmarkEnd w:id="287"/>
    </w:p>
    <w:p w:rsidR="00BE1EFE" w:rsidRPr="00C34F07" w:rsidRDefault="00BE1EFE" w:rsidP="008A1E74">
      <w:pPr>
        <w:pStyle w:val="h8"/>
      </w:pPr>
      <w:bookmarkStart w:id="288" w:name="_Toc523925923"/>
      <w:r w:rsidRPr="00C34F07">
        <w:t>Entgeltgruppe 5</w:t>
      </w:r>
      <w:bookmarkEnd w:id="28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Ergother</w:t>
      </w:r>
      <w:r>
        <w:rPr>
          <w:szCs w:val="16"/>
        </w:rPr>
        <w:t>apeutinnen und Ergotherapeuten.</w:t>
      </w:r>
    </w:p>
    <w:p w:rsidR="00BE1EFE" w:rsidRPr="008A1E74" w:rsidRDefault="00BE1EFE" w:rsidP="008A1E74">
      <w:pPr>
        <w:pStyle w:val="h8"/>
      </w:pPr>
      <w:bookmarkStart w:id="289" w:name="_Toc523925924"/>
      <w:r w:rsidRPr="00C34F07">
        <w:t>Entgeltgruppe 7</w:t>
      </w:r>
      <w:bookmarkEnd w:id="28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Ergotherapeutinnen und Ergotherapeuten mit staatlicher Anerkennun</w:t>
      </w:r>
      <w:r>
        <w:rPr>
          <w:szCs w:val="16"/>
        </w:rPr>
        <w:t>g und entsprechender Tätigkeit.</w:t>
      </w:r>
    </w:p>
    <w:p w:rsidR="00BE1EFE" w:rsidRPr="00C34F07" w:rsidRDefault="00BE1EFE" w:rsidP="008A1E74">
      <w:pPr>
        <w:pStyle w:val="h8"/>
      </w:pPr>
      <w:bookmarkStart w:id="290" w:name="_Toc523925925"/>
      <w:r w:rsidRPr="00C34F07">
        <w:t>Entgeltgruppe 8</w:t>
      </w:r>
      <w:bookmarkEnd w:id="29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91" w:name="_Toc523925926"/>
      <w:r w:rsidRPr="00C34F07">
        <w:t>Entgeltgruppe 9a</w:t>
      </w:r>
      <w:bookmarkEnd w:id="29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292" w:name="_Toc523925927"/>
      <w:r w:rsidRPr="00C34F07">
        <w:t>Entgeltgruppe 9b</w:t>
      </w:r>
      <w:bookmarkEnd w:id="29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zur Hälfte folgende Aufgabe erfüllen:</w:t>
      </w:r>
    </w:p>
    <w:p w:rsidR="00BE1EFE" w:rsidRPr="008F423C" w:rsidRDefault="00BE1EFE" w:rsidP="008F423C">
      <w:pPr>
        <w:pStyle w:val="StandardWeb"/>
        <w:rPr>
          <w:szCs w:val="16"/>
        </w:rPr>
      </w:pPr>
      <w:r w:rsidRPr="008F423C">
        <w:rPr>
          <w:szCs w:val="16"/>
        </w:rPr>
        <w:t>Ergotherapie bei Patientin</w:t>
      </w:r>
      <w:r>
        <w:rPr>
          <w:szCs w:val="16"/>
        </w:rPr>
        <w:t xml:space="preserve">nen oder Patienten mit Demenz. </w:t>
      </w:r>
    </w:p>
    <w:p w:rsidR="00BE1EFE" w:rsidRPr="00C34F07" w:rsidRDefault="00BE1EFE" w:rsidP="008A1E74">
      <w:pPr>
        <w:pStyle w:val="h8"/>
      </w:pPr>
      <w:bookmarkStart w:id="293" w:name="_Toc523925928"/>
      <w:r w:rsidRPr="00C34F07">
        <w:lastRenderedPageBreak/>
        <w:t>Anmerkung:</w:t>
      </w:r>
      <w:bookmarkEnd w:id="293"/>
    </w:p>
    <w:p w:rsidR="00BE1EFE" w:rsidRPr="00B76821" w:rsidRDefault="00BE1EFE" w:rsidP="00B76821">
      <w:pPr>
        <w:pStyle w:val="h9"/>
        <w:keepNext w:val="0"/>
        <w:spacing w:before="0" w:after="0"/>
        <w:outlineLvl w:val="5"/>
        <w:rPr>
          <w:sz w:val="2"/>
        </w:rPr>
      </w:pPr>
    </w:p>
    <w:p w:rsidR="00BE1EFE" w:rsidRPr="008424F4" w:rsidRDefault="00BE1EFE" w:rsidP="008F423C">
      <w:pPr>
        <w:pStyle w:val="StandardWeb"/>
        <w:rPr>
          <w:sz w:val="12"/>
          <w:szCs w:val="12"/>
        </w:rPr>
      </w:pPr>
      <w:r w:rsidRPr="00C34F07">
        <w:rPr>
          <w:sz w:val="12"/>
          <w:szCs w:val="12"/>
        </w:rPr>
        <w:t xml:space="preserve">Schwierige Aufgaben sind </w:t>
      </w:r>
      <w:r>
        <w:rPr>
          <w:sz w:val="12"/>
          <w:szCs w:val="12"/>
        </w:rPr>
        <w:t>z. B.</w:t>
      </w:r>
      <w:r w:rsidRPr="00C34F07">
        <w:rPr>
          <w:sz w:val="12"/>
          <w:szCs w:val="12"/>
        </w:rPr>
        <w:t xml:space="preserve"> Ergotherapie bei Querschnittslähmungen, in Kinderlähmungsfällen, bei Schlaganfällen, mit spastisch Gelähmten, in Fällen von Dysmelien, in der Psychiatrie oder Geriatrie oder bei</w:t>
      </w:r>
      <w:r>
        <w:rPr>
          <w:sz w:val="12"/>
          <w:szCs w:val="12"/>
        </w:rPr>
        <w:t xml:space="preserve"> Kleinkindern bis sechs Jahren.</w:t>
      </w:r>
    </w:p>
    <w:p w:rsidR="00BE1EFE" w:rsidRPr="00C34F07" w:rsidRDefault="00BE1EFE" w:rsidP="00224544">
      <w:pPr>
        <w:pStyle w:val="h7"/>
        <w:jc w:val="left"/>
      </w:pPr>
      <w:bookmarkStart w:id="294" w:name="_Toc523925929"/>
      <w:r>
        <w:t>17.7. </w:t>
      </w:r>
      <w:r w:rsidRPr="00C34F07">
        <w:t>HNO-Audiologie-Assistentinnen und -Assistenten</w:t>
      </w:r>
      <w:bookmarkEnd w:id="294"/>
    </w:p>
    <w:p w:rsidR="00BE1EFE" w:rsidRPr="00C34F07" w:rsidRDefault="00BE1EFE" w:rsidP="008A1E74">
      <w:pPr>
        <w:pStyle w:val="h8"/>
      </w:pPr>
      <w:bookmarkStart w:id="295" w:name="_Toc523925930"/>
      <w:r w:rsidRPr="00C34F07">
        <w:t>Entgeltgruppe 5</w:t>
      </w:r>
      <w:bookmarkEnd w:id="29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HNO-Audiolog</w:t>
      </w:r>
      <w:r>
        <w:rPr>
          <w:szCs w:val="16"/>
        </w:rPr>
        <w:t>ie-Assistentinnen und -Assistenten.</w:t>
      </w:r>
    </w:p>
    <w:p w:rsidR="00BE1EFE" w:rsidRPr="00C34F07" w:rsidRDefault="00BE1EFE" w:rsidP="008A1E74">
      <w:pPr>
        <w:pStyle w:val="h8"/>
      </w:pPr>
      <w:bookmarkStart w:id="296" w:name="_Toc523925931"/>
      <w:r w:rsidRPr="00C34F07">
        <w:t>Entgeltgruppe 7</w:t>
      </w:r>
      <w:bookmarkEnd w:id="29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HNO-Audiologie-Assistentinnen und -Assistenten mit staatlicher Anerkennung und entspre</w:t>
      </w:r>
      <w:r>
        <w:rPr>
          <w:szCs w:val="16"/>
        </w:rPr>
        <w:softHyphen/>
      </w:r>
      <w:r w:rsidRPr="008F423C">
        <w:rPr>
          <w:szCs w:val="16"/>
        </w:rPr>
        <w:t>chen</w:t>
      </w:r>
      <w:r>
        <w:rPr>
          <w:szCs w:val="16"/>
        </w:rPr>
        <w:t>der Tätigkeit.</w:t>
      </w:r>
    </w:p>
    <w:p w:rsidR="00BE1EFE" w:rsidRPr="00C34F07" w:rsidRDefault="00BE1EFE" w:rsidP="008A1E74">
      <w:pPr>
        <w:pStyle w:val="h8"/>
      </w:pPr>
      <w:bookmarkStart w:id="297" w:name="_Toc523925932"/>
      <w:r w:rsidRPr="00C34F07">
        <w:t>Entgeltgruppe 8</w:t>
      </w:r>
      <w:bookmarkEnd w:id="29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sidRPr="008F423C">
        <w:rPr>
          <w:szCs w:val="16"/>
        </w:rPr>
        <w:t xml:space="preserve">(Hierzu Anmerkung Nummer </w:t>
      </w:r>
      <w:r>
        <w:rPr>
          <w:szCs w:val="16"/>
        </w:rPr>
        <w:t>1)</w:t>
      </w:r>
    </w:p>
    <w:p w:rsidR="00BE1EFE" w:rsidRPr="00C34F07" w:rsidRDefault="00BE1EFE" w:rsidP="008A1E74">
      <w:pPr>
        <w:pStyle w:val="h8"/>
      </w:pPr>
      <w:bookmarkStart w:id="298" w:name="_Toc523925933"/>
      <w:r w:rsidRPr="00C34F07">
        <w:t>Entgeltgruppe 9a</w:t>
      </w:r>
      <w:bookmarkEnd w:id="29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299" w:name="_Toc523925934"/>
      <w:r w:rsidRPr="00C34F07">
        <w:t>Entgeltgruppe 9b</w:t>
      </w:r>
      <w:bookmarkEnd w:id="29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Gehörprüfungen bei Säuglingen oder schwersterkrankten Patientinnen und Patienten,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des Hörtrainings nach Cochlea</w:t>
      </w:r>
      <w:r>
        <w:rPr>
          <w:szCs w:val="16"/>
        </w:rPr>
        <w:t>-</w:t>
      </w:r>
      <w:r w:rsidRPr="008F423C">
        <w:rPr>
          <w:szCs w:val="16"/>
        </w:rPr>
        <w:t>Implantationen,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Mitwirkung bei der BAHA- oder Soundbridge-Versorgung, Hörtraining nach der Versorgung mit BAHA- oder Soundbridge-Implantaten,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spezifische Diagnostik (</w:t>
      </w:r>
      <w:r>
        <w:rPr>
          <w:szCs w:val="16"/>
        </w:rPr>
        <w:t>z. B.</w:t>
      </w:r>
      <w:r w:rsidRPr="008F423C">
        <w:rPr>
          <w:szCs w:val="16"/>
        </w:rPr>
        <w:t xml:space="preserve"> BERA-Unters</w:t>
      </w:r>
      <w:r>
        <w:rPr>
          <w:szCs w:val="16"/>
        </w:rPr>
        <w:t>uchung) während Operationen.</w:t>
      </w:r>
    </w:p>
    <w:p w:rsidR="00BE1EFE" w:rsidRPr="008F423C" w:rsidRDefault="00BE1EFE" w:rsidP="008A1E74">
      <w:pPr>
        <w:pStyle w:val="h8"/>
      </w:pPr>
      <w:bookmarkStart w:id="300" w:name="_Toc523925935"/>
      <w:r w:rsidRPr="008F423C">
        <w:t>Anmerkungen:</w:t>
      </w:r>
      <w:bookmarkEnd w:id="300"/>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p>
    <w:p w:rsidR="00BE1EFE" w:rsidRPr="00C34F07" w:rsidRDefault="00BE1EFE" w:rsidP="008F423C">
      <w:pPr>
        <w:pStyle w:val="StandardWeb"/>
        <w:rPr>
          <w:sz w:val="12"/>
          <w:szCs w:val="12"/>
        </w:rPr>
      </w:pPr>
      <w:r>
        <w:rPr>
          <w:sz w:val="12"/>
          <w:szCs w:val="12"/>
        </w:rPr>
        <w:lastRenderedPageBreak/>
        <w:t>– </w:t>
      </w:r>
      <w:r w:rsidRPr="00C34F07">
        <w:rPr>
          <w:sz w:val="12"/>
          <w:szCs w:val="12"/>
        </w:rPr>
        <w:t>Fertigung von Sprach-, Spiel- und Reflexaudiogrammen,</w:t>
      </w:r>
    </w:p>
    <w:p w:rsidR="00BE1EFE" w:rsidRPr="00C34F07" w:rsidRDefault="00BE1EFE" w:rsidP="008F423C">
      <w:pPr>
        <w:pStyle w:val="StandardWeb"/>
        <w:rPr>
          <w:sz w:val="12"/>
          <w:szCs w:val="12"/>
        </w:rPr>
      </w:pPr>
      <w:r>
        <w:rPr>
          <w:sz w:val="12"/>
          <w:szCs w:val="12"/>
        </w:rPr>
        <w:t>– </w:t>
      </w:r>
      <w:r w:rsidRPr="00C34F07">
        <w:rPr>
          <w:sz w:val="12"/>
          <w:szCs w:val="12"/>
        </w:rPr>
        <w:t>Gehörprüfung oder Gehörtraining bei Kleinkindern un</w:t>
      </w:r>
      <w:r>
        <w:rPr>
          <w:sz w:val="12"/>
          <w:szCs w:val="12"/>
        </w:rPr>
        <w:t xml:space="preserve">d Menschen mit Einschränkungen </w:t>
      </w:r>
      <w:r w:rsidRPr="00C34F07">
        <w:rPr>
          <w:sz w:val="12"/>
          <w:szCs w:val="12"/>
        </w:rPr>
        <w:t>oder</w:t>
      </w:r>
    </w:p>
    <w:p w:rsidR="00BE1EFE" w:rsidRPr="00C34F07" w:rsidRDefault="00BE1EFE" w:rsidP="008F423C">
      <w:pPr>
        <w:pStyle w:val="StandardWeb"/>
        <w:rPr>
          <w:sz w:val="12"/>
          <w:szCs w:val="12"/>
        </w:rPr>
      </w:pPr>
      <w:r>
        <w:rPr>
          <w:sz w:val="12"/>
          <w:szCs w:val="12"/>
        </w:rPr>
        <w:t>– </w:t>
      </w:r>
      <w:r w:rsidRPr="00C34F07">
        <w:rPr>
          <w:sz w:val="12"/>
          <w:szCs w:val="12"/>
        </w:rPr>
        <w:t>Gehörgeräteanpassung und Gehörerziehung.</w:t>
      </w:r>
    </w:p>
    <w:p w:rsidR="00BE1EFE" w:rsidRPr="008424F4" w:rsidRDefault="00BE1EFE" w:rsidP="008F423C">
      <w:pPr>
        <w:pStyle w:val="StandardWeb"/>
        <w:rPr>
          <w:sz w:val="12"/>
          <w:szCs w:val="12"/>
        </w:rPr>
      </w:pPr>
      <w:r>
        <w:rPr>
          <w:sz w:val="12"/>
          <w:szCs w:val="12"/>
        </w:rPr>
        <w:t>2. </w:t>
      </w:r>
      <w:r w:rsidRPr="00C34F07">
        <w:rPr>
          <w:sz w:val="12"/>
          <w:szCs w:val="12"/>
        </w:rPr>
        <w:t>Beschäftigte, die im Rahmen ihrer Tätigkeit als Hilfskräfte be</w:t>
      </w:r>
      <w:r>
        <w:rPr>
          <w:sz w:val="12"/>
          <w:szCs w:val="12"/>
        </w:rPr>
        <w:t>i wissenschaftlichen Forschungs</w:t>
      </w:r>
      <w:r w:rsidRPr="00C34F07">
        <w:rPr>
          <w:sz w:val="12"/>
          <w:szCs w:val="12"/>
        </w:rPr>
        <w:t>aufgaben mit einem beson</w:t>
      </w:r>
      <w:r>
        <w:rPr>
          <w:sz w:val="12"/>
          <w:szCs w:val="12"/>
        </w:rPr>
        <w:softHyphen/>
      </w:r>
      <w:r w:rsidRPr="00C34F07">
        <w:rPr>
          <w:sz w:val="12"/>
          <w:szCs w:val="12"/>
        </w:rPr>
        <w:t>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01" w:name="_Toc523925936"/>
      <w:r>
        <w:t>17.8. </w:t>
      </w:r>
      <w:r w:rsidRPr="00C34F07">
        <w:t>Logopädinnen und Logopäden</w:t>
      </w:r>
      <w:bookmarkEnd w:id="301"/>
    </w:p>
    <w:p w:rsidR="00BE1EFE" w:rsidRPr="00C34F07" w:rsidRDefault="00BE1EFE" w:rsidP="008A1E74">
      <w:pPr>
        <w:pStyle w:val="h8"/>
      </w:pPr>
      <w:bookmarkStart w:id="302" w:name="_Toc523925937"/>
      <w:r w:rsidRPr="00C34F07">
        <w:t>Entgeltgruppe 5</w:t>
      </w:r>
      <w:bookmarkEnd w:id="30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Logopädinnen und Logopäden mit staatliche</w:t>
      </w:r>
      <w:r>
        <w:rPr>
          <w:szCs w:val="16"/>
        </w:rPr>
        <w:t>r Anerkennung.</w:t>
      </w:r>
    </w:p>
    <w:p w:rsidR="00BE1EFE" w:rsidRPr="00C34F07" w:rsidRDefault="00BE1EFE" w:rsidP="008A1E74">
      <w:pPr>
        <w:pStyle w:val="h8"/>
      </w:pPr>
      <w:bookmarkStart w:id="303" w:name="_Toc523925938"/>
      <w:r w:rsidRPr="00C34F07">
        <w:t>Entgeltgruppe 7</w:t>
      </w:r>
      <w:bookmarkEnd w:id="30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Logopädinnen und Logopäden mit staatlicher Anerkennun</w:t>
      </w:r>
      <w:r>
        <w:rPr>
          <w:szCs w:val="16"/>
        </w:rPr>
        <w:t>g und entsprechender Tätigkeit.</w:t>
      </w:r>
    </w:p>
    <w:p w:rsidR="00BE1EFE" w:rsidRPr="00C34F07" w:rsidRDefault="00BE1EFE" w:rsidP="008A1E74">
      <w:pPr>
        <w:pStyle w:val="h8"/>
      </w:pPr>
      <w:bookmarkStart w:id="304" w:name="_Toc523925939"/>
      <w:r w:rsidRPr="00C34F07">
        <w:t>Entgeltgruppe 8</w:t>
      </w:r>
      <w:bookmarkEnd w:id="30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05" w:name="_Toc523925940"/>
      <w:r w:rsidRPr="00C34F07">
        <w:t>Entgeltgruppe 9a</w:t>
      </w:r>
      <w:bookmarkEnd w:id="30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06" w:name="_Toc523925941"/>
      <w:r w:rsidRPr="00C34F07">
        <w:t>Entgeltgruppe 9b</w:t>
      </w:r>
      <w:bookmarkEnd w:id="30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Behandlung von Dysphagien (Schluckstörungen) oder Sprach- und Sprechstörungen im Zusammenhang mit neurologischen Erkrankungen oder Demenzen oder im geriatrischen Bereich,</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Behandlung von Dysphagien und Fütterstörungen von Säuglingen,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des Trachealkanülenmanagements.</w:t>
      </w:r>
    </w:p>
    <w:p w:rsidR="00BE1EFE" w:rsidRPr="00C34F07" w:rsidRDefault="00BE1EFE" w:rsidP="008A1E74">
      <w:pPr>
        <w:pStyle w:val="h8"/>
      </w:pPr>
      <w:bookmarkStart w:id="307" w:name="_Toc523925942"/>
      <w:r w:rsidRPr="00C34F07">
        <w:t>Anmerkungen:</w:t>
      </w:r>
      <w:bookmarkEnd w:id="307"/>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r w:rsidRPr="00C34F07">
        <w:rPr>
          <w:sz w:val="12"/>
          <w:szCs w:val="12"/>
        </w:rPr>
        <w:t xml:space="preserve"> die Erhebung der logopädisch relevanten Anamnese sowie die Auswahl und Durchführung geeigneter Untersuchungsverfahren bei Kindern, die Erstellung patientenbezogener therapeutischer Konzepte unter Berücksichtigung der jeweiligen individuellen Störungsbilder bei Demenzen oder nach Hirnverletzungen, die Behandlung von </w:t>
      </w:r>
      <w:r w:rsidRPr="00C34F07">
        <w:rPr>
          <w:sz w:val="12"/>
          <w:szCs w:val="12"/>
        </w:rPr>
        <w:lastRenderedPageBreak/>
        <w:t>Kehlkopflosen, von Patientinnen und Patienten nach Schlaganfällen oder anderen Hirnverletzungen, die Behandlung von schwer intelligenzgeminderten Patientinnen und Patienten oder von Patientinnen und Patienten mit frühkindlichen Hirnschäden oder anderen schweren Erkrankungen mit lang anhaltenden und schweren Auswirkungen auf die Sprachentwicklung sowie Durchführung von Therapien bei Kindern mit Sprachentwi</w:t>
      </w:r>
      <w:r>
        <w:rPr>
          <w:sz w:val="12"/>
          <w:szCs w:val="12"/>
        </w:rPr>
        <w:t>cklungs</w:t>
      </w:r>
      <w:r w:rsidRPr="00C34F07">
        <w:rPr>
          <w:sz w:val="12"/>
          <w:szCs w:val="12"/>
        </w:rPr>
        <w:t>störungen.</w:t>
      </w:r>
    </w:p>
    <w:p w:rsidR="00BE1EFE" w:rsidRPr="00C34F07"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C34F07">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08" w:name="_Toc523925943"/>
      <w:r>
        <w:t>17.9. </w:t>
      </w:r>
      <w:r w:rsidRPr="00C34F07">
        <w:t>Masseurinnen und medizinische Bademeisterinnen sowie Masseure und medizinische Bademeister</w:t>
      </w:r>
      <w:bookmarkEnd w:id="308"/>
    </w:p>
    <w:p w:rsidR="00BE1EFE" w:rsidRPr="00C34F07" w:rsidRDefault="00BE1EFE" w:rsidP="008A1E74">
      <w:pPr>
        <w:pStyle w:val="h8"/>
      </w:pPr>
      <w:bookmarkStart w:id="309" w:name="_Toc523925944"/>
      <w:r w:rsidRPr="00C34F07">
        <w:t>Entgeltgruppe 3</w:t>
      </w:r>
      <w:bookmarkEnd w:id="30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in der Tätigkeit von Masseurinnen und medizinischen Bademeisterinnen sowie Masseuren </w:t>
      </w:r>
      <w:r>
        <w:rPr>
          <w:szCs w:val="16"/>
        </w:rPr>
        <w:t>und medizinischen Bademeistern.</w:t>
      </w:r>
    </w:p>
    <w:p w:rsidR="00BE1EFE" w:rsidRPr="00C34F07" w:rsidRDefault="00BE1EFE" w:rsidP="008A1E74">
      <w:pPr>
        <w:pStyle w:val="h8"/>
      </w:pPr>
      <w:bookmarkStart w:id="310" w:name="_Toc523925945"/>
      <w:r w:rsidRPr="00C34F07">
        <w:t>Entgeltgruppe 5</w:t>
      </w:r>
      <w:bookmarkEnd w:id="31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Masseurinnen und medizinische Bademeisterinnen sowie Masseure und medizinische Bademeiste</w:t>
      </w:r>
      <w:r>
        <w:rPr>
          <w:szCs w:val="16"/>
        </w:rPr>
        <w:t>r mit entsprechender Tätigkeit.</w:t>
      </w:r>
    </w:p>
    <w:p w:rsidR="00BE1EFE" w:rsidRPr="00C34F07" w:rsidRDefault="00BE1EFE" w:rsidP="008A1E74">
      <w:pPr>
        <w:pStyle w:val="h8"/>
      </w:pPr>
      <w:bookmarkStart w:id="311" w:name="_Toc523925946"/>
      <w:r w:rsidRPr="00C34F07">
        <w:t>Entgeltgruppe 6</w:t>
      </w:r>
      <w:bookmarkEnd w:id="31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5, die mindestens zu einem Viertel schwierige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sidRPr="008F423C">
        <w:rPr>
          <w:szCs w:val="16"/>
        </w:rPr>
        <w:t xml:space="preserve">(Schwierige Aufgaben sind </w:t>
      </w:r>
      <w:r>
        <w:rPr>
          <w:szCs w:val="16"/>
        </w:rPr>
        <w:t>z. B.</w:t>
      </w:r>
      <w:r w:rsidRPr="008F423C">
        <w:rPr>
          <w:szCs w:val="16"/>
        </w:rPr>
        <w:t xml:space="preserve"> Verabreichung von Kohlensäure- und Sauerstoffbädern bei Herz- und Kreislaufbeschwerden, Massage- oder Bäderbehandlung nach Schlaganfällen oder bei Kinderlähmung, Massagebe</w:t>
      </w:r>
      <w:r>
        <w:rPr>
          <w:szCs w:val="16"/>
        </w:rPr>
        <w:t>handlung von Frischoperierten.)</w:t>
      </w:r>
    </w:p>
    <w:p w:rsidR="00BE1EFE" w:rsidRPr="00C34F07" w:rsidRDefault="00BE1EFE" w:rsidP="00224544">
      <w:pPr>
        <w:pStyle w:val="h7"/>
        <w:jc w:val="left"/>
      </w:pPr>
      <w:bookmarkStart w:id="312" w:name="_Toc523925947"/>
      <w:r>
        <w:t>17.10. </w:t>
      </w:r>
      <w:r w:rsidRPr="00C34F07">
        <w:t>Medizinisch-technische Assistentinnen und Assistenten</w:t>
      </w:r>
      <w:bookmarkEnd w:id="312"/>
    </w:p>
    <w:p w:rsidR="00BE1EFE" w:rsidRPr="00C34F07" w:rsidRDefault="00BE1EFE" w:rsidP="008A1E74">
      <w:pPr>
        <w:pStyle w:val="h8"/>
      </w:pPr>
      <w:bookmarkStart w:id="313" w:name="_Toc523925948"/>
      <w:r w:rsidRPr="00C34F07">
        <w:t>Vorbemerkung</w:t>
      </w:r>
      <w:bookmarkEnd w:id="31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Medizinisch-technische Assistentinnen und Assistenten im Sinne dieses Abschnitts sind Medizinisch-technische Assistentinnen und Assistenten für Funktionsdiagnostik, Medizinisch-technische Laboratoriumsassistentinnen und -assistenten, Medizinisch-technische Radiologie</w:t>
      </w:r>
      <w:r>
        <w:rPr>
          <w:szCs w:val="16"/>
        </w:rPr>
        <w:softHyphen/>
      </w:r>
      <w:r w:rsidRPr="008F423C">
        <w:rPr>
          <w:szCs w:val="16"/>
        </w:rPr>
        <w:t xml:space="preserve">assistentinnen und -assistenten und Veterinärmedizinisch-technische </w:t>
      </w:r>
      <w:r>
        <w:rPr>
          <w:szCs w:val="16"/>
        </w:rPr>
        <w:t>Assistentinnen und Assistenten.</w:t>
      </w:r>
    </w:p>
    <w:p w:rsidR="00BE1EFE" w:rsidRPr="00C34F07" w:rsidRDefault="00BE1EFE" w:rsidP="008A1E74">
      <w:pPr>
        <w:pStyle w:val="h8"/>
      </w:pPr>
      <w:bookmarkStart w:id="314" w:name="_Toc523925949"/>
      <w:r w:rsidRPr="00C34F07">
        <w:t>Entgeltgruppe 7</w:t>
      </w:r>
      <w:bookmarkEnd w:id="31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Staatlich geprüfte Medizinisch-technische Assistentinnen und Assistenten sowie Zytologisch-technische Assistentinnen und Assi</w:t>
      </w:r>
      <w:r>
        <w:rPr>
          <w:szCs w:val="16"/>
        </w:rPr>
        <w:t>stenten mit jeweils entsprechender Tätigkeit.</w:t>
      </w:r>
    </w:p>
    <w:p w:rsidR="00BE1EFE" w:rsidRPr="00C34F07" w:rsidRDefault="00BE1EFE" w:rsidP="008A1E74">
      <w:pPr>
        <w:pStyle w:val="h8"/>
      </w:pPr>
      <w:bookmarkStart w:id="315" w:name="_Toc523925950"/>
      <w:r w:rsidRPr="00C34F07">
        <w:t>Entgeltgruppe 8</w:t>
      </w:r>
      <w:bookmarkEnd w:id="31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lastRenderedPageBreak/>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16" w:name="_Toc523925951"/>
      <w:r w:rsidRPr="00C34F07">
        <w:t>Entgeltgruppe 9a</w:t>
      </w:r>
      <w:bookmarkEnd w:id="31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17" w:name="_Toc523925952"/>
      <w:r w:rsidRPr="00C34F07">
        <w:t>Entgeltgruppe 9b</w:t>
      </w:r>
      <w:bookmarkEnd w:id="31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Wartung und Kalibrierung von hochwertigen und schwierig zu bedienenden Messgeräten (</w:t>
      </w:r>
      <w:r>
        <w:rPr>
          <w:szCs w:val="16"/>
        </w:rPr>
        <w:t>z. B.</w:t>
      </w:r>
      <w:r w:rsidRPr="008F423C">
        <w:rPr>
          <w:szCs w:val="16"/>
        </w:rPr>
        <w:t xml:space="preserve"> Autoanalyzern),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Virusisolierungen oder ähnlich schwierige mikrobiologische Verfahren, Gewebezüchtungen, schwierige Antikörperbestimmungen (</w:t>
      </w:r>
      <w:r>
        <w:rPr>
          <w:szCs w:val="16"/>
        </w:rPr>
        <w:t>z. B.</w:t>
      </w:r>
      <w:r w:rsidRPr="008F423C">
        <w:rPr>
          <w:szCs w:val="16"/>
        </w:rPr>
        <w:t xml:space="preserve"> Coombs</w:t>
      </w:r>
      <w:r>
        <w:rPr>
          <w:szCs w:val="16"/>
        </w:rPr>
        <w:t>-</w:t>
      </w:r>
      <w:r w:rsidRPr="008F423C">
        <w:rPr>
          <w:szCs w:val="16"/>
        </w:rPr>
        <w:t>Test),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schwierige intraoperative Röntgenaufnahmen,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interoperatives Monitoring, Mitwirkung bei der prächirurgischen Epilepsiediagnostik und -OP, Mitwirkung bei der Implantation von Hirnelektroden, Mitwirkung bei der Komadiagnostik,</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Vorbereitung und Mitwi</w:t>
      </w:r>
      <w:r>
        <w:rPr>
          <w:szCs w:val="16"/>
        </w:rPr>
        <w:t>rkung bei der Protonentherapie.</w:t>
      </w:r>
    </w:p>
    <w:p w:rsidR="00BE1EFE" w:rsidRPr="00C34F07" w:rsidRDefault="00BE1EFE" w:rsidP="008A1E74">
      <w:pPr>
        <w:pStyle w:val="h8"/>
      </w:pPr>
      <w:bookmarkStart w:id="318" w:name="_Toc523925953"/>
      <w:r w:rsidRPr="00C34F07">
        <w:t>Anmerkungen:</w:t>
      </w:r>
      <w:bookmarkEnd w:id="318"/>
    </w:p>
    <w:p w:rsidR="00BE1EFE" w:rsidRPr="00B76821" w:rsidRDefault="00BE1EFE" w:rsidP="00B76821">
      <w:pPr>
        <w:pStyle w:val="h9"/>
        <w:keepNext w:val="0"/>
        <w:spacing w:before="0" w:after="0"/>
        <w:outlineLvl w:val="5"/>
        <w:rPr>
          <w:sz w:val="2"/>
        </w:rPr>
      </w:pPr>
    </w:p>
    <w:p w:rsidR="00BE1EFE" w:rsidRPr="00C34F07" w:rsidRDefault="00BE1EFE" w:rsidP="008F423C">
      <w:pPr>
        <w:pStyle w:val="StandardWeb"/>
        <w:rPr>
          <w:sz w:val="12"/>
          <w:szCs w:val="12"/>
        </w:rPr>
      </w:pPr>
      <w:r>
        <w:rPr>
          <w:sz w:val="12"/>
          <w:szCs w:val="12"/>
        </w:rPr>
        <w:t>1. </w:t>
      </w:r>
      <w:r w:rsidRPr="00C34F07">
        <w:rPr>
          <w:sz w:val="12"/>
          <w:szCs w:val="12"/>
        </w:rPr>
        <w:t xml:space="preserve">Schwierige Aufgaben sind </w:t>
      </w:r>
      <w:r>
        <w:rPr>
          <w:sz w:val="12"/>
          <w:szCs w:val="12"/>
        </w:rPr>
        <w:t>z. B.</w:t>
      </w:r>
    </w:p>
    <w:p w:rsidR="00BE1EFE" w:rsidRPr="00C34F07" w:rsidRDefault="00BE1EFE" w:rsidP="008F423C">
      <w:pPr>
        <w:pStyle w:val="StandardWeb"/>
        <w:rPr>
          <w:sz w:val="12"/>
          <w:szCs w:val="12"/>
        </w:rPr>
      </w:pPr>
      <w:r>
        <w:rPr>
          <w:sz w:val="12"/>
          <w:szCs w:val="12"/>
        </w:rPr>
        <w:t>– </w:t>
      </w:r>
      <w:r w:rsidRPr="00C34F07">
        <w:rPr>
          <w:sz w:val="12"/>
          <w:szCs w:val="12"/>
        </w:rPr>
        <w:t>der Diagnostik vorausgehende technische Arbeiten bei selbstständiger Verfahrenswahl auf histologischem, mikrobiologischem, hämatologischem, serologischem, molekularbiologischem oder quantitativ klinisch-chemischem Gebiet;</w:t>
      </w:r>
    </w:p>
    <w:p w:rsidR="00BE1EFE" w:rsidRPr="00C34F07" w:rsidRDefault="00BE1EFE" w:rsidP="008F423C">
      <w:pPr>
        <w:pStyle w:val="StandardWeb"/>
        <w:rPr>
          <w:sz w:val="12"/>
          <w:szCs w:val="12"/>
        </w:rPr>
      </w:pPr>
      <w:r>
        <w:rPr>
          <w:sz w:val="12"/>
          <w:szCs w:val="12"/>
        </w:rPr>
        <w:t>– </w:t>
      </w:r>
      <w:r w:rsidRPr="00C34F07">
        <w:rPr>
          <w:sz w:val="12"/>
          <w:szCs w:val="12"/>
        </w:rPr>
        <w:t xml:space="preserve">die Durchführung von Untersuchungsverfahren </w:t>
      </w:r>
      <w:r>
        <w:rPr>
          <w:sz w:val="12"/>
          <w:szCs w:val="12"/>
        </w:rPr>
        <w:t>zur röntgenologischen Funktions</w:t>
      </w:r>
      <w:r w:rsidRPr="00C34F07">
        <w:rPr>
          <w:sz w:val="12"/>
          <w:szCs w:val="12"/>
        </w:rPr>
        <w:t>diagnostik;</w:t>
      </w:r>
    </w:p>
    <w:p w:rsidR="00BE1EFE" w:rsidRPr="00C34F07" w:rsidRDefault="00BE1EFE" w:rsidP="008F423C">
      <w:pPr>
        <w:pStyle w:val="StandardWeb"/>
        <w:rPr>
          <w:sz w:val="12"/>
          <w:szCs w:val="12"/>
        </w:rPr>
      </w:pPr>
      <w:r>
        <w:rPr>
          <w:sz w:val="12"/>
          <w:szCs w:val="12"/>
        </w:rPr>
        <w:t>– </w:t>
      </w:r>
      <w:r w:rsidRPr="00C34F07">
        <w:rPr>
          <w:sz w:val="12"/>
          <w:szCs w:val="12"/>
        </w:rPr>
        <w:t>messtechnische Aufgaben und Hilfeleistung bei der Verwendung von radioaktiven Stoffen;</w:t>
      </w:r>
    </w:p>
    <w:p w:rsidR="00BE1EFE" w:rsidRPr="00C34F07" w:rsidRDefault="00BE1EFE" w:rsidP="008F423C">
      <w:pPr>
        <w:pStyle w:val="StandardWeb"/>
        <w:rPr>
          <w:sz w:val="12"/>
          <w:szCs w:val="12"/>
        </w:rPr>
      </w:pPr>
      <w:r>
        <w:rPr>
          <w:sz w:val="12"/>
          <w:szCs w:val="12"/>
        </w:rPr>
        <w:t>– </w:t>
      </w:r>
      <w:r w:rsidRPr="00C34F07">
        <w:rPr>
          <w:sz w:val="12"/>
          <w:szCs w:val="12"/>
        </w:rPr>
        <w:t>schwierige medizinisch radiologische Verfahren;</w:t>
      </w:r>
    </w:p>
    <w:p w:rsidR="00BE1EFE" w:rsidRPr="00C34F07" w:rsidRDefault="00BE1EFE" w:rsidP="008F423C">
      <w:pPr>
        <w:pStyle w:val="StandardWeb"/>
        <w:rPr>
          <w:sz w:val="12"/>
          <w:szCs w:val="12"/>
        </w:rPr>
      </w:pPr>
      <w:r>
        <w:rPr>
          <w:sz w:val="12"/>
          <w:szCs w:val="12"/>
        </w:rPr>
        <w:t>– </w:t>
      </w:r>
      <w:r w:rsidRPr="00C34F07">
        <w:rPr>
          <w:sz w:val="12"/>
          <w:szCs w:val="12"/>
        </w:rPr>
        <w:t>Tätigkeiten in der radiologischen Untersuchung von Kindern bis zum sechsten Lebensjahr;</w:t>
      </w:r>
    </w:p>
    <w:p w:rsidR="00BE1EFE" w:rsidRPr="00C34F07" w:rsidRDefault="00BE1EFE" w:rsidP="008F423C">
      <w:pPr>
        <w:pStyle w:val="StandardWeb"/>
        <w:rPr>
          <w:sz w:val="12"/>
          <w:szCs w:val="12"/>
        </w:rPr>
      </w:pPr>
      <w:r>
        <w:rPr>
          <w:sz w:val="12"/>
          <w:szCs w:val="12"/>
        </w:rPr>
        <w:t>– </w:t>
      </w:r>
      <w:r w:rsidRPr="00C34F07">
        <w:rPr>
          <w:sz w:val="12"/>
          <w:szCs w:val="12"/>
        </w:rPr>
        <w:t>Bedienung eines Elektronenmikroskops sowie Vorbereitung der Präparate für Elektronenmikroskopie;</w:t>
      </w:r>
    </w:p>
    <w:p w:rsidR="00BE1EFE" w:rsidRPr="00C34F07" w:rsidRDefault="00BE1EFE" w:rsidP="008F423C">
      <w:pPr>
        <w:pStyle w:val="StandardWeb"/>
        <w:rPr>
          <w:sz w:val="12"/>
          <w:szCs w:val="12"/>
        </w:rPr>
      </w:pPr>
      <w:r>
        <w:rPr>
          <w:sz w:val="12"/>
          <w:szCs w:val="12"/>
        </w:rPr>
        <w:t>– </w:t>
      </w:r>
      <w:r w:rsidRPr="00C34F07">
        <w:rPr>
          <w:sz w:val="12"/>
          <w:szCs w:val="12"/>
        </w:rPr>
        <w:t>Durchführung schwieriger molekularbiologischer Untersuchungsverfahren (</w:t>
      </w:r>
      <w:r>
        <w:rPr>
          <w:sz w:val="12"/>
          <w:szCs w:val="12"/>
        </w:rPr>
        <w:t>z. B.</w:t>
      </w:r>
      <w:r w:rsidRPr="00C34F07">
        <w:rPr>
          <w:sz w:val="12"/>
          <w:szCs w:val="12"/>
        </w:rPr>
        <w:t xml:space="preserve"> Hybridisierung oder Blot), schwierige Hormonb</w:t>
      </w:r>
      <w:r>
        <w:rPr>
          <w:sz w:val="12"/>
          <w:szCs w:val="12"/>
        </w:rPr>
        <w:t>estimmungen, schwierige Ferment</w:t>
      </w:r>
      <w:r w:rsidRPr="00C34F07">
        <w:rPr>
          <w:sz w:val="12"/>
          <w:szCs w:val="12"/>
        </w:rPr>
        <w:t>aktivitatsbestimmungen, schwierige gerin</w:t>
      </w:r>
      <w:r>
        <w:rPr>
          <w:sz w:val="12"/>
          <w:szCs w:val="12"/>
        </w:rPr>
        <w:t>nungsphysiologische Untersuchun</w:t>
      </w:r>
      <w:r w:rsidRPr="00C34F07">
        <w:rPr>
          <w:sz w:val="12"/>
          <w:szCs w:val="12"/>
        </w:rPr>
        <w:t>gen);</w:t>
      </w:r>
    </w:p>
    <w:p w:rsidR="00BE1EFE" w:rsidRPr="00C34F07" w:rsidRDefault="00BE1EFE" w:rsidP="008F423C">
      <w:pPr>
        <w:pStyle w:val="StandardWeb"/>
        <w:rPr>
          <w:sz w:val="12"/>
          <w:szCs w:val="12"/>
        </w:rPr>
      </w:pPr>
      <w:r>
        <w:rPr>
          <w:sz w:val="12"/>
          <w:szCs w:val="12"/>
        </w:rPr>
        <w:t>– </w:t>
      </w:r>
      <w:r w:rsidRPr="00C34F07">
        <w:rPr>
          <w:sz w:val="12"/>
          <w:szCs w:val="12"/>
        </w:rPr>
        <w:t>Vorbereitung und Durchführung von röntgenologischen Gefäßuntersuchungen in der Schädel-, Brust- und Bauchhöhle, Mitwirkung bei Herzkatheterisierungen, Schichtaufnahmen in den drei Dimensionen mit Spezialgeräten (CT, MRT, SPECT, etc.), Arbeiten an Linearbeschleunigern, Durchführung von Szintigraphien unter Belastung (</w:t>
      </w:r>
      <w:r>
        <w:rPr>
          <w:sz w:val="12"/>
          <w:szCs w:val="12"/>
        </w:rPr>
        <w:t>z. B.</w:t>
      </w:r>
      <w:r w:rsidRPr="00C34F07">
        <w:rPr>
          <w:sz w:val="12"/>
          <w:szCs w:val="12"/>
        </w:rPr>
        <w:t xml:space="preserve"> Myokardszintigraphie), szintigraphische Spezialuntersuchungen (</w:t>
      </w:r>
      <w:r>
        <w:rPr>
          <w:sz w:val="12"/>
          <w:szCs w:val="12"/>
        </w:rPr>
        <w:t>z. B.</w:t>
      </w:r>
      <w:r w:rsidRPr="00C34F07">
        <w:rPr>
          <w:sz w:val="12"/>
          <w:szCs w:val="12"/>
        </w:rPr>
        <w:t xml:space="preserve"> Sentinelszintigraphie);</w:t>
      </w:r>
    </w:p>
    <w:p w:rsidR="00BE1EFE" w:rsidRPr="00C34F07" w:rsidRDefault="00BE1EFE" w:rsidP="008F423C">
      <w:pPr>
        <w:pStyle w:val="StandardWeb"/>
        <w:rPr>
          <w:sz w:val="12"/>
          <w:szCs w:val="12"/>
        </w:rPr>
      </w:pPr>
      <w:r>
        <w:rPr>
          <w:sz w:val="12"/>
          <w:szCs w:val="12"/>
        </w:rPr>
        <w:t>– </w:t>
      </w:r>
      <w:r w:rsidRPr="00C34F07">
        <w:rPr>
          <w:sz w:val="12"/>
          <w:szCs w:val="12"/>
        </w:rPr>
        <w:t xml:space="preserve">Durchführung von Untersuchungsverfahren, </w:t>
      </w:r>
      <w:r>
        <w:rPr>
          <w:sz w:val="12"/>
          <w:szCs w:val="12"/>
        </w:rPr>
        <w:t>bei denen mehrere Untersuchungs</w:t>
      </w:r>
      <w:r w:rsidRPr="00C34F07">
        <w:rPr>
          <w:sz w:val="12"/>
          <w:szCs w:val="12"/>
        </w:rPr>
        <w:t xml:space="preserve">methoden kombiniert werden, </w:t>
      </w:r>
      <w:r>
        <w:rPr>
          <w:sz w:val="12"/>
          <w:szCs w:val="12"/>
        </w:rPr>
        <w:t>z. B.</w:t>
      </w:r>
      <w:r w:rsidRPr="00C34F07">
        <w:rPr>
          <w:sz w:val="12"/>
          <w:szCs w:val="12"/>
        </w:rPr>
        <w:t xml:space="preserve"> SPECT-CT;</w:t>
      </w:r>
    </w:p>
    <w:p w:rsidR="00BE1EFE" w:rsidRPr="00C34F07" w:rsidRDefault="00BE1EFE" w:rsidP="008F423C">
      <w:pPr>
        <w:pStyle w:val="StandardWeb"/>
        <w:rPr>
          <w:sz w:val="12"/>
          <w:szCs w:val="12"/>
        </w:rPr>
      </w:pPr>
      <w:r>
        <w:rPr>
          <w:sz w:val="12"/>
          <w:szCs w:val="12"/>
        </w:rPr>
        <w:t>– </w:t>
      </w:r>
      <w:r w:rsidRPr="00C34F07">
        <w:rPr>
          <w:sz w:val="12"/>
          <w:szCs w:val="12"/>
        </w:rPr>
        <w:t>Vorbereitung und Mitwirkung von röntgenologisch gestützten Gewebeentnahmen;</w:t>
      </w:r>
    </w:p>
    <w:p w:rsidR="00BE1EFE" w:rsidRPr="00C34F07" w:rsidRDefault="00BE1EFE" w:rsidP="008F423C">
      <w:pPr>
        <w:pStyle w:val="StandardWeb"/>
        <w:rPr>
          <w:sz w:val="12"/>
          <w:szCs w:val="12"/>
        </w:rPr>
      </w:pPr>
      <w:r>
        <w:rPr>
          <w:sz w:val="12"/>
          <w:szCs w:val="12"/>
        </w:rPr>
        <w:t>– </w:t>
      </w:r>
      <w:r w:rsidRPr="00C34F07">
        <w:rPr>
          <w:sz w:val="12"/>
          <w:szCs w:val="12"/>
        </w:rPr>
        <w:t>Tätigkeiten in der Telemedizin oder Teleradiologie;</w:t>
      </w:r>
    </w:p>
    <w:p w:rsidR="00BE1EFE" w:rsidRPr="00C34F07" w:rsidRDefault="00BE1EFE" w:rsidP="008F423C">
      <w:pPr>
        <w:pStyle w:val="StandardWeb"/>
        <w:rPr>
          <w:sz w:val="12"/>
          <w:szCs w:val="12"/>
        </w:rPr>
      </w:pPr>
      <w:r>
        <w:rPr>
          <w:sz w:val="12"/>
          <w:szCs w:val="12"/>
        </w:rPr>
        <w:t>– </w:t>
      </w:r>
      <w:r w:rsidRPr="00C34F07">
        <w:rPr>
          <w:sz w:val="12"/>
          <w:szCs w:val="12"/>
        </w:rPr>
        <w:t>Mitwirkung bei der Hirntodbestimmung oder</w:t>
      </w:r>
    </w:p>
    <w:p w:rsidR="00BE1EFE" w:rsidRDefault="00BE1EFE" w:rsidP="008F423C">
      <w:pPr>
        <w:pStyle w:val="StandardWeb"/>
        <w:rPr>
          <w:sz w:val="12"/>
          <w:szCs w:val="12"/>
        </w:rPr>
      </w:pPr>
      <w:r>
        <w:rPr>
          <w:sz w:val="12"/>
          <w:szCs w:val="12"/>
        </w:rPr>
        <w:t>– </w:t>
      </w:r>
      <w:r w:rsidRPr="00C34F07">
        <w:rPr>
          <w:sz w:val="12"/>
          <w:szCs w:val="12"/>
        </w:rPr>
        <w:t xml:space="preserve">invasive Eingriffe mit </w:t>
      </w:r>
      <w:r>
        <w:rPr>
          <w:sz w:val="12"/>
          <w:szCs w:val="12"/>
        </w:rPr>
        <w:t>z. B.</w:t>
      </w:r>
      <w:r w:rsidRPr="00C34F07">
        <w:rPr>
          <w:sz w:val="12"/>
          <w:szCs w:val="12"/>
        </w:rPr>
        <w:t xml:space="preserve"> kryosta</w:t>
      </w:r>
      <w:r>
        <w:rPr>
          <w:sz w:val="12"/>
          <w:szCs w:val="12"/>
        </w:rPr>
        <w:t>tischen Maßnahmen im EPU-Labor.</w:t>
      </w:r>
    </w:p>
    <w:p w:rsidR="00BE1EFE" w:rsidRPr="00C34F07" w:rsidRDefault="00BE1EFE" w:rsidP="008F423C">
      <w:pPr>
        <w:pStyle w:val="StandardWeb"/>
        <w:rPr>
          <w:sz w:val="12"/>
          <w:szCs w:val="12"/>
        </w:rPr>
      </w:pPr>
    </w:p>
    <w:p w:rsidR="00BE1EFE" w:rsidRDefault="00BE1EFE" w:rsidP="001C00FD">
      <w:pPr>
        <w:pStyle w:val="StandardWeb"/>
        <w:rPr>
          <w:sz w:val="12"/>
          <w:szCs w:val="12"/>
        </w:rPr>
      </w:pPr>
      <w:r>
        <w:rPr>
          <w:sz w:val="12"/>
          <w:szCs w:val="12"/>
        </w:rPr>
        <w:t>2. </w:t>
      </w:r>
      <w:r w:rsidRPr="00C34F07">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8424F4" w:rsidRDefault="00BE1EFE" w:rsidP="001C00FD">
      <w:pPr>
        <w:pStyle w:val="StandardWeb"/>
        <w:jc w:val="left"/>
        <w:rPr>
          <w:sz w:val="12"/>
          <w:szCs w:val="12"/>
        </w:rPr>
      </w:pPr>
      <w:r>
        <w:rPr>
          <w:sz w:val="12"/>
          <w:szCs w:val="12"/>
        </w:rPr>
        <w:lastRenderedPageBreak/>
        <w:br w:type="page"/>
      </w:r>
    </w:p>
    <w:p w:rsidR="00BE1EFE" w:rsidRPr="00C34F07" w:rsidRDefault="00BE1EFE" w:rsidP="00224544">
      <w:pPr>
        <w:pStyle w:val="h7"/>
        <w:jc w:val="left"/>
      </w:pPr>
      <w:bookmarkStart w:id="319" w:name="_Toc523925954"/>
      <w:r>
        <w:lastRenderedPageBreak/>
        <w:t xml:space="preserve">17.11. </w:t>
      </w:r>
      <w:r w:rsidRPr="00C34F07">
        <w:t>Medizinische Dokumentarinnen und Dokumentare</w:t>
      </w:r>
      <w:bookmarkEnd w:id="319"/>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w:t>
      </w:r>
      <w:r>
        <w:rPr>
          <w:szCs w:val="16"/>
        </w:rPr>
        <w:t>s A, 2.2.1. Nummer 3 Anwendung.</w:t>
      </w:r>
    </w:p>
    <w:p w:rsidR="00BE1EFE" w:rsidRPr="00C34F07" w:rsidRDefault="00BE1EFE" w:rsidP="00224544">
      <w:pPr>
        <w:pStyle w:val="h7"/>
        <w:jc w:val="left"/>
      </w:pPr>
      <w:bookmarkStart w:id="320" w:name="_Toc523925955"/>
      <w:r>
        <w:t xml:space="preserve">17.12. </w:t>
      </w:r>
      <w:r w:rsidRPr="00C34F07">
        <w:t>Medizinische und Zahnmedizinische Fachangestellte</w:t>
      </w:r>
      <w:bookmarkEnd w:id="320"/>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Teils A, 2.2.1. Nummer 3 Anwendu</w:t>
      </w:r>
      <w:r>
        <w:rPr>
          <w:szCs w:val="16"/>
        </w:rPr>
        <w:t>ng.</w:t>
      </w:r>
    </w:p>
    <w:p w:rsidR="00BE1EFE" w:rsidRPr="00C34F07" w:rsidRDefault="00BE1EFE" w:rsidP="00224544">
      <w:pPr>
        <w:pStyle w:val="h7"/>
        <w:jc w:val="left"/>
      </w:pPr>
      <w:bookmarkStart w:id="321" w:name="_Toc523925956"/>
      <w:r>
        <w:t xml:space="preserve">17.13. </w:t>
      </w:r>
      <w:r w:rsidRPr="00C34F07">
        <w:t>Orthoptistinnen und Orthoptisten</w:t>
      </w:r>
      <w:bookmarkEnd w:id="321"/>
    </w:p>
    <w:p w:rsidR="00BE1EFE" w:rsidRPr="00C34F07" w:rsidRDefault="00BE1EFE" w:rsidP="008A1E74">
      <w:pPr>
        <w:pStyle w:val="h8"/>
      </w:pPr>
      <w:bookmarkStart w:id="322" w:name="_Toc523925957"/>
      <w:r w:rsidRPr="00C34F07">
        <w:t>Entgeltgruppe 5</w:t>
      </w:r>
      <w:bookmarkEnd w:id="32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Or</w:t>
      </w:r>
      <w:r>
        <w:rPr>
          <w:szCs w:val="16"/>
        </w:rPr>
        <w:t>thoptistinnen und Orthoptisten.</w:t>
      </w:r>
    </w:p>
    <w:p w:rsidR="00BE1EFE" w:rsidRPr="00C34F07" w:rsidRDefault="00BE1EFE" w:rsidP="008A1E74">
      <w:pPr>
        <w:pStyle w:val="h8"/>
      </w:pPr>
      <w:bookmarkStart w:id="323" w:name="_Toc523925958"/>
      <w:r w:rsidRPr="00C34F07">
        <w:t>Entgeltgruppe 7</w:t>
      </w:r>
      <w:bookmarkEnd w:id="32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Orthoptistinnen und Orthoptisten mit abgeschlossener Ausbildun</w:t>
      </w:r>
      <w:r>
        <w:rPr>
          <w:szCs w:val="16"/>
        </w:rPr>
        <w:t>g und entsprechender Tätigkeit.</w:t>
      </w:r>
    </w:p>
    <w:p w:rsidR="00BE1EFE" w:rsidRPr="00C34F07" w:rsidRDefault="00BE1EFE" w:rsidP="008A1E74">
      <w:pPr>
        <w:pStyle w:val="h8"/>
      </w:pPr>
      <w:bookmarkStart w:id="324" w:name="_Toc523925959"/>
      <w:r w:rsidRPr="00C34F07">
        <w:t>Entgeltgruppe 8</w:t>
      </w:r>
      <w:bookmarkEnd w:id="32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25" w:name="_Toc523925960"/>
      <w:r w:rsidRPr="00C34F07">
        <w:t>Entgeltgruppe 9a</w:t>
      </w:r>
      <w:bookmarkEnd w:id="32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26" w:name="_Toc523925961"/>
      <w:r w:rsidRPr="00C34F07">
        <w:t>Entgeltgruppe 9b</w:t>
      </w:r>
      <w:bookmarkEnd w:id="32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orthoptische Untersuchungen bei Säuglingen, Kleinkindern oder geistig behinderten Patienten mit Schielerkrankungen oder Nystagmus,</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diagnostische Untersuchungen zur Vorbereitung auf Schieloperationen und Mitwirken bei der Dosierung der Operationsstrecken,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Durchführung und Auswertung von VEP-Messungen,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lastRenderedPageBreak/>
        <w:t>– </w:t>
      </w:r>
      <w:r w:rsidRPr="008F423C">
        <w:rPr>
          <w:szCs w:val="16"/>
        </w:rPr>
        <w:t>Untersuchung von komplizierten infra</w:t>
      </w:r>
      <w:r>
        <w:rPr>
          <w:szCs w:val="16"/>
        </w:rPr>
        <w:t>- und supranukleären Mobilitäts</w:t>
      </w:r>
      <w:r w:rsidRPr="008F423C">
        <w:rPr>
          <w:szCs w:val="16"/>
        </w:rPr>
        <w:t xml:space="preserve">störungen sowie nystagmusbedingten Kopfzwangshaltungen an </w:t>
      </w:r>
      <w:r>
        <w:rPr>
          <w:szCs w:val="16"/>
        </w:rPr>
        <w:t>z. B.</w:t>
      </w:r>
      <w:r w:rsidRPr="008F423C">
        <w:rPr>
          <w:szCs w:val="16"/>
        </w:rPr>
        <w:t xml:space="preserve"> Tangentenskalen oder Synoptometern,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 </w:t>
      </w:r>
      <w:r w:rsidRPr="008F423C">
        <w:rPr>
          <w:szCs w:val="16"/>
        </w:rPr>
        <w:t>neuroophthalmologische Untersuchungen bei Orbitaerkrankungen (</w:t>
      </w:r>
      <w:r>
        <w:rPr>
          <w:szCs w:val="16"/>
        </w:rPr>
        <w:t>z. B.</w:t>
      </w:r>
      <w:r w:rsidRPr="008F423C">
        <w:rPr>
          <w:szCs w:val="16"/>
        </w:rPr>
        <w:t xml:space="preserve"> Tumorer</w:t>
      </w:r>
      <w:r>
        <w:rPr>
          <w:szCs w:val="16"/>
        </w:rPr>
        <w:softHyphen/>
        <w:t>krankungen).</w:t>
      </w:r>
    </w:p>
    <w:p w:rsidR="00BE1EFE" w:rsidRPr="007369B5" w:rsidRDefault="00BE1EFE" w:rsidP="008A1E74">
      <w:pPr>
        <w:pStyle w:val="h8"/>
      </w:pPr>
      <w:bookmarkStart w:id="327" w:name="_Toc523925962"/>
      <w:r w:rsidRPr="007369B5">
        <w:t>Anmerkungen:</w:t>
      </w:r>
      <w:bookmarkEnd w:id="327"/>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p>
    <w:p w:rsidR="00BE1EFE" w:rsidRPr="007369B5" w:rsidRDefault="00BE1EFE" w:rsidP="008F423C">
      <w:pPr>
        <w:pStyle w:val="StandardWeb"/>
        <w:rPr>
          <w:sz w:val="12"/>
          <w:szCs w:val="12"/>
        </w:rPr>
      </w:pPr>
      <w:r>
        <w:rPr>
          <w:sz w:val="12"/>
          <w:szCs w:val="12"/>
        </w:rPr>
        <w:t>–</w:t>
      </w:r>
      <w:r w:rsidRPr="007369B5">
        <w:rPr>
          <w:sz w:val="12"/>
          <w:szCs w:val="12"/>
        </w:rPr>
        <w:t> Behandlung eingefahrener beidäugiger Anomalien, exzentrischer Fixationen oder Kleinstanomalien,</w:t>
      </w:r>
    </w:p>
    <w:p w:rsidR="00BE1EFE" w:rsidRPr="007369B5" w:rsidRDefault="00BE1EFE" w:rsidP="008F423C">
      <w:pPr>
        <w:pStyle w:val="StandardWeb"/>
        <w:rPr>
          <w:sz w:val="12"/>
          <w:szCs w:val="12"/>
        </w:rPr>
      </w:pPr>
      <w:r>
        <w:rPr>
          <w:sz w:val="12"/>
          <w:szCs w:val="12"/>
        </w:rPr>
        <w:t>–</w:t>
      </w:r>
      <w:r w:rsidRPr="007369B5">
        <w:rPr>
          <w:sz w:val="12"/>
          <w:szCs w:val="12"/>
        </w:rPr>
        <w:t> Messungen bei Doppelbildern,</w:t>
      </w:r>
    </w:p>
    <w:p w:rsidR="00BE1EFE" w:rsidRPr="007369B5" w:rsidRDefault="00BE1EFE" w:rsidP="008F423C">
      <w:pPr>
        <w:pStyle w:val="StandardWeb"/>
        <w:rPr>
          <w:sz w:val="12"/>
          <w:szCs w:val="12"/>
        </w:rPr>
      </w:pPr>
      <w:r>
        <w:rPr>
          <w:sz w:val="12"/>
          <w:szCs w:val="12"/>
        </w:rPr>
        <w:t>–</w:t>
      </w:r>
      <w:r w:rsidRPr="007369B5">
        <w:rPr>
          <w:sz w:val="12"/>
          <w:szCs w:val="12"/>
        </w:rPr>
        <w:t> Anpassung von Prismenbrillen,</w:t>
      </w:r>
    </w:p>
    <w:p w:rsidR="00BE1EFE" w:rsidRPr="007369B5" w:rsidRDefault="00BE1EFE" w:rsidP="008F423C">
      <w:pPr>
        <w:pStyle w:val="StandardWeb"/>
        <w:rPr>
          <w:sz w:val="12"/>
          <w:szCs w:val="12"/>
        </w:rPr>
      </w:pPr>
      <w:r>
        <w:rPr>
          <w:sz w:val="12"/>
          <w:szCs w:val="12"/>
        </w:rPr>
        <w:t>–</w:t>
      </w:r>
      <w:r w:rsidRPr="007369B5">
        <w:rPr>
          <w:sz w:val="12"/>
          <w:szCs w:val="12"/>
        </w:rPr>
        <w:t> Kontaktlinsenanpassung bei komplizierten Hornhautsituationen (</w:t>
      </w:r>
      <w:r>
        <w:rPr>
          <w:sz w:val="12"/>
          <w:szCs w:val="12"/>
        </w:rPr>
        <w:t>z. B.</w:t>
      </w:r>
      <w:r w:rsidRPr="007369B5">
        <w:rPr>
          <w:sz w:val="12"/>
          <w:szCs w:val="12"/>
        </w:rPr>
        <w:t xml:space="preserve"> Ausdünnung der Hornhaut, Hornhautnarben, Zustand nach der operativen Entfernung der Hornhaut),</w:t>
      </w:r>
    </w:p>
    <w:p w:rsidR="00BE1EFE" w:rsidRPr="007369B5" w:rsidRDefault="00BE1EFE" w:rsidP="008F423C">
      <w:pPr>
        <w:pStyle w:val="StandardWeb"/>
        <w:rPr>
          <w:sz w:val="12"/>
          <w:szCs w:val="12"/>
        </w:rPr>
      </w:pPr>
      <w:r>
        <w:rPr>
          <w:sz w:val="12"/>
          <w:szCs w:val="12"/>
        </w:rPr>
        <w:t>–</w:t>
      </w:r>
      <w:r w:rsidRPr="007369B5">
        <w:rPr>
          <w:sz w:val="12"/>
          <w:szCs w:val="12"/>
        </w:rPr>
        <w:t> Durchführung orthoptistischer oder plebtischer Schulungen.</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28" w:name="_Toc523925963"/>
      <w:r>
        <w:t>17.14. </w:t>
      </w:r>
      <w:r w:rsidRPr="00C34F07">
        <w:t>Pharmazeutisch-kaufmännische Angestellte</w:t>
      </w:r>
      <w:bookmarkEnd w:id="328"/>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Es finden die allgemeinen Tätigkeitsmerkmale des Teil</w:t>
      </w:r>
      <w:r>
        <w:rPr>
          <w:szCs w:val="16"/>
        </w:rPr>
        <w:t>s A, 2.2.1. Nummer 3 Anwendung.</w:t>
      </w:r>
    </w:p>
    <w:p w:rsidR="00BE1EFE" w:rsidRPr="00C34F07" w:rsidRDefault="00BE1EFE" w:rsidP="00224544">
      <w:pPr>
        <w:pStyle w:val="h7"/>
        <w:jc w:val="left"/>
      </w:pPr>
      <w:bookmarkStart w:id="329" w:name="_Toc523925964"/>
      <w:r>
        <w:t>17.15. </w:t>
      </w:r>
      <w:r w:rsidRPr="00C34F07">
        <w:t>Pharmazeutisch-technische Assistentinnen und Assistenten</w:t>
      </w:r>
      <w:bookmarkEnd w:id="329"/>
    </w:p>
    <w:p w:rsidR="00BE1EFE" w:rsidRPr="00C34F07" w:rsidRDefault="00BE1EFE" w:rsidP="008A1E74">
      <w:pPr>
        <w:pStyle w:val="h8"/>
      </w:pPr>
      <w:bookmarkStart w:id="330" w:name="_Toc523925965"/>
      <w:r w:rsidRPr="00C34F07">
        <w:t>Entgeltgruppe 7</w:t>
      </w:r>
      <w:bookmarkEnd w:id="33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Pharmazeutisch-technische Assistentinnen und Assistenten mit staatlicher Erlaubni</w:t>
      </w:r>
      <w:r>
        <w:rPr>
          <w:szCs w:val="16"/>
        </w:rPr>
        <w:t>s und entsprechender Tätigkeit.</w:t>
      </w:r>
    </w:p>
    <w:p w:rsidR="00BE1EFE" w:rsidRPr="00C34F07" w:rsidRDefault="00BE1EFE" w:rsidP="008A1E74">
      <w:pPr>
        <w:pStyle w:val="h8"/>
      </w:pPr>
      <w:bookmarkStart w:id="331" w:name="_Toc523925966"/>
      <w:r w:rsidRPr="00C34F07">
        <w:t>Entgeltgruppe 8</w:t>
      </w:r>
      <w:bookmarkEnd w:id="33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32" w:name="_Toc523925967"/>
      <w:r w:rsidRPr="00C34F07">
        <w:t>Entgeltgruppe 9a</w:t>
      </w:r>
      <w:bookmarkEnd w:id="33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sidRPr="008F423C">
        <w:rPr>
          <w:szCs w:val="16"/>
        </w:rPr>
        <w:t>(Hierzu Anmerkung Nummer 1)</w:t>
      </w:r>
    </w:p>
    <w:p w:rsidR="00BE1EFE" w:rsidRPr="008F423C" w:rsidRDefault="00BE1EFE" w:rsidP="008F423C">
      <w:pPr>
        <w:pStyle w:val="StandardWeb"/>
        <w:rPr>
          <w:szCs w:val="16"/>
        </w:rPr>
      </w:pPr>
    </w:p>
    <w:p w:rsidR="00BE1EFE" w:rsidRPr="00C34F07" w:rsidRDefault="00BE1EFE" w:rsidP="008A1E74">
      <w:pPr>
        <w:pStyle w:val="h8"/>
      </w:pPr>
      <w:bookmarkStart w:id="333" w:name="_Toc523925968"/>
      <w:r w:rsidRPr="00C34F07">
        <w:t>Entgeltgruppe 9b</w:t>
      </w:r>
      <w:bookmarkEnd w:id="33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7, die als Hilfskräfte bei wissenschaftlichen Forschungs</w:t>
      </w:r>
      <w:r>
        <w:rPr>
          <w:szCs w:val="16"/>
        </w:rPr>
        <w:softHyphen/>
      </w:r>
      <w:r w:rsidRPr="008F423C">
        <w:rPr>
          <w:szCs w:val="16"/>
        </w:rPr>
        <w:t>aufgaben mit einem besonders hohen Maß von Verantwortlichkeit tätig sind.</w:t>
      </w:r>
    </w:p>
    <w:p w:rsidR="00BE1EFE" w:rsidRPr="008F423C" w:rsidRDefault="00BE1EFE" w:rsidP="008F423C">
      <w:pPr>
        <w:pStyle w:val="StandardWeb"/>
        <w:rPr>
          <w:szCs w:val="16"/>
        </w:rPr>
      </w:pPr>
      <w:r w:rsidRPr="008F423C">
        <w:rPr>
          <w:szCs w:val="16"/>
        </w:rPr>
        <w:t>(Hierzu Anmerkung Nummer 2)</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7 mit Fortbildung als Spezialistin oder Spezialist für Krankenhaus- und krankenhausversorgende Apotheke</w:t>
      </w:r>
      <w:r>
        <w:rPr>
          <w:szCs w:val="16"/>
        </w:rPr>
        <w:t>n und entsprechender Tätigkeit.</w:t>
      </w:r>
    </w:p>
    <w:p w:rsidR="00BE1EFE" w:rsidRPr="007369B5" w:rsidRDefault="00BE1EFE" w:rsidP="008A1E74">
      <w:pPr>
        <w:pStyle w:val="h8"/>
      </w:pPr>
      <w:bookmarkStart w:id="334" w:name="_Toc523925969"/>
      <w:r w:rsidRPr="007369B5">
        <w:lastRenderedPageBreak/>
        <w:t>Anmerkungen:</w:t>
      </w:r>
      <w:bookmarkEnd w:id="334"/>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r w:rsidRPr="007369B5">
        <w:rPr>
          <w:sz w:val="12"/>
          <w:szCs w:val="12"/>
        </w:rPr>
        <w:t xml:space="preserve"> Tätigkeiten unter Reinraumluftbedingungen wie die sterile Herstellung von Zytostatika</w:t>
      </w:r>
      <w:r>
        <w:rPr>
          <w:sz w:val="12"/>
          <w:szCs w:val="12"/>
        </w:rPr>
        <w:softHyphen/>
      </w:r>
      <w:r w:rsidRPr="007369B5">
        <w:rPr>
          <w:sz w:val="12"/>
          <w:szCs w:val="12"/>
        </w:rPr>
        <w:t>zubereitungen, Mischbeuteln zur parenteralen Anwendung und applikationsfertigen Spritzen, Infusionen und Injektionen oder Augensalben und -tropfen; schwierige Identitäts- und Reinheitsprüfungen nach Deutschem Arzneibuch, gravimetrische, titrimetrische oder fotometrische Bestimmungen, Komplexometrie, Leitfähigkeitsmessungen oder chromatografische Analysen.</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A</w:t>
      </w:r>
      <w:r>
        <w:rPr>
          <w:sz w:val="12"/>
          <w:szCs w:val="12"/>
        </w:rPr>
        <w:t>nmerkung Nummer 1 genannt sind.</w:t>
      </w:r>
    </w:p>
    <w:p w:rsidR="00BE1EFE" w:rsidRPr="00C34F07" w:rsidRDefault="00BE1EFE" w:rsidP="00224544">
      <w:pPr>
        <w:pStyle w:val="h7"/>
        <w:jc w:val="left"/>
      </w:pPr>
      <w:bookmarkStart w:id="335" w:name="_Toc523925970"/>
      <w:r>
        <w:t>17.16. </w:t>
      </w:r>
      <w:r w:rsidRPr="00C34F07">
        <w:t>Physiotherapeutinnen und Physiotherapeuten</w:t>
      </w:r>
      <w:bookmarkEnd w:id="335"/>
    </w:p>
    <w:p w:rsidR="00BE1EFE" w:rsidRPr="00C34F07" w:rsidRDefault="00BE1EFE" w:rsidP="008A1E74">
      <w:pPr>
        <w:pStyle w:val="h8"/>
      </w:pPr>
      <w:bookmarkStart w:id="336" w:name="_Toc523925971"/>
      <w:r w:rsidRPr="00C34F07">
        <w:t>Entgeltgruppe 5</w:t>
      </w:r>
      <w:bookmarkEnd w:id="33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in der Tätigkeit von Physiotherap</w:t>
      </w:r>
      <w:r>
        <w:rPr>
          <w:szCs w:val="16"/>
        </w:rPr>
        <w:t>eutinnen und Physiotherapeuten.</w:t>
      </w:r>
    </w:p>
    <w:p w:rsidR="00BE1EFE" w:rsidRPr="00C34F07" w:rsidRDefault="00BE1EFE" w:rsidP="008A1E74">
      <w:pPr>
        <w:pStyle w:val="h8"/>
      </w:pPr>
      <w:bookmarkStart w:id="337" w:name="_Toc523925972"/>
      <w:r w:rsidRPr="00C34F07">
        <w:t>Entgeltgruppe 7</w:t>
      </w:r>
      <w:bookmarkEnd w:id="33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Physiotherapeutinnen und Physiotherapeuten mit staatlicher Anerkennung und entspre</w:t>
      </w:r>
      <w:r>
        <w:rPr>
          <w:szCs w:val="16"/>
        </w:rPr>
        <w:softHyphen/>
        <w:t>chender Tätigkeit.</w:t>
      </w:r>
    </w:p>
    <w:p w:rsidR="00BE1EFE" w:rsidRPr="00C34F07" w:rsidRDefault="00BE1EFE" w:rsidP="008A1E74">
      <w:pPr>
        <w:pStyle w:val="h8"/>
      </w:pPr>
      <w:bookmarkStart w:id="338" w:name="_Toc523925973"/>
      <w:r w:rsidRPr="00C34F07">
        <w:t>Entgeltgruppe 8</w:t>
      </w:r>
      <w:bookmarkEnd w:id="33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 einem Viertel schwierige Aufgaben erfüllen.</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339" w:name="_Toc523925974"/>
      <w:r w:rsidRPr="00C34F07">
        <w:t>Entgeltgruppe 9a</w:t>
      </w:r>
      <w:bookmarkEnd w:id="33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7, die schwierige Aufgaben erfüllen. </w:t>
      </w:r>
    </w:p>
    <w:p w:rsidR="00BE1EFE" w:rsidRPr="008F423C" w:rsidRDefault="00BE1EFE" w:rsidP="008F423C">
      <w:pPr>
        <w:pStyle w:val="StandardWeb"/>
        <w:rPr>
          <w:szCs w:val="16"/>
        </w:rPr>
      </w:pPr>
      <w:r>
        <w:rPr>
          <w:szCs w:val="16"/>
        </w:rPr>
        <w:t>(Hierzu Anmerkung)</w:t>
      </w:r>
    </w:p>
    <w:p w:rsidR="00BE1EFE" w:rsidRPr="00C34F07" w:rsidRDefault="00BE1EFE" w:rsidP="008A1E74">
      <w:pPr>
        <w:pStyle w:val="h8"/>
      </w:pPr>
      <w:bookmarkStart w:id="340" w:name="_Toc523925975"/>
      <w:r w:rsidRPr="00C34F07">
        <w:t>Entgeltgruppe 9b</w:t>
      </w:r>
      <w:bookmarkEnd w:id="34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7, die mindestens zur Hälfte eine oder mehrere der folgenden Aufgaben erfüllen: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w:t>
      </w:r>
      <w:r w:rsidRPr="008F423C">
        <w:rPr>
          <w:szCs w:val="16"/>
        </w:rPr>
        <w:t xml:space="preserve"> Physiotherapie bei Patientinnen oder Patienten mit Demenz oder auf einer Intensi</w:t>
      </w:r>
      <w:r>
        <w:rPr>
          <w:szCs w:val="16"/>
        </w:rPr>
        <w:t>vstation nach einem Polytrauma.</w:t>
      </w:r>
    </w:p>
    <w:p w:rsidR="00BE1EFE" w:rsidRPr="007369B5" w:rsidRDefault="00BE1EFE" w:rsidP="008A1E74">
      <w:pPr>
        <w:pStyle w:val="h8"/>
      </w:pPr>
      <w:bookmarkStart w:id="341" w:name="_Toc523925976"/>
      <w:r w:rsidRPr="007369B5">
        <w:t>Anmerkung:</w:t>
      </w:r>
      <w:bookmarkEnd w:id="341"/>
    </w:p>
    <w:p w:rsidR="00BE1EFE" w:rsidRPr="00B76821" w:rsidRDefault="00BE1EFE" w:rsidP="00B76821">
      <w:pPr>
        <w:pStyle w:val="h9"/>
        <w:keepNext w:val="0"/>
        <w:spacing w:before="0" w:after="0"/>
        <w:outlineLvl w:val="5"/>
        <w:rPr>
          <w:sz w:val="2"/>
        </w:rPr>
      </w:pPr>
    </w:p>
    <w:p w:rsidR="00BE1EFE" w:rsidRPr="008424F4" w:rsidRDefault="00BE1EFE" w:rsidP="008F423C">
      <w:pPr>
        <w:pStyle w:val="StandardWeb"/>
        <w:rPr>
          <w:sz w:val="12"/>
          <w:szCs w:val="12"/>
        </w:rPr>
      </w:pPr>
      <w:r w:rsidRPr="007369B5">
        <w:rPr>
          <w:sz w:val="12"/>
          <w:szCs w:val="12"/>
        </w:rPr>
        <w:t xml:space="preserve">Schwierige Aufgaben sind </w:t>
      </w:r>
      <w:r>
        <w:rPr>
          <w:sz w:val="12"/>
          <w:szCs w:val="12"/>
        </w:rPr>
        <w:t>z. B.</w:t>
      </w:r>
      <w:r w:rsidRPr="007369B5">
        <w:rPr>
          <w:sz w:val="12"/>
          <w:szCs w:val="12"/>
        </w:rPr>
        <w:t xml:space="preserve"> Physiotherapie nach Lungen- oder Herzoperationen, nach Herzinfarkten, bei Querschnittslähmungen, in Kinderlähmungsfällen, mit spastisch Gelähmten, in Fällen von Dysmelien, in der Psychiatrie oder Geriatrie, nach Einsatz von Endoprothesen, nach Verbrennungen zweiten oder dritten Grades oder bei</w:t>
      </w:r>
      <w:r>
        <w:rPr>
          <w:sz w:val="12"/>
          <w:szCs w:val="12"/>
        </w:rPr>
        <w:t xml:space="preserve"> Kleinkindern bis sechs Jahren.</w:t>
      </w:r>
    </w:p>
    <w:p w:rsidR="00BE1EFE" w:rsidRPr="00C34F07" w:rsidRDefault="00BE1EFE" w:rsidP="00224544">
      <w:pPr>
        <w:pStyle w:val="h7"/>
        <w:jc w:val="left"/>
      </w:pPr>
      <w:bookmarkStart w:id="342" w:name="_Toc523925977"/>
      <w:r>
        <w:lastRenderedPageBreak/>
        <w:t>17.17. Präparations</w:t>
      </w:r>
      <w:r w:rsidRPr="00C34F07">
        <w:t>technische Assistentinnen und Assistenten</w:t>
      </w:r>
      <w:bookmarkEnd w:id="342"/>
    </w:p>
    <w:p w:rsidR="00BE1EFE" w:rsidRPr="00B76821" w:rsidRDefault="00BE1EFE" w:rsidP="00B76821">
      <w:pPr>
        <w:pStyle w:val="h8"/>
        <w:keepNext w:val="0"/>
        <w:spacing w:before="0" w:after="0"/>
        <w:outlineLvl w:val="5"/>
        <w:rPr>
          <w:sz w:val="2"/>
        </w:rPr>
      </w:pPr>
    </w:p>
    <w:p w:rsidR="00BE1EFE" w:rsidRPr="008F423C" w:rsidRDefault="00BE1EFE" w:rsidP="008F423C">
      <w:pPr>
        <w:pStyle w:val="StandardWeb"/>
        <w:rPr>
          <w:szCs w:val="16"/>
        </w:rPr>
      </w:pPr>
      <w:r w:rsidRPr="008F423C">
        <w:rPr>
          <w:szCs w:val="16"/>
        </w:rPr>
        <w:t>Auf Beschäftigte als Biologiemodellmacherinnen oder Biologiemodellmacher oder Präparationstechnische Assistentinnen und Assistenten finden die Tätigkeitsmerkmale für Beschäftigte in der Konservierung, Restaurierung, Präparierung und Grabungstechnik (</w:t>
      </w:r>
      <w:hyperlink r:id="rId291" w:history="1">
        <w:r w:rsidRPr="001B3A98">
          <w:rPr>
            <w:rStyle w:val="Hyperlink"/>
            <w:szCs w:val="16"/>
          </w:rPr>
          <w:t>Teil A, 2.3. Nummer 21</w:t>
        </w:r>
      </w:hyperlink>
      <w:r>
        <w:rPr>
          <w:szCs w:val="16"/>
        </w:rPr>
        <w:t>) Anwendung.</w:t>
      </w:r>
    </w:p>
    <w:p w:rsidR="00BE1EFE" w:rsidRPr="00C34F07" w:rsidRDefault="00BE1EFE" w:rsidP="00224544">
      <w:pPr>
        <w:pStyle w:val="h7"/>
        <w:jc w:val="left"/>
      </w:pPr>
      <w:bookmarkStart w:id="343" w:name="_Toc523925978"/>
      <w:r>
        <w:t>17.18. </w:t>
      </w:r>
      <w:r w:rsidRPr="00C34F07">
        <w:t>Psychologische Psychotherape</w:t>
      </w:r>
      <w:r>
        <w:t xml:space="preserve">utinnen und -therapeuten sowie </w:t>
      </w:r>
      <w:r w:rsidRPr="00C34F07">
        <w:t>Kinder- und Jugendlichenpsychotherapeutinnen und -therapeuten</w:t>
      </w:r>
      <w:bookmarkEnd w:id="343"/>
    </w:p>
    <w:p w:rsidR="00BE1EFE" w:rsidRPr="00C34F07" w:rsidRDefault="00BE1EFE" w:rsidP="008A1E74">
      <w:pPr>
        <w:pStyle w:val="h8"/>
      </w:pPr>
      <w:bookmarkStart w:id="344" w:name="_Toc523925979"/>
      <w:r w:rsidRPr="00C34F07">
        <w:t>Entgeltgruppe 14</w:t>
      </w:r>
      <w:bookmarkEnd w:id="34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Psychologische Psychotherapeutinnen und -therapeuten sowie Kinder- und Jugendlichen</w:t>
      </w:r>
      <w:r>
        <w:rPr>
          <w:szCs w:val="16"/>
        </w:rPr>
        <w:softHyphen/>
      </w:r>
      <w:r w:rsidRPr="008F423C">
        <w:rPr>
          <w:szCs w:val="16"/>
        </w:rPr>
        <w:t>psychotherapeutinnen und -therapeuten jeweils mit Approbatio</w:t>
      </w:r>
      <w:r>
        <w:rPr>
          <w:szCs w:val="16"/>
        </w:rPr>
        <w:t>n und entsprechender Tätigkeit.</w:t>
      </w:r>
    </w:p>
    <w:p w:rsidR="00BE1EFE" w:rsidRPr="00C34F07" w:rsidRDefault="00BE1EFE" w:rsidP="00224544">
      <w:pPr>
        <w:pStyle w:val="h7"/>
        <w:jc w:val="left"/>
      </w:pPr>
      <w:bookmarkStart w:id="345" w:name="_Toc523925980"/>
      <w:r>
        <w:t>17.19. </w:t>
      </w:r>
      <w:r w:rsidRPr="00C34F07">
        <w:t>Zahntechnikerinnen und Zahntechniker</w:t>
      </w:r>
      <w:bookmarkEnd w:id="345"/>
    </w:p>
    <w:p w:rsidR="00BE1EFE" w:rsidRPr="00C34F07" w:rsidRDefault="00BE1EFE" w:rsidP="008A1E74">
      <w:pPr>
        <w:pStyle w:val="h8"/>
      </w:pPr>
      <w:bookmarkStart w:id="346" w:name="_Toc523925981"/>
      <w:r w:rsidRPr="00C34F07">
        <w:t>Entgeltgruppe 6</w:t>
      </w:r>
      <w:bookmarkEnd w:id="34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Zahntechnikerinnen und Zahntechnike</w:t>
      </w:r>
      <w:r>
        <w:rPr>
          <w:szCs w:val="16"/>
        </w:rPr>
        <w:t>r mit entsprechender Tätigkeit.</w:t>
      </w:r>
    </w:p>
    <w:p w:rsidR="00BE1EFE" w:rsidRPr="00C34F07" w:rsidRDefault="00BE1EFE" w:rsidP="008A1E74">
      <w:pPr>
        <w:pStyle w:val="h8"/>
      </w:pPr>
      <w:bookmarkStart w:id="347" w:name="_Toc523925982"/>
      <w:r w:rsidRPr="00C34F07">
        <w:t>Entgeltgruppe 7</w:t>
      </w:r>
      <w:bookmarkEnd w:id="34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 xml:space="preserve">Beschäftigte der Entgeltgruppe 6, die schwierige Aufgaben erfüllen. </w:t>
      </w:r>
    </w:p>
    <w:p w:rsidR="00BE1EFE" w:rsidRPr="008F423C" w:rsidRDefault="00BE1EFE" w:rsidP="008F423C">
      <w:pPr>
        <w:pStyle w:val="StandardWeb"/>
        <w:rPr>
          <w:szCs w:val="16"/>
        </w:rPr>
      </w:pPr>
      <w:r>
        <w:rPr>
          <w:szCs w:val="16"/>
        </w:rPr>
        <w:t>(Hierzu Anmerkung Nummer 1)</w:t>
      </w:r>
    </w:p>
    <w:p w:rsidR="00BE1EFE" w:rsidRPr="00C34F07" w:rsidRDefault="00BE1EFE" w:rsidP="008A1E74">
      <w:pPr>
        <w:pStyle w:val="h8"/>
      </w:pPr>
      <w:bookmarkStart w:id="348" w:name="_Toc523925983"/>
      <w:r w:rsidRPr="00C34F07">
        <w:t>Entgeltgruppe 8</w:t>
      </w:r>
      <w:bookmarkEnd w:id="348"/>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6, deren Tätigkeiten Kenntnisse in der kieferchirurgischen Prothetik erfordern, oder die Epithesen herstellen.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Zahntechnikermeisterinnen und Zahntechnikermeiste</w:t>
      </w:r>
      <w:r>
        <w:rPr>
          <w:szCs w:val="16"/>
        </w:rPr>
        <w:t>r mit entsprechender Tätigkeit.</w:t>
      </w:r>
    </w:p>
    <w:p w:rsidR="00BE1EFE" w:rsidRPr="00C34F07" w:rsidRDefault="00BE1EFE" w:rsidP="008A1E74">
      <w:pPr>
        <w:pStyle w:val="h8"/>
      </w:pPr>
      <w:bookmarkStart w:id="349" w:name="_Toc523925984"/>
      <w:r w:rsidRPr="00C34F07">
        <w:t>Entgeltgruppe 9a</w:t>
      </w:r>
      <w:bookmarkEnd w:id="349"/>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8 Fallgruppe 2, deren Tätigkeiten Kenntnisse in der kieferchirurgischen Prothetik erfordern,</w:t>
      </w:r>
      <w:r>
        <w:rPr>
          <w:szCs w:val="16"/>
        </w:rPr>
        <w:t xml:space="preserve"> oder die Epithesen herstellen.</w:t>
      </w:r>
    </w:p>
    <w:p w:rsidR="00BE1EFE" w:rsidRPr="00C34F07" w:rsidRDefault="00BE1EFE" w:rsidP="008A1E74">
      <w:pPr>
        <w:pStyle w:val="h8"/>
      </w:pPr>
      <w:bookmarkStart w:id="350" w:name="_Toc523925985"/>
      <w:r w:rsidRPr="00C34F07">
        <w:t>Entgeltgruppe 9b</w:t>
      </w:r>
      <w:bookmarkEnd w:id="350"/>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6 oder der Entgeltgruppe 8 Fallgruppe 2, die als Hilfskräfte bei wissenschaftlichen Forschungsaufgaben mit einem besonders hohen Maß von Verantwortlichkeit tätig sind.</w:t>
      </w:r>
    </w:p>
    <w:p w:rsidR="00BE1EFE" w:rsidRPr="008F423C" w:rsidRDefault="00BE1EFE" w:rsidP="008F423C">
      <w:pPr>
        <w:pStyle w:val="StandardWeb"/>
        <w:rPr>
          <w:szCs w:val="16"/>
        </w:rPr>
      </w:pPr>
      <w:r>
        <w:rPr>
          <w:szCs w:val="16"/>
        </w:rPr>
        <w:t xml:space="preserve">(Hierzu Anmerkung Nummer 2) </w:t>
      </w:r>
    </w:p>
    <w:p w:rsidR="00BE1EFE" w:rsidRPr="007369B5" w:rsidRDefault="00BE1EFE" w:rsidP="008A1E74">
      <w:pPr>
        <w:pStyle w:val="h8"/>
      </w:pPr>
      <w:bookmarkStart w:id="351" w:name="_Toc523925986"/>
      <w:r w:rsidRPr="007369B5">
        <w:lastRenderedPageBreak/>
        <w:t>Anmerkungen:</w:t>
      </w:r>
      <w:bookmarkEnd w:id="351"/>
    </w:p>
    <w:p w:rsidR="00BE1EFE" w:rsidRPr="00B76821" w:rsidRDefault="00BE1EFE" w:rsidP="00B76821">
      <w:pPr>
        <w:pStyle w:val="h9"/>
        <w:keepNext w:val="0"/>
        <w:spacing w:before="0" w:after="0"/>
        <w:outlineLvl w:val="5"/>
        <w:rPr>
          <w:sz w:val="2"/>
        </w:rPr>
      </w:pPr>
    </w:p>
    <w:p w:rsidR="00BE1EFE" w:rsidRPr="007369B5" w:rsidRDefault="00BE1EFE" w:rsidP="008F423C">
      <w:pPr>
        <w:pStyle w:val="StandardWeb"/>
        <w:rPr>
          <w:sz w:val="12"/>
          <w:szCs w:val="12"/>
        </w:rPr>
      </w:pPr>
      <w:r>
        <w:rPr>
          <w:sz w:val="12"/>
          <w:szCs w:val="12"/>
        </w:rPr>
        <w:t>1. </w:t>
      </w:r>
      <w:r w:rsidRPr="007369B5">
        <w:rPr>
          <w:sz w:val="12"/>
          <w:szCs w:val="12"/>
        </w:rPr>
        <w:t xml:space="preserve">Schwierige Aufgaben sind </w:t>
      </w:r>
      <w:r>
        <w:rPr>
          <w:sz w:val="12"/>
          <w:szCs w:val="12"/>
        </w:rPr>
        <w:t>z. B.</w:t>
      </w:r>
      <w:r w:rsidRPr="007369B5">
        <w:rPr>
          <w:sz w:val="12"/>
          <w:szCs w:val="12"/>
        </w:rPr>
        <w:t xml:space="preserve"> Tätigkeiten in der zahnärztlichen Keramik, in der Kiefer-Orthopädie, in der Parallelometertechnik, in der </w:t>
      </w:r>
      <w:r>
        <w:rPr>
          <w:sz w:val="12"/>
          <w:szCs w:val="12"/>
        </w:rPr>
        <w:t>Vermessungstechnik für Einstückguss</w:t>
      </w:r>
      <w:r w:rsidRPr="007369B5">
        <w:rPr>
          <w:sz w:val="12"/>
          <w:szCs w:val="12"/>
        </w:rPr>
        <w:t>prothesen oder in der Geschiebetechnik.</w:t>
      </w:r>
    </w:p>
    <w:p w:rsidR="00BE1EFE" w:rsidRPr="007369B5" w:rsidRDefault="00BE1EFE" w:rsidP="008F423C">
      <w:pPr>
        <w:pStyle w:val="StandardWeb"/>
        <w:rPr>
          <w:sz w:val="12"/>
          <w:szCs w:val="12"/>
        </w:rPr>
      </w:pPr>
    </w:p>
    <w:p w:rsidR="00BE1EFE" w:rsidRPr="008424F4" w:rsidRDefault="00BE1EFE" w:rsidP="008F423C">
      <w:pPr>
        <w:pStyle w:val="StandardWeb"/>
        <w:rPr>
          <w:sz w:val="12"/>
          <w:szCs w:val="12"/>
        </w:rPr>
      </w:pPr>
      <w:r>
        <w:rPr>
          <w:sz w:val="12"/>
          <w:szCs w:val="12"/>
        </w:rPr>
        <w:t>2. </w:t>
      </w:r>
      <w:r w:rsidRPr="007369B5">
        <w:rPr>
          <w:sz w:val="12"/>
          <w:szCs w:val="12"/>
        </w:rPr>
        <w:t>Beschäftigte, die im Rahmen ihrer Tätigkeit als Hilfskräfte bei wissenschaftlichen Forschungsaufgaben mit einem besonders hohen Maß von Verantwortlichkeit tätig sind, sind auch dann als solche eingruppiert, wenn sie im Rahmen dieser Tätigkeit Aufgaben erfüllen, die in der Entgeltgruppe 7 oder in der Entgeltgruppe 8 Fallgruppe 1 und in der</w:t>
      </w:r>
      <w:r>
        <w:rPr>
          <w:sz w:val="12"/>
          <w:szCs w:val="12"/>
        </w:rPr>
        <w:t xml:space="preserve"> Entgeltgruppe 9a genannt sind.</w:t>
      </w:r>
    </w:p>
    <w:p w:rsidR="00BE1EFE" w:rsidRPr="007369B5" w:rsidRDefault="00BE1EFE" w:rsidP="00224544">
      <w:pPr>
        <w:pStyle w:val="h7"/>
        <w:jc w:val="left"/>
      </w:pPr>
      <w:bookmarkStart w:id="352" w:name="_Toc523925987"/>
      <w:r>
        <w:t>17.20. </w:t>
      </w:r>
      <w:r w:rsidRPr="007369B5">
        <w:t>Leitende Beschäftigte</w:t>
      </w:r>
      <w:bookmarkEnd w:id="352"/>
    </w:p>
    <w:p w:rsidR="00BE1EFE" w:rsidRPr="007369B5" w:rsidRDefault="00BE1EFE" w:rsidP="008A1E74">
      <w:pPr>
        <w:pStyle w:val="h8"/>
      </w:pPr>
      <w:bookmarkStart w:id="353" w:name="_Toc523925988"/>
      <w:r w:rsidRPr="007369B5">
        <w:t>Vorbemerkungen</w:t>
      </w:r>
      <w:bookmarkEnd w:id="35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Diese Tätigkeitsmerkmale finden in den Bereichen der vorstehenden Nummern 4 bis 10, 13, 15, 16 und 19 Anwendung.</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Die Kommission für das Arbeitsvertragsrecht der bayerischen Diözesen legt dem Aufbau der Tätigkeitsmerkmale für Abteilungs-, Gruppen- bzw. Teamleitung (organisatorische Einheiten) folgende regelmäßige Organisationsstruktur zu Grunde: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a) </w:t>
      </w:r>
      <w:r w:rsidRPr="008F423C">
        <w:rPr>
          <w:szCs w:val="16"/>
        </w:rPr>
        <w:t>Der Leitung einer kleineren organisatorischen Einheit sind in der Regel nicht mehr als neun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b) </w:t>
      </w:r>
      <w:r w:rsidRPr="008F423C">
        <w:rPr>
          <w:szCs w:val="16"/>
        </w:rPr>
        <w:t>Der Leitung einer größeren organisatorischen Einheit sind in der Regel nicht mehr als 16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c) </w:t>
      </w:r>
      <w:r w:rsidRPr="008F423C">
        <w:rPr>
          <w:szCs w:val="16"/>
        </w:rPr>
        <w:t>Der Leitung einer besonders großen organisatorischen Einheit sind in der Regel mehr als 24 Beschäftigte unterstellt.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3. </w:t>
      </w:r>
      <w:r w:rsidRPr="008F423C">
        <w:rPr>
          <w:szCs w:val="16"/>
        </w:rPr>
        <w:t>Soweit für vergleichbare organisatorische Einheiten von den vorstehenden Bezeichnungen abweichende Bezeichnungen verwandt</w:t>
      </w:r>
      <w:r>
        <w:rPr>
          <w:szCs w:val="16"/>
        </w:rPr>
        <w:t xml:space="preserve"> werden, ist dies unbeachtlich.</w:t>
      </w:r>
    </w:p>
    <w:p w:rsidR="00BE1EFE" w:rsidRPr="007369B5" w:rsidRDefault="00BE1EFE" w:rsidP="008A1E74">
      <w:pPr>
        <w:pStyle w:val="h8"/>
      </w:pPr>
      <w:bookmarkStart w:id="354" w:name="_Toc523925989"/>
      <w:r w:rsidRPr="007369B5">
        <w:t>Entgeltgruppe 9b</w:t>
      </w:r>
      <w:bookmarkEnd w:id="35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Leiterinnen und Leiter einer kleineren organisator</w:t>
      </w:r>
      <w:r>
        <w:rPr>
          <w:szCs w:val="16"/>
        </w:rPr>
        <w:t>ischen Einheit.</w:t>
      </w:r>
    </w:p>
    <w:p w:rsidR="00BE1EFE" w:rsidRPr="007369B5" w:rsidRDefault="00BE1EFE" w:rsidP="008A1E74">
      <w:pPr>
        <w:pStyle w:val="h8"/>
      </w:pPr>
      <w:bookmarkStart w:id="355" w:name="_Toc523925990"/>
      <w:r w:rsidRPr="007369B5">
        <w:t>Entgeltgruppe 9c</w:t>
      </w:r>
      <w:bookmarkEnd w:id="35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Ständige Vertreterinnen und Vertreter von Leiterinnen oder Leitern der</w:t>
      </w:r>
      <w:r>
        <w:rPr>
          <w:szCs w:val="16"/>
        </w:rPr>
        <w:t xml:space="preserve"> Entgeltgruppe 10 Fallgruppe 1.</w:t>
      </w:r>
    </w:p>
    <w:p w:rsidR="00BE1EFE" w:rsidRPr="007369B5" w:rsidRDefault="00BE1EFE" w:rsidP="008A1E74">
      <w:pPr>
        <w:pStyle w:val="h8"/>
      </w:pPr>
      <w:bookmarkStart w:id="356" w:name="_Toc523925991"/>
      <w:r w:rsidRPr="007369B5">
        <w:t>Entgeltgruppe 10</w:t>
      </w:r>
      <w:bookmarkEnd w:id="356"/>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Leiterinnen und Leiter einer größeren organisatorischen Einheit.</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Ständige Vertreterinnen und Vertreter von Leiterinnen ode</w:t>
      </w:r>
      <w:r>
        <w:rPr>
          <w:szCs w:val="16"/>
        </w:rPr>
        <w:t>r Leitern der Entgeltgruppe 11.</w:t>
      </w:r>
    </w:p>
    <w:p w:rsidR="00BE1EFE" w:rsidRPr="007369B5" w:rsidRDefault="00BE1EFE" w:rsidP="008A1E74">
      <w:pPr>
        <w:pStyle w:val="h8"/>
      </w:pPr>
      <w:bookmarkStart w:id="357" w:name="_Toc523925992"/>
      <w:r w:rsidRPr="007369B5">
        <w:t>Entgeltgruppe 11</w:t>
      </w:r>
      <w:bookmarkEnd w:id="357"/>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lastRenderedPageBreak/>
        <w:t>Leiterinnen und Leiter einer besonders gr</w:t>
      </w:r>
      <w:r>
        <w:rPr>
          <w:szCs w:val="16"/>
        </w:rPr>
        <w:t>oßen organisatorischen Einheit.</w:t>
      </w:r>
    </w:p>
    <w:p w:rsidR="00BE1EFE" w:rsidRPr="007369B5" w:rsidRDefault="00BE1EFE" w:rsidP="008A1E74">
      <w:pPr>
        <w:pStyle w:val="h8"/>
      </w:pPr>
      <w:bookmarkStart w:id="358" w:name="_Toc523925993"/>
      <w:r w:rsidRPr="007369B5">
        <w:t>Entgeltgruppe 12</w:t>
      </w:r>
      <w:bookmarkEnd w:id="358"/>
    </w:p>
    <w:p w:rsidR="00BE1EFE" w:rsidRPr="00B76821" w:rsidRDefault="00BE1EFE" w:rsidP="00B76821">
      <w:pPr>
        <w:pStyle w:val="h9"/>
        <w:keepNext w:val="0"/>
        <w:spacing w:before="0" w:after="0"/>
        <w:outlineLvl w:val="5"/>
        <w:rPr>
          <w:sz w:val="2"/>
        </w:rPr>
      </w:pPr>
    </w:p>
    <w:p w:rsidR="00BE1EFE" w:rsidRDefault="00BE1EFE" w:rsidP="008F423C">
      <w:pPr>
        <w:pStyle w:val="StandardWeb"/>
        <w:rPr>
          <w:szCs w:val="16"/>
        </w:rPr>
      </w:pPr>
      <w:r w:rsidRPr="008F423C">
        <w:rPr>
          <w:szCs w:val="16"/>
        </w:rPr>
        <w:t>Beschäftigte, deren Tätigkeit sich durch das Maß der damit verbundenen Verantwortung erheblich aus d</w:t>
      </w:r>
      <w:r>
        <w:rPr>
          <w:szCs w:val="16"/>
        </w:rPr>
        <w:t>er Entgeltgruppe 11 heraushebt.</w:t>
      </w:r>
    </w:p>
    <w:p w:rsidR="00BE1EFE" w:rsidRPr="008F423C" w:rsidRDefault="00BE1EFE" w:rsidP="008F423C">
      <w:pPr>
        <w:pStyle w:val="StandardWeb"/>
        <w:rPr>
          <w:szCs w:val="16"/>
        </w:rPr>
      </w:pPr>
    </w:p>
    <w:p w:rsidR="00BE1EFE" w:rsidRPr="007369B5" w:rsidRDefault="00BE1EFE" w:rsidP="00646A07">
      <w:pPr>
        <w:pStyle w:val="h7"/>
        <w:spacing w:before="0"/>
        <w:jc w:val="left"/>
      </w:pPr>
      <w:bookmarkStart w:id="359" w:name="_Toc523925994"/>
      <w:r>
        <w:t>17.21. </w:t>
      </w:r>
      <w:r w:rsidRPr="007369B5">
        <w:t xml:space="preserve">Lehrkräfte an staatlich anerkannten </w:t>
      </w:r>
      <w:r>
        <w:t xml:space="preserve">Lehranstalten für medizinische </w:t>
      </w:r>
      <w:r w:rsidRPr="007369B5">
        <w:t>Berufe (Schulen)</w:t>
      </w:r>
      <w:bookmarkEnd w:id="359"/>
      <w:r w:rsidRPr="007369B5">
        <w:t xml:space="preserve"> </w:t>
      </w:r>
    </w:p>
    <w:p w:rsidR="00BE1EFE" w:rsidRPr="008A1E74" w:rsidRDefault="00BE1EFE" w:rsidP="008A1E74">
      <w:pPr>
        <w:pStyle w:val="h8"/>
      </w:pPr>
      <w:bookmarkStart w:id="360" w:name="_Toc523925995"/>
      <w:r w:rsidRPr="007369B5">
        <w:t>Entgeltgruppe 9c</w:t>
      </w:r>
      <w:bookmarkEnd w:id="360"/>
      <w:r w:rsidRPr="007369B5">
        <w:t xml:space="preserve"> </w:t>
      </w:r>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Lehrkräfte.</w:t>
      </w:r>
    </w:p>
    <w:p w:rsidR="00BE1EFE" w:rsidRPr="007369B5" w:rsidRDefault="00BE1EFE" w:rsidP="008A1E74">
      <w:pPr>
        <w:pStyle w:val="h8"/>
      </w:pPr>
      <w:bookmarkStart w:id="361" w:name="_Toc523925996"/>
      <w:r w:rsidRPr="007369B5">
        <w:t>Entgeltgruppe 10</w:t>
      </w:r>
      <w:bookmarkEnd w:id="361"/>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Lehrkräfte mit ents</w:t>
      </w:r>
      <w:r>
        <w:rPr>
          <w:szCs w:val="16"/>
        </w:rPr>
        <w:t>prechender Zusatzqualifikation.</w:t>
      </w:r>
    </w:p>
    <w:p w:rsidR="00BE1EFE" w:rsidRPr="007369B5" w:rsidRDefault="00BE1EFE" w:rsidP="008A1E74">
      <w:pPr>
        <w:pStyle w:val="h8"/>
      </w:pPr>
      <w:bookmarkStart w:id="362" w:name="_Toc523925997"/>
      <w:r w:rsidRPr="007369B5">
        <w:t>Entgeltgruppe 11</w:t>
      </w:r>
      <w:bookmarkEnd w:id="362"/>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Hochschulbildung und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10 als stellvertretende Leiterinnen oder Leiter oder als Fachbereichsleiterinnen oder F</w:t>
      </w:r>
      <w:r>
        <w:rPr>
          <w:szCs w:val="16"/>
        </w:rPr>
        <w:t>achbereichsleiter einer Schule.</w:t>
      </w:r>
    </w:p>
    <w:p w:rsidR="00BE1EFE" w:rsidRPr="007369B5" w:rsidRDefault="00BE1EFE" w:rsidP="008A1E74">
      <w:pPr>
        <w:pStyle w:val="h8"/>
      </w:pPr>
      <w:bookmarkStart w:id="363" w:name="_Toc523925998"/>
      <w:r w:rsidRPr="007369B5">
        <w:t>Entgeltgruppe 12</w:t>
      </w:r>
      <w:bookmarkEnd w:id="363"/>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Beschäftigte der Entgeltgruppe 10 als Leiterinnen oder Leiter einer Schule.</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stellvertretende Leiterinnen oder Leiter oder als Fachbereichsleiterinnen oder F</w:t>
      </w:r>
      <w:r>
        <w:rPr>
          <w:szCs w:val="16"/>
        </w:rPr>
        <w:t>achbereichsleiter einer Schule.</w:t>
      </w:r>
    </w:p>
    <w:p w:rsidR="00BE1EFE" w:rsidRPr="007369B5" w:rsidRDefault="00BE1EFE" w:rsidP="008A1E74">
      <w:pPr>
        <w:pStyle w:val="h8"/>
      </w:pPr>
      <w:bookmarkStart w:id="364" w:name="_Toc523925999"/>
      <w:r w:rsidRPr="007369B5">
        <w:t>Entgeltgruppe 13</w:t>
      </w:r>
      <w:bookmarkEnd w:id="364"/>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Pr>
          <w:szCs w:val="16"/>
        </w:rPr>
        <w:t>1. </w:t>
      </w:r>
      <w:r w:rsidRPr="008F423C">
        <w:rPr>
          <w:szCs w:val="16"/>
        </w:rPr>
        <w:t>Lehrkräfte mit abgeschlossener wissenschaftlicher Hochschulbildung und – soweit nach dem jeweiligen Landesrecht vorgesehen – erfolgreich absolviertem Vorbereitungsdienst (Referendariat) mit entsprechender Tätigkeit sowie sonstige Beschäftigte, die aufgrund gleichwertiger Fähigkeiten und ihrer Erfahrungen entsprechende Tätigkeiten ausüben.</w:t>
      </w:r>
    </w:p>
    <w:p w:rsidR="00BE1EFE" w:rsidRPr="008F423C" w:rsidRDefault="00BE1EFE" w:rsidP="008F423C">
      <w:pPr>
        <w:pStyle w:val="StandardWeb"/>
        <w:rPr>
          <w:szCs w:val="16"/>
        </w:rPr>
      </w:pPr>
    </w:p>
    <w:p w:rsidR="00BE1EFE" w:rsidRPr="008F423C" w:rsidRDefault="00BE1EFE" w:rsidP="008F423C">
      <w:pPr>
        <w:pStyle w:val="StandardWeb"/>
        <w:rPr>
          <w:szCs w:val="16"/>
        </w:rPr>
      </w:pPr>
      <w:r>
        <w:rPr>
          <w:szCs w:val="16"/>
        </w:rPr>
        <w:t>2. </w:t>
      </w:r>
      <w:r w:rsidRPr="008F423C">
        <w:rPr>
          <w:szCs w:val="16"/>
        </w:rPr>
        <w:t>Beschäftigte der Entgeltgruppe 11 Fallgruppe 1 als Leiter</w:t>
      </w:r>
      <w:r>
        <w:rPr>
          <w:szCs w:val="16"/>
        </w:rPr>
        <w:t>innen oder Leiter einer Schule.</w:t>
      </w:r>
    </w:p>
    <w:p w:rsidR="00BE1EFE" w:rsidRPr="007369B5" w:rsidRDefault="00BE1EFE" w:rsidP="008A1E74">
      <w:pPr>
        <w:pStyle w:val="h8"/>
      </w:pPr>
      <w:bookmarkStart w:id="365" w:name="_Toc523926000"/>
      <w:r w:rsidRPr="007369B5">
        <w:t>Entgeltgruppe 14</w:t>
      </w:r>
      <w:bookmarkEnd w:id="365"/>
    </w:p>
    <w:p w:rsidR="00BE1EFE" w:rsidRPr="00B76821" w:rsidRDefault="00BE1EFE" w:rsidP="00B76821">
      <w:pPr>
        <w:pStyle w:val="h9"/>
        <w:keepNext w:val="0"/>
        <w:spacing w:before="0" w:after="0"/>
        <w:outlineLvl w:val="5"/>
        <w:rPr>
          <w:sz w:val="2"/>
        </w:rPr>
      </w:pPr>
    </w:p>
    <w:p w:rsidR="00BE1EFE" w:rsidRPr="008F423C" w:rsidRDefault="00BE1EFE" w:rsidP="008F423C">
      <w:pPr>
        <w:pStyle w:val="StandardWeb"/>
        <w:rPr>
          <w:szCs w:val="16"/>
        </w:rPr>
      </w:pPr>
      <w:r w:rsidRPr="008F423C">
        <w:rPr>
          <w:szCs w:val="16"/>
        </w:rPr>
        <w:t>Beschäftigte der Entgeltgruppe 13 Fallgruppe 1 als stellvertretende Leiterinnen oder Leiter oder als Fachbereichsleiterinnen oder F</w:t>
      </w:r>
      <w:r>
        <w:rPr>
          <w:szCs w:val="16"/>
        </w:rPr>
        <w:t>achbereichsleiter einer Schule.</w:t>
      </w:r>
    </w:p>
    <w:p w:rsidR="00BE1EFE" w:rsidRPr="007369B5" w:rsidRDefault="00BE1EFE" w:rsidP="008A1E74">
      <w:pPr>
        <w:pStyle w:val="h8"/>
      </w:pPr>
      <w:bookmarkStart w:id="366" w:name="_Toc523926001"/>
      <w:r w:rsidRPr="007369B5">
        <w:lastRenderedPageBreak/>
        <w:t>Entgeltgruppe 15</w:t>
      </w:r>
      <w:bookmarkEnd w:id="366"/>
    </w:p>
    <w:p w:rsidR="00BE1EFE" w:rsidRPr="00B76821" w:rsidRDefault="00BE1EFE" w:rsidP="00B76821">
      <w:pPr>
        <w:pStyle w:val="h9"/>
        <w:keepNext w:val="0"/>
        <w:spacing w:before="0" w:after="0"/>
        <w:outlineLvl w:val="5"/>
        <w:rPr>
          <w:sz w:val="2"/>
        </w:rPr>
      </w:pPr>
    </w:p>
    <w:p w:rsidR="00BE1EFE" w:rsidRDefault="00BE1EFE" w:rsidP="00646A07">
      <w:pPr>
        <w:pStyle w:val="StandardWeb"/>
        <w:rPr>
          <w:szCs w:val="16"/>
        </w:rPr>
      </w:pPr>
      <w:r w:rsidRPr="008F423C">
        <w:rPr>
          <w:szCs w:val="16"/>
        </w:rPr>
        <w:t>Beschäftigte der Entgeltgruppe 13 Fallgruppe 1 als Leiterinnen oder Leiter einer Schule.</w:t>
      </w:r>
    </w:p>
    <w:p w:rsidR="00BE1EFE" w:rsidRDefault="00BE1EFE" w:rsidP="00646A07">
      <w:pPr>
        <w:pStyle w:val="StandardWeb"/>
        <w:rPr>
          <w:szCs w:val="16"/>
        </w:rPr>
      </w:pPr>
    </w:p>
    <w:p w:rsidR="00BE1EFE" w:rsidRPr="00B76821" w:rsidRDefault="00BE1EFE" w:rsidP="002D50E5">
      <w:pPr>
        <w:pStyle w:val="StandardWeb"/>
        <w:rPr>
          <w:sz w:val="2"/>
        </w:rPr>
      </w:pPr>
      <w:r>
        <w:rPr>
          <w:szCs w:val="16"/>
        </w:rPr>
        <w:br w:type="page"/>
      </w:r>
      <w:bookmarkStart w:id="367" w:name="_Toc473549854"/>
    </w:p>
    <w:p w:rsidR="00BE1EFE" w:rsidRPr="000F3AEF" w:rsidRDefault="00BE1EFE" w:rsidP="00646A07">
      <w:pPr>
        <w:pStyle w:val="berschrift6"/>
        <w:spacing w:before="0"/>
      </w:pPr>
      <w:bookmarkStart w:id="368" w:name="_Toc523926002"/>
      <w:r w:rsidRPr="000F3AEF">
        <w:lastRenderedPageBreak/>
        <w:t>1</w:t>
      </w:r>
      <w:r>
        <w:t xml:space="preserve">8. </w:t>
      </w:r>
      <w:r w:rsidRPr="000F3AEF">
        <w:t>Beschäftigte in Häfen und Fährbetrieben</w:t>
      </w:r>
      <w:bookmarkEnd w:id="367"/>
      <w:bookmarkEnd w:id="368"/>
    </w:p>
    <w:p w:rsidR="00BE1EFE" w:rsidRPr="00B76821" w:rsidRDefault="00BE1EFE" w:rsidP="00B76821">
      <w:pPr>
        <w:pStyle w:val="h7"/>
        <w:keepNext w:val="0"/>
        <w:spacing w:before="0" w:after="0"/>
        <w:jc w:val="left"/>
        <w:outlineLvl w:val="5"/>
        <w:rPr>
          <w:sz w:val="2"/>
        </w:rPr>
      </w:pPr>
    </w:p>
    <w:p w:rsidR="00BE1EFE" w:rsidRPr="000F3AEF" w:rsidRDefault="00BE1EFE" w:rsidP="00D73AE0">
      <w:pPr>
        <w:pStyle w:val="StandardWeb"/>
        <w:jc w:val="left"/>
        <w:rPr>
          <w:szCs w:val="16"/>
        </w:rPr>
      </w:pPr>
      <w:r w:rsidRPr="00D645FF">
        <w:rPr>
          <w:i/>
          <w:szCs w:val="16"/>
        </w:rPr>
        <w:t>(frei)</w:t>
      </w:r>
    </w:p>
    <w:p w:rsidR="00BE1EFE" w:rsidRDefault="00BE1EFE" w:rsidP="00E91516">
      <w:pPr>
        <w:pStyle w:val="StandardWeb"/>
        <w:rPr>
          <w:szCs w:val="16"/>
        </w:rPr>
      </w:pPr>
    </w:p>
    <w:p w:rsidR="00BE1EFE" w:rsidRPr="000F3AEF" w:rsidRDefault="00BE1EFE" w:rsidP="00646A07">
      <w:pPr>
        <w:pStyle w:val="berschrift6"/>
        <w:spacing w:before="0"/>
      </w:pPr>
      <w:bookmarkStart w:id="369" w:name="_Toc473549855"/>
      <w:bookmarkStart w:id="370" w:name="_Toc523926003"/>
      <w:r>
        <w:t xml:space="preserve">19. </w:t>
      </w:r>
      <w:r w:rsidRPr="000F3AEF">
        <w:t>Beschäftigte im Kassen- und Rechnungswesen</w:t>
      </w:r>
      <w:bookmarkEnd w:id="369"/>
      <w:bookmarkEnd w:id="370"/>
    </w:p>
    <w:p w:rsidR="00BE1EFE" w:rsidRPr="00F93E09" w:rsidRDefault="00BE1EFE" w:rsidP="00F93E09">
      <w:pPr>
        <w:pStyle w:val="h7"/>
        <w:jc w:val="left"/>
      </w:pPr>
      <w:bookmarkStart w:id="371" w:name="_Toc473549856"/>
      <w:bookmarkStart w:id="372" w:name="_Toc523926004"/>
      <w:r w:rsidRPr="008424F4">
        <w:t>Entgeltgruppe 5</w:t>
      </w:r>
      <w:bookmarkEnd w:id="371"/>
      <w:bookmarkEnd w:id="37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w:t>
      </w:r>
    </w:p>
    <w:p w:rsidR="00BE1EFE" w:rsidRPr="000F3AEF" w:rsidRDefault="00BE1EFE" w:rsidP="00E91516">
      <w:pPr>
        <w:pStyle w:val="StandardWeb"/>
        <w:rPr>
          <w:szCs w:val="16"/>
        </w:rPr>
      </w:pPr>
      <w:r w:rsidRPr="000F3AEF">
        <w:rPr>
          <w:szCs w:val="16"/>
        </w:rPr>
        <w:t>(Hierzu Anmerkungen Nummern 1 und 3)</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 xml:space="preserve">Kassiererinnen und Kassierer in kleineren Kassen. </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Zahlstellenverwalterinnen und -verwalter größerer Zahlstellen.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Verwalterinnen u</w:t>
      </w:r>
      <w:r>
        <w:rPr>
          <w:szCs w:val="16"/>
        </w:rPr>
        <w:t>nd Verwalter von Einmannkassen.</w:t>
      </w:r>
    </w:p>
    <w:p w:rsidR="00BE1EFE" w:rsidRPr="00F93E09" w:rsidRDefault="00BE1EFE" w:rsidP="00F93E09">
      <w:pPr>
        <w:pStyle w:val="h7"/>
        <w:jc w:val="left"/>
      </w:pPr>
      <w:bookmarkStart w:id="373" w:name="_Toc473549857"/>
      <w:bookmarkStart w:id="374" w:name="_Toc523926005"/>
      <w:r w:rsidRPr="008424F4">
        <w:t>Entgeltgruppe 6</w:t>
      </w:r>
      <w:bookmarkEnd w:id="373"/>
      <w:bookmarkEnd w:id="374"/>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 wenn ihnen mindestens zu einem Viertel schwierige buchhalterische Tätigkeiten übertragen sind.</w:t>
      </w:r>
    </w:p>
    <w:p w:rsidR="00BE1EFE" w:rsidRPr="000F3AEF" w:rsidRDefault="00BE1EFE" w:rsidP="00E91516">
      <w:pPr>
        <w:pStyle w:val="StandardWeb"/>
        <w:rPr>
          <w:szCs w:val="16"/>
        </w:rPr>
      </w:pPr>
      <w:r w:rsidRPr="000F3AEF">
        <w:rPr>
          <w:szCs w:val="16"/>
        </w:rPr>
        <w:t>(Hierzu Anmerkungen Nummern 1, 3 und 4)</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Kassiererinnen und Kassierer in Kassen, soweit nicht anderweitig eingruppiert.</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Verwalterinnen und Verwalter von Zahlstellen, in denen ständig nach Art und Umfang besonders schwierige Zahlungsgeschäfte anfallen.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 xml:space="preserve">Leiterinnen und Leiter von Kassen mit mindestens einer </w:t>
      </w:r>
      <w:r>
        <w:rPr>
          <w:szCs w:val="16"/>
        </w:rPr>
        <w:t>oder einem Kassenbeschäftigten.</w:t>
      </w:r>
    </w:p>
    <w:p w:rsidR="00BE1EFE" w:rsidRPr="00F93E09" w:rsidRDefault="00BE1EFE" w:rsidP="00F93E09">
      <w:pPr>
        <w:pStyle w:val="h7"/>
        <w:jc w:val="left"/>
      </w:pPr>
      <w:bookmarkStart w:id="375" w:name="_Toc473549858"/>
      <w:bookmarkStart w:id="376" w:name="_Toc523926006"/>
      <w:r w:rsidRPr="008424F4">
        <w:t>Entgeltgruppe 8</w:t>
      </w:r>
      <w:bookmarkEnd w:id="375"/>
      <w:bookmarkEnd w:id="376"/>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Kassen, die verantwortlich Personen- oder Sachkonten führen oder verwalten, wenn ihnen schwierige buchhalterische Tätigkeiten übertragen sind.</w:t>
      </w:r>
    </w:p>
    <w:p w:rsidR="00BE1EFE" w:rsidRPr="000F3AEF" w:rsidRDefault="00BE1EFE" w:rsidP="00E91516">
      <w:pPr>
        <w:pStyle w:val="StandardWeb"/>
        <w:rPr>
          <w:szCs w:val="16"/>
        </w:rPr>
      </w:pPr>
      <w:r w:rsidRPr="000F3AEF">
        <w:rPr>
          <w:szCs w:val="16"/>
        </w:rPr>
        <w:t>(Hierzu Anmerkungen Nummern 1, 3 und 4)</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in Kassen, denen mindestens drei Beschäftigte mit buchhalterischen Tätigkeiten ständig unterstellt sind.</w:t>
      </w:r>
    </w:p>
    <w:p w:rsidR="00BE1EFE" w:rsidRPr="000F3AEF" w:rsidRDefault="00BE1EFE" w:rsidP="00E91516">
      <w:pPr>
        <w:pStyle w:val="StandardWeb"/>
        <w:rPr>
          <w:szCs w:val="16"/>
        </w:rPr>
      </w:pPr>
      <w:r w:rsidRPr="000F3AEF">
        <w:rPr>
          <w:szCs w:val="16"/>
        </w:rPr>
        <w:t>(Hierzu Anmerkung Nummer 3)</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Kassiererinnen und Kassierer in Kassen an Arbeitsplätzen mit ständig überdurchschnittlich hohen Postenzahlen.</w:t>
      </w:r>
    </w:p>
    <w:p w:rsidR="00BE1EFE" w:rsidRPr="000F3AEF" w:rsidRDefault="00BE1EFE" w:rsidP="00E91516">
      <w:pPr>
        <w:pStyle w:val="StandardWeb"/>
        <w:rPr>
          <w:szCs w:val="16"/>
        </w:rPr>
      </w:pPr>
      <w:r w:rsidRPr="000F3AEF">
        <w:rPr>
          <w:szCs w:val="16"/>
        </w:rPr>
        <w:t>(Hierzu Anmerkung Nummer 2)</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lastRenderedPageBreak/>
        <w:t>4. </w:t>
      </w:r>
      <w:r w:rsidRPr="000F3AEF">
        <w:rPr>
          <w:szCs w:val="16"/>
        </w:rPr>
        <w:t>Verwalterinnen und Verwalter von Zahlstellen, in denen ständig nach Art und Umfang besonders schwierige Zahlungsgeschäfte anfallen, wenn ihnen mindestens drei Beschäftigte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5. </w:t>
      </w:r>
      <w:r w:rsidRPr="000F3AEF">
        <w:rPr>
          <w:szCs w:val="16"/>
        </w:rPr>
        <w:t>Leiterinnen und Leiter von Kassen mit minde</w:t>
      </w:r>
      <w:r>
        <w:rPr>
          <w:szCs w:val="16"/>
        </w:rPr>
        <w:t>stens drei Kassenbeschäftigten.</w:t>
      </w:r>
    </w:p>
    <w:p w:rsidR="00BE1EFE" w:rsidRPr="00F93E09" w:rsidRDefault="00BE1EFE" w:rsidP="00F93E09">
      <w:pPr>
        <w:pStyle w:val="h7"/>
        <w:jc w:val="left"/>
      </w:pPr>
      <w:bookmarkStart w:id="377" w:name="_Toc473549859"/>
      <w:bookmarkStart w:id="378" w:name="_Toc523926007"/>
      <w:r w:rsidRPr="008424F4">
        <w:t>Entgeltgruppe 9a</w:t>
      </w:r>
      <w:bookmarkEnd w:id="377"/>
      <w:bookmarkEnd w:id="378"/>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Beschäftigte in öffentlich-rechtlichen Kassen, die verantwortlich Personen- oder Sachkonten führen oder verwalten und für mindestens fünf Sachbuchhaltereien die Kassenrechnung erstellen und die Haushaltsrechnung vorbereiten.</w:t>
      </w:r>
    </w:p>
    <w:p w:rsidR="00BE1EFE" w:rsidRPr="000F3AEF" w:rsidRDefault="00BE1EFE" w:rsidP="00E91516">
      <w:pPr>
        <w:pStyle w:val="StandardWeb"/>
        <w:rPr>
          <w:szCs w:val="16"/>
        </w:rPr>
      </w:pPr>
      <w:r w:rsidRPr="000F3AEF">
        <w:rPr>
          <w:szCs w:val="16"/>
        </w:rPr>
        <w:t>(Hierzu Anmerkung Nummer 1)</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Beschäftigte in öffentlich-rechtlichen Buchhaltereien, denen mindestens drei Beschäftigte mit buchhalterischen Tätigkeiten mindestens der Entgeltgruppe 6 ständig unterstellt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Kassiererinnen und Kassierer in Kassen, die das Ergebnis mehrerer Kassiererinnen oder Kassierer zusammenfassen.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4. </w:t>
      </w:r>
      <w:r w:rsidRPr="000F3AEF">
        <w:rPr>
          <w:szCs w:val="16"/>
        </w:rPr>
        <w:t>Kassiererinnen und Kassierer in Kassen mit schwierigem Zahlungsverkehr und ständig außergewöhnlich hohen Barumsätzen.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5. </w:t>
      </w:r>
      <w:r w:rsidRPr="000F3AEF">
        <w:rPr>
          <w:szCs w:val="16"/>
        </w:rPr>
        <w:t>Leiterinnen und Leiter von Kassen mit mindestens fünf Kassenbeschäftigten.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6. </w:t>
      </w:r>
      <w:r w:rsidRPr="000F3AEF">
        <w:rPr>
          <w:szCs w:val="16"/>
        </w:rPr>
        <w:t>Leiterinnen und Leiter von Kassen, die zugleich Leiterinnen oder Leiter der Vollstreckungsstelle sind, soweit nicht in Entgeltgruppe 9b oder 10 eingruppiert.</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7. </w:t>
      </w:r>
      <w:r w:rsidRPr="000F3AEF">
        <w:rPr>
          <w:szCs w:val="16"/>
        </w:rPr>
        <w:t>Ständige Vertreterinnen und Vertreter von Leiterinnen oder Leitern von Kassen mit mindest</w:t>
      </w:r>
      <w:r>
        <w:rPr>
          <w:szCs w:val="16"/>
        </w:rPr>
        <w:t>ens zwölf Kassenbeschäftigten.</w:t>
      </w:r>
    </w:p>
    <w:p w:rsidR="00BE1EFE" w:rsidRPr="00F93E09" w:rsidRDefault="00BE1EFE" w:rsidP="00F93E09">
      <w:pPr>
        <w:pStyle w:val="h7"/>
        <w:jc w:val="left"/>
      </w:pPr>
      <w:bookmarkStart w:id="379" w:name="_Toc473549860"/>
      <w:bookmarkStart w:id="380" w:name="_Toc523926008"/>
      <w:r w:rsidRPr="008424F4">
        <w:t>Entgeltgruppe 9b</w:t>
      </w:r>
      <w:bookmarkEnd w:id="379"/>
      <w:bookmarkEnd w:id="380"/>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Leiterinnen und Leiter von Kassen mit mindestens zwölf Kassenbeschäftigten.</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2. </w:t>
      </w:r>
      <w:r w:rsidRPr="000F3AEF">
        <w:rPr>
          <w:szCs w:val="16"/>
        </w:rPr>
        <w:t>Leiterinnen und Leiter von Kassen mit mindestens sechs Kassenbeschäftigten, wenn sie zugleich Leiterinnen oder Leiter der Vollstreckungsstelle sind.</w:t>
      </w:r>
    </w:p>
    <w:p w:rsidR="00BE1EFE" w:rsidRPr="000F3AEF" w:rsidRDefault="00BE1EFE" w:rsidP="00E91516">
      <w:pPr>
        <w:pStyle w:val="StandardWeb"/>
        <w:rPr>
          <w:szCs w:val="16"/>
        </w:rPr>
      </w:pPr>
    </w:p>
    <w:p w:rsidR="00BE1EFE" w:rsidRPr="000F3AEF" w:rsidRDefault="00BE1EFE" w:rsidP="00E91516">
      <w:pPr>
        <w:pStyle w:val="StandardWeb"/>
        <w:rPr>
          <w:szCs w:val="16"/>
        </w:rPr>
      </w:pPr>
      <w:r>
        <w:rPr>
          <w:szCs w:val="16"/>
        </w:rPr>
        <w:t>3. </w:t>
      </w:r>
      <w:r w:rsidRPr="000F3AEF">
        <w:rPr>
          <w:szCs w:val="16"/>
        </w:rPr>
        <w:t>Ständige Vertreterinnen und Vertreter von Leiterinnen oder Leitern von Kassen mit min</w:t>
      </w:r>
      <w:r>
        <w:rPr>
          <w:szCs w:val="16"/>
        </w:rPr>
        <w:t>destens 30 Kassenbeschäftigten.</w:t>
      </w:r>
    </w:p>
    <w:p w:rsidR="00BE1EFE" w:rsidRPr="00F93E09" w:rsidRDefault="00BE1EFE" w:rsidP="00F93E09">
      <w:pPr>
        <w:pStyle w:val="h7"/>
        <w:jc w:val="left"/>
      </w:pPr>
      <w:bookmarkStart w:id="381" w:name="_Toc473549861"/>
      <w:bookmarkStart w:id="382" w:name="_Toc523926009"/>
      <w:r w:rsidRPr="008424F4">
        <w:t>Entgeltgruppe 10</w:t>
      </w:r>
      <w:bookmarkEnd w:id="381"/>
      <w:bookmarkEnd w:id="382"/>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Cs w:val="16"/>
        </w:rPr>
      </w:pPr>
      <w:r>
        <w:rPr>
          <w:szCs w:val="16"/>
        </w:rPr>
        <w:t>1. </w:t>
      </w:r>
      <w:r w:rsidRPr="000F3AEF">
        <w:rPr>
          <w:szCs w:val="16"/>
        </w:rPr>
        <w:t>Leiterinnen und Leiter von Kassen mit mindestens 30 Kassenbeschäftigten.</w:t>
      </w:r>
    </w:p>
    <w:p w:rsidR="00BE1EFE" w:rsidRPr="000F3AEF" w:rsidRDefault="00BE1EFE" w:rsidP="00E91516">
      <w:pPr>
        <w:pStyle w:val="StandardWeb"/>
        <w:rPr>
          <w:szCs w:val="16"/>
        </w:rPr>
      </w:pPr>
    </w:p>
    <w:p w:rsidR="00BE1EFE" w:rsidRDefault="00BE1EFE" w:rsidP="00E91516">
      <w:pPr>
        <w:pStyle w:val="StandardWeb"/>
        <w:rPr>
          <w:szCs w:val="16"/>
        </w:rPr>
      </w:pPr>
      <w:r>
        <w:rPr>
          <w:szCs w:val="16"/>
        </w:rPr>
        <w:t>2. </w:t>
      </w:r>
      <w:r w:rsidRPr="000F3AEF">
        <w:rPr>
          <w:szCs w:val="16"/>
        </w:rPr>
        <w:t>Leiterinnen und Leiter von Kassen mit mindestens 15 Kassenbeschäftigten, wenn sie zugleich Leiterinnen oder Leiter</w:t>
      </w:r>
      <w:r>
        <w:rPr>
          <w:szCs w:val="16"/>
        </w:rPr>
        <w:t xml:space="preserve"> der Vollstreckungsstelle sind.</w:t>
      </w:r>
    </w:p>
    <w:p w:rsidR="00BE1EFE" w:rsidRDefault="00BE1EFE" w:rsidP="00E91516">
      <w:pPr>
        <w:pStyle w:val="StandardWeb"/>
        <w:rPr>
          <w:szCs w:val="16"/>
        </w:rPr>
      </w:pPr>
    </w:p>
    <w:p w:rsidR="00BE1EFE" w:rsidRPr="000F3AEF" w:rsidRDefault="00BE1EFE" w:rsidP="00E91516">
      <w:pPr>
        <w:pStyle w:val="StandardWeb"/>
        <w:rPr>
          <w:szCs w:val="16"/>
        </w:rPr>
      </w:pPr>
    </w:p>
    <w:p w:rsidR="00BE1EFE" w:rsidRPr="008424F4" w:rsidRDefault="00BE1EFE" w:rsidP="008A1E74">
      <w:pPr>
        <w:pStyle w:val="h7"/>
        <w:jc w:val="left"/>
      </w:pPr>
      <w:bookmarkStart w:id="383" w:name="_Toc523926010"/>
      <w:r w:rsidRPr="008424F4">
        <w:lastRenderedPageBreak/>
        <w:t>Anmerkungen:</w:t>
      </w:r>
      <w:bookmarkEnd w:id="383"/>
    </w:p>
    <w:p w:rsidR="00BE1EFE" w:rsidRPr="00B76821" w:rsidRDefault="00BE1EFE" w:rsidP="00B76821">
      <w:pPr>
        <w:pStyle w:val="h8"/>
        <w:keepNext w:val="0"/>
        <w:spacing w:before="0" w:after="0"/>
        <w:outlineLvl w:val="5"/>
        <w:rPr>
          <w:sz w:val="2"/>
        </w:rPr>
      </w:pPr>
    </w:p>
    <w:p w:rsidR="00BE1EFE" w:rsidRPr="000F3AEF" w:rsidRDefault="00BE1EFE" w:rsidP="00E91516">
      <w:pPr>
        <w:pStyle w:val="StandardWeb"/>
        <w:rPr>
          <w:sz w:val="12"/>
          <w:szCs w:val="12"/>
        </w:rPr>
      </w:pPr>
      <w:r>
        <w:rPr>
          <w:sz w:val="12"/>
          <w:szCs w:val="12"/>
        </w:rPr>
        <w:t>1. </w:t>
      </w:r>
      <w:r w:rsidRPr="000F3AEF">
        <w:rPr>
          <w:sz w:val="12"/>
          <w:szCs w:val="12"/>
        </w:rPr>
        <w:t>Die/Der Beschäftigte führt oder verwaltet verantwortlich Personen- oder Sachkonten, wenn sie/er die Belege vor der Buchung auf ihre Ordnungsmäßigkeit nach den Kassenvorschriften zu prüfen und für die Richtigkeit der Buchungen die Verantwortung zu tragen hat.</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2. </w:t>
      </w:r>
      <w:r w:rsidRPr="000F3AEF">
        <w:rPr>
          <w:sz w:val="12"/>
          <w:szCs w:val="12"/>
        </w:rPr>
        <w:t>Unter dieses Tätigkeitsmerkmal fallen auch Kassiererinnen und Kassierer für unbaren Zahlungsverkehr.</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3. </w:t>
      </w:r>
      <w:r w:rsidRPr="000F3AEF">
        <w:rPr>
          <w:sz w:val="12"/>
          <w:szCs w:val="12"/>
        </w:rPr>
        <w:t>Dieses Tätigkeitsmerkmal gilt auch für Beschäftigte, die in Zahlstellen oder Buchungsstellen verantwortlich Personen- oder Sachkonten führen oder verwalten.</w:t>
      </w:r>
    </w:p>
    <w:p w:rsidR="00BE1EFE" w:rsidRPr="000F3AEF" w:rsidRDefault="00BE1EFE" w:rsidP="00E91516">
      <w:pPr>
        <w:pStyle w:val="StandardWeb"/>
        <w:rPr>
          <w:sz w:val="12"/>
          <w:szCs w:val="12"/>
        </w:rPr>
      </w:pPr>
    </w:p>
    <w:p w:rsidR="00BE1EFE" w:rsidRPr="000F3AEF" w:rsidRDefault="00BE1EFE" w:rsidP="00E91516">
      <w:pPr>
        <w:pStyle w:val="StandardWeb"/>
        <w:rPr>
          <w:sz w:val="12"/>
          <w:szCs w:val="12"/>
        </w:rPr>
      </w:pPr>
      <w:r>
        <w:rPr>
          <w:sz w:val="12"/>
          <w:szCs w:val="12"/>
        </w:rPr>
        <w:t>4. </w:t>
      </w:r>
      <w:r w:rsidRPr="000F3AEF">
        <w:rPr>
          <w:sz w:val="12"/>
          <w:szCs w:val="12"/>
        </w:rPr>
        <w:t xml:space="preserve">Schwierige buchhalterische Tätigkeiten sind </w:t>
      </w:r>
      <w:r>
        <w:rPr>
          <w:sz w:val="12"/>
          <w:szCs w:val="12"/>
        </w:rPr>
        <w:t>z. B.</w:t>
      </w:r>
      <w:r w:rsidRPr="000F3AEF">
        <w:rPr>
          <w:sz w:val="12"/>
          <w:szCs w:val="12"/>
        </w:rPr>
        <w:t>:</w:t>
      </w:r>
    </w:p>
    <w:p w:rsidR="00BE1EFE" w:rsidRPr="000F3AEF" w:rsidRDefault="00BE1EFE" w:rsidP="00E91516">
      <w:pPr>
        <w:pStyle w:val="StandardWeb"/>
        <w:rPr>
          <w:sz w:val="12"/>
          <w:szCs w:val="12"/>
        </w:rPr>
      </w:pPr>
      <w:r w:rsidRPr="000F3AEF">
        <w:rPr>
          <w:sz w:val="12"/>
          <w:szCs w:val="12"/>
        </w:rPr>
        <w:t>a) selbstständiger Verkehr mit den bewirtschafteten Stellen;</w:t>
      </w:r>
    </w:p>
    <w:p w:rsidR="00BE1EFE" w:rsidRPr="000F3AEF" w:rsidRDefault="00BE1EFE" w:rsidP="00E91516">
      <w:pPr>
        <w:pStyle w:val="StandardWeb"/>
        <w:rPr>
          <w:sz w:val="12"/>
          <w:szCs w:val="12"/>
        </w:rPr>
      </w:pPr>
      <w:r w:rsidRPr="000F3AEF">
        <w:rPr>
          <w:sz w:val="12"/>
          <w:szCs w:val="12"/>
        </w:rPr>
        <w:t>b) das Führen oder Verwalten von Darlehens- oder Schuldendienstkonten, wenn die Zins- und Tilgungsleistungen selbstständig errechnet werden müssen;</w:t>
      </w:r>
    </w:p>
    <w:p w:rsidR="00BE1EFE" w:rsidRPr="000F3AEF" w:rsidRDefault="00BE1EFE" w:rsidP="00E91516">
      <w:pPr>
        <w:pStyle w:val="StandardWeb"/>
        <w:rPr>
          <w:sz w:val="12"/>
          <w:szCs w:val="12"/>
        </w:rPr>
      </w:pPr>
      <w:r w:rsidRPr="000F3AEF">
        <w:rPr>
          <w:sz w:val="12"/>
          <w:szCs w:val="12"/>
        </w:rPr>
        <w:t>c) selbstständiges Bearbeiten von Vollstreckungsangelegenheiten (mit Ausnahme des Ausstellens von Pfändungsaufträgen und von Amtshilfeersuchen);</w:t>
      </w:r>
    </w:p>
    <w:p w:rsidR="00BE1EFE" w:rsidRPr="000F3AEF" w:rsidRDefault="00BE1EFE" w:rsidP="00E91516">
      <w:pPr>
        <w:pStyle w:val="StandardWeb"/>
        <w:rPr>
          <w:sz w:val="12"/>
          <w:szCs w:val="12"/>
        </w:rPr>
      </w:pPr>
      <w:r>
        <w:rPr>
          <w:sz w:val="12"/>
          <w:szCs w:val="12"/>
        </w:rPr>
        <w:t>d) </w:t>
      </w:r>
      <w:r w:rsidRPr="000F3AEF">
        <w:rPr>
          <w:sz w:val="12"/>
          <w:szCs w:val="12"/>
        </w:rPr>
        <w:t>das Bearbeiten schwierig aufzuklärender Verwahrposten;</w:t>
      </w:r>
    </w:p>
    <w:p w:rsidR="00BE1EFE" w:rsidRPr="000F3AEF" w:rsidRDefault="00BE1EFE" w:rsidP="00E91516">
      <w:pPr>
        <w:pStyle w:val="StandardWeb"/>
        <w:rPr>
          <w:sz w:val="12"/>
          <w:szCs w:val="12"/>
        </w:rPr>
      </w:pPr>
      <w:r>
        <w:rPr>
          <w:sz w:val="12"/>
          <w:szCs w:val="12"/>
        </w:rPr>
        <w:t>e) </w:t>
      </w:r>
      <w:r w:rsidRPr="000F3AEF">
        <w:rPr>
          <w:sz w:val="12"/>
          <w:szCs w:val="12"/>
        </w:rPr>
        <w:t>selbstständiges Bearbeiten von Werthinterlegungen einschließlich der Kontenführung;</w:t>
      </w:r>
    </w:p>
    <w:p w:rsidR="00BE1EFE" w:rsidRPr="000F3AEF" w:rsidRDefault="00BE1EFE" w:rsidP="00E91516">
      <w:pPr>
        <w:pStyle w:val="StandardWeb"/>
        <w:rPr>
          <w:sz w:val="12"/>
          <w:szCs w:val="12"/>
        </w:rPr>
      </w:pPr>
      <w:r>
        <w:rPr>
          <w:sz w:val="12"/>
          <w:szCs w:val="12"/>
        </w:rPr>
        <w:t>f) </w:t>
      </w:r>
      <w:r w:rsidRPr="000F3AEF">
        <w:rPr>
          <w:sz w:val="12"/>
          <w:szCs w:val="12"/>
        </w:rPr>
        <w:t>das Führen oder Verwalten von Sachkonten für Haushaltsausgaben, wenn damit das Überwachen zahlreicher Abschlagszahlungen verbunden ist;</w:t>
      </w:r>
    </w:p>
    <w:p w:rsidR="00BE1EFE" w:rsidRPr="000F3AEF" w:rsidRDefault="00BE1EFE" w:rsidP="00E91516">
      <w:pPr>
        <w:pStyle w:val="StandardWeb"/>
        <w:rPr>
          <w:sz w:val="12"/>
          <w:szCs w:val="12"/>
        </w:rPr>
      </w:pPr>
      <w:r>
        <w:rPr>
          <w:sz w:val="12"/>
          <w:szCs w:val="12"/>
        </w:rPr>
        <w:t>g) </w:t>
      </w:r>
      <w:r w:rsidRPr="000F3AEF">
        <w:rPr>
          <w:sz w:val="12"/>
          <w:szCs w:val="12"/>
        </w:rPr>
        <w:t xml:space="preserve">das Führen oder Verwalten von Sachkonten, bei denen Deckungsvorschriften nicht nur einfacher Art zu beachten sind (Deckungsvorschriften nur einfacher Art sind </w:t>
      </w:r>
      <w:r>
        <w:rPr>
          <w:sz w:val="12"/>
          <w:szCs w:val="12"/>
        </w:rPr>
        <w:t>z. B.</w:t>
      </w:r>
      <w:r w:rsidRPr="000F3AEF">
        <w:rPr>
          <w:sz w:val="12"/>
          <w:szCs w:val="12"/>
        </w:rPr>
        <w:t>: In Sammelnachweisen zusammengefasste Ausgaben; gegenseitige oder einseitige Deckungsfähigkeit bei den Personalausgaben oder Deckungsvermerke, die sich auf der Ausgabenseite auf nur zwei Haushaltsstellen beschränken);</w:t>
      </w:r>
    </w:p>
    <w:p w:rsidR="00BE1EFE" w:rsidRPr="000F3AEF" w:rsidRDefault="00BE1EFE" w:rsidP="00E91516">
      <w:pPr>
        <w:pStyle w:val="StandardWeb"/>
        <w:rPr>
          <w:sz w:val="12"/>
          <w:szCs w:val="12"/>
        </w:rPr>
      </w:pPr>
      <w:r w:rsidRPr="000F3AEF">
        <w:rPr>
          <w:sz w:val="12"/>
          <w:szCs w:val="12"/>
        </w:rPr>
        <w:t>h) das Führen oder Verwalten von Konten für den Abrechnungsverkehr mit Kassen oder Zahlstellen;</w:t>
      </w:r>
    </w:p>
    <w:p w:rsidR="00BE1EFE" w:rsidRDefault="00BE1EFE" w:rsidP="00E91516">
      <w:pPr>
        <w:pStyle w:val="StandardWeb"/>
        <w:rPr>
          <w:sz w:val="12"/>
          <w:szCs w:val="12"/>
        </w:rPr>
      </w:pPr>
      <w:r w:rsidRPr="000F3AEF">
        <w:rPr>
          <w:sz w:val="12"/>
          <w:szCs w:val="12"/>
        </w:rPr>
        <w:t xml:space="preserve">i) das Führen oder Verwalten schwieriger Konten der Vermögensrechnung bei gleichzeitigem </w:t>
      </w:r>
      <w:proofErr w:type="gramStart"/>
      <w:r w:rsidRPr="000F3AEF">
        <w:rPr>
          <w:sz w:val="12"/>
          <w:szCs w:val="12"/>
        </w:rPr>
        <w:t>selbstständigen</w:t>
      </w:r>
      <w:proofErr w:type="gramEnd"/>
      <w:r w:rsidRPr="000F3AEF">
        <w:rPr>
          <w:sz w:val="12"/>
          <w:szCs w:val="12"/>
        </w:rPr>
        <w:t xml:space="preserve"> Berechnen von Abschreibungen aufgrund allgemeiner </w:t>
      </w:r>
      <w:r>
        <w:rPr>
          <w:sz w:val="12"/>
          <w:szCs w:val="12"/>
        </w:rPr>
        <w:t>–</w:t>
      </w:r>
      <w:r w:rsidRPr="000F3AEF">
        <w:rPr>
          <w:sz w:val="12"/>
          <w:szCs w:val="12"/>
        </w:rPr>
        <w:t xml:space="preserve"> betraglich nicht festgelegter </w:t>
      </w:r>
      <w:r>
        <w:rPr>
          <w:sz w:val="12"/>
          <w:szCs w:val="12"/>
        </w:rPr>
        <w:t>–</w:t>
      </w:r>
      <w:r w:rsidRPr="000F3AEF">
        <w:rPr>
          <w:sz w:val="12"/>
          <w:szCs w:val="12"/>
        </w:rPr>
        <w:t xml:space="preserve"> Kassen- oder Buchungsanweisungen.</w:t>
      </w:r>
    </w:p>
    <w:p w:rsidR="00BE1EFE" w:rsidRPr="0033144F" w:rsidRDefault="00BE1EFE" w:rsidP="00E91516">
      <w:pPr>
        <w:pStyle w:val="StandardWeb"/>
        <w:rPr>
          <w:sz w:val="12"/>
          <w:szCs w:val="12"/>
        </w:rPr>
      </w:pPr>
      <w:r>
        <w:rPr>
          <w:sz w:val="12"/>
          <w:szCs w:val="12"/>
        </w:rPr>
        <w:br w:type="page"/>
      </w:r>
    </w:p>
    <w:p w:rsidR="00BE1EFE" w:rsidRPr="00BF4F71" w:rsidRDefault="00BE1EFE" w:rsidP="00BF73AC">
      <w:pPr>
        <w:pStyle w:val="berschrift6"/>
      </w:pPr>
      <w:bookmarkStart w:id="384" w:name="_Toc473549862"/>
      <w:bookmarkStart w:id="385" w:name="_Toc523926011"/>
      <w:r w:rsidRPr="00BF4F71">
        <w:lastRenderedPageBreak/>
        <w:t>20. Beschäftigte im feuerwehrtechnischen Dienst</w:t>
      </w:r>
      <w:bookmarkEnd w:id="384"/>
      <w:r w:rsidR="00694224">
        <w:t xml:space="preserve"> </w:t>
      </w:r>
      <w:r w:rsidR="00694224" w:rsidRPr="00694224">
        <w:rPr>
          <w:b w:val="0"/>
          <w:i/>
        </w:rPr>
        <w:t>(frei)</w:t>
      </w:r>
      <w:bookmarkEnd w:id="385"/>
    </w:p>
    <w:p w:rsidR="00BE1EFE" w:rsidRPr="00B76821" w:rsidRDefault="00BE1EFE" w:rsidP="00B76821">
      <w:pPr>
        <w:pStyle w:val="h7"/>
        <w:keepNext w:val="0"/>
        <w:spacing w:before="0" w:after="0"/>
        <w:jc w:val="left"/>
        <w:outlineLvl w:val="5"/>
        <w:rPr>
          <w:sz w:val="2"/>
        </w:rPr>
      </w:pPr>
    </w:p>
    <w:p w:rsidR="00BE1EFE" w:rsidRDefault="00BE1EFE" w:rsidP="00D645FF">
      <w:pPr>
        <w:pStyle w:val="StandardWeb"/>
        <w:jc w:val="left"/>
        <w:rPr>
          <w:szCs w:val="16"/>
        </w:rPr>
      </w:pPr>
    </w:p>
    <w:p w:rsidR="00BE1EFE" w:rsidRDefault="00BE1EFE" w:rsidP="00E91516">
      <w:pPr>
        <w:pStyle w:val="StandardWeb"/>
        <w:jc w:val="center"/>
        <w:rPr>
          <w:szCs w:val="16"/>
        </w:rPr>
      </w:pPr>
    </w:p>
    <w:p w:rsidR="00BE1EFE" w:rsidRPr="0085083F" w:rsidRDefault="00BE1EFE" w:rsidP="00BF73AC">
      <w:pPr>
        <w:pStyle w:val="berschrift6"/>
      </w:pPr>
      <w:bookmarkStart w:id="386" w:name="_Toc473549863"/>
      <w:bookmarkStart w:id="387" w:name="_Toc523926012"/>
      <w:r>
        <w:t>21.</w:t>
      </w:r>
      <w:r>
        <w:rPr>
          <w:lang w:eastAsia="x-none"/>
        </w:rPr>
        <w:t xml:space="preserve"> </w:t>
      </w:r>
      <w:r w:rsidRPr="0085083F">
        <w:t>Beschäftigte in der Konservierung, Restaurierung, Präparierung und Grabungstechnik</w:t>
      </w:r>
      <w:bookmarkEnd w:id="386"/>
      <w:bookmarkEnd w:id="387"/>
    </w:p>
    <w:p w:rsidR="00BE1EFE" w:rsidRPr="00F93E09" w:rsidRDefault="00BE1EFE" w:rsidP="00F93E09">
      <w:pPr>
        <w:pStyle w:val="h7"/>
        <w:jc w:val="left"/>
      </w:pPr>
      <w:bookmarkStart w:id="388" w:name="_Toc473549864"/>
      <w:bookmarkStart w:id="389" w:name="_Toc523926013"/>
      <w:r w:rsidRPr="008424F4">
        <w:t>Vorbemerkungen</w:t>
      </w:r>
      <w:bookmarkEnd w:id="388"/>
      <w:bookmarkEnd w:id="38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Dieser Abschnitt gilt für Beschäftigte im Bereich der Konservierung, Restaurierung, Präparation und Grabungstechnik an kunstgeschichtlichen, kulturgeschichtlichen und naturkundlichen Museen und Sammlungen und Forschungseinrichtungen, an Archiven, Bibliotheken und in der Denkmalpflege.</w:t>
      </w:r>
    </w:p>
    <w:p w:rsidR="00BE1EFE" w:rsidRPr="0085083F" w:rsidRDefault="00BE1EFE" w:rsidP="00E91516">
      <w:pPr>
        <w:pStyle w:val="StandardWeb"/>
        <w:rPr>
          <w:szCs w:val="16"/>
        </w:rPr>
      </w:pPr>
    </w:p>
    <w:p w:rsidR="00BE1EFE" w:rsidRDefault="00BE1EFE" w:rsidP="00E91516">
      <w:pPr>
        <w:pStyle w:val="StandardWeb"/>
        <w:rPr>
          <w:szCs w:val="16"/>
        </w:rPr>
      </w:pPr>
      <w:r w:rsidRPr="0085083F">
        <w:rPr>
          <w:szCs w:val="16"/>
        </w:rPr>
        <w:t>2.</w:t>
      </w:r>
      <w:r w:rsidRPr="0085083F">
        <w:rPr>
          <w:szCs w:val="16"/>
        </w:rPr>
        <w:tab/>
      </w:r>
    </w:p>
    <w:p w:rsidR="00BE1EFE" w:rsidRPr="0085083F" w:rsidRDefault="00BE1EFE" w:rsidP="00E91516">
      <w:pPr>
        <w:pStyle w:val="StandardWeb"/>
        <w:rPr>
          <w:szCs w:val="16"/>
        </w:rPr>
      </w:pPr>
      <w:r>
        <w:rPr>
          <w:szCs w:val="16"/>
        </w:rPr>
        <w:t>(1) </w:t>
      </w:r>
      <w:r w:rsidRPr="0085083F">
        <w:rPr>
          <w:sz w:val="12"/>
          <w:szCs w:val="12"/>
        </w:rPr>
        <w:t>1</w:t>
      </w:r>
      <w:r w:rsidRPr="0085083F">
        <w:rPr>
          <w:szCs w:val="16"/>
        </w:rPr>
        <w:t xml:space="preserve">Konservierungs-, Restaurierungs- und Präparationstätigkeiten im Sinne dieses Abschnitts sind sämtliche Tätigkeiten, die zum Ziel haben, Objekte bzw. audiovisuelle Aufzeichnungen von künstlerischer, kulturhistorischer, wissenschaftlicher oder dokumentarischer Bedeutung oder von didaktischem Wert ohne Rücksicht auf ihren materiellen oder kommerziellen Wert zu bergen, langfristig zu erhalten sowie wiederherzustellen, und sie damit u.a. für die wissenschaftliche als auch allgemeine Nutzung sowie die Forschung und Wissensvermittlung aufzubereiten, zu sichern und/oder dauerhaft zu bewahren. </w:t>
      </w:r>
      <w:r w:rsidRPr="0085083F">
        <w:rPr>
          <w:sz w:val="12"/>
          <w:szCs w:val="12"/>
        </w:rPr>
        <w:t>2</w:t>
      </w:r>
      <w:r w:rsidRPr="0085083F">
        <w:rPr>
          <w:szCs w:val="16"/>
        </w:rPr>
        <w:t>Dazu gehören auch die technologischen und naturwissenschaftlichen Untersuchungen der Objekte und deren Dokumentation.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 w:val="12"/>
          <w:szCs w:val="12"/>
        </w:rPr>
        <w:t>1</w:t>
      </w:r>
      <w:r w:rsidRPr="0085083F">
        <w:rPr>
          <w:szCs w:val="16"/>
        </w:rPr>
        <w:t xml:space="preserve">Eine Restaurierung kann auch die Nachbildung bzw. Rekonstruktion als Ergänzung fehlender Teile des Originals einschließen. </w:t>
      </w:r>
      <w:r w:rsidRPr="0085083F">
        <w:rPr>
          <w:sz w:val="12"/>
          <w:szCs w:val="12"/>
        </w:rPr>
        <w:t>2</w:t>
      </w:r>
      <w:r w:rsidRPr="0085083F">
        <w:rPr>
          <w:szCs w:val="16"/>
        </w:rPr>
        <w:t>Fallweise ist es auch notwendig, die im Rahmen der restauratorischen Untersuchung am Objekt festgestellten Materialzusammensetzungen oder auch Schadensbilder an Modellen künstlich zu erzeugen, um z. B. neue, adäquate Restaurierungsmethoden zu entwickeln bzw. kunsttechnologische Befunde anhand von Rekonstruktionen zu überprüfen.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(3) </w:t>
      </w:r>
      <w:r w:rsidRPr="0085083F">
        <w:rPr>
          <w:szCs w:val="16"/>
        </w:rPr>
        <w:t>Präparationstätigkeiten sind auch die Nachbildung vom Original, die freie Nachbildung, die Rekonstruktion und der Modellbau, die zum Ziel haben, einen erhaltenswerten Befund der Wissenschaft und der Lehre nutzbar zu machen sowie die Beschaffung, Sammlung und Erfassung von naturwissenschaftlichem Sammlungsgut.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(4) </w:t>
      </w:r>
      <w:r w:rsidRPr="0085083F">
        <w:rPr>
          <w:sz w:val="12"/>
          <w:szCs w:val="12"/>
        </w:rPr>
        <w:t>1</w:t>
      </w:r>
      <w:r w:rsidRPr="0085083F">
        <w:rPr>
          <w:szCs w:val="16"/>
        </w:rPr>
        <w:t xml:space="preserve">Bei den Tätigkeiten der Grabungstechnik spielt die Verbindung einer wissenschaftlich-fundierten Arbeitsweise mit ingenieurtechnischen bzw. methodischen Arbeitsansätzen eine zentrale Rolle. </w:t>
      </w:r>
      <w:r w:rsidRPr="0085083F">
        <w:rPr>
          <w:sz w:val="12"/>
          <w:szCs w:val="12"/>
        </w:rPr>
        <w:t>2</w:t>
      </w:r>
      <w:r w:rsidRPr="0085083F">
        <w:rPr>
          <w:szCs w:val="16"/>
        </w:rPr>
        <w:t xml:space="preserve">Je nach Einsatzaufgaben sind unterschiedliche Kenntnisse bzw. Berufsabschlüsse denkbar. </w:t>
      </w:r>
      <w:r w:rsidRPr="0085083F">
        <w:rPr>
          <w:sz w:val="12"/>
          <w:szCs w:val="12"/>
        </w:rPr>
        <w:t>3</w:t>
      </w:r>
      <w:r w:rsidRPr="0085083F">
        <w:rPr>
          <w:szCs w:val="16"/>
        </w:rPr>
        <w:t xml:space="preserve">Zu den Aufgaben in der Grabungstechnik gehört die technische Leitung archäologischer Ausgrabungen oder Kontrolle der Arbeit von Grabungsfirmen. </w:t>
      </w:r>
      <w:r w:rsidRPr="0085083F">
        <w:rPr>
          <w:sz w:val="12"/>
          <w:szCs w:val="12"/>
        </w:rPr>
        <w:t>4</w:t>
      </w:r>
      <w:r w:rsidRPr="0085083F">
        <w:rPr>
          <w:szCs w:val="16"/>
        </w:rPr>
        <w:t xml:space="preserve">Die Beschäftigten entscheiden vor Ort selbstständig über Grabungs-, Bergungs- und Dokumentationsmethoden, leiten die Mitarbeiter an und treffen Absprachen mit Investoren, Bauherren und Baubetrieben und vertreten damit öffentliche Institutionen vor Ort. </w:t>
      </w:r>
      <w:r w:rsidRPr="0085083F">
        <w:rPr>
          <w:sz w:val="12"/>
          <w:szCs w:val="12"/>
        </w:rPr>
        <w:t>5</w:t>
      </w:r>
      <w:r w:rsidRPr="0085083F">
        <w:rPr>
          <w:szCs w:val="16"/>
        </w:rPr>
        <w:t>Zu den Tätigkeiten von Grabungstechnikerinnen und Grabungstechnikern zählen weiterhin die Vermittlung von Grabungsergebnissen durch Öffentlichkeitsarbeit und Publikationen.</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(5) </w:t>
      </w:r>
      <w:r w:rsidRPr="0085083F">
        <w:rPr>
          <w:szCs w:val="16"/>
        </w:rPr>
        <w:t>Zur Konservierung, Restaurierung und Präparation gehören auch Tätigkeiten wie z. B.:</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lastRenderedPageBreak/>
        <w:t>a) </w:t>
      </w:r>
      <w:r w:rsidRPr="0085083F">
        <w:rPr>
          <w:szCs w:val="16"/>
        </w:rPr>
        <w:t>Sammlungsbetreuung und Schadensprävention etwa durch konservatorisch richtige Lagerung der Sammlungsobjekte, Erstellen von Vorgaben zur Klimatisierung und Ausstattung der Ausstellungs- und Depoträume, Beratung zu Ausstellungs- und Depotflächen bei Neu- und Umbau;</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b) </w:t>
      </w:r>
      <w:r w:rsidRPr="0085083F">
        <w:rPr>
          <w:szCs w:val="16"/>
        </w:rPr>
        <w:t>technologisch-materielle Untersuchung und Erforschung der Objekte;</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c) </w:t>
      </w:r>
      <w:r w:rsidRPr="0085083F">
        <w:rPr>
          <w:szCs w:val="16"/>
        </w:rPr>
        <w:t>Tätigkeiten im Zusammenhang mit Leihverkehr und Ausstellung, z. B.</w:t>
      </w:r>
    </w:p>
    <w:p w:rsidR="00BE1EFE" w:rsidRPr="0085083F" w:rsidRDefault="00BE1EFE" w:rsidP="00E91516">
      <w:pPr>
        <w:pStyle w:val="StandardWeb"/>
        <w:rPr>
          <w:szCs w:val="16"/>
        </w:rPr>
      </w:pPr>
      <w:r w:rsidRPr="0085083F">
        <w:rPr>
          <w:szCs w:val="16"/>
        </w:rPr>
        <w:t>Beurteilung der Leihfähigkeit aus restauratorischer bzw. präparatorischer Sicht, Definieren der Transport- und Ausstellungsbedingungen, Erstellen von Zustandsprotokollen, Überwachen sowohl des Ein- und Auspackens sowie des Transports und der Montierung der Sammlungsobjekte vor Ort;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d) </w:t>
      </w:r>
      <w:r w:rsidRPr="0085083F">
        <w:rPr>
          <w:szCs w:val="16"/>
        </w:rPr>
        <w:t>beratende o</w:t>
      </w:r>
      <w:r>
        <w:rPr>
          <w:szCs w:val="16"/>
        </w:rPr>
        <w:t>der gutachterliche Tätigkeiten.</w:t>
      </w:r>
    </w:p>
    <w:p w:rsidR="00BE1EFE" w:rsidRPr="00F93E09" w:rsidRDefault="00BE1EFE" w:rsidP="00F93E09">
      <w:pPr>
        <w:pStyle w:val="h7"/>
        <w:jc w:val="left"/>
      </w:pPr>
      <w:bookmarkStart w:id="390" w:name="_Toc473549865"/>
      <w:bookmarkStart w:id="391" w:name="_Toc523926014"/>
      <w:r w:rsidRPr="008424F4">
        <w:t>Entgeltgruppe 4</w:t>
      </w:r>
      <w:bookmarkEnd w:id="390"/>
      <w:bookmarkEnd w:id="39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einfachen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Pr>
          <w:szCs w:val="16"/>
        </w:rPr>
        <w:t>(Hierzu Anmerkung Nummer 1)</w:t>
      </w:r>
    </w:p>
    <w:p w:rsidR="00BE1EFE" w:rsidRPr="00F93E09" w:rsidRDefault="00BE1EFE" w:rsidP="00F93E09">
      <w:pPr>
        <w:pStyle w:val="h7"/>
        <w:jc w:val="left"/>
      </w:pPr>
      <w:bookmarkStart w:id="392" w:name="_Toc473549866"/>
      <w:bookmarkStart w:id="393" w:name="_Toc523926015"/>
      <w:r w:rsidRPr="008424F4">
        <w:t>Entgeltgruppe 5</w:t>
      </w:r>
      <w:bookmarkEnd w:id="392"/>
      <w:bookmarkEnd w:id="39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nicht mehr einfachen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Pr>
          <w:szCs w:val="16"/>
        </w:rPr>
        <w:t>(Hierzu Anmerkung Nummer 2)</w:t>
      </w:r>
    </w:p>
    <w:p w:rsidR="00BE1EFE" w:rsidRPr="00F93E09" w:rsidRDefault="00BE1EFE" w:rsidP="00F93E09">
      <w:pPr>
        <w:pStyle w:val="h7"/>
        <w:jc w:val="left"/>
      </w:pPr>
      <w:bookmarkStart w:id="394" w:name="_Toc473549867"/>
      <w:bookmarkStart w:id="395" w:name="_Toc523926016"/>
      <w:r w:rsidRPr="008424F4">
        <w:t>Entgeltgruppe 6</w:t>
      </w:r>
      <w:bookmarkEnd w:id="394"/>
      <w:bookmarkEnd w:id="39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schwierigen Tätigkeiten bei assistierenden Tätigkeiten im Bereich der Konservierung oder Restaurierung, der Präparation oder der Grabungstechnik oder in der konservatorischen Pflege und Wartung.</w:t>
      </w:r>
    </w:p>
    <w:p w:rsidR="00BE1EFE" w:rsidRPr="0085083F" w:rsidRDefault="00BE1EFE" w:rsidP="00E91516">
      <w:pPr>
        <w:pStyle w:val="StandardWeb"/>
        <w:rPr>
          <w:szCs w:val="16"/>
        </w:rPr>
      </w:pPr>
      <w:r w:rsidRPr="0085083F">
        <w:rPr>
          <w:szCs w:val="16"/>
        </w:rPr>
        <w:t>(Hierzu Anmerkung Nummer 3)</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assistierenden Tätigkeiten im Bereich der Konservierung oder Restaurierung, der Präparation oder der Grabungstechnik oder mit Tätigkeiten in der konservatorischen Pflege und Wartung, denen mindestens zwei Beschäftigte mindestens der Entgeltgruppe 4 durch ausdrückliche Anor</w:t>
      </w:r>
      <w:r>
        <w:rPr>
          <w:szCs w:val="16"/>
        </w:rPr>
        <w:t>dnung ständig unterstellt sind.</w:t>
      </w:r>
    </w:p>
    <w:p w:rsidR="00BE1EFE" w:rsidRPr="00F93E09" w:rsidRDefault="00BE1EFE" w:rsidP="00F93E09">
      <w:pPr>
        <w:pStyle w:val="h7"/>
        <w:jc w:val="left"/>
      </w:pPr>
      <w:bookmarkStart w:id="396" w:name="_Toc473549868"/>
      <w:bookmarkStart w:id="397" w:name="_Toc523926017"/>
      <w:r w:rsidRPr="008424F4">
        <w:t>Entgeltgruppe 7</w:t>
      </w:r>
      <w:bookmarkEnd w:id="396"/>
      <w:bookmarkEnd w:id="397"/>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assistierenden Tätigkeiten im Bereich der Konservierung oder Restaurierung, der Präparation oder der Grabungstechnik oder in der konservatorischen Pflege und Wartung, die mindestens zu einem Fünftel besonders schwierige Tätigkeiten ausüben.</w:t>
      </w:r>
    </w:p>
    <w:p w:rsidR="00BE1EFE" w:rsidRPr="0085083F" w:rsidRDefault="00BE1EFE" w:rsidP="00E91516">
      <w:pPr>
        <w:pStyle w:val="StandardWeb"/>
        <w:rPr>
          <w:szCs w:val="16"/>
        </w:rPr>
      </w:pPr>
      <w:r>
        <w:rPr>
          <w:szCs w:val="16"/>
        </w:rPr>
        <w:t>(Hierzu Anmerkung Nummer 4)</w:t>
      </w:r>
    </w:p>
    <w:p w:rsidR="00BE1EFE" w:rsidRPr="00F93E09" w:rsidRDefault="00BE1EFE" w:rsidP="00F93E09">
      <w:pPr>
        <w:pStyle w:val="h7"/>
        <w:jc w:val="left"/>
      </w:pPr>
      <w:bookmarkStart w:id="398" w:name="_Toc473549869"/>
      <w:bookmarkStart w:id="399" w:name="_Toc523926018"/>
      <w:r w:rsidRPr="008424F4">
        <w:lastRenderedPageBreak/>
        <w:t>Entgeltgruppe 8</w:t>
      </w:r>
      <w:bookmarkEnd w:id="398"/>
      <w:bookmarkEnd w:id="39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assistierenden Tätigkeiten im Bereich der Konservierung oder Restaurierung, der Präparation oder der Grabungstechnik oder in der konservatorischen Pflege und Wartung, die mindestens zu einem Drittel besonders schwierige Tätigkeiten ausüben.</w:t>
      </w:r>
    </w:p>
    <w:p w:rsidR="00BE1EFE" w:rsidRPr="0085083F" w:rsidRDefault="00BE1EFE" w:rsidP="00E91516">
      <w:pPr>
        <w:pStyle w:val="StandardWeb"/>
        <w:rPr>
          <w:szCs w:val="16"/>
        </w:rPr>
      </w:pPr>
      <w:r w:rsidRPr="0085083F">
        <w:rPr>
          <w:szCs w:val="16"/>
        </w:rPr>
        <w:t>(Hierzu Anmerkung Nummer 4)</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1. </w:t>
      </w:r>
      <w:r w:rsidRPr="0085083F">
        <w:rPr>
          <w:szCs w:val="16"/>
        </w:rPr>
        <w:t>Beschäftigte mit assistierenden Tätigkeiten im Bereich der Konservierung oder Restaurierung, der Präparation oder der Grabungstechnik oder in der konservatorischen Pflege und Wartung, denen mindestens zwei Beschäftigte, davon mindestens eine Beschäftigte oder ein Beschäftigter mindestens der Entgeltgruppe 6 Fallgruppe 1, durch ausdrückliche Anor</w:t>
      </w:r>
      <w:r>
        <w:rPr>
          <w:szCs w:val="16"/>
        </w:rPr>
        <w:t>dnung ständig unterstellt sind.</w:t>
      </w:r>
    </w:p>
    <w:p w:rsidR="00BE1EFE" w:rsidRPr="00F93E09" w:rsidRDefault="00BE1EFE" w:rsidP="00F93E09">
      <w:pPr>
        <w:pStyle w:val="h7"/>
        <w:jc w:val="left"/>
      </w:pPr>
      <w:bookmarkStart w:id="400" w:name="_Toc473549870"/>
      <w:bookmarkStart w:id="401" w:name="_Toc523926019"/>
      <w:r w:rsidRPr="008424F4">
        <w:t>Entgeltgruppe 9a</w:t>
      </w:r>
      <w:bookmarkEnd w:id="400"/>
      <w:bookmarkEnd w:id="40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Beschäftigte mit assistierenden Tätigkeiten im Bereich der Konservierung oder Restaurierung, der Präparation oder der Grabungstechnik oder in der konservatorischen Pflege und Wartung, die besonders schwierige Tätigkeiten ausüben.</w:t>
      </w:r>
    </w:p>
    <w:p w:rsidR="00BE1EFE" w:rsidRPr="0085083F" w:rsidRDefault="00BE1EFE" w:rsidP="00E91516">
      <w:pPr>
        <w:pStyle w:val="StandardWeb"/>
        <w:rPr>
          <w:szCs w:val="16"/>
        </w:rPr>
      </w:pPr>
      <w:r w:rsidRPr="0085083F">
        <w:rPr>
          <w:szCs w:val="16"/>
        </w:rPr>
        <w:t>(Hierzu Anmerkung Nummer 4</w:t>
      </w:r>
      <w:r>
        <w:rPr>
          <w:szCs w:val="16"/>
        </w:rPr>
        <w:t>)</w:t>
      </w:r>
    </w:p>
    <w:p w:rsidR="00BE1EFE" w:rsidRPr="00F93E09" w:rsidRDefault="00BE1EFE" w:rsidP="00F93E09">
      <w:pPr>
        <w:pStyle w:val="h7"/>
        <w:jc w:val="left"/>
      </w:pPr>
      <w:bookmarkStart w:id="402" w:name="_Toc473549871"/>
      <w:bookmarkStart w:id="403" w:name="_Toc523926020"/>
      <w:r w:rsidRPr="008424F4">
        <w:t>Entgeltgruppe 9b</w:t>
      </w:r>
      <w:bookmarkEnd w:id="402"/>
      <w:bookmarkEnd w:id="40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mit abgeschlossener einschlägiger Hochschulbildung und entsprechender Tätigkeit sowie sonstige Beschäftigte, die aufgrund gleichwertiger Fähigkeiten und ihrer Erfahrungen entsprechende Tätigkeiten ausüben.</w:t>
      </w:r>
    </w:p>
    <w:p w:rsidR="00BE1EFE" w:rsidRPr="0085083F" w:rsidRDefault="00BE1EFE" w:rsidP="00E91516">
      <w:pPr>
        <w:pStyle w:val="StandardWeb"/>
        <w:rPr>
          <w:szCs w:val="16"/>
        </w:rPr>
      </w:pPr>
      <w:r w:rsidRPr="0085083F">
        <w:rPr>
          <w:szCs w:val="16"/>
        </w:rPr>
        <w:t>(Hierzu Anmerkung Nummer 5)</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assistierenden Tätigkeiten im Bereich der Konservierung oder Restaurierung, der Präparation oder der Grabungstechnik oder in der konservatorischen Pflege und Wartung, denen fünf Beschäftigte, davon mindestens eine Beschäftigte oder ein Beschäftigter mindestens der Entgeltgruppe 6 Fallgruppe 1, durch ausdrückliche Anordnung ständig unterstellt sind.</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3. </w:t>
      </w:r>
      <w:r w:rsidRPr="0085083F">
        <w:rPr>
          <w:szCs w:val="16"/>
        </w:rPr>
        <w:t>Beschäftigte mit Präparationstätigkeiten oder mit Tätigkeiten der Grabungstechnik, deren Tätigkeit sich dadurch aus der Entgeltgruppe 9a heraushebt, dass sie mindestens zu einem Fünftel besondere Fachkenntnisse erfordert.</w:t>
      </w:r>
    </w:p>
    <w:p w:rsidR="00BE1EFE" w:rsidRPr="0085083F" w:rsidRDefault="00BE1EFE" w:rsidP="00E91516">
      <w:pPr>
        <w:pStyle w:val="StandardWeb"/>
        <w:rPr>
          <w:szCs w:val="16"/>
        </w:rPr>
      </w:pPr>
      <w:r>
        <w:rPr>
          <w:szCs w:val="16"/>
        </w:rPr>
        <w:t>(Hierzu Anmerkung Nummer 6)</w:t>
      </w:r>
    </w:p>
    <w:p w:rsidR="00BE1EFE" w:rsidRPr="00F93E09" w:rsidRDefault="00BE1EFE" w:rsidP="00F93E09">
      <w:pPr>
        <w:pStyle w:val="h7"/>
        <w:jc w:val="left"/>
      </w:pPr>
      <w:bookmarkStart w:id="404" w:name="_Toc473549872"/>
      <w:bookmarkStart w:id="405" w:name="_Toc523926021"/>
      <w:r w:rsidRPr="008424F4">
        <w:t>Entgeltgruppe 10</w:t>
      </w:r>
      <w:bookmarkEnd w:id="404"/>
      <w:bookmarkEnd w:id="40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dadurch aus der Entgeltgruppe 9b Fallgruppe 1 heraushebt, dass sie besondere Fachkenntnisse erfordert.</w:t>
      </w:r>
    </w:p>
    <w:p w:rsidR="00BE1EFE" w:rsidRPr="0085083F" w:rsidRDefault="00BE1EFE" w:rsidP="00E91516">
      <w:pPr>
        <w:pStyle w:val="StandardWeb"/>
        <w:rPr>
          <w:szCs w:val="16"/>
        </w:rPr>
      </w:pPr>
      <w:r w:rsidRPr="0085083F">
        <w:rPr>
          <w:szCs w:val="16"/>
        </w:rPr>
        <w:t>(Hierzu Anmerkung Nummer 6)</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9b Fallgruppe 1, denen mindestens drei Beschäftigte durch ausdrückliche Anordnung ständig unterstellt sind, davon mindestens eine Beschäftigte oder ein Beschäftigter mindestens der Entgeltgruppe 9a.</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lastRenderedPageBreak/>
        <w:t>3. </w:t>
      </w:r>
      <w:r w:rsidRPr="0085083F">
        <w:rPr>
          <w:szCs w:val="16"/>
        </w:rPr>
        <w:t>Beschäftigte mit Präparationstätigkeiten oder mit Tätigkeiten der Grabungstechnik, deren Tätigkeit sich dadurch aus der Entgeltgruppe 9a heraushebt, dass sie besondere Fachkenntnisse erfordert.</w:t>
      </w:r>
    </w:p>
    <w:p w:rsidR="00BE1EFE" w:rsidRPr="0085083F" w:rsidRDefault="00BE1EFE" w:rsidP="00E91516">
      <w:pPr>
        <w:pStyle w:val="StandardWeb"/>
        <w:rPr>
          <w:szCs w:val="16"/>
        </w:rPr>
      </w:pPr>
      <w:r>
        <w:rPr>
          <w:szCs w:val="16"/>
        </w:rPr>
        <w:t>(Hierzu Anmerkung Nummer 6)</w:t>
      </w:r>
    </w:p>
    <w:p w:rsidR="00BE1EFE" w:rsidRPr="00F93E09" w:rsidRDefault="00BE1EFE" w:rsidP="00F93E09">
      <w:pPr>
        <w:pStyle w:val="h7"/>
        <w:jc w:val="left"/>
      </w:pPr>
      <w:bookmarkStart w:id="406" w:name="_Toc473549873"/>
      <w:bookmarkStart w:id="407" w:name="_Toc523926022"/>
      <w:r w:rsidRPr="008424F4">
        <w:t>Entgeltgruppe 11</w:t>
      </w:r>
      <w:bookmarkEnd w:id="406"/>
      <w:bookmarkEnd w:id="407"/>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dadurch aus der Entgeltgruppe 10 Fallgruppe 1 heraushebt, dass sie besondere Leistungen erfordert.</w:t>
      </w:r>
    </w:p>
    <w:p w:rsidR="00BE1EFE" w:rsidRPr="0085083F" w:rsidRDefault="00BE1EFE" w:rsidP="00E91516">
      <w:pPr>
        <w:pStyle w:val="StandardWeb"/>
        <w:rPr>
          <w:szCs w:val="16"/>
        </w:rPr>
      </w:pPr>
      <w:r w:rsidRPr="0085083F">
        <w:rPr>
          <w:szCs w:val="16"/>
        </w:rPr>
        <w:t>(Hierzu Anmerkung Nummer 7)</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Präparationstätigkeiten oder mit Tätigkeiten der Grabungstechnik, deren Tätigkeit sich dadurch aus der Entgeltgruppe 10 Fallgruppe 3 heraushebt, dass sie besondere Leistungen erfordert.</w:t>
      </w:r>
    </w:p>
    <w:p w:rsidR="00BE1EFE" w:rsidRPr="0085083F" w:rsidRDefault="00BE1EFE" w:rsidP="00E91516">
      <w:pPr>
        <w:pStyle w:val="StandardWeb"/>
        <w:rPr>
          <w:szCs w:val="16"/>
        </w:rPr>
      </w:pPr>
      <w:r w:rsidRPr="0085083F">
        <w:rPr>
          <w:szCs w:val="16"/>
        </w:rPr>
        <w:t>(Hierzu Anmerkung Num</w:t>
      </w:r>
      <w:r>
        <w:rPr>
          <w:szCs w:val="16"/>
        </w:rPr>
        <w:t>mer 7)</w:t>
      </w:r>
    </w:p>
    <w:p w:rsidR="00BE1EFE" w:rsidRPr="008424F4" w:rsidRDefault="00BE1EFE" w:rsidP="00F93E09">
      <w:pPr>
        <w:pStyle w:val="h7"/>
        <w:jc w:val="left"/>
      </w:pPr>
      <w:bookmarkStart w:id="408" w:name="_Toc473549874"/>
      <w:bookmarkStart w:id="409" w:name="_Toc523926023"/>
      <w:r w:rsidRPr="008424F4">
        <w:t>Entgeltgruppe 12</w:t>
      </w:r>
      <w:bookmarkEnd w:id="408"/>
      <w:bookmarkEnd w:id="409"/>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9b Fallgruppe 1, deren Tätigkeit sich durch das Maß der damit verbundenen Verantwortung erheblich aus der Entgeltgruppe 11 Fallgruppe 1 heraushebt.</w:t>
      </w:r>
    </w:p>
    <w:p w:rsidR="00BE1EFE" w:rsidRPr="0085083F" w:rsidRDefault="00BE1EFE" w:rsidP="00E91516">
      <w:pPr>
        <w:pStyle w:val="StandardWeb"/>
        <w:rPr>
          <w:szCs w:val="16"/>
        </w:rPr>
      </w:pPr>
      <w:r w:rsidRPr="0085083F">
        <w:rPr>
          <w:szCs w:val="16"/>
        </w:rPr>
        <w:t>(Hierzu Anmerkung Nummer 8)</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mit Präparationstätigkeiten oder mit Tätigkeiten der Grabungstechnik, deren Tätigkeit sich durch das Maß der damit verbundenen Verantwortung erheblich aus der Entgeltgruppe 11 Fallgruppe 2 heraushebt.</w:t>
      </w:r>
    </w:p>
    <w:p w:rsidR="00BE1EFE" w:rsidRPr="0085083F" w:rsidRDefault="00BE1EFE" w:rsidP="00E91516">
      <w:pPr>
        <w:pStyle w:val="StandardWeb"/>
        <w:rPr>
          <w:szCs w:val="16"/>
        </w:rPr>
      </w:pPr>
      <w:r>
        <w:rPr>
          <w:szCs w:val="16"/>
        </w:rPr>
        <w:t>(Hierzu Anmerkung Nummer 8)</w:t>
      </w:r>
    </w:p>
    <w:p w:rsidR="00BE1EFE" w:rsidRPr="00F93E09" w:rsidRDefault="00BE1EFE" w:rsidP="00F93E09">
      <w:pPr>
        <w:pStyle w:val="h7"/>
        <w:jc w:val="left"/>
      </w:pPr>
      <w:bookmarkStart w:id="410" w:name="_Toc473549875"/>
      <w:bookmarkStart w:id="411" w:name="_Toc523926024"/>
      <w:r w:rsidRPr="008424F4">
        <w:t>Entgeltgruppe 13</w:t>
      </w:r>
      <w:bookmarkEnd w:id="410"/>
      <w:bookmarkEnd w:id="411"/>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sidRPr="0085083F">
        <w:rPr>
          <w:szCs w:val="16"/>
        </w:rPr>
        <w:t>Beschäftige mit abgeschlossener einschlägiger wissenschaftlicher Hochschulbildung und entsprechender Tätigkeit sowie sonstige Beschäftigte, die aufgrund gleichwertiger Fähigkeiten und ihrer Erfahrungen entsprechende Tätigkeiten ausüben.</w:t>
      </w:r>
    </w:p>
    <w:p w:rsidR="00BE1EFE" w:rsidRPr="0085083F" w:rsidRDefault="00BE1EFE" w:rsidP="00E91516">
      <w:pPr>
        <w:pStyle w:val="StandardWeb"/>
        <w:rPr>
          <w:szCs w:val="16"/>
        </w:rPr>
      </w:pPr>
      <w:r>
        <w:rPr>
          <w:szCs w:val="16"/>
        </w:rPr>
        <w:t>(Hierzu Anmerkung Nummer 9)</w:t>
      </w:r>
    </w:p>
    <w:p w:rsidR="00BE1EFE" w:rsidRPr="00F93E09" w:rsidRDefault="00BE1EFE" w:rsidP="00F93E09">
      <w:pPr>
        <w:pStyle w:val="h7"/>
        <w:jc w:val="left"/>
      </w:pPr>
      <w:bookmarkStart w:id="412" w:name="_Toc473549876"/>
      <w:bookmarkStart w:id="413" w:name="_Toc523926025"/>
      <w:r w:rsidRPr="008424F4">
        <w:t>Entgeltgruppe 14</w:t>
      </w:r>
      <w:bookmarkEnd w:id="412"/>
      <w:bookmarkEnd w:id="413"/>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13, deren Tätigkeit sich mindestens zu einem Drittel</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besondere Schwierigkeit und Bedeutung oder</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das Erfordernis hochwertiger Leistungen bei besonders schwierigen Aufgaben aus der Entgeltgruppe 13 heraushebt.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13, denen mindestens drei Beschäftigte mindestens der Entgeltgruppe 13 durch ausdrückliche Anordnung ständig unterstellt sind.</w:t>
      </w:r>
    </w:p>
    <w:p w:rsidR="00BE1EFE" w:rsidRPr="0085083F" w:rsidRDefault="00BE1EFE" w:rsidP="00E91516">
      <w:pPr>
        <w:pStyle w:val="StandardWeb"/>
        <w:rPr>
          <w:szCs w:val="16"/>
        </w:rPr>
      </w:pPr>
      <w:r>
        <w:rPr>
          <w:szCs w:val="16"/>
        </w:rPr>
        <w:t>(Hierzu Anmerkung Nummer 10)</w:t>
      </w:r>
    </w:p>
    <w:p w:rsidR="00BE1EFE" w:rsidRPr="00F93E09" w:rsidRDefault="00BE1EFE" w:rsidP="00F93E09">
      <w:pPr>
        <w:pStyle w:val="h7"/>
        <w:jc w:val="left"/>
      </w:pPr>
      <w:bookmarkStart w:id="414" w:name="_Toc473549877"/>
      <w:bookmarkStart w:id="415" w:name="_Toc523926026"/>
      <w:r w:rsidRPr="008424F4">
        <w:lastRenderedPageBreak/>
        <w:t>Entgeltgruppe 15</w:t>
      </w:r>
      <w:bookmarkEnd w:id="414"/>
      <w:bookmarkEnd w:id="415"/>
    </w:p>
    <w:p w:rsidR="00BE1EFE" w:rsidRPr="00B76821" w:rsidRDefault="00BE1EFE" w:rsidP="00B76821">
      <w:pPr>
        <w:pStyle w:val="h8"/>
        <w:keepNext w:val="0"/>
        <w:spacing w:before="0" w:after="0"/>
        <w:outlineLvl w:val="5"/>
        <w:rPr>
          <w:sz w:val="2"/>
        </w:rPr>
      </w:pPr>
    </w:p>
    <w:p w:rsidR="00BE1EFE" w:rsidRPr="0085083F" w:rsidRDefault="00BE1EFE" w:rsidP="00E91516">
      <w:pPr>
        <w:pStyle w:val="StandardWeb"/>
        <w:rPr>
          <w:szCs w:val="16"/>
        </w:rPr>
      </w:pPr>
      <w:r>
        <w:rPr>
          <w:szCs w:val="16"/>
        </w:rPr>
        <w:t>1. </w:t>
      </w:r>
      <w:r w:rsidRPr="0085083F">
        <w:rPr>
          <w:szCs w:val="16"/>
        </w:rPr>
        <w:t>Beschäftigte der Entgeltgruppe 13, deren Tätigkeit sich</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durch besondere Schwierigkeit und Bedeutung sowie</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 </w:t>
      </w:r>
      <w:r w:rsidRPr="0085083F">
        <w:rPr>
          <w:szCs w:val="16"/>
        </w:rPr>
        <w:t>erheblich durch das Maß der damit verbundenen Verantwortung aus der Entgeltgruppe 13 heraushebt.</w:t>
      </w:r>
    </w:p>
    <w:p w:rsidR="00BE1EFE" w:rsidRPr="0085083F" w:rsidRDefault="00BE1EFE" w:rsidP="00E91516">
      <w:pPr>
        <w:pStyle w:val="StandardWeb"/>
        <w:rPr>
          <w:szCs w:val="16"/>
        </w:rPr>
      </w:pPr>
    </w:p>
    <w:p w:rsidR="00BE1EFE" w:rsidRPr="0085083F" w:rsidRDefault="00BE1EFE" w:rsidP="00E91516">
      <w:pPr>
        <w:pStyle w:val="StandardWeb"/>
        <w:rPr>
          <w:szCs w:val="16"/>
        </w:rPr>
      </w:pPr>
      <w:r>
        <w:rPr>
          <w:szCs w:val="16"/>
        </w:rPr>
        <w:t>2. </w:t>
      </w:r>
      <w:r w:rsidRPr="0085083F">
        <w:rPr>
          <w:szCs w:val="16"/>
        </w:rPr>
        <w:t>Beschäftigte der Entgeltgruppe 13, denen mindestens fünf Beschäftigte mindestens der Entgeltgruppe 13 durch ausdrückliche Anordnung ständig unterstellt sind.</w:t>
      </w:r>
    </w:p>
    <w:p w:rsidR="00BE1EFE" w:rsidRPr="0085083F" w:rsidRDefault="00BE1EFE" w:rsidP="00E91516">
      <w:pPr>
        <w:pStyle w:val="StandardWeb"/>
        <w:rPr>
          <w:szCs w:val="16"/>
        </w:rPr>
      </w:pPr>
      <w:r>
        <w:rPr>
          <w:szCs w:val="16"/>
        </w:rPr>
        <w:t>(Hierzu Anmerkung Nummer 10)</w:t>
      </w:r>
    </w:p>
    <w:p w:rsidR="00BE1EFE" w:rsidRPr="008424F4" w:rsidRDefault="00BE1EFE" w:rsidP="008A1E74">
      <w:pPr>
        <w:pStyle w:val="h7"/>
        <w:jc w:val="left"/>
      </w:pPr>
      <w:bookmarkStart w:id="416" w:name="_Toc523926027"/>
      <w:r w:rsidRPr="008424F4">
        <w:t>Anmerkungen:</w:t>
      </w:r>
      <w:bookmarkEnd w:id="416"/>
    </w:p>
    <w:p w:rsidR="00BE1EFE" w:rsidRPr="00B76821" w:rsidRDefault="00BE1EFE" w:rsidP="00B76821">
      <w:pPr>
        <w:pStyle w:val="h8"/>
        <w:keepNext w:val="0"/>
        <w:spacing w:before="0" w:after="0"/>
        <w:outlineLvl w:val="5"/>
        <w:rPr>
          <w:sz w:val="2"/>
        </w:rPr>
      </w:pPr>
    </w:p>
    <w:p w:rsidR="00BE1EFE" w:rsidRPr="00D24947" w:rsidRDefault="00BE1EFE" w:rsidP="00E91516">
      <w:pPr>
        <w:pStyle w:val="StandardWeb"/>
        <w:rPr>
          <w:sz w:val="12"/>
          <w:szCs w:val="12"/>
        </w:rPr>
      </w:pPr>
      <w:r w:rsidRPr="00D24947">
        <w:rPr>
          <w:sz w:val="12"/>
          <w:szCs w:val="12"/>
        </w:rPr>
        <w:t xml:space="preserve">1. Einfache Tätigkeiten bei assistierenden Tätigkeiten im Bereich der Konservierung oder Restaurierung, der Präparation oder der Grabungstechnik oder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Umverpacken von stabilen, unempfindlichen und gut handhabbaren Objekten nach Vorgabe, z. B. Umschläge nach Bedarf zuschneiden und falzen sowie Einlegen von unempfindlichen Büchern und Archivalien,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(2) Unterstützung bei der Betreuung oder Mithilfe bei der Montage von Sammlungs- und Ausstellungsgegenständen,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technischen Geräten, die zum Kunstwerk gehören und eine besonders sorgfältige Handhabung erfordern,</w:t>
      </w:r>
    </w:p>
    <w:p w:rsidR="00BE1EFE" w:rsidRPr="00D24947" w:rsidRDefault="00BE1EFE" w:rsidP="00E91516">
      <w:pPr>
        <w:pStyle w:val="StandardWeb"/>
        <w:rPr>
          <w:sz w:val="12"/>
          <w:szCs w:val="12"/>
        </w:rPr>
      </w:pPr>
      <w:r w:rsidRPr="00D24947">
        <w:rPr>
          <w:sz w:val="12"/>
          <w:szCs w:val="12"/>
        </w:rPr>
        <w:t>b. Handhabung von geschütztem Filmmaterial oder unempfindlichen Datenträgern;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Default="00BE1EFE" w:rsidP="00E310B7">
      <w:pPr>
        <w:pStyle w:val="StandardWeb"/>
        <w:rPr>
          <w:sz w:val="12"/>
          <w:szCs w:val="12"/>
        </w:rPr>
      </w:pPr>
      <w:r w:rsidRPr="00E310B7">
        <w:rPr>
          <w:sz w:val="12"/>
          <w:szCs w:val="12"/>
        </w:rPr>
        <w:t>(1</w:t>
      </w:r>
      <w:r>
        <w:rPr>
          <w:sz w:val="12"/>
          <w:szCs w:val="12"/>
        </w:rPr>
        <w:t xml:space="preserve">) </w:t>
      </w:r>
      <w:r w:rsidRPr="00D24947">
        <w:rPr>
          <w:sz w:val="12"/>
          <w:szCs w:val="12"/>
        </w:rPr>
        <w:t xml:space="preserve">im Bereich „Rekonstruktionen, Abformungen, Modellbau“ </w:t>
      </w:r>
    </w:p>
    <w:p w:rsidR="00BE1EFE" w:rsidRPr="00D24947" w:rsidRDefault="00BE1EFE" w:rsidP="00E310B7">
      <w:pPr>
        <w:pStyle w:val="StandardWeb"/>
        <w:rPr>
          <w:sz w:val="12"/>
          <w:szCs w:val="12"/>
        </w:rPr>
      </w:pPr>
      <w:r w:rsidRPr="00D24947">
        <w:rPr>
          <w:sz w:val="12"/>
          <w:szCs w:val="12"/>
        </w:rPr>
        <w:t>Fach-(arbeits-)gebiet „Abgüsse, Nachbildungen etc.“:</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wenig empfindlichen Originalen einfacher Form und Herstellen der Abgüsse,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einfaches methodisches Sammeln für zoologische 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mechanisches Reinigen von Häuten und Präparaten (</w:t>
      </w:r>
      <w:r>
        <w:rPr>
          <w:sz w:val="12"/>
          <w:szCs w:val="12"/>
        </w:rPr>
        <w:t>z. B.</w:t>
      </w:r>
      <w:r w:rsidRPr="00D24947">
        <w:rPr>
          <w:sz w:val="12"/>
          <w:szCs w:val="12"/>
        </w:rPr>
        <w:t xml:space="preserve"> Dermoplastiken, Stopfpräparate, Molluskenschalen und sonstige einfache Hartteile von Wirbeltieren und Wirbellosen),</w:t>
      </w:r>
    </w:p>
    <w:p w:rsidR="00BE1EFE" w:rsidRPr="00D24947" w:rsidRDefault="00BE1EFE" w:rsidP="00E91516">
      <w:pPr>
        <w:pStyle w:val="StandardWeb"/>
        <w:rPr>
          <w:sz w:val="12"/>
          <w:szCs w:val="12"/>
        </w:rPr>
      </w:pPr>
      <w:r>
        <w:rPr>
          <w:sz w:val="12"/>
          <w:szCs w:val="12"/>
        </w:rPr>
        <w:t>–</w:t>
      </w:r>
      <w:r w:rsidRPr="00D24947">
        <w:rPr>
          <w:sz w:val="12"/>
          <w:szCs w:val="12"/>
        </w:rPr>
        <w:t> Überprüfen und Nachfüllen der Konservierungs</w:t>
      </w:r>
      <w:r>
        <w:rPr>
          <w:sz w:val="12"/>
          <w:szCs w:val="12"/>
        </w:rPr>
        <w:t>flüssigkeiten in Nasssammlungen,</w:t>
      </w:r>
    </w:p>
    <w:p w:rsidR="00BE1EFE" w:rsidRPr="00D24947" w:rsidRDefault="00BE1EFE" w:rsidP="00E91516">
      <w:pPr>
        <w:pStyle w:val="StandardWeb"/>
        <w:rPr>
          <w:sz w:val="12"/>
          <w:szCs w:val="12"/>
        </w:rPr>
      </w:pPr>
      <w:r>
        <w:rPr>
          <w:sz w:val="12"/>
          <w:szCs w:val="12"/>
        </w:rPr>
        <w:t>–</w:t>
      </w:r>
      <w:r w:rsidRPr="00D24947">
        <w:rPr>
          <w:sz w:val="12"/>
          <w:szCs w:val="12"/>
        </w:rPr>
        <w:t> Herstellen einfacher Nasspräparate von Tieren,</w:t>
      </w:r>
    </w:p>
    <w:p w:rsidR="00BE1EFE" w:rsidRPr="00D24947" w:rsidRDefault="00BE1EFE" w:rsidP="00E91516">
      <w:pPr>
        <w:pStyle w:val="StandardWeb"/>
        <w:rPr>
          <w:sz w:val="12"/>
          <w:szCs w:val="12"/>
        </w:rPr>
      </w:pPr>
      <w:r w:rsidRPr="00D24947">
        <w:rPr>
          <w:sz w:val="12"/>
          <w:szCs w:val="12"/>
        </w:rPr>
        <w:t>b. Fach-(arbeits-)gebiet „Zoologie – Balgpräparation":</w:t>
      </w:r>
    </w:p>
    <w:p w:rsidR="00BE1EFE" w:rsidRPr="00D24947" w:rsidRDefault="00BE1EFE" w:rsidP="00E91516">
      <w:pPr>
        <w:pStyle w:val="StandardWeb"/>
        <w:rPr>
          <w:sz w:val="12"/>
          <w:szCs w:val="12"/>
        </w:rPr>
      </w:pPr>
      <w:r>
        <w:rPr>
          <w:sz w:val="12"/>
          <w:szCs w:val="12"/>
        </w:rPr>
        <w:t>–</w:t>
      </w:r>
      <w:r w:rsidRPr="00D24947">
        <w:rPr>
          <w:sz w:val="12"/>
          <w:szCs w:val="12"/>
        </w:rPr>
        <w:t> einfache Konservierungstätigkeiten (Abbalgen, Reinigen der Gefieder und Felle, Vergiften der Haut gegen Schädlings</w:t>
      </w:r>
      <w:r>
        <w:rPr>
          <w:sz w:val="12"/>
          <w:szCs w:val="12"/>
        </w:rPr>
        <w:softHyphen/>
      </w:r>
      <w:r w:rsidRPr="00D24947">
        <w:rPr>
          <w:sz w:val="12"/>
          <w:szCs w:val="12"/>
        </w:rPr>
        <w:t>befall),</w:t>
      </w:r>
    </w:p>
    <w:p w:rsidR="00BE1EFE" w:rsidRPr="00D24947" w:rsidRDefault="00BE1EFE" w:rsidP="00E91516">
      <w:pPr>
        <w:pStyle w:val="StandardWeb"/>
        <w:rPr>
          <w:sz w:val="12"/>
          <w:szCs w:val="12"/>
        </w:rPr>
      </w:pPr>
      <w:r w:rsidRPr="00D24947">
        <w:rPr>
          <w:sz w:val="12"/>
          <w:szCs w:val="12"/>
        </w:rPr>
        <w:t>c. F</w:t>
      </w:r>
      <w:r>
        <w:rPr>
          <w:sz w:val="12"/>
          <w:szCs w:val="12"/>
        </w:rPr>
        <w:t xml:space="preserve">ach-(arbeits-)gebiet „Zoologie </w:t>
      </w:r>
      <w:r w:rsidRPr="00D24947">
        <w:rPr>
          <w:sz w:val="12"/>
          <w:szCs w:val="12"/>
        </w:rPr>
        <w:t>– 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Präparieren einfach zu bearbeitender Rohskelette von Wirbeltieren (Entfleischen, Wässern, Trocknen und Vorkonservieren der Knochen),</w:t>
      </w:r>
    </w:p>
    <w:p w:rsidR="00BE1EFE" w:rsidRPr="00D24947" w:rsidRDefault="00BE1EFE" w:rsidP="00E91516">
      <w:pPr>
        <w:pStyle w:val="StandardWeb"/>
        <w:rPr>
          <w:sz w:val="12"/>
          <w:szCs w:val="12"/>
        </w:rPr>
      </w:pPr>
      <w:r>
        <w:rPr>
          <w:sz w:val="12"/>
          <w:szCs w:val="12"/>
        </w:rPr>
        <w:t>–</w:t>
      </w:r>
      <w:r w:rsidRPr="00D24947">
        <w:rPr>
          <w:sz w:val="12"/>
          <w:szCs w:val="12"/>
        </w:rPr>
        <w:t> einfache Trockenpräparation von Wirbellosen,</w:t>
      </w:r>
    </w:p>
    <w:p w:rsidR="00BE1EFE" w:rsidRPr="00D24947" w:rsidRDefault="00BE1EFE" w:rsidP="00E91516">
      <w:pPr>
        <w:pStyle w:val="StandardWeb"/>
        <w:rPr>
          <w:sz w:val="12"/>
          <w:szCs w:val="12"/>
        </w:rPr>
      </w:pPr>
      <w:r w:rsidRPr="00D24947">
        <w:rPr>
          <w:sz w:val="12"/>
          <w:szCs w:val="12"/>
        </w:rPr>
        <w:t>d. Fach-(arbeits-)gebiet „Botanik“:</w:t>
      </w:r>
    </w:p>
    <w:p w:rsidR="00BE1EFE" w:rsidRPr="00D24947" w:rsidRDefault="00BE1EFE" w:rsidP="00E91516">
      <w:pPr>
        <w:pStyle w:val="StandardWeb"/>
        <w:rPr>
          <w:sz w:val="12"/>
          <w:szCs w:val="12"/>
        </w:rPr>
      </w:pPr>
      <w:r>
        <w:rPr>
          <w:sz w:val="12"/>
          <w:szCs w:val="12"/>
        </w:rPr>
        <w:t>–</w:t>
      </w:r>
      <w:r w:rsidRPr="00D24947">
        <w:rPr>
          <w:sz w:val="12"/>
          <w:szCs w:val="12"/>
        </w:rPr>
        <w:t> einfaches methodisches Sammeln für botanische Zwecke,</w:t>
      </w:r>
    </w:p>
    <w:p w:rsidR="00BE1EFE" w:rsidRPr="00D24947" w:rsidRDefault="00BE1EFE" w:rsidP="00E91516">
      <w:pPr>
        <w:pStyle w:val="StandardWeb"/>
        <w:rPr>
          <w:sz w:val="12"/>
          <w:szCs w:val="12"/>
        </w:rPr>
      </w:pPr>
      <w:r>
        <w:rPr>
          <w:sz w:val="12"/>
          <w:szCs w:val="12"/>
        </w:rPr>
        <w:t>–</w:t>
      </w:r>
      <w:r w:rsidRPr="00D24947">
        <w:rPr>
          <w:sz w:val="12"/>
          <w:szCs w:val="12"/>
        </w:rPr>
        <w:t> Herbarpräparation;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Fach-(arbeits-)gebiet „Ausgrabungen“: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Freilegen wenig empfindlicher Bodenfunde oder -befunde, sowie Anlegen von Erdprofilen und Grabungsflächen,</w:t>
      </w:r>
    </w:p>
    <w:p w:rsidR="00BE1EFE" w:rsidRPr="00D24947" w:rsidRDefault="00BE1EFE" w:rsidP="00E91516">
      <w:pPr>
        <w:pStyle w:val="StandardWeb"/>
        <w:rPr>
          <w:sz w:val="12"/>
          <w:szCs w:val="12"/>
        </w:rPr>
      </w:pPr>
      <w:r w:rsidRPr="00D24947">
        <w:rPr>
          <w:sz w:val="12"/>
          <w:szCs w:val="12"/>
        </w:rPr>
        <w:t>b. Fundregistrierung bei Grabungen,</w:t>
      </w:r>
    </w:p>
    <w:p w:rsidR="00BE1EFE" w:rsidRPr="00D24947" w:rsidRDefault="00BE1EFE" w:rsidP="00E91516">
      <w:pPr>
        <w:pStyle w:val="StandardWeb"/>
        <w:rPr>
          <w:sz w:val="12"/>
          <w:szCs w:val="12"/>
        </w:rPr>
      </w:pPr>
      <w:r w:rsidRPr="00D24947">
        <w:rPr>
          <w:sz w:val="12"/>
          <w:szCs w:val="12"/>
        </w:rPr>
        <w:t>c. Magazinierung von Kulturgütern in ein Depot als Archiv der sächlichen Kulturgüterunter Anleitung einschließlich vorbereitender Tätigkeiten,</w:t>
      </w:r>
    </w:p>
    <w:p w:rsidR="00BE1EFE" w:rsidRPr="00D24947" w:rsidRDefault="00BE1EFE" w:rsidP="00E91516">
      <w:pPr>
        <w:pStyle w:val="StandardWeb"/>
        <w:rPr>
          <w:sz w:val="12"/>
          <w:szCs w:val="12"/>
        </w:rPr>
      </w:pPr>
      <w:r w:rsidRPr="00D24947">
        <w:rPr>
          <w:sz w:val="12"/>
          <w:szCs w:val="12"/>
        </w:rPr>
        <w:t>d. Tätigkeiten unter Anleitung z</w:t>
      </w:r>
      <w:r>
        <w:rPr>
          <w:sz w:val="12"/>
          <w:szCs w:val="12"/>
        </w:rPr>
        <w:t>ur Vorbereitung der Werkprüfung;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Fach-(arbeits-)gebiet „Geologie und Paläontologie“: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einfaches methodisches Sammeln für geologische und paläontologische Zwecke, Auspacken und Ordnen von Gelände</w:t>
      </w:r>
      <w:r>
        <w:rPr>
          <w:sz w:val="12"/>
          <w:szCs w:val="12"/>
        </w:rPr>
        <w:softHyphen/>
      </w:r>
      <w:r w:rsidRPr="00D24947">
        <w:rPr>
          <w:sz w:val="12"/>
          <w:szCs w:val="12"/>
        </w:rPr>
        <w:t>aufsammlungen (Fossil-Material und Gesteinsproben), Waschen und mechanisches Reinigen von Fossil-Material und Gesteinsproben, Zusammensetzen und -kleben unempfindlicher Fossilien bei einfachen Brüchen,</w:t>
      </w:r>
    </w:p>
    <w:p w:rsidR="00BE1EFE" w:rsidRPr="00D24947" w:rsidRDefault="00BE1EFE" w:rsidP="00E91516">
      <w:pPr>
        <w:pStyle w:val="StandardWeb"/>
        <w:rPr>
          <w:sz w:val="12"/>
          <w:szCs w:val="12"/>
        </w:rPr>
      </w:pPr>
      <w:r w:rsidRPr="00D24947">
        <w:rPr>
          <w:sz w:val="12"/>
          <w:szCs w:val="12"/>
        </w:rPr>
        <w:t>b. Auspacken und Ordnen von Geländeaufsammlungen (Mineralien und Gesteine), Waschen und mechanisches Reinigen unempfindlicher Mineralstufen, Vorrichten mineralogischer oder petrographischer Proben für Dünnschliffe, Anschliffe oder für die Mineraltrennung, Formatisieren mineralogischer oder petrographischer Handstücke.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Nicht mehr einfache Tätigkeiten bei assistierenden Tätigkeiten im Bereich der Konservierung oder Restaurierung, der Präparation oder der Grabungstechnik oder in der konservatorischen Pflege und Wartung liegen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 Ausführen von sich wiederholenden Tätigkeiten unter Anleitung,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Trockenreinigung mittels Saugen und Pinsel an</w:t>
      </w:r>
    </w:p>
    <w:p w:rsidR="00BE1EFE" w:rsidRPr="00D24947" w:rsidRDefault="00BE1EFE" w:rsidP="00E91516">
      <w:pPr>
        <w:pStyle w:val="StandardWeb"/>
        <w:rPr>
          <w:sz w:val="12"/>
          <w:szCs w:val="12"/>
        </w:rPr>
      </w:pPr>
      <w:r>
        <w:rPr>
          <w:sz w:val="12"/>
          <w:szCs w:val="12"/>
        </w:rPr>
        <w:t>–</w:t>
      </w:r>
      <w:r w:rsidRPr="00D24947">
        <w:rPr>
          <w:sz w:val="12"/>
          <w:szCs w:val="12"/>
        </w:rPr>
        <w:t> weniger empfindlichen Bucheinbänden,</w:t>
      </w:r>
    </w:p>
    <w:p w:rsidR="00BE1EFE" w:rsidRPr="00D24947" w:rsidRDefault="00BE1EFE" w:rsidP="00E91516">
      <w:pPr>
        <w:pStyle w:val="StandardWeb"/>
        <w:rPr>
          <w:sz w:val="12"/>
          <w:szCs w:val="12"/>
        </w:rPr>
      </w:pPr>
      <w:r>
        <w:rPr>
          <w:sz w:val="12"/>
          <w:szCs w:val="12"/>
        </w:rPr>
        <w:t>–</w:t>
      </w:r>
      <w:r w:rsidRPr="00D24947">
        <w:rPr>
          <w:sz w:val="12"/>
          <w:szCs w:val="12"/>
        </w:rPr>
        <w:t> inhomogenen Buchbeständen nach Vorgabe durch eine Restauratorin oder einen Restaurator,</w:t>
      </w:r>
    </w:p>
    <w:p w:rsidR="00BE1EFE" w:rsidRPr="00D24947" w:rsidRDefault="00BE1EFE" w:rsidP="00E91516">
      <w:pPr>
        <w:pStyle w:val="StandardWeb"/>
        <w:rPr>
          <w:sz w:val="12"/>
          <w:szCs w:val="12"/>
        </w:rPr>
      </w:pPr>
      <w:r>
        <w:rPr>
          <w:sz w:val="12"/>
          <w:szCs w:val="12"/>
        </w:rPr>
        <w:t>–</w:t>
      </w:r>
      <w:r w:rsidRPr="00D24947">
        <w:rPr>
          <w:sz w:val="12"/>
          <w:szCs w:val="12"/>
        </w:rPr>
        <w:t> ungefassten und weniger empfindlichen veredelten Holzoberflächen,</w:t>
      </w:r>
    </w:p>
    <w:p w:rsidR="00BE1EFE" w:rsidRPr="00D24947" w:rsidRDefault="00BE1EFE" w:rsidP="00E91516">
      <w:pPr>
        <w:pStyle w:val="StandardWeb"/>
        <w:rPr>
          <w:sz w:val="12"/>
          <w:szCs w:val="12"/>
        </w:rPr>
      </w:pPr>
      <w:r>
        <w:rPr>
          <w:sz w:val="12"/>
          <w:szCs w:val="12"/>
        </w:rPr>
        <w:t>–</w:t>
      </w:r>
      <w:r w:rsidRPr="00D24947">
        <w:rPr>
          <w:sz w:val="12"/>
          <w:szCs w:val="12"/>
        </w:rPr>
        <w:t> empfindlicherem, aber nicht vorgeschädigtem gebranntem Ton, Keramik, Porzellan oder Glas,</w:t>
      </w:r>
    </w:p>
    <w:p w:rsidR="00BE1EFE" w:rsidRPr="00D24947" w:rsidRDefault="00BE1EFE" w:rsidP="00E91516">
      <w:pPr>
        <w:pStyle w:val="StandardWeb"/>
        <w:rPr>
          <w:sz w:val="12"/>
          <w:szCs w:val="12"/>
        </w:rPr>
      </w:pPr>
      <w:r>
        <w:rPr>
          <w:sz w:val="12"/>
          <w:szCs w:val="12"/>
        </w:rPr>
        <w:t>–</w:t>
      </w:r>
      <w:r w:rsidRPr="00D24947">
        <w:rPr>
          <w:sz w:val="12"/>
          <w:szCs w:val="12"/>
        </w:rPr>
        <w:t> Steinobjekten aus empfindlicherem, aber nicht vorgeschädigtem Gestein,</w:t>
      </w:r>
    </w:p>
    <w:p w:rsidR="00BE1EFE" w:rsidRPr="00D24947" w:rsidRDefault="00BE1EFE" w:rsidP="00E91516">
      <w:pPr>
        <w:pStyle w:val="StandardWeb"/>
        <w:rPr>
          <w:sz w:val="12"/>
          <w:szCs w:val="12"/>
        </w:rPr>
      </w:pPr>
      <w:r>
        <w:rPr>
          <w:sz w:val="12"/>
          <w:szCs w:val="12"/>
        </w:rPr>
        <w:t>– </w:t>
      </w:r>
      <w:r w:rsidRPr="00D24947">
        <w:rPr>
          <w:sz w:val="12"/>
          <w:szCs w:val="12"/>
        </w:rPr>
        <w:t>weniger empfindlicher Mosaiken,</w:t>
      </w:r>
    </w:p>
    <w:p w:rsidR="00BE1EFE" w:rsidRPr="00D24947" w:rsidRDefault="00BE1EFE" w:rsidP="00E91516">
      <w:pPr>
        <w:pStyle w:val="StandardWeb"/>
        <w:rPr>
          <w:sz w:val="12"/>
          <w:szCs w:val="12"/>
        </w:rPr>
      </w:pPr>
      <w:r>
        <w:rPr>
          <w:sz w:val="12"/>
          <w:szCs w:val="12"/>
        </w:rPr>
        <w:t>–</w:t>
      </w:r>
      <w:r w:rsidRPr="00D24947">
        <w:rPr>
          <w:sz w:val="12"/>
          <w:szCs w:val="12"/>
        </w:rPr>
        <w:t> Teilen und Mechaniken von Musikinstrumenten,</w:t>
      </w:r>
    </w:p>
    <w:p w:rsidR="00BE1EFE" w:rsidRPr="00D24947" w:rsidRDefault="00BE1EFE" w:rsidP="00E91516">
      <w:pPr>
        <w:pStyle w:val="StandardWeb"/>
        <w:rPr>
          <w:sz w:val="12"/>
          <w:szCs w:val="12"/>
        </w:rPr>
      </w:pPr>
      <w:r w:rsidRPr="00D24947">
        <w:rPr>
          <w:sz w:val="12"/>
          <w:szCs w:val="12"/>
        </w:rPr>
        <w:t>b. Nachleimen von Papieren in Massenverfahren im Berei</w:t>
      </w:r>
      <w:r>
        <w:rPr>
          <w:sz w:val="12"/>
          <w:szCs w:val="12"/>
        </w:rPr>
        <w:t>ch der Archivalienrestaurierung;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Sortieren, Verpacken und Verlagern von empfindlichen und gut handhabbaren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Anfertigen von individuell am jeweiligen Objekt anzupassenden Spezialverpackungen,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Beschaffung von Materialien, Ansetzen von Arbeitsmitteln,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(5) Ausführen von Tätigkeiten, die gute manuelle Fertigkeiten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einfache zeichnerische Rekonstruktion von Sammlungsgegenständen und sonstigen Objekten von wissenschaftlichem Interesse,</w:t>
      </w:r>
    </w:p>
    <w:p w:rsidR="00BE1EFE" w:rsidRPr="00D24947" w:rsidRDefault="00BE1EFE" w:rsidP="00E91516">
      <w:pPr>
        <w:pStyle w:val="StandardWeb"/>
        <w:rPr>
          <w:sz w:val="12"/>
          <w:szCs w:val="12"/>
        </w:rPr>
      </w:pPr>
      <w:r w:rsidRPr="00D24947">
        <w:rPr>
          <w:sz w:val="12"/>
          <w:szCs w:val="12"/>
        </w:rPr>
        <w:t>b. Herstellen schwieriger Modelle von Sammlungsgegenständen und sonstigen Objekten von wissenschaftlichem Interesse nach Vorlagen,</w:t>
      </w:r>
    </w:p>
    <w:p w:rsidR="00BE1EFE" w:rsidRPr="00D24947" w:rsidRDefault="00BE1EFE" w:rsidP="00E91516">
      <w:pPr>
        <w:pStyle w:val="StandardWeb"/>
        <w:rPr>
          <w:sz w:val="12"/>
          <w:szCs w:val="12"/>
        </w:rPr>
      </w:pPr>
      <w:r w:rsidRPr="00D24947">
        <w:rPr>
          <w:sz w:val="12"/>
          <w:szCs w:val="12"/>
        </w:rPr>
        <w:t>c. Herstellen von Negativformen von unempfindlichen und ungefassten Objekten komplizierter Form und Herstellen der Abgüsse unter Vorgabe;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b) Präparationstätigkeiten, die handwerkliche Fertigkeiten und die Beherrschung besondere Arbeitstechniken voraussetzen, wie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im Bereich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xml:space="preserve"> Herstellen von Negativformen von </w:t>
      </w:r>
      <w:r>
        <w:rPr>
          <w:sz w:val="12"/>
          <w:szCs w:val="12"/>
        </w:rPr>
        <w:t xml:space="preserve">wenig empfindlichen Originalen </w:t>
      </w:r>
      <w:r w:rsidRPr="00D24947">
        <w:rPr>
          <w:sz w:val="12"/>
          <w:szCs w:val="12"/>
        </w:rPr>
        <w:t>komplizierter Form und Herstellen der Abgüsse,</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nicht sehr schwie</w:t>
      </w:r>
      <w:r>
        <w:rPr>
          <w:sz w:val="12"/>
          <w:szCs w:val="12"/>
        </w:rPr>
        <w:t xml:space="preserve">rigen Modellen und technischen </w:t>
      </w:r>
      <w:r w:rsidRPr="00D24947">
        <w:rPr>
          <w:sz w:val="12"/>
          <w:szCs w:val="12"/>
        </w:rPr>
        <w:t>Zeichnunge</w:t>
      </w:r>
      <w:r>
        <w:rPr>
          <w:sz w:val="12"/>
          <w:szCs w:val="12"/>
        </w:rPr>
        <w:t xml:space="preserve">n von Sammlungsgegenständen und </w:t>
      </w:r>
      <w:r w:rsidRPr="00D24947">
        <w:rPr>
          <w:sz w:val="12"/>
          <w:szCs w:val="12"/>
        </w:rPr>
        <w:t>sonstigen Objek</w:t>
      </w:r>
      <w:r>
        <w:rPr>
          <w:sz w:val="12"/>
          <w:szCs w:val="12"/>
        </w:rPr>
        <w:t xml:space="preserve">ten </w:t>
      </w:r>
      <w:r w:rsidRPr="00D24947">
        <w:rPr>
          <w:sz w:val="12"/>
          <w:szCs w:val="12"/>
        </w:rPr>
        <w:t xml:space="preserve">von wissenschaftlichem </w:t>
      </w:r>
      <w:r>
        <w:rPr>
          <w:sz w:val="12"/>
          <w:szCs w:val="12"/>
        </w:rPr>
        <w:t>und/oder didaktischem Interesse;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methodisches Sammeln von Tieren einschließlich Etikettieren, Messen, Führen des Feldtagebuches und Feldpräparation,</w:t>
      </w:r>
    </w:p>
    <w:p w:rsidR="00BE1EFE" w:rsidRPr="00D24947" w:rsidRDefault="00BE1EFE" w:rsidP="00E91516">
      <w:pPr>
        <w:pStyle w:val="StandardWeb"/>
        <w:rPr>
          <w:sz w:val="12"/>
          <w:szCs w:val="12"/>
        </w:rPr>
      </w:pPr>
      <w:r>
        <w:rPr>
          <w:sz w:val="12"/>
          <w:szCs w:val="12"/>
        </w:rPr>
        <w:t>–</w:t>
      </w:r>
      <w:r w:rsidRPr="00D24947">
        <w:rPr>
          <w:sz w:val="12"/>
          <w:szCs w:val="12"/>
        </w:rPr>
        <w:t> Reinigen und Konservieren von Häuten mit Chemikalien,</w:t>
      </w:r>
    </w:p>
    <w:p w:rsidR="00BE1EFE" w:rsidRPr="00D24947" w:rsidRDefault="00BE1EFE" w:rsidP="00E91516">
      <w:pPr>
        <w:pStyle w:val="StandardWeb"/>
        <w:rPr>
          <w:sz w:val="12"/>
          <w:szCs w:val="12"/>
        </w:rPr>
      </w:pPr>
      <w:r>
        <w:rPr>
          <w:sz w:val="12"/>
          <w:szCs w:val="12"/>
        </w:rPr>
        <w:t>–</w:t>
      </w:r>
      <w:r w:rsidRPr="00D24947">
        <w:rPr>
          <w:sz w:val="12"/>
          <w:szCs w:val="12"/>
        </w:rPr>
        <w:t> Schädlingsbekämpfung an Sammlungsobjekten,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Nasspräparate von Tieren einschließlich Vorkonservieren (</w:t>
      </w:r>
      <w:r>
        <w:rPr>
          <w:sz w:val="12"/>
          <w:szCs w:val="12"/>
        </w:rPr>
        <w:t>z. B.</w:t>
      </w:r>
      <w:r w:rsidRPr="00D24947">
        <w:rPr>
          <w:sz w:val="12"/>
          <w:szCs w:val="12"/>
        </w:rPr>
        <w:t xml:space="preserve"> Injizieren von Konservierungs</w:t>
      </w:r>
      <w:r>
        <w:rPr>
          <w:sz w:val="12"/>
          <w:szCs w:val="12"/>
        </w:rPr>
        <w:softHyphen/>
      </w:r>
      <w:r w:rsidRPr="00D24947">
        <w:rPr>
          <w:sz w:val="12"/>
          <w:szCs w:val="12"/>
        </w:rPr>
        <w:t>flüssigkeiten, Überführen, Konzentrationswechsel),</w:t>
      </w:r>
    </w:p>
    <w:p w:rsidR="00BE1EFE" w:rsidRPr="00D24947" w:rsidRDefault="00BE1EFE" w:rsidP="00E91516">
      <w:pPr>
        <w:pStyle w:val="StandardWeb"/>
        <w:rPr>
          <w:sz w:val="12"/>
          <w:szCs w:val="12"/>
        </w:rPr>
      </w:pPr>
      <w:r>
        <w:rPr>
          <w:sz w:val="12"/>
          <w:szCs w:val="12"/>
        </w:rPr>
        <w:t>–</w:t>
      </w:r>
      <w:r w:rsidRPr="00D24947">
        <w:rPr>
          <w:sz w:val="12"/>
          <w:szCs w:val="12"/>
        </w:rPr>
        <w:t> Herstellen einfacher anatomischer Präparate (</w:t>
      </w:r>
      <w:r>
        <w:rPr>
          <w:sz w:val="12"/>
          <w:szCs w:val="12"/>
        </w:rPr>
        <w:t>z. B.</w:t>
      </w:r>
      <w:r w:rsidRPr="00D24947">
        <w:rPr>
          <w:sz w:val="12"/>
          <w:szCs w:val="12"/>
        </w:rPr>
        <w:t xml:space="preserve"> Übersichtspräparate von Muskeln oder Organen),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„Zoologie – allgemeine und Nasspräparation“:</w:t>
      </w:r>
    </w:p>
    <w:p w:rsidR="00BE1EFE" w:rsidRPr="00D24947" w:rsidRDefault="00BE1EFE" w:rsidP="00E91516">
      <w:pPr>
        <w:pStyle w:val="StandardWeb"/>
        <w:rPr>
          <w:sz w:val="12"/>
          <w:szCs w:val="12"/>
        </w:rPr>
      </w:pPr>
      <w:r>
        <w:rPr>
          <w:sz w:val="12"/>
          <w:szCs w:val="12"/>
        </w:rPr>
        <w:t>–</w:t>
      </w:r>
      <w:r w:rsidRPr="00D24947">
        <w:rPr>
          <w:sz w:val="12"/>
          <w:szCs w:val="12"/>
        </w:rPr>
        <w:t> Herstellen von Bälgen von Vögeln und Säugetieren,</w:t>
      </w:r>
    </w:p>
    <w:p w:rsidR="00BE1EFE" w:rsidRPr="00D24947" w:rsidRDefault="00BE1EFE" w:rsidP="00E91516">
      <w:pPr>
        <w:pStyle w:val="StandardWeb"/>
        <w:rPr>
          <w:sz w:val="12"/>
          <w:szCs w:val="12"/>
        </w:rPr>
      </w:pPr>
      <w:r>
        <w:rPr>
          <w:sz w:val="12"/>
          <w:szCs w:val="12"/>
        </w:rPr>
        <w:t>–</w:t>
      </w:r>
      <w:r w:rsidRPr="00D24947">
        <w:rPr>
          <w:sz w:val="12"/>
          <w:szCs w:val="12"/>
        </w:rPr>
        <w:t> Herstellen einfacher Kleindermoplastiken (unter Verwendung künstlicher konfektionierter Tierkörper),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von Zerfallskeletten (Mazeration und Entfetten),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„Botanik“:</w:t>
      </w:r>
    </w:p>
    <w:p w:rsidR="00BE1EFE" w:rsidRPr="00D24947" w:rsidRDefault="00BE1EFE" w:rsidP="00E91516">
      <w:pPr>
        <w:pStyle w:val="StandardWeb"/>
        <w:rPr>
          <w:sz w:val="12"/>
          <w:szCs w:val="12"/>
        </w:rPr>
      </w:pPr>
      <w:r>
        <w:rPr>
          <w:sz w:val="12"/>
          <w:szCs w:val="12"/>
        </w:rPr>
        <w:t>–</w:t>
      </w:r>
      <w:r w:rsidRPr="00D24947">
        <w:rPr>
          <w:sz w:val="12"/>
          <w:szCs w:val="12"/>
        </w:rPr>
        <w:t> methodisches Sammeln von Pflanzen einsc</w:t>
      </w:r>
      <w:r>
        <w:rPr>
          <w:sz w:val="12"/>
          <w:szCs w:val="12"/>
        </w:rPr>
        <w:t xml:space="preserve">hließlich Etikettieren; Führen </w:t>
      </w:r>
      <w:r w:rsidRPr="00D24947">
        <w:rPr>
          <w:sz w:val="12"/>
          <w:szCs w:val="12"/>
        </w:rPr>
        <w:t>des Feldtagebuches und Feldpräparation,</w:t>
      </w:r>
    </w:p>
    <w:p w:rsidR="00BE1EFE" w:rsidRPr="00D24947" w:rsidRDefault="00BE1EFE" w:rsidP="005B0732">
      <w:pPr>
        <w:pStyle w:val="StandardWeb"/>
        <w:ind w:left="74" w:hanging="74"/>
        <w:rPr>
          <w:sz w:val="12"/>
          <w:szCs w:val="12"/>
        </w:rPr>
      </w:pPr>
      <w:r>
        <w:rPr>
          <w:sz w:val="12"/>
          <w:szCs w:val="12"/>
        </w:rPr>
        <w:t>–</w:t>
      </w:r>
      <w:r w:rsidRPr="00D24947">
        <w:rPr>
          <w:sz w:val="12"/>
          <w:szCs w:val="12"/>
        </w:rPr>
        <w:t> schwierige Arbeiten für Herbarien (</w:t>
      </w:r>
      <w:r>
        <w:rPr>
          <w:sz w:val="12"/>
          <w:szCs w:val="12"/>
        </w:rPr>
        <w:t xml:space="preserve">z. B. Trocknen von dickfleischigen </w:t>
      </w:r>
      <w:r w:rsidRPr="00D24947">
        <w:rPr>
          <w:sz w:val="12"/>
          <w:szCs w:val="12"/>
        </w:rPr>
        <w:t xml:space="preserve">Pflanzen, von Flechten, Orchideen und Pflanzen mit ähnlicher </w:t>
      </w:r>
      <w:r>
        <w:rPr>
          <w:sz w:val="12"/>
          <w:szCs w:val="12"/>
        </w:rPr>
        <w:t xml:space="preserve">Struktur </w:t>
      </w:r>
      <w:r w:rsidRPr="00D24947">
        <w:rPr>
          <w:sz w:val="12"/>
          <w:szCs w:val="12"/>
        </w:rPr>
        <w:t>unter Benutzung komplizierter Apparate oder mit chemischen Methoden),</w:t>
      </w:r>
    </w:p>
    <w:p w:rsidR="00BE1EFE" w:rsidRPr="00D24947" w:rsidRDefault="00BE1EFE" w:rsidP="00E91516">
      <w:pPr>
        <w:pStyle w:val="StandardWeb"/>
        <w:rPr>
          <w:sz w:val="12"/>
          <w:szCs w:val="12"/>
        </w:rPr>
      </w:pPr>
      <w:r>
        <w:rPr>
          <w:sz w:val="12"/>
          <w:szCs w:val="12"/>
        </w:rPr>
        <w:lastRenderedPageBreak/>
        <w:t>–</w:t>
      </w:r>
      <w:r w:rsidRPr="00D24947">
        <w:rPr>
          <w:sz w:val="12"/>
          <w:szCs w:val="12"/>
        </w:rPr>
        <w:t> Herstellen einfacher Präparate von Blüten,</w:t>
      </w:r>
    </w:p>
    <w:p w:rsidR="00BE1EFE" w:rsidRPr="00D24947" w:rsidRDefault="00BE1EFE" w:rsidP="00E91516">
      <w:pPr>
        <w:pStyle w:val="StandardWeb"/>
        <w:rPr>
          <w:sz w:val="12"/>
          <w:szCs w:val="12"/>
        </w:rPr>
      </w:pPr>
      <w:r>
        <w:rPr>
          <w:sz w:val="12"/>
          <w:szCs w:val="12"/>
        </w:rPr>
        <w:t>–</w:t>
      </w:r>
      <w:r w:rsidRPr="00D24947">
        <w:rPr>
          <w:sz w:val="12"/>
          <w:szCs w:val="12"/>
        </w:rPr>
        <w:t> Herstellen einfacher pflanzenanatomischer Präparate,</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schwieriger Nasspräparate von Pflanzen (ggf. einschließlich Vorkonservieren, </w:t>
      </w:r>
      <w:r>
        <w:rPr>
          <w:sz w:val="12"/>
          <w:szCs w:val="12"/>
        </w:rPr>
        <w:t>z. B.</w:t>
      </w:r>
      <w:r w:rsidRPr="00D24947">
        <w:rPr>
          <w:sz w:val="12"/>
          <w:szCs w:val="12"/>
        </w:rPr>
        <w:t xml:space="preserve"> zur Erhaltung des Chlorophylls),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Zusammensetzen und Kleben stark zerbrochener Fossilien,</w:t>
      </w:r>
    </w:p>
    <w:p w:rsidR="00BE1EFE" w:rsidRPr="00D24947" w:rsidRDefault="00BE1EFE" w:rsidP="00E91516">
      <w:pPr>
        <w:pStyle w:val="StandardWeb"/>
        <w:rPr>
          <w:sz w:val="12"/>
          <w:szCs w:val="12"/>
        </w:rPr>
      </w:pPr>
      <w:r>
        <w:rPr>
          <w:sz w:val="12"/>
          <w:szCs w:val="12"/>
        </w:rPr>
        <w:t>–</w:t>
      </w:r>
      <w:r w:rsidRPr="00D24947">
        <w:rPr>
          <w:sz w:val="12"/>
          <w:szCs w:val="12"/>
        </w:rPr>
        <w:t> Reinigen und Festigen von brüchigem Fossil</w:t>
      </w:r>
      <w:r>
        <w:rPr>
          <w:sz w:val="12"/>
          <w:szCs w:val="12"/>
        </w:rPr>
        <w:t>–</w:t>
      </w:r>
      <w:r w:rsidRPr="00D24947">
        <w:rPr>
          <w:sz w:val="12"/>
          <w:szCs w:val="12"/>
        </w:rPr>
        <w:t>Material,</w:t>
      </w:r>
    </w:p>
    <w:p w:rsidR="00BE1EFE" w:rsidRPr="00D24947" w:rsidRDefault="00BE1EFE" w:rsidP="00E91516">
      <w:pPr>
        <w:pStyle w:val="StandardWeb"/>
        <w:rPr>
          <w:sz w:val="12"/>
          <w:szCs w:val="12"/>
        </w:rPr>
      </w:pPr>
      <w:r>
        <w:rPr>
          <w:sz w:val="12"/>
          <w:szCs w:val="12"/>
        </w:rPr>
        <w:t>–</w:t>
      </w:r>
      <w:r w:rsidRPr="00D24947">
        <w:rPr>
          <w:sz w:val="12"/>
          <w:szCs w:val="12"/>
        </w:rPr>
        <w:t> Grobpräparieren von in Gestein eingeschlossenen Fossilien,</w:t>
      </w:r>
    </w:p>
    <w:p w:rsidR="00BE1EFE" w:rsidRPr="00D24947" w:rsidRDefault="00BE1EFE" w:rsidP="00E91516">
      <w:pPr>
        <w:pStyle w:val="StandardWeb"/>
        <w:rPr>
          <w:sz w:val="12"/>
          <w:szCs w:val="12"/>
        </w:rPr>
      </w:pPr>
      <w:r>
        <w:rPr>
          <w:sz w:val="12"/>
          <w:szCs w:val="12"/>
        </w:rPr>
        <w:t>–</w:t>
      </w:r>
      <w:r w:rsidRPr="00D24947">
        <w:rPr>
          <w:sz w:val="12"/>
          <w:szCs w:val="12"/>
        </w:rPr>
        <w:t> Feinpräparieren von harten Fossilien in weichem Gestein,</w:t>
      </w:r>
    </w:p>
    <w:p w:rsidR="00BE1EFE" w:rsidRPr="00D24947" w:rsidRDefault="00BE1EFE" w:rsidP="00E91516">
      <w:pPr>
        <w:pStyle w:val="StandardWeb"/>
        <w:rPr>
          <w:sz w:val="12"/>
          <w:szCs w:val="12"/>
        </w:rPr>
      </w:pPr>
      <w:r>
        <w:rPr>
          <w:sz w:val="12"/>
          <w:szCs w:val="12"/>
        </w:rPr>
        <w:t>–</w:t>
      </w:r>
      <w:r w:rsidRPr="00D24947">
        <w:rPr>
          <w:sz w:val="12"/>
          <w:szCs w:val="12"/>
        </w:rPr>
        <w:t> Konservieren präparierter Fossilien,</w:t>
      </w:r>
    </w:p>
    <w:p w:rsidR="00BE1EFE" w:rsidRPr="00D24947" w:rsidRDefault="00BE1EFE" w:rsidP="00E91516">
      <w:pPr>
        <w:pStyle w:val="StandardWeb"/>
        <w:rPr>
          <w:sz w:val="12"/>
          <w:szCs w:val="12"/>
        </w:rPr>
      </w:pPr>
      <w:r>
        <w:rPr>
          <w:sz w:val="12"/>
          <w:szCs w:val="12"/>
        </w:rPr>
        <w:t>–</w:t>
      </w:r>
      <w:r w:rsidRPr="00D24947">
        <w:rPr>
          <w:sz w:val="12"/>
          <w:szCs w:val="12"/>
        </w:rPr>
        <w:t> Herstellen von Lackfilmen und Fol</w:t>
      </w:r>
      <w:r>
        <w:rPr>
          <w:sz w:val="12"/>
          <w:szCs w:val="12"/>
        </w:rPr>
        <w:t xml:space="preserve">ienabzügen bei Anschliffen von </w:t>
      </w:r>
      <w:r w:rsidRPr="00D24947">
        <w:rPr>
          <w:sz w:val="12"/>
          <w:szCs w:val="12"/>
        </w:rPr>
        <w:t>Gesteinen und einfach gebauten Fossilien,</w:t>
      </w:r>
    </w:p>
    <w:p w:rsidR="00BE1EFE" w:rsidRPr="00D24947" w:rsidRDefault="00BE1EFE" w:rsidP="00E91516">
      <w:pPr>
        <w:pStyle w:val="StandardWeb"/>
        <w:rPr>
          <w:sz w:val="12"/>
          <w:szCs w:val="12"/>
        </w:rPr>
      </w:pPr>
      <w:r>
        <w:rPr>
          <w:sz w:val="12"/>
          <w:szCs w:val="12"/>
        </w:rPr>
        <w:t>–</w:t>
      </w:r>
      <w:r w:rsidRPr="00D24947">
        <w:rPr>
          <w:sz w:val="12"/>
          <w:szCs w:val="12"/>
        </w:rPr>
        <w:t> Aufbereiten von Gesteinsproben durch Schlämmen oder Auffrieren,</w:t>
      </w:r>
    </w:p>
    <w:p w:rsidR="00BE1EFE" w:rsidRPr="00D24947" w:rsidRDefault="00BE1EFE" w:rsidP="00E91516">
      <w:pPr>
        <w:pStyle w:val="StandardWeb"/>
        <w:rPr>
          <w:sz w:val="12"/>
          <w:szCs w:val="12"/>
        </w:rPr>
      </w:pPr>
      <w:r>
        <w:rPr>
          <w:sz w:val="12"/>
          <w:szCs w:val="12"/>
        </w:rPr>
        <w:t>–</w:t>
      </w:r>
      <w:r w:rsidRPr="00D24947">
        <w:rPr>
          <w:sz w:val="12"/>
          <w:szCs w:val="12"/>
        </w:rPr>
        <w:t> Herstellen von Anschliffen von Gesteinen und Fossilien,</w:t>
      </w:r>
    </w:p>
    <w:p w:rsidR="00BE1EFE" w:rsidRPr="00D24947" w:rsidRDefault="00BE1EFE" w:rsidP="00E91516">
      <w:pPr>
        <w:pStyle w:val="StandardWeb"/>
        <w:rPr>
          <w:sz w:val="12"/>
          <w:szCs w:val="12"/>
        </w:rPr>
      </w:pPr>
      <w:r>
        <w:rPr>
          <w:sz w:val="12"/>
          <w:szCs w:val="12"/>
        </w:rPr>
        <w:t>–</w:t>
      </w:r>
      <w:r w:rsidRPr="00D24947">
        <w:rPr>
          <w:sz w:val="12"/>
          <w:szCs w:val="12"/>
        </w:rPr>
        <w:t xml:space="preserve"> Auslesen von leicht erkennbaren Mikrofossilien, </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chemisches Reinigen von Mineralstufen,</w:t>
      </w:r>
    </w:p>
    <w:p w:rsidR="00BE1EFE" w:rsidRPr="00D24947" w:rsidRDefault="00BE1EFE" w:rsidP="00E91516">
      <w:pPr>
        <w:pStyle w:val="StandardWeb"/>
        <w:rPr>
          <w:sz w:val="12"/>
          <w:szCs w:val="12"/>
        </w:rPr>
      </w:pPr>
      <w:r>
        <w:rPr>
          <w:sz w:val="12"/>
          <w:szCs w:val="12"/>
        </w:rPr>
        <w:t>–</w:t>
      </w:r>
      <w:r w:rsidRPr="00D24947">
        <w:rPr>
          <w:sz w:val="12"/>
          <w:szCs w:val="12"/>
        </w:rPr>
        <w:t> Herstellen von Anschliffen und poliert</w:t>
      </w:r>
      <w:r>
        <w:rPr>
          <w:sz w:val="12"/>
          <w:szCs w:val="12"/>
        </w:rPr>
        <w:t xml:space="preserve">en Anschliffen von Mineralien, </w:t>
      </w:r>
      <w:r w:rsidRPr="00D24947">
        <w:rPr>
          <w:sz w:val="12"/>
          <w:szCs w:val="12"/>
        </w:rPr>
        <w:t>Gesteinen und Erzen,</w:t>
      </w:r>
    </w:p>
    <w:p w:rsidR="00BE1EFE" w:rsidRPr="00D24947" w:rsidRDefault="00BE1EFE" w:rsidP="00E91516">
      <w:pPr>
        <w:pStyle w:val="StandardWeb"/>
        <w:rPr>
          <w:sz w:val="12"/>
          <w:szCs w:val="12"/>
        </w:rPr>
      </w:pPr>
      <w:r>
        <w:rPr>
          <w:sz w:val="12"/>
          <w:szCs w:val="12"/>
        </w:rPr>
        <w:t>–</w:t>
      </w:r>
      <w:r w:rsidRPr="00D24947">
        <w:rPr>
          <w:sz w:val="12"/>
          <w:szCs w:val="12"/>
        </w:rPr>
        <w:t> Herstellen von Mineral</w:t>
      </w:r>
      <w:r>
        <w:rPr>
          <w:sz w:val="12"/>
          <w:szCs w:val="12"/>
        </w:rPr>
        <w:t>-</w:t>
      </w:r>
      <w:r w:rsidRPr="00D24947">
        <w:rPr>
          <w:sz w:val="12"/>
          <w:szCs w:val="12"/>
        </w:rPr>
        <w:t xml:space="preserve"> und Gesteinsdünns</w:t>
      </w:r>
      <w:r>
        <w:rPr>
          <w:sz w:val="12"/>
          <w:szCs w:val="12"/>
        </w:rPr>
        <w:t xml:space="preserve">chliffen in normalem Format (2 </w:t>
      </w:r>
      <w:r w:rsidRPr="00D24947">
        <w:rPr>
          <w:sz w:val="12"/>
          <w:szCs w:val="12"/>
        </w:rPr>
        <w:t>x 3 cm),</w:t>
      </w:r>
    </w:p>
    <w:p w:rsidR="00BE1EFE" w:rsidRPr="00D24947" w:rsidRDefault="00BE1EFE" w:rsidP="00E91516">
      <w:pPr>
        <w:pStyle w:val="StandardWeb"/>
        <w:rPr>
          <w:sz w:val="12"/>
          <w:szCs w:val="12"/>
        </w:rPr>
      </w:pPr>
      <w:r>
        <w:rPr>
          <w:sz w:val="12"/>
          <w:szCs w:val="12"/>
        </w:rPr>
        <w:t>–</w:t>
      </w:r>
      <w:r w:rsidRPr="00D24947">
        <w:rPr>
          <w:sz w:val="12"/>
          <w:szCs w:val="12"/>
        </w:rPr>
        <w:t> Herstellen von Körnerstreupräp</w:t>
      </w:r>
      <w:r>
        <w:rPr>
          <w:sz w:val="12"/>
          <w:szCs w:val="12"/>
        </w:rPr>
        <w:t xml:space="preserve">araten für mineralogische oder </w:t>
      </w:r>
      <w:r w:rsidRPr="00D24947">
        <w:rPr>
          <w:sz w:val="12"/>
          <w:szCs w:val="12"/>
        </w:rPr>
        <w:t>petrographische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„Nachbildungen und Modelle von Tieren, Pflanzen und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w:t>
      </w:r>
      <w:r>
        <w:rPr>
          <w:sz w:val="12"/>
          <w:szCs w:val="12"/>
        </w:rPr>
        <w:t xml:space="preserve">einschließlich Negativform und </w:t>
      </w:r>
      <w:r w:rsidRPr="00D24947">
        <w:rPr>
          <w:sz w:val="12"/>
          <w:szCs w:val="12"/>
        </w:rPr>
        <w:t>Abguss) einfach gestalteter Tiere, Pflanzen und Fossilien,</w:t>
      </w:r>
    </w:p>
    <w:p w:rsidR="00BE1EFE" w:rsidRPr="00D24947" w:rsidRDefault="00BE1EFE" w:rsidP="00E91516">
      <w:pPr>
        <w:pStyle w:val="StandardWeb"/>
        <w:rPr>
          <w:sz w:val="12"/>
          <w:szCs w:val="12"/>
        </w:rPr>
      </w:pPr>
      <w:r w:rsidRPr="00D24947">
        <w:rPr>
          <w:sz w:val="12"/>
          <w:szCs w:val="12"/>
        </w:rPr>
        <w:t>h. Oberflächenreinigung an nicht unempfindlichen Präparaten</w:t>
      </w:r>
    </w:p>
    <w:p w:rsidR="00BE1EFE" w:rsidRPr="00D24947" w:rsidRDefault="00BE1EFE" w:rsidP="00E91516">
      <w:pPr>
        <w:pStyle w:val="StandardWeb"/>
        <w:rPr>
          <w:sz w:val="12"/>
          <w:szCs w:val="12"/>
        </w:rPr>
      </w:pPr>
      <w:r>
        <w:rPr>
          <w:sz w:val="12"/>
          <w:szCs w:val="12"/>
        </w:rPr>
        <w:t>–</w:t>
      </w:r>
      <w:r w:rsidRPr="00D24947">
        <w:rPr>
          <w:sz w:val="12"/>
          <w:szCs w:val="12"/>
        </w:rPr>
        <w:t> </w:t>
      </w:r>
      <w:r>
        <w:rPr>
          <w:sz w:val="12"/>
          <w:szCs w:val="12"/>
        </w:rPr>
        <w:t>z. B.</w:t>
      </w:r>
      <w:r w:rsidRPr="00D24947">
        <w:rPr>
          <w:sz w:val="12"/>
          <w:szCs w:val="12"/>
        </w:rPr>
        <w:t xml:space="preserve"> Häute, Bälge, empfindliche Steine, Fossilien oder Chitinpanzer,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Sortieren, Verpacken und Verlagern von empfindlichen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Anfertigen von individuell am jeweiligen Objekt anzupassenden Spezialverpackungen;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Fach-(arbeits-)gebiet „Ausgrabungen nach erfolgreicher Werkprüfung“: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Erkennen, Freilegen und Bergen von Bodenfunden oder -befunden;</w:t>
      </w:r>
    </w:p>
    <w:p w:rsidR="00BE1EFE" w:rsidRPr="00D24947" w:rsidRDefault="00BE1EFE" w:rsidP="00E91516">
      <w:pPr>
        <w:pStyle w:val="StandardWeb"/>
        <w:rPr>
          <w:sz w:val="12"/>
          <w:szCs w:val="12"/>
        </w:rPr>
      </w:pPr>
      <w:r w:rsidRPr="00D24947">
        <w:rPr>
          <w:sz w:val="12"/>
          <w:szCs w:val="12"/>
        </w:rPr>
        <w:t>b. Einweisen von Großgeräten zur Freilegung von Befunden,</w:t>
      </w:r>
    </w:p>
    <w:p w:rsidR="00BE1EFE" w:rsidRPr="00D24947" w:rsidRDefault="00BE1EFE" w:rsidP="00E91516">
      <w:pPr>
        <w:pStyle w:val="StandardWeb"/>
        <w:rPr>
          <w:sz w:val="12"/>
          <w:szCs w:val="12"/>
        </w:rPr>
      </w:pPr>
      <w:r w:rsidRPr="00D24947">
        <w:rPr>
          <w:sz w:val="12"/>
          <w:szCs w:val="12"/>
        </w:rPr>
        <w:t>c. Herrichten von Erdprofilen und Grabungsflächen zum Zeichnen und Messen,</w:t>
      </w:r>
    </w:p>
    <w:p w:rsidR="00BE1EFE" w:rsidRPr="00D24947" w:rsidRDefault="00BE1EFE" w:rsidP="00E91516">
      <w:pPr>
        <w:pStyle w:val="StandardWeb"/>
        <w:rPr>
          <w:sz w:val="12"/>
          <w:szCs w:val="12"/>
        </w:rPr>
      </w:pPr>
      <w:r w:rsidRPr="00D24947">
        <w:rPr>
          <w:sz w:val="12"/>
          <w:szCs w:val="12"/>
        </w:rPr>
        <w:t>d. Anfertigen von Grabungsskizzen oder einfachen maßstäblichen Grabungszeichnungen und einfachen Grabungs- oder Fundberichten,</w:t>
      </w:r>
    </w:p>
    <w:p w:rsidR="00BE1EFE" w:rsidRPr="00D24947" w:rsidRDefault="00BE1EFE" w:rsidP="00E91516">
      <w:pPr>
        <w:pStyle w:val="StandardWeb"/>
        <w:rPr>
          <w:sz w:val="12"/>
          <w:szCs w:val="12"/>
        </w:rPr>
      </w:pPr>
      <w:r w:rsidRPr="00D24947">
        <w:rPr>
          <w:sz w:val="12"/>
          <w:szCs w:val="12"/>
        </w:rPr>
        <w:t>e. materialgerechtes Sortieren von Funden nach Lage und Fundart,</w:t>
      </w:r>
    </w:p>
    <w:p w:rsidR="00BE1EFE" w:rsidRPr="00D24947" w:rsidRDefault="00BE1EFE" w:rsidP="00E91516">
      <w:pPr>
        <w:pStyle w:val="StandardWeb"/>
        <w:rPr>
          <w:sz w:val="12"/>
          <w:szCs w:val="12"/>
        </w:rPr>
      </w:pPr>
      <w:r w:rsidRPr="00D24947">
        <w:rPr>
          <w:sz w:val="12"/>
          <w:szCs w:val="12"/>
        </w:rPr>
        <w:t>f. Magazinierung von Kulturgütern in ein Depot als Archiv der sächlichen Kulturgüter,</w:t>
      </w:r>
    </w:p>
    <w:p w:rsidR="00BE1EFE" w:rsidRPr="00D24947" w:rsidRDefault="00BE1EFE" w:rsidP="00E91516">
      <w:pPr>
        <w:pStyle w:val="StandardWeb"/>
        <w:rPr>
          <w:sz w:val="12"/>
          <w:szCs w:val="12"/>
        </w:rPr>
      </w:pPr>
      <w:r w:rsidRPr="00D24947">
        <w:rPr>
          <w:sz w:val="12"/>
          <w:szCs w:val="12"/>
        </w:rPr>
        <w:t>g. Begehen von Gebieten (meist als „Feldbegehung“ bezeichnet) nach archäologischem Fundmaterial unter wissenschaftlicher oder technischer Anleitung,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Fach-(arbeits-)gebiet „Geologie und Paläontologie“: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methodisches Sammeln von Fossilien bei einfachen geologischen Verhältnissen einschließlich Etikettieren, Anfertigen geologischer Fundpunktskizzen und Vorkonservieren an der Fundstätte,</w:t>
      </w:r>
    </w:p>
    <w:p w:rsidR="00BE1EFE" w:rsidRPr="00D24947" w:rsidRDefault="00BE1EFE" w:rsidP="00E91516">
      <w:pPr>
        <w:pStyle w:val="StandardWeb"/>
        <w:rPr>
          <w:sz w:val="12"/>
          <w:szCs w:val="12"/>
        </w:rPr>
      </w:pPr>
      <w:r w:rsidRPr="00D24947">
        <w:rPr>
          <w:sz w:val="12"/>
          <w:szCs w:val="12"/>
        </w:rPr>
        <w:t>b. Sortieren von Geländeaufsammlungen nach Fundorten, Fundschichten und Fossilgruppen.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Schwierige Tätigkeiten bei assistierenden Tätigkeiten im Bereich der Konservierung oder Restaurierung, der Präparation oder der Grabungstechnik oder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Ausführen systematisierter Arbeitsvorgänge an unempfindlichen Objekten nach Vorgabe durch eine Restauratorin oder einen Restaurator,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Lösen zusammengeklebter unempfindlicher Archivalien und Buchblätter von nachgeordneter Bedeutung in weniger schwierigen Fällen, z. B. bei starker Verschimmelung,</w:t>
      </w:r>
    </w:p>
    <w:p w:rsidR="00BE1EFE" w:rsidRPr="00D24947" w:rsidRDefault="00BE1EFE" w:rsidP="00E91516">
      <w:pPr>
        <w:pStyle w:val="StandardWeb"/>
        <w:rPr>
          <w:sz w:val="12"/>
          <w:szCs w:val="12"/>
        </w:rPr>
      </w:pPr>
      <w:r w:rsidRPr="00D24947">
        <w:rPr>
          <w:sz w:val="12"/>
          <w:szCs w:val="12"/>
        </w:rPr>
        <w:t>b. Schließen von Rissen an weniger empfindlichen Archivalien mittels Japanpapier,</w:t>
      </w:r>
    </w:p>
    <w:p w:rsidR="00BE1EFE" w:rsidRPr="00D24947" w:rsidRDefault="00BE1EFE" w:rsidP="00E91516">
      <w:pPr>
        <w:pStyle w:val="StandardWeb"/>
        <w:rPr>
          <w:sz w:val="12"/>
          <w:szCs w:val="12"/>
        </w:rPr>
      </w:pPr>
      <w:r w:rsidRPr="00D24947">
        <w:rPr>
          <w:sz w:val="12"/>
          <w:szCs w:val="12"/>
        </w:rPr>
        <w:t>c. Absaugen oder Entstauben von empfindlichen Bucheinbänden inhomogener Buchbestände oder ungefassten und empfindlichen, veredelten Holzoberflächen (</w:t>
      </w:r>
      <w:r>
        <w:rPr>
          <w:sz w:val="12"/>
          <w:szCs w:val="12"/>
        </w:rPr>
        <w:t>z. B.</w:t>
      </w:r>
      <w:r w:rsidRPr="00D24947">
        <w:rPr>
          <w:sz w:val="12"/>
          <w:szCs w:val="12"/>
        </w:rPr>
        <w:t xml:space="preserve"> Trockenreinigung mittels Saugen und Pinsel),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(2) Mitarbeit bei umfangreichen Restaurierungsmaßnahmen,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Auflegen unempfindlicher Textilien auf stützende Unterlagen sowie Unterlegen von Fehlstellen,</w:t>
      </w:r>
    </w:p>
    <w:p w:rsidR="00BE1EFE" w:rsidRPr="00D24947" w:rsidRDefault="00BE1EFE" w:rsidP="00E91516">
      <w:pPr>
        <w:pStyle w:val="StandardWeb"/>
        <w:rPr>
          <w:sz w:val="12"/>
          <w:szCs w:val="12"/>
        </w:rPr>
      </w:pPr>
      <w:r w:rsidRPr="00D24947">
        <w:rPr>
          <w:sz w:val="12"/>
          <w:szCs w:val="12"/>
        </w:rPr>
        <w:t>b. Montage von Wandmalereifragmenten und Vorsortieren für die Montage von Mosaiken,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lastRenderedPageBreak/>
        <w:t>(3) Unterstützung bei der Betreuung zeitgenössischer Kunstobjekte (Medienkunstwerke und Installationen),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komplizierten technischen Geräten, die zum Kunstwerk gehören und eine se</w:t>
      </w:r>
      <w:r>
        <w:rPr>
          <w:sz w:val="12"/>
          <w:szCs w:val="12"/>
        </w:rPr>
        <w:t>nsible Handhabung erfordern, z. </w:t>
      </w:r>
      <w:r w:rsidRPr="00D24947">
        <w:rPr>
          <w:sz w:val="12"/>
          <w:szCs w:val="12"/>
        </w:rPr>
        <w:t>B. Einlegen von ungeschütztem Filmmaterial,</w:t>
      </w:r>
    </w:p>
    <w:p w:rsidR="00BE1EFE" w:rsidRPr="00D24947" w:rsidRDefault="00BE1EFE" w:rsidP="00E91516">
      <w:pPr>
        <w:pStyle w:val="StandardWeb"/>
        <w:rPr>
          <w:sz w:val="12"/>
          <w:szCs w:val="12"/>
        </w:rPr>
      </w:pPr>
      <w:r w:rsidRPr="00D24947">
        <w:rPr>
          <w:sz w:val="12"/>
          <w:szCs w:val="12"/>
        </w:rPr>
        <w:t>b. Austausch von Ersatzteilen an kinetischen, elektrischen oder elektronischen Kunstwerken einschließlich des Auswechselns von zum Kunstobjekt gehörenden Leuchtmitteln,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(4) Ausführen von Tätigkeiten, die sehr gute manuelle Fertigkeiten und Kenntnisse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originalgetreues Nachformen von Originalen komplizierter Form nach Vorgabe,</w:t>
      </w:r>
    </w:p>
    <w:p w:rsidR="00BE1EFE" w:rsidRPr="00D24947" w:rsidRDefault="00BE1EFE" w:rsidP="00E91516">
      <w:pPr>
        <w:pStyle w:val="StandardWeb"/>
        <w:rPr>
          <w:sz w:val="12"/>
          <w:szCs w:val="12"/>
        </w:rPr>
      </w:pPr>
      <w:r w:rsidRPr="00D24947">
        <w:rPr>
          <w:sz w:val="12"/>
          <w:szCs w:val="12"/>
        </w:rPr>
        <w:t>b. originalgetreues Kolorieren von Nachbildungen,</w:t>
      </w:r>
    </w:p>
    <w:p w:rsidR="00BE1EFE" w:rsidRPr="00D24947" w:rsidRDefault="00BE1EFE" w:rsidP="00E91516">
      <w:pPr>
        <w:pStyle w:val="StandardWeb"/>
        <w:rPr>
          <w:sz w:val="12"/>
          <w:szCs w:val="12"/>
        </w:rPr>
      </w:pPr>
      <w:r w:rsidRPr="00D24947">
        <w:rPr>
          <w:sz w:val="12"/>
          <w:szCs w:val="12"/>
        </w:rPr>
        <w:t>c. Herstellen schwieriger Modelle und technischer Zeichnungen von Sammlungsgegenständen und sonstigen Objekten von wissenschaftlichem oder didaktischem Interesse,</w:t>
      </w:r>
    </w:p>
    <w:p w:rsidR="00BE1EFE" w:rsidRPr="00D24947" w:rsidRDefault="00BE1EFE" w:rsidP="00E91516">
      <w:pPr>
        <w:pStyle w:val="StandardWeb"/>
        <w:rPr>
          <w:sz w:val="12"/>
          <w:szCs w:val="12"/>
        </w:rPr>
      </w:pPr>
      <w:r w:rsidRPr="00D24947">
        <w:rPr>
          <w:sz w:val="12"/>
          <w:szCs w:val="12"/>
        </w:rPr>
        <w:t>d. Anfertigen von individuell am jeweiligen Objekt anzupassenden Aufbewahrungs- oder Transportbehältnissen nach Vorgabe, die eine schwierige Handhabung des Objekts erfordern,</w:t>
      </w:r>
    </w:p>
    <w:p w:rsidR="00BE1EFE" w:rsidRPr="00D24947" w:rsidRDefault="00BE1EFE" w:rsidP="00E91516">
      <w:pPr>
        <w:pStyle w:val="StandardWeb"/>
        <w:rPr>
          <w:sz w:val="12"/>
          <w:szCs w:val="12"/>
        </w:rPr>
      </w:pPr>
      <w:r w:rsidRPr="00D24947">
        <w:rPr>
          <w:sz w:val="12"/>
          <w:szCs w:val="12"/>
        </w:rPr>
        <w:t>e. Mitarbeit beim Aufbau von Ausstellungen: Anfertigen von Präsentationshilfen, z. B. komplizierten Buchstützen oder Figurinen nach Vorgabe;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 im Bereich „Rekonstruktionen,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Ausführen systematisierter Arbeitsvorgänge an unempfindlichen Objekten nach Vorgabe durch die Präparatorin oder den Präparator,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empfindlichen Originalen und Herstellen der Abgüsse,</w:t>
      </w:r>
    </w:p>
    <w:p w:rsidR="00BE1EFE" w:rsidRPr="00D24947" w:rsidRDefault="00BE1EFE" w:rsidP="00E91516">
      <w:pPr>
        <w:pStyle w:val="StandardWeb"/>
        <w:rPr>
          <w:sz w:val="12"/>
          <w:szCs w:val="12"/>
        </w:rPr>
      </w:pPr>
      <w:r>
        <w:rPr>
          <w:sz w:val="12"/>
          <w:szCs w:val="12"/>
        </w:rPr>
        <w:t>–</w:t>
      </w:r>
      <w:r w:rsidRPr="00D24947">
        <w:rPr>
          <w:sz w:val="12"/>
          <w:szCs w:val="12"/>
        </w:rPr>
        <w:t> originalgetreues Nachformen von Originalen komplizierter Form,</w:t>
      </w:r>
    </w:p>
    <w:p w:rsidR="00BE1EFE" w:rsidRPr="00D24947" w:rsidRDefault="00BE1EFE" w:rsidP="00E91516">
      <w:pPr>
        <w:pStyle w:val="StandardWeb"/>
        <w:rPr>
          <w:sz w:val="12"/>
          <w:szCs w:val="12"/>
        </w:rPr>
      </w:pPr>
      <w:r>
        <w:rPr>
          <w:sz w:val="12"/>
          <w:szCs w:val="12"/>
        </w:rPr>
        <w:t>–</w:t>
      </w:r>
      <w:r w:rsidRPr="00D24947">
        <w:rPr>
          <w:sz w:val="12"/>
          <w:szCs w:val="12"/>
        </w:rPr>
        <w:t> originalgetreues Kolorieren von Nachbildungen,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„zeichneri</w:t>
      </w:r>
      <w:r>
        <w:rPr>
          <w:sz w:val="12"/>
          <w:szCs w:val="12"/>
        </w:rPr>
        <w:t>sche Rekonstruktion und Modell</w:t>
      </w:r>
      <w:r w:rsidRPr="00D24947">
        <w:rPr>
          <w:sz w:val="12"/>
          <w:szCs w:val="12"/>
        </w:rPr>
        <w:t>bau“:</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Modelle</w:t>
      </w:r>
      <w:r>
        <w:rPr>
          <w:sz w:val="12"/>
          <w:szCs w:val="12"/>
        </w:rPr>
        <w:t xml:space="preserve"> von Sammlungsgegenständen und </w:t>
      </w:r>
      <w:r w:rsidRPr="00D24947">
        <w:rPr>
          <w:sz w:val="12"/>
          <w:szCs w:val="12"/>
        </w:rPr>
        <w:t>sonstigen Objekten von wissenschaftliche</w:t>
      </w:r>
      <w:r>
        <w:rPr>
          <w:sz w:val="12"/>
          <w:szCs w:val="12"/>
        </w:rPr>
        <w:t xml:space="preserve">m Interesse nach skizzenhaften </w:t>
      </w:r>
      <w:r w:rsidRPr="00D24947">
        <w:rPr>
          <w:sz w:val="12"/>
          <w:szCs w:val="12"/>
        </w:rPr>
        <w:t>Angaben,</w:t>
      </w:r>
    </w:p>
    <w:p w:rsidR="00BE1EFE" w:rsidRPr="00D24947" w:rsidRDefault="00BE1EFE" w:rsidP="005B0732">
      <w:pPr>
        <w:pStyle w:val="StandardWeb"/>
        <w:ind w:left="74" w:hanging="74"/>
        <w:rPr>
          <w:sz w:val="12"/>
          <w:szCs w:val="12"/>
        </w:rPr>
      </w:pPr>
      <w:r>
        <w:rPr>
          <w:sz w:val="12"/>
          <w:szCs w:val="12"/>
        </w:rPr>
        <w:t>–</w:t>
      </w:r>
      <w:r w:rsidRPr="00D24947">
        <w:rPr>
          <w:sz w:val="12"/>
          <w:szCs w:val="12"/>
        </w:rPr>
        <w:t> schwierige zeichnerische Rekonstrukti</w:t>
      </w:r>
      <w:r>
        <w:rPr>
          <w:sz w:val="12"/>
          <w:szCs w:val="12"/>
        </w:rPr>
        <w:t xml:space="preserve">on von Sammlungsgegenständen </w:t>
      </w:r>
      <w:r w:rsidRPr="00D24947">
        <w:rPr>
          <w:sz w:val="12"/>
          <w:szCs w:val="12"/>
        </w:rPr>
        <w:t>und sonstigen Objekten von wissenschaftlichem Interesse,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Dermoplastik und Dioramen“:</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schwieriger Dermoplastiken, </w:t>
      </w:r>
      <w:r>
        <w:rPr>
          <w:sz w:val="12"/>
          <w:szCs w:val="12"/>
        </w:rPr>
        <w:t>z. B.</w:t>
      </w:r>
      <w:r w:rsidRPr="00D24947">
        <w:rPr>
          <w:sz w:val="12"/>
          <w:szCs w:val="12"/>
        </w:rPr>
        <w:t xml:space="preserve"> Hers</w:t>
      </w:r>
      <w:r>
        <w:rPr>
          <w:sz w:val="12"/>
          <w:szCs w:val="12"/>
        </w:rPr>
        <w:t xml:space="preserve">tellung kleiner </w:t>
      </w:r>
      <w:r>
        <w:rPr>
          <w:sz w:val="12"/>
          <w:szCs w:val="12"/>
        </w:rPr>
        <w:tab/>
        <w:t xml:space="preserve">Dermoplastiken </w:t>
      </w:r>
      <w:r w:rsidRPr="00D24947">
        <w:rPr>
          <w:sz w:val="12"/>
          <w:szCs w:val="12"/>
        </w:rPr>
        <w:t xml:space="preserve">mit selbstgefertigten Körpern und Großdermoplastiken mit </w:t>
      </w:r>
      <w:r w:rsidRPr="00D24947">
        <w:rPr>
          <w:sz w:val="12"/>
          <w:szCs w:val="12"/>
        </w:rPr>
        <w:tab/>
        <w:t>überarbeiteten konfektionierten Körpern,</w:t>
      </w:r>
    </w:p>
    <w:p w:rsidR="00BE1EFE" w:rsidRPr="00D24947" w:rsidRDefault="00BE1EFE" w:rsidP="00E91516">
      <w:pPr>
        <w:pStyle w:val="StandardWeb"/>
        <w:rPr>
          <w:sz w:val="12"/>
          <w:szCs w:val="12"/>
        </w:rPr>
      </w:pPr>
      <w:r>
        <w:rPr>
          <w:sz w:val="12"/>
          <w:szCs w:val="12"/>
        </w:rPr>
        <w:t>–</w:t>
      </w:r>
      <w:r w:rsidRPr="00D24947">
        <w:rPr>
          <w:sz w:val="12"/>
          <w:szCs w:val="12"/>
        </w:rPr>
        <w:t> Herstellen von montierten Habituspräparaten von Wirbeltieren,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„organische Materialien (Leder, Federn etc.)“:</w:t>
      </w:r>
    </w:p>
    <w:p w:rsidR="00BE1EFE" w:rsidRPr="00D24947" w:rsidRDefault="00BE1EFE" w:rsidP="00E91516">
      <w:pPr>
        <w:pStyle w:val="StandardWeb"/>
        <w:rPr>
          <w:sz w:val="12"/>
          <w:szCs w:val="12"/>
        </w:rPr>
      </w:pPr>
      <w:r>
        <w:rPr>
          <w:sz w:val="12"/>
          <w:szCs w:val="12"/>
        </w:rPr>
        <w:t>–</w:t>
      </w:r>
      <w:r w:rsidRPr="00D24947">
        <w:rPr>
          <w:sz w:val="12"/>
          <w:szCs w:val="12"/>
        </w:rPr>
        <w:t> Reinigen, Konservieren und Restaurieren</w:t>
      </w:r>
      <w:r>
        <w:rPr>
          <w:sz w:val="12"/>
          <w:szCs w:val="12"/>
        </w:rPr>
        <w:t xml:space="preserve"> schlecht erhaltener Präparate </w:t>
      </w:r>
      <w:r w:rsidRPr="00D24947">
        <w:rPr>
          <w:sz w:val="12"/>
          <w:szCs w:val="12"/>
        </w:rPr>
        <w:t>mit Leder-, Fell- und Federoberfläche,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schwierig zu bearbeitender Wirbeltierskelette,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Herrichten und Aufstellen von Wirbeltierskeletten für Schauzwecke (Bleichen der präparierten Skelette, Aufstellen und Montieren der Stützgerüste und Montieren der Skelette),</w:t>
      </w:r>
    </w:p>
    <w:p w:rsidR="00BE1EFE" w:rsidRPr="00D24947" w:rsidRDefault="00BE1EFE" w:rsidP="005B0732">
      <w:pPr>
        <w:pStyle w:val="StandardWeb"/>
        <w:ind w:left="74" w:hanging="74"/>
        <w:rPr>
          <w:sz w:val="12"/>
          <w:szCs w:val="12"/>
        </w:rPr>
      </w:pPr>
      <w:r>
        <w:rPr>
          <w:sz w:val="12"/>
          <w:szCs w:val="12"/>
        </w:rPr>
        <w:t>–</w:t>
      </w:r>
      <w:r w:rsidRPr="00D24947">
        <w:rPr>
          <w:sz w:val="12"/>
          <w:szCs w:val="12"/>
        </w:rPr>
        <w:t> Präparieren von Bänderskeletten (Abfleischen und Mazerieren der Knochen unter Erhaltung der Sehnenbänder zwischen den Gelenken; Bleichen, Stützen und Montieren der Skelette),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„Botanik“:</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Präparate von Blüten (</w:t>
      </w:r>
      <w:r>
        <w:rPr>
          <w:sz w:val="12"/>
          <w:szCs w:val="12"/>
        </w:rPr>
        <w:t>z. B.</w:t>
      </w:r>
      <w:r w:rsidRPr="00D24947">
        <w:rPr>
          <w:sz w:val="12"/>
          <w:szCs w:val="12"/>
        </w:rPr>
        <w:t xml:space="preserve"> sehr kleine oder stark umgebildete Blüten wie die der Gräser und Sauergräser),</w:t>
      </w:r>
    </w:p>
    <w:p w:rsidR="00BE1EFE" w:rsidRPr="00D24947" w:rsidRDefault="00BE1EFE" w:rsidP="00E91516">
      <w:pPr>
        <w:pStyle w:val="StandardWeb"/>
        <w:rPr>
          <w:sz w:val="12"/>
          <w:szCs w:val="12"/>
        </w:rPr>
      </w:pPr>
      <w:r>
        <w:rPr>
          <w:sz w:val="12"/>
          <w:szCs w:val="12"/>
        </w:rPr>
        <w:t>–</w:t>
      </w:r>
      <w:r w:rsidRPr="00D24947">
        <w:rPr>
          <w:sz w:val="12"/>
          <w:szCs w:val="12"/>
        </w:rPr>
        <w:t> Herstellen schwieriger pflanzenanatomischer Präparate (</w:t>
      </w:r>
      <w:r>
        <w:rPr>
          <w:sz w:val="12"/>
          <w:szCs w:val="12"/>
        </w:rPr>
        <w:t>z. B.</w:t>
      </w:r>
      <w:r w:rsidRPr="00D24947">
        <w:rPr>
          <w:sz w:val="12"/>
          <w:szCs w:val="12"/>
        </w:rPr>
        <w:t xml:space="preserve"> embryologische Schnitte oder Chromosomenpräparate),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Konservieren von sehr brüchigen Fossilien und von Fossilien aus sich veränderndem Material (</w:t>
      </w:r>
      <w:r>
        <w:rPr>
          <w:sz w:val="12"/>
          <w:szCs w:val="12"/>
        </w:rPr>
        <w:t>z. B.</w:t>
      </w:r>
      <w:r w:rsidRPr="00D24947">
        <w:rPr>
          <w:sz w:val="12"/>
          <w:szCs w:val="12"/>
        </w:rPr>
        <w:t xml:space="preserve"> Markasit),</w:t>
      </w:r>
    </w:p>
    <w:p w:rsidR="00BE1EFE" w:rsidRPr="00D24947" w:rsidRDefault="00BE1EFE" w:rsidP="00E91516">
      <w:pPr>
        <w:pStyle w:val="StandardWeb"/>
        <w:rPr>
          <w:sz w:val="12"/>
          <w:szCs w:val="12"/>
        </w:rPr>
      </w:pPr>
      <w:r>
        <w:rPr>
          <w:sz w:val="12"/>
          <w:szCs w:val="12"/>
        </w:rPr>
        <w:t>–</w:t>
      </w:r>
      <w:r w:rsidRPr="00D24947">
        <w:rPr>
          <w:sz w:val="12"/>
          <w:szCs w:val="12"/>
        </w:rPr>
        <w:t> Beseitigen alter Konservierungsmittel aus präparierten Fossilien und erneutes Konservieren,</w:t>
      </w:r>
    </w:p>
    <w:p w:rsidR="00BE1EFE" w:rsidRPr="00D24947" w:rsidRDefault="00BE1EFE" w:rsidP="005B0732">
      <w:pPr>
        <w:pStyle w:val="StandardWeb"/>
        <w:ind w:left="74" w:hanging="74"/>
        <w:rPr>
          <w:sz w:val="12"/>
          <w:szCs w:val="12"/>
        </w:rPr>
      </w:pPr>
      <w:r>
        <w:rPr>
          <w:sz w:val="12"/>
          <w:szCs w:val="12"/>
        </w:rPr>
        <w:t>–</w:t>
      </w:r>
      <w:r w:rsidRPr="00D24947">
        <w:rPr>
          <w:sz w:val="12"/>
          <w:szCs w:val="12"/>
        </w:rPr>
        <w:t> Feinpräparieren von weichen Fossilien in weichem Gestein und von harten Fossilien in hartem Gestein, auch mit einfachen Geräten,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orientierten Anschliffen, von geätzten Dünnschliffen einschließlich Lackfilmabzügen, selektives Anfärben auf bestimmte Mineralien bei Fossilien und fossilhaltigem Gestein,</w:t>
      </w:r>
    </w:p>
    <w:p w:rsidR="00BE1EFE" w:rsidRPr="00D24947" w:rsidRDefault="00BE1EFE" w:rsidP="00E91516">
      <w:pPr>
        <w:pStyle w:val="StandardWeb"/>
        <w:rPr>
          <w:sz w:val="12"/>
          <w:szCs w:val="12"/>
        </w:rPr>
      </w:pPr>
      <w:r>
        <w:rPr>
          <w:sz w:val="12"/>
          <w:szCs w:val="12"/>
        </w:rPr>
        <w:t>–</w:t>
      </w:r>
      <w:r w:rsidRPr="00D24947">
        <w:rPr>
          <w:sz w:val="12"/>
          <w:szCs w:val="12"/>
        </w:rPr>
        <w:t> Herstellen von Dünn</w:t>
      </w:r>
      <w:r>
        <w:rPr>
          <w:sz w:val="12"/>
          <w:szCs w:val="12"/>
        </w:rPr>
        <w:t>-</w:t>
      </w:r>
      <w:r w:rsidRPr="00D24947">
        <w:rPr>
          <w:sz w:val="12"/>
          <w:szCs w:val="12"/>
        </w:rPr>
        <w:t xml:space="preserve"> oder Serienschliffen von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von Lackfilmen und Folienabzügen großer geologischer Objekte (</w:t>
      </w:r>
      <w:r>
        <w:rPr>
          <w:sz w:val="12"/>
          <w:szCs w:val="12"/>
        </w:rPr>
        <w:t>z. B.</w:t>
      </w:r>
      <w:r w:rsidRPr="00D24947">
        <w:rPr>
          <w:sz w:val="12"/>
          <w:szCs w:val="12"/>
        </w:rPr>
        <w:t xml:space="preserve"> Bodenprofile) und gut erhaltener großer Fossilien,</w:t>
      </w:r>
    </w:p>
    <w:p w:rsidR="00BE1EFE" w:rsidRPr="00D24947" w:rsidRDefault="00BE1EFE" w:rsidP="00E91516">
      <w:pPr>
        <w:pStyle w:val="StandardWeb"/>
        <w:rPr>
          <w:sz w:val="12"/>
          <w:szCs w:val="12"/>
        </w:rPr>
      </w:pPr>
      <w:r>
        <w:rPr>
          <w:sz w:val="12"/>
          <w:szCs w:val="12"/>
        </w:rPr>
        <w:t>–</w:t>
      </w:r>
      <w:r w:rsidRPr="00D24947">
        <w:rPr>
          <w:sz w:val="12"/>
          <w:szCs w:val="12"/>
        </w:rPr>
        <w:t> Herausätzen von Fossilien aus Gestein,</w:t>
      </w:r>
    </w:p>
    <w:p w:rsidR="00BE1EFE" w:rsidRPr="00D24947" w:rsidRDefault="00BE1EFE" w:rsidP="00E91516">
      <w:pPr>
        <w:pStyle w:val="StandardWeb"/>
        <w:rPr>
          <w:sz w:val="12"/>
          <w:szCs w:val="12"/>
        </w:rPr>
      </w:pPr>
      <w:r>
        <w:rPr>
          <w:sz w:val="12"/>
          <w:szCs w:val="12"/>
        </w:rPr>
        <w:t>–</w:t>
      </w:r>
      <w:r w:rsidRPr="00D24947">
        <w:rPr>
          <w:sz w:val="12"/>
          <w:szCs w:val="12"/>
        </w:rPr>
        <w:t> Auslesen von Mikrofossilien und Vorsortieren nach Familien,</w:t>
      </w:r>
    </w:p>
    <w:p w:rsidR="00BE1EFE" w:rsidRPr="00D24947" w:rsidRDefault="00BE1EFE" w:rsidP="00E91516">
      <w:pPr>
        <w:pStyle w:val="StandardWeb"/>
        <w:rPr>
          <w:sz w:val="12"/>
          <w:szCs w:val="12"/>
        </w:rPr>
      </w:pPr>
      <w:r>
        <w:rPr>
          <w:sz w:val="12"/>
          <w:szCs w:val="12"/>
        </w:rPr>
        <w:t>–</w:t>
      </w:r>
      <w:r w:rsidRPr="00D24947">
        <w:rPr>
          <w:sz w:val="12"/>
          <w:szCs w:val="12"/>
        </w:rPr>
        <w:t> Ergänzen und Aufstellen einfacher Skelette fossiler Tiere für Schauzwecke,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Sicherung des Fossil-Materials einschließlich topographischer und zeichnerischer Fundaufnahme bei kleinen paläontologischen Fundkomplexen,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h. Fach-(arbeits-)gebiet „Mineralogie“:</w:t>
      </w:r>
    </w:p>
    <w:p w:rsidR="00BE1EFE" w:rsidRPr="00D24947" w:rsidRDefault="00BE1EFE" w:rsidP="00E91516">
      <w:pPr>
        <w:pStyle w:val="StandardWeb"/>
        <w:rPr>
          <w:sz w:val="12"/>
          <w:szCs w:val="12"/>
        </w:rPr>
      </w:pPr>
      <w:r>
        <w:rPr>
          <w:sz w:val="12"/>
          <w:szCs w:val="12"/>
        </w:rPr>
        <w:lastRenderedPageBreak/>
        <w:t>–</w:t>
      </w:r>
      <w:r w:rsidRPr="00D24947">
        <w:rPr>
          <w:sz w:val="12"/>
          <w:szCs w:val="12"/>
        </w:rPr>
        <w:t> Herstellen von Großdünnschliffen von Mineralien und Gesteinen,</w:t>
      </w:r>
    </w:p>
    <w:p w:rsidR="00BE1EFE" w:rsidRPr="00D24947" w:rsidRDefault="00BE1EFE" w:rsidP="00E91516">
      <w:pPr>
        <w:pStyle w:val="StandardWeb"/>
        <w:rPr>
          <w:sz w:val="12"/>
          <w:szCs w:val="12"/>
        </w:rPr>
      </w:pPr>
      <w:r>
        <w:rPr>
          <w:sz w:val="12"/>
          <w:szCs w:val="12"/>
        </w:rPr>
        <w:t>–</w:t>
      </w:r>
      <w:r w:rsidRPr="00D24947">
        <w:rPr>
          <w:sz w:val="12"/>
          <w:szCs w:val="12"/>
        </w:rPr>
        <w:t> Herstellen von Körnerdünnschliffen, von Dünnschliffen von Salzgestein und von polierte</w:t>
      </w:r>
      <w:r>
        <w:rPr>
          <w:sz w:val="12"/>
          <w:szCs w:val="12"/>
        </w:rPr>
        <w:t>n Anschliffen kohliger Gesteine,</w:t>
      </w:r>
    </w:p>
    <w:p w:rsidR="00BE1EFE" w:rsidRPr="00D24947" w:rsidRDefault="00BE1EFE" w:rsidP="005B0732">
      <w:pPr>
        <w:pStyle w:val="StandardWeb"/>
        <w:ind w:left="74" w:hanging="74"/>
        <w:rPr>
          <w:sz w:val="12"/>
          <w:szCs w:val="12"/>
        </w:rPr>
      </w:pPr>
      <w:r>
        <w:rPr>
          <w:sz w:val="12"/>
          <w:szCs w:val="12"/>
        </w:rPr>
        <w:t>–</w:t>
      </w:r>
      <w:r w:rsidRPr="00D24947">
        <w:rPr>
          <w:sz w:val="12"/>
          <w:szCs w:val="12"/>
        </w:rPr>
        <w:t> Ätzen von Erzanschliffen und selektives Anfärben auf bestimmte Mineralien bei mineralogischen oder petrographischen Dünnschliffen,</w:t>
      </w:r>
    </w:p>
    <w:p w:rsidR="00BE1EFE" w:rsidRPr="00D24947" w:rsidRDefault="00BE1EFE" w:rsidP="005B0732">
      <w:pPr>
        <w:pStyle w:val="StandardWeb"/>
        <w:ind w:left="74" w:hanging="74"/>
        <w:rPr>
          <w:sz w:val="12"/>
          <w:szCs w:val="12"/>
        </w:rPr>
      </w:pPr>
      <w:r>
        <w:rPr>
          <w:sz w:val="12"/>
          <w:szCs w:val="12"/>
        </w:rPr>
        <w:t>–</w:t>
      </w:r>
      <w:r w:rsidRPr="00D24947">
        <w:rPr>
          <w:sz w:val="12"/>
          <w:szCs w:val="12"/>
        </w:rPr>
        <w:t> Aufbereiten und Trennen der Mineralien aus Gesteinen anhand vorgegebener Trennungsstammbäume (</w:t>
      </w:r>
      <w:r>
        <w:rPr>
          <w:sz w:val="12"/>
          <w:szCs w:val="12"/>
        </w:rPr>
        <w:t>z. B.</w:t>
      </w:r>
      <w:r w:rsidRPr="00D24947">
        <w:rPr>
          <w:sz w:val="12"/>
          <w:szCs w:val="12"/>
        </w:rPr>
        <w:t xml:space="preserve"> mit Schwerelösungen, Zentrifuge, Magnetscheider, Stoßherd),</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i. Fach-(arbeits-)gebiet „Nachbildungen und Modelle von Tieren, Pflanzen und Fossilien“: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(einschließlich Negativform und Abguss) kompliziert gestalteter Tiere, Pflanzen oder Fossilien,</w:t>
      </w:r>
    </w:p>
    <w:p w:rsidR="00BE1EFE" w:rsidRPr="00D24947" w:rsidRDefault="00BE1EFE" w:rsidP="00E91516">
      <w:pPr>
        <w:pStyle w:val="StandardWeb"/>
        <w:rPr>
          <w:sz w:val="12"/>
          <w:szCs w:val="12"/>
        </w:rPr>
      </w:pPr>
      <w:r>
        <w:rPr>
          <w:sz w:val="12"/>
          <w:szCs w:val="12"/>
        </w:rPr>
        <w:t>–</w:t>
      </w:r>
      <w:r w:rsidRPr="00D24947">
        <w:rPr>
          <w:sz w:val="12"/>
          <w:szCs w:val="12"/>
        </w:rPr>
        <w:t> Herstellen von Rekonstruktionen und Modellen von Tieren und Pflanzen,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j. schwieriges Verpacken und Verlagern von besonders schwer handhabbaren oder sehr empfindlichen Objekten, </w:t>
      </w:r>
      <w:r>
        <w:rPr>
          <w:sz w:val="12"/>
          <w:szCs w:val="12"/>
        </w:rPr>
        <w:t>z. B.</w:t>
      </w:r>
      <w:r w:rsidRPr="00D24947">
        <w:rPr>
          <w:sz w:val="12"/>
          <w:szCs w:val="12"/>
        </w:rPr>
        <w:t>:</w:t>
      </w:r>
    </w:p>
    <w:p w:rsidR="00BE1EFE" w:rsidRPr="00D24947" w:rsidRDefault="00BE1EFE" w:rsidP="005B0732">
      <w:pPr>
        <w:pStyle w:val="StandardWeb"/>
        <w:ind w:left="74" w:hanging="74"/>
        <w:rPr>
          <w:sz w:val="12"/>
          <w:szCs w:val="12"/>
        </w:rPr>
      </w:pPr>
      <w:r>
        <w:rPr>
          <w:sz w:val="12"/>
          <w:szCs w:val="12"/>
        </w:rPr>
        <w:t>–</w:t>
      </w:r>
      <w:r w:rsidRPr="00D24947">
        <w:rPr>
          <w:sz w:val="12"/>
          <w:szCs w:val="12"/>
        </w:rPr>
        <w:t> Großfossilplatten und monumentale Präparate mit hohen Eigengewichten und komplizierten Formen, bei denen geeignete Transportmittel zu bedienen und statische Erfordernisse selbstständig zu bewerten sind,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k. schwierige Unterstützungsleistungen beim Aufbau von Ausstellungen, </w:t>
      </w:r>
      <w:r>
        <w:rPr>
          <w:sz w:val="12"/>
          <w:szCs w:val="12"/>
        </w:rPr>
        <w:t>z. B.</w:t>
      </w:r>
      <w:r w:rsidRPr="00D24947">
        <w:rPr>
          <w:sz w:val="12"/>
          <w:szCs w:val="12"/>
        </w:rPr>
        <w:t>:</w:t>
      </w:r>
    </w:p>
    <w:p w:rsidR="00BE1EFE" w:rsidRPr="00D24947" w:rsidRDefault="00BE1EFE" w:rsidP="00E91516">
      <w:pPr>
        <w:pStyle w:val="StandardWeb"/>
        <w:rPr>
          <w:sz w:val="12"/>
          <w:szCs w:val="12"/>
        </w:rPr>
      </w:pPr>
      <w:r>
        <w:rPr>
          <w:sz w:val="12"/>
          <w:szCs w:val="12"/>
        </w:rPr>
        <w:t>–</w:t>
      </w:r>
      <w:r w:rsidRPr="00D24947">
        <w:rPr>
          <w:sz w:val="12"/>
          <w:szCs w:val="12"/>
        </w:rPr>
        <w:t xml:space="preserve"> Aufbau von Großobjekten unter Bedienung von Geräten wie </w:t>
      </w:r>
      <w:r>
        <w:rPr>
          <w:sz w:val="12"/>
          <w:szCs w:val="12"/>
        </w:rPr>
        <w:t>z. B.</w:t>
      </w:r>
      <w:r w:rsidRPr="00D24947">
        <w:rPr>
          <w:sz w:val="12"/>
          <w:szCs w:val="12"/>
        </w:rPr>
        <w:t xml:space="preserve"> Kran oder Steiger,</w:t>
      </w:r>
    </w:p>
    <w:p w:rsidR="00BE1EFE" w:rsidRPr="00D24947" w:rsidRDefault="00BE1EFE" w:rsidP="00E91516">
      <w:pPr>
        <w:pStyle w:val="StandardWeb"/>
        <w:rPr>
          <w:sz w:val="12"/>
          <w:szCs w:val="12"/>
        </w:rPr>
      </w:pPr>
      <w:r>
        <w:rPr>
          <w:sz w:val="12"/>
          <w:szCs w:val="12"/>
        </w:rPr>
        <w:t>–</w:t>
      </w:r>
      <w:r w:rsidRPr="00D24947">
        <w:rPr>
          <w:sz w:val="12"/>
          <w:szCs w:val="12"/>
        </w:rPr>
        <w:t> Hängung oder Montage von mehrteiligen, komplizierten und empfindlichen Sammlungsgegenständen;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 Durchführen von Teilgrabungen („Schnittleitung“) unter technischer Anleitung (dazu gehören </w:t>
      </w:r>
      <w:r>
        <w:rPr>
          <w:sz w:val="12"/>
          <w:szCs w:val="12"/>
        </w:rPr>
        <w:t>z. B.</w:t>
      </w:r>
      <w:r w:rsidRPr="00D24947">
        <w:rPr>
          <w:sz w:val="12"/>
          <w:szCs w:val="12"/>
        </w:rPr>
        <w:t xml:space="preserve"> Vermessungsarbeiten nach einfachen Methoden, fotografische Dokumentation, Anfertigen einfacher maßstäblicher Grabungszeichnungen und einfacher Grabungs- oder Fundberichte),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Anfertigen schwieriger Grabungszeichnungen und unterstützende Tätigkeiten bei der Grabungsvermessung,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Beaufsichtigung der Grabungsmitarbeiter,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(4) </w:t>
      </w:r>
      <w:r w:rsidRPr="00D24947">
        <w:rPr>
          <w:sz w:val="12"/>
          <w:szCs w:val="12"/>
        </w:rPr>
        <w:t>Herstellung von Lackfilmen und Folienabzügen archäologischer Befunde,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Anleitung und Überwachung von einfachen Tätigkeiten in der Fundregistrierung und Fundbearbeitung,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Erstmaßnahmen zur Fundkonservierung von empfindlichen Objekten.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4. Besonders schwierige Tätigkeiten bei assistierenden Tätigkeiten im Bereich der Konservierung oder Restaurierung, der Präparation oder der Grabungstechnik sowie in der konservatorischen Pflege und Wartung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Ausführen systematisierter Arbeitsvorgänge an sehr empfindlichen Objekten nach Vorgabe durch eine Restauratorin oder einen Restaurator,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Lösen zusammengeklebter empfindlicher Archivalien und Buchblätter von nachgeordneter Bedeutung in schwierigen Fällen, z. B. bei starker Verschimmelung,</w:t>
      </w:r>
    </w:p>
    <w:p w:rsidR="00BE1EFE" w:rsidRPr="00D24947" w:rsidRDefault="00BE1EFE" w:rsidP="00E91516">
      <w:pPr>
        <w:pStyle w:val="StandardWeb"/>
        <w:rPr>
          <w:sz w:val="12"/>
          <w:szCs w:val="12"/>
        </w:rPr>
      </w:pPr>
      <w:r w:rsidRPr="00D24947">
        <w:rPr>
          <w:sz w:val="12"/>
          <w:szCs w:val="12"/>
        </w:rPr>
        <w:t>b. Schließen von Rissen an empfindlichen Archivalien mittels Japanpapier,</w:t>
      </w:r>
    </w:p>
    <w:p w:rsidR="00BE1EFE" w:rsidRPr="00D24947" w:rsidRDefault="00BE1EFE" w:rsidP="00E91516">
      <w:pPr>
        <w:pStyle w:val="StandardWeb"/>
        <w:rPr>
          <w:sz w:val="12"/>
          <w:szCs w:val="12"/>
        </w:rPr>
      </w:pPr>
      <w:r w:rsidRPr="00D24947">
        <w:rPr>
          <w:sz w:val="12"/>
          <w:szCs w:val="12"/>
        </w:rPr>
        <w:t>c. Absaugen oder Entstauben von sehr empfindlichen Bucheinbänden inhomogener Buchbestände oder ungefassten und sehr empfindlichen, veredelten Holzoberflächen (</w:t>
      </w:r>
      <w:r>
        <w:rPr>
          <w:sz w:val="12"/>
          <w:szCs w:val="12"/>
        </w:rPr>
        <w:t>z. B.</w:t>
      </w:r>
      <w:r w:rsidRPr="00D24947">
        <w:rPr>
          <w:sz w:val="12"/>
          <w:szCs w:val="12"/>
        </w:rPr>
        <w:t xml:space="preserve"> Trockenreinigung mittels Saugen und Pinsel),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Unterstützung bei der Betreuung zeitgenössischer Kunstobjekte (Medienkunstwerke und Installationen),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Bedienen von sehr komplizierten technischen Geräten, die zum Kunstwerk gehören und eine sehr sensible Handhabung erfordern, z. B. Einlegen von ungeschütztem Filmmaterial;</w:t>
      </w:r>
    </w:p>
    <w:p w:rsidR="00BE1EFE" w:rsidRPr="00D24947" w:rsidRDefault="00BE1EFE" w:rsidP="00E91516">
      <w:pPr>
        <w:pStyle w:val="StandardWeb"/>
        <w:rPr>
          <w:sz w:val="12"/>
          <w:szCs w:val="12"/>
        </w:rPr>
      </w:pPr>
      <w:r w:rsidRPr="00D24947">
        <w:rPr>
          <w:sz w:val="12"/>
          <w:szCs w:val="12"/>
        </w:rPr>
        <w:t>b. Beschaffung und Austausch von speziellen Ersatzteilen an kinetischen, elektrischen oder elektronischen Kunstwerken ein schließlich des Auswechselns von zum Kunstobjekt gehörenden Leuchtmitteln,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Ausführen von Tätigkeiten, die sehr gute manuelle Fertigkeiten und besondere Kenntnisse erfordern, </w:t>
      </w:r>
      <w:r>
        <w:rPr>
          <w:sz w:val="12"/>
          <w:szCs w:val="12"/>
        </w:rPr>
        <w:t>z. B.</w:t>
      </w:r>
      <w:r w:rsidRPr="00D24947">
        <w:rPr>
          <w:sz w:val="12"/>
          <w:szCs w:val="12"/>
        </w:rPr>
        <w: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originalgetreues Nachformen von Originalen sehr komplizierter Form nach Vorgabe,</w:t>
      </w:r>
    </w:p>
    <w:p w:rsidR="00BE1EFE" w:rsidRPr="00D24947" w:rsidRDefault="00BE1EFE" w:rsidP="00E91516">
      <w:pPr>
        <w:pStyle w:val="StandardWeb"/>
        <w:rPr>
          <w:sz w:val="12"/>
          <w:szCs w:val="12"/>
        </w:rPr>
      </w:pPr>
      <w:r w:rsidRPr="00D24947">
        <w:rPr>
          <w:sz w:val="12"/>
          <w:szCs w:val="12"/>
        </w:rPr>
        <w:t>b. originalgetreues Kolorieren von Nachbildungen mit komplizierter Farbgebung,</w:t>
      </w:r>
    </w:p>
    <w:p w:rsidR="00BE1EFE" w:rsidRPr="00D24947" w:rsidRDefault="00BE1EFE" w:rsidP="00E91516">
      <w:pPr>
        <w:pStyle w:val="StandardWeb"/>
        <w:rPr>
          <w:sz w:val="12"/>
          <w:szCs w:val="12"/>
        </w:rPr>
      </w:pPr>
      <w:r w:rsidRPr="00D24947">
        <w:rPr>
          <w:sz w:val="12"/>
          <w:szCs w:val="12"/>
        </w:rPr>
        <w:t>c. Herstellen sehr schwieriger Modelle und technischer Zeichnungen von Sammlungsgegenständen und sonstigen Objekten von wissenschaftlichem oder didaktischem Interesse,</w:t>
      </w:r>
    </w:p>
    <w:p w:rsidR="00BE1EFE" w:rsidRPr="00D24947" w:rsidRDefault="00BE1EFE" w:rsidP="00E91516">
      <w:pPr>
        <w:pStyle w:val="StandardWeb"/>
        <w:rPr>
          <w:sz w:val="12"/>
          <w:szCs w:val="12"/>
        </w:rPr>
      </w:pPr>
      <w:r w:rsidRPr="00D24947">
        <w:rPr>
          <w:sz w:val="12"/>
          <w:szCs w:val="12"/>
        </w:rPr>
        <w:t>d. assistierende Tätigkeiten bei der technischen Untersuchung nach Vorgabe, z. B. Einbetten und Anfertigen von Präparaten;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im Bereich „Abformungen, Rekonstruktionen, Modellbau und Nachbildungen von Tieren, Pflanzen und Fossilien“: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r>
        <w:rPr>
          <w:sz w:val="12"/>
          <w:szCs w:val="12"/>
        </w:rPr>
        <w:t>–</w:t>
      </w:r>
      <w:r w:rsidRPr="00D24947">
        <w:rPr>
          <w:sz w:val="12"/>
          <w:szCs w:val="12"/>
        </w:rPr>
        <w:t> Herstellen von Negativformen von sehr empfindlichen Originalen sehr komplizierter Form und Herstellen der Abgüsse,</w:t>
      </w:r>
    </w:p>
    <w:p w:rsidR="00BE1EFE" w:rsidRPr="00D24947" w:rsidRDefault="00BE1EFE" w:rsidP="00E91516">
      <w:pPr>
        <w:pStyle w:val="StandardWeb"/>
        <w:rPr>
          <w:sz w:val="12"/>
          <w:szCs w:val="12"/>
        </w:rPr>
      </w:pPr>
      <w:r>
        <w:rPr>
          <w:sz w:val="12"/>
          <w:szCs w:val="12"/>
        </w:rPr>
        <w:lastRenderedPageBreak/>
        <w:t>–</w:t>
      </w:r>
      <w:r w:rsidRPr="00D24947">
        <w:rPr>
          <w:sz w:val="12"/>
          <w:szCs w:val="12"/>
        </w:rPr>
        <w:t> originalgetreues Kolorieren von Abformungen und Nachbildungen mit sehr komplizierter Farbgebung,</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originalgetreuer Nachbildungen (einschließlich Negativform und Abguss) sehr kompliziert gestalteter Tiere, Pflanzen und Fossilien,</w:t>
      </w:r>
    </w:p>
    <w:p w:rsidR="00BE1EFE" w:rsidRPr="00D24947" w:rsidRDefault="00BE1EFE" w:rsidP="00E91516">
      <w:pPr>
        <w:pStyle w:val="StandardWeb"/>
        <w:rPr>
          <w:sz w:val="12"/>
          <w:szCs w:val="12"/>
        </w:rPr>
      </w:pPr>
      <w:r>
        <w:rPr>
          <w:sz w:val="12"/>
          <w:szCs w:val="12"/>
        </w:rPr>
        <w:t>–</w:t>
      </w:r>
      <w:r w:rsidRPr="00D24947">
        <w:rPr>
          <w:sz w:val="12"/>
          <w:szCs w:val="12"/>
        </w:rPr>
        <w:t> Herstellen von Rekonstruktionen und Modellen kompliziert gestalteter Tiere oder Pflanzen,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„zeichnerische Rekonstruktion und Modellbau“:</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Herstellen schwieriger Modelle von Sammlungsgegenständen und sonstigen Objekten von wissenschaftlichem Interesse nach eigenen Entwürfen aufgrund wissenschaftlicher Unterlagen,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im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„Zoologie – allgemeine Präparation“:</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E91516">
      <w:pPr>
        <w:pStyle w:val="StandardWeb"/>
        <w:rPr>
          <w:sz w:val="12"/>
          <w:szCs w:val="12"/>
        </w:rPr>
      </w:pPr>
      <w:r>
        <w:rPr>
          <w:sz w:val="12"/>
          <w:szCs w:val="12"/>
        </w:rPr>
        <w:t>–</w:t>
      </w:r>
      <w:r w:rsidRPr="00D24947">
        <w:rPr>
          <w:sz w:val="12"/>
          <w:szCs w:val="12"/>
        </w:rPr>
        <w:t> Präparieren von Tieren nach schwierigen Verfahren bei selbstständiger Wahl des Verfahrens,</w:t>
      </w:r>
    </w:p>
    <w:p w:rsidR="00BE1EFE" w:rsidRPr="00D24947" w:rsidRDefault="00BE1EFE" w:rsidP="00E91516">
      <w:pPr>
        <w:pStyle w:val="StandardWeb"/>
        <w:rPr>
          <w:sz w:val="12"/>
          <w:szCs w:val="12"/>
        </w:rPr>
      </w:pPr>
      <w:r>
        <w:rPr>
          <w:sz w:val="12"/>
          <w:szCs w:val="12"/>
        </w:rPr>
        <w:t>–</w:t>
      </w:r>
      <w:r w:rsidRPr="00D24947">
        <w:rPr>
          <w:sz w:val="12"/>
          <w:szCs w:val="12"/>
        </w:rPr>
        <w:t> Präparieren kleinster zoologischer Objekte (</w:t>
      </w:r>
      <w:r>
        <w:rPr>
          <w:sz w:val="12"/>
          <w:szCs w:val="12"/>
        </w:rPr>
        <w:t>z. B.</w:t>
      </w:r>
      <w:r w:rsidRPr="00D24947">
        <w:rPr>
          <w:sz w:val="12"/>
          <w:szCs w:val="12"/>
        </w:rPr>
        <w:t xml:space="preserve"> Genitalien kleiner Insekten) unter dem Mikroskop,</w:t>
      </w:r>
    </w:p>
    <w:p w:rsidR="00BE1EFE" w:rsidRPr="00D24947" w:rsidRDefault="00BE1EFE" w:rsidP="00E91516">
      <w:pPr>
        <w:pStyle w:val="StandardWeb"/>
        <w:rPr>
          <w:sz w:val="12"/>
          <w:szCs w:val="12"/>
        </w:rPr>
      </w:pPr>
      <w:r>
        <w:rPr>
          <w:sz w:val="12"/>
          <w:szCs w:val="12"/>
        </w:rPr>
        <w:t>–</w:t>
      </w:r>
      <w:r w:rsidRPr="00D24947">
        <w:rPr>
          <w:sz w:val="12"/>
          <w:szCs w:val="12"/>
        </w:rPr>
        <w:t> Herstellen schwieriger anatomischer Präparate (</w:t>
      </w:r>
      <w:r>
        <w:rPr>
          <w:sz w:val="12"/>
          <w:szCs w:val="12"/>
        </w:rPr>
        <w:t>z. B.</w:t>
      </w:r>
      <w:r w:rsidRPr="00D24947">
        <w:rPr>
          <w:sz w:val="12"/>
          <w:szCs w:val="12"/>
        </w:rPr>
        <w:t xml:space="preserve"> Nerven- oder Gefäßpräparate),</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b. Fach-(arbeits-)gebiet „organische Materialien (Leder, Federn etc.)“:</w:t>
      </w:r>
    </w:p>
    <w:p w:rsidR="00BE1EFE" w:rsidRPr="00D24947" w:rsidRDefault="00BE1EFE" w:rsidP="005B0732">
      <w:pPr>
        <w:pStyle w:val="StandardWeb"/>
        <w:ind w:left="74" w:hanging="74"/>
        <w:rPr>
          <w:sz w:val="12"/>
          <w:szCs w:val="12"/>
        </w:rPr>
      </w:pPr>
      <w:r>
        <w:rPr>
          <w:sz w:val="12"/>
          <w:szCs w:val="12"/>
        </w:rPr>
        <w:t>–</w:t>
      </w:r>
      <w:r w:rsidRPr="00D24947">
        <w:rPr>
          <w:sz w:val="12"/>
          <w:szCs w:val="12"/>
        </w:rPr>
        <w:t> Reinigen, Konservieren und Restaurieren stark beschädigter oder empfindlicher Präparate mit Leder-, Fell oder Federoberfläche,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Dermoplastik und Dioramen“:</w:t>
      </w:r>
    </w:p>
    <w:p w:rsidR="00BE1EFE" w:rsidRPr="00D24947" w:rsidRDefault="00BE1EFE" w:rsidP="00E91516">
      <w:pPr>
        <w:pStyle w:val="StandardWeb"/>
        <w:rPr>
          <w:sz w:val="12"/>
          <w:szCs w:val="12"/>
        </w:rPr>
      </w:pPr>
      <w:r>
        <w:rPr>
          <w:sz w:val="12"/>
          <w:szCs w:val="12"/>
        </w:rPr>
        <w:t>–</w:t>
      </w:r>
      <w:r w:rsidRPr="00D24947">
        <w:rPr>
          <w:sz w:val="12"/>
          <w:szCs w:val="12"/>
        </w:rPr>
        <w:t> Herstellen schwieriger Dermoplastiken (Großdermoplastiken mit selbst modellierten komplizierten Körpern),</w:t>
      </w:r>
    </w:p>
    <w:p w:rsidR="00BE1EFE" w:rsidRPr="00D24947" w:rsidRDefault="00BE1EFE" w:rsidP="005B0732">
      <w:pPr>
        <w:pStyle w:val="StandardWeb"/>
        <w:ind w:left="74" w:hanging="74"/>
        <w:rPr>
          <w:sz w:val="12"/>
          <w:szCs w:val="12"/>
        </w:rPr>
      </w:pPr>
      <w:r>
        <w:rPr>
          <w:sz w:val="12"/>
          <w:szCs w:val="12"/>
        </w:rPr>
        <w:t>–</w:t>
      </w:r>
      <w:r w:rsidRPr="00D24947">
        <w:rPr>
          <w:sz w:val="12"/>
          <w:szCs w:val="12"/>
        </w:rPr>
        <w:t> Herstellung von Ausstellungspräparaten unter Anwendung verschiedener Technologien (</w:t>
      </w:r>
      <w:r>
        <w:rPr>
          <w:sz w:val="12"/>
          <w:szCs w:val="12"/>
        </w:rPr>
        <w:t>z. B.</w:t>
      </w:r>
      <w:r w:rsidRPr="00D24947">
        <w:rPr>
          <w:sz w:val="12"/>
          <w:szCs w:val="12"/>
        </w:rPr>
        <w:t xml:space="preserve"> Habitusmontagepräparation mit Imprägnierungs- und Gefriertrocknungstechnik),</w:t>
      </w:r>
    </w:p>
    <w:p w:rsidR="00BE1EFE" w:rsidRPr="00D24947" w:rsidRDefault="00BE1EFE" w:rsidP="005B0732">
      <w:pPr>
        <w:pStyle w:val="StandardWeb"/>
        <w:ind w:left="74" w:hanging="74"/>
        <w:rPr>
          <w:sz w:val="12"/>
          <w:szCs w:val="12"/>
        </w:rPr>
      </w:pPr>
      <w:r>
        <w:rPr>
          <w:sz w:val="12"/>
          <w:szCs w:val="12"/>
        </w:rPr>
        <w:t>–</w:t>
      </w:r>
      <w:r w:rsidRPr="00D24947">
        <w:rPr>
          <w:sz w:val="12"/>
          <w:szCs w:val="12"/>
        </w:rPr>
        <w:t xml:space="preserve"> Herstellen zoologischer, botanischer, paläontologischer Dioramen </w:t>
      </w:r>
      <w:r>
        <w:rPr>
          <w:sz w:val="12"/>
          <w:szCs w:val="12"/>
        </w:rPr>
        <w:t>–</w:t>
      </w:r>
      <w:r w:rsidRPr="00D24947">
        <w:rPr>
          <w:sz w:val="12"/>
          <w:szCs w:val="12"/>
        </w:rPr>
        <w:t xml:space="preserve"> ohne graphische und Kunstmalerarbeiten </w:t>
      </w:r>
      <w:r>
        <w:rPr>
          <w:sz w:val="12"/>
          <w:szCs w:val="12"/>
        </w:rPr>
        <w:t>–</w:t>
      </w:r>
      <w:r w:rsidRPr="00D24947">
        <w:rPr>
          <w:sz w:val="12"/>
          <w:szCs w:val="12"/>
        </w:rPr>
        <w:t xml:space="preserve"> nach skizzenhaften Angaben,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„Zoologie – Skelette“:</w:t>
      </w:r>
    </w:p>
    <w:p w:rsidR="00BE1EFE" w:rsidRPr="00D24947" w:rsidRDefault="00BE1EFE" w:rsidP="00E91516">
      <w:pPr>
        <w:pStyle w:val="StandardWeb"/>
        <w:rPr>
          <w:sz w:val="12"/>
          <w:szCs w:val="12"/>
        </w:rPr>
      </w:pPr>
      <w:r>
        <w:rPr>
          <w:sz w:val="12"/>
          <w:szCs w:val="12"/>
        </w:rPr>
        <w:t>–</w:t>
      </w:r>
      <w:r w:rsidRPr="00D24947">
        <w:rPr>
          <w:sz w:val="12"/>
          <w:szCs w:val="12"/>
        </w:rPr>
        <w:t> Präparieren und Aufstellen komplizierter Skelette seltener Tiere unter Verwendung selbst zusammengestellter Fachliteratur,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„Botanik“:</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E91516">
      <w:pPr>
        <w:pStyle w:val="StandardWeb"/>
        <w:rPr>
          <w:sz w:val="12"/>
          <w:szCs w:val="12"/>
        </w:rPr>
      </w:pPr>
      <w:r>
        <w:rPr>
          <w:sz w:val="12"/>
          <w:szCs w:val="12"/>
        </w:rPr>
        <w:t>–</w:t>
      </w:r>
      <w:r w:rsidRPr="00D24947">
        <w:rPr>
          <w:sz w:val="12"/>
          <w:szCs w:val="12"/>
        </w:rPr>
        <w:t> Präparieren kleinster Pflanzen und Pflanzenteile unter dem Mikroskop,</w:t>
      </w:r>
    </w:p>
    <w:p w:rsidR="00BE1EFE" w:rsidRPr="00D24947" w:rsidRDefault="00BE1EFE" w:rsidP="00E91516">
      <w:pPr>
        <w:pStyle w:val="StandardWeb"/>
        <w:rPr>
          <w:sz w:val="12"/>
          <w:szCs w:val="12"/>
        </w:rPr>
      </w:pPr>
      <w:r>
        <w:rPr>
          <w:sz w:val="12"/>
          <w:szCs w:val="12"/>
        </w:rPr>
        <w:t>–</w:t>
      </w:r>
      <w:r w:rsidRPr="00D24947">
        <w:rPr>
          <w:sz w:val="12"/>
          <w:szCs w:val="12"/>
        </w:rPr>
        <w:t> Präparieren von Pflanzen nach schwierigen Verfahren bei selbstständiger Wahl des Verfahrens,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„Geologie und Paläontologie“:</w:t>
      </w:r>
    </w:p>
    <w:p w:rsidR="00BE1EFE" w:rsidRPr="00D24947" w:rsidRDefault="00BE1EFE" w:rsidP="00E91516">
      <w:pPr>
        <w:pStyle w:val="StandardWeb"/>
        <w:rPr>
          <w:sz w:val="12"/>
          <w:szCs w:val="12"/>
        </w:rPr>
      </w:pPr>
      <w:r>
        <w:rPr>
          <w:sz w:val="12"/>
          <w:szCs w:val="12"/>
        </w:rPr>
        <w:t>–</w:t>
      </w:r>
      <w:r w:rsidRPr="00D24947">
        <w:rPr>
          <w:sz w:val="12"/>
          <w:szCs w:val="12"/>
        </w:rPr>
        <w:t> Erproben neuartiger schwieriger Präparierungsverfahren,</w:t>
      </w:r>
    </w:p>
    <w:p w:rsidR="00BE1EFE" w:rsidRPr="00D24947" w:rsidRDefault="00BE1EFE" w:rsidP="005B0732">
      <w:pPr>
        <w:pStyle w:val="StandardWeb"/>
        <w:ind w:left="74" w:hanging="74"/>
        <w:rPr>
          <w:sz w:val="12"/>
          <w:szCs w:val="12"/>
        </w:rPr>
      </w:pPr>
      <w:r>
        <w:rPr>
          <w:sz w:val="12"/>
          <w:szCs w:val="12"/>
        </w:rPr>
        <w:t>–</w:t>
      </w:r>
      <w:r w:rsidRPr="00D24947">
        <w:rPr>
          <w:sz w:val="12"/>
          <w:szCs w:val="12"/>
        </w:rPr>
        <w:t> Feinpräparieren sehr schlecht erhaltener oder schlecht präparierbarer Fossilien (</w:t>
      </w:r>
      <w:r>
        <w:rPr>
          <w:sz w:val="12"/>
          <w:szCs w:val="12"/>
        </w:rPr>
        <w:t>z. B.</w:t>
      </w:r>
      <w:r w:rsidRPr="00D24947">
        <w:rPr>
          <w:sz w:val="12"/>
          <w:szCs w:val="12"/>
        </w:rPr>
        <w:t xml:space="preserve"> weicher oder spröder Fossilien in hartem Gestein), auch mit komplizierten Geräten,</w:t>
      </w:r>
    </w:p>
    <w:p w:rsidR="00BE1EFE" w:rsidRPr="00D24947" w:rsidRDefault="00BE1EFE" w:rsidP="00E91516">
      <w:pPr>
        <w:pStyle w:val="StandardWeb"/>
        <w:rPr>
          <w:sz w:val="12"/>
          <w:szCs w:val="12"/>
        </w:rPr>
      </w:pPr>
      <w:r>
        <w:rPr>
          <w:sz w:val="12"/>
          <w:szCs w:val="12"/>
        </w:rPr>
        <w:t>–</w:t>
      </w:r>
      <w:r w:rsidRPr="00D24947">
        <w:rPr>
          <w:sz w:val="12"/>
          <w:szCs w:val="12"/>
        </w:rPr>
        <w:t> Herstellen sehr schwieriger paläobotanischer Präparate (</w:t>
      </w:r>
      <w:r>
        <w:rPr>
          <w:sz w:val="12"/>
          <w:szCs w:val="12"/>
        </w:rPr>
        <w:t>z. B.</w:t>
      </w:r>
      <w:r w:rsidRPr="00D24947">
        <w:rPr>
          <w:sz w:val="12"/>
          <w:szCs w:val="12"/>
        </w:rPr>
        <w:t xml:space="preserve"> Kutikula</w:t>
      </w:r>
      <w:r>
        <w:rPr>
          <w:sz w:val="12"/>
          <w:szCs w:val="12"/>
        </w:rPr>
        <w:t>–</w:t>
      </w:r>
      <w:r w:rsidRPr="00D24947">
        <w:rPr>
          <w:sz w:val="12"/>
          <w:szCs w:val="12"/>
        </w:rPr>
        <w:t>Präparate, Präparate für Pollenanalysen),</w:t>
      </w:r>
    </w:p>
    <w:p w:rsidR="00BE1EFE" w:rsidRPr="00D24947" w:rsidRDefault="00BE1EFE" w:rsidP="00E91516">
      <w:pPr>
        <w:pStyle w:val="StandardWeb"/>
        <w:rPr>
          <w:sz w:val="12"/>
          <w:szCs w:val="12"/>
        </w:rPr>
      </w:pPr>
      <w:r>
        <w:rPr>
          <w:sz w:val="12"/>
          <w:szCs w:val="12"/>
        </w:rPr>
        <w:t>–</w:t>
      </w:r>
      <w:r w:rsidRPr="00D24947">
        <w:rPr>
          <w:sz w:val="12"/>
          <w:szCs w:val="12"/>
        </w:rPr>
        <w:t> Herstellen schwieriger Serienschliffe und schwieriger orientierter Dünnschliffe von Fossilien,</w:t>
      </w:r>
    </w:p>
    <w:p w:rsidR="00BE1EFE" w:rsidRPr="00D24947" w:rsidRDefault="00BE1EFE" w:rsidP="00E91516">
      <w:pPr>
        <w:pStyle w:val="StandardWeb"/>
        <w:rPr>
          <w:sz w:val="12"/>
          <w:szCs w:val="12"/>
        </w:rPr>
      </w:pPr>
      <w:r>
        <w:rPr>
          <w:sz w:val="12"/>
          <w:szCs w:val="12"/>
        </w:rPr>
        <w:t>–</w:t>
      </w:r>
      <w:r w:rsidRPr="00D24947">
        <w:rPr>
          <w:sz w:val="12"/>
          <w:szCs w:val="12"/>
        </w:rPr>
        <w:t> Übertragen schlecht erhaltener großer Fossilien auf Lackfilme,</w:t>
      </w:r>
    </w:p>
    <w:p w:rsidR="00BE1EFE" w:rsidRPr="00D24947" w:rsidRDefault="00BE1EFE" w:rsidP="00E91516">
      <w:pPr>
        <w:pStyle w:val="StandardWeb"/>
        <w:rPr>
          <w:sz w:val="12"/>
          <w:szCs w:val="12"/>
        </w:rPr>
      </w:pPr>
      <w:r>
        <w:rPr>
          <w:sz w:val="12"/>
          <w:szCs w:val="12"/>
        </w:rPr>
        <w:t>–</w:t>
      </w:r>
      <w:r w:rsidRPr="00D24947">
        <w:rPr>
          <w:sz w:val="12"/>
          <w:szCs w:val="12"/>
        </w:rPr>
        <w:t> sehr schwieriges Herausätzen von empfindlichen Fossilien oder Fossilienteilen,</w:t>
      </w:r>
    </w:p>
    <w:p w:rsidR="00BE1EFE" w:rsidRPr="00D24947" w:rsidRDefault="00BE1EFE" w:rsidP="00E91516">
      <w:pPr>
        <w:pStyle w:val="StandardWeb"/>
        <w:rPr>
          <w:sz w:val="12"/>
          <w:szCs w:val="12"/>
        </w:rPr>
      </w:pPr>
      <w:r>
        <w:rPr>
          <w:sz w:val="12"/>
          <w:szCs w:val="12"/>
        </w:rPr>
        <w:t>–</w:t>
      </w:r>
      <w:r w:rsidRPr="00D24947">
        <w:rPr>
          <w:sz w:val="12"/>
          <w:szCs w:val="12"/>
        </w:rPr>
        <w:t> Präparieren von Mikrofossilien unter dem Mikroskop,</w:t>
      </w:r>
    </w:p>
    <w:p w:rsidR="00BE1EFE" w:rsidRPr="00D24947" w:rsidRDefault="00BE1EFE" w:rsidP="00E91516">
      <w:pPr>
        <w:pStyle w:val="StandardWeb"/>
        <w:rPr>
          <w:sz w:val="12"/>
          <w:szCs w:val="12"/>
        </w:rPr>
      </w:pPr>
      <w:r>
        <w:rPr>
          <w:sz w:val="12"/>
          <w:szCs w:val="12"/>
        </w:rPr>
        <w:t>–</w:t>
      </w:r>
      <w:r w:rsidRPr="00D24947">
        <w:rPr>
          <w:sz w:val="12"/>
          <w:szCs w:val="12"/>
        </w:rPr>
        <w:t> Ergänzen und Aufstellen komplizierter Skelette fossiler Tiere für Schauzwecke,</w:t>
      </w:r>
    </w:p>
    <w:p w:rsidR="00BE1EFE" w:rsidRPr="00D24947" w:rsidRDefault="00BE1EFE" w:rsidP="005B0732">
      <w:pPr>
        <w:pStyle w:val="StandardWeb"/>
        <w:ind w:left="74" w:hanging="74"/>
        <w:rPr>
          <w:sz w:val="12"/>
          <w:szCs w:val="12"/>
        </w:rPr>
      </w:pPr>
      <w:r>
        <w:rPr>
          <w:sz w:val="12"/>
          <w:szCs w:val="12"/>
        </w:rPr>
        <w:t>–</w:t>
      </w:r>
      <w:r w:rsidRPr="00D24947">
        <w:rPr>
          <w:sz w:val="12"/>
          <w:szCs w:val="12"/>
        </w:rPr>
        <w:t> Sicherung des Fossil-Materials einschließlich topographischer und zeichnerischer Fundaufnahme bei großen paläonto</w:t>
      </w:r>
      <w:r>
        <w:rPr>
          <w:sz w:val="12"/>
          <w:szCs w:val="12"/>
        </w:rPr>
        <w:softHyphen/>
      </w:r>
      <w:r w:rsidRPr="00D24947">
        <w:rPr>
          <w:sz w:val="12"/>
          <w:szCs w:val="12"/>
        </w:rPr>
        <w:t>logischen Fundkomplexen,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Herstellen von Mineralschnitten und von orientierten Gesteinsdünnschliffen,</w:t>
      </w:r>
    </w:p>
    <w:p w:rsidR="00BE1EFE" w:rsidRPr="00D24947" w:rsidRDefault="00BE1EFE" w:rsidP="00E91516">
      <w:pPr>
        <w:pStyle w:val="StandardWeb"/>
        <w:rPr>
          <w:sz w:val="12"/>
          <w:szCs w:val="12"/>
        </w:rPr>
      </w:pPr>
      <w:r>
        <w:rPr>
          <w:sz w:val="12"/>
          <w:szCs w:val="12"/>
        </w:rPr>
        <w:t>–</w:t>
      </w:r>
      <w:r w:rsidRPr="00D24947">
        <w:rPr>
          <w:sz w:val="12"/>
          <w:szCs w:val="12"/>
        </w:rPr>
        <w:t> Herstellen zweiseitig polierter Mineral</w:t>
      </w:r>
      <w:r>
        <w:rPr>
          <w:sz w:val="12"/>
          <w:szCs w:val="12"/>
        </w:rPr>
        <w:t>-</w:t>
      </w:r>
      <w:r w:rsidRPr="00D24947">
        <w:rPr>
          <w:sz w:val="12"/>
          <w:szCs w:val="12"/>
        </w:rPr>
        <w:t xml:space="preserve"> und Gesteinsdünnschliffe,</w:t>
      </w:r>
    </w:p>
    <w:p w:rsidR="00BE1EFE" w:rsidRPr="00D24947" w:rsidRDefault="00BE1EFE" w:rsidP="00E91516">
      <w:pPr>
        <w:pStyle w:val="StandardWeb"/>
        <w:rPr>
          <w:sz w:val="12"/>
          <w:szCs w:val="12"/>
        </w:rPr>
      </w:pPr>
      <w:r>
        <w:rPr>
          <w:sz w:val="12"/>
          <w:szCs w:val="12"/>
        </w:rPr>
        <w:t>–</w:t>
      </w:r>
      <w:r w:rsidRPr="00D24947">
        <w:rPr>
          <w:sz w:val="12"/>
          <w:szCs w:val="12"/>
        </w:rPr>
        <w:t> Herstellen von Mineral- und Gesteinspräparaten für Untersuchungen mit der Mikrosonde,</w:t>
      </w:r>
    </w:p>
    <w:p w:rsidR="00BE1EFE" w:rsidRPr="00D24947" w:rsidRDefault="00BE1EFE" w:rsidP="00E91516">
      <w:pPr>
        <w:pStyle w:val="StandardWeb"/>
        <w:rPr>
          <w:sz w:val="12"/>
          <w:szCs w:val="12"/>
        </w:rPr>
      </w:pPr>
      <w:r>
        <w:rPr>
          <w:sz w:val="12"/>
          <w:szCs w:val="12"/>
        </w:rPr>
        <w:t>–</w:t>
      </w:r>
      <w:r w:rsidRPr="00D24947">
        <w:rPr>
          <w:sz w:val="12"/>
          <w:szCs w:val="12"/>
        </w:rPr>
        <w:t> Handauslesen extrem reiner Mineralfraktionen für die Spektralanalyse,</w:t>
      </w:r>
    </w:p>
    <w:p w:rsidR="00BE1EFE" w:rsidRPr="00D24947" w:rsidRDefault="00BE1EFE" w:rsidP="00E91516">
      <w:pPr>
        <w:pStyle w:val="StandardWeb"/>
        <w:rPr>
          <w:sz w:val="12"/>
          <w:szCs w:val="12"/>
        </w:rPr>
      </w:pPr>
      <w:r>
        <w:rPr>
          <w:sz w:val="12"/>
          <w:szCs w:val="12"/>
        </w:rPr>
        <w:t>–</w:t>
      </w:r>
      <w:r w:rsidRPr="00D24947">
        <w:rPr>
          <w:sz w:val="12"/>
          <w:szCs w:val="12"/>
        </w:rPr>
        <w:t> Herauslösen bestimmter Mineralkörner aus Gesteinsdünnschliffen (Mikropräparation),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(3) weitere besonders schwierige Präparationstätigkeiten liegen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komplexen Maßnahmen zur Schadensprophylaxe, wie der Erfassung schädlicher Umgebungseinflüsse (</w:t>
      </w:r>
      <w:r>
        <w:rPr>
          <w:sz w:val="12"/>
          <w:szCs w:val="12"/>
        </w:rPr>
        <w:t>z. B.</w:t>
      </w:r>
      <w:r w:rsidRPr="00D24947">
        <w:rPr>
          <w:sz w:val="12"/>
          <w:szCs w:val="12"/>
        </w:rPr>
        <w:t xml:space="preserve"> Klima, Licht oder Schadinsektenbefall) auf das wissenschaftliche Sammlungsgut oder das Kulturgut und umfassende Kontrolle des Zustands der wissenschaftlichen Sammlungsgegenstände bzw. des Kulturguts,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der Erstellung von detaillierten Zustandsprotokollen für den Leihverkehr und Kurierbegleitung bei empfindlichen Objekten mit komplexen Schadensbildern einschließlich deren Installierung vor Ort,</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c. umfassender schriftlicher und fotografischer Dokumentation und Kartierung von Befunden und Maßnahmen sowie der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lastRenderedPageBreak/>
        <w:t xml:space="preserve">(1) Durchführen schwierigerer Grabungen unter technischer Leitung (dazu gehören </w:t>
      </w:r>
      <w:r>
        <w:rPr>
          <w:sz w:val="12"/>
          <w:szCs w:val="12"/>
        </w:rPr>
        <w:t>z. B.</w:t>
      </w:r>
      <w:r w:rsidRPr="00D24947">
        <w:rPr>
          <w:sz w:val="12"/>
          <w:szCs w:val="12"/>
        </w:rPr>
        <w:t xml:space="preserve"> Planen und Vermessen von Probeschnitten, Anfertigen schwieriger Grabungszeichnungen und schwieriger Grabungs- oder Fundberichte, Photographische Dokumentation),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Fundfreilegung von empfindlichen Objekten auf dem Grabungsgelände sowie Durchführung von Blockbergungen unter technischer Anleitung,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Schwierige zeichnerische Rekonstruktion von Sammlungsgegenständen und sonstigen wissenschaftlichen Artefakten,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Umzeichnung und Zusammenfassung von Grabungszeichnungen,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Vorlagenerstellung für Veröffentlichungen von Ausgrabungsergebnissen.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5. Eine entsprechende Tätigkeit liegt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Maßnahmen zur Schadensprophylaxe, wie der Erfassung möglicher Umgebungseinflüsse (z. B. Klima oder Licht) auf das Kulturgut sowie Kontrolle und Umsetzung von Verbesserungsmaßnahmen,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Erstellung von detaillierten Zustandsprotokollen für den Leihverkehr und Kurierbegleitung bei weniger empfindlichen Objekten einschließlich deren Installierung vor Ort,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schriftlicher und fotografischer Dokumentation und Kartierung von Befunden und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Erfassung und Kartierung einfacherer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(5) </w:t>
      </w:r>
      <w:r w:rsidRPr="00D24947">
        <w:rPr>
          <w:sz w:val="12"/>
          <w:szCs w:val="12"/>
        </w:rPr>
        <w:t>Durchführung einfacher materialtechnischer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Endprüfung neu hergestellter audiovisueller Archivalien auf Erreichung des Ziels der konservatorischen oder restauratorischen Maßnahmen und Fehlerfreiheit; gegebenenfalls Formulierung von Reklamationsansprüchen;</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b) Präparationstätigkeiten: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Maßnahmen zur Schadensprophylaxe, wie der Erfassung möglicher Umgebungseinflüsse (z. B. Klima oder Licht) auf das Kulturgut sowie Kontrolle und Umsetzung von Verbesserungsmaßnahmen,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Erstellung von detaillierten Zustandsprotokollen für den Leihverkehr und Kurierbegleitung bei weniger empfindlichen Objekten einschließlich deren Installierung vor Ort,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schriftlicher und fotografischer Dokumentation und Kartierung von Befunden und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Erfassung und Kartierung einfacherer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Durchführung einfacher materialtechnischer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Durchführen schwieriger Grabungen unter wissenschaftlicher Anleitung; dazu gehören z. B. Planen und Vermessen von Probeschnitten, Anfertigen schwieriger Grabungszeichnungen und Grabungs- oder Fundberichte sowie fotografische Dokumentation,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Erkennung und Bewertung archäologischer Bodendenkmäler (Feldbegehung) sowie deren Lagebestimmung,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Erstellung eines Layouts für Publikationen bis zur Druckvorstufe.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Tätigkeiten, die besondere Fachkenntnisse erfordern, sind z. B.:</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Durchführung von konservatorischen oder restauratorischen Maßnahmen an Objekten, die sich dadurch aus der Entgeltgruppe 9b herausheben, dass sie aufgrund ihrer Empfindlichkeit und ihres Schadensbildes des fortgeschrittene Fähigkeiten und Fertigkeiten sowie besondere Umsicht und Sorgfalt erfordern,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schwieriger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im Bereich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Bereich „Rekonstruktionen, Abformungen, Modellbau“:</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„Abgüsse, Nachbildungen etc.“:</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w:t>
      </w:r>
      <w:r w:rsidRPr="00D24947">
        <w:rPr>
          <w:sz w:val="12"/>
          <w:szCs w:val="12"/>
        </w:rPr>
        <w:t> Entwickeln und Erproben neuartiger Nachbildungsverfahren bei vorgegebener Aufgabenstellung,</w:t>
      </w:r>
    </w:p>
    <w:p w:rsidR="00BE1EFE" w:rsidRPr="00D24947" w:rsidRDefault="00BE1EFE" w:rsidP="00E91516">
      <w:pPr>
        <w:pStyle w:val="StandardWeb"/>
        <w:rPr>
          <w:sz w:val="12"/>
          <w:szCs w:val="12"/>
        </w:rPr>
      </w:pPr>
      <w:r>
        <w:rPr>
          <w:sz w:val="12"/>
          <w:szCs w:val="12"/>
        </w:rPr>
        <w:t>–</w:t>
      </w:r>
      <w:r w:rsidRPr="00D24947">
        <w:rPr>
          <w:sz w:val="12"/>
          <w:szCs w:val="12"/>
        </w:rPr>
        <w:t> Abformung empfindlicher organischer Objekte mit komplizierter Form,</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„Nachbildungen und Modelle von Tieren, Pflanzen und Fossilien“:</w:t>
      </w:r>
    </w:p>
    <w:p w:rsidR="00BE1EFE" w:rsidRPr="00D24947" w:rsidRDefault="00BE1EFE" w:rsidP="00971ECA">
      <w:pPr>
        <w:pStyle w:val="StandardWeb"/>
        <w:ind w:left="74" w:hanging="74"/>
        <w:rPr>
          <w:sz w:val="12"/>
          <w:szCs w:val="12"/>
        </w:rPr>
      </w:pPr>
      <w:r>
        <w:rPr>
          <w:sz w:val="12"/>
          <w:szCs w:val="12"/>
        </w:rPr>
        <w:t>–</w:t>
      </w:r>
      <w:r w:rsidRPr="00D24947">
        <w:rPr>
          <w:sz w:val="12"/>
          <w:szCs w:val="12"/>
        </w:rPr>
        <w:t> selbstständige Erarbeitung dreidimensionaler Rekonstruktion ausgestorbener Tiere auf Grundlage von Fossilfunden ohne Vorlagen,</w:t>
      </w:r>
    </w:p>
    <w:p w:rsidR="00BE1EFE" w:rsidRPr="00D24947" w:rsidRDefault="00BE1EFE" w:rsidP="00971ECA">
      <w:pPr>
        <w:pStyle w:val="StandardWeb"/>
        <w:ind w:left="74" w:hanging="74"/>
        <w:rPr>
          <w:sz w:val="12"/>
          <w:szCs w:val="12"/>
        </w:rPr>
      </w:pPr>
      <w:r>
        <w:rPr>
          <w:sz w:val="12"/>
          <w:szCs w:val="12"/>
        </w:rPr>
        <w:t>–</w:t>
      </w:r>
      <w:r w:rsidRPr="00D24947">
        <w:rPr>
          <w:sz w:val="12"/>
          <w:szCs w:val="12"/>
        </w:rPr>
        <w:t xml:space="preserve"> Erarbeitung komplizierter naturwissenschaftlicher Modelle nach Vorlage eines Originals, </w:t>
      </w:r>
      <w:r>
        <w:rPr>
          <w:sz w:val="12"/>
          <w:szCs w:val="12"/>
        </w:rPr>
        <w:t>z. B.</w:t>
      </w:r>
      <w:r w:rsidRPr="00D24947">
        <w:rPr>
          <w:sz w:val="12"/>
          <w:szCs w:val="12"/>
        </w:rPr>
        <w:t xml:space="preserve"> maßstäblich vergrößerter Insektenmodelle,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Bereich „naturkundliche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Fach-(arbeits-)gebiet „organische Materialien (Leder, Federn etc.)“:</w:t>
      </w:r>
    </w:p>
    <w:p w:rsidR="00BE1EFE" w:rsidRPr="00D24947" w:rsidRDefault="00BE1EFE" w:rsidP="00E91516">
      <w:pPr>
        <w:pStyle w:val="StandardWeb"/>
        <w:rPr>
          <w:sz w:val="12"/>
          <w:szCs w:val="12"/>
        </w:rPr>
      </w:pPr>
      <w:r>
        <w:rPr>
          <w:sz w:val="12"/>
          <w:szCs w:val="12"/>
        </w:rPr>
        <w:t>–</w:t>
      </w:r>
      <w:r w:rsidRPr="00D24947">
        <w:rPr>
          <w:sz w:val="12"/>
          <w:szCs w:val="12"/>
        </w:rPr>
        <w:t> Restaurierung oder Rekonstruktion schlecht und nur fragmentarisch erhaltender Leder- oder Fellpräparate,</w:t>
      </w:r>
    </w:p>
    <w:p w:rsidR="00BE1EFE" w:rsidRPr="00D24947" w:rsidRDefault="00BE1EFE" w:rsidP="00971ECA">
      <w:pPr>
        <w:pStyle w:val="StandardWeb"/>
        <w:ind w:left="74" w:hanging="74"/>
        <w:rPr>
          <w:sz w:val="12"/>
          <w:szCs w:val="12"/>
        </w:rPr>
      </w:pPr>
      <w:r>
        <w:rPr>
          <w:sz w:val="12"/>
          <w:szCs w:val="12"/>
        </w:rPr>
        <w:t>–</w:t>
      </w:r>
      <w:r w:rsidRPr="00D24947">
        <w:rPr>
          <w:sz w:val="12"/>
          <w:szCs w:val="12"/>
        </w:rPr>
        <w:t> Reinigen, Konservieren, Restaurieren und Ergänzen stark zerstörter Standpräparate und Dermoplastiken aus Federn, Fell oder Lederhäuten,</w:t>
      </w:r>
    </w:p>
    <w:p w:rsidR="00BE1EFE" w:rsidRPr="00D24947" w:rsidRDefault="00BE1EFE" w:rsidP="00E91516">
      <w:pPr>
        <w:pStyle w:val="StandardWeb"/>
        <w:rPr>
          <w:sz w:val="12"/>
          <w:szCs w:val="12"/>
        </w:rPr>
      </w:pPr>
      <w:r>
        <w:rPr>
          <w:sz w:val="12"/>
          <w:szCs w:val="12"/>
        </w:rPr>
        <w:t>–</w:t>
      </w:r>
      <w:r w:rsidRPr="00D24947">
        <w:rPr>
          <w:sz w:val="12"/>
          <w:szCs w:val="12"/>
        </w:rPr>
        <w:t> Entwickeln und Erproben neuartiger Präparations- und Konservierungsverfahren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Fach-(arbeits-)gebiet „Zoologie – allgemeine und Nasspräparation“:</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Fach-(arbeits-)gebiet „Zoologie – Balgpräparation, Dermoplastik und Dioramen“:</w:t>
      </w:r>
    </w:p>
    <w:p w:rsidR="00BE1EFE" w:rsidRPr="00D24947" w:rsidRDefault="00BE1EFE" w:rsidP="00971ECA">
      <w:pPr>
        <w:pStyle w:val="StandardWeb"/>
        <w:ind w:left="74" w:hanging="74"/>
        <w:rPr>
          <w:sz w:val="12"/>
          <w:szCs w:val="12"/>
        </w:rPr>
      </w:pPr>
      <w:r>
        <w:rPr>
          <w:sz w:val="12"/>
          <w:szCs w:val="12"/>
        </w:rPr>
        <w:t>–</w:t>
      </w:r>
      <w:r w:rsidRPr="00D24947">
        <w:rPr>
          <w:sz w:val="12"/>
          <w:szCs w:val="12"/>
        </w:rPr>
        <w:t> Entwerfen und Herstellen besonders schwieriger zoologischer, botanischer oder paläontologischer Dioramen ohne grafische und Kunstmalereien (Die besondere Schwierigkeit muss sich sowohl auf den Lebensraum als auch auf die Ausstellungsobjekte beziehen.),</w:t>
      </w:r>
    </w:p>
    <w:p w:rsidR="00BE1EFE" w:rsidRPr="00D24947" w:rsidRDefault="00BE1EFE" w:rsidP="00971ECA">
      <w:pPr>
        <w:pStyle w:val="StandardWeb"/>
        <w:ind w:left="74" w:hanging="74"/>
        <w:rPr>
          <w:sz w:val="12"/>
          <w:szCs w:val="12"/>
        </w:rPr>
      </w:pPr>
      <w:r>
        <w:rPr>
          <w:sz w:val="12"/>
          <w:szCs w:val="12"/>
        </w:rPr>
        <w:t>–</w:t>
      </w:r>
      <w:r w:rsidRPr="00D24947">
        <w:rPr>
          <w:sz w:val="12"/>
          <w:szCs w:val="12"/>
        </w:rPr>
        <w:t> Herstellen besonders schwie</w:t>
      </w:r>
      <w:r>
        <w:rPr>
          <w:sz w:val="12"/>
          <w:szCs w:val="12"/>
        </w:rPr>
        <w:t>riger Dermoplastiken, z. B. Großdermo</w:t>
      </w:r>
      <w:r w:rsidRPr="00D24947">
        <w:rPr>
          <w:sz w:val="12"/>
          <w:szCs w:val="12"/>
        </w:rPr>
        <w:t>plastiken mit selbst modellierten komplizierten Körper</w:t>
      </w:r>
      <w:r>
        <w:rPr>
          <w:sz w:val="12"/>
          <w:szCs w:val="12"/>
        </w:rPr>
        <w:softHyphen/>
      </w:r>
      <w:r w:rsidRPr="00D24947">
        <w:rPr>
          <w:sz w:val="12"/>
          <w:szCs w:val="12"/>
        </w:rPr>
        <w:t>plastiken in Kombination mit anderen Techniken (</w:t>
      </w:r>
      <w:r>
        <w:rPr>
          <w:sz w:val="12"/>
          <w:szCs w:val="12"/>
        </w:rPr>
        <w:t>z. B.</w:t>
      </w:r>
      <w:r w:rsidRPr="00D24947">
        <w:rPr>
          <w:sz w:val="12"/>
          <w:szCs w:val="12"/>
        </w:rPr>
        <w:t xml:space="preserve"> Imprägnierung),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d. Fach-(arbeits-)gebiet „Zoologie – Skelette“:</w:t>
      </w:r>
    </w:p>
    <w:p w:rsidR="00BE1EFE" w:rsidRPr="00D24947" w:rsidRDefault="00BE1EFE" w:rsidP="00971ECA">
      <w:pPr>
        <w:pStyle w:val="StandardWeb"/>
        <w:ind w:left="74" w:hanging="74"/>
        <w:rPr>
          <w:sz w:val="12"/>
          <w:szCs w:val="12"/>
        </w:rPr>
      </w:pPr>
      <w:r>
        <w:rPr>
          <w:sz w:val="12"/>
          <w:szCs w:val="12"/>
        </w:rPr>
        <w:t>–</w:t>
      </w:r>
      <w:r w:rsidRPr="00D24947">
        <w:rPr>
          <w:sz w:val="12"/>
          <w:szCs w:val="12"/>
        </w:rPr>
        <w:t> Präparieren und Aufstellen komplizierter Skelette seltener Tiere, für die unmittelbares Vergleichsmaterial nicht und Fachliteratur nur in unzureichendem Maße herangezogen werden können,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 Fach-(arbeits-)gebiet „Botanik“:</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f. Fach-(arbeits-)gebiet „Geologie und Paläontologie“:</w:t>
      </w:r>
    </w:p>
    <w:p w:rsidR="00BE1EFE" w:rsidRPr="00D24947" w:rsidRDefault="00BE1EFE" w:rsidP="00971ECA">
      <w:pPr>
        <w:pStyle w:val="StandardWeb"/>
        <w:ind w:left="74" w:hanging="74"/>
        <w:rPr>
          <w:sz w:val="12"/>
          <w:szCs w:val="12"/>
        </w:rPr>
      </w:pPr>
      <w:r>
        <w:rPr>
          <w:sz w:val="12"/>
          <w:szCs w:val="12"/>
        </w:rPr>
        <w:t>–</w:t>
      </w:r>
      <w:r w:rsidRPr="00D24947">
        <w:rPr>
          <w:sz w:val="12"/>
          <w:szCs w:val="12"/>
        </w:rPr>
        <w:t> Entwickeln und Erproben neuartiger Präparations-, Konservierungs- und Nachbildungsverfahren bei vorgegebener Aufgabenstellung,</w:t>
      </w:r>
    </w:p>
    <w:p w:rsidR="00BE1EFE" w:rsidRPr="00D24947" w:rsidRDefault="00BE1EFE" w:rsidP="00971ECA">
      <w:pPr>
        <w:pStyle w:val="StandardWeb"/>
        <w:ind w:left="74" w:hanging="74"/>
        <w:rPr>
          <w:sz w:val="12"/>
          <w:szCs w:val="12"/>
        </w:rPr>
      </w:pPr>
      <w:r>
        <w:rPr>
          <w:sz w:val="12"/>
          <w:szCs w:val="12"/>
        </w:rPr>
        <w:t>–</w:t>
      </w:r>
      <w:r w:rsidRPr="00D24947">
        <w:rPr>
          <w:sz w:val="12"/>
          <w:szCs w:val="12"/>
        </w:rPr>
        <w:t> Ergänzen und Aufstellen komplizierter Skelette fossiler Tiere, für die unmittelbares Vergleichsmaterial nicht und Fachliteratur nur in unzureichendem Maße herangezogen werden können,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g. Fach-(arbeits-)gebiet „Mineralogie“:</w:t>
      </w:r>
    </w:p>
    <w:p w:rsidR="00BE1EFE" w:rsidRPr="00D24947" w:rsidRDefault="00BE1EFE" w:rsidP="00E91516">
      <w:pPr>
        <w:pStyle w:val="StandardWeb"/>
        <w:rPr>
          <w:sz w:val="12"/>
          <w:szCs w:val="12"/>
        </w:rPr>
      </w:pPr>
      <w:r>
        <w:rPr>
          <w:sz w:val="12"/>
          <w:szCs w:val="12"/>
        </w:rPr>
        <w:t>–</w:t>
      </w:r>
      <w:r w:rsidRPr="00D24947">
        <w:rPr>
          <w:sz w:val="12"/>
          <w:szCs w:val="12"/>
        </w:rPr>
        <w:t> Entwicklung und Erprobung neuartiger Präparations-, Konservierungstechniken;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schwierige topographische Vermessungen von komplizierten Burgwällen, Grabhügeln und anderen komplizierten Geländedenkmälern einschließlich Anfertigen von Höhenschichtplänen,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sehr schwierige bautechnische Aufmessungen,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technische Leitung einer Grabung oder einer Prospektion inklusive der Erstellung eines Grabungsberichts,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Erstellung von Grabungsrichtlinien, Ar</w:t>
      </w:r>
      <w:r>
        <w:rPr>
          <w:sz w:val="12"/>
          <w:szCs w:val="12"/>
        </w:rPr>
        <w:t>chivierungskonzepten, Leistungsver</w:t>
      </w:r>
      <w:r w:rsidRPr="00D24947">
        <w:rPr>
          <w:sz w:val="12"/>
          <w:szCs w:val="12"/>
        </w:rPr>
        <w:t>zeichnissen und Standards für Ausgrabungen in der Bodendenkmalpflege,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denkmalfachliche Beratung sowie Betreuung von Maßnahmepartnern externer archäologischer Ausgrabungen,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Darstellung und öffentliche Präsentation von Grabungen und ihren Ergebnisse.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7. Eine Heraushebung durch besondere Leistungen liegt </w:t>
      </w:r>
      <w:r>
        <w:rPr>
          <w:sz w:val="12"/>
          <w:szCs w:val="12"/>
        </w:rPr>
        <w:t>z. B.</w:t>
      </w:r>
      <w:r w:rsidRPr="00D24947">
        <w:rPr>
          <w:sz w:val="12"/>
          <w:szCs w:val="12"/>
        </w:rPr>
        <w:t xml:space="preserve">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empfindliche Objekte mit komplexem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lastRenderedPageBreak/>
        <w:t>(2) Durchführung von konservatorischen oder restauratorischen Maßnahmen an empfindlichen Objekten mit komplexem Schadensbild,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Durchführung sehr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empfindliche naturkundliche Objekte mit komplexem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von konservatorischen oder restauratorischen Maßnahmen an empfindlichen naturkundlichen Objekten mit komplexem Schadensbild,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Erfassung und Kartierung komplexer Schadensbilder,</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Durchführung sehr schwieriger materialtechnologischer Untersuchungen,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(5) Konzepterstellung für präparatorische Maßnahmen an besonders wertvollen, unersetzlichen und schwierig zu präparierenden Frischmaterial,</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Präparation von besonders wertvollen, unersetzlichen und empfindlichen Frischmaterial, das besondere Spezialkenntnisse oder vertiefte Fachkenntnisse sowie spezielle Erfahrungen erfordert;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sehr schwierigen Vermessungen (</w:t>
      </w:r>
      <w:r>
        <w:rPr>
          <w:sz w:val="12"/>
          <w:szCs w:val="12"/>
        </w:rPr>
        <w:t>z. B.</w:t>
      </w:r>
      <w:r w:rsidRPr="00D24947">
        <w:rPr>
          <w:sz w:val="12"/>
          <w:szCs w:val="12"/>
        </w:rPr>
        <w:t xml:space="preserve"> bei Grabungen in noch stehenden Gebäuden oder Gebäudeteilen, in Tunneln, Höhlengrabungen, Geoprofilen oder in vermessungstechnisch noch nicht erfassten Gebieten) inklusive der Aufbereitung der entstandenen Daten; </w:t>
      </w:r>
    </w:p>
    <w:p w:rsidR="00BE1EFE" w:rsidRPr="00D24947" w:rsidRDefault="00BE1EFE" w:rsidP="00E91516">
      <w:pPr>
        <w:pStyle w:val="StandardWeb"/>
        <w:rPr>
          <w:sz w:val="12"/>
          <w:szCs w:val="12"/>
        </w:rPr>
      </w:pPr>
      <w:r w:rsidRPr="00D24947">
        <w:rPr>
          <w:sz w:val="12"/>
          <w:szCs w:val="12"/>
        </w:rPr>
        <w:t>vermessungstechnisch noch nicht erfasste Gebiete sind Gebiete, für die kein für die Ausgrabung verwendungsfähiges Lagebezugssystem vorhanden ist, sodass dieses von der oder dem Beschäftigten erst geplant, erstellt und in ein übliches Landes- bzw. Weltbezugssystem überführt werden muss,</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selbstständige Umsetzung und Anpassung geeigneter Schutzmaßnahmen für gefährdete Denkmale,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Vorbereitung und technische Leitung einer komplexen Grabung oder Prospektion (Eine komplexe Grabung oder Prospektion liegt vor, wenn bei der Tätigkeit naturwissenschaftliche Methoden [z. B. C-14-Datierung, Dendrochronologie, Phosphatanalysen, Thermoluminiszens, Geomagnetik, Geoelektrik, Bodenradar, etc.] zur Anwendung kommen, die eine wichtige Rolle zur Klärung der zentralen wissenschaftlichen Fragestellung spielen. Aufgaben bei der Vorbereitung und technischen Leitung einer komplexen Grabung oder Prospektion sind z. B. die Koordination des Einsatzes der verschiedenen Methoden, die Vorbereitung der Bodeneingriffe für eine naturwissenschaftliche Bestimmung oder die korrekte Entnahme von Probenmaterial oder die Durchführung der Methode).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8. Eine Heraushebung durch das Maß der Verantwortung liegt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Konzepterstellung für konservatorische oder restauratorische Maßnahmen für Sammlungskonvolute mit heterogenem Zustand und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von konservatorischen oder restauratorischen Maßnahmen an sehr empfindlichen Objekten mit einem komplexen Schadensbild,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Konzepterstellung im Bereich der präventiven Konservierung für ganze Sammlungen unter Berücksichtigung sammlungs- oder materialspezifischer Gesichtspunkte;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Präparieren und Restaurieren von zoologischen, botanischen und palontologischen Unika oder von Typus-Material (d.h. von Einzelobjekten, die Richtmaß für die systematischen Einheiten in Zoologie, Botanik und Paläontologie sind) einschließlich solcher Sammlungsgegenstände, die eine besondere Bedeutung für die Kultur- und Wissenschaftsgeschichte haben,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Pr>
          <w:sz w:val="12"/>
          <w:szCs w:val="12"/>
        </w:rPr>
        <w:t>(2) </w:t>
      </w:r>
      <w:r w:rsidRPr="00D24947">
        <w:rPr>
          <w:sz w:val="12"/>
          <w:szCs w:val="12"/>
        </w:rPr>
        <w:t>Präparieren von paläontologischen Einzelstücken, die besondere Bedeutung für die Beurteilung der Entwicklungsge</w:t>
      </w:r>
      <w:r>
        <w:rPr>
          <w:sz w:val="12"/>
          <w:szCs w:val="12"/>
        </w:rPr>
        <w:softHyphen/>
      </w:r>
      <w:r w:rsidRPr="00D24947">
        <w:rPr>
          <w:sz w:val="12"/>
          <w:szCs w:val="12"/>
        </w:rPr>
        <w:t>schichte der Tiere und Pflanzen haben (</w:t>
      </w:r>
      <w:r>
        <w:rPr>
          <w:sz w:val="12"/>
          <w:szCs w:val="12"/>
        </w:rPr>
        <w:t>z. B.</w:t>
      </w:r>
      <w:r w:rsidRPr="00D24947">
        <w:rPr>
          <w:sz w:val="12"/>
          <w:szCs w:val="12"/>
        </w:rPr>
        <w:t xml:space="preserve"> Archaeopteryx),</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letztverantwortliche Erstellung von Vorgaben zu klimatischen Bedingungen und zum Sammlungsschutz bei Sammlungen aus heterogenen Objekten sowie deren Überwachung;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Technische Leitung großer und schwieriger Grabungen (wie </w:t>
      </w:r>
      <w:r>
        <w:rPr>
          <w:sz w:val="12"/>
          <w:szCs w:val="12"/>
        </w:rPr>
        <w:t>z. B.</w:t>
      </w:r>
      <w:r w:rsidRPr="00D24947">
        <w:rPr>
          <w:sz w:val="12"/>
          <w:szCs w:val="12"/>
        </w:rPr>
        <w:t xml:space="preserve"> komplizierte Kirchen-, Burgen- oder Stadtkerngrabungen) und Ausarbeiten der publikationsreifen Grabungsberichte.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9. Eine entsprechende Tätigkeit liegt z. B. vor bei:</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Tätigkeiten im Bereich der Konservierung oder Restaurierung: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Durchführung von konservatorischen oder restauratorischen Maßnahmen bedeutender oder sehr empfindlicher Objekte mit einem sehr komplexen Schadensbild, insbesondere Durchführung besonders schwieriger, z. B. sensibler und risikoreicher Maßnahmen,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Durchführung kunst- und materialtechnologischer Untersuchungen, die ein abgeschlossenes wissenschaftliches Hochschulstudium erfordern,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(3) wissenschaftliche Auswertung von Ergebnissen naturwissenschaftlicher Analysen oder bildgebender Untersuchungs</w:t>
      </w:r>
      <w:r>
        <w:rPr>
          <w:sz w:val="12"/>
          <w:szCs w:val="12"/>
        </w:rPr>
        <w:softHyphen/>
      </w:r>
      <w:r w:rsidRPr="00D24947">
        <w:rPr>
          <w:sz w:val="12"/>
          <w:szCs w:val="12"/>
        </w:rPr>
        <w:t>verfahren, auch zur Echtheitsbestimmung,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(4) Erkennen von Degradationsprozessen auf Grundlage naturwissenschaftlicher Kenntnisse, Abschätzen des damit verbundenen Schadenspotenzials und Konzeptionierung des weiteren Vorgehens,</w:t>
      </w:r>
    </w:p>
    <w:p w:rsidR="00BE1EFE" w:rsidRPr="00D24947" w:rsidRDefault="00BE1EFE" w:rsidP="00E91516">
      <w:pPr>
        <w:pStyle w:val="StandardWeb"/>
        <w:rPr>
          <w:sz w:val="12"/>
          <w:szCs w:val="12"/>
        </w:rPr>
      </w:pPr>
      <w:r w:rsidRPr="00D24947">
        <w:rPr>
          <w:sz w:val="12"/>
          <w:szCs w:val="12"/>
        </w:rPr>
        <w:t xml:space="preserve"> </w:t>
      </w:r>
    </w:p>
    <w:p w:rsidR="00BE1EFE" w:rsidRPr="00D24947" w:rsidRDefault="00BE1EFE" w:rsidP="00E91516">
      <w:pPr>
        <w:pStyle w:val="StandardWeb"/>
        <w:rPr>
          <w:sz w:val="12"/>
          <w:szCs w:val="12"/>
        </w:rPr>
      </w:pPr>
      <w:r w:rsidRPr="00D24947">
        <w:rPr>
          <w:sz w:val="12"/>
          <w:szCs w:val="12"/>
        </w:rPr>
        <w:t>(5) Konzepterstellung für konservatorische oder restauratorische Maßnahmen für aufgrund ihrer sehr komplexen Beschaffenheit und Herstellungstechnik oder ihres Schadensbildes sehr empfindliche oder besonders bedeutende Objekte,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(6) Konzepterstellung im Bereich der präventiven Konservierung, wenn neben sammlungs- oder materialspezifischen auch übergreifende Gesichtspunkte zu berücksichtigen sind,</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(7) Betreuung und Koordinierung von externen Vergabeverfahren einschließlich der Erstellung des Restaurierungskonzepts, der Kostenkalkulation und der Kontrolle sowie der Endabnahme,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(8) Beurteilung der Leihfähigkeit von empfindlichen oder bedeutenden Objekten,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(9) Entwicklung oder Leitung eines wissenschaftlichen Forschungsvorhabens einschließlich der Entwicklung neuartiger Restaurierungsverfahren,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 xml:space="preserve">(10) Erstellung von Gutachten oder Beratung zu umfassenden restauratorischen, konservatorischen oder kunsttechnologischen Fragestellungen, </w:t>
      </w:r>
      <w:r>
        <w:rPr>
          <w:sz w:val="12"/>
          <w:szCs w:val="12"/>
        </w:rPr>
        <w:t>z. B.</w:t>
      </w:r>
      <w:r w:rsidRPr="00D24947">
        <w:rPr>
          <w:sz w:val="12"/>
          <w:szCs w:val="12"/>
        </w:rPr>
        <w:t xml:space="preserve"> bei Echtheitsprüfungen, Neuerwerbungen oder Bauvorhaben;</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b) Tätigkeiten der Präparierung:</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Entwicklung und Modifizierung neuartiger Technologien und Methoden für die Präparation, Konservierung oder Restaurierung von naturwissenschaftlichen Sammlungsgegenständen auf wissenschaftlicher Grundlage;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c) Tätigkeiten der Grabungstechnik:</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 technische Leitung von herausragend schwierigen Grabungen, z. B. Grabungen im Bereich von Stadtkernen, der Landschaftsarchäologie, der Unterwasser- oder Feuchtbodenarchäologie oder der Höhlen- oder Montanarchäologie, einschließlich des Ausarbeitens der publikationsreifen Grabungsberichte,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(2) wissenschaftliche Weiterentwicklung und Erprobung von Methoden zur Bearbeitung und Erhebung von Daten in der Bodendenkmalpflege.</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10. Bei der Zahl der Unterstellten zählen nicht mit:</w:t>
      </w:r>
    </w:p>
    <w:p w:rsidR="00BE1EFE" w:rsidRPr="00D24947" w:rsidRDefault="00BE1EFE" w:rsidP="00E91516">
      <w:pPr>
        <w:pStyle w:val="StandardWeb"/>
        <w:rPr>
          <w:sz w:val="12"/>
          <w:szCs w:val="12"/>
        </w:rPr>
      </w:pPr>
    </w:p>
    <w:p w:rsidR="00BE1EFE" w:rsidRPr="00D24947" w:rsidRDefault="00BE1EFE" w:rsidP="00E91516">
      <w:pPr>
        <w:pStyle w:val="StandardWeb"/>
        <w:rPr>
          <w:sz w:val="12"/>
          <w:szCs w:val="12"/>
        </w:rPr>
      </w:pPr>
      <w:r w:rsidRPr="00D24947">
        <w:rPr>
          <w:sz w:val="12"/>
          <w:szCs w:val="12"/>
        </w:rPr>
        <w:t>a) Beschäftigte der Entgeltgruppe 13 nach dem Teil A, 2.2.2 Nummern 2 und 3</w:t>
      </w:r>
    </w:p>
    <w:p w:rsidR="00BE1EFE" w:rsidRPr="00D24947" w:rsidRDefault="00BE1EFE" w:rsidP="00E91516">
      <w:pPr>
        <w:pStyle w:val="StandardWeb"/>
        <w:rPr>
          <w:sz w:val="12"/>
          <w:szCs w:val="12"/>
        </w:rPr>
      </w:pPr>
    </w:p>
    <w:p w:rsidR="00BE1EFE" w:rsidRDefault="00BE1EFE" w:rsidP="00E91516">
      <w:pPr>
        <w:pStyle w:val="StandardWeb"/>
        <w:jc w:val="left"/>
        <w:rPr>
          <w:sz w:val="12"/>
          <w:szCs w:val="12"/>
        </w:rPr>
      </w:pPr>
      <w:r w:rsidRPr="00D24947">
        <w:rPr>
          <w:sz w:val="12"/>
          <w:szCs w:val="12"/>
        </w:rPr>
        <w:t>b) Beamte des gehobenen Dienstes der Besoldungsgruppe A 13.</w:t>
      </w:r>
    </w:p>
    <w:p w:rsidR="00BE1EFE" w:rsidRDefault="00BE1EFE">
      <w:pPr>
        <w:pStyle w:val="StandardWeb"/>
      </w:pPr>
    </w:p>
    <w:p w:rsidR="00BE1EFE" w:rsidRDefault="00BE1EFE">
      <w:pPr>
        <w:pStyle w:val="StandardWeb"/>
      </w:pPr>
    </w:p>
    <w:p w:rsidR="00BE1EFE" w:rsidRDefault="00BE1EFE">
      <w:pPr>
        <w:pStyle w:val="StandardWeb"/>
      </w:pPr>
    </w:p>
    <w:p w:rsidR="00BE1EFE" w:rsidRPr="002130CA" w:rsidRDefault="00BE1EFE" w:rsidP="00BF73AC">
      <w:pPr>
        <w:pStyle w:val="berschrift6"/>
      </w:pPr>
      <w:bookmarkStart w:id="417" w:name="_Toc473549878"/>
      <w:bookmarkStart w:id="418" w:name="_Toc523926028"/>
      <w:r>
        <w:t>22.</w:t>
      </w:r>
      <w:r>
        <w:rPr>
          <w:lang w:eastAsia="x-none"/>
        </w:rPr>
        <w:t xml:space="preserve"> </w:t>
      </w:r>
      <w:r w:rsidRPr="002130CA">
        <w:t>Laborantinnen und Laboranten</w:t>
      </w:r>
      <w:bookmarkEnd w:id="417"/>
      <w:r w:rsidR="00694224">
        <w:t xml:space="preserve"> </w:t>
      </w:r>
      <w:r w:rsidR="00694224" w:rsidRPr="00954DD3">
        <w:rPr>
          <w:b w:val="0"/>
          <w:i/>
        </w:rPr>
        <w:t>(frei)</w:t>
      </w:r>
      <w:bookmarkEnd w:id="418"/>
    </w:p>
    <w:p w:rsidR="00BE1EFE" w:rsidRPr="00B76821" w:rsidRDefault="00BE1EFE" w:rsidP="00B76821">
      <w:pPr>
        <w:pStyle w:val="h7"/>
        <w:keepNext w:val="0"/>
        <w:spacing w:before="0" w:after="0"/>
        <w:jc w:val="left"/>
        <w:outlineLvl w:val="5"/>
        <w:rPr>
          <w:sz w:val="2"/>
        </w:rPr>
      </w:pPr>
    </w:p>
    <w:p w:rsidR="00BE1EFE" w:rsidRPr="002130CA" w:rsidRDefault="00BE1EFE" w:rsidP="00DB4426">
      <w:pPr>
        <w:pStyle w:val="StandardWeb"/>
        <w:jc w:val="left"/>
        <w:rPr>
          <w:i/>
          <w:szCs w:val="16"/>
        </w:rPr>
      </w:pPr>
      <w:r>
        <w:rPr>
          <w:i/>
          <w:szCs w:val="16"/>
        </w:rPr>
        <w:br w:type="page"/>
      </w:r>
    </w:p>
    <w:p w:rsidR="00BE1EFE" w:rsidRPr="008A1E74" w:rsidRDefault="00BE1EFE" w:rsidP="008A1E74">
      <w:pPr>
        <w:pStyle w:val="berschrift6"/>
        <w:rPr>
          <w:lang w:eastAsia="x-none"/>
        </w:rPr>
      </w:pPr>
      <w:bookmarkStart w:id="419" w:name="_Toc473549879"/>
      <w:bookmarkStart w:id="420" w:name="_Toc523926029"/>
      <w:r w:rsidRPr="002130CA">
        <w:lastRenderedPageBreak/>
        <w:t>23</w:t>
      </w:r>
      <w:r>
        <w:t>.</w:t>
      </w:r>
      <w:r>
        <w:rPr>
          <w:lang w:eastAsia="x-none"/>
        </w:rPr>
        <w:t xml:space="preserve"> </w:t>
      </w:r>
      <w:r w:rsidRPr="002130CA">
        <w:t>Leiterinnen und Leiter von Registraturen</w:t>
      </w:r>
      <w:bookmarkEnd w:id="419"/>
      <w:bookmarkEnd w:id="420"/>
    </w:p>
    <w:p w:rsidR="00BE1EFE" w:rsidRPr="00EC3F42" w:rsidRDefault="00BE1EFE" w:rsidP="00F93E09">
      <w:pPr>
        <w:pStyle w:val="h7"/>
        <w:jc w:val="left"/>
      </w:pPr>
      <w:bookmarkStart w:id="421" w:name="_Toc473549880"/>
      <w:bookmarkStart w:id="422" w:name="_Toc523926030"/>
      <w:r w:rsidRPr="00EC3F42">
        <w:t>Entgeltgruppe 5</w:t>
      </w:r>
      <w:bookmarkEnd w:id="421"/>
      <w:bookmarkEnd w:id="422"/>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Leiterinne</w:t>
      </w:r>
      <w:r>
        <w:rPr>
          <w:szCs w:val="16"/>
        </w:rPr>
        <w:t>n und Leiter von Registraturen.</w:t>
      </w:r>
    </w:p>
    <w:p w:rsidR="00BE1EFE" w:rsidRPr="00F93E09" w:rsidRDefault="00BE1EFE" w:rsidP="00F93E09">
      <w:pPr>
        <w:pStyle w:val="h7"/>
        <w:jc w:val="left"/>
      </w:pPr>
      <w:bookmarkStart w:id="423" w:name="_Toc473549881"/>
      <w:bookmarkStart w:id="424" w:name="_Toc523926031"/>
      <w:r w:rsidRPr="00EC3F42">
        <w:t>Entgeltgruppe 6</w:t>
      </w:r>
      <w:bookmarkEnd w:id="423"/>
      <w:bookmarkEnd w:id="424"/>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denen mindestens zwei Beschäftigte, davon mindestens eine oder einer mindestens der Entgeltgruppe 5, ständig unterstellt sind.</w:t>
      </w:r>
    </w:p>
    <w:p w:rsidR="00BE1EFE" w:rsidRPr="002130CA" w:rsidRDefault="00BE1EFE" w:rsidP="00D06EC5">
      <w:pPr>
        <w:pStyle w:val="StandardWeb"/>
        <w:rPr>
          <w:szCs w:val="16"/>
        </w:rPr>
      </w:pPr>
      <w:r>
        <w:rPr>
          <w:szCs w:val="16"/>
        </w:rPr>
        <w:t>(Hierzu Anmerkung Nummer 1)</w:t>
      </w:r>
    </w:p>
    <w:p w:rsidR="00BE1EFE" w:rsidRPr="00F93E09" w:rsidRDefault="00BE1EFE" w:rsidP="00F93E09">
      <w:pPr>
        <w:pStyle w:val="h7"/>
        <w:jc w:val="left"/>
      </w:pPr>
      <w:bookmarkStart w:id="425" w:name="_Toc473549882"/>
      <w:bookmarkStart w:id="426" w:name="_Toc523926032"/>
      <w:r w:rsidRPr="00EC3F42">
        <w:t>Entgeltgruppe 7</w:t>
      </w:r>
      <w:bookmarkEnd w:id="425"/>
      <w:bookmarkEnd w:id="42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denen mindestens fünf Beschäf</w:t>
      </w:r>
      <w:r>
        <w:rPr>
          <w:szCs w:val="16"/>
        </w:rPr>
        <w:t>tigte ständig unterstellt sind.</w:t>
      </w:r>
    </w:p>
    <w:p w:rsidR="00BE1EFE" w:rsidRPr="00F93E09" w:rsidRDefault="00BE1EFE" w:rsidP="00F93E09">
      <w:pPr>
        <w:pStyle w:val="h7"/>
        <w:jc w:val="left"/>
      </w:pPr>
      <w:bookmarkStart w:id="427" w:name="_Toc473549883"/>
      <w:bookmarkStart w:id="428" w:name="_Toc523926033"/>
      <w:r w:rsidRPr="00EC3F42">
        <w:t>Entgeltgruppe 8</w:t>
      </w:r>
      <w:bookmarkEnd w:id="427"/>
      <w:bookmarkEnd w:id="428"/>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Leiterinnen und Leiter einer nach Sachgesichtspunkten vielfach gegliederten Registratur, denen mindestens drei Beschäftigte, davon mindestens eine oder einer mindestens der Entgeltgruppe 6, ständig unterstellt sind.</w:t>
      </w:r>
    </w:p>
    <w:p w:rsidR="00BE1EFE" w:rsidRPr="002130CA" w:rsidRDefault="00BE1EFE" w:rsidP="00D06EC5">
      <w:pPr>
        <w:pStyle w:val="StandardWeb"/>
        <w:rPr>
          <w:szCs w:val="16"/>
        </w:rPr>
      </w:pPr>
      <w:r w:rsidRPr="002130CA">
        <w:rPr>
          <w:szCs w:val="16"/>
        </w:rPr>
        <w:t>(Hierzu Anmerkung Nummer 2)</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5, denen mindestens vier Beschäftigte, davon mindestens drei mindestens der Entgeltgruppe 5, ständig unterstellt sind.</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3. </w:t>
      </w:r>
      <w:r w:rsidRPr="002130CA">
        <w:rPr>
          <w:szCs w:val="16"/>
        </w:rPr>
        <w:t>Beschäftigte der Entgeltgruppe 5, denen mindestens acht Beschäf</w:t>
      </w:r>
      <w:r>
        <w:rPr>
          <w:szCs w:val="16"/>
        </w:rPr>
        <w:t>tigte ständig unterstellt sind.</w:t>
      </w:r>
    </w:p>
    <w:p w:rsidR="00BE1EFE" w:rsidRPr="00F93E09" w:rsidRDefault="00BE1EFE" w:rsidP="00F93E09">
      <w:pPr>
        <w:pStyle w:val="h7"/>
        <w:jc w:val="left"/>
      </w:pPr>
      <w:bookmarkStart w:id="429" w:name="_Toc473549884"/>
      <w:bookmarkStart w:id="430" w:name="_Toc523926034"/>
      <w:r w:rsidRPr="00EC3F42">
        <w:t>Entgeltgruppe 9a</w:t>
      </w:r>
      <w:bookmarkEnd w:id="429"/>
      <w:bookmarkEnd w:id="430"/>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Leiterinnen und Leiter einer nach Sachgesichtspunkten vielfach gegliederten Registratur, denen mindestens fünf Beschäftigte, davon mindestens zwei mindestens der Entgeltgruppe 6, ständig unterstellt sind.</w:t>
      </w:r>
    </w:p>
    <w:p w:rsidR="00BE1EFE" w:rsidRPr="002130CA" w:rsidRDefault="00BE1EFE" w:rsidP="00D06EC5">
      <w:pPr>
        <w:pStyle w:val="StandardWeb"/>
        <w:rPr>
          <w:szCs w:val="16"/>
        </w:rPr>
      </w:pPr>
      <w:r w:rsidRPr="002130CA">
        <w:rPr>
          <w:szCs w:val="16"/>
        </w:rPr>
        <w:t>(Hierzu Anmerkung Nummer 2)</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8 Fallgruppe 1, deren Tätigkeit sich durch die besondere Bedeutung der Registratur aus der Entgeltgruppe 8 Fallgruppe 1 heraushebt.</w:t>
      </w:r>
    </w:p>
    <w:p w:rsidR="00BE1EFE" w:rsidRPr="002130CA" w:rsidRDefault="00BE1EFE" w:rsidP="00D06EC5">
      <w:pPr>
        <w:pStyle w:val="StandardWeb"/>
        <w:rPr>
          <w:szCs w:val="16"/>
        </w:rPr>
      </w:pPr>
      <w:r>
        <w:rPr>
          <w:szCs w:val="16"/>
        </w:rPr>
        <w:t>(Hierzu Anmerkung Nummer 2)</w:t>
      </w:r>
    </w:p>
    <w:p w:rsidR="00BE1EFE" w:rsidRPr="002130CA" w:rsidRDefault="00BE1EFE" w:rsidP="008A1E74">
      <w:pPr>
        <w:pStyle w:val="h7"/>
        <w:jc w:val="left"/>
      </w:pPr>
      <w:bookmarkStart w:id="431" w:name="_Toc523926035"/>
      <w:r w:rsidRPr="002130CA">
        <w:t>Anmerkungen:</w:t>
      </w:r>
      <w:bookmarkEnd w:id="43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 w:val="12"/>
          <w:szCs w:val="12"/>
        </w:rPr>
      </w:pPr>
      <w:r w:rsidRPr="002130CA">
        <w:rPr>
          <w:sz w:val="12"/>
          <w:szCs w:val="12"/>
        </w:rPr>
        <w:t>1. Leiterinnen und Leiter von Registraturen, denen weniger Beschäftigte als im Tätigkeitsmerkmal gefordert ständig unterstellt sind, sind nach dem Tätigkeitsmerkmal der Entgeltgruppe 6 des Teils A, 2.2.1. Nummer 3 eingruppiert, wenn dies für sie günstiger ist.</w:t>
      </w:r>
    </w:p>
    <w:p w:rsidR="00BE1EFE" w:rsidRPr="002130CA" w:rsidRDefault="00BE1EFE" w:rsidP="00D06EC5">
      <w:pPr>
        <w:pStyle w:val="StandardWeb"/>
        <w:rPr>
          <w:sz w:val="12"/>
          <w:szCs w:val="12"/>
        </w:rPr>
      </w:pPr>
    </w:p>
    <w:p w:rsidR="00BE1EFE" w:rsidRPr="00F93E09" w:rsidRDefault="00BE1EFE" w:rsidP="00F93E09">
      <w:pPr>
        <w:pStyle w:val="StandardWeb"/>
        <w:rPr>
          <w:sz w:val="12"/>
          <w:szCs w:val="12"/>
        </w:rPr>
      </w:pPr>
      <w:r w:rsidRPr="002130CA">
        <w:rPr>
          <w:sz w:val="12"/>
          <w:szCs w:val="12"/>
        </w:rPr>
        <w:t>2. Eine nach Sachgesichtspunkten vielfach gegliederte Registratur liegt vor, wenn das Schriftgut auf der Grundlage eines eingehenden, systematisch nach Sachgebieten, Oberbegriffen, Untergruppen und Stichworten weit gefächerten Aktenplans unterzubringen ist; nur in alphabetischer oder numerischer Reihenfolge geordnetes Schriftgut erfül</w:t>
      </w:r>
      <w:r>
        <w:rPr>
          <w:sz w:val="12"/>
          <w:szCs w:val="12"/>
        </w:rPr>
        <w:t>lt diese Voraussetzungen nicht.</w:t>
      </w:r>
    </w:p>
    <w:p w:rsidR="00BE1EFE" w:rsidRPr="00827E43" w:rsidRDefault="00BE1EFE" w:rsidP="00BF73AC">
      <w:pPr>
        <w:pStyle w:val="berschrift6"/>
        <w:rPr>
          <w:color w:val="000000"/>
        </w:rPr>
      </w:pPr>
      <w:bookmarkStart w:id="432" w:name="_Toc473549885"/>
      <w:bookmarkStart w:id="433" w:name="_Toc523926036"/>
      <w:r w:rsidRPr="00827E43">
        <w:rPr>
          <w:color w:val="000000"/>
        </w:rPr>
        <w:lastRenderedPageBreak/>
        <w:t>24.</w:t>
      </w:r>
      <w:r w:rsidRPr="00827E43">
        <w:rPr>
          <w:color w:val="000000"/>
          <w:lang w:eastAsia="x-none"/>
        </w:rPr>
        <w:t xml:space="preserve"> </w:t>
      </w:r>
      <w:r w:rsidRPr="00827E43">
        <w:rPr>
          <w:color w:val="000000"/>
        </w:rPr>
        <w:t>Beschäftigte in Leitstellen</w:t>
      </w:r>
      <w:bookmarkEnd w:id="432"/>
      <w:r w:rsidR="00954DD3">
        <w:rPr>
          <w:color w:val="000000"/>
        </w:rPr>
        <w:t xml:space="preserve"> </w:t>
      </w:r>
      <w:r w:rsidR="00954DD3" w:rsidRPr="00954DD3">
        <w:rPr>
          <w:b w:val="0"/>
          <w:i/>
          <w:color w:val="000000"/>
        </w:rPr>
        <w:t>(frei)</w:t>
      </w:r>
      <w:bookmarkEnd w:id="433"/>
    </w:p>
    <w:p w:rsidR="00BE1EFE" w:rsidRPr="00B76821" w:rsidRDefault="00BE1EFE" w:rsidP="00B76821">
      <w:pPr>
        <w:pStyle w:val="h7"/>
        <w:keepNext w:val="0"/>
        <w:spacing w:before="0" w:after="0"/>
        <w:jc w:val="left"/>
        <w:outlineLvl w:val="5"/>
        <w:rPr>
          <w:sz w:val="2"/>
        </w:rPr>
      </w:pPr>
    </w:p>
    <w:p w:rsidR="00BE1EFE" w:rsidRPr="002130CA" w:rsidRDefault="00BE1EFE" w:rsidP="00DB4426">
      <w:pPr>
        <w:pStyle w:val="StandardWeb"/>
        <w:jc w:val="left"/>
        <w:rPr>
          <w:i/>
          <w:szCs w:val="16"/>
        </w:rPr>
      </w:pPr>
    </w:p>
    <w:p w:rsidR="00BE1EFE" w:rsidRPr="002130CA" w:rsidRDefault="00BE1EFE" w:rsidP="00D06EC5">
      <w:pPr>
        <w:pStyle w:val="StandardWeb"/>
        <w:rPr>
          <w:szCs w:val="16"/>
        </w:rPr>
      </w:pPr>
    </w:p>
    <w:p w:rsidR="00BE1EFE" w:rsidRPr="002130CA" w:rsidRDefault="00BE1EFE" w:rsidP="00BF73AC">
      <w:pPr>
        <w:pStyle w:val="berschrift6"/>
        <w:rPr>
          <w:lang w:eastAsia="x-none"/>
        </w:rPr>
      </w:pPr>
      <w:bookmarkStart w:id="434" w:name="_Toc473549886"/>
      <w:bookmarkStart w:id="435" w:name="_Toc523926037"/>
      <w:r>
        <w:t>25.</w:t>
      </w:r>
      <w:r>
        <w:rPr>
          <w:lang w:eastAsia="x-none"/>
        </w:rPr>
        <w:t xml:space="preserve"> </w:t>
      </w:r>
      <w:r w:rsidRPr="002130CA">
        <w:t>Beschäftigte in Magazinen und Lagern</w:t>
      </w:r>
      <w:bookmarkEnd w:id="434"/>
      <w:bookmarkEnd w:id="435"/>
    </w:p>
    <w:p w:rsidR="00BE1EFE" w:rsidRPr="00EC3F42" w:rsidRDefault="00BE1EFE" w:rsidP="00787487">
      <w:pPr>
        <w:pStyle w:val="h7"/>
        <w:jc w:val="left"/>
      </w:pPr>
      <w:bookmarkStart w:id="436" w:name="_Toc473549887"/>
      <w:bookmarkStart w:id="437" w:name="_Toc523926038"/>
      <w:r w:rsidRPr="00EC3F42">
        <w:t>Entgeltgruppe 3</w:t>
      </w:r>
      <w:bookmarkEnd w:id="436"/>
      <w:bookmarkEnd w:id="437"/>
    </w:p>
    <w:p w:rsidR="00BE1EFE" w:rsidRPr="00B76821" w:rsidRDefault="00BE1EFE" w:rsidP="00B76821">
      <w:pPr>
        <w:pStyle w:val="h8"/>
        <w:keepNext w:val="0"/>
        <w:spacing w:before="0" w:after="0"/>
        <w:outlineLvl w:val="5"/>
        <w:rPr>
          <w:sz w:val="2"/>
        </w:rPr>
      </w:pPr>
    </w:p>
    <w:p w:rsidR="00BE1EFE" w:rsidRPr="002130CA" w:rsidRDefault="00BE1EFE" w:rsidP="00787487">
      <w:pPr>
        <w:pStyle w:val="StandardWeb"/>
        <w:jc w:val="left"/>
        <w:rPr>
          <w:szCs w:val="16"/>
        </w:rPr>
      </w:pPr>
      <w:r w:rsidRPr="002130CA">
        <w:rPr>
          <w:szCs w:val="16"/>
        </w:rPr>
        <w:t>Magazin-, Lager- und Lagerho</w:t>
      </w:r>
      <w:r>
        <w:rPr>
          <w:szCs w:val="16"/>
        </w:rPr>
        <w:t>fvorsteherinnen und -vorsteher.</w:t>
      </w:r>
    </w:p>
    <w:p w:rsidR="00BE1EFE" w:rsidRPr="00EC3F42" w:rsidRDefault="00BE1EFE" w:rsidP="00787487">
      <w:pPr>
        <w:pStyle w:val="h7"/>
        <w:jc w:val="left"/>
      </w:pPr>
      <w:bookmarkStart w:id="438" w:name="_Toc473549888"/>
      <w:bookmarkStart w:id="439" w:name="_Toc523926039"/>
      <w:r w:rsidRPr="00EC3F42">
        <w:t>Entgeltgruppe 5</w:t>
      </w:r>
      <w:bookmarkEnd w:id="438"/>
      <w:bookmarkEnd w:id="439"/>
    </w:p>
    <w:p w:rsidR="00BE1EFE" w:rsidRPr="00B76821" w:rsidRDefault="00BE1EFE" w:rsidP="00B76821">
      <w:pPr>
        <w:pStyle w:val="h8"/>
        <w:keepNext w:val="0"/>
        <w:spacing w:before="0" w:after="0"/>
        <w:outlineLvl w:val="5"/>
        <w:rPr>
          <w:sz w:val="2"/>
        </w:rPr>
      </w:pPr>
    </w:p>
    <w:p w:rsidR="00BE1EFE" w:rsidRPr="002130CA" w:rsidRDefault="00BE1EFE" w:rsidP="00787487">
      <w:pPr>
        <w:pStyle w:val="StandardWeb"/>
        <w:jc w:val="left"/>
        <w:rPr>
          <w:szCs w:val="16"/>
        </w:rPr>
      </w:pPr>
      <w:r>
        <w:rPr>
          <w:szCs w:val="16"/>
        </w:rPr>
        <w:t>1. </w:t>
      </w:r>
      <w:r w:rsidRPr="002130CA">
        <w:rPr>
          <w:szCs w:val="16"/>
        </w:rPr>
        <w:t>Beschäftigte der Entgeltgruppe 3 mit einschlägiger mindestens dreijähriger Ausbildung.</w:t>
      </w:r>
    </w:p>
    <w:p w:rsidR="00BE1EFE" w:rsidRPr="002130CA" w:rsidRDefault="00BE1EFE" w:rsidP="00787487">
      <w:pPr>
        <w:pStyle w:val="StandardWeb"/>
        <w:jc w:val="left"/>
        <w:rPr>
          <w:szCs w:val="16"/>
        </w:rPr>
      </w:pPr>
    </w:p>
    <w:p w:rsidR="00BE1EFE" w:rsidRPr="002130CA" w:rsidRDefault="00BE1EFE" w:rsidP="00787487">
      <w:pPr>
        <w:pStyle w:val="StandardWeb"/>
        <w:jc w:val="left"/>
        <w:rPr>
          <w:szCs w:val="16"/>
        </w:rPr>
      </w:pPr>
      <w:r>
        <w:rPr>
          <w:szCs w:val="16"/>
        </w:rPr>
        <w:t>2. </w:t>
      </w:r>
      <w:r w:rsidRPr="002130CA">
        <w:rPr>
          <w:szCs w:val="16"/>
        </w:rPr>
        <w:t xml:space="preserve">Beschäftigte der Entgeltgruppe 3 mit besonderer Verantwortung </w:t>
      </w:r>
      <w:r>
        <w:rPr>
          <w:szCs w:val="16"/>
        </w:rPr>
        <w:t>in besonders wertvollen Lagern.</w:t>
      </w:r>
    </w:p>
    <w:p w:rsidR="00BE1EFE" w:rsidRPr="00EC3F42" w:rsidRDefault="00BE1EFE" w:rsidP="00787487">
      <w:pPr>
        <w:pStyle w:val="h7"/>
        <w:jc w:val="left"/>
      </w:pPr>
      <w:bookmarkStart w:id="440" w:name="_Toc473549889"/>
      <w:bookmarkStart w:id="441" w:name="_Toc523926040"/>
      <w:r w:rsidRPr="00EC3F42">
        <w:t>Entgeltgruppe 6</w:t>
      </w:r>
      <w:bookmarkEnd w:id="440"/>
      <w:bookmarkEnd w:id="44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Fallgruppe 1 mit besonderer Verantwortung </w:t>
      </w:r>
      <w:r>
        <w:rPr>
          <w:szCs w:val="16"/>
        </w:rPr>
        <w:t>in besonders wertvollen Lagern.</w:t>
      </w:r>
    </w:p>
    <w:p w:rsidR="00BE1EFE" w:rsidRPr="002130CA" w:rsidRDefault="00BE1EFE" w:rsidP="00BF73AC">
      <w:pPr>
        <w:pStyle w:val="berschrift6"/>
      </w:pPr>
      <w:bookmarkStart w:id="442" w:name="_Toc473549890"/>
      <w:bookmarkStart w:id="443" w:name="_Toc523926041"/>
      <w:r>
        <w:t>26.</w:t>
      </w:r>
      <w:r>
        <w:rPr>
          <w:lang w:eastAsia="x-none"/>
        </w:rPr>
        <w:t xml:space="preserve"> </w:t>
      </w:r>
      <w:r w:rsidRPr="002130CA">
        <w:t xml:space="preserve">Musikschullehrerinnen und </w:t>
      </w:r>
      <w:r w:rsidR="00954DD3">
        <w:t>-</w:t>
      </w:r>
      <w:r w:rsidRPr="002130CA">
        <w:t>lehrer</w:t>
      </w:r>
      <w:bookmarkEnd w:id="442"/>
      <w:r w:rsidR="00954DD3">
        <w:t xml:space="preserve"> </w:t>
      </w:r>
      <w:r w:rsidR="00954DD3" w:rsidRPr="00954DD3">
        <w:rPr>
          <w:b w:val="0"/>
          <w:i/>
        </w:rPr>
        <w:t>(frei)</w:t>
      </w:r>
      <w:bookmarkEnd w:id="443"/>
    </w:p>
    <w:p w:rsidR="00BE1EFE" w:rsidRPr="00B76821" w:rsidRDefault="00BE1EFE" w:rsidP="00B76821">
      <w:pPr>
        <w:pStyle w:val="h7"/>
        <w:keepNext w:val="0"/>
        <w:spacing w:before="0" w:after="0"/>
        <w:jc w:val="left"/>
        <w:outlineLvl w:val="5"/>
        <w:rPr>
          <w:sz w:val="2"/>
        </w:rPr>
      </w:pPr>
    </w:p>
    <w:p w:rsidR="00BE1EFE" w:rsidRPr="00F93E09" w:rsidRDefault="00BE1EFE" w:rsidP="00D06EC5">
      <w:pPr>
        <w:pStyle w:val="StandardWeb"/>
        <w:rPr>
          <w:i/>
          <w:szCs w:val="16"/>
        </w:rPr>
      </w:pPr>
    </w:p>
    <w:p w:rsidR="00BE1EFE" w:rsidRPr="002130CA" w:rsidRDefault="00BE1EFE" w:rsidP="00BF73AC">
      <w:pPr>
        <w:pStyle w:val="berschrift6"/>
        <w:rPr>
          <w:lang w:eastAsia="x-none"/>
        </w:rPr>
      </w:pPr>
      <w:bookmarkStart w:id="444" w:name="_Toc473549891"/>
      <w:bookmarkStart w:id="445" w:name="_Toc523926042"/>
      <w:r>
        <w:t xml:space="preserve">27. </w:t>
      </w:r>
      <w:r w:rsidRPr="002130CA">
        <w:t>Reproduktionstechnische Beschäftigte</w:t>
      </w:r>
      <w:bookmarkEnd w:id="444"/>
      <w:bookmarkEnd w:id="445"/>
    </w:p>
    <w:p w:rsidR="00BE1EFE" w:rsidRPr="00EC3F42" w:rsidRDefault="00BE1EFE" w:rsidP="00787487">
      <w:pPr>
        <w:pStyle w:val="h7"/>
        <w:jc w:val="left"/>
      </w:pPr>
      <w:bookmarkStart w:id="446" w:name="_Toc473549892"/>
      <w:bookmarkStart w:id="447" w:name="_Toc523926043"/>
      <w:r w:rsidRPr="00EC3F42">
        <w:t>Entgeltgruppe 5</w:t>
      </w:r>
      <w:bookmarkEnd w:id="446"/>
      <w:bookmarkEnd w:id="447"/>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im Vermessungs- und Kartenwesen mit einschlägiger Abschlussprüfung in einem reproduktionstechnischen Beruf und entsprechender Tätigkeit sowie sonstige Beschäftigte, die aufgrund gleichwertiger Fähigkeiten und ihrer Erfahrungen ent</w:t>
      </w:r>
      <w:r>
        <w:rPr>
          <w:szCs w:val="16"/>
        </w:rPr>
        <w:t>sprechende Tätigkeiten ausüben.</w:t>
      </w:r>
    </w:p>
    <w:p w:rsidR="00BE1EFE" w:rsidRPr="00EC3F42" w:rsidRDefault="00BE1EFE" w:rsidP="00787487">
      <w:pPr>
        <w:pStyle w:val="h7"/>
        <w:jc w:val="left"/>
      </w:pPr>
      <w:bookmarkStart w:id="448" w:name="_Toc473549893"/>
      <w:bookmarkStart w:id="449" w:name="_Toc523926044"/>
      <w:r w:rsidRPr="00EC3F42">
        <w:t>Entgeltgruppe 6</w:t>
      </w:r>
      <w:bookmarkEnd w:id="448"/>
      <w:bookmarkEnd w:id="449"/>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deren Tätigkeit </w:t>
      </w:r>
      <w:r>
        <w:rPr>
          <w:szCs w:val="16"/>
        </w:rPr>
        <w:t>besondere Leistungen erfordert.</w:t>
      </w:r>
    </w:p>
    <w:p w:rsidR="00BE1EFE" w:rsidRPr="00EC3F42" w:rsidRDefault="00BE1EFE" w:rsidP="00787487">
      <w:pPr>
        <w:pStyle w:val="h7"/>
        <w:jc w:val="left"/>
      </w:pPr>
      <w:bookmarkStart w:id="450" w:name="_Toc473549894"/>
      <w:bookmarkStart w:id="451" w:name="_Toc523926045"/>
      <w:r w:rsidRPr="00EC3F42">
        <w:t>Entgeltgruppe 7</w:t>
      </w:r>
      <w:bookmarkEnd w:id="450"/>
      <w:bookmarkEnd w:id="451"/>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6, die zu mindestens einem Viertel schwierige Aufgaben zu erfüllen haben.</w:t>
      </w:r>
    </w:p>
    <w:p w:rsidR="00BE1EFE" w:rsidRPr="002130CA"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52" w:name="_Toc473549895"/>
      <w:bookmarkStart w:id="453" w:name="_Toc523926046"/>
      <w:r w:rsidRPr="00EC3F42">
        <w:lastRenderedPageBreak/>
        <w:t>Entgeltgruppe 8</w:t>
      </w:r>
      <w:bookmarkEnd w:id="452"/>
      <w:bookmarkEnd w:id="453"/>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6, die schwierige Aufgaben zu erfüllen haben. </w:t>
      </w:r>
    </w:p>
    <w:p w:rsidR="00BE1EFE" w:rsidRPr="002130CA"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54" w:name="_Toc473549896"/>
      <w:bookmarkStart w:id="455" w:name="_Toc523926047"/>
      <w:r w:rsidRPr="00EC3F42">
        <w:t>Entgeltgruppe 9a</w:t>
      </w:r>
      <w:bookmarkEnd w:id="454"/>
      <w:bookmarkEnd w:id="455"/>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 xml:space="preserve">Beschäftigte der Entgeltgruppe 5, die schwierige Aufgaben besonderer Art erfüllen. </w:t>
      </w:r>
    </w:p>
    <w:p w:rsidR="00BE1EFE" w:rsidRPr="002130CA" w:rsidRDefault="00BE1EFE" w:rsidP="00D06EC5">
      <w:pPr>
        <w:pStyle w:val="StandardWeb"/>
        <w:rPr>
          <w:szCs w:val="16"/>
        </w:rPr>
      </w:pPr>
      <w:r>
        <w:rPr>
          <w:szCs w:val="16"/>
        </w:rPr>
        <w:t>(Hierzu Anmerkung Nummer 2)</w:t>
      </w:r>
    </w:p>
    <w:p w:rsidR="00BE1EFE" w:rsidRPr="002130CA" w:rsidRDefault="00BE1EFE" w:rsidP="008A1E74">
      <w:pPr>
        <w:pStyle w:val="h7"/>
        <w:jc w:val="left"/>
      </w:pPr>
      <w:bookmarkStart w:id="456" w:name="_Toc523926048"/>
      <w:r w:rsidRPr="002130CA">
        <w:t>Anmerkungen:</w:t>
      </w:r>
      <w:bookmarkEnd w:id="45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 w:val="12"/>
          <w:szCs w:val="12"/>
        </w:rPr>
      </w:pPr>
      <w:r w:rsidRPr="002130CA">
        <w:rPr>
          <w:sz w:val="12"/>
          <w:szCs w:val="12"/>
        </w:rPr>
        <w:t xml:space="preserve">1. Schwierige Aufgaben sind </w:t>
      </w:r>
      <w:r>
        <w:rPr>
          <w:sz w:val="12"/>
          <w:szCs w:val="12"/>
        </w:rPr>
        <w:t>z. B.</w:t>
      </w:r>
      <w:r w:rsidRPr="002130CA">
        <w:rPr>
          <w:sz w:val="12"/>
          <w:szCs w:val="12"/>
        </w:rPr>
        <w:t>:</w:t>
      </w:r>
    </w:p>
    <w:p w:rsidR="00BE1EFE" w:rsidRPr="002130CA" w:rsidRDefault="00BE1EFE" w:rsidP="00D06EC5">
      <w:pPr>
        <w:pStyle w:val="StandardWeb"/>
        <w:rPr>
          <w:sz w:val="12"/>
          <w:szCs w:val="12"/>
        </w:rPr>
      </w:pPr>
      <w:r>
        <w:rPr>
          <w:sz w:val="12"/>
          <w:szCs w:val="12"/>
        </w:rPr>
        <w:t>–</w:t>
      </w:r>
      <w:r w:rsidRPr="002130CA">
        <w:rPr>
          <w:sz w:val="12"/>
          <w:szCs w:val="12"/>
        </w:rPr>
        <w:t> Strichaufnahmen oder Halbtonaufnahmen nach Sollmaß und jeden Formats;</w:t>
      </w:r>
    </w:p>
    <w:p w:rsidR="00BE1EFE" w:rsidRPr="002130CA" w:rsidRDefault="00BE1EFE" w:rsidP="00D06EC5">
      <w:pPr>
        <w:pStyle w:val="StandardWeb"/>
        <w:rPr>
          <w:sz w:val="12"/>
          <w:szCs w:val="12"/>
        </w:rPr>
      </w:pPr>
      <w:r>
        <w:rPr>
          <w:sz w:val="12"/>
          <w:szCs w:val="12"/>
        </w:rPr>
        <w:t>–</w:t>
      </w:r>
      <w:r w:rsidRPr="002130CA">
        <w:rPr>
          <w:sz w:val="12"/>
          <w:szCs w:val="12"/>
        </w:rPr>
        <w:t> Maßausgleich auf gegebenes Sollmaß;</w:t>
      </w:r>
    </w:p>
    <w:p w:rsidR="00BE1EFE" w:rsidRPr="002130CA" w:rsidRDefault="00BE1EFE" w:rsidP="00D06EC5">
      <w:pPr>
        <w:pStyle w:val="StandardWeb"/>
        <w:rPr>
          <w:sz w:val="12"/>
          <w:szCs w:val="12"/>
        </w:rPr>
      </w:pPr>
      <w:r>
        <w:rPr>
          <w:sz w:val="12"/>
          <w:szCs w:val="12"/>
        </w:rPr>
        <w:t>–</w:t>
      </w:r>
      <w:r w:rsidRPr="002130CA">
        <w:rPr>
          <w:sz w:val="12"/>
          <w:szCs w:val="12"/>
        </w:rPr>
        <w:t> Herstellen von Rasterfilmen ein</w:t>
      </w:r>
      <w:r>
        <w:rPr>
          <w:sz w:val="12"/>
          <w:szCs w:val="12"/>
        </w:rPr>
        <w:t>-</w:t>
      </w:r>
      <w:r w:rsidRPr="002130CA">
        <w:rPr>
          <w:sz w:val="12"/>
          <w:szCs w:val="12"/>
        </w:rPr>
        <w:t xml:space="preserve"> und mehrfarbig, von Schummerungsvorlagen über Halbtonaufnahmen;</w:t>
      </w:r>
    </w:p>
    <w:p w:rsidR="00BE1EFE" w:rsidRPr="002130CA" w:rsidRDefault="00BE1EFE" w:rsidP="00D06EC5">
      <w:pPr>
        <w:pStyle w:val="StandardWeb"/>
        <w:rPr>
          <w:sz w:val="12"/>
          <w:szCs w:val="12"/>
        </w:rPr>
      </w:pPr>
      <w:r>
        <w:rPr>
          <w:sz w:val="12"/>
          <w:szCs w:val="12"/>
        </w:rPr>
        <w:t>–</w:t>
      </w:r>
      <w:r w:rsidRPr="002130CA">
        <w:rPr>
          <w:sz w:val="12"/>
          <w:szCs w:val="12"/>
        </w:rPr>
        <w:t> selbstständige Versuchs- und Entwicklungsarbeiten bei der Einführung neuer technischer Verfahren;</w:t>
      </w:r>
    </w:p>
    <w:p w:rsidR="00BE1EFE" w:rsidRPr="002130CA" w:rsidRDefault="00BE1EFE" w:rsidP="00971ECA">
      <w:pPr>
        <w:pStyle w:val="StandardWeb"/>
        <w:ind w:left="74" w:hanging="74"/>
        <w:rPr>
          <w:sz w:val="12"/>
          <w:szCs w:val="12"/>
        </w:rPr>
      </w:pPr>
      <w:r>
        <w:rPr>
          <w:sz w:val="12"/>
          <w:szCs w:val="12"/>
        </w:rPr>
        <w:t>–</w:t>
      </w:r>
      <w:r w:rsidRPr="002130CA">
        <w:rPr>
          <w:sz w:val="12"/>
          <w:szCs w:val="12"/>
        </w:rPr>
        <w:t> Zusammenkopie von einzelnen Kartenteilen mit Kartenrahmen bei der Neuherstellung sowie Einkopierung von Fortführungen in vorhandene Originale auf Folie und Glas mit kartographischer Passgenauigkeit.</w:t>
      </w:r>
    </w:p>
    <w:p w:rsidR="00BE1EFE" w:rsidRPr="002130CA" w:rsidRDefault="00BE1EFE" w:rsidP="00D06EC5">
      <w:pPr>
        <w:pStyle w:val="StandardWeb"/>
        <w:rPr>
          <w:sz w:val="12"/>
          <w:szCs w:val="12"/>
        </w:rPr>
      </w:pPr>
    </w:p>
    <w:p w:rsidR="00BE1EFE" w:rsidRPr="002130CA" w:rsidRDefault="00BE1EFE" w:rsidP="00D06EC5">
      <w:pPr>
        <w:pStyle w:val="StandardWeb"/>
        <w:rPr>
          <w:sz w:val="12"/>
          <w:szCs w:val="12"/>
        </w:rPr>
      </w:pPr>
      <w:r w:rsidRPr="002130CA">
        <w:rPr>
          <w:sz w:val="12"/>
          <w:szCs w:val="12"/>
        </w:rPr>
        <w:t xml:space="preserve">2. Schwierige Aufgaben besonderer Art sind </w:t>
      </w:r>
      <w:r>
        <w:rPr>
          <w:sz w:val="12"/>
          <w:szCs w:val="12"/>
        </w:rPr>
        <w:t>z. B.</w:t>
      </w:r>
      <w:r w:rsidRPr="002130CA">
        <w:rPr>
          <w:sz w:val="12"/>
          <w:szCs w:val="12"/>
        </w:rPr>
        <w:t>:</w:t>
      </w:r>
    </w:p>
    <w:p w:rsidR="00BE1EFE" w:rsidRPr="00787487" w:rsidRDefault="00BE1EFE" w:rsidP="00D06EC5">
      <w:pPr>
        <w:pStyle w:val="StandardWeb"/>
        <w:rPr>
          <w:sz w:val="12"/>
          <w:szCs w:val="12"/>
        </w:rPr>
      </w:pPr>
      <w:r>
        <w:rPr>
          <w:sz w:val="12"/>
          <w:szCs w:val="12"/>
        </w:rPr>
        <w:t>–</w:t>
      </w:r>
      <w:r w:rsidRPr="002130CA">
        <w:rPr>
          <w:sz w:val="12"/>
          <w:szCs w:val="12"/>
        </w:rPr>
        <w:t xml:space="preserve"> Schwieriges Einpassen von Kartenteilen; besonders schwierige Montagen bei inhaltsreichen Karten </w:t>
      </w:r>
      <w:r>
        <w:rPr>
          <w:sz w:val="12"/>
          <w:szCs w:val="12"/>
        </w:rPr>
        <w:t>im Maßstab 1:25000 und kleiner.</w:t>
      </w:r>
    </w:p>
    <w:p w:rsidR="00BE1EFE" w:rsidRPr="002130CA" w:rsidRDefault="00BE1EFE" w:rsidP="00BF73AC">
      <w:pPr>
        <w:pStyle w:val="berschrift6"/>
      </w:pPr>
      <w:bookmarkStart w:id="457" w:name="_Toc473549897"/>
      <w:bookmarkStart w:id="458" w:name="_Toc523926049"/>
      <w:r>
        <w:t>28.</w:t>
      </w:r>
      <w:r>
        <w:rPr>
          <w:lang w:eastAsia="x-none"/>
        </w:rPr>
        <w:t> </w:t>
      </w:r>
      <w:r w:rsidRPr="002130CA">
        <w:t>Beschäftigte im Rettungsdienst</w:t>
      </w:r>
      <w:bookmarkEnd w:id="457"/>
      <w:r w:rsidR="00954DD3">
        <w:t xml:space="preserve"> </w:t>
      </w:r>
      <w:r w:rsidR="00954DD3" w:rsidRPr="00954DD3">
        <w:rPr>
          <w:b w:val="0"/>
          <w:i/>
        </w:rPr>
        <w:t>(frei)</w:t>
      </w:r>
      <w:bookmarkEnd w:id="458"/>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EE1A21" w:rsidRDefault="00BE1EFE" w:rsidP="00BF73AC">
      <w:pPr>
        <w:pStyle w:val="berschrift6"/>
        <w:rPr>
          <w:lang w:eastAsia="x-none"/>
        </w:rPr>
      </w:pPr>
      <w:bookmarkStart w:id="459" w:name="_Toc473549898"/>
      <w:bookmarkStart w:id="460" w:name="_Toc523926050"/>
      <w:r>
        <w:t>29.</w:t>
      </w:r>
      <w:r>
        <w:rPr>
          <w:lang w:eastAsia="x-none"/>
        </w:rPr>
        <w:t> </w:t>
      </w:r>
      <w:r w:rsidRPr="002130CA">
        <w:t>Schulhausmeisterinnen und Schulhausmeister</w:t>
      </w:r>
      <w:bookmarkEnd w:id="459"/>
      <w:bookmarkEnd w:id="460"/>
      <w:r w:rsidRPr="002130CA">
        <w:t xml:space="preserve"> </w:t>
      </w:r>
    </w:p>
    <w:p w:rsidR="00BE1EFE" w:rsidRPr="00787487" w:rsidRDefault="00BE1EFE" w:rsidP="00787487">
      <w:pPr>
        <w:pStyle w:val="h7"/>
        <w:jc w:val="left"/>
      </w:pPr>
      <w:bookmarkStart w:id="461" w:name="_Toc473549899"/>
      <w:bookmarkStart w:id="462" w:name="_Toc523926051"/>
      <w:r w:rsidRPr="00EC3F42">
        <w:t>Vorbemerkungen</w:t>
      </w:r>
      <w:bookmarkEnd w:id="461"/>
      <w:bookmarkEnd w:id="462"/>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t>1. </w:t>
      </w:r>
      <w:r w:rsidRPr="002130CA">
        <w:rPr>
          <w:szCs w:val="16"/>
        </w:rPr>
        <w:t>Schulhausmeisterinnen und Schulhausmeister sind Hausmeisterinnen oder Hausmeister in Schulen außer Akademien, Kunsthochschulen, Musikhochschulen, Musikschulen und verwaltungseigenen Schulen.</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4A5495">
        <w:rPr>
          <w:sz w:val="12"/>
          <w:szCs w:val="12"/>
        </w:rPr>
        <w:t>1</w:t>
      </w:r>
      <w:r w:rsidRPr="002130CA">
        <w:rPr>
          <w:szCs w:val="16"/>
        </w:rPr>
        <w:t>Eine einschlägige Berufsausbildung liegt dann vor, wenn die in der Berufsausbildung vermittelten Kenntnisse und Fertigkeiten einen unmittelbaren sachlichen Zusammenhang mit den wesentlichen Tätigkeitsschwerpunkten von Schulhausmeisterinnen und Schulhaus</w:t>
      </w:r>
      <w:r>
        <w:rPr>
          <w:szCs w:val="16"/>
        </w:rPr>
        <w:softHyphen/>
      </w:r>
      <w:r w:rsidRPr="002130CA">
        <w:rPr>
          <w:szCs w:val="16"/>
        </w:rPr>
        <w:t xml:space="preserve">meistern aufweisen. </w:t>
      </w:r>
      <w:r w:rsidRPr="004A5495">
        <w:rPr>
          <w:sz w:val="12"/>
          <w:szCs w:val="12"/>
        </w:rPr>
        <w:t>2</w:t>
      </w:r>
      <w:r w:rsidRPr="002130CA">
        <w:rPr>
          <w:szCs w:val="16"/>
        </w:rPr>
        <w:t>Dies ist insbesondere bei Berufsausbildungen in den Berufsfeldern Metallbau, Anlagenbau, Installation, Montiererinnen und Montierer, Elektroberufe, Bauberufe</w:t>
      </w:r>
      <w:r>
        <w:rPr>
          <w:szCs w:val="16"/>
        </w:rPr>
        <w:t xml:space="preserve"> und Holzverarbeitung der Fall.</w:t>
      </w:r>
    </w:p>
    <w:p w:rsidR="00BE1EFE" w:rsidRPr="00787487" w:rsidRDefault="00BE1EFE" w:rsidP="00787487">
      <w:pPr>
        <w:pStyle w:val="h7"/>
        <w:jc w:val="left"/>
      </w:pPr>
      <w:bookmarkStart w:id="463" w:name="_Toc473549900"/>
      <w:bookmarkStart w:id="464" w:name="_Toc523926052"/>
      <w:r w:rsidRPr="00EC3F42">
        <w:t>Entgeltgruppe 5</w:t>
      </w:r>
      <w:bookmarkEnd w:id="463"/>
      <w:bookmarkEnd w:id="464"/>
    </w:p>
    <w:p w:rsidR="00BE1EFE" w:rsidRPr="00B76821" w:rsidRDefault="00BE1EFE" w:rsidP="00B76821">
      <w:pPr>
        <w:pStyle w:val="h8"/>
        <w:keepNext w:val="0"/>
        <w:spacing w:before="0" w:after="0"/>
        <w:outlineLvl w:val="5"/>
        <w:rPr>
          <w:sz w:val="2"/>
        </w:rPr>
      </w:pPr>
    </w:p>
    <w:p w:rsidR="00BE1EFE" w:rsidRDefault="00BE1EFE" w:rsidP="00D06EC5">
      <w:pPr>
        <w:pStyle w:val="StandardWeb"/>
        <w:rPr>
          <w:szCs w:val="16"/>
        </w:rPr>
      </w:pPr>
      <w:r w:rsidRPr="002130CA">
        <w:rPr>
          <w:szCs w:val="16"/>
        </w:rPr>
        <w:t>Schulhausmeisterinnen und Schulhausmeister, die eine einschlägige mindestens dreijährige Berufs</w:t>
      </w:r>
      <w:r>
        <w:rPr>
          <w:szCs w:val="16"/>
        </w:rPr>
        <w:t>ausbildung abgeschlossen haben.</w:t>
      </w:r>
    </w:p>
    <w:p w:rsidR="00BE1EFE" w:rsidRDefault="00BE1EFE" w:rsidP="00D06EC5">
      <w:pPr>
        <w:pStyle w:val="StandardWeb"/>
        <w:rPr>
          <w:szCs w:val="16"/>
        </w:rPr>
      </w:pPr>
    </w:p>
    <w:p w:rsidR="00BE1EFE" w:rsidRPr="00B76DAE" w:rsidRDefault="00BE1EFE" w:rsidP="00D06EC5">
      <w:pPr>
        <w:pStyle w:val="StandardWeb"/>
        <w:rPr>
          <w:sz w:val="2"/>
          <w:szCs w:val="2"/>
        </w:rPr>
      </w:pPr>
    </w:p>
    <w:p w:rsidR="00BE1EFE" w:rsidRPr="00787487" w:rsidRDefault="00BE1EFE" w:rsidP="00B76DAE">
      <w:pPr>
        <w:pStyle w:val="h7"/>
        <w:spacing w:before="0"/>
        <w:jc w:val="left"/>
      </w:pPr>
      <w:bookmarkStart w:id="465" w:name="_Toc473549901"/>
      <w:bookmarkStart w:id="466" w:name="_Toc523926053"/>
      <w:r w:rsidRPr="00EC3F42">
        <w:t>Entgeltgruppe 6</w:t>
      </w:r>
      <w:bookmarkEnd w:id="465"/>
      <w:bookmarkEnd w:id="466"/>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Pr>
          <w:szCs w:val="16"/>
        </w:rPr>
        <w:lastRenderedPageBreak/>
        <w:t>1. </w:t>
      </w:r>
      <w:r w:rsidRPr="002130CA">
        <w:rPr>
          <w:szCs w:val="16"/>
        </w:rPr>
        <w:t>Beschäftigte der Entgeltgruppe 5 in Tagesschulen für gehörgeschädigte, sprachge</w:t>
      </w:r>
      <w:r>
        <w:rPr>
          <w:szCs w:val="16"/>
        </w:rPr>
        <w:softHyphen/>
      </w:r>
      <w:r w:rsidRPr="002130CA">
        <w:rPr>
          <w:szCs w:val="16"/>
        </w:rPr>
        <w:t>schädigte, sehbehinderte oder anderweitig körperbehinderte oder für entwicklungsgestörte oder geistig behinderte Schülerinnen und Schüler.</w:t>
      </w:r>
    </w:p>
    <w:p w:rsidR="00BE1EFE" w:rsidRPr="002130CA" w:rsidRDefault="00BE1EFE" w:rsidP="00D06EC5">
      <w:pPr>
        <w:pStyle w:val="StandardWeb"/>
        <w:rPr>
          <w:szCs w:val="16"/>
        </w:rPr>
      </w:pPr>
    </w:p>
    <w:p w:rsidR="00BE1EFE" w:rsidRPr="002130CA" w:rsidRDefault="00BE1EFE" w:rsidP="00D06EC5">
      <w:pPr>
        <w:pStyle w:val="StandardWeb"/>
        <w:rPr>
          <w:szCs w:val="16"/>
        </w:rPr>
      </w:pPr>
      <w:r>
        <w:rPr>
          <w:szCs w:val="16"/>
        </w:rPr>
        <w:t>2. </w:t>
      </w:r>
      <w:r w:rsidRPr="002130CA">
        <w:rPr>
          <w:szCs w:val="16"/>
        </w:rPr>
        <w:t>Beschäftigte der Entgeltgruppe 5, denen mindestens eine Schulhausmeisterin oder ein Schulhausmeister durch ausdrückliche Anordnung ständig unte</w:t>
      </w:r>
      <w:r>
        <w:rPr>
          <w:szCs w:val="16"/>
        </w:rPr>
        <w:t>rstellt ist.</w:t>
      </w:r>
    </w:p>
    <w:p w:rsidR="00BE1EFE" w:rsidRPr="00787487" w:rsidRDefault="00BE1EFE" w:rsidP="00787487">
      <w:pPr>
        <w:pStyle w:val="h7"/>
        <w:jc w:val="left"/>
      </w:pPr>
      <w:bookmarkStart w:id="467" w:name="_Toc473549902"/>
      <w:bookmarkStart w:id="468" w:name="_Toc523926054"/>
      <w:r w:rsidRPr="00EC3F42">
        <w:t>Entgeltgruppe 7</w:t>
      </w:r>
      <w:bookmarkEnd w:id="467"/>
      <w:bookmarkEnd w:id="468"/>
    </w:p>
    <w:p w:rsidR="00BE1EFE" w:rsidRPr="00B76821" w:rsidRDefault="00BE1EFE" w:rsidP="00B76821">
      <w:pPr>
        <w:pStyle w:val="h8"/>
        <w:keepNext w:val="0"/>
        <w:spacing w:before="0" w:after="0"/>
        <w:outlineLvl w:val="5"/>
        <w:rPr>
          <w:sz w:val="2"/>
        </w:rPr>
      </w:pPr>
    </w:p>
    <w:p w:rsidR="00BE1EFE" w:rsidRPr="002130CA" w:rsidRDefault="00BE1EFE" w:rsidP="00D06EC5">
      <w:pPr>
        <w:pStyle w:val="StandardWeb"/>
        <w:rPr>
          <w:szCs w:val="16"/>
        </w:rPr>
      </w:pPr>
      <w:r w:rsidRPr="002130CA">
        <w:rPr>
          <w:szCs w:val="16"/>
        </w:rPr>
        <w:t>Beschäftigte der Entgeltgruppe 5, deren Tätigkeit sich aufgrund erhöhter technischer Anforderungen erheblich aus der Entgeltgruppe 5 heraushebt.</w:t>
      </w:r>
    </w:p>
    <w:p w:rsidR="00BE1EFE" w:rsidRPr="002130CA" w:rsidRDefault="00BE1EFE" w:rsidP="00D06EC5">
      <w:pPr>
        <w:pStyle w:val="StandardWeb"/>
        <w:rPr>
          <w:szCs w:val="16"/>
        </w:rPr>
      </w:pPr>
    </w:p>
    <w:p w:rsidR="00BE1EFE" w:rsidRPr="002130CA" w:rsidRDefault="00BE1EFE" w:rsidP="00D06EC5">
      <w:pPr>
        <w:pStyle w:val="StandardWeb"/>
        <w:rPr>
          <w:szCs w:val="16"/>
        </w:rPr>
      </w:pPr>
      <w:r w:rsidRPr="002130CA">
        <w:rPr>
          <w:szCs w:val="16"/>
        </w:rPr>
        <w:t>(Eine erhebliche Heraushebung aufgrund erhöhter technischer Anforderungen liegt vor, wenn die Schulhausmeisterin oder der Schulhausmeister elektronische Schließ-, Alarm-, Brandmeldeanlagen oder Anlagen der Gebäudeleittechnik mit erheblich erweiterten Möglichkeiten zur Steuerung eigenverantwortlich zu bedienen, zu überwachen und zu ko</w:t>
      </w:r>
      <w:r>
        <w:rPr>
          <w:szCs w:val="16"/>
        </w:rPr>
        <w:t>nfigurieren hat.)</w:t>
      </w:r>
    </w:p>
    <w:p w:rsidR="00BE1EFE" w:rsidRPr="00787487" w:rsidRDefault="00BE1EFE" w:rsidP="00787487">
      <w:pPr>
        <w:pStyle w:val="h7"/>
        <w:jc w:val="left"/>
      </w:pPr>
      <w:bookmarkStart w:id="469" w:name="_Toc473549903"/>
      <w:bookmarkStart w:id="470" w:name="_Toc523926055"/>
      <w:r w:rsidRPr="00EC3F42">
        <w:t>Entgeltgruppe 8</w:t>
      </w:r>
      <w:bookmarkEnd w:id="469"/>
      <w:bookmarkEnd w:id="470"/>
    </w:p>
    <w:p w:rsidR="00BE1EFE" w:rsidRPr="00B76821" w:rsidRDefault="00BE1EFE" w:rsidP="00B76821">
      <w:pPr>
        <w:pStyle w:val="h8"/>
        <w:keepNext w:val="0"/>
        <w:spacing w:before="0" w:after="0"/>
        <w:outlineLvl w:val="5"/>
        <w:rPr>
          <w:sz w:val="2"/>
        </w:rPr>
      </w:pPr>
    </w:p>
    <w:p w:rsidR="00BE1EFE" w:rsidRDefault="00BE1EFE" w:rsidP="001E4865">
      <w:pPr>
        <w:pStyle w:val="StandardWeb"/>
        <w:rPr>
          <w:szCs w:val="16"/>
        </w:rPr>
      </w:pPr>
      <w:r w:rsidRPr="002130CA">
        <w:rPr>
          <w:szCs w:val="16"/>
        </w:rPr>
        <w:t>Beschäftigte der Entgeltgruppe 7, deren Tätigkeit sich dadurch erheblich aus der Entgeltgruppe 7 heraushebt, dass ihnen die eigenverantwortliche Entscheidung über die Verwendung der Mittel eines Bau- und Bewirtschaftungsbudgets in einer Größenordnung von mindestens 30.000 Euro je Kalenderjahr übertragen ist.</w:t>
      </w:r>
      <w:bookmarkStart w:id="471" w:name="_Toc473549904"/>
    </w:p>
    <w:p w:rsidR="00BE1EFE" w:rsidRPr="00B76DAE" w:rsidRDefault="00BE1EFE" w:rsidP="001E4865">
      <w:pPr>
        <w:pStyle w:val="StandardWeb"/>
        <w:rPr>
          <w:sz w:val="2"/>
          <w:szCs w:val="2"/>
        </w:rPr>
      </w:pPr>
      <w:r>
        <w:rPr>
          <w:szCs w:val="16"/>
        </w:rPr>
        <w:br w:type="page"/>
      </w:r>
    </w:p>
    <w:p w:rsidR="00BE1EFE" w:rsidRDefault="00BE1EFE" w:rsidP="00B76DAE">
      <w:pPr>
        <w:pStyle w:val="berschrift6"/>
        <w:spacing w:before="0"/>
        <w:rPr>
          <w:lang w:eastAsia="x-none"/>
        </w:rPr>
      </w:pPr>
      <w:bookmarkStart w:id="472" w:name="_Toc523926056"/>
      <w:r>
        <w:lastRenderedPageBreak/>
        <w:t>30. </w:t>
      </w:r>
      <w:r w:rsidRPr="00EE1A21">
        <w:t>Beschäftigte im Sozial- und Erziehungsdienst</w:t>
      </w:r>
      <w:bookmarkEnd w:id="471"/>
      <w:bookmarkEnd w:id="472"/>
    </w:p>
    <w:p w:rsidR="00BE1EFE" w:rsidRPr="00787487" w:rsidRDefault="00BE1EFE" w:rsidP="00787487">
      <w:pPr>
        <w:pStyle w:val="h7"/>
        <w:jc w:val="left"/>
      </w:pPr>
      <w:bookmarkStart w:id="473" w:name="_Toc473549905"/>
      <w:bookmarkStart w:id="474" w:name="_Toc523926057"/>
      <w:r w:rsidRPr="00EC3F42">
        <w:t>Entgeltgruppe S 2</w:t>
      </w:r>
      <w:bookmarkEnd w:id="473"/>
      <w:bookmarkEnd w:id="47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Beschäftigte in der Tätigkeit von Kinderpflegerinnen/Kinderpflegern mit staatlicher Aner</w:t>
      </w:r>
      <w:r>
        <w:rPr>
          <w:szCs w:val="16"/>
        </w:rPr>
        <w:softHyphen/>
      </w:r>
      <w:r w:rsidRPr="00EE1A21">
        <w:rPr>
          <w:szCs w:val="16"/>
        </w:rPr>
        <w:t>kennung.</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75" w:name="_Toc473549906"/>
      <w:bookmarkStart w:id="476" w:name="_Toc523926058"/>
      <w:r w:rsidRPr="00EC3F42">
        <w:t>Entgeltgruppe S 3</w:t>
      </w:r>
      <w:bookmarkEnd w:id="475"/>
      <w:bookmarkEnd w:id="47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Kinderpflegerinnen/Kinderpfleger mit staatlicher Anerkennung oder mit staatlicher Prüfung und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77" w:name="_Toc473549907"/>
      <w:bookmarkStart w:id="478" w:name="_Toc523926059"/>
      <w:r w:rsidRPr="00EC3F42">
        <w:t>Entgeltgruppe S 4</w:t>
      </w:r>
      <w:bookmarkEnd w:id="477"/>
      <w:bookmarkEnd w:id="47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Kinderpflegerinnen/Kinderpfleger mit staatlicher Anerkennung oder mit staatlicher Prüfung und entsprechender Tätigkeit sowie sonstige Beschäftigte, die aufgrund gleichwertiger Fähigkeiten und ihrer Erfahrungen entsprechende Tätigkeiten ausüben, mit schwierigen fachlichen Tätigkeiten.</w:t>
      </w:r>
    </w:p>
    <w:p w:rsidR="00BE1EFE" w:rsidRPr="00EE1A21" w:rsidRDefault="00BE1EFE" w:rsidP="00D06EC5">
      <w:pPr>
        <w:pStyle w:val="StandardWeb"/>
        <w:rPr>
          <w:szCs w:val="16"/>
        </w:rPr>
      </w:pPr>
      <w:r w:rsidRPr="00EE1A21">
        <w:rPr>
          <w:szCs w:val="16"/>
        </w:rPr>
        <w:t>(Hierzu Anmerkungen Nummern 1 und 2)</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im handwerklichen Erziehungsdienst mit abgeschlossener Berufsausbildung.</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Erzieherinnen/Erziehern, Heilerziehungspflegerinnen/</w:t>
      </w:r>
      <w:r>
        <w:rPr>
          <w:szCs w:val="16"/>
        </w:rPr>
        <w:t xml:space="preserve"> </w:t>
      </w:r>
      <w:r w:rsidRPr="00EE1A21">
        <w:rPr>
          <w:szCs w:val="16"/>
        </w:rPr>
        <w:t>Heilerziehungs</w:t>
      </w:r>
      <w:r>
        <w:rPr>
          <w:szCs w:val="16"/>
        </w:rPr>
        <w:t>pfleger oder Heilerzieherinnen/</w:t>
      </w:r>
      <w:r w:rsidRPr="00EE1A21">
        <w:rPr>
          <w:szCs w:val="16"/>
        </w:rPr>
        <w:t>Heilerzieher mit staatlicher Anerkennung.</w:t>
      </w:r>
    </w:p>
    <w:p w:rsidR="00BE1EFE" w:rsidRPr="00EE1A21" w:rsidRDefault="00BE1EFE" w:rsidP="00D06EC5">
      <w:pPr>
        <w:pStyle w:val="StandardWeb"/>
        <w:rPr>
          <w:szCs w:val="16"/>
        </w:rPr>
      </w:pPr>
      <w:r w:rsidRPr="00EE1A21">
        <w:rPr>
          <w:szCs w:val="16"/>
        </w:rPr>
        <w:t>(Hier</w:t>
      </w:r>
      <w:r>
        <w:rPr>
          <w:szCs w:val="16"/>
        </w:rPr>
        <w:t>zu Anmerkungen Nummern 1 und 3)</w:t>
      </w:r>
    </w:p>
    <w:p w:rsidR="00BE1EFE" w:rsidRPr="00787487" w:rsidRDefault="00BE1EFE" w:rsidP="00787487">
      <w:pPr>
        <w:pStyle w:val="h7"/>
        <w:jc w:val="left"/>
      </w:pPr>
      <w:bookmarkStart w:id="479" w:name="_Toc473549908"/>
      <w:bookmarkStart w:id="480" w:name="_Toc523926060"/>
      <w:r w:rsidRPr="00EC3F42">
        <w:t>Entgeltgruppe S 5</w:t>
      </w:r>
      <w:bookmarkEnd w:id="479"/>
      <w:bookmarkEnd w:id="480"/>
      <w:r w:rsidRPr="00EC3F42">
        <w:t xml:space="preserve"> </w:t>
      </w:r>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81" w:name="_Toc473549909"/>
      <w:bookmarkStart w:id="482" w:name="_Toc523926061"/>
      <w:r w:rsidRPr="00EC3F42">
        <w:t>Entgeltgruppe S 6</w:t>
      </w:r>
      <w:bookmarkEnd w:id="481"/>
      <w:bookmarkEnd w:id="482"/>
      <w:r w:rsidRPr="00EC3F42">
        <w:t xml:space="preserve"> </w:t>
      </w:r>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83" w:name="_Toc473549910"/>
      <w:bookmarkStart w:id="484" w:name="_Toc523926062"/>
      <w:r w:rsidRPr="00EC3F42">
        <w:t>Entgeltgruppe S 7</w:t>
      </w:r>
      <w:bookmarkEnd w:id="483"/>
      <w:bookmarkEnd w:id="48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Beschäftigte mit abgeschlossener Berufsausbildung als Gruppenleiterin/Gruppenleiter in Ausbildungs- oder Berufsförderungswerkstätten oder Werkstätten für behinderte Menschen.</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p>
    <w:p w:rsidR="00BE1EFE" w:rsidRPr="00787487" w:rsidRDefault="00BE1EFE" w:rsidP="00787487">
      <w:pPr>
        <w:pStyle w:val="h7"/>
        <w:jc w:val="left"/>
      </w:pPr>
      <w:bookmarkStart w:id="485" w:name="_Toc473549911"/>
      <w:bookmarkStart w:id="486" w:name="_Toc523926063"/>
      <w:r w:rsidRPr="00EC3F42">
        <w:lastRenderedPageBreak/>
        <w:t>Entgeltgruppe S 8a</w:t>
      </w:r>
      <w:bookmarkEnd w:id="485"/>
      <w:bookmarkEnd w:id="48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Erzieherinnen/Erzieher, Heilerziehungspflegerinnen/Heilerziehungspfleger und Heilerzieherin</w:t>
      </w:r>
      <w:r>
        <w:rPr>
          <w:szCs w:val="16"/>
        </w:rPr>
        <w:softHyphen/>
      </w:r>
      <w:r w:rsidRPr="00EE1A21">
        <w:rPr>
          <w:szCs w:val="16"/>
        </w:rPr>
        <w:t>nen/Heilerzieher mit staatlicher Anerkennung und jeweils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sidRPr="00EE1A21">
        <w:rPr>
          <w:szCs w:val="16"/>
        </w:rPr>
        <w:t xml:space="preserve">(Hierzu </w:t>
      </w:r>
      <w:r>
        <w:rPr>
          <w:szCs w:val="16"/>
        </w:rPr>
        <w:t>Anmerkungen Nummern 1, 3 und 5)</w:t>
      </w:r>
    </w:p>
    <w:p w:rsidR="00BE1EFE" w:rsidRPr="00787487" w:rsidRDefault="00BE1EFE" w:rsidP="00787487">
      <w:pPr>
        <w:pStyle w:val="h7"/>
        <w:jc w:val="left"/>
      </w:pPr>
      <w:bookmarkStart w:id="487" w:name="_Toc473549912"/>
      <w:bookmarkStart w:id="488" w:name="_Toc523926064"/>
      <w:r w:rsidRPr="00EC3F42">
        <w:t>Entgeltgruppe S 8b</w:t>
      </w:r>
      <w:bookmarkEnd w:id="487"/>
      <w:bookmarkEnd w:id="48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Erzieherinnen/Erzieher, Heilerziehungspfleger</w:t>
      </w:r>
      <w:r>
        <w:rPr>
          <w:szCs w:val="16"/>
        </w:rPr>
        <w:t xml:space="preserve">innen/Heilerziehungspfleger und </w:t>
      </w:r>
      <w:r w:rsidRPr="00EE1A21">
        <w:rPr>
          <w:szCs w:val="16"/>
        </w:rPr>
        <w:t>Heiler</w:t>
      </w:r>
      <w:r>
        <w:rPr>
          <w:szCs w:val="16"/>
        </w:rPr>
        <w:t>-</w:t>
      </w:r>
      <w:r w:rsidRPr="00EE1A21">
        <w:rPr>
          <w:szCs w:val="16"/>
        </w:rPr>
        <w:t>zieherinnen/Heilerzieher mit staatlicher Anerkennung und jeweils entsprechender Tätigkeit sowie sonstige Beschäftigte, die aufgrund gleichwertiger Fähigkeiten und ihrer Erfahrungen entsprechende Tätigkeiten ausüben, mit besonders schwierigen fachlichen Tätigkeiten.</w:t>
      </w:r>
    </w:p>
    <w:p w:rsidR="00BE1EFE" w:rsidRPr="00EE1A21" w:rsidRDefault="00BE1EFE" w:rsidP="00D06EC5">
      <w:pPr>
        <w:pStyle w:val="StandardWeb"/>
        <w:rPr>
          <w:szCs w:val="16"/>
        </w:rPr>
      </w:pPr>
      <w:r w:rsidRPr="00EE1A21">
        <w:rPr>
          <w:szCs w:val="16"/>
        </w:rPr>
        <w:t>(Hierzu Anmerkungen Nummern 1, 3, 5 und 6)</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Handwerksmeisterinnen/Handwerksme</w:t>
      </w:r>
      <w:r>
        <w:rPr>
          <w:szCs w:val="16"/>
        </w:rPr>
        <w:t>ister, Industriemeisterinnen/Industrie</w:t>
      </w:r>
      <w:r w:rsidRPr="00EE1A21">
        <w:rPr>
          <w:szCs w:val="16"/>
        </w:rPr>
        <w:t>meister oder Gärtnermeisterinnen/Gärtnermeister als Gruppenleiterin/Gruppenlei</w:t>
      </w:r>
      <w:r>
        <w:rPr>
          <w:szCs w:val="16"/>
        </w:rPr>
        <w:t>ter in Ausbildungs- oder Berufsförderungswerk</w:t>
      </w:r>
      <w:r w:rsidRPr="00EE1A21">
        <w:rPr>
          <w:szCs w:val="16"/>
        </w:rPr>
        <w:t>stätten oder Werkstätten für behinderte Menschen.</w:t>
      </w:r>
    </w:p>
    <w:p w:rsidR="00BE1EFE" w:rsidRPr="00EE1A21" w:rsidRDefault="00BE1EFE" w:rsidP="00D06EC5">
      <w:pPr>
        <w:pStyle w:val="StandardWeb"/>
        <w:rPr>
          <w:szCs w:val="16"/>
        </w:rPr>
      </w:pPr>
      <w:r w:rsidRPr="00EE1A21">
        <w:rPr>
          <w:szCs w:val="16"/>
        </w:rPr>
        <w:t>(Hierzu Anmerkung Nummer 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Sozialarbeiterinnen/Sozialarbeitern bzw. Sozialpädago</w:t>
      </w:r>
      <w:r>
        <w:rPr>
          <w:szCs w:val="16"/>
        </w:rPr>
        <w:softHyphen/>
      </w:r>
      <w:r w:rsidRPr="00EE1A21">
        <w:rPr>
          <w:szCs w:val="16"/>
        </w:rPr>
        <w:t>ginnen/Sozialpädagogen mit staatlicher Anerkennung.</w:t>
      </w:r>
    </w:p>
    <w:p w:rsidR="00BE1EFE" w:rsidRPr="00EE1A21" w:rsidRDefault="00BE1EFE" w:rsidP="00D06EC5">
      <w:pPr>
        <w:pStyle w:val="StandardWeb"/>
        <w:rPr>
          <w:szCs w:val="16"/>
        </w:rPr>
      </w:pPr>
      <w:r>
        <w:rPr>
          <w:szCs w:val="16"/>
        </w:rPr>
        <w:t>(Hierzu Anmerkung Nummer 1)</w:t>
      </w:r>
    </w:p>
    <w:p w:rsidR="00BE1EFE" w:rsidRPr="00787487" w:rsidRDefault="00BE1EFE" w:rsidP="00787487">
      <w:pPr>
        <w:pStyle w:val="h7"/>
        <w:jc w:val="left"/>
      </w:pPr>
      <w:bookmarkStart w:id="489" w:name="_Toc473549913"/>
      <w:bookmarkStart w:id="490" w:name="_Toc523926065"/>
      <w:r w:rsidRPr="00EC3F42">
        <w:t>Entgeltgruppe S 9</w:t>
      </w:r>
      <w:bookmarkEnd w:id="489"/>
      <w:bookmarkEnd w:id="49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Erzieherinnen/Erzieher, Heilerziehungspflegerinnen/Heilerziehungspfleger und Heiler</w:t>
      </w:r>
      <w:r>
        <w:rPr>
          <w:szCs w:val="16"/>
        </w:rPr>
        <w:softHyphen/>
      </w:r>
      <w:r w:rsidRPr="00EE1A21">
        <w:rPr>
          <w:szCs w:val="16"/>
        </w:rPr>
        <w:t>zieherinnen/Heilerzieher mit staatlicher Anerkennung und jeweils entsprechender Tätigkeit sowie sonstige Beschäftigte, die aufgrund gleichwertiger Fähigkeiten und ihrer Erfahrungen entsprechende Tätigkeiten ausüben, mit fachlich koordinierenden Aufgaben für mindestens drei Beschäftigte mindestens der Entgeltgruppe S 8b Fallgruppe 1.</w:t>
      </w:r>
    </w:p>
    <w:p w:rsidR="00BE1EFE" w:rsidRPr="00EE1A21" w:rsidRDefault="00BE1EFE" w:rsidP="00D06EC5">
      <w:pPr>
        <w:pStyle w:val="StandardWeb"/>
        <w:rPr>
          <w:szCs w:val="16"/>
        </w:rPr>
      </w:pPr>
      <w:r w:rsidRPr="00EE1A21">
        <w:rPr>
          <w:szCs w:val="16"/>
        </w:rPr>
        <w:t>(Hierzu Anmerkungen Nummern 1, 3 und 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Heilpädagoginnen/Heilpädagogen mit staatlicher Anerkennung und entsprechender Tätigkeit.</w:t>
      </w:r>
    </w:p>
    <w:p w:rsidR="00BE1EFE" w:rsidRPr="00EE1A21" w:rsidRDefault="00BE1EFE" w:rsidP="00D06EC5">
      <w:pPr>
        <w:pStyle w:val="StandardWeb"/>
        <w:rPr>
          <w:szCs w:val="16"/>
        </w:rPr>
      </w:pPr>
      <w:r w:rsidRPr="00EE1A21">
        <w:rPr>
          <w:szCs w:val="16"/>
        </w:rPr>
        <w:t>(Hierzu Anmerkungen Nummern 1 und 7)</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Beschäftigte in der Tätigkeit von Heilpädagoginnen/Heilpädagogen mit abgeschlossener Hochschulbildung und – soweit nach dem jeweiligen Landesrecht vorgesehen – mit staatlicher Anerkennung.</w:t>
      </w:r>
    </w:p>
    <w:p w:rsidR="00BE1EFE" w:rsidRPr="00EE1A21" w:rsidRDefault="00BE1EFE" w:rsidP="00D06EC5">
      <w:pPr>
        <w:pStyle w:val="StandardWeb"/>
        <w:rPr>
          <w:szCs w:val="16"/>
        </w:rPr>
      </w:pPr>
      <w:r w:rsidRPr="00EE1A21">
        <w:rPr>
          <w:szCs w:val="16"/>
        </w:rPr>
        <w:t>(Hierzu Anmerkungen Nummern 1 und 15)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als Leiterinnen/Leiter von Kindertagesstätten. </w:t>
      </w:r>
    </w:p>
    <w:p w:rsidR="00BE1EFE" w:rsidRPr="00EE1A21" w:rsidRDefault="00BE1EFE" w:rsidP="00D06EC5">
      <w:pPr>
        <w:pStyle w:val="StandardWeb"/>
        <w:rPr>
          <w:szCs w:val="16"/>
        </w:rPr>
      </w:pPr>
      <w:r w:rsidRPr="00EE1A21">
        <w:rPr>
          <w:szCs w:val="16"/>
        </w:rPr>
        <w:t>(Hierzu Anmerkung Nummer 8)</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Beschäftigte, die durch ausdrückliche Anordnung als ständige Vertreterinnen/Vertreter von Leiterinnen/Leitern von Kindertagesstätten mit einer Durchschnittsbelegung von mindestens 40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787487" w:rsidRDefault="00BE1EFE" w:rsidP="00787487">
      <w:pPr>
        <w:pStyle w:val="h7"/>
        <w:jc w:val="left"/>
      </w:pPr>
      <w:bookmarkStart w:id="491" w:name="_Toc473549914"/>
      <w:bookmarkStart w:id="492" w:name="_Toc523926066"/>
      <w:r w:rsidRPr="00EC3F42">
        <w:lastRenderedPageBreak/>
        <w:t>Entgeltgruppe S 10</w:t>
      </w:r>
      <w:bookmarkEnd w:id="491"/>
      <w:bookmarkEnd w:id="492"/>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 xml:space="preserve">[nicht besetzt] </w:t>
      </w:r>
    </w:p>
    <w:p w:rsidR="00BE1EFE" w:rsidRPr="00787487" w:rsidRDefault="00BE1EFE" w:rsidP="00787487">
      <w:pPr>
        <w:pStyle w:val="h7"/>
        <w:jc w:val="left"/>
      </w:pPr>
      <w:bookmarkStart w:id="493" w:name="_Toc473549915"/>
      <w:bookmarkStart w:id="494" w:name="_Toc523926067"/>
      <w:r w:rsidRPr="00EC3F42">
        <w:t>Entgeltgruppe S 11a</w:t>
      </w:r>
      <w:bookmarkEnd w:id="493"/>
      <w:bookmarkEnd w:id="49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 xml:space="preserve">Beschäftigte, die durch ausdrückliche Anordnung als ständige Vertreterinnen/Vertreter von Leiterinnen/Leitern von Kindertagesstätten für Menschen mit Behinderung im Sinne von </w:t>
      </w:r>
      <w:hyperlink r:id="rId292" w:history="1">
        <w:r w:rsidRPr="001B3A98">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293" w:history="1">
        <w:r w:rsidRPr="001B3A98">
          <w:rPr>
            <w:rStyle w:val="Hyperlink"/>
            <w:szCs w:val="16"/>
          </w:rPr>
          <w:t>§ 2 SGB IX</w:t>
        </w:r>
      </w:hyperlink>
      <w:r w:rsidRPr="00EE1A21">
        <w:rPr>
          <w:szCs w:val="16"/>
        </w:rPr>
        <w:t xml:space="preserve"> bestellt sind.</w:t>
      </w:r>
    </w:p>
    <w:p w:rsidR="00BE1EFE" w:rsidRPr="00EE1A21" w:rsidRDefault="00BE1EFE" w:rsidP="00D06EC5">
      <w:pPr>
        <w:pStyle w:val="StandardWeb"/>
        <w:rPr>
          <w:szCs w:val="16"/>
        </w:rPr>
      </w:pPr>
      <w:r w:rsidRPr="00EE1A21">
        <w:rPr>
          <w:szCs w:val="16"/>
        </w:rPr>
        <w:t>(Hier</w:t>
      </w:r>
      <w:r>
        <w:rPr>
          <w:szCs w:val="16"/>
        </w:rPr>
        <w:t>zu Anmerkungen Nummern 4 und 8)</w:t>
      </w:r>
    </w:p>
    <w:p w:rsidR="00BE1EFE" w:rsidRPr="00787487" w:rsidRDefault="00BE1EFE" w:rsidP="00787487">
      <w:pPr>
        <w:pStyle w:val="h7"/>
        <w:jc w:val="left"/>
      </w:pPr>
      <w:bookmarkStart w:id="495" w:name="_Toc473549916"/>
      <w:bookmarkStart w:id="496" w:name="_Toc523926068"/>
      <w:r w:rsidRPr="00EC3F42">
        <w:t>Entgeltgruppe S 11b</w:t>
      </w:r>
      <w:bookmarkEnd w:id="495"/>
      <w:bookmarkEnd w:id="49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sowie sonstige Beschäftigte, die aufgrund gleichwertiger Fähigkeiten und ihrer Erfahrungen entsprechende Tätigkeiten ausüben.</w:t>
      </w:r>
    </w:p>
    <w:p w:rsidR="00BE1EFE" w:rsidRPr="00EE1A21" w:rsidRDefault="00BE1EFE" w:rsidP="00D06EC5">
      <w:pPr>
        <w:pStyle w:val="StandardWeb"/>
        <w:rPr>
          <w:szCs w:val="16"/>
        </w:rPr>
      </w:pPr>
      <w:r w:rsidRPr="00EE1A21">
        <w:rPr>
          <w:szCs w:val="16"/>
        </w:rPr>
        <w:t>(Hierz</w:t>
      </w:r>
      <w:r>
        <w:rPr>
          <w:szCs w:val="16"/>
        </w:rPr>
        <w:t>u Anmerkungen Nummern 1 und 15)</w:t>
      </w:r>
    </w:p>
    <w:p w:rsidR="00BE1EFE" w:rsidRPr="00787487" w:rsidRDefault="00BE1EFE" w:rsidP="00787487">
      <w:pPr>
        <w:pStyle w:val="h7"/>
        <w:jc w:val="left"/>
      </w:pPr>
      <w:bookmarkStart w:id="497" w:name="_Toc473549917"/>
      <w:bookmarkStart w:id="498" w:name="_Toc523926069"/>
      <w:r w:rsidRPr="00EC3F42">
        <w:t>Entgeltgruppe S 12</w:t>
      </w:r>
      <w:bookmarkEnd w:id="497"/>
      <w:bookmarkEnd w:id="49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sowie sonstige Beschäftigte, die aufgrund gleichwertiger Fähigkeiten und ihrer Erfahrungen entsprechende Tätigkeiten ausüben, mit schwierigen Tätigkeiten.</w:t>
      </w:r>
    </w:p>
    <w:p w:rsidR="00BE1EFE" w:rsidRPr="00EE1A21" w:rsidRDefault="00BE1EFE" w:rsidP="00D06EC5">
      <w:pPr>
        <w:pStyle w:val="StandardWeb"/>
        <w:rPr>
          <w:szCs w:val="16"/>
        </w:rPr>
      </w:pPr>
      <w:r w:rsidRPr="00EE1A21">
        <w:rPr>
          <w:szCs w:val="16"/>
        </w:rPr>
        <w:t>(Hierzu An</w:t>
      </w:r>
      <w:r>
        <w:rPr>
          <w:szCs w:val="16"/>
        </w:rPr>
        <w:t>merkungen Nummern 1, 12 und 15)</w:t>
      </w:r>
    </w:p>
    <w:p w:rsidR="00BE1EFE" w:rsidRPr="00787487" w:rsidRDefault="00BE1EFE" w:rsidP="00787487">
      <w:pPr>
        <w:pStyle w:val="h7"/>
        <w:jc w:val="left"/>
      </w:pPr>
      <w:bookmarkStart w:id="499" w:name="_Toc473549918"/>
      <w:bookmarkStart w:id="500" w:name="_Toc523926070"/>
      <w:r w:rsidRPr="00EC3F42">
        <w:t>Entgeltgruppe S 13</w:t>
      </w:r>
      <w:bookmarkEnd w:id="499"/>
      <w:bookmarkEnd w:id="50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40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70 Plätzen bestellt sind.</w:t>
      </w:r>
    </w:p>
    <w:p w:rsidR="00BE1EFE" w:rsidRPr="00EE1A21" w:rsidRDefault="00BE1EFE" w:rsidP="00D06EC5">
      <w:pPr>
        <w:pStyle w:val="StandardWeb"/>
        <w:rPr>
          <w:szCs w:val="16"/>
        </w:rPr>
      </w:pPr>
      <w:r w:rsidRPr="00EE1A21">
        <w:rPr>
          <w:szCs w:val="16"/>
        </w:rPr>
        <w:t xml:space="preserve">(Hierzu </w:t>
      </w:r>
      <w:r>
        <w:rPr>
          <w:szCs w:val="16"/>
        </w:rPr>
        <w:t>Anmerkungen Nummern 4, 8 und 9)</w:t>
      </w:r>
    </w:p>
    <w:p w:rsidR="00BE1EFE" w:rsidRPr="00787487" w:rsidRDefault="00BE1EFE" w:rsidP="00787487">
      <w:pPr>
        <w:pStyle w:val="h7"/>
        <w:jc w:val="left"/>
      </w:pPr>
      <w:bookmarkStart w:id="501" w:name="_Toc473549919"/>
      <w:bookmarkStart w:id="502" w:name="_Toc523926071"/>
      <w:r w:rsidRPr="00EC3F42">
        <w:t>Entgeltgruppe S 14</w:t>
      </w:r>
      <w:bookmarkEnd w:id="501"/>
      <w:bookmarkEnd w:id="502"/>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sidRPr="00EE1A21">
        <w:rPr>
          <w:szCs w:val="16"/>
        </w:rPr>
        <w:t xml:space="preserve">Sozialarbeiterinnen/Sozialarbeiter und Sozialpädagoginnen/Sozialpädagogen mit staatlicher Anerkennung sowie Heilpädagoginnen/Heilpädagogen mit abgeschlossener Hochschulbildung und – soweit nach dem jeweiligen Landesrecht vorgesehen – mit staatlicher Anerkennung mit jeweils entsprechender Tätigkeit, die Entscheidungen zur Vermeidung der Gefährdung des </w:t>
      </w:r>
      <w:r w:rsidRPr="00EE1A21">
        <w:rPr>
          <w:szCs w:val="16"/>
        </w:rPr>
        <w:lastRenderedPageBreak/>
        <w:t>Kindeswohls treffen und in Zusammenarbeit mit dem Familiengericht bzw. Vormundschaftsgericht Maßnahmen einleiten, welche zur Gefahrenabwehr erforderlich sind, oder mit gleichwertigen Tätigkeiten, die für die Entscheidung zur zwangsweisen Unterbringung von Menschen mit psychischen Krankheiten erforderlich sind (</w:t>
      </w:r>
      <w:r>
        <w:rPr>
          <w:szCs w:val="16"/>
        </w:rPr>
        <w:t>z. B.</w:t>
      </w:r>
      <w:r w:rsidRPr="00EE1A21">
        <w:rPr>
          <w:szCs w:val="16"/>
        </w:rPr>
        <w:t xml:space="preserve"> Sozialpsychiatrischer Dienst der örtlichen Stellen der Städte, Gemeinden und Landkreise).</w:t>
      </w:r>
    </w:p>
    <w:p w:rsidR="00BE1EFE" w:rsidRPr="00EE1A21" w:rsidRDefault="00BE1EFE" w:rsidP="00D06EC5">
      <w:pPr>
        <w:pStyle w:val="StandardWeb"/>
        <w:rPr>
          <w:szCs w:val="16"/>
        </w:rPr>
      </w:pPr>
      <w:r w:rsidRPr="00EE1A21">
        <w:rPr>
          <w:szCs w:val="16"/>
        </w:rPr>
        <w:t>(Hierzu Anmerku</w:t>
      </w:r>
      <w:r>
        <w:rPr>
          <w:szCs w:val="16"/>
        </w:rPr>
        <w:t>ngen Nummern 13, 14 und 15)</w:t>
      </w:r>
    </w:p>
    <w:p w:rsidR="00BE1EFE" w:rsidRPr="00787487" w:rsidRDefault="00BE1EFE" w:rsidP="00787487">
      <w:pPr>
        <w:pStyle w:val="h7"/>
        <w:jc w:val="left"/>
      </w:pPr>
      <w:bookmarkStart w:id="503" w:name="_Toc473549920"/>
      <w:bookmarkStart w:id="504" w:name="_Toc523926072"/>
      <w:r w:rsidRPr="00EC3F42">
        <w:t>Entgeltgruppe S 15</w:t>
      </w:r>
      <w:bookmarkEnd w:id="503"/>
      <w:bookmarkEnd w:id="504"/>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70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100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294" w:history="1">
        <w:r w:rsidRPr="001B3A98">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295" w:history="1">
        <w:r w:rsidRPr="001B3A98">
          <w:rPr>
            <w:rStyle w:val="Hyperlink"/>
            <w:szCs w:val="16"/>
          </w:rPr>
          <w:t>§ 2 SGB IX</w:t>
        </w:r>
      </w:hyperlink>
      <w:r w:rsidRPr="00EE1A21">
        <w:rPr>
          <w:szCs w:val="16"/>
        </w:rPr>
        <w:t>.</w:t>
      </w:r>
    </w:p>
    <w:p w:rsidR="00BE1EFE" w:rsidRPr="00EE1A21" w:rsidRDefault="00BE1EFE" w:rsidP="00D06EC5">
      <w:pPr>
        <w:pStyle w:val="StandardWeb"/>
        <w:rPr>
          <w:szCs w:val="16"/>
        </w:rPr>
      </w:pPr>
      <w:r w:rsidRPr="00EE1A21">
        <w:rPr>
          <w:szCs w:val="16"/>
        </w:rPr>
        <w:t>(Hierzu Anmerkung Nummer 8)</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296" w:history="1">
        <w:r w:rsidRPr="001B3A98">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297" w:history="1">
        <w:r w:rsidRPr="001B3A98">
          <w:rPr>
            <w:rStyle w:val="Hyperlink"/>
            <w:szCs w:val="16"/>
          </w:rPr>
          <w:t>§ 2 SGB IX</w:t>
        </w:r>
      </w:hyperlink>
      <w:r w:rsidRPr="00EE1A21">
        <w:rPr>
          <w:szCs w:val="16"/>
        </w:rPr>
        <w:t xml:space="preserve"> mit einer Durchschnittsbelegung von mindestens 40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298" w:history="1">
        <w:r w:rsidRPr="001B3A98">
          <w:rPr>
            <w:rStyle w:val="Hyperlink"/>
            <w:szCs w:val="16"/>
          </w:rPr>
          <w:t>§ 2 SGB IX</w:t>
        </w:r>
      </w:hyperlink>
      <w:r w:rsidRPr="00EE1A21">
        <w:rPr>
          <w:szCs w:val="16"/>
        </w:rPr>
        <w:t xml:space="preserve"> bestellt sind.</w:t>
      </w:r>
    </w:p>
    <w:p w:rsidR="00BE1EFE" w:rsidRPr="00EE1A21" w:rsidRDefault="00BE1EFE" w:rsidP="00D06EC5">
      <w:pPr>
        <w:pStyle w:val="StandardWeb"/>
        <w:rPr>
          <w:szCs w:val="16"/>
        </w:rPr>
      </w:pPr>
      <w:r w:rsidRPr="00EE1A21">
        <w:rPr>
          <w:szCs w:val="16"/>
        </w:rPr>
        <w:t>(Hierzu Anmerkungen Nummern 1, 4,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mindestens zu einem Drittel durch besondere Schwierigkeit und Bedeutung aus der Entgeltgruppe S 12 heraushebt.</w:t>
      </w:r>
    </w:p>
    <w:p w:rsidR="00BE1EFE" w:rsidRPr="00EE1A21" w:rsidRDefault="00BE1EFE" w:rsidP="00D06EC5">
      <w:pPr>
        <w:pStyle w:val="StandardWeb"/>
        <w:rPr>
          <w:szCs w:val="16"/>
        </w:rPr>
      </w:pPr>
      <w:r w:rsidRPr="00EE1A21">
        <w:rPr>
          <w:szCs w:val="16"/>
        </w:rPr>
        <w:t>(Hierz</w:t>
      </w:r>
      <w:r>
        <w:rPr>
          <w:szCs w:val="16"/>
        </w:rPr>
        <w:t>u Anmerkungen Nummern 1 und 15)</w:t>
      </w:r>
    </w:p>
    <w:p w:rsidR="00BE1EFE" w:rsidRPr="00787487" w:rsidRDefault="00BE1EFE" w:rsidP="00787487">
      <w:pPr>
        <w:pStyle w:val="h7"/>
        <w:jc w:val="left"/>
      </w:pPr>
      <w:bookmarkStart w:id="505" w:name="_Toc473549921"/>
      <w:bookmarkStart w:id="506" w:name="_Toc523926073"/>
      <w:r w:rsidRPr="00EC3F42">
        <w:t>Entgeltgruppe S 16</w:t>
      </w:r>
      <w:bookmarkEnd w:id="505"/>
      <w:bookmarkEnd w:id="506"/>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100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lastRenderedPageBreak/>
        <w:t>2. </w:t>
      </w:r>
      <w:r w:rsidRPr="00EE1A21">
        <w:rPr>
          <w:szCs w:val="16"/>
        </w:rPr>
        <w:t>Beschäftigte, die durch ausdrückliche Anordnung als ständige Vertreterinnen/Vertreter von Leiterinnen/Leitern von Kindertagesstätten mit einer Durchschnittsbelegung von mindestens 130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299" w:history="1">
        <w:r w:rsidRPr="00D24A8C">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300" w:history="1">
        <w:r w:rsidRPr="00D24A8C">
          <w:rPr>
            <w:rStyle w:val="Hyperlink"/>
            <w:szCs w:val="16"/>
          </w:rPr>
          <w:t>§ 2 SGB IX</w:t>
        </w:r>
      </w:hyperlink>
      <w:r w:rsidRPr="00EE1A21">
        <w:rPr>
          <w:szCs w:val="16"/>
        </w:rPr>
        <w:t xml:space="preserve"> mit einer Durchschnittsbelegung von mindestens 40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301"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302" w:history="1">
        <w:r w:rsidRPr="00D24A8C">
          <w:rPr>
            <w:rStyle w:val="Hyperlink"/>
            <w:szCs w:val="16"/>
          </w:rPr>
          <w:t>§ 2 SGB IX</w:t>
        </w:r>
      </w:hyperlink>
      <w:r w:rsidRPr="00EE1A21">
        <w:rPr>
          <w:szCs w:val="16"/>
        </w:rPr>
        <w:t xml:space="preserve"> mit einer Durchschnittsbelegung von mindestens 70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5. </w:t>
      </w:r>
      <w:r w:rsidRPr="00EE1A21">
        <w:rPr>
          <w:szCs w:val="16"/>
        </w:rPr>
        <w:t xml:space="preserve">Beschäftigte als Leiterinnen/Leiter von Erziehungsheimen oder von Wohnheimen für erwachsene Menschen mit Behinderung im Sinne des </w:t>
      </w:r>
      <w:hyperlink r:id="rId303" w:history="1">
        <w:r w:rsidRPr="00D24A8C">
          <w:rPr>
            <w:rStyle w:val="Hyperlink"/>
            <w:szCs w:val="16"/>
          </w:rPr>
          <w:t>§ 2 SGB IX</w:t>
        </w:r>
      </w:hyperlink>
      <w:r w:rsidRPr="00EE1A21">
        <w:rPr>
          <w:szCs w:val="16"/>
        </w:rPr>
        <w:t>.</w:t>
      </w:r>
    </w:p>
    <w:p w:rsidR="00BE1EFE" w:rsidRPr="00EE1A21" w:rsidRDefault="00BE1EFE" w:rsidP="00D06EC5">
      <w:pPr>
        <w:pStyle w:val="StandardWeb"/>
        <w:rPr>
          <w:szCs w:val="16"/>
        </w:rPr>
      </w:pPr>
      <w:r w:rsidRPr="00EE1A21">
        <w:rPr>
          <w:szCs w:val="16"/>
        </w:rPr>
        <w:t>(Hierzu Anmerkungen Nummern 1,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304" w:history="1">
        <w:r w:rsidRPr="00D24A8C">
          <w:rPr>
            <w:rStyle w:val="Hyperlink"/>
            <w:szCs w:val="16"/>
          </w:rPr>
          <w:t>§ 2 SGB IX</w:t>
        </w:r>
      </w:hyperlink>
      <w:r w:rsidRPr="00EE1A21">
        <w:rPr>
          <w:szCs w:val="16"/>
        </w:rPr>
        <w:t xml:space="preserve"> mit einer Durchschnittsbelegung von mindestens 50 Plätzen bestellt sind.</w:t>
      </w:r>
    </w:p>
    <w:p w:rsidR="00BE1EFE" w:rsidRPr="00EE1A21" w:rsidRDefault="00BE1EFE" w:rsidP="00D06EC5">
      <w:pPr>
        <w:pStyle w:val="StandardWeb"/>
        <w:rPr>
          <w:szCs w:val="16"/>
        </w:rPr>
      </w:pPr>
      <w:r w:rsidRPr="00EE1A21">
        <w:rPr>
          <w:szCs w:val="16"/>
        </w:rPr>
        <w:t>(Hierzu Anmerkun</w:t>
      </w:r>
      <w:r>
        <w:rPr>
          <w:szCs w:val="16"/>
        </w:rPr>
        <w:t>gen Nummern 1, 4, 9, 10 und 11)</w:t>
      </w:r>
    </w:p>
    <w:p w:rsidR="00BE1EFE" w:rsidRPr="00787487" w:rsidRDefault="00BE1EFE" w:rsidP="00787487">
      <w:pPr>
        <w:pStyle w:val="h7"/>
        <w:jc w:val="left"/>
      </w:pPr>
      <w:bookmarkStart w:id="507" w:name="_Toc473549922"/>
      <w:bookmarkStart w:id="508" w:name="_Toc523926074"/>
      <w:r w:rsidRPr="00EC3F42">
        <w:t>Entgeltgruppe S 17</w:t>
      </w:r>
      <w:bookmarkEnd w:id="507"/>
      <w:bookmarkEnd w:id="508"/>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130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Beschäftigte, die durch ausdrückliche Anordnung als ständige Vertreterinnen/Vertreter von Leiterinnen/Leitern von Kindertagesstätten mit einer Durchschnittsbelegung von mindestens 180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Kindertagesstätten für Menschen mit Behinderung im Sinne von </w:t>
      </w:r>
      <w:hyperlink r:id="rId305" w:history="1">
        <w:r w:rsidRPr="00D24A8C">
          <w:rPr>
            <w:rStyle w:val="Hyperlink"/>
            <w:szCs w:val="16"/>
          </w:rPr>
          <w:t>§ 2 SGB IX</w:t>
        </w:r>
      </w:hyperlink>
      <w:r w:rsidRPr="00EE1A21">
        <w:rPr>
          <w:szCs w:val="16"/>
        </w:rPr>
        <w:t xml:space="preserve"> oder für Kinder und Jugendliche mit wesentlichen Erziehungs</w:t>
      </w:r>
      <w:r>
        <w:rPr>
          <w:szCs w:val="16"/>
        </w:rPr>
        <w:softHyphen/>
      </w:r>
      <w:r w:rsidRPr="00EE1A21">
        <w:rPr>
          <w:szCs w:val="16"/>
        </w:rPr>
        <w:t xml:space="preserve">schwierigkeiten oder von Tagesstätten für erwachsene Menschen mit Behinderung im Sinne des </w:t>
      </w:r>
      <w:hyperlink r:id="rId306" w:history="1">
        <w:r w:rsidRPr="00D24A8C">
          <w:rPr>
            <w:rStyle w:val="Hyperlink"/>
            <w:szCs w:val="16"/>
          </w:rPr>
          <w:t>§ 2 SGB IX</w:t>
        </w:r>
      </w:hyperlink>
      <w:r w:rsidRPr="00EE1A21">
        <w:rPr>
          <w:szCs w:val="16"/>
        </w:rPr>
        <w:t xml:space="preserve"> mit einer Durchschnittsbelegung von mindestens 70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 xml:space="preserve">Beschäftigte, die durch ausdrückliche Anordnung als ständige Vertreterinnen/Vertreter von Leiterinnen/Leitern von Kindertagesstätten für Menschen mit Behinderung im Sinne von </w:t>
      </w:r>
      <w:hyperlink r:id="rId307"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w:t>
      </w:r>
      <w:hyperlink r:id="rId308" w:history="1">
        <w:r w:rsidRPr="00D24A8C">
          <w:rPr>
            <w:rStyle w:val="Hyperlink"/>
            <w:szCs w:val="16"/>
          </w:rPr>
          <w:t>§ 2 SGB IX</w:t>
        </w:r>
      </w:hyperlink>
      <w:r w:rsidRPr="00EE1A21">
        <w:rPr>
          <w:szCs w:val="16"/>
        </w:rPr>
        <w:t xml:space="preserve"> mit einer Durchschnittsbelegung von mindestens 90 Plätzen bestellt sind.</w:t>
      </w:r>
    </w:p>
    <w:p w:rsidR="00BE1EFE" w:rsidRPr="00EE1A21" w:rsidRDefault="00BE1EFE" w:rsidP="00D06EC5">
      <w:pPr>
        <w:pStyle w:val="StandardWeb"/>
        <w:rPr>
          <w:szCs w:val="16"/>
        </w:rPr>
      </w:pPr>
      <w:r w:rsidRPr="00EE1A21">
        <w:rPr>
          <w:szCs w:val="16"/>
        </w:rPr>
        <w:t>(Hierzu Anmerkungen Nummern 4,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lastRenderedPageBreak/>
        <w:t>5. </w:t>
      </w:r>
      <w:r w:rsidRPr="00EE1A21">
        <w:rPr>
          <w:szCs w:val="16"/>
        </w:rPr>
        <w:t xml:space="preserve">Beschäftigte, die durch ausdrückliche Anordnung als ständige Vertreterinnen/Vertreter von Leiterinnen/Leitern von Erziehungsheimen oder von Wohnheimen für erwachsene Menschen mit Behinderung im Sinne des </w:t>
      </w:r>
      <w:hyperlink r:id="rId309" w:history="1">
        <w:r w:rsidRPr="00D24A8C">
          <w:rPr>
            <w:rStyle w:val="Hyperlink"/>
            <w:szCs w:val="16"/>
          </w:rPr>
          <w:t>§ 2 SGB IX</w:t>
        </w:r>
      </w:hyperlink>
      <w:r w:rsidRPr="00EE1A21">
        <w:rPr>
          <w:szCs w:val="16"/>
        </w:rPr>
        <w:t xml:space="preserve"> mit einer Durchschnittsbelegung von mindestens 90 Plätzen bestellt sind.</w:t>
      </w:r>
    </w:p>
    <w:p w:rsidR="00BE1EFE" w:rsidRPr="00EE1A21" w:rsidRDefault="00BE1EFE" w:rsidP="00D06EC5">
      <w:pPr>
        <w:pStyle w:val="StandardWeb"/>
        <w:rPr>
          <w:szCs w:val="16"/>
        </w:rPr>
      </w:pPr>
      <w:r w:rsidRPr="00EE1A21">
        <w:rPr>
          <w:szCs w:val="16"/>
        </w:rPr>
        <w:t>(Hierzu Anmerkungen Nummern 1, 4, 9,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6. 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durch besondere Schwierigkeit und Bedeutung aus der Entgeltgruppe S 12 heraushebt.</w:t>
      </w:r>
    </w:p>
    <w:p w:rsidR="00BE1EFE" w:rsidRPr="00EE1A21" w:rsidRDefault="00BE1EFE" w:rsidP="00D06EC5">
      <w:pPr>
        <w:pStyle w:val="StandardWeb"/>
        <w:rPr>
          <w:szCs w:val="16"/>
        </w:rPr>
      </w:pPr>
      <w:r w:rsidRPr="00EE1A21">
        <w:rPr>
          <w:szCs w:val="16"/>
        </w:rPr>
        <w:t>(Hierzu Anmerkungen Nummern 1 und 15)</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7. </w:t>
      </w:r>
      <w:r w:rsidRPr="00EE1A21">
        <w:rPr>
          <w:szCs w:val="16"/>
        </w:rPr>
        <w:t>Psychagoginnen/Psychagogen mit staatlicher Anerkennung oder staatlich anerkannter Prüfung und entsprechender Tätigkeit.</w:t>
      </w:r>
    </w:p>
    <w:p w:rsidR="00BE1EFE" w:rsidRPr="00EE1A21" w:rsidRDefault="00BE1EFE" w:rsidP="00D06EC5">
      <w:pPr>
        <w:pStyle w:val="StandardWeb"/>
        <w:rPr>
          <w:szCs w:val="16"/>
        </w:rPr>
      </w:pPr>
      <w:r>
        <w:rPr>
          <w:szCs w:val="16"/>
        </w:rPr>
        <w:t>(Hierzu Anmerkung Nummer 16)</w:t>
      </w:r>
    </w:p>
    <w:p w:rsidR="00BE1EFE" w:rsidRPr="00787487" w:rsidRDefault="00BE1EFE" w:rsidP="00787487">
      <w:pPr>
        <w:pStyle w:val="h7"/>
        <w:jc w:val="left"/>
      </w:pPr>
      <w:bookmarkStart w:id="509" w:name="_Toc473549923"/>
      <w:bookmarkStart w:id="510" w:name="_Toc523926075"/>
      <w:r w:rsidRPr="00EC3F42">
        <w:t>Entgeltgruppe S 18</w:t>
      </w:r>
      <w:bookmarkEnd w:id="509"/>
      <w:bookmarkEnd w:id="510"/>
    </w:p>
    <w:p w:rsidR="00BE1EFE" w:rsidRPr="00B76821" w:rsidRDefault="00BE1EFE" w:rsidP="00B76821">
      <w:pPr>
        <w:pStyle w:val="h8"/>
        <w:keepNext w:val="0"/>
        <w:spacing w:before="0" w:after="0"/>
        <w:outlineLvl w:val="5"/>
        <w:rPr>
          <w:sz w:val="2"/>
        </w:rPr>
      </w:pPr>
    </w:p>
    <w:p w:rsidR="00BE1EFE" w:rsidRPr="00EE1A21" w:rsidRDefault="00BE1EFE" w:rsidP="00D06EC5">
      <w:pPr>
        <w:pStyle w:val="StandardWeb"/>
        <w:rPr>
          <w:szCs w:val="16"/>
        </w:rPr>
      </w:pPr>
      <w:r>
        <w:rPr>
          <w:szCs w:val="16"/>
        </w:rPr>
        <w:t>1. </w:t>
      </w:r>
      <w:r w:rsidRPr="00EE1A21">
        <w:rPr>
          <w:szCs w:val="16"/>
        </w:rPr>
        <w:t>Beschäftigte als Leiterinnen/Leiter von Kindertagesstätten mit einer Durchschnittsbelegung von mindestens 180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2. </w:t>
      </w:r>
      <w:r w:rsidRPr="00EE1A21">
        <w:rPr>
          <w:szCs w:val="16"/>
        </w:rPr>
        <w:t xml:space="preserve">Beschäftigte als Leiterinnen/Leiter von Kindertagesstätten für Menschen mit Behinderung im Sinne von </w:t>
      </w:r>
      <w:hyperlink r:id="rId310" w:history="1">
        <w:r w:rsidRPr="00D24A8C">
          <w:rPr>
            <w:rStyle w:val="Hyperlink"/>
            <w:szCs w:val="16"/>
          </w:rPr>
          <w:t>§ 2 SGB IX</w:t>
        </w:r>
      </w:hyperlink>
      <w:r w:rsidRPr="00EE1A21">
        <w:rPr>
          <w:szCs w:val="16"/>
        </w:rPr>
        <w:t xml:space="preserve"> oder für Kinder und Jugendliche mit wesentlichen Erziehungsschwierigkeiten oder von Tagesstätten für erwachsene Menschen mit Behinderung im Sinne des § 2 SGB IX mit einer Durchschnittsbelegung von mindestens 90 Plätzen.</w:t>
      </w:r>
    </w:p>
    <w:p w:rsidR="00BE1EFE" w:rsidRPr="00EE1A21" w:rsidRDefault="00BE1EFE" w:rsidP="00D06EC5">
      <w:pPr>
        <w:pStyle w:val="StandardWeb"/>
        <w:rPr>
          <w:szCs w:val="16"/>
        </w:rPr>
      </w:pPr>
      <w:r w:rsidRPr="00EE1A21">
        <w:rPr>
          <w:szCs w:val="16"/>
        </w:rPr>
        <w:t>(Hierzu Anmerkungen Nummern 8 und 9)</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3. </w:t>
      </w:r>
      <w:r w:rsidRPr="00EE1A21">
        <w:rPr>
          <w:szCs w:val="16"/>
        </w:rPr>
        <w:t xml:space="preserve">Beschäftigte als Leiterinnen/Leiter von Erziehungsheimen oder von Wohnheimen für erwachsene Menschen mit Behinderung im Sinne des </w:t>
      </w:r>
      <w:hyperlink r:id="rId311" w:history="1">
        <w:r w:rsidRPr="00D24A8C">
          <w:rPr>
            <w:rStyle w:val="Hyperlink"/>
            <w:szCs w:val="16"/>
          </w:rPr>
          <w:t>§ 2 SGB IX</w:t>
        </w:r>
      </w:hyperlink>
      <w:r w:rsidRPr="00EE1A21">
        <w:rPr>
          <w:szCs w:val="16"/>
        </w:rPr>
        <w:t xml:space="preserve"> mit einer Durchschnittsbelegung von mindestens 50 Plätzen.</w:t>
      </w:r>
    </w:p>
    <w:p w:rsidR="00BE1EFE" w:rsidRPr="00EE1A21" w:rsidRDefault="00BE1EFE" w:rsidP="00D06EC5">
      <w:pPr>
        <w:pStyle w:val="StandardWeb"/>
        <w:rPr>
          <w:szCs w:val="16"/>
        </w:rPr>
      </w:pPr>
      <w:r w:rsidRPr="00EE1A21">
        <w:rPr>
          <w:szCs w:val="16"/>
        </w:rPr>
        <w:t>(Hierzu Anmerkungen Nummern 1, 9, 10 und 11)</w:t>
      </w:r>
    </w:p>
    <w:p w:rsidR="00BE1EFE" w:rsidRPr="00EE1A21" w:rsidRDefault="00BE1EFE" w:rsidP="00D06EC5">
      <w:pPr>
        <w:pStyle w:val="StandardWeb"/>
        <w:rPr>
          <w:szCs w:val="16"/>
        </w:rPr>
      </w:pPr>
    </w:p>
    <w:p w:rsidR="00BE1EFE" w:rsidRPr="00EE1A21" w:rsidRDefault="00BE1EFE" w:rsidP="00D06EC5">
      <w:pPr>
        <w:pStyle w:val="StandardWeb"/>
        <w:rPr>
          <w:szCs w:val="16"/>
        </w:rPr>
      </w:pPr>
      <w:r>
        <w:rPr>
          <w:szCs w:val="16"/>
        </w:rPr>
        <w:t>4. </w:t>
      </w:r>
      <w:r w:rsidRPr="00EE1A21">
        <w:rPr>
          <w:szCs w:val="16"/>
        </w:rPr>
        <w:t>Sozialarbeiterinnen/Sozialarbeiter un</w:t>
      </w:r>
      <w:r>
        <w:rPr>
          <w:szCs w:val="16"/>
        </w:rPr>
        <w:t>d Sozialpädagoginnen/Sozialpäda</w:t>
      </w:r>
      <w:r w:rsidRPr="00EE1A21">
        <w:rPr>
          <w:szCs w:val="16"/>
        </w:rPr>
        <w:t>gogen mit staatlicher Anerkennung sowie Heilpädagoginnen/ Heilpädagogen mit abgeschlossener Hochschul</w:t>
      </w:r>
      <w:r>
        <w:rPr>
          <w:szCs w:val="16"/>
        </w:rPr>
        <w:softHyphen/>
      </w:r>
      <w:r w:rsidRPr="00EE1A21">
        <w:rPr>
          <w:szCs w:val="16"/>
        </w:rPr>
        <w:t xml:space="preserve">bildung und – soweit nach dem jeweiligen Landesrecht vorgesehen – mit staatlicher Anerkennung mit jeweils entsprechender Tätigkeit sowie sonstige Beschäftigte, die aufgrund gleichwertiger Fähigkeiten und ihrer Erfahrungen entsprechende Tätigkeiten ausüben, deren Tätigkeit sich durch das Maß der damit verbundenen Verantwortung erheblich aus der Entgeltgruppe S 17 Fallgruppe 6 heraushebt. </w:t>
      </w:r>
    </w:p>
    <w:p w:rsidR="00BE1EFE" w:rsidRPr="00EE1A21" w:rsidRDefault="00BE1EFE" w:rsidP="00D06EC5">
      <w:pPr>
        <w:pStyle w:val="StandardWeb"/>
        <w:rPr>
          <w:szCs w:val="16"/>
        </w:rPr>
      </w:pPr>
      <w:r w:rsidRPr="00EE1A21">
        <w:rPr>
          <w:szCs w:val="16"/>
        </w:rPr>
        <w:t>(Hierzu</w:t>
      </w:r>
      <w:r>
        <w:rPr>
          <w:szCs w:val="16"/>
        </w:rPr>
        <w:t xml:space="preserve"> Anmerkungen Nummern 1 und 15) </w:t>
      </w:r>
    </w:p>
    <w:p w:rsidR="00BE1EFE" w:rsidRPr="00EC3F42" w:rsidRDefault="00BE1EFE" w:rsidP="008A1E74">
      <w:pPr>
        <w:pStyle w:val="h7"/>
        <w:jc w:val="left"/>
      </w:pPr>
      <w:bookmarkStart w:id="511" w:name="_Toc523926076"/>
      <w:r w:rsidRPr="00EC3F42">
        <w:t>Anmerkungen:</w:t>
      </w:r>
      <w:bookmarkEnd w:id="511"/>
    </w:p>
    <w:p w:rsidR="00BE1EFE" w:rsidRPr="00B76821" w:rsidRDefault="00BE1EFE" w:rsidP="00B76821">
      <w:pPr>
        <w:pStyle w:val="h8"/>
        <w:keepNext w:val="0"/>
        <w:spacing w:before="0" w:after="0"/>
        <w:outlineLvl w:val="5"/>
        <w:rPr>
          <w:sz w:val="2"/>
        </w:rPr>
      </w:pPr>
    </w:p>
    <w:p w:rsidR="00BE1EFE" w:rsidRPr="00FF1F5C" w:rsidRDefault="00BE1EFE" w:rsidP="00D06EC5">
      <w:pPr>
        <w:pStyle w:val="StandardWeb"/>
        <w:rPr>
          <w:sz w:val="12"/>
          <w:szCs w:val="12"/>
        </w:rPr>
      </w:pPr>
      <w:r w:rsidRPr="00FF1F5C">
        <w:rPr>
          <w:sz w:val="12"/>
          <w:szCs w:val="12"/>
        </w:rPr>
        <w:t xml:space="preserve">1. 1Die Beschäftigten – ausgenommen die in Entgeltgruppe S 4 bei Tätigkeiten der Fallgruppe 2, Entgeltgruppe S 7 und Entgeltgruppe S 8b bei Tätigkeiten der Fallgruppe 2 eingruppierten Beschäftigten – erhalten für die Dauer der Tätigkeit in einem Erziehungsheim, einem Kinder- oder einem Jugendwohnheim oder einer vergleichbaren Einrichtung (Heim) eine Zulage in Höhe von 61,36 Euro monatlich, wenn in dem Heim überwiegend behinderte Menschen im Sinne des </w:t>
      </w:r>
      <w:hyperlink r:id="rId312" w:history="1">
        <w:r w:rsidRPr="00D24A8C">
          <w:rPr>
            <w:rStyle w:val="Hyperlink"/>
            <w:sz w:val="12"/>
            <w:szCs w:val="12"/>
          </w:rPr>
          <w:t>§ 2 SGB IX</w:t>
        </w:r>
      </w:hyperlink>
      <w:r w:rsidRPr="00FF1F5C">
        <w:rPr>
          <w:sz w:val="12"/>
          <w:szCs w:val="12"/>
        </w:rPr>
        <w:t xml:space="preserve"> oder Kinder und Jugendliche mit wesentlichen Erziehungsschwierigkeiten zum Zwecke der Erziehung, Ausbildung oder Pflege ständig untergebracht sind; sind nicht überwiegend solche Personen ständig untergebracht, beträgt die Zulage 30,68 </w:t>
      </w:r>
      <w:r w:rsidRPr="00FF1F5C">
        <w:rPr>
          <w:sz w:val="12"/>
          <w:szCs w:val="12"/>
        </w:rPr>
        <w:lastRenderedPageBreak/>
        <w:t xml:space="preserve">Euro monatlich. 2Für die in Entgeltgruppe S 15 bei Tätigkeiten der Fallgruppe 5, S 16 bei Tätigkeiten der Fallgruppen 5 und 6, S 17 bei Tätigkeiten der Fallgruppe 5 und S 18 bei Tätigkeiten der Fallgruppe 3 eingruppierten Beschäftigten gilt Satz 1 für die Dauer der Tätigkeit in einem Wohnheim für erwachsene Menschen mit Behinderung entsprechend. 3Für die in Entgeltgruppe S 4 bei Tätigkeiten der Fallgruppe 2, Entgeltgruppe S 7 und Entgeltgruppe S 8b bei Tätigkeiten der Fallgruppe 2 eingruppierten Beschäftigten in einem Heim im Sinne des Satzes 1 erster Halbsatz beträgt die Zulage 40,90 Euro monatlich. 4Die Zulage wird nur für Zeiträume gezahlt, in denen Beschäftigte einen Anspruch auf Entgelt oder Fortzahlung des Entgelts nach </w:t>
      </w:r>
      <w:hyperlink r:id="rId313" w:history="1">
        <w:r w:rsidRPr="00D24A8C">
          <w:rPr>
            <w:rStyle w:val="Hyperlink"/>
            <w:sz w:val="12"/>
            <w:szCs w:val="12"/>
          </w:rPr>
          <w:t>§ 21</w:t>
        </w:r>
      </w:hyperlink>
      <w:r w:rsidRPr="00FF1F5C">
        <w:rPr>
          <w:sz w:val="12"/>
          <w:szCs w:val="12"/>
        </w:rPr>
        <w:t xml:space="preserve"> haben. 5Sie ist bei der Bemessung des Sterbegeldes (</w:t>
      </w:r>
      <w:hyperlink r:id="rId314" w:history="1">
        <w:r w:rsidRPr="001964DA">
          <w:rPr>
            <w:rStyle w:val="Hyperlink"/>
            <w:sz w:val="12"/>
            <w:szCs w:val="12"/>
          </w:rPr>
          <w:t>§ 23 Absatz 3</w:t>
        </w:r>
        <w:r w:rsidR="001964DA" w:rsidRPr="001964DA">
          <w:rPr>
            <w:rStyle w:val="Hyperlink"/>
            <w:sz w:val="12"/>
            <w:szCs w:val="12"/>
          </w:rPr>
          <w:t>, Teil A, 1.</w:t>
        </w:r>
      </w:hyperlink>
      <w:r w:rsidRPr="00FF1F5C">
        <w:rPr>
          <w:sz w:val="12"/>
          <w:szCs w:val="12"/>
        </w:rPr>
        <w:t>) zu berücksichtigen.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Pr>
          <w:sz w:val="12"/>
          <w:szCs w:val="12"/>
        </w:rPr>
        <w:t>2. </w:t>
      </w:r>
      <w:r w:rsidRPr="00FF1F5C">
        <w:rPr>
          <w:sz w:val="12"/>
          <w:szCs w:val="12"/>
        </w:rPr>
        <w:t xml:space="preserve">Schwierige fachliche Tätigkeiten sind </w:t>
      </w:r>
      <w:r>
        <w:rPr>
          <w:sz w:val="12"/>
          <w:szCs w:val="12"/>
        </w:rPr>
        <w:t>z. B.</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Pr>
          <w:sz w:val="12"/>
          <w:szCs w:val="12"/>
        </w:rPr>
        <w:t>a) </w:t>
      </w:r>
      <w:r w:rsidRPr="00FF1F5C">
        <w:rPr>
          <w:sz w:val="12"/>
          <w:szCs w:val="12"/>
        </w:rPr>
        <w:t xml:space="preserve">Tätigkeiten in Einrichtungen für behinderte Menschen im Sinne des </w:t>
      </w:r>
      <w:hyperlink r:id="rId315" w:history="1">
        <w:r w:rsidRPr="00D24A8C">
          <w:rPr>
            <w:rStyle w:val="Hyperlink"/>
            <w:sz w:val="12"/>
            <w:szCs w:val="12"/>
          </w:rPr>
          <w:t>§ 2 SGB IX</w:t>
        </w:r>
      </w:hyperlink>
      <w:r w:rsidRPr="00FF1F5C">
        <w:rPr>
          <w:sz w:val="12"/>
          <w:szCs w:val="12"/>
        </w:rPr>
        <w:t xml:space="preserve"> und in psychiatrischen Kliniken,</w:t>
      </w:r>
    </w:p>
    <w:p w:rsidR="00BE1EFE" w:rsidRPr="00FF1F5C" w:rsidRDefault="00BE1EFE" w:rsidP="00D06EC5">
      <w:pPr>
        <w:pStyle w:val="StandardWeb"/>
        <w:rPr>
          <w:sz w:val="12"/>
          <w:szCs w:val="12"/>
        </w:rPr>
      </w:pPr>
      <w:r w:rsidRPr="00FF1F5C">
        <w:rPr>
          <w:sz w:val="12"/>
          <w:szCs w:val="12"/>
        </w:rPr>
        <w:t xml:space="preserve">b) alleinverantwortliche Betreuung von Gruppen </w:t>
      </w:r>
      <w:r>
        <w:rPr>
          <w:sz w:val="12"/>
          <w:szCs w:val="12"/>
        </w:rPr>
        <w:t>z. B.</w:t>
      </w:r>
      <w:r w:rsidRPr="00FF1F5C">
        <w:rPr>
          <w:sz w:val="12"/>
          <w:szCs w:val="12"/>
        </w:rPr>
        <w:t xml:space="preserve"> in Randzeiten,</w:t>
      </w:r>
    </w:p>
    <w:p w:rsidR="00BE1EFE" w:rsidRPr="00FF1F5C" w:rsidRDefault="00BE1EFE" w:rsidP="00D06EC5">
      <w:pPr>
        <w:pStyle w:val="StandardWeb"/>
        <w:rPr>
          <w:sz w:val="12"/>
          <w:szCs w:val="12"/>
        </w:rPr>
      </w:pPr>
      <w:r w:rsidRPr="00FF1F5C">
        <w:rPr>
          <w:sz w:val="12"/>
          <w:szCs w:val="12"/>
        </w:rPr>
        <w:t xml:space="preserve">c) Tätigkeiten in Integrationsgruppen (Erziehungsgruppen, denen besondere Aufgaben in der gemeinsamen Förderung behinderter und nicht behinderter Kinder zugewiesen sind) mit einem Anteil von mindestens einem Drittel von behinderten Menschen im Sinne des </w:t>
      </w:r>
      <w:hyperlink r:id="rId316" w:history="1">
        <w:r w:rsidRPr="00D24A8C">
          <w:rPr>
            <w:rStyle w:val="Hyperlink"/>
            <w:sz w:val="12"/>
            <w:szCs w:val="12"/>
          </w:rPr>
          <w:t>§ 2 SGB IX</w:t>
        </w:r>
      </w:hyperlink>
      <w:r w:rsidRPr="00FF1F5C">
        <w:rPr>
          <w:sz w:val="12"/>
          <w:szCs w:val="12"/>
        </w:rPr>
        <w:t xml:space="preserve"> in Einrichtungen der Kindertagesbetreuung,</w:t>
      </w:r>
    </w:p>
    <w:p w:rsidR="00BE1EFE" w:rsidRPr="00FF1F5C" w:rsidRDefault="00BE1EFE" w:rsidP="00D06EC5">
      <w:pPr>
        <w:pStyle w:val="StandardWeb"/>
        <w:rPr>
          <w:sz w:val="12"/>
          <w:szCs w:val="12"/>
        </w:rPr>
      </w:pPr>
      <w:r>
        <w:rPr>
          <w:sz w:val="12"/>
          <w:szCs w:val="12"/>
        </w:rPr>
        <w:t>d) </w:t>
      </w:r>
      <w:r w:rsidRPr="00FF1F5C">
        <w:rPr>
          <w:sz w:val="12"/>
          <w:szCs w:val="12"/>
        </w:rPr>
        <w:t xml:space="preserve">Tätigkeiten in Gruppen von behinderten Menschen im Sinne des </w:t>
      </w:r>
      <w:hyperlink r:id="rId317" w:history="1">
        <w:r w:rsidRPr="00D24A8C">
          <w:rPr>
            <w:rStyle w:val="Hyperlink"/>
            <w:sz w:val="12"/>
            <w:szCs w:val="12"/>
          </w:rPr>
          <w:t>§ 2 SGB IX</w:t>
        </w:r>
      </w:hyperlink>
      <w:r w:rsidRPr="00FF1F5C">
        <w:rPr>
          <w:sz w:val="12"/>
          <w:szCs w:val="12"/>
        </w:rPr>
        <w:t xml:space="preserve"> oder in Gruppen von Kindern und Jugendlichen mit wesentlichen Erziehungsschwierigkeiten,</w:t>
      </w:r>
    </w:p>
    <w:p w:rsidR="00BE1EFE" w:rsidRDefault="00BE1EFE" w:rsidP="00D06EC5">
      <w:pPr>
        <w:pStyle w:val="StandardWeb"/>
        <w:rPr>
          <w:sz w:val="12"/>
          <w:szCs w:val="12"/>
        </w:rPr>
      </w:pPr>
      <w:r>
        <w:rPr>
          <w:sz w:val="12"/>
          <w:szCs w:val="12"/>
        </w:rPr>
        <w:t>e) </w:t>
      </w:r>
      <w:r w:rsidRPr="00FF1F5C">
        <w:rPr>
          <w:sz w:val="12"/>
          <w:szCs w:val="12"/>
        </w:rPr>
        <w:t>Tätigkeiten in geschlossenen (gesicherten) Gruppen.</w:t>
      </w:r>
    </w:p>
    <w:p w:rsidR="00BE1EFE" w:rsidRDefault="00BE1EFE" w:rsidP="00D06EC5">
      <w:pPr>
        <w:pStyle w:val="StandardWeb"/>
        <w:rPr>
          <w:sz w:val="12"/>
          <w:szCs w:val="12"/>
        </w:rPr>
      </w:pP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Hinweis zu Nummer 2 Buchstabe c):</w:t>
      </w: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Der Anteil von einem Drittel kann auch erreicht werden, wenn Kinder von Flüchtlingen im ersten Jahr ihres Aufenthalts in Deutschland den Integrationsgruppen zugewiesen sind. Dieser Hinweis entf</w:t>
      </w:r>
      <w:r>
        <w:rPr>
          <w:rFonts w:cs="Arial"/>
          <w:color w:val="000000"/>
          <w:sz w:val="12"/>
          <w:szCs w:val="12"/>
        </w:rPr>
        <w:t>ällt mit Ablauf des 31.08.2019.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3. Als entsprechende Tätigkeit von Erzieherinnen/Erziehern gilt auch die Tätigkeit in Schulkindergärten, Vorklassen oder Vermittlungsgruppen für nicht schulpflichtige Kinder und die Betreuung von über 18jährigen Personen (</w:t>
      </w:r>
      <w:r>
        <w:rPr>
          <w:sz w:val="12"/>
          <w:szCs w:val="12"/>
        </w:rPr>
        <w:t>z. B.</w:t>
      </w:r>
      <w:r w:rsidRPr="00FF1F5C">
        <w:rPr>
          <w:sz w:val="12"/>
          <w:szCs w:val="12"/>
        </w:rPr>
        <w:t xml:space="preserve"> in Einrichtungen für behinderte Menschen im Sinne des </w:t>
      </w:r>
      <w:hyperlink r:id="rId318" w:history="1">
        <w:r w:rsidRPr="00124D77">
          <w:rPr>
            <w:rStyle w:val="Hyperlink"/>
            <w:sz w:val="12"/>
            <w:szCs w:val="12"/>
          </w:rPr>
          <w:t>§ 2 SGB IX</w:t>
        </w:r>
      </w:hyperlink>
      <w:r w:rsidRPr="00FF1F5C">
        <w:rPr>
          <w:sz w:val="12"/>
          <w:szCs w:val="12"/>
        </w:rPr>
        <w:t xml:space="preserve"> oder für Obdachlose).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4. 1Ständige Vertreterinnen/Vertreter sind nicht Vertreterinnen/Vertreter in Urlaubs- und sonstigen Abwesenheitsfällen. 2Je Kindertagesstätte soll eine ständige Vertreterin oder ein ständiger Vertreter der Leiterin oder des Leiters bestellt werden.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5. Nach diesem Tätigkeitsmerkmal sind auch</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a) Kindergärtnerinnen/Kindergärtner und Hortnerinnen/Hortner mit staatlicher Anerkennung oder staatlicher Prüfung,</w:t>
      </w:r>
    </w:p>
    <w:p w:rsidR="00BE1EFE" w:rsidRPr="00FF1F5C" w:rsidRDefault="00BE1EFE" w:rsidP="00D06EC5">
      <w:pPr>
        <w:pStyle w:val="StandardWeb"/>
        <w:rPr>
          <w:sz w:val="12"/>
          <w:szCs w:val="12"/>
        </w:rPr>
      </w:pPr>
      <w:r w:rsidRPr="00FF1F5C">
        <w:rPr>
          <w:sz w:val="12"/>
          <w:szCs w:val="12"/>
        </w:rPr>
        <w:t>b) Kinderkrankenschwestern/Kinderkrankenpfleger, die in Kinderkrippen tätig sind, eingruppiert.</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6. Besonders schwierige fachliche Tätigkeiten sind </w:t>
      </w:r>
      <w:r>
        <w:rPr>
          <w:sz w:val="12"/>
          <w:szCs w:val="12"/>
        </w:rPr>
        <w:t>z. B.</w:t>
      </w:r>
      <w:r w:rsidRPr="00FF1F5C">
        <w:rPr>
          <w:sz w:val="12"/>
          <w:szCs w:val="12"/>
        </w:rPr>
        <w:t xml:space="preserve"> die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a) Tätigkeiten in Integrationsgruppen (Erziehungsgruppen, denen besondere Aufgaben in der gemeinsamen Förderung behinderter und nicht behinderter Kinder zugewiesen sind) mit einem Anteil von mindestens einem Drittel von behinderten Menschen im Sinne des </w:t>
      </w:r>
      <w:hyperlink r:id="rId319" w:history="1">
        <w:r w:rsidRPr="00124D77">
          <w:rPr>
            <w:rStyle w:val="Hyperlink"/>
            <w:sz w:val="12"/>
            <w:szCs w:val="12"/>
          </w:rPr>
          <w:t>§ 2 SGB IX</w:t>
        </w:r>
      </w:hyperlink>
      <w:r w:rsidRPr="00FF1F5C">
        <w:rPr>
          <w:sz w:val="12"/>
          <w:szCs w:val="12"/>
        </w:rPr>
        <w:t xml:space="preserve"> in Einrichtungen der Kindertagesbetreuung,</w:t>
      </w:r>
    </w:p>
    <w:p w:rsidR="00BE1EFE" w:rsidRPr="00FF1F5C" w:rsidRDefault="00BE1EFE" w:rsidP="00D06EC5">
      <w:pPr>
        <w:pStyle w:val="StandardWeb"/>
        <w:rPr>
          <w:sz w:val="12"/>
          <w:szCs w:val="12"/>
        </w:rPr>
      </w:pPr>
      <w:r w:rsidRPr="00FF1F5C">
        <w:rPr>
          <w:sz w:val="12"/>
          <w:szCs w:val="12"/>
        </w:rPr>
        <w:t xml:space="preserve">b) Tätigkeiten in Gruppen von behinderten Menschen im Sinne des </w:t>
      </w:r>
      <w:hyperlink r:id="rId320" w:history="1">
        <w:r w:rsidRPr="00124D77">
          <w:rPr>
            <w:rStyle w:val="Hyperlink"/>
            <w:sz w:val="12"/>
            <w:szCs w:val="12"/>
          </w:rPr>
          <w:t>§ 2 SGB IX</w:t>
        </w:r>
      </w:hyperlink>
      <w:r w:rsidRPr="00FF1F5C">
        <w:rPr>
          <w:sz w:val="12"/>
          <w:szCs w:val="12"/>
        </w:rPr>
        <w:t xml:space="preserve"> oder von Kindern und Jugendlichen mit wesentlichen Erziehungsschwierigkeiten,</w:t>
      </w:r>
    </w:p>
    <w:p w:rsidR="00BE1EFE" w:rsidRPr="00FF1F5C" w:rsidRDefault="00BE1EFE" w:rsidP="00D06EC5">
      <w:pPr>
        <w:pStyle w:val="StandardWeb"/>
        <w:rPr>
          <w:sz w:val="12"/>
          <w:szCs w:val="12"/>
        </w:rPr>
      </w:pPr>
      <w:r w:rsidRPr="00FF1F5C">
        <w:rPr>
          <w:sz w:val="12"/>
          <w:szCs w:val="12"/>
        </w:rPr>
        <w:t>c) Tätigkeiten in Jugendzentren/Häusern der offenen Tür, Tätigkeiten in der kirchlichen offenen Jugendarbeit</w:t>
      </w:r>
      <w:r>
        <w:rPr>
          <w:sz w:val="12"/>
          <w:szCs w:val="12"/>
        </w:rPr>
        <w:t>,</w:t>
      </w:r>
      <w:r w:rsidRPr="00FF1F5C">
        <w:rPr>
          <w:sz w:val="12"/>
          <w:szCs w:val="12"/>
        </w:rPr>
        <w:t xml:space="preserve"> </w:t>
      </w:r>
    </w:p>
    <w:p w:rsidR="00BE1EFE" w:rsidRPr="00FF1F5C" w:rsidRDefault="00BE1EFE" w:rsidP="00D06EC5">
      <w:pPr>
        <w:pStyle w:val="StandardWeb"/>
        <w:rPr>
          <w:sz w:val="12"/>
          <w:szCs w:val="12"/>
        </w:rPr>
      </w:pPr>
      <w:r w:rsidRPr="00FF1F5C">
        <w:rPr>
          <w:sz w:val="12"/>
          <w:szCs w:val="12"/>
        </w:rPr>
        <w:t>d) Tätigkeiten in geschlossenen (gesicherten) Gruppen,</w:t>
      </w:r>
    </w:p>
    <w:p w:rsidR="00BE1EFE" w:rsidRPr="00FF1F5C" w:rsidRDefault="00BE1EFE" w:rsidP="00D06EC5">
      <w:pPr>
        <w:pStyle w:val="StandardWeb"/>
        <w:rPr>
          <w:sz w:val="12"/>
          <w:szCs w:val="12"/>
        </w:rPr>
      </w:pPr>
      <w:r w:rsidRPr="00FF1F5C">
        <w:rPr>
          <w:sz w:val="12"/>
          <w:szCs w:val="12"/>
        </w:rPr>
        <w:t>e) fachlichen Koordinierungstätigkeiten für mindestens vier Beschäftigte mindestens der Entgeltgruppe S 8a,</w:t>
      </w:r>
    </w:p>
    <w:p w:rsidR="00BE1EFE" w:rsidRPr="00FF1F5C" w:rsidRDefault="00BE1EFE" w:rsidP="00D06EC5">
      <w:pPr>
        <w:pStyle w:val="StandardWeb"/>
        <w:rPr>
          <w:sz w:val="12"/>
          <w:szCs w:val="12"/>
        </w:rPr>
      </w:pPr>
      <w:r w:rsidRPr="00FF1F5C">
        <w:rPr>
          <w:sz w:val="12"/>
          <w:szCs w:val="12"/>
        </w:rPr>
        <w:t>f) Tätigkeiten einer Facherzieherin/eines Facherziehers mit einrichtungsübergreifenden Aufgaben.</w:t>
      </w:r>
    </w:p>
    <w:p w:rsidR="00BE1EFE" w:rsidRDefault="00BE1EFE" w:rsidP="00D06EC5">
      <w:pPr>
        <w:pStyle w:val="StandardWeb"/>
        <w:rPr>
          <w:sz w:val="12"/>
          <w:szCs w:val="12"/>
        </w:rPr>
      </w:pPr>
    </w:p>
    <w:p w:rsidR="00BE1EFE" w:rsidRPr="008216F2" w:rsidRDefault="00BE1EFE" w:rsidP="008216F2">
      <w:pPr>
        <w:autoSpaceDE w:val="0"/>
        <w:autoSpaceDN w:val="0"/>
        <w:adjustRightInd w:val="0"/>
        <w:jc w:val="both"/>
        <w:rPr>
          <w:rFonts w:cs="Arial"/>
          <w:color w:val="000000"/>
          <w:sz w:val="12"/>
          <w:szCs w:val="12"/>
        </w:rPr>
      </w:pPr>
      <w:r>
        <w:rPr>
          <w:rFonts w:cs="Arial"/>
          <w:color w:val="000000"/>
          <w:sz w:val="12"/>
          <w:szCs w:val="12"/>
        </w:rPr>
        <w:t>Hinweis zu Nummer 6 Buchstabe a</w:t>
      </w:r>
      <w:r w:rsidRPr="008216F2">
        <w:rPr>
          <w:rFonts w:cs="Arial"/>
          <w:color w:val="000000"/>
          <w:sz w:val="12"/>
          <w:szCs w:val="12"/>
        </w:rPr>
        <w:t>):</w:t>
      </w:r>
    </w:p>
    <w:p w:rsidR="00BE1EFE" w:rsidRPr="008216F2" w:rsidRDefault="00BE1EFE" w:rsidP="008216F2">
      <w:pPr>
        <w:autoSpaceDE w:val="0"/>
        <w:autoSpaceDN w:val="0"/>
        <w:adjustRightInd w:val="0"/>
        <w:jc w:val="both"/>
        <w:rPr>
          <w:rFonts w:cs="Arial"/>
          <w:color w:val="000000"/>
          <w:sz w:val="12"/>
          <w:szCs w:val="12"/>
        </w:rPr>
      </w:pPr>
      <w:r w:rsidRPr="008216F2">
        <w:rPr>
          <w:rFonts w:cs="Arial"/>
          <w:color w:val="000000"/>
          <w:sz w:val="12"/>
          <w:szCs w:val="12"/>
        </w:rPr>
        <w:t>Der Anteil von einem Drittel kann auch erreicht werden, wenn Kinder von Flüchtlingen im ersten Jahr ihres Aufenthalts in Deutschland den Integrationsgruppen zugewiesen sind. Dieser Hinweis entf</w:t>
      </w:r>
      <w:r>
        <w:rPr>
          <w:rFonts w:cs="Arial"/>
          <w:color w:val="000000"/>
          <w:sz w:val="12"/>
          <w:szCs w:val="12"/>
        </w:rPr>
        <w:t>ällt mit Ablauf des 31.08.2019.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7. Unter Heilpädagoginnen/Heilpädagogen mit staatlicher Anerkennung sind Beschäftigte zu verstehen, die einen nach Maßgabe der Rahmenvereinbarung über die Ausbildung und Prüfung an Fachschulen (Beschluss der Kultus</w:t>
      </w:r>
      <w:r>
        <w:rPr>
          <w:sz w:val="12"/>
          <w:szCs w:val="12"/>
        </w:rPr>
        <w:softHyphen/>
      </w:r>
      <w:r w:rsidRPr="00FF1F5C">
        <w:rPr>
          <w:sz w:val="12"/>
          <w:szCs w:val="12"/>
        </w:rPr>
        <w:t>ministerkonferenz vom 7. November 2002) gestalteten Ausbildungsgang für Heilpädagoginnen/Heilpädagogen mit der vorgeschriebenen Prüfung erfolgreich abgeschlossen und die Berechtigung zur Führung der Berufsbezeichnung „staatlich anerkannte Heilpädagogin/staatlich anerkannter Heilpädagoge“ erworben haben.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8. Kindertagesstätten im Sinne dieses Tätigkeitsmerkmals sind Krippen, Kindergärten, Horte, Kinderbetreuungsstuben, Kinderhäuser und Kindertageseinrichtungen der örtlichen Kindererholungsfürsorge.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9. 1Der Ermittlung der Durchschnittsbelegung ist für das jeweilige Kalenderjahr grundsätzlich die Zahl der vom 1. Oktober bis 31. Dezember des vorangegangenen Kalenderjahres </w:t>
      </w:r>
      <w:proofErr w:type="gramStart"/>
      <w:r w:rsidRPr="00FF1F5C">
        <w:rPr>
          <w:sz w:val="12"/>
          <w:szCs w:val="12"/>
        </w:rPr>
        <w:t>vergebenen, je Tag gleichzeitig belegbaren</w:t>
      </w:r>
      <w:proofErr w:type="gramEnd"/>
      <w:r w:rsidRPr="00FF1F5C">
        <w:rPr>
          <w:sz w:val="12"/>
          <w:szCs w:val="12"/>
        </w:rPr>
        <w:t xml:space="preserve"> Plätze zugrunde zu legen. 2Bei der Ermittlung der Durchschnittsbelegung wird ein an ein Kind unter drei Jahren vergebener Platz doppelt, ein an ein behindertes oder an ein von Behinderung bedrohtes Kind gemäß </w:t>
      </w:r>
      <w:hyperlink r:id="rId321" w:history="1">
        <w:r w:rsidRPr="001964DA">
          <w:rPr>
            <w:rStyle w:val="Hyperlink"/>
            <w:sz w:val="12"/>
            <w:szCs w:val="12"/>
          </w:rPr>
          <w:t>§ 53 SGB XII</w:t>
        </w:r>
      </w:hyperlink>
      <w:r w:rsidRPr="00FF1F5C">
        <w:rPr>
          <w:sz w:val="12"/>
          <w:szCs w:val="12"/>
        </w:rPr>
        <w:t xml:space="preserve"> vergebener Platz dreifach gerechnet. </w:t>
      </w:r>
      <w:r>
        <w:rPr>
          <w:sz w:val="12"/>
          <w:szCs w:val="12"/>
        </w:rPr>
        <w:t>3</w:t>
      </w:r>
      <w:r w:rsidRPr="00FF1F5C">
        <w:rPr>
          <w:sz w:val="12"/>
          <w:szCs w:val="12"/>
        </w:rPr>
        <w:t>Eine Unterschreitung der maßgeblichen je Tag gleichzeitig belegbaren Plätze von nicht mehr als 5 v.H. füh</w:t>
      </w:r>
      <w:r>
        <w:rPr>
          <w:sz w:val="12"/>
          <w:szCs w:val="12"/>
        </w:rPr>
        <w:t>rt nicht zur Herabgruppierung. 4</w:t>
      </w:r>
      <w:r w:rsidRPr="00FF1F5C">
        <w:rPr>
          <w:sz w:val="12"/>
          <w:szCs w:val="12"/>
        </w:rPr>
        <w:t>Eine Unterschreitung um mehr als 5 v.H. führt erst dann zur Herabgruppierung, wenn die maßgebliche Platzzahl drei Jahre hinte</w:t>
      </w:r>
      <w:r>
        <w:rPr>
          <w:sz w:val="12"/>
          <w:szCs w:val="12"/>
        </w:rPr>
        <w:t>reinander unterschritten wird. 5</w:t>
      </w:r>
      <w:r w:rsidRPr="00FF1F5C">
        <w:rPr>
          <w:sz w:val="12"/>
          <w:szCs w:val="12"/>
        </w:rPr>
        <w:t>Eine Unterschreitung auf Grund vom Arbeitgeber verantworteter Maßnahmen (</w:t>
      </w:r>
      <w:r>
        <w:rPr>
          <w:sz w:val="12"/>
          <w:szCs w:val="12"/>
        </w:rPr>
        <w:t>z. B.</w:t>
      </w:r>
      <w:r w:rsidRPr="00FF1F5C">
        <w:rPr>
          <w:sz w:val="12"/>
          <w:szCs w:val="12"/>
        </w:rPr>
        <w:t xml:space="preserve"> Qualitätsverbesserungen) führt ebenfalls nic</w:t>
      </w:r>
      <w:r>
        <w:rPr>
          <w:sz w:val="12"/>
          <w:szCs w:val="12"/>
        </w:rPr>
        <w:t>ht zur Herabgruppierung. 6</w:t>
      </w:r>
      <w:r w:rsidRPr="00FF1F5C">
        <w:rPr>
          <w:sz w:val="12"/>
          <w:szCs w:val="12"/>
        </w:rPr>
        <w:t>Hiervon bleiben organisatorische Maßnahmen infolge demografischer Handlungsnotwendigkeiten unberührt.</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lastRenderedPageBreak/>
        <w:t xml:space="preserve">10. Erziehungsheime sind Heime, in denen überwiegend behinderte Kinder oder Jugendliche im Sinne des </w:t>
      </w:r>
      <w:hyperlink r:id="rId322" w:history="1">
        <w:r w:rsidRPr="00124D77">
          <w:rPr>
            <w:rStyle w:val="Hyperlink"/>
            <w:sz w:val="12"/>
            <w:szCs w:val="12"/>
          </w:rPr>
          <w:t>§ 2 SGB IX</w:t>
        </w:r>
      </w:hyperlink>
      <w:r w:rsidRPr="00FF1F5C">
        <w:rPr>
          <w:sz w:val="12"/>
          <w:szCs w:val="12"/>
        </w:rPr>
        <w:t xml:space="preserve"> oder Kinder oder Jugendliche mit wesentlichen Erziehungsschwierigkeiten ständig untergebracht sind.</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11. Dieses Tätigkeitsmerkmal gilt nicht für Leiterinnen/Leiter bzw. ständige Vertreterinnen/Vertreter von Leiterinnen/Leitern von Wohngruppen.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12. Schwierige Tätigkeiten sind </w:t>
      </w:r>
      <w:r>
        <w:rPr>
          <w:sz w:val="12"/>
          <w:szCs w:val="12"/>
        </w:rPr>
        <w:t>z. B.</w:t>
      </w:r>
      <w:r w:rsidRPr="00FF1F5C">
        <w:rPr>
          <w:sz w:val="12"/>
          <w:szCs w:val="12"/>
        </w:rPr>
        <w:t xml:space="preserve"> die</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a) Beratung von Suchtmittel-Abhängigen,</w:t>
      </w:r>
    </w:p>
    <w:p w:rsidR="00BE1EFE" w:rsidRPr="00FF1F5C" w:rsidRDefault="00BE1EFE" w:rsidP="00D06EC5">
      <w:pPr>
        <w:pStyle w:val="StandardWeb"/>
        <w:rPr>
          <w:sz w:val="12"/>
          <w:szCs w:val="12"/>
        </w:rPr>
      </w:pPr>
      <w:r w:rsidRPr="00FF1F5C">
        <w:rPr>
          <w:sz w:val="12"/>
          <w:szCs w:val="12"/>
        </w:rPr>
        <w:t>b) Beratung von HIV-Infizierten oder an AIDS erkrankten Personen,</w:t>
      </w:r>
    </w:p>
    <w:p w:rsidR="00BE1EFE" w:rsidRPr="00FF1F5C" w:rsidRDefault="00BE1EFE" w:rsidP="00D06EC5">
      <w:pPr>
        <w:pStyle w:val="StandardWeb"/>
        <w:rPr>
          <w:sz w:val="12"/>
          <w:szCs w:val="12"/>
        </w:rPr>
      </w:pPr>
      <w:r w:rsidRPr="00FF1F5C">
        <w:rPr>
          <w:sz w:val="12"/>
          <w:szCs w:val="12"/>
        </w:rPr>
        <w:t>c) begleitende Fürsorge für Heimbewohnerinnen/Heimbewohner und nachgehende Fürsorge für ehemalige Heimbe</w:t>
      </w:r>
      <w:r>
        <w:rPr>
          <w:sz w:val="12"/>
          <w:szCs w:val="12"/>
        </w:rPr>
        <w:softHyphen/>
      </w:r>
      <w:r w:rsidRPr="00FF1F5C">
        <w:rPr>
          <w:sz w:val="12"/>
          <w:szCs w:val="12"/>
        </w:rPr>
        <w:t>wohnerinnen/Heimbewohner,</w:t>
      </w:r>
    </w:p>
    <w:p w:rsidR="00BE1EFE" w:rsidRPr="00FF1F5C" w:rsidRDefault="00BE1EFE" w:rsidP="00D06EC5">
      <w:pPr>
        <w:pStyle w:val="StandardWeb"/>
        <w:rPr>
          <w:sz w:val="12"/>
          <w:szCs w:val="12"/>
        </w:rPr>
      </w:pPr>
      <w:r w:rsidRPr="00FF1F5C">
        <w:rPr>
          <w:sz w:val="12"/>
          <w:szCs w:val="12"/>
        </w:rPr>
        <w:t>d) begleitende Fürsorge für Strafgefangene und nachgehende Fürsorge für ehemalige Strafgefangene,</w:t>
      </w:r>
    </w:p>
    <w:p w:rsidR="00BE1EFE" w:rsidRPr="00FF1F5C" w:rsidRDefault="00BE1EFE" w:rsidP="00D06EC5">
      <w:pPr>
        <w:pStyle w:val="StandardWeb"/>
        <w:rPr>
          <w:sz w:val="12"/>
          <w:szCs w:val="12"/>
        </w:rPr>
      </w:pPr>
      <w:r w:rsidRPr="00FF1F5C">
        <w:rPr>
          <w:sz w:val="12"/>
          <w:szCs w:val="12"/>
        </w:rPr>
        <w:t>e) Koordinierung der Arbeiten mehrerer Beschäftigter mindestens der Entgeltgruppe S 9.</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13. Unter die Entgeltgruppe S 14 fallen auch Beschäftigte mit dem Abschluss Diplompädagogin/Diplompädagoge, die aufgrund gleichwertiger Fähigkeiten und ihrer Erfahrungen entsprechende Tätigkeiten von Sozialarbeiterinnen/Sozialarbeitern bzw. Sozialpädagoginnen/Sozialpädagogen mit staatlicher Anerkennung ausüben, denen Tätigkeiten der Entgeltgruppe S 14 übertragen sind.</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14. 1Das „Treffen von Entscheidungen zur Vermeidung der Gefährdung des Kindeswohls und die Einleitung von Maßnahmen in Zusammenarbeit mit dem Familiengericht bzw. Vormundschaftsgericht, welche zur Gefahrenabwehr erforderlich sind“, sind im Allgemeinen Sozialen Dienst bei Tätigkeiten im Rahmen der Fallverantwortung bei</w:t>
      </w:r>
    </w:p>
    <w:p w:rsidR="00BE1EFE" w:rsidRPr="00FF1F5C" w:rsidRDefault="00BE1EFE" w:rsidP="00D06EC5">
      <w:pPr>
        <w:pStyle w:val="StandardWeb"/>
        <w:rPr>
          <w:sz w:val="12"/>
          <w:szCs w:val="12"/>
        </w:rPr>
      </w:pPr>
      <w:r>
        <w:rPr>
          <w:sz w:val="12"/>
          <w:szCs w:val="12"/>
        </w:rPr>
        <w:t>–</w:t>
      </w:r>
      <w:r w:rsidRPr="00FF1F5C">
        <w:rPr>
          <w:sz w:val="12"/>
          <w:szCs w:val="12"/>
        </w:rPr>
        <w:t xml:space="preserve"> Hilfen zur Erziehung nach </w:t>
      </w:r>
      <w:hyperlink r:id="rId323" w:history="1">
        <w:r w:rsidRPr="001A16AC">
          <w:rPr>
            <w:rStyle w:val="Hyperlink"/>
            <w:sz w:val="12"/>
            <w:szCs w:val="12"/>
          </w:rPr>
          <w:t>§ 27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xml:space="preserve"> der Hilfeplanung nach </w:t>
      </w:r>
      <w:hyperlink r:id="rId324" w:history="1">
        <w:r w:rsidRPr="001A16AC">
          <w:rPr>
            <w:rStyle w:val="Hyperlink"/>
            <w:sz w:val="12"/>
            <w:szCs w:val="12"/>
          </w:rPr>
          <w:t>§ 36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der Inobhutnahme von Kindern und Jugendlichen (</w:t>
      </w:r>
      <w:hyperlink r:id="rId325" w:history="1">
        <w:r w:rsidRPr="001A16AC">
          <w:rPr>
            <w:rStyle w:val="Hyperlink"/>
            <w:sz w:val="12"/>
            <w:szCs w:val="12"/>
          </w:rPr>
          <w:t>§ 42 SGB VIII</w:t>
        </w:r>
      </w:hyperlink>
      <w:r w:rsidRPr="00FF1F5C">
        <w:rPr>
          <w:sz w:val="12"/>
          <w:szCs w:val="12"/>
        </w:rPr>
        <w:t>),</w:t>
      </w:r>
    </w:p>
    <w:p w:rsidR="00BE1EFE" w:rsidRPr="00FF1F5C" w:rsidRDefault="00BE1EFE" w:rsidP="00D06EC5">
      <w:pPr>
        <w:pStyle w:val="StandardWeb"/>
        <w:rPr>
          <w:sz w:val="12"/>
          <w:szCs w:val="12"/>
        </w:rPr>
      </w:pPr>
      <w:r>
        <w:rPr>
          <w:sz w:val="12"/>
          <w:szCs w:val="12"/>
        </w:rPr>
        <w:t>–</w:t>
      </w:r>
      <w:r w:rsidRPr="00FF1F5C">
        <w:rPr>
          <w:sz w:val="12"/>
          <w:szCs w:val="12"/>
        </w:rPr>
        <w:t> der Mitwirkung in Verfahren vor den Familiengerichten (</w:t>
      </w:r>
      <w:hyperlink r:id="rId326" w:history="1">
        <w:r w:rsidRPr="001A16AC">
          <w:rPr>
            <w:rStyle w:val="Hyperlink"/>
            <w:sz w:val="12"/>
            <w:szCs w:val="12"/>
          </w:rPr>
          <w:t>§ 50 SGB VIII</w:t>
        </w:r>
      </w:hyperlink>
      <w:r w:rsidRPr="00FF1F5C">
        <w:rPr>
          <w:sz w:val="12"/>
          <w:szCs w:val="12"/>
        </w:rPr>
        <w:t>)</w:t>
      </w:r>
    </w:p>
    <w:p w:rsidR="00BE1EFE" w:rsidRPr="00FF1F5C" w:rsidRDefault="00BE1EFE" w:rsidP="00D06EC5">
      <w:pPr>
        <w:pStyle w:val="StandardWeb"/>
        <w:rPr>
          <w:sz w:val="12"/>
          <w:szCs w:val="12"/>
        </w:rPr>
      </w:pPr>
      <w:r w:rsidRPr="00FF1F5C">
        <w:rPr>
          <w:sz w:val="12"/>
          <w:szCs w:val="12"/>
        </w:rPr>
        <w:t xml:space="preserve">einschließlich der damit in Zusammenhang stehenden Tätigkeiten erfüllt. </w:t>
      </w:r>
    </w:p>
    <w:p w:rsidR="00BE1EFE" w:rsidRPr="00FF1F5C" w:rsidRDefault="00BE1EFE" w:rsidP="00D06EC5">
      <w:pPr>
        <w:pStyle w:val="StandardWeb"/>
        <w:rPr>
          <w:sz w:val="12"/>
          <w:szCs w:val="12"/>
        </w:rPr>
      </w:pPr>
      <w:r w:rsidRPr="00FF1F5C">
        <w:rPr>
          <w:sz w:val="12"/>
          <w:szCs w:val="12"/>
        </w:rPr>
        <w:t>2Die Durchführung der Hilfen nach den getroffenen Entscheidungen (</w:t>
      </w:r>
      <w:r>
        <w:rPr>
          <w:sz w:val="12"/>
          <w:szCs w:val="12"/>
        </w:rPr>
        <w:t>z. B.</w:t>
      </w:r>
      <w:r w:rsidRPr="00FF1F5C">
        <w:rPr>
          <w:sz w:val="12"/>
          <w:szCs w:val="12"/>
        </w:rPr>
        <w:t xml:space="preserve"> Erziehung in einer Tagesgruppe, Vollzeitpflege oder Heimerziehung) fällt nicht unter die Entgeltgruppe S 14. 3Die in Aufgabengebieten außerhalb des Allgemeinen Sozialen Dienstes wie </w:t>
      </w:r>
      <w:r>
        <w:rPr>
          <w:sz w:val="12"/>
          <w:szCs w:val="12"/>
        </w:rPr>
        <w:t>z. B.</w:t>
      </w:r>
      <w:r w:rsidRPr="00FF1F5C">
        <w:rPr>
          <w:sz w:val="12"/>
          <w:szCs w:val="12"/>
        </w:rPr>
        <w:t xml:space="preserve"> Erziehungsbeistandschaft, Pflegekinderdienst, Adoptionsvermittlung, Jugendgerichtshilfe, Vormundschaft, Pflegschaft auszuübenden Tätigkeiten fallen nicht unter die Entgeltgruppe S 14, es sei denn, dass durch Organisationsentscheidung des Arbeitgebers im Rahmen dieser Aufgabengebiete ebenfalls Tätigkeiten auszuüben sind, die die Voraussetzungen von Satz 1 erfüllen.</w:t>
      </w:r>
    </w:p>
    <w:p w:rsidR="00BE1EFE" w:rsidRPr="00FF1F5C" w:rsidRDefault="00BE1EFE" w:rsidP="00D06EC5">
      <w:pPr>
        <w:pStyle w:val="StandardWeb"/>
        <w:rPr>
          <w:sz w:val="12"/>
          <w:szCs w:val="12"/>
        </w:rPr>
      </w:pPr>
    </w:p>
    <w:p w:rsidR="00BE1EFE" w:rsidRPr="00FF1F5C" w:rsidRDefault="00BE1EFE" w:rsidP="00D06EC5">
      <w:pPr>
        <w:pStyle w:val="StandardWeb"/>
        <w:rPr>
          <w:sz w:val="12"/>
          <w:szCs w:val="12"/>
        </w:rPr>
      </w:pPr>
      <w:r w:rsidRPr="00FF1F5C">
        <w:rPr>
          <w:sz w:val="12"/>
          <w:szCs w:val="12"/>
        </w:rPr>
        <w:t xml:space="preserve">15. 1Eine abgeschlossene Hochschulbildung liegt vor, wenn von einer Hochschule im Sinne des </w:t>
      </w:r>
      <w:hyperlink r:id="rId327" w:history="1">
        <w:r w:rsidRPr="001A16AC">
          <w:rPr>
            <w:rStyle w:val="Hyperlink"/>
            <w:sz w:val="12"/>
            <w:szCs w:val="12"/>
          </w:rPr>
          <w:t>§ 1 HRG</w:t>
        </w:r>
      </w:hyperlink>
      <w:r w:rsidRPr="00FF1F5C">
        <w:rPr>
          <w:sz w:val="12"/>
          <w:szCs w:val="12"/>
        </w:rPr>
        <w:t xml:space="preserve"> ein Diplomgrad mit dem Zusatz "Fachhochschule" ("FH"), ein anderer nach </w:t>
      </w:r>
      <w:hyperlink r:id="rId328" w:history="1">
        <w:r w:rsidRPr="001A16AC">
          <w:rPr>
            <w:rStyle w:val="Hyperlink"/>
            <w:sz w:val="12"/>
            <w:szCs w:val="12"/>
          </w:rPr>
          <w:t>§ 18 HRG</w:t>
        </w:r>
      </w:hyperlink>
      <w:r w:rsidRPr="00FF1F5C">
        <w:rPr>
          <w:sz w:val="12"/>
          <w:szCs w:val="12"/>
        </w:rPr>
        <w:t xml:space="preserve"> gleichwertiger Abschlussgrad oder ein Bachelorgrad verliehen wurde. 2Die Abschlussprüfung muss in einem Studiengang abgelegt worden sein, der seinerseits mindestens das Zeugnis der Hochschulreife (allgemeine Hochschulreife oder einschlägige fachgebundene Hochschulreife) oder eine andere landesrechtliche Hochschulzugangsberechtigung als Zugangsvoraussetzung erfordert, und für den Abschluss eine Regelstudienzeit von mindestens sechs Semestern – ohne etwaige Praxissemester, Prüfungssemester o.Ä. – vorschreibt. 3Der Bachelorstudiengang muss nach den Regelungen des Akkreditierungsrats akkreditiert sein. 4Dem gleichgestellt sind Abschlüsse in akkreditierten Bachelorausbildungsgängen an Berufsakademien. 5Ein Abschluss an einer ausländischen Hochschule gilt als abgeschlossene Hochschulbildung, wenn er von der zuständigen staatlichen Anerkennungsstelle als dem deutschen Hochschulabschluss gleichwertig anerkannt wurde.</w:t>
      </w:r>
    </w:p>
    <w:p w:rsidR="00BE1EFE" w:rsidRPr="00FF1F5C" w:rsidRDefault="00BE1EFE" w:rsidP="00D06EC5">
      <w:pPr>
        <w:pStyle w:val="StandardWeb"/>
        <w:rPr>
          <w:sz w:val="12"/>
          <w:szCs w:val="12"/>
        </w:rPr>
      </w:pPr>
    </w:p>
    <w:p w:rsidR="00BE1EFE" w:rsidRDefault="00BE1EFE" w:rsidP="00D06EC5">
      <w:pPr>
        <w:pStyle w:val="StandardWeb"/>
        <w:rPr>
          <w:sz w:val="12"/>
          <w:szCs w:val="12"/>
        </w:rPr>
      </w:pPr>
      <w:r w:rsidRPr="00FF1F5C">
        <w:rPr>
          <w:sz w:val="12"/>
          <w:szCs w:val="12"/>
        </w:rPr>
        <w:t>16. Psychagoginnen/Psychagogen mit abgeschlossener wissenschaftlicher Hochschulbildung und entsprechender Tätigkeit werden von diesem Tätigkeitsmerkmal nicht e</w:t>
      </w:r>
      <w:r>
        <w:rPr>
          <w:sz w:val="12"/>
          <w:szCs w:val="12"/>
        </w:rPr>
        <w:t>rfasst.</w:t>
      </w:r>
    </w:p>
    <w:p w:rsidR="00BE1EFE" w:rsidRPr="00FF1F5C" w:rsidRDefault="00BE1EFE" w:rsidP="00BF73AC">
      <w:pPr>
        <w:pStyle w:val="berschrift6"/>
      </w:pPr>
      <w:bookmarkStart w:id="512" w:name="_Toc473549924"/>
      <w:bookmarkStart w:id="513" w:name="_Toc523926077"/>
      <w:r>
        <w:t>31.</w:t>
      </w:r>
      <w:r>
        <w:rPr>
          <w:lang w:eastAsia="x-none"/>
        </w:rPr>
        <w:t xml:space="preserve"> </w:t>
      </w:r>
      <w:r w:rsidRPr="00FF1F5C">
        <w:t>Beschäftigte in Sparkassen</w:t>
      </w:r>
      <w:bookmarkEnd w:id="512"/>
      <w:r w:rsidR="002575B0">
        <w:t xml:space="preserve"> </w:t>
      </w:r>
      <w:r w:rsidR="002575B0" w:rsidRPr="002575B0">
        <w:rPr>
          <w:b w:val="0"/>
          <w:i/>
        </w:rPr>
        <w:t>(frei)</w:t>
      </w:r>
      <w:bookmarkEnd w:id="513"/>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4" w:name="_Toc473549925"/>
      <w:bookmarkStart w:id="515" w:name="_Toc523926078"/>
      <w:r>
        <w:t>32.</w:t>
      </w:r>
      <w:r>
        <w:rPr>
          <w:lang w:eastAsia="x-none"/>
        </w:rPr>
        <w:t xml:space="preserve"> </w:t>
      </w:r>
      <w:r w:rsidRPr="00FF1F5C">
        <w:t>Technische Assistentinnen/A</w:t>
      </w:r>
      <w:r>
        <w:t>ssistenten und Chemotechnikerin</w:t>
      </w:r>
      <w:r w:rsidRPr="00FF1F5C">
        <w:t>nen/</w:t>
      </w:r>
      <w:r>
        <w:rPr>
          <w:lang w:eastAsia="x-none"/>
        </w:rPr>
        <w:t xml:space="preserve"> </w:t>
      </w:r>
      <w:r w:rsidRPr="00FF1F5C">
        <w:t>Chemotechniker</w:t>
      </w:r>
      <w:bookmarkEnd w:id="514"/>
      <w:r w:rsidR="002575B0">
        <w:t xml:space="preserve"> </w:t>
      </w:r>
      <w:r w:rsidR="002575B0" w:rsidRPr="002575B0">
        <w:rPr>
          <w:b w:val="0"/>
          <w:i/>
        </w:rPr>
        <w:t>(frei)</w:t>
      </w:r>
      <w:bookmarkEnd w:id="515"/>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6" w:name="_Toc473549926"/>
      <w:bookmarkStart w:id="517" w:name="_Toc523926079"/>
      <w:r>
        <w:t>33.</w:t>
      </w:r>
      <w:r>
        <w:rPr>
          <w:lang w:eastAsia="x-none"/>
        </w:rPr>
        <w:t xml:space="preserve"> </w:t>
      </w:r>
      <w:r w:rsidRPr="00FF1F5C">
        <w:t>Beschäftigte an Theatern und Bühnen</w:t>
      </w:r>
      <w:bookmarkEnd w:id="516"/>
      <w:r w:rsidR="002575B0">
        <w:t xml:space="preserve"> </w:t>
      </w:r>
      <w:r w:rsidR="002575B0" w:rsidRPr="002575B0">
        <w:rPr>
          <w:b w:val="0"/>
          <w:i/>
        </w:rPr>
        <w:t>(frei)</w:t>
      </w:r>
      <w:bookmarkEnd w:id="517"/>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18" w:name="_Toc473549927"/>
      <w:bookmarkStart w:id="519" w:name="_Toc523926080"/>
      <w:r>
        <w:lastRenderedPageBreak/>
        <w:t>34.</w:t>
      </w:r>
      <w:r>
        <w:rPr>
          <w:lang w:eastAsia="x-none"/>
        </w:rPr>
        <w:t xml:space="preserve"> </w:t>
      </w:r>
      <w:r w:rsidRPr="00FF1F5C">
        <w:t>Tierärztinnen und Tierärzte</w:t>
      </w:r>
      <w:bookmarkEnd w:id="518"/>
      <w:r w:rsidR="002575B0">
        <w:t xml:space="preserve"> </w:t>
      </w:r>
      <w:r w:rsidR="002575B0" w:rsidRPr="002575B0">
        <w:rPr>
          <w:b w:val="0"/>
          <w:i/>
        </w:rPr>
        <w:t>(frei)</w:t>
      </w:r>
      <w:bookmarkEnd w:id="519"/>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F73AC">
      <w:pPr>
        <w:pStyle w:val="berschrift6"/>
      </w:pPr>
      <w:bookmarkStart w:id="520" w:name="_Toc473549928"/>
      <w:bookmarkStart w:id="521" w:name="_Toc523926081"/>
      <w:r>
        <w:t>35.</w:t>
      </w:r>
      <w:r>
        <w:rPr>
          <w:lang w:eastAsia="x-none"/>
        </w:rPr>
        <w:t xml:space="preserve"> </w:t>
      </w:r>
      <w:r w:rsidRPr="00FF1F5C">
        <w:t>Vermessungsingenieurinnen und Vermessungsingenieure</w:t>
      </w:r>
      <w:bookmarkEnd w:id="520"/>
      <w:r w:rsidR="002575B0">
        <w:t xml:space="preserve"> </w:t>
      </w:r>
      <w:r w:rsidR="002575B0" w:rsidRPr="002575B0">
        <w:rPr>
          <w:b w:val="0"/>
          <w:i/>
        </w:rPr>
        <w:t>(frei)</w:t>
      </w:r>
      <w:bookmarkEnd w:id="521"/>
    </w:p>
    <w:p w:rsidR="00BE1EFE" w:rsidRPr="00B76821" w:rsidRDefault="00BE1EFE" w:rsidP="00B76821">
      <w:pPr>
        <w:pStyle w:val="h7"/>
        <w:keepNext w:val="0"/>
        <w:spacing w:before="0" w:after="0"/>
        <w:jc w:val="left"/>
        <w:outlineLvl w:val="5"/>
        <w:rPr>
          <w:sz w:val="2"/>
        </w:rPr>
      </w:pPr>
    </w:p>
    <w:p w:rsidR="00BE1EFE" w:rsidRPr="008A1E74" w:rsidRDefault="00BE1EFE" w:rsidP="00B60D36">
      <w:pPr>
        <w:pStyle w:val="StandardWeb"/>
        <w:rPr>
          <w:i/>
          <w:szCs w:val="16"/>
        </w:rPr>
      </w:pPr>
    </w:p>
    <w:p w:rsidR="00BE1EFE" w:rsidRPr="00FF1F5C" w:rsidRDefault="00BE1EFE" w:rsidP="00BF73AC">
      <w:pPr>
        <w:pStyle w:val="berschrift6"/>
      </w:pPr>
      <w:bookmarkStart w:id="522" w:name="_Toc473549929"/>
      <w:bookmarkStart w:id="523" w:name="_Toc523926082"/>
      <w:r>
        <w:t>36.</w:t>
      </w:r>
      <w:r>
        <w:rPr>
          <w:lang w:eastAsia="x-none"/>
        </w:rPr>
        <w:t xml:space="preserve"> </w:t>
      </w:r>
      <w:r w:rsidRPr="00FF1F5C">
        <w:t>Vermessungstechnikerinnen und -techniker sowie Geomatikerinnen und Geomatiker</w:t>
      </w:r>
      <w:bookmarkEnd w:id="522"/>
      <w:r w:rsidR="002575B0">
        <w:t xml:space="preserve"> </w:t>
      </w:r>
      <w:r w:rsidR="002575B0" w:rsidRPr="002575B0">
        <w:rPr>
          <w:b w:val="0"/>
          <w:i/>
        </w:rPr>
        <w:t>(frei)</w:t>
      </w:r>
      <w:bookmarkEnd w:id="523"/>
    </w:p>
    <w:p w:rsidR="00BE1EFE" w:rsidRPr="00B76821" w:rsidRDefault="00BE1EFE" w:rsidP="00B76821">
      <w:pPr>
        <w:pStyle w:val="h7"/>
        <w:keepNext w:val="0"/>
        <w:spacing w:before="0" w:after="0"/>
        <w:jc w:val="left"/>
        <w:outlineLvl w:val="5"/>
        <w:rPr>
          <w:sz w:val="2"/>
        </w:rPr>
      </w:pPr>
    </w:p>
    <w:p w:rsidR="00BE1EFE" w:rsidRPr="008A1E74" w:rsidRDefault="00BE1EFE" w:rsidP="008A1E74">
      <w:pPr>
        <w:pStyle w:val="StandardWeb"/>
        <w:jc w:val="left"/>
        <w:rPr>
          <w:i/>
          <w:szCs w:val="16"/>
        </w:rPr>
      </w:pPr>
    </w:p>
    <w:p w:rsidR="00BE1EFE" w:rsidRPr="00FF1F5C" w:rsidRDefault="00BE1EFE" w:rsidP="00B60D36">
      <w:pPr>
        <w:pStyle w:val="berschrift6"/>
      </w:pPr>
      <w:bookmarkStart w:id="524" w:name="_Toc473549930"/>
      <w:bookmarkStart w:id="525" w:name="_Toc523926083"/>
      <w:r>
        <w:t>37.</w:t>
      </w:r>
      <w:r>
        <w:rPr>
          <w:lang w:eastAsia="x-none"/>
        </w:rPr>
        <w:t xml:space="preserve"> </w:t>
      </w:r>
      <w:r w:rsidRPr="00FF1F5C">
        <w:t>Vorsteherinnen und Vorsteher von Kanzleien</w:t>
      </w:r>
      <w:bookmarkEnd w:id="524"/>
      <w:r w:rsidR="002575B0">
        <w:t xml:space="preserve"> </w:t>
      </w:r>
      <w:r w:rsidR="002575B0" w:rsidRPr="002575B0">
        <w:rPr>
          <w:b w:val="0"/>
          <w:i/>
        </w:rPr>
        <w:t>(frei)</w:t>
      </w:r>
      <w:bookmarkEnd w:id="525"/>
    </w:p>
    <w:p w:rsidR="00BE1EFE" w:rsidRPr="00B76821" w:rsidRDefault="00BE1EFE" w:rsidP="00B76821">
      <w:pPr>
        <w:pStyle w:val="h7"/>
        <w:keepNext w:val="0"/>
        <w:spacing w:before="0" w:after="0"/>
        <w:jc w:val="left"/>
        <w:outlineLvl w:val="5"/>
        <w:rPr>
          <w:sz w:val="2"/>
        </w:rPr>
      </w:pPr>
    </w:p>
    <w:p w:rsidR="00BE1EFE" w:rsidRPr="00FF1F5C" w:rsidRDefault="00BE1EFE" w:rsidP="00D645FF">
      <w:pPr>
        <w:pStyle w:val="StandardWeb"/>
        <w:jc w:val="left"/>
        <w:rPr>
          <w:i/>
          <w:szCs w:val="16"/>
        </w:rPr>
      </w:pPr>
    </w:p>
    <w:p w:rsidR="00BE1EFE" w:rsidRPr="00BF73AC" w:rsidRDefault="00BE1EFE" w:rsidP="00BF73AC">
      <w:pPr>
        <w:pStyle w:val="berschrift6"/>
        <w:rPr>
          <w:lang w:eastAsia="x-none"/>
        </w:rPr>
      </w:pPr>
      <w:bookmarkStart w:id="526" w:name="_Toc473549931"/>
      <w:bookmarkStart w:id="527" w:name="_Toc523926084"/>
      <w:r>
        <w:t>38.</w:t>
      </w:r>
      <w:r>
        <w:rPr>
          <w:lang w:eastAsia="x-none"/>
        </w:rPr>
        <w:t xml:space="preserve"> </w:t>
      </w:r>
      <w:r w:rsidRPr="00FF1F5C">
        <w:t>Zeichnerinnen und Zeichner</w:t>
      </w:r>
      <w:bookmarkEnd w:id="526"/>
      <w:bookmarkEnd w:id="527"/>
    </w:p>
    <w:p w:rsidR="00BE1EFE" w:rsidRPr="00EC3F42" w:rsidRDefault="00BE1EFE" w:rsidP="00787487">
      <w:pPr>
        <w:pStyle w:val="h7"/>
        <w:jc w:val="left"/>
      </w:pPr>
      <w:bookmarkStart w:id="528" w:name="_Toc473549932"/>
      <w:bookmarkStart w:id="529" w:name="_Toc523926085"/>
      <w:r w:rsidRPr="00EC3F42">
        <w:t>Entgeltgruppe 5</w:t>
      </w:r>
      <w:bookmarkEnd w:id="528"/>
      <w:bookmarkEnd w:id="529"/>
    </w:p>
    <w:p w:rsidR="00BE1EFE" w:rsidRPr="00B76821" w:rsidRDefault="00BE1EFE" w:rsidP="00B76821">
      <w:pPr>
        <w:pStyle w:val="h8"/>
        <w:keepNext w:val="0"/>
        <w:spacing w:before="0" w:after="0"/>
        <w:outlineLvl w:val="5"/>
        <w:rPr>
          <w:sz w:val="2"/>
        </w:rPr>
      </w:pPr>
    </w:p>
    <w:p w:rsidR="00BE1EFE" w:rsidRPr="00787487" w:rsidRDefault="00BE1EFE" w:rsidP="00B60D36">
      <w:pPr>
        <w:pStyle w:val="StandardWeb"/>
        <w:rPr>
          <w:szCs w:val="16"/>
        </w:rPr>
      </w:pPr>
      <w:r w:rsidRPr="00FF1F5C">
        <w:rPr>
          <w:szCs w:val="16"/>
        </w:rPr>
        <w:t xml:space="preserve">Zeichnerinnen und Zeichner mit Abschlussprüfung </w:t>
      </w:r>
      <w:r>
        <w:rPr>
          <w:szCs w:val="16"/>
        </w:rPr>
        <w:t>z. B.</w:t>
      </w:r>
      <w:r w:rsidRPr="00FF1F5C">
        <w:rPr>
          <w:szCs w:val="16"/>
        </w:rPr>
        <w:t xml:space="preserve"> als Bauzeichnerin oder Bauzeichner und entsprechender Tätigkeit sowie sonstige Beschäftigte, die aufgrund gleichwertiger Fähigkeiten und ihrer Erfahrungen ent</w:t>
      </w:r>
      <w:r>
        <w:rPr>
          <w:szCs w:val="16"/>
        </w:rPr>
        <w:t>sprechende Tätigkeiten ausüben.</w:t>
      </w:r>
    </w:p>
    <w:p w:rsidR="00BE1EFE" w:rsidRPr="00787487" w:rsidRDefault="00BE1EFE" w:rsidP="00787487">
      <w:pPr>
        <w:pStyle w:val="h7"/>
        <w:jc w:val="left"/>
      </w:pPr>
      <w:bookmarkStart w:id="530" w:name="_Toc473549933"/>
      <w:bookmarkStart w:id="531" w:name="_Toc523926086"/>
      <w:r w:rsidRPr="00EC3F42">
        <w:t>Entgeltgruppe 6</w:t>
      </w:r>
      <w:bookmarkEnd w:id="530"/>
      <w:bookmarkEnd w:id="531"/>
    </w:p>
    <w:p w:rsidR="00BE1EFE" w:rsidRPr="00B76821" w:rsidRDefault="00BE1EFE" w:rsidP="00B76821">
      <w:pPr>
        <w:pStyle w:val="h8"/>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der Entgeltgruppe 5, deren Tätigkeit besondere Leistungen erfordert. </w:t>
      </w:r>
    </w:p>
    <w:p w:rsidR="00BE1EFE" w:rsidRPr="00FF1F5C" w:rsidRDefault="00BE1EFE" w:rsidP="00B60D36">
      <w:pPr>
        <w:pStyle w:val="StandardWeb"/>
        <w:rPr>
          <w:szCs w:val="16"/>
        </w:rPr>
      </w:pPr>
    </w:p>
    <w:p w:rsidR="00BE1EFE" w:rsidRPr="00FF1F5C" w:rsidRDefault="00BE1EFE" w:rsidP="00B60D36">
      <w:pPr>
        <w:pStyle w:val="StandardWeb"/>
        <w:rPr>
          <w:szCs w:val="16"/>
        </w:rPr>
      </w:pPr>
      <w:r w:rsidRPr="00FF1F5C">
        <w:rPr>
          <w:szCs w:val="16"/>
        </w:rPr>
        <w:t xml:space="preserve">(Besondere Leistungen sind </w:t>
      </w:r>
      <w:r>
        <w:rPr>
          <w:szCs w:val="16"/>
        </w:rPr>
        <w:t>z. B.</w:t>
      </w:r>
      <w:r w:rsidRPr="00FF1F5C">
        <w:rPr>
          <w:szCs w:val="16"/>
        </w:rPr>
        <w:t>:</w:t>
      </w:r>
    </w:p>
    <w:p w:rsidR="00BE1EFE" w:rsidRPr="00FF1F5C" w:rsidRDefault="00BE1EFE" w:rsidP="00971ECA">
      <w:pPr>
        <w:pStyle w:val="StandardWeb"/>
        <w:ind w:left="79" w:hanging="79"/>
        <w:rPr>
          <w:szCs w:val="16"/>
        </w:rPr>
      </w:pPr>
      <w:r>
        <w:rPr>
          <w:szCs w:val="16"/>
        </w:rPr>
        <w:t>– </w:t>
      </w:r>
      <w:r w:rsidRPr="00FF1F5C">
        <w:rPr>
          <w:szCs w:val="16"/>
        </w:rPr>
        <w:t>Anfertigung schwieriger Zeichnungen und Pläne nach nur groben Angaben oder nach Unterlagen ohne Anleitung sowie Erstellung der sich daraus ergebenden Detailzeichnungen,</w:t>
      </w:r>
    </w:p>
    <w:p w:rsidR="00BE1EFE" w:rsidRPr="00FF1F5C" w:rsidRDefault="00BE1EFE" w:rsidP="00971ECA">
      <w:pPr>
        <w:pStyle w:val="StandardWeb"/>
        <w:ind w:left="79" w:hanging="79"/>
        <w:rPr>
          <w:szCs w:val="16"/>
        </w:rPr>
      </w:pPr>
      <w:r>
        <w:rPr>
          <w:szCs w:val="16"/>
        </w:rPr>
        <w:t>– </w:t>
      </w:r>
      <w:r w:rsidRPr="00FF1F5C">
        <w:rPr>
          <w:szCs w:val="16"/>
        </w:rPr>
        <w:t>Ausführung der hiermit zusammenhängenden technischen Berechnungen wie Massen</w:t>
      </w:r>
      <w:r>
        <w:rPr>
          <w:szCs w:val="16"/>
        </w:rPr>
        <w:softHyphen/>
      </w:r>
      <w:r w:rsidRPr="00FF1F5C">
        <w:rPr>
          <w:szCs w:val="16"/>
        </w:rPr>
        <w:t>ermittlungen bzw. Aufstellung von Stücklisten,</w:t>
      </w:r>
    </w:p>
    <w:p w:rsidR="00BE1EFE" w:rsidRDefault="00BE1EFE" w:rsidP="008A1E74">
      <w:pPr>
        <w:pStyle w:val="StandardWeb"/>
        <w:ind w:left="79" w:hanging="79"/>
        <w:rPr>
          <w:szCs w:val="16"/>
        </w:rPr>
      </w:pPr>
      <w:r>
        <w:rPr>
          <w:szCs w:val="16"/>
        </w:rPr>
        <w:t>– </w:t>
      </w:r>
      <w:r w:rsidRPr="00FF1F5C">
        <w:rPr>
          <w:szCs w:val="16"/>
        </w:rPr>
        <w:t>selbstständige Ermittlung technischer Daten und Werte und ihre Auswertung b</w:t>
      </w:r>
      <w:r>
        <w:rPr>
          <w:szCs w:val="16"/>
        </w:rPr>
        <w:t>ei der Anfertigung von Plänen.)</w:t>
      </w:r>
    </w:p>
    <w:p w:rsidR="00BE1EFE" w:rsidRPr="008B2418" w:rsidRDefault="00BE1EFE" w:rsidP="008A1E74">
      <w:pPr>
        <w:pStyle w:val="StandardWeb"/>
        <w:ind w:left="79" w:hanging="79"/>
        <w:rPr>
          <w:sz w:val="2"/>
          <w:szCs w:val="2"/>
        </w:rPr>
      </w:pPr>
      <w:r>
        <w:rPr>
          <w:szCs w:val="16"/>
        </w:rPr>
        <w:br w:type="page"/>
      </w:r>
    </w:p>
    <w:p w:rsidR="00BE1EFE" w:rsidRPr="00FF1F5C" w:rsidRDefault="00BE1EFE" w:rsidP="008B2418">
      <w:pPr>
        <w:pStyle w:val="berschrift6"/>
        <w:spacing w:before="0"/>
      </w:pPr>
      <w:bookmarkStart w:id="532" w:name="_Toc473549934"/>
      <w:bookmarkStart w:id="533" w:name="_Toc523926087"/>
      <w:r>
        <w:lastRenderedPageBreak/>
        <w:t>39.</w:t>
      </w:r>
      <w:r>
        <w:rPr>
          <w:lang w:eastAsia="x-none"/>
        </w:rPr>
        <w:t xml:space="preserve"> </w:t>
      </w:r>
      <w:r w:rsidRPr="00FF1F5C">
        <w:t>Beschäftigte an offenen und gebundenen Ganztagesschulen</w:t>
      </w:r>
      <w:bookmarkEnd w:id="532"/>
      <w:bookmarkEnd w:id="533"/>
    </w:p>
    <w:p w:rsidR="00BE1EFE" w:rsidRPr="00BF73AC" w:rsidRDefault="00BE1EFE" w:rsidP="00BF73AC">
      <w:pPr>
        <w:pStyle w:val="h7"/>
        <w:spacing w:after="120"/>
        <w:jc w:val="left"/>
      </w:pPr>
      <w:bookmarkStart w:id="534" w:name="_Toc473549935"/>
      <w:bookmarkStart w:id="535" w:name="_Toc523926088"/>
      <w:r w:rsidRPr="00EC3F42">
        <w:t>39.1. Personen, die überwiegend Betreuungsaufgaben wahrnehmen</w:t>
      </w:r>
      <w:bookmarkEnd w:id="534"/>
      <w:bookmarkEnd w:id="535"/>
    </w:p>
    <w:p w:rsidR="00BE1EFE" w:rsidRPr="00FF1F5C" w:rsidRDefault="00BE1EFE" w:rsidP="008A1E74">
      <w:pPr>
        <w:pStyle w:val="h8"/>
      </w:pPr>
      <w:bookmarkStart w:id="536" w:name="_Toc523926089"/>
      <w:r w:rsidRPr="00FF1F5C">
        <w:t>Entgeltgruppe 3</w:t>
      </w:r>
      <w:bookmarkEnd w:id="536"/>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ohne einschlägige Ausbildung und Erfahrung </w:t>
      </w:r>
    </w:p>
    <w:p w:rsidR="00BE1EFE" w:rsidRPr="00FF1F5C" w:rsidRDefault="00BE1EFE" w:rsidP="00B60D36">
      <w:pPr>
        <w:pStyle w:val="StandardWeb"/>
        <w:rPr>
          <w:szCs w:val="16"/>
        </w:rPr>
      </w:pPr>
      <w:r w:rsidRPr="00FF1F5C">
        <w:rPr>
          <w:szCs w:val="16"/>
        </w:rPr>
        <w:t>(Schüler, Studenten, Personen ohn</w:t>
      </w:r>
      <w:r>
        <w:rPr>
          <w:szCs w:val="16"/>
        </w:rPr>
        <w:t>e eigene Kinder)</w:t>
      </w:r>
    </w:p>
    <w:p w:rsidR="00BE1EFE" w:rsidRPr="00FF1F5C" w:rsidRDefault="00BE1EFE" w:rsidP="008A1E74">
      <w:pPr>
        <w:pStyle w:val="h8"/>
      </w:pPr>
      <w:bookmarkStart w:id="537" w:name="_Toc523926090"/>
      <w:r w:rsidRPr="00FF1F5C">
        <w:t>Entgeltgruppe 4</w:t>
      </w:r>
      <w:bookmarkEnd w:id="537"/>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mit einschlägiger Erfahrung </w:t>
      </w:r>
    </w:p>
    <w:p w:rsidR="00BE1EFE" w:rsidRPr="00FF1F5C" w:rsidRDefault="00BE1EFE" w:rsidP="00B60D36">
      <w:pPr>
        <w:pStyle w:val="StandardWeb"/>
        <w:rPr>
          <w:szCs w:val="16"/>
        </w:rPr>
      </w:pPr>
      <w:r w:rsidRPr="00FF1F5C">
        <w:rPr>
          <w:szCs w:val="16"/>
        </w:rPr>
        <w:t>(Personen mit eigenen Kindern oder mit mindestens dreijähriger Täti</w:t>
      </w:r>
      <w:r>
        <w:rPr>
          <w:szCs w:val="16"/>
        </w:rPr>
        <w:t>gkeit in der Ganztagsbetreuung)</w:t>
      </w:r>
    </w:p>
    <w:p w:rsidR="00BE1EFE" w:rsidRPr="00FF1F5C" w:rsidRDefault="00BE1EFE" w:rsidP="008A1E74">
      <w:pPr>
        <w:pStyle w:val="h8"/>
      </w:pPr>
      <w:bookmarkStart w:id="538" w:name="_Toc523926091"/>
      <w:r w:rsidRPr="00FF1F5C">
        <w:t>Entgeltgruppe 5</w:t>
      </w:r>
      <w:bookmarkEnd w:id="538"/>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w:t>
      </w:r>
      <w:r>
        <w:rPr>
          <w:szCs w:val="16"/>
        </w:rPr>
        <w:t>it einschlägiger Fachausbildung</w:t>
      </w:r>
    </w:p>
    <w:p w:rsidR="00BE1EFE" w:rsidRPr="00FF1F5C" w:rsidRDefault="00BE1EFE" w:rsidP="008A1E74">
      <w:pPr>
        <w:pStyle w:val="h8"/>
      </w:pPr>
      <w:bookmarkStart w:id="539" w:name="_Toc523926092"/>
      <w:r w:rsidRPr="00FF1F5C">
        <w:t>Entgeltgruppe 6</w:t>
      </w:r>
      <w:bookmarkEnd w:id="539"/>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Hochschulausbildung</w:t>
      </w:r>
    </w:p>
    <w:p w:rsidR="00BE1EFE" w:rsidRPr="00FF1F5C" w:rsidRDefault="00BE1EFE" w:rsidP="00B60D36">
      <w:pPr>
        <w:pStyle w:val="StandardWeb"/>
        <w:rPr>
          <w:szCs w:val="16"/>
        </w:rPr>
      </w:pPr>
    </w:p>
    <w:p w:rsidR="00BE1EFE" w:rsidRPr="00FF1F5C" w:rsidRDefault="00BE1EFE" w:rsidP="00B60D36">
      <w:pPr>
        <w:pStyle w:val="StandardWeb"/>
        <w:rPr>
          <w:szCs w:val="16"/>
        </w:rPr>
      </w:pPr>
    </w:p>
    <w:p w:rsidR="00BE1EFE" w:rsidRPr="00BF73AC" w:rsidRDefault="00BE1EFE" w:rsidP="00BF73AC">
      <w:pPr>
        <w:pStyle w:val="h7"/>
        <w:spacing w:before="0" w:after="120"/>
        <w:jc w:val="left"/>
      </w:pPr>
      <w:bookmarkStart w:id="540" w:name="_Toc473549936"/>
      <w:bookmarkStart w:id="541" w:name="_Toc523926093"/>
      <w:r w:rsidRPr="00EC3F42">
        <w:t>39.2. Personen, die überwiegend im Bildungsangebot entsprechend ihrer Ausbildung eingesetzt sind</w:t>
      </w:r>
      <w:bookmarkEnd w:id="540"/>
      <w:bookmarkEnd w:id="541"/>
    </w:p>
    <w:p w:rsidR="00BE1EFE" w:rsidRPr="00FF1F5C" w:rsidRDefault="00BE1EFE" w:rsidP="008A1E74">
      <w:pPr>
        <w:pStyle w:val="h8"/>
      </w:pPr>
      <w:bookmarkStart w:id="542" w:name="_Toc523926094"/>
      <w:r w:rsidRPr="00FF1F5C">
        <w:t>Entgeltgruppe 4</w:t>
      </w:r>
      <w:bookmarkEnd w:id="542"/>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ohne einschlägige Ausbildung </w:t>
      </w:r>
    </w:p>
    <w:p w:rsidR="00BE1EFE" w:rsidRPr="00FF1F5C" w:rsidRDefault="00BE1EFE" w:rsidP="00B60D36">
      <w:pPr>
        <w:pStyle w:val="StandardWeb"/>
        <w:rPr>
          <w:szCs w:val="16"/>
        </w:rPr>
      </w:pPr>
      <w:r w:rsidRPr="00FF1F5C">
        <w:rPr>
          <w:szCs w:val="16"/>
        </w:rPr>
        <w:t>(Personen, die in der Sprach- und Leseförderung eingesetzt werden; Eltern, die handwerkliche, künstlerische oder hauswi</w:t>
      </w:r>
      <w:r>
        <w:rPr>
          <w:szCs w:val="16"/>
        </w:rPr>
        <w:t>rtschaftliche Angebote leisten)</w:t>
      </w:r>
    </w:p>
    <w:p w:rsidR="00BE1EFE" w:rsidRPr="00FF1F5C" w:rsidRDefault="00BE1EFE" w:rsidP="008A1E74">
      <w:pPr>
        <w:pStyle w:val="h8"/>
      </w:pPr>
      <w:bookmarkStart w:id="543" w:name="_Toc523926095"/>
      <w:r w:rsidRPr="00FF1F5C">
        <w:t>Entgeltgruppe 5</w:t>
      </w:r>
      <w:bookmarkEnd w:id="543"/>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fachlicher Ausbildung</w:t>
      </w:r>
    </w:p>
    <w:p w:rsidR="00BE1EFE" w:rsidRPr="00FF1F5C" w:rsidRDefault="00BE1EFE" w:rsidP="00B60D36">
      <w:pPr>
        <w:pStyle w:val="StandardWeb"/>
        <w:rPr>
          <w:szCs w:val="16"/>
        </w:rPr>
      </w:pPr>
      <w:r w:rsidRPr="00FF1F5C">
        <w:rPr>
          <w:szCs w:val="16"/>
        </w:rPr>
        <w:t>(Übungsleiter, Handwerker mit Gesellenprüfung, staatlich geprüfte Musikleh</w:t>
      </w:r>
      <w:r>
        <w:rPr>
          <w:szCs w:val="16"/>
        </w:rPr>
        <w:t>rer, Kinderpfleger)</w:t>
      </w:r>
    </w:p>
    <w:p w:rsidR="00BE1EFE" w:rsidRPr="00FF1F5C" w:rsidRDefault="00BE1EFE" w:rsidP="008A1E74">
      <w:pPr>
        <w:pStyle w:val="h8"/>
      </w:pPr>
      <w:bookmarkStart w:id="544" w:name="_Toc523926096"/>
      <w:r w:rsidRPr="00FF1F5C">
        <w:t>Entgeltgruppe 9a</w:t>
      </w:r>
      <w:bookmarkEnd w:id="544"/>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einschlägiger fachlicher Ausbildung und Zusatzqualifikation sowie Erzieher</w:t>
      </w:r>
    </w:p>
    <w:p w:rsidR="00BE1EFE" w:rsidRDefault="00BE1EFE" w:rsidP="00B60D36">
      <w:pPr>
        <w:pStyle w:val="StandardWeb"/>
        <w:rPr>
          <w:szCs w:val="16"/>
        </w:rPr>
      </w:pPr>
      <w:r w:rsidRPr="00FF1F5C">
        <w:rPr>
          <w:szCs w:val="16"/>
        </w:rPr>
        <w:t>(Handwerker mit Meisterprüfung, Ergotherapeuten, Logopäde</w:t>
      </w:r>
      <w:r>
        <w:rPr>
          <w:szCs w:val="16"/>
        </w:rPr>
        <w:t>n, Sportlehrer im freien Beruf)</w:t>
      </w:r>
    </w:p>
    <w:p w:rsidR="00BE1EFE" w:rsidRPr="00744126" w:rsidRDefault="00BE1EFE" w:rsidP="00B60D36">
      <w:pPr>
        <w:pStyle w:val="StandardWeb"/>
        <w:rPr>
          <w:sz w:val="2"/>
          <w:szCs w:val="2"/>
        </w:rPr>
      </w:pPr>
      <w:r>
        <w:rPr>
          <w:szCs w:val="16"/>
        </w:rPr>
        <w:br w:type="page"/>
      </w:r>
    </w:p>
    <w:p w:rsidR="00BE1EFE" w:rsidRPr="00FF1F5C" w:rsidRDefault="00BE1EFE" w:rsidP="00744126">
      <w:pPr>
        <w:pStyle w:val="h8"/>
        <w:spacing w:before="0"/>
      </w:pPr>
      <w:bookmarkStart w:id="545" w:name="_Toc523926097"/>
      <w:r w:rsidRPr="00FF1F5C">
        <w:lastRenderedPageBreak/>
        <w:t>Entgeltgruppe 9b</w:t>
      </w:r>
      <w:bookmarkEnd w:id="545"/>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Konservatoriumsabschluss</w:t>
      </w:r>
    </w:p>
    <w:p w:rsidR="00BE1EFE" w:rsidRPr="00FF1F5C" w:rsidRDefault="00BE1EFE" w:rsidP="00B60D36">
      <w:pPr>
        <w:pStyle w:val="StandardWeb"/>
        <w:rPr>
          <w:szCs w:val="16"/>
        </w:rPr>
      </w:pPr>
      <w:r w:rsidRPr="00FF1F5C">
        <w:rPr>
          <w:szCs w:val="16"/>
        </w:rPr>
        <w:t>(Musiklehre</w:t>
      </w:r>
      <w:r>
        <w:rPr>
          <w:szCs w:val="16"/>
        </w:rPr>
        <w:t>r mit Konservatoriumsabschluss)</w:t>
      </w:r>
    </w:p>
    <w:p w:rsidR="00BE1EFE" w:rsidRPr="00FF1F5C" w:rsidRDefault="00BE1EFE" w:rsidP="008A1E74">
      <w:pPr>
        <w:pStyle w:val="h8"/>
      </w:pPr>
      <w:bookmarkStart w:id="546" w:name="_Toc523926098"/>
      <w:r w:rsidRPr="00FF1F5C">
        <w:t>Entgeltgruppe 9b</w:t>
      </w:r>
      <w:bookmarkEnd w:id="546"/>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Fachhochschulabschluss</w:t>
      </w:r>
    </w:p>
    <w:p w:rsidR="00BE1EFE" w:rsidRPr="00FF1F5C" w:rsidRDefault="00BE1EFE" w:rsidP="00B60D36">
      <w:pPr>
        <w:pStyle w:val="StandardWeb"/>
        <w:rPr>
          <w:szCs w:val="16"/>
        </w:rPr>
      </w:pPr>
      <w:r w:rsidRPr="00FF1F5C">
        <w:rPr>
          <w:szCs w:val="16"/>
        </w:rPr>
        <w:t>(Dipl.–Sozialpä</w:t>
      </w:r>
      <w:r>
        <w:rPr>
          <w:szCs w:val="16"/>
        </w:rPr>
        <w:t>dagogen (FH) / Dipl.–Ing. (FH))</w:t>
      </w:r>
    </w:p>
    <w:p w:rsidR="00BE1EFE" w:rsidRPr="00FF1F5C" w:rsidRDefault="00BE1EFE" w:rsidP="008A1E74">
      <w:pPr>
        <w:pStyle w:val="h8"/>
      </w:pPr>
      <w:bookmarkStart w:id="547" w:name="_Toc523926099"/>
      <w:r w:rsidRPr="00FF1F5C">
        <w:t>Entgeltgruppe 11</w:t>
      </w:r>
      <w:bookmarkEnd w:id="547"/>
    </w:p>
    <w:p w:rsidR="00BE1EFE" w:rsidRPr="00B76821" w:rsidRDefault="00BE1EFE" w:rsidP="00B76821">
      <w:pPr>
        <w:pStyle w:val="h9"/>
        <w:keepNext w:val="0"/>
        <w:spacing w:before="0" w:after="0"/>
        <w:outlineLvl w:val="5"/>
        <w:rPr>
          <w:sz w:val="2"/>
        </w:rPr>
      </w:pPr>
    </w:p>
    <w:p w:rsidR="00BE1EFE" w:rsidRPr="00FF1F5C" w:rsidRDefault="00BE1EFE" w:rsidP="00B60D36">
      <w:pPr>
        <w:pStyle w:val="StandardWeb"/>
        <w:rPr>
          <w:szCs w:val="16"/>
        </w:rPr>
      </w:pPr>
      <w:r w:rsidRPr="00FF1F5C">
        <w:rPr>
          <w:szCs w:val="16"/>
        </w:rPr>
        <w:t>Beschäftigte mit Universitätsabschluss</w:t>
      </w:r>
    </w:p>
    <w:p w:rsidR="00BE1EFE" w:rsidRPr="00FF1F5C" w:rsidRDefault="00BE1EFE" w:rsidP="00B60D36">
      <w:pPr>
        <w:pStyle w:val="StandardWeb"/>
        <w:rPr>
          <w:szCs w:val="16"/>
        </w:rPr>
      </w:pPr>
      <w:r w:rsidRPr="00FF1F5C">
        <w:rPr>
          <w:szCs w:val="16"/>
        </w:rPr>
        <w:t>(pensionierte Lehrkräfte)</w:t>
      </w:r>
    </w:p>
    <w:p w:rsidR="00BE1EFE" w:rsidRDefault="00BE1EFE" w:rsidP="00B60D36">
      <w:pPr>
        <w:pStyle w:val="StandardWeb"/>
        <w:rPr>
          <w:szCs w:val="16"/>
        </w:rPr>
      </w:pPr>
    </w:p>
    <w:p w:rsidR="00BE1EFE" w:rsidRPr="00FF1F5C" w:rsidRDefault="00BE1EFE" w:rsidP="00B60D36">
      <w:pPr>
        <w:pStyle w:val="StandardWeb"/>
        <w:rPr>
          <w:szCs w:val="16"/>
        </w:rPr>
      </w:pPr>
    </w:p>
    <w:p w:rsidR="00BE1EFE" w:rsidRPr="00FF1F5C" w:rsidRDefault="00BE1EFE" w:rsidP="00BF73AC">
      <w:pPr>
        <w:pStyle w:val="berschrift6"/>
        <w:spacing w:before="0"/>
      </w:pPr>
      <w:bookmarkStart w:id="548" w:name="_Toc473549937"/>
      <w:bookmarkStart w:id="549" w:name="_Toc523926100"/>
      <w:r>
        <w:t>40.</w:t>
      </w:r>
      <w:r>
        <w:rPr>
          <w:lang w:eastAsia="x-none"/>
        </w:rPr>
        <w:t> </w:t>
      </w:r>
      <w:r w:rsidRPr="00FF1F5C">
        <w:t>Beschäftigte in der Ehe-, Familien- und Lebensberatung</w:t>
      </w:r>
      <w:bookmarkEnd w:id="548"/>
      <w:bookmarkEnd w:id="549"/>
    </w:p>
    <w:p w:rsidR="00BE1EFE" w:rsidRPr="00EC3F42" w:rsidRDefault="00BE1EFE" w:rsidP="008A1E74">
      <w:pPr>
        <w:pStyle w:val="h7"/>
        <w:jc w:val="left"/>
      </w:pPr>
      <w:bookmarkStart w:id="550" w:name="_Toc473549938"/>
      <w:bookmarkStart w:id="551" w:name="_Toc523926101"/>
      <w:r w:rsidRPr="00EC3F42">
        <w:t>Entgeltgruppe 10</w:t>
      </w:r>
      <w:bookmarkEnd w:id="550"/>
      <w:bookmarkEnd w:id="551"/>
    </w:p>
    <w:p w:rsidR="00BE1EFE" w:rsidRPr="00B76821" w:rsidRDefault="00BE1EFE" w:rsidP="00B76821">
      <w:pPr>
        <w:pStyle w:val="h8"/>
        <w:keepNext w:val="0"/>
        <w:spacing w:before="0" w:after="0"/>
        <w:outlineLvl w:val="5"/>
        <w:rPr>
          <w:sz w:val="2"/>
        </w:rPr>
      </w:pPr>
    </w:p>
    <w:p w:rsidR="00BE1EFE" w:rsidRPr="00FF1F5C" w:rsidRDefault="00BE1EFE" w:rsidP="00B60D36">
      <w:pPr>
        <w:pStyle w:val="StandardWeb"/>
        <w:rPr>
          <w:szCs w:val="16"/>
        </w:rPr>
      </w:pPr>
      <w:r w:rsidRPr="00FF1F5C">
        <w:rPr>
          <w:szCs w:val="16"/>
        </w:rPr>
        <w:t xml:space="preserve">Beschäftigte mit abgeschlossener einschlägiger Hochschulbildung sowie sonstige Angestellte, die aufgrund gleichwertiger Fähigkeiten und Erfahrungen entsprechende Tätigkeiten ausüben, jeweils mit Zusatzausbildung zum/zur </w:t>
      </w:r>
    </w:p>
    <w:p w:rsidR="00BE1EFE" w:rsidRPr="00FF1F5C" w:rsidRDefault="00BE1EFE" w:rsidP="00B60D36">
      <w:pPr>
        <w:pStyle w:val="StandardWeb"/>
        <w:rPr>
          <w:szCs w:val="16"/>
        </w:rPr>
      </w:pPr>
      <w:r w:rsidRPr="00FF1F5C">
        <w:rPr>
          <w:szCs w:val="16"/>
        </w:rPr>
        <w:t>Ehe-, Familien- und Lebensberater/in in der Tätigkeit als Ehe-, Familien- und Lebensbe</w:t>
      </w:r>
      <w:r>
        <w:rPr>
          <w:szCs w:val="16"/>
        </w:rPr>
        <w:softHyphen/>
      </w:r>
      <w:r w:rsidRPr="00FF1F5C">
        <w:rPr>
          <w:szCs w:val="16"/>
        </w:rPr>
        <w:t>raterin/Lebensberater.</w:t>
      </w:r>
    </w:p>
    <w:p w:rsidR="00BE1EFE" w:rsidRPr="00EC3F42" w:rsidRDefault="00BE1EFE" w:rsidP="008A1E74">
      <w:pPr>
        <w:pStyle w:val="h7"/>
        <w:jc w:val="left"/>
      </w:pPr>
      <w:bookmarkStart w:id="552" w:name="_Toc473549939"/>
      <w:bookmarkStart w:id="553" w:name="_Toc523926102"/>
      <w:r w:rsidRPr="00EC3F42">
        <w:t>Entgeltgruppe 13</w:t>
      </w:r>
      <w:bookmarkEnd w:id="552"/>
      <w:bookmarkEnd w:id="553"/>
    </w:p>
    <w:p w:rsidR="00BE1EFE" w:rsidRPr="00B76821" w:rsidRDefault="00BE1EFE" w:rsidP="00B76821">
      <w:pPr>
        <w:pStyle w:val="h8"/>
        <w:keepNext w:val="0"/>
        <w:spacing w:before="0" w:after="0"/>
        <w:outlineLvl w:val="5"/>
        <w:rPr>
          <w:sz w:val="2"/>
        </w:rPr>
      </w:pPr>
    </w:p>
    <w:p w:rsidR="00BE1EFE" w:rsidRDefault="00BE1EFE" w:rsidP="00B60D36">
      <w:pPr>
        <w:pStyle w:val="StandardWeb"/>
        <w:rPr>
          <w:szCs w:val="16"/>
        </w:rPr>
      </w:pPr>
      <w:r w:rsidRPr="00FF1F5C">
        <w:rPr>
          <w:szCs w:val="16"/>
        </w:rPr>
        <w:t>Beschäftigte in der Ehe-, Familien- und Lebensberatung mit abgeschlossener einschlägiger wissenschaftlicher Hochschulbildung und mit Zusatzausbildung zur/zum Ehe-, Familien- und Lebensberaterin/Lebensberater in der Tätigkeit als Ehe-, Familien- und Lebensbe</w:t>
      </w:r>
      <w:r>
        <w:rPr>
          <w:szCs w:val="16"/>
        </w:rPr>
        <w:softHyphen/>
      </w:r>
      <w:r w:rsidRPr="00FF1F5C">
        <w:rPr>
          <w:szCs w:val="16"/>
        </w:rPr>
        <w:t>raterin/Lebensberater an Stellen, an denen eine einschlägige wissenschaftliche Hochschul</w:t>
      </w:r>
      <w:r>
        <w:rPr>
          <w:szCs w:val="16"/>
        </w:rPr>
        <w:softHyphen/>
      </w:r>
      <w:r w:rsidRPr="00FF1F5C">
        <w:rPr>
          <w:szCs w:val="16"/>
        </w:rPr>
        <w:t>bildung erforderlich ist.</w:t>
      </w:r>
    </w:p>
    <w:p w:rsidR="00BE1EFE" w:rsidRPr="00744126" w:rsidRDefault="00BE1EFE" w:rsidP="00B60D36">
      <w:pPr>
        <w:pStyle w:val="StandardWeb"/>
        <w:rPr>
          <w:sz w:val="2"/>
          <w:szCs w:val="2"/>
        </w:rPr>
      </w:pPr>
      <w:r>
        <w:rPr>
          <w:szCs w:val="16"/>
        </w:rPr>
        <w:br w:type="page"/>
      </w:r>
    </w:p>
    <w:p w:rsidR="00BE1EFE" w:rsidRPr="00BF73AC" w:rsidRDefault="00BE1EFE" w:rsidP="00BF73AC">
      <w:pPr>
        <w:pStyle w:val="h7"/>
        <w:spacing w:before="0" w:after="0"/>
        <w:jc w:val="left"/>
        <w:rPr>
          <w:sz w:val="2"/>
          <w:szCs w:val="2"/>
        </w:rPr>
      </w:pPr>
    </w:p>
    <w:p w:rsidR="00BE1EFE" w:rsidRPr="00B76821" w:rsidRDefault="00BE1EFE" w:rsidP="00B76821">
      <w:pPr>
        <w:pStyle w:val="h8"/>
        <w:keepNext w:val="0"/>
        <w:spacing w:before="0" w:after="0"/>
        <w:outlineLvl w:val="5"/>
        <w:rPr>
          <w:sz w:val="2"/>
        </w:rPr>
      </w:pPr>
    </w:p>
    <w:p w:rsidR="00BE1EFE" w:rsidRPr="00BF73AC" w:rsidRDefault="00BE1EFE" w:rsidP="00BF73AC">
      <w:pPr>
        <w:pStyle w:val="berschrift5"/>
        <w:spacing w:before="0"/>
        <w:rPr>
          <w:sz w:val="12"/>
          <w:szCs w:val="12"/>
        </w:rPr>
      </w:pPr>
      <w:bookmarkStart w:id="554" w:name="_Toc523926103"/>
      <w:r>
        <w:t>A, 2.4. Vergütung für Pastoralassistenten</w:t>
      </w:r>
      <w:r>
        <w:rPr>
          <w:lang w:eastAsia="x-none"/>
        </w:rPr>
        <w:t>/Pastoralassistenten</w:t>
      </w:r>
      <w:r>
        <w:t xml:space="preserve"> und </w:t>
      </w:r>
      <w:r>
        <w:rPr>
          <w:lang w:eastAsia="x-none"/>
        </w:rPr>
        <w:t>Pastoralreferentinnen/</w:t>
      </w:r>
      <w:r>
        <w:t>Pastoralreferenten</w:t>
      </w:r>
      <w:bookmarkEnd w:id="554"/>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jc w:val="center"/>
      </w:pPr>
      <w:r>
        <w:rPr>
          <w:rStyle w:val="Hervorhebung"/>
          <w:iCs/>
        </w:rPr>
        <w:t>vgl. diözesane Regelungen</w:t>
      </w:r>
    </w:p>
    <w:p w:rsidR="00BE1EFE" w:rsidRDefault="00BE1EFE">
      <w:pPr>
        <w:pStyle w:val="StandardWeb"/>
        <w:jc w:val="center"/>
      </w:pPr>
    </w:p>
    <w:p w:rsidR="00BE1EFE" w:rsidRPr="00447A08" w:rsidRDefault="00BE1EFE" w:rsidP="00B60D36">
      <w:pPr>
        <w:pStyle w:val="berschrift6"/>
        <w:rPr>
          <w:lang w:eastAsia="x-none"/>
        </w:rPr>
      </w:pPr>
      <w:bookmarkStart w:id="555" w:name="_Toc473549941"/>
      <w:bookmarkStart w:id="556" w:name="_Toc523926104"/>
      <w:r>
        <w:t>§ 1 Grundlagen des Entgelts</w:t>
      </w:r>
      <w:bookmarkEnd w:id="555"/>
      <w:bookmarkEnd w:id="556"/>
    </w:p>
    <w:p w:rsidR="00BE1EFE" w:rsidRPr="00B76821" w:rsidRDefault="00BE1EFE" w:rsidP="00B76821">
      <w:pPr>
        <w:pStyle w:val="h7"/>
        <w:keepNext w:val="0"/>
        <w:spacing w:before="0" w:after="0"/>
        <w:jc w:val="left"/>
        <w:outlineLvl w:val="5"/>
        <w:rPr>
          <w:sz w:val="2"/>
        </w:rPr>
      </w:pPr>
    </w:p>
    <w:p w:rsidR="00BE1EFE" w:rsidRDefault="00BE1EFE" w:rsidP="00B60D36">
      <w:pPr>
        <w:pStyle w:val="StandardWeb"/>
      </w:pPr>
      <w:r>
        <w:t>(1) Pastoralassistentinnen/Pastoralassistenten erhalten ein Entgelt nach Entgeltgruppe 11.</w:t>
      </w:r>
    </w:p>
    <w:p w:rsidR="00BE1EFE" w:rsidRDefault="00BE1EFE" w:rsidP="00B60D36">
      <w:pPr>
        <w:pStyle w:val="StandardWeb"/>
      </w:pPr>
    </w:p>
    <w:p w:rsidR="00BE1EFE" w:rsidRPr="000B1AF8" w:rsidRDefault="00BE1EFE" w:rsidP="00B60D36">
      <w:pPr>
        <w:pStyle w:val="StandardWeb"/>
        <w:jc w:val="left"/>
      </w:pPr>
      <w:r>
        <w:t>(2) Pastoralreferentinnen/Pastoralreferenten erhalten ein Entgelt nach Entgeltgruppe 13.</w:t>
      </w:r>
      <w:r>
        <w:br w:type="page"/>
      </w:r>
    </w:p>
    <w:p w:rsidR="00BE1EFE" w:rsidRPr="00745111" w:rsidRDefault="00BE1EFE" w:rsidP="008533B2">
      <w:pPr>
        <w:pStyle w:val="berschrift5"/>
        <w:spacing w:before="0"/>
        <w:rPr>
          <w:lang w:eastAsia="x-none"/>
        </w:rPr>
      </w:pPr>
      <w:bookmarkStart w:id="557" w:name="_Toc523926105"/>
      <w:r>
        <w:lastRenderedPageBreak/>
        <w:t>A, 2.5. Entgeltordnung für Gemeindeassistentinnen/Gemeinde</w:t>
      </w:r>
      <w:r>
        <w:rPr>
          <w:lang w:eastAsia="x-none"/>
        </w:rPr>
        <w:softHyphen/>
      </w:r>
      <w:r>
        <w:t>assistenten und Gemeindereferentinnen/Gemeindereferenten</w:t>
      </w:r>
      <w:bookmarkEnd w:id="557"/>
      <w:r>
        <w:t xml:space="preserve"> </w:t>
      </w:r>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 xml:space="preserve">(Die Vergütungsordnung für Gemeindeassistenten und Gemeindereferenten in den bayerischen (Erz-)Diözesen vom 01.09.1997 ist zum 31.12.2013 außer Kraft getreten.) </w:t>
      </w:r>
    </w:p>
    <w:p w:rsidR="00BE1EFE" w:rsidRPr="000B1AF8" w:rsidRDefault="00BE1EFE">
      <w:pPr>
        <w:pStyle w:val="StandardWeb"/>
      </w:pPr>
    </w:p>
    <w:p w:rsidR="00BE1EFE" w:rsidRDefault="00BE1EFE">
      <w:pPr>
        <w:pStyle w:val="berschrift6"/>
      </w:pPr>
      <w:bookmarkStart w:id="558" w:name="_Toc523926106"/>
      <w:r>
        <w:t>§ 1 Grundlagen des Entgelts</w:t>
      </w:r>
      <w:bookmarkEnd w:id="5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Gemeindeassistentinnen/Gemeindeassistenten erhalten ein Entgelt nach </w:t>
      </w:r>
      <w:r w:rsidRPr="004021E7">
        <w:t>Entgelt</w:t>
      </w:r>
      <w:r w:rsidRPr="004021E7">
        <w:softHyphen/>
        <w:t>gruppe</w:t>
      </w:r>
      <w:r>
        <w:t> </w:t>
      </w:r>
      <w:r w:rsidRPr="004021E7">
        <w:t>9b</w:t>
      </w:r>
      <w:r>
        <w:t>.</w:t>
      </w:r>
    </w:p>
    <w:p w:rsidR="00BE1EFE" w:rsidRPr="000B1AF8" w:rsidRDefault="00BE1EFE">
      <w:pPr>
        <w:pStyle w:val="StandardWeb"/>
      </w:pPr>
    </w:p>
    <w:p w:rsidR="00BE1EFE" w:rsidRDefault="00BE1EFE">
      <w:pPr>
        <w:pStyle w:val="StandardWeb"/>
      </w:pPr>
      <w:r>
        <w:t>(2) </w:t>
      </w:r>
      <w:r>
        <w:rPr>
          <w:rStyle w:val="kleinschrift"/>
        </w:rPr>
        <w:t>1</w:t>
      </w:r>
      <w:r>
        <w:t xml:space="preserve">Gemeindereferentinnen/Gemeindereferenten erhalten ein Entgelt nach Entgeltgruppe 10. </w:t>
      </w:r>
      <w:r>
        <w:rPr>
          <w:rStyle w:val="kleinschrift"/>
        </w:rPr>
        <w:t>2</w:t>
      </w:r>
      <w:r>
        <w:t xml:space="preserve">Nach einer Beschäftigungszeit als Gemeindereferentin/Gemeindereferent </w:t>
      </w:r>
      <w:hyperlink r:id="rId329" w:history="1">
        <w:r w:rsidRPr="002D1F1D">
          <w:rPr>
            <w:rStyle w:val="Hyperlink"/>
          </w:rPr>
          <w:t>(§ 34 Absatz 3 Teil A, 1</w:t>
        </w:r>
      </w:hyperlink>
      <w:r>
        <w:t xml:space="preserve">.) von neun Jahren und dem Einsatz an mindestens der zweiten Stelle als Gemeinde-referentin/Gemeindereferent erhalten Gemeindereferentinnen/Gemeindereferenten eine Zulage (allgemeine Zulage). </w:t>
      </w:r>
      <w:r>
        <w:rPr>
          <w:rStyle w:val="kleinschrift"/>
        </w:rPr>
        <w:t>3</w:t>
      </w:r>
      <w:r>
        <w:t>Die Höhe der Zulage beträgt ab 01.03.2016 in Stufe 4 EUR 108,00, in Stufe 5 EUR 151,20 und in Stufe 6 EUR 270,01.</w:t>
      </w:r>
      <w:r w:rsidRPr="00DE713D">
        <w:rPr>
          <w:sz w:val="12"/>
          <w:szCs w:val="12"/>
          <w:vertAlign w:val="superscript"/>
        </w:rPr>
        <w:t xml:space="preserve"> </w:t>
      </w:r>
      <w:r>
        <w:rPr>
          <w:sz w:val="12"/>
          <w:szCs w:val="12"/>
          <w:vertAlign w:val="superscript"/>
        </w:rPr>
        <w:t>1</w:t>
      </w:r>
    </w:p>
    <w:p w:rsidR="00BE1EFE" w:rsidRDefault="00BE1EFE">
      <w:pPr>
        <w:pStyle w:val="StandardWeb"/>
      </w:pPr>
      <w:r>
        <w:rPr>
          <w:sz w:val="12"/>
          <w:szCs w:val="12"/>
          <w:vertAlign w:val="superscript"/>
        </w:rPr>
        <w:t>1</w:t>
      </w:r>
      <w:r>
        <w:rPr>
          <w:sz w:val="12"/>
          <w:szCs w:val="12"/>
        </w:rPr>
        <w:t>1Der Zulagenbetrag nimmt an prozentualen Entgelterhöhungen teil. 2Ab 01.02.2017 Erhöhung um 2,35%. (Die Zulage beträgt damit in Stufe 4 EUR 110,54, in Stufe 5 EUR 154,75 und in Stufe 6 EUR 276,36)</w:t>
      </w:r>
    </w:p>
    <w:p w:rsidR="00BE1EFE" w:rsidRDefault="00BE1EFE">
      <w:pPr>
        <w:pStyle w:val="StandardWeb"/>
      </w:pPr>
    </w:p>
    <w:p w:rsidR="00BE1EFE" w:rsidRDefault="00BE1EFE">
      <w:pPr>
        <w:pStyle w:val="StandardWeb"/>
      </w:pPr>
      <w:r>
        <w:rPr>
          <w:sz w:val="12"/>
          <w:szCs w:val="12"/>
        </w:rPr>
        <w:t>Protokollnotiz zu § 1 Absatz 2 Satz 2:</w:t>
      </w:r>
    </w:p>
    <w:p w:rsidR="00BE1EFE" w:rsidRDefault="00BE1EFE">
      <w:pPr>
        <w:pStyle w:val="StandardWeb"/>
        <w:rPr>
          <w:sz w:val="12"/>
          <w:szCs w:val="12"/>
        </w:rPr>
      </w:pPr>
      <w:r>
        <w:rPr>
          <w:sz w:val="12"/>
          <w:szCs w:val="12"/>
        </w:rPr>
        <w:t xml:space="preserve">1. Die Gewährung der allgemeinen Zulage nach Absatz 2 hat die Wirkung einer Höhergruppierung. </w:t>
      </w:r>
    </w:p>
    <w:p w:rsidR="00BE1EFE" w:rsidRPr="004E23F1" w:rsidRDefault="00BE1EFE">
      <w:pPr>
        <w:pStyle w:val="StandardWeb"/>
        <w:rPr>
          <w:sz w:val="12"/>
          <w:szCs w:val="12"/>
        </w:rPr>
      </w:pPr>
      <w:r>
        <w:rPr>
          <w:sz w:val="12"/>
          <w:szCs w:val="12"/>
        </w:rPr>
        <w:t>2. </w:t>
      </w:r>
      <w:r w:rsidRPr="004E23F1">
        <w:rPr>
          <w:sz w:val="12"/>
          <w:szCs w:val="12"/>
        </w:rPr>
        <w:t xml:space="preserve">Gemäß </w:t>
      </w:r>
      <w:hyperlink r:id="rId330" w:history="1">
        <w:r w:rsidRPr="00A17059">
          <w:rPr>
            <w:rStyle w:val="Hyperlink"/>
            <w:sz w:val="12"/>
            <w:szCs w:val="12"/>
          </w:rPr>
          <w:t>Teil A, 2.6.</w:t>
        </w:r>
      </w:hyperlink>
      <w:r w:rsidRPr="004E23F1">
        <w:rPr>
          <w:sz w:val="12"/>
          <w:szCs w:val="12"/>
        </w:rPr>
        <w:t xml:space="preserve"> berücksichtigungsfähige Beschäftigungszeiten </w:t>
      </w:r>
      <w:hyperlink r:id="rId331" w:history="1">
        <w:r w:rsidRPr="004E23F1">
          <w:rPr>
            <w:rStyle w:val="Hyperlink"/>
            <w:sz w:val="12"/>
            <w:szCs w:val="12"/>
          </w:rPr>
          <w:t>(§ 34 Absatz 3 Teil A, 1.)</w:t>
        </w:r>
      </w:hyperlink>
      <w:r w:rsidRPr="004E23F1">
        <w:rPr>
          <w:sz w:val="12"/>
          <w:szCs w:val="12"/>
        </w:rPr>
        <w:t xml:space="preserve"> als Religionslehrerin/Religions</w:t>
      </w:r>
      <w:r>
        <w:rPr>
          <w:sz w:val="12"/>
          <w:szCs w:val="12"/>
        </w:rPr>
        <w:t>-</w:t>
      </w:r>
      <w:r w:rsidRPr="004E23F1">
        <w:rPr>
          <w:sz w:val="12"/>
          <w:szCs w:val="12"/>
        </w:rPr>
        <w:t>lehrer im Kirchendienst stehen Be</w:t>
      </w:r>
      <w:r>
        <w:rPr>
          <w:sz w:val="12"/>
          <w:szCs w:val="12"/>
        </w:rPr>
        <w:t>schäftigungszeiten als Gemeinde</w:t>
      </w:r>
      <w:r w:rsidRPr="004E23F1">
        <w:rPr>
          <w:sz w:val="12"/>
          <w:szCs w:val="12"/>
        </w:rPr>
        <w:t>referentin/Gemeindereferent nach Absatz 2 gleich.</w:t>
      </w:r>
    </w:p>
    <w:p w:rsidR="00BE1EFE" w:rsidRDefault="00BE1EFE">
      <w:pPr>
        <w:pStyle w:val="StandardWeb"/>
      </w:pPr>
    </w:p>
    <w:p w:rsidR="00BE1EFE" w:rsidRDefault="00BE1EFE">
      <w:pPr>
        <w:pStyle w:val="StandardWeb"/>
      </w:pPr>
      <w:r>
        <w:t>(3) </w:t>
      </w:r>
      <w:r>
        <w:rPr>
          <w:rStyle w:val="kleinschrift"/>
        </w:rPr>
        <w:t>1</w:t>
      </w:r>
      <w:r>
        <w:t>Gemeindereferentinnen/Gemeindereferenten, die auf der Grundlage der diözesanen An</w:t>
      </w:r>
      <w:r>
        <w:softHyphen/>
        <w:t xml:space="preserve">weisung gemäß </w:t>
      </w:r>
      <w:hyperlink r:id="rId332" w:history="1">
        <w:r w:rsidRPr="002D1F1D">
          <w:rPr>
            <w:rStyle w:val="Hyperlink"/>
          </w:rPr>
          <w:t>§ 2 Absatz 3 Teil C, 2.</w:t>
        </w:r>
      </w:hyperlink>
      <w:r>
        <w:t xml:space="preserve"> (Dienstordnung Gemeindereferentinnen/Gemeinde-referenten) in ihrem Einsatzbereich zu besonderen Aufgaben herangezogen werden, erhalten unabhängig von der Zulage nach Absatz 2 für die Dauer der Heranziehung eine Funktions</w:t>
      </w:r>
      <w:r>
        <w:softHyphen/>
        <w:t xml:space="preserve">zulage. </w:t>
      </w:r>
      <w:r>
        <w:rPr>
          <w:rStyle w:val="kleinschrift"/>
        </w:rPr>
        <w:t>2</w:t>
      </w:r>
      <w:r>
        <w:t>Die Höhe dieser Zulage beträgt ab 01.03.2016 EUR 216,00.</w:t>
      </w:r>
      <w:r>
        <w:rPr>
          <w:vertAlign w:val="superscript"/>
        </w:rPr>
        <w:t>1</w:t>
      </w:r>
    </w:p>
    <w:p w:rsidR="00BE1EFE" w:rsidRDefault="00BE1EFE">
      <w:pPr>
        <w:pStyle w:val="StandardWeb"/>
      </w:pPr>
      <w:r>
        <w:rPr>
          <w:sz w:val="12"/>
          <w:szCs w:val="12"/>
          <w:vertAlign w:val="superscript"/>
        </w:rPr>
        <w:t>1</w:t>
      </w:r>
      <w:r>
        <w:rPr>
          <w:sz w:val="12"/>
          <w:szCs w:val="12"/>
        </w:rPr>
        <w:t>1Der Zulagenbetrag nimmt an prozentualen Entgelterhöhungen teil. 2Ab 01.02.2017 Erhöhung um 2,35 %. (Die Zulage beträgt damit EUR 221,08)</w:t>
      </w:r>
    </w:p>
    <w:p w:rsidR="00BE1EFE" w:rsidRDefault="00BE1EFE">
      <w:pPr>
        <w:pStyle w:val="StandardWeb"/>
      </w:pPr>
    </w:p>
    <w:p w:rsidR="00BE1EFE" w:rsidRDefault="00BE1EFE">
      <w:pPr>
        <w:pStyle w:val="StandardWeb"/>
      </w:pPr>
      <w:r>
        <w:t>(4) Bewerberinnen/Bewerber, die vor Aufnahme in die Berufseinführung beschäftigt werden, erhalten bis zum Beginn der Berufseinführung ein Entgelt nach Entgeltgruppe 8.</w:t>
      </w:r>
    </w:p>
    <w:p w:rsidR="00BE1EFE" w:rsidRDefault="00BE1EFE">
      <w:pPr>
        <w:pStyle w:val="StandardWeb"/>
      </w:pPr>
    </w:p>
    <w:p w:rsidR="00BE1EFE" w:rsidRDefault="00BE1EFE">
      <w:pPr>
        <w:pStyle w:val="StandardWeb"/>
      </w:pPr>
      <w:r>
        <w:rPr>
          <w:sz w:val="12"/>
          <w:szCs w:val="12"/>
        </w:rPr>
        <w:t>Protokollnotiz:</w:t>
      </w:r>
    </w:p>
    <w:p w:rsidR="00BE1EFE" w:rsidRDefault="00BE1EFE">
      <w:pPr>
        <w:pStyle w:val="StandardWeb"/>
      </w:pPr>
      <w:r>
        <w:rPr>
          <w:sz w:val="12"/>
          <w:szCs w:val="12"/>
        </w:rPr>
        <w:t xml:space="preserve">1. Besondere Aufgaben im Sinne des </w:t>
      </w:r>
      <w:proofErr w:type="gramStart"/>
      <w:r>
        <w:rPr>
          <w:sz w:val="12"/>
          <w:szCs w:val="12"/>
        </w:rPr>
        <w:t>Absatz</w:t>
      </w:r>
      <w:proofErr w:type="gramEnd"/>
      <w:r>
        <w:rPr>
          <w:sz w:val="12"/>
          <w:szCs w:val="12"/>
        </w:rPr>
        <w:t xml:space="preserve"> 3 sind anzunehmen im Falle:</w:t>
      </w:r>
    </w:p>
    <w:p w:rsidR="00BE1EFE" w:rsidRDefault="00BE1EFE" w:rsidP="004021E7">
      <w:pPr>
        <w:pStyle w:val="StandardWeb"/>
        <w:ind w:left="74" w:hanging="74"/>
      </w:pPr>
      <w:r>
        <w:rPr>
          <w:sz w:val="12"/>
          <w:szCs w:val="12"/>
        </w:rPr>
        <w:t>– eigenständiger und eigenverantwortlicher Wahrnehmung von Aufgaben in den Grunddiensten der Gemeindepastoral in einer größeren Seelsorgeeinheit, auf Dekanats- oder Regionalebene (z. B. Erwachsenenkatechese, Erwachsenenbildung, Ökumene, interreligiöser Dialog, Trauerpastoral, Taufpastoral) in inhaltlicher, konzeptioneller und organisatorischer Hinsicht,</w:t>
      </w:r>
    </w:p>
    <w:p w:rsidR="00BE1EFE" w:rsidRDefault="00BE1EFE" w:rsidP="004021E7">
      <w:pPr>
        <w:pStyle w:val="StandardWeb"/>
        <w:ind w:left="74" w:hanging="74"/>
      </w:pPr>
      <w:r>
        <w:rPr>
          <w:sz w:val="12"/>
          <w:szCs w:val="12"/>
        </w:rPr>
        <w:t xml:space="preserve">– eigenständiger und eigenverantwortlicher Wahrnehmung von Aufgaben im kategorialen Bereich in inhaltlicher, konzeptioneller und organisatorischer Hinsicht, </w:t>
      </w:r>
    </w:p>
    <w:p w:rsidR="00BE1EFE" w:rsidRDefault="00BE1EFE" w:rsidP="004021E7">
      <w:pPr>
        <w:pStyle w:val="StandardWeb"/>
        <w:ind w:left="74" w:hanging="74"/>
        <w:rPr>
          <w:sz w:val="12"/>
          <w:szCs w:val="12"/>
        </w:rPr>
      </w:pPr>
      <w:r>
        <w:rPr>
          <w:sz w:val="12"/>
          <w:szCs w:val="12"/>
        </w:rPr>
        <w:t>– Ausführung einer Aufgabe mit der dafür notwendigen Zusatzqualifikation (z. B. Supervision, Mediation, Gemeindeberatung, Notfallseelsorge).</w:t>
      </w:r>
    </w:p>
    <w:p w:rsidR="00BE1EFE" w:rsidRDefault="00BE1EFE">
      <w:pPr>
        <w:pStyle w:val="StandardWeb"/>
      </w:pPr>
      <w:r>
        <w:rPr>
          <w:sz w:val="12"/>
          <w:szCs w:val="12"/>
        </w:rPr>
        <w:t>Die Zulage nach Absatz 3 wird auch bei Übertragung mehrerer o. g. Tätigkeiten nur ein Mal gewährt.</w:t>
      </w:r>
    </w:p>
    <w:p w:rsidR="00BE1EFE" w:rsidRDefault="00BE1EFE">
      <w:pPr>
        <w:pStyle w:val="StandardWeb"/>
        <w:rPr>
          <w:sz w:val="12"/>
          <w:szCs w:val="12"/>
        </w:rPr>
      </w:pPr>
      <w:r>
        <w:rPr>
          <w:sz w:val="12"/>
          <w:szCs w:val="12"/>
        </w:rPr>
        <w:t>2. 1Die Erzdiözese München und Freising gewährt in den Stufen 1 bis 5 zusätzlich zu den Zulagen nach Absatz 2 und 3 weiterhin die bisherige Förderzulage. 2Die Höhe dieser Zulage beträgt in den Stufen 1 bis 4 weiterhin EUR 130,00. 3In Stufe 5 beträgt diese Zulage EUR 100,00. 4In Stufe 6 entfällt diese Zulage. 5Für Teilzeitbeschäftigte wird diese Zulage anteilig gewährt. 6Solange die Voraussetzungen der allgemeinen Zulage nach Absatz 2 nicht vorliegen, wird die Zulage auch in den Stufen 5 und 6 in Höhe von EUR 130,00 gewährt.</w:t>
      </w:r>
    </w:p>
    <w:p w:rsidR="00BE1EFE" w:rsidRDefault="00BE1EFE">
      <w:pPr>
        <w:pStyle w:val="StandardWeb"/>
        <w:rPr>
          <w:sz w:val="12"/>
          <w:szCs w:val="12"/>
        </w:rPr>
      </w:pPr>
    </w:p>
    <w:p w:rsidR="00BE1EFE" w:rsidRDefault="00BE1EFE">
      <w:pPr>
        <w:pStyle w:val="StandardWeb"/>
      </w:pPr>
      <w:r>
        <w:rPr>
          <w:sz w:val="12"/>
          <w:szCs w:val="12"/>
        </w:rPr>
        <w:t>Hinweis:</w:t>
      </w:r>
    </w:p>
    <w:p w:rsidR="00BE1EFE" w:rsidRDefault="00BE1EFE">
      <w:pPr>
        <w:pStyle w:val="StandardWeb"/>
      </w:pPr>
      <w:r>
        <w:rPr>
          <w:sz w:val="12"/>
          <w:szCs w:val="12"/>
        </w:rPr>
        <w:t>Während der Ableistung des berufspraktischen Jahres nach Abschluss der schulischen Ausbildung werden 75 % aus Entgeltgruppe 9b gewährt.</w:t>
      </w:r>
    </w:p>
    <w:p w:rsidR="00BE1EFE" w:rsidRDefault="00BE1EFE">
      <w:pPr>
        <w:pStyle w:val="StandardWeb"/>
      </w:pPr>
    </w:p>
    <w:p w:rsidR="00BE1EFE" w:rsidRDefault="00BE1EFE">
      <w:pPr>
        <w:pStyle w:val="berschrift6"/>
      </w:pPr>
      <w:bookmarkStart w:id="559" w:name="_Toc523926107"/>
      <w:r>
        <w:lastRenderedPageBreak/>
        <w:t>§ 2 Entgelt bei Teilzeitbeschäftigung</w:t>
      </w:r>
      <w:bookmarkEnd w:id="55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Teilzeitbeschäftigte Gemeindereferentinnen/Gemeindereferenten erhalten das Tabellen-entgelt und alle sonstigen Entgeltbestandteile in dem Umfang, der dem Anteil ihrer individuell vereinbarten durchschnittlichen Arbeitszeit an der regelmäßigen Arbeitszeit vergleichbarer Vollzeitbeschäftigter entspricht. </w:t>
      </w:r>
      <w:r>
        <w:rPr>
          <w:rStyle w:val="kleinschrift"/>
        </w:rPr>
        <w:t>2</w:t>
      </w:r>
      <w:r>
        <w:t xml:space="preserve">Satz 1 gilt auch für die nach </w:t>
      </w:r>
      <w:hyperlink r:id="rId333" w:history="1">
        <w:r w:rsidRPr="002D1F1D">
          <w:rPr>
            <w:rStyle w:val="Hyperlink"/>
          </w:rPr>
          <w:t>§ 1</w:t>
        </w:r>
      </w:hyperlink>
      <w:r>
        <w:t xml:space="preserve"> gewährten Zulagen.</w:t>
      </w:r>
    </w:p>
    <w:p w:rsidR="00BE1EFE" w:rsidRPr="000B1AF8" w:rsidRDefault="00BE1EFE">
      <w:pPr>
        <w:pStyle w:val="StandardWeb"/>
      </w:pPr>
    </w:p>
    <w:p w:rsidR="00BE1EFE" w:rsidRDefault="00BE1EFE">
      <w:pPr>
        <w:pStyle w:val="berschrift6"/>
      </w:pPr>
      <w:bookmarkStart w:id="560" w:name="_Toc523926108"/>
      <w:r>
        <w:t>§ 3 Übergangsregelung</w:t>
      </w:r>
      <w:bookmarkEnd w:id="560"/>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Gemeindereferentinnen/Gemeindereferenten, die zum Zeitpunkt des Inkrafttretens dieser Entgeltordnung bereits neun Jahre als Gemeindereferentin/Gemeindereferent beschäftigt waren, jedoch noch nicht mindestens an der zweiten Stelle eingesetzt sind, erhalten die Zulage nach </w:t>
      </w:r>
      <w:hyperlink r:id="rId334" w:history="1">
        <w:r w:rsidRPr="002D1F1D">
          <w:rPr>
            <w:rStyle w:val="Hyperlink"/>
          </w:rPr>
          <w:t>§ 1 Absatz 2</w:t>
        </w:r>
      </w:hyperlink>
      <w:r>
        <w:t xml:space="preserve"> zu dem Zeitpunkt, zu dem sie die zweite Stelle antreten, spätestens – unabhängig vom Einsatz an der zweiten Stelle – ab 1. September 2016.</w:t>
      </w:r>
    </w:p>
    <w:p w:rsidR="00BE1EFE" w:rsidRDefault="00BE1EFE" w:rsidP="007B08F0">
      <w:pPr>
        <w:pStyle w:val="StandardWeb"/>
      </w:pPr>
      <w:r>
        <w:br w:type="page"/>
      </w:r>
    </w:p>
    <w:p w:rsidR="00BE1EFE" w:rsidRDefault="00BE1EFE" w:rsidP="00D95A87">
      <w:pPr>
        <w:pStyle w:val="berschrift5"/>
        <w:spacing w:before="0"/>
        <w:rPr>
          <w:lang w:eastAsia="x-none"/>
        </w:rPr>
      </w:pPr>
      <w:bookmarkStart w:id="561" w:name="_Toc523926109"/>
      <w:r>
        <w:lastRenderedPageBreak/>
        <w:t>A, 2.6. Entgeltordnung für Religionslehrerinnen und Religionslehrer im Kirchendienst</w:t>
      </w:r>
      <w:bookmarkEnd w:id="561"/>
    </w:p>
    <w:p w:rsidR="00BE1EFE" w:rsidRPr="00B76821" w:rsidRDefault="00BE1EFE" w:rsidP="00B76821">
      <w:pPr>
        <w:pStyle w:val="berschrift6"/>
        <w:keepNext w:val="0"/>
        <w:spacing w:before="0" w:after="0"/>
        <w:rPr>
          <w:rStyle w:val="Hervorhebung"/>
          <w:iCs/>
          <w:sz w:val="2"/>
        </w:rPr>
      </w:pPr>
    </w:p>
    <w:p w:rsidR="00BE1EFE" w:rsidRPr="000B1AF8" w:rsidRDefault="00BE1EFE" w:rsidP="007B08F0">
      <w:pPr>
        <w:pStyle w:val="StandardWeb"/>
        <w:autoSpaceDE w:val="0"/>
      </w:pPr>
      <w:r>
        <w:rPr>
          <w:rStyle w:val="Hervorhebung"/>
          <w:iCs/>
        </w:rPr>
        <w:t>(Die Vergütungsordnung für Religionslehrer i. K. an Volks- und Förderschulen (ABD Teil A, 2.6.) vom 01.09.1996 zuletzt geändert zum 01.09.2008 und die Vergütungsordnung für Religionslehrer gemäß Sonderregelung (ABD Teil A, 2.7.) vom 01.09.1998 zuletzt geändert zum 01.09.2008 sind zum 01.09.2009 außer Kraft getreten.)</w:t>
      </w:r>
    </w:p>
    <w:p w:rsidR="00BE1EFE" w:rsidRDefault="00BE1EFE">
      <w:pPr>
        <w:pStyle w:val="berschrift6"/>
      </w:pPr>
      <w:bookmarkStart w:id="562" w:name="_Toc523926110"/>
      <w:r>
        <w:t>§ 1 Grundlagen des Entgelts</w:t>
      </w:r>
      <w:bookmarkEnd w:id="562"/>
    </w:p>
    <w:p w:rsidR="00BE1EFE" w:rsidRPr="00B76821" w:rsidRDefault="00BE1EFE" w:rsidP="00B76821">
      <w:pPr>
        <w:pStyle w:val="h7"/>
        <w:keepNext w:val="0"/>
        <w:spacing w:before="0" w:after="0"/>
        <w:jc w:val="left"/>
        <w:outlineLvl w:val="5"/>
        <w:rPr>
          <w:sz w:val="2"/>
        </w:rPr>
      </w:pPr>
    </w:p>
    <w:p w:rsidR="00BE1EFE" w:rsidRDefault="00BE1EFE" w:rsidP="00A17059">
      <w:pPr>
        <w:pStyle w:val="StandardWeb"/>
      </w:pPr>
      <w:r>
        <w:t xml:space="preserve">(1) Religionslehrerinnen/Religionslehrer im kirchlichen Vorbereitungsdienst (RL i.k.V.) </w:t>
      </w:r>
      <w:hyperlink r:id="rId335" w:history="1">
        <w:r w:rsidRPr="00A17059">
          <w:rPr>
            <w:rStyle w:val="Hyperlink"/>
          </w:rPr>
          <w:t>(§ 4 Absatz 1 Satz 3 Teil C, 3.)</w:t>
        </w:r>
      </w:hyperlink>
      <w:r>
        <w:t xml:space="preserve"> erhalten ein Entgelt nach Entgeltgruppe 9b.</w:t>
      </w:r>
    </w:p>
    <w:p w:rsidR="00BE1EFE" w:rsidRDefault="00BE1EFE" w:rsidP="00A17059">
      <w:pPr>
        <w:pStyle w:val="StandardWeb"/>
      </w:pPr>
    </w:p>
    <w:p w:rsidR="00BE1EFE" w:rsidRDefault="00BE1EFE" w:rsidP="00A17059">
      <w:pPr>
        <w:pStyle w:val="StandardWeb"/>
      </w:pPr>
      <w:r>
        <w:t>(2) </w:t>
      </w:r>
      <w:r w:rsidRPr="00A17059">
        <w:rPr>
          <w:sz w:val="12"/>
          <w:szCs w:val="12"/>
        </w:rPr>
        <w:t>1</w:t>
      </w:r>
      <w:r>
        <w:t xml:space="preserve">Religionslehrerinnen/Religionslehrer – nachfolgend Religionslehrkräfte genannt – erhalten nach erfolgreich abgelegter Zweiter Dienstprüfung ein Entgelt nach Entgeltgruppe 10. </w:t>
      </w:r>
      <w:r w:rsidRPr="00A17059">
        <w:rPr>
          <w:sz w:val="12"/>
          <w:szCs w:val="12"/>
        </w:rPr>
        <w:t>2</w:t>
      </w:r>
      <w:r>
        <w:t xml:space="preserve">Nach einer Beschäftigungszeit </w:t>
      </w:r>
      <w:hyperlink r:id="rId336" w:history="1">
        <w:r w:rsidRPr="00A17059">
          <w:rPr>
            <w:rStyle w:val="Hyperlink"/>
          </w:rPr>
          <w:t>(§ 34 Absatz 3 Teil A, 1.)</w:t>
        </w:r>
      </w:hyperlink>
      <w:r>
        <w:t xml:space="preserve"> als Religionslehrkraft von neun Jahren erhalten Religionslehrkräfte eine Zulage (allgemeine Zulage). </w:t>
      </w:r>
      <w:r w:rsidRPr="00A17059">
        <w:rPr>
          <w:sz w:val="12"/>
          <w:szCs w:val="12"/>
        </w:rPr>
        <w:t>3</w:t>
      </w:r>
      <w:r>
        <w:t>Die Höhe der Zulage beträgt in Stufe 4 EUR 108,00 in Stufe 5 EUR 151,20 und in Stufe 6 EUR 270,01.</w:t>
      </w:r>
      <w:r w:rsidRPr="00A17059">
        <w:rPr>
          <w:vertAlign w:val="superscript"/>
        </w:rPr>
        <w:t>1</w:t>
      </w:r>
    </w:p>
    <w:p w:rsidR="00BE1EFE" w:rsidRPr="00386681" w:rsidRDefault="00BE1EFE" w:rsidP="00A17059">
      <w:pPr>
        <w:pStyle w:val="StandardWeb"/>
        <w:rPr>
          <w:sz w:val="12"/>
          <w:szCs w:val="12"/>
        </w:rPr>
      </w:pPr>
      <w:r w:rsidRPr="00A17059">
        <w:rPr>
          <w:vertAlign w:val="superscript"/>
        </w:rPr>
        <w:t>1</w:t>
      </w:r>
      <w:r>
        <w:rPr>
          <w:vertAlign w:val="superscript"/>
        </w:rPr>
        <w:t> </w:t>
      </w:r>
      <w:r w:rsidRPr="00386681">
        <w:rPr>
          <w:sz w:val="12"/>
          <w:szCs w:val="12"/>
        </w:rPr>
        <w:t>1Der Zulagenbetrag nimmt an prozentualen Entgelterhöhungen teil. 2Ab 01.02.2017 Erhöhung um 2,35%. (Die Zulage beträgt damit in Stufe 4 EUR 110,54, in Stufe 5 EUR 154,75 und in Stufe 6 EUR 276,36.)</w:t>
      </w:r>
    </w:p>
    <w:p w:rsidR="00BE1EFE" w:rsidRDefault="00BE1EFE" w:rsidP="00A17059">
      <w:pPr>
        <w:pStyle w:val="StandardWeb"/>
      </w:pPr>
    </w:p>
    <w:p w:rsidR="00BE1EFE" w:rsidRPr="00A17059" w:rsidRDefault="00BE1EFE" w:rsidP="00A17059">
      <w:pPr>
        <w:pStyle w:val="StandardWeb"/>
        <w:rPr>
          <w:sz w:val="12"/>
          <w:szCs w:val="12"/>
        </w:rPr>
      </w:pPr>
      <w:r w:rsidRPr="00A17059">
        <w:rPr>
          <w:sz w:val="12"/>
          <w:szCs w:val="12"/>
        </w:rPr>
        <w:t>Protokollnotiz zu § 1 Absatz 2 Satz 2:</w:t>
      </w:r>
    </w:p>
    <w:p w:rsidR="00BE1EFE" w:rsidRPr="00A17059" w:rsidRDefault="00BE1EFE" w:rsidP="00A17059">
      <w:pPr>
        <w:pStyle w:val="StandardWeb"/>
        <w:rPr>
          <w:sz w:val="12"/>
          <w:szCs w:val="12"/>
        </w:rPr>
      </w:pPr>
      <w:r>
        <w:rPr>
          <w:sz w:val="12"/>
          <w:szCs w:val="12"/>
        </w:rPr>
        <w:t>1. </w:t>
      </w:r>
      <w:r w:rsidRPr="00A17059">
        <w:rPr>
          <w:sz w:val="12"/>
          <w:szCs w:val="12"/>
        </w:rPr>
        <w:t>Berücksichtigung finden nur Zeiten nach erfolgreichem Abschluss der Zweiten Dienstprüfung bzw. eines als gleichwertig anerkannten Abschlusses.</w:t>
      </w:r>
    </w:p>
    <w:p w:rsidR="00BE1EFE" w:rsidRPr="00A17059" w:rsidRDefault="00BE1EFE" w:rsidP="00A17059">
      <w:pPr>
        <w:pStyle w:val="StandardWeb"/>
        <w:rPr>
          <w:sz w:val="12"/>
          <w:szCs w:val="12"/>
        </w:rPr>
      </w:pPr>
      <w:r>
        <w:rPr>
          <w:sz w:val="12"/>
          <w:szCs w:val="12"/>
        </w:rPr>
        <w:t>2. </w:t>
      </w:r>
      <w:r w:rsidRPr="00A17059">
        <w:rPr>
          <w:sz w:val="12"/>
          <w:szCs w:val="12"/>
        </w:rPr>
        <w:t xml:space="preserve">Beschäftigungszeiten als Gemeindereferentin/Gemeindereferent </w:t>
      </w:r>
      <w:hyperlink r:id="rId337" w:history="1">
        <w:r w:rsidRPr="00A17059">
          <w:rPr>
            <w:rStyle w:val="Hyperlink"/>
            <w:sz w:val="12"/>
            <w:szCs w:val="12"/>
          </w:rPr>
          <w:t>(§ 34 Absatz 3 Teil A, 1.)</w:t>
        </w:r>
      </w:hyperlink>
      <w:r w:rsidRPr="00A17059">
        <w:rPr>
          <w:sz w:val="12"/>
          <w:szCs w:val="12"/>
        </w:rPr>
        <w:t xml:space="preserve"> stehen Beschäftigungszeiten als Religionslehrkraft gleich.</w:t>
      </w:r>
    </w:p>
    <w:p w:rsidR="00BE1EFE" w:rsidRPr="00A17059" w:rsidRDefault="00BE1EFE" w:rsidP="00A17059">
      <w:pPr>
        <w:pStyle w:val="StandardWeb"/>
        <w:rPr>
          <w:sz w:val="12"/>
          <w:szCs w:val="12"/>
        </w:rPr>
      </w:pPr>
      <w:r>
        <w:rPr>
          <w:sz w:val="12"/>
          <w:szCs w:val="12"/>
        </w:rPr>
        <w:t>3. </w:t>
      </w:r>
      <w:r w:rsidRPr="00A17059">
        <w:rPr>
          <w:sz w:val="12"/>
          <w:szCs w:val="12"/>
        </w:rPr>
        <w:t xml:space="preserve">Bei Teilzeittätigkeit findet </w:t>
      </w:r>
      <w:hyperlink r:id="rId338" w:history="1">
        <w:r w:rsidRPr="00A17059">
          <w:rPr>
            <w:rStyle w:val="Hyperlink"/>
            <w:sz w:val="12"/>
            <w:szCs w:val="12"/>
          </w:rPr>
          <w:t>§ 24 Absatz 2 Teil A, 1.</w:t>
        </w:r>
      </w:hyperlink>
      <w:r w:rsidRPr="00A17059">
        <w:rPr>
          <w:sz w:val="12"/>
          <w:szCs w:val="12"/>
        </w:rPr>
        <w:t xml:space="preserve"> auch auf die allgemeine Zulage Anwendung. </w:t>
      </w:r>
    </w:p>
    <w:p w:rsidR="00BE1EFE" w:rsidRPr="00A17059" w:rsidRDefault="00BE1EFE" w:rsidP="00A17059">
      <w:pPr>
        <w:pStyle w:val="StandardWeb"/>
        <w:rPr>
          <w:sz w:val="12"/>
          <w:szCs w:val="12"/>
        </w:rPr>
      </w:pPr>
      <w:r>
        <w:rPr>
          <w:sz w:val="12"/>
          <w:szCs w:val="12"/>
        </w:rPr>
        <w:t>4. </w:t>
      </w:r>
      <w:r w:rsidRPr="00A17059">
        <w:rPr>
          <w:sz w:val="12"/>
          <w:szCs w:val="12"/>
        </w:rPr>
        <w:t>Die Gewährung der Zulage nach Absatz 2 hat die Wirkung einer Höhergruppierung.</w:t>
      </w:r>
    </w:p>
    <w:p w:rsidR="00BE1EFE" w:rsidRDefault="00BE1EFE" w:rsidP="00A17059">
      <w:pPr>
        <w:pStyle w:val="StandardWeb"/>
      </w:pPr>
    </w:p>
    <w:p w:rsidR="00BE1EFE" w:rsidRDefault="00BE1EFE" w:rsidP="00A17059">
      <w:pPr>
        <w:pStyle w:val="StandardWeb"/>
      </w:pPr>
      <w:r>
        <w:t xml:space="preserve">(3) Religionslehrerinnen/Religionslehrer zur Vertretung (RL z.V.) </w:t>
      </w:r>
      <w:hyperlink r:id="rId339" w:history="1">
        <w:r>
          <w:rPr>
            <w:rStyle w:val="Hyperlink"/>
          </w:rPr>
          <w:t>(§ 4 Absatz 1 Satz 4 Teil C, </w:t>
        </w:r>
        <w:r w:rsidRPr="00A17059">
          <w:rPr>
            <w:rStyle w:val="Hyperlink"/>
          </w:rPr>
          <w:t>3.)</w:t>
        </w:r>
      </w:hyperlink>
      <w:r>
        <w:t xml:space="preserve"> erhalten ein Entgelt nach Entgeltgruppe 9a.</w:t>
      </w:r>
    </w:p>
    <w:p w:rsidR="00BE1EFE" w:rsidRDefault="00BE1EFE" w:rsidP="00A17059">
      <w:pPr>
        <w:pStyle w:val="StandardWeb"/>
      </w:pPr>
    </w:p>
    <w:p w:rsidR="00BE1EFE" w:rsidRDefault="00BE1EFE" w:rsidP="00A17059">
      <w:pPr>
        <w:pStyle w:val="StandardWeb"/>
      </w:pPr>
      <w:r>
        <w:t xml:space="preserve">(4) Religionslehrkräfte, die gemäß </w:t>
      </w:r>
      <w:hyperlink r:id="rId340" w:history="1">
        <w:r w:rsidRPr="00A17059">
          <w:rPr>
            <w:rStyle w:val="Hyperlink"/>
          </w:rPr>
          <w:t>§ 10 Teil C, 3.</w:t>
        </w:r>
      </w:hyperlink>
      <w:r>
        <w:t xml:space="preserve"> zur Mitarbeit in der Gemeinde abgeordnet sind und im Rahmen dieser Tätigkeit auf Grundlage der diözesanen Anweisung </w:t>
      </w:r>
      <w:hyperlink r:id="rId341" w:history="1">
        <w:r w:rsidRPr="00A17059">
          <w:rPr>
            <w:rStyle w:val="Hyperlink"/>
          </w:rPr>
          <w:t>(§ 10 Absatz 3 Teil C, 3.</w:t>
        </w:r>
      </w:hyperlink>
      <w:r>
        <w:t xml:space="preserve"> i.V.m. </w:t>
      </w:r>
      <w:hyperlink r:id="rId342" w:history="1">
        <w:r w:rsidRPr="00A17059">
          <w:rPr>
            <w:rStyle w:val="Hyperlink"/>
          </w:rPr>
          <w:t>§ 2 Absatz 3 Teil C, 2.)</w:t>
        </w:r>
      </w:hyperlink>
      <w:r>
        <w:t xml:space="preserve"> zu besonderen Aufgaben im Sinne des </w:t>
      </w:r>
      <w:hyperlink r:id="rId343" w:history="1">
        <w:r w:rsidRPr="00A17059">
          <w:rPr>
            <w:rStyle w:val="Hyperlink"/>
          </w:rPr>
          <w:t>§ 1 Absatz 3 Teil A, 2.5.</w:t>
        </w:r>
      </w:hyperlink>
      <w:r>
        <w:t xml:space="preserve"> herangezogen werden, erhalten für die Dauer der Heranziehung anteilig im jeweiligen Umfang der Abordnung zur Gemeindearbeit die Zulage gemäß </w:t>
      </w:r>
      <w:hyperlink r:id="rId344" w:history="1">
        <w:r>
          <w:rPr>
            <w:rStyle w:val="Hyperlink"/>
          </w:rPr>
          <w:t>§ 1 Absatz 3 Teil A, </w:t>
        </w:r>
        <w:r w:rsidRPr="004C6E1E">
          <w:rPr>
            <w:rStyle w:val="Hyperlink"/>
          </w:rPr>
          <w:t>2.5.</w:t>
        </w:r>
      </w:hyperlink>
    </w:p>
    <w:p w:rsidR="00BE1EFE" w:rsidRPr="004C6E1E" w:rsidRDefault="00BE1EFE" w:rsidP="00A17059">
      <w:pPr>
        <w:pStyle w:val="StandardWeb"/>
        <w:rPr>
          <w:sz w:val="12"/>
          <w:szCs w:val="12"/>
        </w:rPr>
      </w:pPr>
      <w:r w:rsidRPr="004C6E1E">
        <w:rPr>
          <w:sz w:val="12"/>
          <w:szCs w:val="12"/>
        </w:rPr>
        <w:t>Protokollnotiz zu § 1 Absatz 4:</w:t>
      </w:r>
    </w:p>
    <w:p w:rsidR="00BE1EFE" w:rsidRPr="004C6E1E" w:rsidRDefault="00BE1EFE" w:rsidP="00A17059">
      <w:pPr>
        <w:pStyle w:val="StandardWeb"/>
        <w:rPr>
          <w:sz w:val="12"/>
          <w:szCs w:val="12"/>
        </w:rPr>
      </w:pPr>
      <w:r w:rsidRPr="004C6E1E">
        <w:rPr>
          <w:sz w:val="12"/>
          <w:szCs w:val="12"/>
        </w:rPr>
        <w:t xml:space="preserve">In den Diözesen Eichstätt und Passau erhalten Beschäftigte, mit denen arbeitsvertraglich sowohl die Tätigkeit als Religionslehrkraft als auch als Gemeindereferentin/Gemeindereferent vereinbart ist, und die im Rahmen dieser Tätigkeit auf Grundlage der diözesanen Anweisung </w:t>
      </w:r>
      <w:hyperlink r:id="rId345" w:history="1">
        <w:r w:rsidRPr="004C6E1E">
          <w:rPr>
            <w:rStyle w:val="Hyperlink"/>
            <w:sz w:val="12"/>
            <w:szCs w:val="12"/>
          </w:rPr>
          <w:t>(§ 10 Absatz 3 Teil C, 3.</w:t>
        </w:r>
      </w:hyperlink>
      <w:r w:rsidRPr="004C6E1E">
        <w:rPr>
          <w:sz w:val="12"/>
          <w:szCs w:val="12"/>
        </w:rPr>
        <w:t xml:space="preserve"> i.V.m. </w:t>
      </w:r>
      <w:hyperlink r:id="rId346" w:history="1">
        <w:r w:rsidRPr="004C6E1E">
          <w:rPr>
            <w:rStyle w:val="Hyperlink"/>
            <w:sz w:val="12"/>
            <w:szCs w:val="12"/>
          </w:rPr>
          <w:t>§ 2 Absatz 3 Teil C, 2.</w:t>
        </w:r>
      </w:hyperlink>
      <w:r w:rsidRPr="004C6E1E">
        <w:rPr>
          <w:sz w:val="12"/>
          <w:szCs w:val="12"/>
        </w:rPr>
        <w:t xml:space="preserve">) zu besonderen Aufgaben im Sinne des </w:t>
      </w:r>
      <w:hyperlink r:id="rId347" w:history="1">
        <w:r w:rsidRPr="004C6E1E">
          <w:rPr>
            <w:rStyle w:val="Hyperlink"/>
            <w:sz w:val="12"/>
            <w:szCs w:val="12"/>
          </w:rPr>
          <w:t>§ 1 Absatz 3 Teil A, 2.5.</w:t>
        </w:r>
      </w:hyperlink>
      <w:r w:rsidRPr="004C6E1E">
        <w:rPr>
          <w:sz w:val="12"/>
          <w:szCs w:val="12"/>
        </w:rPr>
        <w:t xml:space="preserve"> herangezogen werden, für die Dauer der Heranziehung die Zulage gemäß </w:t>
      </w:r>
      <w:hyperlink r:id="rId348" w:history="1">
        <w:r w:rsidRPr="004C6E1E">
          <w:rPr>
            <w:rStyle w:val="Hyperlink"/>
            <w:sz w:val="12"/>
            <w:szCs w:val="12"/>
          </w:rPr>
          <w:t>§ 1 Absatz 3 Teil A, 2.5.</w:t>
        </w:r>
      </w:hyperlink>
    </w:p>
    <w:p w:rsidR="00BE1EFE" w:rsidRDefault="00BE1EFE" w:rsidP="00A17059">
      <w:pPr>
        <w:pStyle w:val="StandardWeb"/>
      </w:pPr>
    </w:p>
    <w:p w:rsidR="00BE1EFE" w:rsidRPr="004C6E1E" w:rsidRDefault="00BE1EFE" w:rsidP="00A17059">
      <w:pPr>
        <w:pStyle w:val="StandardWeb"/>
        <w:rPr>
          <w:sz w:val="12"/>
          <w:szCs w:val="12"/>
        </w:rPr>
      </w:pPr>
      <w:r w:rsidRPr="004C6E1E">
        <w:rPr>
          <w:sz w:val="12"/>
          <w:szCs w:val="12"/>
        </w:rPr>
        <w:t>Protokollnotiz zu § 1:</w:t>
      </w:r>
    </w:p>
    <w:p w:rsidR="00BE1EFE" w:rsidRDefault="00BE1EFE" w:rsidP="00A17059">
      <w:pPr>
        <w:pStyle w:val="StandardWeb"/>
        <w:rPr>
          <w:sz w:val="12"/>
          <w:szCs w:val="12"/>
        </w:rPr>
      </w:pPr>
      <w:r w:rsidRPr="004C6E1E">
        <w:rPr>
          <w:sz w:val="12"/>
          <w:szCs w:val="12"/>
        </w:rPr>
        <w:t>1Die Erzdiözese München und Freising gewährt für die Tätigkeit an Mittelschulen entsprechend der regelmäßigen Wochenstundenzahl an der Mittelschule eine Zulage in Höhe von EUR 5,20 je Wochenstunde (sog. Mittelschulzulage). 2Die Mittelschulzulage wird nicht gewährt, wenn für die Tätigkeit eine Förderschulzulage gewährt wird. 3Religionslehrkräfte, die am 31.12.2015 für eine Tätigkeit sowohl die Förderschul- als auch die Mittelschulzulage erhalten, erhalten, solange sie diese Tätigkeit ununterbrochen weiter ausüben, beide Zulagen weiter, bis sie die allgemeine Zulage in Stufe 5 erhalten.</w:t>
      </w:r>
    </w:p>
    <w:p w:rsidR="00BE1EFE" w:rsidRDefault="00BE1EFE" w:rsidP="00A17059">
      <w:pPr>
        <w:pStyle w:val="StandardWeb"/>
        <w:rPr>
          <w:sz w:val="12"/>
          <w:szCs w:val="12"/>
        </w:rPr>
      </w:pPr>
    </w:p>
    <w:p w:rsidR="00BE1EFE" w:rsidRPr="004C6E1E" w:rsidRDefault="00BE1EFE" w:rsidP="00A17059">
      <w:pPr>
        <w:pStyle w:val="StandardWeb"/>
        <w:rPr>
          <w:sz w:val="12"/>
          <w:szCs w:val="12"/>
        </w:rPr>
      </w:pPr>
    </w:p>
    <w:p w:rsidR="00BE1EFE" w:rsidRDefault="00BE1EFE">
      <w:pPr>
        <w:pStyle w:val="berschrift6"/>
      </w:pPr>
      <w:bookmarkStart w:id="563" w:name="_Toc523926111"/>
      <w:r>
        <w:t>§ 2 Tätigkeit an Förderschulen</w:t>
      </w:r>
      <w:bookmarkEnd w:id="563"/>
    </w:p>
    <w:p w:rsidR="00BE1EFE" w:rsidRPr="00B76821" w:rsidRDefault="00BE1EFE" w:rsidP="00B76821">
      <w:pPr>
        <w:pStyle w:val="h7"/>
        <w:keepNext w:val="0"/>
        <w:spacing w:before="0" w:after="0"/>
        <w:jc w:val="left"/>
        <w:outlineLvl w:val="5"/>
        <w:rPr>
          <w:sz w:val="2"/>
        </w:rPr>
      </w:pPr>
    </w:p>
    <w:p w:rsidR="00BE1EFE" w:rsidRDefault="00BE1EFE">
      <w:pPr>
        <w:pStyle w:val="StandardWeb"/>
        <w:rPr>
          <w:sz w:val="12"/>
          <w:szCs w:val="12"/>
        </w:rPr>
      </w:pPr>
      <w:r>
        <w:lastRenderedPageBreak/>
        <w:t>(1) </w:t>
      </w:r>
      <w:r>
        <w:rPr>
          <w:rStyle w:val="kleinschrift"/>
        </w:rPr>
        <w:t>1</w:t>
      </w:r>
      <w:r>
        <w:t>Für eine Tätigkeit an Förderschulen wird entsprechend der regelmäßigen Wochen</w:t>
      </w:r>
      <w:r>
        <w:softHyphen/>
        <w:t>stundenzahl eine Zulage in Höhe von EUR 14,86 gewährt, die jeweils zum 1. September des laufenden Jahres</w:t>
      </w:r>
      <w:r>
        <w:rPr>
          <w:vertAlign w:val="superscript"/>
        </w:rPr>
        <w:t>1</w:t>
      </w:r>
      <w:r>
        <w:t xml:space="preserve"> an das tarifliche Entgeltniveau angepasst wird (Förderschulzulage). </w:t>
      </w:r>
      <w:r>
        <w:rPr>
          <w:rStyle w:val="kleinschrift"/>
        </w:rPr>
        <w:br/>
      </w:r>
      <w:r>
        <w:rPr>
          <w:sz w:val="12"/>
          <w:szCs w:val="12"/>
          <w:vertAlign w:val="superscript"/>
        </w:rPr>
        <w:t>1</w:t>
      </w:r>
      <w:r>
        <w:rPr>
          <w:sz w:val="12"/>
          <w:szCs w:val="12"/>
        </w:rPr>
        <w:t xml:space="preserve"> [erhöhte Beträge bei Entgelterhöhungen]</w:t>
      </w:r>
    </w:p>
    <w:p w:rsidR="00BE1EFE" w:rsidRDefault="00BE1EFE" w:rsidP="003C50EC">
      <w:pPr>
        <w:pStyle w:val="StandardWeb"/>
      </w:pPr>
    </w:p>
    <w:p w:rsidR="00BE1EFE" w:rsidRPr="003C50EC" w:rsidRDefault="00BE1EFE" w:rsidP="003C50EC">
      <w:pPr>
        <w:pStyle w:val="StandardWeb"/>
        <w:rPr>
          <w:sz w:val="12"/>
          <w:szCs w:val="12"/>
        </w:rPr>
      </w:pPr>
      <w:r w:rsidRPr="003C50EC">
        <w:rPr>
          <w:sz w:val="12"/>
          <w:szCs w:val="12"/>
        </w:rPr>
        <w:t>Protokollnotiz zu § 2 Absatz 1:</w:t>
      </w:r>
    </w:p>
    <w:p w:rsidR="00BE1EFE" w:rsidRPr="003C50EC" w:rsidRDefault="00BE1EFE" w:rsidP="003C50EC">
      <w:pPr>
        <w:pStyle w:val="StandardWeb"/>
        <w:rPr>
          <w:sz w:val="12"/>
          <w:szCs w:val="12"/>
        </w:rPr>
      </w:pPr>
      <w:r w:rsidRPr="003C50EC">
        <w:rPr>
          <w:sz w:val="12"/>
          <w:szCs w:val="12"/>
        </w:rPr>
        <w:t>1Bei Religionslehrkräften, die am 31.12.2015 eine Förderschulzulage gemäß § 2 Absatz 2 Teil A, 2.6. in der bis 31.12.2015 geltenden Fassung in Höhe von EUR 14,77 erhalten haben und die wegen einer Tätigkeit an sonstigen Schulen eine Zulage gemäß § 3 Absatz 2 erhalten und daher die Zulage nach § 1 Absatz 2 Satz 2 nicht erhalten, bleibt es bei dem Betrag von 14,77 EUR, bis die Förderschulzulage nach Absatz 1 auf Grund tariflicher Entgeltsteigerungen eine Höhe von EUR 14,77 erreicht hat. 2Ab diesem Zeitpunkt gilt auch für diese Religionslehrkräfte Absatz 1.</w:t>
      </w:r>
    </w:p>
    <w:p w:rsidR="00BE1EFE" w:rsidRDefault="00BE1EFE">
      <w:pPr>
        <w:pStyle w:val="StandardWeb"/>
      </w:pPr>
    </w:p>
    <w:p w:rsidR="00BE1EFE" w:rsidRDefault="00BE1EFE">
      <w:pPr>
        <w:pStyle w:val="StandardWeb"/>
      </w:pPr>
      <w:r>
        <w:t xml:space="preserve">(2) Religionslehrkräfte, die eine Zulage gemäß </w:t>
      </w:r>
      <w:hyperlink r:id="rId349" w:history="1">
        <w:r>
          <w:rPr>
            <w:rStyle w:val="Hyperlink"/>
          </w:rPr>
          <w:t>§ 3 Absatz</w:t>
        </w:r>
        <w:r w:rsidRPr="002D1F1D">
          <w:rPr>
            <w:rStyle w:val="Hyperlink"/>
          </w:rPr>
          <w:t xml:space="preserve"> 1 Satz 1</w:t>
        </w:r>
      </w:hyperlink>
      <w:r>
        <w:t xml:space="preserve"> erhalten oder Entgelt nach Entgeltgruppe 13 bzw. Entgeltgruppe 14 beziehen, erhalten keine Förderschulzulage.</w:t>
      </w:r>
    </w:p>
    <w:p w:rsidR="00BE1EFE" w:rsidRDefault="00BE1EFE">
      <w:pPr>
        <w:pStyle w:val="StandardWeb"/>
      </w:pPr>
    </w:p>
    <w:p w:rsidR="00BE1EFE" w:rsidRDefault="00BE1EFE">
      <w:pPr>
        <w:pStyle w:val="StandardWeb"/>
      </w:pPr>
      <w:r>
        <w:t xml:space="preserve">(3) Die Förderschulzulage ist eine Zulage im Sinne der Ziffer 1 der </w:t>
      </w:r>
      <w:hyperlink r:id="rId350" w:history="1">
        <w:r w:rsidRPr="002D1F1D">
          <w:rPr>
            <w:rStyle w:val="Hyperlink"/>
          </w:rPr>
          <w:t>Anlage D zu Teil A, 1</w:t>
        </w:r>
      </w:hyperlink>
      <w:r>
        <w:t>.</w:t>
      </w:r>
    </w:p>
    <w:p w:rsidR="00BE1EFE" w:rsidRDefault="00BE1EFE">
      <w:pPr>
        <w:pStyle w:val="StandardWeb"/>
      </w:pPr>
    </w:p>
    <w:p w:rsidR="00BE1EFE" w:rsidRDefault="00BE1EFE">
      <w:pPr>
        <w:pStyle w:val="berschrift6"/>
      </w:pPr>
      <w:bookmarkStart w:id="564" w:name="_Toc523926112"/>
      <w:r>
        <w:t>§ 3 Tätigkeit an sonstigen Schulen</w:t>
      </w:r>
      <w:bookmarkEnd w:id="56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Religionslehrkräfte, die das Studium der katholischen Theologie an einer wissenschaft</w:t>
      </w:r>
      <w:r>
        <w:softHyphen/>
        <w:t xml:space="preserve">lichen Hochschule erfolgreich abgeschlossen haben, erhalten für ihre Tätigkeit </w:t>
      </w:r>
    </w:p>
    <w:p w:rsidR="00BE1EFE" w:rsidRDefault="00BE1EFE">
      <w:pPr>
        <w:pStyle w:val="StandardWeb"/>
      </w:pPr>
      <w:r>
        <w:t>a. an beruflichen Schulen</w:t>
      </w:r>
    </w:p>
    <w:p w:rsidR="00BE1EFE" w:rsidRDefault="00BE1EFE">
      <w:pPr>
        <w:pStyle w:val="StandardWeb"/>
      </w:pPr>
      <w:r>
        <w:t>b. an Gymnasien</w:t>
      </w:r>
    </w:p>
    <w:p w:rsidR="00BE1EFE" w:rsidRDefault="00BE1EFE">
      <w:pPr>
        <w:pStyle w:val="StandardWeb"/>
      </w:pPr>
      <w:r>
        <w:t>c. an Fach- bzw. Berufsoberschulen</w:t>
      </w:r>
    </w:p>
    <w:p w:rsidR="00BE1EFE" w:rsidRDefault="00BE1EFE">
      <w:pPr>
        <w:pStyle w:val="StandardWeb"/>
      </w:pPr>
      <w:r>
        <w:t>eine Zulage in Höhe des Unterschiedsbetrages zu derjenigen Stufe der Entgeltgruppe 13, die der erreichten Stufe der Entgeltgruppe entspricht, in die die Religionslehrkraft eingruppiert ist.</w:t>
      </w:r>
    </w:p>
    <w:p w:rsidR="00BE1EFE" w:rsidRDefault="00BE1EFE">
      <w:pPr>
        <w:pStyle w:val="StandardWeb"/>
      </w:pPr>
      <w:r>
        <w:rPr>
          <w:rStyle w:val="kleinschrift"/>
        </w:rPr>
        <w:t>2</w:t>
      </w:r>
      <w:r>
        <w:t>Für ihre Tätigkeit an Realschulen erhalten diese Religionslehrkräfte eine Zulage in Höhe des Unterschiedsbetrages zu derjenigen Stufe der Entgeltgruppe 12, die der erreichten Stufe der Entgeltgruppe entspricht, in die die Religionslehrkraft eingruppiert ist.</w:t>
      </w:r>
    </w:p>
    <w:p w:rsidR="00BE1EFE" w:rsidRDefault="00BE1EFE">
      <w:pPr>
        <w:pStyle w:val="StandardWeb"/>
      </w:pPr>
    </w:p>
    <w:p w:rsidR="00BE1EFE" w:rsidRDefault="00BE1EFE">
      <w:pPr>
        <w:pStyle w:val="StandardWeb"/>
      </w:pPr>
      <w:r>
        <w:t>(2) Religionslehrkräfte, die das Studium der Religionspädagogik an einer Hochschule erfolg</w:t>
      </w:r>
      <w:r>
        <w:softHyphen/>
        <w:t>reich abgeschlossen haben, erhalten für ihre Tätigkeit</w:t>
      </w:r>
    </w:p>
    <w:p w:rsidR="00BE1EFE" w:rsidRDefault="00BE1EFE">
      <w:pPr>
        <w:pStyle w:val="StandardWeb"/>
      </w:pPr>
      <w:r>
        <w:t xml:space="preserve">a. an beruflichen Schulen </w:t>
      </w:r>
    </w:p>
    <w:p w:rsidR="00BE1EFE" w:rsidRDefault="00BE1EFE">
      <w:pPr>
        <w:pStyle w:val="StandardWeb"/>
      </w:pPr>
      <w:r>
        <w:t>b. an Realschulen</w:t>
      </w:r>
    </w:p>
    <w:p w:rsidR="00BE1EFE" w:rsidRDefault="00BE1EFE">
      <w:pPr>
        <w:pStyle w:val="StandardWeb"/>
      </w:pPr>
      <w:r>
        <w:t xml:space="preserve">c. an Gymnasien (bis höchstens 10. Jahrgangsstufe) </w:t>
      </w:r>
    </w:p>
    <w:p w:rsidR="00BE1EFE" w:rsidRDefault="00BE1EFE">
      <w:pPr>
        <w:pStyle w:val="StandardWeb"/>
      </w:pPr>
      <w:r>
        <w:t>eine Zulage in Höhe des Unterschiedsbetrages zu derjenigen Stufe der Entgeltgruppe 11, die der erreichten Stufe der Entgeltgruppe entspricht, in die die Religionslehrkraft eingruppiert ist.</w:t>
      </w:r>
    </w:p>
    <w:p w:rsidR="00BE1EFE" w:rsidRDefault="00BE1EFE">
      <w:pPr>
        <w:pStyle w:val="StandardWeb"/>
      </w:pPr>
    </w:p>
    <w:p w:rsidR="00BE1EFE" w:rsidRPr="003C50EC" w:rsidRDefault="00BE1EFE" w:rsidP="003C50EC">
      <w:pPr>
        <w:pStyle w:val="StandardWeb"/>
        <w:rPr>
          <w:sz w:val="12"/>
          <w:szCs w:val="12"/>
        </w:rPr>
      </w:pPr>
      <w:r w:rsidRPr="003C50EC">
        <w:rPr>
          <w:sz w:val="12"/>
          <w:szCs w:val="12"/>
        </w:rPr>
        <w:t>Protokollnotiz zu § 3:</w:t>
      </w:r>
    </w:p>
    <w:p w:rsidR="00BE1EFE" w:rsidRPr="003C50EC" w:rsidRDefault="00BE1EFE" w:rsidP="003C50EC">
      <w:pPr>
        <w:pStyle w:val="StandardWeb"/>
        <w:rPr>
          <w:sz w:val="12"/>
          <w:szCs w:val="12"/>
        </w:rPr>
      </w:pPr>
      <w:r w:rsidRPr="003C50EC">
        <w:rPr>
          <w:sz w:val="12"/>
          <w:szCs w:val="12"/>
        </w:rPr>
        <w:t xml:space="preserve">Die Zulage gemäß </w:t>
      </w:r>
      <w:hyperlink r:id="rId351" w:history="1">
        <w:r w:rsidRPr="003C50EC">
          <w:rPr>
            <w:rStyle w:val="Hyperlink"/>
            <w:sz w:val="12"/>
            <w:szCs w:val="12"/>
          </w:rPr>
          <w:t>§ 1 Absatz 2 Satz 2</w:t>
        </w:r>
      </w:hyperlink>
      <w:r w:rsidRPr="003C50EC">
        <w:rPr>
          <w:sz w:val="12"/>
          <w:szCs w:val="12"/>
        </w:rPr>
        <w:t xml:space="preserve"> wird auf die Zulagen nach § 3 angerechnet.</w:t>
      </w:r>
    </w:p>
    <w:p w:rsidR="00BE1EFE" w:rsidRDefault="00BE1EFE">
      <w:pPr>
        <w:pStyle w:val="berschrift6"/>
      </w:pPr>
      <w:bookmarkStart w:id="565" w:name="_Toc523926113"/>
      <w:r>
        <w:t>§ 4 Tätigkeit an Waldorfschulen</w:t>
      </w:r>
      <w:bookmarkEnd w:id="565"/>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3C50EC">
        <w:rPr>
          <w:sz w:val="12"/>
          <w:szCs w:val="12"/>
        </w:rPr>
        <w:t>1</w:t>
      </w:r>
      <w:r>
        <w:t>Religionslehrkräfte erhalten für ihre Tätigkeit an Waldorfschulen in den Klassen 1 – 4 Ent</w:t>
      </w:r>
      <w:r>
        <w:softHyphen/>
        <w:t xml:space="preserve">gelt nach Entgeltgruppe 10. </w:t>
      </w:r>
      <w:r w:rsidRPr="003C50EC">
        <w:rPr>
          <w:sz w:val="12"/>
          <w:szCs w:val="12"/>
        </w:rPr>
        <w:t>2</w:t>
      </w:r>
      <w:hyperlink r:id="rId352" w:history="1">
        <w:r w:rsidRPr="003C50EC">
          <w:rPr>
            <w:rStyle w:val="Hyperlink"/>
          </w:rPr>
          <w:t>§ 1 Absatz 2 Satz 2</w:t>
        </w:r>
      </w:hyperlink>
      <w:r w:rsidRPr="003C50EC">
        <w:t xml:space="preserve"> findet entsprechende Anwendung.“</w:t>
      </w:r>
    </w:p>
    <w:p w:rsidR="00BE1EFE" w:rsidRDefault="00BE1EFE">
      <w:pPr>
        <w:pStyle w:val="StandardWeb"/>
      </w:pPr>
    </w:p>
    <w:p w:rsidR="00BE1EFE" w:rsidRDefault="00BE1EFE">
      <w:pPr>
        <w:pStyle w:val="StandardWeb"/>
      </w:pPr>
      <w:r>
        <w:t>(2) Religionslehrkräfte, die das Studium der Religionspädagogik an einer Hochschule erfolgreich abgeschlossen haben, erhalten für ihre Tätigkeit an Waldorfschulen in den Klassen 5 – 10 eine Zulage in Höhe des Unterschiedsbetrages zu derjenigen Stufe der Entgeltgruppe 11, die der erreichten Stufe der Entgeltgruppe entspricht, in die die Religionslehrkraft eingruppiert ist.</w:t>
      </w:r>
    </w:p>
    <w:p w:rsidR="00BE1EFE" w:rsidRDefault="00BE1EFE">
      <w:pPr>
        <w:pStyle w:val="StandardWeb"/>
      </w:pPr>
    </w:p>
    <w:p w:rsidR="00BE1EFE" w:rsidRDefault="00BE1EFE">
      <w:pPr>
        <w:pStyle w:val="StandardWeb"/>
      </w:pPr>
      <w:r>
        <w:lastRenderedPageBreak/>
        <w:t>(3) Religionslehrkräfte, die das Studium der katholischen Theologie an einer wissenschaft</w:t>
      </w:r>
      <w:r>
        <w:softHyphen/>
        <w:t>lichen Hochschule erfolgreich abgeschlossen haben, erhalten für ihre Tätigkeit an Waldorf</w:t>
      </w:r>
      <w:r>
        <w:softHyphen/>
        <w:t>schulen</w:t>
      </w:r>
    </w:p>
    <w:p w:rsidR="00BE1EFE" w:rsidRDefault="00BE1EFE">
      <w:pPr>
        <w:pStyle w:val="StandardWeb"/>
      </w:pPr>
      <w:r>
        <w:t>a. in den Klassen 5 – 10 eine Zulage in Höhe des Unterschiedsbetrages zu derjenigen Stufe der Entgeltgruppe 12,</w:t>
      </w:r>
    </w:p>
    <w:p w:rsidR="00BE1EFE" w:rsidRDefault="00BE1EFE">
      <w:pPr>
        <w:pStyle w:val="StandardWeb"/>
      </w:pPr>
      <w:r>
        <w:t>b. in den Klassen 11 – 13 eine Zulage in Höhe des Unterschiedsbetrages zu derjenigen Stufe der Entgeltgruppe 13,</w:t>
      </w:r>
    </w:p>
    <w:p w:rsidR="00BE1EFE" w:rsidRPr="000B1AF8" w:rsidRDefault="00BE1EFE">
      <w:pPr>
        <w:pStyle w:val="StandardWeb"/>
      </w:pPr>
      <w:r>
        <w:t>die der erreichten Stufe der Entgeltgruppe entspricht, in die die Religionslehrkraft eingruppiert ist.</w:t>
      </w:r>
      <w:r>
        <w:br/>
      </w:r>
    </w:p>
    <w:p w:rsidR="00BE1EFE" w:rsidRPr="00D15033" w:rsidRDefault="00BE1EFE" w:rsidP="003C50EC">
      <w:pPr>
        <w:pStyle w:val="StandardWeb"/>
        <w:rPr>
          <w:sz w:val="12"/>
          <w:szCs w:val="12"/>
        </w:rPr>
      </w:pPr>
      <w:r w:rsidRPr="00D15033">
        <w:rPr>
          <w:sz w:val="12"/>
          <w:szCs w:val="12"/>
        </w:rPr>
        <w:t>Protokollnotiz zu § 4 Absatz 2 und 3:</w:t>
      </w:r>
    </w:p>
    <w:p w:rsidR="00BE1EFE" w:rsidRPr="00D15033" w:rsidRDefault="00BE1EFE" w:rsidP="003C50EC">
      <w:pPr>
        <w:pStyle w:val="StandardWeb"/>
        <w:rPr>
          <w:sz w:val="12"/>
          <w:szCs w:val="12"/>
        </w:rPr>
      </w:pPr>
      <w:r w:rsidRPr="00D15033">
        <w:rPr>
          <w:sz w:val="12"/>
          <w:szCs w:val="12"/>
        </w:rPr>
        <w:t xml:space="preserve">Die Zulage gemäß </w:t>
      </w:r>
      <w:hyperlink r:id="rId353" w:history="1">
        <w:r w:rsidRPr="00D15033">
          <w:rPr>
            <w:rStyle w:val="Hyperlink"/>
            <w:sz w:val="12"/>
            <w:szCs w:val="12"/>
          </w:rPr>
          <w:t>§ 1 Absatz 2 Satz 2</w:t>
        </w:r>
      </w:hyperlink>
      <w:r w:rsidRPr="00D15033">
        <w:rPr>
          <w:sz w:val="12"/>
          <w:szCs w:val="12"/>
        </w:rPr>
        <w:t xml:space="preserve"> wird auf die Zulagen nach Absatz 2 und 3 angerechnet.</w:t>
      </w:r>
    </w:p>
    <w:p w:rsidR="00BE1EFE" w:rsidRDefault="00BE1EFE">
      <w:pPr>
        <w:pStyle w:val="berschrift6"/>
      </w:pPr>
      <w:bookmarkStart w:id="566" w:name="_Toc523926114"/>
      <w:r>
        <w:t>§ 5 Mischeinsatz</w:t>
      </w:r>
      <w:bookmarkEnd w:id="5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Werden Religionslehrkräfte jeweils für die Dauer eines Schuljahrs teilweise an beruflichen Schulen, Realschulen, Gymnasien, Fach- bzw. Berufsoberschulen oder Waldorfschulen eingesetzt, wird die für die jeweilige Schulart vorgesehene Zulage gemäß </w:t>
      </w:r>
      <w:hyperlink r:id="rId354" w:history="1">
        <w:r w:rsidRPr="002D1F1D">
          <w:rPr>
            <w:rStyle w:val="Hyperlink"/>
          </w:rPr>
          <w:t>§§ 2</w:t>
        </w:r>
      </w:hyperlink>
      <w:r>
        <w:t xml:space="preserve"> mit </w:t>
      </w:r>
      <w:hyperlink r:id="rId355" w:history="1">
        <w:r w:rsidRPr="002D1F1D">
          <w:rPr>
            <w:rStyle w:val="Hyperlink"/>
          </w:rPr>
          <w:t>4</w:t>
        </w:r>
      </w:hyperlink>
      <w:r>
        <w:t xml:space="preserve"> anteilig pro Wochenstunde und gemäß der jeweils zugrunde zu legenden Unterrichtspflichtzeit gewährt; </w:t>
      </w:r>
      <w:hyperlink r:id="rId356" w:history="1">
        <w:r>
          <w:rPr>
            <w:rStyle w:val="Hyperlink"/>
          </w:rPr>
          <w:t>§ 2 Absatz</w:t>
        </w:r>
        <w:r w:rsidRPr="002D1F1D">
          <w:rPr>
            <w:rStyle w:val="Hyperlink"/>
          </w:rPr>
          <w:t xml:space="preserve"> 3</w:t>
        </w:r>
      </w:hyperlink>
      <w:r>
        <w:t xml:space="preserve"> bleibt unberührt.</w:t>
      </w:r>
    </w:p>
    <w:p w:rsidR="00BE1EFE" w:rsidRPr="000B1AF8" w:rsidRDefault="00BE1EFE">
      <w:pPr>
        <w:pStyle w:val="StandardWeb"/>
      </w:pPr>
    </w:p>
    <w:p w:rsidR="00BE1EFE" w:rsidRDefault="00BE1EFE">
      <w:pPr>
        <w:pStyle w:val="berschrift6"/>
      </w:pPr>
      <w:bookmarkStart w:id="567" w:name="_Toc523926115"/>
      <w:r>
        <w:t>§ 6 Aushilfsweise beschäftigte Religionslehrkräfte</w:t>
      </w:r>
      <w:bookmarkEnd w:id="567"/>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Aushilfsweise beschäftigte Religionslehrkräfte gemäß </w:t>
      </w:r>
      <w:hyperlink r:id="rId357" w:tgtFrame="_blank" w:history="1">
        <w:r>
          <w:rPr>
            <w:rStyle w:val="Hyperlink"/>
          </w:rPr>
          <w:t>§ 8 Absatz 1 Nummer 2 SGB IV</w:t>
        </w:r>
      </w:hyperlink>
      <w:r>
        <w:t xml:space="preserve"> erhalten für die Dauer einer kurzfristigen Beschäftigung eine Einzelstundenvergütung in Höhe von 50 v. H. der Summe der Tabellenentgelte der Stufen 2 und 3 der Entgeltgruppe 10. </w:t>
      </w:r>
      <w:r>
        <w:rPr>
          <w:rStyle w:val="kleinschrift"/>
        </w:rPr>
        <w:t>2</w:t>
      </w:r>
      <w:r>
        <w:t xml:space="preserve">Werden Religionslehrkräfte gemäß Satz 1 an beruflichen Schulen, Realschulen, Gymnasien, Fachoberschulen oder Waldorfschulen eingesetzt, wird die für die jeweilige Schulart vorgesehene Zulage gemäß </w:t>
      </w:r>
      <w:hyperlink r:id="rId358" w:history="1">
        <w:r w:rsidRPr="002D1F1D">
          <w:rPr>
            <w:rStyle w:val="Hyperlink"/>
          </w:rPr>
          <w:t>§§ 2 mit 4</w:t>
        </w:r>
      </w:hyperlink>
      <w:r>
        <w:t xml:space="preserve"> anteilig pro gehaltener Unterrichtsstunde gewährt; </w:t>
      </w:r>
      <w:hyperlink r:id="rId359" w:history="1">
        <w:r>
          <w:rPr>
            <w:rStyle w:val="Hyperlink"/>
          </w:rPr>
          <w:t>§ 2 Absatz</w:t>
        </w:r>
        <w:r w:rsidRPr="002D1F1D">
          <w:rPr>
            <w:rStyle w:val="Hyperlink"/>
          </w:rPr>
          <w:t xml:space="preserve"> 3</w:t>
        </w:r>
      </w:hyperlink>
      <w:r>
        <w:t xml:space="preserve"> bleibt unberührt.</w:t>
      </w:r>
    </w:p>
    <w:p w:rsidR="00BE1EFE" w:rsidRDefault="00BE1EFE">
      <w:pPr>
        <w:pStyle w:val="berschrift6"/>
      </w:pPr>
      <w:bookmarkStart w:id="568" w:name="_Toc523926116"/>
      <w:r>
        <w:t>§ 7 Mehrarbeit/zusätzliche Arbeit</w:t>
      </w:r>
      <w:bookmarkEnd w:id="568"/>
    </w:p>
    <w:p w:rsidR="00BE1EFE" w:rsidRPr="00B76821" w:rsidRDefault="00BE1EFE" w:rsidP="00B76821">
      <w:pPr>
        <w:pStyle w:val="h7"/>
        <w:keepNext w:val="0"/>
        <w:spacing w:before="0" w:after="0"/>
        <w:jc w:val="left"/>
        <w:outlineLvl w:val="5"/>
        <w:rPr>
          <w:sz w:val="2"/>
        </w:rPr>
      </w:pPr>
    </w:p>
    <w:p w:rsidR="00BE1EFE" w:rsidRDefault="00BE1EFE">
      <w:pPr>
        <w:pStyle w:val="StandardWeb"/>
      </w:pPr>
      <w:r>
        <w:t>(1) Teilzeitbeschäftigte Religionslehrkräfte erhalten bei Mehrarbeit, d. h. bei ganzjährig im Stundenplan ausgewiesenen regelmäßigen Wochenstunden, die über den vertraglich vereinbarten Umfang hinausgehen, für diese Stunden das anteilige Entgelt bis zum Erreichen der Vollbeschäftigung.</w:t>
      </w:r>
    </w:p>
    <w:p w:rsidR="00BE1EFE" w:rsidRDefault="00BE1EFE">
      <w:pPr>
        <w:pStyle w:val="StandardWeb"/>
      </w:pPr>
    </w:p>
    <w:p w:rsidR="00BE1EFE" w:rsidRDefault="00BE1EFE">
      <w:pPr>
        <w:pStyle w:val="StandardWeb"/>
      </w:pPr>
      <w:r>
        <w:t>(2) </w:t>
      </w:r>
      <w:r>
        <w:rPr>
          <w:rStyle w:val="kleinschrift"/>
        </w:rPr>
        <w:t>1</w:t>
      </w:r>
      <w:r>
        <w:t xml:space="preserve">Vollbeschäftigte Religionslehrkräfte erhalten bei vom Arbeitgeber angewiesener oder genehmigter Mehrarbeit, d. h. bei ganzjährig im Stundenplan ausgewiesenen regelmäßigen Wochenstunden, die über die Vollbeschäftigung hinausgehen, für diese Stunden das anteilige Entgelt auf der Basis des regelmäßigen Stundenmaßes für Vollbeschäftigte. </w:t>
      </w:r>
      <w:r>
        <w:rPr>
          <w:rStyle w:val="kleinschrift"/>
        </w:rPr>
        <w:t>2</w:t>
      </w:r>
      <w:hyperlink r:id="rId360" w:history="1">
        <w:r>
          <w:rPr>
            <w:rStyle w:val="Hyperlink"/>
          </w:rPr>
          <w:t>§ 8 ABD Teil A, </w:t>
        </w:r>
        <w:r w:rsidRPr="002D1F1D">
          <w:rPr>
            <w:rStyle w:val="Hyperlink"/>
          </w:rPr>
          <w:t>1.</w:t>
        </w:r>
      </w:hyperlink>
      <w:r>
        <w:t xml:space="preserve"> findet keine Anwendung.</w:t>
      </w:r>
    </w:p>
    <w:p w:rsidR="00BE1EFE" w:rsidRDefault="00BE1EFE">
      <w:pPr>
        <w:pStyle w:val="StandardWeb"/>
      </w:pPr>
    </w:p>
    <w:p w:rsidR="00BE1EFE" w:rsidRDefault="00BE1EFE">
      <w:pPr>
        <w:pStyle w:val="StandardWeb"/>
      </w:pPr>
      <w:r>
        <w:t>(3) </w:t>
      </w:r>
      <w:hyperlink r:id="rId361" w:history="1">
        <w:r>
          <w:rPr>
            <w:rStyle w:val="Hyperlink"/>
          </w:rPr>
          <w:t>§ 6 Absatz</w:t>
        </w:r>
        <w:r w:rsidRPr="002D1F1D">
          <w:rPr>
            <w:rStyle w:val="Hyperlink"/>
          </w:rPr>
          <w:t xml:space="preserve"> 4 ABD Teil D, 4.</w:t>
        </w:r>
      </w:hyperlink>
      <w:r>
        <w:t xml:space="preserve"> bleibt unberührt.</w:t>
      </w:r>
    </w:p>
    <w:p w:rsidR="00BE1EFE" w:rsidRDefault="00BE1EFE">
      <w:pPr>
        <w:pStyle w:val="StandardWeb"/>
      </w:pPr>
    </w:p>
    <w:p w:rsidR="00BE1EFE" w:rsidRPr="000B1AF8" w:rsidRDefault="00BE1EFE">
      <w:pPr>
        <w:pStyle w:val="StandardWeb"/>
      </w:pPr>
    </w:p>
    <w:p w:rsidR="00BE1EFE" w:rsidRDefault="00BE1EFE">
      <w:pPr>
        <w:pStyle w:val="berschrift6"/>
      </w:pPr>
      <w:bookmarkStart w:id="569" w:name="_Toc523926117"/>
      <w:r>
        <w:lastRenderedPageBreak/>
        <w:t>§ 8 Zusätzliche Aufgaben</w:t>
      </w:r>
      <w:bookmarkEnd w:id="56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Vergütung oder Anrechnung von Stunden für besondere Funktionen und Tätigkeiten, zum Beispiel als Mentor, Ausbildungs-, Hospitations- oder Beratungslehrer richtet sich nach den jeweiligen, von der Bayerischen Regional-KODA gebilligten diözesanen Regelungen.</w:t>
      </w:r>
    </w:p>
    <w:p w:rsidR="00BE1EFE" w:rsidRPr="000B1AF8" w:rsidRDefault="00BE1EFE">
      <w:pPr>
        <w:pStyle w:val="StandardWeb"/>
      </w:pPr>
    </w:p>
    <w:p w:rsidR="00BE1EFE" w:rsidRDefault="00BE1EFE">
      <w:pPr>
        <w:pStyle w:val="StandardWeb"/>
        <w:rPr>
          <w:sz w:val="12"/>
          <w:szCs w:val="12"/>
        </w:rPr>
      </w:pPr>
      <w:r>
        <w:rPr>
          <w:sz w:val="12"/>
          <w:szCs w:val="12"/>
        </w:rPr>
        <w:t>Protokollnotiz zu § 8:</w:t>
      </w:r>
    </w:p>
    <w:p w:rsidR="00BE1EFE" w:rsidRDefault="00BE1EFE">
      <w:pPr>
        <w:pStyle w:val="StandardWeb"/>
      </w:pPr>
      <w:r>
        <w:rPr>
          <w:sz w:val="12"/>
          <w:szCs w:val="12"/>
        </w:rPr>
        <w:t>Die Erzdiözese München und Freising gewährt an kirchliche Schulbeauftrage bis zur Schaffung einer entsprechenden Regelung im ABD, längstens bis 31.08.2018, eine Zulage in Höhe der Förderschulzulage jeweils entsprechend dem Tätigkeitsumfang als kirchliche Schulbeauftragte.</w:t>
      </w:r>
    </w:p>
    <w:p w:rsidR="00BE1EFE" w:rsidRDefault="00BE1EFE">
      <w:pPr>
        <w:pStyle w:val="berschrift6"/>
      </w:pPr>
      <w:bookmarkStart w:id="570" w:name="_Toc523926118"/>
      <w:r>
        <w:t xml:space="preserve">§ </w:t>
      </w:r>
      <w:r>
        <w:rPr>
          <w:lang w:eastAsia="x-none"/>
        </w:rPr>
        <w:t>9</w:t>
      </w:r>
      <w:r>
        <w:t xml:space="preserve"> Inkrafttreten</w:t>
      </w:r>
      <w:bookmarkEnd w:id="570"/>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Regelung tritt zum 1. September 2009 in Kraft. </w:t>
      </w:r>
      <w:r>
        <w:rPr>
          <w:rStyle w:val="kleinschrift"/>
        </w:rPr>
        <w:t>2</w:t>
      </w:r>
      <w:r>
        <w:t>Gleichzeitig treten die Vergütungsordnung für Religionslehrer i.K. an Volks- und Förderschulen (</w:t>
      </w:r>
      <w:hyperlink r:id="rId362" w:history="1">
        <w:r w:rsidRPr="002D1F1D">
          <w:rPr>
            <w:rStyle w:val="Hyperlink"/>
          </w:rPr>
          <w:t>ABD Teil A, 2.6.</w:t>
        </w:r>
      </w:hyperlink>
      <w:r>
        <w:t>) und die Vergütungsordnung für Religionslehrer gemäß Sonderregelung (</w:t>
      </w:r>
      <w:hyperlink r:id="rId363" w:history="1">
        <w:r w:rsidRPr="002D1F1D">
          <w:rPr>
            <w:rStyle w:val="Hyperlink"/>
          </w:rPr>
          <w:t>ABD Teil A, 2.7.</w:t>
        </w:r>
      </w:hyperlink>
      <w:r>
        <w:t>) außer Kraft.</w:t>
      </w:r>
    </w:p>
    <w:p w:rsidR="00BE1EFE" w:rsidRPr="00D95A87" w:rsidRDefault="00BE1EFE" w:rsidP="00D95A87">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5D2731">
      <w:pPr>
        <w:pStyle w:val="berschrift5"/>
        <w:jc w:val="both"/>
      </w:pPr>
      <w:bookmarkStart w:id="571" w:name="_Toc523926119"/>
      <w:r>
        <w:t>A, 2.7. Vergütungsordnung für Religionslehrer gemäß Sonderregelung</w:t>
      </w:r>
      <w:bookmarkEnd w:id="571"/>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(Die Vergütungsordnung für Religionslehrer gemäß Sonderregelung (ABD Teil A, 2.7.) vom 01.09.1998 zuletzt geändert zum 01.09.2008 ist zum 01.09.2009 außer Kraft getreten durch Beschluss der Bayerischen Regional-KODA vom 16. Juli 2009, mit Wirkung vom 1. September 2009, und wird ersetzt durch die „</w:t>
      </w:r>
      <w:hyperlink r:id="rId364" w:history="1">
        <w:r w:rsidRPr="001C3994">
          <w:rPr>
            <w:rStyle w:val="Hyperlink"/>
            <w:i/>
          </w:rPr>
          <w:t>Vorläufige Entgeltordnung für Religionslehrerinnen und Religionslehrer im Kirchendienst</w:t>
        </w:r>
      </w:hyperlink>
      <w:r>
        <w:rPr>
          <w:rStyle w:val="Hervorhebung"/>
          <w:iCs/>
        </w:rPr>
        <w:t>“ veröffentlicht in der Anlage zu den Amtsblättern der bayerischen (Erz-)Diözesen „Änderungen und Ergänzungen zum Arbeitsvertragsrecht der bayerischen (Erz-)Diözesen – ABD – Nr. 89“.</w:t>
      </w:r>
    </w:p>
    <w:p w:rsidR="00BE1EFE" w:rsidRDefault="00BE1EFE">
      <w:pPr>
        <w:pStyle w:val="StandardWeb"/>
      </w:pPr>
    </w:p>
    <w:p w:rsidR="00BE1EFE" w:rsidRPr="000B1AF8" w:rsidRDefault="00BE1EFE" w:rsidP="00E87479">
      <w:pPr>
        <w:pStyle w:val="StandardWeb"/>
        <w:jc w:val="left"/>
      </w:pPr>
      <w:r>
        <w:br w:type="page"/>
      </w:r>
    </w:p>
    <w:p w:rsidR="00BE1EFE" w:rsidRDefault="00BE1EFE" w:rsidP="00E87479">
      <w:pPr>
        <w:pStyle w:val="berschrift5"/>
        <w:spacing w:before="0"/>
        <w:jc w:val="both"/>
      </w:pPr>
      <w:bookmarkStart w:id="572" w:name="_Toc523926120"/>
      <w:r>
        <w:lastRenderedPageBreak/>
        <w:t>A, 2.8. Entgeltordnung für Mesnerinnen und Mesner</w:t>
      </w:r>
      <w:bookmarkEnd w:id="572"/>
    </w:p>
    <w:p w:rsidR="00BE1EFE" w:rsidRDefault="00BE1EFE">
      <w:pPr>
        <w:pStyle w:val="berschrift6"/>
      </w:pPr>
      <w:bookmarkStart w:id="573" w:name="_Toc523926121"/>
      <w:r>
        <w:t>§ 1 Eingruppierung</w:t>
      </w:r>
      <w:bookmarkEnd w:id="573"/>
    </w:p>
    <w:p w:rsidR="00BE1EFE" w:rsidRPr="00B76821" w:rsidRDefault="00BE1EFE" w:rsidP="00B76821">
      <w:pPr>
        <w:pStyle w:val="h7"/>
        <w:keepNext w:val="0"/>
        <w:spacing w:before="0" w:after="0"/>
        <w:jc w:val="left"/>
        <w:outlineLvl w:val="5"/>
        <w:rPr>
          <w:sz w:val="2"/>
        </w:rPr>
      </w:pPr>
    </w:p>
    <w:p w:rsidR="00BE1EFE" w:rsidRDefault="00BE1EFE">
      <w:pPr>
        <w:jc w:val="both"/>
      </w:pPr>
      <w:r>
        <w:t>(1) Mesnerinnen/Mesner – nachfolgend Beschäftigte genannt – sind in Entgeltgruppe 4 eingruppiert.</w:t>
      </w:r>
    </w:p>
    <w:p w:rsidR="00BE1EFE" w:rsidRDefault="00BE1EFE">
      <w:pPr>
        <w:jc w:val="both"/>
      </w:pPr>
    </w:p>
    <w:p w:rsidR="00BE1EFE" w:rsidRDefault="00BE1EFE">
      <w:pPr>
        <w:jc w:val="both"/>
      </w:pPr>
      <w:r>
        <w:t>(2) Beschäftigte an Stellen, die eine abgeschlossene mindestens dreijährige Berufsausbildung erfordern, sowie sonstige Beschäftigte, die aufgrund gleichwertiger Fähigkeiten und ihrer Erfahrungen entsprechende Tätigkeiten ausüben, sind in Entgeltgruppe 5 eingruppiert.</w:t>
      </w:r>
    </w:p>
    <w:p w:rsidR="00BE1EFE" w:rsidRDefault="00BE1EFE">
      <w:pPr>
        <w:jc w:val="both"/>
      </w:pPr>
    </w:p>
    <w:p w:rsidR="00BE1EFE" w:rsidRDefault="00BE1EFE">
      <w:pPr>
        <w:jc w:val="both"/>
      </w:pPr>
      <w:r>
        <w:t>(3) Beschäftigte, deren Tätigkeit sich dadurch aus der Entgeltgruppe 5 heraushebt, dass sie an Kathedralkirchen, Basiliken und bedeutenden Wallfahrtskirchen mit besonderen Aufgaben betraut sind, sind in Entgeltgruppe 6 eingruppiert.</w:t>
      </w:r>
    </w:p>
    <w:p w:rsidR="00BE1EFE" w:rsidRDefault="00BE1EFE">
      <w:pPr>
        <w:pStyle w:val="berschrift6"/>
      </w:pPr>
      <w:bookmarkStart w:id="574" w:name="_Toc523926122"/>
      <w:r>
        <w:t>§ 2 Ausgleich für Sonderformen der Arbeit</w:t>
      </w:r>
      <w:bookmarkEnd w:id="574"/>
    </w:p>
    <w:p w:rsidR="00BE1EFE" w:rsidRPr="00B76821" w:rsidRDefault="00BE1EFE" w:rsidP="00B76821">
      <w:pPr>
        <w:pStyle w:val="h7"/>
        <w:keepNext w:val="0"/>
        <w:spacing w:before="0" w:after="0"/>
        <w:jc w:val="left"/>
        <w:outlineLvl w:val="5"/>
        <w:rPr>
          <w:sz w:val="2"/>
        </w:rPr>
      </w:pPr>
    </w:p>
    <w:p w:rsidR="00BE1EFE" w:rsidRDefault="00BE1EFE">
      <w:pPr>
        <w:jc w:val="both"/>
      </w:pPr>
      <w:r>
        <w:t>(1) </w:t>
      </w:r>
      <w:hyperlink r:id="rId365" w:history="1">
        <w:r w:rsidRPr="002D1F1D">
          <w:rPr>
            <w:rStyle w:val="Hyperlink"/>
          </w:rPr>
          <w:t>§ 8 Absatz 1 Satz 3 Buchstabe b) bis f) Teil A, 1.</w:t>
        </w:r>
      </w:hyperlink>
      <w:r>
        <w:t xml:space="preserve"> findet keine Anwendung.</w:t>
      </w:r>
    </w:p>
    <w:p w:rsidR="00BE1EFE" w:rsidRDefault="00BE1EFE">
      <w:pPr>
        <w:jc w:val="both"/>
      </w:pPr>
    </w:p>
    <w:p w:rsidR="00BE1EFE" w:rsidRDefault="00BE1EFE">
      <w:pPr>
        <w:jc w:val="both"/>
      </w:pPr>
      <w:r>
        <w:t>(2) </w:t>
      </w:r>
      <w:r>
        <w:rPr>
          <w:rStyle w:val="kleinschrift"/>
        </w:rPr>
        <w:t>1</w:t>
      </w:r>
      <w:r>
        <w:t xml:space="preserve">Beschäftigte erhalten eine Zulage in Höhe von 4,5 % des Tabellenentgelts aus Stufe 3 ihrer jeweiligen Entgeltgruppe. </w:t>
      </w:r>
      <w:r>
        <w:rPr>
          <w:rStyle w:val="kleinschrift"/>
        </w:rPr>
        <w:t>2</w:t>
      </w:r>
      <w:r>
        <w:t>Für Teilzeitbeschäftigte wird die Zulage anteilig gewährt.</w:t>
      </w:r>
    </w:p>
    <w:p w:rsidR="00BE1EFE" w:rsidRPr="00A27760" w:rsidRDefault="00BE1EFE" w:rsidP="00A27760">
      <w:pPr>
        <w:pStyle w:val="berschrift6"/>
        <w:rPr>
          <w:lang w:eastAsia="x-none"/>
        </w:rPr>
      </w:pPr>
      <w:bookmarkStart w:id="575" w:name="_Toc523926123"/>
      <w:r>
        <w:t>§ 3 Übergangsregelungen</w:t>
      </w:r>
      <w:bookmarkEnd w:id="575"/>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Beschäftigte, die nach den bis 30.09.2013 geltenden Eingruppierungsvorschriften bereits der Entgeltgruppe 6 zugeordnet sind, sind mit Inkrafttreten dieser Entgeltordnung im Wege der Besitzstandswahrung in Entgeltgruppe 6 eingruppiert. </w:t>
      </w:r>
      <w:r>
        <w:rPr>
          <w:rStyle w:val="kleinschrift"/>
        </w:rPr>
        <w:t>2</w:t>
      </w:r>
      <w:r>
        <w:t xml:space="preserve">Auf diese Beschäftigten findet </w:t>
      </w:r>
      <w:hyperlink r:id="rId366" w:history="1">
        <w:r w:rsidRPr="002D1F1D">
          <w:rPr>
            <w:rStyle w:val="Hyperlink"/>
          </w:rPr>
          <w:t>§ 2 Absatz 2</w:t>
        </w:r>
      </w:hyperlink>
      <w:r>
        <w:t xml:space="preserve"> keine Anwendung, sofern sie die Voraussetzungen des </w:t>
      </w:r>
      <w:hyperlink r:id="rId367" w:history="1">
        <w:r w:rsidRPr="002D1F1D">
          <w:rPr>
            <w:rStyle w:val="Hyperlink"/>
          </w:rPr>
          <w:t>§ 1 Absatz 3</w:t>
        </w:r>
      </w:hyperlink>
      <w:r>
        <w:t xml:space="preserve"> nicht erfüllen.</w:t>
      </w:r>
    </w:p>
    <w:p w:rsidR="00BE1EFE" w:rsidRDefault="00BE1EFE">
      <w:pPr>
        <w:jc w:val="both"/>
      </w:pPr>
    </w:p>
    <w:p w:rsidR="00BE1EFE" w:rsidRDefault="00BE1EFE">
      <w:pPr>
        <w:jc w:val="both"/>
      </w:pPr>
      <w:r>
        <w:t xml:space="preserve">(2) Mit Inkrafttreten dieser Entgeltordnung finden die Vorschriften der </w:t>
      </w:r>
      <w:hyperlink r:id="rId368" w:history="1">
        <w:r w:rsidRPr="002D1F1D">
          <w:rPr>
            <w:rStyle w:val="Hyperlink"/>
          </w:rPr>
          <w:t>§§ 8</w:t>
        </w:r>
      </w:hyperlink>
      <w:r>
        <w:t xml:space="preserve"> und </w:t>
      </w:r>
      <w:hyperlink r:id="rId369" w:history="1">
        <w:r w:rsidRPr="002D1F1D">
          <w:rPr>
            <w:rStyle w:val="Hyperlink"/>
          </w:rPr>
          <w:t>8a Teil A, 3.</w:t>
        </w:r>
      </w:hyperlink>
      <w:r>
        <w:t xml:space="preserve"> auf Mesnerinnen und Mesner keine Anwendung mehr.</w:t>
      </w:r>
    </w:p>
    <w:p w:rsidR="00BE1EFE" w:rsidRDefault="00BE1EFE" w:rsidP="000B37DB">
      <w:pPr>
        <w:pStyle w:val="StandardWeb"/>
      </w:pPr>
      <w:r>
        <w:br w:type="page"/>
      </w:r>
    </w:p>
    <w:p w:rsidR="00BE1EFE" w:rsidRPr="000B1AF8" w:rsidRDefault="00BE1EFE" w:rsidP="00CA7DB0">
      <w:pPr>
        <w:pStyle w:val="berschrift5"/>
        <w:spacing w:before="0"/>
      </w:pPr>
      <w:bookmarkStart w:id="576" w:name="_Toc523926124"/>
      <w:r>
        <w:lastRenderedPageBreak/>
        <w:t>A, 2.9. Entgeltordnung für Kirchenmusikerinnen und Kirchenmusiker</w:t>
      </w:r>
      <w:bookmarkEnd w:id="576"/>
    </w:p>
    <w:p w:rsidR="00BE1EFE" w:rsidRDefault="00BE1EFE">
      <w:pPr>
        <w:pStyle w:val="berschrift6"/>
      </w:pPr>
      <w:bookmarkStart w:id="577" w:name="_Toc523926125"/>
      <w:r>
        <w:t>§ 1 Eingruppierung</w:t>
      </w:r>
      <w:bookmarkEnd w:id="57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Kirchenmusikerinnen und Kirchenmusiker mit Bachelorabschluss in katholischer Kirchenmusik und darauf aufbauendem Masterabschluss bzw. A-Prüfung in katholischer Kirchenmusik an einer staatlichen oder kirchlichen Hochschule für Musik an Stellen, die einen Masterabschluss bzw. eine A-Prüfung in katholischer Kirchenmusik erfordern, sind in Entgeltgruppe 13 eingruppiert.</w:t>
      </w:r>
    </w:p>
    <w:p w:rsidR="00BE1EFE" w:rsidRPr="000B1AF8" w:rsidRDefault="00BE1EFE">
      <w:pPr>
        <w:pStyle w:val="StandardWeb"/>
      </w:pPr>
    </w:p>
    <w:p w:rsidR="00BE1EFE" w:rsidRDefault="00BE1EFE">
      <w:pPr>
        <w:pStyle w:val="StandardWeb"/>
      </w:pPr>
      <w:r>
        <w:t>(2) Kirchenmusikerinnen und Kirchenmusiker mit Bachelorabschluss bzw. B-Prüfung in katholischer Kirchenmusik an einer staatlichen oder kirchlichen Hochschule für Musik an Stellen, die einen Bachelorabschluss bzw. eine B-Prüfung in katholischer Kirchenmusik erfordern, sind in Entgeltgruppe 10 eingruppiert.</w:t>
      </w:r>
    </w:p>
    <w:p w:rsidR="00BE1EFE" w:rsidRDefault="00BE1EFE">
      <w:pPr>
        <w:pStyle w:val="StandardWeb"/>
      </w:pPr>
    </w:p>
    <w:p w:rsidR="00BE1EFE" w:rsidRDefault="00BE1EFE">
      <w:pPr>
        <w:pStyle w:val="StandardWeb"/>
      </w:pPr>
      <w:r>
        <w:t>(3) Kirchenmusikerinnen und Kirchenmusiker mit C-Prüfung für Kirchenmusik im Rahmen einer kircheneigenen Ausbildung oder mit gleichwertiger Prüfung an einer Fachakademie für Musik oder mit anderer gleichwertiger Ausbildung, Prüfung und entsprechenden Fähigkeiten an Stellen, die eine C-Prüfung für Kirchenmusik erfordern, sind in Entgeltgruppe 6 ein</w:t>
      </w:r>
      <w:r>
        <w:softHyphen/>
        <w:t>gruppiert.</w:t>
      </w:r>
    </w:p>
    <w:p w:rsidR="00BE1EFE" w:rsidRDefault="00BE1EFE">
      <w:pPr>
        <w:pStyle w:val="StandardWeb"/>
      </w:pPr>
    </w:p>
    <w:p w:rsidR="00BE1EFE" w:rsidRDefault="00BE1EFE">
      <w:pPr>
        <w:pStyle w:val="StandardWeb"/>
      </w:pPr>
      <w:r>
        <w:t>(4) Kirchenmusikerinnen und Kirchenmusiker mit D-Prüfung für Kirchenmusik einer Diözese oder mit anderer gleichwertiger Ausbildung, Prüfung und entsprechenden Fähigkeiten an Stellen, die eine D-Prüfung erfordert, sind in Entgeltgruppe 4 eingruppiert.</w:t>
      </w:r>
    </w:p>
    <w:p w:rsidR="00BE1EFE" w:rsidRDefault="00BE1EFE">
      <w:pPr>
        <w:pStyle w:val="StandardWeb"/>
      </w:pPr>
    </w:p>
    <w:p w:rsidR="00BE1EFE" w:rsidRDefault="00BE1EFE">
      <w:pPr>
        <w:pStyle w:val="StandardWeb"/>
      </w:pPr>
      <w:r>
        <w:t>(5) Kirchenmusikerinnen und Kirchenmusiker ohne kirchenmusikalische Prüfung (E-Musiker) im kirchenmusikalischen Dienst sind in Entgeltgruppe 3 eingruppiert.</w:t>
      </w:r>
    </w:p>
    <w:p w:rsidR="00BE1EFE" w:rsidRDefault="00BE1EFE">
      <w:pPr>
        <w:pStyle w:val="StandardWeb"/>
      </w:pPr>
    </w:p>
    <w:p w:rsidR="00BE1EFE" w:rsidRDefault="00BE1EFE">
      <w:pPr>
        <w:pStyle w:val="StandardWeb"/>
      </w:pPr>
      <w:r>
        <w:t>(6) Kirchenmusikerinnen und Kirchenmusiker mit besonderen Aufgaben (z. B. Regional</w:t>
      </w:r>
      <w:r>
        <w:softHyphen/>
        <w:t>kantoren) erhalten das im (diözesanen) Stellenplan vorgesehene Entgelt.</w:t>
      </w:r>
    </w:p>
    <w:p w:rsidR="00BE1EFE" w:rsidRDefault="00BE1EFE">
      <w:pPr>
        <w:pStyle w:val="StandardWeb"/>
      </w:pPr>
    </w:p>
    <w:p w:rsidR="00BE1EFE" w:rsidRDefault="00BE1EFE">
      <w:pPr>
        <w:pStyle w:val="berschrift6"/>
      </w:pPr>
      <w:bookmarkStart w:id="578" w:name="_Toc523926126"/>
      <w:r>
        <w:t>§ 2 Ausgleich für Sonderformen der Arbeit</w:t>
      </w:r>
      <w:bookmarkEnd w:id="57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370" w:history="1">
        <w:r w:rsidRPr="002D1F1D">
          <w:rPr>
            <w:rStyle w:val="Hyperlink"/>
          </w:rPr>
          <w:t>§ 8 Absatz 1 Satz 3 Buchstabe b) bis f) Teil A, 1</w:t>
        </w:r>
      </w:hyperlink>
      <w:r>
        <w:t xml:space="preserve">. findet keine Anwendung. </w:t>
      </w:r>
      <w:r>
        <w:rPr>
          <w:rStyle w:val="kleinschrift"/>
        </w:rPr>
        <w:t>2</w:t>
      </w:r>
      <w:r>
        <w:t xml:space="preserve">Zuschläge für Sonderformen der Arbeit gem. </w:t>
      </w:r>
      <w:hyperlink r:id="rId371" w:history="1">
        <w:r w:rsidRPr="002D1F1D">
          <w:rPr>
            <w:rStyle w:val="Hyperlink"/>
          </w:rPr>
          <w:t>§ 8 Absatz 1 Satz 3 Buchstabe b) bis f) Teil A, 1.</w:t>
        </w:r>
      </w:hyperlink>
      <w:r>
        <w:t xml:space="preserve"> sind bei der Eingruppierung nach </w:t>
      </w:r>
      <w:hyperlink r:id="rId372" w:history="1">
        <w:r w:rsidRPr="002D1F1D">
          <w:rPr>
            <w:rStyle w:val="Hyperlink"/>
          </w:rPr>
          <w:t>§ 1</w:t>
        </w:r>
      </w:hyperlink>
      <w:r>
        <w:t xml:space="preserve"> berücksichtigt.</w:t>
      </w:r>
    </w:p>
    <w:p w:rsidR="00BE1EFE" w:rsidRPr="000B1AF8" w:rsidRDefault="00BE1EFE">
      <w:pPr>
        <w:pStyle w:val="StandardWeb"/>
      </w:pPr>
    </w:p>
    <w:p w:rsidR="00BE1EFE" w:rsidRDefault="00BE1EFE">
      <w:pPr>
        <w:pStyle w:val="berschrift6"/>
      </w:pPr>
      <w:bookmarkStart w:id="579" w:name="_Toc523926127"/>
      <w:r>
        <w:t>§ 3 Entgelt bei Teilzeitbeschäftigung</w:t>
      </w:r>
      <w:bookmarkEnd w:id="57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Teilzeitbeschäftigte Kirchenmusikerinnen und Kirchenmusiker erhalten das Tabellenentgelt und alle sonstigen Entgeltbestandteile in dem Umfang, der dem Anteil ihrer individuell vereinbarten durchschnittlichen Arbeitszeit an der regelmäßigen Arbeitszeit vergleichbarer Vollzeitbeschäftigter entspricht.</w:t>
      </w:r>
    </w:p>
    <w:p w:rsidR="00BE1EFE" w:rsidRDefault="00BE1EFE">
      <w:pPr>
        <w:pStyle w:val="StandardWeb"/>
      </w:pPr>
    </w:p>
    <w:p w:rsidR="00BE1EFE" w:rsidRPr="000B1AF8" w:rsidRDefault="00BE1EFE">
      <w:pPr>
        <w:pStyle w:val="StandardWeb"/>
      </w:pPr>
    </w:p>
    <w:p w:rsidR="00BE1EFE" w:rsidRPr="00A27760" w:rsidRDefault="00BE1EFE" w:rsidP="00A27760">
      <w:pPr>
        <w:pStyle w:val="berschrift6"/>
        <w:rPr>
          <w:lang w:eastAsia="x-none"/>
        </w:rPr>
      </w:pPr>
      <w:bookmarkStart w:id="580" w:name="_Toc523926128"/>
      <w:r>
        <w:t>§ 4 Übergangregelungen</w:t>
      </w:r>
      <w:bookmarkEnd w:id="580"/>
    </w:p>
    <w:p w:rsidR="00BE1EFE" w:rsidRPr="00B76821" w:rsidRDefault="00BE1EFE" w:rsidP="00B76821">
      <w:pPr>
        <w:pStyle w:val="h7"/>
        <w:keepNext w:val="0"/>
        <w:spacing w:before="0" w:after="0"/>
        <w:jc w:val="left"/>
        <w:outlineLvl w:val="5"/>
        <w:rPr>
          <w:sz w:val="2"/>
        </w:rPr>
      </w:pPr>
    </w:p>
    <w:p w:rsidR="00BE1EFE" w:rsidRDefault="00BE1EFE">
      <w:pPr>
        <w:pStyle w:val="StandardWeb"/>
      </w:pPr>
      <w:r>
        <w:lastRenderedPageBreak/>
        <w:t>(1) </w:t>
      </w:r>
      <w:r>
        <w:rPr>
          <w:rStyle w:val="kleinschrift"/>
        </w:rPr>
        <w:t>1</w:t>
      </w:r>
      <w:r>
        <w:t>Im Rahmen der Überleitung von Kirchenmusikerinnen und Kirchenmusikern, die bei Inkrafttreten dieser Entgeltordnung bereits beschäftigt sind, gelten folgende Sonder</w:t>
      </w:r>
      <w:r>
        <w:softHyphen/>
        <w:t>regelungen:</w:t>
      </w:r>
    </w:p>
    <w:p w:rsidR="00BE1EFE" w:rsidRDefault="00BE1EFE">
      <w:pPr>
        <w:pStyle w:val="StandardWeb"/>
      </w:pPr>
      <w:r>
        <w:t>a) Kirchenmusikerinnen und Kirchenmusiker gemäß</w:t>
      </w:r>
      <w:hyperlink r:id="rId373" w:history="1">
        <w:r w:rsidRPr="002D1F1D">
          <w:rPr>
            <w:rStyle w:val="Hyperlink"/>
          </w:rPr>
          <w:t xml:space="preserve"> § 1 Absatz 1</w:t>
        </w:r>
      </w:hyperlink>
      <w:r>
        <w:t>, die bereits eine Laufzeit von mehr als vier Jahren in der Stufe 4 der Entgeltgruppe 12 zurückgelegt haben, werden in die Stufe 5 der Entgeltgruppe 13 höhergruppiert.</w:t>
      </w:r>
    </w:p>
    <w:p w:rsidR="00BE1EFE" w:rsidRDefault="00BE1EFE">
      <w:pPr>
        <w:pStyle w:val="StandardWeb"/>
      </w:pPr>
      <w:r>
        <w:t>b) Kirchenmusikerinnen und Kirchenmusiker gemäß</w:t>
      </w:r>
      <w:hyperlink r:id="rId374" w:history="1">
        <w:r w:rsidRPr="002D1F1D">
          <w:rPr>
            <w:rStyle w:val="Hyperlink"/>
          </w:rPr>
          <w:t xml:space="preserve"> § 1 Absatz 1</w:t>
        </w:r>
      </w:hyperlink>
      <w:r>
        <w:t>, die bereits eine Laufzeit von mehr als neun Jahren in Stufe 4 der Entgeltgruppe 12 zurückgelegt haben, werden in die Stufe 6 der Entgeltgruppe 13 höhergruppiert.</w:t>
      </w:r>
    </w:p>
    <w:p w:rsidR="00BE1EFE" w:rsidRDefault="00BE1EFE">
      <w:pPr>
        <w:pStyle w:val="StandardWeb"/>
      </w:pPr>
      <w:r>
        <w:t xml:space="preserve">c) Kirchenmusikerinnen und Kirchenmusiker gemäß </w:t>
      </w:r>
      <w:hyperlink r:id="rId375" w:history="1">
        <w:r w:rsidRPr="002D1F1D">
          <w:rPr>
            <w:rStyle w:val="Hyperlink"/>
          </w:rPr>
          <w:t>§ 1 Absatz 4,</w:t>
        </w:r>
      </w:hyperlink>
      <w:r w:rsidRPr="002D1F1D">
        <w:t xml:space="preserve"> </w:t>
      </w:r>
      <w:r>
        <w:t>die bereits eine Laufzeit von mehr als fünf Jahren in der Stufe 5 der Entgeltgruppe 3 zurückgelegt haben, werden in die Stufe 5 der Entgeltgruppe 4 höhergruppiert.</w:t>
      </w:r>
    </w:p>
    <w:p w:rsidR="00BE1EFE" w:rsidRDefault="00BE1EFE">
      <w:pPr>
        <w:pStyle w:val="StandardWeb"/>
      </w:pPr>
      <w:r>
        <w:t xml:space="preserve">d) Kirchenmusikerinnen und Kirchenmusiker gemäß </w:t>
      </w:r>
      <w:hyperlink r:id="rId376" w:history="1">
        <w:r w:rsidRPr="002D1F1D">
          <w:rPr>
            <w:rStyle w:val="Hyperlink"/>
          </w:rPr>
          <w:t>§ 1 Absatz 5</w:t>
        </w:r>
      </w:hyperlink>
      <w:r>
        <w:t>, die bereits eine Laufzeit von mehr als drei Jahren in der Stufe 3 der Entgeltgruppe 2 zurückgelegt haben, werden in die Stufe 3 der Entgeltgruppe 3 höhergruppiert.</w:t>
      </w:r>
    </w:p>
    <w:p w:rsidR="00BE1EFE" w:rsidRDefault="00BE1EFE">
      <w:pPr>
        <w:pStyle w:val="StandardWeb"/>
      </w:pPr>
      <w:r>
        <w:rPr>
          <w:rStyle w:val="kleinschrift"/>
        </w:rPr>
        <w:t>2</w:t>
      </w:r>
      <w:r>
        <w:t xml:space="preserve">Im Übrigen gelten die Höhergruppierungsregelungen des </w:t>
      </w:r>
      <w:hyperlink r:id="rId377" w:history="1">
        <w:r w:rsidRPr="002D1F1D">
          <w:rPr>
            <w:rStyle w:val="Hyperlink"/>
          </w:rPr>
          <w:t>ABD Teil A, 1.</w:t>
        </w:r>
      </w:hyperlink>
    </w:p>
    <w:p w:rsidR="00BE1EFE" w:rsidRDefault="00BE1EFE">
      <w:pPr>
        <w:pStyle w:val="StandardWeb"/>
      </w:pPr>
    </w:p>
    <w:p w:rsidR="00BE1EFE" w:rsidRDefault="00BE1EFE">
      <w:pPr>
        <w:pStyle w:val="StandardWeb"/>
      </w:pPr>
      <w:r>
        <w:t>(2) Mit Inkrafttreten dieser Entgeltordnung finden die Vorschriften der</w:t>
      </w:r>
      <w:hyperlink r:id="rId378" w:history="1">
        <w:r w:rsidRPr="002D1F1D">
          <w:rPr>
            <w:rStyle w:val="Hyperlink"/>
          </w:rPr>
          <w:t xml:space="preserve"> §§ 8</w:t>
        </w:r>
      </w:hyperlink>
      <w:r>
        <w:t xml:space="preserve"> und </w:t>
      </w:r>
      <w:hyperlink r:id="rId379" w:history="1">
        <w:r w:rsidRPr="002D1F1D">
          <w:rPr>
            <w:rStyle w:val="Hyperlink"/>
          </w:rPr>
          <w:t>8a</w:t>
        </w:r>
      </w:hyperlink>
      <w:r>
        <w:t xml:space="preserve"> sowie die Tabellen </w:t>
      </w:r>
      <w:hyperlink r:id="rId380" w:history="1">
        <w:r w:rsidRPr="002D1F1D">
          <w:rPr>
            <w:rStyle w:val="Hyperlink"/>
          </w:rPr>
          <w:t>2K</w:t>
        </w:r>
      </w:hyperlink>
      <w:r>
        <w:t xml:space="preserve"> und </w:t>
      </w:r>
      <w:hyperlink r:id="rId381" w:history="1">
        <w:r w:rsidRPr="002D1F1D">
          <w:rPr>
            <w:rStyle w:val="Hyperlink"/>
          </w:rPr>
          <w:t>4K Teil A, 3.</w:t>
        </w:r>
      </w:hyperlink>
      <w:r>
        <w:t xml:space="preserve"> und die Regelungen über eine einmalige Pauschalzahlung </w:t>
      </w:r>
      <w:hyperlink r:id="rId382" w:history="1">
        <w:r w:rsidRPr="002D1F1D">
          <w:rPr>
            <w:rStyle w:val="Hyperlink"/>
          </w:rPr>
          <w:t>(Teil D, 12.)</w:t>
        </w:r>
      </w:hyperlink>
      <w:r w:rsidRPr="002D1F1D">
        <w:t xml:space="preserve"> </w:t>
      </w:r>
      <w:r>
        <w:t>auf Kirchenmusikerinnen und Kirchenmusiker keine Anwendung mehr.</w:t>
      </w:r>
    </w:p>
    <w:p w:rsidR="00BE1EFE" w:rsidRDefault="00BE1EFE" w:rsidP="000B37DB">
      <w:pPr>
        <w:pStyle w:val="StandardWeb"/>
      </w:pPr>
      <w:r>
        <w:br w:type="page"/>
      </w:r>
    </w:p>
    <w:p w:rsidR="00BE1EFE" w:rsidRDefault="00BE1EFE" w:rsidP="00CA7DB0">
      <w:pPr>
        <w:pStyle w:val="berschrift5"/>
        <w:spacing w:before="0"/>
        <w:jc w:val="both"/>
      </w:pPr>
      <w:bookmarkStart w:id="581" w:name="_Toc523926129"/>
      <w:r>
        <w:lastRenderedPageBreak/>
        <w:t xml:space="preserve">A, 2.10. </w:t>
      </w:r>
      <w:r>
        <w:rPr>
          <w:lang w:eastAsia="x-none"/>
        </w:rPr>
        <w:t>Entgelt</w:t>
      </w:r>
      <w:r>
        <w:t xml:space="preserve">ordnung für Beschäftigte in der </w:t>
      </w:r>
      <w:r>
        <w:rPr>
          <w:lang w:eastAsia="x-none"/>
        </w:rPr>
        <w:t xml:space="preserve">kirchlichen </w:t>
      </w:r>
      <w:r>
        <w:t xml:space="preserve">Verbands- und/oder Bildungsarbeit für </w:t>
      </w:r>
      <w:r>
        <w:rPr>
          <w:lang w:eastAsia="x-none"/>
        </w:rPr>
        <w:t xml:space="preserve">Jugendliche und für </w:t>
      </w:r>
      <w:r>
        <w:t>Erwachsene</w:t>
      </w:r>
      <w:bookmarkEnd w:id="581"/>
    </w:p>
    <w:p w:rsidR="00BE1EFE" w:rsidRDefault="00BE1EFE">
      <w:pPr>
        <w:pStyle w:val="berschrift6"/>
      </w:pPr>
      <w:bookmarkStart w:id="582" w:name="_Toc523926130"/>
      <w:r>
        <w:t>§ 1 Beschäftigte in der kirchlichen Verbands- und/oder Bildungsarbeit für</w:t>
      </w:r>
      <w:r>
        <w:rPr>
          <w:lang w:eastAsia="x-none"/>
        </w:rPr>
        <w:t xml:space="preserve"> Jugendliche und für</w:t>
      </w:r>
      <w:r>
        <w:t xml:space="preserve"> Erwachsene</w:t>
      </w:r>
      <w:bookmarkEnd w:id="582"/>
    </w:p>
    <w:p w:rsidR="00BE1EFE" w:rsidRPr="00B76821" w:rsidRDefault="00BE1EFE" w:rsidP="00B76821">
      <w:pPr>
        <w:pStyle w:val="h7"/>
        <w:keepNext w:val="0"/>
        <w:spacing w:before="0" w:after="0"/>
        <w:jc w:val="left"/>
        <w:outlineLvl w:val="5"/>
        <w:rPr>
          <w:sz w:val="2"/>
        </w:rPr>
      </w:pPr>
    </w:p>
    <w:p w:rsidR="00BE1EFE" w:rsidRDefault="00BE1EFE" w:rsidP="00EB0EFD">
      <w:pPr>
        <w:pStyle w:val="StandardWeb"/>
      </w:pPr>
      <w:r w:rsidRPr="0077772A">
        <w:t>Beschäftigte in der kirchlichen Verbands- und/oder Bildungsarbeit für Jugendliche und für Erwachsene sind Mitarbeiterinnen und Mitarbeiter, welche in der</w:t>
      </w:r>
      <w:r>
        <w:t xml:space="preserve"> </w:t>
      </w:r>
      <w:r w:rsidRPr="0077772A">
        <w:t>Verbands- und/oder Bildungsarbeit überwiegend pädagogisch und mit dem Auftrag tätig sind, kirchliche Bildungsarbeit im gesamten kirchlichen Bereich</w:t>
      </w:r>
      <w:r>
        <w:t xml:space="preserve"> </w:t>
      </w:r>
      <w:r w:rsidRPr="0077772A">
        <w:t>(z. B. Pfarrei, Dekanat, Diözese, Verband, Bildungseinrichtung) anzuregen, vorzubereiten und auch selbst durchzuführen.</w:t>
      </w:r>
    </w:p>
    <w:p w:rsidR="00BE1EFE" w:rsidRPr="0077772A" w:rsidRDefault="00BE1EFE" w:rsidP="0077772A">
      <w:pPr>
        <w:pStyle w:val="berschrift6"/>
        <w:rPr>
          <w:b w:val="0"/>
          <w:bCs w:val="0"/>
          <w:sz w:val="16"/>
          <w:szCs w:val="24"/>
        </w:rPr>
      </w:pPr>
      <w:bookmarkStart w:id="583" w:name="_Toc523926131"/>
      <w:r>
        <w:t>§ 2 Eingruppierung</w:t>
      </w:r>
      <w:bookmarkEnd w:id="583"/>
    </w:p>
    <w:p w:rsidR="00BE1EFE" w:rsidRPr="00B76821" w:rsidRDefault="00BE1EFE" w:rsidP="00B76821">
      <w:pPr>
        <w:pStyle w:val="h7"/>
        <w:keepNext w:val="0"/>
        <w:spacing w:before="0" w:after="0"/>
        <w:jc w:val="left"/>
        <w:outlineLvl w:val="5"/>
        <w:rPr>
          <w:sz w:val="2"/>
        </w:rPr>
      </w:pPr>
      <w:bookmarkStart w:id="584" w:name="_Toc473549969"/>
    </w:p>
    <w:p w:rsidR="00BE1EFE" w:rsidRPr="001C3994" w:rsidRDefault="00BE1EFE" w:rsidP="001A4AD5">
      <w:pPr>
        <w:pStyle w:val="berschrift7"/>
        <w:rPr>
          <w:rFonts w:cs="Arial"/>
          <w:sz w:val="16"/>
          <w:szCs w:val="16"/>
          <w:lang w:eastAsia="x-none"/>
        </w:rPr>
      </w:pPr>
      <w:bookmarkStart w:id="585" w:name="_Toc523926132"/>
      <w:r w:rsidRPr="001C3994">
        <w:rPr>
          <w:rFonts w:cs="Arial"/>
          <w:sz w:val="16"/>
          <w:szCs w:val="16"/>
        </w:rPr>
        <w:t>Entgeltgruppe 9b</w:t>
      </w:r>
      <w:bookmarkEnd w:id="584"/>
      <w:bookmarkEnd w:id="585"/>
    </w:p>
    <w:p w:rsidR="00BE1EFE" w:rsidRPr="00447A08" w:rsidRDefault="00BE1EFE" w:rsidP="001A4AD5">
      <w:pPr>
        <w:rPr>
          <w:lang w:eastAsia="x-none"/>
        </w:rPr>
      </w:pPr>
    </w:p>
    <w:p w:rsidR="00BE1EFE" w:rsidRPr="00447A08" w:rsidRDefault="00BE1EFE" w:rsidP="001A4AD5">
      <w:pPr>
        <w:pStyle w:val="StandardWeb"/>
        <w:rPr>
          <w:b/>
        </w:rPr>
      </w:pPr>
      <w:r w:rsidRPr="00447A08">
        <w:t>Beschäftigte mit mindestens zweijähriger Vollzeitausbildung (Fachakademie für Sozialpädagogik oder vergleichbar</w:t>
      </w:r>
      <w:r>
        <w:t>e Ausbildung</w:t>
      </w:r>
      <w:r w:rsidRPr="00447A08">
        <w:t>) und Beschäftigte mit sonstiger kirchlich anerkannter Ausbildung.</w:t>
      </w:r>
    </w:p>
    <w:p w:rsidR="00BE1EFE" w:rsidRPr="001C3994" w:rsidRDefault="00BE1EFE" w:rsidP="001A4AD5">
      <w:pPr>
        <w:pStyle w:val="berschrift7"/>
        <w:rPr>
          <w:rFonts w:cs="Arial"/>
          <w:sz w:val="16"/>
          <w:szCs w:val="16"/>
          <w:lang w:eastAsia="x-none"/>
        </w:rPr>
      </w:pPr>
      <w:bookmarkStart w:id="586" w:name="_Toc473549970"/>
      <w:bookmarkStart w:id="587" w:name="_Toc523926133"/>
      <w:r w:rsidRPr="001C3994">
        <w:rPr>
          <w:rFonts w:cs="Arial"/>
          <w:sz w:val="16"/>
          <w:szCs w:val="16"/>
        </w:rPr>
        <w:t>Entgeltgruppe 10</w:t>
      </w:r>
      <w:bookmarkEnd w:id="586"/>
      <w:bookmarkEnd w:id="587"/>
    </w:p>
    <w:p w:rsidR="00BE1EFE" w:rsidRPr="0077772A" w:rsidRDefault="00BE1EFE" w:rsidP="0077772A">
      <w:pPr>
        <w:rPr>
          <w:lang w:eastAsia="x-none"/>
        </w:rPr>
      </w:pPr>
    </w:p>
    <w:p w:rsidR="00BE1EFE" w:rsidRDefault="00BE1EFE" w:rsidP="0077772A">
      <w:pPr>
        <w:pStyle w:val="StandardWeb"/>
      </w:pPr>
      <w:r>
        <w:t>1. Beschäftigte mit abgeschlossener Hochschulausbildung (z. B. Studium der Sozialen Arbeit).</w:t>
      </w:r>
    </w:p>
    <w:p w:rsidR="00BE1EFE" w:rsidRDefault="00BE1EFE" w:rsidP="0077772A">
      <w:pPr>
        <w:pStyle w:val="StandardWeb"/>
      </w:pPr>
      <w:r>
        <w:t>2. Beschäftigte mit mindestens zweijähriger Vollzeitausbildung (Fachakademie für Sozialpäda</w:t>
      </w:r>
      <w:r>
        <w:softHyphen/>
        <w:t>gogik oder vergleichbare Ausbildung) und Beschäftigte mit sonstiger kirchlich anerkannter Ausbildung nach siebenjähriger Beschäftigungszeit in der Entgeltgruppe 9b.</w:t>
      </w:r>
    </w:p>
    <w:p w:rsidR="00BE1EFE" w:rsidRPr="00447A08" w:rsidRDefault="00BE1EFE" w:rsidP="001A4AD5">
      <w:pPr>
        <w:pStyle w:val="StandardWeb"/>
      </w:pPr>
    </w:p>
    <w:p w:rsidR="00BE1EFE" w:rsidRDefault="00BE1EFE" w:rsidP="001A4AD5">
      <w:pPr>
        <w:pStyle w:val="StandardWeb"/>
        <w:rPr>
          <w:sz w:val="12"/>
          <w:szCs w:val="12"/>
        </w:rPr>
      </w:pPr>
      <w:r w:rsidRPr="00462967">
        <w:rPr>
          <w:sz w:val="12"/>
          <w:szCs w:val="12"/>
        </w:rPr>
        <w:t>Protokollnotiz zu § 2:</w:t>
      </w:r>
    </w:p>
    <w:p w:rsidR="00BE1EFE" w:rsidRPr="000B37DB" w:rsidRDefault="00BE1EFE">
      <w:pPr>
        <w:pStyle w:val="StandardWeb"/>
        <w:rPr>
          <w:sz w:val="12"/>
          <w:szCs w:val="12"/>
        </w:rPr>
      </w:pPr>
      <w:r w:rsidRPr="0077772A">
        <w:rPr>
          <w:sz w:val="12"/>
          <w:szCs w:val="12"/>
        </w:rPr>
        <w:t>Beschäftigte in der Verbands- und/oder Bildungsarbeit für Jugendliche und für Erwachsene, die überwiegend Tätigkeiten ausüben, die den allgemeinen Tätigkeitsmerkmalen (Teil A, 2.2.1.) entspreche</w:t>
      </w:r>
      <w:r>
        <w:rPr>
          <w:sz w:val="12"/>
          <w:szCs w:val="12"/>
        </w:rPr>
        <w:t xml:space="preserve">n </w:t>
      </w:r>
      <w:r w:rsidRPr="0077772A">
        <w:rPr>
          <w:sz w:val="12"/>
          <w:szCs w:val="12"/>
        </w:rPr>
        <w:t>und der Entgeltgruppe 11 oder höher zuzuordnen sind, fallen nicht unter die Entgeltordnung für Beschäftigte in der kirchlichen Verbands- und/oder</w:t>
      </w:r>
      <w:r>
        <w:rPr>
          <w:sz w:val="12"/>
          <w:szCs w:val="12"/>
        </w:rPr>
        <w:t xml:space="preserve"> Bildungsarbeit für Jugendliche </w:t>
      </w:r>
      <w:r w:rsidRPr="0077772A">
        <w:rPr>
          <w:sz w:val="12"/>
          <w:szCs w:val="12"/>
        </w:rPr>
        <w:t>und Erwachsene.</w:t>
      </w:r>
    </w:p>
    <w:p w:rsidR="00BE1EFE" w:rsidRPr="00707597" w:rsidRDefault="00BE1EFE" w:rsidP="005D2731">
      <w:pPr>
        <w:pStyle w:val="berschrift5"/>
        <w:jc w:val="both"/>
        <w:rPr>
          <w:lang w:eastAsia="x-none"/>
        </w:rPr>
      </w:pPr>
      <w:bookmarkStart w:id="588" w:name="_Toc523926134"/>
      <w:r>
        <w:t>A, 2.11. Vergütungsordnung für Beschäftigte in der Verbands- und/ oder Bildungsarbeit für Jugendliche</w:t>
      </w:r>
      <w:bookmarkEnd w:id="588"/>
    </w:p>
    <w:p w:rsidR="00BE1EFE" w:rsidRPr="00B76821" w:rsidRDefault="00BE1EFE" w:rsidP="00B76821">
      <w:pPr>
        <w:pStyle w:val="berschrift6"/>
        <w:keepNext w:val="0"/>
        <w:spacing w:before="0" w:after="0"/>
        <w:rPr>
          <w:sz w:val="2"/>
        </w:rPr>
      </w:pPr>
    </w:p>
    <w:p w:rsidR="00BE1EFE" w:rsidRDefault="00BE1EFE" w:rsidP="00CA7DB0">
      <w:pPr>
        <w:pStyle w:val="StandardWeb"/>
        <w:autoSpaceDE w:val="0"/>
        <w:rPr>
          <w:rStyle w:val="Hervorhebung"/>
          <w:iCs/>
        </w:rPr>
      </w:pPr>
      <w:r>
        <w:t xml:space="preserve"> </w:t>
      </w:r>
      <w:r>
        <w:rPr>
          <w:rStyle w:val="Hervorhebung"/>
          <w:iCs/>
        </w:rPr>
        <w:t xml:space="preserve">Die Vergütungsordnung für </w:t>
      </w:r>
      <w:r w:rsidRPr="00707597">
        <w:rPr>
          <w:rStyle w:val="Hervorhebung"/>
          <w:iCs/>
        </w:rPr>
        <w:t>Bes</w:t>
      </w:r>
      <w:r>
        <w:rPr>
          <w:rStyle w:val="Hervorhebung"/>
          <w:iCs/>
        </w:rPr>
        <w:t>chäftigte in der Verbands- und/</w:t>
      </w:r>
      <w:r w:rsidRPr="00707597">
        <w:rPr>
          <w:rStyle w:val="Hervorhebung"/>
          <w:iCs/>
        </w:rPr>
        <w:t xml:space="preserve">oder Bildungsarbeit für Jugendliche </w:t>
      </w:r>
      <w:r>
        <w:rPr>
          <w:rStyle w:val="Hervorhebung"/>
          <w:iCs/>
        </w:rPr>
        <w:t xml:space="preserve">(ABD Teil A, 2.11.) vom 01.01.1994 zuletzt geändert zum 01.01.2017 ist zum 01.01.2018 außer Kraft getreten durch Beschluss der </w:t>
      </w:r>
      <w:r w:rsidRPr="00707597">
        <w:rPr>
          <w:rStyle w:val="Hervorhebung"/>
          <w:iCs/>
        </w:rPr>
        <w:t>Kommission für das Arbeitsvertrags</w:t>
      </w:r>
      <w:r>
        <w:rPr>
          <w:rStyle w:val="Hervorhebung"/>
          <w:iCs/>
        </w:rPr>
        <w:softHyphen/>
      </w:r>
      <w:r w:rsidRPr="00707597">
        <w:rPr>
          <w:rStyle w:val="Hervorhebung"/>
          <w:iCs/>
        </w:rPr>
        <w:t>recht der bayerischen Diözesen vom 20. September 2017</w:t>
      </w:r>
      <w:r>
        <w:rPr>
          <w:rStyle w:val="Hervorhebung"/>
          <w:iCs/>
        </w:rPr>
        <w:t>, und wird ersetzt durch die „</w:t>
      </w:r>
      <w:r w:rsidRPr="00707597">
        <w:rPr>
          <w:rStyle w:val="Hervorhebung"/>
          <w:iCs/>
        </w:rPr>
        <w:t>Entgeltordnung für Beschäftigte in der kirchlichen Verbands- und/oder Bildungsarbeit für Jugendliche und für Erwachsene</w:t>
      </w:r>
      <w:r>
        <w:rPr>
          <w:rStyle w:val="Hervorhebung"/>
          <w:iCs/>
        </w:rPr>
        <w:t>“ veröffentlicht in der Anlage zu den Amtsblättern der bayerischen Diözesen „Änderungen und Ergänzungen zum Arbeitsvertragsrecht der bayerischen Diözesen – ABD – Nr. 119“.</w:t>
      </w:r>
    </w:p>
    <w:p w:rsidR="00BE1EFE" w:rsidRPr="000B1AF8" w:rsidRDefault="00BE1EFE" w:rsidP="00CA7DB0">
      <w:pPr>
        <w:pStyle w:val="StandardWeb"/>
        <w:autoSpaceDE w:val="0"/>
      </w:pPr>
      <w:r>
        <w:br w:type="page"/>
      </w:r>
    </w:p>
    <w:p w:rsidR="00BE1EFE" w:rsidRDefault="00BE1EFE" w:rsidP="00CA7DB0">
      <w:pPr>
        <w:pStyle w:val="berschrift5"/>
        <w:spacing w:before="0"/>
        <w:jc w:val="both"/>
      </w:pPr>
      <w:bookmarkStart w:id="589" w:name="_Toc523926135"/>
      <w:r>
        <w:lastRenderedPageBreak/>
        <w:t>A, 2.12. Entgeltordnung für Beschäftigte im Pfarrbüro*</w:t>
      </w:r>
      <w:bookmarkEnd w:id="589"/>
    </w:p>
    <w:p w:rsidR="00BE1EFE" w:rsidRPr="00B76821" w:rsidRDefault="00BE1EFE" w:rsidP="00B76821">
      <w:pPr>
        <w:pStyle w:val="berschrift6"/>
        <w:keepNext w:val="0"/>
        <w:spacing w:before="0" w:after="0"/>
        <w:rPr>
          <w:rStyle w:val="Hervorhebung"/>
          <w:iCs/>
          <w:sz w:val="2"/>
        </w:rPr>
      </w:pPr>
    </w:p>
    <w:p w:rsidR="00BE1EFE" w:rsidRDefault="00BE1EFE" w:rsidP="0054275E">
      <w:pPr>
        <w:autoSpaceDE w:val="0"/>
        <w:jc w:val="both"/>
      </w:pPr>
      <w:r>
        <w:rPr>
          <w:rStyle w:val="Hervorhebung"/>
          <w:iCs/>
        </w:rPr>
        <w:t>*Der Begriff Pfarrbüro umfasst auch Verwaltungsbüros von über eine Pfarrei hinausgehenden Zusammenschlüssen von Pfarreien, Verwaltungsbüros von Dekanaten oder Zusammen-schlüssen von Dekanaten.</w:t>
      </w:r>
    </w:p>
    <w:p w:rsidR="00BE1EFE" w:rsidRPr="00EF59F2" w:rsidRDefault="00BE1EFE" w:rsidP="003114F8">
      <w:pPr>
        <w:pStyle w:val="berschrift6"/>
      </w:pPr>
      <w:bookmarkStart w:id="590" w:name="_Toc473549979"/>
      <w:bookmarkStart w:id="591" w:name="_Toc523926136"/>
      <w:r w:rsidRPr="00EF59F2">
        <w:t>Entgeltgruppe 2</w:t>
      </w:r>
      <w:bookmarkEnd w:id="590"/>
      <w:bookmarkEnd w:id="591"/>
    </w:p>
    <w:p w:rsidR="00BE1EFE" w:rsidRPr="00B76821" w:rsidRDefault="00BE1EFE" w:rsidP="00B76821">
      <w:pPr>
        <w:pStyle w:val="h7"/>
        <w:keepNext w:val="0"/>
        <w:spacing w:before="0" w:after="0"/>
        <w:jc w:val="left"/>
        <w:outlineLvl w:val="5"/>
        <w:rPr>
          <w:sz w:val="2"/>
        </w:rPr>
      </w:pPr>
    </w:p>
    <w:p w:rsidR="00BE1EFE" w:rsidRDefault="00BE1EFE" w:rsidP="003114F8">
      <w:pPr>
        <w:pStyle w:val="StandardWeb"/>
      </w:pPr>
      <w:r w:rsidRPr="00EF59F2">
        <w:t>Beschäftigte im Pfarrbüro mit einfachen Tätigkeiten im bürotechnischen Dienst und/oder Schreibdienst</w:t>
      </w:r>
      <w:r>
        <w:t>.</w:t>
      </w:r>
    </w:p>
    <w:p w:rsidR="00BE1EFE" w:rsidRDefault="00BE1EFE" w:rsidP="003114F8">
      <w:pPr>
        <w:pStyle w:val="StandardWeb"/>
      </w:pPr>
    </w:p>
    <w:p w:rsidR="00BE1EFE" w:rsidRDefault="00BE1EFE" w:rsidP="003114F8">
      <w:pPr>
        <w:pStyle w:val="StandardWeb"/>
      </w:pPr>
      <w:r w:rsidRPr="000440D5">
        <w:t>(</w:t>
      </w:r>
      <w:r w:rsidRPr="000440D5">
        <w:rPr>
          <w:sz w:val="12"/>
          <w:szCs w:val="12"/>
        </w:rPr>
        <w:t>1</w:t>
      </w:r>
      <w:r w:rsidRPr="000440D5">
        <w:t xml:space="preserve">Einfache Tätigkeiten sind Tätigkeiten, die keine Vor- oder Ausbildung, aber eine fachliche Einarbeitung erfordern, die über eine sehr kurze Einweisung oder Anlernphase hinausgeht. </w:t>
      </w:r>
      <w:r w:rsidRPr="000440D5">
        <w:rPr>
          <w:sz w:val="12"/>
          <w:szCs w:val="12"/>
        </w:rPr>
        <w:t>2</w:t>
      </w:r>
      <w:r w:rsidRPr="000440D5">
        <w:t>Einarbeitung dient dem Erwerb derjenigen Kenntnisse und Fertigkeiten, die für die Beherrschung der Arbeitsabläufe</w:t>
      </w:r>
      <w:r>
        <w:t xml:space="preserve"> als solche erforderlich sind.)</w:t>
      </w:r>
    </w:p>
    <w:p w:rsidR="00BE1EFE" w:rsidRPr="000440D5" w:rsidRDefault="00BE1EFE" w:rsidP="00381B00">
      <w:pPr>
        <w:pStyle w:val="berschrift6"/>
        <w:rPr>
          <w:lang w:eastAsia="x-none"/>
        </w:rPr>
      </w:pPr>
      <w:bookmarkStart w:id="592" w:name="_Toc523926137"/>
      <w:r w:rsidRPr="00EF59F2">
        <w:t xml:space="preserve">Entgeltgruppe </w:t>
      </w:r>
      <w:r>
        <w:rPr>
          <w:lang w:eastAsia="x-none"/>
        </w:rPr>
        <w:t>3</w:t>
      </w:r>
      <w:bookmarkEnd w:id="592"/>
    </w:p>
    <w:p w:rsidR="00BE1EFE" w:rsidRDefault="00BE1EFE" w:rsidP="000440D5">
      <w:pPr>
        <w:pStyle w:val="StandardWeb"/>
      </w:pPr>
      <w:r>
        <w:t>Beschäftigte im Pfarrbüro, deren Tätigkeit sich dadurch aus der Entgeltgruppe 2 heraushebt, dass sie eine eingehende fachliche Einarbeitung erfordert.</w:t>
      </w:r>
    </w:p>
    <w:p w:rsidR="00BE1EFE" w:rsidRPr="000440D5" w:rsidRDefault="00BE1EFE" w:rsidP="000440D5">
      <w:pPr>
        <w:pStyle w:val="StandardWeb"/>
        <w:rPr>
          <w:sz w:val="12"/>
          <w:szCs w:val="12"/>
        </w:rPr>
      </w:pPr>
      <w:r w:rsidRPr="000440D5">
        <w:rPr>
          <w:sz w:val="12"/>
          <w:szCs w:val="12"/>
        </w:rPr>
        <w:t xml:space="preserve">Protokollnotiz zu EG 3: </w:t>
      </w:r>
    </w:p>
    <w:p w:rsidR="00BE1EFE" w:rsidRPr="000440D5" w:rsidRDefault="00BE1EFE" w:rsidP="003114F8">
      <w:pPr>
        <w:pStyle w:val="StandardWeb"/>
        <w:rPr>
          <w:sz w:val="12"/>
          <w:szCs w:val="12"/>
        </w:rPr>
      </w:pPr>
      <w:r w:rsidRPr="000440D5">
        <w:rPr>
          <w:sz w:val="12"/>
          <w:szCs w:val="12"/>
        </w:rPr>
        <w:t>1Eine Überprüfung und Neufeststellung der Eingruppierung der Beschäftigten im Pfarrbüro findet anlässlich der Einführung der Entgeltgruppe 3 für die Dauer der unverändert auszuübenden Tätigkeit nur auf Antrag der/des Beschäftigten statt. 2Eine Herabgruppierung in die EG 3 ist hierbei ausgeschlossen. 3Eine Eingruppierung in Entgeltgruppe 3 findet erst nach einer Bewertung de</w:t>
      </w:r>
      <w:r>
        <w:rPr>
          <w:sz w:val="12"/>
          <w:szCs w:val="12"/>
        </w:rPr>
        <w:t>r auszuübenden Tätigkeit statt.</w:t>
      </w:r>
    </w:p>
    <w:p w:rsidR="00BE1EFE" w:rsidRPr="00EF59F2" w:rsidRDefault="00BE1EFE" w:rsidP="003114F8">
      <w:pPr>
        <w:pStyle w:val="berschrift6"/>
      </w:pPr>
      <w:bookmarkStart w:id="593" w:name="_Toc473549980"/>
      <w:bookmarkStart w:id="594" w:name="_Toc523926138"/>
      <w:r w:rsidRPr="00EF59F2">
        <w:t>Entgeltgruppe 4</w:t>
      </w:r>
      <w:bookmarkEnd w:id="593"/>
      <w:bookmarkEnd w:id="594"/>
    </w:p>
    <w:p w:rsidR="00BE1EFE" w:rsidRPr="00B76821" w:rsidRDefault="00BE1EFE" w:rsidP="00B76821">
      <w:pPr>
        <w:pStyle w:val="h7"/>
        <w:keepNext w:val="0"/>
        <w:spacing w:before="0" w:after="0"/>
        <w:jc w:val="left"/>
        <w:outlineLvl w:val="5"/>
        <w:rPr>
          <w:sz w:val="2"/>
        </w:rPr>
      </w:pPr>
    </w:p>
    <w:p w:rsidR="00BE1EFE" w:rsidRPr="00EF59F2" w:rsidRDefault="00BE1EFE" w:rsidP="003114F8">
      <w:pPr>
        <w:pStyle w:val="StandardWeb"/>
      </w:pPr>
      <w:r w:rsidRPr="00EF59F2">
        <w:t>Beschäftigte im Pfarrbüro mit schwierigen Tätigkeiten</w:t>
      </w:r>
      <w:r>
        <w:t>.</w:t>
      </w:r>
    </w:p>
    <w:p w:rsidR="00BE1EFE" w:rsidRDefault="00BE1EFE" w:rsidP="003114F8">
      <w:pPr>
        <w:pStyle w:val="StandardWeb"/>
      </w:pPr>
    </w:p>
    <w:p w:rsidR="00BE1EFE" w:rsidRDefault="00BE1EFE" w:rsidP="003114F8">
      <w:pPr>
        <w:pStyle w:val="StandardWeb"/>
      </w:pPr>
      <w:r w:rsidRPr="000440D5">
        <w:t>(</w:t>
      </w:r>
      <w:r w:rsidRPr="000440D5">
        <w:rPr>
          <w:sz w:val="12"/>
          <w:szCs w:val="12"/>
        </w:rPr>
        <w:t>1</w:t>
      </w:r>
      <w:r w:rsidRPr="000440D5">
        <w:t xml:space="preserve">Schwierige Tätigkeiten sind Tätigkeiten, die mehr als eine eingehende fachliche Einarbeitung im Sinne der Entgeltgruppe 3 erfordern. </w:t>
      </w:r>
      <w:r w:rsidRPr="000440D5">
        <w:rPr>
          <w:sz w:val="12"/>
          <w:szCs w:val="12"/>
        </w:rPr>
        <w:t>2</w:t>
      </w:r>
      <w:r>
        <w:t>Danach müssen Tätigkei</w:t>
      </w:r>
      <w:r w:rsidRPr="000440D5">
        <w:t xml:space="preserve">ten anfallen, die an das Überlegungsvermögen oder das fachliche Geschick Anforderungen stellen, die über das Maß dessen hinausgehen, was üblicherweise von Beschäftigten der Entgeltgruppe 3 verlangt </w:t>
      </w:r>
      <w:r>
        <w:t xml:space="preserve">werden kann.) </w:t>
      </w:r>
    </w:p>
    <w:p w:rsidR="00BE1EFE" w:rsidRDefault="00BE1EFE" w:rsidP="000440D5">
      <w:pPr>
        <w:pStyle w:val="berschrift6"/>
      </w:pPr>
      <w:bookmarkStart w:id="595" w:name="_Toc523926139"/>
      <w:r>
        <w:t>Entgeltgruppe 5</w:t>
      </w:r>
      <w:bookmarkEnd w:id="595"/>
    </w:p>
    <w:p w:rsidR="00BE1EFE" w:rsidRDefault="00BE1EFE" w:rsidP="000440D5">
      <w:pPr>
        <w:pStyle w:val="StandardWeb"/>
      </w:pPr>
      <w:r>
        <w:t>Beschäftigte im Pfarrbüro deren Tätigkeit gründliche Fachkenntnisse erfordert.</w:t>
      </w:r>
    </w:p>
    <w:p w:rsidR="00BE1EFE" w:rsidRDefault="00BE1EFE" w:rsidP="000440D5">
      <w:pPr>
        <w:pStyle w:val="StandardWeb"/>
      </w:pPr>
    </w:p>
    <w:p w:rsidR="00BE1EFE" w:rsidRDefault="00BE1EFE" w:rsidP="000440D5">
      <w:pPr>
        <w:pStyle w:val="StandardWeb"/>
      </w:pPr>
      <w:r>
        <w:t>(Gründliche Fachkenntnisse erfordern nähere Kenntnisse von Rechtsvorschriften oder näheres kaufmännisches oder technisches Fachwissen usw. des Aufgabenkreises.)</w:t>
      </w:r>
    </w:p>
    <w:p w:rsidR="00BE1EFE" w:rsidRDefault="00BE1EFE" w:rsidP="000440D5">
      <w:pPr>
        <w:pStyle w:val="StandardWeb"/>
      </w:pPr>
      <w:r>
        <w:t> </w:t>
      </w:r>
    </w:p>
    <w:p w:rsidR="00BE1EFE" w:rsidRPr="000440D5" w:rsidRDefault="00BE1EFE" w:rsidP="000440D5">
      <w:pPr>
        <w:pStyle w:val="StandardWeb"/>
        <w:rPr>
          <w:sz w:val="12"/>
          <w:szCs w:val="12"/>
        </w:rPr>
      </w:pPr>
      <w:r w:rsidRPr="000440D5">
        <w:rPr>
          <w:sz w:val="12"/>
          <w:szCs w:val="12"/>
        </w:rPr>
        <w:t xml:space="preserve">Protokollnotiz zu EG 5: </w:t>
      </w:r>
    </w:p>
    <w:p w:rsidR="00BE1EFE" w:rsidRPr="000440D5" w:rsidRDefault="00BE1EFE" w:rsidP="000440D5">
      <w:pPr>
        <w:pStyle w:val="StandardWeb"/>
        <w:rPr>
          <w:sz w:val="12"/>
          <w:szCs w:val="12"/>
        </w:rPr>
      </w:pPr>
      <w:r w:rsidRPr="000440D5">
        <w:rPr>
          <w:sz w:val="12"/>
          <w:szCs w:val="12"/>
        </w:rPr>
        <w:t>1Eine Überprüfung und Neufeststellung der Eingruppierung der Beschäftigten im Pfarrbüro findet anlässlich der Einführung der Entgeltgruppe 5 für die Dauer der unverändert auszuübenden Tätigkeit nur auf Antrag der/des Beschäftigten statt. 2Eine Herabgruppierung in die EG 5 ist hierbei ausgeschlossen. 3Eine Eingruppierung in Entgeltgruppe 5 findet erst nach einer Bewertung der auszuübenden Tätigkeit statt.</w:t>
      </w:r>
    </w:p>
    <w:p w:rsidR="00BE1EFE" w:rsidRPr="00EF59F2" w:rsidRDefault="00BE1EFE" w:rsidP="003114F8">
      <w:pPr>
        <w:pStyle w:val="berschrift6"/>
      </w:pPr>
      <w:bookmarkStart w:id="596" w:name="_Toc473549981"/>
      <w:bookmarkStart w:id="597" w:name="_Toc523926140"/>
      <w:r w:rsidRPr="00EF59F2">
        <w:t>Entgeltgruppe 6</w:t>
      </w:r>
      <w:bookmarkEnd w:id="596"/>
      <w:bookmarkEnd w:id="597"/>
    </w:p>
    <w:p w:rsidR="00BE1EFE" w:rsidRPr="00B76821" w:rsidRDefault="00BE1EFE" w:rsidP="00B76821">
      <w:pPr>
        <w:pStyle w:val="h7"/>
        <w:keepNext w:val="0"/>
        <w:spacing w:before="0" w:after="0"/>
        <w:jc w:val="left"/>
        <w:outlineLvl w:val="5"/>
        <w:rPr>
          <w:sz w:val="2"/>
        </w:rPr>
      </w:pPr>
    </w:p>
    <w:p w:rsidR="00BE1EFE" w:rsidRPr="00EF59F2" w:rsidRDefault="00BE1EFE" w:rsidP="003114F8">
      <w:pPr>
        <w:pStyle w:val="StandardWeb"/>
      </w:pPr>
      <w:r w:rsidRPr="00EF59F2">
        <w:lastRenderedPageBreak/>
        <w:t>Beschäftigte im Pfarrbüro, deren Tätigkeit gründliche und vielse</w:t>
      </w:r>
      <w:r>
        <w:t>itige Fachkenntnisse erfordert.</w:t>
      </w:r>
    </w:p>
    <w:p w:rsidR="00BE1EFE" w:rsidRDefault="00BE1EFE" w:rsidP="003114F8">
      <w:pPr>
        <w:pStyle w:val="StandardWeb"/>
      </w:pPr>
    </w:p>
    <w:p w:rsidR="00BE1EFE" w:rsidRPr="00EF59F2" w:rsidRDefault="00BE1EFE" w:rsidP="003114F8">
      <w:pPr>
        <w:pStyle w:val="StandardWeb"/>
      </w:pPr>
      <w:r w:rsidRPr="000440D5">
        <w:t>(</w:t>
      </w:r>
      <w:r w:rsidRPr="000440D5">
        <w:rPr>
          <w:sz w:val="12"/>
          <w:szCs w:val="12"/>
        </w:rPr>
        <w:t>1</w:t>
      </w:r>
      <w:r w:rsidRPr="000440D5">
        <w:t>Die gründlichen und vielseitigen Fachkenntnisse brauchen sich nicht auf das gesamte Gebiet der Verwaltung (des Betr</w:t>
      </w:r>
      <w:r>
        <w:t>iebes), bei der die/der Beschäf</w:t>
      </w:r>
      <w:r w:rsidRPr="000440D5">
        <w:t xml:space="preserve">tigte tätig ist, zu beziehen. </w:t>
      </w:r>
      <w:r w:rsidRPr="000440D5">
        <w:rPr>
          <w:sz w:val="12"/>
          <w:szCs w:val="12"/>
        </w:rPr>
        <w:t>2</w:t>
      </w:r>
      <w:r w:rsidRPr="000440D5">
        <w:t>Der Aufgabenkreis der/des Beschäftigten muss aber so gestaltet sein, dass er nur beim Vorhandensein gründlicher und vielseitiger Fachkenntnisse ordnung</w:t>
      </w:r>
      <w:r>
        <w:t>sgemäß bearbeitet werden kann.)</w:t>
      </w:r>
    </w:p>
    <w:p w:rsidR="00BE1EFE" w:rsidRPr="00EF59F2" w:rsidRDefault="00BE1EFE" w:rsidP="003114F8">
      <w:pPr>
        <w:pStyle w:val="berschrift6"/>
      </w:pPr>
      <w:bookmarkStart w:id="598" w:name="_Toc473549982"/>
      <w:bookmarkStart w:id="599" w:name="_Toc523926141"/>
      <w:r w:rsidRPr="00EF59F2">
        <w:t>Entgeltgruppe 7</w:t>
      </w:r>
      <w:bookmarkEnd w:id="598"/>
      <w:bookmarkEnd w:id="599"/>
    </w:p>
    <w:p w:rsidR="00BE1EFE" w:rsidRPr="00B76821" w:rsidRDefault="00BE1EFE" w:rsidP="00B76821">
      <w:pPr>
        <w:pStyle w:val="h7"/>
        <w:keepNext w:val="0"/>
        <w:spacing w:before="0" w:after="0"/>
        <w:jc w:val="left"/>
        <w:outlineLvl w:val="5"/>
        <w:rPr>
          <w:sz w:val="2"/>
        </w:rPr>
      </w:pPr>
    </w:p>
    <w:p w:rsidR="00BE1EFE" w:rsidRPr="00C03F7F" w:rsidRDefault="00BE1EFE" w:rsidP="003114F8">
      <w:pPr>
        <w:pStyle w:val="StandardWeb"/>
      </w:pPr>
      <w:r w:rsidRPr="00C03F7F">
        <w:t>Beschäftigte im Pfarrbüro, deren Tätigkeit gründliche und vielseitige Fachkenntnisse und mindestens zu einem Fünftel selbstständige Leistungen erfordert</w:t>
      </w:r>
      <w:r>
        <w:t>.</w:t>
      </w:r>
    </w:p>
    <w:p w:rsidR="00BE1EFE" w:rsidRDefault="00BE1EFE" w:rsidP="003114F8">
      <w:pPr>
        <w:pStyle w:val="StandardWeb"/>
        <w:rPr>
          <w:u w:val="single"/>
        </w:rPr>
      </w:pPr>
    </w:p>
    <w:p w:rsidR="00BE1EFE" w:rsidRPr="000440D5" w:rsidRDefault="00BE1EFE" w:rsidP="003114F8">
      <w:pPr>
        <w:pStyle w:val="StandardWeb"/>
      </w:pPr>
      <w:r w:rsidRPr="000440D5">
        <w:t>(Selbstständige Leistungen erfordern ei</w:t>
      </w:r>
      <w:r>
        <w:t>n den vorausgesetzten Fachkennt</w:t>
      </w:r>
      <w:r w:rsidRPr="000440D5">
        <w:t>nissen entsprechen</w:t>
      </w:r>
      <w:r>
        <w:softHyphen/>
      </w:r>
      <w:r w:rsidRPr="000440D5">
        <w:t>des selbstständiges Erarbeiten eines Ergebnisses unter Entwicklung einer eigenen geistigen Initiative; eine leichte geistige Arbeit kann die</w:t>
      </w:r>
      <w:r>
        <w:t>se Anforderung nicht erfüllen.)</w:t>
      </w:r>
    </w:p>
    <w:p w:rsidR="00BE1EFE" w:rsidRPr="00D63EB6" w:rsidRDefault="00BE1EFE" w:rsidP="003114F8">
      <w:pPr>
        <w:pStyle w:val="berschrift6"/>
      </w:pPr>
      <w:bookmarkStart w:id="600" w:name="_Toc473549983"/>
      <w:bookmarkStart w:id="601" w:name="_Toc523926142"/>
      <w:r w:rsidRPr="00D63EB6">
        <w:t>Entgeltgruppe 8</w:t>
      </w:r>
      <w:bookmarkEnd w:id="600"/>
      <w:bookmarkEnd w:id="601"/>
    </w:p>
    <w:p w:rsidR="00BE1EFE" w:rsidRPr="00B76821" w:rsidRDefault="00BE1EFE" w:rsidP="00B76821">
      <w:pPr>
        <w:pStyle w:val="h7"/>
        <w:keepNext w:val="0"/>
        <w:spacing w:before="0" w:after="0"/>
        <w:jc w:val="left"/>
        <w:outlineLvl w:val="5"/>
        <w:rPr>
          <w:sz w:val="2"/>
        </w:rPr>
      </w:pPr>
    </w:p>
    <w:p w:rsidR="00BE1EFE" w:rsidRPr="0099296C" w:rsidRDefault="00BE1EFE" w:rsidP="003114F8">
      <w:pPr>
        <w:pStyle w:val="StandardWeb"/>
      </w:pPr>
      <w:r w:rsidRPr="00D63EB6">
        <w:t>Beschäftigte im Pfarrbüro, deren Tätigkeit gründliche und vielseitige Fachkenntnisse und mindestens zu einem Drittel selbs</w:t>
      </w:r>
      <w:r>
        <w:t>tständige Leistungen erfordert.</w:t>
      </w:r>
    </w:p>
    <w:p w:rsidR="00BE1EFE" w:rsidRPr="007D2F2B" w:rsidRDefault="00BE1EFE" w:rsidP="003114F8">
      <w:pPr>
        <w:pStyle w:val="berschrift6"/>
        <w:rPr>
          <w:lang w:eastAsia="x-none"/>
        </w:rPr>
      </w:pPr>
      <w:bookmarkStart w:id="602" w:name="_Toc473549984"/>
      <w:bookmarkStart w:id="603" w:name="_Toc523926143"/>
      <w:r w:rsidRPr="00EF59F2">
        <w:t>Entgeltgruppe 9a</w:t>
      </w:r>
      <w:bookmarkEnd w:id="602"/>
      <w:bookmarkEnd w:id="603"/>
    </w:p>
    <w:p w:rsidR="00BE1EFE" w:rsidRPr="00B76821" w:rsidRDefault="00BE1EFE" w:rsidP="00B76821">
      <w:pPr>
        <w:pStyle w:val="h7"/>
        <w:keepNext w:val="0"/>
        <w:spacing w:before="0" w:after="0"/>
        <w:jc w:val="left"/>
        <w:outlineLvl w:val="5"/>
        <w:rPr>
          <w:sz w:val="2"/>
        </w:rPr>
      </w:pPr>
    </w:p>
    <w:p w:rsidR="00BE1EFE" w:rsidRPr="00C03F7F" w:rsidRDefault="00BE1EFE" w:rsidP="003114F8">
      <w:pPr>
        <w:pStyle w:val="StandardWeb"/>
      </w:pPr>
      <w:r w:rsidRPr="00C03F7F">
        <w:t>Beschäftigte im Pfarrbüro, deren Tätigkeit gründliche und vielseitige Fachkenntnisse und selbstständige Leistungen erfordert</w:t>
      </w:r>
      <w:r>
        <w:t>.</w:t>
      </w:r>
    </w:p>
    <w:p w:rsidR="00BE1EFE" w:rsidRPr="00EF59F2" w:rsidRDefault="00BE1EFE" w:rsidP="003114F8">
      <w:pPr>
        <w:pStyle w:val="StandardWeb"/>
      </w:pPr>
    </w:p>
    <w:p w:rsidR="00BE1EFE" w:rsidRPr="007D2F2B" w:rsidRDefault="00BE1EFE" w:rsidP="003114F8">
      <w:pPr>
        <w:pStyle w:val="StandardWeb"/>
        <w:rPr>
          <w:sz w:val="12"/>
          <w:szCs w:val="12"/>
        </w:rPr>
      </w:pPr>
      <w:r w:rsidRPr="007D2F2B">
        <w:rPr>
          <w:sz w:val="12"/>
          <w:szCs w:val="12"/>
        </w:rPr>
        <w:t>Protokollnotiz:</w:t>
      </w:r>
    </w:p>
    <w:p w:rsidR="00BE1EFE" w:rsidRDefault="00BE1EFE" w:rsidP="003114F8">
      <w:pPr>
        <w:pStyle w:val="StandardWeb"/>
        <w:rPr>
          <w:sz w:val="12"/>
          <w:szCs w:val="12"/>
        </w:rPr>
      </w:pPr>
      <w:r w:rsidRPr="007D2F2B">
        <w:rPr>
          <w:sz w:val="12"/>
          <w:szCs w:val="12"/>
        </w:rPr>
        <w:t>Beschäftigte im Pfarrbüro, die Tätigkeiten ausüben, die den allge</w:t>
      </w:r>
      <w:r>
        <w:rPr>
          <w:sz w:val="12"/>
          <w:szCs w:val="12"/>
        </w:rPr>
        <w:t>meinen Tätigkeitsmerkmalen (</w:t>
      </w:r>
      <w:r w:rsidRPr="007D2F2B">
        <w:rPr>
          <w:sz w:val="12"/>
          <w:szCs w:val="12"/>
        </w:rPr>
        <w:t xml:space="preserve">Teil A, 2.2.1.) entsprechen und Entgeltgruppe 9b und höher zuzuordnen sind, fallen nicht unter diese Entgeltordnung für Beschäftigte im Pfarrbüro. </w:t>
      </w:r>
    </w:p>
    <w:p w:rsidR="00BE1EFE" w:rsidRDefault="00BE1EFE" w:rsidP="003114F8">
      <w:pPr>
        <w:pStyle w:val="StandardWeb"/>
        <w:rPr>
          <w:sz w:val="12"/>
          <w:szCs w:val="12"/>
        </w:rPr>
      </w:pPr>
    </w:p>
    <w:p w:rsidR="00BE1EFE" w:rsidRPr="0099296C" w:rsidRDefault="00BE1EFE" w:rsidP="0099296C">
      <w:pPr>
        <w:pStyle w:val="StandardWeb"/>
        <w:rPr>
          <w:sz w:val="12"/>
          <w:szCs w:val="12"/>
        </w:rPr>
      </w:pPr>
      <w:r w:rsidRPr="0099296C">
        <w:rPr>
          <w:sz w:val="12"/>
          <w:szCs w:val="12"/>
        </w:rPr>
        <w:t>Niederschriftserklärung</w:t>
      </w:r>
    </w:p>
    <w:p w:rsidR="00BE1EFE" w:rsidRPr="0099296C" w:rsidRDefault="00BE1EFE" w:rsidP="0099296C">
      <w:pPr>
        <w:pStyle w:val="StandardWeb"/>
        <w:rPr>
          <w:sz w:val="12"/>
          <w:szCs w:val="12"/>
        </w:rPr>
      </w:pPr>
      <w:r w:rsidRPr="0099296C">
        <w:rPr>
          <w:sz w:val="12"/>
          <w:szCs w:val="12"/>
        </w:rPr>
        <w:t>Zur Entgeltgruppe 3:</w:t>
      </w:r>
    </w:p>
    <w:p w:rsidR="00BE1EFE" w:rsidRPr="0099296C" w:rsidRDefault="00BE1EFE" w:rsidP="0099296C">
      <w:pPr>
        <w:pStyle w:val="StandardWeb"/>
        <w:rPr>
          <w:sz w:val="12"/>
          <w:szCs w:val="12"/>
        </w:rPr>
      </w:pPr>
      <w:r w:rsidRPr="0099296C">
        <w:rPr>
          <w:sz w:val="12"/>
          <w:szCs w:val="12"/>
        </w:rPr>
        <w:t>1Eine eingehende fachliche Einarbeitung im Sinne des Tätigkeitsmerkmals ist im Pfarrbüro zum Beispiel für die Mitwirkung bei der Bearbeitung laufender oder gleichartiger Geschäfte nach Anleitung erforderlich. 2Das Entwerfen von im Rahmen der Mitwirkung zu erledigenden Schreiben nach skizzierten Angaben ist mit umfasst. 3Auch ständig wiederkehrende Arbeiten in Anlehnung an ähnliche Vorgänge – auch ohne Anleitung – erfüllen das Tätigkeitsmerkmal.</w:t>
      </w:r>
    </w:p>
    <w:p w:rsidR="00BE1EFE" w:rsidRPr="0099296C" w:rsidRDefault="00BE1EFE" w:rsidP="0099296C">
      <w:pPr>
        <w:pStyle w:val="StandardWeb"/>
        <w:rPr>
          <w:sz w:val="12"/>
          <w:szCs w:val="12"/>
        </w:rPr>
      </w:pPr>
      <w:r w:rsidRPr="0099296C">
        <w:rPr>
          <w:sz w:val="12"/>
          <w:szCs w:val="12"/>
        </w:rPr>
        <w:t>Zur Entgeltgruppe 4:</w:t>
      </w:r>
    </w:p>
    <w:p w:rsidR="00BE1EFE" w:rsidRPr="0099296C" w:rsidRDefault="00BE1EFE" w:rsidP="0099296C">
      <w:pPr>
        <w:pStyle w:val="StandardWeb"/>
        <w:rPr>
          <w:sz w:val="12"/>
          <w:szCs w:val="12"/>
        </w:rPr>
      </w:pPr>
      <w:r w:rsidRPr="0099296C">
        <w:rPr>
          <w:sz w:val="12"/>
          <w:szCs w:val="12"/>
        </w:rPr>
        <w:t>Im Pfarrbüro sind schwierige Tätigkeiten zum Beispiel Tätigkeiten im Bereich allgemeiner Sekretariatsarbeiten, für deren Be</w:t>
      </w:r>
      <w:r>
        <w:rPr>
          <w:sz w:val="12"/>
          <w:szCs w:val="12"/>
        </w:rPr>
        <w:t>wältigung gründliche Fachkennt</w:t>
      </w:r>
      <w:r w:rsidRPr="0099296C">
        <w:rPr>
          <w:sz w:val="12"/>
          <w:szCs w:val="12"/>
        </w:rPr>
        <w:t>nisse (wie sie zum Beispiel in einer Ausbildung zur/zum Kauffrau/Kaufmann für Büromanagement erworben werden) in bewertungsrelevantem Umfang nicht erforderlich sind.</w:t>
      </w:r>
    </w:p>
    <w:p w:rsidR="00BE1EFE" w:rsidRPr="0099296C" w:rsidRDefault="00BE1EFE" w:rsidP="0099296C">
      <w:pPr>
        <w:pStyle w:val="StandardWeb"/>
        <w:rPr>
          <w:sz w:val="12"/>
          <w:szCs w:val="12"/>
        </w:rPr>
      </w:pPr>
      <w:r w:rsidRPr="0099296C">
        <w:rPr>
          <w:sz w:val="12"/>
          <w:szCs w:val="12"/>
        </w:rPr>
        <w:t>Zur Entgeltgruppe 5:</w:t>
      </w:r>
    </w:p>
    <w:p w:rsidR="00BE1EFE" w:rsidRPr="0099296C" w:rsidRDefault="00BE1EFE" w:rsidP="0099296C">
      <w:pPr>
        <w:pStyle w:val="StandardWeb"/>
        <w:rPr>
          <w:sz w:val="12"/>
          <w:szCs w:val="12"/>
        </w:rPr>
      </w:pPr>
      <w:r w:rsidRPr="0099296C">
        <w:rPr>
          <w:sz w:val="12"/>
          <w:szCs w:val="12"/>
        </w:rPr>
        <w:t xml:space="preserve">1Gründliche Fachkenntnisse werden in der Regel in einem anerkannten Ausbildungsberuf mit einer Ausbildungsdauer von mindestens drei Jahren erworben. 2Gründliche Fachkenntnisse liegen vor, wenn zur abschließenden Bearbeitung routinemäßiger Normfälle in einem eng begrenzten Aufgabengebiet Erlerntes oder durch Erfahrung gewonnenes Spezialwissen angewandt wird. 3Hierzu gehört die nähere Kenntnis und gegebenenfalls Anwendung von staatlichen und kirchlichen Gesetzen, Verwaltungsvorschriften und sonstigen Ordnungen. </w:t>
      </w:r>
    </w:p>
    <w:p w:rsidR="00BE1EFE" w:rsidRPr="0099296C" w:rsidRDefault="00BE1EFE" w:rsidP="0099296C">
      <w:pPr>
        <w:pStyle w:val="StandardWeb"/>
        <w:rPr>
          <w:sz w:val="12"/>
          <w:szCs w:val="12"/>
        </w:rPr>
      </w:pPr>
      <w:r w:rsidRPr="0099296C">
        <w:rPr>
          <w:sz w:val="12"/>
          <w:szCs w:val="12"/>
        </w:rPr>
        <w:t>Zur Entgeltgruppe 6:</w:t>
      </w:r>
    </w:p>
    <w:p w:rsidR="00BE1EFE" w:rsidRPr="0099296C" w:rsidRDefault="00BE1EFE" w:rsidP="0099296C">
      <w:pPr>
        <w:pStyle w:val="StandardWeb"/>
        <w:rPr>
          <w:sz w:val="12"/>
          <w:szCs w:val="12"/>
        </w:rPr>
      </w:pPr>
      <w:r w:rsidRPr="0099296C">
        <w:rPr>
          <w:sz w:val="12"/>
          <w:szCs w:val="12"/>
        </w:rPr>
        <w:t>1Für die Tätigkeit als Beschäftigte im Pfarrbüro sind gründliche und vielseitige Fachkenntnisse zum Beispiel erforderlich, wenn für entsprechende Tätigkeiten nähere Kenntnisse von Rechtsvorschriften oder von kaufmännischem oder technischem Fachwissen in mehreren der in § 3 Nrn. 3.1. bis 3.3. Teil C, 8. genannten Bereiche gegeben sein müssen. 2Das Merkmal der Vielseitigkeit ist also erfüllt, wenn in mehreren unterschiedlichen Aufgabenbereichen jeweils unterschiedliche gründliche Fachkenntnisse erforderlich sind.</w:t>
      </w:r>
    </w:p>
    <w:p w:rsidR="00BE1EFE" w:rsidRPr="0099296C" w:rsidRDefault="00BE1EFE" w:rsidP="0099296C">
      <w:pPr>
        <w:pStyle w:val="StandardWeb"/>
        <w:rPr>
          <w:sz w:val="12"/>
          <w:szCs w:val="12"/>
        </w:rPr>
      </w:pPr>
      <w:r w:rsidRPr="0099296C">
        <w:rPr>
          <w:sz w:val="12"/>
          <w:szCs w:val="12"/>
        </w:rPr>
        <w:t>Zur Entgeltgruppe 7:</w:t>
      </w:r>
    </w:p>
    <w:p w:rsidR="00BE1EFE" w:rsidRDefault="00BE1EFE" w:rsidP="0099296C">
      <w:pPr>
        <w:pStyle w:val="StandardWeb"/>
        <w:rPr>
          <w:sz w:val="12"/>
          <w:szCs w:val="12"/>
        </w:rPr>
      </w:pPr>
      <w:r w:rsidRPr="0099296C">
        <w:rPr>
          <w:sz w:val="12"/>
          <w:szCs w:val="12"/>
        </w:rPr>
        <w:t xml:space="preserve">Selbständige Leistungen liegen im Pfarrbüro zum Beispiel vor, wenn entsprechende Aufgaben im Bereich des § 3 Nr. 6 </w:t>
      </w:r>
      <w:hyperlink r:id="rId383" w:history="1">
        <w:r w:rsidRPr="00B657DC">
          <w:rPr>
            <w:rStyle w:val="Hyperlink"/>
            <w:sz w:val="12"/>
            <w:szCs w:val="12"/>
          </w:rPr>
          <w:t>Teil C</w:t>
        </w:r>
      </w:hyperlink>
      <w:r w:rsidRPr="0099296C">
        <w:rPr>
          <w:sz w:val="12"/>
          <w:szCs w:val="12"/>
        </w:rPr>
        <w:t xml:space="preserve">, 8. zu bearbeiten sind, die das selbstständige Erarbeiten eines Ergebnisses (z.B. Interpretation unbestimmter Rechtsbegriffe oder Entscheidungen im Rahmen von </w:t>
      </w:r>
      <w:r>
        <w:rPr>
          <w:sz w:val="12"/>
          <w:szCs w:val="12"/>
        </w:rPr>
        <w:t>Ermessenspielräumen) erfordern.</w:t>
      </w:r>
    </w:p>
    <w:p w:rsidR="00BE1EFE" w:rsidRPr="00214B50" w:rsidRDefault="00BE1EFE" w:rsidP="003114F8">
      <w:pPr>
        <w:pStyle w:val="StandardWeb"/>
        <w:rPr>
          <w:sz w:val="12"/>
          <w:szCs w:val="12"/>
        </w:rPr>
      </w:pPr>
    </w:p>
    <w:p w:rsidR="00BE1EFE" w:rsidRPr="00135E3A" w:rsidRDefault="00BE1EFE" w:rsidP="005D2731">
      <w:pPr>
        <w:pStyle w:val="berschrift5"/>
        <w:jc w:val="both"/>
        <w:rPr>
          <w:rStyle w:val="Hervorhebung"/>
          <w:i w:val="0"/>
        </w:rPr>
      </w:pPr>
      <w:bookmarkStart w:id="604" w:name="_Toc523926144"/>
      <w:r>
        <w:lastRenderedPageBreak/>
        <w:t>A, 2.13. Regelung über das Lohngruppenverzeichnis zum ABD</w:t>
      </w:r>
      <w:bookmarkEnd w:id="604"/>
    </w:p>
    <w:p w:rsidR="00BE1EFE" w:rsidRPr="00B76821" w:rsidRDefault="00BE1EFE" w:rsidP="00B76821">
      <w:pPr>
        <w:pStyle w:val="berschrift6"/>
        <w:keepNext w:val="0"/>
        <w:spacing w:before="0" w:after="0"/>
        <w:rPr>
          <w:rStyle w:val="Hervorhebung"/>
          <w:iCs/>
          <w:sz w:val="2"/>
        </w:rPr>
      </w:pPr>
    </w:p>
    <w:p w:rsidR="00BE1EFE" w:rsidRPr="000B1AF8" w:rsidRDefault="00BE1EFE" w:rsidP="000B37DB">
      <w:pPr>
        <w:pStyle w:val="StandardWeb"/>
        <w:autoSpaceDE w:val="0"/>
      </w:pPr>
      <w:r>
        <w:rPr>
          <w:rStyle w:val="Hervorhebung"/>
          <w:iCs/>
        </w:rPr>
        <w:t>Soweit Bezug genommen wird auf das ABD, handelt es sich um das ABD in der bis zum 30.09.2005 geltenden Fassung.</w:t>
      </w:r>
    </w:p>
    <w:p w:rsidR="00BE1EFE" w:rsidRDefault="00BE1EFE">
      <w:pPr>
        <w:pStyle w:val="berschrift6"/>
      </w:pPr>
      <w:bookmarkStart w:id="605" w:name="_Toc523926145"/>
      <w:r>
        <w:t>§ 1 Lohngruppen</w:t>
      </w:r>
      <w:bookmarkEnd w:id="60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Lohngruppen und deren Tätigkeitsmerkmale ergeben sich aus dem Lohngruppen</w:t>
      </w:r>
      <w:r>
        <w:softHyphen/>
        <w:t>verzeichnis.</w:t>
      </w:r>
    </w:p>
    <w:p w:rsidR="00BE1EFE" w:rsidRPr="000B1AF8" w:rsidRDefault="00BE1EFE">
      <w:pPr>
        <w:pStyle w:val="StandardWeb"/>
      </w:pPr>
    </w:p>
    <w:p w:rsidR="00BE1EFE" w:rsidRDefault="00BE1EFE">
      <w:pPr>
        <w:pStyle w:val="StandardWeb"/>
      </w:pPr>
      <w:r>
        <w:t xml:space="preserve">(2) Die Monatstabellenlöhne (§ 21 Abs. 3 ABD </w:t>
      </w:r>
      <w:r w:rsidRPr="005A2B2C">
        <w:t>Teil B, 1</w:t>
      </w:r>
      <w:proofErr w:type="gramStart"/>
      <w:r w:rsidRPr="005A2B2C">
        <w:t>.</w:t>
      </w:r>
      <w:r>
        <w:t>*</w:t>
      </w:r>
      <w:proofErr w:type="gramEnd"/>
      <w:r>
        <w:t xml:space="preserve">*) für die Lohngruppen sind in der jeweiligen Regelung des Monatslohnes zum ABD </w:t>
      </w:r>
      <w:r w:rsidRPr="005A2B2C">
        <w:t>Teil B</w:t>
      </w:r>
      <w:r>
        <w:t>, 1. festgelegt.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06" w:name="_Toc523926146"/>
      <w:r>
        <w:t>§ 2 Einreihung in die Lohngruppen</w:t>
      </w:r>
      <w:bookmarkEnd w:id="60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die Einreihung in die Lohngruppen ist die mit mindestens der Hälfte der vereinbarten regelmäßigen wöchentlichen Arbeitszeit auszuübende Tätigkeit maßgebend, soweit sich aus den Tätigkeitsmerkmalen nichts anderes ergibt.</w:t>
      </w:r>
    </w:p>
    <w:p w:rsidR="00BE1EFE" w:rsidRPr="000B1AF8" w:rsidRDefault="00BE1EFE">
      <w:pPr>
        <w:pStyle w:val="StandardWeb"/>
      </w:pPr>
    </w:p>
    <w:p w:rsidR="00BE1EFE" w:rsidRDefault="00BE1EFE">
      <w:pPr>
        <w:pStyle w:val="StandardWeb"/>
      </w:pPr>
      <w:r>
        <w:t>(2) </w:t>
      </w:r>
      <w:r>
        <w:rPr>
          <w:rStyle w:val="kleinschrift"/>
        </w:rPr>
        <w:t>1</w:t>
      </w:r>
      <w:r>
        <w:t xml:space="preserve">Ist bei unveränderter Tätigkeit die Einreihung in eine höhere Lohngruppe von der Vollendung eines Lebensjahres, von einem Zeitablauf, von der Erfüllung einer Bewährungszeit oder von dem Bestehen einer Prüfung abhängig, so wird der Arbeiter in die höhere Lohngruppe mit Beginn des Lohnzeitraumes eingereiht, in den das maßgebende Ereignis fällt. </w:t>
      </w:r>
      <w:r>
        <w:rPr>
          <w:rStyle w:val="kleinschrift"/>
        </w:rPr>
        <w:t>2</w:t>
      </w:r>
      <w:r>
        <w:t>Maßgebendes Ereignis für einen Zeitablauf oder für die Erfüllung einer Bewährungszeit ist der dem Zeitablauf oder dem Ablauf der Bewährungszeit folgende Tag.</w:t>
      </w:r>
    </w:p>
    <w:p w:rsidR="00BE1EFE" w:rsidRDefault="00BE1EFE">
      <w:pPr>
        <w:pStyle w:val="StandardWeb"/>
      </w:pPr>
    </w:p>
    <w:p w:rsidR="00BE1EFE" w:rsidRDefault="00BE1EFE">
      <w:pPr>
        <w:pStyle w:val="StandardWeb"/>
      </w:pPr>
      <w:r>
        <w:t>(3) </w:t>
      </w:r>
      <w:r>
        <w:rPr>
          <w:rStyle w:val="kleinschrift"/>
        </w:rPr>
        <w:t>1</w:t>
      </w:r>
      <w:r>
        <w:t xml:space="preserve">Die Tätigkeitsmerkmale, die für bestimmte Einrichtungen vorgesehen sind, gelten nur für die in diesen Einrichtungen beschäftigten Arbeiter. </w:t>
      </w:r>
      <w:r>
        <w:rPr>
          <w:rStyle w:val="kleinschrift"/>
        </w:rPr>
        <w:t>2</w:t>
      </w:r>
      <w:r>
        <w:t xml:space="preserve">Das schließt nicht aus, dass außerhalb dieser Einrichtungen mit gleichartigen Arbeiten beschäftigte Arbeiter bei Erfüllung der allgemeinen Tätigkeitsmerkmale in dieselbe Lohngruppe einzureihen sind. </w:t>
      </w:r>
      <w:r>
        <w:rPr>
          <w:rStyle w:val="kleinschrift"/>
        </w:rPr>
        <w:t>3</w:t>
      </w:r>
      <w:r>
        <w:t>Die Tätigkeitsmerkmale, die für ein bestimmtes Fachgebiet vorgesehen sind, gelten für alle in diesem Fachgebiet beschäftigten Arbeiter ohne Rücksicht darauf, in welcher Einrichtung sie tätig sind.</w:t>
      </w:r>
    </w:p>
    <w:p w:rsidR="00BE1EFE" w:rsidRDefault="00BE1EFE">
      <w:pPr>
        <w:pStyle w:val="StandardWeb"/>
      </w:pPr>
    </w:p>
    <w:p w:rsidR="00BE1EFE" w:rsidRDefault="00BE1EFE">
      <w:pPr>
        <w:pStyle w:val="StandardWeb"/>
      </w:pPr>
      <w:r>
        <w:t>(4) </w:t>
      </w:r>
      <w:r>
        <w:rPr>
          <w:rStyle w:val="kleinschrift"/>
        </w:rPr>
        <w:t>1</w:t>
      </w:r>
      <w:r>
        <w:t xml:space="preserve">Arbeiter, die in einer oder mehreren Lohngruppen unter „ferner“ aufgeführt sind, können nicht nach den allgemeinen Tätigkeitsmerkmalen eingereiht werden. </w:t>
      </w:r>
      <w:r>
        <w:rPr>
          <w:rStyle w:val="kleinschrift"/>
        </w:rPr>
        <w:t>2</w:t>
      </w:r>
      <w:r>
        <w:t xml:space="preserve">Dies gilt nicht für die Arbeiter der </w:t>
      </w:r>
      <w:hyperlink r:id="rId384" w:history="1">
        <w:r w:rsidRPr="002D1F1D">
          <w:rPr>
            <w:rStyle w:val="Hyperlink"/>
          </w:rPr>
          <w:t>Lohngruppe 2</w:t>
        </w:r>
      </w:hyperlink>
      <w:r>
        <w:t>, die überwiegend Arbeiten zu verrichten haben, die die Körperkräfte außerordentlich beanspruchen.</w:t>
      </w:r>
    </w:p>
    <w:p w:rsidR="00BE1EFE" w:rsidRDefault="00BE1EFE">
      <w:pPr>
        <w:pStyle w:val="StandardWeb"/>
      </w:pPr>
    </w:p>
    <w:p w:rsidR="00BE1EFE" w:rsidRDefault="00BE1EFE">
      <w:pPr>
        <w:pStyle w:val="StandardWeb"/>
      </w:pPr>
      <w:r>
        <w:t>(5) </w:t>
      </w:r>
      <w:r>
        <w:rPr>
          <w:rStyle w:val="kleinschrift"/>
        </w:rPr>
        <w:t>1</w:t>
      </w:r>
      <w:r>
        <w:t xml:space="preserve">Wird ein Arbeiter mit zwei regelmäßig nebeneinander zu verrichtenden, in keinem sachlichen Zusammenhang miteinander stehenden und verschiedenen Lohngruppen angehörenden Arbeiten beschäftigt, so erhält er, wenn nicht die Tätigkeit der höheren Lohngruppe mindestens die Hälfte der vereinbarten regelmäßigen wöchentlichen Arbeitszeit ausmacht, für jede Tätigkeit den Lohn der ihr entsprechenden Lohngruppe. </w:t>
      </w:r>
      <w:r>
        <w:rPr>
          <w:rStyle w:val="kleinschrift"/>
        </w:rPr>
        <w:t>2</w:t>
      </w:r>
      <w:r>
        <w:t xml:space="preserve">In diesem Falle kann im Arbeitsvertrag ein Mischlohn vereinbart werden, der der durchschnittlichen Beschäftigung in den einzelnen Lohngruppen entspricht. § 8 Abs. 2 ABD </w:t>
      </w:r>
      <w:r w:rsidRPr="005A2B2C">
        <w:t>Teil B</w:t>
      </w:r>
      <w:r>
        <w:t>, 1</w:t>
      </w:r>
      <w:proofErr w:type="gramStart"/>
      <w:r>
        <w:t>.*</w:t>
      </w:r>
      <w:proofErr w:type="gramEnd"/>
      <w:r>
        <w:t>* wird hierdurch nicht berührt.</w:t>
      </w:r>
    </w:p>
    <w:p w:rsidR="00BE1EFE" w:rsidRDefault="00BE1EFE">
      <w:pPr>
        <w:pStyle w:val="StandardWeb"/>
      </w:pPr>
    </w:p>
    <w:p w:rsidR="00BE1EFE" w:rsidRDefault="00BE1EFE">
      <w:pPr>
        <w:pStyle w:val="StandardWeb"/>
      </w:pPr>
      <w:r>
        <w:lastRenderedPageBreak/>
        <w:t>(6) Wird einem Arbeiter in anderen als in Vertretungsfällen (§ 9 Abs. 2 ABD Teil B, 1.**) vorübergehend eine andere, höher zu bewertende Tätigkeit, die ihn überwiegend in Anspruch nimmt, für mehr als zwei aufeinanderfolgende Arbeitstage übertragen, so erhält er für die Dauer dieser Tätigkeit vom ersten Tage an</w:t>
      </w:r>
    </w:p>
    <w:p w:rsidR="00BE1EFE" w:rsidRDefault="00BE1EFE">
      <w:pPr>
        <w:pStyle w:val="StandardWeb"/>
      </w:pPr>
      <w:r>
        <w:t>a) bei Übertragung einer arbeiterrentenversicherungspflichtigen Tätigkeit den Lohn der ihr entsprechenden Lohngruppe,</w:t>
      </w:r>
    </w:p>
    <w:p w:rsidR="00BE1EFE" w:rsidRDefault="00BE1EFE">
      <w:pPr>
        <w:pStyle w:val="StandardWeb"/>
      </w:pPr>
      <w:r>
        <w:t xml:space="preserve">b) bei Übertragung einer angestelltenrentenversicherungspflichtigen Tätigkeit eine Zulage von zehn vom Hundert des Monatstabellenlohnes der </w:t>
      </w:r>
      <w:hyperlink r:id="rId385" w:history="1">
        <w:r w:rsidRPr="002D1F1D">
          <w:rPr>
            <w:rStyle w:val="Hyperlink"/>
          </w:rPr>
          <w:t>Lohnstufe 1</w:t>
        </w:r>
      </w:hyperlink>
      <w:r>
        <w:t xml:space="preserve"> seiner Lohngruppe bzw. von zehn vom Hundert des auf eine Stunde entfallenden Anteils des Monatstabellenlohnes der </w:t>
      </w:r>
      <w:hyperlink r:id="rId386" w:history="1">
        <w:r w:rsidRPr="002D1F1D">
          <w:rPr>
            <w:rStyle w:val="Hyperlink"/>
          </w:rPr>
          <w:t>Lohnstufe 1</w:t>
        </w:r>
      </w:hyperlink>
      <w:r>
        <w:t xml:space="preserve"> seiner Lohngruppe.</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07" w:name="_Toc523926147"/>
      <w:r>
        <w:t>§ 3 Vorarbeiter</w:t>
      </w:r>
      <w:bookmarkEnd w:id="6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Arbeiter, die zu Vorarbeitern von Arbeitern der </w:t>
      </w:r>
      <w:hyperlink r:id="rId387" w:history="1">
        <w:r w:rsidRPr="002D1F1D">
          <w:rPr>
            <w:rStyle w:val="Hyperlink"/>
          </w:rPr>
          <w:t>Lohngruppen 1 bis 3 a</w:t>
        </w:r>
      </w:hyperlink>
      <w:r>
        <w:t xml:space="preserve"> bestellt worden sind, erhalten für die Dauer der Tätigkeit als solche eine Zulage von acht vom Hundert des Monatstabellenlohnes der Lohnstufe 4 der </w:t>
      </w:r>
      <w:hyperlink r:id="rId388" w:history="1">
        <w:r w:rsidRPr="002D1F1D">
          <w:rPr>
            <w:rStyle w:val="Hyperlink"/>
          </w:rPr>
          <w:t>Lohngruppe 1</w:t>
        </w:r>
      </w:hyperlink>
      <w:r>
        <w:t xml:space="preserve"> bzw. von acht vom Hundert des auf eine Stunde entfallenden Anteils des Monatstabellenlohnes der Lohnstufe 4 der </w:t>
      </w:r>
      <w:hyperlink r:id="rId389" w:history="1">
        <w:r>
          <w:rPr>
            <w:rStyle w:val="Hyperlink"/>
          </w:rPr>
          <w:t>Lohngruppe </w:t>
        </w:r>
        <w:r w:rsidRPr="002D1F1D">
          <w:rPr>
            <w:rStyle w:val="Hyperlink"/>
          </w:rPr>
          <w:t>1</w:t>
        </w:r>
      </w:hyperlink>
      <w:r>
        <w:t xml:space="preserve">. </w:t>
      </w:r>
      <w:r>
        <w:rPr>
          <w:rStyle w:val="kleinschrift"/>
        </w:rPr>
        <w:t>2</w:t>
      </w:r>
      <w:r>
        <w:t xml:space="preserve">Die Arbeiter, die zu Vorarbeitern von Arbeitern mindestens der </w:t>
      </w:r>
      <w:hyperlink r:id="rId390" w:history="1">
        <w:r w:rsidRPr="002D1F1D">
          <w:rPr>
            <w:rStyle w:val="Hyperlink"/>
          </w:rPr>
          <w:t>Lohngruppe 4</w:t>
        </w:r>
      </w:hyperlink>
      <w:r>
        <w:t xml:space="preserve"> bestellt worden sind, erhalten für die Dauer der Tätigkeit als solche eine Zulage von zwölf vom Hundert des Monatstabellenlohnes der Lohnstufe 4 der </w:t>
      </w:r>
      <w:hyperlink r:id="rId391" w:history="1">
        <w:r w:rsidRPr="002D1F1D">
          <w:rPr>
            <w:rStyle w:val="Hyperlink"/>
          </w:rPr>
          <w:t>Lohngruppe 4</w:t>
        </w:r>
      </w:hyperlink>
      <w:r>
        <w:t xml:space="preserve"> bzw. von zwölf vom Hundert des auf eine Stunde entfallenden Anteils des Monatstabellenlohnes der Lohnstufe 4 der </w:t>
      </w:r>
      <w:hyperlink r:id="rId392" w:history="1">
        <w:r>
          <w:rPr>
            <w:rStyle w:val="Hyperlink"/>
          </w:rPr>
          <w:t>Lohngruppe </w:t>
        </w:r>
        <w:r w:rsidRPr="002D1F1D">
          <w:rPr>
            <w:rStyle w:val="Hyperlink"/>
          </w:rPr>
          <w:t>4</w:t>
        </w:r>
      </w:hyperlink>
      <w:r>
        <w:t xml:space="preserve">. </w:t>
      </w:r>
      <w:r>
        <w:rPr>
          <w:rStyle w:val="kleinschrift"/>
        </w:rPr>
        <w:t>3</w:t>
      </w:r>
      <w:r>
        <w:t>Wird die Bestellung zum Vorarbeiter widerrufen, so wird die Vorarbei</w:t>
      </w:r>
      <w:r>
        <w:softHyphen/>
        <w:t>terzulage für die Dauer von zwei Wochen weitergezahlt, es sei denn, dass die Bestellung von vornherein für eine bestimmte Zeit erfolgt ist.</w:t>
      </w:r>
    </w:p>
    <w:p w:rsidR="00BE1EFE" w:rsidRPr="000B1AF8" w:rsidRDefault="00BE1EFE">
      <w:pPr>
        <w:pStyle w:val="StandardWeb"/>
      </w:pPr>
    </w:p>
    <w:p w:rsidR="00BE1EFE" w:rsidRDefault="00BE1EFE">
      <w:pPr>
        <w:pStyle w:val="StandardWeb"/>
      </w:pPr>
      <w:r>
        <w:t>(2) </w:t>
      </w:r>
      <w:r>
        <w:rPr>
          <w:rStyle w:val="kleinschrift"/>
        </w:rPr>
        <w:t>1</w:t>
      </w:r>
      <w:r>
        <w:t xml:space="preserve">Vorarbeiter sind Arbeiter, die durch schriftliche Verfügung zu Gruppenführern von Arbeitern bestellt worden sind und selbst mitarbeiten. </w:t>
      </w:r>
      <w:r>
        <w:rPr>
          <w:rStyle w:val="kleinschrift"/>
        </w:rPr>
        <w:t>2</w:t>
      </w:r>
      <w:r>
        <w:t xml:space="preserve">Die Gruppe muss außer dem Vorarbeiter aus mindestens zwei Arbeitern bestehen. </w:t>
      </w:r>
      <w:r>
        <w:rPr>
          <w:rStyle w:val="kleinschrift"/>
        </w:rPr>
        <w:t>3</w:t>
      </w:r>
      <w:r>
        <w:t xml:space="preserve">Zur Arbeit zugeteilte Firmenarbeiter rechnen wie entsprechende Arbeiter. </w:t>
      </w:r>
      <w:r>
        <w:rPr>
          <w:rStyle w:val="kleinschrift"/>
        </w:rPr>
        <w:t>4</w:t>
      </w:r>
      <w:r>
        <w:t xml:space="preserve">Auszubildende nach der Regelung für Auszubildende in der jeweils geltenden Fassung können im dritten Ausbildungsjahr als Arbeiter der </w:t>
      </w:r>
      <w:hyperlink r:id="rId393" w:history="1">
        <w:r w:rsidRPr="002D1F1D">
          <w:rPr>
            <w:rStyle w:val="Hyperlink"/>
          </w:rPr>
          <w:t>Lohngruppe 4 Nr. 1 und 2</w:t>
        </w:r>
      </w:hyperlink>
      <w:r>
        <w:t xml:space="preserve"> gerechnet werden.</w:t>
      </w:r>
    </w:p>
    <w:p w:rsidR="00BE1EFE" w:rsidRDefault="00BE1EFE">
      <w:pPr>
        <w:pStyle w:val="StandardWeb"/>
      </w:pPr>
    </w:p>
    <w:p w:rsidR="00BE1EFE" w:rsidRDefault="00BE1EFE">
      <w:pPr>
        <w:pStyle w:val="StandardWeb"/>
      </w:pPr>
      <w:r>
        <w:t>(3) Arbeiter, bei denen die Aufsichtsfunktion zum Inhalt ihrer Tätigkeit gehört, sind nicht Vorarbeiter im Sinne dieser Vorschrift.</w:t>
      </w:r>
    </w:p>
    <w:p w:rsidR="00BE1EFE" w:rsidRDefault="00BE1EFE">
      <w:pPr>
        <w:pStyle w:val="StandardWeb"/>
      </w:pPr>
    </w:p>
    <w:p w:rsidR="00BE1EFE" w:rsidRDefault="00BE1EFE">
      <w:pPr>
        <w:pStyle w:val="StandardWeb"/>
      </w:pPr>
      <w:r>
        <w:t>(4) Bei der Sicherung des Lohnstandes nach § 37 Abs. 1 ABD Teil B, 1</w:t>
      </w:r>
      <w:proofErr w:type="gramStart"/>
      <w:r>
        <w:t>.*</w:t>
      </w:r>
      <w:proofErr w:type="gramEnd"/>
      <w:r>
        <w:t>* gilt die Vorarbeiterzulage als Bestandteil des Monatstabellenlohnes.</w:t>
      </w:r>
    </w:p>
    <w:p w:rsidR="00BE1EFE" w:rsidRDefault="00BE1EFE">
      <w:pPr>
        <w:pStyle w:val="StandardWeb"/>
      </w:pPr>
    </w:p>
    <w:p w:rsidR="00BE1EFE" w:rsidRPr="00114F9D" w:rsidRDefault="00BE1EFE">
      <w:pPr>
        <w:pStyle w:val="StandardWeb"/>
        <w:rPr>
          <w:rStyle w:val="Hyperlink"/>
          <w:sz w:val="12"/>
          <w:szCs w:val="12"/>
        </w:rPr>
      </w:pPr>
      <w:r>
        <w:rPr>
          <w:rStyle w:val="structdoc-small"/>
          <w:szCs w:val="12"/>
        </w:rPr>
        <w:fldChar w:fldCharType="begin"/>
      </w:r>
      <w:r>
        <w:rPr>
          <w:rStyle w:val="structdoc-small"/>
          <w:szCs w:val="12"/>
        </w:rPr>
        <w:instrText xml:space="preserve"> HYPERLINK "https://onlineabd.de/online-abd/abd?Kat=27227&amp;DatumAuswahl=" \t "_blank" </w:instrText>
      </w:r>
      <w:r>
        <w:rPr>
          <w:rStyle w:val="structdoc-small"/>
          <w:szCs w:val="12"/>
        </w:rPr>
        <w:fldChar w:fldCharType="separate"/>
      </w:r>
      <w:r w:rsidRPr="00114F9D">
        <w:rPr>
          <w:rStyle w:val="Hyperlink"/>
          <w:sz w:val="12"/>
          <w:szCs w:val="12"/>
        </w:rPr>
        <w:t>**in der bis zum 30.09.2005 geltenden Fassung</w:t>
      </w:r>
    </w:p>
    <w:p w:rsidR="00BE1EFE" w:rsidRDefault="00BE1EFE" w:rsidP="00855949">
      <w:pPr>
        <w:pStyle w:val="StandardWeb"/>
      </w:pPr>
      <w:r>
        <w:rPr>
          <w:rStyle w:val="structdoc-small"/>
          <w:szCs w:val="12"/>
        </w:rPr>
        <w:fldChar w:fldCharType="end"/>
      </w:r>
      <w:r>
        <w:br w:type="page"/>
      </w:r>
    </w:p>
    <w:p w:rsidR="00BE1EFE" w:rsidRDefault="00BE1EFE" w:rsidP="00386681">
      <w:pPr>
        <w:pStyle w:val="berschrift5"/>
        <w:spacing w:before="0"/>
      </w:pPr>
      <w:bookmarkStart w:id="608" w:name="_Toc523926148"/>
      <w:r>
        <w:lastRenderedPageBreak/>
        <w:t>A, 2.14. Lohngruppenverzeichnis</w:t>
      </w:r>
      <w:bookmarkEnd w:id="608"/>
    </w:p>
    <w:p w:rsidR="00BE1EFE" w:rsidRDefault="00BE1EFE">
      <w:pPr>
        <w:pStyle w:val="berschrift6"/>
      </w:pPr>
      <w:bookmarkStart w:id="609" w:name="_Toc523926149"/>
      <w:r>
        <w:t>Vorbemerkungen</w:t>
      </w:r>
      <w:bookmarkEnd w:id="60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Anerkannte Ausbildungsberufe im Sinne des Lohngruppenverzeichnisses sind die nach dem Berufsbildungsgesetz staatlich anerkannten oder als staatlich anerkannt geltenden Ausbildungsberufe. </w:t>
      </w:r>
      <w:r>
        <w:rPr>
          <w:rStyle w:val="kleinschrift"/>
        </w:rPr>
        <w:t>2</w:t>
      </w:r>
      <w:r>
        <w:t>Facharbeiter mit einem im Beitrittsgebiet erworbenen Facharbeiter</w:t>
      </w:r>
      <w:r>
        <w:softHyphen/>
        <w:t xml:space="preserve">zeugnis, das nach </w:t>
      </w:r>
      <w:hyperlink r:id="rId394" w:history="1">
        <w:r w:rsidRPr="005A2B2C">
          <w:rPr>
            <w:rStyle w:val="Hyperlink"/>
          </w:rPr>
          <w:t>Artikel 37 des Einigungsvertrages</w:t>
        </w:r>
      </w:hyperlink>
      <w:r>
        <w:t xml:space="preserve"> und der Vorschriften hierzu dem Prüfungszeugnis in einem anerkannten Ausbildungsberuf mit einer Ausbildungsdauer von mindestens zweieinhalb Jahren bzw. mit einer kürzeren Ausbildungsdauer gleichgestellt ist, werden bei entsprechender Tätigkeit wie Arbeiter mit erfolgreich abgeschlossener Ausbildung in einem solchen Ausbildungsberuf eingereiht. </w:t>
      </w:r>
      <w:r>
        <w:rPr>
          <w:rStyle w:val="kleinschrift"/>
        </w:rPr>
        <w:t>3</w:t>
      </w:r>
      <w:r>
        <w:t>Arbeiter, die in den Lohngruppen 3 bis 8 a nur mit der Berufsbezeichnung des anerkannten Ausbildungsberufes aufgeführt sind, sind Arbeiter mit einer entsprechenden abgeschlossenen Ausbildung nach Lohngruppe 3 Nr. 1 bzw. nach Lohngruppe 4 Nr. 1.</w:t>
      </w:r>
    </w:p>
    <w:p w:rsidR="00BE1EFE" w:rsidRPr="000B1AF8" w:rsidRDefault="00BE1EFE">
      <w:pPr>
        <w:pStyle w:val="StandardWeb"/>
      </w:pPr>
      <w:r>
        <w:rPr>
          <w:rStyle w:val="kleinschrift"/>
        </w:rPr>
        <w:t>4</w:t>
      </w:r>
      <w:r>
        <w:t>Der Besitz eines Handwerksmeisterbriefes, eines Industriemeisterbriefes oder eines Meisterbriefes in einem anderen anerkannten Ausbildungsberuf ist ohne Einfluss auf die Einreihung.</w:t>
      </w:r>
    </w:p>
    <w:p w:rsidR="00BE1EFE" w:rsidRPr="000B1AF8" w:rsidRDefault="00BE1EFE">
      <w:pPr>
        <w:pStyle w:val="StandardWeb"/>
      </w:pPr>
    </w:p>
    <w:p w:rsidR="00BE1EFE" w:rsidRDefault="00BE1EFE">
      <w:pPr>
        <w:pStyle w:val="StandardWeb"/>
      </w:pPr>
      <w:r>
        <w:t xml:space="preserve">2. bis 4. </w:t>
      </w:r>
      <w:r w:rsidRPr="00D645FF">
        <w:rPr>
          <w:i/>
        </w:rPr>
        <w:t>(frei)</w:t>
      </w:r>
    </w:p>
    <w:p w:rsidR="00BE1EFE" w:rsidRDefault="00BE1EFE">
      <w:pPr>
        <w:pStyle w:val="StandardWeb"/>
      </w:pPr>
    </w:p>
    <w:p w:rsidR="00BE1EFE" w:rsidRDefault="00BE1EFE">
      <w:pPr>
        <w:pStyle w:val="StandardWeb"/>
      </w:pPr>
      <w:r>
        <w:t>5. Ist die Einreihung des Arbeiters von der Erfüllung einer Bewährungszeit oder der Zeit einer Tätigkeit abhängig, so gilt Folgendes:</w:t>
      </w:r>
    </w:p>
    <w:p w:rsidR="00BE1EFE" w:rsidRDefault="00BE1EFE">
      <w:pPr>
        <w:pStyle w:val="StandardWeb"/>
      </w:pPr>
    </w:p>
    <w:p w:rsidR="00BE1EFE" w:rsidRDefault="00BE1EFE">
      <w:pPr>
        <w:pStyle w:val="StandardWeb"/>
      </w:pPr>
      <w:r>
        <w:t>A. </w:t>
      </w:r>
      <w:r>
        <w:rPr>
          <w:rStyle w:val="kleinschrift"/>
        </w:rPr>
        <w:t>1</w:t>
      </w:r>
      <w:r>
        <w:t>Das Erfordernis der Bewährung ist erfüllt, wenn sich der Arbeiter während der vorgeschriebenen Bewährungszeit den in der ihm übertragenen Tätigkeit auftretenden Anfor</w:t>
      </w:r>
      <w:r>
        <w:softHyphen/>
        <w:t xml:space="preserve">derungen gewachsen gezeigt hat. </w:t>
      </w:r>
      <w:r>
        <w:rPr>
          <w:rStyle w:val="kleinschrift"/>
        </w:rPr>
        <w:t>2</w:t>
      </w:r>
      <w:r>
        <w:t>Auf die vorgeschriebene Bewährungszeit werden die Zeiten angerechnet, während deren der Arbeiter in gleicher Berufstätigkeit in einer höheren Lohngruppe eingereiht war.</w:t>
      </w:r>
    </w:p>
    <w:p w:rsidR="00BE1EFE" w:rsidRDefault="00BE1EFE">
      <w:pPr>
        <w:pStyle w:val="StandardWeb"/>
      </w:pPr>
    </w:p>
    <w:p w:rsidR="00BE1EFE" w:rsidRDefault="00BE1EFE">
      <w:pPr>
        <w:pStyle w:val="StandardWeb"/>
      </w:pPr>
      <w:r>
        <w:t>B. </w:t>
      </w:r>
      <w:r>
        <w:rPr>
          <w:rStyle w:val="kleinschrift"/>
        </w:rPr>
        <w:t>1</w:t>
      </w:r>
      <w:r>
        <w:t xml:space="preserve">Die Bewährungszeit bzw. die Zeit einer Tätigkeit muss ununterbrochen bei demselben Arbeitgeber zurückgelegt sein. </w:t>
      </w:r>
      <w:r>
        <w:rPr>
          <w:rStyle w:val="kleinschrift"/>
        </w:rPr>
        <w:t>2</w:t>
      </w:r>
      <w:r>
        <w:t xml:space="preserve">Unterbrechungen von jeweils bis zu sechs Monaten sind unschädlich. </w:t>
      </w:r>
      <w:r>
        <w:rPr>
          <w:rStyle w:val="kleinschrift"/>
        </w:rPr>
        <w:t>3</w:t>
      </w:r>
      <w:r>
        <w:t>Unabhängig hiervon sind ferner unschädlich Unterbrechungen</w:t>
      </w:r>
    </w:p>
    <w:p w:rsidR="00BE1EFE" w:rsidRDefault="00BE1EFE">
      <w:pPr>
        <w:pStyle w:val="StandardWeb"/>
      </w:pPr>
      <w:r>
        <w:t>a) wegen Ableistung des Grundwehrdienstes und des Zivildienstes,</w:t>
      </w:r>
    </w:p>
    <w:p w:rsidR="00BE1EFE" w:rsidRDefault="00BE1EFE">
      <w:pPr>
        <w:pStyle w:val="StandardWeb"/>
      </w:pPr>
      <w:r>
        <w:t xml:space="preserve">b) wegen Arbeitsunfähigkeit im Sinne des § 42 ABD </w:t>
      </w:r>
      <w:hyperlink r:id="rId395" w:history="1">
        <w:r w:rsidRPr="00AC5C4C">
          <w:rPr>
            <w:rStyle w:val="Hyperlink"/>
          </w:rPr>
          <w:t>Teil B</w:t>
        </w:r>
      </w:hyperlink>
      <w:r>
        <w:t xml:space="preserve">, 1.** i.V. m. </w:t>
      </w:r>
      <w:hyperlink r:id="rId396" w:history="1">
        <w:r>
          <w:rPr>
            <w:rStyle w:val="Hyperlink"/>
          </w:rPr>
          <w:t>§ 37 Abs. 1 ABD Teil </w:t>
        </w:r>
        <w:r w:rsidRPr="002D1F1D">
          <w:rPr>
            <w:rStyle w:val="Hyperlink"/>
          </w:rPr>
          <w:t>A, 1.**</w:t>
        </w:r>
      </w:hyperlink>
      <w:r>
        <w:t>,</w:t>
      </w:r>
    </w:p>
    <w:p w:rsidR="00BE1EFE" w:rsidRDefault="00BE1EFE">
      <w:pPr>
        <w:pStyle w:val="StandardWeb"/>
      </w:pPr>
      <w:r>
        <w:t>c) im Sinne der regelmäßig wiederkehrenden Unterbrechungen bei Saisonarbeitern,</w:t>
      </w:r>
    </w:p>
    <w:p w:rsidR="00BE1EFE" w:rsidRDefault="00BE1EFE">
      <w:pPr>
        <w:pStyle w:val="StandardWeb"/>
      </w:pPr>
      <w:r>
        <w:t>d) wegen der Schutzfristen und wegen Mutterschaftsurlaub nach dem Mutterschutzgesetz,</w:t>
      </w:r>
    </w:p>
    <w:p w:rsidR="00BE1EFE" w:rsidRDefault="00BE1EFE">
      <w:pPr>
        <w:pStyle w:val="StandardWeb"/>
      </w:pPr>
      <w:r>
        <w:t>e) wegen Elternzeit nach dem Bundeselterngeld- und Elternzeitgesetz und sonstiger Beurlaubung zur Kinderbetreuung oder wegen der tatsächlichen Pflege oder Betreuung eines nach ärztlichem Gutachten sonstigen pflegebedürftigen Angehörigen, mit dem der Arbeiter in häuslicher Gemeinschaft lebt, bis zu insgesamt fünf Jahren,</w:t>
      </w:r>
    </w:p>
    <w:p w:rsidR="00BE1EFE" w:rsidRDefault="00BE1EFE">
      <w:pPr>
        <w:pStyle w:val="StandardWeb"/>
      </w:pPr>
      <w:r>
        <w:t>f) wegen einer vom Wehrdienst befreienden Tätigkeit als Entwicklungshelfer bis zu zwei Jahren.</w:t>
      </w:r>
    </w:p>
    <w:p w:rsidR="00BE1EFE" w:rsidRDefault="00BE1EFE">
      <w:pPr>
        <w:pStyle w:val="StandardWeb"/>
      </w:pPr>
    </w:p>
    <w:p w:rsidR="00BE1EFE" w:rsidRDefault="00BE1EFE">
      <w:pPr>
        <w:pStyle w:val="StandardWeb"/>
      </w:pPr>
      <w:r>
        <w:t xml:space="preserve">Die Zeiten der Unterbrechung werden auf die Bewährungszeit bzw. die Zeit einer Tätigkeit nicht angerechnet mit Ausnahme der Zeiten </w:t>
      </w:r>
    </w:p>
    <w:p w:rsidR="00BE1EFE" w:rsidRDefault="00BE1EFE">
      <w:pPr>
        <w:pStyle w:val="StandardWeb"/>
      </w:pPr>
      <w:r>
        <w:t xml:space="preserve">a) einer Arbeitsbefreiung nach § 33 ABD </w:t>
      </w:r>
      <w:hyperlink r:id="rId397" w:history="1">
        <w:r w:rsidRPr="00AC5C4C">
          <w:rPr>
            <w:rStyle w:val="Hyperlink"/>
          </w:rPr>
          <w:t>Teil B</w:t>
        </w:r>
      </w:hyperlink>
      <w:r>
        <w:t xml:space="preserve">, 1.** i.V.m. </w:t>
      </w:r>
      <w:r w:rsidRPr="003E77AF">
        <w:t>§ 52 Abs. 1, 2, 4 und 6 ABD Teil A, 1.**</w:t>
      </w:r>
      <w:r>
        <w:t>,</w:t>
      </w:r>
    </w:p>
    <w:p w:rsidR="00BE1EFE" w:rsidRDefault="00BE1EFE">
      <w:pPr>
        <w:pStyle w:val="StandardWeb"/>
      </w:pPr>
      <w:r>
        <w:t xml:space="preserve">b) eines Arbeitsausfalles oder eines Arbeitsversäumnisses im Sinne des </w:t>
      </w:r>
      <w:hyperlink r:id="rId398" w:tgtFrame="_blank" w:history="1">
        <w:r>
          <w:rPr>
            <w:rStyle w:val="Hyperlink"/>
          </w:rPr>
          <w:t>§ 35 ABD Teil B, 1.**</w:t>
        </w:r>
      </w:hyperlink>
      <w:r>
        <w:t>,</w:t>
      </w:r>
    </w:p>
    <w:p w:rsidR="00BE1EFE" w:rsidRDefault="00BE1EFE">
      <w:pPr>
        <w:pStyle w:val="StandardWeb"/>
      </w:pPr>
      <w:r>
        <w:lastRenderedPageBreak/>
        <w:t xml:space="preserve">c) einer Arbeitsunfähigkeit im Sinne des § 42 ABD Teil B, 1.** i.V.m. </w:t>
      </w:r>
      <w:hyperlink r:id="rId399" w:history="1">
        <w:r>
          <w:rPr>
            <w:rStyle w:val="Hyperlink"/>
          </w:rPr>
          <w:t>§ 37 Abs. 1 ABD Teil A, </w:t>
        </w:r>
        <w:r w:rsidRPr="002D1F1D">
          <w:rPr>
            <w:rStyle w:val="Hyperlink"/>
          </w:rPr>
          <w:t>1.**</w:t>
        </w:r>
      </w:hyperlink>
      <w:r>
        <w:t xml:space="preserve"> bis zu 26 Wochen, in den Fällen des § 42 ABD Teil B, 1**. i.V.m. </w:t>
      </w:r>
      <w:hyperlink r:id="rId400" w:history="1">
        <w:r w:rsidRPr="002D1F1D">
          <w:rPr>
            <w:rStyle w:val="Hyperlink"/>
          </w:rPr>
          <w:t>§ 37 Abs. 4 Unterabs. 3 ABD Teil A, 1.**</w:t>
        </w:r>
      </w:hyperlink>
      <w:r>
        <w:t xml:space="preserve"> bis zu 28 Wochen,</w:t>
      </w:r>
    </w:p>
    <w:p w:rsidR="00BE1EFE" w:rsidRDefault="00BE1EFE">
      <w:pPr>
        <w:pStyle w:val="StandardWeb"/>
      </w:pPr>
      <w:r>
        <w:t>d) einer Kur im Sinne des § 42 a MTL II in der bis zum 31. August 1995 geltenden Fassung einschließlich einer etwa sich anschließenden ärztlich verordneten Schonungszeit,</w:t>
      </w:r>
    </w:p>
    <w:p w:rsidR="00BE1EFE" w:rsidRDefault="00BE1EFE">
      <w:pPr>
        <w:pStyle w:val="StandardWeb"/>
      </w:pPr>
      <w:r>
        <w:t xml:space="preserve">e) eines Urlaubs nach den §§ 48, 48 a und 49 ABD Teil B, 1.** und nach dem </w:t>
      </w:r>
      <w:hyperlink r:id="rId401" w:history="1">
        <w:r w:rsidRPr="00A65C05">
          <w:rPr>
            <w:rStyle w:val="Hyperlink"/>
          </w:rPr>
          <w:t>SGB IX</w:t>
        </w:r>
      </w:hyperlink>
      <w:r>
        <w:t>,</w:t>
      </w:r>
    </w:p>
    <w:p w:rsidR="00BE1EFE" w:rsidRDefault="00BE1EFE">
      <w:pPr>
        <w:pStyle w:val="StandardWeb"/>
      </w:pPr>
      <w:r>
        <w:t xml:space="preserve">f) eines Sonderurlaubs nach § 55 ABD Teil B, 1.** i.V.m. </w:t>
      </w:r>
      <w:hyperlink r:id="rId402" w:history="1">
        <w:r w:rsidRPr="002D1F1D">
          <w:rPr>
            <w:rStyle w:val="Hyperlink"/>
          </w:rPr>
          <w:t>§ 50 Abs.3 Satz 2 ABD Teil A,1.**</w:t>
        </w:r>
      </w:hyperlink>
      <w:r>
        <w:t>,</w:t>
      </w:r>
    </w:p>
    <w:p w:rsidR="00BE1EFE" w:rsidRDefault="00BE1EFE">
      <w:pPr>
        <w:pStyle w:val="StandardWeb"/>
      </w:pPr>
      <w:r>
        <w:t xml:space="preserve">g) der Schutzfristen nach dem </w:t>
      </w:r>
      <w:hyperlink r:id="rId403" w:history="1">
        <w:r w:rsidRPr="00AC5C4C">
          <w:rPr>
            <w:rStyle w:val="Hyperlink"/>
          </w:rPr>
          <w:t>Mutterschutzgesetz</w:t>
        </w:r>
      </w:hyperlink>
      <w:r>
        <w:t>.</w:t>
      </w:r>
    </w:p>
    <w:p w:rsidR="00BE1EFE" w:rsidRDefault="00BE1EFE">
      <w:pPr>
        <w:pStyle w:val="StandardWeb"/>
      </w:pPr>
    </w:p>
    <w:p w:rsidR="00BE1EFE" w:rsidRDefault="00BE1EFE">
      <w:pPr>
        <w:pStyle w:val="StandardWeb"/>
      </w:pPr>
      <w:r>
        <w:t>C. </w:t>
      </w:r>
      <w:r>
        <w:rPr>
          <w:rStyle w:val="kleinschrift"/>
        </w:rPr>
        <w:t>1</w:t>
      </w:r>
      <w:r>
        <w:t xml:space="preserve">Bewährungszeiten bzw. Zeiten einer Tätigkeit, in denen der Arbeiter mit einer kürzeren als der regelmäßigen wöchentlichen Arbeitszeit eines entsprechenden vollbeschäftigten Arbeiters beschäftigt war, werden voll angerechnet. </w:t>
      </w:r>
      <w:r>
        <w:rPr>
          <w:rStyle w:val="kleinschrift"/>
        </w:rPr>
        <w:t>2</w:t>
      </w:r>
      <w:r>
        <w:t xml:space="preserve">Zeiten im Sinne des </w:t>
      </w:r>
      <w:hyperlink r:id="rId404" w:tgtFrame="_blank" w:history="1">
        <w:r>
          <w:rPr>
            <w:rStyle w:val="Hyperlink"/>
          </w:rPr>
          <w:t>§ 8 Abs. 1 Nr. 2 SGB IV</w:t>
        </w:r>
      </w:hyperlink>
      <w:r>
        <w:t xml:space="preserve"> – ohne Berücksichtigung des </w:t>
      </w:r>
      <w:hyperlink r:id="rId405" w:tgtFrame="_blank" w:history="1">
        <w:r>
          <w:rPr>
            <w:rStyle w:val="Hyperlink"/>
          </w:rPr>
          <w:t>§ 8 Abs. 2 Satz 1 SGB IV</w:t>
        </w:r>
      </w:hyperlink>
      <w:r>
        <w:t xml:space="preserve"> – bleiben unberücksichtigt.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berschrift6"/>
      </w:pPr>
      <w:bookmarkStart w:id="610" w:name="_Toc523926150"/>
      <w:r>
        <w:t>Lohngruppe 1</w:t>
      </w:r>
      <w:bookmarkEnd w:id="610"/>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einfachen Tätigkeiten</w:t>
      </w:r>
    </w:p>
    <w:p w:rsidR="00BE1EFE" w:rsidRDefault="00BE1EFE">
      <w:pPr>
        <w:pStyle w:val="StandardWeb"/>
      </w:pPr>
      <w:r>
        <w:t>Beispiele:</w:t>
      </w:r>
    </w:p>
    <w:p w:rsidR="00BE1EFE" w:rsidRDefault="00BE1EFE">
      <w:pPr>
        <w:pStyle w:val="StandardWeb"/>
      </w:pPr>
      <w:r>
        <w:t>1.1 Haus- und Hofarbeiter,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Hilfsarbeiter in Archiven, soweit nicht höher eingereiht,</w:t>
      </w:r>
    </w:p>
    <w:p w:rsidR="00BE1EFE" w:rsidRDefault="00BE1EFE">
      <w:pPr>
        <w:pStyle w:val="StandardWeb"/>
      </w:pPr>
      <w:r>
        <w:t>1.4 Hilfsarbeiter in Druckereien, soweit nicht höher eingereiht,</w:t>
      </w:r>
    </w:p>
    <w:p w:rsidR="00BE1EFE" w:rsidRDefault="00BE1EFE">
      <w:pPr>
        <w:pStyle w:val="StandardWeb"/>
      </w:pPr>
      <w:r>
        <w:t>1.5 Hilfsarbeiter in Lagern, soweit nicht höher eingereiht,</w:t>
      </w:r>
    </w:p>
    <w:p w:rsidR="00BE1EFE" w:rsidRDefault="00BE1EFE">
      <w:pPr>
        <w:pStyle w:val="StandardWeb"/>
      </w:pPr>
      <w:r>
        <w:t xml:space="preserve">1.6 </w:t>
      </w:r>
      <w:r w:rsidRPr="00D645FF">
        <w:rPr>
          <w:i/>
        </w:rPr>
        <w:t>(frei)</w:t>
      </w:r>
      <w:r>
        <w:t>,</w:t>
      </w:r>
    </w:p>
    <w:p w:rsidR="00BE1EFE" w:rsidRDefault="00BE1EFE">
      <w:pPr>
        <w:pStyle w:val="StandardWeb"/>
      </w:pPr>
      <w:r>
        <w:t>1.7 Reiniger auf selbstfahrenden Reinigungsmaschinen in Gebäuden, die diese Maschinen auch warten.</w:t>
      </w:r>
    </w:p>
    <w:p w:rsidR="00BE1EFE" w:rsidRDefault="00BE1EFE">
      <w:pPr>
        <w:pStyle w:val="StandardWeb"/>
      </w:pPr>
      <w:r>
        <w:t xml:space="preserve">2. bis 5. </w:t>
      </w:r>
      <w:r w:rsidRPr="00D645FF">
        <w:rPr>
          <w:i/>
        </w:rPr>
        <w:t>(frei)</w:t>
      </w:r>
    </w:p>
    <w:p w:rsidR="00BE1EFE" w:rsidRDefault="00BE1EFE">
      <w:pPr>
        <w:pStyle w:val="StandardWeb"/>
      </w:pPr>
      <w:r>
        <w:t>6. Ferner:</w:t>
      </w:r>
    </w:p>
    <w:p w:rsidR="00BE1EFE" w:rsidRDefault="00BE1EFE">
      <w:pPr>
        <w:pStyle w:val="StandardWeb"/>
      </w:pPr>
      <w:r>
        <w:t>6.1 Arbeiter, die Kleiderablagen warten,</w:t>
      </w:r>
    </w:p>
    <w:p w:rsidR="00BE1EFE" w:rsidRDefault="00BE1EFE">
      <w:pPr>
        <w:pStyle w:val="StandardWeb"/>
      </w:pPr>
      <w:r>
        <w:t>6.2 Arbeiter, die Speisen und Getränke zutragen, soweit nicht höher eingereiht,</w:t>
      </w:r>
    </w:p>
    <w:p w:rsidR="00BE1EFE" w:rsidRDefault="00BE1EFE">
      <w:pPr>
        <w:pStyle w:val="StandardWeb"/>
      </w:pPr>
      <w:r>
        <w:t>6.3 Arbeiter, die Toiletten warten,</w:t>
      </w:r>
    </w:p>
    <w:p w:rsidR="00BE1EFE" w:rsidRDefault="00BE1EFE">
      <w:pPr>
        <w:pStyle w:val="StandardWeb"/>
      </w:pPr>
      <w:r>
        <w:t>6.4 Arbeiter mit einfachen hauswirtschaftlichen Arbeiten, z. B. einfache Küchenhilfsarbeiten wie Gemüseputzen und Kartoffelschälen, ferner Geschirrspülen (ausgenommen an Maschinen),</w:t>
      </w:r>
    </w:p>
    <w:p w:rsidR="00BE1EFE" w:rsidRDefault="00BE1EFE">
      <w:pPr>
        <w:pStyle w:val="StandardWeb"/>
      </w:pPr>
      <w:r>
        <w:t>6.5 Arbeiter mit einfachen Hilfsarbeiten in Wäschereien und Plättereien, wie Zureichen und Zusammenlegen von Wäschestücken und Sortieren von Wäsche,</w:t>
      </w:r>
    </w:p>
    <w:p w:rsidR="00BE1EFE" w:rsidRPr="000B1AF8" w:rsidRDefault="00BE1EFE">
      <w:pPr>
        <w:pStyle w:val="StandardWeb"/>
      </w:pPr>
      <w:r>
        <w:t>6.6 Reiniger in Gebäuden.</w:t>
      </w:r>
    </w:p>
    <w:p w:rsidR="00BE1EFE" w:rsidRPr="000B1AF8" w:rsidRDefault="00BE1EFE">
      <w:pPr>
        <w:pStyle w:val="StandardWeb"/>
      </w:pPr>
    </w:p>
    <w:p w:rsidR="00BE1EFE" w:rsidRDefault="00BE1EFE">
      <w:pPr>
        <w:pStyle w:val="StandardWeb"/>
      </w:pPr>
      <w:r>
        <w:t>Dazu :</w:t>
      </w:r>
    </w:p>
    <w:p w:rsidR="00BE1EFE" w:rsidRDefault="00BE1EFE">
      <w:pPr>
        <w:pStyle w:val="StandardWeb"/>
      </w:pPr>
      <w:r>
        <w:t>12. In Brennereien und Mostereien</w:t>
      </w:r>
    </w:p>
    <w:p w:rsidR="00BE1EFE" w:rsidRDefault="00BE1EFE">
      <w:pPr>
        <w:pStyle w:val="StandardWeb"/>
      </w:pPr>
      <w:r>
        <w:t>Beispiel zu 6.:</w:t>
      </w:r>
    </w:p>
    <w:p w:rsidR="00BE1EFE" w:rsidRDefault="00BE1EFE">
      <w:pPr>
        <w:pStyle w:val="StandardWeb"/>
      </w:pPr>
      <w:r>
        <w:t>12.6.1 Arbeiter mit folgenden Hilfsarbeiten:</w:t>
      </w:r>
    </w:p>
    <w:p w:rsidR="00BE1EFE" w:rsidRDefault="00BE1EFE">
      <w:pPr>
        <w:pStyle w:val="StandardWeb"/>
      </w:pPr>
      <w:r>
        <w:t>Ausstatten, Spülen und Stapeln von Flaschen,</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1.:</w:t>
      </w:r>
    </w:p>
    <w:p w:rsidR="00BE1EFE" w:rsidRDefault="00BE1EFE">
      <w:pPr>
        <w:pStyle w:val="StandardWeb"/>
      </w:pPr>
      <w:r>
        <w:t>16.1.1 Arbeiter, die Unkraut jäten,</w:t>
      </w:r>
    </w:p>
    <w:p w:rsidR="00BE1EFE" w:rsidRDefault="00BE1EFE">
      <w:pPr>
        <w:pStyle w:val="StandardWeb"/>
      </w:pPr>
      <w:r>
        <w:t>16.6.1 Arbeiter mit folgenden Hilfsarbeiten:</w:t>
      </w:r>
    </w:p>
    <w:p w:rsidR="00BE1EFE" w:rsidRDefault="00BE1EFE">
      <w:pPr>
        <w:pStyle w:val="StandardWeb"/>
      </w:pPr>
      <w:r>
        <w:t>Einfache Hilfsarbeiten bei Frostschutzmaßnahmen,</w:t>
      </w:r>
    </w:p>
    <w:p w:rsidR="00BE1EFE" w:rsidRDefault="00BE1EFE">
      <w:pPr>
        <w:pStyle w:val="StandardWeb"/>
      </w:pPr>
      <w:r>
        <w:t>Ernten und Vorsortieren von Gemüse und Obst,</w:t>
      </w:r>
    </w:p>
    <w:p w:rsidR="00BE1EFE" w:rsidRDefault="00BE1EFE">
      <w:pPr>
        <w:pStyle w:val="StandardWeb"/>
      </w:pPr>
      <w:r>
        <w:t xml:space="preserve">Gras </w:t>
      </w:r>
      <w:proofErr w:type="gramStart"/>
      <w:r>
        <w:t>zusammenbringen</w:t>
      </w:r>
      <w:proofErr w:type="gramEnd"/>
      <w:r>
        <w:t xml:space="preserve"> von Hand, ausgenommen Futtergras,</w:t>
      </w:r>
    </w:p>
    <w:p w:rsidR="00BE1EFE" w:rsidRDefault="00BE1EFE">
      <w:pPr>
        <w:pStyle w:val="StandardWeb"/>
      </w:pPr>
      <w:r>
        <w:lastRenderedPageBreak/>
        <w:t>Heu wenden und zusammenbringen von Hand,</w:t>
      </w:r>
    </w:p>
    <w:p w:rsidR="00BE1EFE" w:rsidRDefault="00BE1EFE">
      <w:pPr>
        <w:pStyle w:val="StandardWeb"/>
      </w:pPr>
      <w:r>
        <w:t>Hilfsleistungen beim Eintopfen und Auspflanzen von Jungware,</w:t>
      </w:r>
    </w:p>
    <w:p w:rsidR="00BE1EFE" w:rsidRDefault="00BE1EFE">
      <w:pPr>
        <w:pStyle w:val="StandardWeb"/>
      </w:pPr>
      <w:r>
        <w:t xml:space="preserve">Hilfsleistungen </w:t>
      </w:r>
      <w:proofErr w:type="gramStart"/>
      <w:r>
        <w:t>beim</w:t>
      </w:r>
      <w:proofErr w:type="gramEnd"/>
      <w:r>
        <w:t xml:space="preserve"> Gemüsepflanzen,</w:t>
      </w:r>
    </w:p>
    <w:p w:rsidR="00BE1EFE" w:rsidRDefault="00BE1EFE">
      <w:pPr>
        <w:pStyle w:val="StandardWeb"/>
      </w:pPr>
      <w:r>
        <w:t>Rasensprengen,</w:t>
      </w:r>
    </w:p>
    <w:p w:rsidR="00BE1EFE" w:rsidRDefault="00BE1EFE">
      <w:pPr>
        <w:pStyle w:val="StandardWeb"/>
      </w:pPr>
      <w:r>
        <w:t>Säubern der Grün- und Gartenanlagen (mit Ausnahme von Wasseranlagen)</w:t>
      </w:r>
    </w:p>
    <w:p w:rsidR="00BE1EFE" w:rsidRDefault="00BE1EFE">
      <w:pPr>
        <w:pStyle w:val="StandardWeb"/>
      </w:pPr>
      <w:r>
        <w:t>und der Wege von Feldrückständen, Laub, Papier, Unkraut und dergleichen.</w:t>
      </w:r>
    </w:p>
    <w:p w:rsidR="00BE1EFE" w:rsidRDefault="00BE1EFE">
      <w:pPr>
        <w:pStyle w:val="StandardWeb"/>
      </w:pPr>
    </w:p>
    <w:p w:rsidR="00BE1EFE" w:rsidRDefault="00BE1EFE">
      <w:pPr>
        <w:pStyle w:val="StandardWeb"/>
      </w:pPr>
      <w:r>
        <w:t>20. In der Landwirtschaft</w:t>
      </w:r>
    </w:p>
    <w:p w:rsidR="00BE1EFE" w:rsidRDefault="00BE1EFE">
      <w:pPr>
        <w:pStyle w:val="StandardWeb"/>
      </w:pPr>
      <w:r>
        <w:t>Beispiele zu 1.:</w:t>
      </w:r>
    </w:p>
    <w:p w:rsidR="00BE1EFE" w:rsidRDefault="00BE1EFE">
      <w:pPr>
        <w:pStyle w:val="StandardWeb"/>
      </w:pPr>
      <w:r>
        <w:t>20.1.1 Arbeiter, die Hackfrüchte pflanzen und verziehen,</w:t>
      </w:r>
    </w:p>
    <w:p w:rsidR="00BE1EFE" w:rsidRDefault="00BE1EFE">
      <w:pPr>
        <w:pStyle w:val="StandardWeb"/>
      </w:pPr>
      <w:r>
        <w:t>20.1.2 Arbeiter, die Unkraut jäten,</w:t>
      </w:r>
    </w:p>
    <w:p w:rsidR="00BE1EFE" w:rsidRDefault="00BE1EFE">
      <w:pPr>
        <w:pStyle w:val="StandardWeb"/>
      </w:pPr>
      <w:r>
        <w:t>Beispiel zu 6.:</w:t>
      </w:r>
    </w:p>
    <w:p w:rsidR="00BE1EFE" w:rsidRDefault="00BE1EFE">
      <w:pPr>
        <w:pStyle w:val="StandardWeb"/>
      </w:pPr>
      <w:r>
        <w:t>20.6.1 Arbeiter mit folgenden Hilfsarbeiten (ausgenommen schwere Transportarbeiten, z. B. Säcketragen):</w:t>
      </w:r>
    </w:p>
    <w:p w:rsidR="00BE1EFE" w:rsidRDefault="00BE1EFE">
      <w:pPr>
        <w:pStyle w:val="StandardWeb"/>
      </w:pPr>
      <w:r>
        <w:t xml:space="preserve">Einfache Hof-, Speicher- und Stallarbeiten, Ernten und Vorsortieren von Gemüse, Kartoffeln, sonstigen Hackfrüchten und Obst, </w:t>
      </w:r>
    </w:p>
    <w:p w:rsidR="00BE1EFE" w:rsidRDefault="00BE1EFE">
      <w:pPr>
        <w:pStyle w:val="StandardWeb"/>
      </w:pPr>
      <w:r>
        <w:t>Getreide binden und aufstellen,</w:t>
      </w:r>
    </w:p>
    <w:p w:rsidR="00BE1EFE" w:rsidRDefault="00BE1EFE">
      <w:pPr>
        <w:pStyle w:val="StandardWeb"/>
      </w:pPr>
      <w:r>
        <w:t>Heu wenden und zusammenbringen von Hand.</w:t>
      </w:r>
    </w:p>
    <w:p w:rsidR="00BE1EFE" w:rsidRDefault="00BE1EFE">
      <w:pPr>
        <w:pStyle w:val="StandardWeb"/>
      </w:pPr>
    </w:p>
    <w:p w:rsidR="00BE1EFE" w:rsidRDefault="00BE1EFE">
      <w:pPr>
        <w:pStyle w:val="StandardWeb"/>
      </w:pPr>
      <w:r>
        <w:t>31. Im Weinbau</w:t>
      </w:r>
    </w:p>
    <w:p w:rsidR="00BE1EFE" w:rsidRDefault="00BE1EFE">
      <w:pPr>
        <w:pStyle w:val="StandardWeb"/>
      </w:pPr>
      <w:r>
        <w:t>Beispiel zu 6.:</w:t>
      </w:r>
    </w:p>
    <w:p w:rsidR="00BE1EFE" w:rsidRDefault="00BE1EFE">
      <w:pPr>
        <w:pStyle w:val="StandardWeb"/>
      </w:pPr>
      <w:r>
        <w:t>31.6.1 Arbeiter mit folgenden Hilfsarbeiten:</w:t>
      </w:r>
    </w:p>
    <w:p w:rsidR="00BE1EFE" w:rsidRDefault="00BE1EFE">
      <w:pPr>
        <w:pStyle w:val="StandardWeb"/>
      </w:pPr>
      <w:r>
        <w:t>Ausstatten, Spülen und Stapeln von Flaschen,</w:t>
      </w:r>
    </w:p>
    <w:p w:rsidR="00BE1EFE" w:rsidRDefault="00BE1EFE">
      <w:pPr>
        <w:pStyle w:val="StandardWeb"/>
      </w:pPr>
      <w:r>
        <w:t>Heften (aufbinden),</w:t>
      </w:r>
    </w:p>
    <w:p w:rsidR="00BE1EFE" w:rsidRDefault="00BE1EFE">
      <w:pPr>
        <w:pStyle w:val="StandardWeb"/>
      </w:pPr>
      <w:r>
        <w:t>Reben lesen und hinaustragen,</w:t>
      </w:r>
    </w:p>
    <w:p w:rsidR="00BE1EFE" w:rsidRDefault="00BE1EFE">
      <w:pPr>
        <w:pStyle w:val="StandardWeb"/>
      </w:pPr>
      <w:r>
        <w:t>Trauben lesen (ohne Büttentragen).</w:t>
      </w:r>
    </w:p>
    <w:p w:rsidR="00BE1EFE" w:rsidRDefault="00BE1EFE">
      <w:pPr>
        <w:pStyle w:val="berschrift6"/>
      </w:pPr>
      <w:bookmarkStart w:id="611" w:name="_Toc523926151"/>
      <w:r>
        <w:t>Lohngruppe 1 a</w:t>
      </w:r>
      <w:bookmarkEnd w:id="61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p>
    <w:p w:rsidR="00BE1EFE" w:rsidRPr="000B1AF8" w:rsidRDefault="00BE1EFE">
      <w:pPr>
        <w:pStyle w:val="StandardWeb"/>
      </w:pPr>
      <w:r>
        <w:t>5. Arbeiter der Lohngruppe 1 Nrn. 6.1 bis 6.6, 12.6.1, 16.6.1, 20.6.1, und 31.6.1 nach vierjähriger Tätigkeit in der jeweiligen Fallgruppe dieser Lohngruppe.</w:t>
      </w:r>
    </w:p>
    <w:p w:rsidR="00BE1EFE" w:rsidRDefault="00BE1EFE">
      <w:pPr>
        <w:pStyle w:val="berschrift6"/>
      </w:pPr>
      <w:bookmarkStart w:id="612" w:name="_Toc523926152"/>
      <w:r>
        <w:t>Lohngruppe 2</w:t>
      </w:r>
      <w:bookmarkEnd w:id="612"/>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Tätigkeiten, für die eine eingehende Einarbeitung erforderlich ist.</w:t>
      </w:r>
    </w:p>
    <w:p w:rsidR="00BE1EFE" w:rsidRDefault="00BE1EFE">
      <w:pPr>
        <w:pStyle w:val="StandardWeb"/>
      </w:pPr>
      <w:r>
        <w:t>Beispiele:</w:t>
      </w:r>
    </w:p>
    <w:p w:rsidR="00BE1EFE" w:rsidRDefault="00BE1EFE">
      <w:pPr>
        <w:pStyle w:val="StandardWeb"/>
      </w:pPr>
      <w:r>
        <w:t>1.1 Aktenhefter (Aktenkleber),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Arbeiter, die nicht einfache hauswirtschaftliche Arbeiten verrichten (z. B. Zubereiten von Kaltverpflegung) oder an Maschinen (z. B. Kartoffelschälmaschinen, Gemüseputzmaschinen, Geschirrspülmaschinen) arbeiten,</w:t>
      </w:r>
    </w:p>
    <w:p w:rsidR="00BE1EFE" w:rsidRDefault="00BE1EFE">
      <w:pPr>
        <w:pStyle w:val="StandardWeb"/>
      </w:pPr>
      <w:r>
        <w:t>1.4 Arbeiter, die Speisen und Getränke zutragen und auch kassieren,</w:t>
      </w:r>
    </w:p>
    <w:p w:rsidR="00BE1EFE" w:rsidRDefault="00BE1EFE">
      <w:pPr>
        <w:pStyle w:val="StandardWeb"/>
      </w:pPr>
      <w:r>
        <w:t>1.5 Arbeiter ohne abgeschlossene Ausbildung in einem einschlägigen anerkannten Ausbildungsberuf als Beiköche, soweit nicht höher eingereiht,</w:t>
      </w:r>
    </w:p>
    <w:p w:rsidR="00BE1EFE" w:rsidRDefault="00BE1EFE">
      <w:pPr>
        <w:pStyle w:val="StandardWeb"/>
      </w:pPr>
      <w:r>
        <w:t>1.6 Arbeiter ohne abgeschlossene Ausbildung in einem anerkannten Ausbildungsberuf als Näher, Plätter (Bügler, Mangler) oder Wäscher, soweit nicht höher eingereiht,</w:t>
      </w:r>
    </w:p>
    <w:p w:rsidR="00BE1EFE" w:rsidRDefault="00BE1EFE">
      <w:pPr>
        <w:pStyle w:val="StandardWeb"/>
      </w:pPr>
      <w:r>
        <w:t xml:space="preserve">1.7 bis 1.8 </w:t>
      </w:r>
      <w:r w:rsidRPr="00D645FF">
        <w:rPr>
          <w:i/>
        </w:rPr>
        <w:t>(frei)</w:t>
      </w:r>
      <w:r>
        <w:t>,</w:t>
      </w:r>
    </w:p>
    <w:p w:rsidR="00BE1EFE" w:rsidRDefault="00BE1EFE">
      <w:pPr>
        <w:pStyle w:val="StandardWeb"/>
      </w:pPr>
      <w:r>
        <w:t>1.9 Pförtner, soweit nicht höher eingereiht,</w:t>
      </w:r>
    </w:p>
    <w:p w:rsidR="00BE1EFE" w:rsidRDefault="00BE1EFE">
      <w:pPr>
        <w:pStyle w:val="StandardWeb"/>
      </w:pPr>
      <w:r>
        <w:t xml:space="preserve">2. bis 3. </w:t>
      </w:r>
      <w:r w:rsidRPr="00D645FF">
        <w:rPr>
          <w:i/>
        </w:rPr>
        <w:t>(frei)</w:t>
      </w:r>
      <w:r>
        <w:t>,</w:t>
      </w:r>
    </w:p>
    <w:p w:rsidR="00BE1EFE" w:rsidRDefault="00BE1EFE">
      <w:pPr>
        <w:pStyle w:val="StandardWeb"/>
      </w:pPr>
      <w:r>
        <w:t>4. Arbeiter der Lohngruppe 1 Nr. 1 nach dreijähriger Bewährung in dieser Lohngruppe,</w:t>
      </w:r>
    </w:p>
    <w:p w:rsidR="00BE1EFE" w:rsidRDefault="00BE1EFE">
      <w:pPr>
        <w:pStyle w:val="StandardWeb"/>
      </w:pPr>
      <w:r>
        <w:t xml:space="preserve">5. </w:t>
      </w:r>
      <w:r w:rsidRPr="00D645FF">
        <w:rPr>
          <w:i/>
        </w:rPr>
        <w:t>(frei)</w:t>
      </w:r>
      <w:r>
        <w:t>,</w:t>
      </w:r>
    </w:p>
    <w:p w:rsidR="00BE1EFE" w:rsidRDefault="00BE1EFE">
      <w:pPr>
        <w:pStyle w:val="StandardWeb"/>
      </w:pPr>
      <w:r>
        <w:lastRenderedPageBreak/>
        <w:t>6. Ferner:</w:t>
      </w:r>
    </w:p>
    <w:p w:rsidR="00BE1EFE" w:rsidRDefault="00BE1EFE">
      <w:pPr>
        <w:pStyle w:val="StandardWeb"/>
      </w:pPr>
      <w:r>
        <w:t>6.1 Haus- und Hofarbeiter nach einjähriger Bewährung als solche in der Lohngruppe 1,</w:t>
      </w:r>
    </w:p>
    <w:p w:rsidR="00BE1EFE" w:rsidRDefault="00BE1EFE">
      <w:pPr>
        <w:pStyle w:val="StandardWeb"/>
      </w:pPr>
      <w:r>
        <w:t xml:space="preserve">6.2 </w:t>
      </w:r>
      <w:r w:rsidRPr="00D645FF">
        <w:rPr>
          <w:i/>
        </w:rPr>
        <w:t>(frei)</w:t>
      </w:r>
      <w:r>
        <w:t>,</w:t>
      </w:r>
    </w:p>
    <w:p w:rsidR="00BE1EFE" w:rsidRDefault="00BE1EFE">
      <w:pPr>
        <w:pStyle w:val="StandardWeb"/>
      </w:pPr>
      <w:r>
        <w:t>6.3 Hilfsarbeiter in Archiven nach einjähriger Bewährung als solche in der Lohngruppe 1,</w:t>
      </w:r>
    </w:p>
    <w:p w:rsidR="00BE1EFE" w:rsidRDefault="00BE1EFE">
      <w:pPr>
        <w:pStyle w:val="StandardWeb"/>
      </w:pPr>
      <w:r>
        <w:t>6.4 Hilfsarbeiter in Druckereien nach einjähriger Bewährung als solche in der Lohngruppe 1,</w:t>
      </w:r>
    </w:p>
    <w:p w:rsidR="00BE1EFE" w:rsidRDefault="00BE1EFE">
      <w:pPr>
        <w:pStyle w:val="StandardWeb"/>
      </w:pPr>
      <w:r>
        <w:t xml:space="preserve">6.5 </w:t>
      </w:r>
      <w:r w:rsidRPr="00D645FF">
        <w:rPr>
          <w:i/>
        </w:rPr>
        <w:t>(frei)</w:t>
      </w:r>
      <w:r>
        <w:t>,</w:t>
      </w:r>
    </w:p>
    <w:p w:rsidR="00BE1EFE" w:rsidRDefault="00BE1EFE">
      <w:pPr>
        <w:pStyle w:val="StandardWeb"/>
      </w:pPr>
      <w:r>
        <w:t>6.6 Hilfsarbeiter in Lagern nach einjähriger Bewährung als solche in der Lohngruppe 1,</w:t>
      </w:r>
    </w:p>
    <w:p w:rsidR="00BE1EFE" w:rsidRDefault="00BE1EFE">
      <w:pPr>
        <w:pStyle w:val="StandardWeb"/>
      </w:pPr>
      <w:r>
        <w:t>6.7 Maschinenputzer, soweit nicht höher eingereiht,</w:t>
      </w:r>
    </w:p>
    <w:p w:rsidR="00BE1EFE" w:rsidRDefault="00BE1EFE">
      <w:pPr>
        <w:pStyle w:val="StandardWeb"/>
      </w:pPr>
      <w:r>
        <w:t>6.8 Ofenheizer (Raumbeheizer),</w:t>
      </w:r>
    </w:p>
    <w:p w:rsidR="00BE1EFE" w:rsidRDefault="00BE1EFE">
      <w:pPr>
        <w:pStyle w:val="StandardWeb"/>
      </w:pPr>
      <w:r>
        <w:t>6.9 Reiniger von Werkstätten und Maschinenhallen,</w:t>
      </w:r>
    </w:p>
    <w:p w:rsidR="00BE1EFE" w:rsidRDefault="00BE1EFE">
      <w:pPr>
        <w:pStyle w:val="StandardWeb"/>
      </w:pPr>
      <w:r>
        <w:t xml:space="preserve">6.10 </w:t>
      </w:r>
      <w:r w:rsidRPr="00D645FF">
        <w:rPr>
          <w:i/>
        </w:rPr>
        <w:t>(frei)</w:t>
      </w:r>
      <w:r>
        <w:t>,</w:t>
      </w:r>
    </w:p>
    <w:p w:rsidR="00BE1EFE" w:rsidRPr="000B1AF8" w:rsidRDefault="00BE1EFE">
      <w:pPr>
        <w:pStyle w:val="StandardWeb"/>
      </w:pPr>
      <w:r>
        <w:t>6.11 Wagenwäscher.</w:t>
      </w:r>
    </w:p>
    <w:p w:rsidR="00BE1EFE" w:rsidRPr="000B1AF8" w:rsidRDefault="00BE1EFE">
      <w:pPr>
        <w:pStyle w:val="StandardWeb"/>
      </w:pPr>
    </w:p>
    <w:p w:rsidR="00BE1EFE" w:rsidRDefault="00BE1EFE">
      <w:pPr>
        <w:pStyle w:val="StandardWeb"/>
      </w:pPr>
      <w:r>
        <w:t>Dazu:</w:t>
      </w:r>
    </w:p>
    <w:p w:rsidR="00BE1EFE" w:rsidRDefault="00BE1EFE">
      <w:pPr>
        <w:pStyle w:val="StandardWeb"/>
      </w:pPr>
      <w:r>
        <w:t>12. In Brennereien und Mostereien</w:t>
      </w:r>
    </w:p>
    <w:p w:rsidR="00BE1EFE" w:rsidRDefault="00BE1EFE">
      <w:pPr>
        <w:pStyle w:val="StandardWeb"/>
      </w:pPr>
      <w:r>
        <w:t>Beispiele zu 1.:</w:t>
      </w:r>
    </w:p>
    <w:p w:rsidR="00BE1EFE" w:rsidRDefault="00BE1EFE">
      <w:pPr>
        <w:pStyle w:val="StandardWeb"/>
      </w:pPr>
      <w:r>
        <w:t>12.1.1 Brennereiarbeiter, soweit nicht höher eingereiht,</w:t>
      </w:r>
    </w:p>
    <w:p w:rsidR="00BE1EFE" w:rsidRDefault="00BE1EFE">
      <w:pPr>
        <w:pStyle w:val="StandardWeb"/>
      </w:pPr>
      <w:r>
        <w:t>12.1.2 Mostereiarbeiter, soweit nicht höher eingereiht.</w:t>
      </w:r>
    </w:p>
    <w:p w:rsidR="00BE1EFE" w:rsidRDefault="00BE1EFE">
      <w:pPr>
        <w:pStyle w:val="StandardWeb"/>
      </w:pPr>
    </w:p>
    <w:p w:rsidR="00BE1EFE" w:rsidRDefault="00BE1EFE">
      <w:pPr>
        <w:pStyle w:val="StandardWeb"/>
      </w:pPr>
      <w:r>
        <w:t>15. In Galerien und Museen</w:t>
      </w:r>
    </w:p>
    <w:p w:rsidR="00BE1EFE" w:rsidRDefault="00BE1EFE">
      <w:pPr>
        <w:pStyle w:val="StandardWeb"/>
      </w:pPr>
      <w:r>
        <w:t>Beispiele zu 1.:</w:t>
      </w:r>
    </w:p>
    <w:p w:rsidR="00BE1EFE" w:rsidRDefault="00BE1EFE">
      <w:pPr>
        <w:pStyle w:val="StandardWeb"/>
      </w:pPr>
      <w:r>
        <w:t>15.1.1 Galeriearbeiter, soweit nicht höher eingereiht,</w:t>
      </w:r>
    </w:p>
    <w:p w:rsidR="00BE1EFE" w:rsidRDefault="00BE1EFE">
      <w:pPr>
        <w:pStyle w:val="StandardWeb"/>
      </w:pPr>
      <w:r>
        <w:t>15.1.2 Museumsarbeiter, soweit nicht höher eingereiht.</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1.:</w:t>
      </w:r>
    </w:p>
    <w:p w:rsidR="00BE1EFE" w:rsidRDefault="00BE1EFE">
      <w:pPr>
        <w:pStyle w:val="StandardWeb"/>
      </w:pPr>
      <w:r>
        <w:t>16.1.1 Gartenarbeiter, soweit nicht höher eingereiht.</w:t>
      </w:r>
    </w:p>
    <w:p w:rsidR="00BE1EFE" w:rsidRDefault="00BE1EFE">
      <w:pPr>
        <w:pStyle w:val="StandardWeb"/>
      </w:pPr>
    </w:p>
    <w:p w:rsidR="00BE1EFE" w:rsidRDefault="00BE1EFE">
      <w:pPr>
        <w:pStyle w:val="StandardWeb"/>
      </w:pPr>
      <w:r>
        <w:t>20. In der Landwirtschaft</w:t>
      </w:r>
    </w:p>
    <w:p w:rsidR="00BE1EFE" w:rsidRDefault="00BE1EFE">
      <w:pPr>
        <w:pStyle w:val="StandardWeb"/>
      </w:pPr>
      <w:r>
        <w:t>Beispiel zu 1.:</w:t>
      </w:r>
    </w:p>
    <w:p w:rsidR="00BE1EFE" w:rsidRDefault="00BE1EFE">
      <w:pPr>
        <w:pStyle w:val="StandardWeb"/>
      </w:pPr>
      <w:r>
        <w:t>20.1.1 Landwirtschaftliche Arbeiter, soweit nicht höher eingereiht.</w:t>
      </w:r>
    </w:p>
    <w:p w:rsidR="00BE1EFE" w:rsidRDefault="00BE1EFE">
      <w:pPr>
        <w:pStyle w:val="StandardWeb"/>
      </w:pPr>
    </w:p>
    <w:p w:rsidR="00BE1EFE" w:rsidRDefault="00BE1EFE">
      <w:pPr>
        <w:pStyle w:val="StandardWeb"/>
      </w:pPr>
      <w:r>
        <w:t>31. Im Weinbau</w:t>
      </w:r>
    </w:p>
    <w:p w:rsidR="00BE1EFE" w:rsidRDefault="00BE1EFE">
      <w:pPr>
        <w:pStyle w:val="StandardWeb"/>
      </w:pPr>
      <w:r>
        <w:t>Beispiele zu 1.:</w:t>
      </w:r>
    </w:p>
    <w:p w:rsidR="00BE1EFE" w:rsidRDefault="00BE1EFE">
      <w:pPr>
        <w:pStyle w:val="StandardWeb"/>
      </w:pPr>
      <w:r>
        <w:t>31.1.1 Kellereiarbeiter, soweit nicht höher eingereiht,</w:t>
      </w:r>
    </w:p>
    <w:p w:rsidR="00BE1EFE" w:rsidRDefault="00BE1EFE">
      <w:pPr>
        <w:pStyle w:val="StandardWeb"/>
      </w:pPr>
      <w:r>
        <w:t>31.1.2 Rebarbeiter, soweit nicht höher eingereiht.</w:t>
      </w:r>
    </w:p>
    <w:p w:rsidR="00BE1EFE" w:rsidRDefault="00BE1EFE">
      <w:pPr>
        <w:pStyle w:val="berschrift6"/>
      </w:pPr>
      <w:bookmarkStart w:id="613" w:name="_Toc523926153"/>
      <w:r>
        <w:t>Lohngruppe 2 a</w:t>
      </w:r>
      <w:bookmarkEnd w:id="613"/>
    </w:p>
    <w:p w:rsidR="00BE1EFE" w:rsidRPr="00B76821" w:rsidRDefault="00BE1EFE" w:rsidP="00B76821">
      <w:pPr>
        <w:pStyle w:val="h7"/>
        <w:keepNext w:val="0"/>
        <w:spacing w:before="0" w:after="0"/>
        <w:jc w:val="left"/>
        <w:outlineLvl w:val="5"/>
        <w:rPr>
          <w:sz w:val="2"/>
        </w:rPr>
      </w:pPr>
    </w:p>
    <w:p w:rsidR="00BE1EFE" w:rsidRDefault="00BE1EFE">
      <w:pPr>
        <w:pStyle w:val="StandardWeb"/>
      </w:pPr>
      <w:r>
        <w:t>1. Angelernte Arbeiter, das sind Arbeiter mit Tätigkeiten, die eine handwerkliche oder fachliche Anlernung erfordern.</w:t>
      </w:r>
    </w:p>
    <w:p w:rsidR="00BE1EFE" w:rsidRDefault="00BE1EFE">
      <w:pPr>
        <w:pStyle w:val="StandardWeb"/>
      </w:pPr>
      <w:r>
        <w:t>Beispiele zu 1.:</w:t>
      </w:r>
    </w:p>
    <w:p w:rsidR="00BE1EFE" w:rsidRDefault="00BE1EFE">
      <w:pPr>
        <w:pStyle w:val="StandardWeb"/>
      </w:pPr>
      <w:r>
        <w:t>1.1 Arbeiter an Bürovervielfältigungsmaschinen, soweit nicht höher eingereiht.</w:t>
      </w:r>
    </w:p>
    <w:p w:rsidR="00BE1EFE" w:rsidRDefault="00BE1EFE">
      <w:pPr>
        <w:pStyle w:val="StandardWeb"/>
      </w:pPr>
      <w:r>
        <w:t xml:space="preserve">1.2 </w:t>
      </w:r>
      <w:r w:rsidRPr="00D645FF">
        <w:rPr>
          <w:i/>
        </w:rPr>
        <w:t>(frei)</w:t>
      </w:r>
      <w:r>
        <w:t>,</w:t>
      </w:r>
    </w:p>
    <w:p w:rsidR="00BE1EFE" w:rsidRDefault="00BE1EFE">
      <w:pPr>
        <w:pStyle w:val="StandardWeb"/>
      </w:pPr>
      <w:r>
        <w:t>1.3 Arbeiter mit einfachen Arbeiten in der Photographie (z. B. Abdeckarbeiten), soweit nicht höher eingereiht,</w:t>
      </w:r>
    </w:p>
    <w:p w:rsidR="00BE1EFE" w:rsidRDefault="00BE1EFE">
      <w:pPr>
        <w:pStyle w:val="StandardWeb"/>
      </w:pPr>
      <w:r>
        <w:t>1.4 Arbeiter mit einfachen Kopierarbeiten,</w:t>
      </w:r>
    </w:p>
    <w:p w:rsidR="00BE1EFE" w:rsidRDefault="00BE1EFE">
      <w:pPr>
        <w:pStyle w:val="StandardWeb"/>
      </w:pPr>
      <w:r>
        <w:t>1.5 Buchbindereiarbeiter, soweit nicht höher eingereiht,</w:t>
      </w:r>
    </w:p>
    <w:p w:rsidR="00BE1EFE" w:rsidRDefault="00BE1EFE">
      <w:pPr>
        <w:pStyle w:val="StandardWeb"/>
      </w:pPr>
      <w:r>
        <w:t>1.6 Druckereiarbeiter, soweit nicht höher eingereiht,</w:t>
      </w:r>
    </w:p>
    <w:p w:rsidR="00BE1EFE" w:rsidRDefault="00BE1EFE">
      <w:pPr>
        <w:pStyle w:val="StandardWeb"/>
      </w:pPr>
      <w:r>
        <w:t xml:space="preserve">1.7 </w:t>
      </w:r>
      <w:r w:rsidRPr="00D645FF">
        <w:rPr>
          <w:i/>
        </w:rPr>
        <w:t>(frei)</w:t>
      </w:r>
      <w:r>
        <w:t>,</w:t>
      </w:r>
    </w:p>
    <w:p w:rsidR="00BE1EFE" w:rsidRDefault="00BE1EFE">
      <w:pPr>
        <w:pStyle w:val="StandardWeb"/>
      </w:pPr>
      <w:r>
        <w:t>1.8 Lichtpausarbeiter, soweit nicht höher eingereiht.</w:t>
      </w:r>
    </w:p>
    <w:p w:rsidR="00BE1EFE" w:rsidRDefault="00BE1EFE">
      <w:pPr>
        <w:pStyle w:val="StandardWeb"/>
      </w:pPr>
      <w:r>
        <w:t xml:space="preserve">2. </w:t>
      </w:r>
      <w:r w:rsidRPr="00D645FF">
        <w:rPr>
          <w:i/>
        </w:rPr>
        <w:t>(frei)</w:t>
      </w:r>
      <w:r>
        <w:t>,</w:t>
      </w:r>
    </w:p>
    <w:p w:rsidR="00BE1EFE" w:rsidRPr="000B1AF8" w:rsidRDefault="00BE1EFE">
      <w:pPr>
        <w:pStyle w:val="StandardWeb"/>
      </w:pPr>
      <w:r>
        <w:lastRenderedPageBreak/>
        <w:t>3. Arbeiter mit Tätigkeiten der Lohngruppen 1, 1 a und 2, die die Körperkräfte außerordentlich beanspruchen oder mit besonderer Verantwortung verbunden sind.</w:t>
      </w:r>
    </w:p>
    <w:p w:rsidR="00BE1EFE" w:rsidRPr="000B1AF8" w:rsidRDefault="00BE1EFE">
      <w:pPr>
        <w:pStyle w:val="StandardWeb"/>
      </w:pPr>
    </w:p>
    <w:p w:rsidR="00BE1EFE" w:rsidRDefault="00BE1EFE">
      <w:pPr>
        <w:pStyle w:val="StandardWeb"/>
      </w:pPr>
      <w:r>
        <w:t>Beispiele zu 3.:</w:t>
      </w:r>
    </w:p>
    <w:p w:rsidR="00BE1EFE" w:rsidRDefault="00BE1EFE">
      <w:pPr>
        <w:pStyle w:val="StandardWeb"/>
      </w:pPr>
      <w:r>
        <w:t>3.1 Helfer an Heizungsanlagen,</w:t>
      </w:r>
    </w:p>
    <w:p w:rsidR="00BE1EFE" w:rsidRDefault="00BE1EFE">
      <w:pPr>
        <w:pStyle w:val="StandardWeb"/>
      </w:pPr>
      <w:r>
        <w:t>3.2 Lagerarbeiter, soweit nicht höher eingereiht.</w:t>
      </w:r>
    </w:p>
    <w:p w:rsidR="00BE1EFE" w:rsidRDefault="00BE1EFE">
      <w:pPr>
        <w:pStyle w:val="StandardWeb"/>
      </w:pPr>
    </w:p>
    <w:p w:rsidR="00BE1EFE" w:rsidRDefault="00BE1EFE">
      <w:pPr>
        <w:pStyle w:val="StandardWeb"/>
      </w:pPr>
      <w:r>
        <w:t>4. Arbeiter der Lohngruppe 2 Nr. 1 nach dreijähriger Bewährung in dieser Lohngruppe.</w:t>
      </w:r>
    </w:p>
    <w:p w:rsidR="00BE1EFE" w:rsidRDefault="00BE1EFE">
      <w:pPr>
        <w:pStyle w:val="StandardWeb"/>
      </w:pPr>
      <w:r>
        <w:t>5. Arbeiter der Lohngruppe 2 Nrn. 4, 6.1 bis 6.6, 6.8, 6.9 und 6.11 nach vierjähriger Tätigkeit in der jeweiligen Fallgruppe dieser Lohngruppe.</w:t>
      </w:r>
    </w:p>
    <w:p w:rsidR="00BE1EFE" w:rsidRDefault="00BE1EFE">
      <w:pPr>
        <w:pStyle w:val="StandardWeb"/>
      </w:pPr>
    </w:p>
    <w:p w:rsidR="00BE1EFE" w:rsidRDefault="00BE1EFE">
      <w:pPr>
        <w:pStyle w:val="StandardWeb"/>
      </w:pPr>
      <w:r>
        <w:t>6. Ferner:</w:t>
      </w:r>
    </w:p>
    <w:p w:rsidR="00BE1EFE" w:rsidRDefault="00BE1EFE">
      <w:pPr>
        <w:pStyle w:val="StandardWeb"/>
      </w:pPr>
      <w:r>
        <w:t>6.1 Aktenhefter (Aktenkleber) nach einjähriger Bewährung als solche in der Lohngruppe 2,</w:t>
      </w:r>
    </w:p>
    <w:p w:rsidR="00BE1EFE" w:rsidRDefault="00BE1EFE">
      <w:pPr>
        <w:pStyle w:val="StandardWeb"/>
      </w:pPr>
      <w:r>
        <w:t xml:space="preserve">6.2 </w:t>
      </w:r>
      <w:r w:rsidRPr="00D645FF">
        <w:rPr>
          <w:i/>
        </w:rPr>
        <w:t>(frei)</w:t>
      </w:r>
      <w:r>
        <w:t>,</w:t>
      </w:r>
    </w:p>
    <w:p w:rsidR="00BE1EFE" w:rsidRDefault="00BE1EFE">
      <w:pPr>
        <w:pStyle w:val="StandardWeb"/>
      </w:pPr>
      <w:r>
        <w:t>6.3 Archivarbeiter, soweit nicht höher eingereiht,</w:t>
      </w:r>
    </w:p>
    <w:p w:rsidR="00BE1EFE" w:rsidRDefault="00BE1EFE">
      <w:pPr>
        <w:pStyle w:val="StandardWeb"/>
      </w:pPr>
      <w:r>
        <w:t>6.4 Boten, soweit nicht höher eingereiht,</w:t>
      </w:r>
    </w:p>
    <w:p w:rsidR="00BE1EFE" w:rsidRDefault="00BE1EFE">
      <w:pPr>
        <w:pStyle w:val="StandardWeb"/>
      </w:pPr>
      <w:r>
        <w:t>6.5 bis 6.8 (</w:t>
      </w:r>
      <w:r w:rsidRPr="00D645FF">
        <w:rPr>
          <w:i/>
        </w:rPr>
        <w:t>(frei)</w:t>
      </w:r>
      <w:r>
        <w:t>),</w:t>
      </w:r>
    </w:p>
    <w:p w:rsidR="00BE1EFE" w:rsidRDefault="00BE1EFE">
      <w:pPr>
        <w:pStyle w:val="StandardWeb"/>
      </w:pPr>
      <w:r>
        <w:t>6.9 Maschinenputzer nach einjähriger Bewährung in der Lohngruppe 2,</w:t>
      </w:r>
    </w:p>
    <w:p w:rsidR="00BE1EFE" w:rsidRDefault="00BE1EFE">
      <w:pPr>
        <w:pStyle w:val="StandardWeb"/>
      </w:pPr>
      <w:r>
        <w:t xml:space="preserve">6.10 </w:t>
      </w:r>
      <w:r w:rsidRPr="00D645FF">
        <w:rPr>
          <w:i/>
        </w:rPr>
        <w:t>(frei)</w:t>
      </w:r>
      <w:r>
        <w:t>,</w:t>
      </w:r>
    </w:p>
    <w:p w:rsidR="00BE1EFE" w:rsidRDefault="00BE1EFE">
      <w:pPr>
        <w:pStyle w:val="StandardWeb"/>
      </w:pPr>
      <w:r>
        <w:t>6.11 Pförtner</w:t>
      </w:r>
    </w:p>
    <w:p w:rsidR="00BE1EFE" w:rsidRDefault="00BE1EFE">
      <w:pPr>
        <w:pStyle w:val="StandardWeb"/>
      </w:pPr>
      <w:r>
        <w:t>a) an verkehrsreichen Eingängen oder</w:t>
      </w:r>
    </w:p>
    <w:p w:rsidR="00BE1EFE" w:rsidRDefault="00BE1EFE">
      <w:pPr>
        <w:pStyle w:val="StandardWeb"/>
      </w:pPr>
      <w:r>
        <w:t>b) mit einfachem Fernsprechvermittlungsdienst, soweit nicht höher eingereiht,</w:t>
      </w:r>
    </w:p>
    <w:p w:rsidR="00BE1EFE" w:rsidRDefault="00BE1EFE">
      <w:pPr>
        <w:pStyle w:val="StandardWeb"/>
      </w:pPr>
      <w:r>
        <w:t xml:space="preserve">6.12 bis 6.13 </w:t>
      </w:r>
      <w:r w:rsidRPr="00D645FF">
        <w:rPr>
          <w:i/>
        </w:rPr>
        <w:t>(frei)</w:t>
      </w:r>
      <w:r>
        <w:t>,</w:t>
      </w:r>
    </w:p>
    <w:p w:rsidR="00BE1EFE" w:rsidRDefault="00BE1EFE">
      <w:pPr>
        <w:pStyle w:val="StandardWeb"/>
      </w:pPr>
      <w:r>
        <w:t>6.14 Wagenpfleger, soweit nicht höher eingereiht.</w:t>
      </w:r>
    </w:p>
    <w:p w:rsidR="00BE1EFE" w:rsidRDefault="00BE1EFE">
      <w:pPr>
        <w:pStyle w:val="StandardWeb"/>
      </w:pPr>
    </w:p>
    <w:p w:rsidR="00BE1EFE" w:rsidRDefault="00BE1EFE">
      <w:pPr>
        <w:pStyle w:val="StandardWeb"/>
      </w:pPr>
      <w:r>
        <w:t>Dazu:</w:t>
      </w:r>
    </w:p>
    <w:p w:rsidR="00BE1EFE" w:rsidRDefault="00BE1EFE">
      <w:pPr>
        <w:pStyle w:val="StandardWeb"/>
      </w:pPr>
      <w:r>
        <w:t>15. In Galerien und Museen</w:t>
      </w:r>
    </w:p>
    <w:p w:rsidR="00BE1EFE" w:rsidRDefault="00BE1EFE">
      <w:pPr>
        <w:pStyle w:val="StandardWeb"/>
      </w:pPr>
      <w:r>
        <w:t>Beispiele zu 3.:</w:t>
      </w:r>
    </w:p>
    <w:p w:rsidR="00BE1EFE" w:rsidRDefault="00BE1EFE">
      <w:pPr>
        <w:pStyle w:val="StandardWeb"/>
      </w:pPr>
      <w:r>
        <w:t>15.3.1 Galerieaufseher, soweit nicht höher eingereiht,</w:t>
      </w:r>
    </w:p>
    <w:p w:rsidR="00BE1EFE" w:rsidRDefault="00BE1EFE">
      <w:pPr>
        <w:pStyle w:val="StandardWeb"/>
      </w:pPr>
      <w:r>
        <w:t>15.3.2 Museumsaufseher, soweit nicht höher eingereiht.</w:t>
      </w:r>
    </w:p>
    <w:p w:rsidR="00BE1EFE" w:rsidRDefault="00BE1EFE">
      <w:pPr>
        <w:pStyle w:val="StandardWeb"/>
      </w:pPr>
      <w:r>
        <w:t>Zu 6.:</w:t>
      </w:r>
    </w:p>
    <w:p w:rsidR="00BE1EFE" w:rsidRDefault="00BE1EFE">
      <w:pPr>
        <w:pStyle w:val="StandardWeb"/>
      </w:pPr>
      <w:r>
        <w:t>15.6.1 Arbeiter als Parkaufseher,</w:t>
      </w:r>
    </w:p>
    <w:p w:rsidR="00BE1EFE" w:rsidRDefault="00BE1EFE">
      <w:pPr>
        <w:pStyle w:val="StandardWeb"/>
      </w:pPr>
      <w:r>
        <w:t>15.6.2 Galeriearbeiter nach einjähriger Bewährung als solche in der Lohngruppe 2,</w:t>
      </w:r>
    </w:p>
    <w:p w:rsidR="00BE1EFE" w:rsidRDefault="00BE1EFE">
      <w:pPr>
        <w:pStyle w:val="StandardWeb"/>
      </w:pPr>
      <w:r>
        <w:t>15.6.3 Museumsarbeiter nach einjähriger Bewährung als solche in der Lohngruppe 2.</w:t>
      </w:r>
    </w:p>
    <w:p w:rsidR="00BE1EFE" w:rsidRDefault="00BE1EFE">
      <w:pPr>
        <w:pStyle w:val="berschrift6"/>
      </w:pPr>
      <w:bookmarkStart w:id="614" w:name="_Toc523926154"/>
      <w:r>
        <w:t>Lohngruppe 3</w:t>
      </w:r>
      <w:bookmarkEnd w:id="614"/>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erfolgreich abgeschlossener Ausbildung in einem anerkannten Ausbildungs</w:t>
      </w:r>
      <w:r>
        <w:softHyphen/>
        <w:t>beruf mit einer Ausbildungsdauer von weniger als zweieinhalb Jahren, die in ihrem oder einem diesem verwandten Beruf beschäftigt werden.</w:t>
      </w:r>
    </w:p>
    <w:p w:rsidR="00BE1EFE" w:rsidRDefault="00BE1EFE">
      <w:pPr>
        <w:pStyle w:val="StandardWeb"/>
      </w:pPr>
      <w:r>
        <w:t xml:space="preserve">2. </w:t>
      </w:r>
      <w:r w:rsidRPr="00D645FF">
        <w:rPr>
          <w:i/>
        </w:rPr>
        <w:t>(frei)</w:t>
      </w:r>
      <w:r>
        <w:t>,</w:t>
      </w:r>
    </w:p>
    <w:p w:rsidR="00BE1EFE" w:rsidRDefault="00BE1EFE">
      <w:pPr>
        <w:pStyle w:val="StandardWeb"/>
      </w:pPr>
      <w:r>
        <w:t>3. Angelernte Arbeiter der Lohngruppe 2 a Nr. 1, die Arbeiten verrichten, die an das Über</w:t>
      </w:r>
      <w:r>
        <w:softHyphen/>
        <w:t>legungsvermögen und das fachliche Geschick des Arbeiters Anforderungen stellen, die über das Maß dessen hinausgehen, das von einem solchen Arbeiter üblicherweise verlangt werden kann.</w:t>
      </w:r>
    </w:p>
    <w:p w:rsidR="00BE1EFE" w:rsidRDefault="00BE1EFE">
      <w:pPr>
        <w:pStyle w:val="StandardWeb"/>
      </w:pPr>
      <w:r>
        <w:t>4. Angelernte Arbeiter der Lohngruppe 2 a Nr. 1 nach dreijähriger Bewährung als solche in dieser Lohngruppe.</w:t>
      </w:r>
    </w:p>
    <w:p w:rsidR="00BE1EFE" w:rsidRPr="000B1AF8" w:rsidRDefault="00BE1EFE">
      <w:pPr>
        <w:pStyle w:val="StandardWeb"/>
      </w:pPr>
      <w:r>
        <w:t>5. Arbeiter der Lohngruppe 2 a Nrn. 3, 4, 6.1, 6.9, 15.6.1 bis 15.6.3 nach vierjähriger Tätigkeit in der jeweiligen Fallgruppe dieser Lohngruppe.</w:t>
      </w:r>
    </w:p>
    <w:p w:rsidR="00BE1EFE" w:rsidRPr="000B1AF8" w:rsidRDefault="00BE1EFE">
      <w:pPr>
        <w:pStyle w:val="StandardWeb"/>
      </w:pPr>
    </w:p>
    <w:p w:rsidR="00BE1EFE" w:rsidRDefault="00BE1EFE">
      <w:pPr>
        <w:pStyle w:val="StandardWeb"/>
      </w:pPr>
      <w:r>
        <w:t>6. Ferner:</w:t>
      </w:r>
    </w:p>
    <w:p w:rsidR="00BE1EFE" w:rsidRDefault="00BE1EFE">
      <w:pPr>
        <w:pStyle w:val="StandardWeb"/>
      </w:pPr>
      <w:r>
        <w:t>6.1 Arbeiter an Büro-Offsetmaschinen, soweit nicht höher eingereiht,</w:t>
      </w:r>
    </w:p>
    <w:p w:rsidR="00BE1EFE" w:rsidRDefault="00BE1EFE">
      <w:pPr>
        <w:pStyle w:val="StandardWeb"/>
      </w:pPr>
      <w:r>
        <w:t xml:space="preserve">6.2 </w:t>
      </w:r>
      <w:r w:rsidRPr="00D645FF">
        <w:rPr>
          <w:i/>
        </w:rPr>
        <w:t>(frei)</w:t>
      </w:r>
      <w:r>
        <w:t>,</w:t>
      </w:r>
    </w:p>
    <w:p w:rsidR="00BE1EFE" w:rsidRDefault="00BE1EFE">
      <w:pPr>
        <w:pStyle w:val="StandardWeb"/>
      </w:pPr>
      <w:r>
        <w:lastRenderedPageBreak/>
        <w:t>6.3 Arbeiter ohne abgeschlossene Ausbildung in einem einschlägigen anerkannten Ausbil</w:t>
      </w:r>
      <w:r>
        <w:softHyphen/>
        <w:t>dungsberuf als Beiköche nach dreijähriger Bewährung als solche in der Lohngruppe 2,</w:t>
      </w:r>
    </w:p>
    <w:p w:rsidR="00BE1EFE" w:rsidRDefault="00BE1EFE">
      <w:pPr>
        <w:pStyle w:val="StandardWeb"/>
      </w:pPr>
      <w:r>
        <w:t>6.4 Arbeiter ohne abgeschlossene Ausbildung in einem anerkannten Ausbildungsberuf als Näher, Plätter (Bügler, Mangler) oder Wäscher nach dreijähriger Bewährung als solche in der Lohngruppe 2,</w:t>
      </w:r>
    </w:p>
    <w:p w:rsidR="00BE1EFE" w:rsidRDefault="00BE1EFE">
      <w:pPr>
        <w:pStyle w:val="StandardWeb"/>
      </w:pPr>
      <w:r>
        <w:t>6.5 Archivarbeiter, die mit der pfleglichen Behandlung wertvoller Archivalien betraut sind, soweit nicht höher eingereiht,</w:t>
      </w:r>
    </w:p>
    <w:p w:rsidR="00BE1EFE" w:rsidRDefault="00BE1EFE">
      <w:pPr>
        <w:pStyle w:val="StandardWeb"/>
      </w:pPr>
      <w:r>
        <w:t>6.6 Archivarbeiter nach dreijähriger Bewährung als solche in der Lohngruppe 2 a,</w:t>
      </w:r>
    </w:p>
    <w:p w:rsidR="00BE1EFE" w:rsidRDefault="00BE1EFE">
      <w:pPr>
        <w:pStyle w:val="StandardWeb"/>
      </w:pPr>
      <w:r>
        <w:t>6.7 Bibliotheksarbeiter in wissenschaftlichen Bibliotheken,</w:t>
      </w:r>
    </w:p>
    <w:p w:rsidR="00BE1EFE" w:rsidRDefault="00BE1EFE">
      <w:pPr>
        <w:pStyle w:val="StandardWeb"/>
      </w:pPr>
      <w:r>
        <w:t>6.8 Boten nach dreijähriger Bewährung als solche in der Lohngruppe 2 a,</w:t>
      </w:r>
    </w:p>
    <w:p w:rsidR="00BE1EFE" w:rsidRDefault="00BE1EFE">
      <w:pPr>
        <w:pStyle w:val="StandardWeb"/>
      </w:pPr>
      <w:r>
        <w:t>6.9 Buchbindereiarbeiter als Hilfsbuchbinder nach zweijähriger Bewährung als solche in der Lohngruppe 2a,</w:t>
      </w:r>
    </w:p>
    <w:p w:rsidR="00BE1EFE" w:rsidRDefault="00BE1EFE">
      <w:pPr>
        <w:pStyle w:val="StandardWeb"/>
      </w:pPr>
      <w:r>
        <w:t>6.10 Druckereiarbeiter als Maschinenhelfer im Buch- oder Flachdruck oder als Anleger für großformatigen Mehrfarbendruck, soweit nicht höher eingereiht,</w:t>
      </w:r>
    </w:p>
    <w:p w:rsidR="00BE1EFE" w:rsidRDefault="00BE1EFE">
      <w:pPr>
        <w:pStyle w:val="StandardWeb"/>
      </w:pPr>
      <w:r>
        <w:t xml:space="preserve">6.11 bis 6.12 </w:t>
      </w:r>
      <w:r w:rsidRPr="00D645FF">
        <w:rPr>
          <w:i/>
        </w:rPr>
        <w:t>(frei)</w:t>
      </w:r>
      <w:r>
        <w:t>,</w:t>
      </w:r>
    </w:p>
    <w:p w:rsidR="00BE1EFE" w:rsidRDefault="00BE1EFE">
      <w:pPr>
        <w:pStyle w:val="StandardWeb"/>
      </w:pPr>
      <w:r>
        <w:t>6.13 Hausmeister, soweit nicht höher eingereiht,</w:t>
      </w:r>
    </w:p>
    <w:p w:rsidR="00BE1EFE" w:rsidRDefault="00BE1EFE">
      <w:pPr>
        <w:pStyle w:val="StandardWeb"/>
      </w:pPr>
      <w:r>
        <w:t xml:space="preserve">6.14 bis 6.19 </w:t>
      </w:r>
      <w:r w:rsidRPr="00D645FF">
        <w:rPr>
          <w:i/>
        </w:rPr>
        <w:t>(frei)</w:t>
      </w:r>
      <w:r>
        <w:t>,</w:t>
      </w:r>
    </w:p>
    <w:p w:rsidR="00BE1EFE" w:rsidRDefault="00BE1EFE">
      <w:pPr>
        <w:pStyle w:val="StandardWeb"/>
      </w:pPr>
      <w:r>
        <w:t>6.20 Lagerarbeiter, die wertvolle Geräte pflegen, soweit nicht höher eingruppiert,</w:t>
      </w:r>
    </w:p>
    <w:p w:rsidR="00BE1EFE" w:rsidRDefault="00BE1EFE">
      <w:pPr>
        <w:pStyle w:val="StandardWeb"/>
      </w:pPr>
      <w:r>
        <w:t>6.21 Lagerarbeiter nach dreijähriger Bewährung als solche in der Lohngruppe 2 a,</w:t>
      </w:r>
    </w:p>
    <w:p w:rsidR="00BE1EFE" w:rsidRDefault="00BE1EFE">
      <w:pPr>
        <w:pStyle w:val="StandardWeb"/>
      </w:pPr>
      <w:r>
        <w:t>6.22 Lichtpauser mit Abschlussprüfung in dem früheren Anlernberuf, Lichtpauser, soweit nicht höher eingereiht,</w:t>
      </w:r>
    </w:p>
    <w:p w:rsidR="00BE1EFE" w:rsidRDefault="00BE1EFE">
      <w:pPr>
        <w:pStyle w:val="StandardWeb"/>
      </w:pPr>
      <w:r>
        <w:t xml:space="preserve">6.23 </w:t>
      </w:r>
      <w:r w:rsidRPr="00D645FF">
        <w:rPr>
          <w:i/>
        </w:rPr>
        <w:t>(frei)</w:t>
      </w:r>
      <w:r>
        <w:t>,</w:t>
      </w:r>
    </w:p>
    <w:p w:rsidR="00BE1EFE" w:rsidRDefault="00BE1EFE">
      <w:pPr>
        <w:pStyle w:val="StandardWeb"/>
      </w:pPr>
      <w:r>
        <w:t>6.24 Pförtner,</w:t>
      </w:r>
    </w:p>
    <w:p w:rsidR="00BE1EFE" w:rsidRDefault="00BE1EFE">
      <w:pPr>
        <w:pStyle w:val="StandardWeb"/>
      </w:pPr>
      <w:r>
        <w:t>a) die in nicht unerheblichem Umfang mit schriftlichen Arbeiten</w:t>
      </w:r>
      <w:r>
        <w:rPr>
          <w:vertAlign w:val="superscript"/>
        </w:rPr>
        <w:t>1</w:t>
      </w:r>
      <w:r>
        <w:t xml:space="preserve"> beschäftigt werden oder</w:t>
      </w:r>
    </w:p>
    <w:p w:rsidR="00BE1EFE" w:rsidRDefault="00BE1EFE">
      <w:pPr>
        <w:pStyle w:val="StandardWeb"/>
      </w:pPr>
      <w:r>
        <w:t>b) mit Fernsprechvermittlungsdienst bei mehr als einem Amtsanschluss,</w:t>
      </w:r>
    </w:p>
    <w:p w:rsidR="00BE1EFE" w:rsidRDefault="00BE1EFE">
      <w:pPr>
        <w:pStyle w:val="StandardWeb"/>
      </w:pPr>
      <w:r>
        <w:rPr>
          <w:vertAlign w:val="superscript"/>
        </w:rPr>
        <w:t>1</w:t>
      </w:r>
      <w:r w:rsidRPr="009C6551">
        <w:rPr>
          <w:rStyle w:val="kleinschrift1"/>
        </w:rPr>
        <w:t xml:space="preserve"> Zu den schriftlichen Arbeiten gehört nicht das Ausfüllen von Besucherzetteln.</w:t>
      </w:r>
    </w:p>
    <w:p w:rsidR="00BE1EFE" w:rsidRDefault="00BE1EFE">
      <w:pPr>
        <w:pStyle w:val="StandardWeb"/>
      </w:pPr>
      <w:r>
        <w:t>6.25 Pförtner</w:t>
      </w:r>
    </w:p>
    <w:p w:rsidR="00BE1EFE" w:rsidRDefault="00BE1EFE">
      <w:pPr>
        <w:pStyle w:val="StandardWeb"/>
      </w:pPr>
      <w:r>
        <w:t>a) an verkehrsreichen Eingängen oder</w:t>
      </w:r>
    </w:p>
    <w:p w:rsidR="00BE1EFE" w:rsidRDefault="00BE1EFE">
      <w:pPr>
        <w:pStyle w:val="StandardWeb"/>
      </w:pPr>
      <w:r>
        <w:t>b) mit einfachem Fernsprechvermittlungsdienst nach dreijähriger Bewährung als solche in der Lohngruppe 2 a,</w:t>
      </w:r>
    </w:p>
    <w:p w:rsidR="00BE1EFE" w:rsidRDefault="00BE1EFE">
      <w:pPr>
        <w:pStyle w:val="StandardWeb"/>
      </w:pPr>
      <w:r>
        <w:t xml:space="preserve">6.26 bis 6.30 </w:t>
      </w:r>
      <w:r w:rsidRPr="00D645FF">
        <w:rPr>
          <w:i/>
        </w:rPr>
        <w:t>(frei)</w:t>
      </w:r>
      <w:r>
        <w:t>,</w:t>
      </w:r>
    </w:p>
    <w:p w:rsidR="00BE1EFE" w:rsidRDefault="00BE1EFE">
      <w:pPr>
        <w:pStyle w:val="StandardWeb"/>
      </w:pPr>
      <w:r>
        <w:t>6.31 Wagenpfleger nach dreijähriger Bewährung als solche in der Lohngruppe 2 a.</w:t>
      </w:r>
    </w:p>
    <w:p w:rsidR="00BE1EFE" w:rsidRDefault="00BE1EFE">
      <w:pPr>
        <w:pStyle w:val="StandardWeb"/>
      </w:pPr>
    </w:p>
    <w:p w:rsidR="00BE1EFE" w:rsidRDefault="00BE1EFE">
      <w:pPr>
        <w:pStyle w:val="StandardWeb"/>
      </w:pPr>
      <w:r>
        <w:t>Dazu :</w:t>
      </w:r>
    </w:p>
    <w:p w:rsidR="00BE1EFE" w:rsidRDefault="00BE1EFE">
      <w:pPr>
        <w:pStyle w:val="StandardWeb"/>
      </w:pPr>
      <w:r>
        <w:t>12. In Brennereien und Mostereien</w:t>
      </w:r>
    </w:p>
    <w:p w:rsidR="00BE1EFE" w:rsidRDefault="00BE1EFE">
      <w:pPr>
        <w:pStyle w:val="StandardWeb"/>
      </w:pPr>
    </w:p>
    <w:p w:rsidR="00BE1EFE" w:rsidRDefault="00BE1EFE">
      <w:pPr>
        <w:pStyle w:val="StandardWeb"/>
      </w:pPr>
      <w:r>
        <w:t>Zu 6.:</w:t>
      </w:r>
    </w:p>
    <w:p w:rsidR="00BE1EFE" w:rsidRDefault="00BE1EFE">
      <w:pPr>
        <w:pStyle w:val="StandardWeb"/>
      </w:pPr>
      <w:r>
        <w:t>12.6.1 Brennereiarbeiter nach dreijähriger Bewährung als solche in der Lohngruppe 2 oder mit mindestens fünfjähriger Berufserfahrung,</w:t>
      </w:r>
    </w:p>
    <w:p w:rsidR="00BE1EFE" w:rsidRDefault="00BE1EFE">
      <w:pPr>
        <w:pStyle w:val="StandardWeb"/>
      </w:pPr>
      <w:r>
        <w:t>12.6.2 Mostereiarbeiter nach dreijähriger Bewährung als solche in der Lohngruppe 2 oder mit mindestens fünfjähriger Berufserfahrung,</w:t>
      </w:r>
    </w:p>
    <w:p w:rsidR="00BE1EFE" w:rsidRDefault="00BE1EFE">
      <w:pPr>
        <w:pStyle w:val="StandardWeb"/>
      </w:pPr>
    </w:p>
    <w:p w:rsidR="00BE1EFE" w:rsidRDefault="00BE1EFE">
      <w:pPr>
        <w:pStyle w:val="StandardWeb"/>
      </w:pPr>
      <w:r>
        <w:t>15. In Galerien und Museen</w:t>
      </w:r>
    </w:p>
    <w:p w:rsidR="00BE1EFE" w:rsidRDefault="00BE1EFE">
      <w:pPr>
        <w:pStyle w:val="StandardWeb"/>
      </w:pPr>
      <w:r>
        <w:t>Zu 6.:</w:t>
      </w:r>
    </w:p>
    <w:p w:rsidR="00BE1EFE" w:rsidRDefault="00BE1EFE">
      <w:pPr>
        <w:pStyle w:val="StandardWeb"/>
      </w:pPr>
      <w:r>
        <w:t>15.6.1 Galerieaufseher, zu deren Tätigkeit auch das Erheben von Eintrittsgeld oder der Verkauf von vielfältigem Druck- und Bildmaterial gehören,</w:t>
      </w:r>
    </w:p>
    <w:p w:rsidR="00BE1EFE" w:rsidRDefault="00BE1EFE">
      <w:pPr>
        <w:pStyle w:val="StandardWeb"/>
      </w:pPr>
      <w:r>
        <w:t>15.6.2 Galerieaufseher nach dreijähriger Bewährung als solche in der Lohngruppe 2 a,</w:t>
      </w:r>
    </w:p>
    <w:p w:rsidR="00BE1EFE" w:rsidRDefault="00BE1EFE">
      <w:pPr>
        <w:pStyle w:val="StandardWeb"/>
      </w:pPr>
      <w:r>
        <w:t>15.6.3 Museumsaufseher, zu deren Tätigkeit auch das Erheben von Eintrittsgeld oder der Verkauf von vielfältigem Druck- und Bildmaterial gehören,</w:t>
      </w:r>
    </w:p>
    <w:p w:rsidR="00BE1EFE" w:rsidRDefault="00BE1EFE">
      <w:pPr>
        <w:pStyle w:val="StandardWeb"/>
      </w:pPr>
      <w:r>
        <w:t>15.6.4 Museumsaufseher nach dreijähriger Bewährung als solche in der Lohngruppe 2 a.</w:t>
      </w:r>
    </w:p>
    <w:p w:rsidR="00BE1EFE" w:rsidRDefault="00BE1EFE">
      <w:pPr>
        <w:pStyle w:val="StandardWeb"/>
      </w:pPr>
    </w:p>
    <w:p w:rsidR="00BE1EFE" w:rsidRDefault="00BE1EFE">
      <w:pPr>
        <w:pStyle w:val="StandardWeb"/>
      </w:pPr>
      <w:r>
        <w:t>16. Im Gartenbau</w:t>
      </w:r>
    </w:p>
    <w:p w:rsidR="00BE1EFE" w:rsidRDefault="00BE1EFE">
      <w:pPr>
        <w:pStyle w:val="StandardWeb"/>
      </w:pPr>
      <w:r>
        <w:t>Beispiel zu 3.:</w:t>
      </w:r>
    </w:p>
    <w:p w:rsidR="00BE1EFE" w:rsidRDefault="00BE1EFE">
      <w:pPr>
        <w:pStyle w:val="StandardWeb"/>
      </w:pPr>
      <w:r>
        <w:lastRenderedPageBreak/>
        <w:t>16.3.1 Gartenarbeiter, die gärtnerische Arbeiten verrichten, die an das Überlegungsvermögen und das fachliche Geschick Anforderungen stellen, die über das Maß dessen hinausgehen, das von einem angelernten Arbeiter verlangt werden kann, z. B. Formschneiden von Bäumen, Hecken und Sträuchern, selbstständige Bepflanzung von Parterreanlagen.</w:t>
      </w:r>
    </w:p>
    <w:p w:rsidR="00BE1EFE" w:rsidRDefault="00BE1EFE">
      <w:pPr>
        <w:pStyle w:val="StandardWeb"/>
      </w:pPr>
      <w:r>
        <w:t>Zu 6.:</w:t>
      </w:r>
    </w:p>
    <w:p w:rsidR="00BE1EFE" w:rsidRDefault="00BE1EFE">
      <w:pPr>
        <w:pStyle w:val="StandardWeb"/>
      </w:pPr>
      <w:r>
        <w:t>16.6.1 Fahrer von Traktoren, soweit nicht höher eingereiht,</w:t>
      </w:r>
    </w:p>
    <w:p w:rsidR="00BE1EFE" w:rsidRDefault="00BE1EFE">
      <w:pPr>
        <w:pStyle w:val="StandardWeb"/>
      </w:pPr>
      <w:r>
        <w:t>16.6.2 Gartenarbeiter, die motorgetriebene Gartenbau- und Landmaschinen (mit Ausnahme von einfachen Rasenmähern) führen,</w:t>
      </w:r>
    </w:p>
    <w:p w:rsidR="00BE1EFE" w:rsidRDefault="00BE1EFE">
      <w:pPr>
        <w:pStyle w:val="StandardWeb"/>
      </w:pPr>
      <w:r>
        <w:t>16.6.3 Gartenarbeiter, die motorgetriebene Gartenbau- und Landmaschinen (mit Ausnahme von einfachen Maschinen) führen und warten sowie kleinere Reparaturen selbstständig ausführen, soweit nicht höher eingereiht,</w:t>
      </w:r>
    </w:p>
    <w:p w:rsidR="00BE1EFE" w:rsidRDefault="00BE1EFE">
      <w:pPr>
        <w:pStyle w:val="StandardWeb"/>
      </w:pPr>
      <w:r>
        <w:t>16.6.4 Gartenarbeiter nach dreijähriger Bewährung als solche in der Lohngruppe 2 oder mit mindestens fünfjähriger Berufserfahrung.</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Fahrer von Traktoren, soweit nicht höher eingereiht,</w:t>
      </w:r>
    </w:p>
    <w:p w:rsidR="00BE1EFE" w:rsidRDefault="00BE1EFE">
      <w:pPr>
        <w:pStyle w:val="StandardWeb"/>
      </w:pPr>
      <w:r>
        <w:t>20.6.2 Landwirtschaftliche Arbeiter nach dreijähriger Bewährung als solche in der Lohngruppe 2 oder mit mindestens fünfjähriger Berufserfahrung,</w:t>
      </w:r>
    </w:p>
    <w:p w:rsidR="00BE1EFE" w:rsidRDefault="00BE1EFE">
      <w:pPr>
        <w:pStyle w:val="StandardWeb"/>
      </w:pPr>
      <w:r>
        <w:t>20.6.3 Landwirtschaftliche Arbeiter, die motorgetriebene Gartenbau- und Landmaschinen (mit Ausnahme von einfachen Rasenmähern) führen,</w:t>
      </w:r>
    </w:p>
    <w:p w:rsidR="00BE1EFE" w:rsidRDefault="00BE1EFE">
      <w:pPr>
        <w:pStyle w:val="StandardWeb"/>
      </w:pPr>
      <w:r>
        <w:t>20.6.4 Landwirtschaftliche Arbeiter als Geflügelzüchter ohne Prüfung, Gespannführer, Melker ohne Prüfung, Schäfer ohne Prüfung, Schweinewarte ohne Prüfung nach mindestens dreijähriger Berufserfahrung.</w:t>
      </w:r>
    </w:p>
    <w:p w:rsidR="00BE1EFE" w:rsidRDefault="00BE1EFE">
      <w:pPr>
        <w:pStyle w:val="StandardWeb"/>
      </w:pPr>
    </w:p>
    <w:p w:rsidR="00BE1EFE" w:rsidRDefault="00BE1EFE">
      <w:pPr>
        <w:pStyle w:val="StandardWeb"/>
      </w:pPr>
      <w:r>
        <w:t>31. Im Weinbau</w:t>
      </w:r>
    </w:p>
    <w:p w:rsidR="00BE1EFE" w:rsidRDefault="00BE1EFE">
      <w:pPr>
        <w:pStyle w:val="StandardWeb"/>
      </w:pPr>
      <w:r>
        <w:t>Zu 6.:</w:t>
      </w:r>
    </w:p>
    <w:p w:rsidR="00BE1EFE" w:rsidRDefault="00BE1EFE">
      <w:pPr>
        <w:pStyle w:val="StandardWeb"/>
      </w:pPr>
      <w:r>
        <w:t>31.6.1 Kellereiarbeiter nach dreijähriger Bewährung als solche in der Lohngruppe 2 oder mit mindestens fünfjähriger Berufserfahrung,</w:t>
      </w:r>
    </w:p>
    <w:p w:rsidR="00BE1EFE" w:rsidRDefault="00BE1EFE">
      <w:pPr>
        <w:pStyle w:val="StandardWeb"/>
      </w:pPr>
      <w:r>
        <w:t>31.6.2 Rebarbeiter nach dreijähriger Bewährung als solche in der Lohngruppe 2 oder mit mindestens fünfjähriger Berufserfahrung,</w:t>
      </w:r>
    </w:p>
    <w:p w:rsidR="00BE1EFE" w:rsidRDefault="00BE1EFE">
      <w:pPr>
        <w:pStyle w:val="StandardWeb"/>
      </w:pPr>
      <w:r>
        <w:t>31.6.3 Rebarbeiter, die motorgetriebene Landmaschinen führen.</w:t>
      </w:r>
    </w:p>
    <w:p w:rsidR="00BE1EFE" w:rsidRDefault="00BE1EFE">
      <w:pPr>
        <w:pStyle w:val="berschrift6"/>
      </w:pPr>
      <w:bookmarkStart w:id="615" w:name="_Toc523926155"/>
      <w:r>
        <w:t>Lohngruppe 3 a</w:t>
      </w:r>
      <w:bookmarkEnd w:id="61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3 Nrn. 3, 4, 6.3 bis 6.4, 6.6 bis 6.9, 6.21, 6.24 bis 6.25, 6.31, 12.6.1, 12.6.2, 15.6.1 bis 15.6.4, 16.6.1, 16.6.2, 16.6.4, 20.6.1 bis 20.6.4, 31.6.1 bis 31.6.3 nach vierjähriger Tätigkeit in der jeweiligen Fallgruppe dieser Lohngruppe.</w:t>
      </w:r>
    </w:p>
    <w:p w:rsidR="00BE1EFE" w:rsidRDefault="00BE1EFE">
      <w:pPr>
        <w:pStyle w:val="berschrift6"/>
      </w:pPr>
      <w:bookmarkStart w:id="616" w:name="_Toc523926156"/>
      <w:r>
        <w:t>Lohngruppe 4</w:t>
      </w:r>
      <w:bookmarkEnd w:id="616"/>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mit erfolgreich abgeschlossener Ausbildung in einem anerkannten Ausbildungs</w:t>
      </w:r>
      <w:r>
        <w:softHyphen/>
        <w:t>beruf mit einer Ausbildungsdauer von mindestens zweieinhalb Jahren, die in ihrem oder einem diesem verwandten Beruf beschäftigt werden.</w:t>
      </w:r>
    </w:p>
    <w:p w:rsidR="00BE1EFE" w:rsidRDefault="00BE1EFE">
      <w:pPr>
        <w:pStyle w:val="StandardWeb"/>
      </w:pPr>
      <w:r>
        <w:t xml:space="preserve">2. </w:t>
      </w:r>
      <w:r w:rsidRPr="00D645FF">
        <w:rPr>
          <w:i/>
        </w:rPr>
        <w:t>(frei)</w:t>
      </w:r>
      <w:r>
        <w:t>,</w:t>
      </w:r>
    </w:p>
    <w:p w:rsidR="00BE1EFE" w:rsidRDefault="00BE1EFE">
      <w:pPr>
        <w:pStyle w:val="StandardWeb"/>
      </w:pPr>
      <w:r>
        <w:t>3. Arbeiter der Lohngruppe 3 Nr. 1, die Arbeiten verrichten, die an das Überlegungsvermögen und das fachliche Geschick des Arbeiters Anforderungen stellen, die über das Maß dessen hinausgehen, das von einem solchen Arbeiter üblicherweise verlangt werden kann.</w:t>
      </w:r>
    </w:p>
    <w:p w:rsidR="00BE1EFE" w:rsidRDefault="00BE1EFE">
      <w:pPr>
        <w:pStyle w:val="StandardWeb"/>
      </w:pPr>
      <w:r>
        <w:t>4. Arbeiter der Lohngruppe 3 Nr. 1 nach dreijähriger Bewährung als solche in dieser Lohngruppe.</w:t>
      </w:r>
    </w:p>
    <w:p w:rsidR="00BE1EFE" w:rsidRPr="000B1AF8" w:rsidRDefault="00BE1EFE">
      <w:pPr>
        <w:pStyle w:val="StandardWeb"/>
      </w:pPr>
      <w:r>
        <w:t xml:space="preserve">5. </w:t>
      </w:r>
      <w:r w:rsidRPr="00D645FF">
        <w:rPr>
          <w:i/>
        </w:rPr>
        <w:t>(frei)</w:t>
      </w:r>
      <w:r>
        <w:t>,</w:t>
      </w:r>
    </w:p>
    <w:p w:rsidR="00BE1EFE" w:rsidRPr="000B1AF8" w:rsidRDefault="00BE1EFE">
      <w:pPr>
        <w:pStyle w:val="StandardWeb"/>
      </w:pPr>
    </w:p>
    <w:p w:rsidR="00BE1EFE" w:rsidRDefault="00BE1EFE">
      <w:pPr>
        <w:pStyle w:val="StandardWeb"/>
      </w:pPr>
      <w:r>
        <w:t>6. Ferner:</w:t>
      </w:r>
    </w:p>
    <w:p w:rsidR="00BE1EFE" w:rsidRDefault="00BE1EFE">
      <w:pPr>
        <w:pStyle w:val="StandardWeb"/>
      </w:pPr>
      <w:r>
        <w:t>6.1 Arbeiter als Lagerverwalter,</w:t>
      </w:r>
    </w:p>
    <w:p w:rsidR="00BE1EFE" w:rsidRDefault="00BE1EFE">
      <w:pPr>
        <w:pStyle w:val="StandardWeb"/>
      </w:pPr>
      <w:r>
        <w:t>6.2 Arbeiter an Büro-Offsetmaschinen nach dreijähriger Bewährung als solche in der Lohngruppe 3,</w:t>
      </w:r>
    </w:p>
    <w:p w:rsidR="00BE1EFE" w:rsidRDefault="00BE1EFE">
      <w:pPr>
        <w:pStyle w:val="StandardWeb"/>
      </w:pPr>
      <w:r>
        <w:t xml:space="preserve">6.3 </w:t>
      </w:r>
      <w:r w:rsidRPr="00D645FF">
        <w:rPr>
          <w:i/>
        </w:rPr>
        <w:t>(frei)</w:t>
      </w:r>
      <w:r>
        <w:t>,</w:t>
      </w:r>
    </w:p>
    <w:p w:rsidR="00BE1EFE" w:rsidRDefault="00BE1EFE">
      <w:pPr>
        <w:pStyle w:val="StandardWeb"/>
      </w:pPr>
      <w:r>
        <w:t>6.4 Archivarbeiter, die mit der pfleglichen Behandlung wertvoller Archivalien betraut sind, nach dreijähriger Bewährung als solche in der Lohngruppe 3,</w:t>
      </w:r>
    </w:p>
    <w:p w:rsidR="00BE1EFE" w:rsidRDefault="00BE1EFE">
      <w:pPr>
        <w:pStyle w:val="StandardWeb"/>
      </w:pPr>
      <w:r>
        <w:t>6.5 Baumwarte mit Lehrabschlussprüfung in dem früheren Lehrberuf Baumwart, soweit nicht höher eingereiht,</w:t>
      </w:r>
    </w:p>
    <w:p w:rsidR="00BE1EFE" w:rsidRDefault="00BE1EFE">
      <w:pPr>
        <w:pStyle w:val="StandardWeb"/>
      </w:pPr>
      <w:r>
        <w:t xml:space="preserve">6.6 </w:t>
      </w:r>
      <w:r w:rsidRPr="00D645FF">
        <w:rPr>
          <w:i/>
        </w:rPr>
        <w:t>(frei)</w:t>
      </w:r>
      <w:r>
        <w:t>,</w:t>
      </w:r>
    </w:p>
    <w:p w:rsidR="00BE1EFE" w:rsidRDefault="00BE1EFE">
      <w:pPr>
        <w:pStyle w:val="StandardWeb"/>
      </w:pPr>
      <w:r>
        <w:t>6.7 Druckereiarbeiter als Maschinenhelfer im Buch- oder Flachdruck oder als Anleger für großformatigen Mehrfarbendruck nach dreijähriger Bewährung als solche in der Lohngruppe 3,</w:t>
      </w:r>
    </w:p>
    <w:p w:rsidR="00BE1EFE" w:rsidRDefault="00BE1EFE">
      <w:pPr>
        <w:pStyle w:val="StandardWeb"/>
      </w:pPr>
      <w:r>
        <w:t xml:space="preserve">6.8 bis 6.10 </w:t>
      </w:r>
      <w:r w:rsidRPr="00D645FF">
        <w:rPr>
          <w:i/>
        </w:rPr>
        <w:t>(frei)</w:t>
      </w:r>
      <w:r>
        <w:t>,</w:t>
      </w:r>
    </w:p>
    <w:p w:rsidR="00BE1EFE" w:rsidRDefault="00BE1EFE">
      <w:pPr>
        <w:pStyle w:val="StandardWeb"/>
      </w:pPr>
      <w:r>
        <w:t>6.11 Hausmeister mit erfolgreich abgeschlossener Ausbildung in einem einschlägigen anerkannten Ausbildungsberuf mit einer Ausbildungsdauer von mindestens zweieinhalb Jahren, soweit nicht höher eingereiht,</w:t>
      </w:r>
    </w:p>
    <w:p w:rsidR="00BE1EFE" w:rsidRDefault="00BE1EFE">
      <w:pPr>
        <w:pStyle w:val="StandardWeb"/>
      </w:pPr>
      <w:r>
        <w:t>6.12 Hausmeister nach dreijähriger Bewährung als solche in der Lohngruppe 3,</w:t>
      </w:r>
    </w:p>
    <w:p w:rsidR="00BE1EFE" w:rsidRDefault="00BE1EFE">
      <w:pPr>
        <w:pStyle w:val="StandardWeb"/>
      </w:pPr>
      <w:r>
        <w:t xml:space="preserve">6.13 bis 6.17 </w:t>
      </w:r>
      <w:r w:rsidRPr="00D645FF">
        <w:rPr>
          <w:i/>
        </w:rPr>
        <w:t>(frei)</w:t>
      </w:r>
      <w:r>
        <w:t>,</w:t>
      </w:r>
    </w:p>
    <w:p w:rsidR="00BE1EFE" w:rsidRDefault="00BE1EFE">
      <w:pPr>
        <w:pStyle w:val="StandardWeb"/>
      </w:pPr>
      <w:r>
        <w:t>6.18 Kraftwagenfahrer, soweit nicht höher eingereiht,</w:t>
      </w:r>
    </w:p>
    <w:p w:rsidR="00BE1EFE" w:rsidRDefault="00BE1EFE">
      <w:pPr>
        <w:pStyle w:val="StandardWeb"/>
      </w:pPr>
      <w:r>
        <w:t xml:space="preserve">6.19 </w:t>
      </w:r>
      <w:r w:rsidRPr="00D645FF">
        <w:rPr>
          <w:i/>
        </w:rPr>
        <w:t>(frei)</w:t>
      </w:r>
      <w:r>
        <w:t>,</w:t>
      </w:r>
    </w:p>
    <w:p w:rsidR="00BE1EFE" w:rsidRDefault="00BE1EFE">
      <w:pPr>
        <w:pStyle w:val="StandardWeb"/>
      </w:pPr>
      <w:r>
        <w:t>6.20 Lagerarbeiter, die wertvolle Geräte pflegen, nach dreijähriger Bewährung als solche in der Lohngruppe 3,</w:t>
      </w:r>
    </w:p>
    <w:p w:rsidR="00BE1EFE" w:rsidRDefault="00BE1EFE">
      <w:pPr>
        <w:pStyle w:val="StandardWeb"/>
      </w:pPr>
      <w:r>
        <w:t>6.21 Lichtpauser mit Abschlussprüfung in dem früheren Anlernberuf Lichtpauser nach zweijähriger Bewährung als solche in der Lohngruppe 3,</w:t>
      </w:r>
    </w:p>
    <w:p w:rsidR="00BE1EFE" w:rsidRDefault="00BE1EFE">
      <w:pPr>
        <w:pStyle w:val="StandardWeb"/>
      </w:pPr>
      <w:r>
        <w:t xml:space="preserve">6.22 bis 6.26 </w:t>
      </w:r>
      <w:r w:rsidRPr="00D645FF">
        <w:rPr>
          <w:i/>
        </w:rPr>
        <w:t>(frei)</w:t>
      </w:r>
      <w:r>
        <w:t>,</w:t>
      </w:r>
    </w:p>
    <w:p w:rsidR="00BE1EFE" w:rsidRDefault="00BE1EFE">
      <w:pPr>
        <w:pStyle w:val="StandardWeb"/>
      </w:pPr>
      <w:r>
        <w:t>6.27 Wirtschafter, z. B. in der Material-, Wäsche- und Küchenverwaltung.</w:t>
      </w:r>
    </w:p>
    <w:p w:rsidR="00BE1EFE" w:rsidRDefault="00BE1EFE">
      <w:pPr>
        <w:pStyle w:val="StandardWeb"/>
      </w:pPr>
    </w:p>
    <w:p w:rsidR="00BE1EFE" w:rsidRDefault="00BE1EFE">
      <w:pPr>
        <w:pStyle w:val="StandardWeb"/>
      </w:pPr>
      <w:r>
        <w:t>Dazu:</w:t>
      </w:r>
    </w:p>
    <w:p w:rsidR="00BE1EFE" w:rsidRDefault="00BE1EFE">
      <w:pPr>
        <w:pStyle w:val="StandardWeb"/>
      </w:pPr>
      <w:r>
        <w:t>16. Im Gartenbau</w:t>
      </w:r>
    </w:p>
    <w:p w:rsidR="00BE1EFE" w:rsidRDefault="00BE1EFE">
      <w:pPr>
        <w:pStyle w:val="StandardWeb"/>
      </w:pPr>
      <w:r>
        <w:t>Zu 6.:</w:t>
      </w:r>
    </w:p>
    <w:p w:rsidR="00BE1EFE" w:rsidRDefault="00BE1EFE">
      <w:pPr>
        <w:pStyle w:val="StandardWeb"/>
      </w:pPr>
      <w:r>
        <w:t>16.6.1 Arbeiter mit gärtnerischem Facharbeiterbrief</w:t>
      </w:r>
      <w:r>
        <w:rPr>
          <w:vertAlign w:val="superscript"/>
        </w:rPr>
        <w:t>1</w:t>
      </w:r>
      <w:r>
        <w:t>,</w:t>
      </w:r>
    </w:p>
    <w:p w:rsidR="00BE1EFE" w:rsidRDefault="00BE1EFE">
      <w:pPr>
        <w:pStyle w:val="StandardWeb"/>
      </w:pPr>
      <w:r>
        <w:t>16.6.2 Arbeiter mit landwirtschaftlichem Facharbeiterbrief</w:t>
      </w:r>
      <w:r>
        <w:rPr>
          <w:vertAlign w:val="superscript"/>
        </w:rPr>
        <w:t>1</w:t>
      </w:r>
      <w:r>
        <w:t>,</w:t>
      </w:r>
    </w:p>
    <w:p w:rsidR="00BE1EFE" w:rsidRDefault="00BE1EFE">
      <w:pPr>
        <w:pStyle w:val="StandardWeb"/>
      </w:pPr>
      <w:r>
        <w:t>16.6.3 Arbeiter mit Waldfacharbeiterbrief</w:t>
      </w:r>
      <w:r>
        <w:rPr>
          <w:vertAlign w:val="superscript"/>
        </w:rPr>
        <w:t>1</w:t>
      </w:r>
      <w:r>
        <w:t>,</w:t>
      </w:r>
    </w:p>
    <w:p w:rsidR="00BE1EFE" w:rsidRDefault="00BE1EFE">
      <w:pPr>
        <w:pStyle w:val="StandardWeb"/>
      </w:pPr>
      <w:r>
        <w:rPr>
          <w:vertAlign w:val="superscript"/>
        </w:rPr>
        <w:t>1</w:t>
      </w:r>
      <w:r w:rsidRPr="009C6551">
        <w:rPr>
          <w:rStyle w:val="kleinschrift1"/>
        </w:rPr>
        <w:t xml:space="preserve"> Diese Arbeiter werden in die höheren Lohngruppen wie Arbeiter der Lohngruppe 4 Nr. 1 eingereiht.</w:t>
      </w:r>
    </w:p>
    <w:p w:rsidR="00BE1EFE" w:rsidRDefault="00BE1EFE">
      <w:pPr>
        <w:pStyle w:val="StandardWeb"/>
      </w:pPr>
      <w:r>
        <w:t>16.6.4 Fahrer von Traktoren, die einer Zulassung zum Straßenverkehr bedürfen,</w:t>
      </w:r>
    </w:p>
    <w:p w:rsidR="00BE1EFE" w:rsidRDefault="00BE1EFE">
      <w:pPr>
        <w:pStyle w:val="StandardWeb"/>
      </w:pPr>
      <w:r>
        <w:t>16.6.5 Gartenarbeiter, die motorgetriebene Gartenbau- und Landmaschinen (mit Ausnahme von einfachen Maschinen) führen und warten sowie kleinere Reparaturen selbstständig ausführen, nach dreijähriger Bewährung in dieser Tätigkeit.</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Arbeiter mit gärtnerischem Facharbeiterbrief</w:t>
      </w:r>
      <w:r>
        <w:rPr>
          <w:vertAlign w:val="superscript"/>
        </w:rPr>
        <w:t>1</w:t>
      </w:r>
      <w:r>
        <w:t>,</w:t>
      </w:r>
    </w:p>
    <w:p w:rsidR="00BE1EFE" w:rsidRDefault="00BE1EFE">
      <w:pPr>
        <w:pStyle w:val="StandardWeb"/>
      </w:pPr>
      <w:r>
        <w:t>20.6.2 Arbeiter mit landwirtschaftlichem Facharbeiterbrief</w:t>
      </w:r>
      <w:r>
        <w:rPr>
          <w:vertAlign w:val="superscript"/>
        </w:rPr>
        <w:t>1</w:t>
      </w:r>
      <w:r>
        <w:t>,</w:t>
      </w:r>
    </w:p>
    <w:p w:rsidR="00BE1EFE" w:rsidRDefault="00BE1EFE">
      <w:pPr>
        <w:pStyle w:val="StandardWeb"/>
      </w:pPr>
      <w:r>
        <w:t>20.6.3 Arbeiter mit Waldfacharbeiterbrief</w:t>
      </w:r>
      <w:r>
        <w:rPr>
          <w:vertAlign w:val="superscript"/>
        </w:rPr>
        <w:t>1</w:t>
      </w:r>
      <w:r>
        <w:t>,</w:t>
      </w:r>
    </w:p>
    <w:p w:rsidR="00BE1EFE" w:rsidRDefault="00BE1EFE">
      <w:pPr>
        <w:pStyle w:val="StandardWeb"/>
      </w:pPr>
      <w:r>
        <w:rPr>
          <w:vertAlign w:val="superscript"/>
        </w:rPr>
        <w:t>1</w:t>
      </w:r>
      <w:r>
        <w:rPr>
          <w:rStyle w:val="kleinschrift"/>
        </w:rPr>
        <w:t xml:space="preserve"> Diese Arbeiter werden in die höheren Lohngruppen wie Arbeiter der Lohngruppe 4 Nr. 1 eingereiht.</w:t>
      </w:r>
    </w:p>
    <w:p w:rsidR="00BE1EFE" w:rsidRDefault="00BE1EFE">
      <w:pPr>
        <w:pStyle w:val="StandardWeb"/>
      </w:pPr>
      <w:r>
        <w:t>20.6.4 Fahrer von Traktoren, die einer Zulassung zum Straßenverkehr bedürfen,</w:t>
      </w:r>
    </w:p>
    <w:p w:rsidR="00BE1EFE" w:rsidRDefault="00BE1EFE">
      <w:pPr>
        <w:pStyle w:val="StandardWeb"/>
      </w:pPr>
      <w:r>
        <w:t>20.6.5 Landwirtschaftliche Arbeiter, die motorgetriebene Gartenbau- und Landmaschinen (mit Ausnahme von einfachen Maschinen) führen und warten sowie kleinere Reparaturen selbstständig ausführen, nach dreijähriger Bewährung in dieser Tätigkeit.</w:t>
      </w:r>
    </w:p>
    <w:p w:rsidR="00BE1EFE" w:rsidRDefault="00BE1EFE">
      <w:pPr>
        <w:pStyle w:val="StandardWeb"/>
      </w:pPr>
    </w:p>
    <w:p w:rsidR="00BE1EFE" w:rsidRDefault="00BE1EFE">
      <w:pPr>
        <w:pStyle w:val="StandardWeb"/>
      </w:pPr>
      <w:r>
        <w:t>31. Im Weinbau</w:t>
      </w:r>
    </w:p>
    <w:p w:rsidR="00BE1EFE" w:rsidRDefault="00BE1EFE">
      <w:pPr>
        <w:pStyle w:val="StandardWeb"/>
      </w:pPr>
      <w:r>
        <w:lastRenderedPageBreak/>
        <w:t>Zu 6.:</w:t>
      </w:r>
    </w:p>
    <w:p w:rsidR="00BE1EFE" w:rsidRDefault="00BE1EFE">
      <w:pPr>
        <w:pStyle w:val="StandardWeb"/>
      </w:pPr>
      <w:r>
        <w:t>31.6.1 Arbeiter mit Facharbeiterbrief im Weinbau</w:t>
      </w:r>
      <w:r>
        <w:rPr>
          <w:vertAlign w:val="superscript"/>
        </w:rPr>
        <w:t>1</w:t>
      </w:r>
      <w:r>
        <w:t>,</w:t>
      </w:r>
    </w:p>
    <w:p w:rsidR="00BE1EFE" w:rsidRDefault="00BE1EFE">
      <w:pPr>
        <w:pStyle w:val="StandardWeb"/>
      </w:pPr>
      <w:r>
        <w:t>31.6.2 Arbeiter mit gärtnerischem Facharbeiterbrief</w:t>
      </w:r>
      <w:r>
        <w:rPr>
          <w:vertAlign w:val="superscript"/>
        </w:rPr>
        <w:t>1</w:t>
      </w:r>
      <w:r>
        <w:t>,</w:t>
      </w:r>
    </w:p>
    <w:p w:rsidR="00BE1EFE" w:rsidRDefault="00BE1EFE">
      <w:pPr>
        <w:pStyle w:val="StandardWeb"/>
      </w:pPr>
      <w:r>
        <w:t>31.6.3 Arbeiter mit landwirtschaftlichem Facharbeiterbrief</w:t>
      </w:r>
      <w:r>
        <w:rPr>
          <w:vertAlign w:val="superscript"/>
        </w:rPr>
        <w:t>1</w:t>
      </w:r>
      <w:r>
        <w:t>,</w:t>
      </w:r>
    </w:p>
    <w:p w:rsidR="00BE1EFE" w:rsidRDefault="00BE1EFE">
      <w:pPr>
        <w:pStyle w:val="StandardWeb"/>
      </w:pPr>
      <w:r>
        <w:rPr>
          <w:vertAlign w:val="superscript"/>
        </w:rPr>
        <w:t>1</w:t>
      </w:r>
      <w:r w:rsidRPr="009C6551">
        <w:rPr>
          <w:rStyle w:val="kleinschrift1"/>
        </w:rPr>
        <w:t xml:space="preserve"> Diese Arbeiter werden in die höheren Lohngruppen wie Arbeiter der Lohngruppe 4 Nr. 1 eingereiht.</w:t>
      </w:r>
    </w:p>
    <w:p w:rsidR="00BE1EFE" w:rsidRDefault="00BE1EFE">
      <w:pPr>
        <w:pStyle w:val="StandardWeb"/>
      </w:pPr>
      <w:r>
        <w:t>31.6.4 Fahrer von Traktoren,</w:t>
      </w:r>
    </w:p>
    <w:p w:rsidR="00BE1EFE" w:rsidRDefault="00BE1EFE">
      <w:pPr>
        <w:pStyle w:val="StandardWeb"/>
      </w:pPr>
      <w:r>
        <w:t>31.6.5 Rebarbeiter, die motorgetriebene Landmaschinen (mit Ausnahme von einfachen Maschinen) führen und warten sowie kleine Reparaturen selbstständig ausführen, nach drei</w:t>
      </w:r>
      <w:r>
        <w:softHyphen/>
        <w:t>jähriger Bewährung in dieser Tätigkeit.</w:t>
      </w:r>
    </w:p>
    <w:p w:rsidR="00BE1EFE" w:rsidRDefault="00BE1EFE">
      <w:pPr>
        <w:pStyle w:val="berschrift6"/>
      </w:pPr>
      <w:bookmarkStart w:id="617" w:name="_Toc523926157"/>
      <w:r>
        <w:t>Lohngruppe 4 a</w:t>
      </w:r>
      <w:bookmarkEnd w:id="617"/>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4 Nrn. 3, 4, 6.1, 6.2, 6.4, 6.7, 6.12, 6.18, 6.20, 6.21, 6.27, 16.6.4, 16.6.5, 20.6.4, 20.6.5, 31.6.4, 31.6.5 nach vierjähriger Tätigkeit in der jeweiligen Fallgruppe dieser Lohngruppe.</w:t>
      </w:r>
    </w:p>
    <w:p w:rsidR="00BE1EFE" w:rsidRDefault="00BE1EFE">
      <w:pPr>
        <w:pStyle w:val="berschrift6"/>
      </w:pPr>
      <w:bookmarkStart w:id="618" w:name="_Toc523926158"/>
      <w:r>
        <w:t>Lohngruppe 5</w:t>
      </w:r>
      <w:bookmarkEnd w:id="618"/>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w:t>
      </w:r>
      <w:r>
        <w:rPr>
          <w:rStyle w:val="kleinschrift"/>
        </w:rPr>
        <w:t>1</w:t>
      </w:r>
      <w:r>
        <w:t>Arbeiter der Lohngruppe 4 Nr. 1, die hochwertige Arbeiten verrichten.</w:t>
      </w:r>
    </w:p>
    <w:p w:rsidR="00BE1EFE" w:rsidRDefault="00BE1EFE">
      <w:pPr>
        <w:pStyle w:val="StandardWeb"/>
      </w:pPr>
      <w:r>
        <w:rPr>
          <w:rStyle w:val="kleinschrift"/>
        </w:rPr>
        <w:t>2</w:t>
      </w:r>
      <w:r>
        <w:t>Hochwertige Arbeiten sind Arbeiten, die an das Überlegungsvermögen und das fachliche Geschick des Arbeiters Anforderungen stellen, die über das Maß dessen hinausgehen, das von einem solchen Arbeiter üblicherweise verlangt werden kann.</w:t>
      </w:r>
    </w:p>
    <w:p w:rsidR="00BE1EFE" w:rsidRDefault="00BE1EFE">
      <w:pPr>
        <w:pStyle w:val="StandardWeb"/>
      </w:pPr>
      <w:r>
        <w:t xml:space="preserve">2. bis 3. </w:t>
      </w:r>
      <w:r w:rsidRPr="00D645FF">
        <w:rPr>
          <w:i/>
        </w:rPr>
        <w:t>(frei)</w:t>
      </w:r>
      <w:r>
        <w:t>,</w:t>
      </w:r>
    </w:p>
    <w:p w:rsidR="00BE1EFE" w:rsidRDefault="00BE1EFE">
      <w:pPr>
        <w:pStyle w:val="StandardWeb"/>
      </w:pPr>
      <w:r>
        <w:t>4. Arbeiter der Lohngruppe 4 Nr. 1 nach dreijähriger Bewährung als solche in dieser Lohngruppe,</w:t>
      </w:r>
    </w:p>
    <w:p w:rsidR="00BE1EFE" w:rsidRPr="000B1AF8" w:rsidRDefault="00BE1EFE">
      <w:pPr>
        <w:pStyle w:val="StandardWeb"/>
      </w:pPr>
      <w:r>
        <w:t xml:space="preserve">5. </w:t>
      </w:r>
      <w:r w:rsidRPr="00D645FF">
        <w:rPr>
          <w:i/>
        </w:rPr>
        <w:t>(frei)</w:t>
      </w:r>
      <w:r>
        <w:t>,</w:t>
      </w:r>
    </w:p>
    <w:p w:rsidR="00BE1EFE" w:rsidRPr="000B1AF8" w:rsidRDefault="00BE1EFE">
      <w:pPr>
        <w:pStyle w:val="StandardWeb"/>
      </w:pPr>
    </w:p>
    <w:p w:rsidR="00BE1EFE" w:rsidRDefault="00BE1EFE">
      <w:pPr>
        <w:pStyle w:val="StandardWeb"/>
      </w:pPr>
      <w:r>
        <w:t>6. Ferner:</w:t>
      </w:r>
    </w:p>
    <w:p w:rsidR="00BE1EFE" w:rsidRDefault="00BE1EFE">
      <w:pPr>
        <w:pStyle w:val="StandardWeb"/>
      </w:pPr>
      <w:r>
        <w:t xml:space="preserve">6.1 bis 6.2 </w:t>
      </w:r>
      <w:r w:rsidRPr="00D645FF">
        <w:rPr>
          <w:i/>
        </w:rPr>
        <w:t>(frei)</w:t>
      </w:r>
      <w:r>
        <w:t>,</w:t>
      </w:r>
    </w:p>
    <w:p w:rsidR="00BE1EFE" w:rsidRDefault="00BE1EFE">
      <w:pPr>
        <w:pStyle w:val="StandardWeb"/>
      </w:pPr>
      <w:r>
        <w:t>6.3 Baumwarte mit Lehrabschlussprüfung in dem früheren Lehrberuf Baumwart nach drei</w:t>
      </w:r>
      <w:r>
        <w:softHyphen/>
        <w:t>jähriger Bewährung als solche in der Lohngruppe 4,</w:t>
      </w:r>
    </w:p>
    <w:p w:rsidR="00BE1EFE" w:rsidRDefault="00BE1EFE">
      <w:pPr>
        <w:pStyle w:val="StandardWeb"/>
      </w:pPr>
      <w:r>
        <w:t xml:space="preserve">6.4 bis 6.6 </w:t>
      </w:r>
      <w:r w:rsidRPr="00D645FF">
        <w:rPr>
          <w:i/>
        </w:rPr>
        <w:t>(frei)</w:t>
      </w:r>
      <w:r>
        <w:t>,</w:t>
      </w:r>
    </w:p>
    <w:p w:rsidR="00BE1EFE" w:rsidRDefault="00BE1EFE">
      <w:pPr>
        <w:pStyle w:val="StandardWeb"/>
      </w:pPr>
      <w:r>
        <w:t>6.7 Fahrer von Omnibussen mit mindestens 14 Fahrgastsitzen</w:t>
      </w:r>
    </w:p>
    <w:p w:rsidR="00BE1EFE" w:rsidRDefault="00BE1EFE">
      <w:pPr>
        <w:pStyle w:val="StandardWeb"/>
      </w:pPr>
      <w:r>
        <w:t>6.8 Hausmeister mit erfolgreich abgeschlossener Ausbildung in einem einschlägigen anerkannten Ausbildungsberuf mit einer Ausbildungsdauer von mindestens zweieinhalb Jahren nach dreijähriger Bewährung als solche in der Lohngruppe 4.</w:t>
      </w:r>
    </w:p>
    <w:p w:rsidR="00BE1EFE" w:rsidRDefault="00BE1EFE">
      <w:pPr>
        <w:pStyle w:val="StandardWeb"/>
      </w:pPr>
    </w:p>
    <w:p w:rsidR="00BE1EFE" w:rsidRDefault="00BE1EFE">
      <w:pPr>
        <w:pStyle w:val="StandardWeb"/>
      </w:pPr>
      <w:r>
        <w:t>Dazu:</w:t>
      </w:r>
    </w:p>
    <w:p w:rsidR="00BE1EFE" w:rsidRDefault="00BE1EFE">
      <w:pPr>
        <w:pStyle w:val="StandardWeb"/>
      </w:pPr>
      <w:r>
        <w:t>16. Im Gartenbau</w:t>
      </w:r>
    </w:p>
    <w:p w:rsidR="00BE1EFE" w:rsidRDefault="00BE1EFE">
      <w:pPr>
        <w:pStyle w:val="StandardWeb"/>
      </w:pPr>
      <w:r>
        <w:t>Zu 6.:</w:t>
      </w:r>
    </w:p>
    <w:p w:rsidR="00BE1EFE" w:rsidRDefault="00BE1EFE">
      <w:pPr>
        <w:pStyle w:val="StandardWeb"/>
      </w:pPr>
      <w:r>
        <w:t>16.6.1 Fahrer von Traktoren bei regelmäßiger Verwendung verschiedener Anbaugeräte sowie verschiedener Anhängegeräte (z. B. Mähdrescher, Hackfrucht-Vollernter), die vom Traktor aus bedient werden.</w:t>
      </w:r>
    </w:p>
    <w:p w:rsidR="00BE1EFE" w:rsidRDefault="00BE1EFE">
      <w:pPr>
        <w:pStyle w:val="StandardWeb"/>
      </w:pPr>
    </w:p>
    <w:p w:rsidR="00BE1EFE" w:rsidRDefault="00BE1EFE">
      <w:pPr>
        <w:pStyle w:val="StandardWeb"/>
      </w:pPr>
      <w:r>
        <w:t>20. In der Landwirtschaft</w:t>
      </w:r>
    </w:p>
    <w:p w:rsidR="00BE1EFE" w:rsidRDefault="00BE1EFE">
      <w:pPr>
        <w:pStyle w:val="StandardWeb"/>
      </w:pPr>
      <w:r>
        <w:t>Zu 6.:</w:t>
      </w:r>
    </w:p>
    <w:p w:rsidR="00BE1EFE" w:rsidRDefault="00BE1EFE">
      <w:pPr>
        <w:pStyle w:val="StandardWeb"/>
      </w:pPr>
      <w:r>
        <w:t>20.6.1 Fahrer von Traktoren bei regelmäßiger Verwendung verschiedener Anbaugeräte sowie verschiedener Anhängegeräte (z. B. Mähdrescher, Hackfrucht-Vollernter) die vom Traktor aus bedient werden.</w:t>
      </w:r>
    </w:p>
    <w:p w:rsidR="00BE1EFE" w:rsidRDefault="00BE1EFE">
      <w:pPr>
        <w:pStyle w:val="StandardWeb"/>
      </w:pPr>
    </w:p>
    <w:p w:rsidR="00BE1EFE" w:rsidRDefault="00BE1EFE">
      <w:pPr>
        <w:pStyle w:val="StandardWeb"/>
      </w:pPr>
      <w:r>
        <w:t>31. Im Weinbau</w:t>
      </w:r>
    </w:p>
    <w:p w:rsidR="00BE1EFE" w:rsidRDefault="00BE1EFE">
      <w:pPr>
        <w:pStyle w:val="StandardWeb"/>
      </w:pPr>
      <w:r>
        <w:lastRenderedPageBreak/>
        <w:t>Zu 6.:</w:t>
      </w:r>
    </w:p>
    <w:p w:rsidR="00BE1EFE" w:rsidRDefault="00BE1EFE">
      <w:pPr>
        <w:pStyle w:val="StandardWeb"/>
      </w:pPr>
      <w:r>
        <w:t>31.6.1 Fahrer von Traktoren bei regelmäßiger Verwendung verschiedener Anbaugeräte.</w:t>
      </w:r>
    </w:p>
    <w:p w:rsidR="00BE1EFE" w:rsidRDefault="00BE1EFE">
      <w:pPr>
        <w:pStyle w:val="berschrift6"/>
      </w:pPr>
      <w:bookmarkStart w:id="619" w:name="_Toc523926159"/>
      <w:r>
        <w:t>Lohngruppe 5 a</w:t>
      </w:r>
      <w:bookmarkEnd w:id="619"/>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5 Nrn. 4, 6.3, 6.7, 6.8, 16.6.1, 20.6.1, 31.6.1 nach vierjähriger Tätigkeit in der jeweiligen Fallgruppe dieser Lohngruppe.</w:t>
      </w:r>
    </w:p>
    <w:p w:rsidR="00BE1EFE" w:rsidRDefault="00BE1EFE">
      <w:pPr>
        <w:pStyle w:val="berschrift6"/>
      </w:pPr>
      <w:bookmarkStart w:id="620" w:name="_Toc523926160"/>
      <w:r>
        <w:t>Lohngruppe 6</w:t>
      </w:r>
      <w:bookmarkEnd w:id="620"/>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Arbeiter der Lohngruppe 4 Nr. 1, die besonders hochwertige Arbeiten verrichten. </w:t>
      </w:r>
      <w:r>
        <w:rPr>
          <w:rStyle w:val="kleinschrift"/>
        </w:rPr>
        <w:t>2</w:t>
      </w:r>
      <w:r>
        <w:t>Beson</w:t>
      </w:r>
      <w:r>
        <w:softHyphen/>
        <w:t>ders hochwertige Arbeiten sind Arbeiten, die neben vielseitigem hochwertigem fachlichem Können besondere Umsicht und Zuverlässigkeit erfordern.</w:t>
      </w:r>
    </w:p>
    <w:p w:rsidR="00BE1EFE" w:rsidRDefault="00BE1EFE">
      <w:pPr>
        <w:pStyle w:val="StandardWeb"/>
      </w:pPr>
      <w:r>
        <w:t xml:space="preserve">2. bis 3. </w:t>
      </w:r>
      <w:r w:rsidRPr="00D645FF">
        <w:rPr>
          <w:i/>
        </w:rPr>
        <w:t>(frei)</w:t>
      </w:r>
      <w:r>
        <w:t>,</w:t>
      </w:r>
    </w:p>
    <w:p w:rsidR="00BE1EFE" w:rsidRPr="000B1AF8" w:rsidRDefault="00BE1EFE">
      <w:pPr>
        <w:pStyle w:val="StandardWeb"/>
      </w:pPr>
      <w:r>
        <w:t>4. Arbeiter der Lohngruppe 5 Nr. 1 nach dreijähriger Bewährung als solche in dieser Lohngruppe.</w:t>
      </w:r>
    </w:p>
    <w:p w:rsidR="00BE1EFE" w:rsidRDefault="00BE1EFE">
      <w:pPr>
        <w:pStyle w:val="berschrift6"/>
      </w:pPr>
      <w:bookmarkStart w:id="621" w:name="_Toc523926161"/>
      <w:r>
        <w:t>Lohngruppe 6 a</w:t>
      </w:r>
      <w:bookmarkEnd w:id="621"/>
    </w:p>
    <w:p w:rsidR="00BE1EFE" w:rsidRPr="00B76821" w:rsidRDefault="00BE1EFE" w:rsidP="00B76821">
      <w:pPr>
        <w:pStyle w:val="h7"/>
        <w:keepNext w:val="0"/>
        <w:spacing w:before="0" w:after="0"/>
        <w:jc w:val="left"/>
        <w:outlineLvl w:val="5"/>
        <w:rPr>
          <w:sz w:val="2"/>
        </w:rPr>
      </w:pPr>
    </w:p>
    <w:p w:rsidR="00BE1EFE" w:rsidRDefault="00BE1EFE">
      <w:pPr>
        <w:pStyle w:val="StandardWeb"/>
        <w:spacing w:after="240"/>
      </w:pPr>
      <w:r>
        <w:t xml:space="preserve">1. bis 4. </w:t>
      </w:r>
      <w:r w:rsidRPr="00D645FF">
        <w:rPr>
          <w:i/>
        </w:rPr>
        <w:t>(frei)</w:t>
      </w:r>
      <w:r>
        <w:t>,</w:t>
      </w:r>
    </w:p>
    <w:p w:rsidR="00BE1EFE" w:rsidRPr="000B1AF8" w:rsidRDefault="00BE1EFE">
      <w:pPr>
        <w:pStyle w:val="StandardWeb"/>
        <w:spacing w:after="240"/>
      </w:pPr>
      <w:r>
        <w:t>5. Arbeiter der Lohngruppe 6 Nr. 4 nach vierjähriger Tätigkeit in dieser Fall- und Lohngruppe.</w:t>
      </w:r>
    </w:p>
    <w:p w:rsidR="00BE1EFE" w:rsidRDefault="00BE1EFE">
      <w:pPr>
        <w:pStyle w:val="berschrift6"/>
      </w:pPr>
      <w:bookmarkStart w:id="622" w:name="_Toc523926162"/>
      <w:r>
        <w:t>Lohngruppe 7</w:t>
      </w:r>
      <w:bookmarkEnd w:id="622"/>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3. </w:t>
      </w:r>
      <w:r w:rsidRPr="00D645FF">
        <w:rPr>
          <w:i/>
        </w:rPr>
        <w:t>(frei)</w:t>
      </w:r>
      <w:r>
        <w:t>,</w:t>
      </w:r>
    </w:p>
    <w:p w:rsidR="00BE1EFE" w:rsidRPr="000B1AF8" w:rsidRDefault="00BE1EFE">
      <w:pPr>
        <w:pStyle w:val="StandardWeb"/>
      </w:pPr>
      <w:r>
        <w:t>4. Arbeiter der Lohngruppe 6 Nr. 1 nach dreijähriger Bewährung als solche in dieser Lohngruppe.</w:t>
      </w:r>
    </w:p>
    <w:p w:rsidR="00BE1EFE" w:rsidRPr="000B1AF8" w:rsidRDefault="00BE1EFE">
      <w:pPr>
        <w:pStyle w:val="StandardWeb"/>
      </w:pPr>
    </w:p>
    <w:p w:rsidR="00BE1EFE" w:rsidRDefault="00BE1EFE">
      <w:pPr>
        <w:pStyle w:val="berschrift6"/>
      </w:pPr>
      <w:bookmarkStart w:id="623" w:name="_Toc523926163"/>
      <w:r>
        <w:t>Lohngruppe 7 a</w:t>
      </w:r>
      <w:bookmarkEnd w:id="623"/>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t>5. Arbeiter der Lohngruppe 7 Nr. 4 nach vierjähriger Tätigkeit in dieser Fall- und Lohngruppe.</w:t>
      </w:r>
    </w:p>
    <w:p w:rsidR="00BE1EFE" w:rsidRDefault="00BE1EFE">
      <w:pPr>
        <w:pStyle w:val="berschrift6"/>
      </w:pPr>
      <w:bookmarkStart w:id="624" w:name="_Toc523926164"/>
      <w:r>
        <w:t>Lohngruppe 8</w:t>
      </w:r>
      <w:bookmarkEnd w:id="624"/>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14. </w:t>
      </w:r>
      <w:r w:rsidRPr="00D645FF">
        <w:rPr>
          <w:i/>
        </w:rPr>
        <w:t>(frei)</w:t>
      </w:r>
      <w:r>
        <w:t>,</w:t>
      </w:r>
    </w:p>
    <w:p w:rsidR="00BE1EFE" w:rsidRDefault="00BE1EFE">
      <w:pPr>
        <w:pStyle w:val="StandardWeb"/>
      </w:pPr>
      <w:r>
        <w:t>15. In Galerien und Museen</w:t>
      </w:r>
    </w:p>
    <w:p w:rsidR="00BE1EFE" w:rsidRPr="000B1AF8" w:rsidRDefault="00BE1EFE">
      <w:pPr>
        <w:pStyle w:val="StandardWeb"/>
      </w:pPr>
      <w:r>
        <w:t>Arbeiter der Lohngruppe 4 Nr. 1, die sich dadurch aus der Lohngruppe 6 herausheben, dass sie hochwertigste Arbeiten an wertvollen Kunstgegenständen oder an kunstgeschichtlich bedeutenden Gebäudeteilen verrichten.</w:t>
      </w:r>
    </w:p>
    <w:p w:rsidR="00BE1EFE" w:rsidRDefault="00BE1EFE">
      <w:pPr>
        <w:pStyle w:val="berschrift6"/>
      </w:pPr>
      <w:bookmarkStart w:id="625" w:name="_Toc523926165"/>
      <w:r>
        <w:t>Lohngruppe 8 a</w:t>
      </w:r>
      <w:bookmarkEnd w:id="62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bis 4. </w:t>
      </w:r>
      <w:r w:rsidRPr="00D645FF">
        <w:rPr>
          <w:i/>
        </w:rPr>
        <w:t>(frei)</w:t>
      </w:r>
      <w:r>
        <w:t>,</w:t>
      </w:r>
    </w:p>
    <w:p w:rsidR="00BE1EFE" w:rsidRPr="000B1AF8" w:rsidRDefault="00BE1EFE">
      <w:pPr>
        <w:pStyle w:val="StandardWeb"/>
      </w:pPr>
      <w:r>
        <w:lastRenderedPageBreak/>
        <w:t>5. Arbeiter der Lohngruppe 8 Nr. 15 nach vierjähriger Tätigkeit in dieser Fall- und Lohngruppe.</w:t>
      </w:r>
    </w:p>
    <w:p w:rsidR="00BE1EFE" w:rsidRDefault="00BE1EFE">
      <w:pPr>
        <w:pStyle w:val="berschrift6"/>
      </w:pPr>
      <w:bookmarkStart w:id="626" w:name="_Toc523926166"/>
      <w:r>
        <w:t>Lohngruppe 9</w:t>
      </w:r>
      <w:bookmarkEnd w:id="626"/>
    </w:p>
    <w:p w:rsidR="00BE1EFE" w:rsidRPr="00B76821" w:rsidRDefault="00BE1EFE" w:rsidP="00B76821">
      <w:pPr>
        <w:pStyle w:val="h7"/>
        <w:keepNext w:val="0"/>
        <w:spacing w:before="0" w:after="0"/>
        <w:jc w:val="left"/>
        <w:outlineLvl w:val="5"/>
        <w:rPr>
          <w:sz w:val="2"/>
        </w:rPr>
      </w:pPr>
    </w:p>
    <w:p w:rsidR="00BE1EFE" w:rsidRDefault="00BE1EFE">
      <w:pPr>
        <w:pStyle w:val="StandardWeb"/>
      </w:pPr>
      <w:r>
        <w:t>1. Arbeiter der Lohngruppe 4 Nr. 1 mit erfolgreich abgeschlossener Ausbildung in einem einschlägigen anerkannten Ausbildungsberuf mit einer Ausbildungsdauer von dreieinhalb Jahren, die als Bediener von CNC-gesteuerten Maschinen komplizierte Werkstücke aus unterschiedlichen Materialien herstellen und dafür selbstständig nach Fertigungsunterlagen Arbeitsablaufprogramme ergänzen, Maschinenprogramme eingeben, testen und fahren sowie Programmfehler feststellen und beseitigen.</w:t>
      </w:r>
    </w:p>
    <w:p w:rsidR="00BE1EFE" w:rsidRDefault="00BE1EFE">
      <w:pPr>
        <w:pStyle w:val="StandardWeb"/>
      </w:pPr>
      <w:r>
        <w:t>2. Arbeiter der Lohngruppe 4 Nr. 1 mit erfolgreich abgeschlossener Ausbildung in einem einschlägigen anerkannten Ausbildungsberuf mit einer Ausbildungsdauer von dreieinhalb Jahren, die bei Einsatz von Laserschneidtechnik und Lasergraviertechnik selbstständig Arbeitsablaufprogramme ergänzen, eingeben, testen und fahren sowie Programmfehler feststellen und beseitigen.</w:t>
      </w:r>
    </w:p>
    <w:p w:rsidR="00BE1EFE" w:rsidRDefault="00BE1EFE">
      <w:pPr>
        <w:pStyle w:val="StandardWeb"/>
      </w:pPr>
      <w:r>
        <w:t>3. Arbeiter der Lohngruppe 4 Nr. 1 mit erfolgreich abgeschlossener Ausbildung in einem einschlägigen anerkannten Ausbildungsberuf mit einer Ausbildungsdauer von mindestens drei Jahren (z. B. Elektromechaniker, Energieelektroniker, Kälteanlagenbauer, Zentralheizungs- und Lüftungsbauer, Mess- und Regelmechaniker) mit Meisterbrief, die in großen Arbeits</w:t>
      </w:r>
      <w:r>
        <w:softHyphen/>
        <w:t>stätten mit zentraler Haus- und Betriebstechnik komplizierte Anlagen (z. B. zentrale Mess-, Steuer- und Regelanlagen für Heiz-, Klima-, Sanitär- und Elektrotechnik) warten, instand</w:t>
      </w:r>
      <w:r>
        <w:softHyphen/>
        <w:t>setzen, die Betriebsbereitschaft gewährleisten und in der Lage sind, die Regelung und Steuerung der Anlagen technischen Änderungen anzupassen.</w:t>
      </w:r>
    </w:p>
    <w:p w:rsidR="00BE1EFE" w:rsidRDefault="00BE1EFE">
      <w:pPr>
        <w:pStyle w:val="StandardWeb"/>
      </w:pPr>
      <w:r>
        <w:br w:type="page"/>
      </w:r>
    </w:p>
    <w:p w:rsidR="00BE1EFE" w:rsidRDefault="00BE1EFE" w:rsidP="000B37DB">
      <w:pPr>
        <w:pStyle w:val="berschrift5"/>
        <w:spacing w:before="0"/>
        <w:jc w:val="both"/>
      </w:pPr>
      <w:bookmarkStart w:id="627" w:name="_Toc523926167"/>
      <w:r>
        <w:lastRenderedPageBreak/>
        <w:t>A, 2.15. Entgeltordnung für Pfarrhelferinnen und Pfarrhelfer</w:t>
      </w:r>
      <w:bookmarkEnd w:id="627"/>
    </w:p>
    <w:p w:rsidR="00BE1EFE" w:rsidRDefault="00BE1EFE">
      <w:pPr>
        <w:pStyle w:val="berschrift6"/>
      </w:pPr>
      <w:bookmarkStart w:id="628" w:name="_Toc523926168"/>
      <w:r>
        <w:t>§ 1 Grundlagen des Entgelts</w:t>
      </w:r>
      <w:bookmarkEnd w:id="62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Pfarrhelferinnen/Pfarrhelfer im Vorbereitungsdienst erhalten während des Vorbereitungs</w:t>
      </w:r>
      <w:r>
        <w:softHyphen/>
        <w:t>dienstes ein Entgelt nach Entgeltgruppe 5.</w:t>
      </w:r>
    </w:p>
    <w:p w:rsidR="00BE1EFE" w:rsidRPr="000B1AF8" w:rsidRDefault="00BE1EFE">
      <w:pPr>
        <w:pStyle w:val="StandardWeb"/>
      </w:pPr>
    </w:p>
    <w:p w:rsidR="00BE1EFE" w:rsidRDefault="00BE1EFE">
      <w:pPr>
        <w:pStyle w:val="StandardWeb"/>
      </w:pPr>
      <w:r>
        <w:t>(2) Pfarrhelferinnen/Pfarrhelfer in der Berufseinführung erhalten während der Berufsein</w:t>
      </w:r>
      <w:r>
        <w:softHyphen/>
        <w:t>führung ein Entgelt nach Entgeltgruppe 7.</w:t>
      </w:r>
    </w:p>
    <w:p w:rsidR="00BE1EFE" w:rsidRDefault="00BE1EFE">
      <w:pPr>
        <w:pStyle w:val="StandardWeb"/>
      </w:pPr>
    </w:p>
    <w:p w:rsidR="00BE1EFE" w:rsidRDefault="00BE1EFE">
      <w:pPr>
        <w:pStyle w:val="StandardWeb"/>
      </w:pPr>
      <w:r>
        <w:t>(3) Pfarrhelferinnen/Pfarrhelfer mit erfolgreich abgelegter Zweiter Dienstprüfung erhalten ein Entgelt nach Entgeltgruppe 9a.</w:t>
      </w:r>
    </w:p>
    <w:p w:rsidR="00BE1EFE" w:rsidRDefault="00BE1EFE">
      <w:pPr>
        <w:pStyle w:val="StandardWeb"/>
      </w:pPr>
    </w:p>
    <w:p w:rsidR="00BE1EFE" w:rsidRPr="00EB2E70" w:rsidRDefault="00BE1EFE" w:rsidP="003143E9">
      <w:pPr>
        <w:pStyle w:val="StandardWeb"/>
        <w:rPr>
          <w:sz w:val="12"/>
          <w:szCs w:val="12"/>
        </w:rPr>
      </w:pPr>
      <w:r w:rsidRPr="00EB2E70">
        <w:rPr>
          <w:sz w:val="12"/>
          <w:szCs w:val="12"/>
        </w:rPr>
        <w:t>Protokollnotiz zu § 1:</w:t>
      </w:r>
    </w:p>
    <w:p w:rsidR="00BE1EFE" w:rsidRPr="00EB2E70" w:rsidRDefault="00BE1EFE" w:rsidP="003143E9">
      <w:pPr>
        <w:pStyle w:val="StandardWeb"/>
        <w:rPr>
          <w:sz w:val="12"/>
          <w:szCs w:val="12"/>
        </w:rPr>
      </w:pPr>
      <w:r w:rsidRPr="00EB2E70">
        <w:rPr>
          <w:sz w:val="12"/>
          <w:szCs w:val="12"/>
        </w:rPr>
        <w:t xml:space="preserve">Falls die/der Beschäftigte bis zum 31.12.2017 nach den neuen </w:t>
      </w:r>
      <w:r>
        <w:rPr>
          <w:sz w:val="12"/>
          <w:szCs w:val="12"/>
        </w:rPr>
        <w:t>Eingruppierungs</w:t>
      </w:r>
      <w:r w:rsidRPr="00EB2E70">
        <w:rPr>
          <w:sz w:val="12"/>
          <w:szCs w:val="12"/>
        </w:rPr>
        <w:t>vorschriften des ABD (mit Entgeltordnung) keinen Antrag auf Höhergruppierung (</w:t>
      </w:r>
      <w:hyperlink r:id="rId406" w:history="1">
        <w:r w:rsidRPr="00A65C05">
          <w:rPr>
            <w:rStyle w:val="Hyperlink"/>
            <w:sz w:val="12"/>
            <w:szCs w:val="12"/>
          </w:rPr>
          <w:t>§ 29b Teil A. 3.</w:t>
        </w:r>
      </w:hyperlink>
      <w:r w:rsidRPr="00EB2E70">
        <w:rPr>
          <w:sz w:val="12"/>
          <w:szCs w:val="12"/>
        </w:rPr>
        <w:t>) stellt, gilt Folgendes:</w:t>
      </w:r>
    </w:p>
    <w:p w:rsidR="00BE1EFE" w:rsidRPr="00EB2E70" w:rsidRDefault="00BE1EFE" w:rsidP="003143E9">
      <w:pPr>
        <w:pStyle w:val="StandardWeb"/>
        <w:rPr>
          <w:sz w:val="12"/>
          <w:szCs w:val="12"/>
        </w:rPr>
      </w:pPr>
      <w:r w:rsidRPr="00EB2E70">
        <w:rPr>
          <w:sz w:val="12"/>
          <w:szCs w:val="12"/>
        </w:rPr>
        <w:t>Pfarrhelferinnen/Pfarrhelfer mit erfolgreich abgelegter Zweiter Dienstprüfung erhalten ein Entgelt nach Entgeltgruppe 8.</w:t>
      </w:r>
    </w:p>
    <w:p w:rsidR="00BE1EFE" w:rsidRPr="000B37DB" w:rsidRDefault="00BE1EFE">
      <w:pPr>
        <w:pStyle w:val="StandardWeb"/>
        <w:rPr>
          <w:sz w:val="12"/>
          <w:szCs w:val="12"/>
        </w:rPr>
      </w:pPr>
      <w:r w:rsidRPr="00EB2E70">
        <w:rPr>
          <w:sz w:val="12"/>
          <w:szCs w:val="12"/>
        </w:rPr>
        <w:t xml:space="preserve">Pfarrhelferinnen/Pfarrhelfer mit erfolgreich abgelegter Zweiter Dienstprüfung erhalten nach einer Beschäftigungszeit als Pfarrhelferin/Pfarrhelfer von fünf Jahren eine Zulage in Höhe eines Prozentsatzes; in der Stufe 4 von 8 %; in der Stufe 5 von 11 %; in der Stufe 6 von 13,5 </w:t>
      </w:r>
      <w:r>
        <w:rPr>
          <w:sz w:val="12"/>
          <w:szCs w:val="12"/>
        </w:rPr>
        <w:t>% aus Entgeltgruppe 8, Stufe 6.</w:t>
      </w:r>
    </w:p>
    <w:p w:rsidR="00BE1EFE" w:rsidRDefault="00BE1EFE">
      <w:pPr>
        <w:pStyle w:val="berschrift6"/>
      </w:pPr>
      <w:bookmarkStart w:id="629" w:name="_Toc523926169"/>
      <w:r>
        <w:t>§ 2 Ausgleich für Sonderformen der Arbeit</w:t>
      </w:r>
      <w:bookmarkEnd w:id="62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407" w:history="1">
        <w:r w:rsidRPr="002D1F1D">
          <w:rPr>
            <w:rStyle w:val="Hyperlink"/>
          </w:rPr>
          <w:t>§ 8 Absatz 1 Satz 3 Buchstabe b) bis f) Teil A, 1.</w:t>
        </w:r>
      </w:hyperlink>
      <w:r>
        <w:t xml:space="preserve"> findet keine Anwendung. </w:t>
      </w:r>
      <w:r>
        <w:rPr>
          <w:rStyle w:val="kleinschrift"/>
        </w:rPr>
        <w:t>2</w:t>
      </w:r>
      <w:r>
        <w:t xml:space="preserve">Zuschläge für Sonderformen der Arbeit gem. </w:t>
      </w:r>
      <w:hyperlink r:id="rId408" w:history="1">
        <w:r w:rsidRPr="002D1F1D">
          <w:rPr>
            <w:rStyle w:val="Hyperlink"/>
          </w:rPr>
          <w:t>§ 8 Absatz 1 Satz 3 Buchstabe b) bis f) Teil A, 1.</w:t>
        </w:r>
      </w:hyperlink>
      <w:r>
        <w:t xml:space="preserve"> sind bei der Eingruppierung nach § 1 berücksichtigt.</w:t>
      </w:r>
    </w:p>
    <w:p w:rsidR="00BE1EFE" w:rsidRDefault="00BE1EFE">
      <w:pPr>
        <w:pStyle w:val="berschrift6"/>
      </w:pPr>
      <w:bookmarkStart w:id="630" w:name="_Toc523926170"/>
      <w:r>
        <w:t>§ 3 Entgelt bei Teilzeitbeschäftigung</w:t>
      </w:r>
      <w:bookmarkEnd w:id="63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Teilzeitbeschäftigte Pfarrhelferinnen und Pfarrhelfer erhalten das Tabellenentgelt und alle sonstigen Entgeltbestandteile in dem Umfang, der dem Anteil ihrer individuell vereinbarten durchschnittlichen Arbeitszeit an der regelmäßigen Arbeitszeit vergleichbarer Vollzeit</w:t>
      </w:r>
      <w:r>
        <w:softHyphen/>
        <w:t>beschäftigter entspricht.</w:t>
      </w:r>
    </w:p>
    <w:p w:rsidR="00BE1EFE" w:rsidRPr="003114F8" w:rsidRDefault="00BE1EFE" w:rsidP="003114F8">
      <w:pPr>
        <w:pStyle w:val="berschrift6"/>
        <w:rPr>
          <w:lang w:eastAsia="x-none"/>
        </w:rPr>
      </w:pPr>
      <w:bookmarkStart w:id="631" w:name="_Toc523926171"/>
      <w:r>
        <w:t>§ 4 Übergangsregelungen</w:t>
      </w:r>
      <w:bookmarkEnd w:id="63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Mit Inkrafttreten dieser Entgeltordnung finden die Vorschriften der </w:t>
      </w:r>
      <w:hyperlink r:id="rId409" w:history="1">
        <w:r w:rsidRPr="002D1F1D">
          <w:rPr>
            <w:rStyle w:val="Hyperlink"/>
          </w:rPr>
          <w:t>§§ 8</w:t>
        </w:r>
      </w:hyperlink>
      <w:r>
        <w:t xml:space="preserve"> und </w:t>
      </w:r>
      <w:hyperlink r:id="rId410" w:history="1">
        <w:r w:rsidRPr="002D1F1D">
          <w:rPr>
            <w:rStyle w:val="Hyperlink"/>
          </w:rPr>
          <w:t>8a</w:t>
        </w:r>
      </w:hyperlink>
      <w:r>
        <w:t xml:space="preserve"> sowie die Tabellen </w:t>
      </w:r>
      <w:hyperlink r:id="rId411" w:history="1">
        <w:r w:rsidRPr="002D1F1D">
          <w:rPr>
            <w:rStyle w:val="Hyperlink"/>
          </w:rPr>
          <w:t>2K</w:t>
        </w:r>
      </w:hyperlink>
      <w:r>
        <w:t xml:space="preserve"> und </w:t>
      </w:r>
      <w:hyperlink r:id="rId412" w:history="1">
        <w:r w:rsidRPr="002D1F1D">
          <w:rPr>
            <w:rStyle w:val="Hyperlink"/>
          </w:rPr>
          <w:t>4K Teil A, 3.</w:t>
        </w:r>
      </w:hyperlink>
      <w:r>
        <w:t xml:space="preserve"> und die Regelungen über eine einmalige Pauschalzahlung (</w:t>
      </w:r>
      <w:hyperlink r:id="rId413" w:history="1">
        <w:r w:rsidRPr="002D1F1D">
          <w:rPr>
            <w:rStyle w:val="Hyperlink"/>
          </w:rPr>
          <w:t>ABD Teil D, 12</w:t>
        </w:r>
      </w:hyperlink>
      <w:r>
        <w:t>.) auf Pfarrhelferinnen und Pfarrhelfer keine Anwendung mehr.</w:t>
      </w:r>
    </w:p>
    <w:p w:rsidR="00BE1EFE" w:rsidRPr="00766C9B" w:rsidRDefault="00BE1EFE" w:rsidP="00766C9B">
      <w:pPr>
        <w:pStyle w:val="StandardWeb"/>
      </w:pPr>
    </w:p>
    <w:p w:rsidR="00BE1EFE" w:rsidRDefault="00BE1EFE">
      <w:pPr>
        <w:pStyle w:val="berschrift4"/>
      </w:pPr>
      <w:bookmarkStart w:id="632" w:name="_Toc523926172"/>
      <w:r>
        <w:lastRenderedPageBreak/>
        <w:t>A, 3. Regelung zur Überleitung der Beschäftigten und des Übergangsrechts (RÜÜ)</w:t>
      </w:r>
      <w:bookmarkEnd w:id="632"/>
    </w:p>
    <w:p w:rsidR="00BE1EFE" w:rsidRDefault="00BE1EFE">
      <w:pPr>
        <w:pStyle w:val="berschrift5"/>
      </w:pPr>
      <w:bookmarkStart w:id="633" w:name="_Toc523926173"/>
      <w:r>
        <w:t>Abschnitt I: Allgemeine Vorschriften (§§ 1-2)</w:t>
      </w:r>
      <w:bookmarkEnd w:id="633"/>
    </w:p>
    <w:p w:rsidR="00BE1EFE" w:rsidRDefault="00BE1EFE">
      <w:pPr>
        <w:pStyle w:val="berschrift6"/>
      </w:pPr>
      <w:bookmarkStart w:id="634" w:name="_Toc523926174"/>
      <w:r>
        <w:t>§ 1 Geltungsbereich</w:t>
      </w:r>
      <w:bookmarkEnd w:id="63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Diese Regelung gilt für Angestellte, Arbeiterinnen und Arbeiter, deren Arbeitsverhältnis zu demselben Arbeitgeber über den 30. September 2005 hinaus fortbesteht, und die am 1. Oktober 2005 unter den Geltungsbereich des ABD fallen, für die Dauer des ununterbrochen fortbestehenden Arbeitsverhältnisses. </w:t>
      </w:r>
      <w:r>
        <w:rPr>
          <w:rStyle w:val="kleinschrift"/>
        </w:rPr>
        <w:t>2</w:t>
      </w:r>
      <w:r>
        <w:t xml:space="preserve">Diese Regelung gilt ferner für die unter </w:t>
      </w:r>
      <w:hyperlink r:id="rId414" w:history="1">
        <w:r w:rsidRPr="002D1F1D">
          <w:rPr>
            <w:rStyle w:val="Hyperlink"/>
          </w:rPr>
          <w:t>§ 19 Absatz 2</w:t>
        </w:r>
      </w:hyperlink>
      <w:r>
        <w:t xml:space="preserve"> fallenden Beschäftigten.</w:t>
      </w:r>
    </w:p>
    <w:p w:rsidR="00BE1EFE" w:rsidRDefault="00BE1EFE">
      <w:pPr>
        <w:pStyle w:val="StandardWeb"/>
      </w:pPr>
      <w:r>
        <w:rPr>
          <w:rStyle w:val="kleinschrift"/>
        </w:rPr>
        <w:t>Anmerkung zu Absatz 1 Satz 1:</w:t>
      </w:r>
    </w:p>
    <w:p w:rsidR="00BE1EFE" w:rsidRPr="000B1AF8" w:rsidRDefault="00BE1EFE">
      <w:pPr>
        <w:pStyle w:val="StandardWeb"/>
      </w:pPr>
      <w:r>
        <w:rPr>
          <w:rStyle w:val="kleinschrift"/>
        </w:rPr>
        <w:t>Unterbrechungen von bis zu einem Monat sind unschädlich</w:t>
      </w:r>
      <w:r w:rsidRPr="009C6551">
        <w:rPr>
          <w:rStyle w:val="kleinschrift1"/>
        </w:rPr>
        <w:t>.</w:t>
      </w:r>
    </w:p>
    <w:p w:rsidR="00BE1EFE" w:rsidRPr="000B1AF8" w:rsidRDefault="00BE1EFE">
      <w:pPr>
        <w:pStyle w:val="StandardWeb"/>
      </w:pPr>
    </w:p>
    <w:p w:rsidR="00BE1EFE" w:rsidRDefault="00BE1EFE">
      <w:pPr>
        <w:pStyle w:val="StandardWeb"/>
      </w:pPr>
      <w:r>
        <w:t>(2) Nur soweit nachfolgend ausdrücklich bestimmt, gelten die Vorschriften dieser Regelung auch für Beschäftigte, deren Arbeitsverhältnis zu dem Arbeitgeber nach dem 30. September 2005 beginnt und die unter den Geltungsbereich des ABD fallen.</w:t>
      </w:r>
    </w:p>
    <w:p w:rsidR="00BE1EFE" w:rsidRDefault="00BE1EFE">
      <w:pPr>
        <w:pStyle w:val="StandardWeb"/>
      </w:pPr>
    </w:p>
    <w:p w:rsidR="00BE1EFE" w:rsidRDefault="00BE1EFE">
      <w:pPr>
        <w:pStyle w:val="StandardWeb"/>
      </w:pPr>
      <w:r>
        <w:t xml:space="preserve">(3) Die Vorschriften der </w:t>
      </w:r>
      <w:hyperlink r:id="rId415" w:history="1">
        <w:r w:rsidRPr="00BC3A72">
          <w:rPr>
            <w:rStyle w:val="Hyperlink"/>
          </w:rPr>
          <w:t>Teile A bis F</w:t>
        </w:r>
      </w:hyperlink>
      <w:r>
        <w:t xml:space="preserve"> gelten, soweit diese Regelung keine abweichenden Bestimmungen trifft.</w:t>
      </w:r>
    </w:p>
    <w:p w:rsidR="00BE1EFE" w:rsidRDefault="00BE1EFE">
      <w:pPr>
        <w:pStyle w:val="berschrift6"/>
        <w:rPr>
          <w:lang w:eastAsia="x-none"/>
        </w:rPr>
      </w:pPr>
      <w:bookmarkStart w:id="635" w:name="_Toc523926175"/>
      <w:r>
        <w:t xml:space="preserve">§ 2 </w:t>
      </w:r>
      <w:r w:rsidR="002575B0" w:rsidRPr="002575B0">
        <w:rPr>
          <w:b w:val="0"/>
          <w:i/>
        </w:rPr>
        <w:t>(frei)</w:t>
      </w:r>
      <w:bookmarkEnd w:id="635"/>
    </w:p>
    <w:p w:rsidR="00BE1EFE" w:rsidRPr="00B76821" w:rsidRDefault="00BE1EFE" w:rsidP="00B76821">
      <w:pPr>
        <w:pStyle w:val="h7"/>
        <w:keepNext w:val="0"/>
        <w:spacing w:before="0" w:after="0"/>
        <w:jc w:val="left"/>
        <w:outlineLvl w:val="5"/>
        <w:rPr>
          <w:sz w:val="2"/>
        </w:rPr>
      </w:pPr>
    </w:p>
    <w:p w:rsidR="00BE1EFE" w:rsidRPr="00CA7DB0" w:rsidRDefault="00BE1EFE" w:rsidP="00766C9B">
      <w:pPr>
        <w:pStyle w:val="StandardWeb"/>
        <w:rPr>
          <w:b/>
        </w:rPr>
      </w:pPr>
      <w:r>
        <w:rPr>
          <w:b/>
        </w:rPr>
        <w:br w:type="page"/>
      </w:r>
    </w:p>
    <w:p w:rsidR="00BE1EFE" w:rsidRDefault="00BE1EFE" w:rsidP="00CA7DB0">
      <w:pPr>
        <w:pStyle w:val="berschrift5"/>
        <w:spacing w:before="0"/>
      </w:pPr>
      <w:bookmarkStart w:id="636" w:name="_Toc523926176"/>
      <w:r>
        <w:lastRenderedPageBreak/>
        <w:t>Abschnitt II: Überleitungsregelungen (§§ 3-7)</w:t>
      </w:r>
      <w:bookmarkEnd w:id="636"/>
    </w:p>
    <w:p w:rsidR="00BE1EFE" w:rsidRDefault="00BE1EFE">
      <w:pPr>
        <w:pStyle w:val="berschrift6"/>
      </w:pPr>
      <w:bookmarkStart w:id="637" w:name="_Toc523926177"/>
      <w:r>
        <w:t>§ 3 Überleitung</w:t>
      </w:r>
      <w:bookmarkEnd w:id="63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von </w:t>
      </w:r>
      <w:hyperlink r:id="rId416" w:history="1">
        <w:r w:rsidRPr="002D1F1D">
          <w:rPr>
            <w:rStyle w:val="Hyperlink"/>
          </w:rPr>
          <w:t>§ 1 Absatz 1</w:t>
        </w:r>
      </w:hyperlink>
      <w:r>
        <w:t xml:space="preserve"> erfassten Beschäftigten werden am 1. Oktober 2005 gemäß den nachfolgenden Bestimmungen in das ABD Teil </w:t>
      </w:r>
      <w:hyperlink r:id="rId417" w:history="1">
        <w:r w:rsidRPr="002D1F1D">
          <w:rPr>
            <w:rStyle w:val="Hyperlink"/>
          </w:rPr>
          <w:t>A, 1.</w:t>
        </w:r>
      </w:hyperlink>
      <w:r>
        <w:t xml:space="preserve"> in der ab dem 01.10.2005 geltenden Fassung übergeleitet.</w:t>
      </w:r>
    </w:p>
    <w:p w:rsidR="00BE1EFE" w:rsidRDefault="00BE1EFE">
      <w:pPr>
        <w:pStyle w:val="berschrift6"/>
      </w:pPr>
      <w:bookmarkStart w:id="638" w:name="_Toc523926178"/>
      <w:r>
        <w:t>§ 4 Zuordnung der Vergütungs- und Lohngruppen</w:t>
      </w:r>
      <w:bookmarkEnd w:id="63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Für die Überleitung der Beschäftigten wird ihre Vergütungs- bzw. Lohngruppe </w:t>
      </w:r>
      <w:hyperlink r:id="rId418" w:history="1">
        <w:r>
          <w:rPr>
            <w:rStyle w:val="Hyperlink"/>
          </w:rPr>
          <w:t>(§ 22 Teil A, </w:t>
        </w:r>
        <w:r w:rsidRPr="002D1F1D">
          <w:rPr>
            <w:rStyle w:val="Hyperlink"/>
          </w:rPr>
          <w:t>1.</w:t>
        </w:r>
      </w:hyperlink>
      <w:r>
        <w:t xml:space="preserve"> in der bis zum 30.09.2005 geltenden Fassung bzw. entsprechende Regelungen für Arbeiterinnen und Arbeiter bzw. besondere Vorschriften für bestimmte Berufsgruppen) nach der </w:t>
      </w:r>
      <w:hyperlink r:id="rId419" w:history="1">
        <w:r w:rsidRPr="002D1F1D">
          <w:rPr>
            <w:rStyle w:val="Hyperlink"/>
          </w:rPr>
          <w:t>Anlage 2</w:t>
        </w:r>
      </w:hyperlink>
      <w:r>
        <w:t xml:space="preserve">, für das pädagogische Personal in Kindertageseinrichtungen nach der </w:t>
      </w:r>
      <w:hyperlink r:id="rId420" w:history="1">
        <w:r>
          <w:rPr>
            <w:rStyle w:val="Hyperlink"/>
          </w:rPr>
          <w:t>Anlage 2 </w:t>
        </w:r>
        <w:r w:rsidRPr="002D1F1D">
          <w:rPr>
            <w:rStyle w:val="Hyperlink"/>
          </w:rPr>
          <w:t>A,</w:t>
        </w:r>
      </w:hyperlink>
      <w:r>
        <w:t xml:space="preserve"> für die kirchenspezifischen Berufsgruppen nach der </w:t>
      </w:r>
      <w:hyperlink r:id="rId421" w:history="1">
        <w:r w:rsidRPr="002D1F1D">
          <w:rPr>
            <w:rStyle w:val="Hyperlink"/>
          </w:rPr>
          <w:t>Anlage 2 K</w:t>
        </w:r>
      </w:hyperlink>
      <w:r>
        <w:t xml:space="preserve"> den Entgeltgruppen zugeordnet.</w:t>
      </w:r>
    </w:p>
    <w:p w:rsidR="00BE1EFE" w:rsidRPr="000B1AF8" w:rsidRDefault="00BE1EFE">
      <w:pPr>
        <w:pStyle w:val="StandardWeb"/>
      </w:pPr>
    </w:p>
    <w:p w:rsidR="00BE1EFE" w:rsidRDefault="00BE1EFE">
      <w:pPr>
        <w:pStyle w:val="StandardWeb"/>
      </w:pPr>
      <w:r>
        <w:t>(2) Beschäftigte, die im Oktober 2005 bei Fortgeltung der bisherigen Bestimmungen die Voraussetzungen für einen Bewährungs-, Fallgruppen- oder Tätigkeitsaufstieg erfüllt hätten, werden für die Überleitung so behandelt, als wären sie bereits im September 2005 höhergruppiert bzw. höher eingereiht worden.</w:t>
      </w:r>
    </w:p>
    <w:p w:rsidR="00BE1EFE" w:rsidRDefault="00BE1EFE">
      <w:pPr>
        <w:pStyle w:val="StandardWeb"/>
      </w:pPr>
    </w:p>
    <w:p w:rsidR="00BE1EFE" w:rsidRDefault="00BE1EFE">
      <w:pPr>
        <w:pStyle w:val="StandardWeb"/>
      </w:pPr>
      <w:r>
        <w:t>(3) Beschäftigte, die im Oktober 2005 bei Fortgeltung der bisherigen Bestimmungen in eine niedrigere Vergütungs- bzw. Lohngruppe eingruppiert bzw. eingereiht worden wären, werden für die Überleitung so behandelt, als wären sie bereits im September 2005 herabgruppiert bzw. niedriger eingereiht worden.</w:t>
      </w:r>
    </w:p>
    <w:p w:rsidR="00BE1EFE" w:rsidRDefault="00BE1EFE">
      <w:pPr>
        <w:pStyle w:val="berschrift6"/>
      </w:pPr>
      <w:bookmarkStart w:id="639" w:name="_Toc523926179"/>
      <w:r>
        <w:t>§ 5 Vergleichsentgelt</w:t>
      </w:r>
      <w:bookmarkEnd w:id="63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Für die Zuordnung zu den Stufen der Entgelttabellen Bund/VKA wird für die Beschäftigten nach </w:t>
      </w:r>
      <w:hyperlink r:id="rId422" w:history="1">
        <w:r w:rsidRPr="002D1F1D">
          <w:rPr>
            <w:rStyle w:val="Hyperlink"/>
          </w:rPr>
          <w:t>§ 4</w:t>
        </w:r>
      </w:hyperlink>
      <w:r>
        <w:t xml:space="preserve"> ein Vergleichsentgelt auf der Grundlage der im September 2005 erhaltenen Bezüge gemäß den Absätzen 2 bis 7 gebildet.</w:t>
      </w:r>
    </w:p>
    <w:p w:rsidR="00BE1EFE" w:rsidRPr="000B1AF8" w:rsidRDefault="00BE1EFE">
      <w:pPr>
        <w:pStyle w:val="StandardWeb"/>
      </w:pPr>
    </w:p>
    <w:p w:rsidR="00BE1EFE" w:rsidRDefault="00BE1EFE">
      <w:pPr>
        <w:pStyle w:val="StandardWeb"/>
      </w:pPr>
      <w:r>
        <w:t>(2) </w:t>
      </w:r>
      <w:r>
        <w:rPr>
          <w:rStyle w:val="kleinschrift"/>
        </w:rPr>
        <w:t>1</w:t>
      </w:r>
      <w:r>
        <w:t xml:space="preserve">Bei den Beschäftigten aus dem </w:t>
      </w:r>
      <w:hyperlink r:id="rId423" w:history="1">
        <w:r w:rsidRPr="002D1F1D">
          <w:rPr>
            <w:rStyle w:val="Hyperlink"/>
          </w:rPr>
          <w:t>Geltungsbereich des Teil A in der bis zum 30.09.2005 geltenden Fassung</w:t>
        </w:r>
      </w:hyperlink>
      <w:r>
        <w:t xml:space="preserve"> setzt sich das Vergleichsentgelt zusammen aus Grundvergütung, allgemeiner Zulage und Ortszuschlag der Stufe 1 zuzüglich des Anteils am Unterschiedsbetrag zwischen der Stufe 1 und der Stufe 2 des Ortszuschlags, der der/dem Beschäftigten am 30.09.2005 gewährt wurde. </w:t>
      </w:r>
      <w:r>
        <w:rPr>
          <w:rStyle w:val="kleinschrift"/>
        </w:rPr>
        <w:t>2</w:t>
      </w:r>
      <w:r>
        <w:t xml:space="preserve">Ferner fließen im September 2005 nach den Regelungen des ABD zustehende Funktionszulagen insoweit in das Vergleichsentgelt ein als sie nach dem ABD in der ab dem 01.10.2005 geltenden Fassung nicht mehr vorgesehen sind. </w:t>
      </w:r>
      <w:r>
        <w:rPr>
          <w:rStyle w:val="kleinschrift"/>
        </w:rPr>
        <w:t>3</w:t>
      </w:r>
      <w:r>
        <w:t xml:space="preserve">Erhalten Beschäftigte eine Gesamtvergütung </w:t>
      </w:r>
      <w:hyperlink r:id="rId424" w:history="1">
        <w:r w:rsidRPr="002D1F1D">
          <w:rPr>
            <w:rStyle w:val="Hyperlink"/>
          </w:rPr>
          <w:t>(§ 30 Teil A, 1. in der bis zum 30.09.2005 geltenden Fassung</w:t>
        </w:r>
      </w:hyperlink>
      <w:r>
        <w:t>), bildet diese das Vergleichsentgelt.</w:t>
      </w:r>
    </w:p>
    <w:p w:rsidR="00BE1EFE" w:rsidRDefault="00BE1EFE">
      <w:pPr>
        <w:pStyle w:val="StandardWeb"/>
      </w:pPr>
      <w:r>
        <w:rPr>
          <w:sz w:val="12"/>
          <w:szCs w:val="12"/>
        </w:rPr>
        <w:t>Anmerkungen zu Absatz 2 Satz 2:</w:t>
      </w:r>
    </w:p>
    <w:p w:rsidR="00BE1EFE" w:rsidRDefault="00BE1EFE">
      <w:pPr>
        <w:pStyle w:val="StandardWeb"/>
      </w:pPr>
      <w:r>
        <w:rPr>
          <w:sz w:val="12"/>
          <w:szCs w:val="12"/>
        </w:rPr>
        <w:t xml:space="preserve">1. Findet das ABD am 1. Oktober 2005 für beide Beschäftigte Anwendung und hat einer der beiden im September 2005 keine Bezüge erhalten wegen Elternzeit, Wehr- oder Zivildienstes, unbezahlten Sonderurlaubs aufgrund von Familienpflichten im Sinne des </w:t>
      </w:r>
      <w:hyperlink r:id="rId425" w:history="1">
        <w:r w:rsidRPr="003602E4">
          <w:rPr>
            <w:rStyle w:val="Hyperlink"/>
            <w:sz w:val="12"/>
            <w:szCs w:val="12"/>
          </w:rPr>
          <w:t>§ 4 Absatz 2 BGleiG</w:t>
        </w:r>
      </w:hyperlink>
      <w:r>
        <w:rPr>
          <w:sz w:val="12"/>
          <w:szCs w:val="12"/>
        </w:rPr>
        <w:t>, Sonderurlaubs, bei dem der Arbeitgeber vor Antritt ein dienstliches oder betriebliches Interesse an der Beurlaubung anerkannt hat, Bezuges einer Rente auf Zeit wegen verminderter Erwerbsfähigkeit oder wegen Ablaufs der Krankenbezugsfristen, erhält die/der andere Beschäftigte zusätzlich zu ihrem/seinem Entgelt den Differenzbetrag zwischen dem ihr/ihm im September 2005 individuell zustehenden Teil des Unterschiedsbetrages zwischen der Stufe 1 und 2 des Ortszuschlags und dem vollen Unterschiedsbetrag als Besitzstandszulage.</w:t>
      </w:r>
    </w:p>
    <w:p w:rsidR="00BE1EFE" w:rsidRDefault="00BE1EFE">
      <w:pPr>
        <w:pStyle w:val="StandardWeb"/>
      </w:pPr>
      <w:r>
        <w:rPr>
          <w:sz w:val="12"/>
          <w:szCs w:val="12"/>
        </w:rPr>
        <w:t>2. Hat die andere ortszuschlagsberechtigte oder nach beamtenrechtlichen Grundsätzen familienzuschlagsberechtigte Person im September 2005 aus den in Nr. 1 genannten Gründen keine Bezüge erhalten, erhält die/der in das ABD übergeleitete Beschäftigte zusätzlich zu ihrem/seinem Entgelt den vollen Unterschiedsbetrag zwischen der Stufe 1 und der Stufe 2 des Ortszuschlags als Besitzstandszulage.</w:t>
      </w:r>
    </w:p>
    <w:p w:rsidR="00BE1EFE" w:rsidRDefault="00BE1EFE">
      <w:pPr>
        <w:pStyle w:val="StandardWeb"/>
      </w:pPr>
      <w:r>
        <w:rPr>
          <w:sz w:val="12"/>
          <w:szCs w:val="12"/>
        </w:rPr>
        <w:lastRenderedPageBreak/>
        <w:t xml:space="preserve">3. 1Ist die andere ortszuschlagsberechtigte oder familienzuschlagsberechtigte Person im September 2005 aus dem öffentlichen Dienst bzw. dem Dienst der Kath. Kirche in Bayern ausgeschieden, ist das Tabellenentgelt ab dem 1. Juli 2008 auf Antrag neu zu ermitteln. 2Basis ist dabei die Stufenzuordnung nach </w:t>
      </w:r>
      <w:hyperlink r:id="rId426" w:history="1">
        <w:r w:rsidRPr="002D1F1D">
          <w:rPr>
            <w:rStyle w:val="Hyperlink"/>
            <w:sz w:val="12"/>
            <w:szCs w:val="12"/>
          </w:rPr>
          <w:t>§ 6 Absatz 1 Satz 2</w:t>
        </w:r>
      </w:hyperlink>
      <w:r>
        <w:rPr>
          <w:sz w:val="12"/>
          <w:szCs w:val="12"/>
        </w:rPr>
        <w:t>, die sich zum 1. Oktober 2007 ergeben hätte, wenn das Vergleichsentgelt unter Berücksichtigung der Stufe 2 des Ortszuschlags gebildet worden wäre.</w:t>
      </w:r>
    </w:p>
    <w:p w:rsidR="00BE1EFE" w:rsidRDefault="00BE1EFE">
      <w:pPr>
        <w:pStyle w:val="StandardWeb"/>
      </w:pPr>
      <w:r>
        <w:rPr>
          <w:sz w:val="12"/>
          <w:szCs w:val="12"/>
        </w:rPr>
        <w:t xml:space="preserve">4. 1Die Besitzstandszulage nach den Nrn. 1 und 2 oder das neu ermittelte Tabellenentgelt nach Nr. 3 wird auf einen bis zum 31. März 2009 zu stellenden schriftlichen Antrag (Ausschlussfrist) rückwirkend vom 1. Juli 2008 an gezahlt. 2Ist eine entsprechende Leistung bis zum 31. März 2008 schriftlich geltend gemacht worden, erfolgt die Zahlung rückwirkend vom 1. Juni 2008 an. </w:t>
      </w:r>
    </w:p>
    <w:p w:rsidR="00BE1EFE" w:rsidRDefault="00BE1EFE">
      <w:pPr>
        <w:pStyle w:val="StandardWeb"/>
      </w:pPr>
      <w:r>
        <w:rPr>
          <w:sz w:val="12"/>
          <w:szCs w:val="12"/>
        </w:rPr>
        <w:t>5. 1In den Fällen der Nrn. 1 und 2 wird bei Stufensteigerungen und Höhergruppierungen der Unterschiedsbetrag zum bisherigen Entgelt auf die Besitzstandszulage angerechnet. 2Die/Der Beschäftigte hat das Vorliegen der Voraussetzungen der Nrn. 1 und 2 nachzuweisen und Änderungen anzuzeigen. 3Die Besitzstandszulage nach den Nrn. 1 und 2 entfällt mit Ablauf des Monats, in dem die/der andere Beschäftigte die Arbeit wieder aufnimmt.</w:t>
      </w:r>
    </w:p>
    <w:p w:rsidR="00BE1EFE" w:rsidRDefault="00BE1EFE">
      <w:pPr>
        <w:pStyle w:val="StandardWeb"/>
      </w:pPr>
    </w:p>
    <w:p w:rsidR="00BE1EFE" w:rsidRDefault="00BE1EFE">
      <w:pPr>
        <w:pStyle w:val="StandardWeb"/>
      </w:pPr>
      <w:r>
        <w:rPr>
          <w:sz w:val="12"/>
          <w:szCs w:val="12"/>
        </w:rPr>
        <w:t>Anmerkung zu § 5 Absatz 2 Satz 2:</w:t>
      </w:r>
    </w:p>
    <w:p w:rsidR="00BE1EFE" w:rsidRDefault="00BE1EFE">
      <w:pPr>
        <w:pStyle w:val="StandardWeb"/>
      </w:pPr>
      <w:r>
        <w:rPr>
          <w:sz w:val="12"/>
          <w:szCs w:val="12"/>
        </w:rPr>
        <w:t xml:space="preserve">Vorhandene Beschäftige erhalten bis zum 31. Dezember 2016 ihre Techniker-, Meister- und Programmiererzulage unter den bisherigen Voraussetzungen als persönliche Besitzstandszulage. </w:t>
      </w:r>
    </w:p>
    <w:p w:rsidR="00BE1EFE" w:rsidRDefault="00BE1EFE">
      <w:pPr>
        <w:pStyle w:val="StandardWeb"/>
      </w:pPr>
    </w:p>
    <w:p w:rsidR="00BE1EFE" w:rsidRDefault="00BE1EFE">
      <w:pPr>
        <w:pStyle w:val="StandardWeb"/>
      </w:pPr>
      <w:r>
        <w:t>(3) </w:t>
      </w:r>
      <w:r>
        <w:rPr>
          <w:rStyle w:val="kleinschrift"/>
        </w:rPr>
        <w:t>1</w:t>
      </w:r>
      <w:r>
        <w:t xml:space="preserve">Bei Beschäftigten aus dem Geltungsbereich des </w:t>
      </w:r>
      <w:hyperlink r:id="rId427" w:history="1">
        <w:r w:rsidRPr="003602E4">
          <w:rPr>
            <w:rStyle w:val="Hyperlink"/>
          </w:rPr>
          <w:t>Teil B</w:t>
        </w:r>
      </w:hyperlink>
      <w:r>
        <w:t xml:space="preserve"> in der bis zum 30.09.2005 geltenden Fassung wird der Monatstabellenlohn als Vergleichsentgelt zugrunde gelegt. </w:t>
      </w:r>
      <w:r>
        <w:rPr>
          <w:rStyle w:val="kleinschrift"/>
        </w:rPr>
        <w:t>2</w:t>
      </w:r>
      <w:r>
        <w:t xml:space="preserve">Absatz 2 Satz 2 gilt entsprechend. </w:t>
      </w:r>
      <w:r>
        <w:rPr>
          <w:rStyle w:val="kleinschrift"/>
        </w:rPr>
        <w:t>3</w:t>
      </w:r>
      <w:r>
        <w:t>Erhalten Beschäftigte Lohn nach § 23 Absatz 1 Teil B in der bis zum 30.09.2005 geltenden Fassung bildet dieser das Vergleichsentgelt.</w:t>
      </w:r>
    </w:p>
    <w:p w:rsidR="00BE1EFE" w:rsidRDefault="00BE1EFE">
      <w:pPr>
        <w:pStyle w:val="StandardWeb"/>
      </w:pPr>
    </w:p>
    <w:p w:rsidR="00BE1EFE" w:rsidRDefault="00BE1EFE">
      <w:pPr>
        <w:pStyle w:val="StandardWeb"/>
      </w:pPr>
      <w:r>
        <w:t>(4) </w:t>
      </w:r>
      <w:r>
        <w:rPr>
          <w:rStyle w:val="kleinschrift"/>
        </w:rPr>
        <w:t>1</w:t>
      </w:r>
      <w:r>
        <w:t xml:space="preserve">Beschäftigte, die im Oktober 2005 bei Fortgeltung des bisherigen Rechts die Grundvergütung bzw. den Monatstabellenlohn der nächsthöheren Lebensalters- bzw. Lohnstufe erhalten hätten, werden für die Bemessung des Vergleichsentgelts so behandelt, als wäre der Stufenaufstieg bereits im September 2005 erfolgt. </w:t>
      </w:r>
      <w:r>
        <w:rPr>
          <w:rStyle w:val="kleinschrift"/>
        </w:rPr>
        <w:t>2</w:t>
      </w:r>
      <w:hyperlink r:id="rId428" w:history="1">
        <w:r w:rsidRPr="002D1F1D">
          <w:rPr>
            <w:rStyle w:val="Hyperlink"/>
          </w:rPr>
          <w:t>§ 4 Absatz 2 und 3</w:t>
        </w:r>
      </w:hyperlink>
      <w:r>
        <w:t xml:space="preserve"> gilt bei der Bemessung des Vergleichsentgelts entsprechend.</w:t>
      </w:r>
    </w:p>
    <w:p w:rsidR="00BE1EFE" w:rsidRDefault="00BE1EFE">
      <w:pPr>
        <w:pStyle w:val="StandardWeb"/>
      </w:pPr>
      <w:r>
        <w:rPr>
          <w:sz w:val="12"/>
          <w:szCs w:val="12"/>
        </w:rPr>
        <w:t>Protokollnotiz zu § 5 Absatz 4:</w:t>
      </w:r>
    </w:p>
    <w:p w:rsidR="00BE1EFE" w:rsidRDefault="00BE1EFE">
      <w:pPr>
        <w:pStyle w:val="StandardWeb"/>
      </w:pPr>
      <w:r>
        <w:rPr>
          <w:sz w:val="12"/>
          <w:szCs w:val="12"/>
        </w:rPr>
        <w:t xml:space="preserve">Fällt bei pädagogischem Personal in Kindertageseinrichtungen aus dem Geltungsbereich des ABD, bei dem sich bisher die Grundvergütung nach </w:t>
      </w:r>
      <w:hyperlink r:id="rId429" w:history="1">
        <w:r w:rsidRPr="002D1F1D">
          <w:rPr>
            <w:rStyle w:val="Hyperlink"/>
            <w:sz w:val="12"/>
            <w:szCs w:val="12"/>
          </w:rPr>
          <w:t>§ 27 Abschnitt A.2. Teil A, 1. in der bis zum 30.09.2005 geltenden Fassung</w:t>
        </w:r>
      </w:hyperlink>
      <w:r>
        <w:rPr>
          <w:sz w:val="12"/>
          <w:szCs w:val="12"/>
        </w:rPr>
        <w:t xml:space="preserve"> bestimmt, im Oktober 2005 eine Stufensteigerung mit einer Höhergruppierung zusammen, ist zunächst die Stufensteigerung in der bisherigen Vergütungsgruppe und danach die Höhergruppierung durchzuführen.</w:t>
      </w:r>
    </w:p>
    <w:p w:rsidR="00BE1EFE" w:rsidRDefault="00BE1EFE">
      <w:pPr>
        <w:pStyle w:val="StandardWeb"/>
      </w:pPr>
    </w:p>
    <w:p w:rsidR="00BE1EFE" w:rsidRDefault="00BE1EFE">
      <w:pPr>
        <w:pStyle w:val="StandardWeb"/>
      </w:pPr>
      <w:r>
        <w:t>(5) Bei Teilzeitbeschäftigten wird das Vergleichsentgelt auf der Grundlage eines vergleich</w:t>
      </w:r>
      <w:r>
        <w:softHyphen/>
        <w:t>baren Vollzeitbeschäftigten bestimmt.</w:t>
      </w:r>
    </w:p>
    <w:p w:rsidR="00BE1EFE" w:rsidRDefault="00BE1EFE">
      <w:pPr>
        <w:pStyle w:val="StandardWeb"/>
      </w:pPr>
      <w:r>
        <w:rPr>
          <w:sz w:val="12"/>
          <w:szCs w:val="12"/>
        </w:rPr>
        <w:t xml:space="preserve">Anmerkung zu § 5 Absatz 5: </w:t>
      </w:r>
    </w:p>
    <w:p w:rsidR="00BE1EFE" w:rsidRDefault="00BE1EFE">
      <w:pPr>
        <w:pStyle w:val="StandardWeb"/>
      </w:pPr>
      <w:r>
        <w:rPr>
          <w:sz w:val="12"/>
          <w:szCs w:val="12"/>
        </w:rPr>
        <w:t>1Lediglich das Vergleichsentgelt wird auf der Grundlage eines entsprechenden Vollzeitbeschäftigten ermittelt; sodann wird nach der Stufenzuordnung das zustehende Entgelt zeitratierlich berechnet. 2Diese zeitratierliche Kürzung des auf den Ehegattenanteil im Ortszuschlag entfallenden Betrages unterbleibt.</w:t>
      </w:r>
    </w:p>
    <w:p w:rsidR="00BE1EFE" w:rsidRDefault="00BE1EFE">
      <w:pPr>
        <w:pStyle w:val="StandardWeb"/>
      </w:pPr>
    </w:p>
    <w:p w:rsidR="00BE1EFE" w:rsidRDefault="00BE1EFE">
      <w:pPr>
        <w:pStyle w:val="StandardWeb"/>
      </w:pPr>
      <w:r>
        <w:t xml:space="preserve">(6) Für Beschäftigte, die nicht für alle Tage im September 2005 oder für keinen Tag dieses Monats Bezüge erhalten, wird das Vergleichsentgelt so bestimmt, als hätten sie für alle Tage dieses Monats Bezüge erhalten; in den Fällen des </w:t>
      </w:r>
      <w:hyperlink r:id="rId430" w:history="1">
        <w:r w:rsidRPr="002D1F1D">
          <w:rPr>
            <w:rStyle w:val="Hyperlink"/>
          </w:rPr>
          <w:t>§ 27 Abschn</w:t>
        </w:r>
        <w:r>
          <w:rPr>
            <w:rStyle w:val="Hyperlink"/>
          </w:rPr>
          <w:t>i</w:t>
        </w:r>
        <w:r w:rsidRPr="002D1F1D">
          <w:rPr>
            <w:rStyle w:val="Hyperlink"/>
          </w:rPr>
          <w:t>tt A.1. Absatz 7 und Abschnitt A.2. Absatz 3 Unterabsatz 5 Teil A, 1. in der bis zum 30.09.2005 geltenden Fassung</w:t>
        </w:r>
      </w:hyperlink>
      <w:r>
        <w:t xml:space="preserve"> (pädagogisches Personal in Kindertageseinrichtungen) bzw. der entsprechenden Regelungen für Arbeiterinnen und Arbeiter werden die Beschäftigten für das Vergleichsentgelt so gestellt, als hätten sie am 1. September 2005 die Arbeit wieder aufgenommen.</w:t>
      </w:r>
    </w:p>
    <w:p w:rsidR="00BE1EFE" w:rsidRDefault="00BE1EFE">
      <w:pPr>
        <w:pStyle w:val="StandardWeb"/>
      </w:pPr>
    </w:p>
    <w:p w:rsidR="00BE1EFE" w:rsidRDefault="00BE1EFE">
      <w:pPr>
        <w:pStyle w:val="StandardWeb"/>
      </w:pPr>
      <w:r>
        <w:t xml:space="preserve">(7) Abweichend von den Absätzen 2 bis 6 wird bei Beschäftigten, die gemäß </w:t>
      </w:r>
      <w:hyperlink r:id="rId431" w:history="1">
        <w:r w:rsidRPr="002D1F1D">
          <w:rPr>
            <w:rStyle w:val="Hyperlink"/>
          </w:rPr>
          <w:t>§ 27 Abschnitt A.1. Absatz 8 oder Abschn. A.2. Absatz 6 Teil A, 1. in der bis zum 30.09.2005 geltenden Fassung</w:t>
        </w:r>
      </w:hyperlink>
      <w:r>
        <w:t xml:space="preserve"> bzw. den entsprechenden Regelungen für Arbeiterinnen und Arbeiter den Unterschiedsbetrag zwischen der Grundvergütung bzw. dem Monatstabellenlohn ihrer bisherigen zur nächsthöheren Lebensalters- bzw. Lohnstufe im September 2005 nur zur Hälfte erhalten, für die Bestimmung des Vergleichsentgelts die volle Grundvergütung bzw. der volle Monatstabellenlohn aus der nächsthöheren Lebensalters- bzw. Lohnstufe zugrunde gelegt.</w:t>
      </w:r>
    </w:p>
    <w:p w:rsidR="00BE1EFE" w:rsidRDefault="00BE1EFE">
      <w:pPr>
        <w:pStyle w:val="StandardWeb"/>
      </w:pPr>
    </w:p>
    <w:p w:rsidR="00BE1EFE" w:rsidRDefault="00BE1EFE">
      <w:pPr>
        <w:pStyle w:val="berschrift6"/>
      </w:pPr>
      <w:bookmarkStart w:id="640" w:name="_Toc523926180"/>
      <w:r>
        <w:t>§ 6 Stufenzuordnung der Angestellten</w:t>
      </w:r>
      <w:bookmarkEnd w:id="64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lastRenderedPageBreak/>
        <w:t>(1) </w:t>
      </w:r>
      <w:r>
        <w:rPr>
          <w:rStyle w:val="kleinschrift"/>
        </w:rPr>
        <w:t>1</w:t>
      </w:r>
      <w:r>
        <w:t xml:space="preserve">Beschäftigte aus dem Geltungsbereich des Teil A in der bis zum 30.09.2005 geltenden Fassung werden einer ihrem Vergleichsentgelt entsprechenden individuellen Zwischenstufe der gemäß § 4 bestimmten Entgeltgruppe zugeordnet. </w:t>
      </w:r>
      <w:r>
        <w:rPr>
          <w:rStyle w:val="kleinschrift"/>
        </w:rPr>
        <w:t>2</w:t>
      </w:r>
      <w:r>
        <w:t xml:space="preserve">Zum 1. Oktober 2007 steigen diese Beschäftigten in die dem Betrag nach nächsthöhere reguläre Stufe ihrer Entgeltgruppe auf. </w:t>
      </w:r>
      <w:r>
        <w:rPr>
          <w:rStyle w:val="kleinschrift"/>
        </w:rPr>
        <w:t>3</w:t>
      </w:r>
      <w:r>
        <w:t xml:space="preserve">Der </w:t>
      </w:r>
      <w:proofErr w:type="gramStart"/>
      <w:r>
        <w:t>weitere</w:t>
      </w:r>
      <w:proofErr w:type="gramEnd"/>
      <w:r>
        <w:t xml:space="preserve"> Stufenaufstieg richtet sich nach den Bestimmungen des Teil </w:t>
      </w:r>
      <w:hyperlink r:id="rId432" w:history="1">
        <w:r w:rsidRPr="002D1F1D">
          <w:rPr>
            <w:rStyle w:val="Hyperlink"/>
          </w:rPr>
          <w:t>A, 1</w:t>
        </w:r>
      </w:hyperlink>
      <w:r>
        <w:t>.</w:t>
      </w:r>
    </w:p>
    <w:p w:rsidR="00BE1EFE" w:rsidRPr="000B1AF8" w:rsidRDefault="00BE1EFE">
      <w:pPr>
        <w:pStyle w:val="StandardWeb"/>
      </w:pPr>
    </w:p>
    <w:p w:rsidR="00BE1EFE" w:rsidRDefault="00BE1EFE">
      <w:pPr>
        <w:pStyle w:val="StandardWeb"/>
      </w:pPr>
      <w:r>
        <w:t>(2) </w:t>
      </w:r>
      <w:r>
        <w:rPr>
          <w:rStyle w:val="kleinschrift"/>
        </w:rPr>
        <w:t>1</w:t>
      </w:r>
      <w:r>
        <w:t xml:space="preserve">Werden Beschäftigte vor dem 1. Oktober 2007 höhergruppiert (nach </w:t>
      </w:r>
      <w:hyperlink r:id="rId433" w:history="1">
        <w:r w:rsidRPr="002D1F1D">
          <w:rPr>
            <w:rStyle w:val="Hyperlink"/>
          </w:rPr>
          <w:t>§ 8 Absatz 1 und 3</w:t>
        </w:r>
      </w:hyperlink>
      <w:r>
        <w:t xml:space="preserve"> 1. Alternative, </w:t>
      </w:r>
      <w:hyperlink r:id="rId434" w:history="1">
        <w:r w:rsidRPr="002D1F1D">
          <w:rPr>
            <w:rStyle w:val="Hyperlink"/>
          </w:rPr>
          <w:t>§ 9 Absatz 3 Buchstabe a</w:t>
        </w:r>
      </w:hyperlink>
      <w:r>
        <w:t xml:space="preserve">) oder aufgrund Übertragung einer mit einer höheren Entgeltgruppe bewerteten Tätigkeit), so erhalten sie in der höheren Entgeltgruppe Tabellenentgelt nach der regulären Stufe, deren Betrag mindestens der individuellen Zwischenstufe entspricht, jedoch nicht weniger als das Tabellenentgelt der Stufe 2; der weitere Stufenaufstieg richtet sich nach den Bestimmungen des Teil </w:t>
      </w:r>
      <w:hyperlink r:id="rId435" w:history="1">
        <w:r w:rsidRPr="002D1F1D">
          <w:rPr>
            <w:rStyle w:val="Hyperlink"/>
          </w:rPr>
          <w:t>A, 1</w:t>
        </w:r>
      </w:hyperlink>
      <w:r>
        <w:t xml:space="preserve">. </w:t>
      </w:r>
      <w:r>
        <w:rPr>
          <w:rStyle w:val="kleinschrift"/>
        </w:rPr>
        <w:t>2</w:t>
      </w:r>
      <w:r>
        <w:t xml:space="preserve">In den Fällen des Satzes 1 gilt </w:t>
      </w:r>
      <w:hyperlink r:id="rId436" w:history="1">
        <w:r w:rsidRPr="002D1F1D">
          <w:rPr>
            <w:rStyle w:val="Hyperlink"/>
          </w:rPr>
          <w:t>§ 17 Absatz 4 Satz 2 Teil A, 1.</w:t>
        </w:r>
      </w:hyperlink>
      <w:r>
        <w:t xml:space="preserve"> in der ab dem 01.10.2005 geltenden Fassung entsprechend. </w:t>
      </w:r>
      <w:r>
        <w:rPr>
          <w:rStyle w:val="kleinschrift"/>
        </w:rPr>
        <w:t>3</w:t>
      </w:r>
      <w:r>
        <w:t>Werden Beschäftigte vor dem 1. Oktober 2007 herabgruppiert, werden sie in der niedrigeren Entgeltgruppe derjenigen individuellen Zwischenstufe zugeordnet, die sich bei Herabgruppierung im September 2005 ergeben hätte; der weitere Stufenaufstieg richtet sich nach Absatz 1 Satz 2 und 3.</w:t>
      </w:r>
    </w:p>
    <w:p w:rsidR="00BE1EFE" w:rsidRDefault="00BE1EFE">
      <w:pPr>
        <w:pStyle w:val="StandardWeb"/>
      </w:pPr>
    </w:p>
    <w:p w:rsidR="00BE1EFE" w:rsidRDefault="00BE1EFE">
      <w:pPr>
        <w:pStyle w:val="StandardWeb"/>
        <w:rPr>
          <w:rStyle w:val="kleinschrift"/>
          <w:sz w:val="16"/>
          <w:szCs w:val="16"/>
        </w:rPr>
      </w:pPr>
      <w:r>
        <w:t>(3) </w:t>
      </w:r>
      <w:r>
        <w:rPr>
          <w:rStyle w:val="kleinschrift"/>
        </w:rPr>
        <w:t>1</w:t>
      </w:r>
      <w:r>
        <w:t xml:space="preserve">Liegt das Vergleichsentgelt über der höchsten Stufe der gemäß </w:t>
      </w:r>
      <w:hyperlink r:id="rId437" w:history="1">
        <w:r w:rsidRPr="002D1F1D">
          <w:rPr>
            <w:rStyle w:val="Hyperlink"/>
          </w:rPr>
          <w:t>§ 4</w:t>
        </w:r>
      </w:hyperlink>
      <w:r>
        <w:t xml:space="preserve"> bestimmten Entgelt</w:t>
      </w:r>
      <w:r>
        <w:softHyphen/>
        <w:t xml:space="preserve">gruppe, werden die Beschäftigten abweichend von Absatz 1 einer dem Vergleichsentgelt entsprechenden individuellen Endstufe zugeordnet. </w:t>
      </w:r>
      <w:r w:rsidRPr="00E50669">
        <w:rPr>
          <w:rStyle w:val="kleinschrift"/>
          <w:szCs w:val="12"/>
        </w:rPr>
        <w:t>2</w:t>
      </w:r>
      <w:r w:rsidRPr="00E50669">
        <w:rPr>
          <w:rStyle w:val="kleinschrift"/>
          <w:sz w:val="16"/>
          <w:szCs w:val="16"/>
        </w:rPr>
        <w:t xml:space="preserve">Das Entgelt aus der individuellen Endstufe gilt als Tabellenentgelt im Sinne des § 15 </w:t>
      </w:r>
      <w:hyperlink r:id="rId438" w:history="1">
        <w:r w:rsidRPr="003602E4">
          <w:rPr>
            <w:rStyle w:val="Hyperlink"/>
            <w:szCs w:val="16"/>
          </w:rPr>
          <w:t>Teil A</w:t>
        </w:r>
        <w:proofErr w:type="gramStart"/>
        <w:r w:rsidRPr="003602E4">
          <w:rPr>
            <w:rStyle w:val="Hyperlink"/>
            <w:szCs w:val="16"/>
          </w:rPr>
          <w:t>,1</w:t>
        </w:r>
        <w:proofErr w:type="gramEnd"/>
      </w:hyperlink>
      <w:r w:rsidRPr="00E50669">
        <w:rPr>
          <w:rStyle w:val="kleinschrift"/>
          <w:sz w:val="16"/>
          <w:szCs w:val="16"/>
        </w:rPr>
        <w:t xml:space="preserve">. </w:t>
      </w:r>
      <w:r w:rsidRPr="00E50669">
        <w:rPr>
          <w:rStyle w:val="kleinschrift"/>
          <w:szCs w:val="12"/>
        </w:rPr>
        <w:t>3</w:t>
      </w:r>
      <w:r w:rsidRPr="00E50669">
        <w:rPr>
          <w:rStyle w:val="kleinschrift"/>
          <w:sz w:val="16"/>
          <w:szCs w:val="16"/>
        </w:rPr>
        <w:t>Bei einer Höhergruppierung aus einer individuellen Endstufe werden die Bes</w:t>
      </w:r>
      <w:r>
        <w:rPr>
          <w:rStyle w:val="kleinschrift"/>
          <w:sz w:val="16"/>
          <w:szCs w:val="16"/>
        </w:rPr>
        <w:t>chäftigten entsprechend § </w:t>
      </w:r>
      <w:r w:rsidRPr="00E50669">
        <w:rPr>
          <w:rStyle w:val="kleinschrift"/>
          <w:sz w:val="16"/>
          <w:szCs w:val="16"/>
        </w:rPr>
        <w:t xml:space="preserve">17 Absatz 4 Teil A, 1. der Endstufe der höheren Entgeltgruppe zugeordnet. </w:t>
      </w:r>
      <w:r w:rsidRPr="00E50669">
        <w:rPr>
          <w:rStyle w:val="kleinschrift"/>
          <w:szCs w:val="12"/>
        </w:rPr>
        <w:t>4</w:t>
      </w:r>
      <w:r w:rsidRPr="00E50669">
        <w:rPr>
          <w:rStyle w:val="kleinschrift"/>
          <w:sz w:val="16"/>
          <w:szCs w:val="16"/>
        </w:rPr>
        <w:t xml:space="preserve">Beträgt das Tabellenentgelt nach Satz 3 weniger als die Summe aus dem Entgelt der bisherigen individuellen Endstufe und 2 Prozent der Endstufe der höheren Entgeltgruppe, wird die/der Beschäftigte in der höheren Entgeltgruppe erneut einer individuellen Endstufe zugeordnet. </w:t>
      </w:r>
      <w:r w:rsidRPr="00E50669">
        <w:rPr>
          <w:rStyle w:val="kleinschrift"/>
          <w:szCs w:val="12"/>
        </w:rPr>
        <w:t>5</w:t>
      </w:r>
      <w:r w:rsidRPr="00E50669">
        <w:rPr>
          <w:rStyle w:val="kleinschrift"/>
          <w:sz w:val="16"/>
          <w:szCs w:val="16"/>
        </w:rPr>
        <w:t xml:space="preserve">Das Entgelt der neuen individuellen Endstufe wird dabei festgesetzt auf die Summe aus dem Entgelt der bisherigen individuellen Endstufe und 2 Prozent des Tabellenentgelts der Endstufe der höheren Entgeltgruppe. </w:t>
      </w:r>
      <w:r w:rsidRPr="00E50669">
        <w:rPr>
          <w:rStyle w:val="kleinschrift"/>
          <w:szCs w:val="12"/>
        </w:rPr>
        <w:t>6</w:t>
      </w:r>
      <w:r w:rsidRPr="00E50669">
        <w:rPr>
          <w:rStyle w:val="kleinschrift"/>
          <w:sz w:val="16"/>
          <w:szCs w:val="16"/>
        </w:rPr>
        <w:t>Der Betrag der individuellen Endstufe verändert sich um denselben Prozentsatz bzw. in demselben Umfang wie die höchste Stuf</w:t>
      </w:r>
      <w:r>
        <w:rPr>
          <w:rStyle w:val="kleinschrift"/>
          <w:sz w:val="16"/>
          <w:szCs w:val="16"/>
        </w:rPr>
        <w:t>e der jeweiligen Entgeltgruppe.</w:t>
      </w:r>
    </w:p>
    <w:p w:rsidR="00BE1EFE" w:rsidRPr="00E50669" w:rsidRDefault="00BE1EFE">
      <w:pPr>
        <w:pStyle w:val="StandardWeb"/>
        <w:rPr>
          <w:szCs w:val="16"/>
        </w:rPr>
      </w:pPr>
    </w:p>
    <w:p w:rsidR="00BE1EFE" w:rsidRDefault="00BE1EFE">
      <w:pPr>
        <w:pStyle w:val="StandardWeb"/>
      </w:pPr>
      <w:r>
        <w:t>(4) </w:t>
      </w:r>
      <w:r>
        <w:rPr>
          <w:rStyle w:val="kleinschrift"/>
        </w:rPr>
        <w:t>1</w:t>
      </w:r>
      <w:r>
        <w:t xml:space="preserve">Beschäftigte, deren Vergleichsentgelt niedriger ist als das Tabellenentgelt in der Stufe 2, werden abweichend von Absatz 1 der Stufe 2 zugeordnet. </w:t>
      </w:r>
      <w:r>
        <w:rPr>
          <w:rStyle w:val="kleinschrift"/>
        </w:rPr>
        <w:t>2</w:t>
      </w:r>
      <w:r>
        <w:t xml:space="preserve">Der </w:t>
      </w:r>
      <w:proofErr w:type="gramStart"/>
      <w:r>
        <w:t>weitere</w:t>
      </w:r>
      <w:proofErr w:type="gramEnd"/>
      <w:r>
        <w:t xml:space="preserve"> Stufenaufstieg richtet sich nach den Bestimmungen des Teil </w:t>
      </w:r>
      <w:hyperlink r:id="rId439" w:history="1">
        <w:r w:rsidRPr="002D1F1D">
          <w:rPr>
            <w:rStyle w:val="Hyperlink"/>
          </w:rPr>
          <w:t>A, 1</w:t>
        </w:r>
      </w:hyperlink>
      <w:r>
        <w:t xml:space="preserve">. </w:t>
      </w:r>
      <w:r>
        <w:rPr>
          <w:rStyle w:val="kleinschrift"/>
        </w:rPr>
        <w:t>3</w:t>
      </w:r>
      <w:r>
        <w:t>Abweichend von Satz 1 werden Beschäftigte, denen am 30. September 2005 eine in der Allgemeinen Vergütungsordnung/Tätigkeits</w:t>
      </w:r>
      <w:r>
        <w:softHyphen/>
        <w:t xml:space="preserve">merkmale (Teil </w:t>
      </w:r>
      <w:hyperlink r:id="rId440" w:history="1">
        <w:r w:rsidRPr="002D1F1D">
          <w:rPr>
            <w:rStyle w:val="Hyperlink"/>
          </w:rPr>
          <w:t>A, 3.</w:t>
        </w:r>
      </w:hyperlink>
      <w:r>
        <w:t xml:space="preserve"> in der bis zum 30.09.2005 geltenden Fassung) durch die Eingruppierung in Vergütungsgruppe V a in der bis zum 30.09.2005 geltenden Fassung mit Aufstieg nach IVb und IVa in der bis zum 30.09.2005 geltenden Fassung abgebildete Tätigkeit übertragen ist, der Stufe 1 der Entgeltgruppe 10 zugeordnet.</w:t>
      </w:r>
    </w:p>
    <w:p w:rsidR="00BE1EFE" w:rsidRDefault="00BE1EFE">
      <w:pPr>
        <w:pStyle w:val="StandardWeb"/>
      </w:pPr>
    </w:p>
    <w:p w:rsidR="00BE1EFE" w:rsidRDefault="00BE1EFE">
      <w:pPr>
        <w:pStyle w:val="StandardWeb"/>
      </w:pPr>
      <w:r>
        <w:rPr>
          <w:sz w:val="12"/>
          <w:szCs w:val="12"/>
        </w:rPr>
        <w:t>Protokollnotiz zu § 6 (gilt bis zum Inkrafttreten einer neuen Entgeltordnung):</w:t>
      </w:r>
    </w:p>
    <w:p w:rsidR="00BE1EFE" w:rsidRDefault="00BE1EFE">
      <w:pPr>
        <w:pStyle w:val="StandardWeb"/>
      </w:pPr>
      <w:r>
        <w:rPr>
          <w:sz w:val="12"/>
          <w:szCs w:val="12"/>
        </w:rPr>
        <w:t>1. 1Ist im Falle der Sätze 1 und 2 des Absatz 2 eine Leiterin/ein Leiter oder eine/ein durch ausdrückliche Anordnung stellvertretende Leiterin/stellvertretender Leiter einer Kindertagesstätte wegen der Erhöhung der Kinderzahl in eine höhere Entgeltgruppe eingruppiert, erhält sie/er anstelle der Höhergruppierung eine Zulage in Höhe der Differenz zwischen ihrem/seinem bisherigen Entgelt und dem Entgelt das sie/er bei Vollzug der Höhergruppierung erhalten würde. 2Im Falle des Absinkens der Kinderzahl unter den für die Höhergruppierung maßgeblichen Wert entfällt die Zulage.</w:t>
      </w:r>
    </w:p>
    <w:p w:rsidR="00BE1EFE" w:rsidRDefault="00BE1EFE">
      <w:pPr>
        <w:pStyle w:val="StandardWeb"/>
      </w:pPr>
      <w:r>
        <w:rPr>
          <w:sz w:val="12"/>
          <w:szCs w:val="12"/>
        </w:rPr>
        <w:t>2. 1Ist im Falle des Absatzes 2 Satz 3 eine Leiterin/ein Leiter oder eine/ein durch ausdrückliche Anordnung stellvertretende Leiterin/stellvertretender Leiter einer Kindertagesstätte durch das Absinken der Kinderzahl in eine niedrigere Entgeltgruppe eingruppiert, ist diese Beschäftigte/dieser Beschäftigte derjenigen Stufe in der niedrigeren Entgeltgruppe zuzuordnen, die sich ergibt, wenn sie/er ihre/seine Tätigkeit als Leiterin/Leiter oder stellvertretende Leiterin/stellvertretender Leiter in der niedrigeren Entgeltgruppe ausgeübt hätte, soweit diese Stufenzuordnung günstiger ist als die Neuberechnung des Vergleichsentgelts. 2Satz 1 gilt nicht bei Beschäftigten, die gemäß Absatz 1 eine Zulage erhalten.</w:t>
      </w:r>
    </w:p>
    <w:p w:rsidR="00BE1EFE" w:rsidRDefault="00BE1EFE">
      <w:pPr>
        <w:pStyle w:val="StandardWeb"/>
      </w:pPr>
    </w:p>
    <w:p w:rsidR="00BE1EFE" w:rsidRDefault="00BE1EFE">
      <w:pPr>
        <w:pStyle w:val="berschrift6"/>
      </w:pPr>
      <w:bookmarkStart w:id="641" w:name="_Toc523926181"/>
      <w:r>
        <w:lastRenderedPageBreak/>
        <w:t>§ 7 Stufenzuordnung der Arbeiterinnen und Arbeiter</w:t>
      </w:r>
      <w:bookmarkEnd w:id="64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aus dem Geltungsbereich des </w:t>
      </w:r>
      <w:hyperlink r:id="rId441" w:history="1">
        <w:r w:rsidRPr="003602E4">
          <w:rPr>
            <w:rStyle w:val="Hyperlink"/>
          </w:rPr>
          <w:t>Teil B</w:t>
        </w:r>
      </w:hyperlink>
      <w:r>
        <w:t xml:space="preserve"> in der bis zum 30.09.2005 geltenden Fassung werden entsprechend ihrer Beschäftigungszeit nach § 6 Teil B, 1. in der bis zum 30.09.2005 geltenden Fassung der Stufe der gemäß § 4 bestimmten Entgeltgruppe zugeordnet, die sie erreicht hätten, wenn die Entgelttabelle des in der ab dem 01.10.2005 geltenden Fassung bereits seit Beginn ihrer Beschäftigungszeit gegolten hätte; Stufe 1 ist hierbei ausnahmslos mit einem Jahr zu berücksichtigen. </w:t>
      </w:r>
      <w:r>
        <w:rPr>
          <w:rStyle w:val="kleinschrift"/>
        </w:rPr>
        <w:t>2</w:t>
      </w:r>
      <w:r>
        <w:t xml:space="preserve">Der </w:t>
      </w:r>
      <w:proofErr w:type="gramStart"/>
      <w:r>
        <w:t>weitere</w:t>
      </w:r>
      <w:proofErr w:type="gramEnd"/>
      <w:r>
        <w:t xml:space="preserve"> Stufenaufstieg richtet sich nach den Bestimmungen des </w:t>
      </w:r>
      <w:hyperlink r:id="rId442" w:history="1">
        <w:r w:rsidRPr="002D1F1D">
          <w:rPr>
            <w:rStyle w:val="Hyperlink"/>
          </w:rPr>
          <w:t>Teil A, 1</w:t>
        </w:r>
      </w:hyperlink>
      <w:r>
        <w:t>.</w:t>
      </w:r>
    </w:p>
    <w:p w:rsidR="00BE1EFE" w:rsidRPr="000B1AF8" w:rsidRDefault="00BE1EFE">
      <w:pPr>
        <w:pStyle w:val="StandardWeb"/>
      </w:pPr>
    </w:p>
    <w:p w:rsidR="00BE1EFE" w:rsidRDefault="00BE1EFE">
      <w:pPr>
        <w:pStyle w:val="StandardWeb"/>
      </w:pPr>
      <w:r>
        <w:t>(2) </w:t>
      </w:r>
      <w:hyperlink r:id="rId443" w:history="1">
        <w:r w:rsidRPr="002D1F1D">
          <w:rPr>
            <w:rStyle w:val="Hyperlink"/>
          </w:rPr>
          <w:t>§ 6 Absatz 3 und Absatz 4 Satz 1 und 2</w:t>
        </w:r>
      </w:hyperlink>
      <w:r>
        <w:t xml:space="preserve"> gilt für Beschäftigte gemäß Absatz 1 entsprechend.</w:t>
      </w:r>
    </w:p>
    <w:p w:rsidR="00BE1EFE" w:rsidRDefault="00BE1EFE">
      <w:pPr>
        <w:pStyle w:val="StandardWeb"/>
      </w:pPr>
    </w:p>
    <w:p w:rsidR="00BE1EFE" w:rsidRDefault="00BE1EFE">
      <w:pPr>
        <w:pStyle w:val="StandardWeb"/>
      </w:pPr>
      <w:r>
        <w:t>(3) </w:t>
      </w:r>
      <w:r>
        <w:rPr>
          <w:rStyle w:val="kleinschrift"/>
        </w:rPr>
        <w:t>1</w:t>
      </w:r>
      <w:r>
        <w:t xml:space="preserve">Ist das Tabellenentgelt nach Absatz 1 Satz 1 niedriger als das Vergleichsentgelt, werden die Beschäftigten einer dem Vergleichsentgelt entsprechenden individuellen Zwischenstufe zugeordnet. </w:t>
      </w:r>
      <w:r>
        <w:rPr>
          <w:rStyle w:val="kleinschrift"/>
        </w:rPr>
        <w:t>2</w:t>
      </w:r>
      <w:r>
        <w:t xml:space="preserve">Der Aufstieg aus der individuellen Zwischenstufe in die dem Betrag nach nächsthöhere reguläre Stufe ihrer Entgeltgruppe findet zu dem Zeitpunkt statt, zu dem sie gemäß Absatz 1 Satz 1 die Voraussetzungen für diesen Stufenaufstieg aufgrund der Beschäftigungszeit erfüllt haben. </w:t>
      </w:r>
      <w:r>
        <w:rPr>
          <w:rStyle w:val="kleinschrift"/>
        </w:rPr>
        <w:t>3</w:t>
      </w:r>
      <w:hyperlink r:id="rId444" w:history="1">
        <w:r w:rsidRPr="003602E4">
          <w:rPr>
            <w:rStyle w:val="Hyperlink"/>
          </w:rPr>
          <w:t>§ 6 Absatz 3 Satz 6</w:t>
        </w:r>
      </w:hyperlink>
      <w:r>
        <w:t xml:space="preserve"> gilt entsprechend.</w:t>
      </w:r>
    </w:p>
    <w:p w:rsidR="00BE1EFE" w:rsidRDefault="00BE1EFE">
      <w:pPr>
        <w:pStyle w:val="StandardWeb"/>
      </w:pPr>
    </w:p>
    <w:p w:rsidR="00BE1EFE" w:rsidRDefault="00BE1EFE">
      <w:pPr>
        <w:pStyle w:val="StandardWeb"/>
      </w:pPr>
      <w:r>
        <w:t>(4) </w:t>
      </w:r>
      <w:r>
        <w:rPr>
          <w:rStyle w:val="kleinschrift"/>
        </w:rPr>
        <w:t>1</w:t>
      </w:r>
      <w:r>
        <w:t xml:space="preserve">Werden Beschäftigte während ihrer Verweildauer in der individuellen Zwischenstufe höhergruppiert, erhalten sie in der höheren Entgeltgruppe Tabellenentgelt nach der regulären Stufe, deren Betrag mindestens der individuellen Zwischenstufe entspricht, jedoch nicht weniger als das Tabellenentgelt der Stufe 2; der weitere Stufenaufstieg richtet sich nach den Bestimmungen des </w:t>
      </w:r>
      <w:hyperlink r:id="rId445" w:history="1">
        <w:r w:rsidRPr="002D1F1D">
          <w:rPr>
            <w:rStyle w:val="Hyperlink"/>
          </w:rPr>
          <w:t>Teil A, 1</w:t>
        </w:r>
      </w:hyperlink>
      <w:r>
        <w:t xml:space="preserve">. </w:t>
      </w:r>
      <w:r>
        <w:rPr>
          <w:rStyle w:val="kleinschrift"/>
        </w:rPr>
        <w:t>2</w:t>
      </w:r>
      <w:hyperlink r:id="rId446" w:history="1">
        <w:r w:rsidRPr="002D1F1D">
          <w:rPr>
            <w:rStyle w:val="Hyperlink"/>
          </w:rPr>
          <w:t>§ 17 Absatz 4 Satz 2 Teil A, 1.</w:t>
        </w:r>
      </w:hyperlink>
      <w:r>
        <w:t xml:space="preserve"> in der ab dem 01.10.2005 geltenden Fassung gilt entsprechend. </w:t>
      </w:r>
      <w:r>
        <w:rPr>
          <w:rStyle w:val="kleinschrift"/>
        </w:rPr>
        <w:t>3</w:t>
      </w:r>
      <w:r>
        <w:t>Werden Beschäftigte während ihrer Verweildauer in der individuellen Zwischenstufe herabgruppiert, erfolgt die Stufenzuordnung in der niedrigeren Entgeltgruppe, als sei die niedrigere Einreihung bereits im September 2005 erfolgt; der weitere Stufenaufstieg richtet sich bei Zuordnung zu einer individuellen Zwischenstufe nach Absatz 3 Satz 2, ansonsten nach Absatz 1 Satz 2.</w:t>
      </w:r>
    </w:p>
    <w:p w:rsidR="00BE1EFE" w:rsidRDefault="00BE1EFE">
      <w:pPr>
        <w:pStyle w:val="StandardWeb"/>
      </w:pPr>
      <w:r>
        <w:br w:type="page"/>
      </w:r>
    </w:p>
    <w:p w:rsidR="00BE1EFE" w:rsidRDefault="00BE1EFE" w:rsidP="00B051B9">
      <w:pPr>
        <w:pStyle w:val="berschrift5"/>
        <w:spacing w:before="0"/>
      </w:pPr>
      <w:bookmarkStart w:id="642" w:name="_Toc523926182"/>
      <w:r>
        <w:lastRenderedPageBreak/>
        <w:t>Abschnitt III: Besitzstandsregelungen (§§ 8-16a)</w:t>
      </w:r>
      <w:bookmarkEnd w:id="642"/>
    </w:p>
    <w:p w:rsidR="00BE1EFE" w:rsidRDefault="00BE1EFE">
      <w:pPr>
        <w:pStyle w:val="berschrift6"/>
      </w:pPr>
      <w:bookmarkStart w:id="643" w:name="_Toc523926183"/>
      <w:r>
        <w:t>§ 8 Bewährungs- und Fallgruppenaufstiege</w:t>
      </w:r>
      <w:bookmarkEnd w:id="64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Aus dem Geltungsbereich des </w:t>
      </w:r>
      <w:hyperlink r:id="rId447" w:history="1">
        <w:r w:rsidRPr="00D61A3C">
          <w:rPr>
            <w:rStyle w:val="Hyperlink"/>
          </w:rPr>
          <w:t>Teil A</w:t>
        </w:r>
      </w:hyperlink>
      <w:r>
        <w:t xml:space="preserve"> in der bis zum 30.09.2005 geltenden Fassung in eine der Entgeltgruppen 3, 5, 6 oder 8 übergeleitete Beschäftigte, die am 1. Oktober 2005 bei Fortgeltung des bisherigen Arbeitsvertragsrechts der bayerischen Diözesen (ABD) in der bis zum 30.09.2005 geltenden Fassung die für eine Höhergruppierung erforderliche Zeit der Bewährung oder Tätigkeit zur Hälfte erfüllt haben, sind zu dem Zeitpunkt, zu dem sie nach bisherigem Recht höhergruppiert wären, in die nächsthöhere Entgeltgruppe des Teil A in der ab dem 01.10.2005 geltenden Fassung eingruppiert. </w:t>
      </w:r>
      <w:r>
        <w:rPr>
          <w:rStyle w:val="kleinschrift"/>
        </w:rPr>
        <w:t>2</w:t>
      </w:r>
      <w:r>
        <w:t xml:space="preserve">Abweichend von Satz 1 erfolgt die Höhergruppierung in die Entgeltgruppe 5, wenn die Beschäftigten aus der Vergütungsgruppe VIII Teil A in der bis zum 30.09.2005 geltenden Fassung mit ausstehendem Aufstieg nach Vergütungsgruppe VII Teil A in der bis zum 30.09.2005 geltenden Fassung übergeleitet worden sind; sie erfolgt in die Entgeltgruppe 8, wenn die Beschäftigten aus der Vergütungsgruppe VI b Teil A in der bis zum 30.09.2005 geltenden Fassung mit ausstehendem Aufstieg nach Vergütungsgruppe V c Teil A in der bis zum 30.09.2005 geltenden Fassung übergeleitet worden sind. </w:t>
      </w:r>
      <w:r>
        <w:rPr>
          <w:rStyle w:val="kleinschrift"/>
        </w:rPr>
        <w:t>3</w:t>
      </w:r>
      <w:r>
        <w:t>Voraussetzung für die Höhergruppierung nach Satz 1 und 2 ist, dass</w:t>
      </w:r>
    </w:p>
    <w:p w:rsidR="00BE1EFE" w:rsidRDefault="00BE1EFE">
      <w:pPr>
        <w:pStyle w:val="StandardWeb"/>
      </w:pPr>
      <w:r>
        <w:t>– zum individuellen Aufstiegszeitpunkt keine Anhaltspunkte vorliegen, die bei Fortgeltung des bisherigen Rechts einer Höhergruppierung entgegengestanden hätten, und</w:t>
      </w:r>
    </w:p>
    <w:p w:rsidR="00BE1EFE" w:rsidRDefault="00BE1EFE">
      <w:pPr>
        <w:pStyle w:val="StandardWeb"/>
      </w:pPr>
      <w:r>
        <w:t>– bis zum individuellen Aufstiegszeitpunkt nach Satz 1 weiterhin eine Tätigkeit auszuüben ist, die diesen Aufstieg ermöglicht hätte.</w:t>
      </w:r>
    </w:p>
    <w:p w:rsidR="00BE1EFE" w:rsidRPr="000B1AF8" w:rsidRDefault="00BE1EFE">
      <w:pPr>
        <w:pStyle w:val="StandardWeb"/>
      </w:pPr>
      <w:r>
        <w:rPr>
          <w:rStyle w:val="kleinschrift"/>
        </w:rPr>
        <w:t>4</w:t>
      </w:r>
      <w:r>
        <w:t xml:space="preserve">Die Sätze 1 bis 3 gelten nicht in den Fällen des </w:t>
      </w:r>
      <w:hyperlink r:id="rId448" w:history="1">
        <w:r w:rsidRPr="002D1F1D">
          <w:rPr>
            <w:rStyle w:val="Hyperlink"/>
          </w:rPr>
          <w:t>§ 4 Absatz 2</w:t>
        </w:r>
      </w:hyperlink>
      <w:r>
        <w:t xml:space="preserve">. </w:t>
      </w:r>
      <w:r>
        <w:rPr>
          <w:rStyle w:val="kleinschrift"/>
        </w:rPr>
        <w:t>5</w:t>
      </w:r>
      <w:r>
        <w:t xml:space="preserve">Erfolgt die Höhergruppierung vor dem 1. Oktober 2007, gilt – gegebenenfalls unter Berücksichtigung des Satzes 2 – </w:t>
      </w:r>
      <w:hyperlink r:id="rId449" w:history="1">
        <w:r w:rsidRPr="002D1F1D">
          <w:rPr>
            <w:rStyle w:val="Hyperlink"/>
          </w:rPr>
          <w:t>§ 6 Absatz 2 Satz 1 und 2</w:t>
        </w:r>
      </w:hyperlink>
      <w:r>
        <w:t xml:space="preserve"> entsprechend.</w:t>
      </w:r>
    </w:p>
    <w:p w:rsidR="00BE1EFE" w:rsidRPr="000B1AF8" w:rsidRDefault="00BE1EFE">
      <w:pPr>
        <w:pStyle w:val="StandardWeb"/>
      </w:pPr>
    </w:p>
    <w:p w:rsidR="00BE1EFE" w:rsidRDefault="00BE1EFE">
      <w:pPr>
        <w:pStyle w:val="StandardWeb"/>
      </w:pPr>
      <w:r>
        <w:t>(2) </w:t>
      </w:r>
      <w:r>
        <w:rPr>
          <w:rStyle w:val="kleinschrift"/>
        </w:rPr>
        <w:t>1</w:t>
      </w:r>
      <w:r>
        <w:t xml:space="preserve">Aus dem Geltungsbereich des </w:t>
      </w:r>
      <w:hyperlink r:id="rId450" w:history="1">
        <w:r w:rsidRPr="002D1F1D">
          <w:rPr>
            <w:rStyle w:val="Hyperlink"/>
          </w:rPr>
          <w:t>Teil A in der bis zum 30.09.2005 geltenden Fassung</w:t>
        </w:r>
      </w:hyperlink>
      <w:r>
        <w:t xml:space="preserve"> in eine der Entgeltgruppen 2 sowie 9 bis 15 übergeleitete Beschäftigte, die am 1. Oktober 2005 bei Fortgeltung des bisherigen Arbeitsvertragsrechts der bayerischen Diözesen (ABD) in der bis zum 30.09.2005 geltenden Fassung die für eine Höhergruppierung erforderliche Zeit der Bewährung oder Tätigkeit zur Hälfte erfüllt haben und in der Zeit zwischen dem 1. November 2005 und dem 30. September 2007 höhergruppiert worden wären, erhalten ab dem Zeitpunkt, zu dem sie nach bisherigem Recht höhergruppiert wären, in ihrer bisherigen Entgeltgruppe Entgelt nach derjenigen individuellen Zwischen- bzw. Endstufe, die sich ergeben hätte, wenn sich ihr Vergleichsentgelt </w:t>
      </w:r>
      <w:hyperlink r:id="rId451" w:history="1">
        <w:r w:rsidRPr="002D1F1D">
          <w:rPr>
            <w:rStyle w:val="Hyperlink"/>
          </w:rPr>
          <w:t>(§ 5</w:t>
        </w:r>
      </w:hyperlink>
      <w:r>
        <w:t xml:space="preserve">) nach der Vergütung aufgrund der Höhergruppierung bestimmt hätte. </w:t>
      </w:r>
      <w:r>
        <w:rPr>
          <w:rStyle w:val="kleinschrift"/>
        </w:rPr>
        <w:t>2</w:t>
      </w:r>
      <w:r>
        <w:t>Voraussetzung für diesen Stufenaufstieg ist, dass</w:t>
      </w:r>
    </w:p>
    <w:p w:rsidR="00BE1EFE" w:rsidRDefault="00BE1EFE">
      <w:pPr>
        <w:pStyle w:val="StandardWeb"/>
      </w:pPr>
      <w:r>
        <w:t>– zum individuellen Aufstiegszeitpunkt keine Anhaltspunkte vorliegen, die bei Fortgeltung des bisherigen Rechts einer Höhergruppierung entgegengestanden</w:t>
      </w:r>
    </w:p>
    <w:p w:rsidR="00BE1EFE" w:rsidRDefault="00BE1EFE">
      <w:pPr>
        <w:pStyle w:val="StandardWeb"/>
      </w:pPr>
      <w:r>
        <w:t>hätten, und</w:t>
      </w:r>
    </w:p>
    <w:p w:rsidR="00BE1EFE" w:rsidRDefault="00BE1EFE">
      <w:pPr>
        <w:pStyle w:val="StandardWeb"/>
      </w:pPr>
      <w:r>
        <w:t>– bis zum individuellen Aufstiegszeitpunkt nach Satz 1 weiterhin eine Tätigkeit auszuüben ist, die diesen Aufstieg ermöglicht hätte.</w:t>
      </w:r>
    </w:p>
    <w:p w:rsidR="00BE1EFE" w:rsidRDefault="00BE1EFE">
      <w:pPr>
        <w:pStyle w:val="StandardWeb"/>
      </w:pPr>
      <w:r>
        <w:rPr>
          <w:rStyle w:val="kleinschrift"/>
        </w:rPr>
        <w:t>3</w:t>
      </w:r>
      <w:r>
        <w:t xml:space="preserve">Ein etwaiger Strukturausgleich wird ab dem individuellen Aufstiegszeitpunkt nicht mehr gezahlt. </w:t>
      </w:r>
      <w:r>
        <w:rPr>
          <w:rStyle w:val="kleinschrift"/>
        </w:rPr>
        <w:t>4</w:t>
      </w:r>
      <w:r>
        <w:t>Der weitere Stufenaufstieg richtet sich bei Zuordnung zu einer individuellen Zwischenstufe nach § 6 Absatz 1. 5 § 4 Absatz 2 bleibt unberührt.</w:t>
      </w:r>
    </w:p>
    <w:p w:rsidR="00BE1EFE" w:rsidRDefault="00BE1EFE">
      <w:pPr>
        <w:pStyle w:val="StandardWeb"/>
      </w:pPr>
      <w:r>
        <w:rPr>
          <w:sz w:val="12"/>
          <w:szCs w:val="12"/>
        </w:rPr>
        <w:t>Protokollnotiz zu Absatz 2 Satz 3:</w:t>
      </w:r>
    </w:p>
    <w:p w:rsidR="00BE1EFE" w:rsidRDefault="00BE1EFE">
      <w:pPr>
        <w:pStyle w:val="StandardWeb"/>
      </w:pPr>
      <w:r>
        <w:rPr>
          <w:sz w:val="12"/>
          <w:szCs w:val="12"/>
        </w:rPr>
        <w:t>Zum Erhalt eines Strukturausgleiches kann auf den Stufenaufstieg nach Satz 1 dauerhaft verzichtet werden.</w:t>
      </w:r>
    </w:p>
    <w:p w:rsidR="00BE1EFE" w:rsidRDefault="00BE1EFE">
      <w:pPr>
        <w:pStyle w:val="StandardWeb"/>
      </w:pPr>
    </w:p>
    <w:p w:rsidR="00BE1EFE" w:rsidRDefault="00BE1EFE">
      <w:pPr>
        <w:pStyle w:val="StandardWeb"/>
      </w:pPr>
      <w:r>
        <w:t>(3) </w:t>
      </w:r>
      <w:r>
        <w:rPr>
          <w:rStyle w:val="kleinschrift"/>
        </w:rPr>
        <w:t>1</w:t>
      </w:r>
      <w:r>
        <w:t xml:space="preserve">Abweichend von Absatz 1 Satz 1 und Absatz 2 Satz 1 gelten die Absätze 1 bzw. 2 auf schriftlichen Antrag entsprechend für übergeleitete Beschäftigte, die bei Fortgeltung des ABD in der bis zum 30.09.2005 geltenden Fassung bis spätestens zum 31. Dezember 2016 wegen Erfüllung der erforderlichen Zeit der Bewährung oder Tätigkeit höhergruppiert worden wären, unabhängig davon, ob die Hälfte der erforderlichen Bewährungs- oder Tätigkeitszeit am </w:t>
      </w:r>
      <w:r>
        <w:lastRenderedPageBreak/>
        <w:t xml:space="preserve">Stichtag erfüllt ist. </w:t>
      </w:r>
      <w:r>
        <w:rPr>
          <w:rStyle w:val="kleinschrift"/>
        </w:rPr>
        <w:t>2</w:t>
      </w:r>
      <w:r>
        <w:t xml:space="preserve">In den Fällen des Absatzes 2 Satz 1 erhalten Beschäftigte, die in der Zeit zwischen dem 1. Oktober 2007 und dem 31. Dezember 2016 bei Fortgeltung des ABD in der bis zum 30.09.2005 geltenden Fassung höhergruppiert worden wären, in ihrer bisherigen Entgeltgruppe Entgelt nach derjenigen individuellen Zwischen- oder Endstufe, die sich aus der Summe des bisherigen Tabellenentgelts und dem nach Absatz 2 ermittelten Höhergruppierungsgewinn nach bisherigem Recht ergibt; die Stufenlaufzeit bleibt hiervon unberührt. </w:t>
      </w:r>
      <w:r>
        <w:rPr>
          <w:rStyle w:val="kleinschrift"/>
        </w:rPr>
        <w:t>3</w:t>
      </w:r>
      <w:r>
        <w:t xml:space="preserve">Bei Beschäftigten mit individueller Endstufe erhöht sich in diesen Fällen ihre individuelle Endstufe um den nach bisherigem Recht ermittelten Höhergruppierungsgewinn. </w:t>
      </w:r>
      <w:r>
        <w:rPr>
          <w:rStyle w:val="kleinschrift"/>
        </w:rPr>
        <w:t>4</w:t>
      </w:r>
      <w:hyperlink r:id="rId452" w:history="1">
        <w:r>
          <w:rPr>
            <w:rStyle w:val="Hyperlink"/>
          </w:rPr>
          <w:t>§ </w:t>
        </w:r>
        <w:r w:rsidRPr="002D1F1D">
          <w:rPr>
            <w:rStyle w:val="Hyperlink"/>
          </w:rPr>
          <w:t>6 Absatz 3 Satz 4</w:t>
        </w:r>
      </w:hyperlink>
      <w:r>
        <w:t xml:space="preserve"> gilt entsprechend. </w:t>
      </w:r>
    </w:p>
    <w:p w:rsidR="00BE1EFE" w:rsidRDefault="00BE1EFE">
      <w:pPr>
        <w:pStyle w:val="StandardWeb"/>
      </w:pPr>
      <w:r>
        <w:rPr>
          <w:sz w:val="12"/>
          <w:szCs w:val="12"/>
        </w:rPr>
        <w:t>Anmerkungen zu Absatz 3:</w:t>
      </w:r>
    </w:p>
    <w:p w:rsidR="00BE1EFE" w:rsidRDefault="00BE1EFE">
      <w:pPr>
        <w:pStyle w:val="StandardWeb"/>
        <w:rPr>
          <w:sz w:val="12"/>
          <w:szCs w:val="12"/>
        </w:rPr>
      </w:pPr>
      <w:r>
        <w:rPr>
          <w:sz w:val="12"/>
          <w:szCs w:val="12"/>
        </w:rPr>
        <w:t>1. Wäre die/der Beschäftigte bei Fortgeltung des ABD in der bis zum 30.09.2005 geltenden Fassung in der Zeit vom 1. Oktober 2007 bis 31. Dezember 2007 wegen Erfüllung der Voraussetzungen des Absatzes 3 höhergruppiert worden, findet Absatz 3 auf schriftlichen Antrag vom 1. Januar 2008 an Anwendung.</w:t>
      </w:r>
    </w:p>
    <w:p w:rsidR="00BE1EFE" w:rsidRDefault="00BE1EFE">
      <w:pPr>
        <w:pStyle w:val="StandardWeb"/>
        <w:rPr>
          <w:sz w:val="12"/>
          <w:szCs w:val="12"/>
        </w:rPr>
      </w:pPr>
      <w:r>
        <w:rPr>
          <w:sz w:val="12"/>
          <w:szCs w:val="12"/>
        </w:rPr>
        <w:t xml:space="preserve">2. Die individuelle Zwischenstufe verändert sich bei allgemeinen Entgeltanpassungen nach dem 31. Dezember 2009 um den für die jeweilige Entgeltgruppe festgelegten Vomhundertsatz. </w:t>
      </w:r>
    </w:p>
    <w:p w:rsidR="00BE1EFE" w:rsidRDefault="00BE1EFE">
      <w:pPr>
        <w:pStyle w:val="StandardWeb"/>
      </w:pPr>
    </w:p>
    <w:p w:rsidR="00BE1EFE" w:rsidRDefault="00BE1EFE">
      <w:pPr>
        <w:pStyle w:val="StandardWeb"/>
      </w:pPr>
      <w:r>
        <w:t>(3a) </w:t>
      </w:r>
      <w:r>
        <w:rPr>
          <w:rStyle w:val="kleinschrift"/>
        </w:rPr>
        <w:t>1</w:t>
      </w:r>
      <w:r>
        <w:t xml:space="preserve">Absatz 3 findet keine Anwendung auf in eine der Entgeltgruppen 2 sowie 9 bis 15 übergeleitete Beschäftigte, die bei Fortgeltung des ABD in der bis zum 30.09.2005 geltenden Fassung wegen Erfüllung der erforderlichen Zeit der Bewährung oder Tätigkeit nach dem 30.09.2012 höhergruppiert worden wären, wenn sie zum Zeitpunkt der Erfüllung bereits die Endstufe ihrer Entgeltgruppe erreicht haben. </w:t>
      </w:r>
      <w:r>
        <w:rPr>
          <w:rStyle w:val="kleinschrift"/>
        </w:rPr>
        <w:t>2</w:t>
      </w:r>
      <w:r>
        <w:t>Absatz 3 findet auf in eine der Entgeltgruppen 2 sowie 9 bis 15 übergeleitete Beschäftigte, die bei Fortgeltung des ABD in der bis zum 30.09.2005 geltenden Fassung wegen Erfüllung der erforderlichen Zeit der Bewährung oder Tätigkeit nach dem 31.08.2013 höhergruppiert worden wären und zu diesem Zeitpunkt die Stufe 5 oder eine individuelle Zwischenstufe 5+ ihrer Entgeltgruppe erreicht haben, mit der Maßgabe Anwendung, dass ab diesem Zeitpunkt maximal das Entgelt der Endstufe der Entgeltgruppe gewährt wird.</w:t>
      </w:r>
    </w:p>
    <w:p w:rsidR="00BE1EFE" w:rsidRDefault="00BE1EFE">
      <w:pPr>
        <w:pStyle w:val="StandardWeb"/>
      </w:pPr>
      <w:r>
        <w:rPr>
          <w:sz w:val="12"/>
          <w:szCs w:val="12"/>
        </w:rPr>
        <w:t>Protokollnotiz zu Absatz 3a Satz 1:</w:t>
      </w:r>
    </w:p>
    <w:p w:rsidR="00BE1EFE" w:rsidRDefault="00BE1EFE">
      <w:pPr>
        <w:pStyle w:val="StandardWeb"/>
      </w:pPr>
      <w:r>
        <w:rPr>
          <w:sz w:val="12"/>
          <w:szCs w:val="12"/>
        </w:rPr>
        <w:t>1Bei Beschäftigten, die unter den Geltungsbereich des Absatz 3a Satz 1 fallen und denen vor Inkrafttreten der Regelung des Absatz 3a Satz 1 nach dem 30.09.2012 eine individuelle Endstufe gewährt wurde, entfällt die individuelle Endstufe mit Wirkung zum 01.09.2013. 2Diese Beschäftigten erhalten ab diesem Zeitpunkt wieder ein Entgelt nach der Endstufe ihrer Entgeltgruppe.</w:t>
      </w:r>
    </w:p>
    <w:p w:rsidR="00BE1EFE" w:rsidRDefault="00BE1EFE">
      <w:pPr>
        <w:pStyle w:val="berschrift6"/>
      </w:pPr>
      <w:bookmarkStart w:id="644" w:name="_Toc523926184"/>
      <w:r>
        <w:t>§ 8a Mehrfachaufstiege bei kirchenspezifischen Berufen</w:t>
      </w:r>
      <w:bookmarkEnd w:id="644"/>
    </w:p>
    <w:p w:rsidR="00BE1EFE" w:rsidRPr="00B76821" w:rsidRDefault="00BE1EFE" w:rsidP="00B76821">
      <w:pPr>
        <w:pStyle w:val="h7"/>
        <w:keepNext w:val="0"/>
        <w:spacing w:before="0" w:after="0"/>
        <w:jc w:val="left"/>
        <w:outlineLvl w:val="5"/>
        <w:rPr>
          <w:sz w:val="2"/>
        </w:rPr>
      </w:pPr>
    </w:p>
    <w:p w:rsidR="00BE1EFE" w:rsidRPr="000B1AF8" w:rsidRDefault="00BE1EFE" w:rsidP="00E46EA2">
      <w:pPr>
        <w:pStyle w:val="StandardWeb"/>
      </w:pPr>
      <w:r>
        <w:t xml:space="preserve">(1) Auf aus dem </w:t>
      </w:r>
      <w:hyperlink r:id="rId453" w:history="1">
        <w:r w:rsidRPr="002D1F1D">
          <w:rPr>
            <w:rStyle w:val="Hyperlink"/>
          </w:rPr>
          <w:t>Geltungsbereich des Teil A in der bis zum 30.09.2005 geltenden Fassung</w:t>
        </w:r>
      </w:hyperlink>
      <w:r>
        <w:t xml:space="preserve"> gemäß </w:t>
      </w:r>
      <w:hyperlink r:id="rId454" w:history="1">
        <w:r w:rsidRPr="002D1F1D">
          <w:rPr>
            <w:rStyle w:val="Hyperlink"/>
          </w:rPr>
          <w:t>Anlage 2 K</w:t>
        </w:r>
      </w:hyperlink>
      <w:r>
        <w:t xml:space="preserve"> übergeleitete Beschäftigte, die am 1. Oktober 2005 bereits einen oder mehrere Bewährungs-, Zeit- oder Tätigkeitsaufstiege erreicht hatten und bei Fortgeltung des bisherigen Rechts nach dem 30. September 2005 nur noch einen weiteren Bewährungs-, Zeit- oder Tätigkeitsaufstieg erreicht hätten, findet </w:t>
      </w:r>
      <w:hyperlink r:id="rId455" w:history="1">
        <w:r w:rsidRPr="002D1F1D">
          <w:rPr>
            <w:rStyle w:val="Hyperlink"/>
          </w:rPr>
          <w:t>§ 8</w:t>
        </w:r>
      </w:hyperlink>
      <w:r>
        <w:t xml:space="preserve"> Anwendung.</w:t>
      </w:r>
    </w:p>
    <w:p w:rsidR="00BE1EFE" w:rsidRPr="000B1AF8" w:rsidRDefault="00BE1EFE" w:rsidP="00E46EA2">
      <w:pPr>
        <w:pStyle w:val="StandardWeb"/>
      </w:pPr>
    </w:p>
    <w:p w:rsidR="00BE1EFE" w:rsidRDefault="00BE1EFE" w:rsidP="00E46EA2">
      <w:pPr>
        <w:pStyle w:val="StandardWeb"/>
      </w:pPr>
      <w:r>
        <w:t xml:space="preserve">(2) Auf aus dem </w:t>
      </w:r>
      <w:hyperlink r:id="rId456" w:history="1">
        <w:r w:rsidRPr="002D1F1D">
          <w:rPr>
            <w:rStyle w:val="Hyperlink"/>
          </w:rPr>
          <w:t>Geltungsbereich des Teil A in der bis zum 30.09.2005 geltenden Fassung</w:t>
        </w:r>
      </w:hyperlink>
      <w:r>
        <w:t xml:space="preserve"> gemäß </w:t>
      </w:r>
      <w:hyperlink r:id="rId457" w:history="1">
        <w:r w:rsidRPr="002D1F1D">
          <w:rPr>
            <w:rStyle w:val="Hyperlink"/>
          </w:rPr>
          <w:t>Anlage 2 K</w:t>
        </w:r>
      </w:hyperlink>
      <w:r>
        <w:t xml:space="preserve"> übergeleitete Beschäftigte, die am 1. Oktober 2005 bereits zwei Bewährungs-, Zeit- oder Tätigkeitsaufstiege erreicht hatten und bei Fortgeltung des bisherigen Rechts nach dem 30. September 2005 noch eine Vergütungsgruppenzulage erreicht hätten, findet </w:t>
      </w:r>
      <w:hyperlink r:id="rId458" w:history="1">
        <w:r w:rsidRPr="002D1F1D">
          <w:rPr>
            <w:rStyle w:val="Hyperlink"/>
          </w:rPr>
          <w:t>§ 9 Absatz 2 und 2a</w:t>
        </w:r>
      </w:hyperlink>
      <w:r>
        <w:t xml:space="preserve"> entsprechende Anwendung.</w:t>
      </w:r>
    </w:p>
    <w:p w:rsidR="00BE1EFE" w:rsidRDefault="00BE1EFE" w:rsidP="00E46EA2">
      <w:pPr>
        <w:pStyle w:val="StandardWeb"/>
      </w:pPr>
    </w:p>
    <w:p w:rsidR="00BE1EFE" w:rsidRDefault="00BE1EFE" w:rsidP="00E46EA2">
      <w:pPr>
        <w:pStyle w:val="StandardWeb"/>
      </w:pPr>
      <w:r>
        <w:t>(3) </w:t>
      </w:r>
      <w:r>
        <w:rPr>
          <w:rStyle w:val="kleinschrift"/>
        </w:rPr>
        <w:t>1</w:t>
      </w:r>
      <w:r>
        <w:t xml:space="preserve">Aus dem </w:t>
      </w:r>
      <w:hyperlink r:id="rId459" w:history="1">
        <w:r w:rsidRPr="002D1F1D">
          <w:rPr>
            <w:rStyle w:val="Hyperlink"/>
          </w:rPr>
          <w:t>Geltungsbereich des Teil A in der bis zum 30.09.2005 geltenden Fassung</w:t>
        </w:r>
      </w:hyperlink>
      <w:r>
        <w:t xml:space="preserve"> gemäß </w:t>
      </w:r>
      <w:hyperlink r:id="rId460" w:history="1">
        <w:r w:rsidRPr="002D1F1D">
          <w:rPr>
            <w:rStyle w:val="Hyperlink"/>
          </w:rPr>
          <w:t>Anlage 2 K</w:t>
        </w:r>
      </w:hyperlink>
      <w:r>
        <w:t xml:space="preserve"> in die Entgeltgruppe 3 bzw. 8 übergeleitete Beschäftigte, die bei Fortgeltung des bisherigen Rechts nach dem 30. September 2005 noch zwei Bewährungs-, Zeit- oder Tätigkeitsaufstiege erreicht hätten, sind unabhängig von der Maßgabe, dass die Zeit der Bewährung oder Tätigkeit zur Hälfte erfüllt sein muss, zu dem Zeitpunkt, zu dem sie nach bisherigem Recht höhergruppiert wären, in die Entgeltgruppe 5 bzw. 9 eingruppiert, sofern die Voraussetzungen gemäß </w:t>
      </w:r>
      <w:hyperlink r:id="rId461" w:history="1">
        <w:r w:rsidRPr="002D1F1D">
          <w:rPr>
            <w:rStyle w:val="Hyperlink"/>
          </w:rPr>
          <w:t>§ 8 Absatz 1 Satz 3</w:t>
        </w:r>
      </w:hyperlink>
      <w:r>
        <w:t xml:space="preserve"> bzw. </w:t>
      </w:r>
      <w:hyperlink r:id="rId462" w:history="1">
        <w:r w:rsidRPr="002D1F1D">
          <w:rPr>
            <w:rStyle w:val="Hyperlink"/>
          </w:rPr>
          <w:t>§ 8 Absatz 2 Satz 2</w:t>
        </w:r>
      </w:hyperlink>
      <w:r>
        <w:t xml:space="preserve"> erfüllt sind. </w:t>
      </w:r>
      <w:r>
        <w:rPr>
          <w:rStyle w:val="kleinschrift"/>
        </w:rPr>
        <w:t>2</w:t>
      </w:r>
      <w:r>
        <w:t xml:space="preserve">Diese Beschäftigten, die nach Satz 1 in EG 5 eingruppiert sind, sind ab dem Zeitpunkt, zu dem sie </w:t>
      </w:r>
      <w:r>
        <w:lastRenderedPageBreak/>
        <w:t>nach bisherigem Recht die zweite Höhergruppierung erreicht hätten, in die Entgeltgruppe 6 eingruppiert, wenn die Höhergruppierung nach bisherigem Recht bis spätestens 31. De</w:t>
      </w:r>
      <w:r>
        <w:softHyphen/>
        <w:t xml:space="preserve">zember 2016 erreicht worden wäre und die Voraussetzungen gemäß </w:t>
      </w:r>
      <w:hyperlink r:id="rId463" w:history="1">
        <w:r w:rsidRPr="002D1F1D">
          <w:rPr>
            <w:rStyle w:val="Hyperlink"/>
          </w:rPr>
          <w:t>§ 8 Absatz 1 Satz 3</w:t>
        </w:r>
      </w:hyperlink>
      <w:r>
        <w:t xml:space="preserve"> erfüllt sind.</w:t>
      </w:r>
    </w:p>
    <w:p w:rsidR="00BE1EFE" w:rsidRDefault="00BE1EFE" w:rsidP="00E46EA2">
      <w:pPr>
        <w:pStyle w:val="StandardWeb"/>
      </w:pPr>
    </w:p>
    <w:p w:rsidR="00BE1EFE" w:rsidRDefault="00BE1EFE" w:rsidP="00E46EA2">
      <w:pPr>
        <w:pStyle w:val="StandardWeb"/>
      </w:pPr>
      <w:r>
        <w:t>(4) </w:t>
      </w:r>
      <w:r>
        <w:rPr>
          <w:rStyle w:val="kleinschrift"/>
        </w:rPr>
        <w:t>1</w:t>
      </w:r>
      <w:r>
        <w:t xml:space="preserve">Aus dem </w:t>
      </w:r>
      <w:hyperlink r:id="rId464" w:history="1">
        <w:r w:rsidRPr="002D1F1D">
          <w:rPr>
            <w:rStyle w:val="Hyperlink"/>
          </w:rPr>
          <w:t>Geltungsbereich des Teil A in der bis zum 30.09.2005 geltenden Fassung</w:t>
        </w:r>
      </w:hyperlink>
      <w:r>
        <w:t xml:space="preserve"> gemäß </w:t>
      </w:r>
      <w:hyperlink r:id="rId465" w:history="1">
        <w:r w:rsidRPr="002D1F1D">
          <w:rPr>
            <w:rStyle w:val="Hyperlink"/>
          </w:rPr>
          <w:t>Anlage 2 K</w:t>
        </w:r>
      </w:hyperlink>
      <w:r>
        <w:t xml:space="preserve"> in die Entgeltgruppe 8 übergeleitete Beschäftigte, die bei Fortgeltung des bisherigen Rechts nach dem 30. September 2005 noch drei Bewährungs-, Zeit- oder Tätigkeitsaufstiege bzw. zwei Bewährungs-, Zeit- oder Tätigkeitsaufstiege und eine Vergütungsgruppenzulage erreicht hätten, sind zu dem Zeitpunkt, zu dem sie nach bisherigem Recht höhergruppiert wären, in die Entgeltgruppe 9 eingruppiert, sofern die Voraussetzungen gemäß </w:t>
      </w:r>
      <w:hyperlink r:id="rId466" w:history="1">
        <w:r w:rsidRPr="002D1F1D">
          <w:rPr>
            <w:rStyle w:val="Hyperlink"/>
          </w:rPr>
          <w:t>§ 8 Absatz 2 Satz 2</w:t>
        </w:r>
      </w:hyperlink>
      <w:r>
        <w:t xml:space="preserve"> erfüllt sind. </w:t>
      </w:r>
      <w:r>
        <w:rPr>
          <w:rStyle w:val="kleinschrift"/>
        </w:rPr>
        <w:t>2</w:t>
      </w:r>
      <w:r>
        <w:t xml:space="preserve">Diese Beschäftigten erhalten ab dem Zeitpunkt, zu dem sie nach bisherigem Recht die zweite Höhergruppierung erreicht hätten, Entgelt nach derjenigen individuellen Zwischen- bzw. Endstufe, die sich ergeben hätte, wenn sich ihr Vergleichsentgelt </w:t>
      </w:r>
      <w:hyperlink r:id="rId467" w:history="1">
        <w:r w:rsidRPr="002D1F1D">
          <w:rPr>
            <w:rStyle w:val="Hyperlink"/>
          </w:rPr>
          <w:t>(§ 5</w:t>
        </w:r>
      </w:hyperlink>
      <w:r>
        <w:t xml:space="preserve">) nach der Vergütung aufgrund der beiden Höhergruppierungen bestimmt hätte, sofern die Voraussetzungen gemäß </w:t>
      </w:r>
      <w:hyperlink r:id="rId468" w:history="1">
        <w:r w:rsidRPr="002D1F1D">
          <w:rPr>
            <w:rStyle w:val="Hyperlink"/>
          </w:rPr>
          <w:t>§ 8 Absatz 2 Satz 2</w:t>
        </w:r>
      </w:hyperlink>
      <w:r>
        <w:t xml:space="preserve"> erfüllt sind und die Neuberechnung des Vergleichsentgelts zu einem höheren Entgelt führt als ihnen ansonsten zustehen würde. </w:t>
      </w:r>
      <w:r>
        <w:rPr>
          <w:rStyle w:val="kleinschrift"/>
        </w:rPr>
        <w:t>3</w:t>
      </w:r>
      <w:r>
        <w:t xml:space="preserve">Diese Beschäftigten sind ab dem Zeitpunkt, zu dem sie nach bisherigem Recht die dritte Höhergruppierung erreicht hätten, in die Entgeltgruppe 10 eingruppiert, wenn die Höhergruppierung nach bisherigem Recht bis spätestens 31. Dezember 2016 erreicht worden wäre und die Voraussetzungen des </w:t>
      </w:r>
      <w:hyperlink r:id="rId469" w:history="1">
        <w:r w:rsidRPr="002D1F1D">
          <w:rPr>
            <w:rStyle w:val="Hyperlink"/>
          </w:rPr>
          <w:t>§ 8 Absatz 1 Satz 3</w:t>
        </w:r>
      </w:hyperlink>
      <w:r>
        <w:t xml:space="preserve"> erfüllt sind. </w:t>
      </w:r>
      <w:r>
        <w:rPr>
          <w:rStyle w:val="kleinschrift"/>
        </w:rPr>
        <w:t>4</w:t>
      </w:r>
      <w:r>
        <w:t>Diese Beschäftigten erhalten zu dem Zeitpunkt, zu dem sie nach bisherigem Recht eine Vergütungsgruppenzulage erreicht hätten, eine Besitzstandszulage, wenn die Vergütungs</w:t>
      </w:r>
      <w:r>
        <w:softHyphen/>
        <w:t xml:space="preserve">gruppenzulage nach bisherigem Recht bis spätestens 31. Dezember 2016 erreicht worden wäre; </w:t>
      </w:r>
      <w:hyperlink r:id="rId470" w:history="1">
        <w:r w:rsidRPr="002D1F1D">
          <w:rPr>
            <w:rStyle w:val="Hyperlink"/>
          </w:rPr>
          <w:t>§ 9 Absatz 2 und 2a</w:t>
        </w:r>
      </w:hyperlink>
      <w:r>
        <w:t xml:space="preserve"> findet entsprechende Anwendung.</w:t>
      </w:r>
    </w:p>
    <w:p w:rsidR="00BE1EFE" w:rsidRDefault="00BE1EFE" w:rsidP="00E46EA2">
      <w:pPr>
        <w:pStyle w:val="StandardWeb"/>
      </w:pPr>
    </w:p>
    <w:p w:rsidR="00BE1EFE" w:rsidRDefault="00BE1EFE" w:rsidP="00E46EA2">
      <w:pPr>
        <w:pStyle w:val="StandardWeb"/>
      </w:pPr>
      <w:r>
        <w:t>(5) </w:t>
      </w:r>
      <w:r>
        <w:rPr>
          <w:rStyle w:val="kleinschrift"/>
        </w:rPr>
        <w:t>1</w:t>
      </w:r>
      <w:r>
        <w:t xml:space="preserve">Aus dem </w:t>
      </w:r>
      <w:hyperlink r:id="rId471" w:history="1">
        <w:r w:rsidRPr="002D1F1D">
          <w:rPr>
            <w:rStyle w:val="Hyperlink"/>
          </w:rPr>
          <w:t>Geltungsbereich des Teil A in der bis zum 30.09.2005 geltenden Fassung</w:t>
        </w:r>
      </w:hyperlink>
      <w:r>
        <w:t xml:space="preserve"> gemäß </w:t>
      </w:r>
      <w:hyperlink r:id="rId472" w:history="1">
        <w:r w:rsidRPr="002D1F1D">
          <w:rPr>
            <w:rStyle w:val="Hyperlink"/>
          </w:rPr>
          <w:t>Anlage 2 K</w:t>
        </w:r>
      </w:hyperlink>
      <w:r>
        <w:t xml:space="preserve"> in die Entgeltgruppe 9 übergeleitete Beschäftigte, die bei Fortgeltung des bisherigen Rechts nach dem 30. September 2005 noch zwei Bewährungs-, Zeit- oder Tätigkeitsaufstiege bzw. einen Bewährungs-, Zeit- oder Tätigkeitsaufstieg und eine Vergütungsgruppenzulage erreicht hätten, erhalten unabhängig von der Maßgabe, dass die Zeit der Bewährung oder Tätigkeit zur Hälfte erfüllt sein muss, ab dem Zeitpunkt, zu dem sie nach bisherigem Recht höhergruppiert wären, Entgelt nach derjenigen individuellen Zwischen- bzw. Endstufe, die sich ergeben hätte, wenn sich ihr Vergleichsentgelt </w:t>
      </w:r>
      <w:hyperlink r:id="rId473" w:history="1">
        <w:r w:rsidRPr="002D1F1D">
          <w:rPr>
            <w:rStyle w:val="Hyperlink"/>
          </w:rPr>
          <w:t>(§ 5)</w:t>
        </w:r>
      </w:hyperlink>
      <w:r>
        <w:t xml:space="preserve"> nach der Vergütung aufgrund der Höhergruppierung bestimmt hätte, sofern die Voraussetzungen gemäß </w:t>
      </w:r>
      <w:hyperlink r:id="rId474" w:history="1">
        <w:r w:rsidRPr="002D1F1D">
          <w:rPr>
            <w:rStyle w:val="Hyperlink"/>
          </w:rPr>
          <w:t>§ 8 Absatz 2 Satz 2</w:t>
        </w:r>
      </w:hyperlink>
      <w:r>
        <w:t xml:space="preserve"> erfüllt sind. </w:t>
      </w:r>
      <w:r>
        <w:rPr>
          <w:rStyle w:val="kleinschrift"/>
        </w:rPr>
        <w:t>2</w:t>
      </w:r>
      <w:r>
        <w:t>Diese Beschäftigten sind ab dem Zeitpunkt, zu dem sie nach bisherigem Recht die zweite Höhergruppierung erreicht hätten, in die Entgelt</w:t>
      </w:r>
      <w:r>
        <w:softHyphen/>
        <w:t xml:space="preserve">gruppe 10 eingruppiert, wenn die Höhergruppierung nach bisherigem Recht bis spätestens 31. Dezember 2016 erreicht worden wäre und die Voraussetzungen des </w:t>
      </w:r>
      <w:hyperlink r:id="rId475" w:history="1">
        <w:r w:rsidRPr="002D1F1D">
          <w:rPr>
            <w:rStyle w:val="Hyperlink"/>
          </w:rPr>
          <w:t>§ 8 Absatz 1 Satz 3</w:t>
        </w:r>
      </w:hyperlink>
      <w:r>
        <w:t xml:space="preserve"> erfüllt sind. </w:t>
      </w:r>
      <w:r>
        <w:rPr>
          <w:rStyle w:val="kleinschrift"/>
        </w:rPr>
        <w:t>3</w:t>
      </w:r>
      <w:r>
        <w:t xml:space="preserve">Diese Beschäftigten erhalten zu dem Zeitpunkt, zu dem sie nach bisherigem Recht eine Vergütungsgruppenzulage erreicht hätten, eine Besitzstandszulage, wenn die Vergütungsgruppenzulage nach bisherigem Recht bis spätestens 31. Dezember 2016 erreicht worden wäre; </w:t>
      </w:r>
      <w:hyperlink r:id="rId476" w:history="1">
        <w:r w:rsidRPr="002D1F1D">
          <w:rPr>
            <w:rStyle w:val="Hyperlink"/>
          </w:rPr>
          <w:t>§ 9 Absatz 2 und 2a</w:t>
        </w:r>
      </w:hyperlink>
      <w:r>
        <w:t xml:space="preserve"> findet entsprechende Anwendung.</w:t>
      </w:r>
    </w:p>
    <w:p w:rsidR="00BE1EFE" w:rsidRDefault="00BE1EFE" w:rsidP="00E46EA2">
      <w:pPr>
        <w:pStyle w:val="StandardWeb"/>
      </w:pPr>
    </w:p>
    <w:p w:rsidR="00BE1EFE" w:rsidRDefault="00BE1EFE" w:rsidP="00E46EA2">
      <w:pPr>
        <w:pStyle w:val="StandardWeb"/>
      </w:pPr>
      <w:r>
        <w:t xml:space="preserve">(6) Auf Beschäftigte, die zwischen dem 1. Oktober 2005 und dem Inkrafttreten einer neuen Entgeltordnung eingestellt und gemäß </w:t>
      </w:r>
      <w:hyperlink r:id="rId477" w:history="1">
        <w:r w:rsidRPr="002D1F1D">
          <w:rPr>
            <w:rStyle w:val="Hyperlink"/>
          </w:rPr>
          <w:t>Anlage 4 K</w:t>
        </w:r>
      </w:hyperlink>
      <w:r>
        <w:t xml:space="preserve"> eingruppiert werden, finden die Absätze 1 – 4 Satz 1 entsprechende Anwendung.</w:t>
      </w:r>
    </w:p>
    <w:p w:rsidR="00BE1EFE" w:rsidRDefault="00BE1EFE" w:rsidP="00E46EA2">
      <w:pPr>
        <w:pStyle w:val="StandardWeb"/>
      </w:pPr>
    </w:p>
    <w:p w:rsidR="00BE1EFE" w:rsidRDefault="00BE1EFE" w:rsidP="00E46EA2">
      <w:r>
        <w:rPr>
          <w:sz w:val="12"/>
          <w:szCs w:val="12"/>
        </w:rPr>
        <w:t>Protokollnotiz zu § 8a Absätze 3, 4 und 5:</w:t>
      </w:r>
    </w:p>
    <w:p w:rsidR="00BE1EFE" w:rsidRDefault="00BE1EFE" w:rsidP="00E46EA2">
      <w:r>
        <w:rPr>
          <w:sz w:val="12"/>
          <w:szCs w:val="12"/>
        </w:rPr>
        <w:t>Bewährungsaufstiege, die nach bisherigem Recht (ABD i. d. F. bis 30.09.2005) vor dem Inkrafttreten der Änderung des § 8a zum 1. Oktober 2011 erreicht worden wären, werden mit Wirkung zum 1. Oktober 2011 vollzogen. Entgeltnachzahlungen für Bewährungsaufstiege, die zwischen 1. Oktober 2011 und 31. Oktober 2012 erreicht worden wären oder mit Wirkung zum 1. Oktober 2011 zu vollziehen sind, werden mit dem Tabellenentgelt für den Monat Oktober 2012 ausgezahlt.</w:t>
      </w:r>
    </w:p>
    <w:p w:rsidR="00BE1EFE" w:rsidRDefault="00BE1EFE" w:rsidP="00E46EA2"/>
    <w:p w:rsidR="00BE1EFE" w:rsidRDefault="00BE1EFE">
      <w:pPr>
        <w:pStyle w:val="berschrift6"/>
      </w:pPr>
      <w:bookmarkStart w:id="645" w:name="_Toc523926185"/>
      <w:r>
        <w:lastRenderedPageBreak/>
        <w:t>§ 9 Vergütungsgruppenzulagen</w:t>
      </w:r>
      <w:bookmarkEnd w:id="645"/>
    </w:p>
    <w:p w:rsidR="00BE1EFE" w:rsidRPr="00B76821" w:rsidRDefault="00BE1EFE" w:rsidP="00B76821">
      <w:pPr>
        <w:pStyle w:val="h7"/>
        <w:keepNext w:val="0"/>
        <w:spacing w:before="0" w:after="0"/>
        <w:jc w:val="left"/>
        <w:outlineLvl w:val="5"/>
        <w:rPr>
          <w:sz w:val="2"/>
        </w:rPr>
      </w:pPr>
    </w:p>
    <w:p w:rsidR="00BE1EFE" w:rsidRPr="000B1AF8" w:rsidRDefault="00BE1EFE" w:rsidP="00E46EA2">
      <w:pPr>
        <w:pStyle w:val="StandardWeb"/>
      </w:pPr>
      <w:r>
        <w:t xml:space="preserve">(1) Aus dem </w:t>
      </w:r>
      <w:hyperlink r:id="rId478" w:history="1">
        <w:r w:rsidRPr="002D1F1D">
          <w:rPr>
            <w:rStyle w:val="Hyperlink"/>
          </w:rPr>
          <w:t>Geltungsbereich des Teil A in der bis zum 30.09.2005 geltenden Fassung</w:t>
        </w:r>
      </w:hyperlink>
      <w:r>
        <w:t xml:space="preserve"> übergeleitete Beschäftigte, denen am 30. September 2005 nach der Vergütungsordnung zum Teil A in der bis zum 30.09.2005 geltenden Fassung eine Vergütungsgruppenzulage zusteht, erhalten in der Entgeltgruppe, in die sie übergeleitet werden, eine Besitzstandszulage in Höhe ihrer bisherigen Vergütungsgruppenzulage.</w:t>
      </w:r>
    </w:p>
    <w:p w:rsidR="00BE1EFE" w:rsidRPr="000B1AF8" w:rsidRDefault="00BE1EFE" w:rsidP="00E46EA2">
      <w:pPr>
        <w:pStyle w:val="StandardWeb"/>
      </w:pPr>
    </w:p>
    <w:p w:rsidR="00BE1EFE" w:rsidRDefault="00BE1EFE" w:rsidP="00E46EA2">
      <w:pPr>
        <w:pStyle w:val="StandardWeb"/>
      </w:pPr>
      <w:r>
        <w:t>(2) </w:t>
      </w:r>
      <w:r>
        <w:rPr>
          <w:rStyle w:val="kleinschrift"/>
        </w:rPr>
        <w:t>1</w:t>
      </w:r>
      <w:r>
        <w:t xml:space="preserve">Aus dem </w:t>
      </w:r>
      <w:hyperlink r:id="rId479" w:history="1">
        <w:r w:rsidRPr="002D1F1D">
          <w:rPr>
            <w:rStyle w:val="Hyperlink"/>
          </w:rPr>
          <w:t>Geltungsbereich des Teil A in der bis zum 30.09.2005 geltenden Fassung</w:t>
        </w:r>
      </w:hyperlink>
      <w:r>
        <w:t xml:space="preserve"> übergeleitete Beschäftigte, die bei Fortgeltung des bisherigen Rechts nach dem 30. Septem</w:t>
      </w:r>
      <w:r>
        <w:softHyphen/>
        <w:t xml:space="preserve">ber 2005 eine Vergütungsgruppenzulage ohne vorausgehenden Fallgruppenaufstieg erreicht hätten, erhalten ab dem Zeitpunkt, zu dem ihnen die Zulage nach bisherigem Recht zugestanden hätte, eine Besitzstandszulage. </w:t>
      </w:r>
      <w:r>
        <w:rPr>
          <w:rStyle w:val="kleinschrift"/>
        </w:rPr>
        <w:t>2</w:t>
      </w:r>
      <w:r>
        <w:t xml:space="preserve">Die Höhe der Besitzstandszulage bemisst sich nach dem Betrag, der als Vergütungsgruppenzulage zu zahlen gewesen wäre, wenn diese bereits am 30. September 2005 zugestanden hätte. </w:t>
      </w:r>
      <w:r>
        <w:rPr>
          <w:rStyle w:val="kleinschrift"/>
        </w:rPr>
        <w:t>3</w:t>
      </w:r>
      <w:r>
        <w:t>Voraussetzung ist, dass</w:t>
      </w:r>
    </w:p>
    <w:p w:rsidR="00BE1EFE" w:rsidRDefault="00BE1EFE" w:rsidP="00E46EA2">
      <w:pPr>
        <w:pStyle w:val="StandardWeb"/>
      </w:pPr>
      <w:r>
        <w:t xml:space="preserve">– am 1. Oktober 2005 die für die Vergütungsgruppenzulage erforderliche Zeit der Bewährung oder Tätigkeit nach Maßgabe des </w:t>
      </w:r>
      <w:hyperlink r:id="rId480" w:history="1">
        <w:r w:rsidRPr="002D1F1D">
          <w:rPr>
            <w:rStyle w:val="Hyperlink"/>
          </w:rPr>
          <w:t>§ 23 a Abschnitt B und C Teil A,1. in der bis zum 30.09.2005 geltenden Fassung</w:t>
        </w:r>
      </w:hyperlink>
      <w:r>
        <w:t xml:space="preserve"> zur Hälfte erfüllt ist,</w:t>
      </w:r>
    </w:p>
    <w:p w:rsidR="00BE1EFE" w:rsidRDefault="00BE1EFE" w:rsidP="00E46EA2">
      <w:pPr>
        <w:pStyle w:val="StandardWeb"/>
      </w:pPr>
      <w:r>
        <w:t>– zu diesem Zeitpunkt keine Anhaltspunkte vorliegen, die bei Fortgeltung des bisherigen Rechts der Vergütungsgruppenzulage entgegengestanden hätten und</w:t>
      </w:r>
    </w:p>
    <w:p w:rsidR="00BE1EFE" w:rsidRDefault="00BE1EFE" w:rsidP="00E46EA2">
      <w:pPr>
        <w:pStyle w:val="StandardWeb"/>
      </w:pPr>
      <w:r>
        <w:t>– bis zum individuellen Zeitpunkt nach Satz 1 weiterhin eine Tätigkeit auszuüben ist, die zu der Vergütungsgruppenzulage geführt hätte.</w:t>
      </w:r>
    </w:p>
    <w:p w:rsidR="00BE1EFE" w:rsidRDefault="00BE1EFE" w:rsidP="00E46EA2">
      <w:pPr>
        <w:pStyle w:val="StandardWeb"/>
      </w:pPr>
    </w:p>
    <w:p w:rsidR="00BE1EFE" w:rsidRDefault="00BE1EFE" w:rsidP="00E46EA2">
      <w:pPr>
        <w:pStyle w:val="StandardWeb"/>
      </w:pPr>
      <w:r>
        <w:t>(2a) </w:t>
      </w:r>
      <w:r>
        <w:rPr>
          <w:rStyle w:val="kleinschrift"/>
        </w:rPr>
        <w:t>1</w:t>
      </w:r>
      <w:r>
        <w:t xml:space="preserve">Absatz 2 gilt auf schriftlichen Antrag entsprechend für übergeleitete Beschäftigte, die bei Fortgeltung des ABD in der bis zum 30.09.2005 geltenden Fassung bis spätestens zum 31.Dezember 2016 wegen Erfüllung der erforderlichen Zeit der Bewährung oder Tätigkeit die Voraussetzungen der Vergütungsgruppenzulage erfüllt hätten, unabhängig davon, ob die Hälfte der erforderlichen Zeit der Bewährung oder Tätigkeit am Stichtag erfüllt ist. </w:t>
      </w:r>
      <w:r>
        <w:rPr>
          <w:rStyle w:val="kleinschrift"/>
        </w:rPr>
        <w:t>2</w:t>
      </w:r>
      <w:r>
        <w:t xml:space="preserve">Die Anmerkung Nr. 1 zu </w:t>
      </w:r>
      <w:hyperlink r:id="rId481" w:history="1">
        <w:r w:rsidRPr="002D1F1D">
          <w:rPr>
            <w:rStyle w:val="Hyperlink"/>
          </w:rPr>
          <w:t>§ 8 Absatz 3</w:t>
        </w:r>
      </w:hyperlink>
      <w:r>
        <w:t xml:space="preserve"> gilt entsprechend.</w:t>
      </w:r>
    </w:p>
    <w:p w:rsidR="00BE1EFE" w:rsidRDefault="00BE1EFE" w:rsidP="00E46EA2">
      <w:pPr>
        <w:pStyle w:val="StandardWeb"/>
      </w:pPr>
    </w:p>
    <w:p w:rsidR="00BE1EFE" w:rsidRDefault="00BE1EFE" w:rsidP="00E46EA2">
      <w:pPr>
        <w:pStyle w:val="StandardWeb"/>
      </w:pPr>
      <w:r>
        <w:t xml:space="preserve">(3) Für aus dem </w:t>
      </w:r>
      <w:hyperlink r:id="rId482" w:history="1">
        <w:r w:rsidRPr="002D1F1D">
          <w:rPr>
            <w:rStyle w:val="Hyperlink"/>
          </w:rPr>
          <w:t>Geltungsbereich des Teil A in der bis zum 30.09.2005 geltenden Fassung</w:t>
        </w:r>
      </w:hyperlink>
      <w:r>
        <w:t xml:space="preserve"> übergeleitete Beschäftigte, die bei Fortgeltung des bisherigen Rechts nach dem 30. September 2005 im Anschluss an einen Fallgruppenaufstieg eine Vergütungsgruppenzulage erreicht hätten, gilt Folgendes:</w:t>
      </w:r>
    </w:p>
    <w:p w:rsidR="00BE1EFE" w:rsidRDefault="00BE1EFE" w:rsidP="00E46EA2">
      <w:pPr>
        <w:pStyle w:val="StandardWeb"/>
      </w:pPr>
      <w:r>
        <w:t>a) </w:t>
      </w:r>
      <w:r>
        <w:rPr>
          <w:rStyle w:val="kleinschrift"/>
        </w:rPr>
        <w:t>1</w:t>
      </w:r>
      <w:r>
        <w:t>In eine der Entgeltgruppen 3, 5, 6 oder 8 übergeleitete Beschäftigte, die den Fallgruppen</w:t>
      </w:r>
      <w:r>
        <w:softHyphen/>
        <w:t xml:space="preserve">aufstieg am 30. September 2005 noch nicht erreicht haben, sind zu dem Zeitpunkt, zu dem sie nach bisherigem Recht höhergruppiert worden wären, in die nächsthöhere Entgeltgruppe des in der ab dem 01.10.2005 geltenden Fassung eingruppiert; </w:t>
      </w:r>
      <w:hyperlink r:id="rId483" w:history="1">
        <w:r>
          <w:rPr>
            <w:rStyle w:val="Hyperlink"/>
          </w:rPr>
          <w:t>§ </w:t>
        </w:r>
        <w:r w:rsidRPr="002D1F1D">
          <w:rPr>
            <w:rStyle w:val="Hyperlink"/>
          </w:rPr>
          <w:t>8 Absatz 1 Satz 2 bis 5</w:t>
        </w:r>
      </w:hyperlink>
      <w:r>
        <w:t xml:space="preserve"> gilt entsprechend. </w:t>
      </w:r>
      <w:r>
        <w:rPr>
          <w:rStyle w:val="kleinschrift"/>
        </w:rPr>
        <w:t>2</w:t>
      </w:r>
      <w:r>
        <w:t>Eine Besitzstandszulage für eine Vergütungsgruppenzulage steht nicht zu.</w:t>
      </w:r>
    </w:p>
    <w:p w:rsidR="00BE1EFE" w:rsidRDefault="00BE1EFE" w:rsidP="00E46EA2">
      <w:pPr>
        <w:pStyle w:val="StandardWeb"/>
      </w:pPr>
      <w:r>
        <w:t>b) </w:t>
      </w:r>
      <w:r>
        <w:rPr>
          <w:rStyle w:val="kleinschrift"/>
        </w:rPr>
        <w:t>1</w:t>
      </w:r>
      <w:r>
        <w:t>Ist ein der Vergütungsgruppenzulage vorausgehender Fallgruppenaufstieg am 30. September 2005 bereits erfolgt, gilt Absatz 2 mit der Maßgabe, dass am 1. Oktober 2005 die Hälfte der Gesamtzeit für den Anspruch auf die Vergütungsgruppenzulage einschließlich der Zeit für den vorausgehenden Aufstieg zurückgelegt sein muss oder die Vergütungsgruppen</w:t>
      </w:r>
      <w:r>
        <w:softHyphen/>
        <w:t xml:space="preserve">zulage bei Fortgeltung des bisherigen Rechts bis zum 31. Dezember 2016 erworben worden wäre. </w:t>
      </w:r>
      <w:r>
        <w:rPr>
          <w:rStyle w:val="kleinschrift"/>
        </w:rPr>
        <w:t>2</w:t>
      </w:r>
      <w:r>
        <w:t xml:space="preserve">Im Fall des Satzes 1 2. Alternative wird die Vergütungsgruppenzulage auf schriftlichen Antrag gewährt. </w:t>
      </w:r>
      <w:r>
        <w:rPr>
          <w:rStyle w:val="kleinschrift"/>
        </w:rPr>
        <w:t>3</w:t>
      </w:r>
      <w:r>
        <w:t xml:space="preserve">Die </w:t>
      </w:r>
      <w:hyperlink r:id="rId484" w:history="1">
        <w:r w:rsidRPr="002D1F1D">
          <w:rPr>
            <w:rStyle w:val="Hyperlink"/>
          </w:rPr>
          <w:t>Anmerkung zu § 8 Absatz 3</w:t>
        </w:r>
      </w:hyperlink>
      <w:r>
        <w:t xml:space="preserve"> Nummer 1 gilt entsprechend.</w:t>
      </w:r>
    </w:p>
    <w:p w:rsidR="00BE1EFE" w:rsidRDefault="00BE1EFE" w:rsidP="00E46EA2">
      <w:pPr>
        <w:pStyle w:val="StandardWeb"/>
      </w:pPr>
      <w:r>
        <w:t>c) </w:t>
      </w:r>
      <w:r>
        <w:rPr>
          <w:rStyle w:val="kleinschrift"/>
        </w:rPr>
        <w:t>1</w:t>
      </w:r>
      <w:r>
        <w:t>Wäre im Fall des Buchstaben a nach bisherigem Recht der Fallgruppenaufstieg spätestens am 30. September 2007 erreicht worden, gilt Absatz 2 mit der Maßgabe, dass am 1. Oktober 2007 die Hälfte der Gesamtzeit für den Anspruch auf die Vergütungs</w:t>
      </w:r>
      <w:r>
        <w:softHyphen/>
        <w:t xml:space="preserve">gruppenzulage einschließlich der Zeit für den vorausgehenden Aufstieg erreicht worden sein muss und die Vergütungsgruppenzulage bei Fortgeltung des bisherigen Rechts bis zum 31. Dezember 2016 erworben worden wäre. </w:t>
      </w:r>
      <w:r>
        <w:rPr>
          <w:rStyle w:val="kleinschrift"/>
        </w:rPr>
        <w:t>2</w:t>
      </w:r>
      <w:r>
        <w:t xml:space="preserve">Die </w:t>
      </w:r>
      <w:hyperlink r:id="rId485" w:history="1">
        <w:r w:rsidRPr="002D1F1D">
          <w:rPr>
            <w:rStyle w:val="Hyperlink"/>
          </w:rPr>
          <w:t>Anmerkung zu § 8 Absatz 3</w:t>
        </w:r>
      </w:hyperlink>
      <w:r>
        <w:t xml:space="preserve"> Nummer 1 gilt entsprechend.</w:t>
      </w:r>
    </w:p>
    <w:p w:rsidR="00BE1EFE" w:rsidRDefault="00BE1EFE" w:rsidP="00E46EA2">
      <w:pPr>
        <w:rPr>
          <w:sz w:val="12"/>
          <w:szCs w:val="12"/>
        </w:rPr>
      </w:pPr>
    </w:p>
    <w:p w:rsidR="00BE1EFE" w:rsidRDefault="00BE1EFE" w:rsidP="00E46EA2">
      <w:pPr>
        <w:jc w:val="both"/>
      </w:pPr>
      <w:r>
        <w:t>(4) </w:t>
      </w:r>
      <w:r>
        <w:rPr>
          <w:rStyle w:val="kleinschrift"/>
        </w:rPr>
        <w:t>1</w:t>
      </w:r>
      <w:r>
        <w:t xml:space="preserve">Die Besitzstandszulage nach den Absätzen 1, 2 und 3 Buchstabe b) wird so lange gezahlt, wie die anspruchsbegründende Tätigkeit ununterbrochen ausgeübt wird und die sonstigen Voraussetzungen für die Vergütungsgruppenzulage nach bisherigem Recht weiterhin bestehen. </w:t>
      </w:r>
      <w:r>
        <w:rPr>
          <w:rStyle w:val="kleinschrift"/>
        </w:rPr>
        <w:t>2</w:t>
      </w:r>
      <w:r>
        <w:t>Sie verändert sich bei allgemeinen Entgeltanpassungen um den für die jeweilige Entgeltgruppe festgelegten Vomhundertsatz.</w:t>
      </w:r>
    </w:p>
    <w:p w:rsidR="00BE1EFE" w:rsidRDefault="00BE1EFE" w:rsidP="00E46EA2">
      <w:pPr>
        <w:jc w:val="both"/>
      </w:pPr>
      <w:r>
        <w:rPr>
          <w:sz w:val="12"/>
          <w:szCs w:val="12"/>
        </w:rPr>
        <w:t>Anmerkung zu Absatz 4 Satz 1:</w:t>
      </w:r>
    </w:p>
    <w:p w:rsidR="00BE1EFE" w:rsidRDefault="00BE1EFE" w:rsidP="00E46EA2">
      <w:pPr>
        <w:jc w:val="both"/>
      </w:pPr>
      <w:r>
        <w:rPr>
          <w:sz w:val="12"/>
          <w:szCs w:val="12"/>
        </w:rPr>
        <w:t xml:space="preserve">1Unterbrechungen wegen Elternzeit, Wehr- oder Zivildienstes, unbezahlten Sonderurlaubs aufgrund von Familienpflichten im Sinne des </w:t>
      </w:r>
      <w:hyperlink r:id="rId486" w:history="1">
        <w:r w:rsidRPr="00D61A3C">
          <w:rPr>
            <w:rStyle w:val="Hyperlink"/>
            <w:sz w:val="12"/>
            <w:szCs w:val="12"/>
          </w:rPr>
          <w:t>§ 4 Absatz 2 BGleiG</w:t>
        </w:r>
      </w:hyperlink>
      <w:r>
        <w:rPr>
          <w:sz w:val="12"/>
          <w:szCs w:val="12"/>
        </w:rPr>
        <w:t>, Sonderurlaubs, bei dem der Arbeitgeber vor Antritt ein dienstliches oder betriebliches Interesse an der Beurlaubung anerkannt hat, Bezuges einer Rente auf Zeit wegen verminderter Erwerbsfähigkeit oder wegen Ablaufs der Krankenbezugsfristen sowie wegen vorübergehender Übertragung einer höherwertigen Tätigkeit sind unschädlich. 2In den Fällen, in denen eine Unterbrechung aus den in Satz 1 genannten Gründen nach dem 30. September 2005 und vor dem 1. Juli 2008 endet, wird eine Besitzstandszulage nach § 9 Absatz 1, 2 oder 3 Buchst. b oder c rückwirkend vom 1. Juli 2008 an gezahlt, wenn bis zum 31. März 2009 ein entsprechender schriftlicher Antrag (Ausschlussfrist) gestellt worden ist. 3Ist eine entsprechende Leistung bis zum 31. März 2008 schriftlich geltend gemacht worden, erfolgt die Zahlung rückwirkend vom 1. Juni 2008 an.</w:t>
      </w:r>
    </w:p>
    <w:p w:rsidR="00BE1EFE" w:rsidRDefault="00BE1EFE">
      <w:pPr>
        <w:pStyle w:val="berschrift6"/>
      </w:pPr>
      <w:bookmarkStart w:id="646" w:name="_Toc523926186"/>
      <w:r>
        <w:t>§ 10 Fortführung vorübergehend übertragener höherwertiger Tätigkeit</w:t>
      </w:r>
      <w:bookmarkEnd w:id="64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Beschäftigte, denen am 30. September 2005 eine Zulage nach </w:t>
      </w:r>
      <w:hyperlink r:id="rId487" w:history="1">
        <w:r w:rsidRPr="002D1F1D">
          <w:rPr>
            <w:rStyle w:val="Hyperlink"/>
          </w:rPr>
          <w:t>§ 24 Teil A,1. in der bis zum 30.09.2005 geltenden Fassung</w:t>
        </w:r>
      </w:hyperlink>
      <w:r>
        <w:t xml:space="preserve"> zusteht, erhalten nach Überleitung eine Besitzstandszulage in Höhe ihrer bisherigen Zulage, solange sie die anspruchsbegründende Tätigkeit weiterhin ausüben und die Zulage nach bisherigem Recht zu zahlen wäre. </w:t>
      </w:r>
      <w:r>
        <w:rPr>
          <w:rStyle w:val="kleinschrift"/>
        </w:rPr>
        <w:t>2</w:t>
      </w:r>
      <w:r>
        <w:t xml:space="preserve">Wird die anspruchsbegründende Tätigkeit über den 30. September 2007 hinaus beibehalten, finden mit Wirkung ab dem 1. Oktober 2007 die Bestimmungen des ABD in der ab dem 01.10.2005 geltenden Fassung über die vorübergehende Übertragung einer höherwertigen Tätigkeit Anwendung. </w:t>
      </w:r>
      <w:r>
        <w:rPr>
          <w:rStyle w:val="kleinschrift"/>
        </w:rPr>
        <w:t>3</w:t>
      </w:r>
      <w:r>
        <w:t xml:space="preserve">Für eine vor dem 1. Oktober 2005 vorübergehend übertragene höherwertige Tätigkeit, für die am 30. September 2005 wegen der zeitlichen Voraussetzungen des </w:t>
      </w:r>
      <w:hyperlink r:id="rId488" w:history="1">
        <w:r w:rsidRPr="002D1F1D">
          <w:rPr>
            <w:rStyle w:val="Hyperlink"/>
          </w:rPr>
          <w:t>§ 24 Absatz 1 bzw. 2 Teil A,1. in der bis zum 30.09.2005 geltenden Fassung</w:t>
        </w:r>
      </w:hyperlink>
      <w:r>
        <w:t xml:space="preserve"> noch keine Zulage gezahlt wird, gilt Satz 1 und 2 ab dem Zeitpunkt entsprechend, zu dem nach bisherigem Recht die Zulage zu zahlen gewesen wäre. </w:t>
      </w:r>
      <w:r>
        <w:rPr>
          <w:rStyle w:val="kleinschrift"/>
        </w:rPr>
        <w:t>4</w:t>
      </w:r>
      <w:r>
        <w:t xml:space="preserve">Sätze 1 bis 3 gelten in den Fällen des § 9 Teil B,1. in der bis zum 30.09.2005 geltenden Fassung entsprechend; bei Vertretung einer Arbeiterin/eines Arbeiters bemisst sich die Zulage nach dem Unterschiedsbetrag zwischen dem Lohn nach § 9 Absatz 2 Buchstabe a Teil B,1. in der bis zum 30.09.2005 geltenden Fassung und dem im September 2005 ohne Zulage zustehenden Lohn. </w:t>
      </w:r>
      <w:r>
        <w:rPr>
          <w:rStyle w:val="kleinschrift"/>
        </w:rPr>
        <w:t>5</w:t>
      </w:r>
      <w:r>
        <w:t xml:space="preserve">Sätze 1 bis 4 gelten bei besonderen Vorschriften im Teil A, 1. in der ab dem 01.10.2005 geltenden Fassung über die vorübergehende Übertragung höherwertiger Tätigkeiten entsprechend. </w:t>
      </w:r>
      <w:r>
        <w:rPr>
          <w:rStyle w:val="kleinschrift"/>
        </w:rPr>
        <w:t>6</w:t>
      </w:r>
      <w:r>
        <w:t xml:space="preserve">Ist Beschäftigten, die eine Besitzstandszulage nach Satz 1 erhalten, die anspruchsbegründende Tätigkeit bis zum 30. September 2007 dauerhaft übertragen worden, erhalten sie eine persönliche Zulage. </w:t>
      </w:r>
      <w:r>
        <w:rPr>
          <w:rStyle w:val="kleinschrift"/>
        </w:rPr>
        <w:t>7</w:t>
      </w:r>
      <w:r>
        <w:t xml:space="preserve">Die Zulage nach Satz 6 wird für die Dauer der Wahrnehmung dieser Tätigkeit auf einen bis zum 31. März 2009 zu stellenden schriftlichen Antrag (Ausschlussfrist) der/des Beschäftigten vom 1. Juli 2008 an gezahlt. </w:t>
      </w:r>
      <w:r>
        <w:rPr>
          <w:rStyle w:val="kleinschrift"/>
        </w:rPr>
        <w:t>8</w:t>
      </w:r>
      <w:r>
        <w:t xml:space="preserve">Die Höhe der Zulage bemisst sich nach dem Unterschiedsbetrag zwischen dem am 1. Oktober 2005 nach </w:t>
      </w:r>
      <w:hyperlink r:id="rId489" w:history="1">
        <w:r w:rsidRPr="002D1F1D">
          <w:rPr>
            <w:rStyle w:val="Hyperlink"/>
          </w:rPr>
          <w:t>§ 6</w:t>
        </w:r>
      </w:hyperlink>
      <w:r>
        <w:t xml:space="preserve"> oder </w:t>
      </w:r>
      <w:hyperlink r:id="rId490" w:history="1">
        <w:r w:rsidRPr="002D1F1D">
          <w:rPr>
            <w:rStyle w:val="Hyperlink"/>
          </w:rPr>
          <w:t>§ 7</w:t>
        </w:r>
      </w:hyperlink>
      <w:r>
        <w:t xml:space="preserve"> zustehenden Tabellenentgelt oder Entgelt nach einer individuellen Zwischen- oder Endstufe einschließlich der Besitzstandszulage nach Satz 1 und dem Tabellenentgelt nach der Höhergruppierung. </w:t>
      </w:r>
      <w:r>
        <w:rPr>
          <w:rStyle w:val="kleinschrift"/>
        </w:rPr>
        <w:t>9</w:t>
      </w:r>
      <w:r>
        <w:t xml:space="preserve">Allgemeine Entgeltanpassungen, Erhöhungen des Entgelts durch Stufenaufstiege und Höhergruppierungen sowie Zulagen gemäß </w:t>
      </w:r>
      <w:hyperlink r:id="rId491" w:history="1">
        <w:r w:rsidRPr="002D1F1D">
          <w:rPr>
            <w:rStyle w:val="Hyperlink"/>
          </w:rPr>
          <w:t>§ 14 Absatz 3 ABD Teil A,1.</w:t>
        </w:r>
      </w:hyperlink>
      <w:r>
        <w:t xml:space="preserve"> sind auf die persönliche Zulage in voller Höhe anzurechnen.</w:t>
      </w:r>
    </w:p>
    <w:p w:rsidR="00BE1EFE" w:rsidRDefault="00BE1EFE">
      <w:pPr>
        <w:pStyle w:val="berschrift6"/>
      </w:pPr>
      <w:bookmarkStart w:id="647" w:name="_Toc523926187"/>
      <w:r>
        <w:t>§ 11 Kinderbezogene Entgeltbestandteile</w:t>
      </w:r>
      <w:bookmarkEnd w:id="647"/>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Für im September 2005 zu berücksichtigende Kinder werden die kinderbezogenen Entgeltbestandteile des </w:t>
      </w:r>
      <w:hyperlink r:id="rId492" w:history="1">
        <w:r w:rsidRPr="002D1F1D">
          <w:rPr>
            <w:rStyle w:val="Hyperlink"/>
          </w:rPr>
          <w:t>ABD in der bis zum 30.09.2005 geltenden Fassung</w:t>
        </w:r>
      </w:hyperlink>
      <w:r>
        <w:t xml:space="preserve"> in der für September 2005 zustehenden Höhe als Besitzstandszulage fortgezahlt, solange für diese </w:t>
      </w:r>
      <w:r>
        <w:lastRenderedPageBreak/>
        <w:t xml:space="preserve">Kinder Kindergeld nach dem </w:t>
      </w:r>
      <w:hyperlink r:id="rId493" w:tgtFrame="_blank" w:history="1">
        <w:r>
          <w:rPr>
            <w:rStyle w:val="Hyperlink"/>
          </w:rPr>
          <w:t>Einkommensteuergesetz (EStG</w:t>
        </w:r>
      </w:hyperlink>
      <w:r>
        <w:t xml:space="preserve">) oder nach dem </w:t>
      </w:r>
      <w:hyperlink r:id="rId494" w:tgtFrame="_blank" w:history="1">
        <w:r>
          <w:rPr>
            <w:rStyle w:val="Hyperlink"/>
          </w:rPr>
          <w:t>Bundeskinder</w:t>
        </w:r>
        <w:r>
          <w:rPr>
            <w:rStyle w:val="Hyperlink"/>
          </w:rPr>
          <w:softHyphen/>
          <w:t>geldgesetz (BKGG)</w:t>
        </w:r>
      </w:hyperlink>
      <w:r>
        <w:t xml:space="preserve"> ununterbrochen gezahlt wird oder ohne Berücksichtigung des </w:t>
      </w:r>
      <w:hyperlink r:id="rId495" w:tgtFrame="_blank" w:history="1">
        <w:r>
          <w:rPr>
            <w:rStyle w:val="Hyperlink"/>
          </w:rPr>
          <w:t>§ 64</w:t>
        </w:r>
      </w:hyperlink>
      <w:r>
        <w:t xml:space="preserve"> oder </w:t>
      </w:r>
      <w:hyperlink r:id="rId496" w:tgtFrame="_blank" w:history="1">
        <w:r>
          <w:rPr>
            <w:rStyle w:val="Hyperlink"/>
          </w:rPr>
          <w:t>§ 65 EStG</w:t>
        </w:r>
      </w:hyperlink>
      <w:r>
        <w:t xml:space="preserve"> oder des </w:t>
      </w:r>
      <w:hyperlink r:id="rId497" w:tgtFrame="_blank" w:history="1">
        <w:r>
          <w:rPr>
            <w:rStyle w:val="Hyperlink"/>
          </w:rPr>
          <w:t>§ 3</w:t>
        </w:r>
      </w:hyperlink>
      <w:r>
        <w:t xml:space="preserve"> oder </w:t>
      </w:r>
      <w:hyperlink r:id="rId498" w:tgtFrame="_blank" w:history="1">
        <w:r>
          <w:rPr>
            <w:rStyle w:val="Hyperlink"/>
          </w:rPr>
          <w:t>§ 4 BKGG</w:t>
        </w:r>
      </w:hyperlink>
      <w:r>
        <w:t xml:space="preserve"> gezahlt würde. </w:t>
      </w:r>
      <w:r>
        <w:rPr>
          <w:rStyle w:val="kleinschrift"/>
        </w:rPr>
        <w:t>2</w:t>
      </w:r>
      <w:r>
        <w:t xml:space="preserve">Die Besitzstandszulage entfällt ab dem Zeitpunkt, zu dem einer anderen Person, die im öffentlichen Dienst steht oder auf Grund einer Tätigkeit im öffentlichen Dienst nach beamtenrechtlichen Grundsätzen oder nach einer Ruhelohnordnung versorgungsberechtigt ist, für ein Kind, für welches die Besitzstandszulage gewährt wird, das Kindergeld gezahlt wird. </w:t>
      </w:r>
      <w:r>
        <w:rPr>
          <w:rStyle w:val="kleinschrift"/>
        </w:rPr>
        <w:t>3</w:t>
      </w:r>
      <w:r>
        <w:t xml:space="preserve">Unterbrechungen wegen Ableistung von Grundwehrdienst, Zivildienst oder Wehrübungen sowie die Ableistung eines freiwilligen sozialen oder ökologischen Jahres sind unschädlich; soweit die unschädliche Unterbrechung bereits im Monat September 2005 vorliegt, wird die Besitzstandszulage ab dem Zeitpunkt des Wiederauflebens der Kindergeldzahlung gewährt. </w:t>
      </w:r>
      <w:r>
        <w:rPr>
          <w:rStyle w:val="kleinschrift"/>
        </w:rPr>
        <w:t>4</w:t>
      </w:r>
      <w:r>
        <w:t>Ebenso unschädlich sind Unterbrechungen in der Entgeltzahlung</w:t>
      </w:r>
    </w:p>
    <w:p w:rsidR="00BE1EFE" w:rsidRDefault="00BE1EFE">
      <w:pPr>
        <w:pStyle w:val="StandardWeb"/>
      </w:pPr>
      <w:r>
        <w:t>a) wegen Inanspruchnahme der Elternzeit,</w:t>
      </w:r>
    </w:p>
    <w:p w:rsidR="00BE1EFE" w:rsidRDefault="00BE1EFE">
      <w:pPr>
        <w:pStyle w:val="StandardWeb"/>
      </w:pPr>
      <w:r>
        <w:t>b) wegen eines Sonderurlaubs ohne Fortzahlung des Entgelts im Falle der Betreuung eines Kindes unter 14 Jahren oder der Pflege eines nach ärztlichem Gutachten pflegebedürftigen sonstigen Angehörigen.</w:t>
      </w:r>
    </w:p>
    <w:p w:rsidR="00BE1EFE" w:rsidRDefault="00BE1EFE">
      <w:pPr>
        <w:pStyle w:val="StandardWeb"/>
      </w:pPr>
      <w:r>
        <w:t xml:space="preserve">c) wegen kurzzeitiger Unterbrechungen nach </w:t>
      </w:r>
      <w:hyperlink r:id="rId499" w:tgtFrame="_blank" w:history="1">
        <w:r>
          <w:rPr>
            <w:rStyle w:val="Hyperlink"/>
          </w:rPr>
          <w:t>§ 45 SGB V</w:t>
        </w:r>
      </w:hyperlink>
      <w:r>
        <w:t xml:space="preserve"> (Krankengeld bei Erkrankung des Kindes) oder</w:t>
      </w:r>
    </w:p>
    <w:p w:rsidR="00BE1EFE" w:rsidRDefault="00BE1EFE">
      <w:pPr>
        <w:pStyle w:val="StandardWeb"/>
      </w:pPr>
      <w:r>
        <w:t xml:space="preserve">d) wegen kurzfristiger Arbeitsbefreiung im Sinne des </w:t>
      </w:r>
      <w:hyperlink r:id="rId500" w:history="1">
        <w:r w:rsidRPr="002D1F1D">
          <w:rPr>
            <w:rStyle w:val="Hyperlink"/>
          </w:rPr>
          <w:t>§ 29 Absatz 3 Satz 2 Teil A, 1</w:t>
        </w:r>
      </w:hyperlink>
      <w:r>
        <w:t>.</w:t>
      </w:r>
    </w:p>
    <w:p w:rsidR="00BE1EFE" w:rsidRDefault="00BE1EFE">
      <w:pPr>
        <w:pStyle w:val="StandardWeb"/>
      </w:pPr>
      <w:r>
        <w:rPr>
          <w:rStyle w:val="kleinschrift"/>
        </w:rPr>
        <w:t>5</w:t>
      </w:r>
      <w:r>
        <w:t>Soweit die unschädliche Unterbrechung bereits im Monat September 2005 vorliegt, wird die Besitzstandszulage ab dem Zeitpunkt der Wiederaufnahme der Zahlung des Entgelts gewährt.</w:t>
      </w:r>
    </w:p>
    <w:p w:rsidR="00BE1EFE" w:rsidRPr="00966203" w:rsidRDefault="00BE1EFE" w:rsidP="00966203">
      <w:pPr>
        <w:pStyle w:val="StandardWeb"/>
        <w:rPr>
          <w:sz w:val="12"/>
          <w:szCs w:val="12"/>
        </w:rPr>
      </w:pPr>
      <w:r w:rsidRPr="00966203">
        <w:rPr>
          <w:sz w:val="12"/>
          <w:szCs w:val="12"/>
        </w:rPr>
        <w:t>Protokollnotiz zu § 11 Absatz 1:</w:t>
      </w:r>
    </w:p>
    <w:p w:rsidR="00BE1EFE" w:rsidRPr="00966203" w:rsidRDefault="00BE1EFE" w:rsidP="00966203">
      <w:pPr>
        <w:pStyle w:val="StandardWeb"/>
        <w:rPr>
          <w:sz w:val="12"/>
          <w:szCs w:val="12"/>
        </w:rPr>
      </w:pPr>
      <w:r w:rsidRPr="00966203">
        <w:rPr>
          <w:sz w:val="12"/>
          <w:szCs w:val="12"/>
        </w:rPr>
        <w:t>1Zur Vermeidung finanzieller Härten kann der Arbeitgeber auf Antrag auch in anderen als den in Absatz 1 Satz 3 genannten Ausnahmetatbeständen die Besitzstandszulage Kind wieder aufleben lassen. 2Der Antrag kann im Rahmen der tariflichen Ausschlussfrist auch rückwirkend gestellt werden, frühestens jedoch mit Wirkung zum 01.09.2015.</w:t>
      </w:r>
    </w:p>
    <w:p w:rsidR="00BE1EFE" w:rsidRPr="000B1AF8" w:rsidRDefault="00BE1EFE">
      <w:pPr>
        <w:pStyle w:val="StandardWeb"/>
      </w:pPr>
    </w:p>
    <w:p w:rsidR="00BE1EFE" w:rsidRDefault="00BE1EFE">
      <w:pPr>
        <w:pStyle w:val="StandardWeb"/>
      </w:pPr>
      <w:r>
        <w:t>(1a) </w:t>
      </w:r>
      <w:r>
        <w:rPr>
          <w:rStyle w:val="kleinschrift"/>
        </w:rPr>
        <w:t>1</w:t>
      </w:r>
      <w:r>
        <w:t xml:space="preserve">Entfallen bei einer anderen Person, die im öffentlichen Dienst steht oder auf Grund einer Tätigkeit im öffentlichen Dienst nach beamtenrechtlichen Grundsätzen oder nach einer Ruhelohnordnung versorgungsberechtigt ist, aus einem anderen als in Absatz 1 Satz 2 genannten Grund für ein Kind, für das der/dem Beschäftigten wegen des Kindergeldbezugs durch die andere Person die kinderbezogene Besitzstandszulage nicht oder nicht in vollem Umfang gewährt worden ist, kinderbezogene Entgeltbestandteile oder Teile davon, ist der/dem Beschäftigten eine Besitzstandszulage in der Höhe zu gewähren, dass der kinderbezogene Entgeltbestandteil insgesamt nur einmal pro Kind gezahlt wird. </w:t>
      </w:r>
      <w:r>
        <w:rPr>
          <w:rStyle w:val="kleinschrift"/>
        </w:rPr>
        <w:t>2</w:t>
      </w:r>
      <w:r>
        <w:t>Auf einen Wechsel im Kindergeldbezug kommt es in diesem Fall nicht an.</w:t>
      </w:r>
      <w:r>
        <w:rPr>
          <w:rStyle w:val="kleinschrift"/>
        </w:rPr>
        <w:t xml:space="preserve"> 3</w:t>
      </w:r>
      <w:r>
        <w:t xml:space="preserve">Jede Änderung im Sinne von Satz 1 hat die/der Beschäftigte dem Arbeitgeber unverzüglich schriftlich anzuzeigen. </w:t>
      </w:r>
      <w:r>
        <w:rPr>
          <w:rStyle w:val="kleinschrift"/>
        </w:rPr>
        <w:t>4</w:t>
      </w:r>
      <w:r>
        <w:t>Absatz 1b bleibt unberührt.</w:t>
      </w:r>
    </w:p>
    <w:p w:rsidR="00BE1EFE" w:rsidRDefault="00BE1EFE">
      <w:pPr>
        <w:pStyle w:val="StandardWeb"/>
      </w:pPr>
    </w:p>
    <w:p w:rsidR="00BE1EFE" w:rsidRDefault="00BE1EFE">
      <w:pPr>
        <w:pStyle w:val="StandardWeb"/>
      </w:pPr>
      <w:r>
        <w:t>(1b) </w:t>
      </w:r>
      <w:r>
        <w:rPr>
          <w:rStyle w:val="kleinschrift"/>
        </w:rPr>
        <w:t>1</w:t>
      </w:r>
      <w:r>
        <w:t xml:space="preserve">Die Besitzstandszulage gemäß Absatz 1 Satz 1 bzw. Absatz 1a wird anteilig reduziert oder entfällt, soweit und sofern bei einer anderen Person, die im öffentlichen Dienst steht oder auf Grund einer Tätigkeit im öffentlichen Dienst nach beamtenrechtlichen Grundsätzen oder nach einer Ruhelohnordnung versorgungsberechtigt ist, für ein Kind, für welches die Besitzstandszulage gewährt wird, ein Anspruch auf kinderbezogene Entgeltbestandteile neu entsteht, sich ändert oder ein ruhender Anspruch wiederauflebt. </w:t>
      </w:r>
      <w:r>
        <w:rPr>
          <w:rStyle w:val="kleinschrift"/>
        </w:rPr>
        <w:t>2</w:t>
      </w:r>
      <w:r>
        <w:t>Jede Änderung der Anspruchsberechtigung der anderen Person gemäß Satz 1 hat die/der Beschäftigte dem Arbeitgeber unverzüglich schriftlich anzuzeigen.</w:t>
      </w:r>
    </w:p>
    <w:p w:rsidR="00BE1EFE" w:rsidRDefault="00BE1EFE">
      <w:pPr>
        <w:pStyle w:val="StandardWeb"/>
      </w:pPr>
    </w:p>
    <w:p w:rsidR="00BE1EFE" w:rsidRDefault="00BE1EFE">
      <w:pPr>
        <w:pStyle w:val="StandardWeb"/>
      </w:pPr>
      <w:r>
        <w:rPr>
          <w:sz w:val="12"/>
          <w:szCs w:val="12"/>
        </w:rPr>
        <w:t>Protokollnotiz zu den Absätzen 1, 1a und 1b:</w:t>
      </w:r>
    </w:p>
    <w:p w:rsidR="00BE1EFE" w:rsidRDefault="00BE1EFE">
      <w:pPr>
        <w:pStyle w:val="StandardWeb"/>
      </w:pPr>
      <w:r>
        <w:rPr>
          <w:sz w:val="12"/>
          <w:szCs w:val="12"/>
        </w:rPr>
        <w:t>Dem öffentlichen Dienst steht gleich eine Tätigkeit im Dienst eines sonstigen Arbeitgebers, der die Regelungen des § 11 TVÜ (in der Fassung Bund bzw. VKA bzw. Länder) oder des § 29 BAT hinsichtlich der kinderbezogenen Anteile im Ortszuschlag oder diesen vergleichbare Regelungen anwendet.</w:t>
      </w:r>
    </w:p>
    <w:p w:rsidR="00BE1EFE" w:rsidRDefault="00BE1EFE">
      <w:pPr>
        <w:pStyle w:val="StandardWeb"/>
      </w:pPr>
    </w:p>
    <w:p w:rsidR="00BE1EFE" w:rsidRDefault="00BE1EFE">
      <w:pPr>
        <w:pStyle w:val="StandardWeb"/>
      </w:pPr>
      <w:r>
        <w:t>(2) </w:t>
      </w:r>
      <w:r>
        <w:rPr>
          <w:rStyle w:val="kleinschrift"/>
        </w:rPr>
        <w:t>1</w:t>
      </w:r>
      <w:hyperlink r:id="rId501" w:history="1">
        <w:r w:rsidRPr="002D1F1D">
          <w:rPr>
            <w:rStyle w:val="Hyperlink"/>
          </w:rPr>
          <w:t>§ 24 Absatz 2 Teil A, 1</w:t>
        </w:r>
      </w:hyperlink>
      <w:r>
        <w:t xml:space="preserve">. in der ab dem 01.10.2005 geltenden Fassung ist anzuwenden. </w:t>
      </w:r>
      <w:r>
        <w:rPr>
          <w:rStyle w:val="kleinschrift"/>
        </w:rPr>
        <w:t>2</w:t>
      </w:r>
      <w:r>
        <w:t xml:space="preserve">Die Besitzstandszulage nach Absatz 1 Satz 1 verändert sich bei allgemeinen Entgeltanpassungen um den für die jeweilige Entgeltgruppe festgelegten Vomhundertsatz </w:t>
      </w:r>
      <w:r>
        <w:lastRenderedPageBreak/>
        <w:t xml:space="preserve">nach Maßgabe des </w:t>
      </w:r>
      <w:hyperlink r:id="rId502" w:history="1">
        <w:r w:rsidRPr="002D1F1D">
          <w:rPr>
            <w:rStyle w:val="Hyperlink"/>
          </w:rPr>
          <w:t>§ 20 a Teil A, 1</w:t>
        </w:r>
      </w:hyperlink>
      <w:r>
        <w:t>.</w:t>
      </w:r>
      <w:r>
        <w:rPr>
          <w:rStyle w:val="kleinschrift"/>
        </w:rPr>
        <w:t xml:space="preserve"> 3</w:t>
      </w:r>
      <w:r>
        <w:t>Ansprüche nach Absatz 1 können für Kinder ab dem vollendeten 16. Lebensjahr durch Vereinbarung mit der/dem Beschäftigten abgefunden werden.</w:t>
      </w:r>
    </w:p>
    <w:p w:rsidR="00BE1EFE" w:rsidRDefault="00BE1EFE">
      <w:pPr>
        <w:pStyle w:val="StandardWeb"/>
      </w:pPr>
    </w:p>
    <w:p w:rsidR="00BE1EFE" w:rsidRDefault="00BE1EFE">
      <w:pPr>
        <w:pStyle w:val="StandardWeb"/>
      </w:pPr>
      <w:r>
        <w:t>(3) Die Absätze 1 und 2 gelten entsprechend für</w:t>
      </w:r>
    </w:p>
    <w:p w:rsidR="00BE1EFE" w:rsidRDefault="00BE1EFE">
      <w:pPr>
        <w:pStyle w:val="StandardWeb"/>
      </w:pPr>
      <w:r>
        <w:t>a) zwischen dem 1. Oktober 2005 und dem 31. Dezember 2005 geborene Kinder der übergeleiteten Beschäftigten,</w:t>
      </w:r>
    </w:p>
    <w:p w:rsidR="00BE1EFE" w:rsidRDefault="00BE1EFE">
      <w:pPr>
        <w:pStyle w:val="StandardWeb"/>
      </w:pPr>
      <w:r>
        <w:t>b) die Kinder von bis zum 31. Dezember 2005 in ein Arbeitsverhältnis übernommenen Auszubildenden, sowie Praktikantinnen und Praktikanten aus im ABD geregelten Beschäftigungsverhältnissen, soweit diese Kinder vor dem 1. Januar 2006 geboren sind.</w:t>
      </w:r>
    </w:p>
    <w:p w:rsidR="00BE1EFE" w:rsidRDefault="00BE1EFE">
      <w:pPr>
        <w:pStyle w:val="berschrift6"/>
      </w:pPr>
      <w:bookmarkStart w:id="648" w:name="_Toc523926188"/>
      <w:r>
        <w:t>§ 12 Strukturausgleich</w:t>
      </w:r>
      <w:bookmarkEnd w:id="6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Aus dem Geltungsbereich des Teil </w:t>
      </w:r>
      <w:hyperlink r:id="rId503" w:history="1">
        <w:r w:rsidRPr="002D1F1D">
          <w:rPr>
            <w:rStyle w:val="Hyperlink"/>
          </w:rPr>
          <w:t>A</w:t>
        </w:r>
      </w:hyperlink>
      <w:r>
        <w:t xml:space="preserve"> in der bis zum 30.09.2005 geltenden Fassung übergeleitete Beschäftigte erhalten ausschließlich in den in den </w:t>
      </w:r>
      <w:hyperlink r:id="rId504" w:history="1">
        <w:r w:rsidRPr="002D1F1D">
          <w:rPr>
            <w:rStyle w:val="Hyperlink"/>
          </w:rPr>
          <w:t>Anlagen 3</w:t>
        </w:r>
      </w:hyperlink>
      <w:r>
        <w:t xml:space="preserve">, </w:t>
      </w:r>
      <w:hyperlink r:id="rId505" w:history="1">
        <w:r w:rsidRPr="002D1F1D">
          <w:rPr>
            <w:rStyle w:val="Hyperlink"/>
          </w:rPr>
          <w:t>3 A</w:t>
        </w:r>
      </w:hyperlink>
      <w:r>
        <w:t xml:space="preserve"> und </w:t>
      </w:r>
      <w:hyperlink r:id="rId506" w:history="1">
        <w:r w:rsidRPr="002D1F1D">
          <w:rPr>
            <w:rStyle w:val="Hyperlink"/>
          </w:rPr>
          <w:t>3 K</w:t>
        </w:r>
      </w:hyperlink>
      <w:r>
        <w:t xml:space="preserve"> aufgeführten Fällen zusätzlich zu ihrem monatlichen Entgelt einen nicht dynamischen </w:t>
      </w:r>
      <w:hyperlink r:id="rId507" w:history="1">
        <w:r w:rsidRPr="002D1F1D">
          <w:rPr>
            <w:rStyle w:val="Hyperlink"/>
          </w:rPr>
          <w:t>Strukturausgleich</w:t>
        </w:r>
      </w:hyperlink>
      <w:r>
        <w:t xml:space="preserve">. </w:t>
      </w:r>
      <w:r>
        <w:rPr>
          <w:rStyle w:val="kleinschrift"/>
        </w:rPr>
        <w:t>2</w:t>
      </w:r>
      <w:r>
        <w:t xml:space="preserve">Maßgeblicher Stichtag für die anspruchsbegründenden Voraussetzungen (Vergütungsgruppe, Lebensalterstufe, </w:t>
      </w:r>
      <w:hyperlink r:id="rId508" w:history="1">
        <w:r w:rsidRPr="002D1F1D">
          <w:rPr>
            <w:rStyle w:val="Hyperlink"/>
          </w:rPr>
          <w:t>Ortszuschlag</w:t>
        </w:r>
      </w:hyperlink>
      <w:r>
        <w:t xml:space="preserve">, Aufstiegszeiten) ist der 01. Oktober 2005, sofern in den </w:t>
      </w:r>
      <w:hyperlink r:id="rId509" w:history="1">
        <w:r w:rsidRPr="002D1F1D">
          <w:rPr>
            <w:rStyle w:val="Hyperlink"/>
          </w:rPr>
          <w:t>Anlagen 3</w:t>
        </w:r>
      </w:hyperlink>
      <w:r>
        <w:t xml:space="preserve">, </w:t>
      </w:r>
      <w:hyperlink r:id="rId510" w:history="1">
        <w:r w:rsidRPr="002D1F1D">
          <w:rPr>
            <w:rStyle w:val="Hyperlink"/>
          </w:rPr>
          <w:t>3 A</w:t>
        </w:r>
      </w:hyperlink>
      <w:r>
        <w:t xml:space="preserve"> und </w:t>
      </w:r>
      <w:hyperlink r:id="rId511" w:history="1">
        <w:r w:rsidRPr="002D1F1D">
          <w:rPr>
            <w:rStyle w:val="Hyperlink"/>
          </w:rPr>
          <w:t>3 K</w:t>
        </w:r>
      </w:hyperlink>
      <w:r>
        <w:t xml:space="preserve"> nicht ausdrücklich etwas anderes geregelt ist.</w:t>
      </w:r>
    </w:p>
    <w:p w:rsidR="00BE1EFE" w:rsidRPr="000B1AF8" w:rsidRDefault="00BE1EFE">
      <w:pPr>
        <w:pStyle w:val="StandardWeb"/>
      </w:pPr>
    </w:p>
    <w:p w:rsidR="00BE1EFE" w:rsidRDefault="00BE1EFE">
      <w:pPr>
        <w:pStyle w:val="StandardWeb"/>
      </w:pPr>
      <w:r>
        <w:t xml:space="preserve">(1a) Für nach </w:t>
      </w:r>
      <w:hyperlink r:id="rId512" w:history="1">
        <w:r w:rsidRPr="002D1F1D">
          <w:rPr>
            <w:rStyle w:val="Hyperlink"/>
          </w:rPr>
          <w:t>Anlage 2 K</w:t>
        </w:r>
      </w:hyperlink>
      <w:r>
        <w:t xml:space="preserve"> übergeleitete Beschäftigte werden durch Beschluss der Bayerischen Regional-KODA gesonderte Ausgleichszahlungen (</w:t>
      </w:r>
      <w:hyperlink r:id="rId513" w:history="1">
        <w:r w:rsidRPr="002D1F1D">
          <w:rPr>
            <w:rStyle w:val="Hyperlink"/>
          </w:rPr>
          <w:t>Anlage 3 K</w:t>
        </w:r>
      </w:hyperlink>
      <w:r>
        <w:t>) festgelegt.</w:t>
      </w:r>
    </w:p>
    <w:p w:rsidR="00BE1EFE" w:rsidRDefault="00BE1EFE">
      <w:pPr>
        <w:pStyle w:val="StandardWeb"/>
      </w:pPr>
    </w:p>
    <w:p w:rsidR="00BE1EFE" w:rsidRDefault="00BE1EFE">
      <w:pPr>
        <w:pStyle w:val="StandardWeb"/>
      </w:pPr>
      <w:r>
        <w:t xml:space="preserve">(2) Die Zahlung des Strukturausgleichs beginnt im Oktober 2007, sofern in den </w:t>
      </w:r>
      <w:hyperlink r:id="rId514" w:history="1">
        <w:r w:rsidRPr="002D1F1D">
          <w:rPr>
            <w:rStyle w:val="Hyperlink"/>
          </w:rPr>
          <w:t>Anlagen 3</w:t>
        </w:r>
      </w:hyperlink>
      <w:r>
        <w:t xml:space="preserve">, </w:t>
      </w:r>
      <w:hyperlink r:id="rId515" w:history="1">
        <w:r w:rsidRPr="002D1F1D">
          <w:rPr>
            <w:rStyle w:val="Hyperlink"/>
          </w:rPr>
          <w:t>3 A</w:t>
        </w:r>
      </w:hyperlink>
      <w:r>
        <w:t xml:space="preserve"> und </w:t>
      </w:r>
      <w:hyperlink r:id="rId516" w:history="1">
        <w:r w:rsidRPr="002D1F1D">
          <w:rPr>
            <w:rStyle w:val="Hyperlink"/>
          </w:rPr>
          <w:t>3 K</w:t>
        </w:r>
      </w:hyperlink>
      <w:r>
        <w:t xml:space="preserve"> nicht etwas anderes bestimmt ist.</w:t>
      </w:r>
    </w:p>
    <w:p w:rsidR="00BE1EFE" w:rsidRDefault="00BE1EFE">
      <w:pPr>
        <w:pStyle w:val="StandardWeb"/>
      </w:pPr>
    </w:p>
    <w:p w:rsidR="00BE1EFE" w:rsidRDefault="00BE1EFE">
      <w:pPr>
        <w:pStyle w:val="StandardWeb"/>
      </w:pPr>
      <w:r>
        <w:t>(3) </w:t>
      </w:r>
      <w:r w:rsidRPr="00D645FF">
        <w:rPr>
          <w:i/>
        </w:rPr>
        <w:t>(frei)</w:t>
      </w:r>
    </w:p>
    <w:p w:rsidR="00BE1EFE" w:rsidRDefault="00BE1EFE">
      <w:pPr>
        <w:pStyle w:val="StandardWeb"/>
      </w:pPr>
    </w:p>
    <w:p w:rsidR="00BE1EFE" w:rsidRDefault="00BE1EFE">
      <w:pPr>
        <w:pStyle w:val="StandardWeb"/>
      </w:pPr>
      <w:r>
        <w:t>(4) Bei Teilzeitbeschäftigung steht der Strukturausgleich anteilig zu (</w:t>
      </w:r>
      <w:hyperlink r:id="rId517" w:history="1">
        <w:r w:rsidRPr="002D1F1D">
          <w:rPr>
            <w:rStyle w:val="Hyperlink"/>
          </w:rPr>
          <w:t>§ 24 Absatz 2 Teil A, 1.</w:t>
        </w:r>
      </w:hyperlink>
      <w:r>
        <w:t xml:space="preserve"> in der ab dem 01.10.2005 geltenden Fassung).</w:t>
      </w:r>
    </w:p>
    <w:p w:rsidR="00BE1EFE" w:rsidRDefault="00BE1EFE">
      <w:pPr>
        <w:pStyle w:val="StandardWeb"/>
      </w:pPr>
      <w:r>
        <w:rPr>
          <w:sz w:val="12"/>
          <w:szCs w:val="12"/>
        </w:rPr>
        <w:t>Anmerkung zu Absatz 4:</w:t>
      </w:r>
    </w:p>
    <w:p w:rsidR="00BE1EFE" w:rsidRDefault="00BE1EFE">
      <w:pPr>
        <w:pStyle w:val="StandardWeb"/>
      </w:pPr>
      <w:r>
        <w:rPr>
          <w:sz w:val="12"/>
          <w:szCs w:val="12"/>
        </w:rPr>
        <w:t>Bei späteren Veränderungen der individuellen regelmäßigen wöchentlichen Arbeitszeit der/des Beschäftigten ändert sich der Strukturausgleich entsprechend.</w:t>
      </w:r>
    </w:p>
    <w:p w:rsidR="00BE1EFE" w:rsidRDefault="00BE1EFE">
      <w:pPr>
        <w:pStyle w:val="StandardWeb"/>
      </w:pPr>
    </w:p>
    <w:p w:rsidR="00BE1EFE" w:rsidRPr="000A49E3" w:rsidRDefault="00BE1EFE">
      <w:pPr>
        <w:pStyle w:val="StandardWeb"/>
        <w:rPr>
          <w:szCs w:val="16"/>
        </w:rPr>
      </w:pPr>
      <w:r>
        <w:t>(5) </w:t>
      </w:r>
      <w:r>
        <w:rPr>
          <w:rStyle w:val="kleinschrift"/>
        </w:rPr>
        <w:t>1</w:t>
      </w:r>
      <w:r>
        <w:t xml:space="preserve">Bei Höhergruppierungen wird der Unterschiedsbetrag zum bisherigen Entgelt auf den Strukturausgleich angerechnet. </w:t>
      </w:r>
      <w:r>
        <w:rPr>
          <w:rStyle w:val="kleinschrift"/>
        </w:rPr>
        <w:t>2</w:t>
      </w:r>
      <w:r w:rsidRPr="000A49E3">
        <w:rPr>
          <w:rStyle w:val="kleinschrift"/>
          <w:sz w:val="16"/>
          <w:szCs w:val="16"/>
        </w:rPr>
        <w:t xml:space="preserve">Für die Dauer der vorübergehenden Übertragung einer höherwertigen Tätigkeit wird die Zulage nach </w:t>
      </w:r>
      <w:hyperlink r:id="rId518" w:history="1">
        <w:r w:rsidRPr="000A49E3">
          <w:rPr>
            <w:rStyle w:val="Hyperlink"/>
            <w:szCs w:val="16"/>
          </w:rPr>
          <w:t>§ 14 Absatz 3 Teil A, 1</w:t>
        </w:r>
      </w:hyperlink>
      <w:r w:rsidRPr="000A49E3">
        <w:rPr>
          <w:rStyle w:val="kleinschrift"/>
          <w:sz w:val="16"/>
          <w:szCs w:val="16"/>
        </w:rPr>
        <w:t>. auf den Struktur</w:t>
      </w:r>
      <w:r>
        <w:rPr>
          <w:rStyle w:val="kleinschrift"/>
          <w:sz w:val="16"/>
          <w:szCs w:val="16"/>
        </w:rPr>
        <w:softHyphen/>
      </w:r>
      <w:r w:rsidRPr="000A49E3">
        <w:rPr>
          <w:rStyle w:val="kleinschrift"/>
          <w:sz w:val="16"/>
          <w:szCs w:val="16"/>
        </w:rPr>
        <w:t xml:space="preserve">ausgleich angerechnet. </w:t>
      </w:r>
      <w:r w:rsidRPr="000A49E3">
        <w:rPr>
          <w:rStyle w:val="kleinschrift"/>
          <w:szCs w:val="12"/>
        </w:rPr>
        <w:t>3</w:t>
      </w:r>
      <w:r w:rsidRPr="000A49E3">
        <w:rPr>
          <w:rStyle w:val="kleinschrift"/>
          <w:sz w:val="16"/>
          <w:szCs w:val="16"/>
        </w:rPr>
        <w:t xml:space="preserve">Entsprechendes gilt für die Zulage in den Fällen der Übertragung einer Führungsposition auf Probe nach </w:t>
      </w:r>
      <w:hyperlink r:id="rId519" w:history="1">
        <w:r w:rsidRPr="00D61A3C">
          <w:rPr>
            <w:rStyle w:val="Hyperlink"/>
            <w:szCs w:val="16"/>
          </w:rPr>
          <w:t>§ 31 Teil A, 1</w:t>
        </w:r>
      </w:hyperlink>
      <w:r w:rsidRPr="00D61A3C">
        <w:rPr>
          <w:rStyle w:val="kleinschrift"/>
          <w:sz w:val="16"/>
          <w:szCs w:val="16"/>
        </w:rPr>
        <w:t>.</w:t>
      </w:r>
      <w:r w:rsidRPr="000A49E3">
        <w:rPr>
          <w:rStyle w:val="kleinschrift"/>
          <w:sz w:val="16"/>
          <w:szCs w:val="16"/>
        </w:rPr>
        <w:t xml:space="preserve"> und auf Zeit nach </w:t>
      </w:r>
      <w:hyperlink r:id="rId520" w:history="1">
        <w:r w:rsidRPr="000A49E3">
          <w:rPr>
            <w:rStyle w:val="Hyperlink"/>
            <w:szCs w:val="16"/>
          </w:rPr>
          <w:t>§ 32 Teil A, 1</w:t>
        </w:r>
      </w:hyperlink>
      <w:r w:rsidRPr="000A49E3">
        <w:rPr>
          <w:rStyle w:val="kleinschrift"/>
          <w:sz w:val="16"/>
          <w:szCs w:val="16"/>
        </w:rPr>
        <w:t>.</w:t>
      </w:r>
    </w:p>
    <w:p w:rsidR="00BE1EFE" w:rsidRDefault="00BE1EFE">
      <w:pPr>
        <w:pStyle w:val="StandardWeb"/>
      </w:pPr>
    </w:p>
    <w:p w:rsidR="00BE1EFE" w:rsidRDefault="00BE1EFE">
      <w:pPr>
        <w:pStyle w:val="StandardWeb"/>
      </w:pPr>
      <w:r>
        <w:t>(5a) </w:t>
      </w:r>
      <w:r>
        <w:rPr>
          <w:rStyle w:val="kleinschrift"/>
        </w:rPr>
        <w:t>1</w:t>
      </w:r>
      <w:r>
        <w:t xml:space="preserve">In den Entgeltgruppen 9 bis 15 wird beim Erreichen der Stufe 6 der Unterschiedsbetrag zum bisherigen Entgelt auf den Strukturausgleich angerechnet, soweit eine Überleitung nach </w:t>
      </w:r>
      <w:hyperlink r:id="rId521" w:history="1">
        <w:r w:rsidRPr="002D1F1D">
          <w:rPr>
            <w:rStyle w:val="Hyperlink"/>
          </w:rPr>
          <w:t>Anlage 2</w:t>
        </w:r>
      </w:hyperlink>
      <w:r>
        <w:t xml:space="preserve"> oder </w:t>
      </w:r>
      <w:hyperlink r:id="rId522" w:history="1">
        <w:r w:rsidRPr="002D1F1D">
          <w:rPr>
            <w:rStyle w:val="Hyperlink"/>
          </w:rPr>
          <w:t>2 K</w:t>
        </w:r>
      </w:hyperlink>
      <w:r>
        <w:t xml:space="preserve"> erfolgt ist. </w:t>
      </w:r>
      <w:r>
        <w:rPr>
          <w:rStyle w:val="kleinschrift"/>
        </w:rPr>
        <w:t>2</w:t>
      </w:r>
      <w:r>
        <w:t xml:space="preserve">Die Zulagen gemäß </w:t>
      </w:r>
      <w:hyperlink r:id="rId523" w:history="1">
        <w:r w:rsidRPr="002D1F1D">
          <w:rPr>
            <w:rStyle w:val="Hyperlink"/>
          </w:rPr>
          <w:t>Anlage 2</w:t>
        </w:r>
      </w:hyperlink>
      <w:r>
        <w:t xml:space="preserve"> und der Erhöhungsbetrag gemäß </w:t>
      </w:r>
      <w:hyperlink r:id="rId524" w:history="1">
        <w:r w:rsidRPr="002D1F1D">
          <w:rPr>
            <w:rStyle w:val="Hyperlink"/>
          </w:rPr>
          <w:t>Anlage 2 K</w:t>
        </w:r>
      </w:hyperlink>
      <w:r>
        <w:t xml:space="preserve"> werden auf den Strukturausgleich angerechnet.</w:t>
      </w:r>
    </w:p>
    <w:p w:rsidR="00BE1EFE" w:rsidRDefault="00BE1EFE">
      <w:pPr>
        <w:pStyle w:val="StandardWeb"/>
      </w:pPr>
    </w:p>
    <w:p w:rsidR="00BE1EFE" w:rsidRDefault="00BE1EFE">
      <w:pPr>
        <w:pStyle w:val="StandardWeb"/>
      </w:pPr>
      <w:r>
        <w:t>(6) Einzelvertraglich kann der Strukturausgleich abgefunden werden.</w:t>
      </w:r>
    </w:p>
    <w:p w:rsidR="00BE1EFE" w:rsidRDefault="00BE1EFE">
      <w:pPr>
        <w:pStyle w:val="berschrift6"/>
      </w:pPr>
      <w:bookmarkStart w:id="649" w:name="_Toc523926189"/>
      <w:r>
        <w:t>§ 13 Entgeltfortzahlung im Krankheitsfall</w:t>
      </w:r>
      <w:bookmarkEnd w:id="64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Bei Beschäftigten, für die bis zum 30. September 2005 </w:t>
      </w:r>
      <w:hyperlink r:id="rId525" w:history="1">
        <w:r w:rsidRPr="002D1F1D">
          <w:rPr>
            <w:rStyle w:val="Hyperlink"/>
          </w:rPr>
          <w:t>§ 71 Teil A,1.</w:t>
        </w:r>
      </w:hyperlink>
      <w:r>
        <w:t xml:space="preserve"> in der bis zum 30.09.2005 geltenden Fassung gegolten hat, wird abweichend von </w:t>
      </w:r>
      <w:hyperlink r:id="rId526" w:history="1">
        <w:r w:rsidRPr="002D1F1D">
          <w:rPr>
            <w:rStyle w:val="Hyperlink"/>
          </w:rPr>
          <w:t>§ 22 Absatz 2 Teil A, 1</w:t>
        </w:r>
      </w:hyperlink>
      <w:r>
        <w:t xml:space="preserve">. in der ab dem 01.10.2005 geltenden Fassung für die Dauer des über den 30. September 2005 </w:t>
      </w:r>
      <w:r>
        <w:lastRenderedPageBreak/>
        <w:t xml:space="preserve">hinaus ununterbrochen fortbestehenden Arbeitsverhältnisses der Krankengeldzuschuss in Höhe des Unterschiedsbetrages zwischen dem festgesetzten Nettokrankengeld oder der entsprechenden gesetzlichen Nettoleistung und dem Nettoentgelt </w:t>
      </w:r>
      <w:hyperlink r:id="rId527" w:history="1">
        <w:r w:rsidRPr="002D1F1D">
          <w:rPr>
            <w:rStyle w:val="Hyperlink"/>
          </w:rPr>
          <w:t>(§ 22 Absatz 2 Satz 2 und 3 Teil A, 1</w:t>
        </w:r>
      </w:hyperlink>
      <w:r>
        <w:t xml:space="preserve">. in der ab dem 01.10.2005 geltenden Fassung) gezahlt. </w:t>
      </w:r>
      <w:r>
        <w:rPr>
          <w:rStyle w:val="kleinschrift"/>
        </w:rPr>
        <w:t>2</w:t>
      </w:r>
      <w:r>
        <w:t xml:space="preserve">Nettokrankengeld ist das um die Arbeitnehmeranteile zur Sozialversicherung reduzierte Krankengeld. </w:t>
      </w:r>
      <w:r>
        <w:rPr>
          <w:rStyle w:val="kleinschrift"/>
        </w:rPr>
        <w:t>3</w:t>
      </w:r>
      <w:r>
        <w:t>Für Beschäftigte, die nicht der Versicherungspflicht in der gesetzlichen Krankenversicherung unterliegen, ist bei der Berechnung des Krankengeldzuschusses der Höchstsatz des Nettokrankengeldes, der bei Pflichtversicherung in der gesetzlichen Krankenversicherung zustünde, zugrunde zu legen.</w:t>
      </w:r>
    </w:p>
    <w:p w:rsidR="00BE1EFE" w:rsidRDefault="00BE1EFE">
      <w:pPr>
        <w:pStyle w:val="berschrift6"/>
      </w:pPr>
      <w:bookmarkStart w:id="650" w:name="_Toc523926190"/>
      <w:r>
        <w:t>§ 14 Beschäftigungszeit</w:t>
      </w:r>
      <w:bookmarkEnd w:id="650"/>
    </w:p>
    <w:p w:rsidR="00BE1EFE" w:rsidRPr="00B76821" w:rsidRDefault="00BE1EFE" w:rsidP="00B76821">
      <w:pPr>
        <w:pStyle w:val="h7"/>
        <w:keepNext w:val="0"/>
        <w:spacing w:before="0" w:after="0"/>
        <w:jc w:val="left"/>
        <w:outlineLvl w:val="5"/>
        <w:rPr>
          <w:sz w:val="2"/>
        </w:rPr>
      </w:pPr>
    </w:p>
    <w:p w:rsidR="00BE1EFE" w:rsidRDefault="00BE1EFE">
      <w:pPr>
        <w:pStyle w:val="StandardWeb"/>
      </w:pPr>
      <w:r>
        <w:t>(1) Für die Dauer des über den 30. September 2005 hinaus fortbestehenden Arbeitsverhält</w:t>
      </w:r>
      <w:r>
        <w:softHyphen/>
        <w:t xml:space="preserve">nisses werden die vor dem 1. Oktober 2005 nach Maßgabe der einschlägigen Vorschriften anerkannten Beschäftigungszeiten als Beschäftigungszeit im Sinne des </w:t>
      </w:r>
      <w:hyperlink r:id="rId528" w:history="1">
        <w:r w:rsidRPr="002D1F1D">
          <w:rPr>
            <w:rStyle w:val="Hyperlink"/>
          </w:rPr>
          <w:t>§ 34 Absatz 3 Teil A,1</w:t>
        </w:r>
      </w:hyperlink>
      <w:r>
        <w:t>. in der ab dem 01.10.2005 geltenden Fassung berücksichtigt.</w:t>
      </w:r>
    </w:p>
    <w:p w:rsidR="00BE1EFE" w:rsidRPr="000B1AF8" w:rsidRDefault="00BE1EFE">
      <w:pPr>
        <w:pStyle w:val="StandardWeb"/>
      </w:pPr>
    </w:p>
    <w:p w:rsidR="00BE1EFE" w:rsidRDefault="00BE1EFE">
      <w:pPr>
        <w:pStyle w:val="StandardWeb"/>
      </w:pPr>
      <w:r>
        <w:t xml:space="preserve">(2) Für die Anwendung des </w:t>
      </w:r>
      <w:hyperlink r:id="rId529" w:history="1">
        <w:r w:rsidRPr="002D1F1D">
          <w:rPr>
            <w:rStyle w:val="Hyperlink"/>
          </w:rPr>
          <w:t>§ 23 Absatz 2 Teil A, 1</w:t>
        </w:r>
      </w:hyperlink>
      <w:r>
        <w:t xml:space="preserve">. in der ab dem 01.10.2005 geltenden Fassung werden die bis zum 30. September 2005 zurückgelegten Zeiten im Sinne des </w:t>
      </w:r>
      <w:hyperlink r:id="rId530" w:history="1">
        <w:r w:rsidRPr="002D1F1D">
          <w:rPr>
            <w:rStyle w:val="Hyperlink"/>
          </w:rPr>
          <w:t>§ 39 Teil A,1.</w:t>
        </w:r>
      </w:hyperlink>
      <w:r>
        <w:t xml:space="preserve"> in der bis zum 30.09.2005 geltenden Fassung als Jubiläumsdienstzeit berücksichtigt.</w:t>
      </w:r>
    </w:p>
    <w:p w:rsidR="00BE1EFE" w:rsidRPr="0079688A" w:rsidRDefault="00BE1EFE" w:rsidP="0079688A">
      <w:pPr>
        <w:pStyle w:val="berschrift6"/>
        <w:rPr>
          <w:lang w:eastAsia="x-none"/>
        </w:rPr>
      </w:pPr>
      <w:bookmarkStart w:id="651" w:name="_Toc523926191"/>
      <w:r>
        <w:t>§ 15 Urlaub</w:t>
      </w:r>
      <w:bookmarkEnd w:id="651"/>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Beschäftigte der Vergütungsgruppen I und I a, die für das Urlaubsjahr 2005 aus Teil A in der bis zum 30.09.2005 geltenden Fassung einen Anspruch auf 30 Arbeitstage Erholungs</w:t>
      </w:r>
      <w:r>
        <w:softHyphen/>
        <w:t xml:space="preserve">urlaub erworben haben, behalten bei einer Fünftagewoche diesen Anspruch für die Dauer des über den 30. September 2005 hinaus ununterbrochen fortbestehenden Arbeitsverhältnisses. </w:t>
      </w:r>
      <w:r>
        <w:rPr>
          <w:rStyle w:val="kleinschrift"/>
        </w:rPr>
        <w:t>2</w:t>
      </w:r>
      <w:r>
        <w:t>Die Urlaubsregelungen des ABD in der ab dem 01.10.2005 geltenden Fassung bei abweichender Verteilung der Arbeitszeit gelten entsprechend.</w:t>
      </w:r>
    </w:p>
    <w:p w:rsidR="00BE1EFE" w:rsidRDefault="00BE1EFE">
      <w:pPr>
        <w:pStyle w:val="StandardWeb"/>
      </w:pPr>
    </w:p>
    <w:p w:rsidR="00BE1EFE" w:rsidRDefault="00BE1EFE">
      <w:pPr>
        <w:pStyle w:val="StandardWeb"/>
      </w:pPr>
      <w:r>
        <w:t xml:space="preserve">(2) § 49 Absatz 1 und 2 </w:t>
      </w:r>
      <w:hyperlink r:id="rId531" w:history="1">
        <w:r w:rsidRPr="00F036F8">
          <w:rPr>
            <w:rStyle w:val="Hyperlink"/>
          </w:rPr>
          <w:t>Teil B</w:t>
        </w:r>
      </w:hyperlink>
      <w:r>
        <w:t>,1. in der bis zum 30.09.2005 geltenden Fassung einschließlich Protokollnotiz zu Absatz 2 Teil B in der bis zum 30.09.2005 geltenden Fassung über Zusatzurlaub für gesundheitsgefährdende Arbeiten für Arbeiter gelten bis zum In-Kraft-Treten einer entsprechenden Regelung fort; im Übrigen gilt Absatz 1 entsprechend.</w:t>
      </w:r>
    </w:p>
    <w:p w:rsidR="00BE1EFE" w:rsidRDefault="00BE1EFE">
      <w:pPr>
        <w:pStyle w:val="berschrift6"/>
      </w:pPr>
      <w:bookmarkStart w:id="652" w:name="_Toc523926192"/>
      <w:r>
        <w:t>§ 16 Abgeltung</w:t>
      </w:r>
      <w:bookmarkEnd w:id="65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Durch Vereinbarung mit der/dem Beschäftigten können Entgeltbestandteile aus Besitzständen, ausgenommen für Vergütungsgruppenzulagen, pauschaliert bzw. abgefunden werden. </w:t>
      </w:r>
      <w:r>
        <w:rPr>
          <w:rStyle w:val="kleinschrift"/>
        </w:rPr>
        <w:t>2</w:t>
      </w:r>
      <w:hyperlink r:id="rId532" w:history="1">
        <w:r w:rsidRPr="002D1F1D">
          <w:rPr>
            <w:rStyle w:val="Hyperlink"/>
          </w:rPr>
          <w:t>§ 11 Absatz 2 Satz 3</w:t>
        </w:r>
      </w:hyperlink>
      <w:r>
        <w:t xml:space="preserve"> und </w:t>
      </w:r>
      <w:hyperlink r:id="rId533" w:history="1">
        <w:r w:rsidRPr="002D1F1D">
          <w:rPr>
            <w:rStyle w:val="Hyperlink"/>
          </w:rPr>
          <w:t>§ 12 Absatz 6</w:t>
        </w:r>
      </w:hyperlink>
      <w:r>
        <w:t xml:space="preserve"> bleiben unberührt.</w:t>
      </w:r>
    </w:p>
    <w:p w:rsidR="00BE1EFE" w:rsidRDefault="00BE1EFE">
      <w:pPr>
        <w:pStyle w:val="berschrift6"/>
      </w:pPr>
      <w:bookmarkStart w:id="653" w:name="_Toc523926193"/>
      <w:r>
        <w:t>§ 16a Leistungsgeminderte Beschäftigte</w:t>
      </w:r>
      <w:bookmarkEnd w:id="65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nach der Protokollnotiz zum 3. Abschnitt in der bis zum 28. Februar 2014 geltenden Fassung zurückgestellte Überleitung der Beschäftigten mit Anspruch auf Entgeltsicherung bei Leistungsminderung in das Entgeltsystem des </w:t>
      </w:r>
      <w:hyperlink r:id="rId534" w:history="1">
        <w:r w:rsidRPr="002D1F1D">
          <w:rPr>
            <w:rStyle w:val="Hyperlink"/>
          </w:rPr>
          <w:t>ABD Teil A,1.</w:t>
        </w:r>
      </w:hyperlink>
      <w:r>
        <w:t xml:space="preserve"> erfolgt nach folgenden Regelungen:</w:t>
      </w:r>
    </w:p>
    <w:p w:rsidR="00BE1EFE" w:rsidRPr="000B1AF8" w:rsidRDefault="00BE1EFE">
      <w:pPr>
        <w:pStyle w:val="StandardWeb"/>
      </w:pPr>
    </w:p>
    <w:p w:rsidR="00BE1EFE" w:rsidRDefault="00BE1EFE">
      <w:pPr>
        <w:pStyle w:val="StandardWeb"/>
      </w:pPr>
      <w:r>
        <w:t>1. </w:t>
      </w:r>
      <w:r>
        <w:rPr>
          <w:rStyle w:val="kleinschrift"/>
        </w:rPr>
        <w:t>1</w:t>
      </w:r>
      <w:r>
        <w:t xml:space="preserve">Beschäftigte, die am 30. September 2005 eine Zahlung nach § 37 Absatz 1 und 2 Teil B, 1. in der bis zum 30. Septembern 2005 geltenden Fassung erhalten haben, werden rückwirkend zum 1. Oktober 2005 nach Maßgabe des § 4 i.V.m. der Anlage 2 in das </w:t>
      </w:r>
      <w:r>
        <w:lastRenderedPageBreak/>
        <w:t xml:space="preserve">Entgeltsystem des </w:t>
      </w:r>
      <w:hyperlink r:id="rId535" w:history="1">
        <w:r w:rsidRPr="002D1F1D">
          <w:rPr>
            <w:rStyle w:val="Hyperlink"/>
          </w:rPr>
          <w:t>Teil A, 1</w:t>
        </w:r>
      </w:hyperlink>
      <w:r>
        <w:t>. übergeleitet.</w:t>
      </w:r>
      <w:r>
        <w:rPr>
          <w:rStyle w:val="kleinschrift"/>
        </w:rPr>
        <w:t xml:space="preserve"> 2</w:t>
      </w:r>
      <w:r>
        <w:t xml:space="preserve">Maßgebend hierbei ist die Lohngruppe, in der die/der Beschäftigte vor Eintritt der Leistungsminderung eingruppiert war. </w:t>
      </w:r>
      <w:r>
        <w:rPr>
          <w:rStyle w:val="kleinschrift"/>
        </w:rPr>
        <w:t>3</w:t>
      </w:r>
      <w:r>
        <w:t xml:space="preserve">Die Stufenzuordnung bestimmt sich nach Maßgabe der §§ 5 und 7. </w:t>
      </w:r>
      <w:r>
        <w:rPr>
          <w:rStyle w:val="kleinschrift"/>
        </w:rPr>
        <w:t>4</w:t>
      </w:r>
      <w:r>
        <w:t xml:space="preserve">Der weitere Stufenaufstieg ist unter Anwendung des § 7 und der Regelungen des Teil A, 1. bis zum 28. Februar 2014 nachzuzeichnen. </w:t>
      </w:r>
      <w:r>
        <w:rPr>
          <w:rStyle w:val="kleinschrift"/>
        </w:rPr>
        <w:t>5</w:t>
      </w:r>
      <w:r>
        <w:t xml:space="preserve">Ab dem 1. März 2014 richtet sich der weitere Stufenaufstieg nach den Regelungen des Teil A, 1. </w:t>
      </w:r>
      <w:r>
        <w:rPr>
          <w:rStyle w:val="kleinschrift"/>
        </w:rPr>
        <w:t>6</w:t>
      </w:r>
      <w:r>
        <w:t xml:space="preserve">Zur Ermittlung des der/dem Beschäftigten zustehenden Entgelts sind dem nach Satz 1 bis 5 zustehenden Tabellenentgelt zuzüglich der nach § 37 Absatz 1 und 2 </w:t>
      </w:r>
      <w:hyperlink r:id="rId536" w:history="1">
        <w:r w:rsidRPr="00F036F8">
          <w:rPr>
            <w:rStyle w:val="Hyperlink"/>
          </w:rPr>
          <w:t>Teil B, 1</w:t>
        </w:r>
      </w:hyperlink>
      <w:r>
        <w:t xml:space="preserve">. in der bis zum 30. September 2005 geltenden Fassung gesicherten Lohnbestandteile das jeweilige Tabellenentgelt, das sich aus der aufgrund der Leistungsminderung zugewiesenen Tätigkeit ergeben würde, und die sonstigen § 37 Teil B, 1. in der bis zum 30. September 2005 geltenden Fassung entsprechenden Entgeltbestandteile (Vorarbeiter- und andere Funktionszulagen, Erschwerniszuschläge und Schichtzulagen sowie etwaige Zeitzuschläge) monatlich gegenüberzustellen. </w:t>
      </w:r>
      <w:r>
        <w:rPr>
          <w:rStyle w:val="kleinschrift"/>
        </w:rPr>
        <w:t>7</w:t>
      </w:r>
      <w:r>
        <w:t xml:space="preserve">Das der Leistungsminderung entsprechende Tabellenentgelt ist in entsprechender Anwendung der Sätze 1 bis 4 nachzuzeichnen; Satz 5 gilt entsprechend. </w:t>
      </w:r>
      <w:r>
        <w:rPr>
          <w:rStyle w:val="kleinschrift"/>
        </w:rPr>
        <w:t>8</w:t>
      </w:r>
      <w:r>
        <w:t xml:space="preserve">Ist das der Leistungsminderung entsprechende Entgelt nach Satz 6 und 7 niedriger als das gesicherte Entgelt, ist ab 1. März 2014 an seiner Stelle das gesicherte Entgelt zu zahlen. </w:t>
      </w:r>
      <w:r>
        <w:rPr>
          <w:rStyle w:val="kleinschrift"/>
        </w:rPr>
        <w:t>9</w:t>
      </w:r>
      <w:r>
        <w:t xml:space="preserve">Für die Zeit davor verbleibt es bei den geleisteten Zahlungen, wenn diese die sich aus Satz 1 der Protokollnotiz zum 3. Abschnitt in der bis zum 28. Februar 2014 geltenden‚ Fassung ergebenden Ansprüche nicht unterschreiten; </w:t>
      </w:r>
      <w:hyperlink r:id="rId537" w:history="1">
        <w:r w:rsidRPr="002D1F1D">
          <w:rPr>
            <w:rStyle w:val="Hyperlink"/>
          </w:rPr>
          <w:t>§ 37 Teil A, 1.</w:t>
        </w:r>
      </w:hyperlink>
      <w:r>
        <w:t xml:space="preserve"> bleibt unberührt. </w:t>
      </w:r>
      <w:r>
        <w:rPr>
          <w:rStyle w:val="kleinschrift"/>
        </w:rPr>
        <w:t>10</w:t>
      </w:r>
      <w:r>
        <w:t>Beschäftigte, die am 30. September 2005 Monatslohn nach § 25 Absatz 1 Teil B, 1. in der bis zum 30. September 2005 geltenden Fassung erhalten haben, werden rückwirkend zum 1. Oktober 2005 in entsprechender Anwendung der Sätze 1, 3 und 4 in das Entgeltsystem des Teil A, 1. übergeleitet; Satz 5 gilt entsprechend.</w:t>
      </w:r>
    </w:p>
    <w:p w:rsidR="00BE1EFE" w:rsidRDefault="00BE1EFE">
      <w:pPr>
        <w:pStyle w:val="StandardWeb"/>
      </w:pPr>
    </w:p>
    <w:p w:rsidR="00BE1EFE" w:rsidRDefault="00BE1EFE">
      <w:pPr>
        <w:pStyle w:val="StandardWeb"/>
      </w:pPr>
      <w:r>
        <w:t>2. </w:t>
      </w:r>
      <w:r>
        <w:rPr>
          <w:rStyle w:val="kleinschrift"/>
        </w:rPr>
        <w:t>1</w:t>
      </w:r>
      <w:r>
        <w:t xml:space="preserve">Beschäftigte, die am 30. September 2005 eine Ausgleichszulage nach § 56 Teil A, 1. in der bis zum 30. September 2005 geltenden Fassung erhalten haben, werden rückwirkend zum 1. Oktober 2005 nach Maßgabe des § 4 i.V.m. der Anlage 2 in das Entgeltsystem des Teil A, 1. übergeleitet. </w:t>
      </w:r>
      <w:r>
        <w:rPr>
          <w:rStyle w:val="kleinschrift"/>
        </w:rPr>
        <w:t>2</w:t>
      </w:r>
      <w:r>
        <w:t xml:space="preserve">Maßgebend hierbei ist die Vergütungsgruppe, in der die/der Beschäftigte vor ihrem/seinem Unfall bzw. vor Feststellung einer Berufskrankheit eingruppiert war. </w:t>
      </w:r>
      <w:r>
        <w:rPr>
          <w:rStyle w:val="kleinschrift"/>
        </w:rPr>
        <w:t>3</w:t>
      </w:r>
      <w:r>
        <w:t xml:space="preserve">Die Stufenzuordnung bestimmt sich nach Maßgabe der §§ 5 und 6. </w:t>
      </w:r>
      <w:r>
        <w:rPr>
          <w:rStyle w:val="kleinschrift"/>
        </w:rPr>
        <w:t>4</w:t>
      </w:r>
      <w:r>
        <w:t xml:space="preserve">Der weitere Stufenaufstieg ist unter Anwendung des § 6 und der Regelungen des Teil A, 1. bis zum 28. Februar 2014 nachzuzeichnen. </w:t>
      </w:r>
      <w:r>
        <w:rPr>
          <w:rStyle w:val="kleinschrift"/>
        </w:rPr>
        <w:t>5</w:t>
      </w:r>
      <w:r>
        <w:t xml:space="preserve">Zur Ermittlung der der/dem Beschäftigten zustehenden Ausgleichszulage sind in entsprechender Anwendung der Sätze 1 bis 4 die Entgeltgruppe und die Stufe festzustellen, in denen die/der Beschäftigte weiterbeschäftigt wird. </w:t>
      </w:r>
      <w:r>
        <w:rPr>
          <w:rStyle w:val="kleinschrift"/>
        </w:rPr>
        <w:t>6</w:t>
      </w:r>
      <w:r>
        <w:t xml:space="preserve">Der Unterschiedsbetrag zwischen beiden Entgeltgruppen und Stufen ist der ab dem 1. März 2014 zu zahlende Ausgleichsbetrag. </w:t>
      </w:r>
      <w:r w:rsidRPr="000C7D71">
        <w:rPr>
          <w:rStyle w:val="kleinschrift2"/>
          <w:sz w:val="12"/>
          <w:szCs w:val="12"/>
        </w:rPr>
        <w:t>7</w:t>
      </w:r>
      <w:r>
        <w:t xml:space="preserve">Für die Zeit davor verbleibt es bei den geleisteten Zahlungen, wenn diese die sich aus Satz 2 der Protokollnotiz zum 3. Abschnitt in der bis zum 28. Februar 2014 geltenden Fassung ergebenden Ansprüche nicht unterschreiten; </w:t>
      </w:r>
      <w:hyperlink r:id="rId538" w:history="1">
        <w:r w:rsidRPr="002D1F1D">
          <w:rPr>
            <w:rStyle w:val="Hyperlink"/>
          </w:rPr>
          <w:t>§ 37 Teil A,1.</w:t>
        </w:r>
      </w:hyperlink>
      <w:r w:rsidRPr="002D1F1D">
        <w:t xml:space="preserve"> </w:t>
      </w:r>
      <w:r>
        <w:t>bleibt unberührt.</w:t>
      </w:r>
    </w:p>
    <w:p w:rsidR="00BE1EFE" w:rsidRDefault="00BE1EFE">
      <w:pPr>
        <w:pStyle w:val="StandardWeb"/>
      </w:pPr>
    </w:p>
    <w:p w:rsidR="00BE1EFE" w:rsidRDefault="00BE1EFE">
      <w:pPr>
        <w:pStyle w:val="StandardWeb"/>
      </w:pPr>
      <w:r>
        <w:t>3. </w:t>
      </w:r>
      <w:r>
        <w:rPr>
          <w:rStyle w:val="kleinschrift"/>
        </w:rPr>
        <w:t>1</w:t>
      </w:r>
      <w:r>
        <w:t xml:space="preserve">Soweit abweichend von Nummern 1 und 2 bereits vor dem 1. März 2014 die Überleitung in das Entgeltsystem des Teil A, 1. erfolgt ist, verbleibt es dabei auch für die Zeit nach dem 28. Februar 2014. </w:t>
      </w:r>
      <w:r>
        <w:rPr>
          <w:rStyle w:val="kleinschrift"/>
        </w:rPr>
        <w:t>2</w:t>
      </w:r>
      <w:r>
        <w:t>Die/Der Beschäftigte kann bis zum 31. August 2015 schriftlich die Anwendung von Nummer 1 oder 2 mit Wirkung ab dem 1. März 2014 beantragen.</w:t>
      </w:r>
    </w:p>
    <w:p w:rsidR="00BE1EFE" w:rsidRDefault="00BE1EFE">
      <w:pPr>
        <w:pStyle w:val="StandardWeb"/>
      </w:pPr>
    </w:p>
    <w:p w:rsidR="00BE1EFE" w:rsidRDefault="00BE1EFE">
      <w:pPr>
        <w:pStyle w:val="StandardWeb"/>
      </w:pPr>
      <w:r>
        <w:t>(2) </w:t>
      </w:r>
      <w:r>
        <w:rPr>
          <w:rStyle w:val="kleinschrift"/>
        </w:rPr>
        <w:t>1</w:t>
      </w:r>
      <w:r>
        <w:t xml:space="preserve">§§ 25 Absatz 1 und 37 Teil B, 1. jeweils in der bis zum 30. September 2005 geltenden Fassung und § 56 Teil A, 1. in der bis zum 30. September 2005 geltenden Fassung finden in ihrem jeweiligen Geltungsbereich weiterhin Anwendung, und zwar auch auf Beschäftigte im Sinne des § 1 Absatz 2. </w:t>
      </w:r>
      <w:r>
        <w:rPr>
          <w:rStyle w:val="kleinschrift"/>
        </w:rPr>
        <w:t>2</w:t>
      </w:r>
      <w:r>
        <w:t>§ 55 Absatz 2 Unterabsatz 2 Satz 2 Teil A, 1. in der bis zum 30. September 2005 geltenden Fassung bleibt in seinem bisherigen Geltungsbereich unberührt.</w:t>
      </w:r>
    </w:p>
    <w:p w:rsidR="00BE1EFE" w:rsidRDefault="00BE1EFE">
      <w:pPr>
        <w:pStyle w:val="StandardWeb"/>
      </w:pPr>
    </w:p>
    <w:p w:rsidR="00BE1EFE" w:rsidRDefault="00BE1EFE">
      <w:pPr>
        <w:pStyle w:val="StandardWeb"/>
      </w:pPr>
      <w:r>
        <w:t xml:space="preserve">(3) Die in den Absätzen 1 und 2 genannten Regelungen des Teil A,1. und Teil B, 1. jeweils in der bis zum 30. September 2005 geltenden Fassung ergeben sich aus dem </w:t>
      </w:r>
      <w:hyperlink r:id="rId539" w:history="1">
        <w:r w:rsidRPr="002D1F1D">
          <w:rPr>
            <w:rStyle w:val="Hyperlink"/>
          </w:rPr>
          <w:t>Anhang zu § 16a</w:t>
        </w:r>
      </w:hyperlink>
      <w:r>
        <w:t>.</w:t>
      </w:r>
      <w:r>
        <w:br w:type="page"/>
      </w:r>
    </w:p>
    <w:p w:rsidR="00BE1EFE" w:rsidRDefault="00BE1EFE" w:rsidP="00B051B9">
      <w:pPr>
        <w:pStyle w:val="berschrift5"/>
        <w:spacing w:before="0"/>
      </w:pPr>
      <w:bookmarkStart w:id="654" w:name="_Toc523926194"/>
      <w:r>
        <w:lastRenderedPageBreak/>
        <w:t>Abschnitt IV: Sonstige abweichende oder ergänzende Bestimmungen (§§ 17-24)</w:t>
      </w:r>
      <w:bookmarkEnd w:id="654"/>
    </w:p>
    <w:p w:rsidR="00BE1EFE" w:rsidRDefault="00BE1EFE">
      <w:pPr>
        <w:pStyle w:val="berschrift6"/>
      </w:pPr>
      <w:bookmarkStart w:id="655" w:name="_Toc523926195"/>
      <w:r>
        <w:t>§ 17 Eingruppierung</w:t>
      </w:r>
      <w:bookmarkEnd w:id="655"/>
    </w:p>
    <w:p w:rsidR="00BE1EFE" w:rsidRPr="00B76821" w:rsidRDefault="00BE1EFE" w:rsidP="00B76821">
      <w:pPr>
        <w:pStyle w:val="h7"/>
        <w:keepNext w:val="0"/>
        <w:spacing w:before="0" w:after="0"/>
        <w:jc w:val="left"/>
        <w:outlineLvl w:val="5"/>
        <w:rPr>
          <w:sz w:val="2"/>
        </w:rPr>
      </w:pPr>
    </w:p>
    <w:p w:rsidR="00BE1EFE" w:rsidRPr="0065637B" w:rsidRDefault="00BE1EFE" w:rsidP="00CC1A35">
      <w:pPr>
        <w:pStyle w:val="StandardWeb"/>
        <w:rPr>
          <w:i/>
        </w:rPr>
      </w:pPr>
      <w:r>
        <w:t xml:space="preserve">(1) </w:t>
      </w:r>
      <w:r w:rsidRPr="0065637B">
        <w:rPr>
          <w:rStyle w:val="kleinschrift"/>
          <w:i/>
          <w:sz w:val="16"/>
          <w:szCs w:val="16"/>
        </w:rPr>
        <w:t>(frei)</w:t>
      </w:r>
    </w:p>
    <w:p w:rsidR="00BE1EFE" w:rsidRPr="000B1AF8" w:rsidRDefault="00BE1EFE" w:rsidP="00CC1A35">
      <w:pPr>
        <w:pStyle w:val="StandardWeb"/>
      </w:pPr>
    </w:p>
    <w:p w:rsidR="00BE1EFE" w:rsidRDefault="00BE1EFE" w:rsidP="00CC1A35">
      <w:pPr>
        <w:pStyle w:val="StandardWeb"/>
        <w:rPr>
          <w:rStyle w:val="kleinschrift"/>
          <w:i/>
          <w:sz w:val="16"/>
          <w:szCs w:val="16"/>
        </w:rPr>
      </w:pPr>
      <w:r>
        <w:t xml:space="preserve">(2)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pPr>
      <w:r>
        <w:t xml:space="preserve">(3) </w:t>
      </w:r>
      <w:r w:rsidRPr="0065637B">
        <w:rPr>
          <w:rStyle w:val="kleinschrift"/>
          <w:i/>
          <w:sz w:val="16"/>
          <w:szCs w:val="16"/>
        </w:rPr>
        <w:t>(frei)</w:t>
      </w:r>
      <w:r w:rsidRPr="002D1F1D">
        <w:t xml:space="preserve"> </w:t>
      </w:r>
    </w:p>
    <w:p w:rsidR="00BE1EFE" w:rsidRDefault="00BE1EFE" w:rsidP="00CC1A35">
      <w:pPr>
        <w:pStyle w:val="StandardWeb"/>
      </w:pPr>
    </w:p>
    <w:p w:rsidR="00BE1EFE" w:rsidRDefault="00BE1EFE" w:rsidP="00CC1A35">
      <w:pPr>
        <w:pStyle w:val="StandardWeb"/>
        <w:rPr>
          <w:rStyle w:val="kleinschrift"/>
          <w:i/>
          <w:sz w:val="16"/>
          <w:szCs w:val="16"/>
        </w:rPr>
      </w:pPr>
      <w:r>
        <w:t xml:space="preserve">(4)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rPr>
          <w:rStyle w:val="kleinschrift"/>
          <w:i/>
          <w:sz w:val="16"/>
          <w:szCs w:val="16"/>
        </w:rPr>
      </w:pPr>
      <w:r>
        <w:t xml:space="preserve">(5)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rPr>
          <w:rStyle w:val="kleinschrift"/>
          <w:i/>
          <w:sz w:val="16"/>
          <w:szCs w:val="16"/>
        </w:rPr>
      </w:pPr>
      <w:r>
        <w:t xml:space="preserve">(6) </w:t>
      </w:r>
      <w:r w:rsidRPr="0065637B">
        <w:rPr>
          <w:rStyle w:val="kleinschrift"/>
          <w:i/>
          <w:sz w:val="16"/>
          <w:szCs w:val="16"/>
        </w:rPr>
        <w:t>(frei)</w:t>
      </w:r>
    </w:p>
    <w:p w:rsidR="00BE1EFE" w:rsidRDefault="00BE1EFE" w:rsidP="00CC1A35">
      <w:pPr>
        <w:pStyle w:val="StandardWeb"/>
      </w:pPr>
    </w:p>
    <w:p w:rsidR="00BE1EFE" w:rsidRDefault="00BE1EFE" w:rsidP="00CC1A35">
      <w:pPr>
        <w:pStyle w:val="StandardWeb"/>
      </w:pPr>
      <w:r>
        <w:t>(7) </w:t>
      </w:r>
      <w:r>
        <w:rPr>
          <w:rStyle w:val="kleinschrift"/>
        </w:rPr>
        <w:t>1</w:t>
      </w:r>
      <w:r w:rsidRPr="0065637B">
        <w:t>Die Lohngruppen des Lohngruppenverzeichnisses sind gemäß Anlage 4 den Entgelt</w:t>
      </w:r>
      <w:r>
        <w:softHyphen/>
      </w:r>
      <w:r w:rsidRPr="0065637B">
        <w:t xml:space="preserve">gruppen zugeordnet. </w:t>
      </w:r>
      <w:r w:rsidRPr="0065637B">
        <w:rPr>
          <w:sz w:val="12"/>
          <w:szCs w:val="12"/>
        </w:rPr>
        <w:t>2</w:t>
      </w:r>
      <w:r w:rsidRPr="0065637B">
        <w:t xml:space="preserve">In den Fällen des </w:t>
      </w:r>
      <w:hyperlink r:id="rId540" w:history="1">
        <w:r w:rsidRPr="0065637B">
          <w:rPr>
            <w:rStyle w:val="Hyperlink"/>
          </w:rPr>
          <w:t>§ 16 Absatz 2a und 2b Teil A, 1</w:t>
        </w:r>
      </w:hyperlink>
      <w:r w:rsidRPr="0065637B">
        <w:t>. kann die Eingruppierung in die in dem unmittelbar vorhergehenden Arbeitsverhältnis durch Zeit-, Tätigkeits- oder Bewährungsaufstieg erreichte Entgeltgruppe erfolgen, sofern das unmittelbar vorhergehende Arbeitsverhältnis vor dem 1. Oktober 2005 begründet worden ist.</w:t>
      </w:r>
    </w:p>
    <w:p w:rsidR="00BE1EFE" w:rsidRDefault="00BE1EFE" w:rsidP="00CC1A35">
      <w:pPr>
        <w:pStyle w:val="StandardWeb"/>
      </w:pPr>
    </w:p>
    <w:p w:rsidR="00BE1EFE" w:rsidRDefault="00BE1EFE" w:rsidP="00CC1A35">
      <w:pPr>
        <w:pStyle w:val="StandardWeb"/>
      </w:pPr>
      <w:r>
        <w:t xml:space="preserve">(8) </w:t>
      </w:r>
      <w:r w:rsidRPr="0065637B">
        <w:rPr>
          <w:rStyle w:val="kleinschrift"/>
          <w:i/>
          <w:sz w:val="16"/>
          <w:szCs w:val="16"/>
        </w:rPr>
        <w:t>(frei)</w:t>
      </w:r>
    </w:p>
    <w:p w:rsidR="00BE1EFE" w:rsidRDefault="00BE1EFE" w:rsidP="00CC1A35">
      <w:pPr>
        <w:pStyle w:val="StandardWeb"/>
      </w:pPr>
    </w:p>
    <w:p w:rsidR="00BE1EFE" w:rsidRPr="0065637B" w:rsidRDefault="00BE1EFE" w:rsidP="00CC1A35">
      <w:pPr>
        <w:pStyle w:val="StandardWeb"/>
        <w:rPr>
          <w:rStyle w:val="kleinschrift"/>
          <w:sz w:val="16"/>
          <w:szCs w:val="16"/>
        </w:rPr>
      </w:pPr>
      <w:r>
        <w:t>(9) </w:t>
      </w:r>
      <w:r w:rsidRPr="0065637B">
        <w:rPr>
          <w:rStyle w:val="kleinschrift"/>
          <w:sz w:val="16"/>
          <w:szCs w:val="16"/>
        </w:rPr>
        <w:t xml:space="preserve">Ist anlässlich der vorübergehenden Übertragung einer höherwertigen Tätigkeit im Sinne des </w:t>
      </w:r>
      <w:hyperlink r:id="rId541" w:history="1">
        <w:r w:rsidRPr="0065637B">
          <w:rPr>
            <w:rStyle w:val="Hyperlink"/>
            <w:szCs w:val="16"/>
          </w:rPr>
          <w:t>§ 14 Teil A,1.</w:t>
        </w:r>
      </w:hyperlink>
      <w:r w:rsidRPr="0065637B">
        <w:rPr>
          <w:rStyle w:val="kleinschrift"/>
          <w:sz w:val="16"/>
          <w:szCs w:val="16"/>
        </w:rPr>
        <w:t xml:space="preserve"> zusätzlich eine Tätigkeit auszuüben, für die nach </w:t>
      </w:r>
      <w:hyperlink r:id="rId542" w:history="1">
        <w:r w:rsidRPr="0065637B">
          <w:rPr>
            <w:rStyle w:val="Hyperlink"/>
            <w:szCs w:val="16"/>
          </w:rPr>
          <w:t>Teil A, 2.13.</w:t>
        </w:r>
      </w:hyperlink>
      <w:r w:rsidRPr="0065637B">
        <w:rPr>
          <w:rStyle w:val="kleinschrift"/>
          <w:sz w:val="16"/>
          <w:szCs w:val="16"/>
        </w:rPr>
        <w:t xml:space="preserve"> und </w:t>
      </w:r>
      <w:hyperlink r:id="rId543" w:history="1">
        <w:r w:rsidRPr="0065637B">
          <w:rPr>
            <w:rStyle w:val="Hyperlink"/>
            <w:szCs w:val="16"/>
          </w:rPr>
          <w:t>2.14.</w:t>
        </w:r>
      </w:hyperlink>
      <w:r w:rsidRPr="0065637B">
        <w:rPr>
          <w:rStyle w:val="kleinschrift"/>
          <w:sz w:val="16"/>
          <w:szCs w:val="16"/>
        </w:rPr>
        <w:t xml:space="preserve"> in der Fassung vom 31.12.2016 ein Anspruch auf Zahlung einer Zulage für Vorarbeiterinnen/</w:t>
      </w:r>
      <w:r>
        <w:rPr>
          <w:rStyle w:val="kleinschrift"/>
          <w:sz w:val="16"/>
          <w:szCs w:val="16"/>
        </w:rPr>
        <w:t xml:space="preserve"> </w:t>
      </w:r>
      <w:r w:rsidRPr="0065637B">
        <w:rPr>
          <w:rStyle w:val="kleinschrift"/>
          <w:sz w:val="16"/>
          <w:szCs w:val="16"/>
        </w:rPr>
        <w:t>Vorarbeiter un</w:t>
      </w:r>
      <w:r>
        <w:rPr>
          <w:rStyle w:val="kleinschrift"/>
          <w:sz w:val="16"/>
          <w:szCs w:val="16"/>
        </w:rPr>
        <w:t>d Vorhandwerkerinnen/Vorhandwer</w:t>
      </w:r>
      <w:r w:rsidRPr="0065637B">
        <w:rPr>
          <w:rStyle w:val="kleinschrift"/>
          <w:sz w:val="16"/>
          <w:szCs w:val="16"/>
        </w:rPr>
        <w:t>ker, Fachvorarbeiterinnen/Fachvorarbei</w:t>
      </w:r>
      <w:r>
        <w:rPr>
          <w:rStyle w:val="kleinschrift"/>
          <w:sz w:val="16"/>
          <w:szCs w:val="16"/>
        </w:rPr>
        <w:t>ter und vergleichbare Beschäf</w:t>
      </w:r>
      <w:r w:rsidRPr="0065637B">
        <w:rPr>
          <w:rStyle w:val="kleinschrift"/>
          <w:sz w:val="16"/>
          <w:szCs w:val="16"/>
        </w:rPr>
        <w:t xml:space="preserve">tigte oder Lehrgesellinnen/Lehrgesellen besteht, erhält die/der Beschäftigte abweichend von </w:t>
      </w:r>
      <w:hyperlink r:id="rId544" w:history="1">
        <w:r w:rsidRPr="0065637B">
          <w:rPr>
            <w:rStyle w:val="Hyperlink"/>
            <w:szCs w:val="16"/>
          </w:rPr>
          <w:t>§ 14 Absatz 3 Teil A, 1.</w:t>
        </w:r>
      </w:hyperlink>
      <w:r>
        <w:rPr>
          <w:rStyle w:val="kleinschrift"/>
          <w:sz w:val="16"/>
          <w:szCs w:val="16"/>
        </w:rPr>
        <w:t xml:space="preserve"> anstelle der Zu</w:t>
      </w:r>
      <w:r w:rsidRPr="0065637B">
        <w:rPr>
          <w:rStyle w:val="kleinschrift"/>
          <w:sz w:val="16"/>
          <w:szCs w:val="16"/>
        </w:rPr>
        <w:t xml:space="preserve">lage nach </w:t>
      </w:r>
      <w:hyperlink r:id="rId545" w:history="1">
        <w:r w:rsidRPr="00CB3066">
          <w:rPr>
            <w:rStyle w:val="Hyperlink"/>
            <w:szCs w:val="16"/>
          </w:rPr>
          <w:t>§ 14 Teil A, 1.</w:t>
        </w:r>
      </w:hyperlink>
      <w:r w:rsidRPr="0065637B">
        <w:rPr>
          <w:rStyle w:val="kleinschrift"/>
          <w:sz w:val="16"/>
          <w:szCs w:val="16"/>
        </w:rPr>
        <w:t xml:space="preserve"> für die Dauer der Ausübung sowohl der höherwertigen als auch der zulagenberechtigenden Tätigkeit eine persönliche Zulage von 10 Prozent ihres/seines Tabellenentgelts.</w:t>
      </w:r>
    </w:p>
    <w:p w:rsidR="00BE1EFE" w:rsidRPr="0065637B" w:rsidRDefault="00BE1EFE" w:rsidP="00CC1A35">
      <w:pPr>
        <w:pStyle w:val="StandardWeb"/>
        <w:rPr>
          <w:rStyle w:val="kleinschrift"/>
        </w:rPr>
      </w:pPr>
      <w:r w:rsidRPr="0065637B">
        <w:rPr>
          <w:rStyle w:val="kleinschrift"/>
        </w:rPr>
        <w:t xml:space="preserve">Protokollnotiz zu Absatz 9: </w:t>
      </w:r>
    </w:p>
    <w:p w:rsidR="00BE1EFE" w:rsidRDefault="00BE1EFE" w:rsidP="00CC1A35">
      <w:pPr>
        <w:pStyle w:val="StandardWeb"/>
        <w:rPr>
          <w:rStyle w:val="kleinschrift"/>
        </w:rPr>
      </w:pPr>
      <w:r w:rsidRPr="0065637B">
        <w:rPr>
          <w:rStyle w:val="kleinschrift"/>
        </w:rPr>
        <w:t>Die Zulage für Vorarbeiterinnen und Vorarbeiter, Vorhandwerkerinnen und Vorhandwerker, Fachvorarbeiterinnen und Fachvorarbeiter und vergleichbare Beschäftigte oder Lehrgesellinnen und Lehrgesellen verändert sich bei allgemeinen Entgeltanpassungen nach dem 31. Dezember 2009 um den von den Tarifvertragsparteien für die jeweilige Entgeltgrup</w:t>
      </w:r>
      <w:r>
        <w:rPr>
          <w:rStyle w:val="kleinschrift"/>
        </w:rPr>
        <w:t>pe festgelegten Vomhundertsatz.</w:t>
      </w:r>
    </w:p>
    <w:p w:rsidR="00BE1EFE" w:rsidRDefault="00BE1EFE" w:rsidP="00CC1A35">
      <w:pPr>
        <w:pStyle w:val="StandardWeb"/>
      </w:pPr>
    </w:p>
    <w:p w:rsidR="00BE1EFE" w:rsidRDefault="00BE1EFE" w:rsidP="00CC1A35">
      <w:pPr>
        <w:pStyle w:val="StandardWeb"/>
      </w:pPr>
      <w:r>
        <w:t>(10) Die Absätze 1 bis 9 gelten für besondere Bestimmungen der Bayerischen Regional-KODA über die Eingruppierungen entsprechend.</w:t>
      </w:r>
    </w:p>
    <w:p w:rsidR="00BE1EFE" w:rsidRDefault="00BE1EFE">
      <w:pPr>
        <w:pStyle w:val="berschrift6"/>
      </w:pPr>
      <w:bookmarkStart w:id="656" w:name="_Toc523926196"/>
      <w:r>
        <w:t>§ 17a Sonderregelung bei Wechsel des Arbeitgebers</w:t>
      </w:r>
      <w:bookmarkEnd w:id="656"/>
    </w:p>
    <w:p w:rsidR="00BE1EFE" w:rsidRPr="00B76821" w:rsidRDefault="00BE1EFE" w:rsidP="00B76821">
      <w:pPr>
        <w:pStyle w:val="h7"/>
        <w:keepNext w:val="0"/>
        <w:spacing w:before="0" w:after="0"/>
        <w:jc w:val="left"/>
        <w:outlineLvl w:val="5"/>
        <w:rPr>
          <w:sz w:val="2"/>
        </w:rPr>
      </w:pPr>
    </w:p>
    <w:p w:rsidR="00BE1EFE" w:rsidRDefault="00BE1EFE">
      <w:pPr>
        <w:pStyle w:val="StandardWeb"/>
      </w:pPr>
      <w:r>
        <w:t>Für unter den Geltungsbereich dieser Regelung fallende Beschäftigte gilt bei einem Wechsel von einem Arbeitgeber im Sinne des</w:t>
      </w:r>
      <w:hyperlink r:id="rId546" w:history="1">
        <w:r w:rsidRPr="002D1F1D">
          <w:rPr>
            <w:rStyle w:val="Hyperlink"/>
          </w:rPr>
          <w:t xml:space="preserve"> § 1 Absatz 1 Nr. 1, 2 und 3 Teil A, 1.</w:t>
        </w:r>
      </w:hyperlink>
      <w:r>
        <w:t xml:space="preserve"> in der ab dem 1. Oktober 2005 geltenden Fassung zu einem anderen Arbeitgeber in diesem Sinne in derselben Diözese folgende Übergangsregelung:</w:t>
      </w:r>
    </w:p>
    <w:p w:rsidR="00BE1EFE" w:rsidRDefault="00BE1EFE">
      <w:pPr>
        <w:pStyle w:val="StandardWeb"/>
      </w:pPr>
      <w:r>
        <w:t xml:space="preserve">1. Nach den Bestimmungen des </w:t>
      </w:r>
      <w:hyperlink r:id="rId547" w:history="1">
        <w:r w:rsidRPr="00F036F8">
          <w:rPr>
            <w:rStyle w:val="Hyperlink"/>
          </w:rPr>
          <w:t>Teil A, 3</w:t>
        </w:r>
      </w:hyperlink>
      <w:r>
        <w:t xml:space="preserve">. in der bis zum 30. September 2005 geltenden Fassung bereits zurückgelegte Bewährungs-, Fallgruppen- und Tätigkeitsaufstiege werden bei der Zuordnung zu der Entgeltgruppe des ABD in der ab dem 1. Oktober 2005 geltenden </w:t>
      </w:r>
      <w:r>
        <w:lastRenderedPageBreak/>
        <w:t>Fassung berücksichtigt, soweit und solange der Beschäftigte eine entsprechende Tätigkeit ausübt.</w:t>
      </w:r>
    </w:p>
    <w:p w:rsidR="00BE1EFE" w:rsidRDefault="00BE1EFE">
      <w:pPr>
        <w:pStyle w:val="StandardWeb"/>
      </w:pPr>
      <w:r>
        <w:t>2. Die Beschäftigen werden bei der Einstellung wenigstens der Stufe 3 zugeordnet, sofern sie bei dem bisherigen Arbeitgeber diese Stufe oder eine höhere bereits erreicht hatten.</w:t>
      </w:r>
    </w:p>
    <w:p w:rsidR="00BE1EFE" w:rsidRDefault="00BE1EFE">
      <w:pPr>
        <w:pStyle w:val="StandardWeb"/>
      </w:pPr>
      <w:r>
        <w:t xml:space="preserve">3. Im Sinne und nach den Voraussetzungen des </w:t>
      </w:r>
      <w:hyperlink r:id="rId548" w:history="1">
        <w:r w:rsidRPr="002D1F1D">
          <w:rPr>
            <w:rStyle w:val="Hyperlink"/>
          </w:rPr>
          <w:t>§ 11</w:t>
        </w:r>
      </w:hyperlink>
      <w:r>
        <w:t xml:space="preserve"> dieser Regelung bereits gewährte kinderbezogene Entgeltbestandteile werden nach Wechsel des Arbeitgebers von dem neuen Arbeitgeber weiter gewährt.</w:t>
      </w:r>
    </w:p>
    <w:p w:rsidR="00BE1EFE" w:rsidRPr="000B1AF8" w:rsidRDefault="00BE1EFE">
      <w:pPr>
        <w:pStyle w:val="StandardWeb"/>
      </w:pPr>
      <w:r>
        <w:t>4. </w:t>
      </w:r>
      <w:r>
        <w:rPr>
          <w:rStyle w:val="kleinschrift"/>
        </w:rPr>
        <w:t>1</w:t>
      </w:r>
      <w:r>
        <w:t xml:space="preserve">Zwischen der/dem Beschäftigten, deren/dessen Arbeitsverhältnis nach dem 30. September 2005 wegen dringender betrieblicher Erfordernisse im Sinne des </w:t>
      </w:r>
      <w:hyperlink r:id="rId549" w:tgtFrame="_blank" w:history="1">
        <w:r>
          <w:rPr>
            <w:rStyle w:val="Hyperlink"/>
          </w:rPr>
          <w:t xml:space="preserve">§ 1 Absatz 2 Satz 1 KSchG </w:t>
        </w:r>
      </w:hyperlink>
      <w:r>
        <w:t xml:space="preserve">durch Auflösungsvertrag oder Arbeitgeberkündigung endet, und dem neuen Arbeitgeber kann einzelvertraglich vereinbart werden, dass die bei dem vorherigen Arbeitgeber nach den Bestimmungen der </w:t>
      </w:r>
      <w:hyperlink r:id="rId550" w:history="1">
        <w:r w:rsidRPr="002D1F1D">
          <w:rPr>
            <w:rStyle w:val="Hyperlink"/>
          </w:rPr>
          <w:t>§§ 12</w:t>
        </w:r>
      </w:hyperlink>
      <w:r>
        <w:t xml:space="preserve"> und </w:t>
      </w:r>
      <w:hyperlink r:id="rId551" w:history="1">
        <w:r w:rsidRPr="002D1F1D">
          <w:rPr>
            <w:rStyle w:val="Hyperlink"/>
          </w:rPr>
          <w:t>13 Teil A, 3.</w:t>
        </w:r>
      </w:hyperlink>
      <w:r>
        <w:t xml:space="preserve"> erworbenen Besitzstände in entsprechender Anwendung der Bestimmungen der </w:t>
      </w:r>
      <w:hyperlink r:id="rId552" w:history="1">
        <w:r w:rsidRPr="002D1F1D">
          <w:rPr>
            <w:rStyle w:val="Hyperlink"/>
          </w:rPr>
          <w:t>§§ 12</w:t>
        </w:r>
      </w:hyperlink>
      <w:r w:rsidRPr="002D1F1D">
        <w:t xml:space="preserve"> </w:t>
      </w:r>
      <w:r>
        <w:t xml:space="preserve">und </w:t>
      </w:r>
      <w:hyperlink r:id="rId553" w:history="1">
        <w:r w:rsidRPr="002D1F1D">
          <w:rPr>
            <w:rStyle w:val="Hyperlink"/>
          </w:rPr>
          <w:t>13 Teil A, 3.</w:t>
        </w:r>
      </w:hyperlink>
      <w:r>
        <w:t xml:space="preserve"> übernommen werden. </w:t>
      </w:r>
      <w:r>
        <w:rPr>
          <w:rStyle w:val="kleinschrift"/>
        </w:rPr>
        <w:t>2</w:t>
      </w:r>
      <w:hyperlink r:id="rId554" w:history="1">
        <w:r w:rsidRPr="002D1F1D">
          <w:rPr>
            <w:rStyle w:val="Hyperlink"/>
          </w:rPr>
          <w:t>§ 24 Absatz 2 Teil A, 1.</w:t>
        </w:r>
      </w:hyperlink>
      <w:r>
        <w:t xml:space="preserve"> bleibt unberührt.</w:t>
      </w:r>
    </w:p>
    <w:p w:rsidR="00BE1EFE" w:rsidRDefault="00BE1EFE">
      <w:pPr>
        <w:pStyle w:val="StandardWeb"/>
      </w:pPr>
      <w:r>
        <w:rPr>
          <w:sz w:val="12"/>
          <w:szCs w:val="12"/>
        </w:rPr>
        <w:t xml:space="preserve">Protokollnotiz zu § 17a: </w:t>
      </w:r>
    </w:p>
    <w:p w:rsidR="00BE1EFE" w:rsidRDefault="00BE1EFE">
      <w:pPr>
        <w:pStyle w:val="StandardWeb"/>
      </w:pPr>
      <w:r>
        <w:rPr>
          <w:sz w:val="12"/>
          <w:szCs w:val="12"/>
        </w:rPr>
        <w:t>1Der Wechsel von einem Arbeitgeber zu einem anderen Arbeitgeber im Sinne des § 17a muss ohne Unterbrechung, d.h. im unmittelbaren Anschluss erfolgen. 2Unschädlich ist eine Unterbrechung nur dann, wenn zwischen den Arbeitsverhältnissen maximal vier Werktage – mit Ausnahme allgemein arbeitsfreier Werktage – liegen, an denen das Arbeitsverhältnis nicht bestand.</w:t>
      </w:r>
    </w:p>
    <w:p w:rsidR="00BE1EFE" w:rsidRDefault="00BE1EFE">
      <w:pPr>
        <w:pStyle w:val="berschrift6"/>
      </w:pPr>
      <w:bookmarkStart w:id="657" w:name="_Toc523926197"/>
      <w:r>
        <w:t>§ 17b Sonderregelungen zu kinderbezogenen Entgeltbestandteilen bei Wechsel des Arbeitgebers</w:t>
      </w:r>
      <w:bookmarkEnd w:id="65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Für Beschäftigte, die bei ihrem früheren kirchlichen Arbeitgeber kinderbezogene Entgeltbestandteile erhalten haben, und auf die § </w:t>
      </w:r>
      <w:hyperlink r:id="rId555" w:history="1">
        <w:r w:rsidRPr="002D1F1D">
          <w:rPr>
            <w:rStyle w:val="Hyperlink"/>
          </w:rPr>
          <w:t>17a Nr. 3</w:t>
        </w:r>
      </w:hyperlink>
      <w:r>
        <w:t xml:space="preserve"> keine Anwendung findet, gelten die Besitzstandsregelungen des Beschlusses der Zentral-KODA vom 6.11.2008 (abgedruckt in </w:t>
      </w:r>
      <w:hyperlink r:id="rId556" w:history="1">
        <w:r w:rsidRPr="002D1F1D">
          <w:rPr>
            <w:rStyle w:val="Hyperlink"/>
          </w:rPr>
          <w:t>Anhang I</w:t>
        </w:r>
      </w:hyperlink>
      <w:r>
        <w:t>), auch sofern das Arbeitsverhältnis bei dem vorherigen Arbeitgeber nach dem 30. September 2005 begründet worden ist.</w:t>
      </w:r>
    </w:p>
    <w:p w:rsidR="00BE1EFE" w:rsidRDefault="00BE1EFE">
      <w:pPr>
        <w:pStyle w:val="berschrift6"/>
      </w:pPr>
      <w:bookmarkStart w:id="658" w:name="_Toc523926198"/>
      <w:r>
        <w:t>§ 18 Vorübergehende Übertragung einer höherwertigen Tätigkeit nach dem 30. September 2005</w:t>
      </w:r>
      <w:bookmarkEnd w:id="6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sidRPr="00CC1A35">
        <w:rPr>
          <w:rStyle w:val="kleinschrift"/>
          <w:i/>
          <w:sz w:val="16"/>
          <w:szCs w:val="16"/>
        </w:rPr>
        <w:t>(frei)</w:t>
      </w:r>
    </w:p>
    <w:p w:rsidR="00BE1EFE" w:rsidRPr="000B1AF8" w:rsidRDefault="00BE1EFE">
      <w:pPr>
        <w:pStyle w:val="StandardWeb"/>
      </w:pPr>
    </w:p>
    <w:p w:rsidR="00BE1EFE" w:rsidRDefault="00BE1EFE">
      <w:pPr>
        <w:pStyle w:val="StandardWeb"/>
      </w:pPr>
      <w:r>
        <w:t xml:space="preserve">(2) Wird aus dem Geltungsbereich des Teil B in der bis zum 30.09.2005 geltenden Fassung übergeleiteten Beschäftigten nach dem 30. September 2005 erstmalig außerhalb von </w:t>
      </w:r>
      <w:hyperlink r:id="rId557" w:history="1">
        <w:r w:rsidRPr="002D1F1D">
          <w:rPr>
            <w:rStyle w:val="Hyperlink"/>
          </w:rPr>
          <w:t>§ 10</w:t>
        </w:r>
      </w:hyperlink>
      <w:r>
        <w:t xml:space="preserve"> eine höherwertige Tätigkeit vorübergehend übertragen, gelten bis zum In-Kraft-Treten eines Beschlusses der Bayerischen Regional-KODA über eine persönliche Zulage die bisherigen Regelungen des Teil B in der bis zum 30.09.2005 geltenden Fassung mit der Maßgabe entsprechend, dass sich die Höhe der Zulage nach dem ABD in der ab dem 01.10.2005 geltenden Fassung richtet, soweit sich aus </w:t>
      </w:r>
      <w:hyperlink r:id="rId558" w:history="1">
        <w:r w:rsidRPr="00CC1A35">
          <w:rPr>
            <w:rStyle w:val="Hyperlink"/>
          </w:rPr>
          <w:t>§ 17 Absatz 9</w:t>
        </w:r>
      </w:hyperlink>
      <w:r>
        <w:t xml:space="preserve"> nichts anderes ergibt.</w:t>
      </w:r>
    </w:p>
    <w:p w:rsidR="00BE1EFE" w:rsidRPr="001F7A5B" w:rsidRDefault="00BE1EFE" w:rsidP="00CC1A35">
      <w:pPr>
        <w:pStyle w:val="berschrift6"/>
        <w:rPr>
          <w:lang w:eastAsia="x-none"/>
        </w:rPr>
      </w:pPr>
      <w:bookmarkStart w:id="659" w:name="_Toc473544397"/>
      <w:bookmarkStart w:id="660" w:name="_Toc523926199"/>
      <w:r>
        <w:t>§ 19 Entgeltgruppe 2 Ü und 15 Ü</w:t>
      </w:r>
      <w:bookmarkEnd w:id="659"/>
      <w:bookmarkEnd w:id="660"/>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spacing w:after="120"/>
      </w:pPr>
      <w:r>
        <w:t>(1) </w:t>
      </w:r>
      <w:r w:rsidRPr="00CB3066">
        <w:t>Für Beschäftigte, die nach der Anlage 4 der Entgeltgruppe 2Ü zugeordnet sind, gelten folgende Tabellenwerte:</w:t>
      </w:r>
    </w:p>
    <w:p w:rsidR="00BE1EFE" w:rsidRDefault="00BE1EFE" w:rsidP="00CC1A35">
      <w:pPr>
        <w:pStyle w:val="StandardWeb"/>
        <w:spacing w:after="120"/>
      </w:pPr>
    </w:p>
    <w:p w:rsidR="00BE1EFE" w:rsidRDefault="00BE1EFE" w:rsidP="00CC1A35">
      <w:pPr>
        <w:pStyle w:val="StandardWeb"/>
        <w:spacing w:after="120"/>
      </w:pPr>
    </w:p>
    <w:p w:rsidR="00BE1EFE" w:rsidRDefault="00BE1EFE" w:rsidP="00CC1A35">
      <w:pPr>
        <w:pStyle w:val="StandardWeb"/>
        <w:spacing w:after="120"/>
      </w:pPr>
    </w:p>
    <w:p w:rsidR="00BE1EFE" w:rsidRDefault="00BE1EFE" w:rsidP="00CC1A35">
      <w:pPr>
        <w:pStyle w:val="StandardWeb"/>
        <w:spacing w:after="120"/>
      </w:pPr>
    </w:p>
    <w:tbl>
      <w:tblPr>
        <w:tblW w:w="0" w:type="auto"/>
        <w:jc w:val="center"/>
        <w:tblCellMar>
          <w:left w:w="0" w:type="dxa"/>
          <w:right w:w="0" w:type="dxa"/>
        </w:tblCellMar>
        <w:tblLook w:val="04A0" w:firstRow="1" w:lastRow="0" w:firstColumn="1" w:lastColumn="0" w:noHBand="0" w:noVBand="1"/>
      </w:tblPr>
      <w:tblGrid>
        <w:gridCol w:w="1390"/>
        <w:gridCol w:w="839"/>
        <w:gridCol w:w="839"/>
        <w:gridCol w:w="839"/>
        <w:gridCol w:w="839"/>
        <w:gridCol w:w="839"/>
        <w:gridCol w:w="839"/>
      </w:tblGrid>
      <w:tr w:rsidR="00BE1EFE" w:rsidTr="00CC1A35">
        <w:trPr>
          <w:trHeight w:val="454"/>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Default="00BE1EFE" w:rsidP="00CC1A35">
            <w:pPr>
              <w:jc w:val="both"/>
              <w:rPr>
                <w:sz w:val="24"/>
              </w:rPr>
            </w:pPr>
            <w: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CC1A35">
            <w:pPr>
              <w:pStyle w:val="StandardWeb"/>
              <w:autoSpaceDE w:val="0"/>
              <w:spacing w:line="240" w:lineRule="atLeast"/>
            </w:pPr>
            <w:r>
              <w:rPr>
                <w:rStyle w:val="Fett"/>
                <w:rFonts w:cs="Arial"/>
                <w:bCs/>
                <w:szCs w:val="16"/>
              </w:rPr>
              <w:t>Stufe 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CC1A35">
            <w:pPr>
              <w:pStyle w:val="StandardWeb"/>
              <w:autoSpaceDE w:val="0"/>
              <w:spacing w:line="240" w:lineRule="atLeast"/>
            </w:pPr>
            <w:r>
              <w:rPr>
                <w:rStyle w:val="Fett"/>
                <w:rFonts w:cs="Arial"/>
                <w:bCs/>
                <w:szCs w:val="16"/>
              </w:rPr>
              <w:t>Stufe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CC1A35">
            <w:pPr>
              <w:pStyle w:val="StandardWeb"/>
              <w:autoSpaceDE w:val="0"/>
              <w:spacing w:line="240" w:lineRule="atLeast"/>
            </w:pPr>
            <w:r>
              <w:rPr>
                <w:rStyle w:val="Fett"/>
                <w:rFonts w:cs="Arial"/>
                <w:bCs/>
                <w:szCs w:val="16"/>
              </w:rPr>
              <w:t>Stufe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CC1A35">
            <w:pPr>
              <w:pStyle w:val="StandardWeb"/>
              <w:autoSpaceDE w:val="0"/>
              <w:spacing w:line="240" w:lineRule="atLeast"/>
            </w:pPr>
            <w:r>
              <w:rPr>
                <w:rStyle w:val="Fett"/>
                <w:rFonts w:cs="Arial"/>
                <w:bCs/>
                <w:szCs w:val="16"/>
              </w:rPr>
              <w:t>Stufe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CC1A35">
            <w:pPr>
              <w:pStyle w:val="StandardWeb"/>
              <w:autoSpaceDE w:val="0"/>
              <w:spacing w:line="240" w:lineRule="atLeast"/>
            </w:pPr>
            <w:r>
              <w:rPr>
                <w:rStyle w:val="Fett"/>
                <w:rFonts w:cs="Arial"/>
                <w:bCs/>
                <w:szCs w:val="16"/>
              </w:rPr>
              <w:t>Stufe 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CC1A35">
            <w:pPr>
              <w:pStyle w:val="StandardWeb"/>
              <w:autoSpaceDE w:val="0"/>
              <w:spacing w:line="240" w:lineRule="atLeast"/>
            </w:pPr>
            <w:r>
              <w:rPr>
                <w:rStyle w:val="Fett"/>
                <w:rFonts w:cs="Arial"/>
                <w:bCs/>
                <w:szCs w:val="16"/>
              </w:rPr>
              <w:t>Stufe 6</w:t>
            </w:r>
          </w:p>
        </w:tc>
      </w:tr>
      <w:tr w:rsidR="00BE1EFE" w:rsidTr="00CC1A35">
        <w:trPr>
          <w:trHeight w:val="45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CC1A35">
            <w:pPr>
              <w:pStyle w:val="StandardWeb"/>
              <w:autoSpaceDE w:val="0"/>
              <w:spacing w:line="240" w:lineRule="atLeast"/>
            </w:pPr>
            <w:r>
              <w:rPr>
                <w:rStyle w:val="Fett"/>
                <w:rFonts w:cs="Arial"/>
                <w:bCs/>
                <w:szCs w:val="16"/>
              </w:rPr>
              <w:t>gültig ab</w:t>
            </w:r>
          </w:p>
          <w:p w:rsidR="00BE1EFE" w:rsidRPr="000B1AF8" w:rsidRDefault="00BE1EFE" w:rsidP="00CC1A35">
            <w:pPr>
              <w:pStyle w:val="StandardWeb"/>
              <w:autoSpaceDE w:val="0"/>
              <w:spacing w:line="240" w:lineRule="atLeast"/>
            </w:pPr>
            <w:r>
              <w:rPr>
                <w:rStyle w:val="Fett"/>
                <w:rFonts w:cs="Arial"/>
                <w:bCs/>
                <w:szCs w:val="16"/>
              </w:rPr>
              <w:t>1. März 2016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1.973,60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center"/>
              <w:rPr>
                <w:rFonts w:cs="Arial"/>
                <w:b/>
                <w:szCs w:val="16"/>
              </w:rPr>
            </w:pPr>
            <w:r w:rsidRPr="00C24555">
              <w:rPr>
                <w:rFonts w:cs="Arial"/>
                <w:b/>
                <w:szCs w:val="16"/>
              </w:rPr>
              <w:t>2.175,71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2.248,31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2.345,12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2.411,66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2.461,30</w:t>
            </w:r>
          </w:p>
        </w:tc>
      </w:tr>
      <w:tr w:rsidR="00BE1EFE" w:rsidTr="00CC1A35">
        <w:trPr>
          <w:trHeight w:val="45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CC1A35">
            <w:pPr>
              <w:pStyle w:val="StandardWeb"/>
              <w:autoSpaceDE w:val="0"/>
              <w:spacing w:line="240" w:lineRule="atLeast"/>
            </w:pPr>
            <w:r>
              <w:rPr>
                <w:rStyle w:val="Fett"/>
                <w:rFonts w:cs="Arial"/>
                <w:bCs/>
                <w:szCs w:val="16"/>
              </w:rPr>
              <w:t>gültig ab</w:t>
            </w:r>
          </w:p>
          <w:p w:rsidR="00BE1EFE" w:rsidRPr="000B1AF8" w:rsidRDefault="00BE1EFE" w:rsidP="00CC1A35">
            <w:pPr>
              <w:pStyle w:val="StandardWeb"/>
              <w:autoSpaceDE w:val="0"/>
              <w:spacing w:line="240" w:lineRule="atLeast"/>
            </w:pPr>
            <w:r>
              <w:rPr>
                <w:rStyle w:val="Fett"/>
                <w:rFonts w:cs="Arial"/>
                <w:bCs/>
                <w:szCs w:val="16"/>
              </w:rPr>
              <w:t>1. Februar 2017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2.019,98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center"/>
              <w:rPr>
                <w:rFonts w:cs="Arial"/>
                <w:b/>
                <w:szCs w:val="16"/>
              </w:rPr>
            </w:pPr>
            <w:r w:rsidRPr="00C24555">
              <w:rPr>
                <w:rFonts w:cs="Arial"/>
                <w:b/>
                <w:szCs w:val="16"/>
              </w:rPr>
              <w:t>2.226,84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2.301,15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2.400,23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2.468,23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CC1A35">
            <w:pPr>
              <w:spacing w:line="240" w:lineRule="atLeast"/>
              <w:jc w:val="both"/>
              <w:rPr>
                <w:rFonts w:cs="Arial"/>
                <w:b/>
                <w:szCs w:val="16"/>
              </w:rPr>
            </w:pPr>
            <w:r w:rsidRPr="00C24555">
              <w:rPr>
                <w:rFonts w:cs="Arial"/>
                <w:b/>
                <w:szCs w:val="16"/>
              </w:rPr>
              <w:t>2.519,14</w:t>
            </w:r>
          </w:p>
        </w:tc>
      </w:tr>
    </w:tbl>
    <w:p w:rsidR="00BE1EFE" w:rsidRPr="000B1AF8" w:rsidRDefault="00BE1EFE">
      <w:pPr>
        <w:pStyle w:val="StandardWeb"/>
      </w:pPr>
    </w:p>
    <w:p w:rsidR="00BE1EFE" w:rsidRDefault="00BE1EFE">
      <w:pPr>
        <w:pStyle w:val="StandardWeb"/>
      </w:pPr>
      <w:r>
        <w:t>(2) </w:t>
      </w:r>
      <w:r>
        <w:rPr>
          <w:rStyle w:val="kleinschrift"/>
        </w:rPr>
        <w:t>1</w:t>
      </w:r>
      <w:r>
        <w:t xml:space="preserve">Übergeleitete Beschäftigte der Vergütungsgruppe I zum </w:t>
      </w:r>
      <w:hyperlink r:id="rId559" w:history="1">
        <w:r w:rsidRPr="002D1F1D">
          <w:rPr>
            <w:rStyle w:val="Hyperlink"/>
          </w:rPr>
          <w:t>ABD Teil A, 1. in der bis zum 30.09.2005 geltenden Fassung</w:t>
        </w:r>
      </w:hyperlink>
      <w:r>
        <w:t xml:space="preserve"> unterliegen dem ABD in der ab dem 01.10.2005 geltenden Fassung. </w:t>
      </w:r>
      <w:r>
        <w:rPr>
          <w:rStyle w:val="kleinschrift"/>
        </w:rPr>
        <w:t>2</w:t>
      </w:r>
      <w:r>
        <w:t xml:space="preserve">Sie werden in die Entgeltgruppe 15 Ü übergeleitet. </w:t>
      </w:r>
      <w:r>
        <w:rPr>
          <w:rStyle w:val="kleinschrift"/>
        </w:rPr>
        <w:t>3</w:t>
      </w:r>
      <w:r>
        <w:t>Für sie gelten folgende Tabellenwerte: </w:t>
      </w:r>
    </w:p>
    <w:p w:rsidR="00BE1EFE" w:rsidRPr="000B1AF8" w:rsidRDefault="00BE1EFE">
      <w:pPr>
        <w:pStyle w:val="StandardWeb"/>
      </w:pPr>
    </w:p>
    <w:tbl>
      <w:tblPr>
        <w:tblW w:w="0" w:type="auto"/>
        <w:jc w:val="center"/>
        <w:tblCellMar>
          <w:left w:w="0" w:type="dxa"/>
          <w:right w:w="0" w:type="dxa"/>
        </w:tblCellMar>
        <w:tblLook w:val="04A0" w:firstRow="1" w:lastRow="0" w:firstColumn="1" w:lastColumn="0" w:noHBand="0" w:noVBand="1"/>
      </w:tblPr>
      <w:tblGrid>
        <w:gridCol w:w="1390"/>
        <w:gridCol w:w="839"/>
        <w:gridCol w:w="839"/>
        <w:gridCol w:w="839"/>
        <w:gridCol w:w="839"/>
        <w:gridCol w:w="839"/>
      </w:tblGrid>
      <w:tr w:rsidR="00BE1EFE">
        <w:trPr>
          <w:trHeight w:val="454"/>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Default="00BE1EFE">
            <w:pPr>
              <w:jc w:val="center"/>
              <w:rPr>
                <w:sz w:val="24"/>
              </w:rPr>
            </w:pPr>
            <w: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2</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6</w:t>
            </w:r>
          </w:p>
        </w:tc>
      </w:tr>
      <w:tr w:rsidR="00BE1EFE">
        <w:trPr>
          <w:trHeight w:val="45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gültig ab</w:t>
            </w:r>
          </w:p>
          <w:p w:rsidR="00BE1EFE" w:rsidRPr="000B1AF8" w:rsidRDefault="00BE1EFE" w:rsidP="0054275E">
            <w:pPr>
              <w:pStyle w:val="StandardWeb"/>
              <w:autoSpaceDE w:val="0"/>
              <w:spacing w:line="240" w:lineRule="atLeast"/>
            </w:pPr>
            <w:r>
              <w:rPr>
                <w:rStyle w:val="Fett"/>
                <w:rFonts w:cs="Arial"/>
                <w:bCs/>
                <w:szCs w:val="16"/>
              </w:rPr>
              <w:t>1. März 2016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5.459,14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6.051,16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6.612,04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6.985,97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7.073,20</w:t>
            </w:r>
          </w:p>
        </w:tc>
      </w:tr>
      <w:tr w:rsidR="00BE1EFE">
        <w:trPr>
          <w:trHeight w:val="454"/>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gültig ab</w:t>
            </w:r>
          </w:p>
          <w:p w:rsidR="00BE1EFE" w:rsidRPr="000B1AF8" w:rsidRDefault="00BE1EFE" w:rsidP="0054275E">
            <w:pPr>
              <w:pStyle w:val="StandardWeb"/>
              <w:autoSpaceDE w:val="0"/>
              <w:spacing w:line="240" w:lineRule="atLeast"/>
            </w:pPr>
            <w:r>
              <w:rPr>
                <w:rStyle w:val="Fett"/>
                <w:rFonts w:cs="Arial"/>
                <w:bCs/>
                <w:szCs w:val="16"/>
              </w:rPr>
              <w:t>1. Februar 2017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color w:val="000000"/>
                <w:szCs w:val="16"/>
              </w:rPr>
            </w:pPr>
            <w:r w:rsidRPr="00C24555">
              <w:rPr>
                <w:rFonts w:cs="Arial"/>
                <w:b/>
                <w:color w:val="000000"/>
                <w:szCs w:val="16"/>
              </w:rPr>
              <w:t>5.587,43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color w:val="000000"/>
                <w:szCs w:val="16"/>
              </w:rPr>
            </w:pPr>
            <w:r w:rsidRPr="00C24555">
              <w:rPr>
                <w:rFonts w:cs="Arial"/>
                <w:b/>
                <w:color w:val="000000"/>
                <w:szCs w:val="16"/>
              </w:rPr>
              <w:t>6.193,36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color w:val="000000"/>
                <w:szCs w:val="16"/>
              </w:rPr>
            </w:pPr>
            <w:r w:rsidRPr="00C24555">
              <w:rPr>
                <w:rFonts w:cs="Arial"/>
                <w:b/>
                <w:color w:val="000000"/>
                <w:szCs w:val="16"/>
              </w:rPr>
              <w:t>6.767,42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color w:val="000000"/>
                <w:szCs w:val="16"/>
              </w:rPr>
            </w:pPr>
            <w:r w:rsidRPr="00C24555">
              <w:rPr>
                <w:rFonts w:cs="Arial"/>
                <w:b/>
                <w:color w:val="000000"/>
                <w:szCs w:val="16"/>
              </w:rPr>
              <w:t>7.150,14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color w:val="000000"/>
                <w:szCs w:val="16"/>
              </w:rPr>
            </w:pPr>
            <w:r w:rsidRPr="00C24555">
              <w:rPr>
                <w:rFonts w:cs="Arial"/>
                <w:b/>
                <w:color w:val="000000"/>
                <w:szCs w:val="16"/>
              </w:rPr>
              <w:t>7.239,42</w:t>
            </w:r>
          </w:p>
        </w:tc>
      </w:tr>
    </w:tbl>
    <w:p w:rsidR="00BE1EFE" w:rsidRDefault="00BE1EFE">
      <w:pPr>
        <w:pStyle w:val="StandardWeb"/>
        <w:rPr>
          <w:rStyle w:val="kleinschrift"/>
        </w:rPr>
      </w:pPr>
    </w:p>
    <w:p w:rsidR="00BE1EFE" w:rsidRPr="000B1AF8" w:rsidRDefault="00BE1EFE">
      <w:pPr>
        <w:pStyle w:val="StandardWeb"/>
      </w:pPr>
      <w:r>
        <w:rPr>
          <w:rStyle w:val="kleinschrift"/>
        </w:rPr>
        <w:t>4</w:t>
      </w:r>
      <w:r>
        <w:t xml:space="preserve">Die Verweildauer in den Stufen 2 bis 5 beträgt jeweils fünf Jahre. </w:t>
      </w:r>
      <w:r>
        <w:rPr>
          <w:rStyle w:val="kleinschrift"/>
        </w:rPr>
        <w:t>5</w:t>
      </w:r>
      <w:hyperlink r:id="rId560" w:history="1">
        <w:r w:rsidRPr="002D1F1D">
          <w:rPr>
            <w:rStyle w:val="Hyperlink"/>
          </w:rPr>
          <w:t>§ 6 Absatz 4</w:t>
        </w:r>
      </w:hyperlink>
      <w:r>
        <w:t xml:space="preserve"> findet keine Anwendung. </w:t>
      </w:r>
      <w:r>
        <w:rPr>
          <w:rStyle w:val="kleinschrift"/>
        </w:rPr>
        <w:t>6</w:t>
      </w:r>
      <w:r>
        <w:t>Für Beschäftigte der Entgeltgruppe 15 Ü sind Mehrarbeit und Überstunden durch das Tabellenentgelt abgegolten.</w:t>
      </w:r>
    </w:p>
    <w:p w:rsidR="00BE1EFE" w:rsidRDefault="00BE1EFE">
      <w:pPr>
        <w:pStyle w:val="berschrift6"/>
      </w:pPr>
      <w:bookmarkStart w:id="661" w:name="_Toc523926200"/>
      <w:r>
        <w:t>§ 20 Jahressonderzahlung 2006</w:t>
      </w:r>
      <w:bookmarkEnd w:id="661"/>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mit dem Entgelt für den Monat November 2006 spätestens jedoch Anfang Dezember zu zahlende Jahressonderzahlung berechnet sich für Beschäftigte nach </w:t>
      </w:r>
      <w:hyperlink r:id="rId561" w:history="1">
        <w:r w:rsidRPr="002D1F1D">
          <w:rPr>
            <w:rStyle w:val="Hyperlink"/>
          </w:rPr>
          <w:t>§ 1 Absatz 1 und 2</w:t>
        </w:r>
      </w:hyperlink>
      <w:r>
        <w:t xml:space="preserve"> nach den Bestimmungen des </w:t>
      </w:r>
      <w:hyperlink r:id="rId562" w:history="1">
        <w:r w:rsidRPr="002D1F1D">
          <w:rPr>
            <w:rStyle w:val="Hyperlink"/>
          </w:rPr>
          <w:t>§ 20 Teil A, 1.</w:t>
        </w:r>
      </w:hyperlink>
      <w:r>
        <w:t xml:space="preserve"> in der ab dem 01.10.2005 geltenden Fassung mit folgenden Maßgaben:</w:t>
      </w:r>
    </w:p>
    <w:p w:rsidR="00BE1EFE" w:rsidRDefault="00BE1EFE">
      <w:pPr>
        <w:pStyle w:val="StandardWeb"/>
      </w:pPr>
      <w:r>
        <w:t>1. Der Bemessungssatz der Jahressonderzahlung beträgt in allen Entgeltgruppen 82,14 v. H.</w:t>
      </w:r>
    </w:p>
    <w:p w:rsidR="00BE1EFE" w:rsidRDefault="00BE1EFE">
      <w:pPr>
        <w:pStyle w:val="StandardWeb"/>
      </w:pPr>
      <w:r>
        <w:t>2. </w:t>
      </w:r>
      <w:r>
        <w:rPr>
          <w:rStyle w:val="kleinschrift"/>
        </w:rPr>
        <w:t>1</w:t>
      </w:r>
      <w:r>
        <w:t xml:space="preserve">Der sich nach Nr. 1 ergebende Betrag der Jahressonderzahlung erhöht sich um einen Betrag in Höhe von 255,65 Euro. </w:t>
      </w:r>
      <w:r>
        <w:rPr>
          <w:rStyle w:val="kleinschrift"/>
        </w:rPr>
        <w:t>2</w:t>
      </w:r>
      <w:r>
        <w:t xml:space="preserve">Bei Beschäftigten, denen am 1. Juli 2006 Entgelt nach einer der Entgeltgruppen 1 bis 8 zusteht, erhöht sich dieser Zusatzbetrag auf 332,34 Euro. </w:t>
      </w:r>
      <w:r>
        <w:rPr>
          <w:rStyle w:val="kleinschrift"/>
        </w:rPr>
        <w:t>3</w:t>
      </w:r>
      <w:r>
        <w:t xml:space="preserve">Teilzeitbeschäftigte erhalten von dem Zusatzbetrag nach Satz 1 oder 2 den Teil, der dem Anteil ihrer Arbeitszeit an der Arbeitszeit vergleichbarer Vollzeitbeschäftigter entspricht. </w:t>
      </w:r>
      <w:r>
        <w:rPr>
          <w:rStyle w:val="kleinschrift"/>
        </w:rPr>
        <w:t>4</w:t>
      </w:r>
      <w:r>
        <w:t>Der Zusatzbetrag nach den Sätzen 1 bis 3 ist kein zusatzversorgungspflichtiges Entgelt.</w:t>
      </w:r>
    </w:p>
    <w:p w:rsidR="00BE1EFE" w:rsidRPr="000B1AF8" w:rsidRDefault="00BE1EFE">
      <w:pPr>
        <w:pStyle w:val="StandardWeb"/>
      </w:pPr>
      <w:r>
        <w:t xml:space="preserve">3. Der sich nach Nr. 1 ergebende Betrag der Jahressonderzahlung erhöht sich für jedes Kind, für das Beschäftigte im September 2006 kinderbezogene Entgeltbestandteile gemäß </w:t>
      </w:r>
      <w:hyperlink r:id="rId563" w:history="1">
        <w:r w:rsidRPr="002D1F1D">
          <w:rPr>
            <w:rStyle w:val="Hyperlink"/>
          </w:rPr>
          <w:t>§ 11</w:t>
        </w:r>
      </w:hyperlink>
      <w:r>
        <w:t xml:space="preserve"> erhalten, um 25,56 Euro.</w:t>
      </w:r>
    </w:p>
    <w:p w:rsidR="00BE1EFE" w:rsidRDefault="00BE1EFE">
      <w:pPr>
        <w:pStyle w:val="StandardWeb"/>
      </w:pPr>
      <w:r>
        <w:rPr>
          <w:sz w:val="12"/>
          <w:szCs w:val="12"/>
        </w:rPr>
        <w:t>Protokollnotiz zu § 20:</w:t>
      </w:r>
    </w:p>
    <w:p w:rsidR="00BE1EFE" w:rsidRDefault="00BE1EFE">
      <w:pPr>
        <w:pStyle w:val="StandardWeb"/>
      </w:pPr>
      <w:r>
        <w:rPr>
          <w:sz w:val="12"/>
          <w:szCs w:val="12"/>
        </w:rPr>
        <w:t xml:space="preserve">Die Regelung über eine Zuwendung für Mitarbeiter </w:t>
      </w:r>
      <w:hyperlink r:id="rId564" w:history="1">
        <w:r w:rsidRPr="00F036F8">
          <w:rPr>
            <w:rStyle w:val="Hyperlink"/>
            <w:sz w:val="12"/>
            <w:szCs w:val="12"/>
          </w:rPr>
          <w:t>Teil C, 6</w:t>
        </w:r>
      </w:hyperlink>
      <w:r>
        <w:rPr>
          <w:sz w:val="12"/>
          <w:szCs w:val="12"/>
        </w:rPr>
        <w:t>. in der bis zum 30.09.2005 geltenden Fassung bleibt bis zum 31.12.2005 in Kraft.</w:t>
      </w:r>
    </w:p>
    <w:p w:rsidR="00BE1EFE" w:rsidRDefault="00BE1EFE">
      <w:pPr>
        <w:pStyle w:val="berschrift6"/>
      </w:pPr>
      <w:bookmarkStart w:id="662" w:name="_Toc523926201"/>
      <w:r>
        <w:t>§ 21 Abrechnung unständiger Bezügebestandteile</w:t>
      </w:r>
      <w:bookmarkEnd w:id="6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Bezüge im Sinne des </w:t>
      </w:r>
      <w:hyperlink r:id="rId565" w:history="1">
        <w:r w:rsidRPr="002D1F1D">
          <w:rPr>
            <w:rStyle w:val="Hyperlink"/>
          </w:rPr>
          <w:t>§ 36 Absatz 1 Unterabsatz 2 Teil A, 1.</w:t>
        </w:r>
      </w:hyperlink>
      <w:r>
        <w:t xml:space="preserve"> in der bis zum 30.09.2005 geltenden Fassung, § 31 Absatz 2 Unterabsatz 2 </w:t>
      </w:r>
      <w:hyperlink r:id="rId566" w:history="1">
        <w:r w:rsidRPr="00F036F8">
          <w:rPr>
            <w:rStyle w:val="Hyperlink"/>
          </w:rPr>
          <w:t>Teil B, 1</w:t>
        </w:r>
      </w:hyperlink>
      <w:r>
        <w:t xml:space="preserve">. in der bis zum 30.09.2005 </w:t>
      </w:r>
      <w:r>
        <w:lastRenderedPageBreak/>
        <w:t>geltenden Fassung für Arbeitsleistungen bis zum 30. September 2005 werden nach den bis dahin jeweils geltenden Regelungen abgerechnet, als ob das Arbeitsverhältnis mit Ablauf des 30. September 2005 beendet worden wäre.</w:t>
      </w:r>
    </w:p>
    <w:p w:rsidR="00BE1EFE" w:rsidRDefault="00BE1EFE">
      <w:pPr>
        <w:pStyle w:val="berschrift6"/>
      </w:pPr>
      <w:bookmarkStart w:id="663" w:name="_Toc523926202"/>
      <w:r>
        <w:t>§ 22 Bereitschaftszeiten</w:t>
      </w:r>
      <w:bookmarkEnd w:id="66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Nr. 3 SR 2r Teil A in der bis zum 30.09.2005 geltenden Fassung für Hausmeister und entsprechende Arbeitsvertragsregelungen für Beschäftigtengruppen mit Bereitschaftszeiten innerhalb ihrer regelmäßigen Arbeitszeit gelten fort. </w:t>
      </w:r>
      <w:r>
        <w:rPr>
          <w:rStyle w:val="kleinschrift"/>
        </w:rPr>
        <w:t>2</w:t>
      </w:r>
      <w:r>
        <w:t xml:space="preserve">Dem </w:t>
      </w:r>
      <w:hyperlink r:id="rId567" w:history="1">
        <w:r w:rsidRPr="002D1F1D">
          <w:rPr>
            <w:rStyle w:val="Hyperlink"/>
          </w:rPr>
          <w:t>Anhang zu § 9 Teil A, 1.</w:t>
        </w:r>
      </w:hyperlink>
      <w:r>
        <w:t xml:space="preserve"> in der ab dem 01.10.2005 geltenden Fassung widersprechende Regelungen zur Arbeitszeit sind bis zum 31. Dezember 2005 entsprechend anzupassen.</w:t>
      </w:r>
    </w:p>
    <w:p w:rsidR="00BE1EFE" w:rsidRDefault="00BE1EFE">
      <w:pPr>
        <w:pStyle w:val="berschrift6"/>
      </w:pPr>
      <w:bookmarkStart w:id="664" w:name="_Toc523926203"/>
      <w:r>
        <w:t>§ 23 Sonderregelungen für besondere Berufsgruppen</w:t>
      </w:r>
      <w:bookmarkEnd w:id="6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Überleitungs-, Übergangs- und Besitzstandsregelungen für besondere Berufsgruppen ergeben sich aus der </w:t>
      </w:r>
      <w:hyperlink r:id="rId568" w:history="1">
        <w:r w:rsidRPr="002D1F1D">
          <w:rPr>
            <w:rStyle w:val="Hyperlink"/>
          </w:rPr>
          <w:t>Anlage 5</w:t>
        </w:r>
      </w:hyperlink>
      <w:r>
        <w:t>.</w:t>
      </w:r>
    </w:p>
    <w:p w:rsidR="00BE1EFE" w:rsidRDefault="00BE1EFE">
      <w:pPr>
        <w:pStyle w:val="berschrift6"/>
      </w:pPr>
      <w:bookmarkStart w:id="665" w:name="_Toc523926204"/>
      <w:r>
        <w:t>§ 24 Einmalzahlungen für 2006 und 2007</w:t>
      </w:r>
      <w:bookmarkEnd w:id="6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von </w:t>
      </w:r>
      <w:hyperlink r:id="rId569" w:history="1">
        <w:r w:rsidRPr="002D1F1D">
          <w:rPr>
            <w:rStyle w:val="Hyperlink"/>
          </w:rPr>
          <w:t>§ 1 Absatz 1 und 2</w:t>
        </w:r>
      </w:hyperlink>
      <w:r>
        <w:t xml:space="preserve"> erfassten Beschäftigten erhalten für die Jahre 2006 und 2007 jeweils eine Einmalzahlung in Höhe von 300 Euro, die in zwei Teilbeträgen in Höhe von jeweils 150 Euro mit den Bezügen für die Monate April und Juli der Jahre 2006 und 2007 ausgezahlt wird.</w:t>
      </w:r>
    </w:p>
    <w:p w:rsidR="00BE1EFE" w:rsidRPr="000B1AF8" w:rsidRDefault="00BE1EFE">
      <w:pPr>
        <w:pStyle w:val="StandardWeb"/>
      </w:pPr>
    </w:p>
    <w:p w:rsidR="00BE1EFE" w:rsidRDefault="00BE1EFE">
      <w:pPr>
        <w:pStyle w:val="StandardWeb"/>
      </w:pPr>
      <w:r>
        <w:t>(2) </w:t>
      </w:r>
      <w:r>
        <w:rPr>
          <w:rStyle w:val="kleinschrift"/>
        </w:rPr>
        <w:t>1</w:t>
      </w:r>
      <w:r>
        <w:t xml:space="preserve">Der Anspruch auf die Teilbeträge nach Absatz 1 besteht, wenn die/der Beschäftigte an mindestens einem Tag des jeweiligen Fälligkeitsmonats Anspruch auf Bezüge (Entgelt, Urlaubsentgelt oder Entgelt im Krankheitsfall) hat; dies gilt auch für Kalendermonate, in denen nur wegen der Höhe der Barleistungen des Sozialversicherungsträgers Krankengeldzuschuss nicht gezahlt wird. </w:t>
      </w:r>
      <w:r>
        <w:rPr>
          <w:rStyle w:val="kleinschrift"/>
        </w:rPr>
        <w:t>2</w:t>
      </w:r>
      <w:r>
        <w:t xml:space="preserve">Die jeweiligen Teilbeträge werden auch gezahlt, wenn eine Beschäftigte wegen der Beschäftigungsverbote nach </w:t>
      </w:r>
      <w:hyperlink r:id="rId570" w:history="1">
        <w:r w:rsidRPr="00F036F8">
          <w:rPr>
            <w:rStyle w:val="Hyperlink"/>
          </w:rPr>
          <w:t>§ 3 Absatz 2</w:t>
        </w:r>
      </w:hyperlink>
      <w:r w:rsidRPr="00F036F8">
        <w:t xml:space="preserve"> und </w:t>
      </w:r>
      <w:hyperlink r:id="rId571" w:history="1">
        <w:r w:rsidRPr="00F036F8">
          <w:rPr>
            <w:rStyle w:val="Hyperlink"/>
          </w:rPr>
          <w:t>§ 6 Absatz 1 des Mutterschutz</w:t>
        </w:r>
        <w:r w:rsidRPr="00F036F8">
          <w:rPr>
            <w:rStyle w:val="Hyperlink"/>
          </w:rPr>
          <w:softHyphen/>
          <w:t>gesetzes</w:t>
        </w:r>
      </w:hyperlink>
      <w:r>
        <w:t xml:space="preserve"> in dem jeweiligen Fälligkeitsmonat keine Bezüge erhalten hat.</w:t>
      </w:r>
    </w:p>
    <w:p w:rsidR="00BE1EFE" w:rsidRDefault="00BE1EFE">
      <w:pPr>
        <w:pStyle w:val="StandardWeb"/>
      </w:pPr>
    </w:p>
    <w:p w:rsidR="00BE1EFE" w:rsidRDefault="00BE1EFE">
      <w:pPr>
        <w:pStyle w:val="StandardWeb"/>
      </w:pPr>
      <w:r>
        <w:t>(3) </w:t>
      </w:r>
      <w:r>
        <w:rPr>
          <w:rStyle w:val="kleinschrift"/>
        </w:rPr>
        <w:t>1</w:t>
      </w:r>
      <w:r>
        <w:t xml:space="preserve">Nichtvollbeschäftigte erhalten den jeweiligen Teilbetrag der Einmalzahlung, der dem Verhältnis der mit ihnen vereinbarten durchschnittlichen Arbeitszeit zu der regelmäßigen wöchentlichen Arbeitszeit eines entsprechenden Vollbeschäftigten entspricht. </w:t>
      </w:r>
      <w:r>
        <w:rPr>
          <w:rStyle w:val="kleinschrift"/>
        </w:rPr>
        <w:t>2</w:t>
      </w:r>
      <w:r>
        <w:t>Maßgebend sind die jeweiligen Verhältnisse am 1. April bzw. 1. Juli.</w:t>
      </w:r>
    </w:p>
    <w:p w:rsidR="00BE1EFE" w:rsidRDefault="00BE1EFE">
      <w:pPr>
        <w:pStyle w:val="StandardWeb"/>
      </w:pPr>
    </w:p>
    <w:p w:rsidR="00BE1EFE" w:rsidRDefault="00BE1EFE">
      <w:pPr>
        <w:pStyle w:val="StandardWeb"/>
      </w:pPr>
      <w:r>
        <w:t>(4) Die Einmalzahlungen sind bei der Bemessung sonstiger Leistungen nicht zu berücksichtigen.</w:t>
      </w:r>
    </w:p>
    <w:p w:rsidR="00BE1EFE" w:rsidRDefault="00BE1EFE" w:rsidP="005B409E">
      <w:pPr>
        <w:pStyle w:val="StandardWeb"/>
      </w:pPr>
      <w:r>
        <w:br w:type="page"/>
      </w:r>
    </w:p>
    <w:p w:rsidR="00BE1EFE" w:rsidRDefault="00BE1EFE" w:rsidP="005B409E">
      <w:pPr>
        <w:pStyle w:val="berschrift5"/>
        <w:spacing w:before="0"/>
      </w:pPr>
      <w:bookmarkStart w:id="666" w:name="_Toc523926205"/>
      <w:r>
        <w:lastRenderedPageBreak/>
        <w:t>Abschnitt IVa: Besondere Regelungen für Beschäftigte im Sozial- und Erziehungsdienst (§ 24a-24b)</w:t>
      </w:r>
      <w:bookmarkEnd w:id="666"/>
    </w:p>
    <w:p w:rsidR="00BE1EFE" w:rsidRDefault="00BE1EFE">
      <w:pPr>
        <w:pStyle w:val="berschrift6"/>
      </w:pPr>
      <w:bookmarkStart w:id="667" w:name="_Toc523926206"/>
      <w:r>
        <w:t>§ 24a Überleitung der Beschäftigten in die Anlage F zum Teil A, 1. und weitere Regelungen</w:t>
      </w:r>
      <w:bookmarkEnd w:id="667"/>
    </w:p>
    <w:p w:rsidR="00BE1EFE" w:rsidRPr="00B76821" w:rsidRDefault="00BE1EFE" w:rsidP="00B76821">
      <w:pPr>
        <w:pStyle w:val="h7"/>
        <w:keepNext w:val="0"/>
        <w:spacing w:before="0" w:after="0"/>
        <w:jc w:val="left"/>
        <w:outlineLvl w:val="5"/>
        <w:rPr>
          <w:sz w:val="2"/>
        </w:rPr>
      </w:pPr>
    </w:p>
    <w:p w:rsidR="00BE1EFE" w:rsidRPr="000B1AF8" w:rsidRDefault="00BE1EFE" w:rsidP="006731BD">
      <w:pPr>
        <w:spacing w:before="100" w:beforeAutospacing="1"/>
        <w:jc w:val="both"/>
      </w:pPr>
      <w:r>
        <w:t>(1) </w:t>
      </w:r>
      <w:r>
        <w:rPr>
          <w:rStyle w:val="kleinschrift"/>
        </w:rPr>
        <w:t>1</w:t>
      </w:r>
      <w:r>
        <w:t xml:space="preserve">Die unter den </w:t>
      </w:r>
      <w:hyperlink r:id="rId572" w:history="1">
        <w:r w:rsidRPr="002D1F1D">
          <w:rPr>
            <w:rStyle w:val="Hyperlink"/>
          </w:rPr>
          <w:t>Anhang zu der Anlage F zum Teil A, 1.</w:t>
        </w:r>
      </w:hyperlink>
      <w:r w:rsidRPr="007B3270">
        <w:rPr>
          <w:vertAlign w:val="superscript"/>
        </w:rPr>
        <w:t>1</w:t>
      </w:r>
      <w:r>
        <w:t xml:space="preserve"> fallenden Beschäftigten (§ 1 Absatz 1 und 2) werden am 1. November 2009 in die Entgeltgruppe, in der sie nach dem </w:t>
      </w:r>
      <w:hyperlink r:id="rId573" w:history="1">
        <w:r w:rsidRPr="002D1F1D">
          <w:rPr>
            <w:rStyle w:val="Hyperlink"/>
          </w:rPr>
          <w:t>Anhang zu der Anlage F zum Teil A, 1.</w:t>
        </w:r>
      </w:hyperlink>
      <w:r w:rsidRPr="007B3270">
        <w:rPr>
          <w:vertAlign w:val="superscript"/>
        </w:rPr>
        <w:t>1</w:t>
      </w:r>
      <w:r>
        <w:t xml:space="preserve"> eingruppiert sind, übergeleitet. </w:t>
      </w:r>
      <w:r>
        <w:rPr>
          <w:rStyle w:val="kleinschrift"/>
        </w:rPr>
        <w:t>2</w:t>
      </w:r>
      <w:r>
        <w:t xml:space="preserve">Die Stufenzuordnung in der neuen Entgeltgruppe bestimmt sich nach Absatz 2, das der/dem Beschäftigten in der neuen Entgeltgruppe und Stufe zustehende Entgelt nach den Absätzen 3 und 4. </w:t>
      </w:r>
      <w:r>
        <w:rPr>
          <w:rStyle w:val="kleinschrift"/>
        </w:rPr>
        <w:t>3</w:t>
      </w:r>
      <w:r>
        <w:t>Die Absätze 5 bis 10 bleiben unberührt.</w:t>
      </w:r>
    </w:p>
    <w:p w:rsidR="00BE1EFE" w:rsidRDefault="00BE1EFE" w:rsidP="006731BD">
      <w:pPr>
        <w:pStyle w:val="StandardWeb"/>
      </w:pPr>
      <w:r>
        <w:t>(2) </w:t>
      </w:r>
      <w:r>
        <w:rPr>
          <w:rStyle w:val="kleinschrift"/>
        </w:rPr>
        <w:t>1</w:t>
      </w:r>
      <w:r>
        <w:t xml:space="preserve">Die Beschäftigten werden wie folgt einer Stufe und innerhalb dieser Stufe dem Jahr der Stufenlaufzeit ihrer Entgeltgruppe, in der sie gemäß dem </w:t>
      </w:r>
      <w:hyperlink r:id="rId574" w:history="1">
        <w:r w:rsidRPr="002D1F1D">
          <w:rPr>
            <w:rStyle w:val="Hyperlink"/>
          </w:rPr>
          <w:t>Anhang der Anlage F zum Teil A, 1</w:t>
        </w:r>
      </w:hyperlink>
      <w:r>
        <w:t>.</w:t>
      </w:r>
      <w:r w:rsidRPr="007B3270">
        <w:rPr>
          <w:vertAlign w:val="superscript"/>
        </w:rPr>
        <w:t>1</w:t>
      </w:r>
      <w:r>
        <w:t xml:space="preserve"> eingruppiert sind, zugeordnet:</w:t>
      </w:r>
    </w:p>
    <w:p w:rsidR="00BE1EFE" w:rsidRDefault="00BE1EFE" w:rsidP="00DC7776"/>
    <w:tbl>
      <w:tblPr>
        <w:tblW w:w="2595" w:type="dxa"/>
        <w:jc w:val="center"/>
        <w:tblCellMar>
          <w:left w:w="0" w:type="dxa"/>
          <w:right w:w="0" w:type="dxa"/>
        </w:tblCellMar>
        <w:tblLook w:val="04A0" w:firstRow="1" w:lastRow="0" w:firstColumn="1" w:lastColumn="0" w:noHBand="0" w:noVBand="1"/>
      </w:tblPr>
      <w:tblGrid>
        <w:gridCol w:w="1277"/>
        <w:gridCol w:w="1263"/>
        <w:gridCol w:w="55"/>
      </w:tblGrid>
      <w:tr w:rsidR="00BE1EFE" w:rsidTr="00766C9B">
        <w:trPr>
          <w:trHeight w:hRule="exact" w:val="227"/>
          <w:jc w:val="center"/>
        </w:trPr>
        <w:tc>
          <w:tcPr>
            <w:tcW w:w="1277"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hideMark/>
          </w:tcPr>
          <w:p w:rsidR="00BE1EFE" w:rsidRPr="000B1AF8" w:rsidRDefault="00BE1EFE">
            <w:pPr>
              <w:pStyle w:val="StandardWeb"/>
              <w:jc w:val="center"/>
            </w:pPr>
            <w:r>
              <w:t>bisherige Stufe und Jahr innerhalb der Stufe</w:t>
            </w:r>
          </w:p>
        </w:tc>
        <w:tc>
          <w:tcPr>
            <w:tcW w:w="1263"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BE1EFE" w:rsidRPr="000B1AF8" w:rsidRDefault="00BE1EFE">
            <w:pPr>
              <w:pStyle w:val="StandardWeb"/>
              <w:jc w:val="center"/>
            </w:pPr>
            <w:r>
              <w:t>neue Stufe und Jahr</w:t>
            </w:r>
          </w:p>
        </w:tc>
        <w:tc>
          <w:tcPr>
            <w:tcW w:w="55" w:type="dxa"/>
            <w:vAlign w:val="center"/>
            <w:hideMark/>
          </w:tcPr>
          <w:p w:rsidR="00BE1EFE" w:rsidRDefault="00BE1EFE">
            <w:pPr>
              <w:rPr>
                <w:sz w:val="24"/>
              </w:rPr>
            </w:pPr>
            <w:r>
              <w:t> </w:t>
            </w:r>
          </w:p>
        </w:tc>
      </w:tr>
      <w:tr w:rsidR="00BE1EFE" w:rsidTr="00766C9B">
        <w:trPr>
          <w:trHeight w:val="49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single" w:sz="8" w:space="0" w:color="auto"/>
              <w:right w:val="single" w:sz="8" w:space="0" w:color="auto"/>
            </w:tcBorders>
            <w:vAlign w:val="center"/>
            <w:hideMark/>
          </w:tcPr>
          <w:p w:rsidR="00BE1EFE" w:rsidRPr="000B1AF8" w:rsidRDefault="00BE1EFE">
            <w:pPr>
              <w:rPr>
                <w:sz w:val="24"/>
              </w:rPr>
            </w:pPr>
          </w:p>
        </w:tc>
        <w:tc>
          <w:tcPr>
            <w:tcW w:w="55" w:type="dxa"/>
            <w:vAlign w:val="center"/>
            <w:hideMark/>
          </w:tcPr>
          <w:p w:rsidR="00BE1EFE" w:rsidRDefault="00BE1EFE">
            <w:r>
              <w:t xml:space="preserve">  </w:t>
            </w:r>
          </w:p>
          <w:p w:rsidR="00BE1EFE" w:rsidRDefault="00BE1EFE"/>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1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1</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2/1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2/1</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2/2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2/2</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3/1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2/3</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3/2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3/1</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3/3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3/2</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4/1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3/3</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4/2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3/4</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4/3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4/1</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4/4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4/2</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5/1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4/3</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5/2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4/4</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5/3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5/1</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5/4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5/2</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5/5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5/3</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6/1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5/4</w:t>
            </w:r>
          </w:p>
        </w:tc>
        <w:tc>
          <w:tcPr>
            <w:tcW w:w="55" w:type="dxa"/>
            <w:vAlign w:val="center"/>
            <w:hideMark/>
          </w:tcPr>
          <w:p w:rsidR="00BE1EFE" w:rsidRDefault="00BE1EFE">
            <w:pPr>
              <w:rPr>
                <w:sz w:val="24"/>
              </w:rPr>
            </w:pPr>
            <w:r>
              <w:t> </w:t>
            </w:r>
          </w:p>
        </w:tc>
      </w:tr>
      <w:tr w:rsidR="00BE1EFE" w:rsidTr="00E87479">
        <w:trPr>
          <w:trHeight w:val="270"/>
          <w:jc w:val="center"/>
        </w:trPr>
        <w:tc>
          <w:tcPr>
            <w:tcW w:w="127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6/2 →</w:t>
            </w:r>
          </w:p>
        </w:tc>
        <w:tc>
          <w:tcPr>
            <w:tcW w:w="12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5/5.</w:t>
            </w:r>
          </w:p>
        </w:tc>
        <w:tc>
          <w:tcPr>
            <w:tcW w:w="55" w:type="dxa"/>
            <w:vAlign w:val="center"/>
            <w:hideMark/>
          </w:tcPr>
          <w:p w:rsidR="00BE1EFE" w:rsidRDefault="00BE1EFE">
            <w:pPr>
              <w:rPr>
                <w:sz w:val="24"/>
              </w:rPr>
            </w:pPr>
            <w:r>
              <w:t> </w:t>
            </w:r>
          </w:p>
        </w:tc>
      </w:tr>
    </w:tbl>
    <w:p w:rsidR="00BE1EFE" w:rsidRDefault="00BE1EFE" w:rsidP="00766C9B">
      <w:pPr>
        <w:jc w:val="both"/>
      </w:pPr>
      <w:r>
        <w:rPr>
          <w:rStyle w:val="kleinschrift"/>
        </w:rPr>
        <w:t>2</w:t>
      </w:r>
      <w:r>
        <w:t xml:space="preserve">Beschäftigte, die in ihrer bisherigen Entgeltgruppe in der Stufe 6 mindestens zwei Jahre zurückgelegt haben, werden der Stufe 6 zugeordnet. </w:t>
      </w:r>
      <w:r w:rsidRPr="000E20E3">
        <w:rPr>
          <w:sz w:val="12"/>
          <w:szCs w:val="12"/>
        </w:rPr>
        <w:t>3</w:t>
      </w:r>
      <w:hyperlink r:id="rId575" w:history="1">
        <w:r w:rsidRPr="000E20E3">
          <w:rPr>
            <w:rStyle w:val="Hyperlink"/>
          </w:rPr>
          <w:t xml:space="preserve">§ 1 </w:t>
        </w:r>
        <w:r>
          <w:rPr>
            <w:rStyle w:val="Hyperlink"/>
          </w:rPr>
          <w:t>Absatz</w:t>
        </w:r>
        <w:r w:rsidRPr="000E20E3">
          <w:rPr>
            <w:rStyle w:val="Hyperlink"/>
          </w:rPr>
          <w:t xml:space="preserve"> 2 Satz 7 der Anlage zu § 44 Teil A, 1.</w:t>
        </w:r>
      </w:hyperlink>
      <w:r>
        <w:t xml:space="preserve"> bleibt unberührt. </w:t>
      </w:r>
      <w:r>
        <w:rPr>
          <w:rStyle w:val="kleinschrift"/>
        </w:rPr>
        <w:t>4</w:t>
      </w:r>
      <w:r>
        <w:t xml:space="preserve">Für Beschäftigte der bisherigen Entgeltgruppe 8, die in der </w:t>
      </w:r>
      <w:r>
        <w:lastRenderedPageBreak/>
        <w:t xml:space="preserve">Entgeltgruppe S 8 eingruppiert sind, gilt Satz 1 mit der Maßgabe, dass die verlängerte Stufenlaufzeit in den Stufen 4 und 5 gemäß </w:t>
      </w:r>
      <w:hyperlink r:id="rId576" w:history="1">
        <w:r w:rsidRPr="000E20E3">
          <w:rPr>
            <w:rStyle w:val="Hyperlink"/>
          </w:rPr>
          <w:t xml:space="preserve">§ 1 </w:t>
        </w:r>
        <w:r>
          <w:rPr>
            <w:rStyle w:val="Hyperlink"/>
          </w:rPr>
          <w:t>Absatz</w:t>
        </w:r>
        <w:r w:rsidRPr="000E20E3">
          <w:rPr>
            <w:rStyle w:val="Hyperlink"/>
          </w:rPr>
          <w:t xml:space="preserve"> 2 Satz 8 der Anlage zu § 44 Teil A, 1.</w:t>
        </w:r>
      </w:hyperlink>
      <w:r>
        <w:t xml:space="preserve"> bei der Stufenzuordnung zu berücksichtigen ist. </w:t>
      </w:r>
      <w:r w:rsidRPr="00766C9B">
        <w:rPr>
          <w:sz w:val="12"/>
        </w:rPr>
        <w:t>5</w:t>
      </w:r>
      <w:r>
        <w:t>Abweichend von Satz 1 werden Beschäftigte der bisherigen Entgeltgruppe 9, die in der Entgeltgruppe S 8 eingruppiert sind, wie folgt einer Stufe und innerhalb dieser Stufe dem Jahr der Stufenlaufzeit ihrer Entgeltgruppe zugeordnet:</w:t>
      </w:r>
    </w:p>
    <w:p w:rsidR="00BE1EFE" w:rsidRPr="00C24555" w:rsidRDefault="00BE1EFE">
      <w:pPr>
        <w:pStyle w:val="StandardWeb"/>
        <w:rPr>
          <w:szCs w:val="16"/>
        </w:rPr>
      </w:pPr>
    </w:p>
    <w:tbl>
      <w:tblPr>
        <w:tblW w:w="2685" w:type="dxa"/>
        <w:jc w:val="center"/>
        <w:tblCellMar>
          <w:left w:w="0" w:type="dxa"/>
          <w:right w:w="0" w:type="dxa"/>
        </w:tblCellMar>
        <w:tblLook w:val="04A0" w:firstRow="1" w:lastRow="0" w:firstColumn="1" w:lastColumn="0" w:noHBand="0" w:noVBand="1"/>
      </w:tblPr>
      <w:tblGrid>
        <w:gridCol w:w="1320"/>
        <w:gridCol w:w="1310"/>
        <w:gridCol w:w="55"/>
      </w:tblGrid>
      <w:tr w:rsidR="00BE1EFE" w:rsidTr="00C24555">
        <w:trPr>
          <w:trHeight w:val="227"/>
          <w:jc w:val="center"/>
        </w:trPr>
        <w:tc>
          <w:tcPr>
            <w:tcW w:w="1320"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Default="00BE1EFE" w:rsidP="00F64B6E">
            <w:pPr>
              <w:pStyle w:val="StandardWeb"/>
              <w:jc w:val="center"/>
            </w:pPr>
            <w:r>
              <w:t xml:space="preserve">bisherige Stufe und Jahr </w:t>
            </w:r>
          </w:p>
          <w:p w:rsidR="00BE1EFE" w:rsidRPr="000B1AF8" w:rsidRDefault="00BE1EFE" w:rsidP="00F64B6E">
            <w:pPr>
              <w:pStyle w:val="StandardWeb"/>
              <w:jc w:val="center"/>
            </w:pPr>
            <w:r>
              <w:t>innerhalb der Stufe</w:t>
            </w:r>
          </w:p>
        </w:tc>
        <w:tc>
          <w:tcPr>
            <w:tcW w:w="131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F64B6E">
            <w:pPr>
              <w:pStyle w:val="StandardWeb"/>
              <w:jc w:val="center"/>
            </w:pPr>
            <w:r>
              <w:t>neue Stufe und Jahr</w:t>
            </w:r>
          </w:p>
        </w:tc>
        <w:tc>
          <w:tcPr>
            <w:tcW w:w="55" w:type="dxa"/>
            <w:vAlign w:val="center"/>
            <w:hideMark/>
          </w:tcPr>
          <w:p w:rsidR="00BE1EFE" w:rsidRDefault="00BE1EFE">
            <w:pPr>
              <w:rPr>
                <w:sz w:val="24"/>
              </w:rPr>
            </w:pPr>
            <w:r>
              <w:t> </w:t>
            </w:r>
          </w:p>
        </w:tc>
      </w:tr>
      <w:tr w:rsidR="00BE1EFE" w:rsidTr="00C24555">
        <w:trPr>
          <w:trHeight w:val="48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single" w:sz="8" w:space="0" w:color="auto"/>
              <w:right w:val="single" w:sz="8" w:space="0" w:color="auto"/>
            </w:tcBorders>
            <w:vAlign w:val="center"/>
            <w:hideMark/>
          </w:tcPr>
          <w:p w:rsidR="00BE1EFE" w:rsidRPr="000B1AF8" w:rsidRDefault="00BE1EFE">
            <w:pPr>
              <w:rPr>
                <w:sz w:val="24"/>
              </w:rPr>
            </w:pPr>
          </w:p>
        </w:tc>
        <w:tc>
          <w:tcPr>
            <w:tcW w:w="55" w:type="dxa"/>
            <w:vAlign w:val="center"/>
            <w:hideMark/>
          </w:tcPr>
          <w:p w:rsidR="00BE1EFE" w:rsidRDefault="00BE1EFE">
            <w:r>
              <w:t xml:space="preserve">  </w:t>
            </w:r>
          </w:p>
          <w:p w:rsidR="00BE1EFE" w:rsidRDefault="00BE1EFE"/>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1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1</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2/1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2/1</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2/2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2/2</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3/1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2/3</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3/2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3/1</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3/3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3/2</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4/1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3/3</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4/2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3/4</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4/3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4/1</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4/4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4/2</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4/5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4/3</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4/6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4/4</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4/7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4/5</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4/8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4/6</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4/9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4/7</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5/1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4/8</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5/2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5/1</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5/3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5/2</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5/4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5/3</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5/5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5/4</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5/6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5/5</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5/7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5/6</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5/8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5/7</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5/9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5/8</w:t>
            </w:r>
          </w:p>
        </w:tc>
        <w:tc>
          <w:tcPr>
            <w:tcW w:w="55" w:type="dxa"/>
            <w:vAlign w:val="center"/>
            <w:hideMark/>
          </w:tcPr>
          <w:p w:rsidR="00BE1EFE" w:rsidRDefault="00BE1EFE">
            <w:pPr>
              <w:rPr>
                <w:sz w:val="24"/>
              </w:rPr>
            </w:pPr>
            <w:r>
              <w:t> </w:t>
            </w:r>
          </w:p>
        </w:tc>
      </w:tr>
      <w:tr w:rsidR="00BE1EFE" w:rsidTr="00E87479">
        <w:trPr>
          <w:trHeight w:val="227"/>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5/10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5/9</w:t>
            </w:r>
          </w:p>
        </w:tc>
        <w:tc>
          <w:tcPr>
            <w:tcW w:w="55" w:type="dxa"/>
            <w:vAlign w:val="center"/>
            <w:hideMark/>
          </w:tcPr>
          <w:p w:rsidR="00BE1EFE" w:rsidRDefault="00BE1EFE">
            <w:pPr>
              <w:rPr>
                <w:sz w:val="24"/>
              </w:rPr>
            </w:pPr>
            <w:r>
              <w:t> </w:t>
            </w:r>
          </w:p>
        </w:tc>
      </w:tr>
      <w:tr w:rsidR="00BE1EFE" w:rsidTr="00E87479">
        <w:trPr>
          <w:trHeight w:val="270"/>
          <w:jc w:val="center"/>
        </w:trPr>
        <w:tc>
          <w:tcPr>
            <w:tcW w:w="132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5/11 →</w:t>
            </w:r>
          </w:p>
        </w:tc>
        <w:tc>
          <w:tcPr>
            <w:tcW w:w="131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jc w:val="center"/>
            </w:pPr>
            <w:r>
              <w:t>5/10.</w:t>
            </w:r>
          </w:p>
        </w:tc>
        <w:tc>
          <w:tcPr>
            <w:tcW w:w="55" w:type="dxa"/>
            <w:vAlign w:val="center"/>
            <w:hideMark/>
          </w:tcPr>
          <w:p w:rsidR="00BE1EFE" w:rsidRDefault="00BE1EFE">
            <w:pPr>
              <w:rPr>
                <w:sz w:val="24"/>
              </w:rPr>
            </w:pPr>
            <w:r>
              <w:t> </w:t>
            </w:r>
          </w:p>
        </w:tc>
      </w:tr>
    </w:tbl>
    <w:p w:rsidR="00BE1EFE" w:rsidRPr="0087617A" w:rsidRDefault="00BE1EFE">
      <w:pPr>
        <w:pStyle w:val="StandardWeb"/>
        <w:rPr>
          <w:sz w:val="8"/>
          <w:szCs w:val="8"/>
        </w:rPr>
      </w:pPr>
    </w:p>
    <w:p w:rsidR="00BE1EFE" w:rsidRDefault="00BE1EFE">
      <w:pPr>
        <w:pStyle w:val="StandardWeb"/>
      </w:pPr>
      <w:r>
        <w:rPr>
          <w:rStyle w:val="kleinschrift"/>
        </w:rPr>
        <w:t>6</w:t>
      </w:r>
      <w:r>
        <w:t xml:space="preserve">Beschäftigte, die in ihrer bisherigen Entgeltgruppe in der Stufe 5 mindestens elf Jahre zurückgelegt haben, werden der Stufe 6 zugeordnet. </w:t>
      </w:r>
      <w:r>
        <w:rPr>
          <w:rStyle w:val="kleinschrift"/>
        </w:rPr>
        <w:t>7</w:t>
      </w:r>
      <w:r>
        <w:t>Für Beschäftigte der bisherigen Entgelt</w:t>
      </w:r>
      <w:r>
        <w:softHyphen/>
        <w:t xml:space="preserve">gruppe 9, die in der Entgeltgruppe S 9 eingruppiert sind, gilt Satz 4 mit der Maßgabe, dass die Stufenlaufzeiten gemäß </w:t>
      </w:r>
      <w:hyperlink r:id="rId577" w:history="1">
        <w:r w:rsidRPr="002D1F1D">
          <w:rPr>
            <w:rStyle w:val="Hyperlink"/>
          </w:rPr>
          <w:t xml:space="preserve">§ 1 </w:t>
        </w:r>
        <w:r>
          <w:rPr>
            <w:rStyle w:val="Hyperlink"/>
          </w:rPr>
          <w:t>Absatz</w:t>
        </w:r>
        <w:r w:rsidRPr="002D1F1D">
          <w:rPr>
            <w:rStyle w:val="Hyperlink"/>
          </w:rPr>
          <w:t xml:space="preserve"> 2 Satz 6 der Anlage zu § 44 Teil A, 1.</w:t>
        </w:r>
      </w:hyperlink>
      <w:r w:rsidRPr="002D1F1D">
        <w:t xml:space="preserve"> </w:t>
      </w:r>
      <w:r>
        <w:t>bei der Stufen</w:t>
      </w:r>
      <w:r>
        <w:softHyphen/>
        <w:t xml:space="preserve">zuordnung zu berücksichtigen sind. </w:t>
      </w:r>
      <w:r>
        <w:rPr>
          <w:rStyle w:val="kleinschrift"/>
        </w:rPr>
        <w:t>8</w:t>
      </w:r>
      <w:r>
        <w:t>Maßgeblich sind dabei ausschließlich die in der bishe</w:t>
      </w:r>
      <w:r>
        <w:softHyphen/>
        <w:t xml:space="preserve">rigen Entgeltgruppe erreichte Stufe und die in dieser Stufe zurückgelegte Laufzeit. </w:t>
      </w:r>
      <w:r>
        <w:rPr>
          <w:rStyle w:val="kleinschrift"/>
        </w:rPr>
        <w:t>9</w:t>
      </w:r>
      <w:r>
        <w:t xml:space="preserve">Innerhalb des nach Satz 1, Satz 4, Satz 5 oder Satz 7 zugeordneten Jahres der Stufenlaufzeit ist die in </w:t>
      </w:r>
      <w:r>
        <w:lastRenderedPageBreak/>
        <w:t xml:space="preserve">der bisherigen Stufe unterhalb eines vollen Jahres zurückgelegte Zeit für den Aufstieg in das nächste Jahr der Stufenlaufzeit bzw. in eine höhere Stufe zu berücksichtigen. </w:t>
      </w:r>
      <w:r>
        <w:rPr>
          <w:rStyle w:val="kleinschrift"/>
        </w:rPr>
        <w:t>10</w:t>
      </w:r>
      <w:r>
        <w:t xml:space="preserve">Der weitere Stufenaufstieg richtet sich nach </w:t>
      </w:r>
      <w:hyperlink r:id="rId578" w:history="1">
        <w:r w:rsidRPr="002D1F1D">
          <w:rPr>
            <w:rStyle w:val="Hyperlink"/>
          </w:rPr>
          <w:t xml:space="preserve">§ 1 </w:t>
        </w:r>
        <w:r>
          <w:rPr>
            <w:rStyle w:val="Hyperlink"/>
          </w:rPr>
          <w:t>Absatz</w:t>
        </w:r>
        <w:r w:rsidRPr="002D1F1D">
          <w:rPr>
            <w:rStyle w:val="Hyperlink"/>
          </w:rPr>
          <w:t xml:space="preserve"> 2 Satz 6 bis 8 der Anlage zu § 44 Teil A, 1.</w:t>
        </w:r>
      </w:hyperlink>
    </w:p>
    <w:p w:rsidR="00BE1EFE" w:rsidRDefault="00BE1EFE">
      <w:pPr>
        <w:pStyle w:val="StandardWeb"/>
      </w:pPr>
    </w:p>
    <w:p w:rsidR="00BE1EFE" w:rsidRDefault="00BE1EFE">
      <w:pPr>
        <w:pStyle w:val="StandardWeb"/>
      </w:pPr>
      <w:r>
        <w:t>(3) </w:t>
      </w:r>
      <w:r>
        <w:rPr>
          <w:rStyle w:val="kleinschrift"/>
        </w:rPr>
        <w:t>1</w:t>
      </w:r>
      <w:r>
        <w:t xml:space="preserve">Es wird ein Vergleichsentgelt gebildet, das sich aus dem am 31. Oktober 2009 zustehenden Tabellenentgelt oder aus dem Entgelt einer individuellen Endstufe einschließlich eines nach </w:t>
      </w:r>
      <w:hyperlink r:id="rId579" w:history="1">
        <w:r w:rsidRPr="002D1F1D">
          <w:rPr>
            <w:rStyle w:val="Hyperlink"/>
          </w:rPr>
          <w:t xml:space="preserve">§ 17 </w:t>
        </w:r>
        <w:r>
          <w:rPr>
            <w:rStyle w:val="Hyperlink"/>
          </w:rPr>
          <w:t>Absatz</w:t>
        </w:r>
        <w:r w:rsidRPr="002D1F1D">
          <w:rPr>
            <w:rStyle w:val="Hyperlink"/>
          </w:rPr>
          <w:t xml:space="preserve"> 4 Satz 2 Teil A, 1.</w:t>
        </w:r>
      </w:hyperlink>
      <w:r w:rsidRPr="002D1F1D">
        <w:t xml:space="preserve"> </w:t>
      </w:r>
      <w:r>
        <w:t xml:space="preserve">gegebenenfalls zustehenden Garantiebetrages sowie einer am 31. Oktober 2009 nach </w:t>
      </w:r>
      <w:hyperlink r:id="rId580" w:history="1">
        <w:r w:rsidRPr="002D1F1D">
          <w:rPr>
            <w:rStyle w:val="Hyperlink"/>
          </w:rPr>
          <w:t>§ 9</w:t>
        </w:r>
      </w:hyperlink>
      <w:r>
        <w:t xml:space="preserve"> oder</w:t>
      </w:r>
      <w:hyperlink r:id="rId581" w:history="1">
        <w:r w:rsidRPr="002D1F1D">
          <w:rPr>
            <w:rStyle w:val="Hyperlink"/>
          </w:rPr>
          <w:t xml:space="preserve"> § 17 </w:t>
        </w:r>
        <w:r>
          <w:rPr>
            <w:rStyle w:val="Hyperlink"/>
          </w:rPr>
          <w:t>Absatz</w:t>
        </w:r>
        <w:r w:rsidRPr="002D1F1D">
          <w:rPr>
            <w:rStyle w:val="Hyperlink"/>
          </w:rPr>
          <w:t xml:space="preserve"> 5 Satz 2</w:t>
        </w:r>
      </w:hyperlink>
      <w:r>
        <w:t xml:space="preserve"> zustehenden Besitzstandszulage zusammensetzt. </w:t>
      </w:r>
      <w:r>
        <w:rPr>
          <w:rStyle w:val="kleinschrift"/>
        </w:rPr>
        <w:t>2</w:t>
      </w:r>
      <w:r>
        <w:t>In den Fällen des</w:t>
      </w:r>
      <w:hyperlink r:id="rId582" w:history="1">
        <w:r w:rsidRPr="002D1F1D">
          <w:rPr>
            <w:rStyle w:val="Hyperlink"/>
          </w:rPr>
          <w:t xml:space="preserve"> § 8 </w:t>
        </w:r>
        <w:r>
          <w:rPr>
            <w:rStyle w:val="Hyperlink"/>
          </w:rPr>
          <w:t>Absatz</w:t>
        </w:r>
        <w:r w:rsidRPr="002D1F1D">
          <w:rPr>
            <w:rStyle w:val="Hyperlink"/>
          </w:rPr>
          <w:t xml:space="preserve"> 3 Satz 2</w:t>
        </w:r>
      </w:hyperlink>
      <w:r>
        <w:t xml:space="preserve"> tritt an die Stelle des Tabellenentgelts das Entgelt aus der individuellen Zwischenstufe. </w:t>
      </w:r>
      <w:r>
        <w:rPr>
          <w:rStyle w:val="kleinschrift"/>
        </w:rPr>
        <w:t>3</w:t>
      </w:r>
      <w:r>
        <w:t xml:space="preserve">Bei Teilzeitbeschäftigten wird das Vergleichsentgelt auf der Grundlage eines vergleichbaren Vollzeitbeschäftigten bestimmt, anschließend wird das zustehende Entgelt nach </w:t>
      </w:r>
      <w:hyperlink r:id="rId583" w:history="1">
        <w:r w:rsidRPr="002D1F1D">
          <w:rPr>
            <w:rStyle w:val="Hyperlink"/>
          </w:rPr>
          <w:t xml:space="preserve">§ 24 </w:t>
        </w:r>
        <w:r>
          <w:rPr>
            <w:rStyle w:val="Hyperlink"/>
          </w:rPr>
          <w:t>Absatz</w:t>
        </w:r>
        <w:r w:rsidRPr="002D1F1D">
          <w:rPr>
            <w:rStyle w:val="Hyperlink"/>
          </w:rPr>
          <w:t xml:space="preserve"> 2 Teil A, 1.</w:t>
        </w:r>
      </w:hyperlink>
      <w:r w:rsidRPr="002D1F1D">
        <w:t xml:space="preserve"> </w:t>
      </w:r>
      <w:r>
        <w:t xml:space="preserve">berechnet. </w:t>
      </w:r>
      <w:r>
        <w:rPr>
          <w:rStyle w:val="kleinschrift"/>
        </w:rPr>
        <w:t>4</w:t>
      </w:r>
      <w:r>
        <w:t xml:space="preserve">Für Beschäftigte, die nicht für alle Tage im Oktober 2009 oder für keinen Tag dieses Monats Entgelt erhalten haben, wird das Vergleichsentgelt so bestimmt, als hätten sie für alle Tage dieses Monats Entgelt erhalten. </w:t>
      </w:r>
      <w:r>
        <w:rPr>
          <w:rStyle w:val="kleinschrift"/>
        </w:rPr>
        <w:t>5</w:t>
      </w:r>
      <w:r>
        <w:t xml:space="preserve">Beschäftigte, die im November 2009 in ihrer bisherigen Entgeltgruppe bei Fortgeltung des bisherigen Rechts einen Stufenaufstieg gehabt hätten, werden für die Bemessung des Vergleichsentgelts so behandelt, als wäre der Stufenaufstieg bereits im Oktober 2009 erfolgt. </w:t>
      </w:r>
      <w:r>
        <w:rPr>
          <w:rStyle w:val="kleinschrift"/>
        </w:rPr>
        <w:t>6</w:t>
      </w:r>
      <w:r>
        <w:t>Bei am 1. Oktober 2005 vom ABD in der bis zum 30.09.2005 geltenden Fassung in das ABD in der ab dem 01.10.2005 geltenden Fassung übergeleiteten Beschäftigten, die aus den Stufen 2 bis 5 ihrer Entgeltgruppe, in der sie am 31. Oktober 2009 eingruppiert sind, übergeleitet werden, wird das Vergleichsentgelt um 2,65 v.H. erhöht.</w:t>
      </w:r>
      <w:r>
        <w:rPr>
          <w:rStyle w:val="kleinschrift"/>
        </w:rPr>
        <w:t xml:space="preserve"> 7</w:t>
      </w:r>
      <w:r>
        <w:t xml:space="preserve">Bei Beschäftigten, die am 1. Oktober 2005 vom ABD in der bis zum 30.09.2005 geltenden Fassung in das ABD in der ab dem 01.10.2005 geltenden Fassung übergeleitet wurden und die nach dem </w:t>
      </w:r>
      <w:hyperlink r:id="rId584" w:history="1">
        <w:r w:rsidRPr="000E20E3">
          <w:rPr>
            <w:rStyle w:val="Hyperlink"/>
          </w:rPr>
          <w:t>Anhang zu der Anlage F zum Teil A, 1.</w:t>
        </w:r>
      </w:hyperlink>
      <w:r w:rsidRPr="004C1E0F">
        <w:rPr>
          <w:vertAlign w:val="superscript"/>
        </w:rPr>
        <w:t>1</w:t>
      </w:r>
      <w:r>
        <w:t xml:space="preserve"> in Entgeltgruppe S 8 oder S 9 eingruppiert sind, erfolgt abweichend von Satz 6 eine Erhöhung des Vergleichsentgelts um 2,65 v.H., wenn sie aus den Stufen 2 bis 4 der Entgeltgruppe 9 übergeleitet werden.</w:t>
      </w:r>
    </w:p>
    <w:p w:rsidR="00BE1EFE" w:rsidRDefault="00BE1EFE">
      <w:pPr>
        <w:pStyle w:val="StandardWeb"/>
      </w:pPr>
    </w:p>
    <w:p w:rsidR="00BE1EFE" w:rsidRDefault="00BE1EFE">
      <w:pPr>
        <w:pStyle w:val="StandardWeb"/>
      </w:pPr>
      <w:r>
        <w:t>(4) </w:t>
      </w:r>
      <w:r>
        <w:rPr>
          <w:rStyle w:val="kleinschrift"/>
        </w:rPr>
        <w:t>1</w:t>
      </w:r>
      <w:r>
        <w:t xml:space="preserve">Ist das Vergleichsentgelt niedriger als das Tabellenentgelt der sich nach Absatz 2 ergebenden Stufe der Entgeltgruppe, in der die/der Beschäftigte am 1. November 2009 eingruppiert ist, erhält die/der Beschäftigte das entsprechende Tabellenentgelt ihrer/seiner Entgeltgruppe. </w:t>
      </w:r>
      <w:r>
        <w:rPr>
          <w:rStyle w:val="kleinschrift"/>
        </w:rPr>
        <w:t>2</w:t>
      </w:r>
      <w:r>
        <w:t xml:space="preserve">Übersteigt das Vergleichsentgelt das Tabellenentgelt der sich nach Absatz 2 ergebenden Stufe, erhält die/der Beschäftigte so lange das Vergleichsentgelt, bis das Tabellenentgelt unter Berücksichtigung der Stufenlaufzeiten nach </w:t>
      </w:r>
      <w:hyperlink r:id="rId585" w:history="1">
        <w:r w:rsidRPr="002D1F1D">
          <w:rPr>
            <w:rStyle w:val="Hyperlink"/>
          </w:rPr>
          <w:t xml:space="preserve">§ 1 </w:t>
        </w:r>
        <w:r>
          <w:rPr>
            <w:rStyle w:val="Hyperlink"/>
          </w:rPr>
          <w:t>Absatz</w:t>
        </w:r>
        <w:r w:rsidRPr="002D1F1D">
          <w:rPr>
            <w:rStyle w:val="Hyperlink"/>
          </w:rPr>
          <w:t xml:space="preserve"> 2 Satz 6 bis 8 der Anlage zu § 44 Teil A, 1.</w:t>
        </w:r>
      </w:hyperlink>
      <w:r>
        <w:t xml:space="preserve"> das Vergleichsentgelt erreicht bzw. übersteigt. </w:t>
      </w:r>
      <w:r>
        <w:rPr>
          <w:rStyle w:val="kleinschrift"/>
        </w:rPr>
        <w:t>3</w:t>
      </w:r>
      <w:r>
        <w:t xml:space="preserve">Liegt das Vergleichsentgelt über der höchsten Stufe der Entgeltgruppe, in der die/der Beschäftigte nach dem </w:t>
      </w:r>
      <w:hyperlink r:id="rId586" w:history="1">
        <w:r w:rsidRPr="002D1F1D">
          <w:rPr>
            <w:rStyle w:val="Hyperlink"/>
          </w:rPr>
          <w:t>Anhang zu der Anlage F zum Teil A, 1.</w:t>
        </w:r>
      </w:hyperlink>
      <w:r w:rsidRPr="007B3270">
        <w:rPr>
          <w:vertAlign w:val="superscript"/>
        </w:rPr>
        <w:t>1</w:t>
      </w:r>
      <w:r>
        <w:t xml:space="preserve"> eingruppiert ist, wird die/der Beschäftigte einer dem Vergleichsentgelt entsprechenden individuellen Endstufe zugeordnet. </w:t>
      </w:r>
      <w:r>
        <w:rPr>
          <w:rStyle w:val="kleinschrift"/>
        </w:rPr>
        <w:t>4</w:t>
      </w:r>
      <w:r>
        <w:t xml:space="preserve">Erhält die/der Beschäftigte am 31. Oktober 2009 Entgelt nach einer individuellen Endstufe, wird sie/er in der Entgeltgruppe, in der sie/er nach dem </w:t>
      </w:r>
      <w:hyperlink r:id="rId587" w:history="1">
        <w:r w:rsidRPr="002D1F1D">
          <w:rPr>
            <w:rStyle w:val="Hyperlink"/>
          </w:rPr>
          <w:t>Anhang zu der Anlage F zum Teil A, 1.</w:t>
        </w:r>
      </w:hyperlink>
      <w:r w:rsidRPr="007B3270">
        <w:rPr>
          <w:vertAlign w:val="superscript"/>
        </w:rPr>
        <w:t>1</w:t>
      </w:r>
      <w:r>
        <w:t xml:space="preserve"> eingruppiert ist, derjenigen Stufe zugeordnet, deren Betrag mindestens der individuellen Endstufe entspricht. </w:t>
      </w:r>
      <w:r>
        <w:rPr>
          <w:rStyle w:val="kleinschrift"/>
        </w:rPr>
        <w:t>5</w:t>
      </w:r>
      <w:r>
        <w:t xml:space="preserve">Steht der/dem Beschäftigten am 31. Oktober 2009 eine Besitzstandszulage nach </w:t>
      </w:r>
      <w:hyperlink r:id="rId588" w:history="1">
        <w:r w:rsidRPr="002D1F1D">
          <w:rPr>
            <w:rStyle w:val="Hyperlink"/>
          </w:rPr>
          <w:t>§ 9</w:t>
        </w:r>
      </w:hyperlink>
      <w:r>
        <w:t xml:space="preserve"> oder</w:t>
      </w:r>
      <w:hyperlink r:id="rId589" w:history="1">
        <w:r>
          <w:rPr>
            <w:rStyle w:val="Hyperlink"/>
          </w:rPr>
          <w:t xml:space="preserve"> § </w:t>
        </w:r>
        <w:r w:rsidRPr="002D1F1D">
          <w:rPr>
            <w:rStyle w:val="Hyperlink"/>
          </w:rPr>
          <w:t xml:space="preserve">17 </w:t>
        </w:r>
        <w:r>
          <w:rPr>
            <w:rStyle w:val="Hyperlink"/>
          </w:rPr>
          <w:t>Absatz</w:t>
        </w:r>
        <w:r w:rsidRPr="002D1F1D">
          <w:rPr>
            <w:rStyle w:val="Hyperlink"/>
          </w:rPr>
          <w:t xml:space="preserve"> 5 Satz 2</w:t>
        </w:r>
      </w:hyperlink>
      <w:r>
        <w:t xml:space="preserve"> zu, ist diese bei Anwendung des Satzes 4 dem Betrag der individuellen Endstufe hinzuzurechnen. </w:t>
      </w:r>
      <w:r>
        <w:rPr>
          <w:rStyle w:val="kleinschrift"/>
        </w:rPr>
        <w:t>6</w:t>
      </w:r>
      <w:r>
        <w:t xml:space="preserve">Liegt der Betrag der individuellen Endstufe – bei Anwendung des Satzes 5 erhöht um die Besitzstandszulage – über der höchsten Stufe, wird die/der Beschäftigte erneut einer dem Betrag der bisherigen individuellen Endstufe – bei Anwendung des Satzes 5 erhöht um die Besitzstandszulage – entsprechenden individuellen Endstufe zugeordnet. </w:t>
      </w:r>
      <w:r>
        <w:rPr>
          <w:rStyle w:val="kleinschrift"/>
        </w:rPr>
        <w:t>7</w:t>
      </w:r>
      <w:r>
        <w:t>Das Vergleichsentgelt verändert sich um denselben Vomhundertsatz bzw. in demselben Umfang wie die nächsthöhere Stufe; eine individuelle Endstufe nach Satz 3 und 6 verändert sich um denselben Vomhundertsatz bzw. in demselben Umfang wie die höchste Stufe der jeweiligen Entgeltgruppe.</w:t>
      </w:r>
    </w:p>
    <w:p w:rsidR="00BE1EFE" w:rsidRDefault="00BE1EFE">
      <w:pPr>
        <w:pStyle w:val="StandardWeb"/>
      </w:pPr>
    </w:p>
    <w:p w:rsidR="00BE1EFE" w:rsidRDefault="00BE1EFE">
      <w:pPr>
        <w:pStyle w:val="StandardWeb"/>
      </w:pPr>
      <w:r>
        <w:t>(5) </w:t>
      </w:r>
      <w:r>
        <w:rPr>
          <w:rStyle w:val="kleinschrift"/>
        </w:rPr>
        <w:t>1</w:t>
      </w:r>
      <w:r>
        <w:t xml:space="preserve">Werden Beschäftigte, die nach dem 31. Oktober 2009 das Vergleichsentgelt erhalten, höhergruppiert, erhalten sie in der höheren Entgeltgruppe Entgelt nach der regulären Stufe, </w:t>
      </w:r>
      <w:r>
        <w:lastRenderedPageBreak/>
        <w:t xml:space="preserve">deren Betrag mindestens dem Vergleichsentgelt entspricht, jedoch nicht weniger als das Entgelt der Stufe 2. </w:t>
      </w:r>
      <w:r>
        <w:rPr>
          <w:rStyle w:val="kleinschrift"/>
        </w:rPr>
        <w:t>2</w:t>
      </w:r>
      <w:r>
        <w:t xml:space="preserve">Werden Beschäftigte aus einer individuellen Endstufe höhergruppiert, erhalten sie in der höheren Entgeltgruppe mindestens den Betrag, der ihrer bisherigen individuellen Endstufe entspricht. </w:t>
      </w:r>
      <w:r>
        <w:rPr>
          <w:rStyle w:val="kleinschrift"/>
        </w:rPr>
        <w:t>3</w:t>
      </w:r>
      <w:r>
        <w:t xml:space="preserve">Werden Beschäftigte, die das Vergleichsentgelt oder Entgelt aus einer individuellen Endstufe erhalten, herabgruppiert, erhalten sie in der niedrigeren Entgeltgruppe Entgelt nach der regulären Stufe, deren Betrag unterhalb des Vergleichsentgelts bzw. der individuellen Endstufe liegt, jedoch nicht weniger als das Entgelt der Stufe 2. </w:t>
      </w:r>
      <w:r>
        <w:rPr>
          <w:rStyle w:val="kleinschrift"/>
        </w:rPr>
        <w:t>4</w:t>
      </w:r>
      <w:r>
        <w:t xml:space="preserve">In den Fällen von Satz 1 bis 3 gilt Absatz 2 Satz 10 und in den Fällen von Satz 1 und Satz 2 gilt </w:t>
      </w:r>
      <w:hyperlink r:id="rId590" w:history="1">
        <w:r w:rsidRPr="000E20E3">
          <w:rPr>
            <w:rStyle w:val="Hyperlink"/>
          </w:rPr>
          <w:t>§ 1 Absatz 4 der Anlage zu § 44 Teil A, 1.</w:t>
        </w:r>
      </w:hyperlink>
      <w:r w:rsidRPr="00C96AE0">
        <w:t xml:space="preserve"> </w:t>
      </w:r>
      <w:r>
        <w:t>entsprechend.</w:t>
      </w:r>
    </w:p>
    <w:p w:rsidR="00BE1EFE" w:rsidRPr="00DC7776" w:rsidRDefault="00BE1EFE">
      <w:pPr>
        <w:pStyle w:val="StandardWeb"/>
        <w:rPr>
          <w:sz w:val="14"/>
          <w:szCs w:val="14"/>
        </w:rPr>
      </w:pPr>
    </w:p>
    <w:p w:rsidR="00BE1EFE" w:rsidRDefault="00BE1EFE">
      <w:pPr>
        <w:pStyle w:val="StandardWeb"/>
      </w:pPr>
      <w:r>
        <w:t xml:space="preserve">(6) Das Vergleichsentgelt steht dem Tabellenentgelt im Sinne des </w:t>
      </w:r>
      <w:hyperlink r:id="rId591" w:history="1">
        <w:r w:rsidRPr="002D1F1D">
          <w:rPr>
            <w:rStyle w:val="Hyperlink"/>
          </w:rPr>
          <w:t xml:space="preserve">§ 15 </w:t>
        </w:r>
        <w:r>
          <w:rPr>
            <w:rStyle w:val="Hyperlink"/>
          </w:rPr>
          <w:t>Absatz</w:t>
        </w:r>
        <w:r w:rsidRPr="002D1F1D">
          <w:rPr>
            <w:rStyle w:val="Hyperlink"/>
          </w:rPr>
          <w:t xml:space="preserve"> 1 Teil A, 1.</w:t>
        </w:r>
      </w:hyperlink>
      <w:r>
        <w:t xml:space="preserve"> gleich.</w:t>
      </w:r>
    </w:p>
    <w:p w:rsidR="00BE1EFE" w:rsidRPr="00DC7776" w:rsidRDefault="00BE1EFE">
      <w:pPr>
        <w:pStyle w:val="StandardWeb"/>
        <w:rPr>
          <w:sz w:val="14"/>
          <w:szCs w:val="14"/>
        </w:rPr>
      </w:pPr>
    </w:p>
    <w:p w:rsidR="00BE1EFE" w:rsidRDefault="00BE1EFE">
      <w:pPr>
        <w:pStyle w:val="StandardWeb"/>
      </w:pPr>
      <w:r>
        <w:t xml:space="preserve">(7) Auf am 1. Oktober 2005 aus dem ABD in der bis zum 30.09.2005 geltenden Fassung in das ABD in der ab dem 01.10.2005 geltenden Fassung übergeleitete Beschäftigte, die nach dem </w:t>
      </w:r>
      <w:hyperlink r:id="rId592" w:history="1">
        <w:r w:rsidRPr="002D1F1D">
          <w:rPr>
            <w:rStyle w:val="Hyperlink"/>
          </w:rPr>
          <w:t>Anhang zu der Anlage F zum Teil A, 1.</w:t>
        </w:r>
      </w:hyperlink>
      <w:r w:rsidRPr="007B3270">
        <w:rPr>
          <w:vertAlign w:val="superscript"/>
        </w:rPr>
        <w:t>1</w:t>
      </w:r>
      <w:r>
        <w:t xml:space="preserve"> in der Entgeltgruppe S 8 oder S 9 eingruppiert wären, finden mit Ausnahme der Beschäftigten in der Tätigkeit von Sozialarbeiterinnen/ Sozialarbeitern bzw. Sozialpädagoginnen/Sozialpädagogen die Absätze 1 bis 6 nur Anwendung, wenn sie bis zum 30. Juni 2010 (Ausschlussfrist) ihre Eingruppierung nach dem </w:t>
      </w:r>
      <w:hyperlink r:id="rId593" w:history="1">
        <w:r w:rsidRPr="002D1F1D">
          <w:rPr>
            <w:rStyle w:val="Hyperlink"/>
          </w:rPr>
          <w:t>Anhang zu der Anlage F zum Teil A, 1.</w:t>
        </w:r>
      </w:hyperlink>
      <w:r w:rsidRPr="007B3270">
        <w:rPr>
          <w:vertAlign w:val="superscript"/>
        </w:rPr>
        <w:t>1</w:t>
      </w:r>
      <w:r>
        <w:t xml:space="preserve"> schriftlich geltend machen.</w:t>
      </w:r>
    </w:p>
    <w:p w:rsidR="00BE1EFE" w:rsidRPr="00DC7776" w:rsidRDefault="00BE1EFE">
      <w:pPr>
        <w:pStyle w:val="StandardWeb"/>
        <w:rPr>
          <w:sz w:val="14"/>
          <w:szCs w:val="14"/>
        </w:rPr>
      </w:pPr>
    </w:p>
    <w:p w:rsidR="00BE1EFE" w:rsidRDefault="00BE1EFE" w:rsidP="00D705DB">
      <w:pPr>
        <w:pStyle w:val="StandardWeb"/>
      </w:pPr>
      <w:r>
        <w:t>(8) </w:t>
      </w:r>
      <w:r>
        <w:rPr>
          <w:rStyle w:val="kleinschrift"/>
        </w:rPr>
        <w:t>1</w:t>
      </w:r>
      <w:r>
        <w:t xml:space="preserve">Am 1. Oktober 2005 aus dem ABD in der bis zum 30.09.2005 geltenden Fassung übergeleitete Beschäftigte, denen am 31. Oktober 2009 eine Besitzstandszulage nach </w:t>
      </w:r>
      <w:hyperlink r:id="rId594" w:history="1">
        <w:r w:rsidRPr="000E20E3">
          <w:rPr>
            <w:rStyle w:val="Hyperlink"/>
          </w:rPr>
          <w:t>§ 9</w:t>
        </w:r>
      </w:hyperlink>
      <w:r>
        <w:t xml:space="preserve"> zustand und die</w:t>
      </w:r>
    </w:p>
    <w:p w:rsidR="00BE1EFE" w:rsidRDefault="00BE1EFE" w:rsidP="00386681">
      <w:pPr>
        <w:pStyle w:val="StandardWeb"/>
      </w:pPr>
      <w:r>
        <w:t xml:space="preserve">a) nach dem </w:t>
      </w:r>
      <w:hyperlink r:id="rId595" w:history="1">
        <w:r w:rsidRPr="004425A5">
          <w:rPr>
            <w:rStyle w:val="Hyperlink"/>
          </w:rPr>
          <w:t>Anhang zu der Anlage F zum Teil A, 1.</w:t>
        </w:r>
        <w:r w:rsidRPr="004425A5">
          <w:rPr>
            <w:rStyle w:val="Hyperlink"/>
            <w:vertAlign w:val="superscript"/>
          </w:rPr>
          <w:t>1</w:t>
        </w:r>
      </w:hyperlink>
      <w:r>
        <w:t xml:space="preserve"> in der Entgeltgruppe S 11b eingruppiert sind, erhalten für die Dauer der Zuordnung zur Stufe 6 zusätzlich zu dem Tabellenentgelt der Entgeltgruppe S 11b Stufe 6 eine Zulage </w:t>
      </w:r>
    </w:p>
    <w:p w:rsidR="00BE1EFE" w:rsidRDefault="00BE1EFE" w:rsidP="00386681">
      <w:pPr>
        <w:pStyle w:val="StandardWeb"/>
      </w:pPr>
      <w:r>
        <w:t>– vom 1. März 2016 bis 31. Januar 2017 in Höhe von 71,68 Euro monatlich,</w:t>
      </w:r>
    </w:p>
    <w:p w:rsidR="00BE1EFE" w:rsidRDefault="00BE1EFE" w:rsidP="00386681">
      <w:pPr>
        <w:pStyle w:val="StandardWeb"/>
      </w:pPr>
      <w:r>
        <w:t>– ab 1. Februar 2017 in Höhe von 73,36 Euro monatlich;</w:t>
      </w:r>
    </w:p>
    <w:p w:rsidR="00BE1EFE" w:rsidRDefault="00BE1EFE" w:rsidP="00D705DB">
      <w:pPr>
        <w:pStyle w:val="StandardWeb"/>
      </w:pPr>
      <w:r>
        <w:t xml:space="preserve">b) nach dem </w:t>
      </w:r>
      <w:hyperlink r:id="rId596" w:history="1">
        <w:r w:rsidRPr="004425A5">
          <w:rPr>
            <w:rStyle w:val="Hyperlink"/>
          </w:rPr>
          <w:t>Anhang zu der Anlage F zum Teil A, 1.</w:t>
        </w:r>
        <w:r w:rsidRPr="004425A5">
          <w:rPr>
            <w:rStyle w:val="Hyperlink"/>
            <w:vertAlign w:val="superscript"/>
          </w:rPr>
          <w:t>1</w:t>
        </w:r>
      </w:hyperlink>
      <w:r>
        <w:t xml:space="preserve"> in der Entgeltgruppe S 12 eingruppiert sind, erhalten für die Dauer der Zuordnung zur Stufe 6 zusätzlich zu dem Tabellenentgelt der Entgeltgruppe S 12 Stufe 6 eine Zulage</w:t>
      </w:r>
    </w:p>
    <w:p w:rsidR="00BE1EFE" w:rsidRDefault="00BE1EFE" w:rsidP="00386681">
      <w:pPr>
        <w:pStyle w:val="StandardWeb"/>
      </w:pPr>
      <w:r>
        <w:t>– vom 1. März 2016 bis 31. Januar 2017 in Höhe von 81,92 Euro monatlich,</w:t>
      </w:r>
    </w:p>
    <w:p w:rsidR="00BE1EFE" w:rsidRDefault="00BE1EFE" w:rsidP="00386681">
      <w:pPr>
        <w:pStyle w:val="StandardWeb"/>
      </w:pPr>
      <w:r>
        <w:t>– ab 1. Februar 2017 in Höhe von 83,85 Euro monatlich;</w:t>
      </w:r>
    </w:p>
    <w:p w:rsidR="00BE1EFE" w:rsidRDefault="00BE1EFE" w:rsidP="00D705DB">
      <w:pPr>
        <w:pStyle w:val="StandardWeb"/>
      </w:pPr>
      <w:r>
        <w:rPr>
          <w:rStyle w:val="kleinschrift"/>
        </w:rPr>
        <w:t>2</w:t>
      </w:r>
      <w:r>
        <w:t xml:space="preserve">Die jeweilige Zulage nach Satz 1 verändert sich bei allgemeinen Entgeltanpassungen um den für die Entgeltgruppe S 11b bzw. S 12 festgelegten Vomhundertsatz. </w:t>
      </w:r>
      <w:r>
        <w:rPr>
          <w:rStyle w:val="kleinschrift"/>
        </w:rPr>
        <w:t>3</w:t>
      </w:r>
      <w:r>
        <w:t xml:space="preserve">Die Sätze 1 und 2 gelten für Beschäftigte, die einer individuellen Endstufe zugeordnet sind, entsprechend. </w:t>
      </w:r>
    </w:p>
    <w:p w:rsidR="00BE1EFE" w:rsidRDefault="00BE1EFE" w:rsidP="00D705DB">
      <w:pPr>
        <w:pStyle w:val="StandardWeb"/>
      </w:pPr>
      <w:r>
        <w:rPr>
          <w:rStyle w:val="kleinschrift"/>
        </w:rPr>
        <w:t>4</w:t>
      </w:r>
      <w:r>
        <w:t xml:space="preserve">Abweichend von </w:t>
      </w:r>
      <w:hyperlink r:id="rId597" w:history="1">
        <w:r w:rsidRPr="004425A5">
          <w:rPr>
            <w:rStyle w:val="Hyperlink"/>
          </w:rPr>
          <w:t>§ 15 Absatz 2 Teil A, 1.</w:t>
        </w:r>
      </w:hyperlink>
      <w:r>
        <w:t xml:space="preserve"> gelten für am 1. Oktober 2005 aus dem ABD in der bis zum 30.09.2005 geltenden Fassung übergeleitete Beschäftigte, denen am 31. Oktober 2009 eine Besitzstandszulage nach </w:t>
      </w:r>
      <w:hyperlink r:id="rId598" w:history="1">
        <w:r w:rsidRPr="004425A5">
          <w:rPr>
            <w:rStyle w:val="Hyperlink"/>
          </w:rPr>
          <w:t>§ 9</w:t>
        </w:r>
      </w:hyperlink>
      <w:r>
        <w:t xml:space="preserve"> zustand und die nach dem </w:t>
      </w:r>
      <w:hyperlink r:id="rId599" w:history="1">
        <w:r w:rsidRPr="004425A5">
          <w:rPr>
            <w:rStyle w:val="Hyperlink"/>
          </w:rPr>
          <w:t>Anhang zu der Anlage F zum Teil A, 1.</w:t>
        </w:r>
        <w:r w:rsidRPr="004425A5">
          <w:rPr>
            <w:rStyle w:val="Hyperlink"/>
            <w:vertAlign w:val="superscript"/>
          </w:rPr>
          <w:t>1</w:t>
        </w:r>
      </w:hyperlink>
      <w:r>
        <w:t xml:space="preserve"> in der Entgeltgruppe S 13 eingruppiert sind, folgende Tabellenwerte der Entgeltgruppe S 13 Ü:</w:t>
      </w:r>
    </w:p>
    <w:p w:rsidR="00BE1EFE" w:rsidRPr="0087617A" w:rsidRDefault="00BE1EFE" w:rsidP="00D705DB">
      <w:pPr>
        <w:pStyle w:val="StandardWeb"/>
      </w:pPr>
    </w:p>
    <w:tbl>
      <w:tblPr>
        <w:tblW w:w="0" w:type="auto"/>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05"/>
        <w:gridCol w:w="839"/>
        <w:gridCol w:w="839"/>
        <w:gridCol w:w="839"/>
        <w:gridCol w:w="839"/>
        <w:gridCol w:w="839"/>
        <w:gridCol w:w="839"/>
      </w:tblGrid>
      <w:tr w:rsidR="00BE1EFE" w:rsidTr="0087617A">
        <w:trPr>
          <w:trHeight w:val="227"/>
        </w:trPr>
        <w:tc>
          <w:tcPr>
            <w:tcW w:w="14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Default="00BE1EFE">
            <w:pPr>
              <w:rPr>
                <w:sz w:val="24"/>
              </w:rPr>
            </w:pPr>
            <w:r>
              <w:t> </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1</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2</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3</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4</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5</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6</w:t>
            </w:r>
          </w:p>
        </w:tc>
      </w:tr>
      <w:tr w:rsidR="00BE1EFE" w:rsidTr="0087617A">
        <w:trPr>
          <w:trHeight w:val="227"/>
        </w:trPr>
        <w:tc>
          <w:tcPr>
            <w:tcW w:w="14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gültig ab</w:t>
            </w:r>
          </w:p>
          <w:p w:rsidR="00BE1EFE" w:rsidRPr="000B1AF8" w:rsidRDefault="00BE1EFE" w:rsidP="0054275E">
            <w:pPr>
              <w:pStyle w:val="StandardWeb"/>
              <w:autoSpaceDE w:val="0"/>
              <w:spacing w:line="240" w:lineRule="atLeast"/>
            </w:pPr>
            <w:r>
              <w:rPr>
                <w:rStyle w:val="Fett"/>
                <w:rFonts w:cs="Arial"/>
                <w:bCs/>
                <w:szCs w:val="16"/>
              </w:rPr>
              <w:t>1. März 2016</w:t>
            </w:r>
          </w:p>
        </w:tc>
        <w:tc>
          <w:tcPr>
            <w:tcW w:w="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2.996,79</w:t>
            </w:r>
          </w:p>
        </w:tc>
        <w:tc>
          <w:tcPr>
            <w:tcW w:w="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3.225,12</w:t>
            </w:r>
          </w:p>
        </w:tc>
        <w:tc>
          <w:tcPr>
            <w:tcW w:w="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3.518,67</w:t>
            </w:r>
          </w:p>
        </w:tc>
        <w:tc>
          <w:tcPr>
            <w:tcW w:w="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3.753,86</w:t>
            </w:r>
          </w:p>
        </w:tc>
        <w:tc>
          <w:tcPr>
            <w:tcW w:w="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4.047,85</w:t>
            </w:r>
          </w:p>
        </w:tc>
        <w:tc>
          <w:tcPr>
            <w:tcW w:w="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C24555" w:rsidRDefault="00BE1EFE" w:rsidP="00386681">
            <w:pPr>
              <w:spacing w:line="240" w:lineRule="atLeast"/>
              <w:jc w:val="both"/>
              <w:rPr>
                <w:rFonts w:cs="Arial"/>
                <w:b/>
                <w:szCs w:val="16"/>
              </w:rPr>
            </w:pPr>
            <w:r w:rsidRPr="00C24555">
              <w:rPr>
                <w:rFonts w:cs="Arial"/>
                <w:b/>
                <w:szCs w:val="16"/>
              </w:rPr>
              <w:t>4.194,85</w:t>
            </w:r>
          </w:p>
        </w:tc>
      </w:tr>
      <w:tr w:rsidR="00BE1EFE" w:rsidTr="0087617A">
        <w:trPr>
          <w:trHeight w:val="227"/>
        </w:trPr>
        <w:tc>
          <w:tcPr>
            <w:tcW w:w="14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E1EFE" w:rsidRPr="000B1AF8" w:rsidRDefault="00BE1EFE" w:rsidP="00386681">
            <w:pPr>
              <w:pStyle w:val="StandardWeb"/>
              <w:autoSpaceDE w:val="0"/>
              <w:spacing w:line="240" w:lineRule="atLeast"/>
            </w:pPr>
            <w:r>
              <w:rPr>
                <w:rStyle w:val="Fett"/>
                <w:rFonts w:cs="Arial"/>
                <w:bCs/>
                <w:szCs w:val="16"/>
              </w:rPr>
              <w:t>gültig ab</w:t>
            </w:r>
          </w:p>
          <w:p w:rsidR="00BE1EFE" w:rsidRPr="000B1AF8" w:rsidRDefault="00BE1EFE" w:rsidP="00386681">
            <w:pPr>
              <w:pStyle w:val="StandardWeb"/>
              <w:autoSpaceDE w:val="0"/>
              <w:spacing w:line="240" w:lineRule="atLeast"/>
            </w:pPr>
            <w:r>
              <w:rPr>
                <w:rStyle w:val="Fett"/>
                <w:rFonts w:cs="Arial"/>
                <w:bCs/>
                <w:szCs w:val="16"/>
              </w:rPr>
              <w:t>1. Februar 2017</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E1EFE" w:rsidRPr="00C24555" w:rsidRDefault="00BE1EFE" w:rsidP="00386681">
            <w:pPr>
              <w:spacing w:line="240" w:lineRule="atLeast"/>
              <w:jc w:val="both"/>
              <w:rPr>
                <w:rFonts w:cs="Arial"/>
                <w:b/>
                <w:szCs w:val="16"/>
              </w:rPr>
            </w:pPr>
            <w:r w:rsidRPr="00C24555">
              <w:rPr>
                <w:rFonts w:cs="Arial"/>
                <w:b/>
                <w:szCs w:val="16"/>
              </w:rPr>
              <w:t>3.067,21</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E1EFE" w:rsidRPr="00C24555" w:rsidRDefault="00BE1EFE" w:rsidP="00386681">
            <w:pPr>
              <w:spacing w:line="240" w:lineRule="atLeast"/>
              <w:jc w:val="both"/>
              <w:rPr>
                <w:rFonts w:cs="Arial"/>
                <w:b/>
                <w:szCs w:val="16"/>
              </w:rPr>
            </w:pPr>
            <w:r w:rsidRPr="00C24555">
              <w:rPr>
                <w:rFonts w:cs="Arial"/>
                <w:b/>
                <w:szCs w:val="16"/>
              </w:rPr>
              <w:t>3.300,91</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E1EFE" w:rsidRPr="00C24555" w:rsidRDefault="00BE1EFE" w:rsidP="00386681">
            <w:pPr>
              <w:spacing w:line="240" w:lineRule="atLeast"/>
              <w:jc w:val="both"/>
              <w:rPr>
                <w:rFonts w:cs="Arial"/>
                <w:b/>
                <w:szCs w:val="16"/>
              </w:rPr>
            </w:pPr>
            <w:r w:rsidRPr="00C24555">
              <w:rPr>
                <w:rFonts w:cs="Arial"/>
                <w:b/>
                <w:szCs w:val="16"/>
              </w:rPr>
              <w:t>3.601,36</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E1EFE" w:rsidRPr="00C24555" w:rsidRDefault="00BE1EFE" w:rsidP="00386681">
            <w:pPr>
              <w:spacing w:line="240" w:lineRule="atLeast"/>
              <w:jc w:val="both"/>
              <w:rPr>
                <w:rFonts w:cs="Arial"/>
                <w:b/>
                <w:szCs w:val="16"/>
              </w:rPr>
            </w:pPr>
            <w:r w:rsidRPr="00C24555">
              <w:rPr>
                <w:rFonts w:cs="Arial"/>
                <w:b/>
                <w:szCs w:val="16"/>
              </w:rPr>
              <w:t>3.842,08</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E1EFE" w:rsidRPr="00C24555" w:rsidRDefault="00BE1EFE" w:rsidP="00386681">
            <w:pPr>
              <w:spacing w:line="240" w:lineRule="atLeast"/>
              <w:jc w:val="both"/>
              <w:rPr>
                <w:rFonts w:cs="Arial"/>
                <w:b/>
                <w:szCs w:val="16"/>
              </w:rPr>
            </w:pPr>
            <w:r w:rsidRPr="00C24555">
              <w:rPr>
                <w:rFonts w:cs="Arial"/>
                <w:b/>
                <w:szCs w:val="16"/>
              </w:rPr>
              <w:t>4.142,97</w:t>
            </w:r>
          </w:p>
        </w:tc>
        <w:tc>
          <w:tcPr>
            <w:tcW w:w="79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BE1EFE" w:rsidRPr="00C24555" w:rsidRDefault="00BE1EFE" w:rsidP="00386681">
            <w:pPr>
              <w:spacing w:line="240" w:lineRule="atLeast"/>
              <w:jc w:val="both"/>
              <w:rPr>
                <w:rFonts w:cs="Arial"/>
                <w:b/>
                <w:szCs w:val="16"/>
              </w:rPr>
            </w:pPr>
            <w:r w:rsidRPr="00C24555">
              <w:rPr>
                <w:rFonts w:cs="Arial"/>
                <w:b/>
                <w:szCs w:val="16"/>
              </w:rPr>
              <w:t>4.293,43</w:t>
            </w:r>
          </w:p>
        </w:tc>
      </w:tr>
    </w:tbl>
    <w:p w:rsidR="00BE1EFE" w:rsidRDefault="00BE1EFE">
      <w:pPr>
        <w:pStyle w:val="StandardWeb"/>
      </w:pPr>
    </w:p>
    <w:p w:rsidR="00BE1EFE" w:rsidRPr="000B1AF8" w:rsidRDefault="00BE1EFE">
      <w:pPr>
        <w:pStyle w:val="StandardWeb"/>
      </w:pPr>
      <w:r>
        <w:rPr>
          <w:rStyle w:val="kleinschrift"/>
        </w:rPr>
        <w:t>5</w:t>
      </w:r>
      <w:r w:rsidRPr="004C607E">
        <w:t>Im Übrigen gelten die Regelungen der Absätze 1 bis 6 mit Ausnahme vo</w:t>
      </w:r>
      <w:r>
        <w:t>n Absatz 3 Satz 6 entsprechend.</w:t>
      </w:r>
    </w:p>
    <w:p w:rsidR="00BE1EFE" w:rsidRPr="000B1AF8" w:rsidRDefault="00BE1EFE">
      <w:pPr>
        <w:pStyle w:val="StandardWeb"/>
      </w:pPr>
    </w:p>
    <w:p w:rsidR="00BE1EFE" w:rsidRDefault="00BE1EFE">
      <w:pPr>
        <w:pStyle w:val="StandardWeb"/>
      </w:pPr>
      <w:r>
        <w:t>(9) </w:t>
      </w:r>
      <w:r>
        <w:rPr>
          <w:rStyle w:val="kleinschrift"/>
        </w:rPr>
        <w:t>1</w:t>
      </w:r>
      <w:r>
        <w:t xml:space="preserve">Abweichend von </w:t>
      </w:r>
      <w:hyperlink r:id="rId600" w:history="1">
        <w:r w:rsidRPr="002D1F1D">
          <w:rPr>
            <w:rStyle w:val="Hyperlink"/>
          </w:rPr>
          <w:t xml:space="preserve">§ 15 </w:t>
        </w:r>
        <w:r>
          <w:rPr>
            <w:rStyle w:val="Hyperlink"/>
          </w:rPr>
          <w:t>Absatz</w:t>
        </w:r>
        <w:r w:rsidRPr="002D1F1D">
          <w:rPr>
            <w:rStyle w:val="Hyperlink"/>
          </w:rPr>
          <w:t xml:space="preserve"> 2 Teil A, 1.</w:t>
        </w:r>
      </w:hyperlink>
      <w:r>
        <w:t xml:space="preserve"> gelten für am 1. Oktober 2005 aus dem ABD in der bis zum 30.09.2005 geltenden Fassung übergeleitete Beschäftigte, denen am 31. Oktober 2009 eine Besitzstandszulage nach</w:t>
      </w:r>
      <w:hyperlink r:id="rId601" w:history="1">
        <w:r w:rsidRPr="002D1F1D">
          <w:rPr>
            <w:rStyle w:val="Hyperlink"/>
          </w:rPr>
          <w:t xml:space="preserve"> § 9</w:t>
        </w:r>
      </w:hyperlink>
      <w:r w:rsidRPr="002D1F1D">
        <w:t xml:space="preserve"> </w:t>
      </w:r>
      <w:r>
        <w:t>zusteht und die nach Absatz 2 aus den Stufen 3 oder 4 ihrer bisherigen Entgeltgruppe übergeleitet werden und nach dem</w:t>
      </w:r>
      <w:hyperlink r:id="rId602" w:history="1">
        <w:r w:rsidRPr="002D1F1D">
          <w:rPr>
            <w:rStyle w:val="Hyperlink"/>
          </w:rPr>
          <w:t xml:space="preserve"> Anhang zu der Anlage F zum Teil A, 1.</w:t>
        </w:r>
      </w:hyperlink>
      <w:r w:rsidRPr="007B3270">
        <w:rPr>
          <w:vertAlign w:val="superscript"/>
        </w:rPr>
        <w:t>1</w:t>
      </w:r>
      <w:r>
        <w:t xml:space="preserve"> in der Entgeltgruppe S 16 eingruppiert sind, in den Stufen 3, 4 und 5 folgende Tabellenwerte der Entgeltgruppe S 16 Ü:</w:t>
      </w:r>
    </w:p>
    <w:p w:rsidR="00BE1EFE" w:rsidRDefault="00BE1EFE">
      <w:pPr>
        <w:pStyle w:val="StandardWeb"/>
      </w:pPr>
    </w:p>
    <w:tbl>
      <w:tblPr>
        <w:tblW w:w="0" w:type="auto"/>
        <w:tblInd w:w="5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90"/>
        <w:gridCol w:w="839"/>
        <w:gridCol w:w="839"/>
        <w:gridCol w:w="839"/>
      </w:tblGrid>
      <w:tr w:rsidR="00BE1EFE">
        <w:trPr>
          <w:trHeight w:val="454"/>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Default="00BE1EFE">
            <w:pPr>
              <w:rPr>
                <w:sz w:val="24"/>
              </w:rPr>
            </w:pPr>
            <w: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Stufe 5</w:t>
            </w:r>
          </w:p>
        </w:tc>
      </w:tr>
      <w:tr w:rsidR="00BE1EFE">
        <w:trPr>
          <w:trHeight w:val="454"/>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gültig ab</w:t>
            </w:r>
          </w:p>
          <w:p w:rsidR="00BE1EFE" w:rsidRPr="000B1AF8" w:rsidRDefault="00BE1EFE" w:rsidP="0054275E">
            <w:pPr>
              <w:pStyle w:val="StandardWeb"/>
              <w:autoSpaceDE w:val="0"/>
              <w:spacing w:line="240" w:lineRule="atLeast"/>
            </w:pPr>
            <w:r>
              <w:rPr>
                <w:rStyle w:val="Fett"/>
                <w:rFonts w:cs="Arial"/>
                <w:bCs/>
                <w:szCs w:val="16"/>
              </w:rPr>
              <w:t xml:space="preserve">1. März 2016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87617A" w:rsidRDefault="00BE1EFE" w:rsidP="00AD3084">
            <w:pPr>
              <w:spacing w:line="240" w:lineRule="atLeast"/>
              <w:jc w:val="both"/>
              <w:rPr>
                <w:rFonts w:cs="Arial"/>
                <w:b/>
                <w:szCs w:val="16"/>
              </w:rPr>
            </w:pPr>
            <w:r w:rsidRPr="0087617A">
              <w:rPr>
                <w:rFonts w:cs="Arial"/>
                <w:b/>
                <w:szCs w:val="16"/>
              </w:rPr>
              <w:t>3.816,04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87617A" w:rsidRDefault="00BE1EFE" w:rsidP="00AD3084">
            <w:pPr>
              <w:spacing w:line="240" w:lineRule="atLeast"/>
              <w:jc w:val="both"/>
              <w:rPr>
                <w:rFonts w:cs="Arial"/>
                <w:b/>
                <w:szCs w:val="16"/>
              </w:rPr>
            </w:pPr>
            <w:r w:rsidRPr="0087617A">
              <w:rPr>
                <w:rFonts w:cs="Arial"/>
                <w:b/>
                <w:szCs w:val="16"/>
              </w:rPr>
              <w:t>4.233,51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87617A" w:rsidRDefault="00BE1EFE" w:rsidP="00AD3084">
            <w:pPr>
              <w:spacing w:line="240" w:lineRule="atLeast"/>
              <w:jc w:val="both"/>
              <w:rPr>
                <w:rFonts w:cs="Arial"/>
                <w:b/>
                <w:szCs w:val="16"/>
              </w:rPr>
            </w:pPr>
            <w:r w:rsidRPr="0087617A">
              <w:rPr>
                <w:rFonts w:cs="Arial"/>
                <w:b/>
                <w:szCs w:val="16"/>
              </w:rPr>
              <w:t>4.492,24</w:t>
            </w:r>
          </w:p>
        </w:tc>
      </w:tr>
      <w:tr w:rsidR="00BE1EFE">
        <w:trPr>
          <w:trHeight w:val="454"/>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StandardWeb"/>
              <w:autoSpaceDE w:val="0"/>
              <w:spacing w:line="240" w:lineRule="atLeast"/>
            </w:pPr>
            <w:r>
              <w:rPr>
                <w:rStyle w:val="Fett"/>
                <w:rFonts w:cs="Arial"/>
                <w:bCs/>
                <w:szCs w:val="16"/>
              </w:rPr>
              <w:t>gültig ab</w:t>
            </w:r>
          </w:p>
          <w:p w:rsidR="00BE1EFE" w:rsidRPr="000B1AF8" w:rsidRDefault="00BE1EFE" w:rsidP="0054275E">
            <w:pPr>
              <w:pStyle w:val="StandardWeb"/>
              <w:autoSpaceDE w:val="0"/>
              <w:spacing w:line="240" w:lineRule="atLeast"/>
            </w:pPr>
            <w:r>
              <w:rPr>
                <w:rStyle w:val="Fett"/>
                <w:rFonts w:cs="Arial"/>
                <w:bCs/>
                <w:szCs w:val="16"/>
              </w:rPr>
              <w:t>1. Februar 2017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87617A" w:rsidRDefault="00BE1EFE" w:rsidP="00AD3084">
            <w:pPr>
              <w:spacing w:line="240" w:lineRule="atLeast"/>
              <w:jc w:val="both"/>
              <w:rPr>
                <w:rFonts w:cs="Arial"/>
                <w:b/>
                <w:szCs w:val="16"/>
              </w:rPr>
            </w:pPr>
            <w:r w:rsidRPr="0087617A">
              <w:rPr>
                <w:rFonts w:cs="Arial"/>
                <w:b/>
                <w:szCs w:val="16"/>
              </w:rPr>
              <w:t>3.905,72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87617A" w:rsidRDefault="00BE1EFE" w:rsidP="00AD3084">
            <w:pPr>
              <w:spacing w:line="240" w:lineRule="atLeast"/>
              <w:jc w:val="both"/>
              <w:rPr>
                <w:rFonts w:cs="Arial"/>
                <w:b/>
                <w:szCs w:val="16"/>
              </w:rPr>
            </w:pPr>
            <w:r w:rsidRPr="0087617A">
              <w:rPr>
                <w:rFonts w:cs="Arial"/>
                <w:b/>
                <w:szCs w:val="16"/>
              </w:rPr>
              <w:t>4.333,00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87617A" w:rsidRDefault="00BE1EFE" w:rsidP="00AD3084">
            <w:pPr>
              <w:spacing w:line="240" w:lineRule="atLeast"/>
              <w:jc w:val="both"/>
              <w:rPr>
                <w:rFonts w:cs="Arial"/>
                <w:b/>
                <w:szCs w:val="16"/>
              </w:rPr>
            </w:pPr>
            <w:r w:rsidRPr="0087617A">
              <w:rPr>
                <w:rFonts w:cs="Arial"/>
                <w:b/>
                <w:szCs w:val="16"/>
              </w:rPr>
              <w:t>4.597,81</w:t>
            </w:r>
          </w:p>
        </w:tc>
      </w:tr>
    </w:tbl>
    <w:p w:rsidR="00BE1EFE" w:rsidRPr="000B1AF8" w:rsidRDefault="00BE1EFE">
      <w:pPr>
        <w:pStyle w:val="StandardWeb"/>
        <w:jc w:val="center"/>
      </w:pPr>
      <w:r>
        <w:t> </w:t>
      </w:r>
    </w:p>
    <w:p w:rsidR="00BE1EFE" w:rsidRDefault="00BE1EFE">
      <w:pPr>
        <w:pStyle w:val="StandardWeb"/>
      </w:pPr>
      <w:r>
        <w:rPr>
          <w:rStyle w:val="kleinschrift"/>
        </w:rPr>
        <w:t>2</w:t>
      </w:r>
      <w:r>
        <w:t xml:space="preserve">Im Übrigen gelten die Regelungen der Absätze 1 bis 6 mit Ausnahme von Absatz 3 Satz 6 entsprechend. </w:t>
      </w:r>
      <w:r>
        <w:rPr>
          <w:rStyle w:val="kleinschrift"/>
        </w:rPr>
        <w:t>3</w:t>
      </w:r>
      <w:r>
        <w:t>Mit Erreichen der Stufe 6 gilt der Tabellenwert der Stufe 6.</w:t>
      </w:r>
    </w:p>
    <w:p w:rsidR="00BE1EFE" w:rsidRDefault="00BE1EFE">
      <w:pPr>
        <w:pStyle w:val="StandardWeb"/>
      </w:pPr>
    </w:p>
    <w:p w:rsidR="00BE1EFE" w:rsidRDefault="00BE1EFE">
      <w:pPr>
        <w:pStyle w:val="StandardWeb"/>
      </w:pPr>
      <w:r>
        <w:t>(10)</w:t>
      </w:r>
      <w:hyperlink r:id="rId603" w:history="1">
        <w:r>
          <w:rPr>
            <w:rStyle w:val="Hyperlink"/>
          </w:rPr>
          <w:t> </w:t>
        </w:r>
        <w:r w:rsidRPr="002D1F1D">
          <w:rPr>
            <w:rStyle w:val="Hyperlink"/>
          </w:rPr>
          <w:t>§§ 8</w:t>
        </w:r>
      </w:hyperlink>
      <w:r>
        <w:t xml:space="preserve">, </w:t>
      </w:r>
      <w:hyperlink r:id="rId604" w:history="1">
        <w:r w:rsidRPr="002D1F1D">
          <w:rPr>
            <w:rStyle w:val="Hyperlink"/>
          </w:rPr>
          <w:t>9</w:t>
        </w:r>
      </w:hyperlink>
      <w:r>
        <w:t xml:space="preserve"> und </w:t>
      </w:r>
      <w:hyperlink r:id="rId605" w:history="1">
        <w:r w:rsidRPr="002D1F1D">
          <w:rPr>
            <w:rStyle w:val="Hyperlink"/>
          </w:rPr>
          <w:t xml:space="preserve">§ 17 </w:t>
        </w:r>
        <w:r>
          <w:rPr>
            <w:rStyle w:val="Hyperlink"/>
          </w:rPr>
          <w:t>Absatz</w:t>
        </w:r>
        <w:r w:rsidRPr="002D1F1D">
          <w:rPr>
            <w:rStyle w:val="Hyperlink"/>
          </w:rPr>
          <w:t xml:space="preserve"> 7</w:t>
        </w:r>
      </w:hyperlink>
      <w:r>
        <w:t xml:space="preserve"> finden auf Beschäftigte, die nach dem </w:t>
      </w:r>
      <w:hyperlink r:id="rId606" w:history="1">
        <w:r w:rsidRPr="002D1F1D">
          <w:rPr>
            <w:rStyle w:val="Hyperlink"/>
          </w:rPr>
          <w:t>Anhang zu der Anlage F zum Teil A, 1.</w:t>
        </w:r>
      </w:hyperlink>
      <w:r w:rsidRPr="007B3270">
        <w:rPr>
          <w:vertAlign w:val="superscript"/>
        </w:rPr>
        <w:t>1</w:t>
      </w:r>
      <w:r>
        <w:t xml:space="preserve"> eingruppiert sind, keine Anwendung.</w:t>
      </w:r>
    </w:p>
    <w:p w:rsidR="00BE1EFE" w:rsidRDefault="00BE1EFE">
      <w:pPr>
        <w:pStyle w:val="StandardWeb"/>
      </w:pPr>
    </w:p>
    <w:p w:rsidR="00BE1EFE" w:rsidRDefault="00BE1EFE">
      <w:pPr>
        <w:pStyle w:val="StandardWeb"/>
      </w:pPr>
      <w:r>
        <w:t>(11) </w:t>
      </w:r>
      <w:r>
        <w:rPr>
          <w:rStyle w:val="kleinschrift"/>
        </w:rPr>
        <w:t>1</w:t>
      </w:r>
      <w:r>
        <w:t xml:space="preserve">Ein am 31. Oktober 2009 zustehender Strukturausgleich steht nach den Regelungen des </w:t>
      </w:r>
      <w:hyperlink r:id="rId607" w:history="1">
        <w:r w:rsidRPr="002D1F1D">
          <w:rPr>
            <w:rStyle w:val="Hyperlink"/>
          </w:rPr>
          <w:t>§ 12</w:t>
        </w:r>
      </w:hyperlink>
      <w:r w:rsidRPr="002D1F1D">
        <w:t xml:space="preserve"> </w:t>
      </w:r>
      <w:r>
        <w:t xml:space="preserve">auch nach der Überleitung in eine Entgeltgruppe nach dem </w:t>
      </w:r>
      <w:hyperlink r:id="rId608" w:history="1">
        <w:r w:rsidRPr="002D1F1D">
          <w:rPr>
            <w:rStyle w:val="Hyperlink"/>
          </w:rPr>
          <w:t>Anhang zu der Anlage F zum Teil A, 1.</w:t>
        </w:r>
      </w:hyperlink>
      <w:r w:rsidRPr="007B3270">
        <w:rPr>
          <w:vertAlign w:val="superscript"/>
        </w:rPr>
        <w:t>1</w:t>
      </w:r>
      <w:r w:rsidRPr="002D1F1D">
        <w:t xml:space="preserve"> </w:t>
      </w:r>
      <w:r>
        <w:t xml:space="preserve">zu; die Anrechnung des Unterschiedsbetrages bei Höhergruppierungen nach </w:t>
      </w:r>
      <w:hyperlink r:id="rId609" w:history="1">
        <w:r w:rsidRPr="002D1F1D">
          <w:rPr>
            <w:rStyle w:val="Hyperlink"/>
          </w:rPr>
          <w:t xml:space="preserve">§ 12 </w:t>
        </w:r>
        <w:r>
          <w:rPr>
            <w:rStyle w:val="Hyperlink"/>
          </w:rPr>
          <w:t>Absatz</w:t>
        </w:r>
        <w:r w:rsidRPr="002D1F1D">
          <w:rPr>
            <w:rStyle w:val="Hyperlink"/>
          </w:rPr>
          <w:t xml:space="preserve"> 4</w:t>
        </w:r>
      </w:hyperlink>
      <w:r>
        <w:t xml:space="preserve"> bleibt unberührt. </w:t>
      </w:r>
      <w:r>
        <w:rPr>
          <w:rStyle w:val="kleinschrift"/>
        </w:rPr>
        <w:t>2</w:t>
      </w:r>
      <w:r>
        <w:t xml:space="preserve">Ein am 1. November 2009 noch nicht zustehender Strukturausgleich, der nach Überleitung aus dem ABD in der bis zum 30.09.2005 geltenden Fassung aus der Ortszuschlagsstufe 2 zu zahlen ist, wird um den Betrag gekürzt, der bei Überleitung aus dem ABD in der bis zum 30.09.2005 geltenden Fassung aus derselben Vergütungsgruppe und aus derselben Stufe aus der Ortszuschlagsstufe 1 in der Anlage 3 A ausgewiesen ist. </w:t>
      </w:r>
      <w:r>
        <w:rPr>
          <w:rStyle w:val="kleinschrift"/>
        </w:rPr>
        <w:t>3</w:t>
      </w:r>
      <w:r>
        <w:t xml:space="preserve">Die Kürzung erfolgt unabhängig davon, ab welchem Zeitpunkt und für welche Dauer der Strukturausgleich den aus Ortszuschlagsstufe 1 übergeleiteten Beschäftigten zusteht. </w:t>
      </w:r>
      <w:r>
        <w:rPr>
          <w:rStyle w:val="kleinschrift"/>
        </w:rPr>
        <w:t>4</w:t>
      </w:r>
      <w:r>
        <w:t>Am 1. November 2009 noch nicht zustehende Strukturausgleiche für aus Ortszuschlagsstufe 1 übergeleitete Beschäftigte entfallen.</w:t>
      </w:r>
    </w:p>
    <w:p w:rsidR="00BE1EFE" w:rsidRDefault="00BE1EFE">
      <w:pPr>
        <w:pStyle w:val="StandardWeb"/>
      </w:pPr>
    </w:p>
    <w:p w:rsidR="00BE1EFE" w:rsidRDefault="00BE1EFE">
      <w:pPr>
        <w:pStyle w:val="StandardWeb"/>
      </w:pPr>
      <w:r>
        <w:t xml:space="preserve">(12) Die sich aus der Eingruppierung der Beschäftigten nach dem </w:t>
      </w:r>
      <w:hyperlink r:id="rId610" w:history="1">
        <w:r w:rsidRPr="002D1F1D">
          <w:rPr>
            <w:rStyle w:val="Hyperlink"/>
          </w:rPr>
          <w:t>Anhang zu der Anlage F zum Teil A, 1</w:t>
        </w:r>
      </w:hyperlink>
      <w:r>
        <w:t>.</w:t>
      </w:r>
      <w:r w:rsidRPr="007B3270">
        <w:rPr>
          <w:vertAlign w:val="superscript"/>
        </w:rPr>
        <w:t>1</w:t>
      </w:r>
      <w:r>
        <w:t xml:space="preserve"> bzw. nach Absatz 8 und 9 ergebenden Entgeltsteigerungen gelten als allgemeine Entgeltanpassung im Sinne von</w:t>
      </w:r>
      <w:hyperlink r:id="rId611" w:history="1">
        <w:r w:rsidRPr="002D1F1D">
          <w:rPr>
            <w:rStyle w:val="Hyperlink"/>
          </w:rPr>
          <w:t xml:space="preserve"> § 10 Satz 9.</w:t>
        </w:r>
      </w:hyperlink>
    </w:p>
    <w:p w:rsidR="00BE1EFE" w:rsidRDefault="00BE1EFE">
      <w:pPr>
        <w:pStyle w:val="StandardWeb"/>
        <w:rPr>
          <w:sz w:val="12"/>
          <w:szCs w:val="12"/>
          <w:vertAlign w:val="superscript"/>
        </w:rPr>
      </w:pPr>
    </w:p>
    <w:p w:rsidR="00BE1EFE" w:rsidRPr="007B3270" w:rsidRDefault="00BE1EFE">
      <w:pPr>
        <w:pStyle w:val="StandardWeb"/>
        <w:rPr>
          <w:sz w:val="12"/>
          <w:szCs w:val="12"/>
        </w:rPr>
      </w:pPr>
      <w:r w:rsidRPr="007B3270">
        <w:rPr>
          <w:sz w:val="12"/>
          <w:szCs w:val="12"/>
          <w:vertAlign w:val="superscript"/>
        </w:rPr>
        <w:t>1</w:t>
      </w:r>
      <w:r w:rsidRPr="007B3270">
        <w:rPr>
          <w:sz w:val="12"/>
          <w:szCs w:val="12"/>
        </w:rPr>
        <w:t xml:space="preserve">entspricht seit 01.01.2017 der Nummer 30 </w:t>
      </w:r>
      <w:hyperlink r:id="rId612" w:history="1">
        <w:r w:rsidRPr="00073D78">
          <w:rPr>
            <w:rStyle w:val="Hyperlink"/>
            <w:sz w:val="12"/>
            <w:szCs w:val="12"/>
          </w:rPr>
          <w:t>Teil A,</w:t>
        </w:r>
      </w:hyperlink>
      <w:r w:rsidRPr="007B3270">
        <w:rPr>
          <w:sz w:val="12"/>
          <w:szCs w:val="12"/>
        </w:rPr>
        <w:t xml:space="preserve"> 2.3.</w:t>
      </w:r>
    </w:p>
    <w:p w:rsidR="00BE1EFE" w:rsidRDefault="00BE1EFE" w:rsidP="00E87479">
      <w:pPr>
        <w:pStyle w:val="StandardWeb"/>
        <w:jc w:val="left"/>
      </w:pPr>
      <w:r>
        <w:br w:type="page"/>
      </w:r>
    </w:p>
    <w:p w:rsidR="00BE1EFE" w:rsidRPr="00B76821" w:rsidRDefault="00BE1EFE" w:rsidP="00B76821">
      <w:pPr>
        <w:pStyle w:val="h7"/>
        <w:keepNext w:val="0"/>
        <w:spacing w:before="0" w:after="0"/>
        <w:jc w:val="left"/>
        <w:outlineLvl w:val="5"/>
        <w:rPr>
          <w:sz w:val="2"/>
        </w:rPr>
      </w:pPr>
    </w:p>
    <w:p w:rsidR="00BE1EFE" w:rsidRPr="00584968" w:rsidRDefault="00BE1EFE" w:rsidP="00E87479">
      <w:pPr>
        <w:pStyle w:val="berschrift6"/>
        <w:spacing w:before="0"/>
      </w:pPr>
      <w:bookmarkStart w:id="668" w:name="_Toc523926207"/>
      <w:r>
        <w:t>§ 24b</w:t>
      </w:r>
      <w:r w:rsidRPr="00584968">
        <w:t xml:space="preserve"> </w:t>
      </w:r>
      <w:r>
        <w:t>Besondere Regelungen für am 30. Juni 2015</w:t>
      </w:r>
      <w:r>
        <w:rPr>
          <w:lang w:eastAsia="x-none"/>
        </w:rPr>
        <w:t xml:space="preserve"> </w:t>
      </w:r>
      <w:r>
        <w:t xml:space="preserve">nach dem Anhang zur </w:t>
      </w:r>
      <w:hyperlink r:id="rId613" w:history="1">
        <w:r w:rsidRPr="004425A5">
          <w:rPr>
            <w:rStyle w:val="Hyperlink"/>
          </w:rPr>
          <w:t>Anlage F zum Teil A, 1.</w:t>
        </w:r>
        <w:r w:rsidRPr="004425A5">
          <w:rPr>
            <w:rStyle w:val="Hyperlink"/>
            <w:vertAlign w:val="superscript"/>
            <w:lang w:eastAsia="x-none"/>
          </w:rPr>
          <w:t>1</w:t>
        </w:r>
      </w:hyperlink>
      <w:r>
        <w:t xml:space="preserve"> eingruppierte Beschäftigte und weitere Regelungen</w:t>
      </w:r>
      <w:bookmarkEnd w:id="668"/>
    </w:p>
    <w:p w:rsidR="00BE1EFE" w:rsidRPr="00B76821" w:rsidRDefault="00BE1EFE" w:rsidP="00B76821">
      <w:pPr>
        <w:pStyle w:val="h7"/>
        <w:keepNext w:val="0"/>
        <w:spacing w:before="0" w:after="0"/>
        <w:jc w:val="left"/>
        <w:outlineLvl w:val="5"/>
        <w:rPr>
          <w:sz w:val="2"/>
        </w:rPr>
      </w:pPr>
    </w:p>
    <w:p w:rsidR="00BE1EFE" w:rsidRDefault="00BE1EFE" w:rsidP="00584968">
      <w:pPr>
        <w:pStyle w:val="StandardWeb"/>
      </w:pPr>
      <w:r>
        <w:t xml:space="preserve">(1) Beschäftigte, die nach dem </w:t>
      </w:r>
      <w:hyperlink r:id="rId614" w:history="1">
        <w:r w:rsidRPr="00D13A79">
          <w:rPr>
            <w:rStyle w:val="Hyperlink"/>
          </w:rPr>
          <w:t>Anhang zur Anlage F zum Teil A, 1.</w:t>
        </w:r>
      </w:hyperlink>
      <w:r w:rsidRPr="007B3270">
        <w:rPr>
          <w:vertAlign w:val="superscript"/>
        </w:rPr>
        <w:t>1</w:t>
      </w:r>
      <w:r>
        <w:t xml:space="preserve"> am 30. Juni 2015 in einer der folgenden Entgeltgruppen eingruppiert sind und am 1. Juli 2015 in einer der folgenden Entgeltgruppen eingruppiert sind:</w:t>
      </w:r>
    </w:p>
    <w:p w:rsidR="00BE1EFE" w:rsidRDefault="00BE1EFE" w:rsidP="00584968">
      <w:pPr>
        <w:pStyle w:val="StandardWeb"/>
      </w:pPr>
    </w:p>
    <w:p w:rsidR="00BE1EFE" w:rsidRPr="00584968" w:rsidRDefault="00BE1EFE" w:rsidP="00584968">
      <w:pPr>
        <w:pStyle w:val="StandardWeb"/>
        <w:rPr>
          <w:b/>
        </w:rPr>
      </w:pPr>
      <w:r w:rsidRPr="00584968">
        <w:rPr>
          <w:b/>
        </w:rPr>
        <w:t xml:space="preserve">Entgeltgruppe </w:t>
      </w:r>
      <w:r w:rsidRPr="00584968">
        <w:rPr>
          <w:b/>
        </w:rPr>
        <w:tab/>
      </w:r>
      <w:r w:rsidRPr="00584968">
        <w:rPr>
          <w:b/>
        </w:rPr>
        <w:tab/>
      </w:r>
      <w:r w:rsidRPr="00584968">
        <w:rPr>
          <w:b/>
        </w:rPr>
        <w:tab/>
      </w:r>
      <w:r w:rsidRPr="00584968">
        <w:rPr>
          <w:b/>
        </w:rPr>
        <w:tab/>
      </w:r>
      <w:r w:rsidRPr="00584968">
        <w:rPr>
          <w:b/>
        </w:rPr>
        <w:tab/>
      </w:r>
      <w:r w:rsidRPr="00584968">
        <w:rPr>
          <w:b/>
        </w:rPr>
        <w:tab/>
        <w:t>Entgeltgruppe</w:t>
      </w:r>
    </w:p>
    <w:p w:rsidR="00BE1EFE" w:rsidRPr="00584968" w:rsidRDefault="00BE1EFE" w:rsidP="00584968">
      <w:pPr>
        <w:pStyle w:val="StandardWeb"/>
        <w:rPr>
          <w:b/>
        </w:rPr>
      </w:pPr>
      <w:r w:rsidRPr="00584968">
        <w:rPr>
          <w:b/>
        </w:rPr>
        <w:t xml:space="preserve">am 30. Juni 2015 </w:t>
      </w:r>
      <w:r w:rsidRPr="00584968">
        <w:rPr>
          <w:b/>
        </w:rPr>
        <w:tab/>
      </w:r>
      <w:r w:rsidRPr="00584968">
        <w:rPr>
          <w:b/>
        </w:rPr>
        <w:tab/>
      </w:r>
      <w:r w:rsidRPr="00584968">
        <w:rPr>
          <w:b/>
        </w:rPr>
        <w:tab/>
      </w:r>
      <w:r w:rsidRPr="00584968">
        <w:rPr>
          <w:b/>
        </w:rPr>
        <w:tab/>
      </w:r>
      <w:r w:rsidRPr="00584968">
        <w:rPr>
          <w:b/>
        </w:rPr>
        <w:tab/>
      </w:r>
      <w:r w:rsidRPr="00584968">
        <w:rPr>
          <w:b/>
        </w:rPr>
        <w:tab/>
        <w:t>am 1. Juli 2015</w:t>
      </w:r>
    </w:p>
    <w:p w:rsidR="00BE1EFE" w:rsidRDefault="00BE1EFE" w:rsidP="00584968">
      <w:pPr>
        <w:pStyle w:val="StandardWeb"/>
      </w:pPr>
      <w:r>
        <w:t xml:space="preserve">S 5 bei Tätigkeiten der Fallgruppe 1 </w:t>
      </w:r>
      <w:r>
        <w:tab/>
      </w:r>
      <w:r>
        <w:tab/>
      </w:r>
      <w:r>
        <w:tab/>
      </w:r>
      <w:r>
        <w:tab/>
        <w:t>S 7</w:t>
      </w:r>
    </w:p>
    <w:p w:rsidR="00BE1EFE" w:rsidRPr="00584968" w:rsidRDefault="00BE1EFE" w:rsidP="00584968">
      <w:pPr>
        <w:pStyle w:val="StandardWeb"/>
        <w:rPr>
          <w:b/>
        </w:rPr>
      </w:pPr>
      <w:r w:rsidRPr="00584968">
        <w:rPr>
          <w:b/>
        </w:rPr>
        <w:t xml:space="preserve">Entgeltgruppe </w:t>
      </w:r>
      <w:r w:rsidRPr="00584968">
        <w:rPr>
          <w:b/>
        </w:rPr>
        <w:tab/>
      </w:r>
      <w:r w:rsidRPr="00584968">
        <w:rPr>
          <w:b/>
        </w:rPr>
        <w:tab/>
      </w:r>
      <w:r w:rsidRPr="00584968">
        <w:rPr>
          <w:b/>
        </w:rPr>
        <w:tab/>
      </w:r>
      <w:r w:rsidRPr="00584968">
        <w:rPr>
          <w:b/>
        </w:rPr>
        <w:tab/>
      </w:r>
      <w:r w:rsidRPr="00584968">
        <w:rPr>
          <w:b/>
        </w:rPr>
        <w:tab/>
      </w:r>
      <w:r w:rsidRPr="00584968">
        <w:rPr>
          <w:b/>
        </w:rPr>
        <w:tab/>
        <w:t>Entgeltgruppe</w:t>
      </w:r>
    </w:p>
    <w:p w:rsidR="00BE1EFE" w:rsidRPr="00584968" w:rsidRDefault="00BE1EFE" w:rsidP="00584968">
      <w:pPr>
        <w:pStyle w:val="StandardWeb"/>
        <w:rPr>
          <w:b/>
        </w:rPr>
      </w:pPr>
      <w:r w:rsidRPr="00584968">
        <w:rPr>
          <w:b/>
        </w:rPr>
        <w:t xml:space="preserve">am 30. Juni 2015 </w:t>
      </w:r>
      <w:r w:rsidRPr="00584968">
        <w:rPr>
          <w:b/>
        </w:rPr>
        <w:tab/>
      </w:r>
      <w:r w:rsidRPr="00584968">
        <w:rPr>
          <w:b/>
        </w:rPr>
        <w:tab/>
      </w:r>
      <w:r w:rsidRPr="00584968">
        <w:rPr>
          <w:b/>
        </w:rPr>
        <w:tab/>
      </w:r>
      <w:r w:rsidRPr="00584968">
        <w:rPr>
          <w:b/>
        </w:rPr>
        <w:tab/>
      </w:r>
      <w:r w:rsidRPr="00584968">
        <w:rPr>
          <w:b/>
        </w:rPr>
        <w:tab/>
      </w:r>
      <w:r w:rsidRPr="00584968">
        <w:rPr>
          <w:b/>
        </w:rPr>
        <w:tab/>
        <w:t>am 1. Juli 2015</w:t>
      </w:r>
    </w:p>
    <w:p w:rsidR="00BE1EFE" w:rsidRDefault="00BE1EFE" w:rsidP="00584968">
      <w:pPr>
        <w:pStyle w:val="StandardWeb"/>
      </w:pPr>
      <w:r>
        <w:t xml:space="preserve">S 6 </w:t>
      </w:r>
      <w:r>
        <w:tab/>
      </w:r>
      <w:r>
        <w:tab/>
      </w:r>
      <w:r>
        <w:tab/>
      </w:r>
      <w:r>
        <w:tab/>
      </w:r>
      <w:r>
        <w:tab/>
      </w:r>
      <w:r>
        <w:tab/>
      </w:r>
      <w:r>
        <w:tab/>
        <w:t>S 8a</w:t>
      </w:r>
    </w:p>
    <w:p w:rsidR="00BE1EFE" w:rsidRDefault="00BE1EFE" w:rsidP="00584968">
      <w:pPr>
        <w:pStyle w:val="StandardWeb"/>
      </w:pPr>
      <w:r>
        <w:t xml:space="preserve">S 8 bei Tätigkeiten der Fallgruppen 1, 3 und 5 </w:t>
      </w:r>
      <w:r>
        <w:tab/>
      </w:r>
      <w:r>
        <w:tab/>
      </w:r>
      <w:r>
        <w:tab/>
        <w:t>S 8b</w:t>
      </w:r>
    </w:p>
    <w:p w:rsidR="00BE1EFE" w:rsidRDefault="00BE1EFE" w:rsidP="00584968">
      <w:pPr>
        <w:pStyle w:val="StandardWeb"/>
      </w:pPr>
      <w:r>
        <w:t xml:space="preserve">S 7, S 8 bei Tätigkeiten der Fallgruppe 2 </w:t>
      </w:r>
      <w:r>
        <w:tab/>
      </w:r>
      <w:r>
        <w:tab/>
      </w:r>
      <w:r>
        <w:tab/>
        <w:t>S 9</w:t>
      </w:r>
    </w:p>
    <w:p w:rsidR="00BE1EFE" w:rsidRDefault="00BE1EFE" w:rsidP="00584968">
      <w:pPr>
        <w:pStyle w:val="StandardWeb"/>
      </w:pPr>
      <w:r>
        <w:t xml:space="preserve">S 11 </w:t>
      </w:r>
      <w:r>
        <w:tab/>
      </w:r>
      <w:r>
        <w:tab/>
      </w:r>
      <w:r>
        <w:tab/>
      </w:r>
      <w:r>
        <w:tab/>
      </w:r>
      <w:r>
        <w:tab/>
      </w:r>
      <w:r>
        <w:tab/>
      </w:r>
      <w:r>
        <w:tab/>
        <w:t>S 11b,</w:t>
      </w:r>
    </w:p>
    <w:p w:rsidR="00BE1EFE" w:rsidRDefault="00BE1EFE" w:rsidP="00584968">
      <w:pPr>
        <w:pStyle w:val="StandardWeb"/>
      </w:pPr>
      <w:r>
        <w:t>werden stufengleich und unter Beibehaltung der in ihrer Stufe zurückgelegten Stufenlaufzeit in die am 1. Juli 2015 maßgebliche Entgeltgruppe übergeleitet.</w:t>
      </w:r>
    </w:p>
    <w:p w:rsidR="00BE1EFE" w:rsidRPr="00584968" w:rsidRDefault="00BE1EFE" w:rsidP="00584968">
      <w:pPr>
        <w:pStyle w:val="StandardWeb"/>
        <w:rPr>
          <w:sz w:val="12"/>
          <w:szCs w:val="12"/>
        </w:rPr>
      </w:pPr>
      <w:r w:rsidRPr="00584968">
        <w:rPr>
          <w:sz w:val="12"/>
          <w:szCs w:val="12"/>
        </w:rPr>
        <w:t>Anmerkungen zu Absatz 1:</w:t>
      </w:r>
    </w:p>
    <w:p w:rsidR="00BE1EFE" w:rsidRPr="00584968" w:rsidRDefault="00BE1EFE" w:rsidP="00584968">
      <w:pPr>
        <w:pStyle w:val="StandardWeb"/>
        <w:rPr>
          <w:sz w:val="12"/>
          <w:szCs w:val="12"/>
        </w:rPr>
      </w:pPr>
      <w:r>
        <w:rPr>
          <w:sz w:val="12"/>
          <w:szCs w:val="12"/>
        </w:rPr>
        <w:t>1. </w:t>
      </w:r>
      <w:r w:rsidRPr="00584968">
        <w:rPr>
          <w:sz w:val="12"/>
          <w:szCs w:val="12"/>
        </w:rPr>
        <w:t>1Die Zuordnung zu einer individuellen Zwischen- oder Endstufe bleibt unberührt. 2</w:t>
      </w:r>
      <w:hyperlink r:id="rId615" w:history="1">
        <w:r w:rsidRPr="00D13A79">
          <w:rPr>
            <w:rStyle w:val="Hyperlink"/>
            <w:sz w:val="12"/>
            <w:szCs w:val="12"/>
          </w:rPr>
          <w:t>§ 24a Absatz 4 Satz 7</w:t>
        </w:r>
      </w:hyperlink>
      <w:r w:rsidRPr="00584968">
        <w:rPr>
          <w:sz w:val="12"/>
          <w:szCs w:val="12"/>
        </w:rPr>
        <w:t xml:space="preserve"> findet Anwen</w:t>
      </w:r>
      <w:r>
        <w:rPr>
          <w:sz w:val="12"/>
          <w:szCs w:val="12"/>
        </w:rPr>
        <w:softHyphen/>
      </w:r>
      <w:r w:rsidRPr="00584968">
        <w:rPr>
          <w:sz w:val="12"/>
          <w:szCs w:val="12"/>
        </w:rPr>
        <w:t>dung.</w:t>
      </w:r>
    </w:p>
    <w:p w:rsidR="00BE1EFE" w:rsidRPr="00584968" w:rsidRDefault="00BE1EFE" w:rsidP="00584968">
      <w:pPr>
        <w:pStyle w:val="StandardWeb"/>
        <w:rPr>
          <w:sz w:val="12"/>
          <w:szCs w:val="12"/>
        </w:rPr>
      </w:pPr>
      <w:r>
        <w:rPr>
          <w:sz w:val="12"/>
          <w:szCs w:val="12"/>
        </w:rPr>
        <w:t>2. </w:t>
      </w:r>
      <w:r w:rsidRPr="00584968">
        <w:rPr>
          <w:sz w:val="12"/>
          <w:szCs w:val="12"/>
        </w:rPr>
        <w:t>1Für in Entgeltgruppe S 8 eingruppierte Beschäftigte, die den Entgeltgruppen S 8b oder S 9 zugeordnet werden, gelten folgende abweichende Vorschriften:</w:t>
      </w:r>
    </w:p>
    <w:p w:rsidR="00BE1EFE" w:rsidRPr="00584968" w:rsidRDefault="00BE1EFE" w:rsidP="00584968">
      <w:pPr>
        <w:pStyle w:val="StandardWeb"/>
        <w:rPr>
          <w:sz w:val="12"/>
          <w:szCs w:val="12"/>
        </w:rPr>
      </w:pPr>
      <w:r>
        <w:rPr>
          <w:sz w:val="12"/>
          <w:szCs w:val="12"/>
        </w:rPr>
        <w:t>a) </w:t>
      </w:r>
      <w:r w:rsidRPr="00584968">
        <w:rPr>
          <w:sz w:val="12"/>
          <w:szCs w:val="12"/>
        </w:rPr>
        <w:t>Bei Erfüllung einer Stufenlaufzeit von mindestens sechs Jahren in Stufe 4 erfolgt in der Entgeltgruppe S 8b die Zuordnung zu der Stufe 5.</w:t>
      </w:r>
    </w:p>
    <w:p w:rsidR="00BE1EFE" w:rsidRPr="00584968" w:rsidRDefault="00BE1EFE" w:rsidP="00584968">
      <w:pPr>
        <w:pStyle w:val="StandardWeb"/>
        <w:rPr>
          <w:sz w:val="12"/>
          <w:szCs w:val="12"/>
        </w:rPr>
      </w:pPr>
      <w:r>
        <w:rPr>
          <w:sz w:val="12"/>
          <w:szCs w:val="12"/>
        </w:rPr>
        <w:t>b) </w:t>
      </w:r>
      <w:r w:rsidRPr="00584968">
        <w:rPr>
          <w:sz w:val="12"/>
          <w:szCs w:val="12"/>
        </w:rPr>
        <w:t>Bei Erfüllung einer Stufenlaufzeit von mindestens acht Jahren in Stufe 5 erfolgt in der Entgeltgruppe S 8b die Zuordnung zu der Stufe 6.</w:t>
      </w:r>
    </w:p>
    <w:p w:rsidR="00BE1EFE" w:rsidRPr="00584968" w:rsidRDefault="00BE1EFE" w:rsidP="00584968">
      <w:pPr>
        <w:pStyle w:val="StandardWeb"/>
        <w:rPr>
          <w:sz w:val="12"/>
          <w:szCs w:val="12"/>
        </w:rPr>
      </w:pPr>
      <w:r>
        <w:rPr>
          <w:sz w:val="12"/>
          <w:szCs w:val="12"/>
        </w:rPr>
        <w:t>c) </w:t>
      </w:r>
      <w:r w:rsidRPr="00584968">
        <w:rPr>
          <w:sz w:val="12"/>
          <w:szCs w:val="12"/>
        </w:rPr>
        <w:t>Bei Erfüllung einer Stufenlaufzeit von mindestens vier Jahren in Stufe 4 erfolgt in der Entgeltgruppe S 9 die Zuordnung zu der Stufe 5.</w:t>
      </w:r>
    </w:p>
    <w:p w:rsidR="00BE1EFE" w:rsidRPr="00584968" w:rsidRDefault="00BE1EFE" w:rsidP="00584968">
      <w:pPr>
        <w:pStyle w:val="StandardWeb"/>
        <w:rPr>
          <w:sz w:val="12"/>
          <w:szCs w:val="12"/>
        </w:rPr>
      </w:pPr>
      <w:r>
        <w:rPr>
          <w:sz w:val="12"/>
          <w:szCs w:val="12"/>
        </w:rPr>
        <w:t>d) </w:t>
      </w:r>
      <w:r w:rsidRPr="00584968">
        <w:rPr>
          <w:sz w:val="12"/>
          <w:szCs w:val="12"/>
        </w:rPr>
        <w:t>Bei Erfüllung einer Stufenlaufzeit von mindestens fünf Jahren in Stufe 5 erfolgt in der Entgeltgruppe S 9 die Zuordnung zu der Stufe 6.</w:t>
      </w:r>
    </w:p>
    <w:p w:rsidR="00BE1EFE" w:rsidRDefault="00BE1EFE" w:rsidP="00584968">
      <w:pPr>
        <w:pStyle w:val="StandardWeb"/>
        <w:rPr>
          <w:sz w:val="12"/>
          <w:szCs w:val="12"/>
        </w:rPr>
      </w:pPr>
      <w:r w:rsidRPr="00584968">
        <w:rPr>
          <w:sz w:val="12"/>
          <w:szCs w:val="12"/>
        </w:rPr>
        <w:t>2Die Stufenlaufzeit beginnt nach der Zuordnung zu der höheren Stufe nach Satz 1 neu.</w:t>
      </w:r>
    </w:p>
    <w:p w:rsidR="00BE1EFE" w:rsidRPr="00584968" w:rsidRDefault="00BE1EFE" w:rsidP="00584968">
      <w:pPr>
        <w:pStyle w:val="StandardWeb"/>
        <w:rPr>
          <w:sz w:val="12"/>
          <w:szCs w:val="12"/>
        </w:rPr>
      </w:pPr>
    </w:p>
    <w:p w:rsidR="00BE1EFE" w:rsidRDefault="00BE1EFE" w:rsidP="00584968">
      <w:pPr>
        <w:pStyle w:val="StandardWeb"/>
      </w:pPr>
      <w:r>
        <w:t>(2) </w:t>
      </w:r>
      <w:r w:rsidRPr="00584968">
        <w:rPr>
          <w:sz w:val="12"/>
          <w:szCs w:val="12"/>
        </w:rPr>
        <w:t>1</w:t>
      </w:r>
      <w:r>
        <w:t xml:space="preserve">Beschäftigte, für die sich außerhalb von Absatz 1 am 1. Juli 2015 nach dem </w:t>
      </w:r>
      <w:hyperlink r:id="rId616" w:history="1">
        <w:r w:rsidRPr="00D13A79">
          <w:rPr>
            <w:rStyle w:val="Hyperlink"/>
          </w:rPr>
          <w:t>Anhang zur Anlage F zum Teil A, 1.</w:t>
        </w:r>
      </w:hyperlink>
      <w:r w:rsidRPr="007B3270">
        <w:rPr>
          <w:vertAlign w:val="superscript"/>
        </w:rPr>
        <w:t xml:space="preserve"> 1</w:t>
      </w:r>
      <w:r>
        <w:t xml:space="preserve"> eine Eingruppierung in einer höheren Entgeltgruppe als am 30. Juni 2015 ergibt, bleiben in ihrer bisherigen Entgeltgruppe eingruppiert, wenn sie nicht bis zum 30. Juni 2016 (Ausschlussfrist) ihre Höhergruppierung beantragen. </w:t>
      </w:r>
      <w:r w:rsidRPr="00584968">
        <w:rPr>
          <w:sz w:val="12"/>
          <w:szCs w:val="12"/>
        </w:rPr>
        <w:t>2</w:t>
      </w:r>
      <w:r>
        <w:t xml:space="preserve">Der Antrag wirkt auf den 1. Juli 2015 zurück. </w:t>
      </w:r>
      <w:r w:rsidRPr="00584968">
        <w:rPr>
          <w:sz w:val="12"/>
          <w:szCs w:val="12"/>
        </w:rPr>
        <w:t>3</w:t>
      </w:r>
      <w:r>
        <w:t xml:space="preserve">Ruht das Arbeitsverhältnis am 1. Juli 2015, beginnt die Frist von einem Jahr mit der Wiederaufnahme der Tätigkeit; Satz 2 findet Anwendung. </w:t>
      </w:r>
      <w:r w:rsidRPr="00584968">
        <w:rPr>
          <w:sz w:val="12"/>
          <w:szCs w:val="12"/>
        </w:rPr>
        <w:t>4</w:t>
      </w:r>
      <w:r>
        <w:t xml:space="preserve">Für diese Höhergruppierungen finden </w:t>
      </w:r>
      <w:hyperlink r:id="rId617" w:history="1">
        <w:r w:rsidRPr="00D13A79">
          <w:rPr>
            <w:rStyle w:val="Hyperlink"/>
          </w:rPr>
          <w:t>§ 17 Absatz 4 Teil A, 1.</w:t>
        </w:r>
      </w:hyperlink>
      <w:r>
        <w:t xml:space="preserve"> und </w:t>
      </w:r>
      <w:hyperlink r:id="rId618" w:history="1">
        <w:r w:rsidRPr="00D13A79">
          <w:rPr>
            <w:rStyle w:val="Hyperlink"/>
          </w:rPr>
          <w:t>§ 24a Absatz 5 Satz 1</w:t>
        </w:r>
      </w:hyperlink>
      <w:r>
        <w:t xml:space="preserve"> Anwendung. </w:t>
      </w:r>
      <w:r w:rsidRPr="00D13A79">
        <w:rPr>
          <w:sz w:val="12"/>
          <w:szCs w:val="12"/>
        </w:rPr>
        <w:t>5</w:t>
      </w:r>
      <w:r>
        <w:t>Fallen am 1. Juli 2015 ein Stufenaufstieg und die Höhergruppierung zusammen, erfolgt erst der Stufenaufstieg und anschließend die Höhergruppierung.</w:t>
      </w:r>
    </w:p>
    <w:p w:rsidR="00BE1EFE" w:rsidRPr="00D13A79" w:rsidRDefault="00BE1EFE" w:rsidP="00584968">
      <w:pPr>
        <w:pStyle w:val="StandardWeb"/>
        <w:rPr>
          <w:sz w:val="12"/>
          <w:szCs w:val="12"/>
        </w:rPr>
      </w:pPr>
      <w:r w:rsidRPr="00D13A79">
        <w:rPr>
          <w:sz w:val="12"/>
          <w:szCs w:val="12"/>
        </w:rPr>
        <w:t>Anmerkungen zu Absatz 2:</w:t>
      </w:r>
    </w:p>
    <w:p w:rsidR="00BE1EFE" w:rsidRDefault="00BE1EFE" w:rsidP="00584968">
      <w:pPr>
        <w:pStyle w:val="StandardWeb"/>
        <w:rPr>
          <w:sz w:val="12"/>
          <w:szCs w:val="12"/>
        </w:rPr>
      </w:pPr>
      <w:r>
        <w:rPr>
          <w:sz w:val="12"/>
          <w:szCs w:val="12"/>
        </w:rPr>
        <w:t>1. </w:t>
      </w:r>
      <w:r w:rsidRPr="00D13A79">
        <w:rPr>
          <w:sz w:val="12"/>
          <w:szCs w:val="12"/>
        </w:rPr>
        <w:t>1Für Beschäftigte, die über den 30. Juni 2015 hinaus in der Entgeltgruppe S 10 eingruppiert sind, weil sie keinen Antrag nach Absatz 2 Satz 1 gestell</w:t>
      </w:r>
      <w:r>
        <w:rPr>
          <w:sz w:val="12"/>
          <w:szCs w:val="12"/>
        </w:rPr>
        <w:t xml:space="preserve">t haben, gelten abweichend von </w:t>
      </w:r>
      <w:hyperlink r:id="rId619" w:history="1">
        <w:r w:rsidRPr="00D13A79">
          <w:rPr>
            <w:rStyle w:val="Hyperlink"/>
            <w:sz w:val="12"/>
            <w:szCs w:val="12"/>
          </w:rPr>
          <w:t>§ 15 Absatz 2 Satz 2 Teil A, 1.</w:t>
        </w:r>
      </w:hyperlink>
      <w:r w:rsidRPr="00D13A79">
        <w:rPr>
          <w:sz w:val="12"/>
          <w:szCs w:val="12"/>
        </w:rPr>
        <w:t xml:space="preserve"> folgende Tabellenwerte:</w:t>
      </w:r>
    </w:p>
    <w:p w:rsidR="00BE1EFE" w:rsidRPr="00D13A79" w:rsidRDefault="00BE1EFE" w:rsidP="00584968">
      <w:pPr>
        <w:pStyle w:val="StandardWeb"/>
        <w:rPr>
          <w:sz w:val="12"/>
          <w:szCs w:val="12"/>
        </w:rPr>
      </w:pP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35"/>
        <w:gridCol w:w="684"/>
        <w:gridCol w:w="684"/>
        <w:gridCol w:w="684"/>
        <w:gridCol w:w="684"/>
        <w:gridCol w:w="684"/>
        <w:gridCol w:w="684"/>
      </w:tblGrid>
      <w:tr w:rsidR="00BE1EFE" w:rsidRPr="00E46EA2" w:rsidTr="00E46EA2">
        <w:trPr>
          <w:trHeight w:hRule="exact" w:val="283"/>
          <w:jc w:val="center"/>
        </w:trPr>
        <w:tc>
          <w:tcPr>
            <w:tcW w:w="0" w:type="auto"/>
            <w:tcBorders>
              <w:top w:val="single" w:sz="8" w:space="0" w:color="auto"/>
            </w:tcBorders>
            <w:vAlign w:val="center"/>
          </w:tcPr>
          <w:p w:rsidR="00BE1EFE" w:rsidRPr="00E46EA2" w:rsidRDefault="00BE1EFE" w:rsidP="00B31D88">
            <w:pPr>
              <w:jc w:val="both"/>
              <w:rPr>
                <w:rFonts w:cs="Arial"/>
                <w:b/>
                <w:sz w:val="12"/>
                <w:szCs w:val="12"/>
              </w:rPr>
            </w:pPr>
          </w:p>
        </w:tc>
        <w:tc>
          <w:tcPr>
            <w:tcW w:w="0" w:type="auto"/>
            <w:tcBorders>
              <w:top w:val="single" w:sz="8" w:space="0" w:color="auto"/>
            </w:tcBorders>
            <w:vAlign w:val="center"/>
          </w:tcPr>
          <w:p w:rsidR="00BE1EFE" w:rsidRPr="00E46EA2" w:rsidRDefault="00BE1EFE" w:rsidP="00B31D88">
            <w:pPr>
              <w:jc w:val="both"/>
              <w:rPr>
                <w:rFonts w:cs="Arial"/>
                <w:b/>
                <w:sz w:val="12"/>
                <w:szCs w:val="12"/>
              </w:rPr>
            </w:pPr>
            <w:r w:rsidRPr="00E46EA2">
              <w:rPr>
                <w:rFonts w:cs="Arial"/>
                <w:b/>
                <w:sz w:val="12"/>
                <w:szCs w:val="12"/>
              </w:rPr>
              <w:t>Stufe 1</w:t>
            </w:r>
          </w:p>
        </w:tc>
        <w:tc>
          <w:tcPr>
            <w:tcW w:w="0" w:type="auto"/>
            <w:tcBorders>
              <w:top w:val="single" w:sz="8" w:space="0" w:color="auto"/>
            </w:tcBorders>
            <w:vAlign w:val="center"/>
          </w:tcPr>
          <w:p w:rsidR="00BE1EFE" w:rsidRPr="00E46EA2" w:rsidRDefault="00BE1EFE" w:rsidP="00B31D88">
            <w:pPr>
              <w:jc w:val="both"/>
              <w:rPr>
                <w:rFonts w:cs="Arial"/>
                <w:b/>
                <w:sz w:val="12"/>
                <w:szCs w:val="12"/>
              </w:rPr>
            </w:pPr>
            <w:r w:rsidRPr="00E46EA2">
              <w:rPr>
                <w:rFonts w:cs="Arial"/>
                <w:b/>
                <w:sz w:val="12"/>
                <w:szCs w:val="12"/>
              </w:rPr>
              <w:t>Stufe 2</w:t>
            </w:r>
          </w:p>
        </w:tc>
        <w:tc>
          <w:tcPr>
            <w:tcW w:w="0" w:type="auto"/>
            <w:tcBorders>
              <w:top w:val="single" w:sz="8" w:space="0" w:color="auto"/>
            </w:tcBorders>
            <w:vAlign w:val="center"/>
          </w:tcPr>
          <w:p w:rsidR="00BE1EFE" w:rsidRPr="00E46EA2" w:rsidRDefault="00BE1EFE" w:rsidP="00B31D88">
            <w:pPr>
              <w:jc w:val="both"/>
              <w:rPr>
                <w:rFonts w:cs="Arial"/>
                <w:b/>
                <w:sz w:val="12"/>
                <w:szCs w:val="12"/>
              </w:rPr>
            </w:pPr>
            <w:r w:rsidRPr="00E46EA2">
              <w:rPr>
                <w:rFonts w:cs="Arial"/>
                <w:b/>
                <w:sz w:val="12"/>
                <w:szCs w:val="12"/>
              </w:rPr>
              <w:t>Stufe 3</w:t>
            </w:r>
          </w:p>
        </w:tc>
        <w:tc>
          <w:tcPr>
            <w:tcW w:w="0" w:type="auto"/>
            <w:tcBorders>
              <w:top w:val="single" w:sz="8" w:space="0" w:color="auto"/>
            </w:tcBorders>
            <w:vAlign w:val="center"/>
          </w:tcPr>
          <w:p w:rsidR="00BE1EFE" w:rsidRPr="00E46EA2" w:rsidRDefault="00BE1EFE" w:rsidP="00B31D88">
            <w:pPr>
              <w:jc w:val="both"/>
              <w:rPr>
                <w:rFonts w:cs="Arial"/>
                <w:b/>
                <w:sz w:val="12"/>
                <w:szCs w:val="12"/>
              </w:rPr>
            </w:pPr>
            <w:r w:rsidRPr="00E46EA2">
              <w:rPr>
                <w:rFonts w:cs="Arial"/>
                <w:b/>
                <w:sz w:val="12"/>
                <w:szCs w:val="12"/>
              </w:rPr>
              <w:t>Stufe 4</w:t>
            </w:r>
          </w:p>
        </w:tc>
        <w:tc>
          <w:tcPr>
            <w:tcW w:w="0" w:type="auto"/>
            <w:tcBorders>
              <w:top w:val="single" w:sz="8" w:space="0" w:color="auto"/>
            </w:tcBorders>
            <w:vAlign w:val="center"/>
          </w:tcPr>
          <w:p w:rsidR="00BE1EFE" w:rsidRPr="00E46EA2" w:rsidRDefault="00BE1EFE" w:rsidP="00B31D88">
            <w:pPr>
              <w:jc w:val="both"/>
              <w:rPr>
                <w:rFonts w:cs="Arial"/>
                <w:b/>
                <w:sz w:val="12"/>
                <w:szCs w:val="12"/>
              </w:rPr>
            </w:pPr>
            <w:r w:rsidRPr="00E46EA2">
              <w:rPr>
                <w:rFonts w:cs="Arial"/>
                <w:b/>
                <w:sz w:val="12"/>
                <w:szCs w:val="12"/>
              </w:rPr>
              <w:t>Stufe 5</w:t>
            </w:r>
          </w:p>
        </w:tc>
        <w:tc>
          <w:tcPr>
            <w:tcW w:w="0" w:type="auto"/>
            <w:tcBorders>
              <w:top w:val="single" w:sz="8" w:space="0" w:color="auto"/>
            </w:tcBorders>
            <w:vAlign w:val="center"/>
          </w:tcPr>
          <w:p w:rsidR="00BE1EFE" w:rsidRPr="00E46EA2" w:rsidRDefault="00BE1EFE" w:rsidP="00B31D88">
            <w:pPr>
              <w:jc w:val="both"/>
              <w:rPr>
                <w:rFonts w:cs="Arial"/>
                <w:b/>
                <w:sz w:val="12"/>
                <w:szCs w:val="12"/>
              </w:rPr>
            </w:pPr>
            <w:r w:rsidRPr="00E46EA2">
              <w:rPr>
                <w:rFonts w:cs="Arial"/>
                <w:b/>
                <w:sz w:val="12"/>
                <w:szCs w:val="12"/>
              </w:rPr>
              <w:t>Stufe 6</w:t>
            </w:r>
          </w:p>
        </w:tc>
      </w:tr>
      <w:tr w:rsidR="00BE1EFE" w:rsidRPr="00E46EA2" w:rsidTr="00E46EA2">
        <w:trPr>
          <w:trHeight w:hRule="exact" w:val="283"/>
          <w:jc w:val="center"/>
        </w:trPr>
        <w:tc>
          <w:tcPr>
            <w:tcW w:w="0" w:type="auto"/>
          </w:tcPr>
          <w:p w:rsidR="00BE1EFE" w:rsidRPr="00E46EA2" w:rsidRDefault="00BE1EFE" w:rsidP="00B31D88">
            <w:pPr>
              <w:spacing w:line="246" w:lineRule="exact"/>
              <w:rPr>
                <w:rFonts w:cs="Arial"/>
                <w:sz w:val="12"/>
                <w:szCs w:val="12"/>
              </w:rPr>
            </w:pPr>
            <w:r w:rsidRPr="00E46EA2">
              <w:rPr>
                <w:rFonts w:cs="Arial"/>
                <w:b/>
                <w:bCs/>
                <w:spacing w:val="1"/>
                <w:sz w:val="12"/>
                <w:szCs w:val="12"/>
              </w:rPr>
              <w:t>gü</w:t>
            </w:r>
            <w:r w:rsidRPr="00E46EA2">
              <w:rPr>
                <w:rFonts w:cs="Arial"/>
                <w:b/>
                <w:bCs/>
                <w:spacing w:val="-1"/>
                <w:sz w:val="12"/>
                <w:szCs w:val="12"/>
              </w:rPr>
              <w:t>lti</w:t>
            </w:r>
            <w:r w:rsidRPr="00E46EA2">
              <w:rPr>
                <w:rFonts w:cs="Arial"/>
                <w:b/>
                <w:bCs/>
                <w:sz w:val="12"/>
                <w:szCs w:val="12"/>
              </w:rPr>
              <w:t xml:space="preserve">g </w:t>
            </w:r>
            <w:r w:rsidRPr="00E46EA2">
              <w:rPr>
                <w:rFonts w:cs="Arial"/>
                <w:b/>
                <w:bCs/>
                <w:spacing w:val="2"/>
                <w:sz w:val="12"/>
                <w:szCs w:val="12"/>
              </w:rPr>
              <w:t>a</w:t>
            </w:r>
            <w:r w:rsidRPr="00E46EA2">
              <w:rPr>
                <w:rFonts w:cs="Arial"/>
                <w:b/>
                <w:bCs/>
                <w:sz w:val="12"/>
                <w:szCs w:val="12"/>
              </w:rPr>
              <w:t xml:space="preserve">b </w:t>
            </w:r>
            <w:r w:rsidRPr="00E46EA2">
              <w:rPr>
                <w:rFonts w:cs="Arial"/>
                <w:b/>
                <w:bCs/>
                <w:spacing w:val="2"/>
                <w:sz w:val="12"/>
                <w:szCs w:val="12"/>
              </w:rPr>
              <w:t>1</w:t>
            </w:r>
            <w:r w:rsidRPr="00E46EA2">
              <w:rPr>
                <w:rFonts w:cs="Arial"/>
                <w:b/>
                <w:bCs/>
                <w:sz w:val="12"/>
                <w:szCs w:val="12"/>
              </w:rPr>
              <w:t>.</w:t>
            </w:r>
            <w:r w:rsidRPr="00E46EA2">
              <w:rPr>
                <w:rFonts w:cs="Arial"/>
                <w:b/>
                <w:bCs/>
                <w:spacing w:val="-2"/>
                <w:sz w:val="12"/>
                <w:szCs w:val="12"/>
              </w:rPr>
              <w:t xml:space="preserve"> </w:t>
            </w:r>
            <w:r w:rsidRPr="00E46EA2">
              <w:rPr>
                <w:rFonts w:cs="Arial"/>
                <w:b/>
                <w:bCs/>
                <w:spacing w:val="-3"/>
                <w:sz w:val="12"/>
                <w:szCs w:val="12"/>
              </w:rPr>
              <w:t>M</w:t>
            </w:r>
            <w:r w:rsidRPr="00E46EA2">
              <w:rPr>
                <w:rFonts w:cs="Arial"/>
                <w:b/>
                <w:bCs/>
                <w:spacing w:val="2"/>
                <w:sz w:val="12"/>
                <w:szCs w:val="12"/>
              </w:rPr>
              <w:t>ä</w:t>
            </w:r>
            <w:r w:rsidRPr="00E46EA2">
              <w:rPr>
                <w:rFonts w:cs="Arial"/>
                <w:b/>
                <w:bCs/>
                <w:spacing w:val="-2"/>
                <w:sz w:val="12"/>
                <w:szCs w:val="12"/>
              </w:rPr>
              <w:t>r</w:t>
            </w:r>
            <w:r w:rsidRPr="00E46EA2">
              <w:rPr>
                <w:rFonts w:cs="Arial"/>
                <w:b/>
                <w:bCs/>
                <w:sz w:val="12"/>
                <w:szCs w:val="12"/>
              </w:rPr>
              <w:t>z</w:t>
            </w:r>
            <w:r w:rsidRPr="00E46EA2">
              <w:rPr>
                <w:rFonts w:cs="Arial"/>
                <w:b/>
                <w:bCs/>
                <w:spacing w:val="1"/>
                <w:sz w:val="12"/>
                <w:szCs w:val="12"/>
              </w:rPr>
              <w:t xml:space="preserve"> </w:t>
            </w:r>
            <w:r w:rsidRPr="00E46EA2">
              <w:rPr>
                <w:rFonts w:cs="Arial"/>
                <w:b/>
                <w:bCs/>
                <w:spacing w:val="2"/>
                <w:sz w:val="12"/>
                <w:szCs w:val="12"/>
              </w:rPr>
              <w:t>201</w:t>
            </w:r>
            <w:r w:rsidRPr="00E46EA2">
              <w:rPr>
                <w:rFonts w:cs="Arial"/>
                <w:b/>
                <w:bCs/>
                <w:sz w:val="12"/>
                <w:szCs w:val="12"/>
              </w:rPr>
              <w:t>6</w:t>
            </w:r>
          </w:p>
        </w:tc>
        <w:tc>
          <w:tcPr>
            <w:tcW w:w="0" w:type="auto"/>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2</w:t>
            </w:r>
            <w:r w:rsidRPr="00E46EA2">
              <w:rPr>
                <w:rFonts w:cs="Arial"/>
                <w:spacing w:val="1"/>
                <w:sz w:val="12"/>
                <w:szCs w:val="12"/>
              </w:rPr>
              <w:t>.</w:t>
            </w:r>
            <w:r w:rsidRPr="00E46EA2">
              <w:rPr>
                <w:rFonts w:cs="Arial"/>
                <w:spacing w:val="-1"/>
                <w:sz w:val="12"/>
                <w:szCs w:val="12"/>
              </w:rPr>
              <w:t>651</w:t>
            </w:r>
            <w:r w:rsidRPr="00E46EA2">
              <w:rPr>
                <w:rFonts w:cs="Arial"/>
                <w:spacing w:val="1"/>
                <w:sz w:val="12"/>
                <w:szCs w:val="12"/>
              </w:rPr>
              <w:t>,</w:t>
            </w:r>
            <w:r w:rsidRPr="00E46EA2">
              <w:rPr>
                <w:rFonts w:cs="Arial"/>
                <w:spacing w:val="2"/>
                <w:sz w:val="12"/>
                <w:szCs w:val="12"/>
              </w:rPr>
              <w:t>8</w:t>
            </w:r>
            <w:r w:rsidRPr="00E46EA2">
              <w:rPr>
                <w:rFonts w:cs="Arial"/>
                <w:sz w:val="12"/>
                <w:szCs w:val="12"/>
              </w:rPr>
              <w:t>3</w:t>
            </w:r>
          </w:p>
        </w:tc>
        <w:tc>
          <w:tcPr>
            <w:tcW w:w="0" w:type="auto"/>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2</w:t>
            </w:r>
            <w:r w:rsidRPr="00E46EA2">
              <w:rPr>
                <w:rFonts w:cs="Arial"/>
                <w:spacing w:val="1"/>
                <w:sz w:val="12"/>
                <w:szCs w:val="12"/>
              </w:rPr>
              <w:t>.</w:t>
            </w:r>
            <w:r w:rsidRPr="00E46EA2">
              <w:rPr>
                <w:rFonts w:cs="Arial"/>
                <w:spacing w:val="-1"/>
                <w:sz w:val="12"/>
                <w:szCs w:val="12"/>
              </w:rPr>
              <w:t>925</w:t>
            </w:r>
            <w:r w:rsidRPr="00E46EA2">
              <w:rPr>
                <w:rFonts w:cs="Arial"/>
                <w:spacing w:val="1"/>
                <w:sz w:val="12"/>
                <w:szCs w:val="12"/>
              </w:rPr>
              <w:t>,</w:t>
            </w:r>
            <w:r w:rsidRPr="00E46EA2">
              <w:rPr>
                <w:rFonts w:cs="Arial"/>
                <w:spacing w:val="2"/>
                <w:sz w:val="12"/>
                <w:szCs w:val="12"/>
              </w:rPr>
              <w:t>8</w:t>
            </w:r>
            <w:r w:rsidRPr="00E46EA2">
              <w:rPr>
                <w:rFonts w:cs="Arial"/>
                <w:sz w:val="12"/>
                <w:szCs w:val="12"/>
              </w:rPr>
              <w:t>4</w:t>
            </w:r>
          </w:p>
        </w:tc>
        <w:tc>
          <w:tcPr>
            <w:tcW w:w="0" w:type="auto"/>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3</w:t>
            </w:r>
            <w:r w:rsidRPr="00E46EA2">
              <w:rPr>
                <w:rFonts w:cs="Arial"/>
                <w:spacing w:val="1"/>
                <w:sz w:val="12"/>
                <w:szCs w:val="12"/>
              </w:rPr>
              <w:t>.</w:t>
            </w:r>
            <w:r w:rsidRPr="00E46EA2">
              <w:rPr>
                <w:rFonts w:cs="Arial"/>
                <w:spacing w:val="-1"/>
                <w:sz w:val="12"/>
                <w:szCs w:val="12"/>
              </w:rPr>
              <w:t>062</w:t>
            </w:r>
            <w:r w:rsidRPr="00E46EA2">
              <w:rPr>
                <w:rFonts w:cs="Arial"/>
                <w:spacing w:val="1"/>
                <w:sz w:val="12"/>
                <w:szCs w:val="12"/>
              </w:rPr>
              <w:t>,</w:t>
            </w:r>
            <w:r w:rsidRPr="00E46EA2">
              <w:rPr>
                <w:rFonts w:cs="Arial"/>
                <w:spacing w:val="2"/>
                <w:sz w:val="12"/>
                <w:szCs w:val="12"/>
              </w:rPr>
              <w:t>8</w:t>
            </w:r>
            <w:r w:rsidRPr="00E46EA2">
              <w:rPr>
                <w:rFonts w:cs="Arial"/>
                <w:sz w:val="12"/>
                <w:szCs w:val="12"/>
              </w:rPr>
              <w:t>6</w:t>
            </w:r>
          </w:p>
        </w:tc>
        <w:tc>
          <w:tcPr>
            <w:tcW w:w="0" w:type="auto"/>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3</w:t>
            </w:r>
            <w:r w:rsidRPr="00E46EA2">
              <w:rPr>
                <w:rFonts w:cs="Arial"/>
                <w:spacing w:val="1"/>
                <w:sz w:val="12"/>
                <w:szCs w:val="12"/>
              </w:rPr>
              <w:t>.</w:t>
            </w:r>
            <w:r w:rsidRPr="00E46EA2">
              <w:rPr>
                <w:rFonts w:cs="Arial"/>
                <w:spacing w:val="-1"/>
                <w:sz w:val="12"/>
                <w:szCs w:val="12"/>
              </w:rPr>
              <w:t>469</w:t>
            </w:r>
            <w:r w:rsidRPr="00E46EA2">
              <w:rPr>
                <w:rFonts w:cs="Arial"/>
                <w:spacing w:val="1"/>
                <w:sz w:val="12"/>
                <w:szCs w:val="12"/>
              </w:rPr>
              <w:t>,</w:t>
            </w:r>
            <w:r w:rsidRPr="00E46EA2">
              <w:rPr>
                <w:rFonts w:cs="Arial"/>
                <w:spacing w:val="2"/>
                <w:sz w:val="12"/>
                <w:szCs w:val="12"/>
              </w:rPr>
              <w:t>1</w:t>
            </w:r>
            <w:r w:rsidRPr="00E46EA2">
              <w:rPr>
                <w:rFonts w:cs="Arial"/>
                <w:sz w:val="12"/>
                <w:szCs w:val="12"/>
              </w:rPr>
              <w:t>3</w:t>
            </w:r>
          </w:p>
        </w:tc>
        <w:tc>
          <w:tcPr>
            <w:tcW w:w="0" w:type="auto"/>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3</w:t>
            </w:r>
            <w:r w:rsidRPr="00E46EA2">
              <w:rPr>
                <w:rFonts w:cs="Arial"/>
                <w:spacing w:val="1"/>
                <w:sz w:val="12"/>
                <w:szCs w:val="12"/>
              </w:rPr>
              <w:t>.</w:t>
            </w:r>
            <w:r w:rsidRPr="00E46EA2">
              <w:rPr>
                <w:rFonts w:cs="Arial"/>
                <w:spacing w:val="-1"/>
                <w:sz w:val="12"/>
                <w:szCs w:val="12"/>
              </w:rPr>
              <w:t>798</w:t>
            </w:r>
            <w:r w:rsidRPr="00E46EA2">
              <w:rPr>
                <w:rFonts w:cs="Arial"/>
                <w:spacing w:val="1"/>
                <w:sz w:val="12"/>
                <w:szCs w:val="12"/>
              </w:rPr>
              <w:t>,</w:t>
            </w:r>
            <w:r w:rsidRPr="00E46EA2">
              <w:rPr>
                <w:rFonts w:cs="Arial"/>
                <w:spacing w:val="2"/>
                <w:sz w:val="12"/>
                <w:szCs w:val="12"/>
              </w:rPr>
              <w:t>4</w:t>
            </w:r>
            <w:r w:rsidRPr="00E46EA2">
              <w:rPr>
                <w:rFonts w:cs="Arial"/>
                <w:sz w:val="12"/>
                <w:szCs w:val="12"/>
              </w:rPr>
              <w:t>1</w:t>
            </w:r>
          </w:p>
        </w:tc>
        <w:tc>
          <w:tcPr>
            <w:tcW w:w="0" w:type="auto"/>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4</w:t>
            </w:r>
            <w:r w:rsidRPr="00E46EA2">
              <w:rPr>
                <w:rFonts w:cs="Arial"/>
                <w:spacing w:val="1"/>
                <w:sz w:val="12"/>
                <w:szCs w:val="12"/>
              </w:rPr>
              <w:t>.</w:t>
            </w:r>
            <w:r w:rsidRPr="00E46EA2">
              <w:rPr>
                <w:rFonts w:cs="Arial"/>
                <w:spacing w:val="-1"/>
                <w:sz w:val="12"/>
                <w:szCs w:val="12"/>
              </w:rPr>
              <w:t>068</w:t>
            </w:r>
            <w:r w:rsidRPr="00E46EA2">
              <w:rPr>
                <w:rFonts w:cs="Arial"/>
                <w:spacing w:val="1"/>
                <w:sz w:val="12"/>
                <w:szCs w:val="12"/>
              </w:rPr>
              <w:t>,</w:t>
            </w:r>
            <w:r w:rsidRPr="00E46EA2">
              <w:rPr>
                <w:rFonts w:cs="Arial"/>
                <w:spacing w:val="2"/>
                <w:sz w:val="12"/>
                <w:szCs w:val="12"/>
              </w:rPr>
              <w:t>8</w:t>
            </w:r>
            <w:r w:rsidRPr="00E46EA2">
              <w:rPr>
                <w:rFonts w:cs="Arial"/>
                <w:sz w:val="12"/>
                <w:szCs w:val="12"/>
              </w:rPr>
              <w:t>6</w:t>
            </w:r>
          </w:p>
        </w:tc>
      </w:tr>
      <w:tr w:rsidR="00BE1EFE" w:rsidRPr="00E46EA2" w:rsidTr="00E46EA2">
        <w:trPr>
          <w:trHeight w:hRule="exact" w:val="283"/>
          <w:jc w:val="center"/>
        </w:trPr>
        <w:tc>
          <w:tcPr>
            <w:tcW w:w="0" w:type="auto"/>
            <w:tcBorders>
              <w:bottom w:val="single" w:sz="8" w:space="0" w:color="auto"/>
            </w:tcBorders>
          </w:tcPr>
          <w:p w:rsidR="00BE1EFE" w:rsidRPr="00E46EA2" w:rsidRDefault="00BE1EFE" w:rsidP="00B31D88">
            <w:pPr>
              <w:spacing w:line="246" w:lineRule="exact"/>
              <w:rPr>
                <w:rFonts w:cs="Arial"/>
                <w:sz w:val="12"/>
                <w:szCs w:val="12"/>
              </w:rPr>
            </w:pPr>
            <w:r w:rsidRPr="00E46EA2">
              <w:rPr>
                <w:rFonts w:cs="Arial"/>
                <w:b/>
                <w:bCs/>
                <w:spacing w:val="1"/>
                <w:sz w:val="12"/>
                <w:szCs w:val="12"/>
              </w:rPr>
              <w:t>gü</w:t>
            </w:r>
            <w:r w:rsidRPr="00E46EA2">
              <w:rPr>
                <w:rFonts w:cs="Arial"/>
                <w:b/>
                <w:bCs/>
                <w:spacing w:val="-1"/>
                <w:sz w:val="12"/>
                <w:szCs w:val="12"/>
              </w:rPr>
              <w:t>lti</w:t>
            </w:r>
            <w:r w:rsidRPr="00E46EA2">
              <w:rPr>
                <w:rFonts w:cs="Arial"/>
                <w:b/>
                <w:bCs/>
                <w:sz w:val="12"/>
                <w:szCs w:val="12"/>
              </w:rPr>
              <w:t xml:space="preserve">g </w:t>
            </w:r>
            <w:r w:rsidRPr="00E46EA2">
              <w:rPr>
                <w:rFonts w:cs="Arial"/>
                <w:b/>
                <w:bCs/>
                <w:spacing w:val="2"/>
                <w:sz w:val="12"/>
                <w:szCs w:val="12"/>
              </w:rPr>
              <w:t>a</w:t>
            </w:r>
            <w:r w:rsidRPr="00E46EA2">
              <w:rPr>
                <w:rFonts w:cs="Arial"/>
                <w:b/>
                <w:bCs/>
                <w:sz w:val="12"/>
                <w:szCs w:val="12"/>
              </w:rPr>
              <w:t>b</w:t>
            </w:r>
            <w:r w:rsidRPr="00E46EA2">
              <w:rPr>
                <w:rFonts w:cs="Arial"/>
                <w:sz w:val="12"/>
                <w:szCs w:val="12"/>
              </w:rPr>
              <w:t xml:space="preserve"> </w:t>
            </w:r>
            <w:r w:rsidRPr="00E46EA2">
              <w:rPr>
                <w:rFonts w:cs="Arial"/>
                <w:b/>
                <w:bCs/>
                <w:spacing w:val="2"/>
                <w:sz w:val="12"/>
                <w:szCs w:val="12"/>
              </w:rPr>
              <w:t>1</w:t>
            </w:r>
            <w:r w:rsidRPr="00E46EA2">
              <w:rPr>
                <w:rFonts w:cs="Arial"/>
                <w:b/>
                <w:bCs/>
                <w:sz w:val="12"/>
                <w:szCs w:val="12"/>
              </w:rPr>
              <w:t>.</w:t>
            </w:r>
            <w:r w:rsidRPr="00E46EA2">
              <w:rPr>
                <w:rFonts w:cs="Arial"/>
                <w:b/>
                <w:bCs/>
                <w:spacing w:val="-2"/>
                <w:sz w:val="12"/>
                <w:szCs w:val="12"/>
              </w:rPr>
              <w:t xml:space="preserve"> </w:t>
            </w:r>
            <w:r w:rsidRPr="00E46EA2">
              <w:rPr>
                <w:rFonts w:cs="Arial"/>
                <w:b/>
                <w:bCs/>
                <w:spacing w:val="1"/>
                <w:sz w:val="12"/>
                <w:szCs w:val="12"/>
              </w:rPr>
              <w:t>F</w:t>
            </w:r>
            <w:r w:rsidRPr="00E46EA2">
              <w:rPr>
                <w:rFonts w:cs="Arial"/>
                <w:b/>
                <w:bCs/>
                <w:spacing w:val="2"/>
                <w:sz w:val="12"/>
                <w:szCs w:val="12"/>
              </w:rPr>
              <w:t>e</w:t>
            </w:r>
            <w:r w:rsidRPr="00E46EA2">
              <w:rPr>
                <w:rFonts w:cs="Arial"/>
                <w:b/>
                <w:bCs/>
                <w:spacing w:val="1"/>
                <w:sz w:val="12"/>
                <w:szCs w:val="12"/>
              </w:rPr>
              <w:t>b</w:t>
            </w:r>
            <w:r w:rsidRPr="00E46EA2">
              <w:rPr>
                <w:rFonts w:cs="Arial"/>
                <w:b/>
                <w:bCs/>
                <w:spacing w:val="-2"/>
                <w:sz w:val="12"/>
                <w:szCs w:val="12"/>
              </w:rPr>
              <w:t>r</w:t>
            </w:r>
            <w:r w:rsidRPr="00E46EA2">
              <w:rPr>
                <w:rFonts w:cs="Arial"/>
                <w:b/>
                <w:bCs/>
                <w:spacing w:val="1"/>
                <w:sz w:val="12"/>
                <w:szCs w:val="12"/>
              </w:rPr>
              <w:t>u</w:t>
            </w:r>
            <w:r w:rsidRPr="00E46EA2">
              <w:rPr>
                <w:rFonts w:cs="Arial"/>
                <w:b/>
                <w:bCs/>
                <w:spacing w:val="2"/>
                <w:sz w:val="12"/>
                <w:szCs w:val="12"/>
              </w:rPr>
              <w:t>a</w:t>
            </w:r>
            <w:r w:rsidRPr="00E46EA2">
              <w:rPr>
                <w:rFonts w:cs="Arial"/>
                <w:b/>
                <w:bCs/>
                <w:sz w:val="12"/>
                <w:szCs w:val="12"/>
              </w:rPr>
              <w:t>r</w:t>
            </w:r>
            <w:r w:rsidRPr="00E46EA2">
              <w:rPr>
                <w:rFonts w:cs="Arial"/>
                <w:b/>
                <w:bCs/>
                <w:spacing w:val="-3"/>
                <w:sz w:val="12"/>
                <w:szCs w:val="12"/>
              </w:rPr>
              <w:t xml:space="preserve"> </w:t>
            </w:r>
            <w:r w:rsidRPr="00E46EA2">
              <w:rPr>
                <w:rFonts w:cs="Arial"/>
                <w:b/>
                <w:bCs/>
                <w:spacing w:val="-2"/>
                <w:sz w:val="12"/>
                <w:szCs w:val="12"/>
              </w:rPr>
              <w:t>2</w:t>
            </w:r>
            <w:r w:rsidRPr="00E46EA2">
              <w:rPr>
                <w:rFonts w:cs="Arial"/>
                <w:b/>
                <w:bCs/>
                <w:spacing w:val="2"/>
                <w:sz w:val="12"/>
                <w:szCs w:val="12"/>
              </w:rPr>
              <w:t>01</w:t>
            </w:r>
            <w:r w:rsidRPr="00E46EA2">
              <w:rPr>
                <w:rFonts w:cs="Arial"/>
                <w:b/>
                <w:bCs/>
                <w:sz w:val="12"/>
                <w:szCs w:val="12"/>
              </w:rPr>
              <w:t>7</w:t>
            </w:r>
          </w:p>
        </w:tc>
        <w:tc>
          <w:tcPr>
            <w:tcW w:w="0" w:type="auto"/>
            <w:tcBorders>
              <w:bottom w:val="single" w:sz="8" w:space="0" w:color="auto"/>
            </w:tcBorders>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2</w:t>
            </w:r>
            <w:r w:rsidRPr="00E46EA2">
              <w:rPr>
                <w:rFonts w:cs="Arial"/>
                <w:spacing w:val="1"/>
                <w:sz w:val="12"/>
                <w:szCs w:val="12"/>
              </w:rPr>
              <w:t>.</w:t>
            </w:r>
            <w:r w:rsidRPr="00E46EA2">
              <w:rPr>
                <w:rFonts w:cs="Arial"/>
                <w:spacing w:val="-1"/>
                <w:sz w:val="12"/>
                <w:szCs w:val="12"/>
              </w:rPr>
              <w:t>714</w:t>
            </w:r>
            <w:r w:rsidRPr="00E46EA2">
              <w:rPr>
                <w:rFonts w:cs="Arial"/>
                <w:spacing w:val="1"/>
                <w:sz w:val="12"/>
                <w:szCs w:val="12"/>
              </w:rPr>
              <w:t>,</w:t>
            </w:r>
            <w:r w:rsidRPr="00E46EA2">
              <w:rPr>
                <w:rFonts w:cs="Arial"/>
                <w:spacing w:val="2"/>
                <w:sz w:val="12"/>
                <w:szCs w:val="12"/>
              </w:rPr>
              <w:t>1</w:t>
            </w:r>
            <w:r w:rsidRPr="00E46EA2">
              <w:rPr>
                <w:rFonts w:cs="Arial"/>
                <w:sz w:val="12"/>
                <w:szCs w:val="12"/>
              </w:rPr>
              <w:t>5</w:t>
            </w:r>
          </w:p>
        </w:tc>
        <w:tc>
          <w:tcPr>
            <w:tcW w:w="0" w:type="auto"/>
            <w:tcBorders>
              <w:bottom w:val="single" w:sz="8" w:space="0" w:color="auto"/>
            </w:tcBorders>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2</w:t>
            </w:r>
            <w:r w:rsidRPr="00E46EA2">
              <w:rPr>
                <w:rFonts w:cs="Arial"/>
                <w:spacing w:val="1"/>
                <w:sz w:val="12"/>
                <w:szCs w:val="12"/>
              </w:rPr>
              <w:t>.</w:t>
            </w:r>
            <w:r w:rsidRPr="00E46EA2">
              <w:rPr>
                <w:rFonts w:cs="Arial"/>
                <w:spacing w:val="-1"/>
                <w:sz w:val="12"/>
                <w:szCs w:val="12"/>
              </w:rPr>
              <w:t>994</w:t>
            </w:r>
            <w:r w:rsidRPr="00E46EA2">
              <w:rPr>
                <w:rFonts w:cs="Arial"/>
                <w:spacing w:val="1"/>
                <w:sz w:val="12"/>
                <w:szCs w:val="12"/>
              </w:rPr>
              <w:t>,</w:t>
            </w:r>
            <w:r w:rsidRPr="00E46EA2">
              <w:rPr>
                <w:rFonts w:cs="Arial"/>
                <w:spacing w:val="2"/>
                <w:sz w:val="12"/>
                <w:szCs w:val="12"/>
              </w:rPr>
              <w:t>6</w:t>
            </w:r>
            <w:r w:rsidRPr="00E46EA2">
              <w:rPr>
                <w:rFonts w:cs="Arial"/>
                <w:sz w:val="12"/>
                <w:szCs w:val="12"/>
              </w:rPr>
              <w:t>0</w:t>
            </w:r>
          </w:p>
        </w:tc>
        <w:tc>
          <w:tcPr>
            <w:tcW w:w="0" w:type="auto"/>
            <w:tcBorders>
              <w:bottom w:val="single" w:sz="8" w:space="0" w:color="auto"/>
            </w:tcBorders>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3</w:t>
            </w:r>
            <w:r w:rsidRPr="00E46EA2">
              <w:rPr>
                <w:rFonts w:cs="Arial"/>
                <w:spacing w:val="1"/>
                <w:sz w:val="12"/>
                <w:szCs w:val="12"/>
              </w:rPr>
              <w:t>.</w:t>
            </w:r>
            <w:r w:rsidRPr="00E46EA2">
              <w:rPr>
                <w:rFonts w:cs="Arial"/>
                <w:spacing w:val="-1"/>
                <w:sz w:val="12"/>
                <w:szCs w:val="12"/>
              </w:rPr>
              <w:t>134</w:t>
            </w:r>
            <w:r w:rsidRPr="00E46EA2">
              <w:rPr>
                <w:rFonts w:cs="Arial"/>
                <w:spacing w:val="1"/>
                <w:sz w:val="12"/>
                <w:szCs w:val="12"/>
              </w:rPr>
              <w:t>,</w:t>
            </w:r>
            <w:r w:rsidRPr="00E46EA2">
              <w:rPr>
                <w:rFonts w:cs="Arial"/>
                <w:spacing w:val="2"/>
                <w:sz w:val="12"/>
                <w:szCs w:val="12"/>
              </w:rPr>
              <w:t>8</w:t>
            </w:r>
            <w:r w:rsidRPr="00E46EA2">
              <w:rPr>
                <w:rFonts w:cs="Arial"/>
                <w:sz w:val="12"/>
                <w:szCs w:val="12"/>
              </w:rPr>
              <w:t>4</w:t>
            </w:r>
          </w:p>
        </w:tc>
        <w:tc>
          <w:tcPr>
            <w:tcW w:w="0" w:type="auto"/>
            <w:tcBorders>
              <w:bottom w:val="single" w:sz="8" w:space="0" w:color="auto"/>
            </w:tcBorders>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3</w:t>
            </w:r>
            <w:r w:rsidRPr="00E46EA2">
              <w:rPr>
                <w:rFonts w:cs="Arial"/>
                <w:spacing w:val="1"/>
                <w:sz w:val="12"/>
                <w:szCs w:val="12"/>
              </w:rPr>
              <w:t>.</w:t>
            </w:r>
            <w:r w:rsidRPr="00E46EA2">
              <w:rPr>
                <w:rFonts w:cs="Arial"/>
                <w:spacing w:val="-1"/>
                <w:sz w:val="12"/>
                <w:szCs w:val="12"/>
              </w:rPr>
              <w:t>550</w:t>
            </w:r>
            <w:r w:rsidRPr="00E46EA2">
              <w:rPr>
                <w:rFonts w:cs="Arial"/>
                <w:spacing w:val="1"/>
                <w:sz w:val="12"/>
                <w:szCs w:val="12"/>
              </w:rPr>
              <w:t>,</w:t>
            </w:r>
            <w:r w:rsidRPr="00E46EA2">
              <w:rPr>
                <w:rFonts w:cs="Arial"/>
                <w:spacing w:val="2"/>
                <w:sz w:val="12"/>
                <w:szCs w:val="12"/>
              </w:rPr>
              <w:t>6</w:t>
            </w:r>
            <w:r w:rsidRPr="00E46EA2">
              <w:rPr>
                <w:rFonts w:cs="Arial"/>
                <w:sz w:val="12"/>
                <w:szCs w:val="12"/>
              </w:rPr>
              <w:t>5</w:t>
            </w:r>
          </w:p>
        </w:tc>
        <w:tc>
          <w:tcPr>
            <w:tcW w:w="0" w:type="auto"/>
            <w:tcBorders>
              <w:bottom w:val="single" w:sz="8" w:space="0" w:color="auto"/>
            </w:tcBorders>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3</w:t>
            </w:r>
            <w:r w:rsidRPr="00E46EA2">
              <w:rPr>
                <w:rFonts w:cs="Arial"/>
                <w:spacing w:val="1"/>
                <w:sz w:val="12"/>
                <w:szCs w:val="12"/>
              </w:rPr>
              <w:t>.</w:t>
            </w:r>
            <w:r w:rsidRPr="00E46EA2">
              <w:rPr>
                <w:rFonts w:cs="Arial"/>
                <w:spacing w:val="-1"/>
                <w:sz w:val="12"/>
                <w:szCs w:val="12"/>
              </w:rPr>
              <w:t>887</w:t>
            </w:r>
            <w:r w:rsidRPr="00E46EA2">
              <w:rPr>
                <w:rFonts w:cs="Arial"/>
                <w:spacing w:val="1"/>
                <w:sz w:val="12"/>
                <w:szCs w:val="12"/>
              </w:rPr>
              <w:t>,</w:t>
            </w:r>
            <w:r w:rsidRPr="00E46EA2">
              <w:rPr>
                <w:rFonts w:cs="Arial"/>
                <w:spacing w:val="2"/>
                <w:sz w:val="12"/>
                <w:szCs w:val="12"/>
              </w:rPr>
              <w:t>6</w:t>
            </w:r>
            <w:r w:rsidRPr="00E46EA2">
              <w:rPr>
                <w:rFonts w:cs="Arial"/>
                <w:sz w:val="12"/>
                <w:szCs w:val="12"/>
              </w:rPr>
              <w:t>7</w:t>
            </w:r>
          </w:p>
        </w:tc>
        <w:tc>
          <w:tcPr>
            <w:tcW w:w="0" w:type="auto"/>
            <w:tcBorders>
              <w:bottom w:val="single" w:sz="8" w:space="0" w:color="auto"/>
            </w:tcBorders>
          </w:tcPr>
          <w:p w:rsidR="00BE1EFE" w:rsidRPr="00E46EA2" w:rsidRDefault="00BE1EFE" w:rsidP="00B31D88">
            <w:pPr>
              <w:spacing w:before="6" w:line="100" w:lineRule="exact"/>
              <w:rPr>
                <w:sz w:val="12"/>
                <w:szCs w:val="12"/>
              </w:rPr>
            </w:pPr>
          </w:p>
          <w:p w:rsidR="00BE1EFE" w:rsidRPr="00E46EA2" w:rsidRDefault="00BE1EFE" w:rsidP="00B31D88">
            <w:pPr>
              <w:rPr>
                <w:rFonts w:cs="Arial"/>
                <w:sz w:val="12"/>
                <w:szCs w:val="12"/>
              </w:rPr>
            </w:pPr>
            <w:r w:rsidRPr="00E46EA2">
              <w:rPr>
                <w:rFonts w:cs="Arial"/>
                <w:spacing w:val="-1"/>
                <w:sz w:val="12"/>
                <w:szCs w:val="12"/>
              </w:rPr>
              <w:t>4</w:t>
            </w:r>
            <w:r w:rsidRPr="00E46EA2">
              <w:rPr>
                <w:rFonts w:cs="Arial"/>
                <w:spacing w:val="1"/>
                <w:sz w:val="12"/>
                <w:szCs w:val="12"/>
              </w:rPr>
              <w:t>.</w:t>
            </w:r>
            <w:r w:rsidRPr="00E46EA2">
              <w:rPr>
                <w:rFonts w:cs="Arial"/>
                <w:spacing w:val="-1"/>
                <w:sz w:val="12"/>
                <w:szCs w:val="12"/>
              </w:rPr>
              <w:t>164</w:t>
            </w:r>
            <w:r w:rsidRPr="00E46EA2">
              <w:rPr>
                <w:rFonts w:cs="Arial"/>
                <w:spacing w:val="1"/>
                <w:sz w:val="12"/>
                <w:szCs w:val="12"/>
              </w:rPr>
              <w:t>,</w:t>
            </w:r>
            <w:r w:rsidRPr="00E46EA2">
              <w:rPr>
                <w:rFonts w:cs="Arial"/>
                <w:spacing w:val="2"/>
                <w:sz w:val="12"/>
                <w:szCs w:val="12"/>
              </w:rPr>
              <w:t>4</w:t>
            </w:r>
            <w:r w:rsidRPr="00E46EA2">
              <w:rPr>
                <w:rFonts w:cs="Arial"/>
                <w:sz w:val="12"/>
                <w:szCs w:val="12"/>
              </w:rPr>
              <w:t>8</w:t>
            </w:r>
          </w:p>
        </w:tc>
      </w:tr>
    </w:tbl>
    <w:p w:rsidR="00BE1EFE" w:rsidRDefault="00BE1EFE">
      <w:pPr>
        <w:pStyle w:val="StandardWeb"/>
      </w:pPr>
    </w:p>
    <w:p w:rsidR="00BE1EFE" w:rsidRPr="00D13A79" w:rsidRDefault="00BE1EFE" w:rsidP="00D13A79">
      <w:pPr>
        <w:pStyle w:val="StandardWeb"/>
        <w:rPr>
          <w:sz w:val="12"/>
          <w:szCs w:val="12"/>
        </w:rPr>
      </w:pPr>
      <w:r w:rsidRPr="00D13A79">
        <w:rPr>
          <w:sz w:val="12"/>
          <w:szCs w:val="12"/>
        </w:rPr>
        <w:t>2Diese Tabellenwerte verändern sich bei allgemeinen Entgeltanpassungen um den von den</w:t>
      </w:r>
      <w:r>
        <w:rPr>
          <w:sz w:val="12"/>
          <w:szCs w:val="12"/>
        </w:rPr>
        <w:t xml:space="preserve"> Tarif</w:t>
      </w:r>
      <w:r w:rsidRPr="00D13A79">
        <w:rPr>
          <w:sz w:val="12"/>
          <w:szCs w:val="12"/>
        </w:rPr>
        <w:t>vertragsparteien für die Entgeltgruppe S 9 festgelegten Vomhundertsatz.</w:t>
      </w:r>
    </w:p>
    <w:p w:rsidR="00BE1EFE" w:rsidRDefault="00BE1EFE" w:rsidP="00D13A79">
      <w:pPr>
        <w:pStyle w:val="StandardWeb"/>
        <w:rPr>
          <w:sz w:val="12"/>
          <w:szCs w:val="12"/>
        </w:rPr>
      </w:pPr>
      <w:r>
        <w:rPr>
          <w:sz w:val="12"/>
          <w:szCs w:val="12"/>
        </w:rPr>
        <w:t>2. </w:t>
      </w:r>
      <w:r w:rsidRPr="00D13A79">
        <w:rPr>
          <w:sz w:val="12"/>
          <w:szCs w:val="12"/>
        </w:rPr>
        <w:t>Bei Höhergruppierungen aus der Entgeltgruppe S 9 bei Tätigkeiten der Fallgruppe 2 nach der Fassung vom 30. Juni 2015 in die Entgeltgruppe S 11a gilt bei den Stufen 5 und 6 in entsprechender Anwendung von § 17 Absatz 4 Satz 3 Teil A, 1. die Entgeltgruppe S 10 mit ihren am 30. Juni 2015 gültigen Tabellenwerten als dazwischen liegende Entgeltgruppe.</w:t>
      </w:r>
    </w:p>
    <w:p w:rsidR="00BE1EFE" w:rsidRPr="00D13A79" w:rsidRDefault="00BE1EFE" w:rsidP="00D13A79">
      <w:pPr>
        <w:pStyle w:val="StandardWeb"/>
        <w:rPr>
          <w:sz w:val="12"/>
          <w:szCs w:val="12"/>
        </w:rPr>
      </w:pPr>
    </w:p>
    <w:p w:rsidR="00BE1EFE" w:rsidRDefault="00BE1EFE" w:rsidP="00D13A79">
      <w:pPr>
        <w:pStyle w:val="StandardWeb"/>
      </w:pPr>
      <w:r>
        <w:lastRenderedPageBreak/>
        <w:t>(3) </w:t>
      </w:r>
      <w:r w:rsidRPr="00D13A79">
        <w:rPr>
          <w:sz w:val="12"/>
          <w:szCs w:val="12"/>
        </w:rPr>
        <w:t>1</w:t>
      </w:r>
      <w:r>
        <w:t>Werden Beschäftigte zum 1. Juli 2015 aus einer individuellen Endstufe nach Absatz 1 einer höheren Entgeltgruppe zugeordnet oder nach Absatz 2 höhergruppiert, erhalten sie in der höheren Entgeltgruppe ein Entgelt, das dem Entgelt ihrer bisherigen individuellen End</w:t>
      </w:r>
      <w:r>
        <w:softHyphen/>
        <w:t>stufe zuzüglich des Zuordnungs- bzw. Höhergruppierungsgewinns, den die Beschäftigten erhalten, die aus der Stufe 6 ihrer bisherigen Entgeltgruppe der höheren Entgeltgruppe zuge</w:t>
      </w:r>
      <w:r>
        <w:softHyphen/>
        <w:t xml:space="preserve">ordnet oder in diese höhergruppiert werden, entspricht. </w:t>
      </w:r>
      <w:r w:rsidRPr="00D13A79">
        <w:rPr>
          <w:sz w:val="12"/>
          <w:szCs w:val="12"/>
        </w:rPr>
        <w:t>2</w:t>
      </w:r>
      <w:r>
        <w:t xml:space="preserve">Soweit sich zum 1. Juli 2015 allein die Tabellenwerte der Entgeltgruppe der Anlage F zum Teil A, 1. erhöhen, findet </w:t>
      </w:r>
      <w:hyperlink r:id="rId620" w:history="1">
        <w:r w:rsidRPr="00D13A79">
          <w:rPr>
            <w:rStyle w:val="Hyperlink"/>
          </w:rPr>
          <w:t>§ 6 Absatz 3 Satz 4</w:t>
        </w:r>
      </w:hyperlink>
      <w:r>
        <w:t xml:space="preserve"> entsprechende Anwendung.</w:t>
      </w:r>
    </w:p>
    <w:p w:rsidR="00BE1EFE" w:rsidRDefault="00BE1EFE" w:rsidP="00D13A79">
      <w:pPr>
        <w:pStyle w:val="StandardWeb"/>
      </w:pPr>
    </w:p>
    <w:p w:rsidR="00BE1EFE" w:rsidRDefault="00BE1EFE" w:rsidP="00D13A79">
      <w:pPr>
        <w:pStyle w:val="StandardWeb"/>
      </w:pPr>
      <w:r>
        <w:t>(4) Für Beschäftigte der Entgeltgruppe S 9 bei Tätigkeiten der Fallgruppe 1, die am 30. Juni 2015 den Stufen 1 oder 2 zugeordnet sind, finden für die Dauer des Verbleibs in den Stufen 1 und 2 die Tabellenwerte der Stufen 1 und 2 nach dem Stand vom 30. Juni 2015 Anwendung.</w:t>
      </w:r>
    </w:p>
    <w:p w:rsidR="00BE1EFE" w:rsidRDefault="00BE1EFE" w:rsidP="00D13A79">
      <w:pPr>
        <w:pStyle w:val="StandardWeb"/>
      </w:pPr>
    </w:p>
    <w:p w:rsidR="00BE1EFE" w:rsidRDefault="00BE1EFE" w:rsidP="00D13A79">
      <w:pPr>
        <w:pStyle w:val="StandardWeb"/>
      </w:pPr>
      <w:r>
        <w:t>(5) </w:t>
      </w:r>
      <w:r w:rsidRPr="00D13A79">
        <w:rPr>
          <w:sz w:val="12"/>
          <w:szCs w:val="12"/>
        </w:rPr>
        <w:t>1</w:t>
      </w:r>
      <w:r>
        <w:t xml:space="preserve">Beschäftigte im Sinne des </w:t>
      </w:r>
      <w:hyperlink r:id="rId621" w:history="1">
        <w:r w:rsidRPr="00D13A79">
          <w:rPr>
            <w:rStyle w:val="Hyperlink"/>
          </w:rPr>
          <w:t>§ 24a Absatz 7</w:t>
        </w:r>
      </w:hyperlink>
      <w:r>
        <w:t xml:space="preserve">, die nicht innerhalb der Antragsfrist nach </w:t>
      </w:r>
      <w:hyperlink r:id="rId622" w:history="1">
        <w:r w:rsidRPr="00D13A79">
          <w:rPr>
            <w:rStyle w:val="Hyperlink"/>
          </w:rPr>
          <w:t>§ 24a Absatz 7</w:t>
        </w:r>
      </w:hyperlink>
      <w:r>
        <w:t xml:space="preserve"> ihre Eingruppierung nach dem </w:t>
      </w:r>
      <w:hyperlink r:id="rId623" w:history="1">
        <w:r w:rsidRPr="00F926AB">
          <w:rPr>
            <w:rStyle w:val="Hyperlink"/>
          </w:rPr>
          <w:t>Anhang zu der Anlage F zum Teil A, 1.</w:t>
        </w:r>
      </w:hyperlink>
      <w:r w:rsidRPr="007B3270">
        <w:rPr>
          <w:vertAlign w:val="superscript"/>
        </w:rPr>
        <w:t>1</w:t>
      </w:r>
      <w:r>
        <w:t xml:space="preserve"> geltend gemacht haben und die weiterhin Entgelt nach der </w:t>
      </w:r>
      <w:hyperlink r:id="rId624" w:history="1">
        <w:r w:rsidRPr="00F926AB">
          <w:rPr>
            <w:rStyle w:val="Hyperlink"/>
          </w:rPr>
          <w:t>Anlage A zum Teil A, 1.</w:t>
        </w:r>
      </w:hyperlink>
      <w:r>
        <w:t xml:space="preserve"> erhalten, können bis zum 30. Juni 2016 (Ausschlussfrist) ihre Eingruppierung nach dem </w:t>
      </w:r>
      <w:hyperlink r:id="rId625" w:history="1">
        <w:r w:rsidRPr="00F926AB">
          <w:rPr>
            <w:rStyle w:val="Hyperlink"/>
          </w:rPr>
          <w:t>Anhang zu der Anlage F zum Teil A, 1.</w:t>
        </w:r>
      </w:hyperlink>
      <w:r w:rsidRPr="007B3270">
        <w:rPr>
          <w:vertAlign w:val="superscript"/>
        </w:rPr>
        <w:t>1</w:t>
      </w:r>
      <w:r>
        <w:t xml:space="preserve"> schriftlich beantragen. </w:t>
      </w:r>
      <w:r w:rsidRPr="00F926AB">
        <w:rPr>
          <w:sz w:val="12"/>
          <w:szCs w:val="12"/>
        </w:rPr>
        <w:t>2</w:t>
      </w:r>
      <w:r>
        <w:t xml:space="preserve">Bei Beschäftigten, die von ihrem Antragsrecht nach Satz 1 Gebrauch machen, wird ein Vergleichsentgelt gebildet, das aus dem diesen Beschäftigten am 30. Juni 2015 zustehenden Tabellenentgelt, gegebenenfalls zuzüglich eines am 30. Juni 2015 nach </w:t>
      </w:r>
      <w:hyperlink r:id="rId626" w:history="1">
        <w:r w:rsidRPr="00F926AB">
          <w:rPr>
            <w:rStyle w:val="Hyperlink"/>
          </w:rPr>
          <w:t>§ 17 Absatz 4 Satz 2 Teil A, 1.</w:t>
        </w:r>
      </w:hyperlink>
      <w:r>
        <w:t xml:space="preserve"> zustehenden Garantiebetrages und einer am 30. Juni 2015 zustehenden Besitzstandszulage nach </w:t>
      </w:r>
      <w:hyperlink r:id="rId627" w:history="1">
        <w:r w:rsidRPr="00F926AB">
          <w:rPr>
            <w:rStyle w:val="Hyperlink"/>
          </w:rPr>
          <w:t>§ 9</w:t>
        </w:r>
      </w:hyperlink>
      <w:r>
        <w:t xml:space="preserve">, besteht. </w:t>
      </w:r>
      <w:r w:rsidRPr="00F926AB">
        <w:rPr>
          <w:sz w:val="12"/>
          <w:szCs w:val="12"/>
        </w:rPr>
        <w:t>3</w:t>
      </w:r>
      <w:r>
        <w:t xml:space="preserve">Diese Beschäftigten werden einer ihrem Vergleichsentgelt entsprechenden individuellen Zwischenstufe der Entgeltgruppen S 8b, S 9 bzw. S 11a zugeordnet. </w:t>
      </w:r>
      <w:r w:rsidRPr="00F926AB">
        <w:rPr>
          <w:sz w:val="12"/>
          <w:szCs w:val="12"/>
        </w:rPr>
        <w:t>4</w:t>
      </w:r>
      <w:r>
        <w:t xml:space="preserve">Zum 1. Juli 2017 steigen diese Beschäftigten in die dem Betrag nach nächsthöhere reguläre Stufe ihrer Entgeltgruppe auf. </w:t>
      </w:r>
      <w:r w:rsidRPr="00F926AB">
        <w:rPr>
          <w:sz w:val="12"/>
          <w:szCs w:val="12"/>
        </w:rPr>
        <w:t>5</w:t>
      </w:r>
      <w:r>
        <w:t xml:space="preserve">Der weitere Stufenaufstieg richtet sich nach </w:t>
      </w:r>
      <w:hyperlink r:id="rId628" w:history="1">
        <w:r w:rsidRPr="00F926AB">
          <w:rPr>
            <w:rStyle w:val="Hyperlink"/>
          </w:rPr>
          <w:t>§ 1 Absatz 2 der Anlage z</w:t>
        </w:r>
        <w:r>
          <w:rPr>
            <w:rStyle w:val="Hyperlink"/>
          </w:rPr>
          <w:t>u § </w:t>
        </w:r>
        <w:r w:rsidRPr="00F926AB">
          <w:rPr>
            <w:rStyle w:val="Hyperlink"/>
          </w:rPr>
          <w:t>44 Teil A, 1.</w:t>
        </w:r>
      </w:hyperlink>
      <w:r>
        <w:t xml:space="preserve"> </w:t>
      </w:r>
      <w:r w:rsidRPr="00F926AB">
        <w:rPr>
          <w:sz w:val="12"/>
          <w:szCs w:val="12"/>
        </w:rPr>
        <w:t>6</w:t>
      </w:r>
      <w:r>
        <w:t xml:space="preserve">Liegt das Vergleichsentgelt nach Satz 2 über der höchsten Stufe der Entgeltgruppe S 8b, S 9 bzw. S 11a, werden diese Beschäftigten einer dem Vergleichsentgelt entsprechenden individuellen Endstufe zugeordnet. </w:t>
      </w:r>
      <w:r w:rsidRPr="00F926AB">
        <w:rPr>
          <w:sz w:val="12"/>
          <w:szCs w:val="12"/>
        </w:rPr>
        <w:t>7</w:t>
      </w:r>
      <w:r>
        <w:t xml:space="preserve">Werden Beschäftigte vor dem 1. Juli 2017 aus einer individuellen Zwischenstufe höhergruppiert, so erhalten sie in der höheren Entgeltgruppe Entgelt nach der regulären Stufe, deren Betrag mindestens der individuellen Zwischenstufe entspricht. </w:t>
      </w:r>
      <w:r w:rsidRPr="00F926AB">
        <w:rPr>
          <w:sz w:val="12"/>
          <w:szCs w:val="12"/>
        </w:rPr>
        <w:t>8</w:t>
      </w:r>
      <w:r>
        <w:t xml:space="preserve">Werden Beschäftigte aus einer individuellen Endstufe höhergruppiert, so erhalten sie in der höheren Entgeltgruppe mindestens den Betrag, der ihrer bisherigen individuellen Endstufe entspricht. </w:t>
      </w:r>
      <w:r w:rsidRPr="00F926AB">
        <w:rPr>
          <w:sz w:val="12"/>
          <w:szCs w:val="12"/>
        </w:rPr>
        <w:t>9</w:t>
      </w:r>
      <w:r>
        <w:t xml:space="preserve">Die individuelle Zwischen- bzw. Endstufe verändert sich bei allgemeinen Entgeltanpassungen um den von der Kommission für die Entgeltgruppe S 8b, S 9 bzw. S 11a beschlossenen Vomhundertsatz. </w:t>
      </w:r>
      <w:r w:rsidRPr="00F926AB">
        <w:rPr>
          <w:sz w:val="12"/>
          <w:szCs w:val="12"/>
        </w:rPr>
        <w:t>10</w:t>
      </w:r>
      <w:hyperlink r:id="rId629" w:history="1">
        <w:r w:rsidRPr="00F926AB">
          <w:rPr>
            <w:rStyle w:val="Hyperlink"/>
          </w:rPr>
          <w:t>§ 24a Absatz 10</w:t>
        </w:r>
      </w:hyperlink>
      <w:r>
        <w:t xml:space="preserve"> findet Anwendung. </w:t>
      </w:r>
      <w:r w:rsidRPr="00F926AB">
        <w:rPr>
          <w:sz w:val="12"/>
          <w:szCs w:val="12"/>
        </w:rPr>
        <w:t>11</w:t>
      </w:r>
      <w:hyperlink r:id="rId630" w:history="1">
        <w:r w:rsidRPr="00F926AB">
          <w:rPr>
            <w:rStyle w:val="Hyperlink"/>
          </w:rPr>
          <w:t>§ 24a Absatz 11</w:t>
        </w:r>
      </w:hyperlink>
      <w:r>
        <w:t xml:space="preserve"> gilt entsprechend mit der Maßgabe, dass an die Stelle des 31. Oktober 2009 der 30. Juni 2015 und an die Stelle des 1. November 2009 der 1. Juli 2015 tritt.</w:t>
      </w:r>
    </w:p>
    <w:p w:rsidR="00BE1EFE" w:rsidRDefault="00BE1EFE" w:rsidP="00D13A79">
      <w:pPr>
        <w:pStyle w:val="StandardWeb"/>
      </w:pPr>
    </w:p>
    <w:p w:rsidR="00BE1EFE" w:rsidRDefault="00BE1EFE" w:rsidP="00D13A79">
      <w:pPr>
        <w:pStyle w:val="StandardWeb"/>
      </w:pPr>
      <w:r>
        <w:t>(6) </w:t>
      </w:r>
      <w:r w:rsidRPr="00F926AB">
        <w:rPr>
          <w:sz w:val="12"/>
          <w:szCs w:val="12"/>
        </w:rPr>
        <w:t>1</w:t>
      </w:r>
      <w:r>
        <w:t xml:space="preserve">Ein am 30. Juni 2015 zustehender Strukturausgleich nach </w:t>
      </w:r>
      <w:hyperlink r:id="rId631" w:history="1">
        <w:r w:rsidRPr="00F926AB">
          <w:rPr>
            <w:rStyle w:val="Hyperlink"/>
          </w:rPr>
          <w:t>§ 12</w:t>
        </w:r>
      </w:hyperlink>
      <w:r>
        <w:t xml:space="preserve"> vermindert sich bei Höher-gruppierung nach Absatz 2 um den sich daraus ergebenden Höhergruppierungsgewinn. </w:t>
      </w:r>
      <w:r w:rsidRPr="00F926AB">
        <w:rPr>
          <w:sz w:val="12"/>
          <w:szCs w:val="12"/>
        </w:rPr>
        <w:t>2</w:t>
      </w:r>
      <w:r>
        <w:t>Dies gilt auch bei Höhergruppierungen aus einer individuellen Endstufe nach Absatz 3.</w:t>
      </w:r>
    </w:p>
    <w:p w:rsidR="00BE1EFE" w:rsidRDefault="00BE1EFE" w:rsidP="00D13A79">
      <w:pPr>
        <w:pStyle w:val="StandardWeb"/>
      </w:pPr>
    </w:p>
    <w:p w:rsidR="00BE1EFE" w:rsidRPr="007B3270" w:rsidRDefault="00BE1EFE" w:rsidP="007B3270">
      <w:pPr>
        <w:pStyle w:val="StandardWeb"/>
        <w:rPr>
          <w:sz w:val="12"/>
          <w:szCs w:val="12"/>
        </w:rPr>
      </w:pPr>
      <w:r w:rsidRPr="007B3270">
        <w:rPr>
          <w:sz w:val="12"/>
          <w:szCs w:val="12"/>
          <w:vertAlign w:val="superscript"/>
        </w:rPr>
        <w:t>1</w:t>
      </w:r>
      <w:r w:rsidRPr="007B3270">
        <w:rPr>
          <w:sz w:val="12"/>
          <w:szCs w:val="12"/>
        </w:rPr>
        <w:t>entspricht seit 01.01.2017 der Nummer 30 Teil A, 2.3.</w:t>
      </w:r>
    </w:p>
    <w:p w:rsidR="00BE1EFE" w:rsidRPr="000B1AF8" w:rsidRDefault="00BE1EFE">
      <w:pPr>
        <w:pStyle w:val="StandardWeb"/>
      </w:pPr>
      <w:r>
        <w:br w:type="page"/>
      </w:r>
    </w:p>
    <w:p w:rsidR="00BE1EFE" w:rsidRPr="00A830E0" w:rsidRDefault="00BE1EFE" w:rsidP="00B051B9">
      <w:pPr>
        <w:pStyle w:val="berschrift5"/>
        <w:spacing w:before="0"/>
        <w:rPr>
          <w:lang w:eastAsia="x-none"/>
        </w:rPr>
      </w:pPr>
      <w:bookmarkStart w:id="669" w:name="_Toc473544406"/>
      <w:bookmarkStart w:id="670" w:name="_Toc523926208"/>
      <w:r>
        <w:lastRenderedPageBreak/>
        <w:t xml:space="preserve">Abschnitt IVb: </w:t>
      </w:r>
      <w:r w:rsidRPr="00CB3066">
        <w:t>Überleitung in die ab 01.01.2017 geltende Entgeltordnung</w:t>
      </w:r>
      <w:bookmarkEnd w:id="669"/>
      <w:r w:rsidRPr="00CB3066">
        <w:t xml:space="preserve"> </w:t>
      </w:r>
      <w:r>
        <w:rPr>
          <w:lang w:eastAsia="x-none"/>
        </w:rPr>
        <w:t>(§§ 25-29c)</w:t>
      </w:r>
      <w:bookmarkEnd w:id="670"/>
    </w:p>
    <w:p w:rsidR="00BE1EFE" w:rsidRPr="00F34CE5" w:rsidRDefault="00BE1EFE" w:rsidP="00CC1A35">
      <w:pPr>
        <w:pStyle w:val="berschrift6"/>
        <w:rPr>
          <w:lang w:eastAsia="x-none"/>
        </w:rPr>
      </w:pPr>
      <w:bookmarkStart w:id="671" w:name="_Toc473544407"/>
      <w:bookmarkStart w:id="672" w:name="_Toc523926209"/>
      <w:r>
        <w:t>§§ 25 bis 28</w:t>
      </w:r>
      <w:bookmarkEnd w:id="671"/>
      <w:r>
        <w:t xml:space="preserve"> </w:t>
      </w:r>
      <w:r w:rsidR="002575B0" w:rsidRPr="002575B0">
        <w:rPr>
          <w:b w:val="0"/>
          <w:i/>
        </w:rPr>
        <w:t>(frei)</w:t>
      </w:r>
      <w:bookmarkEnd w:id="672"/>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p>
    <w:p w:rsidR="00BE1EFE" w:rsidRPr="00F34CE5" w:rsidRDefault="00BE1EFE" w:rsidP="00CC1A35">
      <w:pPr>
        <w:pStyle w:val="berschrift6"/>
        <w:rPr>
          <w:lang w:eastAsia="x-none"/>
        </w:rPr>
      </w:pPr>
      <w:bookmarkStart w:id="673" w:name="_Toc473544408"/>
      <w:bookmarkStart w:id="674" w:name="_Toc523926210"/>
      <w:r>
        <w:t>§ 29</w:t>
      </w:r>
      <w:r>
        <w:rPr>
          <w:lang w:eastAsia="x-none"/>
        </w:rPr>
        <w:t xml:space="preserve"> </w:t>
      </w:r>
      <w:r>
        <w:t>Grundsatz</w:t>
      </w:r>
      <w:bookmarkEnd w:id="673"/>
      <w:bookmarkEnd w:id="674"/>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Für die Beschäftigten nach § 1 Absatz 1 und 2, deren Arbeitsverhältnis über den 31. Dezember 2016 hinaus fortbesteht, gelten ab dem 1. Januar 2017 für Eingruppierungen </w:t>
      </w:r>
      <w:hyperlink r:id="rId632" w:history="1">
        <w:r w:rsidRPr="00F34CE5">
          <w:rPr>
            <w:rStyle w:val="Hyperlink"/>
          </w:rPr>
          <w:t>§ 12</w:t>
        </w:r>
      </w:hyperlink>
      <w:r>
        <w:t xml:space="preserve"> und </w:t>
      </w:r>
      <w:hyperlink r:id="rId633" w:history="1">
        <w:r w:rsidRPr="000B76D3">
          <w:rPr>
            <w:rStyle w:val="Hyperlink"/>
          </w:rPr>
          <w:t>§ 13 Teil A, 1.</w:t>
        </w:r>
      </w:hyperlink>
      <w:r>
        <w:t xml:space="preserve"> in Verbindung mit </w:t>
      </w:r>
      <w:hyperlink r:id="rId634" w:history="1">
        <w:r w:rsidRPr="000B76D3">
          <w:rPr>
            <w:rStyle w:val="Hyperlink"/>
          </w:rPr>
          <w:t>Teil A, 2</w:t>
        </w:r>
      </w:hyperlink>
      <w:r>
        <w:t xml:space="preserve">. </w:t>
      </w:r>
      <w:r w:rsidRPr="00F34CE5">
        <w:rPr>
          <w:sz w:val="12"/>
          <w:szCs w:val="12"/>
        </w:rPr>
        <w:t>2</w:t>
      </w:r>
      <w:r>
        <w:t xml:space="preserve">Diese Beschäftigten sind zum 1. Januar 2017 gemäß den nachfolgenden Regelungen in den </w:t>
      </w:r>
      <w:hyperlink r:id="rId635" w:history="1">
        <w:r w:rsidRPr="000B76D3">
          <w:rPr>
            <w:rStyle w:val="Hyperlink"/>
          </w:rPr>
          <w:t>Teil A, 2.</w:t>
        </w:r>
      </w:hyperlink>
      <w:r>
        <w:t xml:space="preserve"> übergeleitet.</w:t>
      </w:r>
    </w:p>
    <w:p w:rsidR="00BE1EFE" w:rsidRDefault="00BE1EFE" w:rsidP="00CC1A35">
      <w:pPr>
        <w:pStyle w:val="StandardWeb"/>
      </w:pPr>
    </w:p>
    <w:p w:rsidR="00BE1EFE" w:rsidRDefault="00BE1EFE" w:rsidP="00CC1A35">
      <w:pPr>
        <w:pStyle w:val="StandardWeb"/>
      </w:pPr>
      <w:r>
        <w:t>(2) </w:t>
      </w:r>
      <w:r w:rsidRPr="00F34CE5">
        <w:rPr>
          <w:sz w:val="12"/>
          <w:szCs w:val="12"/>
        </w:rPr>
        <w:t>1</w:t>
      </w:r>
      <w:r>
        <w:t xml:space="preserve">Mit dem Inkrafttreten des </w:t>
      </w:r>
      <w:hyperlink r:id="rId636" w:history="1">
        <w:r w:rsidRPr="000B76D3">
          <w:rPr>
            <w:rStyle w:val="Hyperlink"/>
          </w:rPr>
          <w:t>§ 12 Teil A, 1.</w:t>
        </w:r>
      </w:hyperlink>
      <w:r>
        <w:t xml:space="preserve"> und des </w:t>
      </w:r>
      <w:hyperlink r:id="rId637" w:history="1">
        <w:r w:rsidRPr="000B76D3">
          <w:rPr>
            <w:rStyle w:val="Hyperlink"/>
          </w:rPr>
          <w:t>§ 13 Teil A, 1.</w:t>
        </w:r>
      </w:hyperlink>
      <w:r>
        <w:t xml:space="preserve"> in Verbindung mit </w:t>
      </w:r>
      <w:hyperlink r:id="rId638" w:history="1">
        <w:r>
          <w:rPr>
            <w:rStyle w:val="Hyperlink"/>
          </w:rPr>
          <w:t>Teil A, </w:t>
        </w:r>
        <w:r w:rsidRPr="000B76D3">
          <w:rPr>
            <w:rStyle w:val="Hyperlink"/>
          </w:rPr>
          <w:t>2.2.</w:t>
        </w:r>
      </w:hyperlink>
      <w:r>
        <w:t xml:space="preserve"> treten die allgemeinen Tätigkeitsmerkmale für Beschäftigte mit handwerklichen Tätigkeiten an die Stelle der bisherigen Oberbegriffe des Lohngruppenverzeichnisses </w:t>
      </w:r>
      <w:hyperlink r:id="rId639" w:history="1">
        <w:r>
          <w:rPr>
            <w:rStyle w:val="Hyperlink"/>
          </w:rPr>
          <w:t>Teil A, </w:t>
        </w:r>
        <w:r w:rsidRPr="000B76D3">
          <w:rPr>
            <w:rStyle w:val="Hyperlink"/>
          </w:rPr>
          <w:t>2.14.</w:t>
        </w:r>
      </w:hyperlink>
      <w:r>
        <w:t xml:space="preserve"> </w:t>
      </w:r>
      <w:r w:rsidRPr="00F34CE5">
        <w:rPr>
          <w:sz w:val="12"/>
          <w:szCs w:val="12"/>
        </w:rPr>
        <w:t>2</w:t>
      </w:r>
      <w:r>
        <w:t xml:space="preserve">Soweit Tätigkeitsmerkmale in dem Lohngruppenverzeichnis auf besondere körperliche Belastungen oder besondere Verantwortung abstellen, bleiben diese unberührt. </w:t>
      </w:r>
      <w:r w:rsidRPr="00F34CE5">
        <w:rPr>
          <w:sz w:val="12"/>
          <w:szCs w:val="12"/>
        </w:rPr>
        <w:t>3</w:t>
      </w:r>
      <w:r>
        <w:t xml:space="preserve">Spezielle Eingruppierungsregelungen in dem Lohngruppenverzeichnis gelten bis zum Inkrafttreten einer diesbezüglichen Neuregelung fort. </w:t>
      </w:r>
      <w:r w:rsidRPr="00F34CE5">
        <w:rPr>
          <w:sz w:val="12"/>
          <w:szCs w:val="12"/>
        </w:rPr>
        <w:t>4</w:t>
      </w:r>
      <w:r>
        <w:t>Die Lohngruppen des Lohngruppen</w:t>
      </w:r>
      <w:r>
        <w:softHyphen/>
        <w:t>verzeichnisses sind gemäß Anlage 4 den Entgeltgruppen zugeordnet.</w:t>
      </w:r>
    </w:p>
    <w:p w:rsidR="00BE1EFE" w:rsidRDefault="00BE1EFE" w:rsidP="00CC1A35">
      <w:pPr>
        <w:pStyle w:val="StandardWeb"/>
      </w:pPr>
    </w:p>
    <w:p w:rsidR="00BE1EFE" w:rsidRPr="009623EC" w:rsidRDefault="00BE1EFE" w:rsidP="009623EC">
      <w:pPr>
        <w:pStyle w:val="StandardWeb"/>
        <w:rPr>
          <w:sz w:val="12"/>
          <w:szCs w:val="12"/>
        </w:rPr>
      </w:pPr>
      <w:r w:rsidRPr="009623EC">
        <w:rPr>
          <w:sz w:val="12"/>
          <w:szCs w:val="12"/>
        </w:rPr>
        <w:t>Anmerkung zu Absatz 2 Satz 3:</w:t>
      </w:r>
    </w:p>
    <w:p w:rsidR="00BE1EFE" w:rsidRPr="009623EC" w:rsidRDefault="00BE1EFE" w:rsidP="009623EC">
      <w:pPr>
        <w:pStyle w:val="StandardWeb"/>
        <w:rPr>
          <w:sz w:val="12"/>
          <w:szCs w:val="12"/>
        </w:rPr>
      </w:pPr>
      <w:r w:rsidRPr="009623EC">
        <w:rPr>
          <w:sz w:val="12"/>
          <w:szCs w:val="12"/>
        </w:rPr>
        <w:t>Satz 3 findet im Anwendungsbereich der Entgeltgruppe 1 (</w:t>
      </w:r>
      <w:hyperlink r:id="rId640" w:history="1">
        <w:r w:rsidRPr="009623EC">
          <w:rPr>
            <w:rStyle w:val="Hyperlink"/>
            <w:sz w:val="12"/>
            <w:szCs w:val="12"/>
          </w:rPr>
          <w:t>Teil A, 2.2.1. Nummer 1</w:t>
        </w:r>
      </w:hyperlink>
      <w:r>
        <w:rPr>
          <w:sz w:val="12"/>
          <w:szCs w:val="12"/>
        </w:rPr>
        <w:t>) keine Anwendung.</w:t>
      </w:r>
    </w:p>
    <w:p w:rsidR="00BE1EFE" w:rsidRPr="000B76D3" w:rsidRDefault="00BE1EFE" w:rsidP="00CC1A35">
      <w:pPr>
        <w:pStyle w:val="berschrift6"/>
        <w:rPr>
          <w:lang w:eastAsia="x-none"/>
        </w:rPr>
      </w:pPr>
      <w:bookmarkStart w:id="675" w:name="_Toc473544409"/>
      <w:bookmarkStart w:id="676" w:name="_Toc523926211"/>
      <w:r>
        <w:t>§ 29a</w:t>
      </w:r>
      <w:r>
        <w:rPr>
          <w:lang w:eastAsia="x-none"/>
        </w:rPr>
        <w:t xml:space="preserve"> </w:t>
      </w:r>
      <w:r>
        <w:t>Besitzstandsregelungen</w:t>
      </w:r>
      <w:bookmarkEnd w:id="675"/>
      <w:bookmarkEnd w:id="676"/>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Die Überleitung erfolgt unter Beibehaltung der bisherigen Entgeltgruppe für die Dauer der unverändert auszuübenden Tätigkeit. </w:t>
      </w:r>
      <w:r w:rsidRPr="00F34CE5">
        <w:rPr>
          <w:sz w:val="12"/>
          <w:szCs w:val="12"/>
        </w:rPr>
        <w:t>2</w:t>
      </w:r>
      <w:r>
        <w:t xml:space="preserve">Eine Überprüfung und Neufeststellung der Eingruppierungen findet aufgrund der Überleitung nicht statt. </w:t>
      </w:r>
    </w:p>
    <w:p w:rsidR="00BE1EFE" w:rsidRPr="000B76D3" w:rsidRDefault="00BE1EFE" w:rsidP="00CC1A35">
      <w:pPr>
        <w:pStyle w:val="StandardWeb"/>
        <w:rPr>
          <w:sz w:val="12"/>
          <w:szCs w:val="12"/>
        </w:rPr>
      </w:pPr>
      <w:r w:rsidRPr="000B76D3">
        <w:rPr>
          <w:sz w:val="12"/>
          <w:szCs w:val="12"/>
        </w:rPr>
        <w:t>Anmerkung zu Absatz 1:</w:t>
      </w:r>
    </w:p>
    <w:p w:rsidR="00BE1EFE" w:rsidRPr="000B76D3" w:rsidRDefault="00BE1EFE" w:rsidP="00CC1A35">
      <w:pPr>
        <w:pStyle w:val="StandardWeb"/>
        <w:rPr>
          <w:sz w:val="12"/>
          <w:szCs w:val="12"/>
        </w:rPr>
      </w:pPr>
      <w:r w:rsidRPr="000B76D3">
        <w:rPr>
          <w:sz w:val="12"/>
          <w:szCs w:val="12"/>
        </w:rPr>
        <w:t xml:space="preserve">Die Zuordnung zu der Entgeltgruppe nach den </w:t>
      </w:r>
      <w:hyperlink r:id="rId641" w:history="1">
        <w:r w:rsidRPr="000B76D3">
          <w:rPr>
            <w:rStyle w:val="Hyperlink"/>
            <w:sz w:val="12"/>
            <w:szCs w:val="12"/>
          </w:rPr>
          <w:t>Anlagen 2</w:t>
        </w:r>
      </w:hyperlink>
      <w:r w:rsidRPr="000B76D3">
        <w:rPr>
          <w:sz w:val="12"/>
          <w:szCs w:val="12"/>
        </w:rPr>
        <w:t xml:space="preserve">, </w:t>
      </w:r>
      <w:hyperlink r:id="rId642" w:history="1">
        <w:r w:rsidRPr="000B76D3">
          <w:rPr>
            <w:rStyle w:val="Hyperlink"/>
            <w:sz w:val="12"/>
            <w:szCs w:val="12"/>
          </w:rPr>
          <w:t>2 K</w:t>
        </w:r>
      </w:hyperlink>
      <w:r w:rsidRPr="000B76D3">
        <w:rPr>
          <w:sz w:val="12"/>
          <w:szCs w:val="12"/>
        </w:rPr>
        <w:t xml:space="preserve">, </w:t>
      </w:r>
      <w:hyperlink r:id="rId643" w:history="1">
        <w:r w:rsidRPr="00F650CB">
          <w:rPr>
            <w:rStyle w:val="Hyperlink"/>
            <w:sz w:val="12"/>
            <w:szCs w:val="12"/>
          </w:rPr>
          <w:t>4</w:t>
        </w:r>
      </w:hyperlink>
      <w:r w:rsidRPr="000B76D3">
        <w:rPr>
          <w:sz w:val="12"/>
          <w:szCs w:val="12"/>
        </w:rPr>
        <w:t xml:space="preserve"> und </w:t>
      </w:r>
      <w:hyperlink r:id="rId644" w:history="1">
        <w:r w:rsidRPr="00F650CB">
          <w:rPr>
            <w:rStyle w:val="Hyperlink"/>
            <w:sz w:val="12"/>
            <w:szCs w:val="12"/>
          </w:rPr>
          <w:t>4K</w:t>
        </w:r>
      </w:hyperlink>
      <w:r w:rsidRPr="000B76D3">
        <w:rPr>
          <w:sz w:val="12"/>
          <w:szCs w:val="12"/>
        </w:rPr>
        <w:t xml:space="preserve"> in der bis zum 31. Dezember 2016 geltenden Fassung gilt als Eingruppierung.</w:t>
      </w:r>
    </w:p>
    <w:p w:rsidR="00BE1EFE" w:rsidRDefault="00BE1EFE" w:rsidP="00CC1A35">
      <w:pPr>
        <w:pStyle w:val="StandardWeb"/>
      </w:pPr>
    </w:p>
    <w:p w:rsidR="00BE1EFE" w:rsidRDefault="00BE1EFE" w:rsidP="00CC1A35">
      <w:pPr>
        <w:pStyle w:val="StandardWeb"/>
      </w:pPr>
      <w:r>
        <w:t xml:space="preserve">(2) Hängt die Eingruppierung nach </w:t>
      </w:r>
      <w:hyperlink r:id="rId645" w:history="1">
        <w:r w:rsidRPr="000B76D3">
          <w:rPr>
            <w:rStyle w:val="Hyperlink"/>
          </w:rPr>
          <w:t>§ 12</w:t>
        </w:r>
      </w:hyperlink>
      <w:r>
        <w:t xml:space="preserve"> und </w:t>
      </w:r>
      <w:hyperlink r:id="rId646" w:history="1">
        <w:r w:rsidRPr="000B76D3">
          <w:rPr>
            <w:rStyle w:val="Hyperlink"/>
          </w:rPr>
          <w:t>§ 13 Teil A, 1.</w:t>
        </w:r>
      </w:hyperlink>
      <w:r>
        <w:t xml:space="preserve"> in Verbindung mit </w:t>
      </w:r>
      <w:hyperlink r:id="rId647" w:history="1">
        <w:r w:rsidRPr="000B76D3">
          <w:rPr>
            <w:rStyle w:val="Hyperlink"/>
          </w:rPr>
          <w:t>Teil A, 2.</w:t>
        </w:r>
      </w:hyperlink>
      <w:r>
        <w:t xml:space="preserve"> von der Zeit einer Tätigkeit oder Berufsausübung ab, wird die vor dem 1. Januar 2017 zurückgelegte Zeit so berücksichtigt, wie sie zu berücksichtigen wäre, wenn </w:t>
      </w:r>
      <w:hyperlink r:id="rId648" w:history="1">
        <w:r w:rsidRPr="000B76D3">
          <w:rPr>
            <w:rStyle w:val="Hyperlink"/>
          </w:rPr>
          <w:t>§ 12</w:t>
        </w:r>
      </w:hyperlink>
      <w:r>
        <w:t xml:space="preserve"> und </w:t>
      </w:r>
      <w:hyperlink r:id="rId649" w:history="1">
        <w:r w:rsidRPr="000B76D3">
          <w:rPr>
            <w:rStyle w:val="Hyperlink"/>
          </w:rPr>
          <w:t>§ 13 Teil A, 1.</w:t>
        </w:r>
      </w:hyperlink>
      <w:r>
        <w:t xml:space="preserve"> sowie </w:t>
      </w:r>
      <w:hyperlink r:id="rId650" w:history="1">
        <w:r w:rsidRPr="000B76D3">
          <w:rPr>
            <w:rStyle w:val="Hyperlink"/>
          </w:rPr>
          <w:t>Teil A, 2.</w:t>
        </w:r>
      </w:hyperlink>
      <w:r>
        <w:t xml:space="preserve"> bereits seit dem Beginn des Arbeitsverhältnisses gegolten hätten.</w:t>
      </w:r>
    </w:p>
    <w:p w:rsidR="00BE1EFE" w:rsidRDefault="00BE1EFE" w:rsidP="00CC1A35">
      <w:pPr>
        <w:pStyle w:val="StandardWeb"/>
      </w:pPr>
    </w:p>
    <w:p w:rsidR="00BE1EFE" w:rsidRDefault="00BE1EFE" w:rsidP="00CC1A35">
      <w:pPr>
        <w:pStyle w:val="StandardWeb"/>
      </w:pPr>
      <w:r>
        <w:t xml:space="preserve">(3) Beschäftigte, denen am 31. Dezember 2016 eine persönliche Besitzstandszulage nach der </w:t>
      </w:r>
      <w:hyperlink r:id="rId651" w:history="1">
        <w:r w:rsidRPr="00F650CB">
          <w:rPr>
            <w:rStyle w:val="Hyperlink"/>
          </w:rPr>
          <w:t>Anmerkung zu § 5 Absatz 2 Satz 2</w:t>
        </w:r>
      </w:hyperlink>
      <w:r>
        <w:t xml:space="preserve"> oder eine persönliche Zulage nach </w:t>
      </w:r>
      <w:hyperlink r:id="rId652" w:history="1">
        <w:r w:rsidRPr="00F650CB">
          <w:rPr>
            <w:rStyle w:val="Hyperlink"/>
          </w:rPr>
          <w:t>§ 17 Absatz 6</w:t>
        </w:r>
      </w:hyperlink>
      <w:r>
        <w:t xml:space="preserve"> in der bis zum 31. Dezember 2016 geltenden Fassung zugestanden</w:t>
      </w:r>
      <w:r w:rsidRPr="00F650CB">
        <w:rPr>
          <w:b/>
        </w:rPr>
        <w:t xml:space="preserve"> </w:t>
      </w:r>
      <w:r w:rsidRPr="00F650CB">
        <w:t>hat, erhalten eine Besitzstands</w:t>
      </w:r>
      <w:r>
        <w:softHyphen/>
      </w:r>
      <w:r w:rsidRPr="00F650CB">
        <w:t>zulage in Höhe ihrer bisherigen Zulage, solange die</w:t>
      </w:r>
      <w:r>
        <w:t xml:space="preserve"> anspruchsbegründende Tätigkeit unverändert auszuüben ist.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Soweit an die Tätigkeit in der bisherigen Entgeltgruppe über Absatz 3 hinaus besondere Entgeltbestandteile geknüpft waren und diese in </w:t>
      </w:r>
      <w:hyperlink r:id="rId653" w:history="1">
        <w:r w:rsidRPr="000B76D3">
          <w:rPr>
            <w:rStyle w:val="Hyperlink"/>
          </w:rPr>
          <w:t>Teil A, 2.</w:t>
        </w:r>
      </w:hyperlink>
      <w:r>
        <w:t xml:space="preserve"> nicht oder in geringerer Höhe entsprechend vereinbart sind, wird die hieraus am 1. Januar 2017 bestehende Differenz unter den bisherigen Voraussetzungen als Besitzstandszulage so lange gezahlt, wie die anspruchsbegründende Tätigkeit unverändert auszuüben ist und die Voraussetzungen für den besonderen Entgeltbestandteil nach bisherigem Recht weiterhin erfüllt sind. </w:t>
      </w:r>
      <w:r w:rsidRPr="00F34CE5">
        <w:rPr>
          <w:sz w:val="12"/>
          <w:szCs w:val="12"/>
        </w:rPr>
        <w:t>2</w:t>
      </w:r>
      <w:r>
        <w:t xml:space="preserve">Die Differenz </w:t>
      </w:r>
      <w:r>
        <w:lastRenderedPageBreak/>
        <w:t>verändert sich bei allgemeinen Entgeltanpassungen um den von den Tarifvertragsparteien für die jeweilige Entgeltgruppe festgelegten Vomhundertsatz.</w:t>
      </w:r>
    </w:p>
    <w:p w:rsidR="00BE1EFE" w:rsidRPr="00F650CB" w:rsidRDefault="00BE1EFE" w:rsidP="00CC1A35">
      <w:pPr>
        <w:pStyle w:val="StandardWeb"/>
        <w:rPr>
          <w:sz w:val="12"/>
          <w:szCs w:val="12"/>
        </w:rPr>
      </w:pPr>
      <w:r w:rsidRPr="00F650CB">
        <w:rPr>
          <w:sz w:val="12"/>
          <w:szCs w:val="12"/>
        </w:rPr>
        <w:t>Protokollnotiz zu Absatz 4:</w:t>
      </w:r>
    </w:p>
    <w:p w:rsidR="00BE1EFE" w:rsidRPr="00F650CB" w:rsidRDefault="00BE1EFE" w:rsidP="00CC1A35">
      <w:pPr>
        <w:pStyle w:val="StandardWeb"/>
        <w:rPr>
          <w:sz w:val="12"/>
          <w:szCs w:val="12"/>
        </w:rPr>
      </w:pPr>
      <w:r w:rsidRPr="00F650CB">
        <w:rPr>
          <w:sz w:val="12"/>
          <w:szCs w:val="12"/>
        </w:rPr>
        <w:t xml:space="preserve">Absatz 4 findet auf die Regelung in der Anmerkung Nummer 5 </w:t>
      </w:r>
      <w:hyperlink r:id="rId654" w:history="1">
        <w:r w:rsidRPr="00073D78">
          <w:rPr>
            <w:rStyle w:val="Hyperlink"/>
            <w:sz w:val="12"/>
            <w:szCs w:val="12"/>
          </w:rPr>
          <w:t>Teil A</w:t>
        </w:r>
      </w:hyperlink>
      <w:r w:rsidRPr="00F650CB">
        <w:rPr>
          <w:sz w:val="12"/>
          <w:szCs w:val="12"/>
        </w:rPr>
        <w:t>, 2.3. Nummer 17.1. keine Anwendung.</w:t>
      </w:r>
    </w:p>
    <w:p w:rsidR="00BE1EFE" w:rsidRDefault="00BE1EFE" w:rsidP="00CC1A35">
      <w:pPr>
        <w:pStyle w:val="StandardWeb"/>
      </w:pPr>
    </w:p>
    <w:p w:rsidR="00BE1EFE" w:rsidRDefault="00BE1EFE" w:rsidP="00CC1A35">
      <w:pPr>
        <w:pStyle w:val="StandardWeb"/>
      </w:pPr>
      <w:r>
        <w:t xml:space="preserve">(5) Abweichend von Absatz 4 bestimmt sich die Zahlung der Besitzstandszulage für eine Vergütungsgruppenzulage nach </w:t>
      </w:r>
      <w:hyperlink r:id="rId655" w:history="1">
        <w:r w:rsidRPr="00F650CB">
          <w:rPr>
            <w:rStyle w:val="Hyperlink"/>
          </w:rPr>
          <w:t>§ 9</w:t>
        </w:r>
      </w:hyperlink>
      <w:r>
        <w:t>.</w:t>
      </w:r>
    </w:p>
    <w:p w:rsidR="00BE1EFE" w:rsidRDefault="00BE1EFE" w:rsidP="00CC1A35">
      <w:pPr>
        <w:pStyle w:val="StandardWeb"/>
      </w:pPr>
    </w:p>
    <w:p w:rsidR="00BE1EFE" w:rsidRDefault="00BE1EFE" w:rsidP="00CC1A35">
      <w:pPr>
        <w:pStyle w:val="StandardWeb"/>
      </w:pPr>
      <w:r>
        <w:t>(6) Bei Veränderungen der individuellen regelmäßigen Arbeitszeit der/des Beschäftigten ändert sich in den Fällen der Absätze 3 und 4 die Besitzstandszulage entsprechend.</w:t>
      </w:r>
    </w:p>
    <w:p w:rsidR="00BE1EFE" w:rsidRDefault="00BE1EFE" w:rsidP="00CC1A35">
      <w:pPr>
        <w:pStyle w:val="StandardWeb"/>
      </w:pPr>
    </w:p>
    <w:p w:rsidR="00BE1EFE" w:rsidRDefault="00BE1EFE" w:rsidP="00CC1A35">
      <w:pPr>
        <w:pStyle w:val="StandardWeb"/>
      </w:pPr>
      <w:r w:rsidRPr="009623EC">
        <w:t>(7) Beschäftigte, die am 31. Dezember 2016 nach § 3 Absatz 1 Buchstabe a der Anlage 3 zum BAT von der Ausbildungs- und Prüfungspflicht befreit sind, bleiben für die Dauer ihres über den 31. Dezember 2016 hinaus zu demselben Arbeitgeber fortbestehenden Arbeitsver</w:t>
      </w:r>
      <w:r>
        <w:softHyphen/>
      </w:r>
      <w:r w:rsidRPr="009623EC">
        <w:t>hältnisses von der Ausbildung</w:t>
      </w:r>
      <w:r>
        <w:t>s- und Prüfungspflicht befreit.</w:t>
      </w:r>
    </w:p>
    <w:p w:rsidR="00BE1EFE" w:rsidRPr="00F650CB" w:rsidRDefault="00BE1EFE" w:rsidP="00CC1A35">
      <w:pPr>
        <w:pStyle w:val="berschrift6"/>
        <w:rPr>
          <w:lang w:eastAsia="x-none"/>
        </w:rPr>
      </w:pPr>
      <w:bookmarkStart w:id="677" w:name="_Toc473544410"/>
      <w:bookmarkStart w:id="678" w:name="_Toc523926212"/>
      <w:r>
        <w:t>§ 29b</w:t>
      </w:r>
      <w:r>
        <w:rPr>
          <w:lang w:eastAsia="x-none"/>
        </w:rPr>
        <w:t xml:space="preserve"> </w:t>
      </w:r>
      <w:r>
        <w:t>Höhergruppierungen</w:t>
      </w:r>
      <w:bookmarkEnd w:id="677"/>
      <w:bookmarkEnd w:id="678"/>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(1) </w:t>
      </w:r>
      <w:r w:rsidRPr="00F34CE5">
        <w:rPr>
          <w:sz w:val="12"/>
          <w:szCs w:val="12"/>
        </w:rPr>
        <w:t>1</w:t>
      </w:r>
      <w:r>
        <w:t xml:space="preserve">Ergibt sich nach </w:t>
      </w:r>
      <w:hyperlink r:id="rId656" w:history="1">
        <w:r w:rsidRPr="000B76D3">
          <w:rPr>
            <w:rStyle w:val="Hyperlink"/>
          </w:rPr>
          <w:t>Teil A, 2.</w:t>
        </w:r>
      </w:hyperlink>
      <w:r>
        <w:t xml:space="preserve"> eine höhere Entgeltgruppe, sind die Beschäftigten auf Antrag in der Entgeltgruppe eingruppiert, die sich nach </w:t>
      </w:r>
      <w:hyperlink r:id="rId657" w:history="1">
        <w:r w:rsidRPr="000B76D3">
          <w:rPr>
            <w:rStyle w:val="Hyperlink"/>
          </w:rPr>
          <w:t>§ 12 Teil A, 1.</w:t>
        </w:r>
      </w:hyperlink>
      <w:r>
        <w:t xml:space="preserve"> ergibt. </w:t>
      </w:r>
      <w:r w:rsidRPr="00F34CE5">
        <w:rPr>
          <w:sz w:val="12"/>
          <w:szCs w:val="12"/>
        </w:rPr>
        <w:t>2</w:t>
      </w:r>
      <w:r>
        <w:t xml:space="preserve">Der Antrag kann nur bis zum 31. Dezember 2017 gestellt werden (Ausschlussfrist) und wirkt auf den 1. Januar 2017 zurück; nach dem Inkrafttreten des </w:t>
      </w:r>
      <w:hyperlink r:id="rId658" w:history="1">
        <w:r w:rsidRPr="000B76D3">
          <w:rPr>
            <w:rStyle w:val="Hyperlink"/>
          </w:rPr>
          <w:t>Teil A, 2.</w:t>
        </w:r>
      </w:hyperlink>
      <w:r>
        <w:t xml:space="preserve"> eingetretene Änderungen der Stufenzuordnung in der bisherigen Entgeltgruppe bleiben bei der Stufenzuordnung nach den Absätzen 2 bis 5 unberücksichtigt. </w:t>
      </w:r>
      <w:r w:rsidRPr="00F34CE5">
        <w:rPr>
          <w:sz w:val="12"/>
          <w:szCs w:val="12"/>
        </w:rPr>
        <w:t>3</w:t>
      </w:r>
      <w:r>
        <w:t>Ruht das Arbeitsverhältnis am 1. Januar 2017, beginnt die Frist von einem Jahr nach Satz 1 mit der Wiederaufnahme der Tätigkeit; der Antrag wirkt auf den 1. Januar 2017 zurück.</w:t>
      </w:r>
    </w:p>
    <w:p w:rsidR="00BE1EFE" w:rsidRDefault="00BE1EFE" w:rsidP="00CC1A35">
      <w:pPr>
        <w:pStyle w:val="StandardWeb"/>
      </w:pPr>
    </w:p>
    <w:p w:rsidR="00BE1EFE" w:rsidRDefault="00BE1EFE" w:rsidP="00CC1A35">
      <w:pPr>
        <w:pStyle w:val="StandardWeb"/>
      </w:pPr>
      <w:r>
        <w:t>(2) </w:t>
      </w:r>
      <w:r w:rsidRPr="00F34CE5">
        <w:rPr>
          <w:sz w:val="12"/>
          <w:szCs w:val="12"/>
        </w:rPr>
        <w:t>1</w:t>
      </w:r>
      <w:r>
        <w:t xml:space="preserve">Die Stufenzuordnung in der höheren Entgeltgruppe richtet sich nach den Regelungen für Höhergruppierungen </w:t>
      </w:r>
      <w:hyperlink r:id="rId659" w:history="1">
        <w:r w:rsidRPr="00F650CB">
          <w:rPr>
            <w:rStyle w:val="Hyperlink"/>
          </w:rPr>
          <w:t>(§ 17 Absatz 4 Teil A, 1. in der bis zum 28. Februar 2017</w:t>
        </w:r>
      </w:hyperlink>
      <w:r>
        <w:t xml:space="preserve"> geltenden Fassung). </w:t>
      </w:r>
      <w:r w:rsidRPr="00F34CE5">
        <w:rPr>
          <w:sz w:val="12"/>
          <w:szCs w:val="12"/>
        </w:rPr>
        <w:t>2</w:t>
      </w:r>
      <w:r>
        <w:t>War die/der Beschäftigte in der bisherigen Entgeltgruppe der Stufe 1 zugeordnet, wird sie/er abweichend von Satz 1 der Stufe 1 der höheren Entgeltgruppe zugeordnet; die bisher in Stufe 1 verbrachte Zeit wird angerechnet.</w:t>
      </w:r>
    </w:p>
    <w:p w:rsidR="00BE1EFE" w:rsidRDefault="00BE1EFE" w:rsidP="00CC1A35">
      <w:pPr>
        <w:pStyle w:val="StandardWeb"/>
      </w:pPr>
    </w:p>
    <w:p w:rsidR="00BE1EFE" w:rsidRDefault="00BE1EFE" w:rsidP="00CC1A35">
      <w:pPr>
        <w:pStyle w:val="StandardWeb"/>
      </w:pPr>
      <w:r>
        <w:t>(3) </w:t>
      </w:r>
      <w:r w:rsidRPr="00F34CE5">
        <w:rPr>
          <w:sz w:val="12"/>
          <w:szCs w:val="12"/>
        </w:rPr>
        <w:t>1</w:t>
      </w:r>
      <w:r>
        <w:t xml:space="preserve">Sind Beschäftigte, die eine Besitzstandszulage nach </w:t>
      </w:r>
      <w:hyperlink r:id="rId660" w:history="1">
        <w:r w:rsidRPr="00F650CB">
          <w:rPr>
            <w:rStyle w:val="Hyperlink"/>
          </w:rPr>
          <w:t>§ 9</w:t>
        </w:r>
      </w:hyperlink>
      <w:r>
        <w:t xml:space="preserve"> erhalten, auf Antrag nach Ab-satz 1 höhergruppiert, entfällt die Besitzstandszulage rückwirkend ab dem 1. Januar 2017. </w:t>
      </w:r>
      <w:r w:rsidRPr="00F34CE5">
        <w:rPr>
          <w:sz w:val="12"/>
          <w:szCs w:val="12"/>
        </w:rPr>
        <w:t>2</w:t>
      </w:r>
      <w:r>
        <w:t xml:space="preserve">Abweichend von Absatz 2 Satz 1 wird für die Anwendung des </w:t>
      </w:r>
      <w:hyperlink r:id="rId661" w:history="1">
        <w:r w:rsidRPr="00F650CB">
          <w:rPr>
            <w:rStyle w:val="Hyperlink"/>
          </w:rPr>
          <w:t>§ 17 Absatz 4 Satz 1 und 2 Teil A,1. in der bis zum 28. Februar 2017</w:t>
        </w:r>
      </w:hyperlink>
      <w:r>
        <w:t xml:space="preserve"> geltenden Fassung zu dem jeweiligen bisherigen Tabellenentgelt die wegfallende Zulage hinzugerechnet und anschließend der Unterschiedsbetrag ermittelt.</w:t>
      </w:r>
    </w:p>
    <w:p w:rsidR="00BE1EFE" w:rsidRPr="00F650CB" w:rsidRDefault="00BE1EFE" w:rsidP="00CC1A35">
      <w:pPr>
        <w:pStyle w:val="StandardWeb"/>
        <w:rPr>
          <w:sz w:val="12"/>
          <w:szCs w:val="12"/>
        </w:rPr>
      </w:pPr>
      <w:r w:rsidRPr="00F650CB">
        <w:rPr>
          <w:sz w:val="12"/>
          <w:szCs w:val="12"/>
        </w:rPr>
        <w:t>Anmerkung zu Absatz 3:</w:t>
      </w:r>
    </w:p>
    <w:p w:rsidR="00BE1EFE" w:rsidRPr="00F650CB" w:rsidRDefault="00BE1EFE" w:rsidP="00CC1A35">
      <w:pPr>
        <w:pStyle w:val="StandardWeb"/>
        <w:rPr>
          <w:sz w:val="12"/>
          <w:szCs w:val="12"/>
        </w:rPr>
      </w:pPr>
      <w:r w:rsidRPr="00F650CB">
        <w:rPr>
          <w:sz w:val="12"/>
          <w:szCs w:val="12"/>
        </w:rPr>
        <w:t xml:space="preserve">Im Falle einer Höhergruppierung über mehr als eine Entgeltgruppe wird die Besitzstandszulage nach </w:t>
      </w:r>
      <w:hyperlink r:id="rId662" w:history="1">
        <w:r w:rsidRPr="00F650CB">
          <w:rPr>
            <w:rStyle w:val="Hyperlink"/>
            <w:sz w:val="12"/>
            <w:szCs w:val="12"/>
          </w:rPr>
          <w:t>§ 9</w:t>
        </w:r>
      </w:hyperlink>
      <w:r w:rsidRPr="00F650CB">
        <w:rPr>
          <w:sz w:val="12"/>
          <w:szCs w:val="12"/>
        </w:rPr>
        <w:t xml:space="preserve"> nur in der Ausgangsentgeltgruppe dem Tabellenentgelt hinzugerechnet.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Sind Beschäftigte, die eine Besitzstandszulage nach § 29a Absatz 3 erhalten, auf Antrag nach Absatz 1 höhergruppiert, entfällt die Besitzstandszulage rückwirkend ab dem 1. Januar 2017. </w:t>
      </w:r>
      <w:r w:rsidRPr="00F34CE5">
        <w:rPr>
          <w:sz w:val="12"/>
          <w:szCs w:val="12"/>
        </w:rPr>
        <w:t>2</w:t>
      </w:r>
      <w:r>
        <w:t xml:space="preserve">Ergibt sich durch die Höhergruppierung die Zuordnung zu einer niedrigeren Stufe als in der bisherigen Entgeltgruppe, wird abweichend von Absatz 2 Satz 1 die in der bisherigen Stufe zurückgelegte Stufenlaufzeit auf die Stufenlaufzeit in der höheren Entgeltgruppe angerechnet. </w:t>
      </w:r>
      <w:r w:rsidRPr="00F34CE5">
        <w:rPr>
          <w:sz w:val="12"/>
          <w:szCs w:val="12"/>
        </w:rPr>
        <w:t>3</w:t>
      </w:r>
      <w:r>
        <w:t xml:space="preserve">Ist dadurch am Tag der Höhergruppierung in der höheren Entgeltgruppe die Stufenlaufzeit zum Erreichen der nächsthöheren Stufe erfüllt, beginnt in dieser nächsthöheren Stufe die Stufenlaufzeit neu. </w:t>
      </w:r>
      <w:r w:rsidRPr="00F34CE5">
        <w:rPr>
          <w:sz w:val="12"/>
          <w:szCs w:val="12"/>
        </w:rPr>
        <w:t>4</w:t>
      </w:r>
      <w:r>
        <w:t>§ 29a Absatz 4 findet keine Anwendung.</w:t>
      </w:r>
    </w:p>
    <w:p w:rsidR="00BE1EFE" w:rsidRDefault="00BE1EFE" w:rsidP="00CC1A35">
      <w:pPr>
        <w:pStyle w:val="StandardWeb"/>
      </w:pPr>
    </w:p>
    <w:p w:rsidR="00BE1EFE" w:rsidRDefault="00BE1EFE" w:rsidP="00CC1A35">
      <w:pPr>
        <w:pStyle w:val="StandardWeb"/>
      </w:pPr>
      <w:r>
        <w:t>(5) </w:t>
      </w:r>
      <w:r w:rsidRPr="00F34CE5">
        <w:rPr>
          <w:sz w:val="12"/>
          <w:szCs w:val="12"/>
        </w:rPr>
        <w:t>1</w:t>
      </w:r>
      <w:r>
        <w:t xml:space="preserve">Sind Beschäftigte, die eine Besitzstandszulage nach </w:t>
      </w:r>
      <w:hyperlink r:id="rId663" w:history="1">
        <w:r w:rsidRPr="00F650CB">
          <w:rPr>
            <w:rStyle w:val="Hyperlink"/>
          </w:rPr>
          <w:t>§ 9</w:t>
        </w:r>
      </w:hyperlink>
      <w:r>
        <w:t xml:space="preserve"> und eine Besitzstandszulage nach § 29a Absatz 3 erhalten, auf Antrag nach Absatz 1 höhergruppiert, entfallen beide </w:t>
      </w:r>
      <w:r>
        <w:lastRenderedPageBreak/>
        <w:t xml:space="preserve">Besitzstandszulagen rückwirkend ab dem 1. Januar 2017. </w:t>
      </w:r>
      <w:r w:rsidRPr="00F34CE5">
        <w:rPr>
          <w:sz w:val="12"/>
          <w:szCs w:val="12"/>
        </w:rPr>
        <w:t>2</w:t>
      </w:r>
      <w:r>
        <w:t xml:space="preserve">Abweichend von Absatz 2 Satz 1 werden für die Anwendung des </w:t>
      </w:r>
      <w:hyperlink r:id="rId664" w:history="1">
        <w:r w:rsidRPr="00F650CB">
          <w:rPr>
            <w:rStyle w:val="Hyperlink"/>
          </w:rPr>
          <w:t>§ 17 Absatz 4 Satz 1 und 2 Teil A, 1.</w:t>
        </w:r>
      </w:hyperlink>
      <w:r>
        <w:t xml:space="preserve"> zu dem jeweiligen bisherigen Tabellenentgelt die beiden wegfallenden Besitzstandszulagen hinzugerechnet und anschließend der Unterschiedsbetrag ermittelt. </w:t>
      </w:r>
      <w:r w:rsidRPr="00F34CE5">
        <w:rPr>
          <w:sz w:val="12"/>
          <w:szCs w:val="12"/>
        </w:rPr>
        <w:t>3</w:t>
      </w:r>
      <w:r>
        <w:t xml:space="preserve">Ergibt sich durch die Höhergruppierung die Zuordnung zu einer niedrigeren Stufe als in der bisherigen Entgeltgruppe, wird abweichend von Absatz 2 Satz 1 die in der bisherigen Stufe zurückgelegte Stufenlaufzeit auf die Stufenlaufzeit in der höheren Entgeltgruppe angerechnet. </w:t>
      </w:r>
      <w:r w:rsidRPr="00F34CE5">
        <w:rPr>
          <w:sz w:val="12"/>
          <w:szCs w:val="12"/>
        </w:rPr>
        <w:t>4</w:t>
      </w:r>
      <w:r>
        <w:t xml:space="preserve">Ist dadurch am Tag der Höhergruppierung in der höheren Entgeltgruppe die Stufenlaufzeit zum Erreichen der nächsthöheren Stufe erfüllt, beginnt in dieser nächsthöheren Stufe die Stufenlaufzeit neu. </w:t>
      </w:r>
      <w:r w:rsidRPr="00F34CE5">
        <w:rPr>
          <w:sz w:val="12"/>
          <w:szCs w:val="12"/>
        </w:rPr>
        <w:t>5</w:t>
      </w:r>
      <w:r>
        <w:t xml:space="preserve">§ 29a Absatz 4 findet keine Anwendung. </w:t>
      </w:r>
    </w:p>
    <w:p w:rsidR="00BE1EFE" w:rsidRPr="00F650CB" w:rsidRDefault="00BE1EFE" w:rsidP="00CC1A35">
      <w:pPr>
        <w:pStyle w:val="StandardWeb"/>
        <w:rPr>
          <w:sz w:val="12"/>
          <w:szCs w:val="12"/>
        </w:rPr>
      </w:pPr>
      <w:r w:rsidRPr="00F650CB">
        <w:rPr>
          <w:sz w:val="12"/>
          <w:szCs w:val="12"/>
        </w:rPr>
        <w:t>Anmerkung zu Absatz 5 Satz 2:</w:t>
      </w:r>
    </w:p>
    <w:p w:rsidR="00BE1EFE" w:rsidRPr="00F650CB" w:rsidRDefault="00BE1EFE" w:rsidP="00CC1A35">
      <w:pPr>
        <w:pStyle w:val="StandardWeb"/>
        <w:rPr>
          <w:sz w:val="12"/>
          <w:szCs w:val="12"/>
        </w:rPr>
      </w:pPr>
      <w:r w:rsidRPr="00F650CB">
        <w:rPr>
          <w:sz w:val="12"/>
          <w:szCs w:val="12"/>
        </w:rPr>
        <w:t xml:space="preserve">Im Falle einer Höhergruppierung über mehr als eine Entgeltgruppe werden die Besitzstandszulagen nach </w:t>
      </w:r>
      <w:hyperlink r:id="rId665" w:history="1">
        <w:r w:rsidRPr="00F650CB">
          <w:rPr>
            <w:rStyle w:val="Hyperlink"/>
            <w:sz w:val="12"/>
            <w:szCs w:val="12"/>
          </w:rPr>
          <w:t>§ 9</w:t>
        </w:r>
      </w:hyperlink>
      <w:r w:rsidRPr="00F650CB">
        <w:rPr>
          <w:sz w:val="12"/>
          <w:szCs w:val="12"/>
        </w:rPr>
        <w:t xml:space="preserve"> und nach § 29a Absatz 3 nur in der Ausgangsentgeltgruppe dem Tabellenentgelt hinzugerechnet.</w:t>
      </w:r>
    </w:p>
    <w:p w:rsidR="00BE1EFE" w:rsidRDefault="00BE1EFE" w:rsidP="00CC1A35">
      <w:pPr>
        <w:pStyle w:val="StandardWeb"/>
      </w:pPr>
    </w:p>
    <w:p w:rsidR="00BE1EFE" w:rsidRPr="00F650CB" w:rsidRDefault="00BE1EFE" w:rsidP="00CC1A35">
      <w:pPr>
        <w:pStyle w:val="StandardWeb"/>
        <w:rPr>
          <w:sz w:val="12"/>
          <w:szCs w:val="12"/>
        </w:rPr>
      </w:pPr>
      <w:r w:rsidRPr="00F650CB">
        <w:rPr>
          <w:sz w:val="12"/>
          <w:szCs w:val="12"/>
        </w:rPr>
        <w:t>Anmerkung zu den Absätzen 4 und 5:</w:t>
      </w:r>
    </w:p>
    <w:p w:rsidR="00BE1EFE" w:rsidRPr="00F650CB" w:rsidRDefault="00BE1EFE" w:rsidP="00CC1A35">
      <w:pPr>
        <w:pStyle w:val="StandardWeb"/>
        <w:rPr>
          <w:sz w:val="12"/>
          <w:szCs w:val="12"/>
        </w:rPr>
      </w:pPr>
      <w:r w:rsidRPr="00F650CB">
        <w:rPr>
          <w:sz w:val="12"/>
          <w:szCs w:val="12"/>
        </w:rPr>
        <w:t>Im Falle einer Höhergruppierung über mehr als eine Entgeltgruppe erfolgt die Mitnahme der Stufenlaufzeit nur bei der ersten dazwischenliegenden Entgeltgruppe nach § 17 Absatz</w:t>
      </w:r>
      <w:r>
        <w:rPr>
          <w:sz w:val="12"/>
          <w:szCs w:val="12"/>
        </w:rPr>
        <w:t xml:space="preserve"> 4 Satz 3 Halbsatz 1 </w:t>
      </w:r>
      <w:hyperlink r:id="rId666" w:history="1">
        <w:r w:rsidRPr="00073D78">
          <w:rPr>
            <w:rStyle w:val="Hyperlink"/>
            <w:sz w:val="12"/>
            <w:szCs w:val="12"/>
          </w:rPr>
          <w:t>Teil A</w:t>
        </w:r>
      </w:hyperlink>
      <w:r>
        <w:rPr>
          <w:sz w:val="12"/>
          <w:szCs w:val="12"/>
        </w:rPr>
        <w:t>, 1.</w:t>
      </w:r>
    </w:p>
    <w:p w:rsidR="00BE1EFE" w:rsidRPr="00F650CB" w:rsidRDefault="00BE1EFE" w:rsidP="00CC1A35">
      <w:pPr>
        <w:pStyle w:val="berschrift6"/>
        <w:rPr>
          <w:lang w:eastAsia="x-none"/>
        </w:rPr>
      </w:pPr>
      <w:bookmarkStart w:id="679" w:name="_Toc473544411"/>
      <w:bookmarkStart w:id="680" w:name="_Toc523926213"/>
      <w:r>
        <w:t>§ 29c</w:t>
      </w:r>
      <w:r>
        <w:rPr>
          <w:lang w:eastAsia="x-none"/>
        </w:rPr>
        <w:t xml:space="preserve"> </w:t>
      </w:r>
      <w:r>
        <w:t>Besondere Überleitungsregelungen</w:t>
      </w:r>
      <w:bookmarkEnd w:id="679"/>
      <w:bookmarkEnd w:id="680"/>
    </w:p>
    <w:p w:rsidR="00BE1EFE" w:rsidRPr="00B76821" w:rsidRDefault="00BE1EFE" w:rsidP="00B76821">
      <w:pPr>
        <w:pStyle w:val="h7"/>
        <w:keepNext w:val="0"/>
        <w:spacing w:before="0" w:after="0"/>
        <w:jc w:val="left"/>
        <w:outlineLvl w:val="5"/>
        <w:rPr>
          <w:sz w:val="2"/>
        </w:rPr>
      </w:pPr>
    </w:p>
    <w:p w:rsidR="00BE1EFE" w:rsidRDefault="00BE1EFE" w:rsidP="00CC1A35">
      <w:pPr>
        <w:pStyle w:val="StandardWeb"/>
      </w:pPr>
      <w:r>
        <w:t xml:space="preserve">(1) Beschäftigte mit einem Anspruch auf die bisherige Zulage nach </w:t>
      </w:r>
      <w:hyperlink r:id="rId667" w:history="1">
        <w:r w:rsidRPr="00F650CB">
          <w:rPr>
            <w:rStyle w:val="Hyperlink"/>
          </w:rPr>
          <w:t>§ 17 Absatz 8 in der bis zum 31. Dezember 2016</w:t>
        </w:r>
      </w:hyperlink>
      <w:r>
        <w:t xml:space="preserve"> geltenden Fassung sind stufengleich und unter Mitnahme der in ihrer Stufe zurückgelegten Stufenlaufzeit in die Entgeltgruppe 14 übergeleitet.</w:t>
      </w:r>
    </w:p>
    <w:p w:rsidR="00BE1EFE" w:rsidRDefault="00BE1EFE" w:rsidP="00CC1A35">
      <w:pPr>
        <w:pStyle w:val="StandardWeb"/>
      </w:pPr>
    </w:p>
    <w:p w:rsidR="00BE1EFE" w:rsidRDefault="00BE1EFE" w:rsidP="00CC1A35">
      <w:pPr>
        <w:pStyle w:val="StandardWeb"/>
      </w:pPr>
      <w:r>
        <w:t>(2) Beschäftigte der Entgeltgruppe 9, für die keine besonderen Stufenregelungen gelten, sind stufengleich und unter Mitnahme der in ihrer Stufe zurückgelegten Stufenlaufzeit in die Entgeltgruppe 9b übergeleitet.</w:t>
      </w:r>
    </w:p>
    <w:p w:rsidR="00BE1EFE" w:rsidRDefault="00BE1EFE" w:rsidP="00CC1A35">
      <w:pPr>
        <w:pStyle w:val="StandardWeb"/>
      </w:pPr>
    </w:p>
    <w:p w:rsidR="00BE1EFE" w:rsidRDefault="00BE1EFE" w:rsidP="00CC1A35">
      <w:pPr>
        <w:pStyle w:val="StandardWeb"/>
      </w:pPr>
      <w:r>
        <w:t>(3) </w:t>
      </w:r>
      <w:r w:rsidRPr="00F34CE5">
        <w:rPr>
          <w:sz w:val="12"/>
          <w:szCs w:val="12"/>
        </w:rPr>
        <w:t>1</w:t>
      </w:r>
      <w:r>
        <w:t xml:space="preserve">Beschäftigte der Entgeltgruppe 9, für die gemäß des </w:t>
      </w:r>
      <w:hyperlink r:id="rId668" w:history="1">
        <w:r w:rsidRPr="00F650CB">
          <w:rPr>
            <w:rStyle w:val="Hyperlink"/>
          </w:rPr>
          <w:t>Anhangs zu § 16 Teil A, 1. in der bis zum 31. Dezember 2016</w:t>
        </w:r>
      </w:hyperlink>
      <w:r>
        <w:t xml:space="preserve"> geltenden Fassung die Stufe 4 Endstufe ist, sind unter Mitnahme der in ihrer Stufe zurückgelegten Stufenlaufzeit in die Stufe der Entgeltgruppe 9a übergeleitet, deren Betrag dem Betrag ihrer bisherigen Stufe entspricht. </w:t>
      </w:r>
      <w:r w:rsidRPr="00F34CE5">
        <w:rPr>
          <w:sz w:val="12"/>
          <w:szCs w:val="12"/>
        </w:rPr>
        <w:t>2</w:t>
      </w:r>
      <w:r>
        <w:t xml:space="preserve">Für Beschäftigte, die am 31. Dezember 2016 der Stufe 2 zugeordnet sind, finden bis zum 31. Januar 2017 die Tabellenwerte der Stufe 2 nach dem Stand vom 31. Dezember 2016 Anwendung. </w:t>
      </w:r>
      <w:r w:rsidRPr="00F34CE5">
        <w:rPr>
          <w:sz w:val="12"/>
          <w:szCs w:val="12"/>
        </w:rPr>
        <w:t>3</w:t>
      </w:r>
      <w:r>
        <w:t xml:space="preserve">Ist bei Beschäftigten, die am 31. Dezember 2016 der Stufe 4 zugeordnet sind, bei der Überleitung am 1. Januar 2017 in die Entgeltgruppe 9a die Stufenlaufzeit zum Erreichen der Stufe 5 erfüllt, werden sie der Stufe 5 zugeordnet. </w:t>
      </w:r>
      <w:r w:rsidRPr="00F34CE5">
        <w:rPr>
          <w:sz w:val="12"/>
          <w:szCs w:val="12"/>
        </w:rPr>
        <w:t>4</w:t>
      </w:r>
      <w:r>
        <w:t>Ist in der bisherigen Stufe 4 eine über vier Jahre hinaus</w:t>
      </w:r>
      <w:r>
        <w:softHyphen/>
        <w:t>gehende Stufenlaufzeit zurückgelegt, wird die darüber hinaus zurückgelegte Stufenlaufzeit auf die Stufenlaufzeit in der Stufe 5 der Entgeltgruppe 9a angerechnet.</w:t>
      </w:r>
    </w:p>
    <w:p w:rsidR="00BE1EFE" w:rsidRDefault="00BE1EFE" w:rsidP="00CC1A35">
      <w:pPr>
        <w:pStyle w:val="StandardWeb"/>
      </w:pPr>
    </w:p>
    <w:p w:rsidR="00BE1EFE" w:rsidRPr="00E006F9" w:rsidRDefault="00BE1EFE" w:rsidP="00CC1A35">
      <w:pPr>
        <w:pStyle w:val="StandardWeb"/>
        <w:rPr>
          <w:sz w:val="12"/>
          <w:szCs w:val="12"/>
        </w:rPr>
      </w:pPr>
      <w:r w:rsidRPr="00E006F9">
        <w:rPr>
          <w:sz w:val="12"/>
          <w:szCs w:val="12"/>
        </w:rPr>
        <w:t>Anmerkung zu den Absätzen 2 und 3:</w:t>
      </w:r>
    </w:p>
    <w:p w:rsidR="00BE1EFE" w:rsidRPr="00E006F9" w:rsidRDefault="00BE1EFE" w:rsidP="00CC1A35">
      <w:pPr>
        <w:pStyle w:val="StandardWeb"/>
        <w:rPr>
          <w:sz w:val="12"/>
          <w:szCs w:val="12"/>
        </w:rPr>
      </w:pPr>
      <w:r w:rsidRPr="00E006F9">
        <w:rPr>
          <w:sz w:val="12"/>
          <w:szCs w:val="12"/>
        </w:rPr>
        <w:t>Die Zuordnung zu einer individuellen Zwischen- oder Endstufe bleibt unberührt.</w:t>
      </w:r>
    </w:p>
    <w:p w:rsidR="00BE1EFE" w:rsidRDefault="00BE1EFE" w:rsidP="00CC1A35">
      <w:pPr>
        <w:pStyle w:val="StandardWeb"/>
      </w:pPr>
    </w:p>
    <w:p w:rsidR="00BE1EFE" w:rsidRDefault="00BE1EFE" w:rsidP="00CC1A35">
      <w:pPr>
        <w:pStyle w:val="StandardWeb"/>
      </w:pPr>
      <w:r>
        <w:t>(4) </w:t>
      </w:r>
      <w:r w:rsidRPr="00F34CE5">
        <w:rPr>
          <w:sz w:val="12"/>
          <w:szCs w:val="12"/>
        </w:rPr>
        <w:t>1</w:t>
      </w:r>
      <w:r>
        <w:t xml:space="preserve">Beschäftigte der Entgeltgruppe 9, für die gemäß </w:t>
      </w:r>
      <w:hyperlink r:id="rId669" w:history="1">
        <w:r w:rsidRPr="00E006F9">
          <w:rPr>
            <w:rStyle w:val="Hyperlink"/>
          </w:rPr>
          <w:t>Nummer 1 Absatz 1 Buchstabe a) letzter Spiegelstrich des Anhangs zu § 16 ABD Teil A, 1. in der bis zum 31. Dezember 2016 geltenden Fassung</w:t>
        </w:r>
      </w:hyperlink>
      <w:r>
        <w:t xml:space="preserve"> die Stufe 4 Endstufe ist, sind stufengleich und unter Mitnahme der in ihrer Stufe zurückgelegten Stufenlaufzeit in die Entgeltgruppe 9a übergeleitet. </w:t>
      </w:r>
      <w:r w:rsidRPr="00F34CE5">
        <w:rPr>
          <w:sz w:val="12"/>
          <w:szCs w:val="12"/>
        </w:rPr>
        <w:t>2</w:t>
      </w:r>
      <w:r>
        <w:t>Absatz 1 Buchsta</w:t>
      </w:r>
      <w:r>
        <w:softHyphen/>
        <w:t>be b) und Absatz 2 des Anhangs zu § 16 ABD Teil A, 1. bleiben unberührt.</w:t>
      </w:r>
    </w:p>
    <w:p w:rsidR="00BE1EFE" w:rsidRDefault="00BE1EFE" w:rsidP="00CC1A35">
      <w:pPr>
        <w:pStyle w:val="StandardWeb"/>
      </w:pPr>
    </w:p>
    <w:p w:rsidR="00BE1EFE" w:rsidRDefault="00BE1EFE" w:rsidP="00CC1A35">
      <w:pPr>
        <w:pStyle w:val="StandardWeb"/>
      </w:pPr>
      <w:r>
        <w:t>(4a) </w:t>
      </w:r>
      <w:r w:rsidRPr="00F34CE5">
        <w:rPr>
          <w:sz w:val="12"/>
          <w:szCs w:val="12"/>
        </w:rPr>
        <w:t>1</w:t>
      </w:r>
      <w:r>
        <w:t xml:space="preserve">Ergibt sich bei Beschäftigten der Entgeltgruppen 2 und 3, für die gemäß des </w:t>
      </w:r>
      <w:hyperlink r:id="rId670" w:history="1">
        <w:r w:rsidRPr="00E006F9">
          <w:rPr>
            <w:rStyle w:val="Hyperlink"/>
          </w:rPr>
          <w:t>Anhangs zu § 16 Teil A, 1. in der bis zum 31. Dezember 2016 geltenden Fassung</w:t>
        </w:r>
      </w:hyperlink>
      <w:r>
        <w:t xml:space="preserve"> besondere Stufenrege</w:t>
      </w:r>
      <w:r>
        <w:softHyphen/>
        <w:t xml:space="preserve">lungen gelten, erstmalig die Stufe 6, ist der/die Beschäftigte auf Antrag der Stufe zugeordnet, wenn die fünfjährige Stufenlaufzeit in der Stufe 5 erfüllt ist. </w:t>
      </w:r>
      <w:r w:rsidRPr="00F34CE5">
        <w:rPr>
          <w:sz w:val="12"/>
          <w:szCs w:val="12"/>
        </w:rPr>
        <w:t>2</w:t>
      </w:r>
      <w:r>
        <w:t xml:space="preserve">In Entgeltgruppe 2Ü eingruppierte Beschäftigte mit Zuordnung zur Stufe 6 werden auf Antrag in Entgeltgruppe 2 eingruppiert und der Stufe 6 dieser Entgeltgruppe zugeordnet. </w:t>
      </w:r>
      <w:r w:rsidRPr="00F34CE5">
        <w:rPr>
          <w:sz w:val="12"/>
          <w:szCs w:val="12"/>
        </w:rPr>
        <w:t>3</w:t>
      </w:r>
      <w:r>
        <w:t xml:space="preserve">Die Eingruppierung in Entgeltgruppe 2 erfolgt </w:t>
      </w:r>
      <w:r>
        <w:lastRenderedPageBreak/>
        <w:t>individuell mit Beginn des Monats, in dem der Antrag gestellt worden ist, frühestens aber zum Zeitpunkt des Erreichens der Stufe 6 in der Entgeltgruppe 2Ü.</w:t>
      </w:r>
    </w:p>
    <w:p w:rsidR="00BE1EFE" w:rsidRDefault="00BE1EFE" w:rsidP="00CC1A35">
      <w:pPr>
        <w:pStyle w:val="StandardWeb"/>
      </w:pPr>
    </w:p>
    <w:p w:rsidR="00BE1EFE" w:rsidRDefault="00BE1EFE" w:rsidP="00CC1A35">
      <w:pPr>
        <w:pStyle w:val="StandardWeb"/>
      </w:pPr>
      <w:r>
        <w:t>(5) Fallen am 1. Januar 2017 ein Stufenaufstieg und die Höhergruppierung nach § 29b Ab</w:t>
      </w:r>
      <w:r>
        <w:softHyphen/>
        <w:t>satz 1 zusammen, erfolgt erst der Stufenaufstieg und anschließend die Höhergruppierung.</w:t>
      </w:r>
    </w:p>
    <w:p w:rsidR="00BE1EFE" w:rsidRDefault="00BE1EFE" w:rsidP="00CC1A35">
      <w:pPr>
        <w:pStyle w:val="StandardWeb"/>
      </w:pPr>
    </w:p>
    <w:p w:rsidR="00BE1EFE" w:rsidRDefault="00BE1EFE" w:rsidP="00CC1A35">
      <w:pPr>
        <w:pStyle w:val="StandardWeb"/>
      </w:pPr>
      <w:r>
        <w:t>(6) </w:t>
      </w:r>
      <w:r w:rsidRPr="00F34CE5">
        <w:rPr>
          <w:sz w:val="12"/>
          <w:szCs w:val="12"/>
        </w:rPr>
        <w:t>1</w:t>
      </w:r>
      <w:r>
        <w:t>Bei Höhergruppierungen nach § 29b Absatz 1 wird der Unterschiedsbetrag zum bis</w:t>
      </w:r>
      <w:r>
        <w:softHyphen/>
        <w:t xml:space="preserve">herigen Entgelt auf den Strukturausgleich nach § 12 angerechnet. </w:t>
      </w:r>
      <w:r w:rsidRPr="00F34CE5">
        <w:rPr>
          <w:sz w:val="12"/>
          <w:szCs w:val="12"/>
        </w:rPr>
        <w:t>2</w:t>
      </w:r>
      <w:r>
        <w:t xml:space="preserve">Dies gilt auch für Höhergruppierungen in die Entgeltgruppe 9c. </w:t>
      </w:r>
      <w:r w:rsidRPr="00F34CE5">
        <w:rPr>
          <w:sz w:val="12"/>
          <w:szCs w:val="12"/>
        </w:rPr>
        <w:t>3</w:t>
      </w:r>
      <w:r>
        <w:t>Eine Überleitung in die Entgeltgruppen 9a, 9b oder 14 nach den Absätzen 1 bis 4 gilt nicht als Höhergruppierung.</w:t>
      </w:r>
    </w:p>
    <w:p w:rsidR="00BE1EFE" w:rsidRDefault="00BE1EFE" w:rsidP="00CC1A35">
      <w:pPr>
        <w:pStyle w:val="StandardWeb"/>
      </w:pPr>
    </w:p>
    <w:p w:rsidR="00BE1EFE" w:rsidRDefault="00BE1EFE" w:rsidP="00707597">
      <w:pPr>
        <w:pStyle w:val="StandardWeb"/>
      </w:pPr>
      <w:r>
        <w:t xml:space="preserve">(7) Beschäftigte, die am 31. Dezember 2016 unter den </w:t>
      </w:r>
      <w:hyperlink r:id="rId671" w:history="1">
        <w:r w:rsidRPr="00073D78">
          <w:rPr>
            <w:rStyle w:val="Hyperlink"/>
          </w:rPr>
          <w:t>Teil A</w:t>
        </w:r>
      </w:hyperlink>
      <w:r>
        <w:t>, 2.11. fielen, können einen Antrag auf Höhergruppierung von Entgeltgruppe 9b nach Entgeltgruppe 9c, den sie im Rahmen der neuen Entgeltordnung seit dem 1. Januar 2017 gemäß § 2 Teil A, 2.11. gestellt haben bis zum 31. Dezember 2017 zurücknehmen.</w:t>
      </w:r>
    </w:p>
    <w:p w:rsidR="00BE1EFE" w:rsidRPr="00707597" w:rsidRDefault="00BE1EFE" w:rsidP="00707597">
      <w:pPr>
        <w:pStyle w:val="StandardWeb"/>
        <w:rPr>
          <w:sz w:val="12"/>
          <w:szCs w:val="12"/>
        </w:rPr>
      </w:pPr>
      <w:r w:rsidRPr="00707597">
        <w:rPr>
          <w:sz w:val="12"/>
          <w:szCs w:val="12"/>
        </w:rPr>
        <w:t>Protokollnotiz zu Absatz 7:</w:t>
      </w:r>
    </w:p>
    <w:p w:rsidR="00BE1EFE" w:rsidRDefault="00BE1EFE" w:rsidP="00707597">
      <w:pPr>
        <w:pStyle w:val="StandardWeb"/>
        <w:rPr>
          <w:sz w:val="12"/>
          <w:szCs w:val="12"/>
        </w:rPr>
      </w:pPr>
      <w:r w:rsidRPr="00707597">
        <w:rPr>
          <w:sz w:val="12"/>
          <w:szCs w:val="12"/>
        </w:rPr>
        <w:t>Beschäftigte, die am 31. Dezember 2016 der Entgeltgruppe 9 Stufe 3 zugeordnet waren und einen Antrag gemäß § 29b Teil A, 3. gestellt haben, werden zum 1. Januar 2018 der Entgeltgruppe 10 Stufe 3 zugeordnet.</w:t>
      </w:r>
    </w:p>
    <w:p w:rsidR="00BE1EFE" w:rsidRPr="00707597" w:rsidRDefault="00BE1EFE" w:rsidP="00707597">
      <w:pPr>
        <w:pStyle w:val="StandardWeb"/>
        <w:rPr>
          <w:sz w:val="12"/>
          <w:szCs w:val="12"/>
        </w:rPr>
      </w:pPr>
      <w:r>
        <w:rPr>
          <w:sz w:val="12"/>
          <w:szCs w:val="12"/>
        </w:rPr>
        <w:br w:type="page"/>
      </w:r>
    </w:p>
    <w:p w:rsidR="00BE1EFE" w:rsidRDefault="00BE1EFE" w:rsidP="00B051B9">
      <w:pPr>
        <w:pStyle w:val="berschrift5"/>
        <w:spacing w:before="0"/>
      </w:pPr>
      <w:bookmarkStart w:id="681" w:name="_Toc523926214"/>
      <w:r>
        <w:lastRenderedPageBreak/>
        <w:t>Abschnitt V: Anhänge und Anlagen</w:t>
      </w:r>
      <w:bookmarkEnd w:id="681"/>
    </w:p>
    <w:p w:rsidR="00BE1EFE" w:rsidRDefault="00BE1EFE">
      <w:pPr>
        <w:pStyle w:val="berschrift6"/>
      </w:pPr>
      <w:bookmarkStart w:id="682" w:name="_Toc523926215"/>
      <w:r>
        <w:t>Anhang zu §</w:t>
      </w:r>
      <w:r>
        <w:rPr>
          <w:lang w:eastAsia="x-none"/>
        </w:rPr>
        <w:t xml:space="preserve"> </w:t>
      </w:r>
      <w:r>
        <w:t>16a</w:t>
      </w:r>
      <w:bookmarkEnd w:id="68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in </w:t>
      </w:r>
      <w:hyperlink r:id="rId672" w:history="1">
        <w:r w:rsidRPr="002D1F1D">
          <w:rPr>
            <w:rStyle w:val="Hyperlink"/>
          </w:rPr>
          <w:t>§ 16a Teil A, 3.</w:t>
        </w:r>
      </w:hyperlink>
      <w:r>
        <w:t xml:space="preserve"> in Bezug genommenen Vorschriften lauten wie folgt:</w:t>
      </w:r>
    </w:p>
    <w:p w:rsidR="00BE1EFE" w:rsidRPr="000B1AF8" w:rsidRDefault="00BE1EFE">
      <w:pPr>
        <w:pStyle w:val="StandardWeb"/>
      </w:pPr>
    </w:p>
    <w:p w:rsidR="00BE1EFE" w:rsidRDefault="00BE1EFE" w:rsidP="0054275E">
      <w:pPr>
        <w:pStyle w:val="StandardWeb"/>
        <w:autoSpaceDE w:val="0"/>
      </w:pPr>
      <w:r>
        <w:rPr>
          <w:rStyle w:val="Fett"/>
          <w:bCs/>
        </w:rPr>
        <w:t>1. Teil B, 1. in der bis zum 30.09.2005 geltenden Fassung:</w:t>
      </w:r>
    </w:p>
    <w:p w:rsidR="00BE1EFE" w:rsidRDefault="00BE1EFE">
      <w:pPr>
        <w:pStyle w:val="StandardWeb"/>
      </w:pPr>
    </w:p>
    <w:p w:rsidR="00BE1EFE" w:rsidRDefault="00BE1EFE" w:rsidP="0054275E">
      <w:pPr>
        <w:pStyle w:val="StandardWeb"/>
        <w:autoSpaceDE w:val="0"/>
        <w:rPr>
          <w:b/>
          <w:bCs/>
        </w:rPr>
      </w:pPr>
      <w:r>
        <w:rPr>
          <w:rStyle w:val="Fett"/>
          <w:bCs/>
        </w:rPr>
        <w:t>§ 25 Nicht voll leistungsfähige Arbeiter</w:t>
      </w:r>
    </w:p>
    <w:p w:rsidR="00BE1EFE" w:rsidRDefault="00BE1EFE">
      <w:pPr>
        <w:pStyle w:val="StandardWeb"/>
      </w:pPr>
      <w:r>
        <w:t>(1) Mit dem Arbeiter, der bei seiner Einstellung nach amtsärztlichem Gutachten mehr als 20 v. H. erwerbsbeschränkt ist und infolgedessen die ihm zu übertragende Arbeit nicht voll auszuführen vermag, kann entsprechend dem Grad seiner Leistungsfähigkeit ein geminderter Lohn vereinbart werden. Der Arbeiter soll aber möglichst auf einem Arbeitsplatz verwendet werden, auf dem er die Leistung eines voll leistungsfähigen Arbeiters erbringen kann.</w:t>
      </w:r>
    </w:p>
    <w:p w:rsidR="00BE1EFE" w:rsidRDefault="00BE1EFE">
      <w:pPr>
        <w:pStyle w:val="StandardWeb"/>
      </w:pPr>
    </w:p>
    <w:p w:rsidR="00BE1EFE" w:rsidRDefault="00BE1EFE">
      <w:pPr>
        <w:pStyle w:val="StandardWeb"/>
      </w:pPr>
      <w:r>
        <w:t>(2) Ist nach Absatz 1 Satz 1 ein geminderter Lohn vereinbart worden, besteht bei Änderung der Leistungsfähigkeit für den Arbeitgeber und den Arbeiter ein Anspruch auf Neufestsetzung des Lohnes.</w:t>
      </w:r>
    </w:p>
    <w:p w:rsidR="00BE1EFE" w:rsidRDefault="00BE1EFE">
      <w:pPr>
        <w:pStyle w:val="StandardWeb"/>
      </w:pPr>
    </w:p>
    <w:p w:rsidR="00BE1EFE" w:rsidRDefault="00BE1EFE">
      <w:pPr>
        <w:pStyle w:val="StandardWeb"/>
      </w:pPr>
      <w:r>
        <w:t xml:space="preserve">(3) Absatz 1 gilt nicht für den Arbeiter, dessen Leistungsfähigkeit durch Ereignisse im Sinne von </w:t>
      </w:r>
      <w:hyperlink r:id="rId673" w:history="1">
        <w:r w:rsidRPr="007609DC">
          <w:rPr>
            <w:rStyle w:val="Hyperlink"/>
          </w:rPr>
          <w:t>§ 1 des Bundesversorgungsgesetzes</w:t>
        </w:r>
      </w:hyperlink>
      <w:r>
        <w:t xml:space="preserve"> oder von </w:t>
      </w:r>
      <w:hyperlink r:id="rId674" w:history="1">
        <w:r w:rsidRPr="007609DC">
          <w:rPr>
            <w:rStyle w:val="Hyperlink"/>
          </w:rPr>
          <w:t>§ 1 des Bundesgesetzes zur Entschädigung für Opfer der nationalsozialistischen Verfolgung</w:t>
        </w:r>
      </w:hyperlink>
      <w:r>
        <w:t xml:space="preserve"> gemindert ist.</w:t>
      </w:r>
    </w:p>
    <w:p w:rsidR="00BE1EFE" w:rsidRDefault="00BE1EFE">
      <w:pPr>
        <w:pStyle w:val="StandardWeb"/>
      </w:pPr>
    </w:p>
    <w:p w:rsidR="00BE1EFE" w:rsidRDefault="00BE1EFE" w:rsidP="0054275E">
      <w:pPr>
        <w:pStyle w:val="StandardWeb"/>
        <w:autoSpaceDE w:val="0"/>
      </w:pPr>
      <w:r>
        <w:rPr>
          <w:rStyle w:val="Fett"/>
          <w:bCs/>
        </w:rPr>
        <w:t>§ 37 Sicherung des Lohnstandes bei Leistungsminderung</w:t>
      </w:r>
    </w:p>
    <w:p w:rsidR="00BE1EFE" w:rsidRDefault="00BE1EFE">
      <w:pPr>
        <w:pStyle w:val="StandardWeb"/>
      </w:pPr>
      <w:r>
        <w:t>(1) Ist der Arbeiter, der eine mindestens einjährige Beschäftigungszeit zurückgelegt hat, infolge eines Unfalls, den er in Ausübung oder infolge seiner Arbeit ohne Vorsatz oder grobe Fahrlässigkeit erlitten hat, in seiner Lohngruppe nicht mehr voll leistungsfähig und wird er deshalb in einer niedrigeren Lohngruppe weiterbeschäftigt, so wird der Unterschiedsbetrag zwischen dem jeweiligen Monatstabellenlohn der bisherigen und der neuen Lohngruppe als persönliche Zulage gewährt. Lohnzuschläge nach § 29, die der Arbeiter bei Eintritt der Leistungsminderung mindestens fünf Jahre für mindestens drei Viertel der regelmäßigen Arbeitszeit bezogen hat, erhält er in der zuletzt bezogenen Höhe weiter. Dies gilt unter den Voraussetzungen des Satzes 2 auch für Lohnzuschläge nach § 29, die in einem Pauschalzuschlag oder in einem Gesamtpauschallohn gemäß § 30 Absatz 6 enthalten sind. Lohnzuschläge nach § 29, die der Arbeiter in der niedrigeren Lohngruppe erhält, werden nur insoweit gezahlt, als sie über die Lohnzuschläge nach Satz 2 hinausgehen. Das Gleiche gilt bei einer Berufskrankheit i. S. d.</w:t>
      </w:r>
      <w:hyperlink r:id="rId675" w:tgtFrame="_blank" w:history="1">
        <w:r>
          <w:rPr>
            <w:rStyle w:val="Hyperlink"/>
          </w:rPr>
          <w:t xml:space="preserve"> § 9 SGB VII</w:t>
        </w:r>
        <w:r w:rsidRPr="00E46EA2">
          <w:rPr>
            <w:rStyle w:val="Hyperlink"/>
            <w:u w:val="none"/>
          </w:rPr>
          <w:t xml:space="preserve"> </w:t>
        </w:r>
      </w:hyperlink>
      <w:r>
        <w:t>nach einer mindestens zweijährigen Beschäfti</w:t>
      </w:r>
      <w:r>
        <w:softHyphen/>
        <w:t>gungszeit.</w:t>
      </w:r>
    </w:p>
    <w:p w:rsidR="00BE1EFE" w:rsidRDefault="00BE1EFE">
      <w:pPr>
        <w:pStyle w:val="StandardWeb"/>
      </w:pPr>
    </w:p>
    <w:p w:rsidR="00BE1EFE" w:rsidRDefault="00BE1EFE">
      <w:pPr>
        <w:pStyle w:val="StandardWeb"/>
      </w:pPr>
      <w:r>
        <w:t xml:space="preserve">(2) Absatz 1 gilt entsprechend </w:t>
      </w:r>
    </w:p>
    <w:p w:rsidR="00BE1EFE" w:rsidRDefault="00BE1EFE">
      <w:pPr>
        <w:pStyle w:val="StandardWeb"/>
      </w:pPr>
      <w:r>
        <w:t xml:space="preserve">a) für Arbeiter nach zehnjähriger Beschäftigungszeit, wenn die Leistungsminderung durch eine Gesundheitsschädigung hervorgerufen wurde, die durch fortwirkende schädliche Einflüsse der Arbeit eingetreten ist, </w:t>
      </w:r>
    </w:p>
    <w:p w:rsidR="00BE1EFE" w:rsidRDefault="00BE1EFE">
      <w:pPr>
        <w:pStyle w:val="StandardWeb"/>
      </w:pPr>
      <w:r>
        <w:t>b) für mindestens 53 Jahre alte Arbeiter nach fünfzehnjähriger Beschäftigungszeit, wenn die Leistungsminderung durch Abnahme der körperlichen Kräfte und Fähigkeiten infolge lang</w:t>
      </w:r>
      <w:r>
        <w:softHyphen/>
        <w:t xml:space="preserve">jähriger Arbeit verursacht ist, </w:t>
      </w:r>
    </w:p>
    <w:p w:rsidR="00BE1EFE" w:rsidRDefault="00BE1EFE">
      <w:pPr>
        <w:pStyle w:val="StandardWeb"/>
      </w:pPr>
      <w:r>
        <w:t xml:space="preserve">c) für mindestens 50 Jahre alte Arbeiter nach zwanzigjähriger Beschäftigungszeit, wenn die Leistungsminderung durch Abnahme der körperlichen Kräfte und Fähigkeiten infolge langjähriger Arbeit verursacht ist, </w:t>
      </w:r>
    </w:p>
    <w:p w:rsidR="00BE1EFE" w:rsidRDefault="00BE1EFE">
      <w:pPr>
        <w:pStyle w:val="StandardWeb"/>
      </w:pPr>
      <w:r>
        <w:t xml:space="preserve">d) für Arbeiter nach fünfundzwanzigjähriger Beschäftigungszeit, wenn die Leistungsminderung durch Abnahme der körperlichen Kräfte und Fähigkeiten infolge langjähriger Arbeit verursacht ist. </w:t>
      </w:r>
    </w:p>
    <w:p w:rsidR="00BE1EFE" w:rsidRDefault="00BE1EFE">
      <w:pPr>
        <w:pStyle w:val="StandardWeb"/>
      </w:pPr>
    </w:p>
    <w:p w:rsidR="00BE1EFE" w:rsidRDefault="00BE1EFE">
      <w:pPr>
        <w:pStyle w:val="StandardWeb"/>
      </w:pPr>
      <w:r>
        <w:t>Wenn der Arbeiter erst in den letzten zwei Jahren vor Eintritt der Leistungsminderung in seine Lohngruppe aufgerückt war, erhält er den jeweiligen Monatstabellenlohn der Lohngruppe, in der er vorher war.</w:t>
      </w:r>
    </w:p>
    <w:p w:rsidR="00BE1EFE" w:rsidRDefault="00BE1EFE">
      <w:pPr>
        <w:pStyle w:val="StandardWeb"/>
        <w:rPr>
          <w:sz w:val="12"/>
          <w:szCs w:val="12"/>
        </w:rPr>
      </w:pPr>
      <w:r>
        <w:rPr>
          <w:sz w:val="12"/>
          <w:szCs w:val="12"/>
        </w:rPr>
        <w:t>Anmerkung zu Absatz 1 Unterabsatz 1 Satz 2: Ein Lohnzuschlag gilt auch dann als gewährt, wenn der Arbeiter den Lohnzuschlag vorübergehend wegen Arbeitsunfähigkeit, Erholungsurlaubs oder Arbeitsbefreiung nicht erhalten hat.</w:t>
      </w:r>
    </w:p>
    <w:p w:rsidR="00BE1EFE" w:rsidRDefault="00BE1EFE">
      <w:pPr>
        <w:pStyle w:val="StandardWeb"/>
        <w:rPr>
          <w:sz w:val="12"/>
          <w:szCs w:val="12"/>
        </w:rPr>
      </w:pPr>
    </w:p>
    <w:p w:rsidR="00BE1EFE" w:rsidRDefault="00BE1EFE">
      <w:pPr>
        <w:pStyle w:val="StandardWeb"/>
      </w:pPr>
      <w:r>
        <w:rPr>
          <w:sz w:val="12"/>
          <w:szCs w:val="12"/>
        </w:rPr>
        <w:t>Anmerkung zu Absatz 2 Unterabsatz 1: Ist streitig, ob der erforderliche Ursachenzusammenhang vorliegt, soll auf Verlangen die Stellungnahme eines Arztes des beiderseitigen Vertrauens eingeholt werden. Ist kein anderer Kostenträger zuständig, trägt die Kosten der Arbeitgeber, wenn der Anspruch auf Lohnsicherung endgültig zuerkannt ist; anderenfalls trägt sie der Arbeiter.</w:t>
      </w:r>
    </w:p>
    <w:p w:rsidR="00BE1EFE" w:rsidRDefault="00BE1EFE">
      <w:pPr>
        <w:pStyle w:val="StandardWeb"/>
      </w:pPr>
    </w:p>
    <w:p w:rsidR="00BE1EFE" w:rsidRDefault="00BE1EFE" w:rsidP="0054275E">
      <w:pPr>
        <w:pStyle w:val="StandardWeb"/>
        <w:autoSpaceDE w:val="0"/>
      </w:pPr>
      <w:r>
        <w:rPr>
          <w:rStyle w:val="Fett"/>
          <w:bCs/>
        </w:rPr>
        <w:t>2. Teil A, 1. in der bis zum 30.09.2005 geltenden Fassung:</w:t>
      </w:r>
    </w:p>
    <w:p w:rsidR="00BE1EFE" w:rsidRDefault="00BE1EFE">
      <w:pPr>
        <w:pStyle w:val="StandardWeb"/>
      </w:pPr>
    </w:p>
    <w:p w:rsidR="00BE1EFE" w:rsidRDefault="00BE1EFE" w:rsidP="0054275E">
      <w:pPr>
        <w:pStyle w:val="StandardWeb"/>
        <w:autoSpaceDE w:val="0"/>
      </w:pPr>
      <w:r>
        <w:rPr>
          <w:rStyle w:val="Fett"/>
          <w:bCs/>
        </w:rPr>
        <w:t>§ 56 Ausgleichszulage bei Arbeitsunfall und Berufskrankheit</w:t>
      </w:r>
    </w:p>
    <w:p w:rsidR="00BE1EFE" w:rsidRDefault="00BE1EFE" w:rsidP="006731BD">
      <w:pPr>
        <w:pStyle w:val="StandardWeb"/>
      </w:pPr>
      <w:r>
        <w:t xml:space="preserve">Ist der Angestellte infolge eines Unfalls, den er nach mindestens einjähriger ununterbrochener Beschäftigung bei demselben Arbeitgeber in Ausübung oder infolge seiner Arbeit ohne Vorsatz oder grobe Fahrlässigkeit erlitten hat, in seiner bisherigen Vergütungsgruppe nicht mehr voll leistungsfähig und wird er deshalb in einer niedrigeren Vergütungsgruppe weiterbeschäftigt, so erhält er eine Ausgleichszulage in Höhe des Unterschiedsbetrages zwischen der ihm in der neuen Vergütungsgruppe jeweils zustehenden Grundvergütung zuzüglich der allgemeinen Zulage und der Grundvergütung zuzüglich der allgemeinen Zulage, die er in der verlassenen Vergütungsgruppe zuletzt bezogen hat. Das Gleiche gilt bei einer Berufskrankheit i. S. d. </w:t>
      </w:r>
      <w:hyperlink r:id="rId676" w:tgtFrame="_blank" w:history="1">
        <w:r>
          <w:rPr>
            <w:rStyle w:val="Hyperlink"/>
          </w:rPr>
          <w:t>§ 9 SGB VII</w:t>
        </w:r>
        <w:r w:rsidRPr="00E46EA2">
          <w:rPr>
            <w:rStyle w:val="Hyperlink"/>
            <w:u w:val="none"/>
          </w:rPr>
          <w:t xml:space="preserve"> </w:t>
        </w:r>
      </w:hyperlink>
      <w:r>
        <w:t>nach mindestens dreijähriger ununterbrochener Beschäftigung.</w:t>
      </w:r>
      <w:r>
        <w:br w:type="page"/>
      </w:r>
    </w:p>
    <w:p w:rsidR="00BE1EFE" w:rsidRDefault="00BE1EFE" w:rsidP="00E87479">
      <w:pPr>
        <w:pStyle w:val="berschrift6"/>
        <w:spacing w:before="0"/>
      </w:pPr>
      <w:bookmarkStart w:id="683" w:name="_Toc523926216"/>
      <w:r>
        <w:lastRenderedPageBreak/>
        <w:t>Anlage 1: ABD Teil A, 1. Abschnitt I bis VI in der bis zum 30.09.2005 geltenden Fassung</w:t>
      </w:r>
      <w:bookmarkEnd w:id="683"/>
    </w:p>
    <w:p w:rsidR="00BE1EFE" w:rsidRPr="00B76821" w:rsidRDefault="00BE1EFE" w:rsidP="00B76821">
      <w:pPr>
        <w:pStyle w:val="h7"/>
        <w:keepNext w:val="0"/>
        <w:spacing w:before="0" w:after="0"/>
        <w:jc w:val="left"/>
        <w:outlineLvl w:val="5"/>
        <w:rPr>
          <w:rStyle w:val="Fett"/>
          <w:bCs/>
          <w:sz w:val="2"/>
        </w:rPr>
      </w:pPr>
    </w:p>
    <w:p w:rsidR="00BE1EFE" w:rsidRDefault="00BE1EFE" w:rsidP="00E62698">
      <w:pPr>
        <w:pStyle w:val="StandardWeb"/>
        <w:autoSpaceDE w:val="0"/>
        <w:jc w:val="center"/>
        <w:rPr>
          <w:b/>
          <w:bCs/>
        </w:rPr>
      </w:pPr>
      <w:r>
        <w:rPr>
          <w:rStyle w:val="Fett"/>
          <w:bCs/>
        </w:rPr>
        <w:t xml:space="preserve">Teil A </w:t>
      </w:r>
    </w:p>
    <w:p w:rsidR="00BE1EFE" w:rsidRDefault="00BE1EFE" w:rsidP="00E62698">
      <w:pPr>
        <w:pStyle w:val="StandardWeb"/>
        <w:autoSpaceDE w:val="0"/>
        <w:jc w:val="center"/>
        <w:rPr>
          <w:rStyle w:val="Fett"/>
          <w:bCs/>
        </w:rPr>
      </w:pPr>
      <w:r>
        <w:rPr>
          <w:rStyle w:val="Fett"/>
          <w:bCs/>
        </w:rPr>
        <w:t xml:space="preserve">Arbeitsvertragsrechtliche Regelungen für Angestellte </w:t>
      </w:r>
    </w:p>
    <w:p w:rsidR="00BE1EFE" w:rsidRDefault="00BE1EFE" w:rsidP="00E62698">
      <w:pPr>
        <w:pStyle w:val="StandardWeb"/>
        <w:autoSpaceDE w:val="0"/>
        <w:jc w:val="center"/>
        <w:rPr>
          <w:b/>
          <w:bCs/>
        </w:rPr>
      </w:pPr>
    </w:p>
    <w:p w:rsidR="00BE1EFE" w:rsidRPr="000B1AF8" w:rsidRDefault="00BE1EFE" w:rsidP="003575ED">
      <w:pPr>
        <w:pStyle w:val="StandardWeb"/>
        <w:autoSpaceDE w:val="0"/>
        <w:jc w:val="left"/>
      </w:pPr>
      <w:r>
        <w:rPr>
          <w:rStyle w:val="Fett"/>
          <w:bCs/>
        </w:rPr>
        <w:t>1. Allgemeine arbeitsvertragsrechtliche Regelungen für Angestellte</w:t>
      </w:r>
      <w:r>
        <w:br/>
      </w:r>
    </w:p>
    <w:p w:rsidR="00BE1EFE" w:rsidRDefault="00BE1EFE" w:rsidP="0054275E">
      <w:pPr>
        <w:pStyle w:val="StandardWeb"/>
        <w:autoSpaceDE w:val="0"/>
        <w:jc w:val="center"/>
        <w:rPr>
          <w:b/>
          <w:bCs/>
        </w:rPr>
      </w:pPr>
      <w:r>
        <w:rPr>
          <w:rStyle w:val="Fett"/>
          <w:bCs/>
        </w:rPr>
        <w:t xml:space="preserve">Abschnitt I </w:t>
      </w:r>
    </w:p>
    <w:p w:rsidR="00BE1EFE" w:rsidRDefault="00BE1EFE">
      <w:pPr>
        <w:pStyle w:val="StandardWeb"/>
        <w:jc w:val="center"/>
        <w:rPr>
          <w:b/>
          <w:bCs/>
        </w:rPr>
      </w:pPr>
    </w:p>
    <w:p w:rsidR="00BE1EFE" w:rsidRDefault="00BE1EFE" w:rsidP="003575ED">
      <w:pPr>
        <w:pStyle w:val="StandardWeb"/>
        <w:autoSpaceDE w:val="0"/>
        <w:jc w:val="left"/>
      </w:pPr>
      <w:r>
        <w:rPr>
          <w:rStyle w:val="Fett"/>
          <w:bCs/>
        </w:rPr>
        <w:t>§ 1 Allgemeiner Geltungsbereich</w:t>
      </w:r>
    </w:p>
    <w:p w:rsidR="00BE1EFE" w:rsidRDefault="00BE1EFE">
      <w:pPr>
        <w:pStyle w:val="StandardWeb"/>
        <w:jc w:val="center"/>
      </w:pPr>
    </w:p>
    <w:p w:rsidR="00BE1EFE" w:rsidRDefault="00BE1EFE">
      <w:pPr>
        <w:pStyle w:val="StandardWeb"/>
      </w:pPr>
      <w:r>
        <w:t xml:space="preserve">(1) Die Bestimmungen des ABD Teil A gelten für Arbeitsverhältnisse der Mitarbeiter bei den folgenden Anstellungsträgern: </w:t>
      </w:r>
    </w:p>
    <w:p w:rsidR="00BE1EFE" w:rsidRDefault="00BE1EFE">
      <w:pPr>
        <w:pStyle w:val="StandardWeb"/>
      </w:pPr>
      <w:r>
        <w:t xml:space="preserve">1. den einzelnen (Erz-)Diözesen, auch als Rechtsträger von selbstständig geführten Einrichtungen, </w:t>
      </w:r>
    </w:p>
    <w:p w:rsidR="00BE1EFE" w:rsidRDefault="00BE1EFE">
      <w:pPr>
        <w:pStyle w:val="StandardWeb"/>
      </w:pPr>
      <w:r>
        <w:t xml:space="preserve">2. den Kirchengemeinden und Kirchenstiftungen, </w:t>
      </w:r>
    </w:p>
    <w:p w:rsidR="00BE1EFE" w:rsidRDefault="00BE1EFE">
      <w:pPr>
        <w:pStyle w:val="StandardWeb"/>
      </w:pPr>
      <w:r>
        <w:t xml:space="preserve">3. den Verbänden von Kirchengemeinden, </w:t>
      </w:r>
    </w:p>
    <w:p w:rsidR="00BE1EFE" w:rsidRDefault="00BE1EFE">
      <w:pPr>
        <w:pStyle w:val="StandardWeb"/>
      </w:pPr>
      <w:r>
        <w:t xml:space="preserve">4. den sonstigen öffentlichen juristischen Personen des kanonischen Rechts, </w:t>
      </w:r>
    </w:p>
    <w:p w:rsidR="00BE1EFE" w:rsidRDefault="00BE1EFE">
      <w:pPr>
        <w:pStyle w:val="StandardWeb"/>
      </w:pPr>
      <w:r>
        <w:t xml:space="preserve">5. den sonstigen kirchlichen Rechtsträgern und ihren Einrichtungen, unbeschadet ihrer Rechtsform, soweit sie gehalten sind, die Grundordnung für ihren Bereich rechtsverbindlich zu übernehmen, </w:t>
      </w:r>
    </w:p>
    <w:p w:rsidR="00BE1EFE" w:rsidRDefault="00BE1EFE">
      <w:pPr>
        <w:pStyle w:val="StandardWeb"/>
      </w:pPr>
      <w:r>
        <w:t xml:space="preserve">6. den Instituten des geweihten Lebens päpstlichen Rechts und den Gesellschaften des apostolischen Lebens päpstlichen Rechts, soweit diese verbindlich entschieden haben, dass die vom (Erz-)Bischof in Kraft gesetzten Beschlüsse der BayRK bzw. der Lehrerkommission (§ 12 BayRKO) auch für ihre Einrichtungen in den bayer. (Erz-)Diözesen gleichfalls als in Kraft gesetzt gelten, wenn diese in einer der Rentenversicherung der Angestellten unterliegenden Beschäftigung tätig sind (Angestellte). </w:t>
      </w:r>
    </w:p>
    <w:p w:rsidR="00BE1EFE" w:rsidRDefault="00BE1EFE">
      <w:pPr>
        <w:pStyle w:val="StandardWeb"/>
      </w:pPr>
      <w:r>
        <w:t>(2) Mit Arbeitnehmern in einer der Rentenversicherung der Arbeiter unterliegenden Tätigkeit kann im Arbeitsvertrag vereinbart werden, dass sie als Angestellte nach dem ABD beschäftigt werden, wenn ihre Tätigkeit in der jeweiligen Vergütungsordnung aufgeführt ist.</w:t>
      </w:r>
    </w:p>
    <w:p w:rsidR="00BE1EFE" w:rsidRDefault="00BE1EFE">
      <w:pPr>
        <w:pStyle w:val="StandardWeb"/>
      </w:pPr>
      <w:r w:rsidRPr="009C6551">
        <w:rPr>
          <w:rStyle w:val="kleinschrift1"/>
        </w:rPr>
        <w:t xml:space="preserve">Anmerkung: Die Begriffe „Mitarbeiter“ und „Angestellter“ umfassen Mitarbeiterinnen und Mitarbeiter sowie weibliche und männliche Angestellte. </w:t>
      </w:r>
    </w:p>
    <w:p w:rsidR="00BE1EFE" w:rsidRDefault="00BE1EFE">
      <w:pPr>
        <w:pStyle w:val="StandardWeb"/>
        <w:jc w:val="center"/>
        <w:rPr>
          <w:b/>
          <w:bCs/>
        </w:rPr>
      </w:pPr>
    </w:p>
    <w:p w:rsidR="00BE1EFE" w:rsidRDefault="00BE1EFE" w:rsidP="003575ED">
      <w:pPr>
        <w:pStyle w:val="StandardWeb"/>
        <w:autoSpaceDE w:val="0"/>
        <w:jc w:val="left"/>
      </w:pPr>
      <w:r>
        <w:rPr>
          <w:rStyle w:val="Fett"/>
          <w:bCs/>
        </w:rPr>
        <w:t>§ 2 Sonderregelungen</w:t>
      </w:r>
    </w:p>
    <w:p w:rsidR="00BE1EFE" w:rsidRDefault="00BE1EFE">
      <w:pPr>
        <w:pStyle w:val="StandardWeb"/>
        <w:jc w:val="center"/>
      </w:pPr>
    </w:p>
    <w:p w:rsidR="00BE1EFE" w:rsidRDefault="00BE1EFE">
      <w:pPr>
        <w:pStyle w:val="StandardWeb"/>
      </w:pPr>
      <w:r>
        <w:t xml:space="preserve">Für Angestellte </w:t>
      </w:r>
    </w:p>
    <w:p w:rsidR="00BE1EFE" w:rsidRDefault="00BE1EFE">
      <w:pPr>
        <w:pStyle w:val="StandardWeb"/>
      </w:pPr>
      <w:r>
        <w:t>a) </w:t>
      </w:r>
      <w:r w:rsidRPr="00D645FF">
        <w:rPr>
          <w:i/>
        </w:rPr>
        <w:t>(frei)</w:t>
      </w:r>
      <w:r>
        <w:t xml:space="preserve">, </w:t>
      </w:r>
    </w:p>
    <w:p w:rsidR="00BE1EFE" w:rsidRDefault="00BE1EFE">
      <w:pPr>
        <w:pStyle w:val="StandardWeb"/>
      </w:pPr>
      <w:r>
        <w:t xml:space="preserve">b) in Anstalten und Heimen, in denen die betreuten Personen nicht in ärztlicher Behandlung stehen, </w:t>
      </w:r>
    </w:p>
    <w:p w:rsidR="00BE1EFE" w:rsidRDefault="00BE1EFE">
      <w:pPr>
        <w:pStyle w:val="StandardWeb"/>
      </w:pPr>
      <w:r>
        <w:t xml:space="preserve">c) als Ärzte und Zahnärzte an den in der Sonderregelung 2 b genannten Anstalten und Heimen, </w:t>
      </w:r>
    </w:p>
    <w:p w:rsidR="00BE1EFE" w:rsidRDefault="00BE1EFE">
      <w:pPr>
        <w:pStyle w:val="StandardWeb"/>
      </w:pPr>
      <w:r>
        <w:t xml:space="preserve">d) bis k) </w:t>
      </w:r>
      <w:r w:rsidRPr="00D645FF">
        <w:rPr>
          <w:i/>
        </w:rPr>
        <w:t>(frei)</w:t>
      </w:r>
      <w:r>
        <w:t xml:space="preserve">, </w:t>
      </w:r>
    </w:p>
    <w:p w:rsidR="00BE1EFE" w:rsidRDefault="00BE1EFE">
      <w:pPr>
        <w:pStyle w:val="StandardWeb"/>
      </w:pPr>
      <w:r>
        <w:t xml:space="preserve">l) als Lehrkräfte an Schulen in kirchlicher Trägerschaft </w:t>
      </w:r>
    </w:p>
    <w:p w:rsidR="00BE1EFE" w:rsidRDefault="00BE1EFE">
      <w:pPr>
        <w:pStyle w:val="StandardWeb"/>
      </w:pPr>
      <w:r>
        <w:t xml:space="preserve">m) als Bibliothekare an Büchereien in kirchlicher Trägerschaft, </w:t>
      </w:r>
    </w:p>
    <w:p w:rsidR="00BE1EFE" w:rsidRDefault="00BE1EFE">
      <w:pPr>
        <w:pStyle w:val="StandardWeb"/>
      </w:pPr>
      <w:r>
        <w:t xml:space="preserve">n) bis o) </w:t>
      </w:r>
      <w:r w:rsidRPr="00D645FF">
        <w:rPr>
          <w:i/>
        </w:rPr>
        <w:t>(frei)</w:t>
      </w:r>
      <w:r>
        <w:t xml:space="preserve">, </w:t>
      </w:r>
    </w:p>
    <w:p w:rsidR="00BE1EFE" w:rsidRDefault="00BE1EFE">
      <w:pPr>
        <w:pStyle w:val="StandardWeb"/>
      </w:pPr>
      <w:r>
        <w:t xml:space="preserve">p) in Landwirtschaft, Wein- und Obstbau, </w:t>
      </w:r>
    </w:p>
    <w:p w:rsidR="00BE1EFE" w:rsidRDefault="00BE1EFE">
      <w:pPr>
        <w:pStyle w:val="StandardWeb"/>
      </w:pPr>
      <w:r>
        <w:t xml:space="preserve">q) im forstlichen Außendienst, </w:t>
      </w:r>
    </w:p>
    <w:p w:rsidR="00BE1EFE" w:rsidRDefault="00BE1EFE">
      <w:pPr>
        <w:pStyle w:val="StandardWeb"/>
      </w:pPr>
      <w:r>
        <w:t xml:space="preserve">r) als Hausmeister, </w:t>
      </w:r>
    </w:p>
    <w:p w:rsidR="00BE1EFE" w:rsidRDefault="00BE1EFE">
      <w:pPr>
        <w:pStyle w:val="StandardWeb"/>
      </w:pPr>
      <w:r>
        <w:t xml:space="preserve">s) bis x) </w:t>
      </w:r>
      <w:r w:rsidRPr="00D645FF">
        <w:rPr>
          <w:i/>
        </w:rPr>
        <w:t>(frei)</w:t>
      </w:r>
      <w:r>
        <w:t xml:space="preserve">, </w:t>
      </w:r>
    </w:p>
    <w:p w:rsidR="00BE1EFE" w:rsidRDefault="00BE1EFE">
      <w:pPr>
        <w:pStyle w:val="StandardWeb"/>
      </w:pPr>
      <w:r>
        <w:t xml:space="preserve">y) als Zeitangestellte, als Angestellte für Aufgaben von begrenzter Dauer und als Aushilfsangestellte, </w:t>
      </w:r>
    </w:p>
    <w:p w:rsidR="00BE1EFE" w:rsidRDefault="00BE1EFE">
      <w:pPr>
        <w:pStyle w:val="StandardWeb"/>
      </w:pPr>
      <w:r>
        <w:t xml:space="preserve">z1) bis z2) </w:t>
      </w:r>
      <w:r w:rsidRPr="00D645FF">
        <w:rPr>
          <w:i/>
        </w:rPr>
        <w:t>(frei)</w:t>
      </w:r>
      <w:r>
        <w:t xml:space="preserve">, </w:t>
      </w:r>
    </w:p>
    <w:p w:rsidR="00BE1EFE" w:rsidRDefault="00BE1EFE">
      <w:pPr>
        <w:pStyle w:val="StandardWeb"/>
      </w:pPr>
      <w:r>
        <w:lastRenderedPageBreak/>
        <w:t>gilt das ABD Teil A mit den Sonderregelungen (</w:t>
      </w:r>
      <w:hyperlink r:id="rId677" w:history="1">
        <w:r w:rsidRPr="002D1F1D">
          <w:rPr>
            <w:rStyle w:val="Hyperlink"/>
          </w:rPr>
          <w:t>ABD Teil A, 2.</w:t>
        </w:r>
      </w:hyperlink>
      <w:r>
        <w:t>).</w:t>
      </w:r>
    </w:p>
    <w:p w:rsidR="00BE1EFE" w:rsidRDefault="00BE1EFE">
      <w:pPr>
        <w:pStyle w:val="StandardWeb"/>
      </w:pPr>
    </w:p>
    <w:p w:rsidR="00BE1EFE" w:rsidRDefault="00BE1EFE" w:rsidP="003575ED">
      <w:pPr>
        <w:pStyle w:val="StandardWeb"/>
        <w:autoSpaceDE w:val="0"/>
        <w:jc w:val="left"/>
      </w:pPr>
      <w:r>
        <w:rPr>
          <w:rStyle w:val="Fett"/>
          <w:bCs/>
        </w:rPr>
        <w:t>§ 2 a Dienst- und Vergütungsordnungen</w:t>
      </w:r>
    </w:p>
    <w:p w:rsidR="00BE1EFE" w:rsidRDefault="00BE1EFE">
      <w:pPr>
        <w:pStyle w:val="StandardWeb"/>
        <w:jc w:val="center"/>
      </w:pPr>
    </w:p>
    <w:p w:rsidR="00BE1EFE" w:rsidRDefault="00BE1EFE">
      <w:pPr>
        <w:pStyle w:val="StandardWeb"/>
      </w:pPr>
      <w:r>
        <w:t xml:space="preserve">Für Angestellte </w:t>
      </w:r>
    </w:p>
    <w:p w:rsidR="00BE1EFE" w:rsidRDefault="00BE1EFE">
      <w:pPr>
        <w:pStyle w:val="StandardWeb"/>
      </w:pPr>
      <w:r>
        <w:t xml:space="preserve">1. als Pastoralassistenten und Pastoralreferenten, </w:t>
      </w:r>
    </w:p>
    <w:p w:rsidR="00BE1EFE" w:rsidRDefault="00BE1EFE">
      <w:pPr>
        <w:pStyle w:val="StandardWeb"/>
      </w:pPr>
      <w:r>
        <w:t xml:space="preserve">2. als Gemeindeassistenten und Gemeindereferenten, </w:t>
      </w:r>
    </w:p>
    <w:p w:rsidR="00BE1EFE" w:rsidRDefault="00BE1EFE">
      <w:pPr>
        <w:pStyle w:val="StandardWeb"/>
      </w:pPr>
      <w:r>
        <w:t xml:space="preserve">3. als Religionslehrer i. K., </w:t>
      </w:r>
    </w:p>
    <w:p w:rsidR="00BE1EFE" w:rsidRDefault="00BE1EFE">
      <w:pPr>
        <w:pStyle w:val="StandardWeb"/>
      </w:pPr>
      <w:r>
        <w:t xml:space="preserve">4. als Mesner, </w:t>
      </w:r>
    </w:p>
    <w:p w:rsidR="00BE1EFE" w:rsidRDefault="00BE1EFE">
      <w:pPr>
        <w:pStyle w:val="StandardWeb"/>
      </w:pPr>
      <w:r>
        <w:t xml:space="preserve">5. als Kirchenmusiker, </w:t>
      </w:r>
    </w:p>
    <w:p w:rsidR="00BE1EFE" w:rsidRDefault="00BE1EFE">
      <w:pPr>
        <w:pStyle w:val="StandardWeb"/>
      </w:pPr>
      <w:r>
        <w:t xml:space="preserve">6. als pädagogische Fach- und Zweitkräfte in Katholischen Kindertagesstätten, </w:t>
      </w:r>
    </w:p>
    <w:p w:rsidR="00BE1EFE" w:rsidRDefault="00BE1EFE">
      <w:pPr>
        <w:pStyle w:val="StandardWeb"/>
      </w:pPr>
      <w:r>
        <w:t xml:space="preserve">7. als Mitarbeiter in der kirchlichen Verbands- und Bildungsarbeit, </w:t>
      </w:r>
    </w:p>
    <w:p w:rsidR="00BE1EFE" w:rsidRDefault="00BE1EFE">
      <w:pPr>
        <w:pStyle w:val="StandardWeb"/>
      </w:pPr>
      <w:r>
        <w:t xml:space="preserve">8. als Mitarbeiter in der kirchlichen Jugendarbeit, </w:t>
      </w:r>
    </w:p>
    <w:p w:rsidR="00BE1EFE" w:rsidRDefault="00BE1EFE">
      <w:pPr>
        <w:pStyle w:val="StandardWeb"/>
      </w:pPr>
      <w:r>
        <w:t xml:space="preserve">9. als Pfarrsekretärinnen </w:t>
      </w:r>
    </w:p>
    <w:p w:rsidR="00BE1EFE" w:rsidRDefault="00BE1EFE">
      <w:pPr>
        <w:pStyle w:val="StandardWeb"/>
      </w:pPr>
      <w:r>
        <w:t>gilt das ABD Teil A, insbesondere die DO und VO (ABD Teil A, 4.).</w:t>
      </w:r>
    </w:p>
    <w:p w:rsidR="00BE1EFE" w:rsidRDefault="00BE1EFE">
      <w:pPr>
        <w:pStyle w:val="StandardWeb"/>
      </w:pPr>
    </w:p>
    <w:p w:rsidR="00BE1EFE" w:rsidRDefault="00BE1EFE" w:rsidP="003575ED">
      <w:pPr>
        <w:pStyle w:val="StandardWeb"/>
        <w:autoSpaceDE w:val="0"/>
        <w:jc w:val="left"/>
      </w:pPr>
      <w:r>
        <w:rPr>
          <w:rStyle w:val="Fett"/>
          <w:bCs/>
        </w:rPr>
        <w:t xml:space="preserve">§ 3 Ausnahmen vom Geltungsbereich </w:t>
      </w:r>
    </w:p>
    <w:p w:rsidR="00BE1EFE" w:rsidRDefault="00BE1EFE">
      <w:pPr>
        <w:pStyle w:val="StandardWeb"/>
        <w:jc w:val="center"/>
      </w:pPr>
    </w:p>
    <w:p w:rsidR="00BE1EFE" w:rsidRDefault="00BE1EFE">
      <w:pPr>
        <w:pStyle w:val="StandardWeb"/>
      </w:pPr>
      <w:r>
        <w:t xml:space="preserve">Das ABD Teil A gilt nicht für </w:t>
      </w:r>
    </w:p>
    <w:p w:rsidR="00BE1EFE" w:rsidRDefault="00BE1EFE">
      <w:pPr>
        <w:pStyle w:val="StandardWeb"/>
      </w:pPr>
      <w:r>
        <w:t xml:space="preserve">a) Angestellte in Brauereien, Gaststätten und Hotels, soweit anderweitige kollektivrechtliche Regelungen vereinbart sind, b) bis c) </w:t>
      </w:r>
      <w:r w:rsidRPr="00D645FF">
        <w:rPr>
          <w:i/>
        </w:rPr>
        <w:t>(frei)</w:t>
      </w:r>
      <w:r>
        <w:t xml:space="preserve">, </w:t>
      </w:r>
    </w:p>
    <w:p w:rsidR="00BE1EFE" w:rsidRDefault="00BE1EFE">
      <w:pPr>
        <w:pStyle w:val="StandardWeb"/>
      </w:pPr>
      <w:r>
        <w:t xml:space="preserve">d) Angestellte, </w:t>
      </w:r>
    </w:p>
    <w:p w:rsidR="00BE1EFE" w:rsidRDefault="00BE1EFE">
      <w:pPr>
        <w:pStyle w:val="StandardWeb"/>
      </w:pPr>
      <w:r>
        <w:t xml:space="preserve">aa) die Arbeiten nach </w:t>
      </w:r>
      <w:hyperlink r:id="rId678" w:tgtFrame="_blank" w:history="1">
        <w:r>
          <w:rPr>
            <w:rStyle w:val="Hyperlink"/>
          </w:rPr>
          <w:t xml:space="preserve">§ 260 SGB III </w:t>
        </w:r>
      </w:hyperlink>
      <w:r>
        <w:t xml:space="preserve">oder nach den §§ 19 und 20 BSHG verrichten oder </w:t>
      </w:r>
    </w:p>
    <w:p w:rsidR="00BE1EFE" w:rsidRDefault="00BE1EFE">
      <w:pPr>
        <w:pStyle w:val="StandardWeb"/>
      </w:pPr>
      <w:r>
        <w:t xml:space="preserve">bb) für die Eingliederungszuschüsse nach </w:t>
      </w:r>
      <w:hyperlink r:id="rId679" w:tgtFrame="_blank" w:history="1">
        <w:r>
          <w:rPr>
            <w:rStyle w:val="Hyperlink"/>
          </w:rPr>
          <w:t xml:space="preserve">§ 217 SGB III </w:t>
        </w:r>
      </w:hyperlink>
      <w:r>
        <w:t>für ältere Arbeitnehmer (</w:t>
      </w:r>
      <w:hyperlink r:id="rId680" w:tgtFrame="_blank" w:history="1">
        <w:r>
          <w:rPr>
            <w:rStyle w:val="Hyperlink"/>
          </w:rPr>
          <w:t>§ 218 Abs. 1 Nr. 3 SGB III</w:t>
        </w:r>
      </w:hyperlink>
      <w:r>
        <w:t xml:space="preserve">) gewährt werden, </w:t>
      </w:r>
    </w:p>
    <w:p w:rsidR="00BE1EFE" w:rsidRDefault="00BE1EFE">
      <w:pPr>
        <w:pStyle w:val="StandardWeb"/>
      </w:pPr>
      <w:r>
        <w:t>e) </w:t>
      </w:r>
      <w:r w:rsidRPr="00D645FF">
        <w:rPr>
          <w:i/>
        </w:rPr>
        <w:t>(frei)</w:t>
      </w:r>
      <w:r>
        <w:t xml:space="preserve">, </w:t>
      </w:r>
    </w:p>
    <w:p w:rsidR="00BE1EFE" w:rsidRDefault="00BE1EFE">
      <w:pPr>
        <w:pStyle w:val="StandardWeb"/>
      </w:pPr>
      <w:r>
        <w:t xml:space="preserve">f) Personen, die für einen fest umgrenzten Zeitraum ausschließlich oder überwiegend zum Zweck ihrer Vor- oder Ausbildung beschäftigt werden, insbesondere Auszubildende, Volontäre und Praktikanten, die in ABD Teil D gesondert geregelt sind, </w:t>
      </w:r>
    </w:p>
    <w:p w:rsidR="00BE1EFE" w:rsidRDefault="00BE1EFE">
      <w:pPr>
        <w:pStyle w:val="StandardWeb"/>
      </w:pPr>
      <w:r>
        <w:t xml:space="preserve">g) Lektoren, Verwalter von Stellen wissenschaftlicher Assistenten, wissenschaftliche Hilfskräfte und Lehrbeauftragte an Hochschulen, Akademien und wissenschaftlichen Forschungsinstituten, </w:t>
      </w:r>
    </w:p>
    <w:p w:rsidR="00BE1EFE" w:rsidRDefault="00BE1EFE">
      <w:pPr>
        <w:pStyle w:val="StandardWeb"/>
      </w:pPr>
      <w:r>
        <w:t xml:space="preserve">h) Angestellte, die eine über die höchste Vergütungsgruppe des ABD hinausgehende Vergütung erhalten, </w:t>
      </w:r>
    </w:p>
    <w:p w:rsidR="00BE1EFE" w:rsidRDefault="00BE1EFE">
      <w:pPr>
        <w:pStyle w:val="StandardWeb"/>
      </w:pPr>
      <w:r>
        <w:t xml:space="preserve">i) bis m) </w:t>
      </w:r>
      <w:r w:rsidRPr="00D645FF">
        <w:rPr>
          <w:i/>
        </w:rPr>
        <w:t>(frei)</w:t>
      </w:r>
      <w:r>
        <w:t xml:space="preserve">, </w:t>
      </w:r>
    </w:p>
    <w:p w:rsidR="00BE1EFE" w:rsidRDefault="00BE1EFE">
      <w:pPr>
        <w:pStyle w:val="StandardWeb"/>
      </w:pPr>
      <w:r>
        <w:t xml:space="preserve">n) Angestellte, die im Sinne des </w:t>
      </w:r>
      <w:hyperlink r:id="rId681" w:tgtFrame="_blank" w:history="1">
        <w:r>
          <w:rPr>
            <w:rStyle w:val="Hyperlink"/>
          </w:rPr>
          <w:t>§ 8 Abs. 1 Nr. 2 SGB IV</w:t>
        </w:r>
      </w:hyperlink>
      <w:r>
        <w:t xml:space="preserve"> – ohne Berücksichtigung des </w:t>
      </w:r>
      <w:hyperlink r:id="rId682" w:tgtFrame="_blank" w:history="1">
        <w:r>
          <w:rPr>
            <w:rStyle w:val="Hyperlink"/>
          </w:rPr>
          <w:t>§ 8 Abs. 2 Satz 1 SGB IV</w:t>
        </w:r>
      </w:hyperlink>
      <w:r>
        <w:t xml:space="preserve"> – kurzfristig beschäftigt sind. </w:t>
      </w:r>
    </w:p>
    <w:p w:rsidR="00BE1EFE" w:rsidRDefault="00BE1EFE">
      <w:pPr>
        <w:pStyle w:val="StandardWeb"/>
      </w:pPr>
      <w:r>
        <w:t xml:space="preserve">o) bis w) </w:t>
      </w:r>
      <w:r w:rsidRPr="00D645FF">
        <w:rPr>
          <w:i/>
        </w:rPr>
        <w:t>(frei)</w:t>
      </w:r>
      <w:r>
        <w:t xml:space="preserve">, </w:t>
      </w:r>
    </w:p>
    <w:p w:rsidR="00BE1EFE" w:rsidRDefault="00BE1EFE">
      <w:pPr>
        <w:pStyle w:val="StandardWeb"/>
      </w:pPr>
      <w:r>
        <w:t xml:space="preserve">x) Kleriker gem. c. 1009 CIC/83. </w:t>
      </w:r>
    </w:p>
    <w:p w:rsidR="00BE1EFE" w:rsidRDefault="00BE1EFE">
      <w:pPr>
        <w:pStyle w:val="StandardWeb"/>
      </w:pPr>
      <w:r w:rsidRPr="009C6551">
        <w:rPr>
          <w:rStyle w:val="kleinschrift1"/>
        </w:rPr>
        <w:t xml:space="preserve">Anmerkung zu Buchst. h: </w:t>
      </w:r>
    </w:p>
    <w:p w:rsidR="00BE1EFE" w:rsidRDefault="00BE1EFE">
      <w:pPr>
        <w:pStyle w:val="StandardWeb"/>
      </w:pPr>
      <w:r w:rsidRPr="009C6551">
        <w:rPr>
          <w:rStyle w:val="kleinschrift1"/>
        </w:rPr>
        <w:t xml:space="preserve">Eine über die höchste Vergütungsgruppe hinausgehende Vergütung ist eine monatliche Vergütung, die höher ist als die monatliche Vergütung, die dem Angestellten beim Wirksamwerden des Arbeitsvertrages nach § 26 in der Vergütungsgruppe I zustehen würde. </w:t>
      </w:r>
    </w:p>
    <w:p w:rsidR="00BE1EFE" w:rsidRDefault="00BE1EFE">
      <w:pPr>
        <w:pStyle w:val="StandardWeb"/>
      </w:pPr>
    </w:p>
    <w:p w:rsidR="00BE1EFE" w:rsidRDefault="00BE1EFE" w:rsidP="0054275E">
      <w:pPr>
        <w:pStyle w:val="StandardWeb"/>
        <w:autoSpaceDE w:val="0"/>
        <w:jc w:val="center"/>
        <w:rPr>
          <w:b/>
          <w:bCs/>
        </w:rPr>
      </w:pPr>
      <w:r>
        <w:rPr>
          <w:rStyle w:val="Fett"/>
          <w:bCs/>
        </w:rPr>
        <w:t xml:space="preserve">Abschnitt II </w:t>
      </w:r>
    </w:p>
    <w:p w:rsidR="00BE1EFE" w:rsidRDefault="00BE1EFE" w:rsidP="0054275E">
      <w:pPr>
        <w:pStyle w:val="StandardWeb"/>
        <w:autoSpaceDE w:val="0"/>
        <w:jc w:val="center"/>
      </w:pPr>
      <w:r>
        <w:rPr>
          <w:rStyle w:val="Fett"/>
          <w:bCs/>
        </w:rPr>
        <w:t xml:space="preserve">Arbeitsvertrag </w:t>
      </w:r>
    </w:p>
    <w:p w:rsidR="00BE1EFE" w:rsidRDefault="00BE1EFE">
      <w:pPr>
        <w:pStyle w:val="StandardWeb"/>
        <w:jc w:val="center"/>
      </w:pPr>
    </w:p>
    <w:p w:rsidR="00BE1EFE" w:rsidRDefault="00BE1EFE" w:rsidP="003575ED">
      <w:pPr>
        <w:pStyle w:val="StandardWeb"/>
        <w:autoSpaceDE w:val="0"/>
        <w:jc w:val="left"/>
      </w:pPr>
      <w:r>
        <w:rPr>
          <w:rStyle w:val="Fett"/>
          <w:bCs/>
        </w:rPr>
        <w:t>§ 4 Inhalt, Schriftform, Nebenabreden</w:t>
      </w:r>
    </w:p>
    <w:p w:rsidR="00BE1EFE" w:rsidRDefault="00BE1EFE">
      <w:pPr>
        <w:pStyle w:val="StandardWeb"/>
        <w:jc w:val="center"/>
      </w:pPr>
    </w:p>
    <w:p w:rsidR="00BE1EFE" w:rsidRDefault="00BE1EFE">
      <w:pPr>
        <w:pStyle w:val="StandardWeb"/>
      </w:pPr>
      <w:r>
        <w:t xml:space="preserve">(1) Für das Arbeitsverhältnis der Mitarbeiter im Dienst der Kath. Kirche gelten die von der BayRK beschlossenen und vom (Erz-)Bischof für die (Erz-)Diözese in Kraft gesetzten arbeitsvertragsrechtlichen Regelungen der bayerischen (Erz-)Diözesen in ihrer jeweiligen Fassung. </w:t>
      </w:r>
    </w:p>
    <w:p w:rsidR="00BE1EFE" w:rsidRDefault="00BE1EFE">
      <w:pPr>
        <w:pStyle w:val="StandardWeb"/>
      </w:pPr>
      <w:r>
        <w:lastRenderedPageBreak/>
        <w:t>(2) </w:t>
      </w:r>
      <w:r>
        <w:rPr>
          <w:rStyle w:val="kleinschrift"/>
        </w:rPr>
        <w:t>1</w:t>
      </w:r>
      <w:r>
        <w:t xml:space="preserve">Der Arbeitsvertrag wird schriftlich abgeschlossen; dem Angestellten ist eine Ausfertigung auszuhändigen. </w:t>
      </w:r>
      <w:r>
        <w:rPr>
          <w:rStyle w:val="kleinschrift"/>
        </w:rPr>
        <w:t>2</w:t>
      </w:r>
      <w:r>
        <w:t>Mehrere Arbeitsverhältnisse zu demselben Arbeitgeber dürfen nur begründet werden, wenn die jeweils übertragenen Tätigkeiten nicht in einem unmittelbaren Sach</w:t>
      </w:r>
      <w:r>
        <w:softHyphen/>
        <w:t xml:space="preserve">zusammenhang stehen. </w:t>
      </w:r>
      <w:r>
        <w:rPr>
          <w:rStyle w:val="kleinschrift"/>
        </w:rPr>
        <w:t>3</w:t>
      </w:r>
      <w:r>
        <w:t xml:space="preserve">Andernfalls gelten sie als ein Arbeitsverhältnis. </w:t>
      </w:r>
    </w:p>
    <w:p w:rsidR="00BE1EFE" w:rsidRDefault="00BE1EFE">
      <w:pPr>
        <w:pStyle w:val="StandardWeb"/>
      </w:pPr>
      <w:r>
        <w:t>(3) </w:t>
      </w:r>
      <w:r>
        <w:rPr>
          <w:rStyle w:val="kleinschrift"/>
        </w:rPr>
        <w:t>1</w:t>
      </w:r>
      <w:r>
        <w:t xml:space="preserve">Nebenabreden sind nur wirksam, wenn sie schriftlich vereinbart werden. </w:t>
      </w:r>
      <w:r>
        <w:rPr>
          <w:rStyle w:val="kleinschrift"/>
        </w:rPr>
        <w:t>2</w:t>
      </w:r>
      <w:r>
        <w:t>Eine Neben</w:t>
      </w:r>
      <w:r>
        <w:softHyphen/>
        <w:t>abrede kann gesondert gekündigt werden, soweit dies durch das ABD vorgesehen oder einzelvertraglich vereinbart ist.</w:t>
      </w:r>
    </w:p>
    <w:p w:rsidR="00BE1EFE" w:rsidRDefault="00BE1EFE">
      <w:pPr>
        <w:pStyle w:val="StandardWeb"/>
      </w:pPr>
    </w:p>
    <w:p w:rsidR="00BE1EFE" w:rsidRDefault="00BE1EFE" w:rsidP="003575ED">
      <w:pPr>
        <w:pStyle w:val="StandardWeb"/>
        <w:autoSpaceDE w:val="0"/>
        <w:jc w:val="left"/>
      </w:pPr>
      <w:r>
        <w:rPr>
          <w:rStyle w:val="Fett"/>
          <w:bCs/>
        </w:rPr>
        <w:t xml:space="preserve">§ 5 Probezeit </w:t>
      </w:r>
    </w:p>
    <w:p w:rsidR="00BE1EFE" w:rsidRDefault="00BE1EFE">
      <w:pPr>
        <w:pStyle w:val="StandardWeb"/>
        <w:jc w:val="center"/>
      </w:pPr>
    </w:p>
    <w:p w:rsidR="00BE1EFE" w:rsidRDefault="00BE1EFE">
      <w:pPr>
        <w:pStyle w:val="StandardWeb"/>
      </w:pPr>
      <w:r>
        <w:rPr>
          <w:rStyle w:val="kleinschrift"/>
        </w:rPr>
        <w:t>1</w:t>
      </w:r>
      <w:r>
        <w:t xml:space="preserve">Die ersten sechs Monate der Beschäftigung gelten als Probezeit, es sei denn, dass im Arbeitsvertrag auf eine Probezeit verzichtet oder eine kürzere Probezeit vereinbart worden ist oder der Angestellte im unmittelbaren Anschluss an ein erfolgreich abgeschlossenes Ausbildungsverhältnis nach den Regelungen für Auszubildende bei derselben Dienststelle oder bei derselben Einrichtung eingestellt wird. </w:t>
      </w:r>
      <w:r>
        <w:rPr>
          <w:rStyle w:val="kleinschrift"/>
        </w:rPr>
        <w:t>2</w:t>
      </w:r>
      <w:r>
        <w:t>Hat der Angestellte in der Probezeit an insgesamt mehr als zehn Arbeitstagen nicht gearbeitet, verlängert sich die Probezeit um die Zahl von Arbeitstagen, die der Zahl der über zehn hinausgehenden Fehltage entspricht.</w:t>
      </w:r>
    </w:p>
    <w:p w:rsidR="00BE1EFE" w:rsidRDefault="00BE1EFE">
      <w:pPr>
        <w:pStyle w:val="StandardWeb"/>
      </w:pPr>
    </w:p>
    <w:p w:rsidR="00BE1EFE" w:rsidRDefault="00BE1EFE" w:rsidP="0054275E">
      <w:pPr>
        <w:pStyle w:val="StandardWeb"/>
        <w:autoSpaceDE w:val="0"/>
        <w:jc w:val="center"/>
        <w:rPr>
          <w:b/>
          <w:bCs/>
        </w:rPr>
      </w:pPr>
      <w:r>
        <w:rPr>
          <w:rStyle w:val="Fett"/>
          <w:bCs/>
        </w:rPr>
        <w:t xml:space="preserve">Abschnitt III </w:t>
      </w:r>
    </w:p>
    <w:p w:rsidR="00BE1EFE" w:rsidRDefault="00BE1EFE" w:rsidP="0054275E">
      <w:pPr>
        <w:pStyle w:val="StandardWeb"/>
        <w:autoSpaceDE w:val="0"/>
        <w:jc w:val="center"/>
      </w:pPr>
      <w:r>
        <w:rPr>
          <w:rStyle w:val="Fett"/>
          <w:bCs/>
        </w:rPr>
        <w:t xml:space="preserve">Allgemeine Arbeitsbedingungen </w:t>
      </w:r>
    </w:p>
    <w:p w:rsidR="00BE1EFE" w:rsidRDefault="00BE1EFE">
      <w:pPr>
        <w:pStyle w:val="StandardWeb"/>
        <w:jc w:val="center"/>
      </w:pPr>
    </w:p>
    <w:p w:rsidR="00BE1EFE" w:rsidRPr="002575B0" w:rsidRDefault="00BE1EFE" w:rsidP="003575ED">
      <w:pPr>
        <w:pStyle w:val="StandardWeb"/>
        <w:autoSpaceDE w:val="0"/>
        <w:jc w:val="left"/>
        <w:rPr>
          <w:rStyle w:val="Fett"/>
          <w:b w:val="0"/>
          <w:bCs/>
          <w:i/>
        </w:rPr>
      </w:pPr>
      <w:r>
        <w:rPr>
          <w:rStyle w:val="Fett"/>
          <w:bCs/>
        </w:rPr>
        <w:t xml:space="preserve">§ 6 </w:t>
      </w:r>
      <w:r w:rsidR="002575B0" w:rsidRPr="002575B0">
        <w:rPr>
          <w:rStyle w:val="Fett"/>
          <w:b w:val="0"/>
          <w:bCs/>
          <w:i/>
        </w:rPr>
        <w:t>(frei)</w:t>
      </w:r>
    </w:p>
    <w:p w:rsidR="00BE1EFE" w:rsidRPr="00D645FF" w:rsidRDefault="00BE1EFE" w:rsidP="00D645FF">
      <w:pPr>
        <w:pStyle w:val="StandardWeb"/>
        <w:autoSpaceDE w:val="0"/>
        <w:jc w:val="left"/>
        <w:rPr>
          <w:b/>
        </w:rPr>
      </w:pPr>
    </w:p>
    <w:p w:rsidR="00BE1EFE" w:rsidRDefault="00BE1EFE">
      <w:pPr>
        <w:pStyle w:val="StandardWeb"/>
        <w:jc w:val="center"/>
      </w:pPr>
    </w:p>
    <w:p w:rsidR="00BE1EFE" w:rsidRDefault="00BE1EFE" w:rsidP="003575ED">
      <w:pPr>
        <w:pStyle w:val="StandardWeb"/>
        <w:autoSpaceDE w:val="0"/>
        <w:jc w:val="left"/>
      </w:pPr>
      <w:r>
        <w:rPr>
          <w:rStyle w:val="Fett"/>
          <w:bCs/>
        </w:rPr>
        <w:t xml:space="preserve">§ 7 Ärztliche Untersuchung </w:t>
      </w:r>
    </w:p>
    <w:p w:rsidR="00BE1EFE" w:rsidRDefault="00BE1EFE">
      <w:pPr>
        <w:pStyle w:val="StandardWeb"/>
        <w:jc w:val="center"/>
      </w:pPr>
    </w:p>
    <w:p w:rsidR="00BE1EFE" w:rsidRDefault="00BE1EFE">
      <w:pPr>
        <w:pStyle w:val="StandardWeb"/>
      </w:pPr>
      <w:r>
        <w:t>(1) Der Angestellte hat auf Verlangen des Arbeitgebers vor seiner Einstellung seine körper</w:t>
      </w:r>
      <w:r>
        <w:softHyphen/>
        <w:t>liche Eignung (Gesundheitszustand und Arbeitsfähigkeit) durch das Zeugnis eines vom Arbeitgeber bestimmten Arztes nachzuweisen.</w:t>
      </w:r>
    </w:p>
    <w:p w:rsidR="00BE1EFE" w:rsidRDefault="00BE1EFE">
      <w:pPr>
        <w:pStyle w:val="StandardWeb"/>
      </w:pPr>
      <w:r>
        <w:t>(2) </w:t>
      </w:r>
      <w:r>
        <w:rPr>
          <w:rStyle w:val="kleinschrift"/>
        </w:rPr>
        <w:t>1</w:t>
      </w:r>
      <w:r>
        <w:t xml:space="preserve">Der Arbeitgeber kann bei gegebener Veranlassung durch einen Vertrauensarzt feststellen lassen, ob der Angestellte dienstfähig oder frei von ansteckenden Krankheiten ist. </w:t>
      </w:r>
      <w:r>
        <w:rPr>
          <w:rStyle w:val="kleinschrift"/>
        </w:rPr>
        <w:t>2</w:t>
      </w:r>
      <w:r>
        <w:t xml:space="preserve">Von der Befugnis darf nicht willkürlich Gebrauch gemacht werden. </w:t>
      </w:r>
    </w:p>
    <w:p w:rsidR="00BE1EFE" w:rsidRDefault="00BE1EFE">
      <w:pPr>
        <w:pStyle w:val="StandardWeb"/>
      </w:pPr>
      <w:r>
        <w:t>(3) </w:t>
      </w:r>
      <w:r>
        <w:rPr>
          <w:rStyle w:val="kleinschrift"/>
        </w:rPr>
        <w:t>1</w:t>
      </w:r>
      <w:r>
        <w:t>Angestellte, die besonderen Ansteckungsgefahren ausgesetzt oder in gesundheits</w:t>
      </w:r>
      <w:r>
        <w:softHyphen/>
        <w:t xml:space="preserve">gefährdenden Einrichtungen beschäftigt sind, sind in regelmäßigen Zeitabständen ärztlich zu untersuchen. </w:t>
      </w:r>
      <w:r>
        <w:rPr>
          <w:rStyle w:val="kleinschrift"/>
        </w:rPr>
        <w:t>2</w:t>
      </w:r>
      <w:r>
        <w:t xml:space="preserve">Angestellte, die mit der Zubereitung von Speisen beauftragt sind, können in regelmäßigen Zeitabständen ärztlich untersucht werden. </w:t>
      </w:r>
    </w:p>
    <w:p w:rsidR="00BE1EFE" w:rsidRDefault="00BE1EFE">
      <w:pPr>
        <w:pStyle w:val="StandardWeb"/>
      </w:pPr>
      <w:r>
        <w:t>(4) </w:t>
      </w:r>
      <w:r>
        <w:rPr>
          <w:rStyle w:val="kleinschrift"/>
        </w:rPr>
        <w:t>1</w:t>
      </w:r>
      <w:r>
        <w:t xml:space="preserve">Die Kosten der Untersuchung trägt der Arbeitgeber. </w:t>
      </w:r>
      <w:r>
        <w:rPr>
          <w:rStyle w:val="kleinschrift"/>
        </w:rPr>
        <w:t>2</w:t>
      </w:r>
      <w:r>
        <w:t>Das Ergebnis der ärztlichen Unter</w:t>
      </w:r>
      <w:r>
        <w:softHyphen/>
        <w:t xml:space="preserve">suchung ist dem Angestellten auf seinen Antrag bekannt zu geben. </w:t>
      </w:r>
    </w:p>
    <w:p w:rsidR="00BE1EFE" w:rsidRDefault="00BE1EFE">
      <w:pPr>
        <w:pStyle w:val="StandardWeb"/>
      </w:pPr>
      <w:r w:rsidRPr="009C6551">
        <w:rPr>
          <w:rStyle w:val="kleinschrift1"/>
        </w:rPr>
        <w:t xml:space="preserve">Protokollnotiz zu Abs. 2: </w:t>
      </w:r>
    </w:p>
    <w:p w:rsidR="00BE1EFE" w:rsidRDefault="00BE1EFE">
      <w:pPr>
        <w:pStyle w:val="StandardWeb"/>
      </w:pPr>
      <w:r w:rsidRPr="009C6551">
        <w:rPr>
          <w:rStyle w:val="kleinschrift1"/>
        </w:rPr>
        <w:t xml:space="preserve">Die BayRK geht davon aus, dass der Begriff „Vertrauensarzt“ in § 7 Abs. 2 als ein vom Arbeitgeber mit der Untersuchung beauftragter Arzt zu verstehen ist. </w:t>
      </w:r>
    </w:p>
    <w:p w:rsidR="00BE1EFE" w:rsidRDefault="00BE1EFE">
      <w:pPr>
        <w:pStyle w:val="StandardWeb"/>
      </w:pPr>
    </w:p>
    <w:p w:rsidR="00BE1EFE" w:rsidRDefault="00BE1EFE" w:rsidP="003575ED">
      <w:pPr>
        <w:pStyle w:val="StandardWeb"/>
        <w:jc w:val="left"/>
      </w:pPr>
      <w:r>
        <w:rPr>
          <w:rStyle w:val="Fett"/>
          <w:bCs/>
        </w:rPr>
        <w:t>§ 8 Allgemeine Pflichten</w:t>
      </w:r>
    </w:p>
    <w:p w:rsidR="00BE1EFE" w:rsidRDefault="00BE1EFE">
      <w:pPr>
        <w:pStyle w:val="StandardWeb"/>
        <w:jc w:val="center"/>
      </w:pPr>
    </w:p>
    <w:p w:rsidR="00BE1EFE" w:rsidRDefault="00BE1EFE">
      <w:pPr>
        <w:pStyle w:val="StandardWeb"/>
      </w:pPr>
      <w:r>
        <w:t>(1) Die Grundordnung des kirchlichen Dienstes im Rahmen kirchlicher Arbeitsverhältnisse in der jeweiligen Fassung ist Bestandteil der Arbeitsverträge der Mitarbeiter im Dienst der Kath. K</w:t>
      </w:r>
      <w:r w:rsidR="00D65D81">
        <w:t>irche in den bayerischen (Erz-)</w:t>
      </w:r>
      <w:r>
        <w:t xml:space="preserve">Diözesen. </w:t>
      </w:r>
    </w:p>
    <w:p w:rsidR="00BE1EFE" w:rsidRDefault="00BE1EFE">
      <w:pPr>
        <w:pStyle w:val="StandardWeb"/>
      </w:pPr>
      <w:r>
        <w:t>(2) </w:t>
      </w:r>
      <w:r>
        <w:rPr>
          <w:rStyle w:val="kleinschrift"/>
        </w:rPr>
        <w:t>1</w:t>
      </w:r>
      <w:r>
        <w:t xml:space="preserve">Der Angestellte ist verpflichtet, den dienstlichen Anordnungen nachzukommen. </w:t>
      </w:r>
      <w:r>
        <w:rPr>
          <w:rStyle w:val="kleinschrift"/>
        </w:rPr>
        <w:t>2</w:t>
      </w:r>
      <w:r>
        <w:t xml:space="preserve">Beim Vollzug einer dienstlichen Anordnung trifft die Verantwortung denjenigen, der die Anordnung gegeben hat. </w:t>
      </w:r>
      <w:r>
        <w:rPr>
          <w:rStyle w:val="kleinschrift"/>
        </w:rPr>
        <w:t>3</w:t>
      </w:r>
      <w:r>
        <w:t xml:space="preserve">Der Angestellte hat Anordnungen, deren Ausführung – ihm erkennbar – den Strafgesetzen zuwiderlaufen würde, nicht zu befolgen. </w:t>
      </w:r>
    </w:p>
    <w:p w:rsidR="00BE1EFE" w:rsidRDefault="00BE1EFE">
      <w:pPr>
        <w:pStyle w:val="StandardWeb"/>
      </w:pPr>
      <w:r>
        <w:t>(3) </w:t>
      </w:r>
      <w:r>
        <w:rPr>
          <w:rStyle w:val="kleinschrift"/>
        </w:rPr>
        <w:t>1</w:t>
      </w:r>
      <w:r>
        <w:t xml:space="preserve">Zur Schlichtung von Streitigkeiten aus dem kirchlichen Arbeitsverhältnis ist die Schlichtungsstelle anzurufen. </w:t>
      </w:r>
      <w:r>
        <w:rPr>
          <w:rStyle w:val="kleinschrift"/>
        </w:rPr>
        <w:t>2</w:t>
      </w:r>
      <w:r>
        <w:t xml:space="preserve">Das Verfahren richtet sich nach der „Ordnung für Schlichtungsverfahren zur Beilegung von Streitigkeiten zwischen Dienstgebern und </w:t>
      </w:r>
      <w:r>
        <w:lastRenderedPageBreak/>
        <w:t xml:space="preserve">Mitarbeitern aus dem Arbeitsverhältnis in den bayer. (Erz-)Diözesen“. </w:t>
      </w:r>
      <w:r>
        <w:rPr>
          <w:rStyle w:val="kleinschrift"/>
        </w:rPr>
        <w:t>3</w:t>
      </w:r>
      <w:r>
        <w:t xml:space="preserve">Das Recht des Mitarbeiters, das staatliche Arbeitsgericht fristgerecht anzurufen, bleibt davon unberührt. </w:t>
      </w:r>
      <w:r w:rsidRPr="009C6551">
        <w:rPr>
          <w:rStyle w:val="kleinschrift1"/>
        </w:rPr>
        <w:t>4</w:t>
      </w:r>
      <w:r>
        <w:t>Auf die Anrufung der Schlichtungsstelle können Dienstgeber und Mitarbeiter im Einzelfall einvernehmlich verzichten.</w:t>
      </w:r>
    </w:p>
    <w:p w:rsidR="00BE1EFE" w:rsidRDefault="00BE1EFE">
      <w:pPr>
        <w:pStyle w:val="StandardWeb"/>
      </w:pPr>
    </w:p>
    <w:p w:rsidR="00BE1EFE" w:rsidRDefault="00BE1EFE" w:rsidP="003575ED">
      <w:pPr>
        <w:pStyle w:val="StandardWeb"/>
        <w:autoSpaceDE w:val="0"/>
        <w:jc w:val="left"/>
      </w:pPr>
      <w:r>
        <w:rPr>
          <w:rStyle w:val="Fett"/>
          <w:bCs/>
        </w:rPr>
        <w:t>§ 9 Schweigepflicht</w:t>
      </w:r>
    </w:p>
    <w:p w:rsidR="00BE1EFE" w:rsidRDefault="00BE1EFE">
      <w:pPr>
        <w:pStyle w:val="StandardWeb"/>
        <w:jc w:val="center"/>
      </w:pPr>
    </w:p>
    <w:p w:rsidR="00BE1EFE" w:rsidRDefault="00BE1EFE">
      <w:pPr>
        <w:pStyle w:val="StandardWeb"/>
      </w:pPr>
      <w:r>
        <w:t>(1) Der Angestellte hat über Angelegenheiten der Verwaltung oder der Einrichtung, deren Geheimhaltung durch gesetzliche Vorschriften vorgesehen oder auf Weisung des Arbeitgebers angeordnet ist, Verschwiegenheit zu bewahren.</w:t>
      </w:r>
    </w:p>
    <w:p w:rsidR="00BE1EFE" w:rsidRDefault="00BE1EFE">
      <w:pPr>
        <w:pStyle w:val="StandardWeb"/>
      </w:pPr>
      <w:r>
        <w:t>(2) </w:t>
      </w:r>
      <w:r>
        <w:rPr>
          <w:rStyle w:val="kleinschrift"/>
        </w:rPr>
        <w:t>1</w:t>
      </w:r>
      <w:r>
        <w:t>Ohne Genehmigung des Arbeitgebers darf der Angestellte von dienstlichen Schrift</w:t>
      </w:r>
      <w:r>
        <w:softHyphen/>
        <w:t xml:space="preserve">stücken, Formeln, Zeichnungen, bildlichen Darstellungen, chemischen Stoffen oder Werkstoffen, Herstellungsverfahren, Maschinenteilen oder anderen geformten Körpern zu außerdienstlichen Zwecken weder sich noch einem anderen Kenntnis, Abschriften, Ab- oder Nachbildungen, Proben oder Probestücke verschaffen. </w:t>
      </w:r>
      <w:r>
        <w:rPr>
          <w:rStyle w:val="kleinschrift"/>
        </w:rPr>
        <w:t>2</w:t>
      </w:r>
      <w:r>
        <w:t xml:space="preserve">Diesem Verbot unterliegen die Angestellten bezüglich der sie persönlich betreffenden Vorgänge nicht, es sei denn, dass deren Geheimhaltung durch Gesetz oder dienstliche Anordnung vorgeschrieben ist. </w:t>
      </w:r>
    </w:p>
    <w:p w:rsidR="00BE1EFE" w:rsidRDefault="00BE1EFE">
      <w:pPr>
        <w:pStyle w:val="StandardWeb"/>
      </w:pPr>
      <w:r>
        <w:t>(3) Der Angestellte hat auf Verlangen des Arbeitgebers dienstliche Schriftstücke, Zeich</w:t>
      </w:r>
      <w:r>
        <w:softHyphen/>
        <w:t xml:space="preserve">nungen, bildliche Darstellungen usw. sowie Aufzeichnungen über Vorgänge der Verwaltung oder der Einrichtung herauszugeben. </w:t>
      </w:r>
    </w:p>
    <w:p w:rsidR="00BE1EFE" w:rsidRDefault="00BE1EFE">
      <w:pPr>
        <w:pStyle w:val="StandardWeb"/>
      </w:pPr>
      <w:r>
        <w:t>(4) Der Angestellte hat auch nach Beendigung des Arbeitsverhältnisses über Angelegen</w:t>
      </w:r>
      <w:r>
        <w:softHyphen/>
        <w:t>heiten, die der Schweigepflicht unterliegen, Verschwiegenheit zu bewahren.</w:t>
      </w:r>
    </w:p>
    <w:p w:rsidR="00BE1EFE" w:rsidRDefault="00BE1EFE">
      <w:pPr>
        <w:pStyle w:val="StandardWeb"/>
      </w:pPr>
    </w:p>
    <w:p w:rsidR="00BE1EFE" w:rsidRDefault="00BE1EFE" w:rsidP="003575ED">
      <w:pPr>
        <w:pStyle w:val="StandardWeb"/>
        <w:autoSpaceDE w:val="0"/>
        <w:jc w:val="left"/>
      </w:pPr>
      <w:r>
        <w:rPr>
          <w:rStyle w:val="Fett"/>
          <w:bCs/>
        </w:rPr>
        <w:t>§ 10 Belohnungen und Geschenke</w:t>
      </w:r>
      <w:r>
        <w:rPr>
          <w:b/>
          <w:bCs/>
          <w:vertAlign w:val="superscript"/>
        </w:rPr>
        <w:t>1</w:t>
      </w:r>
      <w:r>
        <w:rPr>
          <w:rStyle w:val="Fett"/>
          <w:bCs/>
          <w:vertAlign w:val="superscript"/>
        </w:rPr>
        <w:t> </w:t>
      </w:r>
    </w:p>
    <w:p w:rsidR="00BE1EFE" w:rsidRDefault="00BE1EFE">
      <w:pPr>
        <w:pStyle w:val="StandardWeb"/>
        <w:jc w:val="center"/>
      </w:pPr>
    </w:p>
    <w:p w:rsidR="00BE1EFE" w:rsidRDefault="00BE1EFE">
      <w:pPr>
        <w:pStyle w:val="StandardWeb"/>
      </w:pPr>
      <w:r>
        <w:t xml:space="preserve">(1) Der Angestellte darf Belohnungen oder Geschenke in Bezug auf seine dienstliche Tätigkeit nur mit Zustimmung des Arbeitgebers annehmen. </w:t>
      </w:r>
    </w:p>
    <w:p w:rsidR="00BE1EFE" w:rsidRDefault="00BE1EFE">
      <w:pPr>
        <w:pStyle w:val="StandardWeb"/>
      </w:pPr>
      <w:r>
        <w:t>(2) Werden dem Angestellten Belohnungen oder Geschenke in Bezug auf seine dienstliche Tätigkeit angeboten, so hat er dies dem Arbeitgeber unverzüglich und unaufgefordert mitzuteilen.</w:t>
      </w:r>
    </w:p>
    <w:p w:rsidR="00BE1EFE" w:rsidRDefault="00BE1EFE">
      <w:pPr>
        <w:pStyle w:val="StandardWeb"/>
      </w:pPr>
      <w:r>
        <w:rPr>
          <w:vertAlign w:val="superscript"/>
        </w:rPr>
        <w:t>1</w:t>
      </w:r>
      <w:r w:rsidRPr="009C6551">
        <w:rPr>
          <w:rStyle w:val="kleinschrift1"/>
        </w:rPr>
        <w:t xml:space="preserve">In Anlehnung an die Regelungen des Freistaates Bayern wurde von den bayerischen (Erz-)Bischöfen folgende Bekanntmachung erlassen: </w:t>
      </w:r>
    </w:p>
    <w:p w:rsidR="00BE1EFE" w:rsidRDefault="00BE1EFE">
      <w:pPr>
        <w:pStyle w:val="StandardWeb"/>
      </w:pPr>
      <w:r>
        <w:rPr>
          <w:rStyle w:val="kleinschrift1"/>
        </w:rPr>
        <w:t>1. </w:t>
      </w:r>
      <w:r w:rsidRPr="009C6551">
        <w:rPr>
          <w:rStyle w:val="kleinschrift1"/>
        </w:rPr>
        <w:t xml:space="preserve">Die Verletzung der Pflichten gem. </w:t>
      </w:r>
      <w:r w:rsidRPr="00D34F24">
        <w:rPr>
          <w:rStyle w:val="structdoc-small"/>
          <w:szCs w:val="12"/>
        </w:rPr>
        <w:t xml:space="preserve">§ 10 ABD </w:t>
      </w:r>
      <w:hyperlink r:id="rId683" w:history="1">
        <w:r w:rsidRPr="00D34F24">
          <w:rPr>
            <w:rStyle w:val="Hyperlink"/>
            <w:sz w:val="12"/>
            <w:szCs w:val="12"/>
          </w:rPr>
          <w:t>Teil A, 1</w:t>
        </w:r>
      </w:hyperlink>
      <w:r w:rsidRPr="009C6551">
        <w:rPr>
          <w:rStyle w:val="kleinschrift1"/>
        </w:rPr>
        <w:t xml:space="preserve">., </w:t>
      </w:r>
      <w:r w:rsidRPr="00D34F24">
        <w:rPr>
          <w:rStyle w:val="structdoc-small"/>
          <w:szCs w:val="12"/>
        </w:rPr>
        <w:t xml:space="preserve">§ 12 ABD </w:t>
      </w:r>
      <w:hyperlink r:id="rId684" w:history="1">
        <w:r w:rsidRPr="00D34F24">
          <w:rPr>
            <w:rStyle w:val="Hyperlink"/>
            <w:sz w:val="12"/>
            <w:szCs w:val="12"/>
          </w:rPr>
          <w:t>Teil B, 1</w:t>
        </w:r>
      </w:hyperlink>
      <w:r w:rsidRPr="00D34F24">
        <w:rPr>
          <w:rStyle w:val="structdoc-small"/>
          <w:szCs w:val="12"/>
        </w:rPr>
        <w:t>.</w:t>
      </w:r>
      <w:r w:rsidRPr="009C6551">
        <w:rPr>
          <w:rStyle w:val="kleinschrift1"/>
        </w:rPr>
        <w:t xml:space="preserve">** und § 4 a ABD </w:t>
      </w:r>
      <w:hyperlink r:id="rId685" w:history="1">
        <w:r w:rsidRPr="00D34F24">
          <w:rPr>
            <w:rStyle w:val="Hyperlink"/>
            <w:sz w:val="12"/>
          </w:rPr>
          <w:t>Teil D</w:t>
        </w:r>
      </w:hyperlink>
      <w:r w:rsidRPr="009C6551">
        <w:rPr>
          <w:rStyle w:val="kleinschrift1"/>
        </w:rPr>
        <w:t xml:space="preserve"> kann einen wichtigen Grund zur außerordentlichen Kündigung darstellen; ggf. entsteht Schadensersatzpflicht. </w:t>
      </w:r>
    </w:p>
    <w:p w:rsidR="00BE1EFE" w:rsidRDefault="00BE1EFE">
      <w:pPr>
        <w:pStyle w:val="StandardWeb"/>
      </w:pPr>
      <w:r>
        <w:rPr>
          <w:rStyle w:val="kleinschrift1"/>
        </w:rPr>
        <w:t>2. </w:t>
      </w:r>
      <w:r w:rsidRPr="009C6551">
        <w:rPr>
          <w:rStyle w:val="kleinschrift1"/>
        </w:rPr>
        <w:t xml:space="preserve">Die Dienstvorgesetzten haben dafür Sorge zu tragen, dass ihre Mitarbeiter in regelmäßigen Abständen über diese Verpflichtungen belehrt werden. </w:t>
      </w:r>
    </w:p>
    <w:p w:rsidR="00BE1EFE" w:rsidRDefault="00BE1EFE">
      <w:pPr>
        <w:pStyle w:val="StandardWeb"/>
      </w:pPr>
      <w:r>
        <w:rPr>
          <w:rStyle w:val="kleinschrift1"/>
        </w:rPr>
        <w:t>3. </w:t>
      </w:r>
      <w:r w:rsidRPr="009C6551">
        <w:rPr>
          <w:rStyle w:val="kleinschrift1"/>
        </w:rPr>
        <w:t>Die Dienstvorgesetzten haben etwaigen Verstößen nach Möglichkeit durch geeignete organisatorische und personal</w:t>
      </w:r>
      <w:r>
        <w:rPr>
          <w:rStyle w:val="kleinschrift1"/>
        </w:rPr>
        <w:softHyphen/>
      </w:r>
      <w:r w:rsidRPr="009C6551">
        <w:rPr>
          <w:rStyle w:val="kleinschrift1"/>
        </w:rPr>
        <w:t>politische Maßnahmen vorzubeugen.</w:t>
      </w:r>
    </w:p>
    <w:p w:rsidR="00BE1EFE" w:rsidRDefault="00BE1EFE">
      <w:pPr>
        <w:pStyle w:val="StandardWeb"/>
      </w:pPr>
    </w:p>
    <w:p w:rsidR="00BE1EFE" w:rsidRDefault="00BE1EFE">
      <w:pPr>
        <w:pStyle w:val="StandardWeb"/>
        <w:rPr>
          <w:rStyle w:val="kleinschrift1"/>
        </w:rPr>
      </w:pPr>
      <w:r w:rsidRPr="009C6551">
        <w:rPr>
          <w:rStyle w:val="kleinschrift1"/>
        </w:rPr>
        <w:t>**in der bis z</w:t>
      </w:r>
      <w:r>
        <w:rPr>
          <w:rStyle w:val="kleinschrift1"/>
        </w:rPr>
        <w:t>um 30.09.2005 geltenden Fassung</w:t>
      </w:r>
    </w:p>
    <w:p w:rsidR="00BE1EFE" w:rsidRDefault="00BE1EFE">
      <w:pPr>
        <w:pStyle w:val="StandardWeb"/>
      </w:pPr>
    </w:p>
    <w:p w:rsidR="00BE1EFE" w:rsidRDefault="00BE1EFE" w:rsidP="003575ED">
      <w:pPr>
        <w:pStyle w:val="StandardWeb"/>
        <w:autoSpaceDE w:val="0"/>
        <w:jc w:val="left"/>
      </w:pPr>
      <w:r>
        <w:rPr>
          <w:rStyle w:val="Fett"/>
          <w:bCs/>
        </w:rPr>
        <w:t>§ 11 Nebentätigkeit</w:t>
      </w:r>
    </w:p>
    <w:p w:rsidR="00BE1EFE" w:rsidRDefault="00BE1EFE">
      <w:pPr>
        <w:pStyle w:val="StandardWeb"/>
        <w:jc w:val="center"/>
      </w:pPr>
    </w:p>
    <w:p w:rsidR="00BE1EFE" w:rsidRDefault="00BE1EFE">
      <w:pPr>
        <w:pStyle w:val="StandardWeb"/>
      </w:pPr>
      <w:r>
        <w:t xml:space="preserve">(1) Nebentätigkeit ist jede Tätigkeit, die neben der arbeitsvertraglich geschuldeten Tätigkeit ausgeübt wird. </w:t>
      </w:r>
    </w:p>
    <w:p w:rsidR="00BE1EFE" w:rsidRDefault="00BE1EFE">
      <w:pPr>
        <w:pStyle w:val="StandardWeb"/>
      </w:pPr>
      <w:r>
        <w:t>(2) </w:t>
      </w:r>
      <w:r>
        <w:rPr>
          <w:rStyle w:val="kleinschrift"/>
        </w:rPr>
        <w:t>1</w:t>
      </w:r>
      <w:r>
        <w:t xml:space="preserve">Jede auf Erwerb oder Gewinn ausgerichtete Nebentätigkeit ist dem Inhalt, dem zeitlichen Umfang sowie der beabsichtigten Dauer nach vor ihrer Aufnahme dem Arbeitgeber schriftlich anzuzeigen. </w:t>
      </w:r>
      <w:r>
        <w:rPr>
          <w:rStyle w:val="kleinschrift"/>
        </w:rPr>
        <w:t>2</w:t>
      </w:r>
      <w:r>
        <w:t xml:space="preserve">Auch wesentliche Änderungen sind anzuzeigen. </w:t>
      </w:r>
    </w:p>
    <w:p w:rsidR="00BE1EFE" w:rsidRDefault="00BE1EFE">
      <w:pPr>
        <w:pStyle w:val="StandardWeb"/>
      </w:pPr>
      <w:r>
        <w:t xml:space="preserve">(3) Eine Nebentätigkeit ist zu untersagen, wenn und soweit sie </w:t>
      </w:r>
    </w:p>
    <w:p w:rsidR="00BE1EFE" w:rsidRDefault="00BE1EFE">
      <w:pPr>
        <w:pStyle w:val="StandardWeb"/>
      </w:pPr>
      <w:r>
        <w:t xml:space="preserve">a) gegen kirchliche oder staatliche Gesetze verstößt, </w:t>
      </w:r>
    </w:p>
    <w:p w:rsidR="00BE1EFE" w:rsidRDefault="00BE1EFE">
      <w:pPr>
        <w:pStyle w:val="StandardWeb"/>
      </w:pPr>
      <w:r>
        <w:t xml:space="preserve">b) mit dem Ansehen des kirchlichen Dienstes nicht vereinbar ist, </w:t>
      </w:r>
    </w:p>
    <w:p w:rsidR="00BE1EFE" w:rsidRDefault="00BE1EFE">
      <w:pPr>
        <w:pStyle w:val="StandardWeb"/>
      </w:pPr>
      <w:r>
        <w:t xml:space="preserve">c) den Mitarbeiter in Widerspruch zu seinen dienstlichen Pflichten bringt, </w:t>
      </w:r>
    </w:p>
    <w:p w:rsidR="00BE1EFE" w:rsidRDefault="00BE1EFE">
      <w:pPr>
        <w:pStyle w:val="StandardWeb"/>
      </w:pPr>
      <w:r>
        <w:t xml:space="preserve">d) in Konkurrenz zu der arbeitsvertraglich vereinbarten Tätigkeit des Mitarbeiters steht, </w:t>
      </w:r>
    </w:p>
    <w:p w:rsidR="00BE1EFE" w:rsidRDefault="00BE1EFE">
      <w:pPr>
        <w:pStyle w:val="StandardWeb"/>
      </w:pPr>
      <w:r>
        <w:t xml:space="preserve">e) die Zeit oder die Arbeitskraft des Mitarbeiters so stark in Anspruch nimmt, dass die ordnungsgemäße Erfüllung seiner arbeitsvertraglich vereinbarten Pflichten beeinträchtigt wird. </w:t>
      </w:r>
    </w:p>
    <w:p w:rsidR="00BE1EFE" w:rsidRDefault="00BE1EFE">
      <w:pPr>
        <w:pStyle w:val="StandardWeb"/>
      </w:pPr>
      <w:r>
        <w:lastRenderedPageBreak/>
        <w:t>(4) </w:t>
      </w:r>
      <w:r>
        <w:rPr>
          <w:rStyle w:val="kleinschrift"/>
        </w:rPr>
        <w:t>1</w:t>
      </w:r>
      <w:r>
        <w:t xml:space="preserve">Nebentätigkeiten sind außerhalb der regelmäßigen Arbeitszeit wahrzunehmen. </w:t>
      </w:r>
      <w:r>
        <w:rPr>
          <w:rStyle w:val="kleinschrift"/>
        </w:rPr>
        <w:t>2</w:t>
      </w:r>
      <w:r>
        <w:t>Ausnah</w:t>
      </w:r>
      <w:r>
        <w:softHyphen/>
        <w:t xml:space="preserve">men dürfen nur in besonders begründeten Fällen, insbesondere im kirchlichen Interesse, zugelassen werden. </w:t>
      </w:r>
    </w:p>
    <w:p w:rsidR="00BE1EFE" w:rsidRDefault="00BE1EFE">
      <w:pPr>
        <w:pStyle w:val="StandardWeb"/>
      </w:pPr>
      <w:r>
        <w:t xml:space="preserve">(5) Auch nicht anzeigepflichtige Nebentätigkeiten dürfen die Dienstobliegenheiten nicht beeinträchtigen. </w:t>
      </w:r>
    </w:p>
    <w:p w:rsidR="00BE1EFE" w:rsidRDefault="00BE1EFE">
      <w:pPr>
        <w:pStyle w:val="StandardWeb"/>
      </w:pPr>
      <w:r>
        <w:t>(6) </w:t>
      </w:r>
      <w:r>
        <w:rPr>
          <w:rStyle w:val="kleinschrift"/>
        </w:rPr>
        <w:t>1</w:t>
      </w:r>
      <w:r>
        <w:t xml:space="preserve">Für die Inanspruchnahme von Einrichtungen, Personal oder Material des Arbeitgebers bei der Ausübung einer Nebentätigkeit bedarf der Mitarbeiter der vorherigen Zustimmung des Arbeitgebers. </w:t>
      </w:r>
      <w:r>
        <w:rPr>
          <w:rStyle w:val="kleinschrift"/>
        </w:rPr>
        <w:t>2</w:t>
      </w:r>
      <w:r>
        <w:t>Für die Benützung ist vom Arbeitgeber ein angemessenes Entgelt festzusetzen.</w:t>
      </w:r>
    </w:p>
    <w:p w:rsidR="00BE1EFE" w:rsidRDefault="00BE1EFE">
      <w:pPr>
        <w:pStyle w:val="StandardWeb"/>
      </w:pPr>
    </w:p>
    <w:p w:rsidR="00BE1EFE" w:rsidRDefault="00BE1EFE" w:rsidP="003575ED">
      <w:pPr>
        <w:pStyle w:val="StandardWeb"/>
        <w:autoSpaceDE w:val="0"/>
        <w:jc w:val="left"/>
      </w:pPr>
      <w:r>
        <w:rPr>
          <w:rStyle w:val="Fett"/>
          <w:bCs/>
        </w:rPr>
        <w:t xml:space="preserve">§ 12 Versetzung, Abordnung, Zuweisung </w:t>
      </w:r>
    </w:p>
    <w:p w:rsidR="00BE1EFE" w:rsidRDefault="00BE1EFE">
      <w:pPr>
        <w:pStyle w:val="StandardWeb"/>
        <w:jc w:val="center"/>
      </w:pPr>
    </w:p>
    <w:p w:rsidR="00BE1EFE" w:rsidRDefault="00BE1EFE">
      <w:pPr>
        <w:pStyle w:val="StandardWeb"/>
      </w:pPr>
      <w:r>
        <w:t>(1) </w:t>
      </w:r>
      <w:r>
        <w:rPr>
          <w:rStyle w:val="kleinschrift"/>
        </w:rPr>
        <w:t>1</w:t>
      </w:r>
      <w:r>
        <w:t>Der Angestellte kann aus dienstlichen oder betrieblichen Gründen versetzt oder abgeord</w:t>
      </w:r>
      <w:r>
        <w:softHyphen/>
        <w:t xml:space="preserve">net werden. </w:t>
      </w:r>
      <w:r>
        <w:rPr>
          <w:rStyle w:val="kleinschrift"/>
        </w:rPr>
        <w:t>2</w:t>
      </w:r>
      <w:r>
        <w:t xml:space="preserve">Soll der Angestellte an eine Dienststelle außerhalb des bisherigen Dienstortes versetzt oder voraussichtlich länger als drei Monate abgeordnet werden, so ist er vorher zu hören. </w:t>
      </w:r>
    </w:p>
    <w:p w:rsidR="00BE1EFE" w:rsidRDefault="00BE1EFE">
      <w:pPr>
        <w:pStyle w:val="StandardWeb"/>
      </w:pPr>
      <w:r>
        <w:t>(2) </w:t>
      </w:r>
      <w:r>
        <w:rPr>
          <w:rStyle w:val="kleinschrift"/>
        </w:rPr>
        <w:t>1</w:t>
      </w:r>
      <w:r>
        <w:t xml:space="preserve">Dem Angestellten kann im dienstlichen/betrieblichen oder kirchlichen Interesse mit seiner Zustimmung vorübergehend eine mindestens gleich bewertete Tätigkeit bei einer Einrichtung außerhalb des räumlichen Geltungsbereichs des ABD oder bei einer anderen kirchlichen Einrichtung zugewiesen werden. </w:t>
      </w:r>
      <w:r>
        <w:rPr>
          <w:rStyle w:val="kleinschrift"/>
        </w:rPr>
        <w:t>2</w:t>
      </w:r>
      <w:r>
        <w:t xml:space="preserve">Die Rechtsstellung des Angestellten bleibt unberührt; Bezüge aus der Verwendung nach Satz 1 werden angerechnet, sofern nicht in besonderen Fällen im Einvernehmen mit der für das kirchliche Arbeitsvertragsrecht zuständigen Stelle des Arbeitgebers von der Anrechnung ganz oder teilweise abgesehen wird. </w:t>
      </w:r>
    </w:p>
    <w:p w:rsidR="00BE1EFE" w:rsidRDefault="00BE1EFE">
      <w:pPr>
        <w:pStyle w:val="StandardWeb"/>
      </w:pPr>
      <w:r>
        <w:t>(3) Während der Probezeit (§ 5) darf der Angestellte ohne seine Zustimmung weder versetzt noch abgeordnet werden.</w:t>
      </w:r>
    </w:p>
    <w:p w:rsidR="00BE1EFE" w:rsidRDefault="00BE1EFE" w:rsidP="000B37DB">
      <w:pPr>
        <w:pStyle w:val="StandardWeb"/>
      </w:pPr>
    </w:p>
    <w:p w:rsidR="00BE1EFE" w:rsidRDefault="00BE1EFE" w:rsidP="003575ED">
      <w:pPr>
        <w:pStyle w:val="StandardWeb"/>
        <w:autoSpaceDE w:val="0"/>
        <w:jc w:val="left"/>
      </w:pPr>
      <w:r>
        <w:rPr>
          <w:rStyle w:val="Fett"/>
          <w:bCs/>
        </w:rPr>
        <w:t xml:space="preserve">§ 13 Personalakten </w:t>
      </w:r>
    </w:p>
    <w:p w:rsidR="00BE1EFE" w:rsidRDefault="00BE1EFE">
      <w:pPr>
        <w:pStyle w:val="StandardWeb"/>
        <w:jc w:val="center"/>
      </w:pPr>
    </w:p>
    <w:p w:rsidR="00BE1EFE" w:rsidRDefault="00BE1EFE">
      <w:pPr>
        <w:pStyle w:val="StandardWeb"/>
      </w:pPr>
      <w:r>
        <w:t>(1) </w:t>
      </w:r>
      <w:r>
        <w:rPr>
          <w:rStyle w:val="kleinschrift"/>
        </w:rPr>
        <w:t>1</w:t>
      </w:r>
      <w:r>
        <w:t xml:space="preserve">Der Angestellte hat ein Recht auf Einsicht in seine vollständigen Personalakten. </w:t>
      </w:r>
      <w:r>
        <w:rPr>
          <w:rStyle w:val="kleinschrift"/>
        </w:rPr>
        <w:t>2</w:t>
      </w:r>
      <w:r>
        <w:t xml:space="preserve">Er kann das Recht auf Einsicht auch durch einen hierzu schriftlich Bevollmächtigten ausüben. </w:t>
      </w:r>
      <w:r>
        <w:rPr>
          <w:rStyle w:val="kleinschrift"/>
        </w:rPr>
        <w:t>3</w:t>
      </w:r>
      <w:r>
        <w:t xml:space="preserve">Die Vollmacht ist zu den Personalakten zu nehmen. </w:t>
      </w:r>
      <w:r>
        <w:rPr>
          <w:rStyle w:val="kleinschrift"/>
        </w:rPr>
        <w:t>4</w:t>
      </w:r>
      <w:r>
        <w:t xml:space="preserve">Der Arbeitgeber kann einen Bevollmächtigten zurückweisen, wenn es aus dienstlichen oder betrieblichen Gründen geboten ist. </w:t>
      </w:r>
    </w:p>
    <w:p w:rsidR="00BE1EFE" w:rsidRDefault="00BE1EFE">
      <w:pPr>
        <w:pStyle w:val="StandardWeb"/>
      </w:pPr>
      <w:r>
        <w:t>(2) </w:t>
      </w:r>
      <w:r>
        <w:rPr>
          <w:rStyle w:val="kleinschrift"/>
        </w:rPr>
        <w:t>1</w:t>
      </w:r>
      <w:r>
        <w:t xml:space="preserve">Der Angestellte muss über Beschwerden und Behauptungen tatsächlicher Art, die für ihn ungünstig sind oder ihm nachteilig werden können, vor Aufnahme in die Personalakten gehört werden. </w:t>
      </w:r>
      <w:r>
        <w:rPr>
          <w:rStyle w:val="kleinschrift"/>
        </w:rPr>
        <w:t>2</w:t>
      </w:r>
      <w:r>
        <w:t xml:space="preserve">Seine Äußerung ist zu den Personalakten zu nehmen. </w:t>
      </w:r>
    </w:p>
    <w:p w:rsidR="00BE1EFE" w:rsidRDefault="00BE1EFE">
      <w:pPr>
        <w:pStyle w:val="StandardWeb"/>
        <w:rPr>
          <w:sz w:val="12"/>
          <w:szCs w:val="12"/>
        </w:rPr>
      </w:pPr>
      <w:r w:rsidRPr="009C6551">
        <w:rPr>
          <w:rStyle w:val="kleinschrift1"/>
        </w:rPr>
        <w:t xml:space="preserve">Anmerkung zu Abs. 1: </w:t>
      </w:r>
    </w:p>
    <w:p w:rsidR="00BE1EFE" w:rsidRDefault="00BE1EFE">
      <w:pPr>
        <w:pStyle w:val="StandardWeb"/>
      </w:pPr>
      <w:r w:rsidRPr="009C6551">
        <w:rPr>
          <w:rStyle w:val="kleinschrift1"/>
        </w:rPr>
        <w:t xml:space="preserve">Das Recht auf Akteneinsicht schließt das Recht ein, Abschriften bzw. Ablichtungen aus den Personalakten zu fertigen. </w:t>
      </w:r>
    </w:p>
    <w:p w:rsidR="00BE1EFE" w:rsidRDefault="00BE1EFE">
      <w:pPr>
        <w:pStyle w:val="StandardWeb"/>
      </w:pPr>
    </w:p>
    <w:p w:rsidR="00BE1EFE" w:rsidRDefault="00BE1EFE" w:rsidP="003575ED">
      <w:pPr>
        <w:pStyle w:val="StandardWeb"/>
        <w:autoSpaceDE w:val="0"/>
        <w:jc w:val="left"/>
      </w:pPr>
      <w:r>
        <w:rPr>
          <w:rStyle w:val="Fett"/>
          <w:bCs/>
        </w:rPr>
        <w:t xml:space="preserve">§ 14 Haftung </w:t>
      </w:r>
    </w:p>
    <w:p w:rsidR="00BE1EFE" w:rsidRDefault="00BE1EFE">
      <w:pPr>
        <w:pStyle w:val="StandardWeb"/>
        <w:jc w:val="center"/>
      </w:pPr>
    </w:p>
    <w:p w:rsidR="00BE1EFE" w:rsidRDefault="00BE1EFE">
      <w:pPr>
        <w:pStyle w:val="StandardWeb"/>
      </w:pPr>
      <w:r>
        <w:t xml:space="preserve">(1) Der Mitarbeiter hat einen vorsätzlich oder grob fahrlässig verursachten Schaden im Rahmen des allgemeinen Haftungsrechts dem Arbeitgeber zu ersetzen. </w:t>
      </w:r>
    </w:p>
    <w:p w:rsidR="00BE1EFE" w:rsidRDefault="00BE1EFE">
      <w:pPr>
        <w:pStyle w:val="StandardWeb"/>
      </w:pPr>
      <w:r>
        <w:t xml:space="preserve">(2) Fügt der Mitarbeiter in Ausübung seines Dienstes weder vorsätzlich noch grob fahrlässig einem Dritten Schaden zu, tritt der Arbeitgeber für den verursachten Schaden ein, soweit es sich nicht um KFZ-Schäden handelt. </w:t>
      </w:r>
    </w:p>
    <w:p w:rsidR="00BE1EFE" w:rsidRDefault="00BE1EFE">
      <w:pPr>
        <w:pStyle w:val="StandardWeb"/>
      </w:pPr>
      <w:r>
        <w:t>(3) </w:t>
      </w:r>
      <w:r>
        <w:rPr>
          <w:rStyle w:val="kleinschrift"/>
        </w:rPr>
        <w:t>1</w:t>
      </w:r>
      <w:r>
        <w:t>Verursacht der Mitarbeiter während einer Dienstfahrt weder vorsätzlich noch grob fahr</w:t>
      </w:r>
      <w:r>
        <w:softHyphen/>
        <w:t xml:space="preserve">lässig einen Schaden, ersetzt der Arbeitgeber den am KFZ des Mitarbeiters entstandenen Schaden. </w:t>
      </w:r>
      <w:r>
        <w:rPr>
          <w:rStyle w:val="kleinschrift"/>
        </w:rPr>
        <w:t>2</w:t>
      </w:r>
      <w:r>
        <w:t>Hat der Mitarbeiter für sein KFZ eine Fahrzeugteilversicherung abgeschlossen, erstattet der Arbeitgeber bei Teilkaskoschäden nur den Selbstbeteiligungsanteil, den der Mitarbeiter zu tragen hat.</w:t>
      </w:r>
    </w:p>
    <w:p w:rsidR="00BE1EFE" w:rsidRPr="005F7F4C" w:rsidRDefault="005F7F4C">
      <w:pPr>
        <w:pStyle w:val="StandardWeb"/>
        <w:rPr>
          <w:sz w:val="2"/>
          <w:szCs w:val="2"/>
        </w:rPr>
      </w:pPr>
      <w:r>
        <w:br w:type="page"/>
      </w:r>
    </w:p>
    <w:p w:rsidR="00BE1EFE" w:rsidRDefault="00BE1EFE" w:rsidP="0054275E">
      <w:pPr>
        <w:pStyle w:val="StandardWeb"/>
        <w:autoSpaceDE w:val="0"/>
        <w:jc w:val="center"/>
        <w:rPr>
          <w:b/>
          <w:bCs/>
        </w:rPr>
      </w:pPr>
      <w:r>
        <w:rPr>
          <w:rStyle w:val="Fett"/>
          <w:bCs/>
        </w:rPr>
        <w:lastRenderedPageBreak/>
        <w:t xml:space="preserve">Abschnitt IV </w:t>
      </w:r>
    </w:p>
    <w:p w:rsidR="00BE1EFE" w:rsidRDefault="00BE1EFE" w:rsidP="0054275E">
      <w:pPr>
        <w:pStyle w:val="StandardWeb"/>
        <w:autoSpaceDE w:val="0"/>
        <w:jc w:val="center"/>
      </w:pPr>
      <w:r>
        <w:rPr>
          <w:rStyle w:val="Fett"/>
          <w:bCs/>
        </w:rPr>
        <w:t>Arbeitszeit</w:t>
      </w:r>
      <w:r>
        <w:rPr>
          <w:b/>
          <w:bCs/>
          <w:vertAlign w:val="superscript"/>
        </w:rPr>
        <w:t>1</w:t>
      </w:r>
      <w:r>
        <w:rPr>
          <w:rStyle w:val="Fett"/>
          <w:bCs/>
          <w:vertAlign w:val="superscript"/>
        </w:rPr>
        <w:t xml:space="preserve"> </w:t>
      </w:r>
    </w:p>
    <w:p w:rsidR="00BE1EFE" w:rsidRDefault="00BE1EFE">
      <w:pPr>
        <w:pStyle w:val="StandardWeb"/>
        <w:jc w:val="center"/>
      </w:pPr>
    </w:p>
    <w:p w:rsidR="00BE1EFE" w:rsidRDefault="00BE1EFE">
      <w:pPr>
        <w:pStyle w:val="StandardWeb"/>
      </w:pPr>
      <w:r>
        <w:rPr>
          <w:vertAlign w:val="superscript"/>
        </w:rPr>
        <w:t>1</w:t>
      </w:r>
      <w:r w:rsidRPr="009C6551">
        <w:rPr>
          <w:rStyle w:val="kleinschrift1"/>
        </w:rPr>
        <w:t xml:space="preserve">Für Mitarbeiter in kirchenspezifischen Tätigkeitsbereichen oder im liturgischen Bereich beachte auch: „Kirchliche Arbeitszeitordnung“ (KAZO), ABD </w:t>
      </w:r>
      <w:hyperlink r:id="rId686" w:history="1">
        <w:r w:rsidRPr="00D34F24">
          <w:rPr>
            <w:rStyle w:val="Hyperlink"/>
            <w:sz w:val="12"/>
          </w:rPr>
          <w:t>Teil C, 1</w:t>
        </w:r>
      </w:hyperlink>
      <w:r w:rsidRPr="009C6551">
        <w:rPr>
          <w:rStyle w:val="kleinschrift1"/>
        </w:rPr>
        <w:t xml:space="preserve">. </w:t>
      </w:r>
    </w:p>
    <w:p w:rsidR="00BE1EFE" w:rsidRDefault="00BE1EFE">
      <w:pPr>
        <w:pStyle w:val="StandardWeb"/>
      </w:pPr>
    </w:p>
    <w:p w:rsidR="00BE1EFE" w:rsidRDefault="00BE1EFE" w:rsidP="003575ED">
      <w:pPr>
        <w:pStyle w:val="StandardWeb"/>
        <w:autoSpaceDE w:val="0"/>
        <w:jc w:val="left"/>
      </w:pPr>
      <w:r>
        <w:rPr>
          <w:rStyle w:val="Fett"/>
          <w:bCs/>
        </w:rPr>
        <w:t xml:space="preserve">§ 15 Regelmäßige Arbeitszeit </w:t>
      </w:r>
    </w:p>
    <w:p w:rsidR="00BE1EFE" w:rsidRDefault="00BE1EFE">
      <w:pPr>
        <w:pStyle w:val="StandardWeb"/>
        <w:jc w:val="center"/>
      </w:pPr>
    </w:p>
    <w:p w:rsidR="00BE1EFE" w:rsidRDefault="00BE1EFE">
      <w:pPr>
        <w:pStyle w:val="StandardWeb"/>
      </w:pPr>
      <w:r>
        <w:t>(1) </w:t>
      </w:r>
      <w:r>
        <w:rPr>
          <w:rStyle w:val="kleinschrift"/>
        </w:rPr>
        <w:t>1</w:t>
      </w:r>
      <w:r>
        <w:t>Die regelmäßige Arbeitszeit beträgt ausschließlich der Pausen durchschnittlich 38,5 Stun</w:t>
      </w:r>
      <w:r>
        <w:softHyphen/>
        <w:t xml:space="preserve">den wöchentlich. </w:t>
      </w:r>
      <w:r>
        <w:rPr>
          <w:rStyle w:val="kleinschrift"/>
        </w:rPr>
        <w:t>2</w:t>
      </w:r>
      <w:r>
        <w:t xml:space="preserve">Für die Berechnung des Durchschnitts der regelmäßigen wöchentlichen Arbeitszeit ist ein Zeitraum von bis zu einem Jahr zugrunde zu legen. </w:t>
      </w:r>
      <w:r>
        <w:rPr>
          <w:rStyle w:val="kleinschrift"/>
        </w:rPr>
        <w:t>3</w:t>
      </w:r>
      <w:r>
        <w:t xml:space="preserve">Bei Angestellten, die ständig Wechselschicht- oder Schichtarbeit zu leisten haben, kann ein längerer Zeitraum zugrunde gelegt werden. </w:t>
      </w:r>
    </w:p>
    <w:p w:rsidR="00BE1EFE" w:rsidRDefault="00BE1EFE">
      <w:pPr>
        <w:pStyle w:val="StandardWeb"/>
      </w:pPr>
      <w:r>
        <w:t xml:space="preserve">(2) Die regelmäßige Arbeitszeit kann verlängert werden </w:t>
      </w:r>
    </w:p>
    <w:p w:rsidR="00BE1EFE" w:rsidRDefault="00BE1EFE">
      <w:pPr>
        <w:pStyle w:val="StandardWeb"/>
      </w:pPr>
      <w:r>
        <w:t xml:space="preserve">a) bis zu zehn Stunden täglich (durchschnittlich 49 Stunden wöchentlich), wenn in sie regelmäßig eine Arbeitsbereitschaft von durchschnittlich mindestens zwei Stunden täglich fällt, </w:t>
      </w:r>
    </w:p>
    <w:p w:rsidR="00BE1EFE" w:rsidRDefault="00BE1EFE">
      <w:pPr>
        <w:pStyle w:val="StandardWeb"/>
      </w:pPr>
      <w:r>
        <w:t xml:space="preserve">b) bis zu elf Stunden täglich (durchschnittlich 54 Stunden wöchentlich), wenn in sie regelmäßig eine Arbeitsbereitschaft von durchschnittlich mindestens drei Stunden täglich fällt, </w:t>
      </w:r>
    </w:p>
    <w:p w:rsidR="00BE1EFE" w:rsidRDefault="00BE1EFE">
      <w:pPr>
        <w:pStyle w:val="StandardWeb"/>
      </w:pPr>
      <w:r>
        <w:t xml:space="preserve">c) bis zu zwölf Stunden täglich (durchschnittlich 60 Stunden wöchentlich), wenn der Angestellte lediglich an der Arbeitsstelle anwesend sein muss, um im Bedarfsfall vorkommende Arbeiten zu verrichten. </w:t>
      </w:r>
    </w:p>
    <w:p w:rsidR="00BE1EFE" w:rsidRDefault="00BE1EFE">
      <w:pPr>
        <w:pStyle w:val="StandardWeb"/>
      </w:pPr>
      <w:r>
        <w:t xml:space="preserve">(3) Die regelmäßige Arbeitszeit kann bis zu zehn Stunden täglich (durchschnittlich 50 Stunden wöchentlich) verlängert werden, wenn Vor- und Abschlussarbeiten erforderlich sind. </w:t>
      </w:r>
    </w:p>
    <w:p w:rsidR="00BE1EFE" w:rsidRDefault="00BE1EFE">
      <w:pPr>
        <w:pStyle w:val="StandardWeb"/>
      </w:pPr>
      <w:r>
        <w:t xml:space="preserve">(4) In Einrichtungen, die in bestimmten Zeiten des Jahres regelmäßig zu saisonbedingt erheblich verstärkter Tätigkeit genötigt sind, kann für diese Zeiten die regelmäßige Arbeitszeit bis zu 60 Stunden wöchentlich, jedoch nicht über zehn Stunden täglich, verlängert werden, sofern die regelmäßige Arbeitszeit in den übrigen Zeiten des Jahres entsprechend verkürzt wird (Jahreszeitenausgleich). </w:t>
      </w:r>
    </w:p>
    <w:p w:rsidR="00BE1EFE" w:rsidRDefault="00BE1EFE">
      <w:pPr>
        <w:pStyle w:val="StandardWeb"/>
      </w:pPr>
      <w:r>
        <w:t xml:space="preserve">(5) Für die Einführung von Kurzarbeit gelten die gesetzlichen Vorschriften. </w:t>
      </w:r>
    </w:p>
    <w:p w:rsidR="00BE1EFE" w:rsidRDefault="00BE1EFE">
      <w:pPr>
        <w:pStyle w:val="StandardWeb"/>
      </w:pPr>
      <w:r>
        <w:t>(6) </w:t>
      </w:r>
      <w:r>
        <w:rPr>
          <w:rStyle w:val="kleinschrift"/>
        </w:rPr>
        <w:t>1</w:t>
      </w:r>
      <w:r>
        <w:t xml:space="preserve">In Einrichtungen, deren Aufgaben Sonntags-, Feiertags-, Wechselschicht-, Schicht- oder Nachtarbeit erfordern, muss dienstplanmäßig bzw. betriebsüblich entsprechend gearbeitet werden. </w:t>
      </w:r>
      <w:r>
        <w:rPr>
          <w:rStyle w:val="kleinschrift"/>
        </w:rPr>
        <w:t>2</w:t>
      </w:r>
      <w:r>
        <w:t xml:space="preserve">Bei Sonntags- und Feiertagsarbeit sollen jedoch im Monat zwei Sonntage arbeitsfrei sein, wenn die dienstlichen oder betrieblichen Verhältnisse es zulassen. </w:t>
      </w:r>
      <w:r>
        <w:rPr>
          <w:rStyle w:val="kleinschrift"/>
        </w:rPr>
        <w:t>3</w:t>
      </w:r>
      <w:r>
        <w:t>Die dienstplan</w:t>
      </w:r>
      <w:r>
        <w:softHyphen/>
        <w:t>mäßige bzw. betriebsübliche Arbeitszeit an einem Sonntag ist durch eine entsprechende zusammenhängende Freizeit an einem Werktag oder ausnahmsweise an einem Wochen</w:t>
      </w:r>
      <w:r>
        <w:softHyphen/>
        <w:t xml:space="preserve">feiertag der nächsten oder der übernächsten Woche auszugleichen. </w:t>
      </w:r>
      <w:r>
        <w:rPr>
          <w:rStyle w:val="kleinschrift"/>
        </w:rPr>
        <w:t>4</w:t>
      </w:r>
      <w:r>
        <w:t xml:space="preserve">Erfolgt der Ausgleich an einem Wochenfeiertag, wird für jede auszugleichende Arbeitsstunde die Stundenvergütung (§ 35 Abs. 3 Unterabs. 1) gezahlt. </w:t>
      </w:r>
    </w:p>
    <w:p w:rsidR="00BE1EFE" w:rsidRDefault="00BE1EFE">
      <w:pPr>
        <w:pStyle w:val="StandardWeb"/>
      </w:pPr>
      <w:r>
        <w:rPr>
          <w:rStyle w:val="kleinschrift"/>
        </w:rPr>
        <w:t>5</w:t>
      </w:r>
      <w:r>
        <w:t xml:space="preserve">Die dienstplanmäßige bzw. betriebsübliche Arbeitszeit an einem Wochenfeiertag soll auf Antrag des Angestellten durch eine entsprechende zusammenhängende Freizeit an einem Werktag der laufenden oder der folgenden Woche unter Fortzahlung der Vergütung (§ 26) und der in Monatsbeträgen festgelegten Zulagen ausgeglichen werden, wenn die dienstlichen oder betrieblichen Verhältnisse es zulassen. </w:t>
      </w:r>
    </w:p>
    <w:p w:rsidR="00BE1EFE" w:rsidRDefault="00BE1EFE">
      <w:pPr>
        <w:pStyle w:val="StandardWeb"/>
      </w:pPr>
      <w:r>
        <w:rPr>
          <w:rStyle w:val="kleinschrift"/>
        </w:rPr>
        <w:t>6</w:t>
      </w:r>
      <w:r>
        <w:t xml:space="preserve">Soweit Mesner, Kirchenmusiker, Gemeinde- und Pastoralassistenten und -referenten zu den in Unterabs. 1 genannten Zeiten tätig sind, finden die Unterabs. 2 und 3 keine Anwendung. </w:t>
      </w:r>
    </w:p>
    <w:p w:rsidR="00BE1EFE" w:rsidRDefault="00BE1EFE">
      <w:pPr>
        <w:pStyle w:val="StandardWeb"/>
      </w:pPr>
      <w:r>
        <w:t>(6a) </w:t>
      </w:r>
      <w:r>
        <w:rPr>
          <w:rStyle w:val="kleinschrift"/>
        </w:rPr>
        <w:t>1</w:t>
      </w:r>
      <w:r>
        <w:t xml:space="preserve">Der Angestellte ist verpflichtet, sich auf Anordnung des Arbeitgebers außerhalb der regelmäßigen Arbeitszeit an einer vom Arbeitgeber bestimmten Stelle aufzuhalten, um im Bedarfsfalle die Arbeit aufzunehmen (Bereitschaftsdienst). </w:t>
      </w:r>
      <w:r>
        <w:rPr>
          <w:rStyle w:val="kleinschrift"/>
        </w:rPr>
        <w:t>2</w:t>
      </w:r>
      <w:r>
        <w:t>Der Arbeitgeber darf Bereit</w:t>
      </w:r>
      <w:r>
        <w:softHyphen/>
        <w:t xml:space="preserve">schaftsdienst nur anordnen, wenn zu erwarten ist, dass zwar Arbeit anfällt, erfahrungsgemäß aber die Zeit ohne Arbeitsleistung überwiegt. </w:t>
      </w:r>
    </w:p>
    <w:p w:rsidR="00BE1EFE" w:rsidRDefault="00BE1EFE">
      <w:pPr>
        <w:pStyle w:val="StandardWeb"/>
      </w:pPr>
      <w:r>
        <w:rPr>
          <w:rStyle w:val="kleinschrift"/>
        </w:rPr>
        <w:t>3</w:t>
      </w:r>
      <w:r>
        <w:t>Zum Zwecke der Vergütungsberechnung wird die Zeit des Bereitschaftsdienstes einschließ</w:t>
      </w:r>
      <w:r>
        <w:softHyphen/>
        <w:t>lich der geleisteten Arbeit entsprechend dem Anteil der erfahrungsgemäß durchschnittlich anfallenden Zeit der Arbeitsleistung als Arbeitszeit gewertet und mit der Überstunden</w:t>
      </w:r>
      <w:r>
        <w:softHyphen/>
      </w:r>
      <w:r>
        <w:lastRenderedPageBreak/>
        <w:t xml:space="preserve">vergütung (§ 35 Abs. 3 Unterabs. 2) vergütet. </w:t>
      </w:r>
      <w:r>
        <w:rPr>
          <w:rStyle w:val="kleinschrift"/>
        </w:rPr>
        <w:t>4</w:t>
      </w:r>
      <w:r>
        <w:t xml:space="preserve">Die Bewertung darf 15 v. H., vom 8. Bereitschaftsdienst im Kalendermonat an 25 v.H. nicht unterschreiten. </w:t>
      </w:r>
    </w:p>
    <w:p w:rsidR="00BE1EFE" w:rsidRDefault="00BE1EFE">
      <w:pPr>
        <w:pStyle w:val="StandardWeb"/>
      </w:pPr>
      <w:r>
        <w:rPr>
          <w:rStyle w:val="kleinschrift"/>
        </w:rPr>
        <w:t>5</w:t>
      </w:r>
      <w:r>
        <w:t xml:space="preserve">Die danach errechnete Arbeitszeit kann stattdessen bis zum Ende des 3. Kalendermonats auch durch entsprechende Freizeit abgegolten werden (Freizeitausgleich). </w:t>
      </w:r>
      <w:r>
        <w:rPr>
          <w:rStyle w:val="kleinschrift"/>
        </w:rPr>
        <w:t>6</w:t>
      </w:r>
      <w:r>
        <w:t xml:space="preserve">Für den Freizeitausgleich ist eine angefangene halbe Stunde, die sich bei der Berechnung ergeben hat, auf eine halbe Stunde aufzurunden. </w:t>
      </w:r>
      <w:r>
        <w:rPr>
          <w:rStyle w:val="kleinschrift"/>
        </w:rPr>
        <w:t>7</w:t>
      </w:r>
      <w:r>
        <w:t xml:space="preserve">Für die Zeit des Freizeitausgleichs werden die Vergütung (§ 26) und die in Monatsbeträgen festgelegten Zulagen fortgezahlt. </w:t>
      </w:r>
    </w:p>
    <w:p w:rsidR="00BE1EFE" w:rsidRDefault="00BE1EFE">
      <w:pPr>
        <w:pStyle w:val="StandardWeb"/>
      </w:pPr>
      <w:r>
        <w:t>(6b) </w:t>
      </w:r>
      <w:r>
        <w:rPr>
          <w:rStyle w:val="kleinschrift"/>
        </w:rPr>
        <w:t>1</w:t>
      </w:r>
      <w:r>
        <w:t xml:space="preserve">Der Angestellte ist verpflichtet, sich auf Anordnung des Arbeitgebers außerhalb der regelmäßigen Arbeitszeit an einer dem Arbeitgeber anzuzeigenden Stelle aufzuhalten, um auf Abruf die Arbeit aufzunehmen (Rufbereitschaft). </w:t>
      </w:r>
      <w:r>
        <w:rPr>
          <w:rStyle w:val="kleinschrift"/>
        </w:rPr>
        <w:t>2</w:t>
      </w:r>
      <w:r>
        <w:t xml:space="preserve">Der Arbeitgeber darf Rufbereitschaft nur anordnen, wenn erfahrungsgemäß lediglich in Ausnahmefällen Arbeit anfällt. </w:t>
      </w:r>
    </w:p>
    <w:p w:rsidR="00BE1EFE" w:rsidRDefault="00BE1EFE">
      <w:pPr>
        <w:pStyle w:val="StandardWeb"/>
      </w:pPr>
      <w:r>
        <w:rPr>
          <w:rStyle w:val="kleinschrift"/>
        </w:rPr>
        <w:t>3</w:t>
      </w:r>
      <w:r>
        <w:t xml:space="preserve">Zum Zwecke der Vergütungsberechnung wird die Zeit der Rufbereitschaft mit 12,5 v. H. als Arbeitszeit gewertet und mit der Überstundenvergütung (§ 35 Abs. 3 Unterabs. 2) vergütet. </w:t>
      </w:r>
    </w:p>
    <w:p w:rsidR="00BE1EFE" w:rsidRDefault="00BE1EFE">
      <w:pPr>
        <w:pStyle w:val="StandardWeb"/>
      </w:pPr>
      <w:r>
        <w:rPr>
          <w:rStyle w:val="kleinschrift"/>
        </w:rPr>
        <w:t>4</w:t>
      </w:r>
      <w:r>
        <w:t xml:space="preserve">Für angefallene Arbeit einschließlich einer etwaigen Wegezeit wird daneben die Überstundenvergütung gezahlt. </w:t>
      </w:r>
      <w:r>
        <w:rPr>
          <w:rStyle w:val="kleinschrift"/>
        </w:rPr>
        <w:t>5</w:t>
      </w:r>
      <w:r>
        <w:t>Für eine Heranziehung zur Arbeit außerhalb des Aufenthalts</w:t>
      </w:r>
      <w:r>
        <w:softHyphen/>
        <w:t xml:space="preserve">ortes werden mindestens drei Stunden angesetzt. </w:t>
      </w:r>
    </w:p>
    <w:p w:rsidR="00BE1EFE" w:rsidRDefault="00BE1EFE">
      <w:pPr>
        <w:pStyle w:val="StandardWeb"/>
      </w:pPr>
      <w:r>
        <w:rPr>
          <w:rStyle w:val="kleinschrift"/>
        </w:rPr>
        <w:t>6</w:t>
      </w:r>
      <w:r>
        <w:t xml:space="preserve">Wird der Angestellte während der Rufbereitschaft mehrmals zur Arbeit herangezogen, wird die Stundengarantie nur einmal, und zwar für die kürzeste Inanspruchnahme, angesetzt. </w:t>
      </w:r>
    </w:p>
    <w:p w:rsidR="00BE1EFE" w:rsidRDefault="00BE1EFE">
      <w:pPr>
        <w:pStyle w:val="StandardWeb"/>
      </w:pPr>
      <w:r>
        <w:rPr>
          <w:rStyle w:val="kleinschrift"/>
        </w:rPr>
        <w:t>7</w:t>
      </w:r>
      <w:r>
        <w:t>Die Überstundenvergütung für die sich nach Unterabs. 3 ergebenden Stunden entfällt, soweit entsprechende Arbeitsbefreiung erteilt wird (Freizeitausgleich).</w:t>
      </w:r>
    </w:p>
    <w:p w:rsidR="00BE1EFE" w:rsidRDefault="00BE1EFE">
      <w:pPr>
        <w:pStyle w:val="StandardWeb"/>
      </w:pPr>
      <w:r>
        <w:rPr>
          <w:sz w:val="12"/>
          <w:szCs w:val="12"/>
        </w:rPr>
        <w:t>Für den Freizeitausgleich gilt Abs. 6 a Unterabs. 3 entsprechend.</w:t>
      </w:r>
      <w:r>
        <w:t xml:space="preserve"> </w:t>
      </w:r>
    </w:p>
    <w:p w:rsidR="00BE1EFE" w:rsidRDefault="00BE1EFE">
      <w:pPr>
        <w:pStyle w:val="StandardWeb"/>
      </w:pPr>
      <w:r>
        <w:t xml:space="preserve">(7) Die Arbeitszeit beginnt und endet an der Arbeitsstelle, bei wechselnden Arbeitsstellen an der jeweils vorgeschriebenen Arbeitsstelle oder am Sammelplatz. </w:t>
      </w:r>
    </w:p>
    <w:p w:rsidR="00BE1EFE" w:rsidRDefault="00BE1EFE">
      <w:pPr>
        <w:pStyle w:val="StandardWeb"/>
      </w:pPr>
      <w:r>
        <w:t>(8) </w:t>
      </w:r>
      <w:r>
        <w:rPr>
          <w:rStyle w:val="kleinschrift"/>
        </w:rPr>
        <w:t>1</w:t>
      </w:r>
      <w:r>
        <w:t xml:space="preserve">Woche ist der Zeitraum von Montag 00.00 Uhr bis Sonntag 24.00 Uhr. </w:t>
      </w:r>
    </w:p>
    <w:p w:rsidR="00BE1EFE" w:rsidRDefault="00BE1EFE">
      <w:pPr>
        <w:pStyle w:val="StandardWeb"/>
      </w:pPr>
      <w:r>
        <w:rPr>
          <w:rStyle w:val="kleinschrift"/>
        </w:rPr>
        <w:t>2</w:t>
      </w:r>
      <w:r>
        <w:t xml:space="preserve">Dienstplanmäßige Arbeit ist die Arbeit, die innerhalb der regelmäßigen Arbeitszeit an den nach dem Dienstplan festgelegten Kalendertagen regelmäßig zu leisten ist. </w:t>
      </w:r>
    </w:p>
    <w:p w:rsidR="00BE1EFE" w:rsidRDefault="00BE1EFE">
      <w:pPr>
        <w:pStyle w:val="StandardWeb"/>
      </w:pPr>
      <w:r>
        <w:rPr>
          <w:rStyle w:val="kleinschrift"/>
        </w:rPr>
        <w:t>3</w:t>
      </w:r>
      <w:r>
        <w:t xml:space="preserve">Arbeit an Sonntagen ist die Arbeit am Sonntag zwischen 00.00 Uhr und 24.00 Uhr; Entsprechendes gilt für die Arbeit an Feiertagen, Vorfesttagen (§ 16 Abs. 2) und Samstagen. </w:t>
      </w:r>
    </w:p>
    <w:p w:rsidR="00BE1EFE" w:rsidRDefault="00BE1EFE">
      <w:pPr>
        <w:pStyle w:val="StandardWeb"/>
      </w:pPr>
      <w:r>
        <w:rPr>
          <w:rStyle w:val="kleinschrift"/>
        </w:rPr>
        <w:t>4</w:t>
      </w:r>
      <w:r>
        <w:t xml:space="preserve">Wochenfeiertage sind die Werktage, die gesetzlich oder aufgrund gesetzlicher Vorschriften durch behördliche Anordnung zu gesetzlichen Feiertagen erklärt sind und für die Arbeitsruhe angeordnet ist. </w:t>
      </w:r>
    </w:p>
    <w:p w:rsidR="00BE1EFE" w:rsidRDefault="00BE1EFE">
      <w:pPr>
        <w:pStyle w:val="StandardWeb"/>
      </w:pPr>
      <w:r>
        <w:rPr>
          <w:rStyle w:val="kleinschrift"/>
        </w:rPr>
        <w:t>5</w:t>
      </w:r>
      <w:r>
        <w:t xml:space="preserve">Nachtarbeit ist die Arbeit zwischen 20.00 Uhr und 06.00 Uhr. </w:t>
      </w:r>
    </w:p>
    <w:p w:rsidR="00BE1EFE" w:rsidRDefault="00BE1EFE">
      <w:pPr>
        <w:pStyle w:val="StandardWeb"/>
      </w:pPr>
      <w:r>
        <w:rPr>
          <w:rStyle w:val="kleinschrift"/>
        </w:rPr>
        <w:t>6</w:t>
      </w:r>
      <w:r>
        <w:t>Wechselschichtarbeit ist die Arbeit nach einem Schichtplan (Dienstplan), der einen regel</w:t>
      </w:r>
      <w:r>
        <w:softHyphen/>
        <w:t>mäßigen Wechsel der täglichen Arbeitszeit in Wechselschichten vorsieht, bei denen der Ange</w:t>
      </w:r>
      <w:r>
        <w:softHyphen/>
        <w:t xml:space="preserve">stellte durchschnittlich längstens nach Ablauf eines Monats erneut zur Nachtschicht (Nachtschichtfolge) herangezogen wird. </w:t>
      </w:r>
      <w:r>
        <w:rPr>
          <w:rStyle w:val="kleinschrift"/>
        </w:rPr>
        <w:t>7</w:t>
      </w:r>
      <w:r>
        <w:t>Wechselschichten sind wechselnde Arbeitsschich</w:t>
      </w:r>
      <w:r>
        <w:softHyphen/>
        <w:t xml:space="preserve">ten, in denen ununterbrochen bei Tag und Nacht, werktags, sonntags und feiertags gearbeitet wird. </w:t>
      </w:r>
    </w:p>
    <w:p w:rsidR="00BE1EFE" w:rsidRDefault="00BE1EFE">
      <w:pPr>
        <w:pStyle w:val="StandardWeb"/>
      </w:pPr>
      <w:r>
        <w:rPr>
          <w:rStyle w:val="kleinschrift"/>
        </w:rPr>
        <w:t>8</w:t>
      </w:r>
      <w:r>
        <w:t xml:space="preserve">Schichtarbeit ist die Arbeit nach einem Schichtplan (Dienstplan), der einen regelmäßigen Wechsel der täglichen Arbeitszeit in Zeitabschnitten von längstens einem Monat vorsieht. </w:t>
      </w:r>
    </w:p>
    <w:p w:rsidR="00BE1EFE" w:rsidRDefault="00BE1EFE">
      <w:pPr>
        <w:pStyle w:val="StandardWeb"/>
      </w:pPr>
      <w:r w:rsidRPr="009C6551">
        <w:rPr>
          <w:rStyle w:val="kleinschrift1"/>
        </w:rPr>
        <w:t xml:space="preserve">Anmerkung zu Abs. 1: </w:t>
      </w:r>
    </w:p>
    <w:p w:rsidR="00BE1EFE" w:rsidRDefault="00BE1EFE">
      <w:pPr>
        <w:pStyle w:val="StandardWeb"/>
      </w:pPr>
      <w:r w:rsidRPr="009C6551">
        <w:rPr>
          <w:rStyle w:val="kleinschrift1"/>
        </w:rPr>
        <w:t xml:space="preserve">Für die Durchführung sog. Sabbatjahrmodelle kann ein längerer Ausgleichszeitraum zugrunde gelegt werden. </w:t>
      </w:r>
    </w:p>
    <w:p w:rsidR="00BE1EFE" w:rsidRDefault="00BE1EFE">
      <w:pPr>
        <w:pStyle w:val="StandardWeb"/>
      </w:pPr>
      <w:r w:rsidRPr="009C6551">
        <w:rPr>
          <w:rStyle w:val="kleinschrift1"/>
        </w:rPr>
        <w:t xml:space="preserve">Anmerkung zu Abs. 7: </w:t>
      </w:r>
    </w:p>
    <w:p w:rsidR="00BE1EFE" w:rsidRDefault="00BE1EFE">
      <w:pPr>
        <w:pStyle w:val="StandardWeb"/>
      </w:pPr>
      <w:r w:rsidRPr="009C6551">
        <w:rPr>
          <w:rStyle w:val="kleinschrift1"/>
        </w:rPr>
        <w:t xml:space="preserve">Der Begriff der Arbeitsstelle ist weiter als der Begriff des Arbeitsplatzes. Er umfasst die Einrichtung oder Einrichtungsteile in dem Gebäude/Gebäudeteil, in dem der Angestellte arbeitet. </w:t>
      </w:r>
    </w:p>
    <w:p w:rsidR="00BE1EFE" w:rsidRDefault="00BE1EFE">
      <w:pPr>
        <w:pStyle w:val="StandardWeb"/>
        <w:jc w:val="center"/>
      </w:pPr>
    </w:p>
    <w:p w:rsidR="00BE1EFE" w:rsidRDefault="00BE1EFE" w:rsidP="003575ED">
      <w:pPr>
        <w:pStyle w:val="StandardWeb"/>
        <w:autoSpaceDE w:val="0"/>
        <w:jc w:val="left"/>
      </w:pPr>
      <w:r>
        <w:rPr>
          <w:rStyle w:val="Fett"/>
          <w:bCs/>
        </w:rPr>
        <w:t xml:space="preserve">§ 15 a aufgehoben </w:t>
      </w:r>
    </w:p>
    <w:p w:rsidR="00BE1EFE" w:rsidRDefault="00BE1EFE">
      <w:pPr>
        <w:pStyle w:val="StandardWeb"/>
        <w:jc w:val="center"/>
      </w:pPr>
    </w:p>
    <w:p w:rsidR="00BE1EFE" w:rsidRDefault="00BE1EFE" w:rsidP="003575ED">
      <w:pPr>
        <w:pStyle w:val="StandardWeb"/>
        <w:autoSpaceDE w:val="0"/>
        <w:jc w:val="left"/>
      </w:pPr>
      <w:r>
        <w:rPr>
          <w:rStyle w:val="Fett"/>
          <w:bCs/>
        </w:rPr>
        <w:t xml:space="preserve">§ 15 b Teilzeitbeschäftigung </w:t>
      </w:r>
    </w:p>
    <w:p w:rsidR="00BE1EFE" w:rsidRDefault="00BE1EFE">
      <w:pPr>
        <w:pStyle w:val="StandardWeb"/>
        <w:jc w:val="center"/>
      </w:pPr>
    </w:p>
    <w:p w:rsidR="00BE1EFE" w:rsidRDefault="00BE1EFE">
      <w:pPr>
        <w:pStyle w:val="StandardWeb"/>
      </w:pPr>
      <w:r>
        <w:t>(1) </w:t>
      </w:r>
      <w:r>
        <w:rPr>
          <w:rStyle w:val="kleinschrift"/>
        </w:rPr>
        <w:t>1</w:t>
      </w:r>
      <w:r>
        <w:t>Mit vollbeschäftigten Angestellten soll auf Antrag eine geringere als die regelmäßige Arbeits</w:t>
      </w:r>
      <w:r>
        <w:softHyphen/>
        <w:t xml:space="preserve">zeit (§ 15 und die Sonderregelungen hierzu) vereinbart werden, wenn sie </w:t>
      </w:r>
    </w:p>
    <w:p w:rsidR="00BE1EFE" w:rsidRDefault="00BE1EFE">
      <w:pPr>
        <w:pStyle w:val="StandardWeb"/>
      </w:pPr>
      <w:r>
        <w:t xml:space="preserve">a) mindestens ein Kind unter 18 Jahren oder </w:t>
      </w:r>
    </w:p>
    <w:p w:rsidR="00BE1EFE" w:rsidRDefault="00BE1EFE">
      <w:pPr>
        <w:pStyle w:val="StandardWeb"/>
      </w:pPr>
      <w:r>
        <w:lastRenderedPageBreak/>
        <w:t>b) einen nach ärztlichem Gutachten pflegebedürftigen sonstigen Angehörigen tatsächlich betreuen oder pflegen und dringende dienstliche bzw. betriebliche Belange nicht entgegen</w:t>
      </w:r>
      <w:r>
        <w:softHyphen/>
        <w:t xml:space="preserve">stehen. </w:t>
      </w:r>
    </w:p>
    <w:p w:rsidR="00BE1EFE" w:rsidRDefault="00BE1EFE">
      <w:pPr>
        <w:pStyle w:val="StandardWeb"/>
      </w:pPr>
      <w:r>
        <w:rPr>
          <w:rStyle w:val="kleinschrift"/>
        </w:rPr>
        <w:t>2</w:t>
      </w:r>
      <w:r>
        <w:t xml:space="preserve">Die Teilzeitbeschäftigung nach Unterabs. 1 ist auf Antrag auf bis zu fünf Jahre zu befristen. </w:t>
      </w:r>
      <w:r>
        <w:rPr>
          <w:rStyle w:val="kleinschrift"/>
        </w:rPr>
        <w:t>3</w:t>
      </w:r>
      <w:r>
        <w:t xml:space="preserve">Sie kann verlängert werden; der Antrag ist spätestens sechs Monate vor Ablauf der vereinbarten Teilzeitbeschäftigung zu stellen. </w:t>
      </w:r>
    </w:p>
    <w:p w:rsidR="00BE1EFE" w:rsidRDefault="00BE1EFE">
      <w:pPr>
        <w:pStyle w:val="StandardWeb"/>
      </w:pPr>
      <w:r>
        <w:t xml:space="preserve">(2) Vollbeschäftigte Angestellte, die in anderen als den in Abs. 1 genannten Fällen eine Teilzeitbeschäftigung vereinbaren wollen, können von ihrem Arbeitgeber verlangen, dass er mit ihnen die Möglichkeit einer Teilzeitbeschäftigung mit dem Ziel erörtert, zu einer entsprechenden Vereinbarung zu gelangen. </w:t>
      </w:r>
    </w:p>
    <w:p w:rsidR="00BE1EFE" w:rsidRDefault="00BE1EFE">
      <w:pPr>
        <w:pStyle w:val="StandardWeb"/>
      </w:pPr>
      <w:r>
        <w:t xml:space="preserve">(3) Ist mit einem früher vollbeschäftigten Angestellten auf seinen Wunsch eine nicht befristete Teilzeitbeschäftigung vereinbart worden, soll der Angestellte bei späterer Besetzung eines Vollzeitarbeitsplatzes bei gleicher Eignung im Rahmen der dienstlichen bzw. betrieblichen Möglichkeiten bevorzugt berücksichtigt werden. </w:t>
      </w:r>
    </w:p>
    <w:p w:rsidR="00BE1EFE" w:rsidRDefault="00BE1EFE">
      <w:pPr>
        <w:pStyle w:val="StandardWeb"/>
      </w:pPr>
      <w:r>
        <w:t>(4) Die Abs. 1 bis 3 sind auf teilzeitbeschäftigte Angestellte entsprechend anzuwenden.</w:t>
      </w:r>
    </w:p>
    <w:p w:rsidR="00BE1EFE" w:rsidRDefault="00BE1EFE">
      <w:pPr>
        <w:pStyle w:val="StandardWeb"/>
      </w:pPr>
    </w:p>
    <w:p w:rsidR="00BE1EFE" w:rsidRDefault="00BE1EFE" w:rsidP="003575ED">
      <w:pPr>
        <w:pStyle w:val="StandardWeb"/>
        <w:autoSpaceDE w:val="0"/>
        <w:jc w:val="left"/>
      </w:pPr>
      <w:r>
        <w:rPr>
          <w:rStyle w:val="Fett"/>
          <w:bCs/>
        </w:rPr>
        <w:t xml:space="preserve">§ 15 c Mindestdauer, zeitliche Lage der Arbeitszeit </w:t>
      </w:r>
    </w:p>
    <w:p w:rsidR="00BE1EFE" w:rsidRDefault="00BE1EFE">
      <w:pPr>
        <w:pStyle w:val="StandardWeb"/>
        <w:jc w:val="center"/>
      </w:pPr>
    </w:p>
    <w:p w:rsidR="00BE1EFE" w:rsidRDefault="00BE1EFE">
      <w:pPr>
        <w:pStyle w:val="StandardWeb"/>
      </w:pPr>
      <w:r>
        <w:t xml:space="preserve">(1) Wird der Mitarbeiter vertraglich zur Arbeitsleistung entsprechend dem Arbeitsanfall in Anspruch genommen, ist für einen bestimmten Zeitraum (Woche, Monat oder drei Monate) eine bestimmte Mindestzahl von Wochenarbeitsstunden vertraglich festzulegen. </w:t>
      </w:r>
    </w:p>
    <w:p w:rsidR="00BE1EFE" w:rsidRDefault="00BE1EFE">
      <w:pPr>
        <w:pStyle w:val="StandardWeb"/>
      </w:pPr>
      <w:r>
        <w:t xml:space="preserve">(2) Der Arbeitgeber hat dem Mitarbeiter die zeitliche Lage der Arbeitszeit (Anfang und Ende) so früh wie möglich mitzuteilen. </w:t>
      </w:r>
    </w:p>
    <w:p w:rsidR="00BE1EFE" w:rsidRDefault="00BE1EFE">
      <w:pPr>
        <w:pStyle w:val="StandardWeb"/>
      </w:pPr>
      <w:r>
        <w:t>(3) § 4 Abs. 3 des Beschäftigungsförderungsgesetzes findet keine Anwendung.</w:t>
      </w:r>
    </w:p>
    <w:p w:rsidR="00BE1EFE" w:rsidRDefault="00BE1EFE">
      <w:pPr>
        <w:pStyle w:val="StandardWeb"/>
        <w:jc w:val="center"/>
      </w:pPr>
    </w:p>
    <w:p w:rsidR="00BE1EFE" w:rsidRDefault="00BE1EFE" w:rsidP="003575ED">
      <w:pPr>
        <w:pStyle w:val="StandardWeb"/>
        <w:autoSpaceDE w:val="0"/>
        <w:jc w:val="left"/>
      </w:pPr>
      <w:r>
        <w:rPr>
          <w:rStyle w:val="Fett"/>
          <w:bCs/>
        </w:rPr>
        <w:t>§ 15 d Arbeitsplatzteilung</w:t>
      </w:r>
    </w:p>
    <w:p w:rsidR="00BE1EFE" w:rsidRDefault="00BE1EFE">
      <w:pPr>
        <w:pStyle w:val="StandardWeb"/>
        <w:jc w:val="center"/>
      </w:pPr>
    </w:p>
    <w:p w:rsidR="00BE1EFE" w:rsidRDefault="00BE1EFE">
      <w:pPr>
        <w:pStyle w:val="StandardWeb"/>
      </w:pPr>
      <w:r>
        <w:t>(1) </w:t>
      </w:r>
      <w:r>
        <w:rPr>
          <w:rStyle w:val="kleinschrift"/>
        </w:rPr>
        <w:t>1</w:t>
      </w:r>
      <w:r>
        <w:t xml:space="preserve">Vereinbart der Arbeitgeber ausnahmsweise mit zwei oder mehr Mitarbeitern, dass sich diese die Arbeitszeit an einem Arbeitsplatz teilen (Arbeitsplatzteilung), so ist er beim Abschluss des Arbeitsvertrages für den Mitarbeiter vorab berechtigt, die in die Arbeitsplatzteilung einbezogenen Mitarbeiter für den Fall eines dringenden betrieblichen Erfordernisses zur Vertretung des anderen Mitarbeiters arbeitsvertraglich zu verpflichten. </w:t>
      </w:r>
      <w:r>
        <w:rPr>
          <w:rStyle w:val="kleinschrift"/>
        </w:rPr>
        <w:t>2</w:t>
      </w:r>
      <w:r>
        <w:t xml:space="preserve">Der Mitarbeiter ist zur Vertretung nur verpflichtet, soweit sie ihm im Einzelfall zumutbar ist. </w:t>
      </w:r>
    </w:p>
    <w:p w:rsidR="00BE1EFE" w:rsidRDefault="00BE1EFE">
      <w:pPr>
        <w:pStyle w:val="StandardWeb"/>
      </w:pPr>
      <w:r>
        <w:t>(2) Abs. 1 ist entsprechend anzuwenden, wenn sich Gruppen von Mitarbeitern auf bestimmten Arbeitsplätzen in festgelegten Zeitabschnitten abwechseln, ohne dass eine Arbeitsplatzteilung i. S. d. Abs. 1 vorliegt.</w:t>
      </w:r>
    </w:p>
    <w:p w:rsidR="00BE1EFE" w:rsidRDefault="00BE1EFE">
      <w:pPr>
        <w:pStyle w:val="StandardWeb"/>
      </w:pPr>
    </w:p>
    <w:p w:rsidR="00BE1EFE" w:rsidRDefault="00BE1EFE" w:rsidP="003575ED">
      <w:pPr>
        <w:pStyle w:val="Leerzeile"/>
      </w:pPr>
      <w:r>
        <w:rPr>
          <w:rStyle w:val="Fett"/>
          <w:bCs/>
        </w:rPr>
        <w:t xml:space="preserve">§ 16 Arbeitszeit an Samstagen und Vorfesttagen, Arbeitszeit an Mariä Himmelfahrt </w:t>
      </w:r>
    </w:p>
    <w:p w:rsidR="00BE1EFE" w:rsidRDefault="00BE1EFE">
      <w:pPr>
        <w:pStyle w:val="StandardWeb"/>
        <w:jc w:val="center"/>
      </w:pPr>
    </w:p>
    <w:p w:rsidR="00BE1EFE" w:rsidRDefault="00BE1EFE">
      <w:pPr>
        <w:pStyle w:val="StandardWeb"/>
      </w:pPr>
      <w:r>
        <w:t xml:space="preserve">(1) Soweit die dienstlichen oder betrieblichen Verhältnisse es zulassen, soll an Samstagen nicht gearbeitet werden. </w:t>
      </w:r>
    </w:p>
    <w:p w:rsidR="00BE1EFE" w:rsidRDefault="00BE1EFE">
      <w:pPr>
        <w:pStyle w:val="StandardWeb"/>
      </w:pPr>
      <w:r>
        <w:t>(2) </w:t>
      </w:r>
      <w:r>
        <w:rPr>
          <w:rStyle w:val="kleinschrift"/>
        </w:rPr>
        <w:t>1</w:t>
      </w:r>
      <w:r>
        <w:t xml:space="preserve">Soweit die dienstlichen oder betrieblichen Verhältnisse es zulassen, wird an dem Tage vor dem ersten Weihnachtsfeiertag und vor Neujahr jeweils ganztägig sowie an dem Tage vor Ostersonntag und vor Pfingstsonntag jeweils ab 12.00 Uhr Arbeitsbefreiung unter Fortzahlung der Vergütung (§ 26) und der in Monatsbeträgen festgelegten Zulagen erteilt. </w:t>
      </w:r>
      <w:r>
        <w:rPr>
          <w:rStyle w:val="kleinschrift"/>
        </w:rPr>
        <w:t>2</w:t>
      </w:r>
      <w:r>
        <w:t xml:space="preserve">Dem Angestellten, dem diese Arbeitsbefreiung aus dienstlichen oder betrieblichen Gründen nicht erteilt werden kann, wird an einem anderen Tage entsprechende Freizeit unter Fortzahlung der Vergütung (§ 26) und der in Monatsbeträgen festgelegten Zulagen erteilt. </w:t>
      </w:r>
    </w:p>
    <w:p w:rsidR="00BE1EFE" w:rsidRDefault="00BE1EFE">
      <w:pPr>
        <w:pStyle w:val="StandardWeb"/>
      </w:pPr>
      <w:r>
        <w:t>(3) </w:t>
      </w:r>
      <w:r>
        <w:rPr>
          <w:rStyle w:val="kleinschrift"/>
        </w:rPr>
        <w:t>1</w:t>
      </w:r>
      <w:r>
        <w:t xml:space="preserve">Dem Mitarbeiter wird an Mariä Himmelfahrt ganztägig unter Fortzahlung der Vergütung (§ 26) und der in Monatsbeträgen festgelegten Zulagen Arbeitsbefreiung erteilt. </w:t>
      </w:r>
      <w:r>
        <w:rPr>
          <w:rStyle w:val="kleinschrift"/>
        </w:rPr>
        <w:t>2</w:t>
      </w:r>
      <w:r>
        <w:t xml:space="preserve">Dem Mitarbeiter, dem diese Arbeitsbefreiung aus dienstlichen oder betrieblichen Gründen nicht erteilt werden kann, wird an einem anderen Tage entsprechende Freizeit unter Fortzahlung der Vergütung (§ 26) und der in Monatsbeträgen festgelegten Zulagen erteilt. </w:t>
      </w:r>
    </w:p>
    <w:p w:rsidR="00BE1EFE" w:rsidRDefault="00BE1EFE">
      <w:pPr>
        <w:pStyle w:val="StandardWeb"/>
      </w:pPr>
      <w:r w:rsidRPr="009C6551">
        <w:rPr>
          <w:rStyle w:val="kleinschrift1"/>
        </w:rPr>
        <w:t xml:space="preserve">Anmerkung zu Abs. 2 und Abs. 3: </w:t>
      </w:r>
    </w:p>
    <w:p w:rsidR="00BE1EFE" w:rsidRDefault="00BE1EFE">
      <w:pPr>
        <w:pStyle w:val="StandardWeb"/>
      </w:pPr>
      <w:r w:rsidRPr="009C6551">
        <w:rPr>
          <w:rStyle w:val="kleinschrift1"/>
        </w:rPr>
        <w:lastRenderedPageBreak/>
        <w:t xml:space="preserve">Die nach Satz 1 zustehende Arbeitsbefreiung an dem Tage vor dem ersten Weihnachtsfeiertag und vor Neujahr und an Mariä Himmelfahrt ist für Angestellte, die dienstplanmäßig an allen Tagen der Woche oder im Wechselschicht- oder Schichtdienst arbeiten und deren Dienstplan an einem oder an beiden dieser Tage für die Zeit bis 12.00 Uhr keine Arbeit vorsieht, im Umfang von jeweils einem Zehntel der für den Angestellten geltenden durchschnittlichen wöchentlichen Arbeitszeit zu gewähren, es sei denn, diese Tage fallen auf einen Samstag oder Sonntag, oder bei Angestellten, deren Arbeitszeit auf weniger als fünf Tage in der Woche verteilt ist, auf einen für den Angestellten regelmäßig arbeitsfreien Tag. </w:t>
      </w:r>
    </w:p>
    <w:p w:rsidR="00BE1EFE" w:rsidRDefault="00BE1EFE">
      <w:pPr>
        <w:pStyle w:val="StandardWeb"/>
      </w:pPr>
    </w:p>
    <w:p w:rsidR="00BE1EFE" w:rsidRDefault="00BE1EFE" w:rsidP="003575ED">
      <w:pPr>
        <w:pStyle w:val="StandardWeb"/>
        <w:autoSpaceDE w:val="0"/>
        <w:jc w:val="left"/>
      </w:pPr>
      <w:r>
        <w:rPr>
          <w:rStyle w:val="Fett"/>
          <w:bCs/>
        </w:rPr>
        <w:t xml:space="preserve">§ 16 a Nichtdienstplanmäßige Arbeit </w:t>
      </w:r>
    </w:p>
    <w:p w:rsidR="00BE1EFE" w:rsidRDefault="00BE1EFE">
      <w:pPr>
        <w:pStyle w:val="StandardWeb"/>
        <w:jc w:val="center"/>
      </w:pPr>
    </w:p>
    <w:p w:rsidR="00BE1EFE" w:rsidRDefault="00BE1EFE">
      <w:pPr>
        <w:pStyle w:val="StandardWeb"/>
      </w:pPr>
      <w:r>
        <w:t xml:space="preserve">(1) Werden unmittelbar vor Beginn der dienstplanmäßigen bzw. betriebsüblichen täglichen Arbeitszeit oder in unmittelbarem Anschluss daran mindestens zwei Arbeitsstunden geleistet, ist eine viertelstündige, werden mehr als drei Arbeitsstunden geleistet, ist eine insgesamt halbstündige Pause zu gewähren, die als Arbeitszeit anzurechnen ist. </w:t>
      </w:r>
    </w:p>
    <w:p w:rsidR="00BE1EFE" w:rsidRDefault="00BE1EFE">
      <w:pPr>
        <w:pStyle w:val="StandardWeb"/>
      </w:pPr>
      <w:r>
        <w:t>(2) </w:t>
      </w:r>
      <w:r>
        <w:rPr>
          <w:rStyle w:val="kleinschrift"/>
        </w:rPr>
        <w:t>1</w:t>
      </w:r>
      <w:r>
        <w:t xml:space="preserve">Wird Nacht-, Sonntags- oder Feiertagsarbeit geleistet, die der dienstplanmäßigen bzw. betriebsüblichen täglichen Arbeitszeit nicht unmittelbar vorangeht oder folgt, werden für die Vergütungsberechnung mindestens drei Arbeitsstunden angesetzt. </w:t>
      </w:r>
      <w:r>
        <w:rPr>
          <w:rStyle w:val="kleinschrift"/>
        </w:rPr>
        <w:t>2</w:t>
      </w:r>
      <w:r>
        <w:t>Bei mehreren Inanspruchnahmen bis zum nächsten dienstplanmäßigen bzw. betriebsüblichen Arbeitsbeginn wird die Stundengarantie nach Satz 1 nur einmal, und zwar für die kürzeste Inanspruchnahme angesetzt.</w:t>
      </w:r>
    </w:p>
    <w:p w:rsidR="00BE1EFE" w:rsidRDefault="00BE1EFE">
      <w:pPr>
        <w:pStyle w:val="StandardWeb"/>
      </w:pPr>
      <w:r>
        <w:rPr>
          <w:rStyle w:val="kleinschrift"/>
        </w:rPr>
        <w:t>3</w:t>
      </w:r>
      <w:r>
        <w:t xml:space="preserve">Voraussetzung für die Anwendung des Unterabs. 1 ist bei Angestellten, die innerhalb der Einrichtung wohnen, dass die Arbeitsleistung außerhalb der Einrichtung erbracht wird. </w:t>
      </w:r>
    </w:p>
    <w:p w:rsidR="00BE1EFE" w:rsidRDefault="00BE1EFE">
      <w:pPr>
        <w:pStyle w:val="StandardWeb"/>
      </w:pPr>
      <w:r>
        <w:rPr>
          <w:rStyle w:val="kleinschrift"/>
        </w:rPr>
        <w:t>4</w:t>
      </w:r>
      <w:r>
        <w:t>Unterabs. 1 gilt nicht für gelegentliche unwesentliche Arbeitsleistungen, die die Freizeit des Angestellten nur unerheblich (etwa 15 Minuten) in Anspruch nehmen, oder für Arbeitsleistungen während der Rufbereitschaft.</w:t>
      </w:r>
    </w:p>
    <w:p w:rsidR="00BE1EFE" w:rsidRDefault="00BE1EFE">
      <w:pPr>
        <w:pStyle w:val="StandardWeb"/>
        <w:jc w:val="center"/>
      </w:pPr>
    </w:p>
    <w:p w:rsidR="00BE1EFE" w:rsidRDefault="00BE1EFE" w:rsidP="003575ED">
      <w:pPr>
        <w:pStyle w:val="StandardWeb"/>
        <w:autoSpaceDE w:val="0"/>
        <w:jc w:val="left"/>
      </w:pPr>
      <w:r>
        <w:rPr>
          <w:rStyle w:val="Fett"/>
          <w:bCs/>
        </w:rPr>
        <w:t xml:space="preserve">§ 17 Überstunden </w:t>
      </w:r>
    </w:p>
    <w:p w:rsidR="00BE1EFE" w:rsidRDefault="00BE1EFE">
      <w:pPr>
        <w:pStyle w:val="StandardWeb"/>
        <w:jc w:val="center"/>
      </w:pPr>
    </w:p>
    <w:p w:rsidR="00BE1EFE" w:rsidRDefault="00BE1EFE">
      <w:pPr>
        <w:pStyle w:val="StandardWeb"/>
      </w:pPr>
      <w:r>
        <w:t>(1) </w:t>
      </w:r>
      <w:r>
        <w:rPr>
          <w:rStyle w:val="kleinschrift"/>
        </w:rPr>
        <w:t>1</w:t>
      </w:r>
      <w:r>
        <w:t xml:space="preserve">Überstunden sind die auf Anordnung geleisteten Arbeitsstunden, die über die im Rahmen der regelmäßigen Arbeitszeit (§ 15 Abs. 1 bis 4 und die entsprechenden Sonderregelungen hierzu) für die Woche dienstplanmäßig bzw. betriebsüblich festgesetzten Arbeitsstunden hinausgehen. </w:t>
      </w:r>
    </w:p>
    <w:p w:rsidR="00BE1EFE" w:rsidRDefault="00BE1EFE">
      <w:pPr>
        <w:pStyle w:val="StandardWeb"/>
      </w:pPr>
      <w:r>
        <w:rPr>
          <w:rStyle w:val="kleinschrift"/>
        </w:rPr>
        <w:t>2</w:t>
      </w:r>
      <w:r>
        <w:t xml:space="preserve">Überstunden sind auf dringende Fälle zu beschränken und möglichst gleichmäßig auf die Angestellten zu verteilen. </w:t>
      </w:r>
      <w:r>
        <w:rPr>
          <w:rStyle w:val="kleinschrift"/>
        </w:rPr>
        <w:t>3</w:t>
      </w:r>
      <w:r>
        <w:t xml:space="preserve">Soweit ihre Notwendigkeit voraussehbar ist, sind sie spätestens am Vortage anzusagen. </w:t>
      </w:r>
    </w:p>
    <w:p w:rsidR="00BE1EFE" w:rsidRDefault="00BE1EFE">
      <w:pPr>
        <w:pStyle w:val="StandardWeb"/>
      </w:pPr>
      <w:r>
        <w:rPr>
          <w:rStyle w:val="kleinschrift"/>
        </w:rPr>
        <w:t>4</w:t>
      </w:r>
      <w:r>
        <w:t xml:space="preserve">Die im Rahmen des § 15 Abs. 3 für die Woche dienstplanmäßig bzw. betriebsüblich festgesetzten Arbeitsstunden, die über die im Rahmen der regelmäßigen Arbeitszeit des § 15 Abs. 1 festgesetzten Arbeitsstunden hinausgehen, gelten für die Vergütungsberechnung als Überstunden. </w:t>
      </w:r>
    </w:p>
    <w:p w:rsidR="00BE1EFE" w:rsidRDefault="00BE1EFE">
      <w:pPr>
        <w:pStyle w:val="StandardWeb"/>
      </w:pPr>
      <w:r>
        <w:t>(2) </w:t>
      </w:r>
      <w:r>
        <w:rPr>
          <w:rStyle w:val="kleinschrift"/>
        </w:rPr>
        <w:t>1</w:t>
      </w:r>
      <w:r>
        <w:t xml:space="preserve">Bei Dienstreisen gilt nur die Zeit der dienstlichen Inanspruchnahme am auswärtigen Geschäftsort als Arbeitszeit. </w:t>
      </w:r>
      <w:r>
        <w:rPr>
          <w:rStyle w:val="kleinschrift"/>
        </w:rPr>
        <w:t>2</w:t>
      </w:r>
      <w:r>
        <w:t xml:space="preserve">Es wird jedoch für jeden Tag einschließlich der Reisetage mindestens die dienstplanmäßige bzw. betriebsübliche Arbeitszeit berücksichtigt. </w:t>
      </w:r>
    </w:p>
    <w:p w:rsidR="00BE1EFE" w:rsidRDefault="00BE1EFE">
      <w:pPr>
        <w:pStyle w:val="StandardWeb"/>
      </w:pPr>
      <w:r>
        <w:t>(2a) </w:t>
      </w:r>
      <w:r>
        <w:rPr>
          <w:rStyle w:val="kleinschrift"/>
        </w:rPr>
        <w:t>1</w:t>
      </w:r>
      <w:r>
        <w:t xml:space="preserve">Die über die tägliche dienstplanmäßige bzw. betriebsübliche Arbeitszeit hinausgehende Reisezeit wird wie regelmäßige Arbeitszeit vergütet oder wie Zeiten im Sinne des § 15 Abs. 1 ausgeglichen. </w:t>
      </w:r>
      <w:r>
        <w:rPr>
          <w:rStyle w:val="kleinschrift"/>
        </w:rPr>
        <w:t>2</w:t>
      </w:r>
      <w:r>
        <w:t xml:space="preserve">Dabei wird bei Dienstreisen die Zeit, die für die Hin- und Rückreise zum und vom auswärtigen Geschäftsort benötigt wird, bis zu zehn Stunden täglich einschließlich der Arbeitszeit (Montag mit Freitag) angerechnet. </w:t>
      </w:r>
    </w:p>
    <w:p w:rsidR="00BE1EFE" w:rsidRDefault="00BE1EFE">
      <w:pPr>
        <w:pStyle w:val="StandardWeb"/>
      </w:pPr>
      <w:r>
        <w:rPr>
          <w:rStyle w:val="kleinschrift"/>
        </w:rPr>
        <w:t>3</w:t>
      </w:r>
      <w:r>
        <w:t xml:space="preserve">Bei Dienstreisen an Samstagen und Sonntagen wird die Reisezeit in vollem Umfang bis 60 Stunden pro Kalenderwoche (Montag mit Sonntag) angerechnet. </w:t>
      </w:r>
    </w:p>
    <w:p w:rsidR="00BE1EFE" w:rsidRDefault="00BE1EFE">
      <w:pPr>
        <w:pStyle w:val="StandardWeb"/>
      </w:pPr>
      <w:r>
        <w:rPr>
          <w:rStyle w:val="kleinschrift"/>
        </w:rPr>
        <w:t>4</w:t>
      </w:r>
      <w:r>
        <w:t xml:space="preserve">Muss bei eintägigen Dienstreisen von Angestellten, die in der Regel mindestens an zehn Tagen im Monat außerhalb ihres ständigen Dienstortes arbeiten, am auswärtigen Geschäftsort mindestens die dienstplanmäßige bzw. betriebsübliche Arbeitszeit abgeleistet werden und müssen für die Hin- und Rückreise zum oder vom Geschäftsort einschließlich der erforderlichen Wartezeiten mehr als zwei Stunden aufgewendet werden, wird der Arbeitszeit eine Stunde hinzugerechnet. </w:t>
      </w:r>
    </w:p>
    <w:p w:rsidR="00BE1EFE" w:rsidRDefault="00BE1EFE">
      <w:pPr>
        <w:pStyle w:val="StandardWeb"/>
      </w:pPr>
      <w:r>
        <w:lastRenderedPageBreak/>
        <w:t>(2b) </w:t>
      </w:r>
      <w:r>
        <w:rPr>
          <w:rStyle w:val="kleinschrift"/>
        </w:rPr>
        <w:t>1</w:t>
      </w:r>
      <w:r>
        <w:t xml:space="preserve">Zeitzuschläge gem. § 35 werden nur für Zeiten der dienstlichen Inanspruchnahme, nicht jedoch für Reisezeiten gewährt. </w:t>
      </w:r>
      <w:r>
        <w:rPr>
          <w:rStyle w:val="kleinschrift"/>
        </w:rPr>
        <w:t>2</w:t>
      </w:r>
      <w:r>
        <w:t xml:space="preserve">Die über die regelmäßige wöchentliche Arbeitszeit (§ 15) hinaus geleisteten Arbeitsstunden und Reisezeiten sind grundsätzlich gem. Abs. 5 durch entsprechende Arbeitsbefreiung auszugleichen. </w:t>
      </w:r>
    </w:p>
    <w:p w:rsidR="00BE1EFE" w:rsidRDefault="00BE1EFE">
      <w:pPr>
        <w:pStyle w:val="StandardWeb"/>
      </w:pPr>
      <w:r>
        <w:t>(3) </w:t>
      </w:r>
      <w:r>
        <w:rPr>
          <w:rStyle w:val="kleinschrift"/>
        </w:rPr>
        <w:t>1</w:t>
      </w:r>
      <w:r>
        <w:t xml:space="preserve">Bei der Überstundenberechnung sind für jeden im Berechnungszeitraum liegenden Urlaubstag, Krankheitstag sowie für jeden sonstigen Tag einschließlich eines Wochenfeiertages, an dem der Angestellte von der Arbeit freigestellt war, die Stunden mitzuzählen, die der Angestellte ohne diese Ausfallgründe innerhalb der regelmäßigen Arbeitszeit dienstplanmäßig bzw. betriebsüblich geleistet hätte. </w:t>
      </w:r>
      <w:r>
        <w:rPr>
          <w:rStyle w:val="kleinschrift"/>
        </w:rPr>
        <w:t>2</w:t>
      </w:r>
      <w:r>
        <w:t>Vor- oder nachgeleistete Arbeitsstunden bleiben unberücksichtigt.</w:t>
      </w:r>
    </w:p>
    <w:p w:rsidR="00BE1EFE" w:rsidRDefault="00BE1EFE">
      <w:pPr>
        <w:pStyle w:val="StandardWeb"/>
      </w:pPr>
      <w:r>
        <w:t>(4) </w:t>
      </w:r>
      <w:r>
        <w:rPr>
          <w:rStyle w:val="kleinschrift"/>
        </w:rPr>
        <w:t>1</w:t>
      </w:r>
      <w:r>
        <w:t xml:space="preserve">Gelegentliche Überstunden können für insgesamt sechs Arbeitstage innerhalb eines Kalendermonats auch vom unmittelbaren Vorgesetzten angeordnet werden. </w:t>
      </w:r>
      <w:r>
        <w:rPr>
          <w:rStyle w:val="kleinschrift"/>
        </w:rPr>
        <w:t>2</w:t>
      </w:r>
      <w:r>
        <w:t xml:space="preserve">Andere Überstunden sind vorher schriftlich anzuordnen. </w:t>
      </w:r>
    </w:p>
    <w:p w:rsidR="00BE1EFE" w:rsidRDefault="00BE1EFE">
      <w:pPr>
        <w:pStyle w:val="StandardWeb"/>
      </w:pPr>
      <w:r>
        <w:t>(5) </w:t>
      </w:r>
      <w:r>
        <w:rPr>
          <w:rStyle w:val="kleinschrift"/>
        </w:rPr>
        <w:t>1</w:t>
      </w:r>
      <w:r>
        <w:t xml:space="preserve">Überstunden sind grundsätzlich durch entsprechende Arbeitsbefreiung auszugleichen; die Arbeitsbefreiung ist möglichst bis zum Ende des nächsten Kalendermonats, spätestens bis zum Ende des dritten Kalendermonats nach Ableistung der Überstunden zu erteilen. </w:t>
      </w:r>
      <w:r>
        <w:rPr>
          <w:rStyle w:val="kleinschrift"/>
        </w:rPr>
        <w:t>2</w:t>
      </w:r>
      <w:r>
        <w:t xml:space="preserve">Für die Zeit, in der Überstunden ausgeglichen werden, werden die Vergütung (§ 26) und die in Monatsbeträgen festgelegten Zulagen fortgezahlt. </w:t>
      </w:r>
      <w:r>
        <w:rPr>
          <w:rStyle w:val="kleinschrift"/>
        </w:rPr>
        <w:t>3</w:t>
      </w:r>
      <w:r>
        <w:t xml:space="preserve">Im Übrigen wird für die ausgeglichenen Überstunden nach Ablauf des Ausgleichzeitraumes lediglich der Zeitzuschlag für Überstunden (§ 35 Abs. 1 Satz 2 Buchst. a) gezahlt. </w:t>
      </w:r>
      <w:r>
        <w:rPr>
          <w:rStyle w:val="kleinschrift"/>
        </w:rPr>
        <w:t>4</w:t>
      </w:r>
      <w:r>
        <w:t>Für jede nicht ausgeglichene Überstunde wird die Überstundenvergütung (§ 35 Abs. 3 Unterabs. 2) gezahlt.</w:t>
      </w:r>
    </w:p>
    <w:p w:rsidR="00BE1EFE" w:rsidRDefault="00BE1EFE">
      <w:pPr>
        <w:pStyle w:val="StandardWeb"/>
      </w:pPr>
    </w:p>
    <w:p w:rsidR="00BE1EFE" w:rsidRDefault="00BE1EFE">
      <w:pPr>
        <w:pStyle w:val="StandardWeb"/>
        <w:jc w:val="center"/>
      </w:pPr>
    </w:p>
    <w:p w:rsidR="00BE1EFE" w:rsidRDefault="00BE1EFE" w:rsidP="003575ED">
      <w:pPr>
        <w:pStyle w:val="StandardWeb"/>
        <w:autoSpaceDE w:val="0"/>
        <w:jc w:val="left"/>
      </w:pPr>
      <w:r>
        <w:rPr>
          <w:rStyle w:val="Fett"/>
          <w:bCs/>
        </w:rPr>
        <w:t xml:space="preserve">§ 18 Arbeitsversäumnis </w:t>
      </w:r>
    </w:p>
    <w:p w:rsidR="00BE1EFE" w:rsidRDefault="00BE1EFE">
      <w:pPr>
        <w:pStyle w:val="StandardWeb"/>
        <w:jc w:val="center"/>
      </w:pPr>
    </w:p>
    <w:p w:rsidR="00BE1EFE" w:rsidRDefault="00BE1EFE">
      <w:pPr>
        <w:pStyle w:val="StandardWeb"/>
      </w:pPr>
      <w:r>
        <w:t>(1) </w:t>
      </w:r>
      <w:r>
        <w:rPr>
          <w:rStyle w:val="kleinschrift"/>
        </w:rPr>
        <w:t>1</w:t>
      </w:r>
      <w:r>
        <w:t xml:space="preserve">Die Arbeitszeit ist pünktlich einzuhalten. </w:t>
      </w:r>
      <w:r>
        <w:rPr>
          <w:rStyle w:val="kleinschrift"/>
        </w:rPr>
        <w:t>2</w:t>
      </w:r>
      <w:r>
        <w:t>Persönliche Angelegenheiten hat der Angestell</w:t>
      </w:r>
      <w:r>
        <w:softHyphen/>
        <w:t xml:space="preserve">te unbeschadet des § 52 grundsätzlich außerhalb der Arbeitszeit zu erledigen. </w:t>
      </w:r>
    </w:p>
    <w:p w:rsidR="00BE1EFE" w:rsidRDefault="00BE1EFE">
      <w:pPr>
        <w:pStyle w:val="StandardWeb"/>
      </w:pPr>
      <w:r>
        <w:t>(2) </w:t>
      </w:r>
      <w:r>
        <w:rPr>
          <w:rStyle w:val="kleinschrift"/>
        </w:rPr>
        <w:t>1</w:t>
      </w:r>
      <w:r>
        <w:t>Der Angestellte darf nur mit vorheriger Zustimmung des Arbeitgebers der Arbeit fernblei</w:t>
      </w:r>
      <w:r>
        <w:softHyphen/>
        <w:t xml:space="preserve">ben. </w:t>
      </w:r>
      <w:r>
        <w:rPr>
          <w:rStyle w:val="kleinschrift"/>
        </w:rPr>
        <w:t>2</w:t>
      </w:r>
      <w:r>
        <w:t xml:space="preserve">Kann die Zustimmung den Umständen nach nicht vorher eingeholt werden, ist sie unverzüglich zu beantragen. </w:t>
      </w:r>
      <w:r>
        <w:rPr>
          <w:rStyle w:val="kleinschrift"/>
        </w:rPr>
        <w:t>3</w:t>
      </w:r>
      <w:r>
        <w:t>Bei nicht genehmigtem Fernbleiben besteht kein Anspruch auf Bezüge.</w:t>
      </w:r>
    </w:p>
    <w:p w:rsidR="00BE1EFE" w:rsidRDefault="00BE1EFE" w:rsidP="006731BD">
      <w:pPr>
        <w:pStyle w:val="StandardWeb"/>
      </w:pPr>
    </w:p>
    <w:p w:rsidR="00BE1EFE" w:rsidRDefault="00BE1EFE" w:rsidP="0054275E">
      <w:pPr>
        <w:pStyle w:val="StandardWeb"/>
        <w:autoSpaceDE w:val="0"/>
        <w:jc w:val="center"/>
        <w:rPr>
          <w:b/>
          <w:bCs/>
        </w:rPr>
      </w:pPr>
      <w:r>
        <w:rPr>
          <w:rStyle w:val="Fett"/>
          <w:bCs/>
        </w:rPr>
        <w:t xml:space="preserve">Abschnitt V </w:t>
      </w:r>
    </w:p>
    <w:p w:rsidR="00BE1EFE" w:rsidRDefault="00BE1EFE" w:rsidP="0054275E">
      <w:pPr>
        <w:pStyle w:val="StandardWeb"/>
        <w:autoSpaceDE w:val="0"/>
        <w:jc w:val="center"/>
        <w:rPr>
          <w:b/>
          <w:bCs/>
        </w:rPr>
      </w:pPr>
      <w:r>
        <w:rPr>
          <w:rStyle w:val="Fett"/>
          <w:bCs/>
        </w:rPr>
        <w:t xml:space="preserve">Beschäftigungszeit, Dienstzeit </w:t>
      </w:r>
    </w:p>
    <w:p w:rsidR="00BE1EFE" w:rsidRDefault="00BE1EFE">
      <w:pPr>
        <w:pStyle w:val="StandardWeb"/>
        <w:jc w:val="center"/>
        <w:rPr>
          <w:b/>
          <w:bCs/>
        </w:rPr>
      </w:pPr>
    </w:p>
    <w:p w:rsidR="00BE1EFE" w:rsidRDefault="00BE1EFE" w:rsidP="003575ED">
      <w:pPr>
        <w:pStyle w:val="StandardWeb"/>
        <w:autoSpaceDE w:val="0"/>
        <w:jc w:val="left"/>
      </w:pPr>
      <w:r>
        <w:rPr>
          <w:rStyle w:val="Fett"/>
          <w:bCs/>
        </w:rPr>
        <w:t xml:space="preserve">§ 19 Beschäftigungszeit </w:t>
      </w:r>
    </w:p>
    <w:p w:rsidR="00BE1EFE" w:rsidRDefault="00BE1EFE">
      <w:pPr>
        <w:pStyle w:val="StandardWeb"/>
        <w:jc w:val="center"/>
      </w:pPr>
    </w:p>
    <w:p w:rsidR="00BE1EFE" w:rsidRDefault="00BE1EFE">
      <w:pPr>
        <w:pStyle w:val="StandardWeb"/>
      </w:pPr>
      <w:r>
        <w:t>(1) </w:t>
      </w:r>
      <w:r>
        <w:rPr>
          <w:rStyle w:val="kleinschrift"/>
        </w:rPr>
        <w:t>1</w:t>
      </w:r>
      <w:r>
        <w:t>Beschäftigungszeit ist die bei demselben Arbeitgeber nach Vollendung des 18. Lebens</w:t>
      </w:r>
      <w:r>
        <w:softHyphen/>
        <w:t xml:space="preserve">jahres in einem Arbeitsverhältnis zurückgelegte Zeit, auch wenn sie unterbrochen ist. </w:t>
      </w:r>
    </w:p>
    <w:p w:rsidR="00BE1EFE" w:rsidRDefault="00BE1EFE">
      <w:pPr>
        <w:pStyle w:val="StandardWeb"/>
      </w:pPr>
      <w:r>
        <w:rPr>
          <w:rStyle w:val="kleinschrift"/>
        </w:rPr>
        <w:t>2</w:t>
      </w:r>
      <w:r>
        <w:t xml:space="preserve">Ist der Angestellte aus seinem Verschulden oder auf eigenen Wunsch aus dem Arbeitsverhältnis ausgeschieden, so gilt die vor dem Ausscheiden liegende Zeit nicht als Beschäftigungszeit, es sei denn, dass er das Arbeitsverhältnis wegen eines mit Sicherheit erwarteten Personalabbaues oder wegen Unfähigkeit zur Fortsetzung der Arbeit infolge einer Körperbeschädigung oder einer in Ausübung oder infolge seiner Arbeit erlittenen Gesundheitsschädigung aufgelöst hat oder die Nichtanrechnung der Beschäftigungszeit aus sonstigen Gründen eine unbillige Härte darstellen würde. </w:t>
      </w:r>
    </w:p>
    <w:p w:rsidR="00BE1EFE" w:rsidRDefault="00BE1EFE">
      <w:pPr>
        <w:pStyle w:val="StandardWeb"/>
      </w:pPr>
      <w:r>
        <w:t xml:space="preserve">(2) Übernimmt ein Arbeitgeber eine Einrichtung oder Dienststelle oder geschlossene Teile einer solchen von einem Arbeitgeber, der das ABD oder ein Arbeitsvertragswerk wesentlich gleichen Inhalts anwendet, so werden die bei der Einrichtung oder der Dienststelle bis zur Übernahme zurückgelegten Zeiten nach Maßgabe des Abs. 1 als Beschäftigungszeit angerechnet. </w:t>
      </w:r>
    </w:p>
    <w:p w:rsidR="00BE1EFE" w:rsidRDefault="00BE1EFE">
      <w:pPr>
        <w:pStyle w:val="StandardWeb"/>
      </w:pPr>
      <w:r>
        <w:t>(3) Die Abs. 1 und 2 gelten sinngemäß für ehemalige Beamte, jedoch nicht für Ehrenbeamte und für Beamte, die nur nebenbei beschäftigt werden.</w:t>
      </w:r>
    </w:p>
    <w:p w:rsidR="00BE1EFE" w:rsidRDefault="00BE1EFE">
      <w:pPr>
        <w:pStyle w:val="StandardWeb"/>
        <w:jc w:val="center"/>
      </w:pPr>
    </w:p>
    <w:p w:rsidR="00BE1EFE" w:rsidRDefault="00BE1EFE" w:rsidP="003575ED">
      <w:pPr>
        <w:pStyle w:val="StandardWeb"/>
        <w:autoSpaceDE w:val="0"/>
        <w:jc w:val="left"/>
      </w:pPr>
      <w:r>
        <w:rPr>
          <w:rStyle w:val="Fett"/>
          <w:bCs/>
        </w:rPr>
        <w:t xml:space="preserve">§ 20 Dienstzeit </w:t>
      </w:r>
    </w:p>
    <w:p w:rsidR="00BE1EFE" w:rsidRDefault="00BE1EFE">
      <w:pPr>
        <w:pStyle w:val="StandardWeb"/>
        <w:jc w:val="center"/>
      </w:pPr>
    </w:p>
    <w:p w:rsidR="00BE1EFE" w:rsidRDefault="00BE1EFE">
      <w:pPr>
        <w:pStyle w:val="StandardWeb"/>
      </w:pPr>
      <w:r>
        <w:t xml:space="preserve">(1) Die Dienstzeit umfasst die Beschäftigungszeit (§ 19) und die nach den Abs. 2 bis 6 angerechneten Zeiten einer früheren Beschäftigung, soweit diese nicht schon bei der Berechnung der Beschäftigungszeit berücksichtigt sind. </w:t>
      </w:r>
    </w:p>
    <w:p w:rsidR="00BE1EFE" w:rsidRDefault="00BE1EFE">
      <w:pPr>
        <w:pStyle w:val="StandardWeb"/>
      </w:pPr>
      <w:r>
        <w:t>(2) </w:t>
      </w:r>
      <w:r>
        <w:rPr>
          <w:rStyle w:val="kleinschrift"/>
        </w:rPr>
        <w:t>1</w:t>
      </w:r>
      <w:r>
        <w:t xml:space="preserve">Anzurechnen sind die Zeiten einer nach Vollendung des 18. Lebensjahres beruflich im Beamten-, Angestellten- oder Arbeiterverhältnis verbrachten Tätigkeit </w:t>
      </w:r>
    </w:p>
    <w:p w:rsidR="00BE1EFE" w:rsidRDefault="00BE1EFE">
      <w:pPr>
        <w:pStyle w:val="StandardWeb"/>
      </w:pPr>
      <w:r>
        <w:t>a) beim Bund, bei den Ländern, bei den Gemeinden und Gemeindeverbänden und sonstigen Mitgliedern der Arbeitgeberverbände, die der Vereinigung der kommunalen Arbeitgeberver</w:t>
      </w:r>
      <w:r>
        <w:softHyphen/>
        <w:t xml:space="preserve">bände oder der Tarifgemeinschaft deutscher Länder angehören, </w:t>
      </w:r>
    </w:p>
    <w:p w:rsidR="00BE1EFE" w:rsidRDefault="00BE1EFE">
      <w:pPr>
        <w:pStyle w:val="StandardWeb"/>
      </w:pPr>
      <w:r>
        <w:t xml:space="preserve">b) bei kommunalen Spitzenverbänden, </w:t>
      </w:r>
    </w:p>
    <w:p w:rsidR="00BE1EFE" w:rsidRDefault="00BE1EFE">
      <w:pPr>
        <w:pStyle w:val="StandardWeb"/>
      </w:pPr>
      <w:r>
        <w:t xml:space="preserve">c) bei Körperschaften, Anstalten und Stiftungen des öffentlichen Rechts, die das ABD oder ein Arbeitsvertragswerk wesentlich gleichen Inhalts anwenden, </w:t>
      </w:r>
    </w:p>
    <w:p w:rsidR="00BE1EFE" w:rsidRDefault="00BE1EFE">
      <w:pPr>
        <w:pStyle w:val="StandardWeb"/>
      </w:pPr>
      <w:r>
        <w:t xml:space="preserve">d) bei einem Arbeitgeber im Bereich der kath. Kirche oder einer der Kirchen oder kirchlichen Gemeinschaften, die Mitglied in der Arbeitsgemeinschaft christlicher Kirchen in der Bundesrepublik Deutschland sind. </w:t>
      </w:r>
    </w:p>
    <w:p w:rsidR="00BE1EFE" w:rsidRDefault="00BE1EFE">
      <w:pPr>
        <w:pStyle w:val="StandardWeb"/>
      </w:pPr>
      <w:r>
        <w:rPr>
          <w:rStyle w:val="kleinschrift"/>
        </w:rPr>
        <w:t>2</w:t>
      </w:r>
      <w:r>
        <w:t xml:space="preserve">Die Dienstzeit der Mitarbeiter, die schon am 31. 08. 92 und noch am 01. 09. 92 bei einem Arbeitgeber gemäß Satz 1 im Dienst stehen, kann auf Antrag entsprechend Satz 1 neu berechnet werden. </w:t>
      </w:r>
    </w:p>
    <w:p w:rsidR="00BE1EFE" w:rsidRDefault="00BE1EFE">
      <w:pPr>
        <w:pStyle w:val="StandardWeb"/>
      </w:pPr>
      <w:r>
        <w:rPr>
          <w:rStyle w:val="kleinschrift"/>
        </w:rPr>
        <w:t>3</w:t>
      </w:r>
      <w:r>
        <w:t xml:space="preserve">Volksdeutschen Vertriebenen und Umsiedlern sind Zeiten gleichartiger Tätigkeit im Dienste eines kirchlichen oder öffentlich-rechtlichen Dienstherrn im Herkunftsland in sinngemäßer Anwendung des Satzes 1 anzurechnen. </w:t>
      </w:r>
    </w:p>
    <w:p w:rsidR="00BE1EFE" w:rsidRDefault="00BE1EFE">
      <w:pPr>
        <w:pStyle w:val="StandardWeb"/>
      </w:pPr>
      <w:r>
        <w:t>(3) </w:t>
      </w:r>
      <w:r>
        <w:rPr>
          <w:rStyle w:val="kleinschrift"/>
        </w:rPr>
        <w:t>1</w:t>
      </w:r>
      <w:r>
        <w:t xml:space="preserve">Die in Abs. 2 aufgeführten Zeiten werden nicht angerechnet, wenn der Angestellte das Arbeitsverhältnis gekündigt oder vorzeitig aufgelöst hat, oder wenn es aus einem von ihm verschuldeten Grunde beendet worden ist. </w:t>
      </w:r>
      <w:r>
        <w:rPr>
          <w:rStyle w:val="kleinschrift"/>
        </w:rPr>
        <w:t>2</w:t>
      </w:r>
      <w:r>
        <w:t>Dies gilt nicht, wenn der Angestellte im Anschluss an das bisherige Arbeitsverhältnis zu einer anderen Dienststelle desselben Arbeitgebers oder zu einem anderen Arbeitgeber des kirchlichen oder öffentlichen Dienstes i. S. d. Abs. 2 übergetreten ist oder wenn er das Arbeitsverhältnis wegen eines mit Sicherheit erwarteten Personalabbaues oder wegen Unfähigkeit zur Fortsetzung der Arbeit infolge einer Körperbeschädigung oder einer in Ausübung oder infolge seiner Arbeit erlittenen Gesundheitsschädigung aufgelöst hat oder die Nichtanrechnung eine unbillige Härte dar</w:t>
      </w:r>
      <w:r>
        <w:softHyphen/>
        <w:t xml:space="preserve">stellen würde. </w:t>
      </w:r>
      <w:r>
        <w:rPr>
          <w:rStyle w:val="kleinschrift"/>
        </w:rPr>
        <w:t>3</w:t>
      </w:r>
      <w:r>
        <w:t xml:space="preserve">Die Sätze 1 und 2 gelten sinngemäß für ehemalige Beamte. </w:t>
      </w:r>
    </w:p>
    <w:p w:rsidR="00BE1EFE" w:rsidRDefault="00BE1EFE">
      <w:pPr>
        <w:pStyle w:val="StandardWeb"/>
      </w:pPr>
      <w:r>
        <w:t>(4) </w:t>
      </w:r>
      <w:r w:rsidRPr="004F47BD">
        <w:rPr>
          <w:i/>
        </w:rPr>
        <w:t>(frei)</w:t>
      </w:r>
      <w:r>
        <w:t xml:space="preserve"> </w:t>
      </w:r>
    </w:p>
    <w:p w:rsidR="00BE1EFE" w:rsidRDefault="00BE1EFE">
      <w:pPr>
        <w:pStyle w:val="StandardWeb"/>
      </w:pPr>
      <w:r>
        <w:t xml:space="preserve">(5) Die Zeit anderer beruflicher Tätigkeiten nach Vollendung des 18. Lebensjahres kann ganz oder teilweise angerechnet werden, wenn die Tätigkeit Voraussetzung für die Einstellung war. </w:t>
      </w:r>
    </w:p>
    <w:p w:rsidR="00BE1EFE" w:rsidRDefault="00BE1EFE">
      <w:pPr>
        <w:pStyle w:val="StandardWeb"/>
      </w:pPr>
      <w:r>
        <w:t xml:space="preserve">(6) Anzurechnen sind ferner: </w:t>
      </w:r>
    </w:p>
    <w:p w:rsidR="00BE1EFE" w:rsidRDefault="00BE1EFE">
      <w:pPr>
        <w:pStyle w:val="StandardWeb"/>
      </w:pPr>
      <w:r>
        <w:t xml:space="preserve">a) die Zeiten erfüllter Dienstpflicht in der Bundeswehr, Zeiten des zivilen Ersatzdienstes nach dem Gesetz über den zivilen Ersatzdienst und Zeiten des Zivildienstes nach dem Zivildienstgesetz sowie Zeiten einer Tätigkeit als Entwicklungshelfer, soweit diese vom Wehr- oder Zivildienst befreit sind, </w:t>
      </w:r>
    </w:p>
    <w:p w:rsidR="00BE1EFE" w:rsidRDefault="00BE1EFE">
      <w:pPr>
        <w:pStyle w:val="StandardWeb"/>
      </w:pPr>
      <w:r>
        <w:t xml:space="preserve">b) die im Soldatenverhältnis in der Bundeswehr zurückgelegten Zeiten, soweit sie nicht nach Buchst. a) anzurechnen sind; </w:t>
      </w:r>
    </w:p>
    <w:p w:rsidR="00BE1EFE" w:rsidRDefault="00BE1EFE">
      <w:pPr>
        <w:pStyle w:val="StandardWeb"/>
      </w:pPr>
      <w:r>
        <w:t xml:space="preserve">Abs. 3 Satz 1 und 2 ist sinngemäß anzuwenden. </w:t>
      </w:r>
    </w:p>
    <w:p w:rsidR="00BE1EFE" w:rsidRDefault="00BE1EFE">
      <w:pPr>
        <w:pStyle w:val="StandardWeb"/>
        <w:rPr>
          <w:sz w:val="12"/>
          <w:szCs w:val="12"/>
        </w:rPr>
      </w:pPr>
      <w:r w:rsidRPr="009C6551">
        <w:rPr>
          <w:rStyle w:val="kleinschrift1"/>
        </w:rPr>
        <w:t>Anmerkung zu Abs. 2 Buchst. a und c:</w:t>
      </w:r>
    </w:p>
    <w:p w:rsidR="00BE1EFE" w:rsidRDefault="00BE1EFE">
      <w:pPr>
        <w:pStyle w:val="StandardWeb"/>
      </w:pPr>
      <w:r w:rsidRPr="009C6551">
        <w:rPr>
          <w:rStyle w:val="kleinschrift1"/>
        </w:rPr>
        <w:t xml:space="preserve">Maßgebend für die Mitgliedschaft bei der Tarifgemeinschaft deutscher Länder oder der Vereinigung der kommunalen Arbeitgeberverbände bzw. die Anwendung eines Arbeitsvertragswerkes wesentlich gleichen Inhalts ist der Einstellungstag des Angestellten. </w:t>
      </w:r>
    </w:p>
    <w:p w:rsidR="00BE1EFE" w:rsidRDefault="00BE1EFE" w:rsidP="00EA5805">
      <w:pPr>
        <w:pStyle w:val="StandardWeb"/>
      </w:pPr>
    </w:p>
    <w:p w:rsidR="00BE1EFE" w:rsidRDefault="00BE1EFE" w:rsidP="003575ED">
      <w:pPr>
        <w:pStyle w:val="StandardWeb"/>
        <w:autoSpaceDE w:val="0"/>
        <w:jc w:val="left"/>
      </w:pPr>
      <w:r>
        <w:rPr>
          <w:rStyle w:val="Fett"/>
          <w:bCs/>
        </w:rPr>
        <w:t xml:space="preserve">§ 21 Ausschlussfrist </w:t>
      </w:r>
    </w:p>
    <w:p w:rsidR="00BE1EFE" w:rsidRDefault="00BE1EFE">
      <w:pPr>
        <w:pStyle w:val="StandardWeb"/>
        <w:jc w:val="center"/>
      </w:pPr>
    </w:p>
    <w:p w:rsidR="00BE1EFE" w:rsidRDefault="00BE1EFE">
      <w:pPr>
        <w:pStyle w:val="StandardWeb"/>
      </w:pPr>
      <w:r>
        <w:rPr>
          <w:rStyle w:val="kleinschrift"/>
        </w:rPr>
        <w:t>1</w:t>
      </w:r>
      <w:r>
        <w:t xml:space="preserve">Der Angestellte hat die anrechnungsfähigen Beschäftigungs- und Dienstzeiten innerhalb einer Ausschlussfrist von drei Monaten nach Aufforderung durch den Arbeitgeber nachzuweisen. </w:t>
      </w:r>
      <w:r>
        <w:rPr>
          <w:rStyle w:val="kleinschrift"/>
        </w:rPr>
        <w:t>2</w:t>
      </w:r>
      <w:r>
        <w:t xml:space="preserve">Zeiten, für die der Nachweis nicht fristgemäß erbracht wird, werden nicht </w:t>
      </w:r>
      <w:r>
        <w:lastRenderedPageBreak/>
        <w:t xml:space="preserve">angerechnet. </w:t>
      </w:r>
      <w:r>
        <w:rPr>
          <w:rStyle w:val="kleinschrift"/>
        </w:rPr>
        <w:t>3</w:t>
      </w:r>
      <w:r>
        <w:t>Kann der Nachweis aus einem vom Angestellten nicht zu vertretenden Grunde innerhalb der Ausschlussfrist nicht erbracht werden, so ist die Frist auf einen vor Ablauf der Ausschlussfrist zu stellenden Antrag hin angemessen zu verlängern.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 xml:space="preserve">Abschnitt VI </w:t>
      </w:r>
    </w:p>
    <w:p w:rsidR="00BE1EFE" w:rsidRDefault="00BE1EFE" w:rsidP="0054275E">
      <w:pPr>
        <w:pStyle w:val="StandardWeb"/>
        <w:autoSpaceDE w:val="0"/>
        <w:jc w:val="center"/>
      </w:pPr>
      <w:r>
        <w:rPr>
          <w:rStyle w:val="Fett"/>
          <w:bCs/>
        </w:rPr>
        <w:t xml:space="preserve">Eingruppierung </w:t>
      </w:r>
    </w:p>
    <w:p w:rsidR="00BE1EFE" w:rsidRDefault="00BE1EFE">
      <w:pPr>
        <w:pStyle w:val="StandardWeb"/>
        <w:jc w:val="center"/>
      </w:pPr>
    </w:p>
    <w:p w:rsidR="00BE1EFE" w:rsidRDefault="00BE1EFE" w:rsidP="003575ED">
      <w:pPr>
        <w:pStyle w:val="StandardWeb"/>
        <w:autoSpaceDE w:val="0"/>
        <w:jc w:val="left"/>
      </w:pPr>
      <w:r>
        <w:rPr>
          <w:rStyle w:val="Fett"/>
          <w:bCs/>
        </w:rPr>
        <w:t xml:space="preserve">§ 22 Eingruppierung </w:t>
      </w:r>
    </w:p>
    <w:p w:rsidR="00BE1EFE" w:rsidRDefault="00BE1EFE">
      <w:pPr>
        <w:pStyle w:val="StandardWeb"/>
        <w:jc w:val="center"/>
      </w:pPr>
    </w:p>
    <w:p w:rsidR="00BE1EFE" w:rsidRDefault="00BE1EFE">
      <w:pPr>
        <w:pStyle w:val="StandardWeb"/>
      </w:pPr>
      <w:r>
        <w:t>(1) </w:t>
      </w:r>
      <w:r>
        <w:rPr>
          <w:rStyle w:val="kleinschrift"/>
        </w:rPr>
        <w:t>1</w:t>
      </w:r>
      <w:r>
        <w:t>Die Eingruppierung der Angestellten richtet sich nach den Tätigkeitsmerkmalen der allge</w:t>
      </w:r>
      <w:r>
        <w:softHyphen/>
        <w:t xml:space="preserve">meinen Vergütungsordnung, soweit nicht kirchliche berufsspezifische Vergütungsordnungen Vorrang haben. </w:t>
      </w:r>
      <w:r>
        <w:rPr>
          <w:rStyle w:val="kleinschrift"/>
        </w:rPr>
        <w:t>2</w:t>
      </w:r>
      <w:r>
        <w:t xml:space="preserve">Der Angestellte erhält Vergütung nach der Vergütungsgruppe, in der er eingruppiert ist. </w:t>
      </w:r>
    </w:p>
    <w:p w:rsidR="00BE1EFE" w:rsidRDefault="00BE1EFE">
      <w:pPr>
        <w:pStyle w:val="StandardWeb"/>
      </w:pPr>
      <w:r>
        <w:t>(1a) </w:t>
      </w:r>
      <w:r>
        <w:rPr>
          <w:rStyle w:val="kleinschrift"/>
        </w:rPr>
        <w:t>1</w:t>
      </w:r>
      <w:r>
        <w:t xml:space="preserve">Ist für eine Tätigkeit eine bestimmte Berufsausbildung erforderlich und kann der Mitarbeiter diese Ausbildung nicht vorweisen und auch nicht gem. der für ihn geltenden Eingruppierungsregelungen als „sonstiger Angestellter“ gleich behandelt werden und übt er entsprechende Tätigkeiten aus, ist er in die nächst niedrigere Vergütungsgruppe einzugruppieren. </w:t>
      </w:r>
      <w:r>
        <w:rPr>
          <w:rStyle w:val="kleinschrift"/>
        </w:rPr>
        <w:t>2</w:t>
      </w:r>
      <w:r>
        <w:t xml:space="preserve">Dies gilt entsprechend für Bewährungsaufstiege und für Zeitaufstiege. </w:t>
      </w:r>
      <w:r>
        <w:rPr>
          <w:rStyle w:val="kleinschrift"/>
        </w:rPr>
        <w:t>3</w:t>
      </w:r>
      <w:r>
        <w:t xml:space="preserve">Gegenüber den Vergütungsgruppen II a, V a und VIII gelten hierbei die Vergütungsgruppen III, V c und IX b als nächst niedrigere Vergütungsgruppe. </w:t>
      </w:r>
    </w:p>
    <w:p w:rsidR="00BE1EFE" w:rsidRDefault="00BE1EFE">
      <w:pPr>
        <w:pStyle w:val="StandardWeb"/>
      </w:pPr>
      <w:r>
        <w:t>(2) </w:t>
      </w:r>
      <w:r>
        <w:rPr>
          <w:rStyle w:val="kleinschrift"/>
        </w:rPr>
        <w:t>1</w:t>
      </w:r>
      <w:r>
        <w:t xml:space="preserve">Der Angestellte ist in der Vergütungsgruppe eingruppiert, deren Tätigkeitsmerkmalen die gesamte von ihm nicht nur vorübergehend auszuübende Tätigkeit entspricht. </w:t>
      </w:r>
    </w:p>
    <w:p w:rsidR="00BE1EFE" w:rsidRDefault="00BE1EFE">
      <w:pPr>
        <w:pStyle w:val="StandardWeb"/>
      </w:pPr>
      <w:r>
        <w:rPr>
          <w:rStyle w:val="kleinschrift"/>
        </w:rPr>
        <w:t>2</w:t>
      </w:r>
      <w:r>
        <w:t>Die gesamte auszuübende Tätigkeit entspricht den Tätigkeitsmerkmalen einer Vergütungs</w:t>
      </w:r>
      <w:r>
        <w:softHyphen/>
        <w:t xml:space="preserve">gruppe, wenn zeitlich mindestens zur Hälfte Arbeitsvorgänge anfallen, die für sich genommen die Anforderungen eines Tätigkeitsmerkmals oder mehrerer Tätigkeitsmerkmale dieser Vergütungsgruppe erfüllen. </w:t>
      </w:r>
      <w:r>
        <w:rPr>
          <w:rStyle w:val="kleinschrift"/>
        </w:rPr>
        <w:t>3</w:t>
      </w:r>
      <w:r>
        <w:t xml:space="preserve">Kann die Erfüllung einer Anforderung in der Regel erst bei der Betrachtung mehrerer Arbeitsvorgänge festgestellt werden (z. B. vielseitige Fachkenntnisse), sind diese Arbeitsvorgänge für die Feststellung, ob diese Anforderung erfüllt ist, insoweit zusammen zu beurteilen. </w:t>
      </w:r>
    </w:p>
    <w:p w:rsidR="00BE1EFE" w:rsidRDefault="00BE1EFE">
      <w:pPr>
        <w:pStyle w:val="StandardWeb"/>
      </w:pPr>
      <w:r>
        <w:rPr>
          <w:rStyle w:val="kleinschrift"/>
        </w:rPr>
        <w:t>4</w:t>
      </w:r>
      <w:r>
        <w:t xml:space="preserve">Werden in einem Tätigkeitsmerkmal mehrere Anforderungen gestellt, gilt das in Unterabs. 2 Satz 1 bestimmte Maß, ebenfalls bezogen auf die gesamte auszuübende Tätigkeit, für jede Anforderung. </w:t>
      </w:r>
    </w:p>
    <w:p w:rsidR="00BE1EFE" w:rsidRDefault="00BE1EFE">
      <w:pPr>
        <w:pStyle w:val="StandardWeb"/>
      </w:pPr>
      <w:r>
        <w:rPr>
          <w:rStyle w:val="kleinschrift"/>
        </w:rPr>
        <w:t>5</w:t>
      </w:r>
      <w:r>
        <w:t xml:space="preserve">Ist in einem Tätigkeitsmerkmal ein von Unterabs. 2 oder 3 abweichendes zeitliches Maß bestimmt, gilt dieses. </w:t>
      </w:r>
    </w:p>
    <w:p w:rsidR="00BE1EFE" w:rsidRDefault="00BE1EFE">
      <w:pPr>
        <w:pStyle w:val="StandardWeb"/>
      </w:pPr>
      <w:r>
        <w:rPr>
          <w:rStyle w:val="kleinschrift"/>
        </w:rPr>
        <w:t>6</w:t>
      </w:r>
      <w:r>
        <w:t xml:space="preserve">Ist in einem Tätigkeitsmerkmal als Anforderung eine Voraussetzung in der Person des Angestellten bestimmt, muss auch diese Anforderung erfüllt sein. </w:t>
      </w:r>
    </w:p>
    <w:p w:rsidR="00BE1EFE" w:rsidRDefault="00BE1EFE">
      <w:pPr>
        <w:pStyle w:val="StandardWeb"/>
        <w:rPr>
          <w:sz w:val="12"/>
          <w:szCs w:val="12"/>
        </w:rPr>
      </w:pPr>
      <w:r w:rsidRPr="009C6551">
        <w:rPr>
          <w:rStyle w:val="kleinschrift1"/>
        </w:rPr>
        <w:t xml:space="preserve">Anmerkungen zu Abs. 2: </w:t>
      </w:r>
    </w:p>
    <w:p w:rsidR="00BE1EFE" w:rsidRDefault="00BE1EFE">
      <w:pPr>
        <w:pStyle w:val="StandardWeb"/>
        <w:rPr>
          <w:sz w:val="12"/>
          <w:szCs w:val="12"/>
        </w:rPr>
      </w:pPr>
      <w:r>
        <w:rPr>
          <w:rStyle w:val="kleinschrift1"/>
        </w:rPr>
        <w:t>1. </w:t>
      </w:r>
      <w:r w:rsidRPr="009C6551">
        <w:rPr>
          <w:rStyle w:val="kleinschrift1"/>
        </w:rPr>
        <w:t xml:space="preserve">Arbeitsvorgänge sind Arbeitsleistungen (einschließlich Zusammenhangsarbeiten), die, bezogen auf den Aufgabenkreis des Angestellten, zu einem bei natürlicher Betrachtung abgrenzbaren Arbeitsergebnis führen (z. B. unterschriftsreife Bearbeitung eines Aktenvorganges, Fertigung einer Bauzeichnung). Jeder einzelne Arbeitsvorgang ist als solcher zu bewerten und darf dabei hinsichtlich der Anforderungen zeitlich nicht aufgespalten werden. </w:t>
      </w:r>
    </w:p>
    <w:p w:rsidR="00BE1EFE" w:rsidRDefault="00BE1EFE">
      <w:pPr>
        <w:pStyle w:val="StandardWeb"/>
        <w:rPr>
          <w:sz w:val="12"/>
          <w:szCs w:val="12"/>
        </w:rPr>
      </w:pPr>
      <w:r>
        <w:rPr>
          <w:rStyle w:val="kleinschrift1"/>
        </w:rPr>
        <w:t>2. </w:t>
      </w:r>
      <w:r w:rsidRPr="009C6551">
        <w:rPr>
          <w:rStyle w:val="kleinschrift1"/>
        </w:rPr>
        <w:t xml:space="preserve">Eine Anforderung i. S. d. Unterabs. 2 ist auch das in einem Tätigkeitsmerkmal geforderte Herausheben der Tätigkeit aus einer niedrigeren Vergütungsgruppe. </w:t>
      </w:r>
    </w:p>
    <w:p w:rsidR="00BE1EFE" w:rsidRDefault="00BE1EFE" w:rsidP="00E62698">
      <w:pPr>
        <w:pStyle w:val="StandardWeb"/>
      </w:pPr>
      <w:r>
        <w:t>(3) Die Vergütungsgruppe des Angestellten ist im Arbeitsvertrag anzugeben.</w:t>
      </w:r>
    </w:p>
    <w:p w:rsidR="00BE1EFE" w:rsidRDefault="00BE1EFE" w:rsidP="00EA5805">
      <w:pPr>
        <w:pStyle w:val="StandardWeb"/>
      </w:pPr>
    </w:p>
    <w:p w:rsidR="00BE1EFE" w:rsidRDefault="00BE1EFE" w:rsidP="003575ED">
      <w:pPr>
        <w:pStyle w:val="StandardWeb"/>
        <w:autoSpaceDE w:val="0"/>
        <w:jc w:val="left"/>
      </w:pPr>
      <w:r>
        <w:rPr>
          <w:rStyle w:val="Fett"/>
          <w:bCs/>
        </w:rPr>
        <w:t>§ 23 Eingruppierung in besonderen Fällen</w:t>
      </w:r>
    </w:p>
    <w:p w:rsidR="00BE1EFE" w:rsidRDefault="00BE1EFE">
      <w:pPr>
        <w:pStyle w:val="StandardWeb"/>
        <w:jc w:val="center"/>
      </w:pPr>
    </w:p>
    <w:p w:rsidR="00BE1EFE" w:rsidRDefault="00BE1EFE">
      <w:pPr>
        <w:pStyle w:val="StandardWeb"/>
      </w:pPr>
      <w:r>
        <w:rPr>
          <w:rStyle w:val="kleinschrift"/>
        </w:rPr>
        <w:t>1</w:t>
      </w:r>
      <w:r>
        <w:t xml:space="preserve">Ist dem Angestellten eine andere, höherwertige Tätigkeit nicht übertragen worden, hat sich aber die ihm übertragene Tätigkeit (§ 22 Abs. 2 Unterabs. 1) nicht nur vorübergehend derart geändert, dass sie den Tätigkeitsmerkmalen einer höheren als seiner bisherigen Vergütungsgruppe entspricht (§ 22 Abs. 2 Unterabs. 2 bis 5), und hat der Angestellte die höherwertige Tätigkeit ununterbrochen sechs Monate lang ausgeübt, ist er mit Beginn des darauf folgenden Kalendermonats in der höheren Vergütungsgruppe eingruppiert. </w:t>
      </w:r>
      <w:r>
        <w:rPr>
          <w:rStyle w:val="kleinschrift"/>
        </w:rPr>
        <w:t>2</w:t>
      </w:r>
      <w:r>
        <w:t xml:space="preserve">Für die zurückliegenden sechs Kalendermonate gilt § 24 Abs. 1 sinngemäß. </w:t>
      </w:r>
    </w:p>
    <w:p w:rsidR="00BE1EFE" w:rsidRDefault="00BE1EFE">
      <w:pPr>
        <w:pStyle w:val="StandardWeb"/>
      </w:pPr>
      <w:r>
        <w:rPr>
          <w:rStyle w:val="kleinschrift"/>
        </w:rPr>
        <w:lastRenderedPageBreak/>
        <w:t>3</w:t>
      </w:r>
      <w:r>
        <w:t xml:space="preserve">Ist die Zeit der Ausübung der höherwertigen Tätigkeit durch Urlaub, Arbeitsbefreiung, Arbeitsunfähigkeit, Kur- oder Heilverfahren oder Vorbereitung auf eine Fachprüfung für die Dauer von insgesamt nicht mehr als sechs Wochen unterbrochen worden, wird die Unterbrechungszeit in die Frist von sechs Monaten eingerechnet. </w:t>
      </w:r>
      <w:r>
        <w:rPr>
          <w:rStyle w:val="kleinschrift"/>
        </w:rPr>
        <w:t>4</w:t>
      </w:r>
      <w:r>
        <w:t xml:space="preserve">Bei einer längeren Unterbrechung oder bei einer Unterbrechung aus anderen Gründen beginnt die Frist nach der Beendigung der Unterbrechung von neuem. </w:t>
      </w:r>
    </w:p>
    <w:p w:rsidR="00BE1EFE" w:rsidRDefault="00BE1EFE">
      <w:pPr>
        <w:pStyle w:val="StandardWeb"/>
      </w:pPr>
      <w:r>
        <w:rPr>
          <w:rStyle w:val="kleinschrift"/>
        </w:rPr>
        <w:t>5</w:t>
      </w:r>
      <w:r>
        <w:t>Wird dem Angestellten vor Ablauf der sechs Monate wieder eine Tätigkeit zugewiesen, die den Tätigkeitsmerkmalen seiner bisherigen Vergütungsgruppe entspricht, gilt § 24 Abs. 1 sinngemäß.</w:t>
      </w:r>
    </w:p>
    <w:p w:rsidR="00BE1EFE" w:rsidRDefault="00BE1EFE">
      <w:pPr>
        <w:pStyle w:val="StandardWeb"/>
        <w:jc w:val="center"/>
      </w:pPr>
    </w:p>
    <w:p w:rsidR="00BE1EFE" w:rsidRDefault="00BE1EFE" w:rsidP="003575ED">
      <w:pPr>
        <w:pStyle w:val="StandardWeb"/>
        <w:autoSpaceDE w:val="0"/>
        <w:jc w:val="left"/>
      </w:pPr>
      <w:r>
        <w:rPr>
          <w:rStyle w:val="Fett"/>
          <w:bCs/>
        </w:rPr>
        <w:t xml:space="preserve">§ 23 a Bewährungsaufstieg/Zeitaufstieg/Vergütungsgruppenzulagen </w:t>
      </w:r>
    </w:p>
    <w:p w:rsidR="00BE1EFE" w:rsidRDefault="00BE1EFE">
      <w:pPr>
        <w:pStyle w:val="StandardWeb"/>
        <w:jc w:val="center"/>
      </w:pPr>
    </w:p>
    <w:p w:rsidR="00BE1EFE" w:rsidRDefault="00BE1EFE">
      <w:pPr>
        <w:pStyle w:val="StandardWeb"/>
      </w:pPr>
    </w:p>
    <w:p w:rsidR="00BE1EFE" w:rsidRDefault="00BE1EFE">
      <w:pPr>
        <w:pStyle w:val="StandardWeb"/>
      </w:pPr>
      <w:r>
        <w:t xml:space="preserve">A. Bewährungsaufstieg/Fallgruppenbewährungsaufstieg </w:t>
      </w:r>
    </w:p>
    <w:p w:rsidR="00BE1EFE" w:rsidRDefault="00BE1EFE">
      <w:pPr>
        <w:pStyle w:val="StandardWeb"/>
      </w:pPr>
      <w:r>
        <w:rPr>
          <w:rStyle w:val="kleinschrift"/>
        </w:rPr>
        <w:t>1</w:t>
      </w:r>
      <w:r>
        <w:t>Der Angestellte, der ein in der Allgemeinen Vergütungsordnung (</w:t>
      </w:r>
      <w:hyperlink r:id="rId687" w:history="1">
        <w:r w:rsidRPr="002D1F1D">
          <w:rPr>
            <w:rStyle w:val="Hyperlink"/>
          </w:rPr>
          <w:t>ABD Teil A, 3</w:t>
        </w:r>
      </w:hyperlink>
      <w:r>
        <w:t xml:space="preserve">.) mit dem Hinweiszeichen * gekennzeichnetes Tätigkeitsmerkmal oder die Voraussetzungen für einen Bewährungsaufstieg gem. seiner Vergütungsordnung erfüllt, ist nach Erfüllung der vorgeschriebenen Bewährungszeit höher gruppiert. </w:t>
      </w:r>
    </w:p>
    <w:p w:rsidR="00BE1EFE" w:rsidRDefault="00BE1EFE">
      <w:pPr>
        <w:pStyle w:val="StandardWeb"/>
      </w:pPr>
      <w:r>
        <w:rPr>
          <w:rStyle w:val="kleinschrift"/>
        </w:rPr>
        <w:t>2</w:t>
      </w:r>
      <w:r>
        <w:t xml:space="preserve">Für die Erfüllung der Bewährungszeit gilt Folgendes: </w:t>
      </w:r>
    </w:p>
    <w:p w:rsidR="00BE1EFE" w:rsidRDefault="00BE1EFE">
      <w:pPr>
        <w:pStyle w:val="StandardWeb"/>
      </w:pPr>
      <w:r>
        <w:t>1. Das Erfordernis der Bewährung ist erfüllt, wenn der Angestellte während der vorgeschrie</w:t>
      </w:r>
      <w:r>
        <w:softHyphen/>
        <w:t xml:space="preserve">benen Bewährungszeit sich den in der ihm übertragenen Tätigkeit auftretenden Anforderungen gewachsen gezeigt hat. Maßgebend hierbei ist die Tätigkeit, die der Vergütungsgruppe entspricht, in der der Angestellte eingruppiert ist. </w:t>
      </w:r>
    </w:p>
    <w:p w:rsidR="00BE1EFE" w:rsidRDefault="00BE1EFE">
      <w:pPr>
        <w:pStyle w:val="StandardWeb"/>
      </w:pPr>
      <w:r>
        <w:t xml:space="preserve">2. In den Fällen des § 23 beginnt die Bewährungszeit in der Vergütungsgruppe, aus der der Angestellte im Wege des Bewährungsaufstiegs aufrücken kann, an dem Tage; von dem an er aufgrund dieser Vorschrift in dieser Vergütungsgruppe eingruppiert ist. </w:t>
      </w:r>
    </w:p>
    <w:p w:rsidR="00BE1EFE" w:rsidRDefault="00BE1EFE">
      <w:pPr>
        <w:pStyle w:val="StandardWeb"/>
      </w:pPr>
      <w:r>
        <w:t>3. Die vorgeschriebene Bewährungszeit braucht nicht bei demselben Arbeitgeber zurück</w:t>
      </w:r>
      <w:r>
        <w:softHyphen/>
        <w:t xml:space="preserve">gelegt zu sein. Sie kann auch zurückgelegt sein bei </w:t>
      </w:r>
    </w:p>
    <w:p w:rsidR="00BE1EFE" w:rsidRDefault="00BE1EFE">
      <w:pPr>
        <w:pStyle w:val="StandardWeb"/>
      </w:pPr>
      <w:r>
        <w:t xml:space="preserve">a) anderen Arbeitgebern, die vom ABD erfasst werden, </w:t>
      </w:r>
    </w:p>
    <w:p w:rsidR="00BE1EFE" w:rsidRDefault="00BE1EFE">
      <w:pPr>
        <w:pStyle w:val="StandardWeb"/>
      </w:pPr>
      <w:r>
        <w:t xml:space="preserve">b) anderen Arbeitgebern, die vom BAT/BAT-O erfasst werden, </w:t>
      </w:r>
    </w:p>
    <w:p w:rsidR="00BE1EFE" w:rsidRDefault="00BE1EFE">
      <w:pPr>
        <w:pStyle w:val="StandardWeb"/>
      </w:pPr>
      <w:r>
        <w:t>c) Körperschaften, Anstalten oder Stiftungen des öffentlichen Rechts, die ein Arbeitsvertrags</w:t>
      </w:r>
      <w:r>
        <w:softHyphen/>
        <w:t xml:space="preserve">werk wesentlich gleichen Inhalts anwenden, </w:t>
      </w:r>
    </w:p>
    <w:p w:rsidR="00BE1EFE" w:rsidRDefault="00BE1EFE">
      <w:pPr>
        <w:pStyle w:val="StandardWeb"/>
      </w:pPr>
      <w:r>
        <w:t xml:space="preserve">d) einem Arbeitgeber im Bereich der kath. Kirche oder einer der Kirchen oder kirchlichen Gemeinschaften, die Mitglied in der Arbeitsgemeinschaft christlicher Kirchen in der Bundesrepublik Deutschland (ACK) sind, </w:t>
      </w:r>
    </w:p>
    <w:p w:rsidR="00BE1EFE" w:rsidRDefault="00BE1EFE">
      <w:pPr>
        <w:pStyle w:val="StandardWeb"/>
      </w:pPr>
      <w:r>
        <w:t>e) einem Mitglied der Arbeitgeberverbände, der der Vereinigung der kommunalen Arbeitgeber</w:t>
      </w:r>
      <w:r>
        <w:softHyphen/>
        <w:t xml:space="preserve">verbände angehört. Maßgebend dafür, ob die in Buchst. a, b, c, d und e genannten Arbeitgeber vom ABD erfasst werden oder ein Arbeitsvertragswerk wesentlich gleichen Inhalts anwenden, ist der Einstellungstag des Angestellten. </w:t>
      </w:r>
    </w:p>
    <w:p w:rsidR="00BE1EFE" w:rsidRDefault="00BE1EFE">
      <w:pPr>
        <w:pStyle w:val="StandardWeb"/>
      </w:pPr>
      <w:r>
        <w:t>4. </w:t>
      </w:r>
      <w:r>
        <w:rPr>
          <w:rStyle w:val="kleinschrift"/>
        </w:rPr>
        <w:t>1</w:t>
      </w:r>
      <w:r>
        <w:t xml:space="preserve">Die Bewährungszeit muss ununterbrochen zurückgelegt sein. </w:t>
      </w:r>
      <w:r>
        <w:rPr>
          <w:rStyle w:val="kleinschrift"/>
        </w:rPr>
        <w:t>2</w:t>
      </w:r>
      <w:r>
        <w:t>Unterbrechungen von je</w:t>
      </w:r>
      <w:r>
        <w:softHyphen/>
        <w:t xml:space="preserve">weils bis zu sechs Monaten sind unschädlich; unabhängig hiervon sind ferner unschädliche Unterbrechungen wegen </w:t>
      </w:r>
    </w:p>
    <w:p w:rsidR="00BE1EFE" w:rsidRDefault="00BE1EFE">
      <w:pPr>
        <w:pStyle w:val="StandardWeb"/>
      </w:pPr>
      <w:r>
        <w:t xml:space="preserve">a) Ableistung des Grundwehrdienstes, des zivilen Ersatzdienstes nach dem Gesetz über den zivilen Ersatzdienst und des Zivildienstes nach dem Zivildienstgesetz, </w:t>
      </w:r>
    </w:p>
    <w:p w:rsidR="00BE1EFE" w:rsidRDefault="00BE1EFE">
      <w:pPr>
        <w:pStyle w:val="StandardWeb"/>
      </w:pPr>
      <w:r>
        <w:t xml:space="preserve">b) Arbeitsunfähigkeit i. S. d. § 37 Abs. 1 bzw. § 71 Abs. 1, </w:t>
      </w:r>
    </w:p>
    <w:p w:rsidR="00BE1EFE" w:rsidRDefault="00BE1EFE">
      <w:pPr>
        <w:pStyle w:val="StandardWeb"/>
      </w:pPr>
      <w:r>
        <w:t xml:space="preserve">c) der Schutzfristen und des Mutterschaftsurlaubs nach dem </w:t>
      </w:r>
      <w:hyperlink r:id="rId688" w:anchor="BJNR122810017BJNE000700000" w:history="1">
        <w:r w:rsidRPr="00D34F24">
          <w:rPr>
            <w:rStyle w:val="Hyperlink"/>
          </w:rPr>
          <w:t>Mutterschutzgesetz</w:t>
        </w:r>
      </w:hyperlink>
      <w:r>
        <w:t xml:space="preserve">, </w:t>
      </w:r>
    </w:p>
    <w:p w:rsidR="00BE1EFE" w:rsidRDefault="00BE1EFE">
      <w:pPr>
        <w:pStyle w:val="StandardWeb"/>
      </w:pPr>
      <w:r>
        <w:t>d) Elternzeit nach dem Bundeserziehungsgeldgesetz und sonstiger Beurlaubung zur Kinder</w:t>
      </w:r>
      <w:r>
        <w:softHyphen/>
        <w:t xml:space="preserve">betreuung oder wegen der tatsächlichen Pflege oder Betreuung eines nach ärztlichem Gutachten sonstigen pflegebedürftigen Angehörigen, mit dem der Mitarbeiter in häuslicher Gemeinschaft lebt, bis zu insgesamt fünf Jahren, </w:t>
      </w:r>
    </w:p>
    <w:p w:rsidR="00BE1EFE" w:rsidRDefault="00BE1EFE">
      <w:pPr>
        <w:pStyle w:val="StandardWeb"/>
      </w:pPr>
      <w:r>
        <w:t xml:space="preserve">e) einer vom Wehrdienst befreienden Tätigkeit als Entwicklungshelfer bis zu zwei Jahren. </w:t>
      </w:r>
    </w:p>
    <w:p w:rsidR="00BE1EFE" w:rsidRDefault="00BE1EFE">
      <w:pPr>
        <w:pStyle w:val="StandardWeb"/>
      </w:pPr>
      <w:r>
        <w:rPr>
          <w:rStyle w:val="kleinschrift"/>
        </w:rPr>
        <w:t>3</w:t>
      </w:r>
      <w:r>
        <w:t xml:space="preserve">Die Zeiten der Unterbrechung mit Ausnahme </w:t>
      </w:r>
    </w:p>
    <w:p w:rsidR="00BE1EFE" w:rsidRDefault="00BE1EFE">
      <w:pPr>
        <w:pStyle w:val="StandardWeb"/>
      </w:pPr>
      <w:r>
        <w:t xml:space="preserve">a) eines Urlaubs nach den </w:t>
      </w:r>
      <w:hyperlink r:id="rId689" w:history="1">
        <w:r w:rsidRPr="00D34F24">
          <w:rPr>
            <w:rStyle w:val="Hyperlink"/>
          </w:rPr>
          <w:t>§§ 47 bis 49 und nach dem SGB IX</w:t>
        </w:r>
      </w:hyperlink>
      <w:r>
        <w:t xml:space="preserve">, </w:t>
      </w:r>
    </w:p>
    <w:p w:rsidR="00BE1EFE" w:rsidRDefault="00BE1EFE">
      <w:pPr>
        <w:pStyle w:val="StandardWeb"/>
      </w:pPr>
      <w:r>
        <w:lastRenderedPageBreak/>
        <w:t xml:space="preserve">b) eines Sonderurlaubs ohne Fortzahlung der Vergütung bis zur Dauer von sechs Monaten, </w:t>
      </w:r>
    </w:p>
    <w:p w:rsidR="00BE1EFE" w:rsidRDefault="00BE1EFE">
      <w:pPr>
        <w:pStyle w:val="StandardWeb"/>
      </w:pPr>
      <w:r>
        <w:t xml:space="preserve">c) einer Arbeitsbefreiung nach § 52, </w:t>
      </w:r>
    </w:p>
    <w:p w:rsidR="00BE1EFE" w:rsidRDefault="00BE1EFE">
      <w:pPr>
        <w:pStyle w:val="StandardWeb"/>
      </w:pPr>
      <w:r>
        <w:t xml:space="preserve">d) einer Arbeitsunfähigkeit i. S. d. § 37 Abs.1 bzw. § 71 Abs.1 bis zu 26 Wochen, in den Fällen des § 37 Abs. 4 Unterabs. 3 bzw. § 71 Abs. 2 Unterabs. 3 bis zu 28 Wochen, </w:t>
      </w:r>
    </w:p>
    <w:p w:rsidR="00BE1EFE" w:rsidRDefault="00BE1EFE">
      <w:pPr>
        <w:pStyle w:val="StandardWeb"/>
      </w:pPr>
      <w:r>
        <w:t xml:space="preserve">e) der Schutzfristen nach dem Mutterschutzgesetz werden auf die Bewährungszeit jedoch nicht angerechnet. </w:t>
      </w:r>
    </w:p>
    <w:p w:rsidR="00BE1EFE" w:rsidRDefault="00BE1EFE">
      <w:pPr>
        <w:pStyle w:val="StandardWeb"/>
      </w:pPr>
      <w:r>
        <w:t xml:space="preserve">5. Auf die vorgeschriebene Bewährungszeit werden unter den Voraussetzungen der Nr. 4 die Zeiten angerechnet, während derer der Angestellte </w:t>
      </w:r>
    </w:p>
    <w:p w:rsidR="00BE1EFE" w:rsidRDefault="00BE1EFE">
      <w:pPr>
        <w:pStyle w:val="StandardWeb"/>
      </w:pPr>
      <w:r>
        <w:t xml:space="preserve">a) in einer höheren Vergütungsgruppe eingruppiert war, </w:t>
      </w:r>
    </w:p>
    <w:p w:rsidR="00BE1EFE" w:rsidRDefault="00BE1EFE">
      <w:pPr>
        <w:pStyle w:val="StandardWeb"/>
      </w:pPr>
      <w:r>
        <w:t xml:space="preserve">b) die Tätigkeitsmerkmale einer höheren Vergütungsgruppe erfüllt hatte, aber noch in der Vergütungsgruppe eingruppiert war, aus der er im Wege des Bewährungsaufstiegs aufrücken kann, </w:t>
      </w:r>
    </w:p>
    <w:p w:rsidR="00BE1EFE" w:rsidRDefault="00BE1EFE">
      <w:pPr>
        <w:pStyle w:val="StandardWeb"/>
      </w:pPr>
      <w:r>
        <w:t xml:space="preserve">c) noch nicht in der Vergütungsgruppe eingruppiert war, aus der er im Wege des Bewährungsaufstiegs aufrückt, während derer er aber die Tätigkeitsmerkmale dieser oder einer höheren Vergütungsgruppe erfüllt und hierfür eine Zulage nach § 24 erhalten hat. </w:t>
      </w:r>
    </w:p>
    <w:p w:rsidR="00BE1EFE" w:rsidRDefault="00BE1EFE">
      <w:pPr>
        <w:pStyle w:val="StandardWeb"/>
      </w:pPr>
      <w:r>
        <w:t>6. Bewährungszeiten, in denen der Angestellte mit einer kürzeren als der regelmäßigen wöchentlichen Arbeitszeit eines entsprechenden vollzeitbeschäftigten Angestellten beschäftigt war, werden voll angerechnet.</w:t>
      </w:r>
      <w:r>
        <w:rPr>
          <w:vertAlign w:val="superscript"/>
        </w:rPr>
        <w:t>1</w:t>
      </w:r>
      <w:r>
        <w:t xml:space="preserve"> Zeiten im Sinne des </w:t>
      </w:r>
      <w:hyperlink r:id="rId690" w:tgtFrame="_blank" w:history="1">
        <w:r>
          <w:rPr>
            <w:rStyle w:val="Hyperlink"/>
          </w:rPr>
          <w:t>§ 8 Abs. 1 Nr. 2 SGB IV</w:t>
        </w:r>
      </w:hyperlink>
      <w:r>
        <w:t xml:space="preserve"> – ohne Berücksichtigung des </w:t>
      </w:r>
      <w:hyperlink r:id="rId691" w:history="1">
        <w:r>
          <w:rPr>
            <w:rStyle w:val="Hyperlink"/>
          </w:rPr>
          <w:t xml:space="preserve">§ 8 Abs. 2 Satz 1 SGB IV </w:t>
        </w:r>
      </w:hyperlink>
      <w:r>
        <w:t xml:space="preserve">– bleiben unberücksichtigt. </w:t>
      </w:r>
    </w:p>
    <w:p w:rsidR="00BE1EFE" w:rsidRDefault="00BE1EFE">
      <w:pPr>
        <w:pStyle w:val="StandardWeb"/>
      </w:pPr>
      <w:r>
        <w:rPr>
          <w:vertAlign w:val="superscript"/>
        </w:rPr>
        <w:t>1</w:t>
      </w:r>
      <w:r w:rsidRPr="009C6551">
        <w:rPr>
          <w:rStyle w:val="kleinschrift1"/>
        </w:rPr>
        <w:t xml:space="preserve"> Übergangsvorschrift: Zeiten im Sinne des § 8 Abs. 1 Nr. 1 SGB IV – ohne Berücksichtigung des § 8 Abs. 2 Satz 1 SGB IV – werden bei der Berechnung der Bewährungszeit oder der Zeit einer Tätigkeit für den Zeitaufstieg nur berücksichtigt, soweit sie nach dem 31. Dezember 2000 zurückgelegt worden sind.</w:t>
      </w:r>
      <w:r>
        <w:t xml:space="preserve"> </w:t>
      </w:r>
    </w:p>
    <w:p w:rsidR="00BE1EFE" w:rsidRDefault="00BE1EFE">
      <w:pPr>
        <w:pStyle w:val="StandardWeb"/>
      </w:pPr>
      <w:r>
        <w:t>7. </w:t>
      </w:r>
      <w:r>
        <w:rPr>
          <w:rStyle w:val="kleinschrift"/>
        </w:rPr>
        <w:t>1</w:t>
      </w:r>
      <w:r>
        <w:t xml:space="preserve">Erfüllt der Angestellte, der im Wege des Bewährungsaufstiegs in der Vergütungsgruppe VII eingruppiert ist, später ein anderes Tätigkeitsmerkmal dieser Vergütungsgruppe, so beginnt die Bewährungszeit in dieser Vergütungsgruppe oder eine sonstige für eine Höhergruppierung maßgebliche Zeit zu dem Zeitpunkt, von dem an er aufgrund der ausgeübten Tätigkeit in dieser Vergütungsgruppe eingruppiert gewesen wäre. </w:t>
      </w:r>
      <w:r>
        <w:rPr>
          <w:rStyle w:val="kleinschrift"/>
        </w:rPr>
        <w:t>2</w:t>
      </w:r>
      <w:r>
        <w:t xml:space="preserve">Dieser Zeitpunkt ist auf Antrag des Angestellten festzuhalten. </w:t>
      </w:r>
    </w:p>
    <w:p w:rsidR="00BE1EFE" w:rsidRDefault="00BE1EFE">
      <w:pPr>
        <w:pStyle w:val="StandardWeb"/>
      </w:pPr>
      <w:r>
        <w:t>8. </w:t>
      </w:r>
      <w:r>
        <w:rPr>
          <w:rStyle w:val="kleinschrift"/>
        </w:rPr>
        <w:t>1</w:t>
      </w:r>
      <w:r>
        <w:t xml:space="preserve">Der Anspruch auf Eingruppierung in eine bestimmte Vergütungsgruppe im Wege des Bewährungsaufstiegs besteht auch für ein neues Arbeitsverhältnis. </w:t>
      </w:r>
      <w:r>
        <w:rPr>
          <w:rStyle w:val="kleinschrift"/>
        </w:rPr>
        <w:t>2</w:t>
      </w:r>
      <w:r>
        <w:t xml:space="preserve">Dies gilt nicht, wenn die Beschäftigung bei demselben Arbeitgeber oder bei den in Nr. 3 Satz 2 genannten Arbeitgebern für den Bewährungsaufstieg </w:t>
      </w:r>
    </w:p>
    <w:p w:rsidR="00BE1EFE" w:rsidRDefault="00BE1EFE">
      <w:pPr>
        <w:pStyle w:val="StandardWeb"/>
      </w:pPr>
      <w:r>
        <w:t xml:space="preserve">a) in die Vergütungsgruppe VII um länger als drei zusammenhängende Jahre, </w:t>
      </w:r>
    </w:p>
    <w:p w:rsidR="00BE1EFE" w:rsidRDefault="00BE1EFE">
      <w:pPr>
        <w:pStyle w:val="StandardWeb"/>
      </w:pPr>
      <w:r>
        <w:t xml:space="preserve">b) in die Vergütungsgruppe VI b, IV b und I b um länger als fünf zusammenhängende Jahre </w:t>
      </w:r>
    </w:p>
    <w:p w:rsidR="00BE1EFE" w:rsidRDefault="00BE1EFE">
      <w:pPr>
        <w:pStyle w:val="StandardWeb"/>
      </w:pPr>
      <w:r>
        <w:t>unterbrochen war.</w:t>
      </w:r>
    </w:p>
    <w:p w:rsidR="00BE1EFE" w:rsidRDefault="00BE1EFE">
      <w:pPr>
        <w:pStyle w:val="StandardWeb"/>
      </w:pPr>
    </w:p>
    <w:p w:rsidR="00BE1EFE" w:rsidRDefault="00BE1EFE">
      <w:pPr>
        <w:pStyle w:val="StandardWeb"/>
      </w:pPr>
    </w:p>
    <w:p w:rsidR="00BE1EFE" w:rsidRDefault="00BE1EFE">
      <w:pPr>
        <w:pStyle w:val="StandardWeb"/>
      </w:pPr>
      <w:r>
        <w:t>B. Zeitaufstieg/Tätigkeitsaufstieg</w:t>
      </w:r>
    </w:p>
    <w:p w:rsidR="00BE1EFE" w:rsidRDefault="00BE1EFE">
      <w:pPr>
        <w:pStyle w:val="StandardWeb"/>
      </w:pPr>
      <w:r>
        <w:t>Soweit Tätigkeitsmerkmale (Fallgruppen) der Vergütungsordnung einen Zeit- oder Tätigkeitsaufstieg vorsehen, gilt Abschn. A entsprechend.</w:t>
      </w:r>
    </w:p>
    <w:p w:rsidR="00BE1EFE" w:rsidRDefault="00BE1EFE">
      <w:pPr>
        <w:pStyle w:val="StandardWeb"/>
      </w:pPr>
    </w:p>
    <w:p w:rsidR="00BE1EFE" w:rsidRDefault="00BE1EFE">
      <w:pPr>
        <w:pStyle w:val="StandardWeb"/>
      </w:pPr>
      <w:r>
        <w:t>C. Vergütungsgruppenzulagen</w:t>
      </w:r>
    </w:p>
    <w:p w:rsidR="00BE1EFE" w:rsidRDefault="00BE1EFE">
      <w:pPr>
        <w:pStyle w:val="StandardWeb"/>
      </w:pPr>
      <w:r>
        <w:t xml:space="preserve">Soweit Tätigkeitsmerkmale (Fallgruppen) der Vergütungsordnung die Zahlung einer Vergütungsgruppenzulage bzw. eine Zulage nach einer bestimmten Zeit einer Tätigkeit vorsehen, gilt Abschn. A entsprechend. </w:t>
      </w:r>
    </w:p>
    <w:p w:rsidR="00BE1EFE" w:rsidRDefault="00BE1EFE">
      <w:pPr>
        <w:pStyle w:val="StandardWeb"/>
      </w:pPr>
    </w:p>
    <w:p w:rsidR="00BE1EFE" w:rsidRDefault="00BE1EFE">
      <w:pPr>
        <w:pStyle w:val="StandardWeb"/>
      </w:pPr>
      <w:r w:rsidRPr="009C6551">
        <w:rPr>
          <w:rStyle w:val="kleinschrift1"/>
        </w:rPr>
        <w:t xml:space="preserve">Protokollnotiz zu Abschn. A Nr. 3 Ziff. d </w:t>
      </w:r>
    </w:p>
    <w:p w:rsidR="00BE1EFE" w:rsidRDefault="00BE1EFE">
      <w:pPr>
        <w:pStyle w:val="StandardWeb"/>
      </w:pPr>
      <w:r w:rsidRPr="009C6551">
        <w:rPr>
          <w:rStyle w:val="kleinschrift1"/>
        </w:rPr>
        <w:t xml:space="preserve">Die letzte Tätigkeit des Mitarbeiters bei seinem ehemaligen Arbeitgeber, soweit sie der Tätigkeit beim neuen Arbeitgeber entspricht, ist bei der Berechnung der Zeiten für den Bewährungsaufstieg zu berücksichtigen. Satz 1 findet bei Mitarbeitern im Sozial- und Erziehungsdienst im Kindertagesstättenbereich (ABD </w:t>
      </w:r>
      <w:r w:rsidRPr="009B3430">
        <w:rPr>
          <w:sz w:val="12"/>
        </w:rPr>
        <w:t>Teil A., 3.3. – G. 1 und G. 2</w:t>
      </w:r>
      <w:r w:rsidRPr="009C6551">
        <w:rPr>
          <w:rStyle w:val="kleinschrift1"/>
        </w:rPr>
        <w:t xml:space="preserve">) nur auf Zeiten nach dem 31.12.1990 Anwendung, sofern von diesen ein Bewährungs- oder Zeitaufstieg oder die Gewährung einer Vergütungsgruppenzulage abhängt. </w:t>
      </w:r>
    </w:p>
    <w:p w:rsidR="00BE1EFE" w:rsidRPr="005F7F4C" w:rsidRDefault="005F7F4C" w:rsidP="005F7F4C">
      <w:pPr>
        <w:pStyle w:val="StandardWeb"/>
        <w:rPr>
          <w:sz w:val="2"/>
          <w:szCs w:val="2"/>
        </w:rPr>
      </w:pPr>
      <w:r>
        <w:br w:type="page"/>
      </w:r>
      <w:r w:rsidR="00BE1EFE">
        <w:rPr>
          <w:rStyle w:val="Fett"/>
          <w:bCs/>
        </w:rPr>
        <w:lastRenderedPageBreak/>
        <w:t xml:space="preserve">§ 24 Vorübergehende Ausübung einer höherwertigen Tätigkeit </w:t>
      </w:r>
    </w:p>
    <w:p w:rsidR="00BE1EFE" w:rsidRDefault="00BE1EFE">
      <w:pPr>
        <w:pStyle w:val="StandardWeb"/>
        <w:jc w:val="center"/>
      </w:pPr>
    </w:p>
    <w:p w:rsidR="00BE1EFE" w:rsidRDefault="00BE1EFE">
      <w:pPr>
        <w:pStyle w:val="StandardWeb"/>
      </w:pPr>
      <w:r>
        <w:t xml:space="preserve">(1) Wird dem Angestellten vorübergehend eine andere Tätigkeit (§ 22 Abs. 2 Unterabs. 1) übertragen, die den Tätigkeitsmerkmalen einer höheren als seiner Vergütungsgruppe entspricht (§ 22 Abs. 2 Unterabs. 2 bis 5), und hat er sie mindestens einen Monat ausgeübt, erhält er für den Kalendermonat, in dem er mit der ihm übertragenen Tätigkeit begonnen hat, und für jeden folgenden vollen Kalendermonat dieser Tätigkeit eine persönliche Zulage. </w:t>
      </w:r>
    </w:p>
    <w:p w:rsidR="00BE1EFE" w:rsidRDefault="00BE1EFE">
      <w:pPr>
        <w:pStyle w:val="StandardWeb"/>
      </w:pPr>
      <w:r>
        <w:t>(2) </w:t>
      </w:r>
      <w:r>
        <w:rPr>
          <w:rStyle w:val="kleinschrift"/>
        </w:rPr>
        <w:t>1</w:t>
      </w:r>
      <w:r>
        <w:t xml:space="preserve">Wird dem Angestellten vertretungsweise eine andere Tätigkeit (§ 22 Abs. 2 Unterabs. 1) übertragen, die den Tätigkeitsmerkmalen einer höheren als seiner Vergütungsgruppe entspricht (§ 22 Abs. 2 Unterabs. 2 bis 5), und hat die Vertretung länger als drei Monate gedauert, erhält er nach Ablauf dieser Frist eine persönliche Zulage für den letzten Kalendermonat der Frist und für jeden folgenden vollen Kalendermonat der weiteren Vertretung. </w:t>
      </w:r>
      <w:r>
        <w:rPr>
          <w:rStyle w:val="kleinschrift"/>
        </w:rPr>
        <w:t>2</w:t>
      </w:r>
      <w:r>
        <w:t xml:space="preserve">Bei Berechnung der Frist sind bei mehreren Vertretungen Unterbrechungen von weniger als jeweils drei Wochen unschädlich. </w:t>
      </w:r>
      <w:r>
        <w:rPr>
          <w:rStyle w:val="kleinschrift"/>
        </w:rPr>
        <w:t>3</w:t>
      </w:r>
      <w:r>
        <w:t xml:space="preserve">Auf die Frist von drei Monaten sind Zeiten der Ausübung einer höherwertigen Tätigkeit nach Abs. 1 anzurechnen, wenn die Vertretung sich unmittelbar anschließt oder zwischen der Beendigung der höherwertigen Tätigkeit und der Aufnahme der Vertretung ein Zeitraum von weniger als drei Wochen liegt. </w:t>
      </w:r>
    </w:p>
    <w:p w:rsidR="00BE1EFE" w:rsidRDefault="00BE1EFE">
      <w:pPr>
        <w:pStyle w:val="StandardWeb"/>
      </w:pPr>
      <w:r>
        <w:t>(3) </w:t>
      </w:r>
      <w:r>
        <w:rPr>
          <w:rStyle w:val="kleinschrift"/>
        </w:rPr>
        <w:t>1</w:t>
      </w:r>
      <w:r>
        <w:t xml:space="preserve">Die persönliche Zulage bemisst sich aus dem Unterschied zwischen der Vergütung, die dem Angestellten zustehen würde, wenn er in der höheren Vergütungsgruppe eingruppiert wäre, und der Vergütung der Vergütungsgruppe, in der er eingruppiert ist. </w:t>
      </w:r>
    </w:p>
    <w:p w:rsidR="00BE1EFE" w:rsidRDefault="00BE1EFE">
      <w:pPr>
        <w:pStyle w:val="StandardWeb"/>
      </w:pPr>
      <w:r>
        <w:rPr>
          <w:rStyle w:val="kleinschrift"/>
        </w:rPr>
        <w:t>2</w:t>
      </w:r>
      <w:r>
        <w:t xml:space="preserve">Zu den Vergütungen i. S. d. Satzes 1 gehören </w:t>
      </w:r>
    </w:p>
    <w:p w:rsidR="00BE1EFE" w:rsidRDefault="00BE1EFE">
      <w:pPr>
        <w:pStyle w:val="StandardWeb"/>
      </w:pPr>
      <w:r>
        <w:t xml:space="preserve">a) die Grundvergütung, </w:t>
      </w:r>
    </w:p>
    <w:p w:rsidR="00BE1EFE" w:rsidRDefault="00BE1EFE">
      <w:pPr>
        <w:pStyle w:val="StandardWeb"/>
      </w:pPr>
      <w:r>
        <w:t xml:space="preserve">b) der Ortszuschlag. </w:t>
      </w:r>
    </w:p>
    <w:p w:rsidR="00BE1EFE" w:rsidRDefault="00BE1EFE">
      <w:pPr>
        <w:pStyle w:val="StandardWeb"/>
      </w:pPr>
      <w:r>
        <w:t>(4) Der Angestellte, der nach Abs. 1 oder Abs. 2 Anspruch auf die persönliche Zulage hat, erhält sie auch im Falle der Arbeitsbefreiung unter Fortzahlung der Vergütung sowie bei Arbeitsunfähigkeit und Erholungsurlaub so lange, bis die Übertragung widerrufen wird oder aus sonstigen Gründen endet.</w:t>
      </w:r>
    </w:p>
    <w:p w:rsidR="00BE1EFE" w:rsidRDefault="00BE1EFE">
      <w:pPr>
        <w:pStyle w:val="StandardWeb"/>
      </w:pPr>
    </w:p>
    <w:p w:rsidR="00BE1EFE" w:rsidRDefault="00BE1EFE" w:rsidP="003575ED">
      <w:pPr>
        <w:pStyle w:val="StandardWeb"/>
        <w:autoSpaceDE w:val="0"/>
        <w:jc w:val="left"/>
      </w:pPr>
      <w:r>
        <w:rPr>
          <w:rStyle w:val="Fett"/>
          <w:bCs/>
        </w:rPr>
        <w:t>§ 25 Ausnahmen von Abschnitt VI, Eingruppierung</w:t>
      </w:r>
    </w:p>
    <w:p w:rsidR="00BE1EFE" w:rsidRDefault="00BE1EFE">
      <w:pPr>
        <w:pStyle w:val="StandardWeb"/>
        <w:jc w:val="center"/>
      </w:pPr>
    </w:p>
    <w:p w:rsidR="00BE1EFE" w:rsidRDefault="00BE1EFE">
      <w:pPr>
        <w:pStyle w:val="StandardWeb"/>
      </w:pPr>
      <w:r>
        <w:t xml:space="preserve">§ 22 Abs. 1 a und Abs. 2 und § 23 ABD </w:t>
      </w:r>
      <w:hyperlink r:id="rId692" w:history="1">
        <w:r w:rsidRPr="00660473">
          <w:rPr>
            <w:rStyle w:val="Hyperlink"/>
          </w:rPr>
          <w:t>Teil A, 1</w:t>
        </w:r>
      </w:hyperlink>
      <w:r>
        <w:t>. finden für Mitarbeiter in einer Beschäftigung als</w:t>
      </w:r>
    </w:p>
    <w:p w:rsidR="00BE1EFE" w:rsidRDefault="00BE1EFE">
      <w:pPr>
        <w:pStyle w:val="StandardWeb"/>
      </w:pPr>
      <w:r>
        <w:t xml:space="preserve">– Pastoralassistenten oder Pastoralreferenten, </w:t>
      </w:r>
    </w:p>
    <w:p w:rsidR="00BE1EFE" w:rsidRDefault="00BE1EFE">
      <w:pPr>
        <w:pStyle w:val="StandardWeb"/>
      </w:pPr>
      <w:r>
        <w:t xml:space="preserve">– Gemeindeassistenten oder Gemeindereferenten, </w:t>
      </w:r>
    </w:p>
    <w:p w:rsidR="00BE1EFE" w:rsidRDefault="00BE1EFE">
      <w:pPr>
        <w:pStyle w:val="StandardWeb"/>
      </w:pPr>
      <w:r>
        <w:t xml:space="preserve">– Religionslehrer, </w:t>
      </w:r>
    </w:p>
    <w:p w:rsidR="00BE1EFE" w:rsidRDefault="00BE1EFE">
      <w:pPr>
        <w:pStyle w:val="StandardWeb"/>
      </w:pPr>
      <w:r>
        <w:t xml:space="preserve">– Mesner, </w:t>
      </w:r>
    </w:p>
    <w:p w:rsidR="00BE1EFE" w:rsidRDefault="00BE1EFE">
      <w:pPr>
        <w:pStyle w:val="StandardWeb"/>
      </w:pPr>
      <w:r>
        <w:t xml:space="preserve">– Kirchenmusiker, </w:t>
      </w:r>
    </w:p>
    <w:p w:rsidR="00BE1EFE" w:rsidRDefault="00BE1EFE">
      <w:pPr>
        <w:pStyle w:val="StandardWeb"/>
      </w:pPr>
      <w:r>
        <w:t xml:space="preserve">– Mitarbeiter in der Verbands- und/oder Bildungsarbeit für Erwachsene, </w:t>
      </w:r>
    </w:p>
    <w:p w:rsidR="00BE1EFE" w:rsidRDefault="00BE1EFE">
      <w:pPr>
        <w:pStyle w:val="StandardWeb"/>
      </w:pPr>
      <w:r>
        <w:t xml:space="preserve">– Mitarbeiter in der Verbands- und/oder Bildungsarbeit für Jugendliche, </w:t>
      </w:r>
    </w:p>
    <w:p w:rsidR="00BE1EFE" w:rsidRDefault="00BE1EFE">
      <w:pPr>
        <w:pStyle w:val="StandardWeb"/>
      </w:pPr>
      <w:r>
        <w:t>keine Anwendung.</w:t>
      </w:r>
    </w:p>
    <w:p w:rsidR="00BE1EFE" w:rsidRDefault="00BE1EFE">
      <w:pPr>
        <w:pStyle w:val="StandardWeb"/>
      </w:pPr>
    </w:p>
    <w:p w:rsidR="00BE1EFE" w:rsidRDefault="00BE1EFE">
      <w:pPr>
        <w:pStyle w:val="berschrift6"/>
      </w:pPr>
      <w:bookmarkStart w:id="684" w:name="_Toc523926217"/>
      <w:r>
        <w:t>Anlage 1: ABD Teil A, 1. Abschnitt VII bis VIII in der bis zum 30.09.2005 geltenden Fassung</w:t>
      </w:r>
      <w:bookmarkEnd w:id="684"/>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 xml:space="preserve">Abschnitt VII </w:t>
      </w:r>
    </w:p>
    <w:p w:rsidR="00BE1EFE" w:rsidRPr="000B1AF8" w:rsidRDefault="00BE1EFE" w:rsidP="0054275E">
      <w:pPr>
        <w:pStyle w:val="StandardWeb"/>
        <w:autoSpaceDE w:val="0"/>
        <w:jc w:val="center"/>
      </w:pPr>
      <w:r>
        <w:rPr>
          <w:rStyle w:val="Fett"/>
          <w:bCs/>
        </w:rPr>
        <w:t>Vergütung</w:t>
      </w:r>
    </w:p>
    <w:p w:rsidR="00BE1EFE" w:rsidRPr="000B1AF8" w:rsidRDefault="00BE1EFE">
      <w:pPr>
        <w:pStyle w:val="StandardWeb"/>
        <w:jc w:val="center"/>
      </w:pPr>
    </w:p>
    <w:p w:rsidR="00BE1EFE" w:rsidRDefault="00BE1EFE" w:rsidP="003575ED">
      <w:pPr>
        <w:pStyle w:val="StandardWeb"/>
        <w:autoSpaceDE w:val="0"/>
        <w:jc w:val="left"/>
      </w:pPr>
      <w:r>
        <w:rPr>
          <w:rStyle w:val="Fett"/>
          <w:bCs/>
        </w:rPr>
        <w:t>§ 26 Bestandteile und Änderung der Vergütung</w:t>
      </w:r>
    </w:p>
    <w:p w:rsidR="00BE1EFE" w:rsidRDefault="00BE1EFE">
      <w:pPr>
        <w:pStyle w:val="StandardWeb"/>
        <w:jc w:val="center"/>
      </w:pPr>
    </w:p>
    <w:p w:rsidR="00BE1EFE" w:rsidRDefault="00BE1EFE">
      <w:pPr>
        <w:pStyle w:val="StandardWeb"/>
      </w:pPr>
      <w:r>
        <w:t xml:space="preserve">(1) Die Vergütung des Angestellten besteht aus der Grundvergütung und dem Ortszuschlag. </w:t>
      </w:r>
    </w:p>
    <w:p w:rsidR="00BE1EFE" w:rsidRDefault="00BE1EFE">
      <w:pPr>
        <w:pStyle w:val="StandardWeb"/>
      </w:pPr>
      <w:r>
        <w:lastRenderedPageBreak/>
        <w:t xml:space="preserve">(2) Angestellte, die das 18. Lebensjahr noch nicht vollendet haben, erhalten anstelle der Grundvergütung und des Ortszuschlags eine Gesamtvergütung. </w:t>
      </w:r>
    </w:p>
    <w:p w:rsidR="00BE1EFE" w:rsidRDefault="00BE1EFE">
      <w:pPr>
        <w:pStyle w:val="StandardWeb"/>
      </w:pPr>
      <w:r>
        <w:t>(3) Änderungen in den Vergütungstarifverträgen des BAT/BL (für den Bereich der Kin</w:t>
      </w:r>
      <w:r>
        <w:softHyphen/>
        <w:t xml:space="preserve">dertagesstätten des BAT/VKA), soweit sie die Grundvergütung und den Ortszuschlag betreffen, werden zum jeweiligen Zeitpunkt Bestandteil des Arbeitsvertragsrechtes der bayerischen (Erz-)Diözesen (ABD). </w:t>
      </w:r>
    </w:p>
    <w:p w:rsidR="00BE1EFE" w:rsidRDefault="00BE1EFE">
      <w:pPr>
        <w:pStyle w:val="StandardWeb"/>
      </w:pPr>
      <w:r>
        <w:t>(4) Änderungen des Tarifvertrages über eine Zuwendung an Angestellte und des Tarif</w:t>
      </w:r>
      <w:r>
        <w:softHyphen/>
        <w:t xml:space="preserve">vertrages über ein Urlaubsgeld für Angestellte werden zum jeweiligen Zeitpunkt Bestandteil des Arbeitsvertragsrechtes der bayerischen (Erz-)Diözesen (ABD). </w:t>
      </w:r>
    </w:p>
    <w:p w:rsidR="00BE1EFE" w:rsidRDefault="00BE1EFE">
      <w:pPr>
        <w:pStyle w:val="StandardWeb"/>
      </w:pPr>
      <w:r w:rsidRPr="009C6551">
        <w:rPr>
          <w:rStyle w:val="kleinschrift1"/>
        </w:rPr>
        <w:t xml:space="preserve">Protokollnotiz zu § 26 Abs. 3. </w:t>
      </w:r>
    </w:p>
    <w:p w:rsidR="00BE1EFE" w:rsidRDefault="00BE1EFE">
      <w:pPr>
        <w:pStyle w:val="StandardWeb"/>
      </w:pPr>
      <w:r w:rsidRPr="009C6551">
        <w:rPr>
          <w:rStyle w:val="kleinschrift1"/>
        </w:rPr>
        <w:t>In § 26 Abs. 3 sind Änderungen in den Vergütungstarifverträgen, soweit sie Grundvergütung und Ortzuschlag betreffen, geregelt. Weitere Bestandteile der jeweiligen Vergütungstarifverträge sind nicht direkte Bestandteile des § 26 Abs. 3, werden aber wie Bestandteile des § 26 A</w:t>
      </w:r>
      <w:r w:rsidR="00D22E61">
        <w:rPr>
          <w:rStyle w:val="kleinschrift1"/>
        </w:rPr>
        <w:t>bs. 3 behandelt. Die Bayer. Regional</w:t>
      </w:r>
      <w:r w:rsidRPr="009C6551">
        <w:rPr>
          <w:rStyle w:val="kleinschrift1"/>
        </w:rPr>
        <w:t xml:space="preserve">-KODA kann in diesem Bereich von den jeweiligen Vergütungstarifverträgen inhaltlich abweichende Beschlüsse fassen. </w:t>
      </w:r>
    </w:p>
    <w:p w:rsidR="00BE1EFE" w:rsidRDefault="00BE1EFE">
      <w:pPr>
        <w:pStyle w:val="StandardWeb"/>
      </w:pPr>
    </w:p>
    <w:p w:rsidR="00BE1EFE" w:rsidRDefault="00BE1EFE" w:rsidP="003575ED">
      <w:pPr>
        <w:pStyle w:val="StandardWeb"/>
        <w:autoSpaceDE w:val="0"/>
        <w:jc w:val="left"/>
      </w:pPr>
      <w:r>
        <w:rPr>
          <w:rStyle w:val="Fett"/>
          <w:bCs/>
        </w:rPr>
        <w:t xml:space="preserve">§ 27 Grundvergütung </w:t>
      </w:r>
    </w:p>
    <w:p w:rsidR="00BE1EFE" w:rsidRDefault="00BE1EFE">
      <w:pPr>
        <w:pStyle w:val="StandardWeb"/>
        <w:jc w:val="center"/>
      </w:pPr>
    </w:p>
    <w:p w:rsidR="00BE1EFE" w:rsidRDefault="00BE1EFE">
      <w:pPr>
        <w:pStyle w:val="StandardWeb"/>
      </w:pPr>
      <w:r>
        <w:t xml:space="preserve">A. 1. Angestellte, die unter die Allgemeine Vergütungsordnung (ABD </w:t>
      </w:r>
      <w:hyperlink r:id="rId693" w:history="1">
        <w:r w:rsidRPr="00660473">
          <w:rPr>
            <w:rStyle w:val="Hyperlink"/>
          </w:rPr>
          <w:t>Teil A</w:t>
        </w:r>
      </w:hyperlink>
      <w:r>
        <w:t xml:space="preserve">, 3.) oder unter eine andere Vergütungsregelung des ABD fallen </w:t>
      </w:r>
    </w:p>
    <w:p w:rsidR="00BE1EFE" w:rsidRDefault="00BE1EFE">
      <w:pPr>
        <w:pStyle w:val="StandardWeb"/>
      </w:pPr>
      <w:r>
        <w:t>(1) </w:t>
      </w:r>
      <w:r>
        <w:rPr>
          <w:rStyle w:val="kleinschrift"/>
        </w:rPr>
        <w:t>1</w:t>
      </w:r>
      <w:r>
        <w:t xml:space="preserve">Die Grundvergütungen sind in den Vergütungsgruppen nach Lebensaltersstufen zu bemessen. </w:t>
      </w:r>
      <w:r>
        <w:rPr>
          <w:rStyle w:val="kleinschrift"/>
        </w:rPr>
        <w:t>2</w:t>
      </w:r>
      <w:r>
        <w:t xml:space="preserve">Die Grundvergütung der ersten Lebensaltersstufe (Anfangsgrundvergütung) wird vom Beginn des Monats an gezahlt, in dem der Angestellte in den Vergütungsgruppen III bis X das 21. Lebensjahr, in den Vergütungsgruppen I bis II b das 23. Lebensjahr vollendet. </w:t>
      </w:r>
      <w:r>
        <w:rPr>
          <w:rStyle w:val="kleinschrift"/>
        </w:rPr>
        <w:t>3</w:t>
      </w:r>
      <w:r>
        <w:t xml:space="preserve">Nach je zwei Jahren erhält der Angestellte bis zum Erreichen der Grundvergütung der letzten Lebensaltersstufe (Endgrundvergütung) die Grundvergütung der folgenden Lebensaltersstufe. </w:t>
      </w:r>
    </w:p>
    <w:p w:rsidR="00BE1EFE" w:rsidRDefault="00BE1EFE">
      <w:pPr>
        <w:pStyle w:val="StandardWeb"/>
      </w:pPr>
      <w:r>
        <w:t>(2) </w:t>
      </w:r>
      <w:r>
        <w:rPr>
          <w:rStyle w:val="kleinschrift"/>
        </w:rPr>
        <w:t>1</w:t>
      </w:r>
      <w:r>
        <w:t xml:space="preserve">Wird der Angestellte in den Vergütungsgruppen III bis X spätestens am Ende des Monats eingestellt, in dem er das 31. Lebensjahr vollendet, erhält er die Grundvergütung seiner Lebensaltersstufe. </w:t>
      </w:r>
      <w:r>
        <w:rPr>
          <w:rStyle w:val="kleinschrift"/>
        </w:rPr>
        <w:t>2</w:t>
      </w:r>
      <w:r>
        <w:t xml:space="preserve">Wird der Angestellte zu einem späteren Zeitpunkt eingestellt, erhält er die Grundvergütung der Lebensaltersstufe, die sich ergibt, wenn das bei der Einstellung vollendete Lebensalter um die Hälfte der Lebensjahre vermindert wird, die der Angestellte seit Vollendung des 31. Lebensjahres zurückgelegt hat. </w:t>
      </w:r>
      <w:r>
        <w:rPr>
          <w:rStyle w:val="kleinschrift"/>
        </w:rPr>
        <w:t>3</w:t>
      </w:r>
      <w:r>
        <w:t xml:space="preserve">Jeweils mit Beginn des Monats, in dem der Angestellte ein Lebensjahr mit ungerader Zahl vollendet, erhält er bis zum Erreichen der Endgrundvergütung die Grundvergütung der folgenden Lebensaltersstufe. </w:t>
      </w:r>
      <w:r>
        <w:rPr>
          <w:rStyle w:val="kleinschrift"/>
        </w:rPr>
        <w:t>4</w:t>
      </w:r>
      <w:r>
        <w:t xml:space="preserve">Für Angestellte der Vergütungsgruppen I bis II b gelten die Sätze 1 bis 3 entsprechend mit der Maßgabe, dass an die Stelle des 31. Lebensjahres das 35. Lebensjahr tritt. </w:t>
      </w:r>
    </w:p>
    <w:p w:rsidR="00BE1EFE" w:rsidRDefault="00BE1EFE">
      <w:pPr>
        <w:pStyle w:val="StandardWeb"/>
      </w:pPr>
      <w:r>
        <w:t>(3) </w:t>
      </w:r>
      <w:r>
        <w:rPr>
          <w:rStyle w:val="kleinschrift"/>
        </w:rPr>
        <w:t>1</w:t>
      </w:r>
      <w:r>
        <w:t xml:space="preserve">Wird der Angestellte höher gruppiert, erhält er vom Beginn des Monats an, in dem die Höhergruppierung wirksam wird, in der höheren Vergütungsgruppe die Grundvergütung, die dem für die Festsetzung der Grundvergütung in der verlassenen Vergütungsgruppe maßgebenden Lebensalter (Abs. 2 oder Abs. 6) entspricht. </w:t>
      </w:r>
      <w:r>
        <w:rPr>
          <w:rStyle w:val="kleinschrift"/>
        </w:rPr>
        <w:t>2</w:t>
      </w:r>
      <w:r>
        <w:t xml:space="preserve">Abweichend hiervon erhält der Angestellte bei der Höhergruppierung aus der Vergütungsgruppe III oder einer niedrigeren Vergütungsgruppe in die Vergütungsgruppe II b oder in eine höhere Vergütungsgruppe jedoch mindestens die Grundvergütung, die ihm zustehen würde, wenn er bereits bei der Einstellung in die höhere Vergütungsgruppe eingruppiert worden wäre. </w:t>
      </w:r>
      <w:r>
        <w:rPr>
          <w:rStyle w:val="kleinschrift"/>
        </w:rPr>
        <w:t>3</w:t>
      </w:r>
      <w:r>
        <w:t xml:space="preserve">Jeweils mit Beginn des Monats, in dem der Angestellte ein Lebensjahr mit ungerader Zahl vollendet, erhält er bis zum Erreichen der Endgrundvergütung die Grundvergütung der folgenden Lebensaltersstufe. </w:t>
      </w:r>
    </w:p>
    <w:p w:rsidR="00BE1EFE" w:rsidRDefault="00BE1EFE">
      <w:pPr>
        <w:pStyle w:val="StandardWeb"/>
      </w:pPr>
      <w:r>
        <w:t>(4) </w:t>
      </w:r>
      <w:r>
        <w:rPr>
          <w:rStyle w:val="kleinschrift"/>
        </w:rPr>
        <w:t>1</w:t>
      </w:r>
      <w:r>
        <w:t xml:space="preserve">Wird der Angestellte herabgruppiert, erhält er in der niedrigeren Vergütungsgruppe die Grundvergütung, die dem für die Festsetzung der Grundvergütung in der verlassenen Vergütungsgruppe maßgebenden Lebensalter (Abs. 2 oder Abs. 6) entspricht. </w:t>
      </w:r>
      <w:r>
        <w:rPr>
          <w:rStyle w:val="kleinschrift"/>
        </w:rPr>
        <w:t>2</w:t>
      </w:r>
      <w:r>
        <w:t xml:space="preserve">Jeweils mit Beginn des Monats, in dem der Angestellte ein Lebensjahr mit ungerader Zahl vollendet, erhält er bis zum Erreichen der Endgrundvergütung die Grundvergütung der folgenden Lebensaltersstufe. </w:t>
      </w:r>
    </w:p>
    <w:p w:rsidR="00BE1EFE" w:rsidRDefault="00BE1EFE">
      <w:pPr>
        <w:pStyle w:val="StandardWeb"/>
      </w:pPr>
      <w:r>
        <w:t>(5) Bei der Festsetzung der Grundvergütung ist ohne Rücksicht darauf, an welchem Monats</w:t>
      </w:r>
      <w:r>
        <w:softHyphen/>
        <w:t xml:space="preserve">tag der Angestellte geboren ist, die Vollendung eines Lebensjahres mit Beginn des Monats anzunehmen, in den der Geburtstag fällt. </w:t>
      </w:r>
    </w:p>
    <w:p w:rsidR="00BE1EFE" w:rsidRDefault="00BE1EFE">
      <w:pPr>
        <w:pStyle w:val="StandardWeb"/>
      </w:pPr>
      <w:r>
        <w:lastRenderedPageBreak/>
        <w:t>(6) </w:t>
      </w:r>
      <w:r>
        <w:rPr>
          <w:rStyle w:val="kleinschrift"/>
        </w:rPr>
        <w:t>1</w:t>
      </w:r>
      <w:r>
        <w:t xml:space="preserve">Wird der Angestellte in unmittelbarem Anschluss an eine Tätigkeit bei einem Arbeitgeber im Bereich der kath. Kirche oder einer der Kirchen oder kirchlichen Gemeinschaften, die Mitglied in der Arbeitsgemeinschaft christlicher Kirchen in der Bundesrepublik Deutschland sind, eingestellt, gilt als Tag der Einstellung der Tag, von dem an der Angestellte ununterbrochen in einem dieser Rechtsverhältnisse im kirchlichen Dienst gestanden hat; Abs. 7 ist entsprechend anzuwenden. </w:t>
      </w:r>
      <w:r>
        <w:rPr>
          <w:rStyle w:val="kleinschrift"/>
        </w:rPr>
        <w:t>2</w:t>
      </w:r>
      <w:r>
        <w:t xml:space="preserve">Gleiches gilt, wenn der Angestellte in unmittelbarem Anschluss an eine Tätigkeit im öffentlichen Dienst als Angestellter, Arbeiter, Beamter, Soldat auf Zeit oder Berufssoldat eingestellt wird. </w:t>
      </w:r>
    </w:p>
    <w:p w:rsidR="00BE1EFE" w:rsidRDefault="00BE1EFE">
      <w:pPr>
        <w:pStyle w:val="StandardWeb"/>
      </w:pPr>
      <w:r>
        <w:rPr>
          <w:rStyle w:val="kleinschrift"/>
        </w:rPr>
        <w:t>3</w:t>
      </w:r>
      <w:r>
        <w:t xml:space="preserve">Wird der Angestellte in nicht unmittelbarem Anschluss an ein Angestelltenverhältnis nach Unterabs. 1 eingestellt, erhält er mindestens die Grundvergütung nach der Lebensaltersstufe, die für die zuletzt bezogene Grundvergütung maßgebend gewesen ist oder gewesen wäre, wenn auf sein früheres Angestelltenverhältnis die Vorschriften dieses Abschnittes angewandt worden wären. </w:t>
      </w:r>
    </w:p>
    <w:p w:rsidR="00BE1EFE" w:rsidRDefault="00BE1EFE">
      <w:pPr>
        <w:pStyle w:val="StandardWeb"/>
      </w:pPr>
      <w:r>
        <w:rPr>
          <w:rStyle w:val="kleinschrift"/>
        </w:rPr>
        <w:t>4</w:t>
      </w:r>
      <w:r>
        <w:t xml:space="preserve">Wird der Angestellte in unmittelbarem Anschluss an ein Angestelltenverhältnis nach Unterabs. 1 eingestellt, ist die Grundvergütung nach Unterabs. 1 Satz 2 festzusetzen, wenn dies günstiger ist als nach Unterabs. 1 Satz 1. </w:t>
      </w:r>
    </w:p>
    <w:p w:rsidR="00BE1EFE" w:rsidRDefault="00BE1EFE">
      <w:pPr>
        <w:pStyle w:val="StandardWeb"/>
      </w:pPr>
      <w:r>
        <w:t>(7) </w:t>
      </w:r>
      <w:r>
        <w:rPr>
          <w:rStyle w:val="kleinschrift"/>
        </w:rPr>
        <w:t>1</w:t>
      </w:r>
      <w:r>
        <w:t xml:space="preserve">Der Angestellte, der länger als sechs Monate ohne Bezüge beurlaubt gewesen ist oder dessen Arbeitsverhältnis aus einem anderen Grunde geruht hat, erhält die Grundvergütung, die sich für ihn nach Abs. 2 und Abs. 6 Unterabs. 2 ergeben würde, wenn das Arbeitsverhältnis mit Ablauf des Tages, der dem Tage des Beginns der Beurlaubung oder des Ruhens vorangegangen ist, geendet hätte. </w:t>
      </w:r>
      <w:r>
        <w:rPr>
          <w:rStyle w:val="kleinschrift"/>
        </w:rPr>
        <w:t>2</w:t>
      </w:r>
      <w:r>
        <w:t xml:space="preserve">Satz 1 gilt nicht für die Zeit einer Kinderbetreuung von bis zu drei Jahren für jedes Kind oder für eine Zeit von bis zu drei Jahren, in der der Angestellte, der mit einem nach ärztlichem Gutachten sonstigen pflegebedürftigen Angehörigen in häuslicher Gemeinschaft lebt, diese Person tatsächlich betreut oder pflegt, für die Zeit des Grundwehrdienstes oder des Zivildienstes sowie für die Zeit einer Beurlaubung, die nach § 50 Abs. 3 Satz 2 bei der Beschäftigungszeit berücksichtigt wird. </w:t>
      </w:r>
    </w:p>
    <w:p w:rsidR="00BE1EFE" w:rsidRDefault="00BE1EFE">
      <w:pPr>
        <w:pStyle w:val="StandardWeb"/>
      </w:pPr>
      <w:r>
        <w:t>(8) </w:t>
      </w:r>
      <w:r>
        <w:rPr>
          <w:rStyle w:val="kleinschrift"/>
        </w:rPr>
        <w:t>1</w:t>
      </w:r>
      <w:r>
        <w:t xml:space="preserve">Anstelle der Grundvergütung aus der Lebensaltersstufe, die der Angestellte auf Grund eines in der Zeit vom 01. Januar 2003 bis 31. Dezember 2004 vollendeten Lebensjahres mit ungerader Zahl erreicht, wird ab dem Monat, in dem der Angestellte ein Lebensjahr mit ungerader Zahl vollendet, für die Dauer von zwölf Monaten die Grundvergütung aus der bisherigen Lebensaltersstufe zuzüglich des halben Unterschiedsbetrages zur nächst höheren Lebensaltersstufe gezahlt. </w:t>
      </w:r>
      <w:r>
        <w:rPr>
          <w:rStyle w:val="kleinschrift"/>
        </w:rPr>
        <w:t>2</w:t>
      </w:r>
      <w:r>
        <w:t>Der Angestellte, dessen Arbeitsverhältnis in der Zeit vom 01. Januar 2003 bis 31. Dezember 2004 beginnt und der in der Zeit zwischen der Einstellung und dem 31. Dezember 2004 kein Lebensjahr mit ungerader Zahl mehr vollendet, erhält ab der Einstellung für die Dauer von zwölf Monaten die Grundvergütung aus der nächst niedrigeren als der nach Absatz 2 zustehenden Lebensaltersstufe zuzüglich des halben Unterschieds</w:t>
      </w:r>
      <w:r>
        <w:softHyphen/>
        <w:t xml:space="preserve">betrages zur nächst höheren Lebensaltersstufe. </w:t>
      </w:r>
    </w:p>
    <w:p w:rsidR="00BE1EFE" w:rsidRDefault="00BE1EFE">
      <w:pPr>
        <w:pStyle w:val="StandardWeb"/>
        <w:rPr>
          <w:sz w:val="12"/>
          <w:szCs w:val="12"/>
        </w:rPr>
      </w:pPr>
      <w:r w:rsidRPr="009C6551">
        <w:rPr>
          <w:rStyle w:val="kleinschrift1"/>
        </w:rPr>
        <w:t xml:space="preserve">Anmerkung zu Abs. 6: </w:t>
      </w:r>
    </w:p>
    <w:p w:rsidR="00BE1EFE" w:rsidRDefault="00BE1EFE">
      <w:pPr>
        <w:pStyle w:val="StandardWeb"/>
        <w:rPr>
          <w:sz w:val="12"/>
          <w:szCs w:val="12"/>
        </w:rPr>
      </w:pPr>
      <w:r>
        <w:rPr>
          <w:rStyle w:val="kleinschrift1"/>
        </w:rPr>
        <w:t>1. </w:t>
      </w:r>
      <w:r w:rsidRPr="009C6551">
        <w:rPr>
          <w:rStyle w:val="kleinschrift1"/>
        </w:rPr>
        <w:t xml:space="preserve">Öffentlicher Dienst im Sinne dieser Ordnung ist eine Beschäftigung </w:t>
      </w:r>
    </w:p>
    <w:p w:rsidR="00BE1EFE" w:rsidRDefault="00BE1EFE">
      <w:pPr>
        <w:pStyle w:val="StandardWeb"/>
        <w:rPr>
          <w:sz w:val="12"/>
          <w:szCs w:val="12"/>
        </w:rPr>
      </w:pPr>
      <w:r>
        <w:rPr>
          <w:rStyle w:val="kleinschrift1"/>
        </w:rPr>
        <w:t>a) </w:t>
      </w:r>
      <w:r w:rsidRPr="009C6551">
        <w:rPr>
          <w:rStyle w:val="kleinschrift1"/>
        </w:rPr>
        <w:t xml:space="preserve">beim Bund, bei einem Land, bei einer Gemeinde oder bei einem Gemeindeverband oder bei einem sonstigen Mitglied eines Arbeitgeberverbandes, der der Vereinigung der kommunalen Arbeitgeberverbände oder der Tarifgemeinschaft deutscher Länder angehört, </w:t>
      </w:r>
    </w:p>
    <w:p w:rsidR="00BE1EFE" w:rsidRDefault="00BE1EFE">
      <w:pPr>
        <w:pStyle w:val="StandardWeb"/>
        <w:rPr>
          <w:sz w:val="12"/>
          <w:szCs w:val="12"/>
        </w:rPr>
      </w:pPr>
      <w:r>
        <w:rPr>
          <w:rStyle w:val="kleinschrift1"/>
        </w:rPr>
        <w:t>b) </w:t>
      </w:r>
      <w:r w:rsidRPr="009C6551">
        <w:rPr>
          <w:rStyle w:val="kleinschrift1"/>
        </w:rPr>
        <w:t xml:space="preserve">bei einer Körperschaft, Anstalt oder Stiftung des öffentlichen Rechts, die das ABD oder ein Arbeitsvertragswerk wesentlich gleichen Inhalts anwendet. </w:t>
      </w:r>
    </w:p>
    <w:p w:rsidR="00BE1EFE" w:rsidRDefault="00BE1EFE">
      <w:pPr>
        <w:pStyle w:val="StandardWeb"/>
      </w:pPr>
      <w:r>
        <w:rPr>
          <w:rStyle w:val="kleinschrift1"/>
        </w:rPr>
        <w:t>2. </w:t>
      </w:r>
      <w:r w:rsidRPr="009C6551">
        <w:rPr>
          <w:rStyle w:val="kleinschrift1"/>
        </w:rPr>
        <w:t xml:space="preserve">Eine Unterbrechung sowie kein unmittelbarer Anschluss liegen vor, wenn zwischen den Rechtsverhältnissen i. S. d. Abs. 6 ein oder mehrere Werktage – mit Ausnahme allgemein arbeitsfreier Werktage – liegen, in denen das Angestelltenverhältnis oder das andere Rechtsverhältnis nicht bestand. Es ist jedoch unschädlich, wenn der Angestellte in dem zwischen diesen Rechtsverhältnissen liegenden gesamten Zeitraum arbeitsunfähig krank war oder die Zeit zur Ausführung eines Umzugs an einen anderen Ort benötigt hat. </w:t>
      </w:r>
    </w:p>
    <w:p w:rsidR="00BE1EFE" w:rsidRDefault="00BE1EFE">
      <w:pPr>
        <w:pStyle w:val="StandardWeb"/>
      </w:pPr>
    </w:p>
    <w:p w:rsidR="00BE1EFE" w:rsidRDefault="00BE1EFE">
      <w:pPr>
        <w:pStyle w:val="StandardWeb"/>
      </w:pPr>
      <w:r>
        <w:t xml:space="preserve">A. 2. Pädagogische Mitarbeiter im Kindertagesstättenbereich </w:t>
      </w:r>
    </w:p>
    <w:p w:rsidR="00BE1EFE" w:rsidRDefault="00BE1EFE">
      <w:pPr>
        <w:pStyle w:val="StandardWeb"/>
      </w:pPr>
      <w:r>
        <w:t>(1) </w:t>
      </w:r>
      <w:r>
        <w:rPr>
          <w:rStyle w:val="kleinschrift"/>
        </w:rPr>
        <w:t>1</w:t>
      </w:r>
      <w:r>
        <w:t xml:space="preserve">Vom Beginn des Monats an, in dem ein Angestellter der Vergütungsgruppen X bis III das 21. Lebensjahr, der Vergütungsgruppen II bis I das 23. Lebensjahr vollendet, erhält er die Anfangsgrundvergütung (erste Stufe) seiner Vergütungsgruppe. </w:t>
      </w:r>
      <w:r>
        <w:rPr>
          <w:rStyle w:val="kleinschrift"/>
        </w:rPr>
        <w:t>2</w:t>
      </w:r>
      <w:r>
        <w:t xml:space="preserve">Nach je zwei Jahren erhält der Angestellte bis zum Erreichen der Endgrundvergütung (letzte Stufe) die Grundvergütung der nächst höheren Stufe seiner Vergütungsgruppe. </w:t>
      </w:r>
    </w:p>
    <w:p w:rsidR="00BE1EFE" w:rsidRDefault="00BE1EFE">
      <w:pPr>
        <w:pStyle w:val="StandardWeb"/>
      </w:pPr>
      <w:r>
        <w:lastRenderedPageBreak/>
        <w:t>(2) </w:t>
      </w:r>
      <w:r>
        <w:rPr>
          <w:rStyle w:val="kleinschrift"/>
        </w:rPr>
        <w:t>1</w:t>
      </w:r>
      <w:r>
        <w:t xml:space="preserve">Wird der Angestellte höher gruppiert, erhält er vom Beginn des Monats an, in dem die Höhergruppierung wirksam wird, in der Aufrückungsgruppe die Grundvergütung der Stufe, deren Satz mindestens um den Garantiebetrag höher ist, als seine bisherige Grundvergütung, höchstens jedoch die Endgrundvergütung (letzte Stufe) der Aufrückungsgruppe, bei einer Höhergruppierung in die Vergütungsgruppe II jedoch die Grundvergütung der nächst niedrigeren Stufe, mindestens aber die Anfangsgrundvergütung (erste Stufe). </w:t>
      </w:r>
      <w:r>
        <w:rPr>
          <w:rStyle w:val="kleinschrift"/>
        </w:rPr>
        <w:t>2</w:t>
      </w:r>
      <w:r>
        <w:t xml:space="preserve">Garantiebetrag i. S. d. Satzes 1 ist der Unterschiedsbetrag zwischen den Anfangsgrundvergütungen (ersten Stufen) der bisherigen Vergütungsgruppe und der Aufrückungsgruppe. </w:t>
      </w:r>
    </w:p>
    <w:p w:rsidR="00BE1EFE" w:rsidRDefault="00BE1EFE">
      <w:pPr>
        <w:pStyle w:val="StandardWeb"/>
      </w:pPr>
      <w:r>
        <w:rPr>
          <w:rStyle w:val="kleinschrift"/>
        </w:rPr>
        <w:t>3</w:t>
      </w:r>
      <w:r>
        <w:t xml:space="preserve">Wird der Angestellte nicht in die nächst höhere, sondern in eine darüber liegende Vergütungsgruppe höher gruppiert, so ist die Grundvergütung für jede dazwischen liegende Vergütungsgruppe nach Satz 1 zu berechnen. </w:t>
      </w:r>
    </w:p>
    <w:p w:rsidR="00BE1EFE" w:rsidRDefault="00BE1EFE">
      <w:pPr>
        <w:pStyle w:val="StandardWeb"/>
      </w:pPr>
      <w:r>
        <w:rPr>
          <w:rStyle w:val="kleinschrift"/>
        </w:rPr>
        <w:t>4</w:t>
      </w:r>
      <w:r>
        <w:t xml:space="preserve">Hat ein Angestellter bis zur Höhergruppierung eine persönliche Zulage nach § 24 bezogen und wird er in die Vergütungsgruppe höher gruppiert, nach der die Zulage berechnet war, so erhält er die Grundvergütung, die der Berechnung der Zulage zugrunde gelegt war, wenn diese höher ist als die nach Unterabs. 1 oder 2 errechnete Grundvergütung. </w:t>
      </w:r>
    </w:p>
    <w:p w:rsidR="00BE1EFE" w:rsidRDefault="00BE1EFE">
      <w:pPr>
        <w:pStyle w:val="StandardWeb"/>
      </w:pPr>
      <w:r>
        <w:rPr>
          <w:rStyle w:val="kleinschrift"/>
        </w:rPr>
        <w:t>5</w:t>
      </w:r>
      <w:r>
        <w:t xml:space="preserve">Würde dem Angestellten als Neueingestelltem nach Abs. 3 Unterabs. 1 eine höhere als die nach Unterabs. 1 oder 2 errechnete Grundvergütung zustehen, so erhält er die Grundvergütung nach Abs. 3 Unterabs. 1. </w:t>
      </w:r>
    </w:p>
    <w:p w:rsidR="00BE1EFE" w:rsidRDefault="00BE1EFE">
      <w:pPr>
        <w:pStyle w:val="StandardWeb"/>
      </w:pPr>
      <w:r>
        <w:rPr>
          <w:rStyle w:val="kleinschrift"/>
        </w:rPr>
        <w:t>6</w:t>
      </w:r>
      <w:r>
        <w:t xml:space="preserve">Fällt der Zeitpunkt einer Steigerung (Abs. 1 Satz 2) mit dem einer Höhergruppierung zusammen, ist zunächst die Steigerung in der bisherigen Vergütungsgruppe und danach die Höhergruppierung durchzuführen. </w:t>
      </w:r>
    </w:p>
    <w:p w:rsidR="00BE1EFE" w:rsidRDefault="00BE1EFE">
      <w:pPr>
        <w:pStyle w:val="StandardWeb"/>
      </w:pPr>
      <w:r>
        <w:rPr>
          <w:rStyle w:val="kleinschrift"/>
        </w:rPr>
        <w:t>7</w:t>
      </w:r>
      <w:r>
        <w:t xml:space="preserve">Nach der Höhergruppierung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t>(3) </w:t>
      </w:r>
      <w:r>
        <w:rPr>
          <w:rStyle w:val="kleinschrift"/>
        </w:rPr>
        <w:t>1</w:t>
      </w:r>
      <w:r>
        <w:t xml:space="preserve">Der Angestellte, der bei der Einstellung das 21. bzw. das 23. Lebensjahr überschritten hat, erhält die Grundvergütung der nächst niedrigeren Stufe als der Stufe, die er zu erhalten hätte, wenn er seit Vollendung des 21. bzw. 23. Lebensjahres in der unmittelbar unter der Anstellungsgruppe liegenden Vergütungsgruppe beschäftigt und am Tage der Einstellung höher gruppiert worden wäre, mindestens jedoch die Anfangsgrundvergütung (erste Stufe) der Anstellungsgruppe. </w:t>
      </w:r>
      <w:r>
        <w:rPr>
          <w:rStyle w:val="kleinschrift"/>
        </w:rPr>
        <w:t>2</w:t>
      </w:r>
      <w:r>
        <w:t>Bei Einstellung in die Vergütungsgruppe X erhält der Angestellte die Grundvergütung der Stufe, die er erreicht hätte, wenn er seit Vollendung des 21. Lebensjahres in dieser Vergütungsgruppe beschäftigt worden wäre.</w:t>
      </w:r>
    </w:p>
    <w:p w:rsidR="00BE1EFE" w:rsidRDefault="00BE1EFE">
      <w:pPr>
        <w:pStyle w:val="StandardWeb"/>
      </w:pPr>
      <w:r>
        <w:rPr>
          <w:rStyle w:val="kleinschrift"/>
        </w:rPr>
        <w:t>3</w:t>
      </w:r>
      <w:r>
        <w:t xml:space="preserve">Wird der Angestellte in unmittelbarem Anschluss an ein Arbeitsverhältnis, auf das das ABD oder ein Arbeitsvertragswerk wesentlich gleichen Inhalts angewendet worden ist, eingestellt, so erhält er </w:t>
      </w:r>
    </w:p>
    <w:p w:rsidR="00BE1EFE" w:rsidRDefault="00BE1EFE">
      <w:pPr>
        <w:pStyle w:val="StandardWeb"/>
      </w:pPr>
      <w:r>
        <w:t xml:space="preserve">a) bei Einstellung in derselben Vergütungsgruppe, </w:t>
      </w:r>
    </w:p>
    <w:p w:rsidR="00BE1EFE" w:rsidRDefault="00BE1EFE">
      <w:pPr>
        <w:pStyle w:val="StandardWeb"/>
      </w:pPr>
      <w:r>
        <w:t>aa) wenn seine bisherige Grundvergütung nach diesem Abschn. bemessen war, die Grund</w:t>
      </w:r>
      <w:r>
        <w:softHyphen/>
        <w:t xml:space="preserve">vergütung der Stufe, die er beim Fortbestehen des Arbeitsverhältnisses am Einstellungstag vom bisherigen Arbeitgeber erhalten hätte, </w:t>
      </w:r>
    </w:p>
    <w:p w:rsidR="00BE1EFE" w:rsidRDefault="00BE1EFE">
      <w:pPr>
        <w:pStyle w:val="StandardWeb"/>
      </w:pPr>
      <w:r>
        <w:t xml:space="preserve">bb) wenn seine bisherige Grundvergütung nach § 27 Abschn.A.1.ABD bemessen war, die Grundvergütung der Stufe, deren Satz mindestens der Grundvergütung entspricht, die er beim Fortbestehen des Arbeitsverhältnisses am Einstellungstag vom bisherigen Arbeitgeber erhalten hätte, mindestens jedoch die nach Unterabs. 1 zustehende Grundvergütung; </w:t>
      </w:r>
    </w:p>
    <w:p w:rsidR="00BE1EFE" w:rsidRDefault="00BE1EFE">
      <w:pPr>
        <w:pStyle w:val="StandardWeb"/>
      </w:pPr>
      <w:r>
        <w:t xml:space="preserve">b) bei Einstellung in einer höheren Vergütungsgruppe die Grundvergütung der Stufe, die ihm zustünde, wenn er in der bisherigen Vergütungsgruppe eingestellt, seine Grundvergütung nach Buchst. a berechnet und er gleichzeitig höher gruppiert worden wäre; </w:t>
      </w:r>
    </w:p>
    <w:p w:rsidR="00BE1EFE" w:rsidRDefault="00BE1EFE">
      <w:pPr>
        <w:pStyle w:val="StandardWeb"/>
      </w:pPr>
      <w:r>
        <w:t>c) bei Einstellung in einer niedrigeren Vergütungsgruppe die Grundvergütung der Stufe, die ihm zustünde, wenn er in der bisherigen Vergütungsgruppe eingestellt, seine Grundvergütung nach Buchst. a berechnet und er gleichzeitig herabgruppiert worden wäre.</w:t>
      </w:r>
    </w:p>
    <w:p w:rsidR="00BE1EFE" w:rsidRDefault="00BE1EFE">
      <w:pPr>
        <w:pStyle w:val="StandardWeb"/>
      </w:pPr>
      <w:r>
        <w:rPr>
          <w:rStyle w:val="kleinschrift"/>
        </w:rPr>
        <w:t>4</w:t>
      </w:r>
      <w:r>
        <w:t xml:space="preserve">Wird der Angestellte aufgrund des § 59 Abs. 5 wieder eingestellt, so erhält er </w:t>
      </w:r>
    </w:p>
    <w:p w:rsidR="00BE1EFE" w:rsidRDefault="00BE1EFE">
      <w:pPr>
        <w:pStyle w:val="StandardWeb"/>
      </w:pPr>
      <w:r>
        <w:lastRenderedPageBreak/>
        <w:t xml:space="preserve">a) bei Einstellung in derselben Vergütungsgruppe die Grundvergütung der Stufe, die für ihn im Zeitpunkt der Beendigung des Arbeitsverhältnisses maßgebend war, mindestens jedoch die nach Unterabs. 1 zustehende Grundvergütung, </w:t>
      </w:r>
    </w:p>
    <w:p w:rsidR="00BE1EFE" w:rsidRDefault="00BE1EFE">
      <w:pPr>
        <w:pStyle w:val="StandardWeb"/>
      </w:pPr>
      <w:r>
        <w:t xml:space="preserve">b) bei Einstellung in einer höheren Vergütungsgruppe die Grundvergütung der Stufe, die ihm zustände, wenn er in der bisherigen Vergütungsgruppe eingestellt, seine Grundvergütung nach Buchst. a berechnet und er gleichzeitig höher gruppiert worden wäre, </w:t>
      </w:r>
    </w:p>
    <w:p w:rsidR="00BE1EFE" w:rsidRDefault="00BE1EFE">
      <w:pPr>
        <w:pStyle w:val="StandardWeb"/>
      </w:pPr>
      <w:r>
        <w:t xml:space="preserve">c) bei Einstellung in einer niedrigeren Vergütungsgruppe die Grundvergütung der Stufe, die ihm zustände, wenn er in der bisherigen Vergütungsgruppe eingestellt, seine Grundvergütung nach Buchst. a berechnet und er gleichzeitig herabgruppiert worden wäre. </w:t>
      </w:r>
    </w:p>
    <w:p w:rsidR="00BE1EFE" w:rsidRDefault="00BE1EFE">
      <w:pPr>
        <w:pStyle w:val="StandardWeb"/>
      </w:pPr>
      <w:r>
        <w:rPr>
          <w:rStyle w:val="kleinschrift"/>
        </w:rPr>
        <w:t>5</w:t>
      </w:r>
      <w:r>
        <w:t xml:space="preserve">Nach der Einstellung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rPr>
          <w:rStyle w:val="kleinschrift"/>
        </w:rPr>
        <w:t>6</w:t>
      </w:r>
      <w:r>
        <w:t xml:space="preserve">Der Angestellte, der länger als sechs Monate ohne Bezüge beurlaubt gewesen ist oder dessen Arbeitsverhältnis aus einem anderen Grunde geruht hat, erhält die Grundvergütung, die sich für ihn nach Unterabs. 4 ergeben würde, wenn das Arbeitsverhältnis mit Ablauf des Tages, der dem Tage des Beginns der Beurlaubung oder des Ruhens vorangegangen ist, geendet hätte. </w:t>
      </w:r>
    </w:p>
    <w:p w:rsidR="00BE1EFE" w:rsidRDefault="00BE1EFE">
      <w:pPr>
        <w:pStyle w:val="StandardWeb"/>
      </w:pPr>
      <w:r>
        <w:rPr>
          <w:rStyle w:val="kleinschrift"/>
        </w:rPr>
        <w:t>7</w:t>
      </w:r>
      <w:r>
        <w:t>Satz 1 dieses Unterabs. gilt nicht für die Zeit einer Kinderbetreuung von bis zu drei Jahren für jedes Kind, oder für eine Zeit von bis zu drei Jahren, in der der Angestellte, der mit einem nach ärztlichem Gutachten sonstigen pflegebedürftigen Angehörigen in häuslicher Gemein</w:t>
      </w:r>
      <w:r>
        <w:softHyphen/>
        <w:t xml:space="preserve">schaft lebt, diese Person tatsächlich betreut oder pflegt, für die Zeit des Grundwehrdienstes oder des Zivildienstes sowie für die Zeit einer Beurlaubung, die nach § 50 Abs. 3 Satz 2 bei der Beschäftigungszeit berücksichtigt wird. </w:t>
      </w:r>
    </w:p>
    <w:p w:rsidR="00BE1EFE" w:rsidRDefault="00BE1EFE">
      <w:pPr>
        <w:pStyle w:val="StandardWeb"/>
      </w:pPr>
      <w:r>
        <w:rPr>
          <w:rStyle w:val="kleinschrift"/>
        </w:rPr>
        <w:t>8</w:t>
      </w:r>
      <w:r>
        <w:t>Unterabs. 5 gilt entsprechend. Die Unterabs. 2, 5 und 6 gelten entsprechend bei der Wiedereinstellung von Angestellten, die für eine jahreszeitlich begrenzte, regelmäßig wieder</w:t>
      </w:r>
      <w:r>
        <w:softHyphen/>
        <w:t xml:space="preserve">kehrende Tätigkeit eingestellt werden (Saisonangestellte). </w:t>
      </w:r>
    </w:p>
    <w:p w:rsidR="00BE1EFE" w:rsidRDefault="00BE1EFE">
      <w:pPr>
        <w:pStyle w:val="StandardWeb"/>
      </w:pPr>
      <w:r>
        <w:t>(4) </w:t>
      </w:r>
      <w:r>
        <w:rPr>
          <w:rStyle w:val="kleinschrift"/>
        </w:rPr>
        <w:t>1</w:t>
      </w:r>
      <w:r>
        <w:t>Wird der Angestellte herabgruppiert, erhält er in der Herabgruppierungsgruppe die Grund</w:t>
      </w:r>
      <w:r>
        <w:softHyphen/>
        <w:t>vergütung der Stufe, deren Satz mindestens um den Unterschiedsbetrag zwischen den Anfangsgrundvergütungen (ersten Stufen) der Herabgruppierungsgruppe und der bisherigen Vergütungsgruppe niedriger ist als seine bisherige Grundvergütung, bei einer Herab</w:t>
      </w:r>
      <w:r>
        <w:softHyphen/>
        <w:t xml:space="preserve">gruppierung in die Vergütungsgruppe III jedoch die Grundvergütung der nächst höheren Stufe, höchstens jedoch die Endgrundvergütung (letzte Stufe). </w:t>
      </w:r>
      <w:r>
        <w:rPr>
          <w:rStyle w:val="kleinschrift"/>
        </w:rPr>
        <w:t>2</w:t>
      </w:r>
      <w:r>
        <w:t xml:space="preserve">Wird der Angestellte nicht in die nächst niedrigere, sondern in eine darunter liegende Vergütungsgruppe herabgruppiert, so ist die Grundvergütung für jede dazwischen liegende Vergütungsgruppe nach Satz 1 zu berechnen. </w:t>
      </w:r>
    </w:p>
    <w:p w:rsidR="00BE1EFE" w:rsidRDefault="00BE1EFE">
      <w:pPr>
        <w:pStyle w:val="StandardWeb"/>
      </w:pPr>
      <w:r>
        <w:rPr>
          <w:rStyle w:val="kleinschrift"/>
        </w:rPr>
        <w:t>3</w:t>
      </w:r>
      <w:r>
        <w:t xml:space="preserve">Würde dem Angestellten als Neueingestelltem nach Abs. 3 Unterabs. 1 eine höhere als die nach Unterabs. 1 errechnete Grundvergütung zustehen, so erhält er die Grundvergütung nach Abs. 3 Unterabs. 1. </w:t>
      </w:r>
    </w:p>
    <w:p w:rsidR="00BE1EFE" w:rsidRDefault="00BE1EFE">
      <w:pPr>
        <w:pStyle w:val="StandardWeb"/>
      </w:pPr>
      <w:r>
        <w:rPr>
          <w:rStyle w:val="kleinschrift"/>
        </w:rPr>
        <w:t>4</w:t>
      </w:r>
      <w:r>
        <w:t xml:space="preserve">Nach der Herabgruppierung erhält der Angestellte erstmals vom Beginn des Monats an, in dem er ein mit ungerader Zahl bezeichnetes Lebensjahr vollendet, und weiterhin nach je zwei Jahren bis zum Erreichen der Endgrundvergütung (letzte Stufe) die Grundvergütung der nächst höheren Stufe seiner Vergütungsgruppe. </w:t>
      </w:r>
    </w:p>
    <w:p w:rsidR="00BE1EFE" w:rsidRDefault="00BE1EFE">
      <w:pPr>
        <w:pStyle w:val="StandardWeb"/>
      </w:pPr>
      <w:r>
        <w:t xml:space="preserve">(5) Bei der Festsetzung der Grundvergütung ist ohne Rücksicht darauf, an welchem Monatstage der Angestellte geboren ist, die Vollendung eines Lebensjahres mit Beginn des Monats anzunehmen, in den der Geburtstag fällt. </w:t>
      </w:r>
    </w:p>
    <w:p w:rsidR="00BE1EFE" w:rsidRDefault="00BE1EFE">
      <w:pPr>
        <w:pStyle w:val="StandardWeb"/>
      </w:pPr>
      <w:r>
        <w:t>(6) </w:t>
      </w:r>
      <w:r>
        <w:rPr>
          <w:rStyle w:val="kleinschrift"/>
        </w:rPr>
        <w:t>1</w:t>
      </w:r>
      <w:r>
        <w:t xml:space="preserve">Anstelle der Grundvergütung aus der Stufe, die der Angestellte auf Grund eines in der Zeit vom 01. Januar 2003 bis 31. Dezember 2004 vollendeten Lebensjahres mit ungerader Zahl erreicht, wird ab dem Monat, in dem der Angestellte ein Lebensjahr mit ungerader Zahl vollendet, für die Dauer von zwölf Monaten die Grundvergütung aus der bisherigen Stufe zuzüglich des halben Unterschiedsbetrages zur nächst höheren Stufe gezahlt. </w:t>
      </w:r>
    </w:p>
    <w:p w:rsidR="00BE1EFE" w:rsidRDefault="00BE1EFE">
      <w:pPr>
        <w:pStyle w:val="StandardWeb"/>
      </w:pPr>
      <w:r>
        <w:rPr>
          <w:rStyle w:val="kleinschrift"/>
        </w:rPr>
        <w:t>2</w:t>
      </w:r>
      <w:r>
        <w:t xml:space="preserve">Der Angestellte, dessen Arbeitsverhältnis in der Zeit vom 01. Januar 2003 bis 31. Dezember 2004 beginnt und der in der Zeit zwischen der Einstellung und dem 31. Dezember 2004 kein </w:t>
      </w:r>
      <w:r>
        <w:lastRenderedPageBreak/>
        <w:t xml:space="preserve">Lebensjahr mit ungerader Zahl mehr vollendet, erhält ab der Einstellung für die Dauer von zwölf Monaten die Grundvergütung aus der nächst niedrigeren als der nach Absatz 3 zustehenden Stufe zuzüglich des halben Unterschiedsbetrages zur nächst höheren Stufe. </w:t>
      </w:r>
    </w:p>
    <w:p w:rsidR="00BE1EFE" w:rsidRDefault="00BE1EFE">
      <w:pPr>
        <w:pStyle w:val="StandardWeb"/>
      </w:pPr>
      <w:r>
        <w:rPr>
          <w:rStyle w:val="kleinschrift"/>
        </w:rPr>
        <w:t>3</w:t>
      </w:r>
      <w:r>
        <w:t xml:space="preserve">Die Unterabsätze 1 und 2 gelten sinngemäß, wenn der Angestellte höher- oder herabgruppiert wird. </w:t>
      </w:r>
    </w:p>
    <w:p w:rsidR="00BE1EFE" w:rsidRDefault="00BE1EFE">
      <w:pPr>
        <w:pStyle w:val="StandardWeb"/>
      </w:pPr>
      <w:r w:rsidRPr="009C6551">
        <w:rPr>
          <w:rStyle w:val="kleinschrift1"/>
        </w:rPr>
        <w:t xml:space="preserve">Anmerkung zu Abs. 3: </w:t>
      </w:r>
    </w:p>
    <w:p w:rsidR="00BE1EFE" w:rsidRDefault="00BE1EFE">
      <w:pPr>
        <w:pStyle w:val="StandardWeb"/>
      </w:pPr>
      <w:r w:rsidRPr="009C6551">
        <w:rPr>
          <w:rStyle w:val="kleinschrift1"/>
        </w:rPr>
        <w:t xml:space="preserve">Kein unmittelbarer Anschluss liegt vor, wenn zwischen den Arbeitsverhältnissen i. S. d. Abs. 3 Unterabs. 2 und 3 ein oder mehrere Werktage – mit Ausnahme allgemein arbeitsfreier Werktage – liegen, in denen das Arbeitsverhältnis nicht bestand. Es ist jedoch unschädlich, wenn der Angestellte in dem zwischen den Arbeitsverhältnissen liegenden gesamten Zeitraum arbeitsunfähig krank war oder die Zeit zur Ausführung eines Umzugs an einen anderen Ort benötigt hat. </w:t>
      </w:r>
    </w:p>
    <w:p w:rsidR="00BE1EFE" w:rsidRDefault="00BE1EFE">
      <w:pPr>
        <w:pStyle w:val="StandardWeb"/>
      </w:pPr>
    </w:p>
    <w:p w:rsidR="00BE1EFE" w:rsidRDefault="00BE1EFE" w:rsidP="003575ED">
      <w:pPr>
        <w:pStyle w:val="StandardWeb"/>
        <w:autoSpaceDE w:val="0"/>
        <w:jc w:val="left"/>
      </w:pPr>
      <w:r>
        <w:rPr>
          <w:rStyle w:val="Fett"/>
          <w:bCs/>
        </w:rPr>
        <w:t>§ 28 Grundvergütung der Angestellten zwischen 18 und 21 bzw. 23 Jahren</w:t>
      </w:r>
    </w:p>
    <w:p w:rsidR="00BE1EFE" w:rsidRDefault="00BE1EFE">
      <w:pPr>
        <w:pStyle w:val="StandardWeb"/>
        <w:jc w:val="center"/>
      </w:pPr>
    </w:p>
    <w:p w:rsidR="00BE1EFE" w:rsidRDefault="00BE1EFE">
      <w:pPr>
        <w:pStyle w:val="StandardWeb"/>
      </w:pPr>
      <w:r>
        <w:rPr>
          <w:rStyle w:val="kleinschrift"/>
        </w:rPr>
        <w:t>1</w:t>
      </w:r>
      <w:r>
        <w:t xml:space="preserve">Angestellte, die das 18. Lebensjahr, jedoch nicht das in § 27 Abschn. A. 1.Abs. 1 bzw. Abschn. A. 2. Abs. 1 bezeichnete Lebensjahr vollendet haben, erhalten bis zum Beginn des Monats, in dem sie dieses Lebensjahr vollenden, 100 v. H. der Anfangsgrundvergütung (§ 27 Abschn. A. 1.Abs. 1 bzw. Abschn. A. 2.Abs. 1.). </w:t>
      </w:r>
      <w:r>
        <w:rPr>
          <w:rStyle w:val="kleinschrift"/>
        </w:rPr>
        <w:t>2</w:t>
      </w:r>
      <w:r>
        <w:t>§ 27 Abschn. A. 1.Abs. 5 bzw. Abschn. A. 2.Abs. 5 gilt entsprechend.</w:t>
      </w:r>
    </w:p>
    <w:p w:rsidR="00BE1EFE" w:rsidRDefault="00BE1EFE">
      <w:pPr>
        <w:pStyle w:val="StandardWeb"/>
        <w:jc w:val="center"/>
      </w:pPr>
    </w:p>
    <w:p w:rsidR="00BE1EFE" w:rsidRDefault="00BE1EFE" w:rsidP="00EA5805">
      <w:pPr>
        <w:pStyle w:val="StandardWeb"/>
        <w:autoSpaceDE w:val="0"/>
        <w:jc w:val="left"/>
      </w:pPr>
      <w:r>
        <w:rPr>
          <w:rStyle w:val="Fett"/>
          <w:bCs/>
        </w:rPr>
        <w:t>§ 29 Ortszuschlag</w:t>
      </w:r>
    </w:p>
    <w:p w:rsidR="00BE1EFE" w:rsidRDefault="00BE1EFE">
      <w:pPr>
        <w:pStyle w:val="StandardWeb"/>
      </w:pPr>
    </w:p>
    <w:p w:rsidR="00BE1EFE" w:rsidRDefault="00BE1EFE">
      <w:pPr>
        <w:pStyle w:val="StandardWeb"/>
      </w:pPr>
      <w:r>
        <w:t>A. Grundlage des Ortszuschlages</w:t>
      </w:r>
    </w:p>
    <w:p w:rsidR="00BE1EFE" w:rsidRDefault="00BE1EFE">
      <w:pPr>
        <w:pStyle w:val="StandardWeb"/>
      </w:pPr>
    </w:p>
    <w:p w:rsidR="00BE1EFE" w:rsidRDefault="00BE1EFE">
      <w:pPr>
        <w:pStyle w:val="StandardWeb"/>
      </w:pPr>
      <w:r>
        <w:t xml:space="preserve">(1) Die Höhe des Ortszuschlages richtet sich nach der Tarifklasse, der die Vergütungsgruppe des Angestellten zugeteilt ist (Abs. 2), und nach der Stufe, die den Familienverhältnissen des Angestellten entspricht (Abschn. B). </w:t>
      </w:r>
    </w:p>
    <w:p w:rsidR="00BE1EFE" w:rsidRDefault="00BE1EFE">
      <w:pPr>
        <w:pStyle w:val="StandardWeb"/>
      </w:pPr>
      <w:r>
        <w:t xml:space="preserve">(2) Es gehören zur </w:t>
      </w:r>
    </w:p>
    <w:p w:rsidR="00BE1EFE" w:rsidRDefault="00BE1EFE">
      <w:pPr>
        <w:pStyle w:val="StandardWeb"/>
      </w:pPr>
      <w:r>
        <w:t>Tarifklasse I b die Vergütungsgruppen I bis II b bzw. II</w:t>
      </w:r>
    </w:p>
    <w:p w:rsidR="00BE1EFE" w:rsidRDefault="00BE1EFE">
      <w:pPr>
        <w:pStyle w:val="StandardWeb"/>
      </w:pPr>
      <w:r>
        <w:t>Tarifklasse I c die Vergütungsgruppen III bis V a/b</w:t>
      </w:r>
    </w:p>
    <w:p w:rsidR="00BE1EFE" w:rsidRDefault="00BE1EFE">
      <w:pPr>
        <w:pStyle w:val="StandardWeb"/>
      </w:pPr>
      <w:r>
        <w:t>Tarifklasse II die Vergütungsgruppen V c bis X</w:t>
      </w:r>
    </w:p>
    <w:p w:rsidR="00BE1EFE" w:rsidRDefault="00BE1EFE">
      <w:pPr>
        <w:pStyle w:val="StandardWeb"/>
      </w:pPr>
    </w:p>
    <w:p w:rsidR="00BE1EFE" w:rsidRDefault="00BE1EFE">
      <w:pPr>
        <w:pStyle w:val="StandardWeb"/>
      </w:pPr>
      <w:r>
        <w:t>B. Stufen des Ortszuschlags</w:t>
      </w:r>
    </w:p>
    <w:p w:rsidR="00BE1EFE" w:rsidRDefault="00BE1EFE">
      <w:pPr>
        <w:pStyle w:val="StandardWeb"/>
      </w:pPr>
      <w:r>
        <w:t>(1) Zur Stufe 1 gehören die ledigen und die geschiedenen Angestellten sowie Angestellte, deren Ehe nach staatlichem Recht aufgehoben oder für nichtig erklärt ist.</w:t>
      </w:r>
    </w:p>
    <w:p w:rsidR="00BE1EFE" w:rsidRDefault="00BE1EFE">
      <w:pPr>
        <w:pStyle w:val="StandardWeb"/>
      </w:pPr>
      <w:r>
        <w:t>(2) </w:t>
      </w:r>
      <w:r>
        <w:rPr>
          <w:rStyle w:val="kleinschrift"/>
        </w:rPr>
        <w:t>1</w:t>
      </w:r>
      <w:r>
        <w:t xml:space="preserve">Zur Stufe 2 gehören </w:t>
      </w:r>
    </w:p>
    <w:p w:rsidR="00BE1EFE" w:rsidRDefault="00BE1EFE">
      <w:pPr>
        <w:pStyle w:val="StandardWeb"/>
      </w:pPr>
      <w:r>
        <w:t xml:space="preserve">1. verheiratete Angestellte, </w:t>
      </w:r>
    </w:p>
    <w:p w:rsidR="00BE1EFE" w:rsidRDefault="00BE1EFE">
      <w:pPr>
        <w:pStyle w:val="StandardWeb"/>
      </w:pPr>
      <w:r>
        <w:t xml:space="preserve">2. verwitwete Angestellte, </w:t>
      </w:r>
    </w:p>
    <w:p w:rsidR="00BE1EFE" w:rsidRDefault="00BE1EFE">
      <w:pPr>
        <w:pStyle w:val="StandardWeb"/>
      </w:pPr>
      <w:r>
        <w:t xml:space="preserve">3. geschiedene Angestellte und Angestellte, deren Ehe nach staatlichem Recht aufgehoben oder für nichtig erklärt ist, wenn sie aus der Ehe zu einer monatlichen Unterhaltszahlung mindestens in Höhe der jeweiligen Bruttodifferenz zwischen den Stufen 1 und 2 des Ortszuschlages verpflichtet sind, </w:t>
      </w:r>
    </w:p>
    <w:p w:rsidR="00BE1EFE" w:rsidRDefault="00BE1EFE">
      <w:pPr>
        <w:pStyle w:val="StandardWeb"/>
      </w:pPr>
      <w:r>
        <w:t>4. andere Angestellte, die eine andere Person nicht nur vorübergehend in ihre Wohnung aufgenommen haben und ihr Unterhalt gewähren, weil sie gesetzlich oder sittlich dazu verpflichtet sind oder aus beruflichen oder gesundheitlichen Gründen ihrer Hilfe bedürfen.</w:t>
      </w:r>
    </w:p>
    <w:p w:rsidR="00BE1EFE" w:rsidRDefault="00BE1EFE">
      <w:pPr>
        <w:pStyle w:val="StandardWeb"/>
      </w:pPr>
      <w:r>
        <w:rPr>
          <w:rStyle w:val="kleinschrift"/>
        </w:rPr>
        <w:t>2</w:t>
      </w:r>
      <w:r>
        <w:t xml:space="preserve">Dies gilt bei gesetzlicher oder sittlicher Verpflichtung zur Unterhaltsgewährung nicht, wenn für den Unterhalt der aufgenommenen Person Mittel zur Verfügung stehen, die, bei einem Kind einschließlich des gewährten Kindergeldes und des kinderbezogenen Teils des Ortszuschlages, das Sechsfache des Unterschiedsbetrages zwischen Stufe 1 und der Stufe 2 des Ortszuschlages der Tarifklasse I c übersteigen. </w:t>
      </w:r>
      <w:r>
        <w:rPr>
          <w:rStyle w:val="kleinschrift"/>
        </w:rPr>
        <w:t>3</w:t>
      </w:r>
      <w:r>
        <w:t xml:space="preserve">Als in die Wohnung aufgenommen gilt ein Kind auch dann, wenn der Angestellte es auf seine Kosten anderweitig untergebracht hat, ohne dass dadurch die häusliche Verbindung mit ihm aufgehoben werden soll. </w:t>
      </w:r>
      <w:r>
        <w:rPr>
          <w:rStyle w:val="kleinschrift"/>
        </w:rPr>
        <w:t>4</w:t>
      </w:r>
      <w:r>
        <w:t xml:space="preserve">Beanspruchen mehrere Angestellte im kirchlichen Dienst wegen der Aufnahme einer anderen Person oder mehrerer anderer Personen in die gemeinsam bewohnte Wohnung Ortszuschlag der Stufe 2 oder eine entsprechende Leistung, wird der Unterschiedsbetrag zwischen der </w:t>
      </w:r>
      <w:r>
        <w:lastRenderedPageBreak/>
        <w:t xml:space="preserve">Stufe 1 und der Stufe 2 des für den Angestellten maßgebenden Ortszuschlages nach der Zahl der Berechtigten anteilig gewährt. </w:t>
      </w:r>
    </w:p>
    <w:p w:rsidR="00BE1EFE" w:rsidRDefault="00BE1EFE">
      <w:pPr>
        <w:pStyle w:val="StandardWeb"/>
      </w:pPr>
      <w:r>
        <w:t>(3) </w:t>
      </w:r>
      <w:r>
        <w:rPr>
          <w:rStyle w:val="kleinschrift"/>
        </w:rPr>
        <w:t>1</w:t>
      </w:r>
      <w:r>
        <w:t xml:space="preserve">Zur Stufe 3 und den folgenden Stufen gehören die Angestellten der Stufe 2, denen Kindergeld nach dem </w:t>
      </w:r>
      <w:hyperlink r:id="rId694" w:history="1">
        <w:r w:rsidRPr="00660473">
          <w:rPr>
            <w:rStyle w:val="Hyperlink"/>
          </w:rPr>
          <w:t>Einkommensteuergesetz (EStG)</w:t>
        </w:r>
      </w:hyperlink>
      <w:r>
        <w:t xml:space="preserve"> oder nach dem </w:t>
      </w:r>
      <w:hyperlink r:id="rId695" w:history="1">
        <w:r w:rsidRPr="00660473">
          <w:rPr>
            <w:rStyle w:val="Hyperlink"/>
          </w:rPr>
          <w:t>Bundeskinder</w:t>
        </w:r>
        <w:r w:rsidRPr="00660473">
          <w:rPr>
            <w:rStyle w:val="Hyperlink"/>
          </w:rPr>
          <w:softHyphen/>
          <w:t>geldgesetz (BKGG)</w:t>
        </w:r>
      </w:hyperlink>
      <w:r>
        <w:t xml:space="preserve"> zusteht oder ohne Berücksichtigung des </w:t>
      </w:r>
      <w:hyperlink r:id="rId696" w:history="1">
        <w:r w:rsidRPr="00660473">
          <w:rPr>
            <w:rStyle w:val="Hyperlink"/>
          </w:rPr>
          <w:t>§ 64</w:t>
        </w:r>
      </w:hyperlink>
      <w:r>
        <w:t xml:space="preserve"> oder </w:t>
      </w:r>
      <w:hyperlink r:id="rId697" w:history="1">
        <w:r w:rsidRPr="00660473">
          <w:rPr>
            <w:rStyle w:val="Hyperlink"/>
          </w:rPr>
          <w:t>§ 65 EStG</w:t>
        </w:r>
      </w:hyperlink>
      <w:r>
        <w:t xml:space="preserve"> oder des </w:t>
      </w:r>
      <w:hyperlink r:id="rId698" w:history="1">
        <w:r w:rsidRPr="00660473">
          <w:rPr>
            <w:rStyle w:val="Hyperlink"/>
          </w:rPr>
          <w:t>§ 3</w:t>
        </w:r>
      </w:hyperlink>
      <w:r>
        <w:t xml:space="preserve"> oder </w:t>
      </w:r>
      <w:hyperlink r:id="rId699" w:history="1">
        <w:r w:rsidRPr="00660473">
          <w:rPr>
            <w:rStyle w:val="Hyperlink"/>
          </w:rPr>
          <w:t>§ 4 BKGG</w:t>
        </w:r>
      </w:hyperlink>
      <w:r>
        <w:t xml:space="preserve"> zustehen würde. </w:t>
      </w:r>
      <w:r>
        <w:rPr>
          <w:rStyle w:val="kleinschrift"/>
        </w:rPr>
        <w:t>2</w:t>
      </w:r>
      <w:r>
        <w:t>Die Stufe richtet sich nach der Anzahl der berücksichti</w:t>
      </w:r>
      <w:r>
        <w:softHyphen/>
        <w:t xml:space="preserve">gungsfähigen Kinder. </w:t>
      </w:r>
    </w:p>
    <w:p w:rsidR="00BE1EFE" w:rsidRDefault="00BE1EFE">
      <w:pPr>
        <w:pStyle w:val="StandardWeb"/>
      </w:pPr>
      <w:r>
        <w:t xml:space="preserve">(4) Angestellte der Stufe 1, denen Kindergeld nach dem EStG oder nach dem BKGG zusteht oder ohne Berücksichtigung des </w:t>
      </w:r>
      <w:hyperlink r:id="rId700" w:history="1">
        <w:r w:rsidRPr="00B17F03">
          <w:rPr>
            <w:rStyle w:val="Hyperlink"/>
          </w:rPr>
          <w:t>§ 64</w:t>
        </w:r>
      </w:hyperlink>
      <w:r>
        <w:t xml:space="preserve"> oder </w:t>
      </w:r>
      <w:hyperlink r:id="rId701" w:history="1">
        <w:r w:rsidRPr="00B17F03">
          <w:rPr>
            <w:rStyle w:val="Hyperlink"/>
          </w:rPr>
          <w:t>§ 65 EStG</w:t>
        </w:r>
      </w:hyperlink>
      <w:r>
        <w:t xml:space="preserve"> oder des </w:t>
      </w:r>
      <w:hyperlink r:id="rId702" w:history="1">
        <w:r w:rsidRPr="00B17F03">
          <w:rPr>
            <w:rStyle w:val="Hyperlink"/>
          </w:rPr>
          <w:t>§ 3</w:t>
        </w:r>
      </w:hyperlink>
      <w:r>
        <w:t xml:space="preserve"> oder </w:t>
      </w:r>
      <w:hyperlink r:id="rId703" w:history="1">
        <w:r w:rsidRPr="00B17F03">
          <w:rPr>
            <w:rStyle w:val="Hyperlink"/>
          </w:rPr>
          <w:t>§ 4 BKGG</w:t>
        </w:r>
      </w:hyperlink>
      <w:r>
        <w:t xml:space="preserve"> zustehen würde, erhalten zusätzlich zum Ortszuschlag der Stufe 1 den Unterschiedsbetrag zwischen Stufe 2 und der Stufe, die der Anzahl der berücksichtigungsfähigen Kinder entspricht: Abs. 6 gilt entsprechend. </w:t>
      </w:r>
    </w:p>
    <w:p w:rsidR="00BE1EFE" w:rsidRDefault="00BE1EFE">
      <w:pPr>
        <w:pStyle w:val="StandardWeb"/>
      </w:pPr>
      <w:r>
        <w:t xml:space="preserve">(5a) Kirchliche Mitarbeiter, deren Ehegatte als Angestellter,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Stufe 2 oder einer der folgenden Stufen hat, erhalten lediglich den Ortszuschlag der Stufe 1; ein familienbezogener Anteil im Ortszuschlag wird dem kirchlichen Mitarbeiter nicht gewährt. </w:t>
      </w:r>
    </w:p>
    <w:p w:rsidR="00BE1EFE" w:rsidRDefault="00BE1EFE">
      <w:pPr>
        <w:pStyle w:val="StandardWeb"/>
      </w:pPr>
      <w:r>
        <w:t xml:space="preserve">(5b) Steht der Ehegatte im Dienst eines sonstigen Arbeitgebers, der dem ABD zum Ortszuschlag vergleichbare Regelungen anwendet, so erhält der kirchliche Mitarbeiter den Unterschiedsbetrag zwischen der Stufe 1 und der Stufe 2 des für ihn maßgebenden Ortszuschlages je zur Hälfte, wenn auch der sonstige Arbeitgeber nur den halben Anteil gewährt. </w:t>
      </w:r>
    </w:p>
    <w:p w:rsidR="00BE1EFE" w:rsidRDefault="00BE1EFE">
      <w:pPr>
        <w:pStyle w:val="StandardWeb"/>
      </w:pPr>
      <w:r>
        <w:t>(5c) </w:t>
      </w:r>
      <w:r>
        <w:rPr>
          <w:rStyle w:val="kleinschrift"/>
        </w:rPr>
        <w:t>1</w:t>
      </w:r>
      <w:r>
        <w:t xml:space="preserve">Erreicht der Anspruch des nach Abs. 5 a oder b teilzeitbeschäftigten Ehegatten nicht die Höhe der Stufe 2 oder einer der folgenden Stufen des Ortszuschlages bzw. die Höhe der Stufe 1 oder einer der folgenden Stufen des Familienzuschlages, so erhält der kirchliche Mitarbeiter eine Aufzahlung in der Höhe, dass beide Ehegatten den familienbezogenen Anteil im Ortszuschlag insgesamt einmal erhalten. </w:t>
      </w:r>
      <w:r>
        <w:rPr>
          <w:rStyle w:val="kleinschrift"/>
        </w:rPr>
        <w:t>2</w:t>
      </w:r>
      <w:r>
        <w:t xml:space="preserve">Entsprechendes gilt für Mitarbeiter, deren Ehegatte eine Versorgung nach beamtenrechtlichen Grundsätzen erhält. </w:t>
      </w:r>
    </w:p>
    <w:p w:rsidR="00BE1EFE" w:rsidRDefault="00BE1EFE">
      <w:pPr>
        <w:pStyle w:val="StandardWeb"/>
      </w:pPr>
      <w:r>
        <w:t>(5d) </w:t>
      </w:r>
      <w:r>
        <w:rPr>
          <w:rStyle w:val="kleinschrift"/>
        </w:rPr>
        <w:t>1</w:t>
      </w:r>
      <w:r>
        <w:t xml:space="preserve">Stehen beide Ehegatten im Dienst eines Anstellungsträgers gem. § 3 BayRKO, können die Ehegatten selbst bestimmen, welchem Ehegatten der Ortszuschlag nach Stufe 2 gewährt werden soll, oder ob der Unterschiedsbetrag zwischen den Stufen 1 und 2 auf beide Mitarbeiter je zur Hälfte aufgeteilt werden soll. </w:t>
      </w:r>
      <w:r>
        <w:rPr>
          <w:rStyle w:val="kleinschrift"/>
        </w:rPr>
        <w:t>2</w:t>
      </w:r>
      <w:r>
        <w:t>Der kinderbezogene Anteil des Ortszuschla</w:t>
      </w:r>
      <w:r>
        <w:softHyphen/>
        <w:t xml:space="preserve">ges wird dem kindergeldberechtigten Ehegatten voll ausbezahlt. </w:t>
      </w:r>
    </w:p>
    <w:p w:rsidR="00BE1EFE" w:rsidRDefault="00BE1EFE">
      <w:pPr>
        <w:pStyle w:val="StandardWeb"/>
      </w:pPr>
      <w:r>
        <w:t>(6) </w:t>
      </w:r>
      <w:r>
        <w:rPr>
          <w:rStyle w:val="kleinschrift"/>
        </w:rPr>
        <w:t>1</w:t>
      </w:r>
      <w:r>
        <w:t>Steht neben dem Angestellten einer anderen Person, die im öffentlichen Dienst steht oder auf Grund einer Tätigkeit im öffentlichen Dienst nach beamtenrechtlichen Grundsätzen oder nach einer Ruhelohnordnung versorgungsberechtigt ist, oder die im Dienst eines Arbeitgebers, der das ABD oder eine dem ABD zum Ortszuschlag vergleichbare Regelung anwendet, der Familienzuschlag der Stufe 2 oder einer der folgenden Stufen oder der Ortszuschlag nach Stufe 3 oder einer der folgenden Stufen zu, wird der auf das Kind entfallende Unterschiedsbetrag zwischen den Stufen des Ortszuschlages dem Angestellten nur in der Höhe gewährt, die dem Anteil der Arbeitszeit des Angestellten am Gesamtbe</w:t>
      </w:r>
      <w:r>
        <w:softHyphen/>
        <w:t xml:space="preserve">schäftigungsumfang des Angestellten und der anderen Person entspricht. </w:t>
      </w:r>
      <w:r>
        <w:rPr>
          <w:rStyle w:val="kleinschrift"/>
        </w:rPr>
        <w:t>2</w:t>
      </w:r>
      <w:r>
        <w:t xml:space="preserve">Dieser Anteil wird in dem Umfang gekürzt, um den der Gesamtbeschäftigungsumfang die regelmäßige durchschnittliche wöchentliche Arbeitszeit eines Vollbeschäftigten übersteigt. </w:t>
      </w:r>
      <w:r>
        <w:rPr>
          <w:rStyle w:val="kleinschrift"/>
        </w:rPr>
        <w:t>3</w:t>
      </w:r>
      <w:r>
        <w:t xml:space="preserve">§ 34 Abs. 1 Unterabs. 1 Satz 1 findet auf den dem Angestellten zustehenden Anteil am Unterschiedsbetrag keine Anwendung. </w:t>
      </w:r>
      <w:r>
        <w:rPr>
          <w:rStyle w:val="kleinschrift"/>
        </w:rPr>
        <w:t>4</w:t>
      </w:r>
      <w:r>
        <w:t xml:space="preserve">Dem Ortszuschlag nach Stufe 3 oder einer der folgenden Stufen stehen der Sozialzuschlag nach den Tarifverträgen für Arbeiter des öffentlichen Dienstes, eine sonstige entsprechende Leistung oder das Mutterschaftsgeld gleich. </w:t>
      </w:r>
      <w:r>
        <w:rPr>
          <w:rStyle w:val="kleinschrift"/>
        </w:rPr>
        <w:t>5</w:t>
      </w:r>
      <w:r>
        <w:t xml:space="preserve">Auf das Kind entfällt derjenige Unterschiedsbetrag, der sich aus der für die Anwendung des EStG oder des BKGG maßgebenden Reihenfolge der Kinder ergibt. </w:t>
      </w:r>
    </w:p>
    <w:p w:rsidR="00BE1EFE" w:rsidRDefault="00BE1EFE">
      <w:pPr>
        <w:pStyle w:val="StandardWeb"/>
      </w:pPr>
      <w:r>
        <w:t xml:space="preserve">(7) Öffentlicher Dienst im Sinne von § 29 ist die Tätigkeit im Dienst des Bundes, eines Landes, einer Gemeinde oder anderer Körperschaften, Anstalten und Stiftungen des öffentlichen </w:t>
      </w:r>
      <w:r>
        <w:lastRenderedPageBreak/>
        <w:t xml:space="preserve">Rechts oder der Verbände von solchen, einschließlich von solchen Arbeitgebern, die die für den öffentlichen Dienst geltenden Tarifverträge oder Tarifverträge wesentlich gleichen Inhalts anwenden. </w:t>
      </w:r>
    </w:p>
    <w:p w:rsidR="00BE1EFE" w:rsidRDefault="00BE1EFE">
      <w:pPr>
        <w:pStyle w:val="StandardWeb"/>
      </w:pPr>
      <w:r w:rsidRPr="009C6551">
        <w:rPr>
          <w:rStyle w:val="kleinschrift1"/>
        </w:rPr>
        <w:t xml:space="preserve">Anmerkungen: </w:t>
      </w:r>
    </w:p>
    <w:p w:rsidR="00BE1EFE" w:rsidRDefault="00BE1EFE">
      <w:pPr>
        <w:pStyle w:val="StandardWeb"/>
      </w:pPr>
      <w:r>
        <w:rPr>
          <w:rStyle w:val="kleinschrift1"/>
        </w:rPr>
        <w:t>1. </w:t>
      </w:r>
      <w:r w:rsidRPr="009C6551">
        <w:rPr>
          <w:rStyle w:val="kleinschrift1"/>
        </w:rPr>
        <w:t xml:space="preserve">Kinder, für die dem Angestellten auf Grund des Rechts der Europäischen Gemeinschaften oder auf Grund zwischenstaatlicher Abkommen in Verbindung mit dem EStG oder dem BKGG Kindergeld zusteht oder ohne Berücksichtigung des </w:t>
      </w:r>
      <w:hyperlink r:id="rId704" w:history="1">
        <w:r w:rsidRPr="00B17F03">
          <w:rPr>
            <w:rStyle w:val="Hyperlink"/>
            <w:sz w:val="12"/>
          </w:rPr>
          <w:t>§ 64</w:t>
        </w:r>
      </w:hyperlink>
      <w:r w:rsidRPr="009C6551">
        <w:rPr>
          <w:rStyle w:val="kleinschrift1"/>
        </w:rPr>
        <w:t xml:space="preserve"> oder </w:t>
      </w:r>
      <w:hyperlink r:id="rId705" w:history="1">
        <w:r w:rsidRPr="00B17F03">
          <w:rPr>
            <w:rStyle w:val="Hyperlink"/>
            <w:sz w:val="12"/>
          </w:rPr>
          <w:t>§ 65 EStG</w:t>
        </w:r>
      </w:hyperlink>
      <w:r w:rsidRPr="009C6551">
        <w:rPr>
          <w:rStyle w:val="kleinschrift1"/>
        </w:rPr>
        <w:t xml:space="preserve"> oder des </w:t>
      </w:r>
      <w:hyperlink r:id="rId706" w:history="1">
        <w:r w:rsidRPr="00B17F03">
          <w:rPr>
            <w:rStyle w:val="Hyperlink"/>
            <w:sz w:val="12"/>
          </w:rPr>
          <w:t>§ 3</w:t>
        </w:r>
      </w:hyperlink>
      <w:r w:rsidRPr="009C6551">
        <w:rPr>
          <w:rStyle w:val="kleinschrift1"/>
        </w:rPr>
        <w:t xml:space="preserve"> oder </w:t>
      </w:r>
      <w:hyperlink r:id="rId707" w:history="1">
        <w:r w:rsidRPr="00B17F03">
          <w:rPr>
            <w:rStyle w:val="Hyperlink"/>
            <w:sz w:val="12"/>
          </w:rPr>
          <w:t>§ 4 BKGG</w:t>
        </w:r>
      </w:hyperlink>
      <w:r w:rsidRPr="009C6551">
        <w:rPr>
          <w:rStyle w:val="kleinschrift1"/>
        </w:rPr>
        <w:t xml:space="preserve"> oder entsprechender Vorschriften zustehen würde, sind zu berücksichtigen. </w:t>
      </w:r>
    </w:p>
    <w:p w:rsidR="00BE1EFE" w:rsidRDefault="00BE1EFE">
      <w:pPr>
        <w:pStyle w:val="StandardWeb"/>
      </w:pPr>
      <w:r>
        <w:rPr>
          <w:rStyle w:val="kleinschrift1"/>
        </w:rPr>
        <w:t>2. (</w:t>
      </w:r>
      <w:r w:rsidRPr="004860F4">
        <w:rPr>
          <w:rStyle w:val="kleinschrift1"/>
          <w:i/>
        </w:rPr>
        <w:t>frei)</w:t>
      </w:r>
      <w:r w:rsidRPr="009C6551">
        <w:rPr>
          <w:rStyle w:val="kleinschrift1"/>
        </w:rPr>
        <w:t xml:space="preserve"> </w:t>
      </w:r>
    </w:p>
    <w:p w:rsidR="00BE1EFE" w:rsidRDefault="00BE1EFE">
      <w:pPr>
        <w:pStyle w:val="StandardWeb"/>
      </w:pPr>
      <w:r>
        <w:rPr>
          <w:rStyle w:val="kleinschrift1"/>
        </w:rPr>
        <w:t>3. (</w:t>
      </w:r>
      <w:r w:rsidRPr="004860F4">
        <w:rPr>
          <w:rStyle w:val="kleinschrift1"/>
          <w:i/>
        </w:rPr>
        <w:t>frei)</w:t>
      </w:r>
      <w:r w:rsidRPr="009C6551">
        <w:rPr>
          <w:rStyle w:val="kleinschrift1"/>
        </w:rPr>
        <w:t xml:space="preserve"> </w:t>
      </w:r>
    </w:p>
    <w:p w:rsidR="00BE1EFE" w:rsidRDefault="00BE1EFE">
      <w:pPr>
        <w:pStyle w:val="StandardWeb"/>
      </w:pPr>
      <w:r>
        <w:rPr>
          <w:rStyle w:val="kleinschrift1"/>
        </w:rPr>
        <w:t>4. </w:t>
      </w:r>
      <w:r w:rsidRPr="009C6551">
        <w:rPr>
          <w:rStyle w:val="kleinschrift1"/>
        </w:rPr>
        <w:t>Angestellte, denen für den Monat Dezember 1985 nach § 29 Abschn. B Abs. 2 Nr. 4 in der bis 31. Dezember 1985 geltenden Fassung Ortszuschlag der Stufe 2 zugestanden hat, erhalten ihn weiter, solange sie die bisherigen Anspruchs</w:t>
      </w:r>
      <w:r>
        <w:rPr>
          <w:rStyle w:val="kleinschrift1"/>
        </w:rPr>
        <w:softHyphen/>
      </w:r>
      <w:r w:rsidRPr="009C6551">
        <w:rPr>
          <w:rStyle w:val="kleinschrift1"/>
        </w:rPr>
        <w:t xml:space="preserve">voraussetzungen erfüllen und das am 31. Dezember 1985 bestehende Arbeitsverhältnis fortbesteht. </w:t>
      </w:r>
    </w:p>
    <w:p w:rsidR="00BE1EFE" w:rsidRDefault="00BE1EFE">
      <w:pPr>
        <w:pStyle w:val="StandardWeb"/>
        <w:rPr>
          <w:sz w:val="12"/>
          <w:szCs w:val="12"/>
        </w:rPr>
      </w:pPr>
      <w:r w:rsidRPr="009C6551">
        <w:rPr>
          <w:rStyle w:val="kleinschrift1"/>
        </w:rPr>
        <w:t xml:space="preserve">Protokollnotiz zu Teil B, Abs. 2 Ziff. 4: </w:t>
      </w:r>
    </w:p>
    <w:p w:rsidR="00BE1EFE" w:rsidRDefault="00BE1EFE">
      <w:pPr>
        <w:pStyle w:val="StandardWeb"/>
      </w:pPr>
      <w:r w:rsidRPr="009C6551">
        <w:rPr>
          <w:rStyle w:val="kleinschrift1"/>
        </w:rPr>
        <w:t>Der Anspruch auf Ortszuschlag nach Stufe 2 für Ehepaare besteht nur einmal.</w:t>
      </w:r>
    </w:p>
    <w:p w:rsidR="00BE1EFE" w:rsidRDefault="00BE1EFE">
      <w:pPr>
        <w:pStyle w:val="StandardWeb"/>
      </w:pPr>
    </w:p>
    <w:p w:rsidR="00BE1EFE" w:rsidRDefault="00BE1EFE">
      <w:pPr>
        <w:pStyle w:val="StandardWeb"/>
      </w:pPr>
    </w:p>
    <w:p w:rsidR="00BE1EFE" w:rsidRDefault="00BE1EFE">
      <w:pPr>
        <w:pStyle w:val="StandardWeb"/>
      </w:pPr>
      <w:r>
        <w:t>C. Änderung des Ortszuschlages</w:t>
      </w:r>
    </w:p>
    <w:p w:rsidR="00BE1EFE" w:rsidRDefault="00BE1EFE">
      <w:pPr>
        <w:pStyle w:val="StandardWeb"/>
      </w:pPr>
    </w:p>
    <w:p w:rsidR="00BE1EFE" w:rsidRDefault="00BE1EFE">
      <w:pPr>
        <w:pStyle w:val="StandardWeb"/>
      </w:pPr>
      <w:r>
        <w:t xml:space="preserve">(1) Der Ortszuschlag einer anderen Tarifklasse wird von demselben Tage an gezahlt wie die Grundvergütung der neuen Vergütungsgruppe. </w:t>
      </w:r>
    </w:p>
    <w:p w:rsidR="00BE1EFE" w:rsidRDefault="00BE1EFE">
      <w:pPr>
        <w:pStyle w:val="StandardWeb"/>
      </w:pPr>
      <w:r>
        <w:t>(2) </w:t>
      </w:r>
      <w:r>
        <w:rPr>
          <w:rStyle w:val="kleinschrift"/>
        </w:rPr>
        <w:t>1</w:t>
      </w:r>
      <w:r>
        <w:t xml:space="preserve">Der Ortszuschlag einer höheren Stufe wird vom Ersten des Monats an gezahlt, in den das für die Erhöhung maßgebende Ereignis fällt. </w:t>
      </w:r>
      <w:r>
        <w:rPr>
          <w:rStyle w:val="kleinschrift"/>
        </w:rPr>
        <w:t>2</w:t>
      </w:r>
      <w:r>
        <w:t xml:space="preserve">Er wird nicht mehr gezahlt für den Monat, in dem die Anspruchsvoraussetzungen an keinem Tag vorgelegen haben. </w:t>
      </w:r>
      <w:r>
        <w:rPr>
          <w:rStyle w:val="kleinschrift"/>
        </w:rPr>
        <w:t>3</w:t>
      </w:r>
      <w:r>
        <w:t>Die Sätze 1 und 2 gelten entsprechend für die Zahlung von Unterschiedsbeträgen oder Teilen von Unterschiedsbeträgen zwischen den Stufen des Ortszuschlages.</w:t>
      </w:r>
    </w:p>
    <w:p w:rsidR="00BE1EFE" w:rsidRDefault="00BE1EFE" w:rsidP="006731BD">
      <w:pPr>
        <w:pStyle w:val="StandardWeb"/>
        <w:jc w:val="center"/>
      </w:pPr>
    </w:p>
    <w:p w:rsidR="00BE1EFE" w:rsidRDefault="00BE1EFE" w:rsidP="003575ED">
      <w:pPr>
        <w:pStyle w:val="StandardWeb"/>
        <w:jc w:val="left"/>
      </w:pPr>
      <w:r>
        <w:rPr>
          <w:rStyle w:val="Fett"/>
          <w:bCs/>
        </w:rPr>
        <w:t xml:space="preserve">§ 30 Gesamtvergütung der Angestellten unter 18 Jahren </w:t>
      </w:r>
    </w:p>
    <w:p w:rsidR="00BE1EFE" w:rsidRDefault="00BE1EFE">
      <w:pPr>
        <w:pStyle w:val="StandardWeb"/>
        <w:jc w:val="center"/>
      </w:pPr>
    </w:p>
    <w:p w:rsidR="00BE1EFE" w:rsidRDefault="00BE1EFE">
      <w:pPr>
        <w:pStyle w:val="StandardWeb"/>
      </w:pPr>
      <w:r>
        <w:t>Angestellte, die das 18. Lebensjahr noch nicht vollendet haben, erhalten von der Anfangsgrundvergütung und dem Ortszuschlag eines ledigen Angestellten der gleichen Vergütungsgruppe 85 v. H. als Gesamtvergütung.</w:t>
      </w:r>
    </w:p>
    <w:p w:rsidR="00BE1EFE" w:rsidRDefault="00BE1EFE">
      <w:pPr>
        <w:pStyle w:val="StandardWeb"/>
        <w:jc w:val="center"/>
      </w:pPr>
    </w:p>
    <w:p w:rsidR="00BE1EFE" w:rsidRPr="002575B0" w:rsidRDefault="00BE1EFE" w:rsidP="003575ED">
      <w:pPr>
        <w:pStyle w:val="StandardWeb"/>
        <w:autoSpaceDE w:val="0"/>
        <w:jc w:val="left"/>
        <w:rPr>
          <w:rStyle w:val="Fett"/>
          <w:b w:val="0"/>
          <w:bCs/>
          <w:i/>
        </w:rPr>
      </w:pPr>
      <w:r>
        <w:rPr>
          <w:rStyle w:val="Fett"/>
          <w:bCs/>
        </w:rPr>
        <w:t>§ 31</w:t>
      </w:r>
      <w:r w:rsidR="002575B0">
        <w:rPr>
          <w:rStyle w:val="Fett"/>
          <w:bCs/>
        </w:rPr>
        <w:t xml:space="preserve"> </w:t>
      </w:r>
      <w:r w:rsidR="002575B0" w:rsidRPr="002575B0">
        <w:rPr>
          <w:rStyle w:val="Fett"/>
          <w:b w:val="0"/>
          <w:bCs/>
          <w:i/>
        </w:rPr>
        <w:t>(frei)</w:t>
      </w:r>
    </w:p>
    <w:p w:rsidR="00BE1EFE" w:rsidRPr="00D645FF" w:rsidRDefault="00BE1EFE" w:rsidP="00D645FF">
      <w:pPr>
        <w:pStyle w:val="StandardWeb"/>
        <w:autoSpaceDE w:val="0"/>
        <w:jc w:val="left"/>
        <w:rPr>
          <w:b/>
        </w:rPr>
      </w:pPr>
    </w:p>
    <w:p w:rsidR="00BE1EFE" w:rsidRDefault="00BE1EFE">
      <w:pPr>
        <w:pStyle w:val="StandardWeb"/>
        <w:jc w:val="center"/>
      </w:pPr>
    </w:p>
    <w:p w:rsidR="00BE1EFE" w:rsidRDefault="00BE1EFE" w:rsidP="00D645FF">
      <w:pPr>
        <w:pStyle w:val="StandardWeb"/>
        <w:autoSpaceDE w:val="0"/>
        <w:jc w:val="left"/>
        <w:rPr>
          <w:rStyle w:val="Fett"/>
          <w:bCs/>
        </w:rPr>
      </w:pPr>
      <w:r>
        <w:rPr>
          <w:rStyle w:val="Fett"/>
          <w:bCs/>
        </w:rPr>
        <w:t xml:space="preserve">§ 32 </w:t>
      </w:r>
      <w:r w:rsidR="002575B0" w:rsidRPr="002575B0">
        <w:rPr>
          <w:rStyle w:val="Fett"/>
          <w:b w:val="0"/>
          <w:bCs/>
          <w:i/>
        </w:rPr>
        <w:t>(frei)</w:t>
      </w:r>
    </w:p>
    <w:p w:rsidR="002575B0" w:rsidRPr="002575B0" w:rsidRDefault="002575B0" w:rsidP="00D645FF">
      <w:pPr>
        <w:pStyle w:val="StandardWeb"/>
        <w:autoSpaceDE w:val="0"/>
        <w:jc w:val="left"/>
        <w:rPr>
          <w:b/>
          <w:bCs/>
        </w:rPr>
      </w:pPr>
    </w:p>
    <w:p w:rsidR="00BE1EFE" w:rsidRDefault="00BE1EFE">
      <w:pPr>
        <w:pStyle w:val="StandardWeb"/>
        <w:jc w:val="center"/>
      </w:pPr>
    </w:p>
    <w:p w:rsidR="00BE1EFE" w:rsidRDefault="00BE1EFE" w:rsidP="00D645FF">
      <w:pPr>
        <w:pStyle w:val="StandardWeb"/>
        <w:autoSpaceDE w:val="0"/>
        <w:jc w:val="left"/>
        <w:rPr>
          <w:rStyle w:val="Fett"/>
          <w:bCs/>
        </w:rPr>
      </w:pPr>
      <w:r>
        <w:rPr>
          <w:rStyle w:val="Fett"/>
          <w:bCs/>
        </w:rPr>
        <w:t>§ 33</w:t>
      </w:r>
      <w:r w:rsidR="002575B0">
        <w:rPr>
          <w:rStyle w:val="Fett"/>
          <w:bCs/>
        </w:rPr>
        <w:t xml:space="preserve"> </w:t>
      </w:r>
      <w:r w:rsidR="002575B0" w:rsidRPr="002575B0">
        <w:rPr>
          <w:rStyle w:val="Fett"/>
          <w:b w:val="0"/>
          <w:bCs/>
          <w:i/>
        </w:rPr>
        <w:t>(frei)</w:t>
      </w:r>
    </w:p>
    <w:p w:rsidR="002575B0" w:rsidRPr="002575B0" w:rsidRDefault="002575B0" w:rsidP="00D645FF">
      <w:pPr>
        <w:pStyle w:val="StandardWeb"/>
        <w:autoSpaceDE w:val="0"/>
        <w:jc w:val="left"/>
        <w:rPr>
          <w:b/>
          <w:bCs/>
        </w:rPr>
      </w:pPr>
    </w:p>
    <w:p w:rsidR="00BE1EFE" w:rsidRDefault="00BE1EFE">
      <w:pPr>
        <w:pStyle w:val="StandardWeb"/>
        <w:jc w:val="center"/>
      </w:pPr>
    </w:p>
    <w:p w:rsidR="00BE1EFE" w:rsidRDefault="00BE1EFE" w:rsidP="003575ED">
      <w:pPr>
        <w:pStyle w:val="StandardWeb"/>
        <w:autoSpaceDE w:val="0"/>
        <w:jc w:val="left"/>
      </w:pPr>
      <w:r>
        <w:rPr>
          <w:rStyle w:val="Fett"/>
          <w:bCs/>
        </w:rPr>
        <w:t xml:space="preserve">§ 33 a Wechselschicht- und Schichtzulagen </w:t>
      </w:r>
    </w:p>
    <w:p w:rsidR="00BE1EFE" w:rsidRDefault="00BE1EFE">
      <w:pPr>
        <w:pStyle w:val="StandardWeb"/>
        <w:jc w:val="center"/>
      </w:pPr>
    </w:p>
    <w:p w:rsidR="00BE1EFE" w:rsidRDefault="00BE1EFE">
      <w:pPr>
        <w:pStyle w:val="StandardWeb"/>
      </w:pPr>
      <w:r>
        <w:t>(1) Der Angestellte, der ständig nach einem Schichtplan (Dienstplan) eingesetzt ist, der einen regelmäßigen Wechsel der täglichen Arbeitszeit in Wechselschichten (§ 15 Abs. 8 Unter</w:t>
      </w:r>
      <w:r>
        <w:softHyphen/>
        <w:t xml:space="preserve">abs. 2) vorsieht, und der dabei in je fünf Wochen durchschnittlich mindestens 40 Arbeitsstunden in der dienstplanmäßigen oder betriebsüblichen Nachtschicht leistet, erhält eine Wechselschichtzulage von 102,26 EURO monatlich. </w:t>
      </w:r>
    </w:p>
    <w:p w:rsidR="00BE1EFE" w:rsidRDefault="00BE1EFE">
      <w:pPr>
        <w:pStyle w:val="StandardWeb"/>
      </w:pPr>
      <w:r>
        <w:t>(2) </w:t>
      </w:r>
      <w:r>
        <w:rPr>
          <w:rStyle w:val="kleinschrift"/>
        </w:rPr>
        <w:t>1</w:t>
      </w:r>
      <w:r>
        <w:t xml:space="preserve">Der Angestellte, der ständig Schichtarbeit (§ 15 Abs. 8 Unterabs. 7) zu leisten hat, erhält eine Schichtzulage, wenn </w:t>
      </w:r>
    </w:p>
    <w:p w:rsidR="00BE1EFE" w:rsidRDefault="00BE1EFE">
      <w:pPr>
        <w:pStyle w:val="StandardWeb"/>
      </w:pPr>
      <w:r>
        <w:t xml:space="preserve">a) er nur deshalb die Voraussetzungen des Abs. 1 nicht erfüllt, </w:t>
      </w:r>
    </w:p>
    <w:p w:rsidR="00BE1EFE" w:rsidRDefault="00BE1EFE">
      <w:pPr>
        <w:pStyle w:val="StandardWeb"/>
      </w:pPr>
      <w:r>
        <w:t xml:space="preserve">aa) weil nach dem Schichtplan eine Unterbrechung der Arbeit am Wochenende von höchstens 48 Stunden vorgesehen ist oder </w:t>
      </w:r>
    </w:p>
    <w:p w:rsidR="00BE1EFE" w:rsidRDefault="00BE1EFE">
      <w:pPr>
        <w:pStyle w:val="StandardWeb"/>
      </w:pPr>
      <w:r>
        <w:t xml:space="preserve">bb) weil er durchschnittlich mindestens 40 Arbeitsstunden in die dienstplanmäßigen oder betriebsüblichen Nachtschicht nur in je sieben Wochen leistet, </w:t>
      </w:r>
    </w:p>
    <w:p w:rsidR="00BE1EFE" w:rsidRDefault="00BE1EFE">
      <w:pPr>
        <w:pStyle w:val="StandardWeb"/>
      </w:pPr>
      <w:r>
        <w:lastRenderedPageBreak/>
        <w:t xml:space="preserve">b) die Schichtarbeit innerhalb einer Zeitspanne von mindestens </w:t>
      </w:r>
    </w:p>
    <w:p w:rsidR="00BE1EFE" w:rsidRDefault="00BE1EFE">
      <w:pPr>
        <w:pStyle w:val="StandardWeb"/>
      </w:pPr>
      <w:r>
        <w:t xml:space="preserve">aa) 18 Stunden, </w:t>
      </w:r>
    </w:p>
    <w:p w:rsidR="00BE1EFE" w:rsidRDefault="00BE1EFE">
      <w:pPr>
        <w:pStyle w:val="StandardWeb"/>
      </w:pPr>
      <w:r>
        <w:t xml:space="preserve">bb) 13 Stunden </w:t>
      </w:r>
    </w:p>
    <w:p w:rsidR="00BE1EFE" w:rsidRDefault="00BE1EFE">
      <w:pPr>
        <w:pStyle w:val="StandardWeb"/>
      </w:pPr>
      <w:r>
        <w:t xml:space="preserve">geleistet wird. </w:t>
      </w:r>
    </w:p>
    <w:p w:rsidR="00BE1EFE" w:rsidRDefault="00BE1EFE">
      <w:pPr>
        <w:pStyle w:val="StandardWeb"/>
      </w:pPr>
      <w:r>
        <w:rPr>
          <w:rStyle w:val="kleinschrift"/>
        </w:rPr>
        <w:t>2</w:t>
      </w:r>
      <w:r>
        <w:t xml:space="preserve">Die Schichtzulage beträgt in den Fällen des </w:t>
      </w:r>
    </w:p>
    <w:p w:rsidR="00BE1EFE" w:rsidRDefault="00BE1EFE">
      <w:pPr>
        <w:pStyle w:val="StandardWeb"/>
      </w:pPr>
      <w:r>
        <w:t xml:space="preserve">a) Unterabs. 1 Buchst. a) 61,36 €, </w:t>
      </w:r>
    </w:p>
    <w:p w:rsidR="00BE1EFE" w:rsidRDefault="00BE1EFE">
      <w:pPr>
        <w:pStyle w:val="StandardWeb"/>
      </w:pPr>
      <w:r>
        <w:t xml:space="preserve">b) Unterabs. 1 Buchst. b) </w:t>
      </w:r>
    </w:p>
    <w:p w:rsidR="00BE1EFE" w:rsidRDefault="00BE1EFE">
      <w:pPr>
        <w:pStyle w:val="StandardWeb"/>
      </w:pPr>
      <w:r>
        <w:t xml:space="preserve">aa) Doppelbuchst. aa) 46,02 €, </w:t>
      </w:r>
    </w:p>
    <w:p w:rsidR="00BE1EFE" w:rsidRDefault="00BE1EFE">
      <w:pPr>
        <w:pStyle w:val="StandardWeb"/>
      </w:pPr>
      <w:r>
        <w:t>bb) Doppelbuchst. bb) 35,79 €</w:t>
      </w:r>
    </w:p>
    <w:p w:rsidR="00BE1EFE" w:rsidRDefault="00BE1EFE">
      <w:pPr>
        <w:pStyle w:val="StandardWeb"/>
      </w:pPr>
      <w:r>
        <w:t xml:space="preserve">monatlich. </w:t>
      </w:r>
    </w:p>
    <w:p w:rsidR="00BE1EFE" w:rsidRDefault="00BE1EFE">
      <w:pPr>
        <w:pStyle w:val="StandardWeb"/>
      </w:pPr>
      <w:r>
        <w:t xml:space="preserve">(3) Die Abs. 1 und 2 gelten nicht für </w:t>
      </w:r>
    </w:p>
    <w:p w:rsidR="00BE1EFE" w:rsidRDefault="00BE1EFE">
      <w:pPr>
        <w:pStyle w:val="StandardWeb"/>
      </w:pPr>
      <w:r>
        <w:t xml:space="preserve">a) Pförtner, Wächter, </w:t>
      </w:r>
    </w:p>
    <w:p w:rsidR="00BE1EFE" w:rsidRDefault="00BE1EFE">
      <w:pPr>
        <w:pStyle w:val="StandardWeb"/>
      </w:pPr>
      <w:r>
        <w:t>b) Angestellte, in deren regelmäßige Arbeitszeit regelmäßig eine Arbeitsbereitschaft von durchschnittlich mindestens drei Stunden täglich fällt.</w:t>
      </w:r>
    </w:p>
    <w:p w:rsidR="00BE1EFE" w:rsidRDefault="00BE1EFE">
      <w:pPr>
        <w:pStyle w:val="StandardWeb"/>
      </w:pPr>
      <w:r w:rsidRPr="009C6551">
        <w:rPr>
          <w:rStyle w:val="kleinschrift1"/>
        </w:rPr>
        <w:t xml:space="preserve">Anmerkung zu Abs. 2 Satz 1 Buchst. b: </w:t>
      </w:r>
    </w:p>
    <w:p w:rsidR="00BE1EFE" w:rsidRDefault="00BE1EFE">
      <w:pPr>
        <w:pStyle w:val="StandardWeb"/>
      </w:pPr>
      <w:r w:rsidRPr="009C6551">
        <w:rPr>
          <w:rStyle w:val="kleinschrift1"/>
        </w:rPr>
        <w:t xml:space="preserve">Zeitspanne ist die Zeit zwischen dem Beginn der frühesten und dem Ende der spätesten Schicht innerhalb von 24 Stunden. Die geforderte Stundenzahl muss im Durchschnitt an den im Schichtplan vorgesehenen Arbeitstagen erreicht werden. Sieht der Schichtplan mehr als fünf Arbeitstage wöchentlich vor, können, falls dies günstiger ist, der Berechnung des Durchschnitts fünf Arbeitstage wöchentlich zugrunde gelegt werden. </w:t>
      </w:r>
    </w:p>
    <w:p w:rsidR="00BE1EFE" w:rsidRDefault="00BE1EFE">
      <w:pPr>
        <w:pStyle w:val="StandardWeb"/>
      </w:pPr>
    </w:p>
    <w:p w:rsidR="00BE1EFE" w:rsidRDefault="00BE1EFE" w:rsidP="003575ED">
      <w:pPr>
        <w:pStyle w:val="StandardWeb"/>
        <w:autoSpaceDE w:val="0"/>
        <w:jc w:val="left"/>
      </w:pPr>
      <w:r>
        <w:rPr>
          <w:rStyle w:val="Fett"/>
          <w:bCs/>
        </w:rPr>
        <w:t>§ 34 Vergütung Nichtvollbeschäftigter</w:t>
      </w:r>
    </w:p>
    <w:p w:rsidR="00BE1EFE" w:rsidRDefault="00BE1EFE">
      <w:pPr>
        <w:pStyle w:val="StandardWeb"/>
        <w:jc w:val="center"/>
      </w:pPr>
    </w:p>
    <w:p w:rsidR="00BE1EFE" w:rsidRDefault="00BE1EFE">
      <w:pPr>
        <w:pStyle w:val="StandardWeb"/>
      </w:pPr>
      <w:r>
        <w:t>(1) </w:t>
      </w:r>
      <w:r>
        <w:rPr>
          <w:rStyle w:val="kleinschrift"/>
        </w:rPr>
        <w:t>1</w:t>
      </w:r>
      <w:r>
        <w:t>Nicht vollbeschäftigte Angestellte erhalten von der Vergütung (§ 26), die für ent</w:t>
      </w:r>
      <w:r>
        <w:softHyphen/>
        <w:t xml:space="preserve">sprechende vollbeschäftigte Angestellte festgelegt ist, den Teil, der dem Maß der mit ihnen vereinbarten durchschnittlichen Arbeitszeit entspricht. </w:t>
      </w:r>
      <w:r>
        <w:rPr>
          <w:rStyle w:val="kleinschrift"/>
        </w:rPr>
        <w:t>2</w:t>
      </w:r>
      <w:r>
        <w:t xml:space="preserve">Arbeitsstunden, die der Angestellte darüber hinaus leistet, können durch entsprechende Arbeitsbefreiung unter Fortzahlung der Vergütung (§ 26) und der in Monatsbeträgen festgelegten Zulagen ausgeglichen werden. </w:t>
      </w:r>
      <w:r>
        <w:rPr>
          <w:rStyle w:val="kleinschrift"/>
        </w:rPr>
        <w:t>3</w:t>
      </w:r>
      <w:r>
        <w:t>Soweit ein Ausgleich nicht erfolgt, erhält der Angestellte für jede zusätzliche Arbeitsstunde den auf eine Stunde entfallenden Anteil der Vergütung eines entsprechenden vollbe</w:t>
      </w:r>
      <w:r>
        <w:softHyphen/>
        <w:t xml:space="preserve">schäftigten Angestellten; § 17 Abs. 1 bleibt unberührt. </w:t>
      </w:r>
    </w:p>
    <w:p w:rsidR="00BE1EFE" w:rsidRDefault="00BE1EFE">
      <w:pPr>
        <w:pStyle w:val="StandardWeb"/>
      </w:pPr>
      <w:r>
        <w:rPr>
          <w:rStyle w:val="kleinschrift"/>
        </w:rPr>
        <w:t>4</w:t>
      </w:r>
      <w:r>
        <w:t xml:space="preserve">Zur Ermittlung des auf eine Stunde entfallenden Anteils der Vergütung ist die Vergütung des entsprechenden vollbeschäftigten Angestellten durch das 4,348fache der regelmäßigen wöchentlichen Arbeitszeit (§ 15 Abs. 1, 2 und 4 und die Sonderregelungen hierzu) des entsprechenden vollbeschäftigten Angestellten zu teilen. </w:t>
      </w:r>
    </w:p>
    <w:p w:rsidR="00BE1EFE" w:rsidRDefault="00BE1EFE">
      <w:pPr>
        <w:pStyle w:val="StandardWeb"/>
      </w:pPr>
      <w:r>
        <w:t>(2) Abs. 1 gilt entsprechend für die in Monatsbeträgen festgelegten Zulagen, soweit diese nicht nur für vollbeschäftigte Angestellte vorgesehen sind.</w:t>
      </w:r>
    </w:p>
    <w:p w:rsidR="00BE1EFE" w:rsidRDefault="00BE1EFE" w:rsidP="00EA5805">
      <w:pPr>
        <w:pStyle w:val="StandardWeb"/>
      </w:pPr>
    </w:p>
    <w:p w:rsidR="00BE1EFE" w:rsidRDefault="00BE1EFE" w:rsidP="003575ED">
      <w:pPr>
        <w:pStyle w:val="StandardWeb"/>
        <w:autoSpaceDE w:val="0"/>
        <w:jc w:val="left"/>
      </w:pPr>
      <w:r>
        <w:rPr>
          <w:rStyle w:val="Fett"/>
          <w:bCs/>
        </w:rPr>
        <w:t>§ 35 Zeitzuschläge, Überstundenvergütung</w:t>
      </w:r>
    </w:p>
    <w:p w:rsidR="00BE1EFE" w:rsidRDefault="00BE1EFE">
      <w:pPr>
        <w:pStyle w:val="StandardWeb"/>
        <w:jc w:val="center"/>
      </w:pPr>
    </w:p>
    <w:p w:rsidR="00BE1EFE" w:rsidRDefault="00BE1EFE">
      <w:pPr>
        <w:pStyle w:val="StandardWeb"/>
      </w:pPr>
      <w:r>
        <w:t xml:space="preserve">(1) Der Angestellte erhält neben seiner Vergütung (§ 26) Zeitzuschläge. Sie betragen je Stunde </w:t>
      </w:r>
    </w:p>
    <w:p w:rsidR="00BE1EFE" w:rsidRDefault="00BE1EFE">
      <w:pPr>
        <w:pStyle w:val="StandardWeb"/>
      </w:pPr>
      <w:r>
        <w:t xml:space="preserve">a) für Überstunden in den Vergütungsgruppen </w:t>
      </w:r>
    </w:p>
    <w:p w:rsidR="00BE1EFE" w:rsidRDefault="00BE1EFE">
      <w:pPr>
        <w:pStyle w:val="StandardWeb"/>
      </w:pPr>
      <w:r>
        <w:t xml:space="preserve">X bis Vc, 25 v. H., </w:t>
      </w:r>
    </w:p>
    <w:p w:rsidR="00BE1EFE" w:rsidRDefault="00BE1EFE">
      <w:pPr>
        <w:pStyle w:val="StandardWeb"/>
      </w:pPr>
      <w:r>
        <w:t xml:space="preserve">Va und Vb, 20 v. H., </w:t>
      </w:r>
    </w:p>
    <w:p w:rsidR="00BE1EFE" w:rsidRDefault="00BE1EFE">
      <w:pPr>
        <w:pStyle w:val="StandardWeb"/>
      </w:pPr>
      <w:r>
        <w:t xml:space="preserve">IV b bis I, 15 v. H., </w:t>
      </w:r>
    </w:p>
    <w:p w:rsidR="00BE1EFE" w:rsidRDefault="00BE1EFE">
      <w:pPr>
        <w:pStyle w:val="StandardWeb"/>
      </w:pPr>
      <w:r>
        <w:t xml:space="preserve">b) für Arbeit an Sonntagen 25 v. H., </w:t>
      </w:r>
    </w:p>
    <w:p w:rsidR="00BE1EFE" w:rsidRDefault="00BE1EFE">
      <w:pPr>
        <w:pStyle w:val="StandardWeb"/>
      </w:pPr>
      <w:r>
        <w:t xml:space="preserve">c) für Arbeit an </w:t>
      </w:r>
    </w:p>
    <w:p w:rsidR="00BE1EFE" w:rsidRDefault="00BE1EFE">
      <w:pPr>
        <w:pStyle w:val="StandardWeb"/>
      </w:pPr>
      <w:r>
        <w:t xml:space="preserve">aa) Wochenfeiertagen sowie am Ostersonntag und am Pfingstsonntag </w:t>
      </w:r>
    </w:p>
    <w:p w:rsidR="00BE1EFE" w:rsidRDefault="00BE1EFE" w:rsidP="004860F4">
      <w:pPr>
        <w:pStyle w:val="StandardWeb"/>
      </w:pPr>
      <w:r>
        <w:t xml:space="preserve">– ohne Freizeitausgleich 135 v. H., </w:t>
      </w:r>
    </w:p>
    <w:p w:rsidR="00BE1EFE" w:rsidRDefault="00BE1EFE">
      <w:pPr>
        <w:pStyle w:val="StandardWeb"/>
      </w:pPr>
      <w:r>
        <w:t xml:space="preserve">– bei Freizeitausgleich 35 v. H., </w:t>
      </w:r>
    </w:p>
    <w:p w:rsidR="00BE1EFE" w:rsidRDefault="00BE1EFE">
      <w:pPr>
        <w:pStyle w:val="StandardWeb"/>
      </w:pPr>
      <w:r>
        <w:t xml:space="preserve">bb) Wochenfeiertagen, die auf einen Sonntag fallen, </w:t>
      </w:r>
    </w:p>
    <w:p w:rsidR="00BE1EFE" w:rsidRDefault="00BE1EFE">
      <w:pPr>
        <w:pStyle w:val="StandardWeb"/>
      </w:pPr>
      <w:r>
        <w:t xml:space="preserve">– ohne Freizeitausgleich 150 v. H., </w:t>
      </w:r>
    </w:p>
    <w:p w:rsidR="00BE1EFE" w:rsidRDefault="00BE1EFE">
      <w:pPr>
        <w:pStyle w:val="StandardWeb"/>
      </w:pPr>
      <w:r>
        <w:t xml:space="preserve">– bei Freizeitausgleich 50 v. H., </w:t>
      </w:r>
    </w:p>
    <w:p w:rsidR="00BE1EFE" w:rsidRDefault="00BE1EFE">
      <w:pPr>
        <w:pStyle w:val="StandardWeb"/>
      </w:pPr>
      <w:r>
        <w:t xml:space="preserve">d) soweit nach § 16 Abs. 2 kein Freizeitausgleich erteilt wird, für Arbeit nach 12.00 Uhr an dem Tage vor dem </w:t>
      </w:r>
    </w:p>
    <w:p w:rsidR="00BE1EFE" w:rsidRDefault="00BE1EFE">
      <w:pPr>
        <w:pStyle w:val="StandardWeb"/>
      </w:pPr>
      <w:r>
        <w:lastRenderedPageBreak/>
        <w:t xml:space="preserve">aa) Ostersonntag, Pfingstsonntag 25 v. H., </w:t>
      </w:r>
    </w:p>
    <w:p w:rsidR="00BE1EFE" w:rsidRDefault="00BE1EFE">
      <w:pPr>
        <w:pStyle w:val="StandardWeb"/>
      </w:pPr>
      <w:r>
        <w:t xml:space="preserve">bb) ersten Weihnachtsfeiertag, Neujahrstag 100 v. H., der Stundenvergütung, </w:t>
      </w:r>
    </w:p>
    <w:p w:rsidR="00BE1EFE" w:rsidRDefault="00BE1EFE">
      <w:pPr>
        <w:pStyle w:val="StandardWeb"/>
      </w:pPr>
      <w:r>
        <w:t xml:space="preserve">e) für Nachtarbeit 1,28 €, </w:t>
      </w:r>
    </w:p>
    <w:p w:rsidR="00BE1EFE" w:rsidRDefault="00BE1EFE">
      <w:pPr>
        <w:pStyle w:val="StandardWeb"/>
      </w:pPr>
      <w:r>
        <w:t xml:space="preserve">f) für Arbeit an Samstagen in der Zeit von 13.00 Uhr bis 20.00 Uhr 0,64 €. </w:t>
      </w:r>
    </w:p>
    <w:p w:rsidR="00BE1EFE" w:rsidRDefault="00BE1EFE">
      <w:pPr>
        <w:pStyle w:val="StandardWeb"/>
      </w:pPr>
      <w:r>
        <w:t>(2) </w:t>
      </w:r>
      <w:r>
        <w:rPr>
          <w:rStyle w:val="kleinschrift"/>
        </w:rPr>
        <w:t>1</w:t>
      </w:r>
      <w:r>
        <w:t>Beim Zusammentreffen mehrerer Zeitzuschläge nach Abs. 1 Satz 2 Buchst. b bis d und f wird nur der jeweils höchste Zeitzuschlag gezahlt.</w:t>
      </w:r>
    </w:p>
    <w:p w:rsidR="00BE1EFE" w:rsidRDefault="00BE1EFE">
      <w:pPr>
        <w:pStyle w:val="StandardWeb"/>
      </w:pPr>
      <w:r>
        <w:rPr>
          <w:rStyle w:val="kleinschrift"/>
        </w:rPr>
        <w:t>2</w:t>
      </w:r>
      <w:r>
        <w:t>Der Zeitzuschlag nach Abs. 1 Satz 2 Buchst. e und f wird nicht gezahlt neben Zulagen, Zuschlägen und Entschädigungen, in denen bereits eine entsprechende Leistung enthalten ist.</w:t>
      </w:r>
    </w:p>
    <w:p w:rsidR="00BE1EFE" w:rsidRDefault="00BE1EFE">
      <w:pPr>
        <w:pStyle w:val="StandardWeb"/>
      </w:pPr>
      <w:r>
        <w:rPr>
          <w:rStyle w:val="kleinschrift"/>
        </w:rPr>
        <w:t>3</w:t>
      </w:r>
      <w:r>
        <w:t xml:space="preserve">Für die Zeit des Bereitschaftsdienstes einschließlich der geleisteten Arbeit und für die Zeit der Rufbereitschaft werden Zeitzuschläge nicht gezahlt. </w:t>
      </w:r>
      <w:r>
        <w:rPr>
          <w:rStyle w:val="kleinschrift"/>
        </w:rPr>
        <w:t>4</w:t>
      </w:r>
      <w:r>
        <w:t xml:space="preserve">Für die Zeit der innerhalb der Rufbereitschaft tatsächlich geleisteten Arbeit einschließlich einer etwaigen Wegezeit werden ggf. die Zeitzuschläge nach Abs. 1 Satz 2 Buchst. b bis f gezahlt. </w:t>
      </w:r>
      <w:r>
        <w:rPr>
          <w:rStyle w:val="kleinschrift"/>
        </w:rPr>
        <w:t>5</w:t>
      </w:r>
      <w:r>
        <w:t xml:space="preserve">Die Unterabs. 1 und 2 bleiben unberührt. </w:t>
      </w:r>
    </w:p>
    <w:p w:rsidR="00BE1EFE" w:rsidRDefault="00BE1EFE">
      <w:pPr>
        <w:pStyle w:val="StandardWeb"/>
      </w:pPr>
      <w:r>
        <w:rPr>
          <w:rStyle w:val="kleinschrift"/>
        </w:rPr>
        <w:t>6</w:t>
      </w:r>
      <w:r>
        <w:t xml:space="preserve">Der Zeitzuschlag nach Abs. 1 Satz 2 Buchst. e wird nicht gezahlt für Bürodienst, der sonst üblicherweise nur in den Tagesstunden geleistet wird, und für nächtliche Dienstgeschäfte, für die, ohne dass eine Unterkunft genommen worden ist, Übernachtungsgeld gezahlt wird. </w:t>
      </w:r>
    </w:p>
    <w:p w:rsidR="00BE1EFE" w:rsidRDefault="00BE1EFE">
      <w:pPr>
        <w:pStyle w:val="StandardWeb"/>
      </w:pPr>
      <w:r>
        <w:t>(3) </w:t>
      </w:r>
      <w:r>
        <w:rPr>
          <w:rStyle w:val="kleinschrift"/>
        </w:rPr>
        <w:t>1</w:t>
      </w:r>
      <w:r>
        <w:t xml:space="preserve">Die Stundenvergütung wird für jede Vergütungsgruppe festgelegt. </w:t>
      </w:r>
      <w:r>
        <w:rPr>
          <w:rStyle w:val="kleinschrift2"/>
        </w:rPr>
        <w:t>2</w:t>
      </w:r>
      <w:r>
        <w:t xml:space="preserve">Die Stundenvergütung zuzüglich des Zeitzuschlages nach Abs. 1 Satz 2 Buchst. a ist die Überstundenvergütung. </w:t>
      </w:r>
    </w:p>
    <w:p w:rsidR="00BE1EFE" w:rsidRDefault="00BE1EFE">
      <w:pPr>
        <w:pStyle w:val="StandardWeb"/>
      </w:pPr>
      <w:r>
        <w:t xml:space="preserve">(4) Die Zeitzuschläge können ggf. einschließlich der Stundenvergütung nach Abs. 3 Unterabs. 1 durch Nebenabrede zum Arbeitsvertrag pauschaliert werden. </w:t>
      </w:r>
    </w:p>
    <w:p w:rsidR="00BE1EFE" w:rsidRDefault="00BE1EFE">
      <w:pPr>
        <w:pStyle w:val="StandardWeb"/>
      </w:pPr>
      <w:r>
        <w:t>(5) Für Mesner, Kirchenmusiker, Gemeind</w:t>
      </w:r>
      <w:r w:rsidR="00402A9F">
        <w:t>e- und Pastoralassistenten und -</w:t>
      </w:r>
      <w:r>
        <w:t>referenten finden Abs. 1 und Abs. 2 mit Ausnahme von Abs. 1 Satz 2 Buchst. a keine Anwendung.</w:t>
      </w:r>
    </w:p>
    <w:p w:rsidR="00BE1EFE" w:rsidRDefault="00BE1EFE">
      <w:pPr>
        <w:pStyle w:val="StandardWeb"/>
        <w:jc w:val="center"/>
      </w:pPr>
    </w:p>
    <w:p w:rsidR="00BE1EFE" w:rsidRDefault="00BE1EFE" w:rsidP="003575ED">
      <w:pPr>
        <w:pStyle w:val="StandardWeb"/>
        <w:autoSpaceDE w:val="0"/>
        <w:jc w:val="left"/>
      </w:pPr>
      <w:r>
        <w:rPr>
          <w:rStyle w:val="Fett"/>
          <w:bCs/>
        </w:rPr>
        <w:t>§ 36 Berechnung und Auszahlung der Bezüge, Vorschüsse</w:t>
      </w:r>
    </w:p>
    <w:p w:rsidR="00BE1EFE" w:rsidRDefault="00BE1EFE">
      <w:pPr>
        <w:pStyle w:val="StandardWeb"/>
        <w:jc w:val="center"/>
      </w:pPr>
    </w:p>
    <w:p w:rsidR="00BE1EFE" w:rsidRDefault="00BE1EFE">
      <w:pPr>
        <w:pStyle w:val="StandardWeb"/>
      </w:pPr>
      <w:r>
        <w:t>(1) </w:t>
      </w:r>
      <w:r>
        <w:rPr>
          <w:rStyle w:val="kleinschrift"/>
        </w:rPr>
        <w:t>1</w:t>
      </w:r>
      <w:r>
        <w:t>Die Bezüge sind für den Kalendermonat zu berechnen und spätestens am letzten Tag eines jeden Monats (Zahltag) für den laufenden Monat auf ein von dem Angestellten eingerichtetes Girokonto im Inland zu zahlen</w:t>
      </w:r>
      <w:r>
        <w:rPr>
          <w:vertAlign w:val="superscript"/>
        </w:rPr>
        <w:t>1</w:t>
      </w:r>
      <w:r>
        <w:t xml:space="preserve">. </w:t>
      </w:r>
      <w:r>
        <w:rPr>
          <w:rStyle w:val="kleinschrift"/>
        </w:rPr>
        <w:t>2</w:t>
      </w:r>
      <w:r>
        <w:t xml:space="preserve">Sie sind so rechtzeitig zu überweisen, dass der Angestellte am Zahltag über sie verfügen kann. Fällt der Zahltag auf einen Samstag oder auf einen Wochenfeiertag, gilt der vorhergehende Werktag, fällt er auf einen Sonntag, gilt der zweite vorhergehende Werktag als Zahltag. </w:t>
      </w:r>
      <w:r>
        <w:rPr>
          <w:rStyle w:val="kleinschrift"/>
        </w:rPr>
        <w:t>3</w:t>
      </w:r>
      <w:r>
        <w:t xml:space="preserve">Die Kosten der Übermittlung der Bezüge mit Ausnahme der Kosten für die Gutschrift auf dem Konto des Empfängers trägt der Arbeitgeber; die Kontoeinrichtungs-, Kontoführungs- oder Buchungsgebühren trägt der Empfänger. </w:t>
      </w:r>
    </w:p>
    <w:p w:rsidR="00BE1EFE" w:rsidRDefault="00BE1EFE">
      <w:pPr>
        <w:pStyle w:val="StandardWeb"/>
      </w:pPr>
      <w:r>
        <w:rPr>
          <w:rStyle w:val="kleinschrift"/>
        </w:rPr>
        <w:t>4</w:t>
      </w:r>
      <w:r>
        <w:t xml:space="preserve">Der Teil der Bezüge, der nicht in Monatsbeträgen festgelegt ist, bemisst sich nach der Arbeitsleistung des Vorvormonats. </w:t>
      </w:r>
      <w:r>
        <w:rPr>
          <w:rStyle w:val="kleinschrift"/>
        </w:rPr>
        <w:t>5</w:t>
      </w:r>
      <w:r>
        <w:t xml:space="preserve">Haben in dem Vorvormonat Urlaubsvergütung oder Krankenbezüge i.S. d. § 37 Abs. 2 bzw. des § 71 Abs. 3 Unterabs. 1 zugestanden, gilt als Teil der Bezüge nach Satz 1 dieses Unterabs. auch der Aufschlag nach § 47 Abs. 2 für die Tage des Urlaubs und der Arbeitsunfähigkeit des Vorvormonats. </w:t>
      </w:r>
      <w:r>
        <w:rPr>
          <w:rStyle w:val="kleinschrift"/>
        </w:rPr>
        <w:t>6</w:t>
      </w:r>
      <w:r>
        <w:t xml:space="preserve">Der Teil der Bezüge, der nicht in Monatsbeträgen festgelegt ist, bemisst sich auch dann nach Satz 1 und 2 dieses Unterabs., wenn für den Monat nur Urlaubsvergütung oder Krankenbezüge i. S. d. § 37 Abs. 2 bzw. des § 71 Abs. 3 Unterabs. 1 zustehen. </w:t>
      </w:r>
      <w:r>
        <w:rPr>
          <w:rStyle w:val="kleinschrift"/>
        </w:rPr>
        <w:t>7</w:t>
      </w:r>
      <w:r>
        <w:t xml:space="preserve">Für Monate, für die weder Vergütung (§ 26) noch Urlaubsvergütung noch Krankenbezüge i.S. d. § 37 Abs. 2 bzw. des § 71 Abs. 3 Unterabs. 1 zustehen, stehen auch keine Bezüge nach Satz 1 und 2 dieses Unterabs. zu. </w:t>
      </w:r>
      <w:r>
        <w:rPr>
          <w:rStyle w:val="kleinschrift"/>
        </w:rPr>
        <w:t>8</w:t>
      </w:r>
      <w:r>
        <w:t xml:space="preserve">Diese Monate bleiben bei der Feststellung, welcher Monat Vorvormonat i. S. d. Satzes 1 dieses Unterabs. ist, unberücksichtigt. </w:t>
      </w:r>
    </w:p>
    <w:p w:rsidR="00BE1EFE" w:rsidRDefault="00BE1EFE">
      <w:pPr>
        <w:pStyle w:val="StandardWeb"/>
      </w:pPr>
      <w:r>
        <w:rPr>
          <w:rStyle w:val="kleinschrift"/>
        </w:rPr>
        <w:t>9</w:t>
      </w:r>
      <w:r>
        <w:t xml:space="preserve">Im Monat der Beendigung des Arbeitsverhältnisses bemisst sich der Teil der Bezüge, der nicht in Monatsbeträgen festgelegt ist, auch nach der Arbeitsleistung des Vormonats und des laufenden Monats. </w:t>
      </w:r>
      <w:r>
        <w:rPr>
          <w:rStyle w:val="kleinschrift"/>
        </w:rPr>
        <w:t>10</w:t>
      </w:r>
      <w:r>
        <w:t>Stehen im Monat der Beendigung des Arbeitsverhältnisses weder Vergütung (§ 26) noch Urlaubsvergütung noch Krankenbezüge i. S. d. § 37 Abs. 2 bzw. des § 71 Abs. 3 Unterabs. 1 zu und sind Arbeitsleistungen aus vorangegangenen Kalender</w:t>
      </w:r>
      <w:r>
        <w:softHyphen/>
        <w:t xml:space="preserve">monaten noch nicht für die Bemessung des Teils der Bezüge, der nicht in Monatsbeträgen festgelegt ist, berücksichtigt worden, ist der nach diesen Arbeitsleistungen zu bemessende </w:t>
      </w:r>
      <w:r>
        <w:lastRenderedPageBreak/>
        <w:t xml:space="preserve">Teil der Bezüge nach Beendigung des Arbeitsverhältnisses zu zahlen. </w:t>
      </w:r>
      <w:r>
        <w:rPr>
          <w:rStyle w:val="kleinschrift"/>
        </w:rPr>
        <w:t>11</w:t>
      </w:r>
      <w:r>
        <w:t xml:space="preserve">Bei Beendigung des Arbeitsverhältnisses sind die Bezüge unverzüglich zu überweisen. </w:t>
      </w:r>
      <w:r>
        <w:rPr>
          <w:rStyle w:val="kleinschrift"/>
        </w:rPr>
        <w:t>12</w:t>
      </w:r>
      <w:r>
        <w:t xml:space="preserve">Im Sinne des Unterabs. 3 und 4 steht der Beendigung des Arbeitsverhältnisses gleich der Beginn </w:t>
      </w:r>
    </w:p>
    <w:p w:rsidR="00BE1EFE" w:rsidRDefault="00BE1EFE">
      <w:pPr>
        <w:pStyle w:val="StandardWeb"/>
      </w:pPr>
      <w:r>
        <w:t xml:space="preserve">a) des Grundwehrdienstes oder des Zivildienstes, </w:t>
      </w:r>
    </w:p>
    <w:p w:rsidR="00BE1EFE" w:rsidRDefault="00BE1EFE">
      <w:pPr>
        <w:pStyle w:val="StandardWeb"/>
      </w:pPr>
      <w:r>
        <w:t xml:space="preserve">b) des Ruhens des Arbeitsverhältnisses nach § 59 Abs. 1 Unterabs. 1 Satz 5, </w:t>
      </w:r>
    </w:p>
    <w:p w:rsidR="00BE1EFE" w:rsidRDefault="00BE1EFE">
      <w:pPr>
        <w:pStyle w:val="StandardWeb"/>
      </w:pPr>
      <w:r>
        <w:t xml:space="preserve">c) der Elternzeit nach dem Bundeserziehungsgeldgesetz, </w:t>
      </w:r>
    </w:p>
    <w:p w:rsidR="00BE1EFE" w:rsidRDefault="00BE1EFE">
      <w:pPr>
        <w:pStyle w:val="StandardWeb"/>
      </w:pPr>
      <w:r>
        <w:t xml:space="preserve">d) einer sonstigen Beurlaubung ohne Bezüge von länger als zwölf Monaten; nimmt der Angestellte die Arbeit wieder auf, wird er bei der Anwendung des Unterabs. 2 wie ein neu eingestellter Angestellter behandelt. </w:t>
      </w:r>
    </w:p>
    <w:p w:rsidR="00BE1EFE" w:rsidRDefault="00BE1EFE">
      <w:pPr>
        <w:pStyle w:val="StandardWeb"/>
      </w:pPr>
      <w:r>
        <w:rPr>
          <w:vertAlign w:val="superscript"/>
        </w:rPr>
        <w:t>1</w:t>
      </w:r>
      <w:r>
        <w:rPr>
          <w:rStyle w:val="kleinschrift1"/>
        </w:rPr>
        <w:t> </w:t>
      </w:r>
      <w:r w:rsidRPr="009C6551">
        <w:rPr>
          <w:rStyle w:val="kleinschrift1"/>
        </w:rPr>
        <w:t xml:space="preserve">Vgl. abweichende Regelung in Bamberg und Passau. </w:t>
      </w:r>
    </w:p>
    <w:p w:rsidR="00BE1EFE" w:rsidRDefault="00BE1EFE">
      <w:pPr>
        <w:pStyle w:val="StandardWeb"/>
      </w:pPr>
      <w:r w:rsidRPr="009C6551">
        <w:rPr>
          <w:rStyle w:val="kleinschrift1"/>
        </w:rPr>
        <w:t xml:space="preserve">Protokollnotiz zu Abs. 1 Unterabsatz 1 Satz 1: </w:t>
      </w:r>
    </w:p>
    <w:p w:rsidR="00BE1EFE" w:rsidRDefault="00BE1EFE">
      <w:pPr>
        <w:pStyle w:val="StandardWeb"/>
      </w:pPr>
      <w:r w:rsidRPr="009C6551">
        <w:rPr>
          <w:rStyle w:val="kleinschrift1"/>
        </w:rPr>
        <w:t xml:space="preserve">Die Umstellung des Zahltages auf spätestens den letzten Tag jeden Monats kann nur im Monat Dezember eines Jahres beginnen; die Zuwendung sollte bereits im Umstellungsjahr am letzten Tag des Monats November gezahlt werden. Im Falle einer geplanten Umstellung sind die Mitarbeiter vom Dienstgeber spätestens im der Umstellung vorausgehenden September zu informieren. </w:t>
      </w:r>
    </w:p>
    <w:p w:rsidR="00BE1EFE" w:rsidRDefault="00BE1EFE">
      <w:pPr>
        <w:pStyle w:val="StandardWeb"/>
      </w:pPr>
    </w:p>
    <w:p w:rsidR="00BE1EFE" w:rsidRDefault="00BE1EFE">
      <w:pPr>
        <w:pStyle w:val="StandardWeb"/>
      </w:pPr>
      <w:r>
        <w:t>(2) </w:t>
      </w:r>
      <w:r>
        <w:rPr>
          <w:rStyle w:val="kleinschrift"/>
        </w:rPr>
        <w:t>1</w:t>
      </w:r>
      <w:r>
        <w:t xml:space="preserve">Besteht der Anspruch auf Vergütung (§ 26) und auf in Monatsbeträgen festgelegte Zulagen, auf Urlaubsvergütung oder auf Krankenbezüge nicht für alle Tage eines Kalendermonats, wird nur der Teil gezahlt, der auf den Anspruchszeitraum entfällt. </w:t>
      </w:r>
      <w:r>
        <w:rPr>
          <w:rStyle w:val="kleinschrift"/>
        </w:rPr>
        <w:t>2</w:t>
      </w:r>
      <w:r>
        <w:t xml:space="preserve">Besteht für einzelne Stunden kein Anspruch, werden für jede nicht geleistete dienstplanmäßige bzw. betriebsübliche Arbeitsstunde die Vergütung (§ 26) und die in Monatsbeträgen festgelegten Zulagen um den auf eine Stunde entfallenden Anteil vermindert. </w:t>
      </w:r>
      <w:r>
        <w:rPr>
          <w:rStyle w:val="kleinschrift"/>
        </w:rPr>
        <w:t>3</w:t>
      </w:r>
      <w:r>
        <w:t xml:space="preserve">Zur Ermittlung des auf eine Stunde entfallenden Anteils sind die Vergütung (§ 26) und die in Monatsbeträgen festgelegten Zulagen durch das 4,348fache der regelmäßigen wöchentlichen Arbeitszeit (§ 15 Abs. 1, 2 und 4 und die Sonderregelungen hierzu) zu teilen. </w:t>
      </w:r>
    </w:p>
    <w:p w:rsidR="00BE1EFE" w:rsidRDefault="00BE1EFE">
      <w:pPr>
        <w:pStyle w:val="StandardWeb"/>
      </w:pPr>
      <w:r>
        <w:t xml:space="preserve">(3) Ändert sich im Laufe des Kalendermonats die Höhe der Vergütung (§ 26) und der in Monatsbeträgen festgelegten Zulagen, gilt Abs. 2 entsprechend. </w:t>
      </w:r>
    </w:p>
    <w:p w:rsidR="00BE1EFE" w:rsidRDefault="00BE1EFE">
      <w:pPr>
        <w:pStyle w:val="StandardWeb"/>
      </w:pPr>
      <w:r>
        <w:t>(4) </w:t>
      </w:r>
      <w:r>
        <w:rPr>
          <w:rStyle w:val="kleinschrift"/>
        </w:rPr>
        <w:t>1</w:t>
      </w:r>
      <w:r>
        <w:t xml:space="preserve">Dem Angestellten ist eine Abrechnung auszuhändigen, in der die Beträge, aus denen sich die Bezüge zusammensetzen, und die Abzüge getrennt aufzuführen sind. </w:t>
      </w:r>
      <w:r>
        <w:rPr>
          <w:rStyle w:val="kleinschrift"/>
        </w:rPr>
        <w:t>2</w:t>
      </w:r>
      <w:r>
        <w:t xml:space="preserve">Ergeben sich gegenüber dem Vormonat keine Änderungen der Brutto- oder Nettobeträge, bedarf es keiner erneuten Abrechnung. </w:t>
      </w:r>
    </w:p>
    <w:p w:rsidR="00BE1EFE" w:rsidRDefault="00BE1EFE">
      <w:pPr>
        <w:pStyle w:val="StandardWeb"/>
      </w:pPr>
      <w:r>
        <w:t xml:space="preserve">(5) § 11 Abs. 2 des Bundesurlaubsgesetzes findet keine Anwendung. </w:t>
      </w:r>
    </w:p>
    <w:p w:rsidR="00BE1EFE" w:rsidRDefault="00BE1EFE">
      <w:pPr>
        <w:pStyle w:val="StandardWeb"/>
      </w:pPr>
      <w:r>
        <w:t>(6) </w:t>
      </w:r>
      <w:r>
        <w:rPr>
          <w:rStyle w:val="kleinschrift"/>
        </w:rPr>
        <w:t>1</w:t>
      </w:r>
      <w:r>
        <w:t xml:space="preserve">Von der Rückforderung zu viel gezahlter Bezüge kann aus Billigkeitsgründen ganz oder teilweise abgesehen werden. </w:t>
      </w:r>
      <w:r>
        <w:rPr>
          <w:rStyle w:val="kleinschrift"/>
        </w:rPr>
        <w:t>2</w:t>
      </w:r>
      <w:r>
        <w:t xml:space="preserve">Von der Rückforderung ist abzusehen, wenn die Bezüge nicht durch Anrechnung auf noch auszuzahlende Bezüge eingezogen werden können und das Einziehungsverfahren Kosten verursachen würde, die die zu viel gezahlten Bezüge übersteigen. </w:t>
      </w:r>
      <w:r>
        <w:rPr>
          <w:rStyle w:val="kleinschrift"/>
        </w:rPr>
        <w:t>3</w:t>
      </w:r>
      <w:r>
        <w:t>Dies gilt für das Sterbegeld entsprechend.</w:t>
      </w:r>
    </w:p>
    <w:p w:rsidR="00BE1EFE" w:rsidRDefault="00BE1EFE">
      <w:pPr>
        <w:pStyle w:val="StandardWeb"/>
      </w:pPr>
      <w:r>
        <w:t>(7) </w:t>
      </w:r>
      <w:r>
        <w:rPr>
          <w:rStyle w:val="kleinschrift"/>
        </w:rPr>
        <w:t>1</w:t>
      </w:r>
      <w:r>
        <w:t xml:space="preserve">Vorschüsse können nach den bei dem Arbeitgeber jeweils geltenden Vorschussrichtlinien gewährt werden. </w:t>
      </w:r>
      <w:r>
        <w:rPr>
          <w:rStyle w:val="kleinschrift"/>
        </w:rPr>
        <w:t>2</w:t>
      </w:r>
      <w:r>
        <w:t xml:space="preserve">Dem wegen Verrentung ausgeschiedenen Angestellten kann, wenn sich die Rentenzahlung verzögert, gegen Abtretung des Rentenanspruchs ein Vorschuss auf die Rente gewährt werden. </w:t>
      </w:r>
    </w:p>
    <w:p w:rsidR="00BE1EFE" w:rsidRDefault="00BE1EFE">
      <w:pPr>
        <w:pStyle w:val="StandardWeb"/>
      </w:pPr>
      <w:r>
        <w:t xml:space="preserve">(8) Ergibt sich bei der Berechnung von Beträgen ein Bruchteil eines Cents von mindestens 0,5, ist er aufzurunden, ein Bruchteil von weniger als 0,5 ist abzurunden. </w:t>
      </w:r>
    </w:p>
    <w:p w:rsidR="00BE1EFE" w:rsidRDefault="00BE1EFE">
      <w:pPr>
        <w:pStyle w:val="StandardWeb"/>
      </w:pPr>
      <w:r>
        <w:t>(9) In den bayerischen (Erz-)Diözesen kann der bei Urlaub (§ 47 Abs. 2), Arbeitsunfähigkeit (§ 37 Abs. 2 bzw. § 71 Abs. 3 i.V. m. § 47 Abs. 2), Sonderurlaub für Kur- und Heilverfahren (§ 37 Abs. 2 bzw. § 71 Abs. 3 i.V. m. § 47 Abs. 2) und als Zuschlag zur Weihnachts</w:t>
      </w:r>
      <w:r>
        <w:softHyphen/>
        <w:t xml:space="preserve">zuwendung zu zahlende Aufschlag einmal jährlich im Dezember bzw. im Monat der Beendigung des Arbeitsverhältnisses ausgezahlt werden. </w:t>
      </w:r>
    </w:p>
    <w:p w:rsidR="00BE1EFE" w:rsidRDefault="00BE1EFE">
      <w:pPr>
        <w:pStyle w:val="StandardWeb"/>
      </w:pPr>
      <w:r>
        <w:t xml:space="preserve">(10) Die Abtretung von Vergütungsansprüchen ist ausgeschlossen (§ 399 BGB). Im Einzelfall kann der Mitarbeiter mit dem Dienstgeber die Abtretbarkeit seiner Vergütungsansprüche schriftlich vereinbaren. </w:t>
      </w:r>
    </w:p>
    <w:p w:rsidR="00BE1EFE" w:rsidRDefault="00BE1EFE">
      <w:pPr>
        <w:pStyle w:val="StandardWeb"/>
      </w:pPr>
      <w:r w:rsidRPr="009C6551">
        <w:rPr>
          <w:rStyle w:val="kleinschrift1"/>
        </w:rPr>
        <w:t xml:space="preserve">Anmerkungen: </w:t>
      </w:r>
    </w:p>
    <w:p w:rsidR="00BE1EFE" w:rsidRDefault="00BE1EFE">
      <w:pPr>
        <w:pStyle w:val="StandardWeb"/>
      </w:pPr>
      <w:r>
        <w:rPr>
          <w:rStyle w:val="kleinschrift1"/>
        </w:rPr>
        <w:t>1. </w:t>
      </w:r>
      <w:r w:rsidRPr="009C6551">
        <w:rPr>
          <w:rStyle w:val="kleinschrift1"/>
        </w:rPr>
        <w:t xml:space="preserve">Als Zulagen, die in Monatsbeträgen festgelegt sind, gelten auch Monatspauschalen der in § 47 Abs. 2 Unterabs. 2 genannten Bezüge. </w:t>
      </w:r>
    </w:p>
    <w:p w:rsidR="00BE1EFE" w:rsidRDefault="00BE1EFE">
      <w:pPr>
        <w:pStyle w:val="StandardWeb"/>
      </w:pPr>
      <w:r>
        <w:rPr>
          <w:rStyle w:val="kleinschrift1"/>
        </w:rPr>
        <w:t>2. </w:t>
      </w:r>
      <w:r w:rsidRPr="009C6551">
        <w:rPr>
          <w:rStyle w:val="kleinschrift1"/>
        </w:rPr>
        <w:t xml:space="preserve">Im Bereich der Kindertagesstätten kann der Arbeitgeber bei der Anwendung des Abs. 1 Unterabs. 2 statt des Vorvormonats den Vormonat zugrunde legen. </w:t>
      </w:r>
    </w:p>
    <w:p w:rsidR="00BE1EFE" w:rsidRDefault="00BE1EFE" w:rsidP="0054275E">
      <w:pPr>
        <w:pStyle w:val="StandardWeb"/>
        <w:autoSpaceDE w:val="0"/>
        <w:jc w:val="center"/>
        <w:rPr>
          <w:b/>
          <w:bCs/>
        </w:rPr>
      </w:pPr>
      <w:r>
        <w:rPr>
          <w:rStyle w:val="Fett"/>
          <w:bCs/>
        </w:rPr>
        <w:lastRenderedPageBreak/>
        <w:t xml:space="preserve">Abschnitt VIII </w:t>
      </w:r>
    </w:p>
    <w:p w:rsidR="00BE1EFE" w:rsidRDefault="00BE1EFE" w:rsidP="0054275E">
      <w:pPr>
        <w:pStyle w:val="StandardWeb"/>
        <w:autoSpaceDE w:val="0"/>
        <w:jc w:val="center"/>
      </w:pPr>
      <w:r>
        <w:rPr>
          <w:rStyle w:val="Fett"/>
          <w:bCs/>
        </w:rPr>
        <w:t xml:space="preserve">Sozialbezüge </w:t>
      </w:r>
    </w:p>
    <w:p w:rsidR="00BE1EFE" w:rsidRDefault="00BE1EFE">
      <w:pPr>
        <w:pStyle w:val="StandardWeb"/>
        <w:jc w:val="center"/>
      </w:pPr>
    </w:p>
    <w:p w:rsidR="00BE1EFE" w:rsidRDefault="00BE1EFE" w:rsidP="003575ED">
      <w:pPr>
        <w:pStyle w:val="StandardWeb"/>
        <w:autoSpaceDE w:val="0"/>
        <w:spacing w:after="240"/>
        <w:jc w:val="left"/>
      </w:pPr>
      <w:r>
        <w:rPr>
          <w:rStyle w:val="Fett"/>
          <w:bCs/>
        </w:rPr>
        <w:t>§ 37 Krankenbezüge</w:t>
      </w:r>
      <w:r>
        <w:t xml:space="preserve"> </w:t>
      </w:r>
    </w:p>
    <w:p w:rsidR="00BE1EFE" w:rsidRDefault="00BE1EFE">
      <w:pPr>
        <w:pStyle w:val="StandardWeb"/>
      </w:pPr>
      <w:r>
        <w:t>(1) </w:t>
      </w:r>
      <w:r>
        <w:rPr>
          <w:rStyle w:val="kleinschrift"/>
        </w:rPr>
        <w:t>1</w:t>
      </w:r>
      <w:r>
        <w:t xml:space="preserve">Wird der Angestellte durch Arbeitsunfähigkeit infolge Krankheit an seiner Arbeitsleistung verhindert, ohne dass ihn ein Verschulden trifft, erhält er Krankenbezüge nach Maßgabe der Abs. 2 bis 9. </w:t>
      </w:r>
    </w:p>
    <w:p w:rsidR="00BE1EFE" w:rsidRDefault="00BE1EFE">
      <w:pPr>
        <w:pStyle w:val="StandardWeb"/>
      </w:pPr>
      <w:r>
        <w:rPr>
          <w:rStyle w:val="kleinschrift"/>
        </w:rPr>
        <w:t>2</w:t>
      </w:r>
      <w:r>
        <w:t xml:space="preserve">Als unverschuldete Arbeitsunfähigkeit i. S. d. Unterabs. 1 gilt auch die Arbeitsverhinderung infolge einer Maßnahme der medizinischen Vorsorge oder Rehabilitation, die ein Träger der gesetzlichen Renten-, Kranken- oder Unfallversicherung, eine Verwaltungsbehörde der Kriegsopferversorgung oder ein sonstiger Sozialleistungsträger bewilligt hat und die in einer Einrichtung der medizinischen Vorsorge oder Rehabilitation durchgeführt wird. </w:t>
      </w:r>
      <w:r>
        <w:rPr>
          <w:rStyle w:val="kleinschrift"/>
        </w:rPr>
        <w:t>3</w:t>
      </w:r>
      <w:r>
        <w:t xml:space="preserve">Bei Angestellten, die nicht Mitglied einer gesetzlichen Krankenkasse oder nicht in der gesetzlichen Rentenversicherung versichert sind, gilt Satz 1 dieses Unterabs. entsprechend, wenn eine Maßnahme der medizinischen Vorsorge oder Rehabilitation ärztlich verordnet worden ist und in einer Einrichtung der medizinischen Vorsorge oder Rehabilitation oder einer vergleichbaren Einrichtung durchgeführt wird. </w:t>
      </w:r>
    </w:p>
    <w:p w:rsidR="00BE1EFE" w:rsidRDefault="00BE1EFE">
      <w:pPr>
        <w:pStyle w:val="StandardWeb"/>
      </w:pPr>
      <w:r>
        <w:t>(2) </w:t>
      </w:r>
      <w:r>
        <w:rPr>
          <w:rStyle w:val="kleinschrift"/>
        </w:rPr>
        <w:t>1</w:t>
      </w:r>
      <w:r>
        <w:t xml:space="preserve">Der Angestellte erhält bis zur Dauer von sechs Wochen Krankenbezüge in Höhe der Urlaubsvergütung, die ihm zustehen würde, wenn er Erholungsurlaub hätte. </w:t>
      </w:r>
    </w:p>
    <w:p w:rsidR="00BE1EFE" w:rsidRDefault="00BE1EFE">
      <w:pPr>
        <w:pStyle w:val="StandardWeb"/>
      </w:pPr>
      <w:r>
        <w:rPr>
          <w:rStyle w:val="kleinschrift"/>
        </w:rPr>
        <w:t>2</w:t>
      </w:r>
      <w:r>
        <w:t>Wird der Angestellte infolge derselben Krankheit (Abs. 1) erneut arbeitsunfähig, hat er wegen der erneuten Arbeitsunfähigkeit Anspruch auf Krankenbezüge nach Unterabs. 1 für einen weiteren Zeitraum von sechs Wochen, wenn</w:t>
      </w:r>
    </w:p>
    <w:p w:rsidR="00BE1EFE" w:rsidRDefault="00BE1EFE">
      <w:pPr>
        <w:pStyle w:val="StandardWeb"/>
      </w:pPr>
      <w:r>
        <w:t xml:space="preserve">a) er vor der erneuten Arbeitsunfähigkeit mindestens sechs Monate nicht infolge derselben Krankheit arbeitsunfähig war oder </w:t>
      </w:r>
    </w:p>
    <w:p w:rsidR="00BE1EFE" w:rsidRDefault="00BE1EFE">
      <w:pPr>
        <w:pStyle w:val="StandardWeb"/>
      </w:pPr>
      <w:r>
        <w:t>b) seit dem Beginn der ersten Arbeitsunfähigkeit infolge derselben Krankheit eine Frist von zwölf Monaten abgelaufen ist.</w:t>
      </w:r>
    </w:p>
    <w:p w:rsidR="00BE1EFE" w:rsidRDefault="00BE1EFE">
      <w:pPr>
        <w:pStyle w:val="StandardWeb"/>
      </w:pPr>
      <w:r>
        <w:rPr>
          <w:rStyle w:val="kleinschrift"/>
        </w:rPr>
        <w:t>3</w:t>
      </w:r>
      <w:r>
        <w:t xml:space="preserve">Der Anspruch auf die Krankenbezüge nach den Unterabs. 1 und 2 wird nicht dadurch berührt, dass der Arbeitgeber das Arbeitsverhältnis aus Anlass der Arbeitsunfähigkeit kündigt. </w:t>
      </w:r>
      <w:r>
        <w:rPr>
          <w:rStyle w:val="kleinschrift"/>
        </w:rPr>
        <w:t>4</w:t>
      </w:r>
      <w:r>
        <w:t xml:space="preserve">Das Gleiche gilt, wenn der Angestellte das Arbeitsverhältnis aus einem vom Arbeitgeber zu vertretenden Grund kündigt, der den Angestellten zur Kündigung aus wichtigem Grund ohne Einhaltung einer Kündigungsfrist berechtigt. </w:t>
      </w:r>
    </w:p>
    <w:p w:rsidR="00BE1EFE" w:rsidRDefault="00BE1EFE">
      <w:pPr>
        <w:pStyle w:val="StandardWeb"/>
      </w:pPr>
      <w:r>
        <w:rPr>
          <w:rStyle w:val="kleinschrift"/>
        </w:rPr>
        <w:t>5</w:t>
      </w:r>
      <w:r>
        <w:t xml:space="preserve">Endet das Arbeitsverhältnis vor Ablauf der in den Unterabs. 1 oder 2 genannten Frist von sechs Wochen nach dem Beginn der Arbeitsunfähigkeit, ohne dass es einer Kündigung bedarf, oder infolge einer Kündigung aus anderen als den in Unterabs. 3 bezeichneten Gründen, endet der Anspruch mit dem Ende des Arbeitsverhältnisses. </w:t>
      </w:r>
    </w:p>
    <w:p w:rsidR="00BE1EFE" w:rsidRDefault="00BE1EFE">
      <w:pPr>
        <w:pStyle w:val="StandardWeb"/>
      </w:pPr>
      <w:r>
        <w:t>(3) </w:t>
      </w:r>
      <w:r>
        <w:rPr>
          <w:rStyle w:val="kleinschrift"/>
        </w:rPr>
        <w:t>1</w:t>
      </w:r>
      <w:r>
        <w:t xml:space="preserve">Nach Ablauf des nach Abs. 2 maßgebenden Zeitraumes erhält der Angestellte für den Zeitraum, für den ihm Krankengeld oder die entsprechenden Leistungen aus der gesetzlichen Renten- oder Unfallversicherung oder nach dem </w:t>
      </w:r>
      <w:hyperlink r:id="rId708" w:history="1">
        <w:r w:rsidRPr="00B17F03">
          <w:rPr>
            <w:rStyle w:val="Hyperlink"/>
          </w:rPr>
          <w:t>Bundesversorgungsgesetz</w:t>
        </w:r>
      </w:hyperlink>
      <w:r>
        <w:t xml:space="preserve"> gezahlt werden, als Krankenbezüge einen Krankengeldzuschuss. </w:t>
      </w:r>
      <w:r>
        <w:rPr>
          <w:rStyle w:val="kleinschrift"/>
        </w:rPr>
        <w:t>2</w:t>
      </w:r>
      <w:r>
        <w:t xml:space="preserve">Dies gilt nicht, </w:t>
      </w:r>
    </w:p>
    <w:p w:rsidR="00BE1EFE" w:rsidRDefault="00BE1EFE">
      <w:pPr>
        <w:pStyle w:val="StandardWeb"/>
      </w:pPr>
      <w:r>
        <w:t xml:space="preserve">a) wenn der Angestellte Rente wegen voller Erwerbsminderung oder wegen Alters aus der gesetzlichen Rentenversicherung erhält, </w:t>
      </w:r>
    </w:p>
    <w:p w:rsidR="00BE1EFE" w:rsidRDefault="00BE1EFE">
      <w:pPr>
        <w:pStyle w:val="StandardWeb"/>
      </w:pPr>
      <w:r>
        <w:t>b) (</w:t>
      </w:r>
      <w:r w:rsidRPr="0074457C">
        <w:rPr>
          <w:i/>
        </w:rPr>
        <w:t>frei)</w:t>
      </w:r>
    </w:p>
    <w:p w:rsidR="00BE1EFE" w:rsidRDefault="00BE1EFE">
      <w:pPr>
        <w:pStyle w:val="StandardWeb"/>
      </w:pPr>
      <w:r>
        <w:t xml:space="preserve">c) für den Zeitraum, für den die Angestellte Anspruch auf Mutterschaftsgeld nach </w:t>
      </w:r>
      <w:hyperlink r:id="rId709" w:history="1">
        <w:r w:rsidRPr="000838FF">
          <w:rPr>
            <w:rStyle w:val="Hyperlink"/>
          </w:rPr>
          <w:t>§ 200 RVO</w:t>
        </w:r>
      </w:hyperlink>
      <w:r>
        <w:t xml:space="preserve"> oder nach </w:t>
      </w:r>
      <w:hyperlink r:id="rId710" w:history="1">
        <w:r w:rsidRPr="00B17F03">
          <w:rPr>
            <w:rStyle w:val="Hyperlink"/>
          </w:rPr>
          <w:t>§ 13 Abs. 2 MuSchG</w:t>
        </w:r>
      </w:hyperlink>
      <w:r>
        <w:t xml:space="preserve"> hat. </w:t>
      </w:r>
    </w:p>
    <w:p w:rsidR="00BE1EFE" w:rsidRDefault="00BE1EFE">
      <w:pPr>
        <w:pStyle w:val="StandardWeb"/>
      </w:pPr>
      <w:r>
        <w:rPr>
          <w:rStyle w:val="kleinschrift"/>
        </w:rPr>
        <w:t>3</w:t>
      </w:r>
      <w:r>
        <w:t>Steht dem Angestellten Anspruch auf Krankengeld aus der gesetzlichen Krankenver</w:t>
      </w:r>
      <w:r>
        <w:softHyphen/>
        <w:t xml:space="preserve">sicherung für den Tag, an dem die Arbeitsunfähigkeit ärztlich festgestellt wird, nicht zu, erhält er für diesen Tag einen Krankengeldzuschuss in Höhe von 100 v. H. des Nettoarbeitsentgelts (Abs. 8), wenn für diesen Tag infolge der Arbeitsunfähigkeit ein Vergütungsausfall eintritt. </w:t>
      </w:r>
    </w:p>
    <w:p w:rsidR="00BE1EFE" w:rsidRDefault="00BE1EFE">
      <w:pPr>
        <w:pStyle w:val="StandardWeb"/>
      </w:pPr>
      <w:r>
        <w:t>(4) </w:t>
      </w:r>
      <w:r>
        <w:rPr>
          <w:rStyle w:val="kleinschrift"/>
        </w:rPr>
        <w:t>1</w:t>
      </w:r>
      <w:r>
        <w:t xml:space="preserve">Der Krankengeldzuschuss wird bei einer Beschäftigungszeit (§ 19) </w:t>
      </w:r>
    </w:p>
    <w:p w:rsidR="00BE1EFE" w:rsidRDefault="00BE1EFE">
      <w:pPr>
        <w:pStyle w:val="StandardWeb"/>
      </w:pPr>
      <w:r>
        <w:t xml:space="preserve">von mehr als einem Jahr </w:t>
      </w:r>
    </w:p>
    <w:p w:rsidR="00BE1EFE" w:rsidRDefault="00BE1EFE">
      <w:pPr>
        <w:pStyle w:val="StandardWeb"/>
      </w:pPr>
      <w:r>
        <w:t xml:space="preserve">längstens bis zum Ende der 13.Woche, </w:t>
      </w:r>
    </w:p>
    <w:p w:rsidR="00BE1EFE" w:rsidRDefault="00BE1EFE">
      <w:pPr>
        <w:pStyle w:val="StandardWeb"/>
      </w:pPr>
      <w:r>
        <w:t xml:space="preserve">von mehr als drei Jahren längstens bis zum Ende der 26.Woche </w:t>
      </w:r>
    </w:p>
    <w:p w:rsidR="00BE1EFE" w:rsidRDefault="00BE1EFE">
      <w:pPr>
        <w:pStyle w:val="StandardWeb"/>
      </w:pPr>
      <w:r>
        <w:lastRenderedPageBreak/>
        <w:t xml:space="preserve">seit dem Beginn der Arbeitsunfähigkeit, jedoch nicht über den Zeitpunkt der Beendigung des Arbeitsverhältnisses hinaus, gezahlt. </w:t>
      </w:r>
    </w:p>
    <w:p w:rsidR="00BE1EFE" w:rsidRDefault="00BE1EFE">
      <w:pPr>
        <w:pStyle w:val="StandardWeb"/>
      </w:pPr>
      <w:r>
        <w:rPr>
          <w:rStyle w:val="kleinschrift"/>
        </w:rPr>
        <w:t>2</w:t>
      </w:r>
      <w:r>
        <w:t xml:space="preserve">Vollendet der Angestellte im Laufe der Arbeitsunfähigkeit eine Beschäftigungszeit von mehr als einem Jahr bzw. von mehr als drei Jahren, wird der Krankengeldzuschuss gezahlt, wie wenn er die maßgebende Beschäftigungszeit zu Beginn der Arbeitsunfähigkeit vollendet hätte. </w:t>
      </w:r>
    </w:p>
    <w:p w:rsidR="00BE1EFE" w:rsidRDefault="00BE1EFE">
      <w:pPr>
        <w:pStyle w:val="StandardWeb"/>
      </w:pPr>
      <w:r>
        <w:rPr>
          <w:rStyle w:val="kleinschrift"/>
        </w:rPr>
        <w:t>3</w:t>
      </w:r>
      <w:r>
        <w:t xml:space="preserve">In den Fällen des Abs. 1 Unterabs. 2 wird die Zeit der Maßnahme bis zu höchstens zwei Wochen nicht auf die Fristen des Unterabs. 1 angerechnet. </w:t>
      </w:r>
    </w:p>
    <w:p w:rsidR="00BE1EFE" w:rsidRDefault="00BE1EFE">
      <w:pPr>
        <w:pStyle w:val="StandardWeb"/>
      </w:pPr>
      <w:r>
        <w:rPr>
          <w:rStyle w:val="kleinschrift"/>
        </w:rPr>
        <w:t>4</w:t>
      </w:r>
      <w:r>
        <w:t>Für die Ermittlung des Anspruchs auf Krankengeldzuschuss ist der unmittelbare Wechsel von einem Arbeitgeber im Bereich der katholischen Kirche zu einem anderen Arbeitgeber im Bereich der katholischen Ki</w:t>
      </w:r>
      <w:r w:rsidR="00D65D81">
        <w:t>rche innerhalb derselben (Erz-)</w:t>
      </w:r>
      <w:r>
        <w:t xml:space="preserve">Diözese unschädlich. </w:t>
      </w:r>
    </w:p>
    <w:p w:rsidR="00BE1EFE" w:rsidRDefault="00BE1EFE">
      <w:pPr>
        <w:pStyle w:val="StandardWeb"/>
      </w:pPr>
      <w:r>
        <w:t>(5) </w:t>
      </w:r>
      <w:r>
        <w:rPr>
          <w:rStyle w:val="kleinschrift"/>
        </w:rPr>
        <w:t>1</w:t>
      </w:r>
      <w:r>
        <w:t xml:space="preserve">Innerhalb eines Kalenderjahres können die Bezüge nach Abs. 2 Unterabs. 1 oder 2 und der Krankengeldzuschuss bei einer Beschäftigungszeit </w:t>
      </w:r>
    </w:p>
    <w:p w:rsidR="00BE1EFE" w:rsidRDefault="00BE1EFE">
      <w:pPr>
        <w:pStyle w:val="StandardWeb"/>
      </w:pPr>
      <w:r>
        <w:t xml:space="preserve">von mehr als einem Jahr </w:t>
      </w:r>
    </w:p>
    <w:p w:rsidR="00BE1EFE" w:rsidRDefault="00BE1EFE">
      <w:pPr>
        <w:pStyle w:val="StandardWeb"/>
      </w:pPr>
      <w:r>
        <w:t xml:space="preserve">längstens für die Dauer von 13 Wochen, </w:t>
      </w:r>
    </w:p>
    <w:p w:rsidR="00BE1EFE" w:rsidRDefault="00BE1EFE">
      <w:pPr>
        <w:pStyle w:val="StandardWeb"/>
      </w:pPr>
      <w:r>
        <w:t xml:space="preserve">von mehr als drei Jahren </w:t>
      </w:r>
    </w:p>
    <w:p w:rsidR="00BE1EFE" w:rsidRDefault="00BE1EFE">
      <w:pPr>
        <w:pStyle w:val="StandardWeb"/>
      </w:pPr>
      <w:r>
        <w:t xml:space="preserve">längstens für die Dauer von 26 Wochen </w:t>
      </w:r>
    </w:p>
    <w:p w:rsidR="00BE1EFE" w:rsidRDefault="00BE1EFE">
      <w:pPr>
        <w:pStyle w:val="StandardWeb"/>
      </w:pPr>
      <w:r>
        <w:t xml:space="preserve">bezogen werden; Abs. 4 Unterabs. 3 gilt entsprechend. </w:t>
      </w:r>
    </w:p>
    <w:p w:rsidR="00BE1EFE" w:rsidRDefault="00BE1EFE">
      <w:pPr>
        <w:pStyle w:val="StandardWeb"/>
      </w:pPr>
      <w:r>
        <w:rPr>
          <w:rStyle w:val="kleinschrift"/>
        </w:rPr>
        <w:t>2</w:t>
      </w:r>
      <w:r>
        <w:t xml:space="preserve">Erstreckt sich eine Erkrankung ununterbrochen von einem Kalenderjahr in das nächste Kalenderjahr oder erleidet der Angestellte im neuen Kalenderjahr innerhalb von 13 Wochen nach Wiederaufnahme der Arbeit einen Rückfall, bewendet es bei dem Anspruch aus dem vorhergehenden Jahr. </w:t>
      </w:r>
    </w:p>
    <w:p w:rsidR="00BE1EFE" w:rsidRDefault="00BE1EFE">
      <w:pPr>
        <w:pStyle w:val="StandardWeb"/>
      </w:pPr>
      <w:r>
        <w:rPr>
          <w:rStyle w:val="kleinschrift"/>
        </w:rPr>
        <w:t>3</w:t>
      </w:r>
      <w:r>
        <w:t xml:space="preserve">Bei jeder neuen Arbeitsunfähigkeit besteht jedoch mindestens der sich aus Abs. 2 ergebende Anspruch. </w:t>
      </w:r>
    </w:p>
    <w:p w:rsidR="00BE1EFE" w:rsidRDefault="00BE1EFE">
      <w:pPr>
        <w:pStyle w:val="StandardWeb"/>
      </w:pPr>
      <w:r>
        <w:t>(6) Bei der jeweils ersten Arbeitsunfähigkeit, die durch einen bei dem Arbeitgeber erlittenen Arbeitsunfall oder durch eine bei dem Arbeitgeber zugezogene Berufskrankheit verursacht ist, wird der Krankengeldzuschuss ohne Rücksicht auf die Beschäftigungszeit bis zum Ende der 26.Woche seit dem Beginn der Arbeitsunfähigkeit, jedoch nicht über den Zeitpunkt der Beendigung des Arbeitsverhältnisses hinaus, gezahlt, wenn der zuständige Unfallver</w:t>
      </w:r>
      <w:r>
        <w:softHyphen/>
        <w:t xml:space="preserve">sicherungsträger den Arbeitsunfall oder die Berufskrankheit anerkennt. </w:t>
      </w:r>
    </w:p>
    <w:p w:rsidR="00BE1EFE" w:rsidRDefault="00BE1EFE">
      <w:pPr>
        <w:pStyle w:val="StandardWeb"/>
      </w:pPr>
      <w:r>
        <w:t>(7) </w:t>
      </w:r>
      <w:r>
        <w:rPr>
          <w:rStyle w:val="kleinschrift"/>
        </w:rPr>
        <w:t>1</w:t>
      </w:r>
      <w:r>
        <w:t xml:space="preserve">Krankengeldzuschuss wird nicht über den Zeitpunkt hinaus gezahlt, von dem an der Angestellte Bezüge aufgrund eigener Versicherung aus der gesetzlichen Rentenversicherung (einschließlich eines rentenersetzenden Übergangsgeldes i. S. d. </w:t>
      </w:r>
      <w:hyperlink r:id="rId711" w:tgtFrame="_blank" w:history="1">
        <w:r>
          <w:rPr>
            <w:rStyle w:val="Hyperlink"/>
          </w:rPr>
          <w:t xml:space="preserve">§ 20 SGB VI </w:t>
        </w:r>
      </w:hyperlink>
      <w:r>
        <w:t xml:space="preserve">in Verbindung mit </w:t>
      </w:r>
      <w:hyperlink r:id="rId712" w:tgtFrame="_blank" w:history="1">
        <w:r>
          <w:rPr>
            <w:rStyle w:val="Hyperlink"/>
          </w:rPr>
          <w:t>§ 8 SGB IX</w:t>
        </w:r>
      </w:hyperlink>
      <w:r>
        <w:t xml:space="preserve">), aus einer zusätzlichen Alters- und Hinterbliebenenversorgung oder aus einer sonstigen Versorgungseinrichtung erhält, zu der der Arbeitgeber oder ein anderer Arbeitgeber, der das ABD oder ein anderes Arbeitsvertragswerk wesentlich gleichen Inhalts angewendet hat, die Mittel ganz oder teilweise beigesteuert hat. </w:t>
      </w:r>
    </w:p>
    <w:p w:rsidR="00BE1EFE" w:rsidRDefault="00BE1EFE">
      <w:pPr>
        <w:pStyle w:val="StandardWeb"/>
      </w:pPr>
      <w:r>
        <w:rPr>
          <w:rStyle w:val="kleinschrift"/>
        </w:rPr>
        <w:t>2</w:t>
      </w:r>
      <w:r>
        <w:t xml:space="preserve">Überzahlter Krankengeldzuschuss und sonstige überzahlte Bezüge gelten als Vorschüsse auf die zustehenden Bezüge i. S. d. Unterabs. 1. </w:t>
      </w:r>
      <w:r>
        <w:rPr>
          <w:rStyle w:val="kleinschrift"/>
        </w:rPr>
        <w:t>3</w:t>
      </w:r>
      <w:r>
        <w:t xml:space="preserve">Die Ansprüche des Angestellten gehen insoweit auf den Arbeitgeber über; </w:t>
      </w:r>
      <w:hyperlink r:id="rId713" w:tgtFrame="_blank" w:history="1">
        <w:r>
          <w:rPr>
            <w:rStyle w:val="Hyperlink"/>
          </w:rPr>
          <w:t>§ 53 SGB I</w:t>
        </w:r>
      </w:hyperlink>
      <w:r>
        <w:t xml:space="preserve"> bleibt unberührt. </w:t>
      </w:r>
      <w:r>
        <w:rPr>
          <w:rStyle w:val="kleinschrift"/>
        </w:rPr>
        <w:t>4</w:t>
      </w:r>
      <w:r>
        <w:t xml:space="preserve">Der Arbeitgeber kann von der Rückforderung des Teils des überzahlten Betrages, der nicht durch die für den Zeitraum der Überzahlung zustehenden Bezüge i. S. d. Unterabs. 1 ausgeglichen worden ist, absehen, es sei denn, der Angestellte hat dem Arbeitgeber die Zustellung des Rentenbescheides schuldhaft verspätet mitgeteilt. </w:t>
      </w:r>
    </w:p>
    <w:p w:rsidR="00BE1EFE" w:rsidRDefault="00BE1EFE">
      <w:pPr>
        <w:pStyle w:val="StandardWeb"/>
      </w:pPr>
      <w:r>
        <w:t>(8) </w:t>
      </w:r>
      <w:r>
        <w:rPr>
          <w:rStyle w:val="kleinschrift"/>
        </w:rPr>
        <w:t>1</w:t>
      </w:r>
      <w:r>
        <w:t>Der Krankengeldzuschuss wird in Höhe des Unterschiedsbetrages zwischen den tatsäch</w:t>
      </w:r>
      <w:r>
        <w:softHyphen/>
        <w:t xml:space="preserve">lichen Barleistungen des Sozialleistungsträgers und der Nettourlaubsvergütung gezahlt. </w:t>
      </w:r>
      <w:r>
        <w:rPr>
          <w:rStyle w:val="kleinschrift"/>
        </w:rPr>
        <w:t>2</w:t>
      </w:r>
      <w:r>
        <w:t xml:space="preserve">Nettourlaubsvergütung ist die um die gesetzlichen Abzüge verminderte Urlaubsvergütung (§ 47 Abs. 2). </w:t>
      </w:r>
    </w:p>
    <w:p w:rsidR="00BE1EFE" w:rsidRDefault="00BE1EFE">
      <w:pPr>
        <w:pStyle w:val="StandardWeb"/>
      </w:pPr>
      <w:r>
        <w:t>(9) </w:t>
      </w:r>
      <w:r>
        <w:rPr>
          <w:rStyle w:val="kleinschrift"/>
        </w:rPr>
        <w:t>1</w:t>
      </w:r>
      <w:r>
        <w:t>Anspruch auf den Krankengeldzuschuss nach den Abs. 3 bis 8 hat auch der Angestellte, der in der gesetzlichen Krankenversicherung versicherungsfrei oder von der Versicherungs</w:t>
      </w:r>
      <w:r>
        <w:softHyphen/>
        <w:t xml:space="preserve">pflicht in der gesetzlichen Krankenversicherung befreit ist. </w:t>
      </w:r>
      <w:r>
        <w:rPr>
          <w:rStyle w:val="kleinschrift"/>
        </w:rPr>
        <w:t>2</w:t>
      </w:r>
      <w:r>
        <w:t xml:space="preserve">Dabei sind für die Anwendung des Abs. 8 die Leistungen zugrunde zu legen, die dem Angestellten als Pflichtversicherten in der gesetzlichen Krankenversicherung zustünden. </w:t>
      </w:r>
    </w:p>
    <w:p w:rsidR="00BE1EFE" w:rsidRDefault="00BE1EFE">
      <w:pPr>
        <w:pStyle w:val="StandardWeb"/>
      </w:pPr>
      <w:r w:rsidRPr="009C6551">
        <w:rPr>
          <w:rStyle w:val="kleinschrift1"/>
        </w:rPr>
        <w:t xml:space="preserve">Protokollnotiz zu Abs. 3: </w:t>
      </w:r>
    </w:p>
    <w:p w:rsidR="00BE1EFE" w:rsidRDefault="00BE1EFE">
      <w:pPr>
        <w:pStyle w:val="StandardWeb"/>
      </w:pPr>
      <w:r w:rsidRPr="009C6551">
        <w:rPr>
          <w:rStyle w:val="kleinschrift1"/>
        </w:rPr>
        <w:t xml:space="preserve">Unterabs. 2 findet keine Anwendung, soweit eine gesetzliche Karenztagregelung anzuwenden ist. </w:t>
      </w:r>
    </w:p>
    <w:p w:rsidR="00BE1EFE" w:rsidRDefault="00BE1EFE">
      <w:pPr>
        <w:pStyle w:val="StandardWeb"/>
      </w:pPr>
      <w:r w:rsidRPr="009C6551">
        <w:rPr>
          <w:rStyle w:val="kleinschrift1"/>
        </w:rPr>
        <w:lastRenderedPageBreak/>
        <w:t xml:space="preserve">Anmerkung zu Abs. 1: </w:t>
      </w:r>
    </w:p>
    <w:p w:rsidR="00BE1EFE" w:rsidRDefault="00BE1EFE">
      <w:pPr>
        <w:pStyle w:val="StandardWeb"/>
      </w:pPr>
      <w:r w:rsidRPr="009C6551">
        <w:rPr>
          <w:rStyle w:val="kleinschrift1"/>
        </w:rPr>
        <w:t xml:space="preserve">Ein Verschulden i. S. d. Abs. 1 liegt nur dann vor, wenn die Arbeitsunfähigkeit vorsätzlich oder grob fahrlässig herbeigeführt wurde. </w:t>
      </w:r>
    </w:p>
    <w:p w:rsidR="00BE1EFE" w:rsidRDefault="00BE1EFE">
      <w:pPr>
        <w:pStyle w:val="StandardWeb"/>
      </w:pPr>
      <w:r w:rsidRPr="009C6551">
        <w:rPr>
          <w:rStyle w:val="kleinschrift1"/>
        </w:rPr>
        <w:t xml:space="preserve">Anmerkung zu Abs. 6: </w:t>
      </w:r>
    </w:p>
    <w:p w:rsidR="00BE1EFE" w:rsidRDefault="00BE1EFE">
      <w:pPr>
        <w:pStyle w:val="StandardWeb"/>
      </w:pPr>
      <w:r w:rsidRPr="009C6551">
        <w:rPr>
          <w:rStyle w:val="kleinschrift1"/>
        </w:rPr>
        <w:t xml:space="preserve">Hat der Angestellte in einem Fall des Abs. 6 die Arbeit vor Ablauf der Bezugsfrist von 26 Wochen wieder aufgenommen und wird er vor Ablauf von sechs Monaten aufgrund desselben Arbeitsunfalls oder derselben Berufskrankheit erneut arbeitsunfähig, wird der Ablauf der Bezugsfrist, wenn dies für den Angestellten günstiger ist, um die Zeit der Arbeitsunfähigkeit hinausgeschoben. </w:t>
      </w:r>
    </w:p>
    <w:p w:rsidR="00BE1EFE" w:rsidRDefault="00BE1EFE">
      <w:pPr>
        <w:pStyle w:val="StandardWeb"/>
        <w:jc w:val="center"/>
      </w:pPr>
    </w:p>
    <w:p w:rsidR="00BE1EFE" w:rsidRDefault="00BE1EFE" w:rsidP="003575ED">
      <w:pPr>
        <w:pStyle w:val="StandardWeb"/>
        <w:autoSpaceDE w:val="0"/>
        <w:jc w:val="left"/>
      </w:pPr>
      <w:r>
        <w:rPr>
          <w:rStyle w:val="Fett"/>
          <w:bCs/>
        </w:rPr>
        <w:t>§ 37 a Anzeige- und Nachweispflichten</w:t>
      </w:r>
    </w:p>
    <w:p w:rsidR="00BE1EFE" w:rsidRDefault="00BE1EFE">
      <w:pPr>
        <w:pStyle w:val="StandardWeb"/>
        <w:jc w:val="center"/>
      </w:pPr>
    </w:p>
    <w:p w:rsidR="00BE1EFE" w:rsidRDefault="00BE1EFE">
      <w:pPr>
        <w:pStyle w:val="StandardWeb"/>
      </w:pPr>
      <w:r>
        <w:t>(1) </w:t>
      </w:r>
      <w:r>
        <w:rPr>
          <w:rStyle w:val="kleinschrift"/>
        </w:rPr>
        <w:t>1</w:t>
      </w:r>
      <w:r>
        <w:t xml:space="preserve">In den Fällen des § 37 Abs. 1 Unterabs. 1 bzw. des § 71 Abs. 1 Unterabs. 1 ist der Angestellte verpflichtet, dem Arbeitgeber die Arbeitsunfähigkeit und deren voraussichtliche Dauer unverzüglich mitzuteilen. </w:t>
      </w:r>
      <w:r>
        <w:rPr>
          <w:rStyle w:val="kleinschrift"/>
        </w:rPr>
        <w:t>2</w:t>
      </w:r>
      <w:r>
        <w:t xml:space="preserve">Dauert die Arbeitsunfähigkeit länger als drei Kalendertage, hat der Angestellte eine ärztliche Bescheinigung über das Bestehen der Arbeitsunfähigkeit sowie deren voraussichtliche Dauer spätestens an dem darauf folgenden allgemeinen Arbeitstag der Dienststelle oder der Einrichtung vorzulegen. </w:t>
      </w:r>
      <w:r>
        <w:rPr>
          <w:rStyle w:val="kleinschrift"/>
        </w:rPr>
        <w:t>3</w:t>
      </w:r>
      <w:r>
        <w:t xml:space="preserve">Der Arbeitgeber ist berechtigt, in Einzelfällen die Vorlage der ärztlichen Bescheinigung früher zu verlangen. </w:t>
      </w:r>
      <w:r>
        <w:rPr>
          <w:rStyle w:val="kleinschrift"/>
        </w:rPr>
        <w:t>4</w:t>
      </w:r>
      <w:r>
        <w:t xml:space="preserve">Dauert die Arbeitsunfähigkeit länger als in der Bescheinigung angegeben, ist der Angestellte verpflichtet, eine neue ärztliche Bescheinigung vorzulegen. </w:t>
      </w:r>
    </w:p>
    <w:p w:rsidR="00BE1EFE" w:rsidRDefault="00BE1EFE">
      <w:pPr>
        <w:pStyle w:val="StandardWeb"/>
      </w:pPr>
      <w:r>
        <w:rPr>
          <w:rStyle w:val="kleinschrift"/>
        </w:rPr>
        <w:t>5</w:t>
      </w:r>
      <w:r>
        <w:t xml:space="preserve">Hält sich der Angestellte bei Beginn der Arbeitsunfähigkeit im Ausland auf, ist er darüber hinaus verpflichtet, dem Arbeitgeber die Arbeitsunfähigkeit, deren voraussichtliche Dauer und die Adresse am Aufenthaltsort in der schnellstmöglichen Art der Übermittlung mitzuteilen. </w:t>
      </w:r>
      <w:r>
        <w:rPr>
          <w:rStyle w:val="kleinschrift"/>
        </w:rPr>
        <w:t>6</w:t>
      </w:r>
      <w:r>
        <w:t xml:space="preserve">Die durch die Mitteilung entstehenden Kosten hat der Arbeitgeber zu tragen. </w:t>
      </w:r>
      <w:r>
        <w:rPr>
          <w:rStyle w:val="kleinschrift"/>
        </w:rPr>
        <w:t>7</w:t>
      </w:r>
      <w:r>
        <w:t xml:space="preserve">Darüber hinaus ist der Angestellte, wenn er Mitglied einer gesetzlichen Krankenkasse ist, verpflichtet, auch dieser die Arbeitsunfähigkeit und deren voraussichtliche Dauer unverzüglich anzuzeigen. </w:t>
      </w:r>
      <w:r>
        <w:rPr>
          <w:rStyle w:val="kleinschrift"/>
        </w:rPr>
        <w:t>8</w:t>
      </w:r>
      <w:r>
        <w:t xml:space="preserve">Kehrt ein arbeitsunfähig erkrankter Angestellter in das Inland zurück, ist er verpflichtet, dem Arbeitgeber seine Rückkehr unverzüglich anzuzeigen. </w:t>
      </w:r>
    </w:p>
    <w:p w:rsidR="00BE1EFE" w:rsidRDefault="00BE1EFE">
      <w:pPr>
        <w:pStyle w:val="StandardWeb"/>
      </w:pPr>
      <w:r>
        <w:rPr>
          <w:rStyle w:val="kleinschrift"/>
        </w:rPr>
        <w:t>9</w:t>
      </w:r>
      <w:r>
        <w:t xml:space="preserve">Der Arbeitgeber ist berechtigt, die Fortzahlung der Bezüge zu verweigern, solange der Angestellte die von ihm nach Unterabs. 1 vorzulegende ärztliche Bescheinigung nicht vorlegt oder den ihm nach Unterabs. 2 obliegenden Verpflichtungen nicht nachkommt, es sei denn, dass der Angestellte die Verletzung dieser ihm obliegenden Verpflichtungen nicht zu vertreten hat. </w:t>
      </w:r>
    </w:p>
    <w:p w:rsidR="00BE1EFE" w:rsidRDefault="00BE1EFE">
      <w:pPr>
        <w:pStyle w:val="StandardWeb"/>
      </w:pPr>
      <w:r>
        <w:t xml:space="preserve">(2) In den Fällen des § 37 Abs. 1 Unterabs. 2 bzw. des § 71 Abs. 1 Unterabs. 2 ist der Angestellte verpflichtet, dem Arbeitgeber den Zeitpunkt des Antritts der Maßnahme, die voraussichtliche Dauer und die Verlängerung der Maßnahme unverzüglich mitzuteilen und ihm </w:t>
      </w:r>
    </w:p>
    <w:p w:rsidR="00BE1EFE" w:rsidRDefault="00BE1EFE">
      <w:pPr>
        <w:pStyle w:val="StandardWeb"/>
      </w:pPr>
      <w:r>
        <w:t xml:space="preserve">a) eine Bescheinigung über die Bewilligung der Maßnahme durch einen Sozialleistungsträger nach § 37 Abs. 1 Unterabs. 2 Satz 1 bzw. § 71 Abs. 1 Unterabs. 2 Satz 1 oder </w:t>
      </w:r>
    </w:p>
    <w:p w:rsidR="00BE1EFE" w:rsidRDefault="00BE1EFE">
      <w:pPr>
        <w:pStyle w:val="StandardWeb"/>
      </w:pPr>
      <w:r>
        <w:t>b) eine ärztliche Bescheinigung über die Erforderlichkeit der Maßnahme i. S. d. § 37 Abs. 1 Unterabs. 2 Satz 2 bzw. § 71 Abs. 1 Unterabs. 2 Satz 2 unverzüglich vorzulegen. Abs. 1 Unterabs. 3 gilt entsprechend.</w:t>
      </w:r>
    </w:p>
    <w:p w:rsidR="00BE1EFE" w:rsidRDefault="00BE1EFE">
      <w:pPr>
        <w:pStyle w:val="StandardWeb"/>
      </w:pPr>
    </w:p>
    <w:p w:rsidR="00BE1EFE" w:rsidRDefault="00BE1EFE">
      <w:pPr>
        <w:pStyle w:val="StandardWeb"/>
        <w:jc w:val="center"/>
      </w:pPr>
    </w:p>
    <w:p w:rsidR="00BE1EFE" w:rsidRDefault="00BE1EFE" w:rsidP="003575ED">
      <w:pPr>
        <w:pStyle w:val="StandardWeb"/>
        <w:autoSpaceDE w:val="0"/>
        <w:jc w:val="left"/>
      </w:pPr>
      <w:r>
        <w:rPr>
          <w:rStyle w:val="Fett"/>
          <w:bCs/>
        </w:rPr>
        <w:t>§ 38 Forderungsübergang bei Dritthaftung</w:t>
      </w:r>
    </w:p>
    <w:p w:rsidR="00BE1EFE" w:rsidRDefault="00BE1EFE">
      <w:pPr>
        <w:pStyle w:val="StandardWeb"/>
        <w:jc w:val="center"/>
      </w:pPr>
    </w:p>
    <w:p w:rsidR="00BE1EFE" w:rsidRDefault="00BE1EFE">
      <w:pPr>
        <w:pStyle w:val="StandardWeb"/>
      </w:pPr>
      <w:r>
        <w:t>(1) Kann der Angestellte aufgrund gesetzlicher Vorschriften von einem Dritten Schadensersatz wegen des Verdienstausfalls beanspruchen, der ihm durch die Arbeitsunfähigkeit entstanden ist, geht dieser Anspruch insoweit auf den Arbeitgeber über, als dieser dem Angestellten Krankenbezüge und sonstige Bezüge gezahlt und darauf entfallende, vom Arbeitgeber zu tragende Beiträge zur Bundesanstalt für Arbeit, Arbeitgeberanteile an Beiträgen zur Sozialversicherung und zur Pflegeversicherung sowie Umlagen (einschließlich der Pauschalsteuer) zu Einrichtungen der zusätzlichen Alters- und Hinterbliebenenversorgung abgeführt hat.</w:t>
      </w:r>
    </w:p>
    <w:p w:rsidR="00BE1EFE" w:rsidRDefault="00BE1EFE">
      <w:pPr>
        <w:pStyle w:val="StandardWeb"/>
      </w:pPr>
      <w:r>
        <w:t>(2) Der Angestellte hat dem Arbeitgeber unverzüglich die zur Geltendmachung des Schadens</w:t>
      </w:r>
      <w:r>
        <w:softHyphen/>
        <w:t>ersatzanspruches erforderlichen Angaben zu machen.</w:t>
      </w:r>
    </w:p>
    <w:p w:rsidR="00BE1EFE" w:rsidRDefault="00BE1EFE">
      <w:pPr>
        <w:pStyle w:val="StandardWeb"/>
      </w:pPr>
      <w:r>
        <w:lastRenderedPageBreak/>
        <w:t>(3) Der Forderungsübergang nach Abs. 1 kann nicht zum Nachteil des Angestellten geltend gemacht werden.</w:t>
      </w:r>
    </w:p>
    <w:p w:rsidR="00BE1EFE" w:rsidRDefault="00BE1EFE">
      <w:pPr>
        <w:pStyle w:val="StandardWeb"/>
      </w:pPr>
      <w:r>
        <w:t>(4) Der Arbeitgeber ist berechtigt, die Zahlung der Krankenbezüge und sonstiger Bezüge zu verweigern, wenn der Angestellte den Übergang eines Schadensersatzanspruches gegen einen Dritten auf den Arbeitgeber verhindert, es sei denn, dass der Angestellte die Verletzung dieser ihm obliegenden Verpflichtungen nicht zu vertreten hat.</w:t>
      </w:r>
    </w:p>
    <w:p w:rsidR="00BE1EFE" w:rsidRDefault="00BE1EFE">
      <w:pPr>
        <w:pStyle w:val="StandardWeb"/>
        <w:jc w:val="center"/>
      </w:pPr>
    </w:p>
    <w:p w:rsidR="00BE1EFE" w:rsidRDefault="00BE1EFE" w:rsidP="003575ED">
      <w:pPr>
        <w:pStyle w:val="StandardWeb"/>
        <w:autoSpaceDE w:val="0"/>
        <w:jc w:val="left"/>
      </w:pPr>
      <w:r>
        <w:rPr>
          <w:rStyle w:val="Fett"/>
          <w:bCs/>
        </w:rPr>
        <w:t>§ 39 Jubiläumszuwendung</w:t>
      </w:r>
    </w:p>
    <w:p w:rsidR="00BE1EFE" w:rsidRDefault="00BE1EFE">
      <w:pPr>
        <w:pStyle w:val="StandardWeb"/>
        <w:jc w:val="center"/>
      </w:pPr>
    </w:p>
    <w:p w:rsidR="00BE1EFE" w:rsidRDefault="00BE1EFE">
      <w:pPr>
        <w:pStyle w:val="StandardWeb"/>
      </w:pPr>
      <w:r>
        <w:t>(1) </w:t>
      </w:r>
      <w:r>
        <w:rPr>
          <w:rStyle w:val="kleinschrift"/>
        </w:rPr>
        <w:t>1</w:t>
      </w:r>
      <w:r>
        <w:t>Die Mitarbeiter erhalten als Jubiläumszuwendung bei Vollendung einer Jubiläums</w:t>
      </w:r>
      <w:r>
        <w:softHyphen/>
        <w:t>dienstzeit</w:t>
      </w:r>
    </w:p>
    <w:p w:rsidR="00BE1EFE" w:rsidRDefault="00BE1EFE">
      <w:pPr>
        <w:pStyle w:val="StandardWeb"/>
      </w:pPr>
      <w:r>
        <w:t xml:space="preserve">von 25 Jahren   613,55 €, </w:t>
      </w:r>
    </w:p>
    <w:p w:rsidR="00BE1EFE" w:rsidRDefault="00BE1EFE">
      <w:pPr>
        <w:pStyle w:val="StandardWeb"/>
      </w:pPr>
      <w:r>
        <w:t xml:space="preserve">von 40 Jahren 1022,58 €, </w:t>
      </w:r>
    </w:p>
    <w:p w:rsidR="00BE1EFE" w:rsidRDefault="00BE1EFE">
      <w:pPr>
        <w:pStyle w:val="StandardWeb"/>
      </w:pPr>
      <w:r>
        <w:t>von 50 Jahren 1227,10 €.</w:t>
      </w:r>
    </w:p>
    <w:p w:rsidR="00BE1EFE" w:rsidRDefault="00BE1EFE">
      <w:pPr>
        <w:pStyle w:val="StandardWeb"/>
      </w:pPr>
      <w:r>
        <w:rPr>
          <w:rStyle w:val="kleinschrift"/>
        </w:rPr>
        <w:t>2</w:t>
      </w:r>
      <w:r>
        <w:t xml:space="preserve">Zur Jubiläumsdienstzeit im Sinne des Satzes 1 rechnen die in einem Beschäftigungs-verhältnis im Dienst der katholischen Kirche verbrachten Beschäftigungszeiten. </w:t>
      </w:r>
      <w:r>
        <w:rPr>
          <w:rStyle w:val="kleinschrift"/>
        </w:rPr>
        <w:t>3</w:t>
      </w:r>
      <w:r>
        <w:t xml:space="preserve">Die in einem Ausbildungsverhältnis im Dienst der katholischen Kirche verbrachten Zeiten stehen diesen gleich. </w:t>
      </w:r>
      <w:r>
        <w:rPr>
          <w:rStyle w:val="kleinschrift"/>
        </w:rPr>
        <w:t>4</w:t>
      </w:r>
      <w:r>
        <w:t xml:space="preserve">Die Jubiläumszuwendung zum 25-, 40- bzw. 50-jährigen Dienstjubiläum kann nur einmal in Anspruch genommen werden. </w:t>
      </w:r>
    </w:p>
    <w:p w:rsidR="00BE1EFE" w:rsidRDefault="00BE1EFE">
      <w:pPr>
        <w:pStyle w:val="StandardWeb"/>
      </w:pPr>
      <w:r>
        <w:t>(2) Vollendet ein Angestellter während der Zeit eines Sonderurlaubs nach § 50 Abs. 2, für den der Arbeitgeber nach § 50 Abs. 3 Satz 2 vor Antritt ein dienstliches oder betriebliches Interesse an der Beurlaubung schriftlich anerkannt hat, eine Dienstzeit nach Absatz 1, so wird ihm bei Wiederaufnahme der Arbeit die Jubiläumszuwendung für die zuletzt vollendete Dienstzeit gewährt.</w:t>
      </w:r>
    </w:p>
    <w:p w:rsidR="00BE1EFE" w:rsidRDefault="00BE1EFE" w:rsidP="00DC7776">
      <w:pPr>
        <w:pStyle w:val="StandardWeb"/>
      </w:pPr>
    </w:p>
    <w:p w:rsidR="00BE1EFE" w:rsidRDefault="00BE1EFE" w:rsidP="003575ED">
      <w:pPr>
        <w:pStyle w:val="StandardWeb"/>
        <w:autoSpaceDE w:val="0"/>
        <w:jc w:val="left"/>
      </w:pPr>
      <w:r>
        <w:rPr>
          <w:rStyle w:val="Fett"/>
          <w:bCs/>
        </w:rPr>
        <w:t xml:space="preserve">§ 40 Beihilfen bei Krankheits-, Pflege-, Geburts- und Todesfällen, Unterstützungen </w:t>
      </w:r>
    </w:p>
    <w:p w:rsidR="00BE1EFE" w:rsidRDefault="00BE1EFE">
      <w:pPr>
        <w:pStyle w:val="StandardWeb"/>
        <w:jc w:val="center"/>
      </w:pPr>
    </w:p>
    <w:p w:rsidR="00BE1EFE" w:rsidRDefault="00BE1EFE">
      <w:pPr>
        <w:pStyle w:val="StandardWeb"/>
      </w:pPr>
      <w:r>
        <w:t>Für die Gewährung von Beihilfen in Krankheits-, Pflege-, Geburts- und Todesfällen sowie von Unterstützungen gelten die Bestimmungen der Beihilfeordnung Teil A in ihrer jeweiligen Fassung.</w:t>
      </w:r>
    </w:p>
    <w:p w:rsidR="00BE1EFE" w:rsidRDefault="00BE1EFE">
      <w:pPr>
        <w:pStyle w:val="StandardWeb"/>
      </w:pPr>
    </w:p>
    <w:p w:rsidR="00BE1EFE" w:rsidRDefault="00BE1EFE" w:rsidP="003575ED">
      <w:pPr>
        <w:pStyle w:val="StandardWeb"/>
        <w:autoSpaceDE w:val="0"/>
        <w:jc w:val="left"/>
      </w:pPr>
      <w:r>
        <w:rPr>
          <w:rStyle w:val="Fett"/>
          <w:bCs/>
        </w:rPr>
        <w:t>§ 40 a Kirchliche Höherversicherung bei Krankheitsfällen</w:t>
      </w:r>
    </w:p>
    <w:p w:rsidR="00BE1EFE" w:rsidRDefault="00BE1EFE">
      <w:pPr>
        <w:pStyle w:val="StandardWeb"/>
        <w:jc w:val="center"/>
      </w:pPr>
    </w:p>
    <w:p w:rsidR="00BE1EFE" w:rsidRDefault="00BE1EFE">
      <w:pPr>
        <w:pStyle w:val="StandardWeb"/>
      </w:pPr>
      <w:r>
        <w:t>Dem Mitarbeiter wird unbeschadet der Gewährung von Beihilfen nach § 40 eine gesonderte kirchliche Höherversicherung in Krankheitsfällen nach Maßgabe der Bestimmungen der Beihilfeordnung Teil B in ihrer jeweiligen Fassung ermöglicht</w:t>
      </w:r>
      <w:r>
        <w:rPr>
          <w:vertAlign w:val="superscript"/>
        </w:rPr>
        <w:t>1</w:t>
      </w:r>
      <w:r>
        <w:t xml:space="preserve">. </w:t>
      </w:r>
    </w:p>
    <w:p w:rsidR="00BE1EFE" w:rsidRDefault="00BE1EFE">
      <w:pPr>
        <w:pStyle w:val="StandardWeb"/>
      </w:pPr>
      <w:r>
        <w:rPr>
          <w:vertAlign w:val="superscript"/>
        </w:rPr>
        <w:t>1</w:t>
      </w:r>
      <w:r w:rsidRPr="009C6551">
        <w:rPr>
          <w:rStyle w:val="kleinschrift1"/>
        </w:rPr>
        <w:t>Bei Änderungen der kirchlichen Höherversicherung in Krankheitsfällen haben sich die bayer. (Erz-)Diözesen mit der Bayer.</w:t>
      </w:r>
      <w:r w:rsidR="00D22E61">
        <w:rPr>
          <w:rStyle w:val="kleinschrift1"/>
        </w:rPr>
        <w:t xml:space="preserve"> Regional</w:t>
      </w:r>
      <w:r w:rsidRPr="009C6551">
        <w:rPr>
          <w:rStyle w:val="kleinschrift1"/>
        </w:rPr>
        <w:t>-KODA ins Benehmen zu setzen.</w:t>
      </w:r>
    </w:p>
    <w:p w:rsidR="00BE1EFE" w:rsidRDefault="00BE1EFE">
      <w:pPr>
        <w:pStyle w:val="StandardWeb"/>
      </w:pPr>
    </w:p>
    <w:p w:rsidR="00BE1EFE" w:rsidRDefault="00BE1EFE" w:rsidP="003575ED">
      <w:pPr>
        <w:pStyle w:val="StandardWeb"/>
        <w:autoSpaceDE w:val="0"/>
        <w:jc w:val="left"/>
      </w:pPr>
      <w:r>
        <w:rPr>
          <w:rStyle w:val="Fett"/>
          <w:bCs/>
        </w:rPr>
        <w:t>§ 40 b Erstausstattung bei Geburten</w:t>
      </w:r>
    </w:p>
    <w:p w:rsidR="00BE1EFE" w:rsidRDefault="00BE1EFE">
      <w:pPr>
        <w:pStyle w:val="StandardWeb"/>
        <w:jc w:val="center"/>
      </w:pPr>
    </w:p>
    <w:p w:rsidR="00BE1EFE" w:rsidRDefault="00BE1EFE">
      <w:pPr>
        <w:pStyle w:val="StandardWeb"/>
      </w:pPr>
      <w:r>
        <w:t>(1) Der Mitarbeiter erhält bei der Geburt eines Kindes eine Geburtskostenpauschale in Höhe von 230,00 € je Kind.</w:t>
      </w:r>
    </w:p>
    <w:p w:rsidR="00BE1EFE" w:rsidRDefault="00BE1EFE">
      <w:pPr>
        <w:pStyle w:val="StandardWeb"/>
      </w:pPr>
      <w:r>
        <w:t>(2) Der Anspruch nach Abs. 1 besteht auch, wenn das Beschäftigungsverhältnis wegen Elternzeit oder Sonderurlaubs zum Zwecke der Erziehung eines Kindes ruht.</w:t>
      </w:r>
    </w:p>
    <w:p w:rsidR="00BE1EFE" w:rsidRDefault="00BE1EFE">
      <w:pPr>
        <w:pStyle w:val="StandardWeb"/>
      </w:pPr>
      <w:r>
        <w:t>(3) Etwaige Leistungen Dritter, insbesondere aus der Beihilfeversicherung, werden auf den Anspruch nach Abs. 1 nicht angerechnet.</w:t>
      </w:r>
    </w:p>
    <w:p w:rsidR="00BE1EFE" w:rsidRDefault="00BE1EFE">
      <w:pPr>
        <w:pStyle w:val="StandardWeb"/>
      </w:pPr>
      <w:r>
        <w:t>(4) Bei Beschäftigungsverhältnissen zu mehreren Dienstgebern, die das Arbeits</w:t>
      </w:r>
      <w:r w:rsidR="00D65D81">
        <w:t>vertragsrecht der Bayer. (Erz-)</w:t>
      </w:r>
      <w:r>
        <w:t>Diözesen anwenden, erhält der Mitarbeiter die Geburtskostenpauschale von jedem Dienstgeber anteilig, insgesamt jedoch nur ein Mal.</w:t>
      </w:r>
    </w:p>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p>
    <w:p w:rsidR="00BE1EFE" w:rsidRDefault="00BE1EFE" w:rsidP="003575ED">
      <w:pPr>
        <w:pStyle w:val="StandardWeb"/>
        <w:autoSpaceDE w:val="0"/>
        <w:jc w:val="left"/>
      </w:pPr>
      <w:r>
        <w:rPr>
          <w:rStyle w:val="Fett"/>
          <w:bCs/>
        </w:rPr>
        <w:lastRenderedPageBreak/>
        <w:t>§ 40 c Kostenpauschale bei Fehlgeburten</w:t>
      </w:r>
    </w:p>
    <w:p w:rsidR="00BE1EFE" w:rsidRDefault="00BE1EFE">
      <w:pPr>
        <w:pStyle w:val="StandardWeb"/>
        <w:jc w:val="center"/>
      </w:pPr>
    </w:p>
    <w:p w:rsidR="00BE1EFE" w:rsidRDefault="00BE1EFE">
      <w:pPr>
        <w:pStyle w:val="StandardWeb"/>
      </w:pPr>
      <w:r>
        <w:t>(1) Der Arbeitgeber gewährt dem Mitarbeiter zu den Kosten der Beerdigung einer Fehlgeburt eine Kostenpauschale in Höhe von 358,00 €.</w:t>
      </w:r>
    </w:p>
    <w:p w:rsidR="00BE1EFE" w:rsidRDefault="00BE1EFE">
      <w:pPr>
        <w:pStyle w:val="StandardWeb"/>
      </w:pPr>
      <w:r>
        <w:t>(2) Der Anspruch nach Abs. 1 besteht auch, wenn das Beschäftigungsverhältnis wegen Elternzeit oder Sonderurlaubs zum Zwecke der Erziehung eines Kindes ruht.</w:t>
      </w:r>
    </w:p>
    <w:p w:rsidR="00BE1EFE" w:rsidRDefault="00BE1EFE">
      <w:pPr>
        <w:pStyle w:val="StandardWeb"/>
      </w:pPr>
      <w:r>
        <w:t>(3) Etwaige Leistungen Dritter werden auf den Anspruch nach Abs. 1 nicht angerechnet.</w:t>
      </w:r>
    </w:p>
    <w:p w:rsidR="00BE1EFE" w:rsidRDefault="00BE1EFE">
      <w:pPr>
        <w:pStyle w:val="StandardWeb"/>
      </w:pPr>
      <w:r>
        <w:t>(4) </w:t>
      </w:r>
      <w:r>
        <w:rPr>
          <w:rStyle w:val="kleinschrift"/>
        </w:rPr>
        <w:t>1</w:t>
      </w:r>
      <w:r>
        <w:t>Bei Beschäftigungsverhältnissen zu mehreren Arbeitgebern, die das Arbeits</w:t>
      </w:r>
      <w:r w:rsidR="00D65D81">
        <w:t>vertragsrecht der bayer. (Erz-)</w:t>
      </w:r>
      <w:r>
        <w:t xml:space="preserve">Diözesen anwenden, erhält der Mitarbeiter die Kostenpauschale von jedem Arbeitgeber anteilig, insgesamt jedoch nur ein Mal. </w:t>
      </w:r>
      <w:r>
        <w:rPr>
          <w:rStyle w:val="kleinschrift"/>
        </w:rPr>
        <w:t>2</w:t>
      </w:r>
      <w:r>
        <w:t>Dies gilt auch, wenn beide Ehepartner bei einem Arbeitgeber beschäftigt sind, der das Arbeitsvertragsrecht der bayer. (Erz-)Diözesen anwendet.</w:t>
      </w:r>
    </w:p>
    <w:p w:rsidR="00BE1EFE" w:rsidRDefault="00BE1EFE">
      <w:pPr>
        <w:pStyle w:val="StandardWeb"/>
      </w:pPr>
    </w:p>
    <w:p w:rsidR="00BE1EFE" w:rsidRDefault="00BE1EFE" w:rsidP="003575ED">
      <w:pPr>
        <w:pStyle w:val="StandardWeb"/>
        <w:autoSpaceDE w:val="0"/>
        <w:jc w:val="left"/>
      </w:pPr>
      <w:r>
        <w:rPr>
          <w:rStyle w:val="Fett"/>
          <w:bCs/>
        </w:rPr>
        <w:t>§ 41 Sterbegeld</w:t>
      </w:r>
    </w:p>
    <w:p w:rsidR="00BE1EFE" w:rsidRDefault="00BE1EFE">
      <w:pPr>
        <w:pStyle w:val="StandardWeb"/>
        <w:jc w:val="center"/>
      </w:pPr>
    </w:p>
    <w:p w:rsidR="00BE1EFE" w:rsidRDefault="00BE1EFE">
      <w:pPr>
        <w:pStyle w:val="StandardWeb"/>
      </w:pPr>
      <w:r>
        <w:t>(1) Beim Tode des Angestellten, der zur Zeit seines Todes nicht nach § 50 beurlaubt gewesen ist und dessen Arbeitsverhältnis zur Zeit seines Todes nicht nach § 59 Abs. 1 Unterabs. 1 Satz 5 geruht hat, erhalten</w:t>
      </w:r>
    </w:p>
    <w:p w:rsidR="00BE1EFE" w:rsidRDefault="00BE1EFE">
      <w:pPr>
        <w:pStyle w:val="StandardWeb"/>
      </w:pPr>
      <w:r>
        <w:t>a) der überlebende Ehegatte,</w:t>
      </w:r>
    </w:p>
    <w:p w:rsidR="00BE1EFE" w:rsidRDefault="00BE1EFE">
      <w:pPr>
        <w:pStyle w:val="StandardWeb"/>
      </w:pPr>
      <w:r>
        <w:t xml:space="preserve">b) die Abkömmlinge des Angestellten </w:t>
      </w:r>
    </w:p>
    <w:p w:rsidR="00BE1EFE" w:rsidRDefault="00BE1EFE">
      <w:pPr>
        <w:pStyle w:val="StandardWeb"/>
      </w:pPr>
      <w:r>
        <w:t>Sterbegeld.</w:t>
      </w:r>
    </w:p>
    <w:p w:rsidR="00BE1EFE" w:rsidRDefault="00BE1EFE">
      <w:pPr>
        <w:pStyle w:val="StandardWeb"/>
      </w:pPr>
      <w:r>
        <w:t>(2) Sind Anspruchsberechtigte i. S. d. Abs. 1 nicht vorhanden, ist Sterbegeld auf Antrag zu gewähren</w:t>
      </w:r>
    </w:p>
    <w:p w:rsidR="00BE1EFE" w:rsidRDefault="00BE1EFE">
      <w:pPr>
        <w:pStyle w:val="StandardWeb"/>
      </w:pPr>
      <w:r>
        <w:t>a) Verwandten der aufsteigenden Linie, Geschwistern, Geschwisterkindern sowie Stiefkindern, wenn sie zur Zeit des Todes des Angestellten mit diesem in häuslicher Gemeinschaft gelebt haben oder wenn der Verstorbene ganz oder überwiegend ihr Ernährer gewesen ist,</w:t>
      </w:r>
    </w:p>
    <w:p w:rsidR="00BE1EFE" w:rsidRDefault="00BE1EFE">
      <w:pPr>
        <w:pStyle w:val="StandardWeb"/>
      </w:pPr>
      <w:r>
        <w:t>b) sonstigen Personen, die die Kosten der letzten Krankheit oder der Bestattung getragen haben, bis zur Höhe ihrer Aufwendungen.</w:t>
      </w:r>
    </w:p>
    <w:p w:rsidR="00BE1EFE" w:rsidRDefault="00BE1EFE">
      <w:pPr>
        <w:pStyle w:val="StandardWeb"/>
      </w:pPr>
      <w:r>
        <w:t>(3) </w:t>
      </w:r>
      <w:r>
        <w:rPr>
          <w:rStyle w:val="kleinschrift"/>
        </w:rPr>
        <w:t>1</w:t>
      </w:r>
      <w:r>
        <w:t xml:space="preserve">Als Sterbegeld wird für die restlichen Kalendertage des Sterbemonats und für weitere zwei Monate die Vergütung (§ 26) des Verstorbenen gewährt. </w:t>
      </w:r>
    </w:p>
    <w:p w:rsidR="00BE1EFE" w:rsidRDefault="00BE1EFE">
      <w:pPr>
        <w:pStyle w:val="StandardWeb"/>
      </w:pPr>
      <w:r>
        <w:rPr>
          <w:rStyle w:val="kleinschrift"/>
        </w:rPr>
        <w:t>2</w:t>
      </w:r>
      <w:r>
        <w:t xml:space="preserve">Hat der Angestellte zur Zeit seines Todes wegen Ablaufs der Bezugsfristen keine Krankenbezüge (§ 37 bzw. § 71) mehr erhalten oder hat die Angestellte zur Zeit ihres Todes Mutterschaftsgeld nach </w:t>
      </w:r>
      <w:hyperlink r:id="rId714" w:history="1">
        <w:r w:rsidRPr="009B3430">
          <w:rPr>
            <w:rStyle w:val="Hyperlink"/>
          </w:rPr>
          <w:t>§ 13 Mutterschutzgesetz</w:t>
        </w:r>
      </w:hyperlink>
      <w:r>
        <w:t xml:space="preserve"> bezogen, wird als Sterbegeld für den Sterbetag und die restlichen Kalendertage des Sterbemonats sowie für weitere zwei Monate die Vergütung (§ 26) des Verstorbenen gewährt. </w:t>
      </w:r>
      <w:r>
        <w:rPr>
          <w:rStyle w:val="kleinschrift"/>
        </w:rPr>
        <w:t>3</w:t>
      </w:r>
      <w:r>
        <w:t>Das Sterbegeld wird in einer Summe ausgezahlt.</w:t>
      </w:r>
    </w:p>
    <w:p w:rsidR="00BE1EFE" w:rsidRDefault="00BE1EFE">
      <w:pPr>
        <w:pStyle w:val="StandardWeb"/>
      </w:pPr>
      <w:r>
        <w:t>(4) Sind an den Verstorbenen Bezüge oder Vorschüsse über den Sterbetag hinaus gezahlt worden, werden diese auf das Sterbegeld angerechnet.</w:t>
      </w:r>
    </w:p>
    <w:p w:rsidR="00BE1EFE" w:rsidRDefault="00BE1EFE">
      <w:pPr>
        <w:pStyle w:val="StandardWeb"/>
      </w:pPr>
      <w:r>
        <w:t>(5) </w:t>
      </w:r>
      <w:r>
        <w:rPr>
          <w:rStyle w:val="kleinschrift"/>
        </w:rPr>
        <w:t>1</w:t>
      </w:r>
      <w:r>
        <w:t xml:space="preserve">Die Zahlung an einen der nach Abs. l oder Abs. 2 Berechtigten bringt den Anspruch der übrigen gegenüber dem Arbeitgeber zum Erlöschen. </w:t>
      </w:r>
      <w:r>
        <w:rPr>
          <w:rStyle w:val="kleinschrift"/>
        </w:rPr>
        <w:t>2</w:t>
      </w:r>
      <w:r>
        <w:t>Sind Berechtigte nach Abs. 1 oder Abs. 2 nicht vorhanden, werden über den Sterbetag hinaus gezahlte Bezüge für den Sterbemonat nicht zurückgefordert.</w:t>
      </w:r>
    </w:p>
    <w:p w:rsidR="00BE1EFE" w:rsidRDefault="00BE1EFE">
      <w:pPr>
        <w:pStyle w:val="StandardWeb"/>
      </w:pPr>
      <w:r>
        <w:t>(6) Wer den Tod des Angestellten vorsätzlich herbeigeführt hat, hat keinen Anspruch auf das Sterbegeld.</w:t>
      </w:r>
    </w:p>
    <w:p w:rsidR="00BE1EFE" w:rsidRDefault="00BE1EFE">
      <w:pPr>
        <w:pStyle w:val="StandardWeb"/>
      </w:pPr>
      <w:r>
        <w:t>(7) Das Sterbegeld verringert sich um den Betrag, den die Berechtigten nach Abs. 1 oder Abs. 2 als Sterbegeld aus einer zusätzlichen Alters- und Hinterbliebenenversorgung oder aus einer Ruhegeldeinrichtung erhalten.</w:t>
      </w:r>
    </w:p>
    <w:p w:rsidR="00BE1EFE" w:rsidRDefault="00BE1EFE">
      <w:pPr>
        <w:pStyle w:val="StandardWeb"/>
      </w:pPr>
    </w:p>
    <w:p w:rsidR="00BE1EFE" w:rsidRPr="0074457C" w:rsidRDefault="00BE1EFE" w:rsidP="0074457C">
      <w:pPr>
        <w:pStyle w:val="berschrift6"/>
      </w:pPr>
      <w:r>
        <w:br w:type="page"/>
      </w:r>
      <w:bookmarkStart w:id="685" w:name="_Toc523926218"/>
      <w:r w:rsidRPr="0074457C">
        <w:lastRenderedPageBreak/>
        <w:t>Anlage 1: ABD Teil A, 1. Abschnitt IX bis XIV in der bis zum 30.09.2005 geltenden Fassung</w:t>
      </w:r>
      <w:bookmarkEnd w:id="685"/>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Abschnitt IX</w:t>
      </w:r>
    </w:p>
    <w:p w:rsidR="00BE1EFE" w:rsidRDefault="00BE1EFE" w:rsidP="0054275E">
      <w:pPr>
        <w:pStyle w:val="StandardWeb"/>
        <w:autoSpaceDE w:val="0"/>
        <w:jc w:val="center"/>
        <w:rPr>
          <w:b/>
          <w:bCs/>
        </w:rPr>
      </w:pPr>
      <w:r>
        <w:rPr>
          <w:rStyle w:val="Fett"/>
          <w:bCs/>
        </w:rPr>
        <w:t>Reisekostenvergütung, Umzugskostenvergütung,</w:t>
      </w:r>
    </w:p>
    <w:p w:rsidR="00BE1EFE" w:rsidRPr="000B1AF8" w:rsidRDefault="00BE1EFE" w:rsidP="0054275E">
      <w:pPr>
        <w:pStyle w:val="StandardWeb"/>
        <w:autoSpaceDE w:val="0"/>
        <w:jc w:val="center"/>
      </w:pPr>
      <w:r>
        <w:rPr>
          <w:rStyle w:val="Fett"/>
          <w:bCs/>
        </w:rPr>
        <w:t>Trennungsentschädigung (Trennungsgeld)</w:t>
      </w:r>
    </w:p>
    <w:p w:rsidR="00BE1EFE" w:rsidRPr="000B1AF8" w:rsidRDefault="00BE1EFE">
      <w:pPr>
        <w:pStyle w:val="StandardWeb"/>
        <w:jc w:val="center"/>
      </w:pPr>
    </w:p>
    <w:p w:rsidR="00BE1EFE" w:rsidRDefault="00BE1EFE" w:rsidP="003575ED">
      <w:pPr>
        <w:pStyle w:val="StandardWeb"/>
        <w:autoSpaceDE w:val="0"/>
        <w:jc w:val="left"/>
      </w:pPr>
      <w:r>
        <w:rPr>
          <w:rStyle w:val="Fett"/>
          <w:bCs/>
        </w:rPr>
        <w:t>§ 42 Reisekostenvergütung</w:t>
      </w:r>
    </w:p>
    <w:p w:rsidR="00BE1EFE" w:rsidRDefault="00BE1EFE">
      <w:pPr>
        <w:pStyle w:val="StandardWeb"/>
        <w:jc w:val="center"/>
      </w:pPr>
    </w:p>
    <w:p w:rsidR="00BE1EFE" w:rsidRDefault="00BE1EFE">
      <w:pPr>
        <w:pStyle w:val="StandardWeb"/>
      </w:pPr>
      <w:r>
        <w:t>(1) Für die Erstattung von</w:t>
      </w:r>
    </w:p>
    <w:p w:rsidR="00BE1EFE" w:rsidRDefault="00BE1EFE">
      <w:pPr>
        <w:pStyle w:val="StandardWeb"/>
      </w:pPr>
      <w:r>
        <w:t>a) Auslagen für Dienstreisen und Dienstgänge (Reisekostenvergütung)</w:t>
      </w:r>
    </w:p>
    <w:p w:rsidR="00BE1EFE" w:rsidRDefault="00BE1EFE">
      <w:pPr>
        <w:pStyle w:val="StandardWeb"/>
      </w:pPr>
      <w:r>
        <w:t>b) Auslagen für dienstlich angeordnete Fortbildungsreisen findet die „Reisekoste</w:t>
      </w:r>
      <w:r w:rsidR="00D65D81">
        <w:t>nordnung der bayerischen (Erz-)</w:t>
      </w:r>
      <w:r>
        <w:t>Diözesen“ Anwendung.</w:t>
      </w:r>
    </w:p>
    <w:p w:rsidR="00BE1EFE" w:rsidRDefault="00BE1EFE">
      <w:pPr>
        <w:pStyle w:val="StandardWeb"/>
      </w:pPr>
      <w:r>
        <w:t>(2) Für die Erstattung von</w:t>
      </w:r>
    </w:p>
    <w:p w:rsidR="00BE1EFE" w:rsidRDefault="00BE1EFE">
      <w:pPr>
        <w:pStyle w:val="StandardWeb"/>
      </w:pPr>
      <w:r>
        <w:t>a) Auslagen aus Anlass der Abordnung,</w:t>
      </w:r>
    </w:p>
    <w:p w:rsidR="00BE1EFE" w:rsidRDefault="00BE1EFE">
      <w:pPr>
        <w:pStyle w:val="StandardWeb"/>
      </w:pPr>
      <w:r>
        <w:t>b) Auslagen für Reisen zur Einstellung vor Begründung des Arbeitsverhältnisses,</w:t>
      </w:r>
    </w:p>
    <w:p w:rsidR="00BE1EFE" w:rsidRDefault="00BE1EFE">
      <w:pPr>
        <w:pStyle w:val="StandardWeb"/>
      </w:pPr>
      <w:r>
        <w:t>c) Auslagen aus Anlass der Aus- und Weiterbildung,</w:t>
      </w:r>
    </w:p>
    <w:p w:rsidR="00BE1EFE" w:rsidRDefault="00BE1EFE">
      <w:pPr>
        <w:pStyle w:val="StandardWeb"/>
      </w:pPr>
      <w:r>
        <w:t xml:space="preserve">d) Fahrtkosten für Fahrten zwischen Wohnung und Arbeitsstelle aus besonderem Anlass </w:t>
      </w:r>
    </w:p>
    <w:p w:rsidR="00BE1EFE" w:rsidRDefault="00BE1EFE">
      <w:pPr>
        <w:pStyle w:val="StandardWeb"/>
      </w:pPr>
      <w:r>
        <w:t>finden die bei der jeweiligen (Erz-)Diözese geltenden Regelungen Anwendung.</w:t>
      </w:r>
    </w:p>
    <w:p w:rsidR="00BE1EFE" w:rsidRDefault="00BE1EFE">
      <w:pPr>
        <w:pStyle w:val="StandardWeb"/>
      </w:pPr>
    </w:p>
    <w:p w:rsidR="00BE1EFE" w:rsidRDefault="00BE1EFE" w:rsidP="003575ED">
      <w:pPr>
        <w:pStyle w:val="StandardWeb"/>
        <w:autoSpaceDE w:val="0"/>
        <w:jc w:val="left"/>
      </w:pPr>
      <w:r>
        <w:rPr>
          <w:rStyle w:val="Fett"/>
          <w:bCs/>
        </w:rPr>
        <w:t>§ 43 Besondere Entschädigung bei Dienstreisen an Sonn- und Feiertagen</w:t>
      </w:r>
    </w:p>
    <w:p w:rsidR="00BE1EFE" w:rsidRDefault="00BE1EFE">
      <w:pPr>
        <w:pStyle w:val="StandardWeb"/>
        <w:jc w:val="center"/>
      </w:pPr>
    </w:p>
    <w:p w:rsidR="00BE1EFE" w:rsidRDefault="00BE1EFE">
      <w:pPr>
        <w:pStyle w:val="StandardWeb"/>
      </w:pPr>
      <w:r>
        <w:rPr>
          <w:rStyle w:val="kleinschrift"/>
        </w:rPr>
        <w:t>1</w:t>
      </w:r>
      <w:r>
        <w:t xml:space="preserve">Der Angestellte, der an einem Sonntag oder gesetzlichen Feiertag, an dem er nicht dienstplanmäßig bzw. betriebsüblich zu arbeiten hat, eine Dienstreise ausführt, erhält für den an diesem Tag zwischen dem Wohnort und dem auswärtigen Geschäftsort oder zwischen zwei auswärtigen Geschäftsorten zurückgelegten Weg eine Entschädigung. </w:t>
      </w:r>
      <w:r>
        <w:rPr>
          <w:rStyle w:val="kleinschrift"/>
        </w:rPr>
        <w:t>2</w:t>
      </w:r>
      <w:r>
        <w:t xml:space="preserve">Die Entschädigung beträgt für jede volle Reisestunde die Hälfte der Stundenvergütung (§ 35 Abs. 3 Unterabs. 1), höchstens jedoch das Vierfache der Stundenvergütung. </w:t>
      </w:r>
      <w:r>
        <w:rPr>
          <w:rStyle w:val="kleinschrift"/>
        </w:rPr>
        <w:t>3</w:t>
      </w:r>
      <w:r>
        <w:t>Die Berechnung der Reisedauer richtet sich nach § 17 Abs. 2 a.</w:t>
      </w:r>
    </w:p>
    <w:p w:rsidR="00BE1EFE" w:rsidRDefault="00BE1EFE">
      <w:pPr>
        <w:pStyle w:val="StandardWeb"/>
      </w:pPr>
    </w:p>
    <w:p w:rsidR="00BE1EFE" w:rsidRDefault="00BE1EFE" w:rsidP="003575ED">
      <w:pPr>
        <w:pStyle w:val="StandardWeb"/>
        <w:autoSpaceDE w:val="0"/>
        <w:jc w:val="left"/>
        <w:rPr>
          <w:b/>
          <w:bCs/>
        </w:rPr>
      </w:pPr>
      <w:r>
        <w:rPr>
          <w:rStyle w:val="Fett"/>
          <w:bCs/>
        </w:rPr>
        <w:t>§ 44 Umzugskostenvergütung, Trennungsentschädigung (Trennungsgeld)</w:t>
      </w:r>
    </w:p>
    <w:p w:rsidR="00BE1EFE" w:rsidRDefault="00BE1EFE" w:rsidP="0054275E">
      <w:pPr>
        <w:pStyle w:val="StandardWeb"/>
        <w:autoSpaceDE w:val="0"/>
        <w:jc w:val="center"/>
      </w:pPr>
      <w:r>
        <w:rPr>
          <w:rStyle w:val="Fett"/>
          <w:bCs/>
        </w:rPr>
        <w:t>(vgl. diözesane Regelungen)</w:t>
      </w:r>
    </w:p>
    <w:p w:rsidR="00BE1EFE" w:rsidRDefault="00BE1EFE">
      <w:pPr>
        <w:pStyle w:val="StandardWeb"/>
        <w:jc w:val="center"/>
      </w:pPr>
    </w:p>
    <w:p w:rsidR="00BE1EFE" w:rsidRDefault="00BE1EFE">
      <w:pPr>
        <w:pStyle w:val="StandardWeb"/>
      </w:pPr>
      <w:r>
        <w:rPr>
          <w:rStyle w:val="kleinschrift"/>
        </w:rPr>
        <w:t>1</w:t>
      </w:r>
      <w:r>
        <w:t xml:space="preserve">Für die Gewährung von Umzugskostenvergütung und Trennungsentschädigung (Trennungsgeld) gelten unbeschadet einer künftigen gemeinsamen Regelung die bis zum 18. 10. 1988 geltenden diözesanen Regelungen und ab dem 19. 10. 1988 erlassene diözesane Regelungen, soweit sie in Absprache mit den Mitarbeitervertretungen bis zum 31. 12. 1996 getroffen wurden. </w:t>
      </w:r>
    </w:p>
    <w:p w:rsidR="00BE1EFE" w:rsidRDefault="00BE1EFE">
      <w:pPr>
        <w:pStyle w:val="StandardWeb"/>
      </w:pPr>
      <w:r>
        <w:rPr>
          <w:rStyle w:val="kleinschrift"/>
        </w:rPr>
        <w:t>2</w:t>
      </w:r>
      <w:r>
        <w:t>Sofern keine diözesanen Regelungen bestehen, gelten nachfolgende Bestimmungen:</w:t>
      </w:r>
    </w:p>
    <w:p w:rsidR="00BE1EFE" w:rsidRDefault="00BE1EFE">
      <w:pPr>
        <w:pStyle w:val="StandardWeb"/>
      </w:pPr>
      <w:r>
        <w:t>1. Die Zuteilung zu den Tarifklassen richtet sich nach der Tarifklasseneinteilung für den Ortszuschlag (§ 29).</w:t>
      </w:r>
    </w:p>
    <w:p w:rsidR="00BE1EFE" w:rsidRDefault="00BE1EFE">
      <w:pPr>
        <w:pStyle w:val="StandardWeb"/>
      </w:pPr>
      <w:r>
        <w:t xml:space="preserve">Dabei ist die Vergütungsgruppe maßgebend, der der Angestellte am Tage vor dem Einladen des Umzugsgutes angehört hat. </w:t>
      </w:r>
    </w:p>
    <w:p w:rsidR="00BE1EFE" w:rsidRDefault="00BE1EFE">
      <w:pPr>
        <w:pStyle w:val="StandardWeb"/>
      </w:pPr>
      <w:r>
        <w:t>Bei Hinterbliebenen ist die Tarifklasse maßgebend, der der Verstorbene zuletzt angehört hat.</w:t>
      </w:r>
    </w:p>
    <w:p w:rsidR="00BE1EFE" w:rsidRDefault="00BE1EFE">
      <w:pPr>
        <w:pStyle w:val="StandardWeb"/>
      </w:pPr>
      <w:r>
        <w:t>2. Eine rückwirkende Höhergruppierung des Angestellten bleibt unberücksichtigt.</w:t>
      </w:r>
    </w:p>
    <w:p w:rsidR="00BE1EFE" w:rsidRDefault="00BE1EFE">
      <w:pPr>
        <w:pStyle w:val="StandardWeb"/>
      </w:pPr>
      <w:r>
        <w:t>3. Die Umzugskostenvergütung aus Anlass der Einstellung an einem anderen Ort als dem bisherigen Wohnort (</w:t>
      </w:r>
      <w:hyperlink r:id="rId715" w:history="1">
        <w:r w:rsidRPr="00F93593">
          <w:rPr>
            <w:rStyle w:val="Hyperlink"/>
          </w:rPr>
          <w:t>§ 4 Abs. 1 Nr. 1 Bundesumzugskostengesetz</w:t>
        </w:r>
      </w:hyperlink>
      <w:r>
        <w:t xml:space="preserve"> oder die entsprechenden Vorschriften der Umzugskostengesetze der Länder) darf nur bei Einstellung auf einem Arbeitsplatz, den der Angestellte zur Befriedigung eines dringenden dienstlichen Bedürfnisses auf die Dauer von mindestens zwei Jahren besetzen soll, zugesagt werden. Die Umzugskostenvergütung kann unverheirateten Angestellten ohne eigene Wohnung i. S. d. </w:t>
      </w:r>
      <w:hyperlink r:id="rId716" w:history="1">
        <w:r w:rsidRPr="00F93593">
          <w:rPr>
            <w:rStyle w:val="Hyperlink"/>
          </w:rPr>
          <w:t>§ 10 Abs. 3 des Bundesumzugskostengesetzes</w:t>
        </w:r>
      </w:hyperlink>
      <w:r>
        <w:t xml:space="preserve"> oder der entsprechenden Vorschriften der Umzugskostengesetze der Länder nach Ablauf eines Monats auch bei Einstellung auf einem Arbeitsplatz zugesagt werden, der nicht auf die Dauer von mindestens zwei Jahren besetzt werden soll.</w:t>
      </w:r>
    </w:p>
    <w:p w:rsidR="00BE1EFE" w:rsidRDefault="00BE1EFE">
      <w:pPr>
        <w:pStyle w:val="StandardWeb"/>
      </w:pPr>
      <w:r>
        <w:t xml:space="preserve">4. Endet das Arbeitsverhältnis aus einem von dem Angestellten zu vertretenden Grunde vor Ablauf von zwei Jahren nach einem Umzug, für den Umzugskostenvergütung nach </w:t>
      </w:r>
      <w:hyperlink r:id="rId717" w:history="1">
        <w:r w:rsidRPr="00F93593">
          <w:rPr>
            <w:rStyle w:val="Hyperlink"/>
          </w:rPr>
          <w:t>§ 3 Abs. 1 Nr. 1</w:t>
        </w:r>
      </w:hyperlink>
      <w:r>
        <w:t xml:space="preserve">, </w:t>
      </w:r>
      <w:hyperlink r:id="rId718" w:history="1">
        <w:r w:rsidRPr="00F93593">
          <w:rPr>
            <w:rStyle w:val="Hyperlink"/>
          </w:rPr>
          <w:t>§ 4 Abs. 1 Nr. 1 oder Abs. 2 Nrn. 3 und 4 des Bundesumzugskostengesetzes</w:t>
        </w:r>
      </w:hyperlink>
      <w:r>
        <w:t xml:space="preserve"> oder der entsprechenden Vorschriften der Umzugskostengesetze der Länder zugesagt worden war, so hat der Angestellte die Umzugskostenvergütung zurückzuzahlen. Dies gilt nicht für eine nach </w:t>
      </w:r>
      <w:hyperlink r:id="rId719" w:history="1">
        <w:r w:rsidRPr="00F93593">
          <w:rPr>
            <w:rStyle w:val="Hyperlink"/>
          </w:rPr>
          <w:t>§ 3 Abs. 1 Nr. 1 des Bundesumzugskostengesetzes</w:t>
        </w:r>
      </w:hyperlink>
      <w:r>
        <w:t xml:space="preserve"> oder nach den entsprechenden Vorschriften der Umzugskostengesetze der Länder zugesagte Umzugskostenvergütung,</w:t>
      </w:r>
    </w:p>
    <w:p w:rsidR="00BE1EFE" w:rsidRDefault="00BE1EFE">
      <w:pPr>
        <w:pStyle w:val="StandardWeb"/>
      </w:pPr>
      <w:r>
        <w:t>a) wenn sich an das Arbeitsverhältnis ein Arbeitsverhältnis unmittelbar anschließt mit einer Einrichtung, die ein kirchliches Arbeitsvertragsrecht anwendet,</w:t>
      </w:r>
    </w:p>
    <w:p w:rsidR="00BE1EFE" w:rsidRDefault="00BE1EFE">
      <w:pPr>
        <w:pStyle w:val="StandardWeb"/>
      </w:pPr>
      <w:r>
        <w:t>b) wenn das Arbeitsverhältnis aufgrund einer Kündigung durch den Angestellten endet.</w:t>
      </w:r>
    </w:p>
    <w:p w:rsidR="00BE1EFE" w:rsidRDefault="00BE1EFE">
      <w:pPr>
        <w:pStyle w:val="StandardWeb"/>
      </w:pPr>
      <w:r>
        <w:t xml:space="preserve">5. In den Fällen des </w:t>
      </w:r>
      <w:hyperlink r:id="rId720" w:history="1">
        <w:r w:rsidRPr="00F93593">
          <w:rPr>
            <w:rStyle w:val="Hyperlink"/>
          </w:rPr>
          <w:t>§ 3 Abs. 1 Nr. 3</w:t>
        </w:r>
      </w:hyperlink>
      <w:r>
        <w:t xml:space="preserve">, </w:t>
      </w:r>
      <w:hyperlink r:id="rId721" w:history="1">
        <w:r w:rsidRPr="00F93593">
          <w:rPr>
            <w:rStyle w:val="Hyperlink"/>
          </w:rPr>
          <w:t>§ 4 Abs. 2 Nr. 2 und Abs. 3 Satz 1 Nr. 1 des Bundesumzugskostengesetzes</w:t>
        </w:r>
      </w:hyperlink>
      <w:r>
        <w:t xml:space="preserve"> oder der entsprechenden Vorschriften der Umzugskosten</w:t>
      </w:r>
      <w:r>
        <w:softHyphen/>
        <w:t>gesetze der Länder kann Umzugskostenvergütung zugesagt werden, wenn das Arbeitsverhältnis nicht aus einem von dem Angestellten zu vertretenden Grunde endet. Dies gilt auch für einen ausgeschiedenen Angestellten, wenn das Arbeitsverhältnis nicht aus einem von ihm zu vertretenden Grunde geendet hat oder der Angestellte wegen Bezugs einer Altersrente aus der gesetzlichen Rentenversicherung vor Vollendung des 65. Lebensjahres oder einer entsprechenden Betriebsrente aus der zusätzlichen Alters- und Hinterbliebenenversorgung aus dem Arbeitsverhältnis ausgeschieden ist.</w:t>
      </w:r>
    </w:p>
    <w:p w:rsidR="00BE1EFE" w:rsidRDefault="00BE1EFE">
      <w:pPr>
        <w:pStyle w:val="StandardWeb"/>
      </w:pPr>
    </w:p>
    <w:p w:rsidR="00BE1EFE" w:rsidRDefault="00BE1EFE" w:rsidP="003575ED">
      <w:pPr>
        <w:pStyle w:val="StandardWeb"/>
        <w:autoSpaceDE w:val="0"/>
        <w:jc w:val="left"/>
        <w:rPr>
          <w:b/>
          <w:bCs/>
        </w:rPr>
      </w:pPr>
      <w:r>
        <w:rPr>
          <w:rStyle w:val="Fett"/>
          <w:bCs/>
        </w:rPr>
        <w:t>§ 45</w:t>
      </w:r>
      <w:r w:rsidR="002575B0">
        <w:rPr>
          <w:rStyle w:val="Fett"/>
          <w:bCs/>
        </w:rPr>
        <w:t xml:space="preserve"> </w:t>
      </w:r>
      <w:r w:rsidR="002575B0" w:rsidRPr="002575B0">
        <w:rPr>
          <w:rStyle w:val="Fett"/>
          <w:b w:val="0"/>
          <w:bCs/>
          <w:i/>
        </w:rPr>
        <w:t>(frei)</w:t>
      </w:r>
    </w:p>
    <w:p w:rsidR="00BE1EFE" w:rsidRPr="00D645FF" w:rsidRDefault="00BE1EFE" w:rsidP="00D645FF">
      <w:pPr>
        <w:pStyle w:val="StandardWeb"/>
        <w:autoSpaceDE w:val="0"/>
        <w:jc w:val="left"/>
        <w:rPr>
          <w:rStyle w:val="Fett"/>
          <w:b w:val="0"/>
          <w:bCs/>
        </w:rPr>
      </w:pPr>
    </w:p>
    <w:p w:rsidR="00BE1EFE" w:rsidRDefault="00BE1EFE" w:rsidP="006731BD">
      <w:pPr>
        <w:pStyle w:val="StandardWeb"/>
        <w:autoSpaceDE w:val="0"/>
        <w:jc w:val="center"/>
        <w:rPr>
          <w:rStyle w:val="Fett"/>
          <w:bCs/>
        </w:rPr>
      </w:pPr>
    </w:p>
    <w:p w:rsidR="00BE1EFE" w:rsidRPr="006731BD" w:rsidRDefault="00BE1EFE" w:rsidP="006731BD">
      <w:pPr>
        <w:pStyle w:val="StandardWeb"/>
        <w:autoSpaceDE w:val="0"/>
        <w:jc w:val="center"/>
      </w:pPr>
      <w:r>
        <w:rPr>
          <w:rStyle w:val="Fett"/>
          <w:bCs/>
        </w:rPr>
        <w:t>Abschnitt X</w:t>
      </w:r>
    </w:p>
    <w:p w:rsidR="00BE1EFE" w:rsidRDefault="00BE1EFE" w:rsidP="0054275E">
      <w:pPr>
        <w:pStyle w:val="StandardWeb"/>
        <w:autoSpaceDE w:val="0"/>
        <w:jc w:val="center"/>
      </w:pPr>
      <w:r>
        <w:rPr>
          <w:rStyle w:val="Fett"/>
          <w:bCs/>
        </w:rPr>
        <w:t>Betriebliche Altersvorsorge</w:t>
      </w:r>
    </w:p>
    <w:p w:rsidR="00BE1EFE" w:rsidRDefault="00BE1EFE">
      <w:pPr>
        <w:pStyle w:val="StandardWeb"/>
        <w:jc w:val="center"/>
      </w:pPr>
    </w:p>
    <w:p w:rsidR="00BE1EFE" w:rsidRDefault="00BE1EFE" w:rsidP="003575ED">
      <w:pPr>
        <w:pStyle w:val="StandardWeb"/>
        <w:autoSpaceDE w:val="0"/>
        <w:jc w:val="left"/>
      </w:pPr>
      <w:r>
        <w:rPr>
          <w:rStyle w:val="Fett"/>
          <w:bCs/>
        </w:rPr>
        <w:t>§ 46 Betriebliche Altersversorgung bei der Zusatzversorgungskasse der bayerischen Gemeinden</w:t>
      </w:r>
    </w:p>
    <w:p w:rsidR="00BE1EFE" w:rsidRDefault="00BE1EFE">
      <w:pPr>
        <w:pStyle w:val="StandardWeb"/>
        <w:jc w:val="center"/>
      </w:pPr>
    </w:p>
    <w:p w:rsidR="00BE1EFE" w:rsidRDefault="00BE1EFE">
      <w:pPr>
        <w:pStyle w:val="StandardWeb"/>
      </w:pPr>
      <w:r>
        <w:t>(1) Der Mitarbeiter hat Anspruch auf Versicherung zum Zwecke einer betrieblichen Altersver</w:t>
      </w:r>
      <w:r>
        <w:softHyphen/>
        <w:t>sorgung nach Maßgabe der Versorgungsordnung A in ihrer jeweiligen Fassung.</w:t>
      </w:r>
    </w:p>
    <w:p w:rsidR="00BE1EFE" w:rsidRDefault="00BE1EFE">
      <w:pPr>
        <w:pStyle w:val="StandardWeb"/>
      </w:pPr>
      <w:r>
        <w:t>(2) Der Mitarbeiter erhält Versicherungsleistungen wie bei der Zusatzversorgungskasse der bayerischen Gemeinden versicherte Arbeitnehmer der dem Kommunalen Arbeitgeberverband Bayern angehörenden Mitglieder, soweit nicht in der Versorgungsordnung A abweichende oder ergänzende Regelungen vorgesehen sind.</w:t>
      </w:r>
    </w:p>
    <w:p w:rsidR="00BE1EFE" w:rsidRDefault="00BE1EFE">
      <w:pPr>
        <w:pStyle w:val="StandardWeb"/>
        <w:rPr>
          <w:sz w:val="12"/>
          <w:szCs w:val="12"/>
        </w:rPr>
      </w:pPr>
      <w:r w:rsidRPr="009C6551">
        <w:rPr>
          <w:rStyle w:val="kleinschrift1"/>
        </w:rPr>
        <w:t>Protokollnotiz 1:</w:t>
      </w:r>
    </w:p>
    <w:p w:rsidR="00BE1EFE" w:rsidRDefault="00BE1EFE">
      <w:pPr>
        <w:pStyle w:val="StandardWeb"/>
        <w:rPr>
          <w:sz w:val="12"/>
          <w:szCs w:val="12"/>
        </w:rPr>
      </w:pPr>
      <w:r w:rsidRPr="009C6551">
        <w:rPr>
          <w:rStyle w:val="kleinschrift1"/>
        </w:rPr>
        <w:t>Die von der Bayerischen Regional-KODA zur Versorgungsordnung A zu fassenden Beschlüsse werden jeweils vorab mit der Zusatzversorgungskasse der bayerischen Gemeinden abgestimmt.</w:t>
      </w:r>
    </w:p>
    <w:p w:rsidR="00BE1EFE" w:rsidRDefault="00BE1EFE">
      <w:pPr>
        <w:pStyle w:val="StandardWeb"/>
        <w:rPr>
          <w:sz w:val="12"/>
          <w:szCs w:val="12"/>
        </w:rPr>
      </w:pPr>
      <w:r w:rsidRPr="009C6551">
        <w:rPr>
          <w:rStyle w:val="kleinschrift1"/>
        </w:rPr>
        <w:t>Protokollnotiz 2:</w:t>
      </w:r>
    </w:p>
    <w:p w:rsidR="00BE1EFE" w:rsidRDefault="00BE1EFE">
      <w:pPr>
        <w:pStyle w:val="StandardWeb"/>
      </w:pPr>
      <w:r w:rsidRPr="009C6551">
        <w:rPr>
          <w:rStyle w:val="kleinschrift1"/>
        </w:rPr>
        <w:t xml:space="preserve">Der Dienstgeber ist verpflichtet, die Versicherung des Mitarbeiters zum Zwecke einer betrieblichen Altersversorgung gemäß den Bestimmungen des § 46, § 46 a oder § 46 b zu veranlassen. Sofern der Dienstgeber nicht Mitglied der Zusatzversorgungskasse der bayerischen Gemeinden oder Mitglied/Beteiligter einer anderen rechtsfähigen Versorgungseinrichtung im Sinne des </w:t>
      </w:r>
      <w:hyperlink r:id="rId722" w:history="1">
        <w:r w:rsidRPr="00F93593">
          <w:rPr>
            <w:rStyle w:val="Hyperlink"/>
            <w:sz w:val="12"/>
          </w:rPr>
          <w:t>§ 1 b Abs. 3 BetrAVG</w:t>
        </w:r>
      </w:hyperlink>
      <w:r w:rsidRPr="009C6551">
        <w:rPr>
          <w:rStyle w:val="kleinschrift1"/>
        </w:rPr>
        <w:t xml:space="preserve"> ist oder er eine derartige Mitgliedschaft/Beteiligung nicht erlangt, ist§ 46 a anzuwenden.</w:t>
      </w:r>
    </w:p>
    <w:p w:rsidR="00BE1EFE" w:rsidRDefault="00BE1EFE">
      <w:pPr>
        <w:pStyle w:val="StandardWeb"/>
      </w:pPr>
    </w:p>
    <w:p w:rsidR="00BE1EFE" w:rsidRDefault="00BE1EFE" w:rsidP="003575ED">
      <w:pPr>
        <w:pStyle w:val="StandardWeb"/>
        <w:autoSpaceDE w:val="0"/>
        <w:jc w:val="left"/>
      </w:pPr>
      <w:r>
        <w:rPr>
          <w:rStyle w:val="Fett"/>
          <w:bCs/>
        </w:rPr>
        <w:t>§ 46 a Betriebliche Altersversorgung bei der Selbsthilfe, Pensionskasse der Caritas VVaG</w:t>
      </w:r>
    </w:p>
    <w:p w:rsidR="00BE1EFE" w:rsidRDefault="00BE1EFE">
      <w:pPr>
        <w:pStyle w:val="StandardWeb"/>
        <w:jc w:val="center"/>
      </w:pPr>
    </w:p>
    <w:p w:rsidR="00BE1EFE" w:rsidRDefault="00BE1EFE">
      <w:pPr>
        <w:pStyle w:val="StandardWeb"/>
      </w:pPr>
      <w:r>
        <w:t xml:space="preserve">Der Mitarbeiter hat Anspruch auf Versicherung zum Zwecke einer betrieblichen Altersversorgung nach Maßgabe der Versorgungsordnung B in ihrer jeweiligen Fassung, sofern der Dienstgeber nicht Mitglied der Zusatzversorgungskasse der bayerischen </w:t>
      </w:r>
      <w:r>
        <w:lastRenderedPageBreak/>
        <w:t xml:space="preserve">Gemeinden oder Mitglied/Beteiligter einer anderen rechtsfähigen Versorgungseinrichtung im Sinne des </w:t>
      </w:r>
      <w:hyperlink r:id="rId723" w:history="1">
        <w:r w:rsidRPr="00F93593">
          <w:rPr>
            <w:rStyle w:val="Hyperlink"/>
          </w:rPr>
          <w:t>§ 1 b Abs. 3 BetrAVG</w:t>
        </w:r>
      </w:hyperlink>
      <w:r>
        <w:t xml:space="preserve"> ist.</w:t>
      </w: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 xml:space="preserve">Der Dienstgeber ist verpflichtet, die Versicherung des Mitarbeiters zum Zwecke einer betrieblichen Altersversorgung gemäß den Bestimmungen des § 46, § 46 a oder § 46 b zu veranlassen. Sofern der Dienstgeber nicht Mitglied der Zusatzversorgungskasse der bayerischen Gemeinden oder Mitglied/Beteiligter einer anderen rechtsfähigen Versorgungseinrichtung im Sinne des </w:t>
      </w:r>
      <w:hyperlink r:id="rId724" w:history="1">
        <w:r w:rsidRPr="00F93593">
          <w:rPr>
            <w:rStyle w:val="Hyperlink"/>
            <w:sz w:val="12"/>
          </w:rPr>
          <w:t>§ 1 b Abs. 3 BetrAVG</w:t>
        </w:r>
      </w:hyperlink>
      <w:r w:rsidRPr="009C6551">
        <w:rPr>
          <w:rStyle w:val="kleinschrift1"/>
        </w:rPr>
        <w:t xml:space="preserve"> ist oder er eine derartige Mitgliedschaft/Beteiligung nicht erlangt, ist § 46 a anzuwenden.</w:t>
      </w:r>
    </w:p>
    <w:p w:rsidR="00BE1EFE" w:rsidRDefault="00BE1EFE">
      <w:pPr>
        <w:pStyle w:val="StandardWeb"/>
      </w:pPr>
    </w:p>
    <w:p w:rsidR="00BE1EFE" w:rsidRDefault="00BE1EFE" w:rsidP="003575ED">
      <w:pPr>
        <w:pStyle w:val="StandardWeb"/>
        <w:autoSpaceDE w:val="0"/>
        <w:jc w:val="left"/>
      </w:pPr>
      <w:r>
        <w:rPr>
          <w:rStyle w:val="Fett"/>
          <w:bCs/>
        </w:rPr>
        <w:t>§ 46 b Betriebliche Altersversorgung bei einer anderen Pensionskasse oder einem Pensionsfonds</w:t>
      </w:r>
    </w:p>
    <w:p w:rsidR="00BE1EFE" w:rsidRDefault="00BE1EFE">
      <w:pPr>
        <w:pStyle w:val="StandardWeb"/>
        <w:jc w:val="center"/>
      </w:pPr>
    </w:p>
    <w:p w:rsidR="00BE1EFE" w:rsidRDefault="00BE1EFE">
      <w:pPr>
        <w:pStyle w:val="StandardWeb"/>
      </w:pPr>
      <w:r>
        <w:t xml:space="preserve">(1) Der Dienstgeber, der unter Berücksichtigung des § 46 die betriebliche Altersversorgung von einer anderen rechtsfähigen Versorgungseinrichtung im Sinne des </w:t>
      </w:r>
      <w:hyperlink r:id="rId725" w:history="1">
        <w:r w:rsidRPr="00F93593">
          <w:rPr>
            <w:rStyle w:val="Hyperlink"/>
          </w:rPr>
          <w:t>§ 1 b Abs. 3 BetrAVG</w:t>
        </w:r>
      </w:hyperlink>
      <w:r>
        <w:t xml:space="preserve"> durchführen lassen kann als der Zusatzversorgungskasse der bayerischen Gemeinden, kann die betriebliche Altersversorgung auch dort durchführen.</w:t>
      </w:r>
    </w:p>
    <w:p w:rsidR="00BE1EFE" w:rsidRDefault="00BE1EFE">
      <w:pPr>
        <w:pStyle w:val="StandardWeb"/>
      </w:pPr>
      <w:r>
        <w:t>(2) Die Versicherungsleistungen der betrieblichen Altersversorgung nach Abs. 1 müssen wenigstens den Versicherungsleistungen nach der Versorgungsordnung A entsprechen.</w:t>
      </w:r>
    </w:p>
    <w:p w:rsidR="00BE1EFE" w:rsidRDefault="00BE1EFE">
      <w:pPr>
        <w:pStyle w:val="StandardWeb"/>
        <w:rPr>
          <w:sz w:val="12"/>
          <w:szCs w:val="12"/>
        </w:rPr>
      </w:pPr>
      <w:r w:rsidRPr="009C6551">
        <w:rPr>
          <w:rStyle w:val="kleinschrift1"/>
        </w:rPr>
        <w:t>Protokollnotiz:</w:t>
      </w:r>
    </w:p>
    <w:p w:rsidR="00BE1EFE" w:rsidRDefault="00BE1EFE">
      <w:pPr>
        <w:pStyle w:val="StandardWeb"/>
      </w:pPr>
      <w:r w:rsidRPr="009C6551">
        <w:rPr>
          <w:rStyle w:val="kleinschrift1"/>
        </w:rPr>
        <w:t>Der Dienstgeber ist verpflichtet, die Versicherung des Mitarbeiters zum Zwecke einer betrieblichen Altersversorgung gemäß den Bestimmungen des § 46, § 46 a oder § 46 b zu veranlassen. Sofern der Dienstgeber nicht Mitglied der Zusatzver</w:t>
      </w:r>
      <w:r>
        <w:rPr>
          <w:rStyle w:val="kleinschrift1"/>
        </w:rPr>
        <w:softHyphen/>
      </w:r>
      <w:r w:rsidRPr="009C6551">
        <w:rPr>
          <w:rStyle w:val="kleinschrift1"/>
        </w:rPr>
        <w:t xml:space="preserve">sorgungskasse der bayerischen Gemeinden oder Mitglied/Beteiligter einer anderen rechtsfähigen Versorgungseinrichtung im Sinne des </w:t>
      </w:r>
      <w:hyperlink r:id="rId726" w:history="1">
        <w:r w:rsidRPr="00F93593">
          <w:rPr>
            <w:rStyle w:val="Hyperlink"/>
            <w:sz w:val="12"/>
          </w:rPr>
          <w:t>§ 1 b Abs. 3 BetrAVG</w:t>
        </w:r>
      </w:hyperlink>
      <w:r w:rsidRPr="009C6551">
        <w:rPr>
          <w:rStyle w:val="kleinschrift1"/>
        </w:rPr>
        <w:t xml:space="preserve"> ist oder er eine derartige Mitgliedschaft/Beteiligung nicht erlangt, ist § 46 a anzuwenden.</w:t>
      </w:r>
    </w:p>
    <w:p w:rsidR="00BE1EFE" w:rsidRDefault="00BE1EFE">
      <w:pPr>
        <w:pStyle w:val="StandardWeb"/>
      </w:pPr>
    </w:p>
    <w:p w:rsidR="00BE1EFE" w:rsidRDefault="00BE1EFE" w:rsidP="003575ED">
      <w:pPr>
        <w:pStyle w:val="StandardWeb"/>
        <w:autoSpaceDE w:val="0"/>
        <w:jc w:val="left"/>
      </w:pPr>
      <w:r>
        <w:rPr>
          <w:rStyle w:val="Fett"/>
          <w:bCs/>
        </w:rPr>
        <w:t>§ 46 c Betriebliche Altersversorgung durch Entgeltumwandlung</w:t>
      </w:r>
    </w:p>
    <w:p w:rsidR="00BE1EFE" w:rsidRDefault="00BE1EFE">
      <w:pPr>
        <w:pStyle w:val="StandardWeb"/>
        <w:jc w:val="center"/>
      </w:pPr>
    </w:p>
    <w:p w:rsidR="00BE1EFE" w:rsidRDefault="00BE1EFE">
      <w:pPr>
        <w:pStyle w:val="StandardWeb"/>
      </w:pPr>
      <w:r>
        <w:rPr>
          <w:rStyle w:val="kleinschrift"/>
        </w:rPr>
        <w:t>1</w:t>
      </w:r>
      <w:r>
        <w:t xml:space="preserve">Der Mitarbeiter kann vom Dienstgeber verlangen, dass Teile seiner künftigen Entgeltansprüche durch Entgeltumwandlung für seine betriebliche Altersversorgung verwendet werden. </w:t>
      </w:r>
      <w:r>
        <w:rPr>
          <w:rStyle w:val="kleinschrift"/>
        </w:rPr>
        <w:t>2</w:t>
      </w:r>
      <w:r>
        <w:t>Das Nähere regelt die Versorgungsordnung C.</w:t>
      </w:r>
    </w:p>
    <w:p w:rsidR="00BE1EFE" w:rsidRDefault="00BE1EFE" w:rsidP="0054275E">
      <w:pPr>
        <w:pStyle w:val="StandardWeb"/>
        <w:autoSpaceDE w:val="0"/>
        <w:jc w:val="center"/>
        <w:rPr>
          <w:rStyle w:val="Fett"/>
          <w:bCs/>
        </w:rPr>
      </w:pPr>
    </w:p>
    <w:p w:rsidR="00BE1EFE" w:rsidRDefault="00BE1EFE" w:rsidP="0054275E">
      <w:pPr>
        <w:pStyle w:val="StandardWeb"/>
        <w:autoSpaceDE w:val="0"/>
        <w:jc w:val="center"/>
        <w:rPr>
          <w:b/>
          <w:bCs/>
        </w:rPr>
      </w:pPr>
      <w:r>
        <w:rPr>
          <w:rStyle w:val="Fett"/>
          <w:bCs/>
        </w:rPr>
        <w:t>Abschnitt XI</w:t>
      </w:r>
    </w:p>
    <w:p w:rsidR="00BE1EFE" w:rsidRDefault="00BE1EFE" w:rsidP="0054275E">
      <w:pPr>
        <w:pStyle w:val="StandardWeb"/>
        <w:autoSpaceDE w:val="0"/>
        <w:jc w:val="center"/>
      </w:pPr>
      <w:r>
        <w:rPr>
          <w:rStyle w:val="Fett"/>
          <w:bCs/>
        </w:rPr>
        <w:t>Urlaub, Arbeitsbefreiung</w:t>
      </w:r>
    </w:p>
    <w:p w:rsidR="00BE1EFE" w:rsidRDefault="00BE1EFE">
      <w:pPr>
        <w:pStyle w:val="StandardWeb"/>
        <w:jc w:val="center"/>
      </w:pPr>
    </w:p>
    <w:p w:rsidR="00BE1EFE" w:rsidRDefault="00BE1EFE" w:rsidP="003575ED">
      <w:pPr>
        <w:pStyle w:val="StandardWeb"/>
        <w:autoSpaceDE w:val="0"/>
        <w:jc w:val="left"/>
      </w:pPr>
      <w:r>
        <w:rPr>
          <w:rStyle w:val="Fett"/>
          <w:bCs/>
        </w:rPr>
        <w:t>§ 47 Erholungsurlaub</w:t>
      </w:r>
    </w:p>
    <w:p w:rsidR="00BE1EFE" w:rsidRDefault="00BE1EFE">
      <w:pPr>
        <w:pStyle w:val="StandardWeb"/>
        <w:jc w:val="center"/>
      </w:pPr>
    </w:p>
    <w:p w:rsidR="00BE1EFE" w:rsidRDefault="00BE1EFE">
      <w:pPr>
        <w:pStyle w:val="StandardWeb"/>
      </w:pPr>
      <w:r>
        <w:t>(1) Der Angestellte erhält in jedem Urlaubsjahr Erholungsurlaub unter Zahlung der Urlaubsvergütung. Urlaubsjahr ist das Kalenderjahr.</w:t>
      </w:r>
    </w:p>
    <w:p w:rsidR="00BE1EFE" w:rsidRDefault="00BE1EFE">
      <w:pPr>
        <w:pStyle w:val="StandardWeb"/>
      </w:pPr>
      <w:r>
        <w:t>(2) </w:t>
      </w:r>
      <w:r>
        <w:rPr>
          <w:rStyle w:val="kleinschrift"/>
        </w:rPr>
        <w:t>1</w:t>
      </w:r>
      <w:r>
        <w:t xml:space="preserve">Als Urlaubsvergütung werden die Vergütung (§ 26) und die Zulagen, die in Monatsbeträgen festgelegt sind, weitergezahlt. </w:t>
      </w:r>
      <w:r>
        <w:rPr>
          <w:rStyle w:val="kleinschrift"/>
        </w:rPr>
        <w:t>2</w:t>
      </w:r>
      <w:r>
        <w:t>Der Teil der Bezüge, der nicht in Monatsbeträgen festgelegt ist, wird nach Maßgabe des § 36 Abs. 1 Unterabs. 2 durch eine Zulage (Aufschlag) für jeden Urlaubstag nach Unterabs. 2 als Teil der Urlaubsvergütung berücksichtigt.</w:t>
      </w:r>
    </w:p>
    <w:p w:rsidR="00BE1EFE" w:rsidRDefault="00BE1EFE">
      <w:pPr>
        <w:pStyle w:val="StandardWeb"/>
      </w:pPr>
      <w:r>
        <w:rPr>
          <w:rStyle w:val="kleinschrift"/>
        </w:rPr>
        <w:t>3</w:t>
      </w:r>
      <w:r>
        <w:t>Der Aufschlag beträgt 108 v. H. des Tagesdurchschnitts der Zulagen, die nicht in Monats</w:t>
      </w:r>
      <w:r>
        <w:softHyphen/>
        <w:t xml:space="preserve">beträgen festgelegt sind, der Zeitzuschläge nach § 35 Abs. 1 Satz 2 Buchst. b bis f, der Überstundenvergütungen und des Zeitzuschlages nach § 35 Abs. 1 Satz 2 Buchst. a für ausgeglichene Überstunden, der Bezüge nach § 34 Abs. 1 Unterabs. 1 Satz 3 sowie der Vergütungen für Bereitschaftsdienst und Rufbereitschaft des vorangegangenen Kalenderjahres. </w:t>
      </w:r>
    </w:p>
    <w:p w:rsidR="00BE1EFE" w:rsidRDefault="00BE1EFE">
      <w:pPr>
        <w:pStyle w:val="StandardWeb"/>
      </w:pPr>
      <w:r>
        <w:rPr>
          <w:rStyle w:val="kleinschrift"/>
        </w:rPr>
        <w:t>4</w:t>
      </w:r>
      <w:r>
        <w:t xml:space="preserve">Hat das Arbeitsverhältnis erst nach dem 30. Juni des vorangegangenen Kalenderjahres oder erst in dem laufenden Kalenderjahr begonnen, treten als Berechnungszeitraum für den Aufschlag an die Stelle des vorangegangenen Kalenderjahres die vor dem Beginn des Urlaubs liegenden vollen Kalendermonate, in denen das Arbeitsverhältnis bestanden hat. </w:t>
      </w:r>
      <w:r>
        <w:rPr>
          <w:rStyle w:val="kleinschrift"/>
        </w:rPr>
        <w:t>5</w:t>
      </w:r>
      <w:r>
        <w:t xml:space="preserve">Hat das Arbeitsverhältnis bei Beginn des Urlaubs mindestens sechs volle Kalendermonate bestanden, bleibt der danach berechnete Aufschlag für den Rest des Urlaubsjahres maßgebend. </w:t>
      </w:r>
    </w:p>
    <w:p w:rsidR="00BE1EFE" w:rsidRDefault="00BE1EFE">
      <w:pPr>
        <w:pStyle w:val="StandardWeb"/>
      </w:pPr>
      <w:r>
        <w:rPr>
          <w:rStyle w:val="kleinschrift"/>
        </w:rPr>
        <w:lastRenderedPageBreak/>
        <w:t>6</w:t>
      </w:r>
      <w:r>
        <w:t xml:space="preserve">Ändert sich die arbeitsvertraglich vereinbarte regelmäßige Arbeitszeit (§ 34) oder die regelmäßige Arbeitszeit (§ 15 Abs. 1 bis 4 und die entsprechenden Sonderregelungen hierzu) – mit Ausnahme allgemeiner Veränderungen der Arbeitszeit –, sind Berechnungszeitraum für den Aufschlag die nach der Änderung der Arbeitszeit und vor dem Beginn des Urlaubs liegenden vollen Kalendermonate. </w:t>
      </w:r>
      <w:r>
        <w:rPr>
          <w:rStyle w:val="kleinschrift"/>
        </w:rPr>
        <w:t>7</w:t>
      </w:r>
      <w:r>
        <w:t xml:space="preserve">Unterabs. 3 Satz 2 gilt entsprechend. </w:t>
      </w:r>
    </w:p>
    <w:p w:rsidR="00BE1EFE" w:rsidRDefault="00BE1EFE">
      <w:pPr>
        <w:pStyle w:val="StandardWeb"/>
      </w:pPr>
      <w:r>
        <w:rPr>
          <w:rStyle w:val="kleinschrift"/>
        </w:rPr>
        <w:t>8</w:t>
      </w:r>
      <w:r>
        <w:t>Sind nach Ablauf des Berechnungszeitraumes allgemeine Vergütungserhöhungen eingetreten, erhöht sich der Aufschlag</w:t>
      </w:r>
      <w:r w:rsidRPr="00E46EA2">
        <w:rPr>
          <w:vertAlign w:val="superscript"/>
        </w:rPr>
        <w:t>1</w:t>
      </w:r>
      <w:r>
        <w:t xml:space="preserve"> nach Unterabs. 2 um 80 v. H. analog einer Vergütungsänderung gemäß § 26 Abs. 3.</w:t>
      </w:r>
    </w:p>
    <w:p w:rsidR="00BE1EFE" w:rsidRDefault="00BE1EFE">
      <w:pPr>
        <w:pStyle w:val="StandardWeb"/>
      </w:pPr>
      <w:r>
        <w:rPr>
          <w:vertAlign w:val="superscript"/>
        </w:rPr>
        <w:t>1</w:t>
      </w:r>
      <w:r w:rsidRPr="009C6551">
        <w:rPr>
          <w:rStyle w:val="kleinschrift1"/>
        </w:rPr>
        <w:t>Der Aufschlag beträgt seit 01. 04. 99 in den Fällen des Abs. 2 Unterabs. 5 2,48 v. H. (80 v. H. von 1,3 v. H.) der allgemeinen Vergütungserhöhung.</w:t>
      </w:r>
    </w:p>
    <w:p w:rsidR="00BE1EFE" w:rsidRDefault="00BE1EFE">
      <w:pPr>
        <w:pStyle w:val="StandardWeb"/>
      </w:pPr>
      <w:r>
        <w:t>(3) Der Urlaubsanspruch kann erst nach Ablauf von sechs Monaten, bei Jugendlichen nach Ablauf von drei Monaten, nach der Einstellung geltend gemacht werden, es sei denn, dass der Angestellte vorher ausscheidet.</w:t>
      </w:r>
    </w:p>
    <w:p w:rsidR="00BE1EFE" w:rsidRDefault="00BE1EFE">
      <w:pPr>
        <w:pStyle w:val="StandardWeb"/>
      </w:pPr>
      <w:r>
        <w:t xml:space="preserve">(4) </w:t>
      </w:r>
      <w:r w:rsidRPr="0074457C">
        <w:rPr>
          <w:i/>
        </w:rPr>
        <w:t>(frei)</w:t>
      </w:r>
    </w:p>
    <w:p w:rsidR="00BE1EFE" w:rsidRDefault="00BE1EFE">
      <w:pPr>
        <w:pStyle w:val="StandardWeb"/>
      </w:pPr>
      <w:r>
        <w:t>(5) Urlaub, der dem Angestellten in einem früheren Beschäftigungsverhältnis für Monate gewährt worden ist, die in sein jetziges Angestelltenverhältnis fallen, wird auf den Urlaub angerechnet.</w:t>
      </w:r>
    </w:p>
    <w:p w:rsidR="00BE1EFE" w:rsidRDefault="00BE1EFE">
      <w:pPr>
        <w:pStyle w:val="StandardWeb"/>
      </w:pPr>
      <w:r>
        <w:t>(6) </w:t>
      </w:r>
      <w:r>
        <w:rPr>
          <w:rStyle w:val="kleinschrift"/>
        </w:rPr>
        <w:t>1</w:t>
      </w:r>
      <w:r>
        <w:t xml:space="preserve">Der Urlaub soll grundsätzlich zusammenhängend gewährt werden. </w:t>
      </w:r>
      <w:r>
        <w:rPr>
          <w:rStyle w:val="kleinschrift"/>
        </w:rPr>
        <w:t>2</w:t>
      </w:r>
      <w:r>
        <w:t xml:space="preserve">Er kann auf Wunsch des Angestellten in zwei Teilen genommen werden, dabei muss jedoch ein Urlaubsteil so bemessen sein, dass der Angestellte mindestens für zwei volle Wochen von der Arbeit befreit ist. </w:t>
      </w:r>
    </w:p>
    <w:p w:rsidR="00BE1EFE" w:rsidRDefault="00BE1EFE">
      <w:pPr>
        <w:pStyle w:val="StandardWeb"/>
      </w:pPr>
      <w:r>
        <w:rPr>
          <w:rStyle w:val="kleinschrift"/>
        </w:rPr>
        <w:t>3</w:t>
      </w:r>
      <w:r>
        <w:t xml:space="preserve">Erkrankt der Angestellte während des Urlaubs und zeigt er dies unverzüglich an, so werden die durch ärztliches Zeugnis nachgewiesenen Krankheitstage, an denen der Angestellte arbeitsunfähig war, auf den Urlaub nicht angerechnet; § 37 a Abs. 1 gilt entsprechend. </w:t>
      </w:r>
      <w:r>
        <w:rPr>
          <w:rStyle w:val="kleinschrift"/>
        </w:rPr>
        <w:t>4</w:t>
      </w:r>
      <w:r>
        <w:t xml:space="preserve">Der Angestellte hat sich nach planmäßigem Ablauf seines Urlaubs oder, falls die Krankheit länger dauert, nach Wiederherstellung der Arbeitsfähigkeit zur Arbeitsleistung zur Verfügung zu stellen. </w:t>
      </w:r>
      <w:r>
        <w:rPr>
          <w:rStyle w:val="kleinschrift"/>
        </w:rPr>
        <w:t>5</w:t>
      </w:r>
      <w:r>
        <w:t xml:space="preserve">Der Antritt des restlichen Urlaubs wird erneut festgesetzt. </w:t>
      </w:r>
    </w:p>
    <w:p w:rsidR="00BE1EFE" w:rsidRDefault="00BE1EFE">
      <w:pPr>
        <w:pStyle w:val="StandardWeb"/>
      </w:pPr>
      <w:r>
        <w:rPr>
          <w:rStyle w:val="kleinschrift"/>
        </w:rPr>
        <w:t>6</w:t>
      </w:r>
      <w:r>
        <w:t>Der Urlaub ist zu gewähren, wenn der Angestellte dies im Anschluss an eine Maßnahme der medizinischen Vorsorge oder Rehabilitation (§ 37 Abs. 1 Unterabs. 2 bzw. § 71 Abs. 1 Unterabs. 2) verlangt.</w:t>
      </w:r>
    </w:p>
    <w:p w:rsidR="00BE1EFE" w:rsidRDefault="00BE1EFE">
      <w:pPr>
        <w:pStyle w:val="StandardWeb"/>
      </w:pPr>
      <w:r>
        <w:t>(7) </w:t>
      </w:r>
      <w:r>
        <w:rPr>
          <w:rStyle w:val="kleinschrift"/>
        </w:rPr>
        <w:t>1</w:t>
      </w:r>
      <w:r>
        <w:t xml:space="preserve">Der Urlaub ist spätestens bis zum Ende des Urlaubsjahres anzutreten. </w:t>
      </w:r>
    </w:p>
    <w:p w:rsidR="00BE1EFE" w:rsidRDefault="00BE1EFE">
      <w:pPr>
        <w:pStyle w:val="StandardWeb"/>
      </w:pPr>
      <w:r>
        <w:rPr>
          <w:rStyle w:val="kleinschrift"/>
        </w:rPr>
        <w:t>2</w:t>
      </w:r>
      <w:r>
        <w:t xml:space="preserve">Kann der Urlaub bis zum Ende des Urlaubsjahres nicht angetreten werden, ist er bis zum 30. April des folgenden Urlaubsjahres anzutreten. </w:t>
      </w:r>
      <w:r>
        <w:rPr>
          <w:rStyle w:val="kleinschrift"/>
        </w:rPr>
        <w:t>3</w:t>
      </w:r>
      <w:r>
        <w:t xml:space="preserve">Kann der Urlaub aus dienstlichen oder betrieblichen Gründen oder wegen Arbeitsunfähigkeit nicht bis zum 30. April angetreten werden, ist er bis zum 30. Juni anzutreten. </w:t>
      </w:r>
      <w:r>
        <w:rPr>
          <w:rStyle w:val="kleinschrift"/>
        </w:rPr>
        <w:t>4</w:t>
      </w:r>
      <w:r>
        <w:t xml:space="preserve">War ein innerhalb des Urlaubsjahres für dieses Urlaubsjahr festgelegter Urlaub auf Veranlassung des Arbeitgebers in die Zeit nach dem 31. Dezember des Urlaubsjahres verlegt worden und konnte er wegen Arbeitsunfähigkeit nicht nach Satz 2 bis zum 30. Juni angetreten werden, ist er bis zum 30. September anzutreten. </w:t>
      </w:r>
    </w:p>
    <w:p w:rsidR="00BE1EFE" w:rsidRDefault="00BE1EFE">
      <w:pPr>
        <w:pStyle w:val="StandardWeb"/>
      </w:pPr>
      <w:r>
        <w:rPr>
          <w:rStyle w:val="kleinschrift"/>
        </w:rPr>
        <w:t>5</w:t>
      </w:r>
      <w:r>
        <w:t xml:space="preserve">Läuft die Wartezeit (Abs. 3) erst im Laufe des folgenden Urlaubsjahres ab, ist der Urlaub spätestens bis zum Ende dieses Urlaubsjahres anzutreten. </w:t>
      </w:r>
    </w:p>
    <w:p w:rsidR="00BE1EFE" w:rsidRDefault="00BE1EFE">
      <w:pPr>
        <w:pStyle w:val="StandardWeb"/>
      </w:pPr>
      <w:r>
        <w:rPr>
          <w:rStyle w:val="kleinschrift"/>
        </w:rPr>
        <w:t>6</w:t>
      </w:r>
      <w:r>
        <w:t>Urlaub, der nicht innerhalb der genannten Fristen angetreten ist, verfällt.</w:t>
      </w:r>
    </w:p>
    <w:p w:rsidR="00BE1EFE" w:rsidRDefault="00BE1EFE">
      <w:pPr>
        <w:pStyle w:val="StandardWeb"/>
      </w:pPr>
      <w:r>
        <w:t>(8) Angestellte, die ohne Erlaubnis während des Urlaubs gegen Entgelt arbeiten, verlieren hierdurch den Anspruch auf die Urlaubsvergütung für die Tage der Erwerbstätigkeit.</w:t>
      </w:r>
    </w:p>
    <w:p w:rsidR="00BE1EFE" w:rsidRDefault="00BE1EFE">
      <w:pPr>
        <w:pStyle w:val="StandardWeb"/>
      </w:pPr>
    </w:p>
    <w:p w:rsidR="00BE1EFE" w:rsidRDefault="00BE1EFE">
      <w:pPr>
        <w:pStyle w:val="StandardWeb"/>
        <w:rPr>
          <w:sz w:val="12"/>
          <w:szCs w:val="12"/>
        </w:rPr>
      </w:pPr>
      <w:r w:rsidRPr="009C6551">
        <w:rPr>
          <w:rStyle w:val="kleinschrift1"/>
        </w:rPr>
        <w:t>Anmerkungen zu Abs. 2:</w:t>
      </w:r>
    </w:p>
    <w:p w:rsidR="00BE1EFE" w:rsidRDefault="00BE1EFE">
      <w:pPr>
        <w:pStyle w:val="StandardWeb"/>
        <w:rPr>
          <w:sz w:val="12"/>
          <w:szCs w:val="12"/>
        </w:rPr>
      </w:pPr>
      <w:r>
        <w:rPr>
          <w:rStyle w:val="kleinschrift1"/>
        </w:rPr>
        <w:t>1. </w:t>
      </w:r>
      <w:r w:rsidRPr="009C6551">
        <w:rPr>
          <w:rStyle w:val="kleinschrift1"/>
        </w:rPr>
        <w:t>Zu den Zulagen i. S. d. Unterabs. 1 Satz 1 und des Unterabs. 2 gehören nicht Leistungen, die aufgrund des § 42 und der Sonderregelungen hierzu gezahlt werden.</w:t>
      </w:r>
    </w:p>
    <w:p w:rsidR="00BE1EFE" w:rsidRDefault="00BE1EFE">
      <w:pPr>
        <w:pStyle w:val="StandardWeb"/>
        <w:rPr>
          <w:sz w:val="12"/>
          <w:szCs w:val="12"/>
        </w:rPr>
      </w:pPr>
      <w:r>
        <w:rPr>
          <w:rStyle w:val="kleinschrift1"/>
        </w:rPr>
        <w:t>2. </w:t>
      </w:r>
      <w:r w:rsidRPr="009C6551">
        <w:rPr>
          <w:rStyle w:val="kleinschrift1"/>
        </w:rPr>
        <w:t>Der Tagesdurchschnitt nach Unterabs. 2 beträgt bei der Verteilung der durchschnittlichen regelmäßigen wöchentlichen Arbeitszeit auf fünf Tage 3/65, bei der Verteilung auf sechs Tage 1/26 des Monatsdurchschnitts aus der Summe der Zulagen, die nicht in Monatsbeträgen festgelegt sind, der Zeitzuschläge nach § 35 Abs. 1 Satz 2 Buchst. b bis f, der Über</w:t>
      </w:r>
      <w:r>
        <w:rPr>
          <w:rStyle w:val="kleinschrift1"/>
        </w:rPr>
        <w:softHyphen/>
      </w:r>
      <w:r w:rsidRPr="009C6551">
        <w:rPr>
          <w:rStyle w:val="kleinschrift1"/>
        </w:rPr>
        <w:t xml:space="preserve">stundenvergütungen, des Zeitzuschlags nach § 35 Abs. 1 Satz 2 Buchst. a für ausgeglichene Überstunden, der Bezüge nach § 34 Abs. 1 Unterabs. 1 Satz 3, der Vergütungen für Bereitschaftsdienst und der Vergütungen für Rufbereitschaft, die für das vorangegangene Kalenderjahr zugestanden haben. Ist die durchschnittliche regelmäßige wöchentliche Arbeitszeit weder auf fünf noch auf sechs Tage verteilt, ist der Tagesdurchschnitt entsprechend zu ermitteln. Maßgebend ist die Verteilung der Arbeitszeit zu Beginn des Kalenderjahres. Bei der Berechnung des Monatsdurchschnitts bleiben die Kalendermonate unberücksichtigt, für die dem Angestellten weder Vergütung noch Urlaubsvergütung noch Krankenbezüge (§ 37 bzw. § 71) zugestanden haben. Außerdem bleibt bei der Berechnung des Monatsdurchschnitts die Zeit vor dem Beginn des dritten vollen </w:t>
      </w:r>
      <w:r w:rsidRPr="009C6551">
        <w:rPr>
          <w:rStyle w:val="kleinschrift1"/>
        </w:rPr>
        <w:lastRenderedPageBreak/>
        <w:t>Kalendermonats des Bestehens des Angestelltenverhältnisses unberücksichtigt. Sind nach Unterabs. 3 oder Unterabs. 4 Berechnungszeitraum die vor dem Beginn des Urlaubs liegenden vollen Kalendermonate, treten diese an die Stelle der Kalendermonate des vorangegangenen Kalenderjahres. Maßgebend ist die Verteilung der Arbeitszeit zu Beginn des Arbeitsverhältnisses bzw. zu Beginn des Zeitraumes, von dem an die Arbeitszeit geändert worden ist.</w:t>
      </w:r>
    </w:p>
    <w:p w:rsidR="00BE1EFE" w:rsidRDefault="00BE1EFE">
      <w:pPr>
        <w:pStyle w:val="StandardWeb"/>
        <w:rPr>
          <w:sz w:val="12"/>
          <w:szCs w:val="12"/>
        </w:rPr>
      </w:pPr>
      <w:r>
        <w:rPr>
          <w:rStyle w:val="kleinschrift1"/>
        </w:rPr>
        <w:t>3. </w:t>
      </w:r>
      <w:r w:rsidRPr="009C6551">
        <w:rPr>
          <w:rStyle w:val="kleinschrift1"/>
        </w:rPr>
        <w:t>Als Zulagen, die in Monatsbeträgen festgelegt sind, gelten auch Monatspauschalen der in Unterabs. 2 genannten Bezüge. Solange die Monatspauschale zusteht, sind die entsprechenden Bezüge bei der Errechnung des Aufschlags nicht zu berücksichtigen. Steht die Monatspauschale nicht mehr zu, sind für die bisher pauschalierten Bezüge Berechnungszeitraum für den Aufschlag die nach Wegfall der Monatspauschale und vor dem Beginn des Urlaubs liegenden vollen Kalendermonate.</w:t>
      </w:r>
    </w:p>
    <w:p w:rsidR="00BE1EFE" w:rsidRDefault="00BE1EFE">
      <w:pPr>
        <w:pStyle w:val="StandardWeb"/>
        <w:rPr>
          <w:sz w:val="12"/>
          <w:szCs w:val="12"/>
        </w:rPr>
      </w:pPr>
      <w:r>
        <w:rPr>
          <w:rStyle w:val="kleinschrift1"/>
        </w:rPr>
        <w:t>4. </w:t>
      </w:r>
      <w:r w:rsidRPr="009C6551">
        <w:rPr>
          <w:rStyle w:val="kleinschrift1"/>
        </w:rPr>
        <w:t>Bei Anwendung der Unterabs. 3 und 4 stehen dem Beginn des Urlaubs gleich</w:t>
      </w:r>
    </w:p>
    <w:p w:rsidR="00BE1EFE" w:rsidRDefault="00BE1EFE">
      <w:pPr>
        <w:pStyle w:val="StandardWeb"/>
        <w:rPr>
          <w:sz w:val="12"/>
          <w:szCs w:val="12"/>
        </w:rPr>
      </w:pPr>
      <w:r>
        <w:rPr>
          <w:rStyle w:val="kleinschrift1"/>
        </w:rPr>
        <w:t>a) </w:t>
      </w:r>
      <w:r w:rsidRPr="009C6551">
        <w:rPr>
          <w:rStyle w:val="kleinschrift1"/>
        </w:rPr>
        <w:t>aufgehoben</w:t>
      </w:r>
    </w:p>
    <w:p w:rsidR="00BE1EFE" w:rsidRDefault="00BE1EFE">
      <w:pPr>
        <w:pStyle w:val="StandardWeb"/>
        <w:rPr>
          <w:sz w:val="12"/>
          <w:szCs w:val="12"/>
        </w:rPr>
      </w:pPr>
      <w:r>
        <w:rPr>
          <w:rStyle w:val="kleinschrift1"/>
        </w:rPr>
        <w:t>b) </w:t>
      </w:r>
      <w:r w:rsidRPr="009C6551">
        <w:rPr>
          <w:rStyle w:val="kleinschrift1"/>
        </w:rPr>
        <w:t>der Zeitpunkt, von dem an nach § 37 bzw. § 71 Krankenbezüge zu zahlen sind,</w:t>
      </w:r>
    </w:p>
    <w:p w:rsidR="00BE1EFE" w:rsidRDefault="00BE1EFE">
      <w:pPr>
        <w:pStyle w:val="StandardWeb"/>
        <w:rPr>
          <w:sz w:val="12"/>
          <w:szCs w:val="12"/>
        </w:rPr>
      </w:pPr>
      <w:r>
        <w:rPr>
          <w:rStyle w:val="kleinschrift1"/>
        </w:rPr>
        <w:t>c) </w:t>
      </w:r>
      <w:r w:rsidRPr="0074457C">
        <w:rPr>
          <w:rStyle w:val="kleinschrift1"/>
          <w:i/>
        </w:rPr>
        <w:t>(frei)</w:t>
      </w:r>
    </w:p>
    <w:p w:rsidR="00BE1EFE" w:rsidRDefault="00BE1EFE">
      <w:pPr>
        <w:pStyle w:val="StandardWeb"/>
      </w:pPr>
      <w:r w:rsidRPr="009C6551">
        <w:rPr>
          <w:rStyle w:val="kleinschrift1"/>
        </w:rPr>
        <w:t>d) der Erste des Kalendermonats, nach dem die Zuwendung für Angestellte zu bemessen ist.</w:t>
      </w:r>
    </w:p>
    <w:p w:rsidR="00BE1EFE" w:rsidRDefault="00BE1EFE">
      <w:pPr>
        <w:pStyle w:val="StandardWeb"/>
      </w:pPr>
    </w:p>
    <w:p w:rsidR="00BE1EFE" w:rsidRDefault="00BE1EFE" w:rsidP="003575ED">
      <w:pPr>
        <w:pStyle w:val="StandardWeb"/>
        <w:autoSpaceDE w:val="0"/>
        <w:jc w:val="left"/>
      </w:pPr>
      <w:r>
        <w:rPr>
          <w:rStyle w:val="Fett"/>
          <w:bCs/>
        </w:rPr>
        <w:t>§ 48 Dauer des Erholungsurlaubs</w:t>
      </w:r>
    </w:p>
    <w:p w:rsidR="00BE1EFE" w:rsidRDefault="00BE1EFE">
      <w:pPr>
        <w:pStyle w:val="StandardWeb"/>
        <w:jc w:val="center"/>
      </w:pPr>
    </w:p>
    <w:p w:rsidR="00BE1EFE" w:rsidRDefault="00BE1EFE">
      <w:pPr>
        <w:pStyle w:val="StandardWeb"/>
      </w:pPr>
      <w:r>
        <w:t>(1) Der Erholungsurlaub des Angestellten, dessen durchschnittliche regelmäßige wöchentliche Arbeitszeit auf fünf Arbeitstage in der Kalenderwoche verteilt ist (Fünftagewoche), beträgt</w:t>
      </w:r>
    </w:p>
    <w:p w:rsidR="00BE1EFE" w:rsidRDefault="00BE1EFE">
      <w:pPr>
        <w:pStyle w:val="StandardWeb"/>
      </w:pPr>
      <w:r>
        <w:t>__________________________________________________________________________</w:t>
      </w:r>
    </w:p>
    <w:p w:rsidR="00BE1EFE" w:rsidRDefault="00BE1EFE">
      <w:pPr>
        <w:pStyle w:val="StandardWeb"/>
      </w:pPr>
      <w:r>
        <w:t>in der Vergütungsgruppe I und I a</w:t>
      </w:r>
    </w:p>
    <w:p w:rsidR="00BE1EFE" w:rsidRDefault="00BE1EFE">
      <w:pPr>
        <w:pStyle w:val="StandardWeb"/>
      </w:pPr>
      <w:r>
        <w:t>bis zum vollendeten 30. Lebensjahr</w:t>
      </w:r>
      <w:r>
        <w:tab/>
        <w:t>26 Arbeitstage</w:t>
      </w:r>
    </w:p>
    <w:p w:rsidR="00BE1EFE" w:rsidRDefault="00BE1EFE">
      <w:pPr>
        <w:pStyle w:val="StandardWeb"/>
      </w:pPr>
      <w:r>
        <w:t>bis zum vollendeten 40. Lebensjahr</w:t>
      </w:r>
      <w:r>
        <w:tab/>
        <w:t>30 Arbeitstage</w:t>
      </w:r>
    </w:p>
    <w:p w:rsidR="00BE1EFE" w:rsidRDefault="00BE1EFE">
      <w:pPr>
        <w:pStyle w:val="StandardWeb"/>
      </w:pPr>
      <w:r>
        <w:t>nach vollendetem 40. Lebensjahr</w:t>
      </w:r>
      <w:r>
        <w:tab/>
        <w:t>30 Arbeitstage</w:t>
      </w:r>
    </w:p>
    <w:p w:rsidR="00BE1EFE" w:rsidRDefault="00BE1EFE">
      <w:pPr>
        <w:pStyle w:val="StandardWeb"/>
      </w:pPr>
      <w:r>
        <w:t>__________________________________________________________________________</w:t>
      </w:r>
    </w:p>
    <w:p w:rsidR="00BE1EFE" w:rsidRDefault="00BE1EFE">
      <w:pPr>
        <w:pStyle w:val="StandardWeb"/>
      </w:pPr>
      <w:r>
        <w:t>in der Vergütungsgruppe Ib und X</w:t>
      </w:r>
    </w:p>
    <w:p w:rsidR="00BE1EFE" w:rsidRDefault="00BE1EFE">
      <w:pPr>
        <w:pStyle w:val="StandardWeb"/>
      </w:pPr>
      <w:r>
        <w:t>bis zum vollendeten 30. Lebensjahr</w:t>
      </w:r>
      <w:r>
        <w:tab/>
        <w:t>26 Arbeitstage</w:t>
      </w:r>
    </w:p>
    <w:p w:rsidR="00BE1EFE" w:rsidRDefault="00BE1EFE">
      <w:pPr>
        <w:pStyle w:val="StandardWeb"/>
      </w:pPr>
      <w:r>
        <w:t>bis zum vollendeten 40. Lebensjahr</w:t>
      </w:r>
      <w:r>
        <w:tab/>
        <w:t>29 Arbeitstage</w:t>
      </w:r>
    </w:p>
    <w:p w:rsidR="00BE1EFE" w:rsidRDefault="00BE1EFE">
      <w:pPr>
        <w:pStyle w:val="StandardWeb"/>
      </w:pPr>
      <w:r>
        <w:t>nach vollendetem 40. Lebensjahr</w:t>
      </w:r>
      <w:r>
        <w:tab/>
        <w:t>30 Arbeitstage</w:t>
      </w:r>
    </w:p>
    <w:p w:rsidR="00BE1EFE" w:rsidRDefault="00BE1EFE">
      <w:pPr>
        <w:pStyle w:val="StandardWeb"/>
      </w:pPr>
      <w:r>
        <w:t>__________________________________________________________________________</w:t>
      </w:r>
    </w:p>
    <w:p w:rsidR="00BE1EFE" w:rsidRDefault="00BE1EFE">
      <w:pPr>
        <w:pStyle w:val="StandardWeb"/>
      </w:pPr>
    </w:p>
    <w:p w:rsidR="00BE1EFE" w:rsidRDefault="00BE1EFE">
      <w:pPr>
        <w:pStyle w:val="StandardWeb"/>
      </w:pPr>
      <w:r>
        <w:t>(2) </w:t>
      </w:r>
      <w:r w:rsidRPr="0074457C">
        <w:rPr>
          <w:i/>
        </w:rPr>
        <w:t>(frei)</w:t>
      </w:r>
    </w:p>
    <w:p w:rsidR="00BE1EFE" w:rsidRDefault="00BE1EFE">
      <w:pPr>
        <w:pStyle w:val="StandardWeb"/>
      </w:pPr>
      <w:r>
        <w:t xml:space="preserve">(3) Die Dauer des Erholungsurlaubs einschließlich eines etwaigen Zusatzurlaubs mit Ausnahme des Zusatzurlaubs nach dem </w:t>
      </w:r>
      <w:hyperlink r:id="rId727" w:tgtFrame="_blank" w:history="1">
        <w:r>
          <w:rPr>
            <w:rStyle w:val="Hyperlink"/>
          </w:rPr>
          <w:t xml:space="preserve">SGB IX </w:t>
        </w:r>
      </w:hyperlink>
      <w:r>
        <w:t>vermindert sich für jeden vollen Kalendermonat eines Sonderurlaubs nach § 50 oder eines Ruhens des Arbeitsverhältnisses nach § 59 Abs. 1 Unterabs. 1 Satz 5 um ein Zwölftel. Die Verminderung unterbleibt für drei Kalendermonate eines Sonderurlaubs zum Zwecke der beruflichen Fortbildung, wenn eine Anerkennung nach § 50 Abs. 3 Satz 2 vorliegt.</w:t>
      </w:r>
    </w:p>
    <w:p w:rsidR="00BE1EFE" w:rsidRDefault="00BE1EFE">
      <w:pPr>
        <w:pStyle w:val="StandardWeb"/>
      </w:pPr>
      <w:r>
        <w:t>(4) </w:t>
      </w:r>
      <w:r>
        <w:rPr>
          <w:rStyle w:val="kleinschrift"/>
        </w:rPr>
        <w:t>1</w:t>
      </w:r>
      <w:r>
        <w:t xml:space="preserve">Arbeitstage sind alle Kalendertage, an denen der Angestellte dienstplanmäßig oder betriebsüblich zu arbeiten hat oder zu arbeiten hätte, mit Ausnahme der auf Arbeitstage fallenden gesetzlichen Feiertage, für die kein Freizeitausgleich gewährt wird. </w:t>
      </w:r>
      <w:r>
        <w:rPr>
          <w:rStyle w:val="kleinschrift"/>
        </w:rPr>
        <w:t>2</w:t>
      </w:r>
      <w:r>
        <w:t xml:space="preserve">Endet eine Arbeitsschicht nicht an dem Kalendertag, an dem sie begonnen hat, gilt als Arbeitstag der Kalendertag, an dem die Arbeitsschicht begonnen hat. </w:t>
      </w:r>
    </w:p>
    <w:p w:rsidR="00BE1EFE" w:rsidRDefault="00BE1EFE">
      <w:pPr>
        <w:pStyle w:val="StandardWeb"/>
      </w:pPr>
      <w:r>
        <w:rPr>
          <w:rStyle w:val="kleinschrift"/>
        </w:rPr>
        <w:t>3</w:t>
      </w:r>
      <w:r>
        <w:t xml:space="preserve">Ist die durchschnittliche regelmäßige wöchentliche Arbeitszeit regelmäßig oder dienstplanmäßig im Durchschnitt des Urlaubsjahres auf mehr als fünf Arbeitstage in der Kalenderwoche verteilt, erhöht sich der Urlaub für jeden zusätzlichen Arbeitstag im Urlaubsjahr um 1/260 des Urlaubs nach Abs. 1 zuzüglich eines etwaigen Zusatzurlaubs. Ein Zusatzurlaub nach § 48 a und den entsprechenden Sonderregelungen hierzu, nach dem </w:t>
      </w:r>
      <w:hyperlink r:id="rId728" w:history="1">
        <w:r w:rsidRPr="00437F7F">
          <w:rPr>
            <w:rStyle w:val="Hyperlink"/>
          </w:rPr>
          <w:t>SGB°IX</w:t>
        </w:r>
      </w:hyperlink>
      <w:r>
        <w:t xml:space="preserve"> und nach Vorschriften für politisch Verfolgte bleibt dabei unberücksichtigt. </w:t>
      </w:r>
    </w:p>
    <w:p w:rsidR="00BE1EFE" w:rsidRDefault="00BE1EFE">
      <w:pPr>
        <w:pStyle w:val="StandardWeb"/>
      </w:pPr>
      <w:r>
        <w:rPr>
          <w:rStyle w:val="kleinschrift"/>
        </w:rPr>
        <w:t>4</w:t>
      </w:r>
      <w:r>
        <w:t xml:space="preserve">Ist die durchschnittliche regelmäßige wöchentliche Arbeitszeit regelmäßig oder dienstplanmäßig im Durchschnitt des Urlaubsjahres auf weniger als fünf Arbeitstage in der Kalenderwoche verteilt, vermindert sich der Urlaub für jeden zusätzlichen arbeitsfreien Tag im Urlaubsjahr um 1/260 des Urlaubs nach Abs. 1 zuzüglich eines etwaigen Zusatzurlaubs. Ein Zusatzurlaub nach § 48 a und den entsprechenden Sonderregelungen hierzu, nach dem SGB IX und nach Vorschriften für politisch Verfolgte bleibt dabei unberücksichtigt. </w:t>
      </w:r>
    </w:p>
    <w:p w:rsidR="00BE1EFE" w:rsidRDefault="00BE1EFE">
      <w:pPr>
        <w:pStyle w:val="StandardWeb"/>
      </w:pPr>
      <w:r>
        <w:rPr>
          <w:rStyle w:val="kleinschrift"/>
        </w:rPr>
        <w:t>5</w:t>
      </w:r>
      <w:r>
        <w:t xml:space="preserve">Wird die Verteilung der durchschnittlichen regelmäßigen wöchentlichen Arbeitszeit während des Urlaubsjahres auf Dauer oder jahreszeitlich bedingt vorübergehend geändert, ist die Zahl </w:t>
      </w:r>
      <w:r>
        <w:lastRenderedPageBreak/>
        <w:t xml:space="preserve">der Arbeitstage zugrunde zu legen, die sich ergeben würde, wenn die für die Urlaubszeit maßgebende Verteilung der Arbeitszeit für das ganze Urlaubsjahr gelten würde. </w:t>
      </w:r>
    </w:p>
    <w:p w:rsidR="00BE1EFE" w:rsidRDefault="00BE1EFE">
      <w:pPr>
        <w:pStyle w:val="StandardWeb"/>
      </w:pPr>
      <w:r>
        <w:rPr>
          <w:rStyle w:val="kleinschrift"/>
        </w:rPr>
        <w:t>6</w:t>
      </w:r>
      <w:r>
        <w:t>Verbleibt nach der Berechnung des Urlaubs nach den Unterabs. 2 bis 4 ein Bruchteil eines Urlaubstages von 0,5 oder mehr, wird er auf einen vollen Urlaubstag aufgerundet; ein Bruchteil von weniger als 0,5 bleibt unberücksichtigt.</w:t>
      </w:r>
    </w:p>
    <w:p w:rsidR="00BE1EFE" w:rsidRDefault="00BE1EFE">
      <w:pPr>
        <w:pStyle w:val="StandardWeb"/>
      </w:pPr>
      <w:r>
        <w:t>(5) </w:t>
      </w:r>
      <w:r>
        <w:rPr>
          <w:rStyle w:val="kleinschrift"/>
        </w:rPr>
        <w:t>1</w:t>
      </w:r>
      <w:r>
        <w:t xml:space="preserve">Beginnt oder endet das Arbeitsverhältnis im Laufe des Urlaubsjahres, so beträgt der Urlaubsanspruch ein Zwölftel für jeden vollen Beschäftigungsmonat. </w:t>
      </w:r>
      <w:r>
        <w:rPr>
          <w:rStyle w:val="kleinschrift"/>
        </w:rPr>
        <w:t>2</w:t>
      </w:r>
      <w:r>
        <w:t xml:space="preserve">Scheidet der Angestellte wegen verminderter Erwerbsfähigkeit (§ 59) oder durch Erreichung der Altersgrenze (§ 60) aus dem Arbeitsverhältnis aus, so beträgt der Urlaubsanspruch sechs Zwölftel, wenn das Arbeitsverhältnis in der ersten Hälfte, und zwölf Zwölftel, wenn es in der zweiten Hälfte des Urlaubsjahres endet. </w:t>
      </w:r>
      <w:r>
        <w:rPr>
          <w:rStyle w:val="kleinschrift"/>
        </w:rPr>
        <w:t>3</w:t>
      </w:r>
      <w:r>
        <w:t>Satz 2 gilt nicht, wenn der Urlaub nach Abs. 3 zu vermindern ist.</w:t>
      </w:r>
    </w:p>
    <w:p w:rsidR="00BE1EFE" w:rsidRDefault="00BE1EFE">
      <w:pPr>
        <w:pStyle w:val="StandardWeb"/>
      </w:pPr>
      <w:r>
        <w:t>(5a) Vor Anwendung der Abs. 3 und 5 sind der Erholungsurlaub und ein etwaiger Zusatzurlaub mit Ausnahme des Zusatzurlaubs nach dem SGB IX zusammenzurechnen.</w:t>
      </w:r>
    </w:p>
    <w:p w:rsidR="00BE1EFE" w:rsidRDefault="00BE1EFE">
      <w:pPr>
        <w:pStyle w:val="StandardWeb"/>
      </w:pPr>
      <w:r>
        <w:t>(5b) Bruchteile von Urlaubstagen werden – bei mehreren Bruchteilen nach ihrer Zusammenrechnung – einmal im Urlaubsjahr auf einen vollen Urlaubstag aufgerundet; Abs. 4 Unterabs. 5 bleibt unberührt.</w:t>
      </w:r>
    </w:p>
    <w:p w:rsidR="00BE1EFE" w:rsidRDefault="00BE1EFE">
      <w:pPr>
        <w:pStyle w:val="StandardWeb"/>
      </w:pPr>
      <w:r>
        <w:t>(6) Maßgebend für die Berechnung der Urlaubsdauer ist das Lebensjahr, das im Laufe des Urlaubsjahres vollendet wird.</w:t>
      </w:r>
    </w:p>
    <w:p w:rsidR="00BE1EFE" w:rsidRDefault="00BE1EFE">
      <w:pPr>
        <w:pStyle w:val="StandardWeb"/>
      </w:pPr>
      <w:r>
        <w:t>(7) </w:t>
      </w:r>
      <w:r>
        <w:rPr>
          <w:rStyle w:val="kleinschrift"/>
        </w:rPr>
        <w:t>1</w:t>
      </w:r>
      <w:r>
        <w:t xml:space="preserve">Der Bemessung des Urlaubs ist die Vergütungsgruppe zugrunde zu legen, in der sich der Angestellte bei Beginn des Urlaubsjahres befunden hat, bei Einstellung während des Urlaubsjahres die Vergütungsgruppe, in die er bei der Einstellung eingruppiert worden ist. </w:t>
      </w:r>
      <w:r>
        <w:rPr>
          <w:rStyle w:val="kleinschrift"/>
        </w:rPr>
        <w:t>2</w:t>
      </w:r>
      <w:r>
        <w:t>Ein Aufrücken des Angestellten während des Urlaubsjahres bleibt unberücksichtigt.</w:t>
      </w:r>
    </w:p>
    <w:p w:rsidR="00BE1EFE" w:rsidRDefault="00BE1EFE">
      <w:pPr>
        <w:pStyle w:val="StandardWeb"/>
      </w:pPr>
      <w:r>
        <w:t>(8) In den bayerischen (Erz-)Diözesen wird von der Kürzungsmöglichkeit des Jahresurlaubs gem. § 17 Bundeserziehungsgeldgesetz Gebrauch gemacht, wenn der Mitarbeiter die Elternzeit in Anspruch nimmt.</w:t>
      </w:r>
    </w:p>
    <w:p w:rsidR="00BE1EFE" w:rsidRDefault="00BE1EFE">
      <w:pPr>
        <w:pStyle w:val="StandardWeb"/>
      </w:pPr>
    </w:p>
    <w:p w:rsidR="00BE1EFE" w:rsidRDefault="00BE1EFE" w:rsidP="003575ED">
      <w:pPr>
        <w:pStyle w:val="StandardWeb"/>
        <w:autoSpaceDE w:val="0"/>
        <w:jc w:val="left"/>
      </w:pPr>
      <w:r>
        <w:rPr>
          <w:rStyle w:val="Fett"/>
          <w:bCs/>
        </w:rPr>
        <w:t>§ 48 a Zusatzurlaub für Wechselschichtarbeit, Schichtarbeit und Nachtarbeit</w:t>
      </w:r>
    </w:p>
    <w:p w:rsidR="00BE1EFE" w:rsidRDefault="00BE1EFE">
      <w:pPr>
        <w:pStyle w:val="StandardWeb"/>
        <w:jc w:val="center"/>
      </w:pPr>
    </w:p>
    <w:p w:rsidR="00BE1EFE" w:rsidRDefault="00BE1EFE">
      <w:pPr>
        <w:pStyle w:val="StandardWeb"/>
      </w:pPr>
      <w:r>
        <w:t>(1) Der Angestellte, der ständig nach einem Schichtplan (Dienstplan) eingesetzt ist, der einen regelmäßigen Wechsel der täglichen Arbeitszeit in Wechselschichten (§ 15 Abs. 8 Unterabs. 6 Satz 2) vorsieht und dabei in einem Urlaubsjahr in je fünf Wochen durchschnittlich mindestens 40 Arbeitsstunden in der dienstplanmäßigen oder betriebsüblichen Nachtschicht leistet, erhält Zusatzurlaub. Unterabs. 1 gilt auch, wenn Wechselschichten (§ 15 Abs. 8 Unterabs. 6 Satz 2) nur deshalb nicht vorliegen, weil der Schichtplan (Dienstplan) eine Unterbrechung der Arbeit am Wochenende von höchstens 48 Stunden vorsieht.</w:t>
      </w:r>
    </w:p>
    <w:p w:rsidR="00BE1EFE" w:rsidRDefault="00BE1EFE">
      <w:pPr>
        <w:pStyle w:val="StandardWeb"/>
      </w:pPr>
      <w:r>
        <w:t>(2) Der Zusatzurlaub nach Abs. 1 beträgt bei einer entsprechenden Arbeitsleistung im Kalenderjahr.</w:t>
      </w:r>
    </w:p>
    <w:p w:rsidR="00BE1EFE" w:rsidRDefault="00BE1EFE">
      <w:pPr>
        <w:pStyle w:val="StandardWeb"/>
      </w:pPr>
      <w:r>
        <w:t>-------------------------------------------------------------------------------------------------------------</w:t>
      </w:r>
    </w:p>
    <w:p w:rsidR="00BE1EFE" w:rsidRDefault="00BE1EFE">
      <w:pPr>
        <w:pStyle w:val="StandardWeb"/>
      </w:pPr>
      <w:r>
        <w:t>bei der Fünftagewoche</w:t>
      </w:r>
    </w:p>
    <w:p w:rsidR="00BE1EFE" w:rsidRDefault="00BE1EFE">
      <w:pPr>
        <w:pStyle w:val="StandardWeb"/>
      </w:pPr>
      <w:r>
        <w:t>an mindestens 87 Arbeitstagen</w:t>
      </w:r>
      <w:r>
        <w:tab/>
      </w:r>
      <w:r>
        <w:tab/>
        <w:t>1 Arbeitstag im Urlaubsjahr</w:t>
      </w:r>
    </w:p>
    <w:p w:rsidR="00BE1EFE" w:rsidRDefault="00BE1EFE">
      <w:pPr>
        <w:pStyle w:val="StandardWeb"/>
      </w:pPr>
      <w:r>
        <w:t>an mindestens 130 Arbeitstagen</w:t>
      </w:r>
      <w:r>
        <w:tab/>
      </w:r>
      <w:r>
        <w:tab/>
        <w:t>2 Arbeitstage im Urlaubsjahr</w:t>
      </w:r>
    </w:p>
    <w:p w:rsidR="00BE1EFE" w:rsidRDefault="00BE1EFE">
      <w:pPr>
        <w:pStyle w:val="StandardWeb"/>
      </w:pPr>
      <w:r>
        <w:t>an mindestens 173 Arbeitstagen</w:t>
      </w:r>
      <w:r>
        <w:tab/>
      </w:r>
      <w:r>
        <w:tab/>
        <w:t>3 Arbeitstage im Urlaubsjahr</w:t>
      </w:r>
    </w:p>
    <w:p w:rsidR="00BE1EFE" w:rsidRDefault="00BE1EFE">
      <w:pPr>
        <w:pStyle w:val="StandardWeb"/>
      </w:pPr>
      <w:r>
        <w:t>an mindestens 195 Arbeitstagen</w:t>
      </w:r>
      <w:r>
        <w:tab/>
      </w:r>
      <w:r>
        <w:tab/>
        <w:t>4 Arbeitstage im Urlaubsjahr</w:t>
      </w:r>
    </w:p>
    <w:p w:rsidR="00BE1EFE" w:rsidRDefault="00BE1EFE">
      <w:pPr>
        <w:pStyle w:val="StandardWeb"/>
      </w:pPr>
      <w:r>
        <w:t>--------------------------------------------------------------------------------------------------------------</w:t>
      </w:r>
    </w:p>
    <w:p w:rsidR="00BE1EFE" w:rsidRDefault="00BE1EFE">
      <w:pPr>
        <w:pStyle w:val="StandardWeb"/>
      </w:pPr>
      <w:r>
        <w:t>bei der Sechstagewoche</w:t>
      </w:r>
    </w:p>
    <w:p w:rsidR="00BE1EFE" w:rsidRDefault="00BE1EFE">
      <w:pPr>
        <w:pStyle w:val="StandardWeb"/>
      </w:pPr>
      <w:r>
        <w:t>an mindestens 104 Arbeitstagen</w:t>
      </w:r>
      <w:r>
        <w:tab/>
      </w:r>
      <w:r>
        <w:tab/>
        <w:t>1 Arbeitstag im Urlaubsjahr</w:t>
      </w:r>
    </w:p>
    <w:p w:rsidR="00BE1EFE" w:rsidRDefault="00BE1EFE">
      <w:pPr>
        <w:pStyle w:val="StandardWeb"/>
      </w:pPr>
      <w:r>
        <w:t>an mindestens 156 Arbeitstagen</w:t>
      </w:r>
      <w:r>
        <w:tab/>
      </w:r>
      <w:r>
        <w:tab/>
        <w:t>2 Arbeitstage im Urlaubsjahr</w:t>
      </w:r>
    </w:p>
    <w:p w:rsidR="00BE1EFE" w:rsidRDefault="00BE1EFE">
      <w:pPr>
        <w:pStyle w:val="StandardWeb"/>
      </w:pPr>
      <w:r>
        <w:t>an mindestens 208 Arbeitstagen</w:t>
      </w:r>
      <w:r>
        <w:tab/>
      </w:r>
      <w:r>
        <w:tab/>
        <w:t>3 Arbeitstage im Urlaubsjahr</w:t>
      </w:r>
    </w:p>
    <w:p w:rsidR="00BE1EFE" w:rsidRDefault="00BE1EFE">
      <w:pPr>
        <w:pStyle w:val="StandardWeb"/>
      </w:pPr>
      <w:r>
        <w:t>an mindestens 234 Arbeitstagen</w:t>
      </w:r>
      <w:r>
        <w:tab/>
      </w:r>
      <w:r>
        <w:tab/>
        <w:t>4 Arbeitstage im Urlaubsjahr</w:t>
      </w:r>
    </w:p>
    <w:p w:rsidR="00BE1EFE" w:rsidRDefault="00BE1EFE">
      <w:pPr>
        <w:pStyle w:val="StandardWeb"/>
      </w:pPr>
    </w:p>
    <w:p w:rsidR="00BE1EFE" w:rsidRDefault="00BE1EFE">
      <w:pPr>
        <w:pStyle w:val="StandardWeb"/>
      </w:pPr>
      <w:r>
        <w:t>§ 48 Abs. 4 Unterabs. 1 Satz 2 gilt entsprechend.</w:t>
      </w:r>
    </w:p>
    <w:p w:rsidR="00BE1EFE" w:rsidRDefault="00BE1EFE">
      <w:pPr>
        <w:pStyle w:val="StandardWeb"/>
      </w:pPr>
    </w:p>
    <w:p w:rsidR="00BE1EFE" w:rsidRDefault="00BE1EFE">
      <w:pPr>
        <w:pStyle w:val="StandardWeb"/>
      </w:pPr>
      <w:r>
        <w:lastRenderedPageBreak/>
        <w:t>(3) Der Angestellte, der die Voraussetzungen des Abs. 1 nicht erfüllt, jedoch seine Arbeit nach einem Schichtplan (Dienstplan) zu erheblich unterschiedlichen Zeiten (in Schichtarbeit oder im häufigen unregelmäßigen Wechsel mit Abweichungen von mindestens drei Stunden) beginnt oder beendet, erhält bei einer Leistung im Kalenderjahr</w:t>
      </w:r>
    </w:p>
    <w:p w:rsidR="00BE1EFE" w:rsidRDefault="00BE1EFE">
      <w:pPr>
        <w:pStyle w:val="StandardWeb"/>
      </w:pPr>
      <w:r>
        <w:t>von mindestens</w:t>
      </w:r>
    </w:p>
    <w:p w:rsidR="00BE1EFE" w:rsidRDefault="00BE1EFE">
      <w:pPr>
        <w:pStyle w:val="StandardWeb"/>
      </w:pPr>
      <w:r>
        <w:t>110 Nachtarbeitsstunden</w:t>
      </w:r>
      <w:r>
        <w:tab/>
      </w:r>
      <w:r>
        <w:tab/>
      </w:r>
      <w:r>
        <w:tab/>
        <w:t>1 Arbeitstag,</w:t>
      </w:r>
    </w:p>
    <w:p w:rsidR="00BE1EFE" w:rsidRDefault="00BE1EFE">
      <w:pPr>
        <w:pStyle w:val="StandardWeb"/>
      </w:pPr>
      <w:r>
        <w:t>220 Nachtarbeitsstunden</w:t>
      </w:r>
      <w:r>
        <w:tab/>
      </w:r>
      <w:r>
        <w:tab/>
      </w:r>
      <w:r>
        <w:tab/>
        <w:t>2 Arbeitstage,</w:t>
      </w:r>
    </w:p>
    <w:p w:rsidR="00BE1EFE" w:rsidRDefault="00BE1EFE">
      <w:pPr>
        <w:pStyle w:val="StandardWeb"/>
      </w:pPr>
      <w:r>
        <w:t>330 Nachtarbeitsstunden</w:t>
      </w:r>
      <w:r>
        <w:tab/>
      </w:r>
      <w:r>
        <w:tab/>
      </w:r>
      <w:r>
        <w:tab/>
        <w:t>3 Arbeitstage,</w:t>
      </w:r>
    </w:p>
    <w:p w:rsidR="00BE1EFE" w:rsidRDefault="00BE1EFE">
      <w:pPr>
        <w:pStyle w:val="StandardWeb"/>
      </w:pPr>
      <w:r>
        <w:t>450 Nachtarbeitsstunden</w:t>
      </w:r>
      <w:r>
        <w:tab/>
      </w:r>
      <w:r>
        <w:tab/>
      </w:r>
      <w:r>
        <w:tab/>
        <w:t>4 Arbeitstage</w:t>
      </w:r>
    </w:p>
    <w:p w:rsidR="00BE1EFE" w:rsidRDefault="00BE1EFE">
      <w:pPr>
        <w:pStyle w:val="StandardWeb"/>
      </w:pPr>
      <w:r>
        <w:t>Zusatzurlaub im Urlaubsjahr.</w:t>
      </w:r>
    </w:p>
    <w:p w:rsidR="00BE1EFE" w:rsidRDefault="00BE1EFE">
      <w:pPr>
        <w:pStyle w:val="StandardWeb"/>
      </w:pPr>
    </w:p>
    <w:p w:rsidR="00BE1EFE" w:rsidRDefault="00BE1EFE">
      <w:pPr>
        <w:pStyle w:val="StandardWeb"/>
      </w:pPr>
      <w:r>
        <w:t>(4) Der Angestellte, der die Voraussetzungen der Abs. 1 und 3 nicht erfüllt, erhält bei einer Leistung im Kalenderjahr von mindestens</w:t>
      </w:r>
    </w:p>
    <w:p w:rsidR="00BE1EFE" w:rsidRDefault="00BE1EFE">
      <w:pPr>
        <w:pStyle w:val="StandardWeb"/>
      </w:pPr>
      <w:r>
        <w:t>150 Nachtarbeitsstunden</w:t>
      </w:r>
      <w:r>
        <w:tab/>
      </w:r>
      <w:r>
        <w:tab/>
      </w:r>
      <w:r>
        <w:tab/>
        <w:t>1 Arbeitstag,</w:t>
      </w:r>
    </w:p>
    <w:p w:rsidR="00BE1EFE" w:rsidRDefault="00BE1EFE">
      <w:pPr>
        <w:pStyle w:val="StandardWeb"/>
      </w:pPr>
      <w:r>
        <w:t>300 Nachtarbeitsstunden</w:t>
      </w:r>
      <w:r>
        <w:tab/>
      </w:r>
      <w:r>
        <w:tab/>
      </w:r>
      <w:r>
        <w:tab/>
        <w:t>2 Arbeitstage,</w:t>
      </w:r>
    </w:p>
    <w:p w:rsidR="00BE1EFE" w:rsidRDefault="00BE1EFE">
      <w:pPr>
        <w:pStyle w:val="StandardWeb"/>
      </w:pPr>
      <w:r>
        <w:t>450 Nachtarbeitsstunden</w:t>
      </w:r>
      <w:r>
        <w:tab/>
      </w:r>
      <w:r>
        <w:tab/>
      </w:r>
      <w:r>
        <w:tab/>
        <w:t>3 Arbeitstage,</w:t>
      </w:r>
    </w:p>
    <w:p w:rsidR="00BE1EFE" w:rsidRDefault="00BE1EFE">
      <w:pPr>
        <w:pStyle w:val="StandardWeb"/>
      </w:pPr>
      <w:r>
        <w:t>600 Nachtarbeitsstunden</w:t>
      </w:r>
      <w:r>
        <w:tab/>
      </w:r>
      <w:r>
        <w:tab/>
      </w:r>
      <w:r>
        <w:tab/>
        <w:t>4 Arbeitstage</w:t>
      </w:r>
    </w:p>
    <w:p w:rsidR="00BE1EFE" w:rsidRDefault="00BE1EFE">
      <w:pPr>
        <w:pStyle w:val="StandardWeb"/>
      </w:pPr>
      <w:r>
        <w:t>Zusatzurlaub im Urlaubsjahr.</w:t>
      </w:r>
    </w:p>
    <w:p w:rsidR="00BE1EFE" w:rsidRDefault="00BE1EFE">
      <w:pPr>
        <w:pStyle w:val="StandardWeb"/>
      </w:pPr>
    </w:p>
    <w:p w:rsidR="00BE1EFE" w:rsidRDefault="00BE1EFE">
      <w:pPr>
        <w:pStyle w:val="StandardWeb"/>
      </w:pPr>
      <w:r>
        <w:t>(5) Für den Angestellten, der spätestens mit Ablauf des Urlaubsjahres, in dem der Anspruch nach Abs. 9 Satz 2 entsteht, das 50. Lebensjahr vollendet hat, erhöht sich der Zusatzurlaub um einen Arbeitstag.</w:t>
      </w:r>
    </w:p>
    <w:p w:rsidR="00BE1EFE" w:rsidRDefault="00BE1EFE">
      <w:pPr>
        <w:pStyle w:val="StandardWeb"/>
      </w:pPr>
      <w:r>
        <w:t>(6) </w:t>
      </w:r>
      <w:r>
        <w:rPr>
          <w:rStyle w:val="kleinschrift"/>
        </w:rPr>
        <w:t>1</w:t>
      </w:r>
      <w:r>
        <w:t xml:space="preserve">Bei Anwendung der Abs. 3 und 4 werden nur die im Rahmen der regelmäßigen Arbeitszeit (§ 15 Abs. 1 bis 4 und die entsprechenden Sonderregelungen hierzu) in der Zeit zwischen 20.00 Uhr und 06.00 Uhr dienstplanmäßig bzw. betriebsüblich geleisteten Arbeitsstunden berücksichtigt. </w:t>
      </w:r>
      <w:r>
        <w:rPr>
          <w:rStyle w:val="kleinschrift"/>
        </w:rPr>
        <w:t>2</w:t>
      </w:r>
      <w:r>
        <w:t>Die Abs. 3 und 4 gelten nicht, wenn die regelmäßige Arbeitszeit nach § 15 Abs. 2 Buchst. c verlängert ist.</w:t>
      </w:r>
    </w:p>
    <w:p w:rsidR="00BE1EFE" w:rsidRDefault="00BE1EFE">
      <w:pPr>
        <w:pStyle w:val="StandardWeb"/>
      </w:pPr>
      <w:r>
        <w:t>(7) Zusatzurlaub nach den Abs. 1 bis 4 darf insgesamt vier – in den Fällen des Abs. 5 fünf – Arbeitstage für das Urlaubsjahr nicht überschreiten.</w:t>
      </w:r>
    </w:p>
    <w:p w:rsidR="00BE1EFE" w:rsidRDefault="00BE1EFE">
      <w:pPr>
        <w:pStyle w:val="StandardWeb"/>
      </w:pPr>
      <w:r>
        <w:t>(8) </w:t>
      </w:r>
      <w:r>
        <w:rPr>
          <w:rStyle w:val="kleinschrift"/>
        </w:rPr>
        <w:t>1</w:t>
      </w:r>
      <w:r>
        <w:t>Bei nicht vollbeschäftigten Angestellten ist die Zahl der in den Abs. 3 und 4 geforderten Arbeitsstunden entsprechend dem Verhältnis der vereinbarten durchschnittlichen regel</w:t>
      </w:r>
      <w:r>
        <w:softHyphen/>
        <w:t xml:space="preserve">mäßigen Arbeitszeit zur regelmäßigen Arbeitszeit eines entsprechenden vollbeschäftigten Angestellten zu kürzen. </w:t>
      </w:r>
      <w:r>
        <w:rPr>
          <w:rStyle w:val="kleinschrift"/>
        </w:rPr>
        <w:t>2</w:t>
      </w:r>
      <w:r>
        <w:t>Ist die vereinbarte Arbeitszeit im Durchschnitt des Urlaubsjahres auf weniger als fünf Arbeitstage in der Kalenderwoche verteilt, ist der Zusatzurlaub in entsprechender Anwendung des § 48 Abs. 4 Unterabs. 3 Satz 1 und Unterabs. 5 zu ermitteln.</w:t>
      </w:r>
    </w:p>
    <w:p w:rsidR="00BE1EFE" w:rsidRDefault="00BE1EFE">
      <w:pPr>
        <w:pStyle w:val="StandardWeb"/>
      </w:pPr>
      <w:r>
        <w:t>(9) </w:t>
      </w:r>
      <w:r>
        <w:rPr>
          <w:rStyle w:val="kleinschrift"/>
        </w:rPr>
        <w:t>1</w:t>
      </w:r>
      <w:r>
        <w:t xml:space="preserve">Der Zusatzurlaub bemisst sich nach der bei demselben Arbeitgeber im vorangegangenen Kalenderjahr erbrachten Arbeitsleistung. </w:t>
      </w:r>
      <w:r>
        <w:rPr>
          <w:rStyle w:val="kleinschrift"/>
        </w:rPr>
        <w:t>2</w:t>
      </w:r>
      <w:r>
        <w:t>Der Anspruch auf Zusatzurlaub entsteht mit Beginn des auf die Arbeitsleistung folgenden Urlaubsjahres.</w:t>
      </w:r>
    </w:p>
    <w:p w:rsidR="00BE1EFE" w:rsidRDefault="00BE1EFE">
      <w:pPr>
        <w:pStyle w:val="StandardWeb"/>
      </w:pPr>
      <w:r>
        <w:t>(10) Auf den Zusatzurlaub werden Zusatzurlaub und zusätzlich freie Tage angerechnet, die nach anderen Regelungen wegen Wechselschicht-, Schicht- oder Nachtarbeit zustehen.</w:t>
      </w:r>
    </w:p>
    <w:p w:rsidR="00BE1EFE" w:rsidRDefault="00BE1EFE">
      <w:pPr>
        <w:pStyle w:val="StandardWeb"/>
      </w:pPr>
      <w:r>
        <w:t>(11) </w:t>
      </w:r>
      <w:r>
        <w:rPr>
          <w:rStyle w:val="kleinschrift"/>
        </w:rPr>
        <w:t>1</w:t>
      </w:r>
      <w:r>
        <w:t xml:space="preserve">Die Abs. 1 bis 10 gelten nicht für Angestellte, die nach einem Schichtplan (Dienstplan) eingesetzt sind, der für den Regelfall Schichten von 24 Stunden Dauer vorsieht. </w:t>
      </w:r>
      <w:r>
        <w:rPr>
          <w:rStyle w:val="kleinschrift"/>
        </w:rPr>
        <w:t>2</w:t>
      </w:r>
      <w:r>
        <w:t>Ist die Arbeitszeit in nicht unerheblichem Umfang anders gestaltet, gelten die Abs. 3 bis 10 für Zeiten der Arbeitsleistung (nicht Arbeitsbereitschaft und Ruhezeit).</w:t>
      </w:r>
    </w:p>
    <w:p w:rsidR="00BE1EFE" w:rsidRDefault="00BE1EFE">
      <w:pPr>
        <w:pStyle w:val="StandardWeb"/>
        <w:rPr>
          <w:sz w:val="12"/>
          <w:szCs w:val="12"/>
        </w:rPr>
      </w:pPr>
      <w:r w:rsidRPr="009C6551">
        <w:rPr>
          <w:rStyle w:val="kleinschrift1"/>
        </w:rPr>
        <w:t>Anmerkung zu Abs. 2:</w:t>
      </w:r>
    </w:p>
    <w:p w:rsidR="00BE1EFE" w:rsidRDefault="00BE1EFE">
      <w:pPr>
        <w:pStyle w:val="StandardWeb"/>
      </w:pPr>
      <w:r w:rsidRPr="009C6551">
        <w:rPr>
          <w:rStyle w:val="kleinschrift1"/>
        </w:rPr>
        <w:t>Bei anderweitiger Verteilung der wöchentlichen Arbeitszeit ist die Zahl der Tage der Arbeitsleistung entsprechend zu ermitteln.</w:t>
      </w:r>
    </w:p>
    <w:p w:rsidR="00BE1EFE" w:rsidRDefault="00BE1EFE">
      <w:pPr>
        <w:pStyle w:val="StandardWeb"/>
      </w:pPr>
    </w:p>
    <w:p w:rsidR="00BE1EFE" w:rsidRDefault="00BE1EFE" w:rsidP="003575ED">
      <w:pPr>
        <w:pStyle w:val="StandardWeb"/>
        <w:autoSpaceDE w:val="0"/>
        <w:jc w:val="left"/>
      </w:pPr>
      <w:r>
        <w:rPr>
          <w:rStyle w:val="Fett"/>
          <w:bCs/>
        </w:rPr>
        <w:t>§ 49 Zusatzurlaub</w:t>
      </w:r>
    </w:p>
    <w:p w:rsidR="00BE1EFE" w:rsidRDefault="00BE1EFE">
      <w:pPr>
        <w:pStyle w:val="StandardWeb"/>
        <w:jc w:val="center"/>
      </w:pPr>
    </w:p>
    <w:p w:rsidR="00BE1EFE" w:rsidRDefault="00BE1EFE">
      <w:pPr>
        <w:pStyle w:val="StandardWeb"/>
      </w:pPr>
      <w:r>
        <w:t>(1) </w:t>
      </w:r>
      <w:r>
        <w:rPr>
          <w:rStyle w:val="kleinschrift"/>
        </w:rPr>
        <w:t>1</w:t>
      </w:r>
      <w:r>
        <w:t xml:space="preserve">Für die Gewährung eines Zusatzurlaubs gelten hinsichtlich des Grundes und der Dauer unbeschadet einer künftigen gemeinsamen Regelung die bis zum 18. 10.1988 geltenden diözesanen Regelungen und ab dem 19. 10. 1988 erlassene diözesane Regelungen, soweit </w:t>
      </w:r>
      <w:r>
        <w:lastRenderedPageBreak/>
        <w:t xml:space="preserve">sie in Absprache mit den Mitarbeitervertretungen bis zum 31.12.1996 getroffen wurden. </w:t>
      </w:r>
      <w:r>
        <w:rPr>
          <w:rStyle w:val="kleinschrift"/>
        </w:rPr>
        <w:t>2</w:t>
      </w:r>
      <w:r>
        <w:t>Dies gilt nicht für Bestimmungen über einen Zusatzurlaub der in § 48 a geregelten Art.</w:t>
      </w:r>
    </w:p>
    <w:p w:rsidR="00BE1EFE" w:rsidRDefault="00BE1EFE">
      <w:pPr>
        <w:pStyle w:val="StandardWeb"/>
      </w:pPr>
      <w:r>
        <w:t>(2) </w:t>
      </w:r>
      <w:r>
        <w:rPr>
          <w:rStyle w:val="kleinschrift"/>
        </w:rPr>
        <w:t>1</w:t>
      </w:r>
      <w:r>
        <w:t xml:space="preserve">Zusatzurlaub nach dem ABD und nach sonstigen Bestimmungen wird nur bis zu insgesamt fünf Arbeitstage im Urlaubsjahr gewährt. Erholungsurlaub und Zusatzurlaub (Gesamturlaub) dürfen im Urlaubsjahr zusammen 34 Arbeitstage nicht überschreiten. </w:t>
      </w:r>
    </w:p>
    <w:p w:rsidR="00BE1EFE" w:rsidRDefault="00BE1EFE">
      <w:pPr>
        <w:pStyle w:val="StandardWeb"/>
      </w:pPr>
      <w:r>
        <w:rPr>
          <w:rStyle w:val="kleinschrift"/>
        </w:rPr>
        <w:t>2</w:t>
      </w:r>
      <w:r>
        <w:t xml:space="preserve">Unterabs. 1 ist auf Zusatzurlaub nach dem </w:t>
      </w:r>
      <w:hyperlink r:id="rId729" w:history="1">
        <w:r w:rsidRPr="00437F7F">
          <w:rPr>
            <w:rStyle w:val="Hyperlink"/>
          </w:rPr>
          <w:t>SGB IX</w:t>
        </w:r>
      </w:hyperlink>
      <w:r>
        <w:t xml:space="preserve"> oder nach Vorschriften für politisch Verfolgte, Unterabs. 1 Satz 2 auf Zusatzurlaub nach § 48 a und den entsprechenden Sonderregelungen hierzu nicht anzuwenden. </w:t>
      </w:r>
    </w:p>
    <w:p w:rsidR="00BE1EFE" w:rsidRDefault="00BE1EFE">
      <w:pPr>
        <w:pStyle w:val="StandardWeb"/>
      </w:pPr>
      <w:r>
        <w:rPr>
          <w:rStyle w:val="kleinschrift"/>
        </w:rPr>
        <w:t>3</w:t>
      </w:r>
      <w:r>
        <w:t>Für die Anwendung des Unterabs. 1 gilt § 48 Abs. 3 bis 5 b entsprechend.</w:t>
      </w:r>
    </w:p>
    <w:p w:rsidR="00BE1EFE" w:rsidRDefault="00BE1EFE">
      <w:pPr>
        <w:pStyle w:val="StandardWeb"/>
      </w:pPr>
    </w:p>
    <w:p w:rsidR="00BE1EFE" w:rsidRDefault="00BE1EFE" w:rsidP="003575ED">
      <w:pPr>
        <w:pStyle w:val="StandardWeb"/>
        <w:autoSpaceDE w:val="0"/>
        <w:jc w:val="left"/>
      </w:pPr>
      <w:r>
        <w:rPr>
          <w:rStyle w:val="Fett"/>
          <w:bCs/>
        </w:rPr>
        <w:t>§ 50 Sonderurlaub</w:t>
      </w:r>
    </w:p>
    <w:p w:rsidR="00BE1EFE" w:rsidRDefault="00BE1EFE">
      <w:pPr>
        <w:pStyle w:val="StandardWeb"/>
        <w:jc w:val="center"/>
      </w:pPr>
    </w:p>
    <w:p w:rsidR="00BE1EFE" w:rsidRDefault="00BE1EFE">
      <w:pPr>
        <w:pStyle w:val="StandardWeb"/>
      </w:pPr>
      <w:r>
        <w:t>(1) </w:t>
      </w:r>
      <w:r>
        <w:rPr>
          <w:rStyle w:val="kleinschrift"/>
        </w:rPr>
        <w:t>1</w:t>
      </w:r>
      <w:r>
        <w:t>Angestellten soll auf Antrag Sonderurlaub ohne Fortzahlung der Bezüge gewährt werden, wenn sie</w:t>
      </w:r>
    </w:p>
    <w:p w:rsidR="00BE1EFE" w:rsidRDefault="00BE1EFE">
      <w:pPr>
        <w:pStyle w:val="StandardWeb"/>
      </w:pPr>
      <w:r>
        <w:t>a) mindestens ein Kind unter 18 Jahren oder</w:t>
      </w:r>
    </w:p>
    <w:p w:rsidR="00BE1EFE" w:rsidRDefault="00BE1EFE">
      <w:pPr>
        <w:pStyle w:val="StandardWeb"/>
      </w:pPr>
      <w:r>
        <w:t xml:space="preserve">b) einen nach ärztlichem Gutachten pflegebedürftigen sonstigen Angehörigen tatsächlich betreuen oder pflegen und dringende dienstliche bzw. betriebliche Belange nicht entgegenstehen. </w:t>
      </w:r>
    </w:p>
    <w:p w:rsidR="00BE1EFE" w:rsidRDefault="00BE1EFE">
      <w:pPr>
        <w:pStyle w:val="StandardWeb"/>
      </w:pPr>
      <w:r>
        <w:rPr>
          <w:rStyle w:val="kleinschrift"/>
        </w:rPr>
        <w:t>2</w:t>
      </w:r>
      <w:r>
        <w:t xml:space="preserve">Der Sonderurlaub ist auf bis zu fünf Jahre zu befristen. </w:t>
      </w:r>
      <w:r>
        <w:rPr>
          <w:rStyle w:val="kleinschrift"/>
        </w:rPr>
        <w:t>3</w:t>
      </w:r>
      <w:r>
        <w:t xml:space="preserve">Er kann verlängert werden; der Antrag ist spätestens sechs Monate vor Ablauf des Sonderurlaubs zu stellen. </w:t>
      </w:r>
      <w:r>
        <w:rPr>
          <w:rStyle w:val="kleinschrift"/>
        </w:rPr>
        <w:t>4</w:t>
      </w:r>
      <w:r>
        <w:t xml:space="preserve">Der Sonderurlaub kann längstens bis zu insgesamt 12 Jahren gewährt werden. </w:t>
      </w:r>
      <w:r>
        <w:rPr>
          <w:rStyle w:val="kleinschrift"/>
        </w:rPr>
        <w:t>5</w:t>
      </w:r>
      <w:r>
        <w:t xml:space="preserve">Elternzeiten werden auf den Sonderurlaub nicht angerechnet. </w:t>
      </w:r>
      <w:r>
        <w:rPr>
          <w:rStyle w:val="kleinschrift"/>
        </w:rPr>
        <w:t>6</w:t>
      </w:r>
      <w:r>
        <w:t>Der Sonderurlaub kann auch in zeitlichen Abständen genommen werden.</w:t>
      </w:r>
    </w:p>
    <w:p w:rsidR="00BE1EFE" w:rsidRDefault="00BE1EFE">
      <w:pPr>
        <w:pStyle w:val="StandardWeb"/>
      </w:pPr>
      <w:r>
        <w:t>(2) Sonderurlaub ohne Fortzahlung der Bezüge aus anderen als den in Absatz 1 Unterabs. 1 genannten Gründen kann bei Vorliegen eines wichtigen Grundes gewährt werden, wenn die dienstlichen oder betrieblichen Verhältnisse es gestatten.</w:t>
      </w:r>
    </w:p>
    <w:p w:rsidR="00BE1EFE" w:rsidRDefault="00BE1EFE">
      <w:pPr>
        <w:pStyle w:val="StandardWeb"/>
      </w:pPr>
      <w:r>
        <w:t>(3) </w:t>
      </w:r>
      <w:r>
        <w:rPr>
          <w:rStyle w:val="kleinschrift"/>
        </w:rPr>
        <w:t>1</w:t>
      </w:r>
      <w:r>
        <w:t xml:space="preserve">Die Zeit des Sonderurlaubs nach den Absätzen 1 und 2 gilt nicht als Beschäftigungszeit nach § 19. </w:t>
      </w:r>
      <w:r>
        <w:rPr>
          <w:rStyle w:val="kleinschrift"/>
        </w:rPr>
        <w:t>2</w:t>
      </w:r>
      <w:r>
        <w:t>In den Fällen des Absatzes 2 gilt Satz 1 nicht, wenn der Arbeitgeber vor Antritt des Sonderurlaubs ein dienstliches oder betriebliches Interesse an der Beurlaubung schriftlich anerkannt hat.</w:t>
      </w:r>
    </w:p>
    <w:p w:rsidR="00BE1EFE" w:rsidRDefault="00BE1EFE">
      <w:pPr>
        <w:pStyle w:val="StandardWeb"/>
      </w:pPr>
      <w:r>
        <w:t>(4) </w:t>
      </w:r>
      <w:r>
        <w:rPr>
          <w:rStyle w:val="kleinschrift"/>
        </w:rPr>
        <w:t>1</w:t>
      </w:r>
      <w:r>
        <w:t xml:space="preserve">Mitarbeiter, die gem. Abs. 1 und 2 beurlaubt sind, können den Sonderurlaub durch Elternzeit unterbrechen, wenn ihnen während des Sonderurlaubes gem. </w:t>
      </w:r>
      <w:hyperlink r:id="rId730" w:history="1">
        <w:r w:rsidRPr="00437F7F">
          <w:rPr>
            <w:rStyle w:val="Hyperlink"/>
          </w:rPr>
          <w:t>§ 15 Abs. 1 Satz 1 Bundeserziehungsgeldgesetz</w:t>
        </w:r>
      </w:hyperlink>
      <w:r>
        <w:t xml:space="preserve"> Elternzeit zusteht. </w:t>
      </w:r>
    </w:p>
    <w:p w:rsidR="00BE1EFE" w:rsidRDefault="00BE1EFE">
      <w:pPr>
        <w:pStyle w:val="StandardWeb"/>
      </w:pPr>
      <w:r>
        <w:rPr>
          <w:rStyle w:val="kleinschrift"/>
        </w:rPr>
        <w:t>2</w:t>
      </w:r>
      <w:r>
        <w:t xml:space="preserve">Eine Unterbrechung des Sonderurlaubes nach Abs. 1 und 2 mit dem Ziel, während des Beschäftigungsverbotes nach </w:t>
      </w:r>
      <w:hyperlink r:id="rId731" w:history="1">
        <w:r w:rsidRPr="00437F7F">
          <w:rPr>
            <w:rStyle w:val="Hyperlink"/>
          </w:rPr>
          <w:t>§ 3 Abs. 2</w:t>
        </w:r>
      </w:hyperlink>
      <w:r>
        <w:t xml:space="preserve"> bzw. </w:t>
      </w:r>
      <w:hyperlink r:id="rId732" w:history="1">
        <w:r w:rsidRPr="00437F7F">
          <w:rPr>
            <w:rStyle w:val="Hyperlink"/>
          </w:rPr>
          <w:t>§ 6 Abs. 1 Mutterschutzgesetz</w:t>
        </w:r>
      </w:hyperlink>
      <w:r>
        <w:t xml:space="preserve"> einen Zuschuss zum Mutterschaftsgeld zu erhalten, ist dagegen nicht möglich. </w:t>
      </w:r>
      <w:r>
        <w:rPr>
          <w:rStyle w:val="kleinschrift"/>
        </w:rPr>
        <w:t>3</w:t>
      </w:r>
      <w:r>
        <w:t xml:space="preserve">Die Wiederaufnahme der Beschäftigung erfolgt zu dem für das Ende des Sonderurlaubes vorgesehenen Termin, es sei denn, die Elternzeit überschreitet das vorgesehene Ende des beantragten Sonderurlaubes. </w:t>
      </w:r>
      <w:r>
        <w:rPr>
          <w:rStyle w:val="kleinschrift"/>
        </w:rPr>
        <w:t>4</w:t>
      </w:r>
      <w:r>
        <w:t>Die Wiederaufnahme der Beschäftigung am ursprünglichen Arbeitsplatz kann nicht gewährleistet werden.</w:t>
      </w: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Ein Sonderurlaub darf – mit Ausnahme der in Abs. 4 geregelten Fälle – nicht unterbrochen werden für Zeiträume, in denen keine Arbeitsverpflichtung besteht.</w:t>
      </w:r>
    </w:p>
    <w:p w:rsidR="00BE1EFE" w:rsidRDefault="00BE1EFE">
      <w:pPr>
        <w:pStyle w:val="StandardWeb"/>
      </w:pPr>
    </w:p>
    <w:p w:rsidR="00BE1EFE" w:rsidRDefault="00BE1EFE" w:rsidP="003575ED">
      <w:pPr>
        <w:pStyle w:val="StandardWeb"/>
        <w:autoSpaceDE w:val="0"/>
        <w:jc w:val="left"/>
      </w:pPr>
      <w:r>
        <w:rPr>
          <w:rStyle w:val="Fett"/>
          <w:bCs/>
        </w:rPr>
        <w:t>§ 51 Urlaubsabgeltung</w:t>
      </w:r>
    </w:p>
    <w:p w:rsidR="00BE1EFE" w:rsidRDefault="00BE1EFE">
      <w:pPr>
        <w:pStyle w:val="StandardWeb"/>
        <w:jc w:val="center"/>
      </w:pPr>
    </w:p>
    <w:p w:rsidR="00BE1EFE" w:rsidRDefault="00BE1EFE">
      <w:pPr>
        <w:pStyle w:val="StandardWeb"/>
      </w:pPr>
      <w:r>
        <w:t>(1) </w:t>
      </w:r>
      <w:r>
        <w:rPr>
          <w:rStyle w:val="kleinschrift"/>
        </w:rPr>
        <w:t>1</w:t>
      </w:r>
      <w:r>
        <w:t xml:space="preserve">Ist im Zeitpunkt der Kündigung des Arbeitsverhältnisses der Urlaubsanspruch noch nicht erfüllt, ist der Urlaub, soweit dies dienstlich oder betrieblich möglich ist, während der Kündigungsfrist zu gewähren und zu nehmen. </w:t>
      </w:r>
      <w:r>
        <w:rPr>
          <w:rStyle w:val="kleinschrift"/>
        </w:rPr>
        <w:t>2</w:t>
      </w:r>
      <w:r>
        <w:t xml:space="preserve">Soweit der Urlaub nicht gewährt werden kann oder die Kündigungsfrist nicht ausreicht, ist der Urlaub abzugelten. </w:t>
      </w:r>
      <w:r>
        <w:rPr>
          <w:rStyle w:val="kleinschrift"/>
        </w:rPr>
        <w:t>3</w:t>
      </w:r>
      <w:r>
        <w:t xml:space="preserve">Entsprechendes gilt, wenn das Arbeitsverhältnis durch Auflösungsvertrag (§ 58) oder wegen verminderter Erwerbsfähigkeit (§ 59) endet oder wenn das Arbeitsverhältnis nach § 59 Abs. 1 Unterabs. 1 Satz 5 zum Ruhen kommt. </w:t>
      </w:r>
    </w:p>
    <w:p w:rsidR="00BE1EFE" w:rsidRDefault="00BE1EFE">
      <w:pPr>
        <w:pStyle w:val="StandardWeb"/>
      </w:pPr>
      <w:r>
        <w:rPr>
          <w:rStyle w:val="kleinschrift"/>
        </w:rPr>
        <w:lastRenderedPageBreak/>
        <w:t>4</w:t>
      </w:r>
      <w:r>
        <w:t>Ist dem Angestellten wegen eines vorsätzlich schuldhaften Verhaltens außerordentlich gekündigt worden oder hat der Angestellte das Arbeitsverhältnis unberechtigterweise gelöst, wird lediglich derjenige Urlaubsanspruch abgegolten, der dem Angestellten nach gesetzlichen Vorschriften bei Anwendung des § 48 Abs. 5 Satz 1 noch zustehen würde.</w:t>
      </w:r>
    </w:p>
    <w:p w:rsidR="00BE1EFE" w:rsidRDefault="00BE1EFE">
      <w:pPr>
        <w:pStyle w:val="StandardWeb"/>
      </w:pPr>
      <w:r>
        <w:t>(2) </w:t>
      </w:r>
      <w:r>
        <w:rPr>
          <w:rStyle w:val="kleinschrift"/>
        </w:rPr>
        <w:t>1</w:t>
      </w:r>
      <w:r>
        <w:t xml:space="preserve">Für jeden abzugeltenden Urlaubstag werden bei der Fünftagewoche 3/65, bei der Sechstagewoche 1/26 der Urlaubsvergütung gezahlt, die dem Angestellten zugestanden hätte, wenn er während des ganzen Kalendermonats, in dem er ausgeschieden ist, Erholungsurlaub gehabt hätte. </w:t>
      </w:r>
      <w:r>
        <w:rPr>
          <w:rStyle w:val="kleinschrift"/>
        </w:rPr>
        <w:t>2</w:t>
      </w:r>
      <w:r>
        <w:t>In anderen Fällen ist der Bruchteil entsprechend zu ermitteln.</w:t>
      </w: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Die Abgeltung unterbleibt, wenn der Angestellte in unmittelbarem Anschluss in ein Arbeitsverhältnis zu einem anderen Arbeitgeber i. S. d. § 44 Abs. 1 Nr. 4 Satz 2 Buchst. a bzw. i. S. d. § 29 Abs. 7 übertritt und dieser sich verpflichtet, den noch nicht verbrauchten Urlaub zu gewähren.</w:t>
      </w:r>
    </w:p>
    <w:p w:rsidR="00BE1EFE" w:rsidRDefault="00BE1EFE">
      <w:pPr>
        <w:pStyle w:val="StandardWeb"/>
      </w:pPr>
    </w:p>
    <w:p w:rsidR="00BE1EFE" w:rsidRDefault="00BE1EFE" w:rsidP="003575ED">
      <w:pPr>
        <w:pStyle w:val="StandardWeb"/>
        <w:autoSpaceDE w:val="0"/>
        <w:jc w:val="left"/>
      </w:pPr>
      <w:r>
        <w:rPr>
          <w:rStyle w:val="Fett"/>
          <w:bCs/>
        </w:rPr>
        <w:t>§ 52 Arbeitsbefreiung</w:t>
      </w:r>
    </w:p>
    <w:p w:rsidR="00BE1EFE" w:rsidRDefault="00BE1EFE">
      <w:pPr>
        <w:pStyle w:val="StandardWeb"/>
        <w:jc w:val="center"/>
      </w:pPr>
    </w:p>
    <w:p w:rsidR="00BE1EFE" w:rsidRDefault="00BE1EFE">
      <w:pPr>
        <w:pStyle w:val="StandardWeb"/>
      </w:pPr>
      <w:r>
        <w:t xml:space="preserve">(1) Als Fälle nach </w:t>
      </w:r>
      <w:hyperlink r:id="rId733" w:history="1">
        <w:r w:rsidRPr="00437F7F">
          <w:rPr>
            <w:rStyle w:val="Hyperlink"/>
          </w:rPr>
          <w:t>§ 616 BGB</w:t>
        </w:r>
      </w:hyperlink>
      <w:r>
        <w:t xml:space="preserve"> (Vergütungspflicht trotz vorübergehender Dienstverhinderung), in denen der Angestellte unter Fortzahlung der Vergütung (§ 26) und der in Monatsbeträgen festgelegten Zulagen im nachstehend genannten Ausmaß von der Arbeit freigestellt wird, gelten nur die folgenden Anlässe:</w:t>
      </w:r>
    </w:p>
    <w:p w:rsidR="00BE1EFE" w:rsidRDefault="00BE1EFE">
      <w:pPr>
        <w:pStyle w:val="StandardWeb"/>
      </w:pPr>
      <w:r>
        <w:t>a) Niederkunft der Ehefrau</w:t>
      </w:r>
    </w:p>
    <w:p w:rsidR="00BE1EFE" w:rsidRDefault="00BE1EFE" w:rsidP="00D8740E">
      <w:pPr>
        <w:pStyle w:val="StandardWeb"/>
        <w:jc w:val="right"/>
      </w:pPr>
      <w:r>
        <w:t>1 Arbeitstag,</w:t>
      </w:r>
    </w:p>
    <w:p w:rsidR="00BE1EFE" w:rsidRDefault="00BE1EFE">
      <w:pPr>
        <w:pStyle w:val="StandardWeb"/>
      </w:pPr>
      <w:r>
        <w:t>und</w:t>
      </w:r>
    </w:p>
    <w:p w:rsidR="00BE1EFE" w:rsidRDefault="00BE1EFE">
      <w:pPr>
        <w:pStyle w:val="StandardWeb"/>
      </w:pPr>
      <w:r>
        <w:t>wenn bereits ein Kind unter 12 Jahren oder eine pflegebedürftige Person in demselben Haushalt lebt, zusätzlich</w:t>
      </w:r>
    </w:p>
    <w:p w:rsidR="00BE1EFE" w:rsidRDefault="00BE1EFE" w:rsidP="00D8740E">
      <w:pPr>
        <w:pStyle w:val="StandardWeb"/>
        <w:jc w:val="right"/>
      </w:pPr>
      <w:r>
        <w:t>1 Arbeitstag,</w:t>
      </w:r>
    </w:p>
    <w:p w:rsidR="00BE1EFE" w:rsidRDefault="00BE1EFE">
      <w:pPr>
        <w:pStyle w:val="StandardWeb"/>
      </w:pPr>
      <w:r>
        <w:t xml:space="preserve">b) Tod des Ehegatten, eines Kindes oder Elternteils </w:t>
      </w:r>
    </w:p>
    <w:p w:rsidR="00BE1EFE" w:rsidRDefault="00BE1EFE" w:rsidP="00D8740E">
      <w:pPr>
        <w:pStyle w:val="StandardWeb"/>
        <w:jc w:val="right"/>
      </w:pPr>
      <w:r>
        <w:t>2 Arbeitstage,</w:t>
      </w:r>
    </w:p>
    <w:p w:rsidR="00BE1EFE" w:rsidRDefault="00BE1EFE">
      <w:pPr>
        <w:pStyle w:val="StandardWeb"/>
      </w:pPr>
      <w:r>
        <w:t xml:space="preserve">c) Umzug aus dienstlichem oder betrieblichem Grund an einen anderen Ort </w:t>
      </w:r>
    </w:p>
    <w:p w:rsidR="00BE1EFE" w:rsidRDefault="00BE1EFE" w:rsidP="00D8740E">
      <w:pPr>
        <w:pStyle w:val="StandardWeb"/>
        <w:jc w:val="right"/>
      </w:pPr>
      <w:r>
        <w:t>1 Arbeitstag,</w:t>
      </w:r>
    </w:p>
    <w:p w:rsidR="00BE1EFE" w:rsidRDefault="00BE1EFE">
      <w:pPr>
        <w:pStyle w:val="StandardWeb"/>
      </w:pPr>
      <w:r>
        <w:t xml:space="preserve">d) 25-, 40- und 50-jähriges Arbeitsjubiläum </w:t>
      </w:r>
    </w:p>
    <w:p w:rsidR="00BE1EFE" w:rsidRDefault="00BE1EFE" w:rsidP="00D8740E">
      <w:pPr>
        <w:pStyle w:val="StandardWeb"/>
        <w:jc w:val="right"/>
      </w:pPr>
      <w:r>
        <w:t>1 Arbeitstag,</w:t>
      </w:r>
    </w:p>
    <w:p w:rsidR="00BE1EFE" w:rsidRDefault="00BE1EFE">
      <w:pPr>
        <w:pStyle w:val="StandardWeb"/>
      </w:pPr>
      <w:r>
        <w:t>e) schwere Erkrankung</w:t>
      </w:r>
    </w:p>
    <w:p w:rsidR="00BE1EFE" w:rsidRDefault="00BE1EFE">
      <w:pPr>
        <w:pStyle w:val="StandardWeb"/>
      </w:pPr>
      <w:r>
        <w:t>aa) eines Angehörigen, soweit er in demselben Haushalt lebt,</w:t>
      </w:r>
    </w:p>
    <w:p w:rsidR="00BE1EFE" w:rsidRDefault="00BE1EFE" w:rsidP="00D8740E">
      <w:pPr>
        <w:pStyle w:val="StandardWeb"/>
        <w:jc w:val="right"/>
      </w:pPr>
      <w:r>
        <w:t>1 Arbeitstag im Kalenderjahr,</w:t>
      </w:r>
    </w:p>
    <w:p w:rsidR="00BE1EFE" w:rsidRDefault="00BE1EFE">
      <w:pPr>
        <w:pStyle w:val="StandardWeb"/>
      </w:pPr>
      <w:r>
        <w:t>bb) eines Kindes, das das 12. Lebensjahr noch nicht vollendet hat, wenn im laufenden</w:t>
      </w:r>
    </w:p>
    <w:p w:rsidR="00BE1EFE" w:rsidRDefault="00BE1EFE">
      <w:pPr>
        <w:pStyle w:val="StandardWeb"/>
      </w:pPr>
      <w:r>
        <w:t xml:space="preserve">Kalenderjahr kein Anspruch nach </w:t>
      </w:r>
      <w:hyperlink r:id="rId734" w:history="1">
        <w:r w:rsidRPr="00437F7F">
          <w:rPr>
            <w:rStyle w:val="Hyperlink"/>
          </w:rPr>
          <w:t>§ 45 SGB V</w:t>
        </w:r>
      </w:hyperlink>
      <w:r>
        <w:t xml:space="preserve"> besteht oder bestanden hat</w:t>
      </w:r>
    </w:p>
    <w:p w:rsidR="00BE1EFE" w:rsidRDefault="00BE1EFE" w:rsidP="00D8740E">
      <w:pPr>
        <w:pStyle w:val="StandardWeb"/>
        <w:jc w:val="right"/>
      </w:pPr>
      <w:r>
        <w:t>bis zu 4 Arbeitstage im Kalenderjahr,</w:t>
      </w:r>
    </w:p>
    <w:p w:rsidR="00BE1EFE" w:rsidRDefault="00BE1EFE">
      <w:pPr>
        <w:pStyle w:val="StandardWeb"/>
      </w:pPr>
      <w:r>
        <w:t xml:space="preserve">cc) einer Betreuungsperson, wenn der Angestellte deshalb die Betreuung seines Kindes, das das 8. Lebensjahr noch nicht vollendet hat oder wegen körperlicher, geistiger oder seelischer Behinderung dauernd pflegebedürftig ist, übernehmen muss </w:t>
      </w:r>
    </w:p>
    <w:p w:rsidR="00BE1EFE" w:rsidRDefault="00BE1EFE" w:rsidP="00D8740E">
      <w:pPr>
        <w:pStyle w:val="StandardWeb"/>
        <w:jc w:val="right"/>
      </w:pPr>
      <w:r>
        <w:t>bis zu 4 Arbeitstage im Kalenderjahr.</w:t>
      </w:r>
    </w:p>
    <w:p w:rsidR="00BE1EFE" w:rsidRDefault="00BE1EFE">
      <w:pPr>
        <w:pStyle w:val="StandardWeb"/>
      </w:pPr>
      <w:r>
        <w:t>Eine Freistellung erfolgt nur, soweit eine andere Person zur Pflege oder Betreuung nicht sofort zur Verfügung steht und der Arzt in den Fällen der Doppelbuchstaben aa und bb die Notwendigkeit der Anwesenheit des Angestellten zur vorläufigen Pflege bescheinigt. Die Freistellung darf insgesamt 5 Arbeitstage im Kalenderjahr nicht überschreiten.</w:t>
      </w:r>
    </w:p>
    <w:p w:rsidR="00BE1EFE" w:rsidRDefault="00BE1EFE">
      <w:pPr>
        <w:pStyle w:val="StandardWeb"/>
      </w:pPr>
      <w:r>
        <w:t xml:space="preserve">f) ärztliche Behandlung des Angestellten, wenn diese während der Arbeitszeit erfolgen muss, </w:t>
      </w:r>
    </w:p>
    <w:p w:rsidR="00BE1EFE" w:rsidRDefault="00BE1EFE">
      <w:pPr>
        <w:pStyle w:val="StandardWeb"/>
      </w:pPr>
      <w:r>
        <w:t>erforderliche nachgewiesene Abwesenheitszeit einschließlich erforderlicher Wegezeiten.</w:t>
      </w:r>
    </w:p>
    <w:p w:rsidR="00BE1EFE" w:rsidRDefault="00BE1EFE">
      <w:pPr>
        <w:pStyle w:val="StandardWeb"/>
      </w:pPr>
      <w:r>
        <w:t>(1a) Ferner wird der Angestellte unter Fortzahlung der Vergütung (§ 26) und der in Monats</w:t>
      </w:r>
      <w:r>
        <w:softHyphen/>
        <w:t>beträgen festgelegten Zulagen im nachstehend genannten Ausmaß von der Arbeit freigestellt bei:</w:t>
      </w:r>
    </w:p>
    <w:p w:rsidR="00BE1EFE" w:rsidRDefault="00BE1EFE">
      <w:pPr>
        <w:pStyle w:val="StandardWeb"/>
      </w:pPr>
      <w:r>
        <w:t>a) aa) Übernahme des kirchlichen Patenamtes</w:t>
      </w:r>
    </w:p>
    <w:p w:rsidR="00BE1EFE" w:rsidRDefault="00BE1EFE">
      <w:pPr>
        <w:pStyle w:val="StandardWeb"/>
      </w:pPr>
      <w:r>
        <w:t>bei Taufe oder Firmung,</w:t>
      </w:r>
    </w:p>
    <w:p w:rsidR="00BE1EFE" w:rsidRDefault="00BE1EFE">
      <w:pPr>
        <w:pStyle w:val="StandardWeb"/>
      </w:pPr>
      <w:r>
        <w:t>bb) Taufe, Erstkommunion, Firmung, Konfirmation oder kirchliche Eheschließung eines Kindes, wenn die kirchliche Feier auf einen Arbeitstag fällt,</w:t>
      </w:r>
    </w:p>
    <w:p w:rsidR="00BE1EFE" w:rsidRDefault="00BE1EFE" w:rsidP="00D8740E">
      <w:pPr>
        <w:pStyle w:val="StandardWeb"/>
        <w:jc w:val="right"/>
      </w:pPr>
      <w:r>
        <w:lastRenderedPageBreak/>
        <w:t>insgesamt nur 1 Arbeitstag im Kalenderjahr,</w:t>
      </w:r>
    </w:p>
    <w:p w:rsidR="00BE1EFE" w:rsidRDefault="00BE1EFE">
      <w:pPr>
        <w:pStyle w:val="StandardWeb"/>
      </w:pPr>
      <w:r>
        <w:t xml:space="preserve">b) kirchlicher Beerdigung eines Kindes oder des Ehegatten, wenn die kirchliche Feier auf einen Arbeitstag fällt </w:t>
      </w:r>
    </w:p>
    <w:p w:rsidR="00BE1EFE" w:rsidRDefault="00BE1EFE" w:rsidP="00D8740E">
      <w:pPr>
        <w:pStyle w:val="StandardWeb"/>
        <w:jc w:val="right"/>
      </w:pPr>
      <w:r>
        <w:t>1 Arbeitstag,</w:t>
      </w:r>
    </w:p>
    <w:p w:rsidR="00BE1EFE" w:rsidRDefault="00BE1EFE">
      <w:pPr>
        <w:pStyle w:val="StandardWeb"/>
      </w:pPr>
      <w:r>
        <w:t xml:space="preserve">c) kirchlicher Eheschließung des Angestellten, wenn die kirchliche Feier auf einen Arbeitstag fällt </w:t>
      </w:r>
    </w:p>
    <w:p w:rsidR="00BE1EFE" w:rsidRDefault="00BE1EFE" w:rsidP="00D8740E">
      <w:pPr>
        <w:pStyle w:val="StandardWeb"/>
        <w:jc w:val="right"/>
      </w:pPr>
      <w:r>
        <w:t>1 Arbeitstag,</w:t>
      </w:r>
    </w:p>
    <w:p w:rsidR="00BE1EFE" w:rsidRDefault="00BE1EFE">
      <w:pPr>
        <w:pStyle w:val="StandardWeb"/>
      </w:pPr>
      <w:r>
        <w:t>d) Teilnahme an</w:t>
      </w:r>
    </w:p>
    <w:p w:rsidR="00BE1EFE" w:rsidRDefault="00BE1EFE">
      <w:pPr>
        <w:pStyle w:val="StandardWeb"/>
      </w:pPr>
      <w:r>
        <w:t xml:space="preserve">aa) Exerzitien oder Einkehrtagen im Rahmen der betrieblichen Möglichkeiten </w:t>
      </w:r>
    </w:p>
    <w:p w:rsidR="00BE1EFE" w:rsidRDefault="00BE1EFE" w:rsidP="00D8740E">
      <w:pPr>
        <w:pStyle w:val="StandardWeb"/>
        <w:jc w:val="right"/>
      </w:pPr>
      <w:r>
        <w:t>bis zu 3 Arbeitstage im Kalenderjahr.</w:t>
      </w:r>
    </w:p>
    <w:p w:rsidR="00BE1EFE" w:rsidRDefault="00BE1EFE">
      <w:pPr>
        <w:pStyle w:val="StandardWeb"/>
      </w:pPr>
      <w:r>
        <w:t>Auf Arbeitsbefreiungen nach diesem Buchstaben sind Arbeitsbefreiungen zur Teilnahme an Exerzitien oder Einkehrtagen nach diözesanen Regelungen anzurechnen.</w:t>
      </w:r>
    </w:p>
    <w:p w:rsidR="00BE1EFE" w:rsidRDefault="00BE1EFE">
      <w:pPr>
        <w:pStyle w:val="StandardWeb"/>
      </w:pPr>
      <w:r>
        <w:t xml:space="preserve">bb) Deutschen Katholikentagen bzw. Deutschen Evangelischen Kirchentagen im Rahmen der betrieblichen Möglichkeiten </w:t>
      </w:r>
    </w:p>
    <w:p w:rsidR="00BE1EFE" w:rsidRDefault="00BE1EFE" w:rsidP="00D8740E">
      <w:pPr>
        <w:pStyle w:val="StandardWeb"/>
        <w:jc w:val="right"/>
      </w:pPr>
      <w:r>
        <w:t>bis zu 2 Arbeitstage im Kalenderjahr.</w:t>
      </w:r>
    </w:p>
    <w:p w:rsidR="00BE1EFE" w:rsidRDefault="00BE1EFE">
      <w:pPr>
        <w:pStyle w:val="StandardWeb"/>
      </w:pPr>
      <w:r>
        <w:t>(2) </w:t>
      </w:r>
      <w:r>
        <w:rPr>
          <w:rStyle w:val="kleinschrift"/>
        </w:rPr>
        <w:t>1</w:t>
      </w:r>
      <w:r>
        <w:t xml:space="preserve">Bei Erfüllung allgemeiner staatsbürgerlicher Pflichten nach deutschem Recht, soweit die Arbeitsbefreiung gesetzlich vorgeschrieben ist und soweit die Pflichten nicht außerhalb der Arbeitszeit, gegebenenfalls nach ihrer Verlegung, wahrgenommen werden können, besteht der Anspruch auf Fortzahlung der Vergütung (§ 26) und der in Monatsbeträgen festgelegten Zulagen nur insoweit, als der Angestellte nicht Ansprüche auf Ersatz dieser Bezüge geltend machen kann. </w:t>
      </w:r>
      <w:r>
        <w:rPr>
          <w:rStyle w:val="kleinschrift"/>
        </w:rPr>
        <w:t>2</w:t>
      </w:r>
      <w:r>
        <w:t xml:space="preserve">Die fortgezahlten Bezüge gelten in Höhe des Ersatzanspruchs als Vorschuss auf die Leistungen der Kostenträger. </w:t>
      </w:r>
      <w:r>
        <w:rPr>
          <w:rStyle w:val="kleinschrift"/>
        </w:rPr>
        <w:t>3</w:t>
      </w:r>
      <w:r>
        <w:t>Der Angestellte hat den Ersatzanspruch geltend zu machen und die erhaltenen Beträge an den Arbeitgeber abzuführen.</w:t>
      </w:r>
    </w:p>
    <w:p w:rsidR="00BE1EFE" w:rsidRDefault="00BE1EFE">
      <w:pPr>
        <w:pStyle w:val="StandardWeb"/>
      </w:pPr>
      <w:r>
        <w:t>(3) </w:t>
      </w:r>
      <w:r>
        <w:rPr>
          <w:rStyle w:val="kleinschrift"/>
        </w:rPr>
        <w:t>1</w:t>
      </w:r>
      <w:r>
        <w:t xml:space="preserve">Der Arbeitgeber kann in sonstigen dringenden Fällen Arbeitsbefreiung unter Fortzahlung der Vergütung (§ 26) und der in Monatsbeträgen festgelegten Zulagen bis zu drei Arbeitstagen gewähren. </w:t>
      </w:r>
    </w:p>
    <w:p w:rsidR="00BE1EFE" w:rsidRDefault="00BE1EFE">
      <w:pPr>
        <w:pStyle w:val="StandardWeb"/>
      </w:pPr>
      <w:r>
        <w:rPr>
          <w:rStyle w:val="kleinschrift"/>
        </w:rPr>
        <w:t>2</w:t>
      </w:r>
      <w:r>
        <w:t>In begründeten Fällen kann bei Verzicht auf die Bezüge kurzfristige Arbeitsbefreiung gewährt werden, wenn die dienstlichen oder betrieblichen Verhältnisse es gestatten.</w:t>
      </w:r>
    </w:p>
    <w:p w:rsidR="00BE1EFE" w:rsidRDefault="00BE1EFE">
      <w:pPr>
        <w:pStyle w:val="StandardWeb"/>
      </w:pPr>
      <w:r>
        <w:t>(4) </w:t>
      </w:r>
      <w:r>
        <w:rPr>
          <w:rStyle w:val="kleinschrift"/>
        </w:rPr>
        <w:t>1</w:t>
      </w:r>
      <w:r>
        <w:t>Der Angestellte kann unter Fortzahlung der Vergütung und der in Monatsbeträgen festgelegten Zulagen bis zu 6 Werktage im Kalenderjahr von der Arbeit freigestellt werden, wenn dienstliche Gründe nicht entgegenstehen, für die Teilnahme an</w:t>
      </w:r>
    </w:p>
    <w:p w:rsidR="00BE1EFE" w:rsidRDefault="00BE1EFE">
      <w:pPr>
        <w:pStyle w:val="StandardWeb"/>
      </w:pPr>
      <w:r>
        <w:t>a) Sitzungen des Vorstandes eines überörtlichen kirchlichen Berufsverbandes, der berufliche und fachliche Interessen von Angestellten vertritt oder</w:t>
      </w:r>
    </w:p>
    <w:p w:rsidR="00BE1EFE" w:rsidRDefault="00BE1EFE">
      <w:pPr>
        <w:pStyle w:val="StandardWeb"/>
      </w:pPr>
      <w:r>
        <w:t xml:space="preserve">b) Tagungen eines kirchlichen Berufsverbandes, der berufliche und fachliche Interessen von Angestellten vertritt auf überdiözesaner und diözesaner Ebene, Bundes oder Landesebene, wenn der Angestellte als Mitglied eines Vorstandes oder als Delegierter teilnimmt und der kirchliche Berufsverband in seiner Zielsetzung der Grundordnung des kirchlichen Dienstes im Rahmen kirchlicher Arbeitsverhältnisse in der jeweiligen Fassung nicht widerspricht. </w:t>
      </w:r>
    </w:p>
    <w:p w:rsidR="00BE1EFE" w:rsidRDefault="00BE1EFE">
      <w:pPr>
        <w:pStyle w:val="StandardWeb"/>
      </w:pPr>
      <w:r>
        <w:rPr>
          <w:rStyle w:val="kleinschrift"/>
        </w:rPr>
        <w:t>2</w:t>
      </w:r>
      <w:r>
        <w:t>Werden mehr als drei Tage Freistellung im Kalenderjahr in Anspruch genommen, werden diese auf einen etwaigen Bildungsurlaub angerechnet.</w:t>
      </w:r>
    </w:p>
    <w:p w:rsidR="00BE1EFE" w:rsidRDefault="00BE1EFE">
      <w:pPr>
        <w:pStyle w:val="StandardWeb"/>
      </w:pPr>
      <w:r>
        <w:t>(5) Zur Teilnahme an Sitzungen von Prüfungs- und von Berufsbildungsausschüssen nach dem Berufsbildungsgesetz sowie für eine Tätigkeit in Organen von Sozialversicherungsträgern kann den Mitgliedern Arbeitsbefreiung unter Fortzahlung der Vergütung (§ 26) und der in Monatsbeiträgen festgelegten Zulagen gewährt werden, sofern nicht dringende dienstliche oder betriebliche Interessen entgegenstehen.</w:t>
      </w:r>
    </w:p>
    <w:p w:rsidR="00BE1EFE" w:rsidRDefault="00BE1EFE">
      <w:pPr>
        <w:pStyle w:val="StandardWeb"/>
      </w:pPr>
      <w:r>
        <w:t>(6a) Jedem vollbeschäftigten Angestellten stehen jährlich 3 Tage zur freiwilligen beruflichen Fortbildung zu; bei Teilzeitbeschäftigten wird anteilige Arbeitsbefreiung gewährt.</w:t>
      </w:r>
    </w:p>
    <w:p w:rsidR="00BE1EFE" w:rsidRDefault="00BE1EFE">
      <w:pPr>
        <w:pStyle w:val="StandardWeb"/>
      </w:pPr>
      <w:r>
        <w:t>(6b) Unter freiwilliger beruflicher Fortbildung werden Maßnahmen verstanden, die zu erforder</w:t>
      </w:r>
      <w:r>
        <w:softHyphen/>
        <w:t>lichen Kenntnissen im ausgeübten Beruf beitragen und vom Arbeitgeber anerkannt sind.</w:t>
      </w:r>
    </w:p>
    <w:p w:rsidR="00BE1EFE" w:rsidRDefault="00BE1EFE">
      <w:pPr>
        <w:pStyle w:val="StandardWeb"/>
      </w:pPr>
      <w:r>
        <w:t>(6c) Auf die Fortbildungstage werden die vom Arbeitgeber angeordneten Fortbildungen angerechnet; das gilt auch für berufsspezifische Regelungen.</w:t>
      </w:r>
    </w:p>
    <w:p w:rsidR="00BE1EFE" w:rsidRDefault="00BE1EFE">
      <w:pPr>
        <w:pStyle w:val="StandardWeb"/>
      </w:pPr>
      <w:r>
        <w:t>(6d) Besinnungstage und Exerzitien, die im Interesse des Arbeitgebers angeboten und besucht werden, werden nicht auf die Tage nach Abs. 6 a angerechnet.</w:t>
      </w:r>
    </w:p>
    <w:p w:rsidR="00BE1EFE" w:rsidRDefault="00BE1EFE">
      <w:pPr>
        <w:pStyle w:val="StandardWeb"/>
      </w:pPr>
      <w:r>
        <w:lastRenderedPageBreak/>
        <w:t>(6e) </w:t>
      </w:r>
      <w:r>
        <w:rPr>
          <w:rStyle w:val="kleinschrift"/>
        </w:rPr>
        <w:t>1</w:t>
      </w:r>
      <w:r>
        <w:t xml:space="preserve">Bei freiwilliger beruflicher Fortbildung werden bei einem anerkannten dienstlichen Interesse die anfallenden Kosten auf Antrag zur Hälfte erstattet. </w:t>
      </w:r>
      <w:r>
        <w:rPr>
          <w:rStyle w:val="kleinschrift"/>
        </w:rPr>
        <w:t>2</w:t>
      </w:r>
      <w:r>
        <w:t>Für die Beteiligung des Arbeitgebers an den Kosten für die Fahrt zum Ort der Fortbildungsmaßnahmen gelten die diözesanen Regelungen.</w:t>
      </w:r>
    </w:p>
    <w:p w:rsidR="00BE1EFE" w:rsidRDefault="00BE1EFE">
      <w:pPr>
        <w:pStyle w:val="StandardWeb"/>
        <w:rPr>
          <w:sz w:val="12"/>
          <w:szCs w:val="12"/>
        </w:rPr>
      </w:pPr>
      <w:r w:rsidRPr="009C6551">
        <w:rPr>
          <w:rStyle w:val="kleinschrift1"/>
        </w:rPr>
        <w:t>Anmerkungen:</w:t>
      </w:r>
    </w:p>
    <w:p w:rsidR="00BE1EFE" w:rsidRDefault="00BE1EFE">
      <w:pPr>
        <w:pStyle w:val="StandardWeb"/>
        <w:rPr>
          <w:sz w:val="12"/>
          <w:szCs w:val="12"/>
        </w:rPr>
      </w:pPr>
      <w:r>
        <w:rPr>
          <w:rStyle w:val="kleinschrift1"/>
        </w:rPr>
        <w:t>1. </w:t>
      </w:r>
      <w:r w:rsidRPr="009C6551">
        <w:rPr>
          <w:rStyle w:val="kleinschrift1"/>
        </w:rPr>
        <w:t>Als Zulagen, die in Monatsbeträgen festgelegt sind, gelten auch Monatspauschalen der in § 47 Abs. 2 Unterabs. 2 genannten Bezüge.</w:t>
      </w:r>
    </w:p>
    <w:p w:rsidR="00BE1EFE" w:rsidRDefault="00BE1EFE">
      <w:pPr>
        <w:pStyle w:val="StandardWeb"/>
        <w:rPr>
          <w:sz w:val="12"/>
          <w:szCs w:val="12"/>
        </w:rPr>
      </w:pPr>
      <w:r>
        <w:rPr>
          <w:rStyle w:val="kleinschrift1"/>
        </w:rPr>
        <w:t>2. </w:t>
      </w:r>
      <w:r w:rsidRPr="009C6551">
        <w:rPr>
          <w:rStyle w:val="kleinschrift1"/>
        </w:rPr>
        <w:t>Zu den „begründeten Fällen“ im Sinne des Absatzes 3 Unterabs. 2 können auch solche Anlässe gehören, für die nach Absatz 1 kein Anspruch auf Arbeitsbefreiung besteht (</w:t>
      </w:r>
      <w:r>
        <w:rPr>
          <w:rStyle w:val="kleinschrift1"/>
        </w:rPr>
        <w:t>z. B.</w:t>
      </w:r>
      <w:r w:rsidRPr="009C6551">
        <w:rPr>
          <w:rStyle w:val="kleinschrift1"/>
        </w:rPr>
        <w:t xml:space="preserve"> Umzug aus persönlichen Gründen).</w:t>
      </w:r>
    </w:p>
    <w:p w:rsidR="00BE1EFE" w:rsidRDefault="00BE1EFE">
      <w:pPr>
        <w:pStyle w:val="StandardWeb"/>
        <w:rPr>
          <w:sz w:val="12"/>
          <w:szCs w:val="12"/>
        </w:rPr>
      </w:pPr>
      <w:r w:rsidRPr="009C6551">
        <w:rPr>
          <w:rStyle w:val="kleinschrift1"/>
        </w:rPr>
        <w:t>Protokollnotiz zu Abs. 5:</w:t>
      </w:r>
    </w:p>
    <w:p w:rsidR="00BE1EFE" w:rsidRDefault="00BE1EFE">
      <w:pPr>
        <w:pStyle w:val="StandardWeb"/>
      </w:pPr>
      <w:r w:rsidRPr="009C6551">
        <w:rPr>
          <w:rStyle w:val="kleinschrift1"/>
        </w:rPr>
        <w:t>Einer Tätigkeit in Organen von Sozialversicherungsträgern steht die Tätigkeit im Verwaltungsrat von Zusatzver</w:t>
      </w:r>
      <w:r>
        <w:rPr>
          <w:rStyle w:val="kleinschrift1"/>
        </w:rPr>
        <w:softHyphen/>
      </w:r>
      <w:r w:rsidRPr="009C6551">
        <w:rPr>
          <w:rStyle w:val="kleinschrift1"/>
        </w:rPr>
        <w:t>sorgungseinrichtungen gleich.</w:t>
      </w:r>
    </w:p>
    <w:p w:rsidR="00BE1EFE" w:rsidRDefault="00BE1EFE">
      <w:pPr>
        <w:pStyle w:val="StandardWeb"/>
      </w:pPr>
    </w:p>
    <w:p w:rsidR="00BE1EFE" w:rsidRDefault="00BE1EFE" w:rsidP="003575ED">
      <w:pPr>
        <w:pStyle w:val="StandardWeb"/>
        <w:autoSpaceDE w:val="0"/>
        <w:jc w:val="left"/>
      </w:pPr>
      <w:r>
        <w:rPr>
          <w:rStyle w:val="Fett"/>
          <w:bCs/>
        </w:rPr>
        <w:t>§ 52 a Fortzahlung der Vergütung bei Arbeitsausfall in besonderen Fällen</w:t>
      </w:r>
    </w:p>
    <w:p w:rsidR="00BE1EFE" w:rsidRDefault="00BE1EFE">
      <w:pPr>
        <w:pStyle w:val="StandardWeb"/>
        <w:jc w:val="center"/>
      </w:pPr>
    </w:p>
    <w:p w:rsidR="00BE1EFE" w:rsidRDefault="00BE1EFE">
      <w:pPr>
        <w:pStyle w:val="StandardWeb"/>
      </w:pPr>
      <w:r>
        <w:t>(1) </w:t>
      </w:r>
      <w:r>
        <w:rPr>
          <w:rStyle w:val="kleinschrift"/>
        </w:rPr>
        <w:t>1</w:t>
      </w:r>
      <w:r>
        <w:t xml:space="preserve">Bei Arbeitsausfall infolge vorübergehender Betriebsstörungen betriebstechnischer oder wirtschaftlicher Art, z. B. Mangel an Rohstoffen oder Betriebsstoffen, werden dem durch den Arbeitsausfall betroffenen Angestellten die Vergütung (§ 26) sowie die in Monatsbeträgen festgelegten Zulagen für die ausgefallene Arbeitszeit fortgezahlt, jedoch längstens für die Dauer von sechs aufeinander folgenden Arbeitstagen. </w:t>
      </w:r>
      <w:r>
        <w:rPr>
          <w:rStyle w:val="kleinschrift"/>
        </w:rPr>
        <w:t>2</w:t>
      </w:r>
      <w:r>
        <w:t xml:space="preserve">Das Gleiche gilt für Arbeitsausfall infolge behördlicher Maßnahmen. </w:t>
      </w:r>
      <w:r>
        <w:rPr>
          <w:rStyle w:val="kleinschrift"/>
        </w:rPr>
        <w:t>3</w:t>
      </w:r>
      <w:r>
        <w:t xml:space="preserve">Die Vergütung wird nur fortgezahlt, wenn der Angestellte ordnungsgemäß an der Arbeitsstelle erschienen ist und sich zur Arbeit gemeldet hat, es sei denn, dass der Arbeitgeber auf das Erscheinen des Angestellten zur Arbeit ausdrücklich oder stillschweigend verzichtet hat. </w:t>
      </w:r>
      <w:r>
        <w:rPr>
          <w:rStyle w:val="kleinschrift"/>
        </w:rPr>
        <w:t>4</w:t>
      </w:r>
      <w:r>
        <w:t xml:space="preserve">Der Arbeitgeber ist berechtigt zu verlangen, dass die ausgefallene Arbeitszeit im Rahmen der gesetzlichen Vorschriften, insbesondere des </w:t>
      </w:r>
      <w:hyperlink r:id="rId735" w:history="1">
        <w:r w:rsidRPr="00437F7F">
          <w:rPr>
            <w:rStyle w:val="Hyperlink"/>
          </w:rPr>
          <w:t>Arbeitszeitgesetzes</w:t>
        </w:r>
      </w:hyperlink>
      <w:r>
        <w:t xml:space="preserve"> und der KAZO, innerhalb von zwei Wochen ohne nochmalige Bezahlung nachgeholt wird.</w:t>
      </w:r>
    </w:p>
    <w:p w:rsidR="00BE1EFE" w:rsidRDefault="00BE1EFE">
      <w:pPr>
        <w:pStyle w:val="StandardWeb"/>
      </w:pPr>
      <w:r>
        <w:t>(2) Bei Arbeitsversäumnis, die infolge von technisch bedingten Verkehrsstörungen oder infolge von Naturereignissen am Wohn- oder Arbeitsort oder auf dem Wege zur Arbeit unvermeidbar ist und nicht durch Leistungsverschiebung ausgeglichen werden kann, werden die Vergütung (§ 26) sowie die in Monatsbeträgen festgelegten Zulagen für die ausgefallene Arbeitszeit, jedoch längstens für zwei aufeinander folgende Kalendertage, fortgezahlt.</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Als Zulagen, die in Monatsbeträgen festgelegt sind, gelten auch Monatspauschalen der in § 47 Abs. 2 Unterabs. 2 genannten Bezüge.</w:t>
      </w:r>
    </w:p>
    <w:p w:rsidR="00BE1EFE" w:rsidRDefault="00BE1EFE">
      <w:pPr>
        <w:pStyle w:val="StandardWeb"/>
      </w:pPr>
    </w:p>
    <w:p w:rsidR="00BE1EFE" w:rsidRDefault="00BE1EFE" w:rsidP="0054275E">
      <w:pPr>
        <w:pStyle w:val="StandardWeb"/>
        <w:autoSpaceDE w:val="0"/>
        <w:jc w:val="center"/>
        <w:rPr>
          <w:b/>
          <w:bCs/>
        </w:rPr>
      </w:pPr>
      <w:r>
        <w:rPr>
          <w:rStyle w:val="Fett"/>
          <w:bCs/>
        </w:rPr>
        <w:t>Abschnitt XII</w:t>
      </w:r>
    </w:p>
    <w:p w:rsidR="00BE1EFE" w:rsidRDefault="00BE1EFE" w:rsidP="0054275E">
      <w:pPr>
        <w:pStyle w:val="StandardWeb"/>
        <w:autoSpaceDE w:val="0"/>
        <w:jc w:val="center"/>
      </w:pPr>
      <w:r>
        <w:rPr>
          <w:rStyle w:val="Fett"/>
          <w:bCs/>
        </w:rPr>
        <w:t>Beendigung des Arbeitsverhältnisses</w:t>
      </w:r>
    </w:p>
    <w:p w:rsidR="00BE1EFE" w:rsidRDefault="00BE1EFE">
      <w:pPr>
        <w:pStyle w:val="StandardWeb"/>
        <w:jc w:val="center"/>
      </w:pPr>
    </w:p>
    <w:p w:rsidR="00BE1EFE" w:rsidRDefault="00BE1EFE" w:rsidP="003575ED">
      <w:pPr>
        <w:pStyle w:val="StandardWeb"/>
        <w:autoSpaceDE w:val="0"/>
        <w:jc w:val="left"/>
      </w:pPr>
      <w:r>
        <w:rPr>
          <w:rStyle w:val="Fett"/>
          <w:bCs/>
        </w:rPr>
        <w:t>§ 53 Ordentliche Kündigung</w:t>
      </w:r>
    </w:p>
    <w:p w:rsidR="00BE1EFE" w:rsidRDefault="00BE1EFE">
      <w:pPr>
        <w:pStyle w:val="StandardWeb"/>
        <w:jc w:val="center"/>
      </w:pPr>
    </w:p>
    <w:p w:rsidR="00BE1EFE" w:rsidRDefault="00BE1EFE">
      <w:pPr>
        <w:pStyle w:val="StandardWeb"/>
      </w:pPr>
      <w:r>
        <w:t>(1) Bis zum Ende des sechsten Monats seit Beginn des Arbeitsverhältnisses und für Angestellte unter 18 Jahren beträgt die Kündigungsfrist zwei Wochen zum Monatsschluss.</w:t>
      </w:r>
    </w:p>
    <w:p w:rsidR="00BE1EFE" w:rsidRDefault="00BE1EFE">
      <w:pPr>
        <w:pStyle w:val="StandardWeb"/>
      </w:pPr>
      <w:r>
        <w:t>(2) Im Übrigen beträgt die Kündigungsfrist bei einer Beschäftigungszeit (§ 19)</w:t>
      </w:r>
    </w:p>
    <w:p w:rsidR="00BE1EFE" w:rsidRDefault="00BE1EFE">
      <w:pPr>
        <w:pStyle w:val="StandardWeb"/>
      </w:pPr>
      <w:r>
        <w:t>bis zu einem Jahr einen Monat zum Monatsschluss,</w:t>
      </w:r>
    </w:p>
    <w:p w:rsidR="00BE1EFE" w:rsidRDefault="00BE1EFE">
      <w:pPr>
        <w:pStyle w:val="StandardWeb"/>
      </w:pPr>
      <w:r>
        <w:t>nach einer Beschäftigungszeit</w:t>
      </w:r>
    </w:p>
    <w:p w:rsidR="00BE1EFE" w:rsidRDefault="00BE1EFE">
      <w:pPr>
        <w:pStyle w:val="StandardWeb"/>
      </w:pPr>
      <w:r>
        <w:t>von mehr als einem Jahr</w:t>
      </w:r>
      <w:r>
        <w:tab/>
      </w:r>
      <w:r>
        <w:tab/>
        <w:t>sechs Wochen,</w:t>
      </w:r>
    </w:p>
    <w:p w:rsidR="00BE1EFE" w:rsidRDefault="00BE1EFE">
      <w:pPr>
        <w:pStyle w:val="StandardWeb"/>
      </w:pPr>
      <w:r>
        <w:t>von mindestens fünf Jahren</w:t>
      </w:r>
      <w:r>
        <w:tab/>
      </w:r>
      <w:r>
        <w:tab/>
        <w:t>drei Monate,</w:t>
      </w:r>
    </w:p>
    <w:p w:rsidR="00BE1EFE" w:rsidRDefault="00BE1EFE">
      <w:pPr>
        <w:pStyle w:val="StandardWeb"/>
      </w:pPr>
      <w:r>
        <w:t>von mindestens acht Jahren</w:t>
      </w:r>
      <w:r>
        <w:tab/>
      </w:r>
      <w:r>
        <w:tab/>
        <w:t>vier Monate,</w:t>
      </w:r>
    </w:p>
    <w:p w:rsidR="00BE1EFE" w:rsidRDefault="00BE1EFE">
      <w:pPr>
        <w:pStyle w:val="StandardWeb"/>
      </w:pPr>
      <w:r>
        <w:t>von mindestens zehn Jahren</w:t>
      </w:r>
      <w:r>
        <w:tab/>
      </w:r>
      <w:r>
        <w:tab/>
        <w:t>fünf Monate,</w:t>
      </w:r>
    </w:p>
    <w:p w:rsidR="00BE1EFE" w:rsidRDefault="00BE1EFE">
      <w:pPr>
        <w:pStyle w:val="StandardWeb"/>
      </w:pPr>
      <w:r>
        <w:t>von mindestens zwölf Jahren</w:t>
      </w:r>
      <w:r>
        <w:tab/>
      </w:r>
      <w:r>
        <w:tab/>
        <w:t>sechs Monate</w:t>
      </w:r>
    </w:p>
    <w:p w:rsidR="00BE1EFE" w:rsidRDefault="00BE1EFE">
      <w:pPr>
        <w:pStyle w:val="StandardWeb"/>
      </w:pPr>
      <w:r>
        <w:t>zum Schluss eines Kalendervierteljahres.</w:t>
      </w:r>
    </w:p>
    <w:p w:rsidR="00BE1EFE" w:rsidRDefault="00BE1EFE">
      <w:pPr>
        <w:pStyle w:val="StandardWeb"/>
      </w:pPr>
      <w:r>
        <w:t>(3) Nach einer Beschäftigungszeit (§ 19)</w:t>
      </w:r>
      <w:r>
        <w:rPr>
          <w:vertAlign w:val="superscript"/>
        </w:rPr>
        <w:t>1</w:t>
      </w:r>
      <w:r>
        <w:t xml:space="preserve"> von 15 Jahren, frühestens jedoch nach Vollendung des 40. Lebensjahres, ist der Angestellte unkündbar.</w:t>
      </w:r>
    </w:p>
    <w:p w:rsidR="00BE1EFE" w:rsidRDefault="00BE1EFE">
      <w:pPr>
        <w:pStyle w:val="StandardWeb"/>
      </w:pPr>
      <w:r>
        <w:rPr>
          <w:vertAlign w:val="superscript"/>
        </w:rPr>
        <w:lastRenderedPageBreak/>
        <w:t>1</w:t>
      </w:r>
      <w:r w:rsidRPr="009C6551">
        <w:rPr>
          <w:rStyle w:val="kleinschrift1"/>
        </w:rPr>
        <w:t xml:space="preserve"> Übergangsvorschrift: Zeiten im Sinne des </w:t>
      </w:r>
      <w:hyperlink r:id="rId736" w:history="1">
        <w:r w:rsidRPr="00437F7F">
          <w:rPr>
            <w:rStyle w:val="Hyperlink"/>
            <w:sz w:val="12"/>
          </w:rPr>
          <w:t>§ 8 Abs. 1 Nr. 1 SGB IV</w:t>
        </w:r>
      </w:hyperlink>
      <w:r w:rsidRPr="009C6551">
        <w:rPr>
          <w:rStyle w:val="kleinschrift1"/>
        </w:rPr>
        <w:t xml:space="preserve"> – ohne Berücksichtigung des </w:t>
      </w:r>
      <w:hyperlink r:id="rId737" w:history="1">
        <w:r w:rsidRPr="00437F7F">
          <w:rPr>
            <w:rStyle w:val="Hyperlink"/>
            <w:sz w:val="12"/>
          </w:rPr>
          <w:t>§ 8 Abs. 2 Satz 1 SGB IV</w:t>
        </w:r>
      </w:hyperlink>
      <w:r w:rsidRPr="009C6551">
        <w:rPr>
          <w:rStyle w:val="kleinschrift1"/>
        </w:rPr>
        <w:t xml:space="preserve"> – werden bei der Berechnung der Zeiten für die Unkündbarkeit nur berücksichtigt, soweit sie nach dem 31. Dezember 2000 zurückgelegt worden sind.</w:t>
      </w:r>
    </w:p>
    <w:p w:rsidR="00BE1EFE" w:rsidRDefault="00BE1EFE">
      <w:pPr>
        <w:pStyle w:val="StandardWeb"/>
      </w:pPr>
    </w:p>
    <w:p w:rsidR="00BE1EFE" w:rsidRDefault="00BE1EFE" w:rsidP="003575ED">
      <w:pPr>
        <w:pStyle w:val="StandardWeb"/>
        <w:autoSpaceDE w:val="0"/>
        <w:jc w:val="left"/>
      </w:pPr>
      <w:r>
        <w:rPr>
          <w:rStyle w:val="Fett"/>
          <w:bCs/>
        </w:rPr>
        <w:t>§ 54 Außerordentliche Kündigung</w:t>
      </w:r>
    </w:p>
    <w:p w:rsidR="00BE1EFE" w:rsidRDefault="00BE1EFE">
      <w:pPr>
        <w:pStyle w:val="StandardWeb"/>
        <w:jc w:val="center"/>
      </w:pPr>
    </w:p>
    <w:p w:rsidR="00BE1EFE" w:rsidRDefault="00BE1EFE">
      <w:pPr>
        <w:pStyle w:val="StandardWeb"/>
      </w:pPr>
      <w:r>
        <w:t>(1) Der Arbeitgeber und der Angestellte sind berechtigt, das Arbeitsverhältnis aus einem wichtigen Grunde fristlos zu kündigen, wenn Tatsachen vorliegen, aufgrund derer dem Kündigenden unter Berücksichtigung aller Umstände des Einzelfalles und unter Abwägung der Interessen beider Vertragsteile die Fortsetzung des Arbeitsverhältnisses bis zum Ablauf der Kündigungsfrist oder bis zu der vereinbarten Beendigung des Arbeitsverhältnisses nicht zugemutet werden kann.</w:t>
      </w:r>
    </w:p>
    <w:p w:rsidR="00BE1EFE" w:rsidRDefault="00BE1EFE">
      <w:pPr>
        <w:pStyle w:val="StandardWeb"/>
      </w:pPr>
      <w:r>
        <w:t>(2) </w:t>
      </w:r>
      <w:r>
        <w:rPr>
          <w:rStyle w:val="kleinschrift"/>
        </w:rPr>
        <w:t>1</w:t>
      </w:r>
      <w:r>
        <w:t xml:space="preserve">Die Kündigung kann nur innerhalb von zwei Wochen erfolgen. </w:t>
      </w:r>
      <w:r>
        <w:rPr>
          <w:rStyle w:val="kleinschrift"/>
        </w:rPr>
        <w:t>2</w:t>
      </w:r>
      <w:r>
        <w:t xml:space="preserve">Die Frist beginnt mit dem Zeitpunkt, in dem der Kündigungsberechtigte von den für die Kündigung maßgebenden Tatsachen Kenntnis erlangt. </w:t>
      </w:r>
      <w:r>
        <w:rPr>
          <w:rStyle w:val="kleinschrift"/>
        </w:rPr>
        <w:t>3</w:t>
      </w:r>
      <w:r>
        <w:t>Der Kündigende muss dem anderen Teil auf Verlangen den Kündigungsgrund unverzüglich schriftlich mitteilen.</w:t>
      </w:r>
    </w:p>
    <w:p w:rsidR="00BE1EFE" w:rsidRDefault="00BE1EFE">
      <w:pPr>
        <w:pStyle w:val="StandardWeb"/>
      </w:pPr>
    </w:p>
    <w:p w:rsidR="00BE1EFE" w:rsidRDefault="00BE1EFE" w:rsidP="003575ED">
      <w:pPr>
        <w:pStyle w:val="StandardWeb"/>
        <w:autoSpaceDE w:val="0"/>
        <w:jc w:val="left"/>
      </w:pPr>
      <w:r>
        <w:rPr>
          <w:rStyle w:val="Fett"/>
          <w:bCs/>
        </w:rPr>
        <w:t>§ 55 Unkündbare Angestellte</w:t>
      </w:r>
    </w:p>
    <w:p w:rsidR="00BE1EFE" w:rsidRDefault="00BE1EFE">
      <w:pPr>
        <w:pStyle w:val="StandardWeb"/>
        <w:jc w:val="center"/>
      </w:pPr>
    </w:p>
    <w:p w:rsidR="00BE1EFE" w:rsidRDefault="00BE1EFE">
      <w:pPr>
        <w:pStyle w:val="StandardWeb"/>
      </w:pPr>
      <w:r>
        <w:t>(1) Dem unkündbaren Angestellten (§ 53 Abs. 3) kann aus in seiner Person oder in seinem Verhalten liegenden wichtigen Gründen fristlos gekündigt werden.</w:t>
      </w:r>
    </w:p>
    <w:p w:rsidR="00BE1EFE" w:rsidRDefault="00BE1EFE">
      <w:pPr>
        <w:pStyle w:val="StandardWeb"/>
      </w:pPr>
      <w:r>
        <w:t>(2) </w:t>
      </w:r>
      <w:r>
        <w:rPr>
          <w:rStyle w:val="kleinschrift"/>
        </w:rPr>
        <w:t>1</w:t>
      </w:r>
      <w:r>
        <w:t xml:space="preserve">Andere wichtige Gründe, insbesondere dringende betriebliche Erfordernisse, die einer Weiterbeschäftigung des Angestellten entgegenstehen, berechtigen den Arbeitgeber nicht zur Kündigung. </w:t>
      </w:r>
      <w:r>
        <w:rPr>
          <w:rStyle w:val="kleinschrift"/>
        </w:rPr>
        <w:t>2</w:t>
      </w:r>
      <w:r>
        <w:t xml:space="preserve">In diesen Fällen kann der Arbeitgeber das Arbeitsverhältnis jedoch, wenn eine Beschäftigung zu den bisherigen Vertragsbedingungen aus dienstlichen Gründen nachweisbar nicht möglich ist, zum Zwecke der Herabgruppierung um eine Vergütungsgruppe kündigen. </w:t>
      </w:r>
    </w:p>
    <w:p w:rsidR="00BE1EFE" w:rsidRDefault="00BE1EFE">
      <w:pPr>
        <w:pStyle w:val="StandardWeb"/>
      </w:pPr>
      <w:r>
        <w:rPr>
          <w:rStyle w:val="kleinschrift"/>
        </w:rPr>
        <w:t>3</w:t>
      </w:r>
      <w:r>
        <w:t xml:space="preserve">Der Arbeitgeber kann das Arbeitsverhältnis ferner zum Zwecke der Herabgruppierung um eine Vergütungsgruppe kündigen, wenn der Angestellte dauernd außerstande ist, diejenigen Arbeitsleistungen zu erfüllen, für die er eingestellt ist und die die Voraussetzung für seine Eingruppierung in die bisherige Vergütungsgruppe bilden, und ihm andere Arbeiten, die die Tätigkeitsmerkmale seiner bisherigen Vergütungsgruppe erfüllen, nicht übertragen werden können. </w:t>
      </w:r>
      <w:r>
        <w:rPr>
          <w:rStyle w:val="kleinschrift"/>
        </w:rPr>
        <w:t>4</w:t>
      </w:r>
      <w:r>
        <w:t>Die Kündigung ist ausgeschlossen, wenn die Leistungsminderung</w:t>
      </w:r>
    </w:p>
    <w:p w:rsidR="00BE1EFE" w:rsidRDefault="00BE1EFE">
      <w:pPr>
        <w:pStyle w:val="StandardWeb"/>
      </w:pPr>
      <w:r>
        <w:t xml:space="preserve">a) durch einen Arbeitsunfall oder eine Berufskrankheit i. S. der </w:t>
      </w:r>
      <w:hyperlink r:id="rId738" w:history="1">
        <w:r w:rsidRPr="00437F7F">
          <w:rPr>
            <w:rStyle w:val="Hyperlink"/>
          </w:rPr>
          <w:t>§§ 8</w:t>
        </w:r>
      </w:hyperlink>
      <w:r>
        <w:t xml:space="preserve">, </w:t>
      </w:r>
      <w:hyperlink r:id="rId739" w:history="1">
        <w:r w:rsidRPr="00437F7F">
          <w:rPr>
            <w:rStyle w:val="Hyperlink"/>
          </w:rPr>
          <w:t>9 SGB VII</w:t>
        </w:r>
      </w:hyperlink>
      <w:r>
        <w:t xml:space="preserve"> herbeigeführt worden ist, ohne dass der Angestellte vorsätzlich oder grob fahrlässig gehandelt hat, oder</w:t>
      </w:r>
    </w:p>
    <w:p w:rsidR="00BE1EFE" w:rsidRDefault="00BE1EFE">
      <w:pPr>
        <w:pStyle w:val="StandardWeb"/>
      </w:pPr>
      <w:r>
        <w:t xml:space="preserve">b) auf einer durch die langjährige Beschäftigung verursachten Abnahme der körperlichen oder geistigen Kräfte und Fähigkeiten nach einer Beschäftigungszeit (§ 19) von 20 Jahren beruht und der Angestellte das 55. Lebensjahr vollendet hat. </w:t>
      </w:r>
    </w:p>
    <w:p w:rsidR="00BE1EFE" w:rsidRDefault="00BE1EFE">
      <w:pPr>
        <w:pStyle w:val="StandardWeb"/>
      </w:pPr>
      <w:r>
        <w:rPr>
          <w:rStyle w:val="kleinschrift"/>
        </w:rPr>
        <w:t>5</w:t>
      </w:r>
      <w:r>
        <w:t xml:space="preserve">Die Kündigungsfrist beträgt sechs Monate zum Schluss eines Kalendervierteljahres. </w:t>
      </w:r>
    </w:p>
    <w:p w:rsidR="00BE1EFE" w:rsidRDefault="00BE1EFE">
      <w:pPr>
        <w:pStyle w:val="StandardWeb"/>
      </w:pPr>
      <w:r>
        <w:rPr>
          <w:rStyle w:val="kleinschrift"/>
        </w:rPr>
        <w:t>6</w:t>
      </w:r>
      <w:r>
        <w:t>Lehnt der Angestellte die Fortsetzung des Arbeitsverhältnisses zu den ihm angebotenen geänderten Vertragsbedingungen ab, so gilt das Arbeitsverhältnis mit Ablauf der Kündigungsfrist als vertragsmäßig aufgelöst (§ 58).</w:t>
      </w:r>
    </w:p>
    <w:p w:rsidR="00BE1EFE" w:rsidRDefault="00BE1EFE">
      <w:pPr>
        <w:pStyle w:val="StandardWeb"/>
      </w:pPr>
    </w:p>
    <w:p w:rsidR="00BE1EFE" w:rsidRDefault="00BE1EFE" w:rsidP="003575ED">
      <w:pPr>
        <w:pStyle w:val="StandardWeb"/>
        <w:autoSpaceDE w:val="0"/>
        <w:jc w:val="left"/>
      </w:pPr>
      <w:r>
        <w:rPr>
          <w:rStyle w:val="Fett"/>
          <w:bCs/>
        </w:rPr>
        <w:t>§ 56 Ausgleichszulage bei Arbeitsunfall und Berufskrankheit</w:t>
      </w:r>
    </w:p>
    <w:p w:rsidR="00BE1EFE" w:rsidRDefault="00BE1EFE">
      <w:pPr>
        <w:pStyle w:val="StandardWeb"/>
        <w:jc w:val="center"/>
      </w:pPr>
    </w:p>
    <w:p w:rsidR="00BE1EFE" w:rsidRDefault="00BE1EFE">
      <w:pPr>
        <w:pStyle w:val="StandardWeb"/>
      </w:pPr>
      <w:r>
        <w:rPr>
          <w:rStyle w:val="kleinschrift"/>
        </w:rPr>
        <w:t>1</w:t>
      </w:r>
      <w:r>
        <w:t>Ist der Angestellte infolge eines Unfalls, den er nach mindestens einjähriger ununter</w:t>
      </w:r>
      <w:r>
        <w:softHyphen/>
        <w:t xml:space="preserve">brochener Beschäftigung bei demselben Arbeitgeber in Ausübung oder infolge seiner Arbeit ohne Vorsatz oder grobe Fahrlässigkeit erlitten hat, in seiner bisherigen Vergütungsgruppe nicht mehr voll leistungsfähig und wird er deshalb in einer niedrigeren Vergütungsgruppe weiterbeschäftigt, so erhält er eine Ausgleichszulage in Höhe des Unterschiedsbetrages zwischen der ihm in der neuen Vergütungsgruppe jeweils zustehenden Grundvergütung zuzüglich der allgemeinen Zulage und der Grundvergütung zuzüglich der allgemeinen Zulage, die er in der verlassenen Vergütungsgruppe zuletzt bezogen hat. </w:t>
      </w:r>
      <w:r>
        <w:rPr>
          <w:rStyle w:val="kleinschrift"/>
        </w:rPr>
        <w:t>2</w:t>
      </w:r>
      <w:r>
        <w:t xml:space="preserve">Das Gleiche gilt bei einer </w:t>
      </w:r>
      <w:r>
        <w:lastRenderedPageBreak/>
        <w:t xml:space="preserve">Berufskrankheit i. S. d. </w:t>
      </w:r>
      <w:hyperlink r:id="rId740" w:history="1">
        <w:r w:rsidRPr="00CF2290">
          <w:rPr>
            <w:rStyle w:val="Hyperlink"/>
          </w:rPr>
          <w:t>§ 9 SGB VII</w:t>
        </w:r>
      </w:hyperlink>
      <w:r>
        <w:t xml:space="preserve"> nach mindestens dreijähriger ununterbrochener Beschäfti</w:t>
      </w:r>
      <w:r>
        <w:softHyphen/>
        <w:t>gung.</w:t>
      </w:r>
    </w:p>
    <w:p w:rsidR="00BE1EFE" w:rsidRDefault="00BE1EFE">
      <w:pPr>
        <w:pStyle w:val="StandardWeb"/>
      </w:pPr>
    </w:p>
    <w:p w:rsidR="00BE1EFE" w:rsidRDefault="00BE1EFE" w:rsidP="003575ED">
      <w:pPr>
        <w:pStyle w:val="StandardWeb"/>
        <w:autoSpaceDE w:val="0"/>
        <w:jc w:val="left"/>
      </w:pPr>
      <w:r>
        <w:rPr>
          <w:rStyle w:val="Fett"/>
          <w:bCs/>
        </w:rPr>
        <w:t>§ 57 Schriftform der Kündigung</w:t>
      </w:r>
    </w:p>
    <w:p w:rsidR="00BE1EFE" w:rsidRDefault="00BE1EFE">
      <w:pPr>
        <w:pStyle w:val="StandardWeb"/>
        <w:jc w:val="center"/>
      </w:pPr>
    </w:p>
    <w:p w:rsidR="00BE1EFE" w:rsidRDefault="00BE1EFE">
      <w:pPr>
        <w:pStyle w:val="StandardWeb"/>
      </w:pPr>
      <w:r>
        <w:rPr>
          <w:rStyle w:val="kleinschrift"/>
        </w:rPr>
        <w:t>1</w:t>
      </w:r>
      <w:r>
        <w:t xml:space="preserve">Kündigungen bedürfen zu ihrer Wirksamkeit der Schriftform; die elektronische Form ist ausgeschlossen. </w:t>
      </w:r>
      <w:r>
        <w:rPr>
          <w:rStyle w:val="kleinschrift"/>
        </w:rPr>
        <w:t>2</w:t>
      </w:r>
      <w:r>
        <w:t>Kündigt der Arbeitgeber, so soll er den Kündigungsgrund in dem Kündigungsschreiben angeben; § 54 Abs. 2 Satz 3 bleibt unberührt.</w:t>
      </w:r>
    </w:p>
    <w:p w:rsidR="00BE1EFE" w:rsidRDefault="00BE1EFE">
      <w:pPr>
        <w:pStyle w:val="StandardWeb"/>
      </w:pPr>
    </w:p>
    <w:p w:rsidR="00BE1EFE" w:rsidRDefault="00BE1EFE" w:rsidP="003575ED">
      <w:pPr>
        <w:pStyle w:val="StandardWeb"/>
        <w:autoSpaceDE w:val="0"/>
        <w:jc w:val="left"/>
      </w:pPr>
      <w:r>
        <w:rPr>
          <w:rStyle w:val="Fett"/>
          <w:bCs/>
        </w:rPr>
        <w:t>§ 58 Beendigung des Arbeitsverhältnisses durch Vereinbarung</w:t>
      </w:r>
    </w:p>
    <w:p w:rsidR="00BE1EFE" w:rsidRDefault="00BE1EFE">
      <w:pPr>
        <w:pStyle w:val="StandardWeb"/>
        <w:jc w:val="center"/>
      </w:pPr>
    </w:p>
    <w:p w:rsidR="00BE1EFE" w:rsidRDefault="00BE1EFE">
      <w:pPr>
        <w:pStyle w:val="StandardWeb"/>
      </w:pPr>
      <w:r>
        <w:rPr>
          <w:rStyle w:val="kleinschrift"/>
        </w:rPr>
        <w:t>1</w:t>
      </w:r>
      <w:r>
        <w:t xml:space="preserve">Das Arbeitsverhältnis kann im gegenseitigen Einvernehmen jederzeit beendet werden (Auflösungsvertrag). </w:t>
      </w:r>
      <w:r>
        <w:rPr>
          <w:rStyle w:val="kleinschrift"/>
        </w:rPr>
        <w:t>2</w:t>
      </w:r>
      <w:r>
        <w:t>Die Beendigung des Arbeitsverhältnisses durch Auflösungsvertrag bedarf zu ihrer Wirksamkeit der Schriftform; die elektronische Form ist ausgeschlossen.</w:t>
      </w:r>
    </w:p>
    <w:p w:rsidR="00BE1EFE" w:rsidRDefault="00BE1EFE">
      <w:pPr>
        <w:pStyle w:val="StandardWeb"/>
      </w:pPr>
    </w:p>
    <w:p w:rsidR="00BE1EFE" w:rsidRDefault="00BE1EFE" w:rsidP="003575ED">
      <w:pPr>
        <w:pStyle w:val="StandardWeb"/>
        <w:autoSpaceDE w:val="0"/>
        <w:jc w:val="left"/>
      </w:pPr>
      <w:r>
        <w:rPr>
          <w:rStyle w:val="Fett"/>
          <w:bCs/>
        </w:rPr>
        <w:t>§ 59 Beendigung des Arbeitsverhältnisses wegen verminderter Erwerbsfähigkeit</w:t>
      </w:r>
    </w:p>
    <w:p w:rsidR="00BE1EFE" w:rsidRDefault="00BE1EFE">
      <w:pPr>
        <w:pStyle w:val="StandardWeb"/>
        <w:jc w:val="center"/>
      </w:pPr>
    </w:p>
    <w:p w:rsidR="00BE1EFE" w:rsidRDefault="00BE1EFE">
      <w:pPr>
        <w:pStyle w:val="StandardWeb"/>
      </w:pPr>
      <w:r>
        <w:t>(1) </w:t>
      </w:r>
      <w:r>
        <w:rPr>
          <w:rStyle w:val="kleinschrift"/>
        </w:rPr>
        <w:t>1</w:t>
      </w:r>
      <w:r>
        <w:t xml:space="preserve">Wird durch den Bescheid eines Rentenversicherungsträgers festgestellt, dass der Angestellte erwerbsgemindert ist, so endet das Arbeitsverhältnis mit Ablauf des Monats, in dem der Bescheid zugestellt wird, sofern der Angestellte eine außerhalb der gesetzlichen Rentenversicherung bestehende Versorgung durch den Arbeitgeber oder durch eine Versorgungseinrichtung erhält, zu der der Arbeitgeber Mittel beigesteuert hat. </w:t>
      </w:r>
      <w:r>
        <w:rPr>
          <w:rStyle w:val="kleinschrift"/>
        </w:rPr>
        <w:t>2</w:t>
      </w:r>
      <w:r>
        <w:t xml:space="preserve">Der Angestellte hat den Arbeitgeber von der Zustellung des Rentenbescheides unverzüglich zu unterrichten. </w:t>
      </w:r>
      <w:r>
        <w:rPr>
          <w:rStyle w:val="kleinschrift"/>
        </w:rPr>
        <w:t>3</w:t>
      </w:r>
      <w:r>
        <w:t xml:space="preserve">Beginnt die Rente wegen verminderter Erwerbsfähigkeit erst nach der Zustellung des Rentenbescheides, endet das Arbeitsverhältnis mit Ablauf des dem Rentenbeginn vorangehenden Tages. </w:t>
      </w:r>
      <w:r>
        <w:rPr>
          <w:rStyle w:val="kleinschrift"/>
        </w:rPr>
        <w:t>4</w:t>
      </w:r>
      <w:r>
        <w:t xml:space="preserve">Das Arbeitsverhältnis endet nicht, wenn nach dem Bescheid des Rentenversicherungsträgers eine befristete Rente wegen verminderter Erwerbsfähigkeit gewährt wird. </w:t>
      </w:r>
      <w:r>
        <w:rPr>
          <w:rStyle w:val="kleinschrift"/>
        </w:rPr>
        <w:t>5</w:t>
      </w:r>
      <w:r>
        <w:t xml:space="preserve">In diesem Falle ruht das Arbeitsverhältnis mit allen Rechten und Pflichten von dem Tage an, der auf den nach Satz 1 oder 3 maßgebenden Zeitpunkt folgt, bis zum Ablauf des Tages, bis zu dem die befristete Rente bewilligt ist, längstens jedoch bis zum Ablauf des Tages, an dem das Arbeitsverhältnis endet. </w:t>
      </w:r>
    </w:p>
    <w:p w:rsidR="00BE1EFE" w:rsidRDefault="00BE1EFE">
      <w:pPr>
        <w:pStyle w:val="StandardWeb"/>
      </w:pPr>
      <w:r>
        <w:rPr>
          <w:rStyle w:val="kleinschrift"/>
        </w:rPr>
        <w:t>6</w:t>
      </w:r>
      <w:r>
        <w:t xml:space="preserve">Verzögert der Angestellte schuldhaft den Rentenantrag oder bezieht er Altersrente nach </w:t>
      </w:r>
      <w:hyperlink r:id="rId741" w:history="1">
        <w:r w:rsidRPr="00CF2290">
          <w:rPr>
            <w:rStyle w:val="Hyperlink"/>
          </w:rPr>
          <w:t>§ 236</w:t>
        </w:r>
      </w:hyperlink>
      <w:r>
        <w:t xml:space="preserve"> oder </w:t>
      </w:r>
      <w:hyperlink r:id="rId742" w:history="1">
        <w:r w:rsidRPr="00CF2290">
          <w:rPr>
            <w:rStyle w:val="Hyperlink"/>
          </w:rPr>
          <w:t>§ 236a SGB VI</w:t>
        </w:r>
      </w:hyperlink>
      <w:r>
        <w:t xml:space="preserve"> oder ist er nicht in der gesetzlichen Rentenversicherung versichert, so tritt an die Stelle des Bescheides des Rentenversicherungsträgers das Gutachten eines Amtsarztes. </w:t>
      </w:r>
      <w:r>
        <w:rPr>
          <w:rStyle w:val="kleinschrift"/>
        </w:rPr>
        <w:t>7</w:t>
      </w:r>
      <w:r>
        <w:t>Das Arbeitsverhältnis endet in diesem Falle mit Ablauf des Monats, indem dem Angestellten das Gutachten bekannt gegeben worden ist.</w:t>
      </w:r>
    </w:p>
    <w:p w:rsidR="00BE1EFE" w:rsidRDefault="00BE1EFE">
      <w:pPr>
        <w:pStyle w:val="StandardWeb"/>
      </w:pPr>
      <w:r>
        <w:t>(2) </w:t>
      </w:r>
      <w:r>
        <w:rPr>
          <w:rStyle w:val="kleinschrift"/>
        </w:rPr>
        <w:t>1</w:t>
      </w:r>
      <w:r>
        <w:t xml:space="preserve">Erhält der Angestellte keine außerhalb der gesetzlichen Rentenversicherung bestehende Versorgung durch den Arbeitgeber oder durch eine Versorgungseinrichtung, zu der der Arbeitgeber Mittel beigesteuert hat, so endet das Arbeitsverhältnis des kündbaren Angestellten nach Ablauf der für ihn geltenden Kündigungsfrist (§ 53 Abs. 2), des unkündbaren Angestellten (§ 53 Abs. 3) nach Ablauf einer Frist von sechs Monaten zum Schluss eines Kalendervierteljahres. </w:t>
      </w:r>
      <w:r>
        <w:rPr>
          <w:rStyle w:val="kleinschrift"/>
        </w:rPr>
        <w:t>2</w:t>
      </w:r>
      <w:r>
        <w:t xml:space="preserve">Die Fristen beginnen mit der Zustellung des Rentenbescheides bzw. mit der Bekanntgabe des Gutachtens des Amtsarztes an den Angestellten. </w:t>
      </w:r>
    </w:p>
    <w:p w:rsidR="00BE1EFE" w:rsidRDefault="00BE1EFE">
      <w:pPr>
        <w:pStyle w:val="StandardWeb"/>
      </w:pPr>
      <w:r>
        <w:rPr>
          <w:rStyle w:val="kleinschrift"/>
        </w:rPr>
        <w:t>3</w:t>
      </w:r>
      <w:r>
        <w:t xml:space="preserve">Der Angestellte hat den Arbeitgeber von der Zustellung des Rentenbescheides unverzüglich zu unterrichten. </w:t>
      </w:r>
      <w:r>
        <w:rPr>
          <w:rStyle w:val="kleinschrift"/>
        </w:rPr>
        <w:t>4</w:t>
      </w:r>
      <w:r>
        <w:t xml:space="preserve">Beginnt die Rente wegen verminderter Erwerbsfähigkeit erst nach der Zustellung des Rentenbescheides, beginnen die Fristen mit Ablauf des dem Rentenbeginn vorangehenden Tages. </w:t>
      </w:r>
      <w:r>
        <w:rPr>
          <w:rStyle w:val="kleinschrift"/>
        </w:rPr>
        <w:t>5</w:t>
      </w:r>
      <w:r>
        <w:t>Abs. 1 Unterabs. 1 Satz 4 und 5 gilt entsprechend.</w:t>
      </w:r>
    </w:p>
    <w:p w:rsidR="00BE1EFE" w:rsidRDefault="00BE1EFE">
      <w:pPr>
        <w:pStyle w:val="StandardWeb"/>
      </w:pPr>
      <w:r>
        <w:t xml:space="preserve">(3) Das Arbeitsverhältnis endet bzw. ruht nicht, wenn der Angestellte, der nur teilweise erwerbsgemindert ist, nach seinem vom Rentenversicherungsträger festgestellten Leistungsvermögen auf seinem bisherigen oder einem anderen geeigneten und freien Arbeitsplatz weiterbeschäftigt werden könnte, soweit dringende dienstliche bzw. betriebliche </w:t>
      </w:r>
      <w:r>
        <w:lastRenderedPageBreak/>
        <w:t>Gründe nicht entgegenstehen, und der Angestellte innerhalb von zwei Wochen nach Zugang des Rentenbescheides seine Weiterbeschäftigung schriftlich beantragt.</w:t>
      </w:r>
    </w:p>
    <w:p w:rsidR="00BE1EFE" w:rsidRDefault="00BE1EFE">
      <w:pPr>
        <w:pStyle w:val="StandardWeb"/>
      </w:pPr>
      <w:r>
        <w:t xml:space="preserve">(4) Liegt bei einem Angestellten, der schwerbehindert im Sinne des </w:t>
      </w:r>
      <w:hyperlink r:id="rId743" w:history="1">
        <w:r w:rsidRPr="00CF2290">
          <w:rPr>
            <w:rStyle w:val="Hyperlink"/>
          </w:rPr>
          <w:t>SGB IX</w:t>
        </w:r>
      </w:hyperlink>
      <w:r>
        <w:t xml:space="preserve"> ist, in dem Zeitpunkt, in dem nach den Absätzen 1 und 2 das Arbeitsverhältnis wegen verminderter Erwerbsfähigkeit endet, die nach </w:t>
      </w:r>
      <w:hyperlink r:id="rId744" w:history="1">
        <w:r w:rsidRPr="00CF2290">
          <w:rPr>
            <w:rStyle w:val="Hyperlink"/>
          </w:rPr>
          <w:t>§ 92 SGB IX</w:t>
        </w:r>
      </w:hyperlink>
      <w:r>
        <w:t xml:space="preserve"> erforderliche Zustimmung des Integrationsamtes noch nicht vor, endet das Arbeitsverhältnis mit Ablauf des Tages der Zustellung des Zustimmungsbescheides des Integrationsamtes.</w:t>
      </w:r>
    </w:p>
    <w:p w:rsidR="00BE1EFE" w:rsidRDefault="00BE1EFE">
      <w:pPr>
        <w:pStyle w:val="StandardWeb"/>
      </w:pPr>
      <w:r>
        <w:t>(5) Nach Wiederherstellung der Berufsfähigkeit soll der Angestellte, der bei Beendigung des Arbeitsverhältnisses nach Abs. 1 oder Abs. 2 bereits unkündbar war, auf Antrag bei seiner früheren Dienststelle wieder eingestellt werden, wenn dort ein für ihn geeigneter Arbeitsplatz frei ist.</w:t>
      </w:r>
    </w:p>
    <w:p w:rsidR="00BE1EFE" w:rsidRDefault="00BE1EFE">
      <w:pPr>
        <w:pStyle w:val="StandardWeb"/>
        <w:rPr>
          <w:sz w:val="12"/>
          <w:szCs w:val="12"/>
        </w:rPr>
      </w:pPr>
      <w:r w:rsidRPr="009C6551">
        <w:rPr>
          <w:rStyle w:val="kleinschrift1"/>
        </w:rPr>
        <w:t>Anmerkung zu Abs. 1 und 2:</w:t>
      </w:r>
    </w:p>
    <w:p w:rsidR="00BE1EFE" w:rsidRDefault="00BE1EFE">
      <w:pPr>
        <w:pStyle w:val="StandardWeb"/>
      </w:pPr>
      <w:r w:rsidRPr="009C6551">
        <w:rPr>
          <w:rStyle w:val="kleinschrift1"/>
        </w:rPr>
        <w:t xml:space="preserve">Abs. 1 Unterabs. 1 Satz 4 und 5 gilt entsprechend für den in der gesetzlichen Rentenversicherung nicht versicherten Angestellten, dessen verminderte Erwerbsfähigkeit nach Abs. 1 Unterabs. 2 durch Gutachten des Amtsarztes festgestellt worden ist, wenn er von einer berufsständischen Versorgungseinrichtung i. S. d. </w:t>
      </w:r>
      <w:hyperlink r:id="rId745" w:history="1">
        <w:r w:rsidRPr="00CF2290">
          <w:rPr>
            <w:rStyle w:val="Hyperlink"/>
            <w:sz w:val="12"/>
          </w:rPr>
          <w:t>§ 6 Abs. 1 Nr. 1 SGB VI</w:t>
        </w:r>
      </w:hyperlink>
      <w:r w:rsidRPr="009C6551">
        <w:rPr>
          <w:rStyle w:val="kleinschrift1"/>
        </w:rPr>
        <w:t xml:space="preserve"> eine befristete Rente erhält.</w:t>
      </w:r>
    </w:p>
    <w:p w:rsidR="00BE1EFE" w:rsidRDefault="00BE1EFE">
      <w:pPr>
        <w:pStyle w:val="StandardWeb"/>
      </w:pPr>
    </w:p>
    <w:p w:rsidR="00BE1EFE" w:rsidRDefault="00BE1EFE" w:rsidP="003575ED">
      <w:pPr>
        <w:pStyle w:val="StandardWeb"/>
        <w:autoSpaceDE w:val="0"/>
        <w:jc w:val="left"/>
      </w:pPr>
      <w:r>
        <w:rPr>
          <w:rStyle w:val="Fett"/>
          <w:bCs/>
        </w:rPr>
        <w:t>§ 60 Beendigung des Arbeitsverhältnisses wegen Erreichens der Altersgrenze, vorzeiti</w:t>
      </w:r>
      <w:r>
        <w:rPr>
          <w:rStyle w:val="Fett"/>
          <w:bCs/>
        </w:rPr>
        <w:softHyphen/>
        <w:t>gen Bezugs einer Altersrente, einer Rente wegen voller Erwerbsminderung oder einer Versorgung, Weiterbeschäftigung</w:t>
      </w:r>
    </w:p>
    <w:p w:rsidR="00BE1EFE" w:rsidRDefault="00BE1EFE">
      <w:pPr>
        <w:pStyle w:val="StandardWeb"/>
        <w:jc w:val="center"/>
      </w:pPr>
    </w:p>
    <w:p w:rsidR="00BE1EFE" w:rsidRDefault="00BE1EFE">
      <w:pPr>
        <w:pStyle w:val="StandardWeb"/>
      </w:pPr>
      <w:r>
        <w:t>(1) Das Arbeitsverhältnis endet, ohne dass es einer Kündigung bedarf, mit Ablauf des Monats, in dem der Angestellte das 65. Lebensjahr vollendet hat.</w:t>
      </w:r>
    </w:p>
    <w:p w:rsidR="00BE1EFE" w:rsidRDefault="00BE1EFE">
      <w:pPr>
        <w:pStyle w:val="StandardWeb"/>
        <w:rPr>
          <w:vertAlign w:val="superscript"/>
        </w:rPr>
      </w:pPr>
      <w:r>
        <w:t>(2) </w:t>
      </w:r>
      <w:r>
        <w:rPr>
          <w:rStyle w:val="kleinschrift"/>
        </w:rPr>
        <w:t>1</w:t>
      </w:r>
      <w:r>
        <w:t xml:space="preserve">Soll der Angestellte nach Vollendung des 65. Lebensjahres ausnahmsweise beschäftigt werden, so gelten für das Arbeitsverhältnis die Bestimmungen des ABD Teil H. </w:t>
      </w:r>
      <w:r>
        <w:rPr>
          <w:rStyle w:val="kleinschrift"/>
        </w:rPr>
        <w:t>2</w:t>
      </w:r>
      <w:r>
        <w:t xml:space="preserve">Das Gleiche gilt für Mitarbeiter, die eine vorgezogene Altersrente in voller Höhe bzw. eine Rente wegen voller Erwerbsminderung in voller Höhe oder die bereits vor Erreichung der Altersgrenze Versorgungsbezüge erhalten. </w:t>
      </w:r>
      <w:r>
        <w:rPr>
          <w:vertAlign w:val="superscript"/>
        </w:rPr>
        <w:t>1)</w:t>
      </w:r>
    </w:p>
    <w:p w:rsidR="00BE1EFE" w:rsidRDefault="00BE1EFE">
      <w:pPr>
        <w:pStyle w:val="StandardWeb"/>
      </w:pPr>
      <w:r>
        <w:rPr>
          <w:sz w:val="12"/>
          <w:szCs w:val="12"/>
          <w:vertAlign w:val="superscript"/>
        </w:rPr>
        <w:t>1)</w:t>
      </w:r>
      <w:r w:rsidRPr="009C6551">
        <w:rPr>
          <w:rStyle w:val="kleinschrift1"/>
        </w:rPr>
        <w:t xml:space="preserve"> Abschläge bei vorzeitigem Bezug einer Rente oder der Versorgung bzw. die Höhe des Versorgungssatzes bleiben bei der Beurteilung der Frage, ob eine volle Rente bzw. Versorgung vorliegt, unberücksichtigt.</w:t>
      </w:r>
    </w:p>
    <w:p w:rsidR="00BE1EFE" w:rsidRDefault="00BE1EFE">
      <w:pPr>
        <w:pStyle w:val="StandardWeb"/>
      </w:pPr>
      <w:r>
        <w:t>(3) Sind die sachlichen Voraussetzungen für die Erlangung laufender Bezüge aus der Rentenversicherung oder einer Altersversorgung eines von dem ABD erfassten Arbeitgebers oder einer Körperschaft, Anstalt oder Stiftung des öffentlichen Rechts, die das ABD oder ein Arbeitsvertragswerk wesentlich gleichen Inhalts anwenden, in dem in Abs. 1 bezeichneten Zeitpunkt noch nicht gegeben, so soll der Angestellte, wenn er noch voll leistungsfähig ist, bis zum Eintritt der Voraussetzungen, im Allgemeinen aber nicht über drei Jahre hinaus, weiterbeschäftigt werden.</w:t>
      </w:r>
    </w:p>
    <w:p w:rsidR="00BE1EFE" w:rsidRDefault="00BE1EFE">
      <w:pPr>
        <w:pStyle w:val="StandardWeb"/>
      </w:pPr>
    </w:p>
    <w:p w:rsidR="00BE1EFE" w:rsidRDefault="00BE1EFE" w:rsidP="003575ED">
      <w:pPr>
        <w:pStyle w:val="StandardWeb"/>
        <w:autoSpaceDE w:val="0"/>
        <w:jc w:val="left"/>
      </w:pPr>
      <w:r>
        <w:rPr>
          <w:rStyle w:val="Fett"/>
          <w:bCs/>
        </w:rPr>
        <w:t>§ 61 Zeugnisse und Arbeitsbescheinigungen</w:t>
      </w:r>
    </w:p>
    <w:p w:rsidR="00BE1EFE" w:rsidRDefault="00BE1EFE">
      <w:pPr>
        <w:pStyle w:val="StandardWeb"/>
        <w:jc w:val="center"/>
      </w:pPr>
    </w:p>
    <w:p w:rsidR="00BE1EFE" w:rsidRDefault="00BE1EFE">
      <w:pPr>
        <w:pStyle w:val="StandardWeb"/>
      </w:pPr>
      <w:r>
        <w:t>(1) </w:t>
      </w:r>
      <w:r>
        <w:rPr>
          <w:rStyle w:val="kleinschrift"/>
        </w:rPr>
        <w:t>1</w:t>
      </w:r>
      <w:r>
        <w:t xml:space="preserve">Bei Kündigung hat der Angestellte Anspruch auf unverzügliche Ausstellung eines vorläufigen Zeugnisses über Art und Dauer seiner Tätigkeit. </w:t>
      </w:r>
      <w:r>
        <w:rPr>
          <w:rStyle w:val="kleinschrift"/>
        </w:rPr>
        <w:t>2</w:t>
      </w:r>
      <w:r>
        <w:t>Dieses Zeugnis ist bei Beendigung des Arbeitsverhältnisses sofort gegen ein endgültiges Zeugnis umzutauschen, das sich auf Antrag auch auf Führung und Leistung erstrecken muss.</w:t>
      </w:r>
    </w:p>
    <w:p w:rsidR="00BE1EFE" w:rsidRDefault="00BE1EFE">
      <w:pPr>
        <w:pStyle w:val="StandardWeb"/>
      </w:pPr>
      <w:r>
        <w:t>(2) Der Angestellte ist berechtigt, aus triftigen Gründen auch während des Arbeitsver</w:t>
      </w:r>
      <w:r>
        <w:softHyphen/>
        <w:t>hältnisses ein Zeugnis zu verlangen.</w:t>
      </w:r>
    </w:p>
    <w:p w:rsidR="00BE1EFE" w:rsidRDefault="00BE1EFE">
      <w:pPr>
        <w:pStyle w:val="StandardWeb"/>
      </w:pPr>
      <w:r>
        <w:t>(3) Auf Antrag ist dem Angestellten bei Beendigung des Arbeitsverhältnisses eine Bescheinigung über die Vergütungsgruppe und die zuletzt bezogene Grundvergütung auszu</w:t>
      </w:r>
      <w:r>
        <w:softHyphen/>
        <w:t>händigen.</w:t>
      </w:r>
    </w:p>
    <w:p w:rsidR="00BE1EFE" w:rsidRDefault="00BE1EFE">
      <w:pPr>
        <w:pStyle w:val="StandardWeb"/>
      </w:pPr>
    </w:p>
    <w:p w:rsidR="00BE1EFE" w:rsidRDefault="00BE1EFE" w:rsidP="003575ED">
      <w:pPr>
        <w:pStyle w:val="StandardWeb"/>
        <w:autoSpaceDE w:val="0"/>
        <w:jc w:val="left"/>
      </w:pPr>
      <w:r>
        <w:rPr>
          <w:rStyle w:val="Fett"/>
          <w:bCs/>
        </w:rPr>
        <w:t>§ 62 Voraussetzungen für die Zahlung des Übergangsgeldes</w:t>
      </w:r>
    </w:p>
    <w:p w:rsidR="00BE1EFE" w:rsidRDefault="00BE1EFE">
      <w:pPr>
        <w:pStyle w:val="StandardWeb"/>
        <w:jc w:val="center"/>
      </w:pPr>
    </w:p>
    <w:p w:rsidR="00BE1EFE" w:rsidRDefault="00BE1EFE">
      <w:pPr>
        <w:pStyle w:val="StandardWeb"/>
      </w:pPr>
      <w:r>
        <w:t>(1) Der Angestellte, der am Tage der Beendigung des Arbeitsverhältnisses</w:t>
      </w:r>
    </w:p>
    <w:p w:rsidR="00BE1EFE" w:rsidRDefault="00BE1EFE">
      <w:pPr>
        <w:pStyle w:val="StandardWeb"/>
      </w:pPr>
      <w:r>
        <w:t>a) das 21. Lebensjahr vollendet hat und</w:t>
      </w:r>
    </w:p>
    <w:p w:rsidR="00BE1EFE" w:rsidRDefault="00BE1EFE">
      <w:pPr>
        <w:pStyle w:val="StandardWeb"/>
      </w:pPr>
      <w:r>
        <w:lastRenderedPageBreak/>
        <w:t>b) in einem ununterbrochenen Angestelltenverhältnis von mindestens einem Jahr bei demselben Arbeitgeber gestanden hat, erhält beim Ausscheiden ein Übergangsgeld.</w:t>
      </w:r>
    </w:p>
    <w:p w:rsidR="00BE1EFE" w:rsidRDefault="00BE1EFE">
      <w:pPr>
        <w:pStyle w:val="StandardWeb"/>
      </w:pPr>
      <w:r>
        <w:t>(2) Das Übergangsgeld wird nicht gewährt, wenn</w:t>
      </w:r>
    </w:p>
    <w:p w:rsidR="00BE1EFE" w:rsidRDefault="00BE1EFE">
      <w:pPr>
        <w:pStyle w:val="StandardWeb"/>
      </w:pPr>
      <w:r>
        <w:t>a) der Angestellte das Ausscheiden verschuldet hat,</w:t>
      </w:r>
    </w:p>
    <w:p w:rsidR="00BE1EFE" w:rsidRDefault="00BE1EFE">
      <w:pPr>
        <w:pStyle w:val="StandardWeb"/>
      </w:pPr>
      <w:r>
        <w:t>b) der Angestellte gekündigt hat,</w:t>
      </w:r>
    </w:p>
    <w:p w:rsidR="00BE1EFE" w:rsidRDefault="00BE1EFE">
      <w:pPr>
        <w:pStyle w:val="StandardWeb"/>
      </w:pPr>
      <w:r>
        <w:t>c) das Arbeitsverhältnis durch Auflösungsvertrag (§ 58) beendet ist,</w:t>
      </w:r>
    </w:p>
    <w:p w:rsidR="00BE1EFE" w:rsidRDefault="00BE1EFE">
      <w:pPr>
        <w:pStyle w:val="StandardWeb"/>
      </w:pPr>
      <w:r>
        <w:t>d) der Angestellte eine Abfindung auf Grund des Kündigungsschutzgesetzes erhält,</w:t>
      </w:r>
    </w:p>
    <w:p w:rsidR="00BE1EFE" w:rsidRDefault="00BE1EFE">
      <w:pPr>
        <w:pStyle w:val="StandardWeb"/>
      </w:pPr>
      <w:r>
        <w:t>e) der Angestellte auf Grund eines Vergleichs ausscheidet, in dem vom Arbeitgeber eine Geldzahlung ohne Arbeitsleistung zugebilligt wird,</w:t>
      </w:r>
    </w:p>
    <w:p w:rsidR="00BE1EFE" w:rsidRDefault="00BE1EFE">
      <w:pPr>
        <w:pStyle w:val="StandardWeb"/>
      </w:pPr>
      <w:r>
        <w:t>f) sich unmittelbar an das beendete Arbeitsverhältnis ein neues mit Einkommen verbundenes Beschäftigungsverhältnis anschließt,</w:t>
      </w:r>
    </w:p>
    <w:p w:rsidR="00BE1EFE" w:rsidRDefault="00BE1EFE">
      <w:pPr>
        <w:pStyle w:val="StandardWeb"/>
      </w:pPr>
      <w:r>
        <w:t>g) der Angestellte eine ihm nachgewiesene Arbeitsstelle ausgeschlagen hat, deren Annahme ihm billigerweise zugemutet werden konnte,</w:t>
      </w:r>
    </w:p>
    <w:p w:rsidR="00BE1EFE" w:rsidRDefault="00BE1EFE">
      <w:pPr>
        <w:pStyle w:val="StandardWeb"/>
      </w:pPr>
      <w:r>
        <w:t>h) dem Angestellten aufgrund Satzung, Gesetzes, Tarifvertrages oder sonstiger Regelung im Falle des Ausscheidens vor Eintritt eines Versicherungsfalles i. S. d. gesetzlichen Renten</w:t>
      </w:r>
      <w:r>
        <w:softHyphen/>
        <w:t>versicherung eine Betriebsrente oder vergleichbare Leistung gewährt wird,</w:t>
      </w:r>
    </w:p>
    <w:p w:rsidR="00BE1EFE" w:rsidRDefault="00BE1EFE">
      <w:pPr>
        <w:pStyle w:val="StandardWeb"/>
      </w:pPr>
      <w:r>
        <w:t>i) der Angestellte aus eigener Erwerbstätigkeit eine Rente aus der gesetzlichen Rentenversicherung oder Leistungen aus einer Versicherung oder Versorgung erhält oder beanspruchen kann, zu der der Arbeitgeber oder ein anderer Arbeitgeber, der das ABD oder ein Arbeitsvertragswerk wesentlich gleichen Inhalts anwendet, Mittel ganz oder teilweise beisteuert oder beigesteuert hat.</w:t>
      </w:r>
    </w:p>
    <w:p w:rsidR="00BE1EFE" w:rsidRDefault="00BE1EFE">
      <w:pPr>
        <w:pStyle w:val="StandardWeb"/>
      </w:pPr>
      <w:r>
        <w:t>(3) Auch in den Fällen des Abs. 2 Buchst. b) und c) wird Übergangsgeld gewährt, wenn</w:t>
      </w:r>
    </w:p>
    <w:p w:rsidR="00BE1EFE" w:rsidRDefault="00BE1EFE">
      <w:pPr>
        <w:pStyle w:val="StandardWeb"/>
      </w:pPr>
      <w:r>
        <w:t>1. der Angestellte wegen</w:t>
      </w:r>
    </w:p>
    <w:p w:rsidR="00BE1EFE" w:rsidRDefault="00BE1EFE">
      <w:pPr>
        <w:pStyle w:val="StandardWeb"/>
      </w:pPr>
      <w:r>
        <w:t>a) eines mit Sicherheit erwarteten Personalabbaues,</w:t>
      </w:r>
    </w:p>
    <w:p w:rsidR="00BE1EFE" w:rsidRDefault="00BE1EFE">
      <w:pPr>
        <w:pStyle w:val="StandardWeb"/>
      </w:pPr>
      <w:r>
        <w:t>b) einer Körperbeschädigung, die ihn zur Fortsetzung der Arbeit unfähig macht,</w:t>
      </w:r>
    </w:p>
    <w:p w:rsidR="00BE1EFE" w:rsidRDefault="00BE1EFE">
      <w:pPr>
        <w:pStyle w:val="StandardWeb"/>
      </w:pPr>
      <w:r>
        <w:t>c) einer in Ausübung oder infolge seiner Arbeit erlittenen Gesundheitsschädigung, die seine Arbeitsfähigkeit für längere Zeit wesentlich herabsetzt,</w:t>
      </w:r>
    </w:p>
    <w:p w:rsidR="00BE1EFE" w:rsidRDefault="00BE1EFE">
      <w:pPr>
        <w:pStyle w:val="StandardWeb"/>
      </w:pPr>
      <w:r>
        <w:t>2. die Angestellte außerdem wegen</w:t>
      </w:r>
    </w:p>
    <w:p w:rsidR="00BE1EFE" w:rsidRDefault="00BE1EFE">
      <w:pPr>
        <w:pStyle w:val="StandardWeb"/>
      </w:pPr>
      <w:r>
        <w:t>a) Schwangerschaft,</w:t>
      </w:r>
    </w:p>
    <w:p w:rsidR="00BE1EFE" w:rsidRDefault="00BE1EFE">
      <w:pPr>
        <w:pStyle w:val="StandardWeb"/>
      </w:pPr>
      <w:r>
        <w:t>b) Niederkunft in den letzten drei Monaten gekündigt oder einen Auflösungsvertrag (§ 58) geschlossen hat.</w:t>
      </w:r>
    </w:p>
    <w:p w:rsidR="00BE1EFE" w:rsidRDefault="00BE1EFE">
      <w:pPr>
        <w:pStyle w:val="StandardWeb"/>
      </w:pPr>
      <w:r>
        <w:t>(4) Tritt der Angestellte innerhalb der Zeit, während der Übergangsgeld zu zahlen ist (§ 64 Abs. 1), in ein neues mit Einkommen verbundenes Beschäftigungsverhältnis ein oder wird ihm während dieses Zeitraumes eine Arbeitsstelle nachgewiesen, deren Annahme ihm billiger</w:t>
      </w:r>
      <w:r>
        <w:softHyphen/>
        <w:t>weise zugemutet werden kann, so steht ihm Übergangsgeld von dem Tage an, an dem er das neue Beschäftigungsverhältnis angetreten hat oder hätte antreten können, nicht zu.</w:t>
      </w:r>
    </w:p>
    <w:p w:rsidR="00BE1EFE" w:rsidRDefault="00BE1EFE">
      <w:pPr>
        <w:pStyle w:val="StandardWeb"/>
      </w:pPr>
    </w:p>
    <w:p w:rsidR="00BE1EFE" w:rsidRDefault="00BE1EFE" w:rsidP="003575ED">
      <w:pPr>
        <w:pStyle w:val="StandardWeb"/>
        <w:autoSpaceDE w:val="0"/>
        <w:jc w:val="left"/>
      </w:pPr>
      <w:r>
        <w:rPr>
          <w:rStyle w:val="Fett"/>
          <w:bCs/>
        </w:rPr>
        <w:t>§ 63 Bemessung des Übergangsgeldes</w:t>
      </w:r>
    </w:p>
    <w:p w:rsidR="00BE1EFE" w:rsidRDefault="00BE1EFE">
      <w:pPr>
        <w:pStyle w:val="StandardWeb"/>
        <w:jc w:val="center"/>
      </w:pPr>
    </w:p>
    <w:p w:rsidR="00BE1EFE" w:rsidRDefault="00BE1EFE">
      <w:pPr>
        <w:pStyle w:val="StandardWeb"/>
      </w:pPr>
      <w:r>
        <w:t>(1) </w:t>
      </w:r>
      <w:r>
        <w:rPr>
          <w:rStyle w:val="kleinschrift"/>
        </w:rPr>
        <w:t>1</w:t>
      </w:r>
      <w:r>
        <w:t xml:space="preserve">Das Übergangsgeld wird nach der dem Angestellten am Tage vor dem Ausscheiden zustehenden Vergütung (§ 26) bemessen. </w:t>
      </w:r>
      <w:r>
        <w:rPr>
          <w:rStyle w:val="kleinschrift"/>
        </w:rPr>
        <w:t>2</w:t>
      </w:r>
      <w:r>
        <w:t>Steht an diesem Tage keine Vergütung zu, so wird das Übergangsgeld nach der Vergütung bemessen, die dem Angestellten bei voller Arbeits</w:t>
      </w:r>
      <w:r>
        <w:softHyphen/>
        <w:t>leistung am Tage vor dem Ausscheiden zugestanden hätte.</w:t>
      </w:r>
    </w:p>
    <w:p w:rsidR="00BE1EFE" w:rsidRDefault="00BE1EFE">
      <w:pPr>
        <w:pStyle w:val="StandardWeb"/>
      </w:pPr>
      <w:r>
        <w:t>(2) </w:t>
      </w:r>
      <w:r>
        <w:rPr>
          <w:rStyle w:val="kleinschrift"/>
        </w:rPr>
        <w:t>1</w:t>
      </w:r>
      <w:r>
        <w:t xml:space="preserve">Das Übergangsgeld beträgt für jedes volle Jahr der dem Ausscheiden vorangegangenen Zeiten, die seit der Vollendung des 18. Lebensjahres in einem oder mehreren ohne Unterbrechung aneinander gereihten Beschäftigungsverhältnissen, auf die das ABD oder ein Arbeitsvertragswerk wesentlich gleichen Inhalts Anwendung gefunden hat, zurückgelegt sind, ein Viertel der letzten Monatsvergütung, mindestens aber die Hälfte und höchstens das Vierfache dieser Monatsvergütung. </w:t>
      </w:r>
      <w:r>
        <w:rPr>
          <w:rStyle w:val="kleinschrift"/>
        </w:rPr>
        <w:t>2</w:t>
      </w:r>
      <w:r>
        <w:t>Als Beschäftigungsverhältnisse gelten hierbei auch Zeiten, die nach § 19 Abs. 2 als Beschäftigungszeit angerechnet worden sind.</w:t>
      </w:r>
    </w:p>
    <w:p w:rsidR="00BE1EFE" w:rsidRDefault="00BE1EFE">
      <w:pPr>
        <w:pStyle w:val="StandardWeb"/>
      </w:pPr>
      <w:r>
        <w:t>(3) </w:t>
      </w:r>
      <w:r>
        <w:rPr>
          <w:rStyle w:val="kleinschrift"/>
        </w:rPr>
        <w:t>1</w:t>
      </w:r>
      <w:r>
        <w:t xml:space="preserve">Als Beschäftigungsverhältnis gelten alle bei den in Abs. 2 genannten Arbeitgebern in einem Beamten-, Arbeits- oder Soldatenverhältnis zurückgelegten Zeiten, ausschließlich </w:t>
      </w:r>
      <w:r>
        <w:lastRenderedPageBreak/>
        <w:t xml:space="preserve">derjenigen, für die wegen Beurlaubung keine Bezüge gezahlt wurden. </w:t>
      </w:r>
      <w:r>
        <w:rPr>
          <w:rStyle w:val="kleinschrift"/>
        </w:rPr>
        <w:t>2</w:t>
      </w:r>
      <w:r>
        <w:t>Dabei bleibt eine Beschäftigung</w:t>
      </w:r>
    </w:p>
    <w:p w:rsidR="00BE1EFE" w:rsidRDefault="00BE1EFE">
      <w:pPr>
        <w:pStyle w:val="StandardWeb"/>
      </w:pPr>
      <w:r>
        <w:t>a) als Ehrenbeamter,</w:t>
      </w:r>
    </w:p>
    <w:p w:rsidR="00BE1EFE" w:rsidRDefault="00BE1EFE">
      <w:pPr>
        <w:pStyle w:val="StandardWeb"/>
      </w:pPr>
      <w:r>
        <w:t>b) als Beamter im Vorbereitungsdienst,</w:t>
      </w:r>
    </w:p>
    <w:p w:rsidR="00BE1EFE" w:rsidRDefault="00BE1EFE">
      <w:pPr>
        <w:pStyle w:val="StandardWeb"/>
      </w:pPr>
      <w:r>
        <w:t>c) in einem nur nebenbei bestehenden Beamtenverhältnis,</w:t>
      </w:r>
    </w:p>
    <w:p w:rsidR="00BE1EFE" w:rsidRDefault="00BE1EFE">
      <w:pPr>
        <w:pStyle w:val="StandardWeb"/>
      </w:pPr>
      <w:r>
        <w:t>d) in einem Ausbildungsverhältnis,</w:t>
      </w:r>
    </w:p>
    <w:p w:rsidR="00BE1EFE" w:rsidRDefault="00BE1EFE">
      <w:pPr>
        <w:pStyle w:val="StandardWeb"/>
      </w:pPr>
      <w:r>
        <w:t xml:space="preserve">e) im räumlichen Geltungsbereich des BAT-O vor dem 1. 1. 91 unberücksichtigt. Als Unterbrechung i. S. d. Abs. 2 gilt jeder zwischen den Beschäftigungsverhältnissen liegende, einen oder mehrere Werktage – mit Ausnahme allgemein arbeitsfreier Werktage – umfassender Zeitraum, in dem ein Beschäftigungsverhältnis nicht bestand. </w:t>
      </w:r>
      <w:r>
        <w:rPr>
          <w:rStyle w:val="kleinschrift"/>
        </w:rPr>
        <w:t>3</w:t>
      </w:r>
      <w:r>
        <w:t>Als Unter</w:t>
      </w:r>
      <w:r>
        <w:softHyphen/>
        <w:t>brechung gilt es nicht, wenn der Angestellte in dem zwischen zwei Beschäftigungsverhält</w:t>
      </w:r>
      <w:r>
        <w:softHyphen/>
        <w:t>nissen liegenden gesamten Zeitraum arbeitsunfähig krank war oder die Zeit zur Ausführung eines Umzugs an einen anderen Ort benötigt wurde.</w:t>
      </w:r>
    </w:p>
    <w:p w:rsidR="00BE1EFE" w:rsidRDefault="00BE1EFE">
      <w:pPr>
        <w:pStyle w:val="StandardWeb"/>
      </w:pPr>
      <w:r>
        <w:t>(4) Wurde dem Angestellten bereits Übergangsgeld oder eine Abfindung gewährt, so bleiben die davor liegenden Zeiträume bei der Bemessung des Übergangsgeldes unberücksichtigt.</w:t>
      </w:r>
    </w:p>
    <w:p w:rsidR="00BE1EFE" w:rsidRDefault="00BE1EFE">
      <w:pPr>
        <w:pStyle w:val="StandardWeb"/>
      </w:pPr>
      <w:r>
        <w:t>(5) </w:t>
      </w:r>
      <w:r>
        <w:rPr>
          <w:rStyle w:val="kleinschrift"/>
        </w:rPr>
        <w:t>1</w:t>
      </w:r>
      <w:r>
        <w:t>Werden dem Angestellten laufende Versorgungsbezüge, laufende Unterstützungen, Arbeitslosengeld, Arbeitslosenhilfe, sonstige laufende Bezüge aus öffentlichen Mitteln, Renten aus der gesetzlichen Rentenversicherung, die nicht unter § 62 Abs. 2 Buchst. i fallen, oder Renten und vergleichbare Leistungen eines ausländischen Versicherungsträgers gezahlt oder hätte der Angestellte, der nicht unter § 62 Abs. 3 Nr. 2 fällt, bei unverzüglicher Antragstellung nach Beendigung des Arbeitsverhältnisses Anspruch auf Arbeitslosengeld oder Arbeitslosen</w:t>
      </w:r>
      <w:r>
        <w:softHyphen/>
        <w:t>hilfe, so erhält er ohne Rücksicht darauf, ob der Arbeitgeber dazu Mittel beigesteuert hat, das Übergangsgeld nur insoweit, als die genannten Bezüge für denselben Zeitraum hinter dem Übergangsgeld zurückbleiben.</w:t>
      </w:r>
    </w:p>
    <w:p w:rsidR="00BE1EFE" w:rsidRDefault="00BE1EFE">
      <w:pPr>
        <w:pStyle w:val="StandardWeb"/>
      </w:pPr>
      <w:r>
        <w:rPr>
          <w:rStyle w:val="kleinschrift"/>
        </w:rPr>
        <w:t>2</w:t>
      </w:r>
      <w:r>
        <w:t>Zu den Bezügen i. S. d. Satzes 1 gehören nicht</w:t>
      </w:r>
    </w:p>
    <w:p w:rsidR="00BE1EFE" w:rsidRDefault="00BE1EFE">
      <w:pPr>
        <w:pStyle w:val="StandardWeb"/>
      </w:pPr>
      <w:r>
        <w:t>a) Renten nach dem Bundesversorgungsgesetz,</w:t>
      </w:r>
    </w:p>
    <w:p w:rsidR="00BE1EFE" w:rsidRDefault="00BE1EFE">
      <w:pPr>
        <w:pStyle w:val="StandardWeb"/>
      </w:pPr>
      <w:r>
        <w:t>b) der nach dem Beamtenversorgungsrecht neben dem Ruhegehalt zu zahlende Unfallaus</w:t>
      </w:r>
      <w:r>
        <w:softHyphen/>
        <w:t>gleich oder Hilflosigkeitszuschlag,</w:t>
      </w:r>
    </w:p>
    <w:p w:rsidR="00BE1EFE" w:rsidRDefault="00BE1EFE">
      <w:pPr>
        <w:pStyle w:val="StandardWeb"/>
      </w:pPr>
      <w:r>
        <w:t>c) Unfallrenten nach dem siebten Buch Sozialgesetzbuch,</w:t>
      </w:r>
    </w:p>
    <w:p w:rsidR="00BE1EFE" w:rsidRDefault="00BE1EFE">
      <w:pPr>
        <w:pStyle w:val="StandardWeb"/>
      </w:pPr>
      <w:r>
        <w:t>d) Renten nach den Gesetzen zur Entschädigung der Opfer der nationalsozialistischen Verfolgung (Bundesentschädigungsgesetz sowie die entsprechenden Gesetze der Länder), soweit sie an Verfolgte oder deren Hinterbliebene als Entschädigung für Schaden an Leben oder an Körper oder Gesundheit geleistet werden,</w:t>
      </w:r>
    </w:p>
    <w:p w:rsidR="00BE1EFE" w:rsidRDefault="00BE1EFE">
      <w:pPr>
        <w:pStyle w:val="StandardWeb"/>
      </w:pPr>
      <w:r>
        <w:t>e) Kriegsschadenrenten nach dem Lastenausgleichsgesetz,</w:t>
      </w:r>
    </w:p>
    <w:p w:rsidR="00BE1EFE" w:rsidRDefault="00BE1EFE">
      <w:pPr>
        <w:pStyle w:val="StandardWeb"/>
      </w:pPr>
      <w:r>
        <w:t>f) Renten nach dem Gesetz zur Abgeltung von Besatzungsschäden,</w:t>
      </w:r>
    </w:p>
    <w:p w:rsidR="00BE1EFE" w:rsidRDefault="00BE1EFE">
      <w:pPr>
        <w:pStyle w:val="StandardWeb"/>
      </w:pPr>
      <w:r>
        <w:t>g) </w:t>
      </w:r>
      <w:r w:rsidRPr="00A4682D">
        <w:rPr>
          <w:i/>
        </w:rPr>
        <w:t>(frei)</w:t>
      </w:r>
    </w:p>
    <w:p w:rsidR="00BE1EFE" w:rsidRDefault="00BE1EFE">
      <w:pPr>
        <w:pStyle w:val="StandardWeb"/>
      </w:pPr>
      <w:r>
        <w:t xml:space="preserve">h) Blindenhilfe nach </w:t>
      </w:r>
      <w:hyperlink r:id="rId746" w:history="1">
        <w:r w:rsidRPr="00CF2290">
          <w:rPr>
            <w:rStyle w:val="Hyperlink"/>
          </w:rPr>
          <w:t>§ 72 SGB XII</w:t>
        </w:r>
      </w:hyperlink>
      <w:r>
        <w:t>,</w:t>
      </w:r>
    </w:p>
    <w:p w:rsidR="00BE1EFE" w:rsidRDefault="00BE1EFE">
      <w:pPr>
        <w:pStyle w:val="StandardWeb"/>
      </w:pPr>
      <w:r>
        <w:t xml:space="preserve">i) Kindergeld nach dem </w:t>
      </w:r>
      <w:hyperlink r:id="rId747" w:history="1">
        <w:r w:rsidRPr="00CF2290">
          <w:rPr>
            <w:rStyle w:val="Hyperlink"/>
          </w:rPr>
          <w:t>Einkommensteuergesetz (EStG)</w:t>
        </w:r>
      </w:hyperlink>
      <w:r>
        <w:t xml:space="preserve"> oder nach dem </w:t>
      </w:r>
      <w:hyperlink r:id="rId748" w:history="1">
        <w:r w:rsidRPr="00CF2290">
          <w:rPr>
            <w:rStyle w:val="Hyperlink"/>
          </w:rPr>
          <w:t>Bundeskindergeldgesetz (BKGG)</w:t>
        </w:r>
      </w:hyperlink>
      <w:r>
        <w:t xml:space="preserve"> oder Leistungen i. S. d. </w:t>
      </w:r>
      <w:hyperlink r:id="rId749" w:history="1">
        <w:r w:rsidRPr="00CF2290">
          <w:rPr>
            <w:rStyle w:val="Hyperlink"/>
          </w:rPr>
          <w:t>§ 65 Abs. 1 Nrn. 1 bis 3 EStG</w:t>
        </w:r>
      </w:hyperlink>
      <w:r>
        <w:t xml:space="preserve"> oder des </w:t>
      </w:r>
      <w:hyperlink r:id="rId750" w:history="1">
        <w:r w:rsidRPr="00F466E0">
          <w:rPr>
            <w:rStyle w:val="Hyperlink"/>
          </w:rPr>
          <w:t>§ 4 Abs. 1 Nrn. 1 bis 3 BKGG</w:t>
        </w:r>
      </w:hyperlink>
      <w:r>
        <w:t xml:space="preserve"> sowie Kindergeld aufgrund des Rechts der Europäischen Gemeinschaften oder aufgrund zwischenstaatlicher Abkommen in Verbindung mit dem EStG oder dem BKGG.</w:t>
      </w:r>
    </w:p>
    <w:p w:rsidR="00BE1EFE" w:rsidRDefault="00BE1EFE">
      <w:pPr>
        <w:pStyle w:val="StandardWeb"/>
      </w:pPr>
    </w:p>
    <w:p w:rsidR="00BE1EFE" w:rsidRDefault="00BE1EFE" w:rsidP="003575ED">
      <w:pPr>
        <w:pStyle w:val="StandardWeb"/>
        <w:autoSpaceDE w:val="0"/>
        <w:jc w:val="left"/>
      </w:pPr>
      <w:r>
        <w:rPr>
          <w:rStyle w:val="Fett"/>
          <w:bCs/>
        </w:rPr>
        <w:t>§ 64 Auszahlung des Übergangsgeldes</w:t>
      </w:r>
    </w:p>
    <w:p w:rsidR="00BE1EFE" w:rsidRDefault="00BE1EFE">
      <w:pPr>
        <w:pStyle w:val="StandardWeb"/>
        <w:jc w:val="center"/>
      </w:pPr>
    </w:p>
    <w:p w:rsidR="00BE1EFE" w:rsidRDefault="00BE1EFE">
      <w:pPr>
        <w:pStyle w:val="StandardWeb"/>
      </w:pPr>
      <w:r>
        <w:t>(1) </w:t>
      </w:r>
      <w:r>
        <w:rPr>
          <w:rStyle w:val="kleinschrift"/>
        </w:rPr>
        <w:t>1</w:t>
      </w:r>
      <w:r>
        <w:t xml:space="preserve">Das Übergangsgeld wird in Monatsbeträgen am Zahltag (§ 36 Abs. 1) gezahlt, erstmalig in dem auf das Ausscheiden folgenden Monat. </w:t>
      </w:r>
      <w:r>
        <w:rPr>
          <w:rStyle w:val="kleinschrift"/>
        </w:rPr>
        <w:t>2</w:t>
      </w:r>
      <w:r>
        <w:t xml:space="preserve">Die Auszahlung unterbleibt, bis etwaige Vorschüsse durch Aufrechnung getilgt sind. </w:t>
      </w:r>
      <w:r>
        <w:rPr>
          <w:rStyle w:val="kleinschrift"/>
        </w:rPr>
        <w:t>3</w:t>
      </w:r>
      <w:r>
        <w:t xml:space="preserve">Vor der Zahlung hat der Angestellte anzugeben, ob und welche laufenden Bezüge nach § 63 Abs. 5 gewährt werden. </w:t>
      </w:r>
      <w:r>
        <w:rPr>
          <w:rStyle w:val="kleinschrift"/>
        </w:rPr>
        <w:t>4</w:t>
      </w:r>
      <w:r>
        <w:t>Ferner hat er zu versichern, dass er keine andere Beschäftigung angetreten hat.</w:t>
      </w:r>
    </w:p>
    <w:p w:rsidR="00BE1EFE" w:rsidRDefault="00BE1EFE">
      <w:pPr>
        <w:pStyle w:val="StandardWeb"/>
      </w:pPr>
      <w:r>
        <w:t>(2) Zu Siedlungszwecken oder zur Begründung oder zum Erwerb eines eigenen gewerblichen Unternehmens kann das Übergangsgeld in einer Summe ausgezahlt werden.</w:t>
      </w:r>
    </w:p>
    <w:p w:rsidR="00BE1EFE" w:rsidRDefault="00BE1EFE">
      <w:pPr>
        <w:pStyle w:val="StandardWeb"/>
      </w:pPr>
      <w:r>
        <w:lastRenderedPageBreak/>
        <w:t>(3) </w:t>
      </w:r>
      <w:r>
        <w:rPr>
          <w:rStyle w:val="kleinschrift"/>
        </w:rPr>
        <w:t>1</w:t>
      </w:r>
      <w:r>
        <w:t xml:space="preserve">Beim Tode des Angestellten wird der noch nicht gezahlte Betrag an den Ehegatten oder die Kinder, für die dem Angestellten Kindergeld nach dem </w:t>
      </w:r>
      <w:hyperlink r:id="rId751" w:history="1">
        <w:r w:rsidRPr="00F466E0">
          <w:rPr>
            <w:rStyle w:val="Hyperlink"/>
          </w:rPr>
          <w:t>Einkommensteuergesetz (EStG)</w:t>
        </w:r>
      </w:hyperlink>
      <w:r>
        <w:t xml:space="preserve"> oder nach dem </w:t>
      </w:r>
      <w:hyperlink r:id="rId752" w:history="1">
        <w:r w:rsidRPr="00F466E0">
          <w:rPr>
            <w:rStyle w:val="Hyperlink"/>
          </w:rPr>
          <w:t>Bundeskindergeldgesetz (BKGG)</w:t>
        </w:r>
      </w:hyperlink>
      <w:r>
        <w:t xml:space="preserve"> zugestanden hat oder ohne Berücksichtigung der </w:t>
      </w:r>
      <w:hyperlink r:id="rId753" w:history="1">
        <w:r w:rsidRPr="00F466E0">
          <w:rPr>
            <w:rStyle w:val="Hyperlink"/>
          </w:rPr>
          <w:t>§§ 64</w:t>
        </w:r>
      </w:hyperlink>
      <w:r>
        <w:t xml:space="preserve"> oder </w:t>
      </w:r>
      <w:hyperlink r:id="rId754" w:history="1">
        <w:r w:rsidRPr="00F466E0">
          <w:rPr>
            <w:rStyle w:val="Hyperlink"/>
          </w:rPr>
          <w:t>65 EStG</w:t>
        </w:r>
      </w:hyperlink>
      <w:r>
        <w:t xml:space="preserve"> oder der </w:t>
      </w:r>
      <w:hyperlink r:id="rId755" w:history="1">
        <w:r w:rsidRPr="00F466E0">
          <w:rPr>
            <w:rStyle w:val="Hyperlink"/>
          </w:rPr>
          <w:t>§§ 3</w:t>
        </w:r>
      </w:hyperlink>
      <w:r>
        <w:t xml:space="preserve"> und </w:t>
      </w:r>
      <w:hyperlink r:id="rId756" w:history="1">
        <w:r w:rsidRPr="00F466E0">
          <w:rPr>
            <w:rStyle w:val="Hyperlink"/>
          </w:rPr>
          <w:t>4 BKGG</w:t>
        </w:r>
      </w:hyperlink>
      <w:r>
        <w:t xml:space="preserve"> zugestanden hätte, in einer Summe gezahlt. </w:t>
      </w:r>
      <w:r>
        <w:rPr>
          <w:rStyle w:val="kleinschrift"/>
        </w:rPr>
        <w:t>2</w:t>
      </w:r>
      <w:r>
        <w:t>Die Zahlung an einen nach Satz 1 Berechtigten bringt den Anspruch der übrigen gegenüber dem Arbeitgeber zum Erlöschen.</w:t>
      </w:r>
    </w:p>
    <w:p w:rsidR="00BE1EFE" w:rsidRDefault="00BE1EFE">
      <w:pPr>
        <w:pStyle w:val="StandardWeb"/>
        <w:rPr>
          <w:sz w:val="12"/>
          <w:szCs w:val="12"/>
        </w:rPr>
      </w:pPr>
      <w:r w:rsidRPr="009C6551">
        <w:rPr>
          <w:rStyle w:val="kleinschrift1"/>
        </w:rPr>
        <w:t>Anmerkung zu Abs. 3:</w:t>
      </w:r>
    </w:p>
    <w:p w:rsidR="00BE1EFE" w:rsidRDefault="00BE1EFE">
      <w:pPr>
        <w:pStyle w:val="StandardWeb"/>
      </w:pPr>
      <w:r w:rsidRPr="009C6551">
        <w:rPr>
          <w:rStyle w:val="kleinschrift1"/>
        </w:rPr>
        <w:t>Die Anmerkung Nr. 1 zu § 29 Abschn. B gilt entsprechend.</w:t>
      </w:r>
    </w:p>
    <w:p w:rsidR="00BE1EFE" w:rsidRDefault="00BE1EFE">
      <w:pPr>
        <w:pStyle w:val="StandardWeb"/>
      </w:pPr>
    </w:p>
    <w:p w:rsidR="00BE1EFE" w:rsidRDefault="00BE1EFE" w:rsidP="0054275E">
      <w:pPr>
        <w:pStyle w:val="StandardWeb"/>
        <w:autoSpaceDE w:val="0"/>
        <w:jc w:val="center"/>
        <w:rPr>
          <w:b/>
          <w:bCs/>
        </w:rPr>
      </w:pPr>
      <w:r>
        <w:rPr>
          <w:rStyle w:val="Fett"/>
          <w:bCs/>
        </w:rPr>
        <w:t>Abschnitt XIV</w:t>
      </w:r>
    </w:p>
    <w:p w:rsidR="00BE1EFE" w:rsidRDefault="00BE1EFE" w:rsidP="0054275E">
      <w:pPr>
        <w:pStyle w:val="StandardWeb"/>
        <w:autoSpaceDE w:val="0"/>
        <w:jc w:val="center"/>
      </w:pPr>
      <w:r>
        <w:rPr>
          <w:rStyle w:val="Fett"/>
          <w:bCs/>
        </w:rPr>
        <w:t>Besondere Vorschriften</w:t>
      </w:r>
    </w:p>
    <w:p w:rsidR="00BE1EFE" w:rsidRDefault="00BE1EFE">
      <w:pPr>
        <w:pStyle w:val="StandardWeb"/>
        <w:jc w:val="center"/>
      </w:pPr>
    </w:p>
    <w:p w:rsidR="00BE1EFE" w:rsidRDefault="00BE1EFE" w:rsidP="003575ED">
      <w:pPr>
        <w:pStyle w:val="StandardWeb"/>
        <w:autoSpaceDE w:val="0"/>
        <w:jc w:val="left"/>
      </w:pPr>
      <w:r>
        <w:rPr>
          <w:rStyle w:val="Fett"/>
          <w:bCs/>
        </w:rPr>
        <w:t>§ 65 Dienstwohnungen</w:t>
      </w:r>
    </w:p>
    <w:p w:rsidR="00BE1EFE" w:rsidRDefault="00BE1EFE">
      <w:pPr>
        <w:pStyle w:val="StandardWeb"/>
        <w:jc w:val="center"/>
      </w:pPr>
    </w:p>
    <w:p w:rsidR="00BE1EFE" w:rsidRDefault="00BE1EFE">
      <w:pPr>
        <w:pStyle w:val="StandardWeb"/>
      </w:pPr>
      <w:r>
        <w:t>Für die Zuweisung von Dienstwohnungen und für die Bemessung der Dienstwohnungs</w:t>
      </w:r>
      <w:r>
        <w:softHyphen/>
        <w:t>vergütung gelten die Bestimmungen des Arbeitgebers über Dienstwohnungen in der jeweiligen Fassung.</w:t>
      </w:r>
    </w:p>
    <w:p w:rsidR="00BE1EFE" w:rsidRDefault="00BE1EFE">
      <w:pPr>
        <w:pStyle w:val="StandardWeb"/>
      </w:pPr>
    </w:p>
    <w:p w:rsidR="00BE1EFE" w:rsidRDefault="00BE1EFE" w:rsidP="003575ED">
      <w:pPr>
        <w:pStyle w:val="StandardWeb"/>
        <w:autoSpaceDE w:val="0"/>
        <w:jc w:val="left"/>
      </w:pPr>
      <w:r>
        <w:rPr>
          <w:rStyle w:val="Fett"/>
          <w:bCs/>
        </w:rPr>
        <w:t>§ 66 Schutzkleidung</w:t>
      </w:r>
    </w:p>
    <w:p w:rsidR="00BE1EFE" w:rsidRDefault="00BE1EFE">
      <w:pPr>
        <w:pStyle w:val="StandardWeb"/>
        <w:jc w:val="center"/>
      </w:pPr>
    </w:p>
    <w:p w:rsidR="00BE1EFE" w:rsidRDefault="00BE1EFE" w:rsidP="006731BD">
      <w:pPr>
        <w:pStyle w:val="StandardWeb"/>
      </w:pPr>
      <w:r>
        <w:rPr>
          <w:rStyle w:val="kleinschrift"/>
        </w:rPr>
        <w:t>1</w:t>
      </w:r>
      <w:r>
        <w:t xml:space="preserve">Soweit das Tragen von Schutzkleidung gesetzlich vorgeschrieben oder vom Arbeitgeber angeordnet ist, wird sie unentgeltlich geliefert und bleibt Eigentum des Arbeitgebers. </w:t>
      </w:r>
      <w:r>
        <w:rPr>
          <w:rStyle w:val="kleinschrift"/>
        </w:rPr>
        <w:t>2</w:t>
      </w:r>
      <w:r>
        <w:t xml:space="preserve">Als Schutzkleidung sind die Kleidungsstücke anzusehen, die bei bestimmten Tätigkeiten an bestimmten Arbeitsplätzen an Stelle oder über der sonstigen Kleidung zum Schutze gegen Witterungsunbilden und andere gesundheitliche Gefahren oder außergewöhnliche Beschmutzung getragen werden müssen. </w:t>
      </w:r>
      <w:r>
        <w:rPr>
          <w:rStyle w:val="kleinschrift"/>
        </w:rPr>
        <w:t>3</w:t>
      </w:r>
      <w:r>
        <w:t>Die Schutzkleidung muss geeignet und ausreichend sein.</w:t>
      </w:r>
    </w:p>
    <w:p w:rsidR="00BE1EFE" w:rsidRDefault="00BE1EFE" w:rsidP="006731BD">
      <w:pPr>
        <w:pStyle w:val="StandardWeb"/>
      </w:pPr>
    </w:p>
    <w:p w:rsidR="00BE1EFE" w:rsidRDefault="00BE1EFE" w:rsidP="003575ED">
      <w:pPr>
        <w:pStyle w:val="StandardWeb"/>
        <w:jc w:val="left"/>
      </w:pPr>
      <w:r>
        <w:rPr>
          <w:rStyle w:val="Fett"/>
          <w:bCs/>
        </w:rPr>
        <w:t>§ 67 Dienstkleidung</w:t>
      </w:r>
    </w:p>
    <w:p w:rsidR="00BE1EFE" w:rsidRDefault="00BE1EFE">
      <w:pPr>
        <w:pStyle w:val="StandardWeb"/>
        <w:jc w:val="center"/>
      </w:pPr>
    </w:p>
    <w:p w:rsidR="00BE1EFE" w:rsidRDefault="00BE1EFE">
      <w:pPr>
        <w:pStyle w:val="StandardWeb"/>
      </w:pPr>
      <w:r>
        <w:rPr>
          <w:rStyle w:val="kleinschrift"/>
        </w:rPr>
        <w:t>1</w:t>
      </w:r>
      <w:r>
        <w:t xml:space="preserve">Die Voraussetzungen für das Tragen von Dienstkleidung und die Beteiligung des Angestellten an den Kosten richten sich nach den bei dem Arbeitgeber jeweils geltenden Bestimmungen. </w:t>
      </w:r>
      <w:r>
        <w:rPr>
          <w:rStyle w:val="kleinschrift"/>
        </w:rPr>
        <w:t>2</w:t>
      </w:r>
      <w:r>
        <w:t>Als Dienstkleidung gelten Kleidungsstücke, die zur besonderen Kenntlichmachung im dienstlichen Interesse an Stelle anderer Kleidung während der Arbeit getragen werden müssen.</w:t>
      </w:r>
    </w:p>
    <w:p w:rsidR="00BE1EFE" w:rsidRDefault="00BE1EFE">
      <w:pPr>
        <w:pStyle w:val="StandardWeb"/>
      </w:pPr>
    </w:p>
    <w:p w:rsidR="00BE1EFE" w:rsidRDefault="00BE1EFE" w:rsidP="003575ED">
      <w:pPr>
        <w:pStyle w:val="StandardWeb"/>
        <w:autoSpaceDE w:val="0"/>
        <w:jc w:val="left"/>
      </w:pPr>
      <w:r>
        <w:rPr>
          <w:rStyle w:val="Fett"/>
          <w:bCs/>
        </w:rPr>
        <w:t>§ 68 Sachleistungen</w:t>
      </w:r>
    </w:p>
    <w:p w:rsidR="00BE1EFE" w:rsidRDefault="00BE1EFE">
      <w:pPr>
        <w:pStyle w:val="StandardWeb"/>
        <w:jc w:val="center"/>
      </w:pPr>
    </w:p>
    <w:p w:rsidR="00BE1EFE" w:rsidRDefault="00BE1EFE">
      <w:pPr>
        <w:pStyle w:val="StandardWeb"/>
      </w:pPr>
      <w:r>
        <w:rPr>
          <w:rStyle w:val="kleinschrift"/>
        </w:rPr>
        <w:t>1</w:t>
      </w:r>
      <w:r>
        <w:t xml:space="preserve">Sind mit der Beschäftigung des Angestellten Nebenbezüge durch Nutzung von Dienstgrundstücken und dergleichen verbunden, so ist hierfür ein angemessener Betrag zu entrichten. </w:t>
      </w:r>
      <w:r>
        <w:rPr>
          <w:rStyle w:val="kleinschrift"/>
        </w:rPr>
        <w:t>2</w:t>
      </w:r>
      <w:r>
        <w:t>Für die Vorhaltung von Gerätschaften ist eine angemessene Entschädigung zu gewähren, sofern der Arbeitgeber ihre Vorhaltung fordert.</w:t>
      </w:r>
    </w:p>
    <w:p w:rsidR="00BE1EFE" w:rsidRDefault="00BE1EFE">
      <w:pPr>
        <w:pStyle w:val="StandardWeb"/>
      </w:pPr>
    </w:p>
    <w:p w:rsidR="00BE1EFE" w:rsidRPr="002575B0" w:rsidRDefault="00BE1EFE" w:rsidP="003575ED">
      <w:pPr>
        <w:pStyle w:val="StandardWeb"/>
        <w:autoSpaceDE w:val="0"/>
        <w:jc w:val="left"/>
        <w:rPr>
          <w:b/>
          <w:bCs/>
          <w:i/>
        </w:rPr>
      </w:pPr>
      <w:r>
        <w:rPr>
          <w:rStyle w:val="Fett"/>
          <w:bCs/>
        </w:rPr>
        <w:t>§ 69</w:t>
      </w:r>
      <w:r w:rsidR="002575B0">
        <w:rPr>
          <w:rStyle w:val="Fett"/>
          <w:bCs/>
        </w:rPr>
        <w:t xml:space="preserve"> </w:t>
      </w:r>
      <w:r w:rsidR="002575B0" w:rsidRPr="002575B0">
        <w:rPr>
          <w:rStyle w:val="Fett"/>
          <w:b w:val="0"/>
          <w:bCs/>
          <w:i/>
        </w:rPr>
        <w:t>(frei)</w:t>
      </w:r>
    </w:p>
    <w:p w:rsidR="00BE1EFE" w:rsidRPr="00A4682D" w:rsidRDefault="00BE1EFE" w:rsidP="00A4682D">
      <w:pPr>
        <w:pStyle w:val="StandardWeb"/>
        <w:autoSpaceDE w:val="0"/>
        <w:jc w:val="left"/>
        <w:rPr>
          <w:rStyle w:val="Fett"/>
          <w:b w:val="0"/>
          <w:bCs/>
          <w:i/>
        </w:rPr>
      </w:pPr>
    </w:p>
    <w:p w:rsidR="00BE1EFE" w:rsidRDefault="00BE1EFE" w:rsidP="00A4682D">
      <w:pPr>
        <w:pStyle w:val="StandardWeb"/>
      </w:pPr>
    </w:p>
    <w:p w:rsidR="00BE1EFE" w:rsidRDefault="00BE1EFE" w:rsidP="003575ED">
      <w:pPr>
        <w:pStyle w:val="StandardWeb"/>
        <w:autoSpaceDE w:val="0"/>
        <w:jc w:val="left"/>
      </w:pPr>
      <w:r>
        <w:rPr>
          <w:rStyle w:val="Fett"/>
          <w:bCs/>
        </w:rPr>
        <w:t>§ 70 Ausschlussfrist</w:t>
      </w:r>
    </w:p>
    <w:p w:rsidR="00BE1EFE" w:rsidRDefault="00BE1EFE">
      <w:pPr>
        <w:pStyle w:val="StandardWeb"/>
        <w:jc w:val="center"/>
      </w:pPr>
    </w:p>
    <w:p w:rsidR="00BE1EFE" w:rsidRDefault="00BE1EFE">
      <w:pPr>
        <w:pStyle w:val="StandardWeb"/>
      </w:pPr>
      <w:r>
        <w:rPr>
          <w:rStyle w:val="kleinschrift"/>
        </w:rPr>
        <w:t>1</w:t>
      </w:r>
      <w:r>
        <w:t xml:space="preserve">Ansprüche aus dem Arbeitsverhältnis verfallen, wenn sie nicht innerhalb einer Ausschlussfrist von sechs Monaten nach Fälligkeit vom Angestellten oder vom Arbeitgeber schriftlich geltend gemacht werden, soweit im ABD nichts anderes bestimmt ist. </w:t>
      </w:r>
      <w:r>
        <w:rPr>
          <w:rStyle w:val="kleinschrift"/>
        </w:rPr>
        <w:t>2</w:t>
      </w:r>
      <w:r>
        <w:t>Für denselben Sachverhalt reicht die einmalige Geltendmachung des Anspruchs aus, um die Ausschlussfrist auch für später fällig werdende Leistungen unwirksam zu machen.</w:t>
      </w:r>
    </w:p>
    <w:p w:rsidR="00BE1EFE" w:rsidRDefault="00BE1EFE">
      <w:pPr>
        <w:pStyle w:val="StandardWeb"/>
      </w:pPr>
    </w:p>
    <w:p w:rsidR="00BE1EFE" w:rsidRDefault="00BE1EFE">
      <w:pPr>
        <w:pStyle w:val="StandardWeb"/>
        <w:rPr>
          <w:sz w:val="12"/>
          <w:szCs w:val="12"/>
        </w:rPr>
      </w:pPr>
      <w:r w:rsidRPr="009C6551">
        <w:rPr>
          <w:rStyle w:val="kleinschrift1"/>
        </w:rPr>
        <w:lastRenderedPageBreak/>
        <w:t>Protokollnotiz:</w:t>
      </w:r>
    </w:p>
    <w:p w:rsidR="00BE1EFE" w:rsidRDefault="00BE1EFE">
      <w:pPr>
        <w:pStyle w:val="StandardWeb"/>
      </w:pPr>
      <w:r w:rsidRPr="009C6551">
        <w:rPr>
          <w:rStyle w:val="kleinschrift1"/>
        </w:rPr>
        <w:t>Bei Beschlüssen der BayRK, die vom jeweiligen Diözesanbischof rückwirkend in Kraft gesetzt werden, beginnt die Ausschlussfrist frühestens mit dem Erscheinungsdatum des Amtsblattes der jeweiligen (Erz-)Diözese.</w:t>
      </w:r>
    </w:p>
    <w:p w:rsidR="00BE1EFE" w:rsidRPr="00A4682D" w:rsidRDefault="00BE1EFE" w:rsidP="00A4682D">
      <w:pPr>
        <w:pStyle w:val="berschrift6"/>
      </w:pPr>
      <w:bookmarkStart w:id="686" w:name="_Toc523926219"/>
      <w:r w:rsidRPr="00A4682D">
        <w:t>Anlage 1: ABD Teil A, 1. Abschnitt XV in der bis zum 30.09.2005 geltenden Fassung</w:t>
      </w:r>
      <w:bookmarkEnd w:id="686"/>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Abschnitt XV</w:t>
      </w:r>
    </w:p>
    <w:p w:rsidR="00BE1EFE" w:rsidRPr="000B1AF8" w:rsidRDefault="00BE1EFE" w:rsidP="0054275E">
      <w:pPr>
        <w:pStyle w:val="StandardWeb"/>
        <w:autoSpaceDE w:val="0"/>
        <w:jc w:val="center"/>
      </w:pPr>
      <w:r>
        <w:rPr>
          <w:rStyle w:val="Fett"/>
          <w:bCs/>
        </w:rPr>
        <w:t>Übergangs- und Schlussvorschriften</w:t>
      </w:r>
    </w:p>
    <w:p w:rsidR="00BE1EFE" w:rsidRPr="000B1AF8" w:rsidRDefault="00BE1EFE">
      <w:pPr>
        <w:pStyle w:val="StandardWeb"/>
        <w:jc w:val="center"/>
      </w:pPr>
    </w:p>
    <w:p w:rsidR="00BE1EFE" w:rsidRDefault="00BE1EFE" w:rsidP="003575ED">
      <w:pPr>
        <w:pStyle w:val="StandardWeb"/>
        <w:autoSpaceDE w:val="0"/>
        <w:jc w:val="left"/>
      </w:pPr>
      <w:r>
        <w:rPr>
          <w:rStyle w:val="Fett"/>
          <w:bCs/>
        </w:rPr>
        <w:t>§ 71 Übergangsregelung für die Zahlung von Krankenbezügen</w:t>
      </w:r>
    </w:p>
    <w:p w:rsidR="00BE1EFE" w:rsidRDefault="00BE1EFE">
      <w:pPr>
        <w:pStyle w:val="StandardWeb"/>
        <w:jc w:val="center"/>
      </w:pPr>
    </w:p>
    <w:p w:rsidR="00BE1EFE" w:rsidRDefault="00BE1EFE">
      <w:pPr>
        <w:pStyle w:val="StandardWeb"/>
      </w:pPr>
      <w:r>
        <w:t>Für die Angestellten, die am 30. Juni 1994 in einem Arbeitsverhältnis gestanden haben, das am 1. Juli 1994 zu demselben Arbeitgeber fortbestanden hat, gilt anstelle des § 37 für die Dauer dieses Arbeitsverhältnisses Folgendes:</w:t>
      </w:r>
    </w:p>
    <w:p w:rsidR="00BE1EFE" w:rsidRDefault="00BE1EFE">
      <w:pPr>
        <w:pStyle w:val="StandardWeb"/>
      </w:pPr>
      <w:r>
        <w:t>(1) </w:t>
      </w:r>
      <w:r>
        <w:rPr>
          <w:rStyle w:val="kleinschrift"/>
        </w:rPr>
        <w:t>1</w:t>
      </w:r>
      <w:r>
        <w:t xml:space="preserve">Wird der Angestellte durch Arbeitsunfähigkeit infolge Krankheit an seiner Arbeitsleistung verhindert, ohne dass ihn ein Verschulden trifft, erhält er Krankenbezüge nach Maßgabe der Abs. 2 bis 5. </w:t>
      </w:r>
    </w:p>
    <w:p w:rsidR="00BE1EFE" w:rsidRDefault="00BE1EFE">
      <w:pPr>
        <w:pStyle w:val="StandardWeb"/>
      </w:pPr>
      <w:r>
        <w:rPr>
          <w:rStyle w:val="kleinschrift"/>
        </w:rPr>
        <w:t>2</w:t>
      </w:r>
      <w:r>
        <w:t xml:space="preserve">Als unverschuldete Arbeitsunfähigkeit i. S. d. Unterabs. 1 gilt auch die Arbeitsverhinderung infolge einer Maßnahme der medizinischen Vorsorge oder Rehabilitation, die ein Träger der gesetzlichen Renten-, Kranken- oder Unfallversicherung, eine Verwaltungsbehörde der Kriegsopferversorgung oder ein sonstiger Sozialleistungsträger bewilligt hat und die in einer Einrichtung der medizinischen Vorsorge oder Rehabilitation durchgeführt wird. </w:t>
      </w:r>
      <w:r>
        <w:rPr>
          <w:rStyle w:val="kleinschrift"/>
        </w:rPr>
        <w:t>3</w:t>
      </w:r>
      <w:r>
        <w:t>Bei Angestell</w:t>
      </w:r>
      <w:r>
        <w:softHyphen/>
        <w:t>ten, die nicht Mitglied einer gesetzlichen Krankenkasse oder nicht in der gesetzlichen Rentenversicherung versichert sind, gilt Satz 1 dieses Unterabs. entsprechend, wenn eine Maßnahme der medizinischen Vorsorge oder Rehabilitation ärztlich verordnet worden ist und in einer Einrichtung der medizinischen Vorsorge oder Rehabilitation oder einer vergleichbaren Einrichtung durchgeführt wird.</w:t>
      </w:r>
    </w:p>
    <w:p w:rsidR="00BE1EFE" w:rsidRDefault="00BE1EFE">
      <w:pPr>
        <w:pStyle w:val="StandardWeb"/>
      </w:pPr>
      <w:r>
        <w:t>(2) </w:t>
      </w:r>
      <w:r>
        <w:rPr>
          <w:rStyle w:val="kleinschrift"/>
        </w:rPr>
        <w:t>1</w:t>
      </w:r>
      <w:r>
        <w:t xml:space="preserve">Krankenbezüge werden bis zur Dauer von sechs Wochen gezahlt. </w:t>
      </w:r>
      <w:r>
        <w:rPr>
          <w:rStyle w:val="kleinschrift"/>
        </w:rPr>
        <w:t>2</w:t>
      </w:r>
      <w:r>
        <w:t>Unbeschadet des Satzes 1 werden sie nach einer Dienstzeit (§ 20)</w:t>
      </w:r>
      <w:r>
        <w:rPr>
          <w:vertAlign w:val="superscript"/>
        </w:rPr>
        <w:t xml:space="preserve">1 </w:t>
      </w:r>
      <w:r>
        <w:t>von mindestens</w:t>
      </w:r>
    </w:p>
    <w:p w:rsidR="00BE1EFE" w:rsidRDefault="00BE1EFE">
      <w:pPr>
        <w:pStyle w:val="StandardWeb"/>
      </w:pPr>
      <w:r>
        <w:t>zwei Jahren bis zum Ende der 9.Woche,</w:t>
      </w:r>
    </w:p>
    <w:p w:rsidR="00BE1EFE" w:rsidRDefault="00BE1EFE">
      <w:pPr>
        <w:pStyle w:val="StandardWeb"/>
      </w:pPr>
      <w:r>
        <w:t>drei Jahren bis zum Ende der 12.Woche,</w:t>
      </w:r>
    </w:p>
    <w:p w:rsidR="00BE1EFE" w:rsidRDefault="00BE1EFE">
      <w:pPr>
        <w:pStyle w:val="StandardWeb"/>
      </w:pPr>
      <w:r>
        <w:t>fünf Jahren bis zum Ende der 15.Woche,</w:t>
      </w:r>
    </w:p>
    <w:p w:rsidR="00BE1EFE" w:rsidRDefault="00BE1EFE">
      <w:pPr>
        <w:pStyle w:val="StandardWeb"/>
      </w:pPr>
      <w:r>
        <w:t>acht Jahren bis zum Ende der 18.Woche,</w:t>
      </w:r>
    </w:p>
    <w:p w:rsidR="00BE1EFE" w:rsidRDefault="00BE1EFE">
      <w:pPr>
        <w:pStyle w:val="StandardWeb"/>
      </w:pPr>
      <w:r>
        <w:t>zehn Jahren bis zum Ende der 26.Woche</w:t>
      </w:r>
    </w:p>
    <w:p w:rsidR="00BE1EFE" w:rsidRDefault="00BE1EFE">
      <w:pPr>
        <w:pStyle w:val="StandardWeb"/>
      </w:pPr>
      <w:r>
        <w:t>seit dem Beginn der Arbeitsunfähigkeit gezahlt.</w:t>
      </w:r>
    </w:p>
    <w:p w:rsidR="00BE1EFE" w:rsidRDefault="00BE1EFE">
      <w:pPr>
        <w:pStyle w:val="StandardWeb"/>
      </w:pPr>
      <w:r>
        <w:rPr>
          <w:rStyle w:val="kleinschrift"/>
        </w:rPr>
        <w:t>3</w:t>
      </w:r>
      <w:r>
        <w:t>Bei der jeweils ersten Arbeitsunfähigkeit, die durch einen bei dem Arbeitgeber erlittenen Arbeitsunfall oder durch eine bei dem Arbeitgeber zugezogene Berufskrankheit verursacht ist, werden die Krankenbezüge ohne Rücksicht auf die Dienstzeit bis zum Ende der 26. Woche seit dem Beginn der Arbeitsunfähigkeit gezahlt, wenn der zuständige Unfallversicherungs</w:t>
      </w:r>
      <w:r>
        <w:softHyphen/>
        <w:t xml:space="preserve">träger den Arbeitsunfall oder die Berufskrankheit anerkennt. </w:t>
      </w:r>
    </w:p>
    <w:p w:rsidR="00BE1EFE" w:rsidRDefault="00BE1EFE">
      <w:pPr>
        <w:pStyle w:val="StandardWeb"/>
      </w:pPr>
      <w:r>
        <w:rPr>
          <w:rStyle w:val="kleinschrift"/>
        </w:rPr>
        <w:t>4</w:t>
      </w:r>
      <w:r>
        <w:t>In Fällen des Abs. 1 Unterabs. 2 wird die Zeit der Maßnahme bis zu höchstens zwei Wochen nicht auf die Fristen des Unterabs. 1 Satz 2 angerechnet.</w:t>
      </w:r>
    </w:p>
    <w:p w:rsidR="00BE1EFE" w:rsidRDefault="00BE1EFE">
      <w:pPr>
        <w:pStyle w:val="StandardWeb"/>
        <w:rPr>
          <w:sz w:val="12"/>
          <w:szCs w:val="12"/>
        </w:rPr>
      </w:pPr>
      <w:r>
        <w:rPr>
          <w:sz w:val="12"/>
          <w:szCs w:val="12"/>
          <w:vertAlign w:val="superscript"/>
        </w:rPr>
        <w:t>1</w:t>
      </w:r>
      <w:r>
        <w:rPr>
          <w:rStyle w:val="kleinschrift1"/>
        </w:rPr>
        <w:t> </w:t>
      </w:r>
      <w:r w:rsidRPr="009C6551">
        <w:rPr>
          <w:rStyle w:val="kleinschrift1"/>
        </w:rPr>
        <w:t xml:space="preserve">Übergangsvorschrift: Zeiten im Sinne des </w:t>
      </w:r>
      <w:hyperlink r:id="rId757" w:history="1">
        <w:r w:rsidRPr="00F466E0">
          <w:rPr>
            <w:rStyle w:val="Hyperlink"/>
            <w:sz w:val="12"/>
          </w:rPr>
          <w:t>§ 8 Abs. 1 Nr. 1 SGB IV</w:t>
        </w:r>
      </w:hyperlink>
      <w:r w:rsidRPr="009C6551">
        <w:rPr>
          <w:rStyle w:val="kleinschrift1"/>
        </w:rPr>
        <w:t xml:space="preserve"> – ohne Berücksichtigung des § 8 Abs. 2 Satz 1 SGB IV – werden bei der Berechnung der Dienstzeit für Krankenbezüge nur berücksichtigt, soweit sie nach dem 31. Dezember 2000 zurückgelegt worden sind.</w:t>
      </w:r>
    </w:p>
    <w:p w:rsidR="00BE1EFE" w:rsidRDefault="00BE1EFE">
      <w:pPr>
        <w:pStyle w:val="StandardWeb"/>
        <w:rPr>
          <w:sz w:val="12"/>
          <w:szCs w:val="12"/>
        </w:rPr>
      </w:pPr>
    </w:p>
    <w:p w:rsidR="00BE1EFE" w:rsidRDefault="00BE1EFE">
      <w:pPr>
        <w:pStyle w:val="StandardWeb"/>
      </w:pPr>
      <w:r w:rsidRPr="009C6551">
        <w:rPr>
          <w:rStyle w:val="kleinschrift1"/>
        </w:rPr>
        <w:t>1</w:t>
      </w:r>
      <w:r>
        <w:rPr>
          <w:sz w:val="12"/>
          <w:szCs w:val="12"/>
        </w:rPr>
        <w:t>Die Krankenbezüge werden längstens bis zur Dauer von sechs Wochen gezahlt,</w:t>
      </w:r>
    </w:p>
    <w:p w:rsidR="00BE1EFE" w:rsidRDefault="00BE1EFE">
      <w:pPr>
        <w:pStyle w:val="StandardWeb"/>
      </w:pPr>
      <w:r>
        <w:rPr>
          <w:sz w:val="12"/>
          <w:szCs w:val="12"/>
        </w:rPr>
        <w:t>a) wenn der Angestellte Rente wegen voller Erwerbsminderung (</w:t>
      </w:r>
      <w:hyperlink r:id="rId758" w:history="1">
        <w:r w:rsidRPr="00F466E0">
          <w:rPr>
            <w:rStyle w:val="Hyperlink"/>
            <w:sz w:val="12"/>
            <w:szCs w:val="12"/>
          </w:rPr>
          <w:t>§ 43 SGB VI</w:t>
        </w:r>
      </w:hyperlink>
      <w:r>
        <w:rPr>
          <w:sz w:val="12"/>
          <w:szCs w:val="12"/>
        </w:rPr>
        <w:t>) oder wegen Alters aus der gesetzlichen Rentenversicherung erhält,</w:t>
      </w:r>
    </w:p>
    <w:p w:rsidR="00BE1EFE" w:rsidRDefault="00BE1EFE">
      <w:pPr>
        <w:pStyle w:val="StandardWeb"/>
      </w:pPr>
      <w:r>
        <w:rPr>
          <w:sz w:val="12"/>
          <w:szCs w:val="12"/>
        </w:rPr>
        <w:t>b) </w:t>
      </w:r>
      <w:r w:rsidRPr="00A4682D">
        <w:rPr>
          <w:i/>
          <w:sz w:val="12"/>
          <w:szCs w:val="12"/>
        </w:rPr>
        <w:t>(frei)</w:t>
      </w:r>
    </w:p>
    <w:p w:rsidR="00BE1EFE" w:rsidRDefault="00BE1EFE">
      <w:pPr>
        <w:pStyle w:val="StandardWeb"/>
      </w:pPr>
      <w:r>
        <w:rPr>
          <w:sz w:val="12"/>
          <w:szCs w:val="12"/>
        </w:rPr>
        <w:t xml:space="preserve">c) für den Zeitraum, für den die Angestellte Anspruch auf Mutterschaftsgeld nach </w:t>
      </w:r>
      <w:hyperlink r:id="rId759" w:history="1">
        <w:r w:rsidRPr="00F466E0">
          <w:rPr>
            <w:rStyle w:val="Hyperlink"/>
            <w:sz w:val="12"/>
            <w:szCs w:val="12"/>
          </w:rPr>
          <w:t>§ 200 RVO</w:t>
        </w:r>
      </w:hyperlink>
      <w:r>
        <w:rPr>
          <w:sz w:val="12"/>
          <w:szCs w:val="12"/>
        </w:rPr>
        <w:t xml:space="preserve"> oder nach </w:t>
      </w:r>
      <w:hyperlink r:id="rId760" w:history="1">
        <w:r w:rsidRPr="00F466E0">
          <w:rPr>
            <w:rStyle w:val="Hyperlink"/>
            <w:sz w:val="12"/>
            <w:szCs w:val="12"/>
          </w:rPr>
          <w:t>§ 13 Abs. 2 MuSchG</w:t>
        </w:r>
      </w:hyperlink>
      <w:r>
        <w:rPr>
          <w:sz w:val="12"/>
          <w:szCs w:val="12"/>
        </w:rPr>
        <w:t xml:space="preserve"> hat. </w:t>
      </w:r>
    </w:p>
    <w:p w:rsidR="00BE1EFE" w:rsidRDefault="00BE1EFE">
      <w:pPr>
        <w:pStyle w:val="StandardWeb"/>
      </w:pPr>
      <w:r w:rsidRPr="009C6551">
        <w:rPr>
          <w:rStyle w:val="kleinschrift1"/>
        </w:rPr>
        <w:t>2</w:t>
      </w:r>
      <w:r>
        <w:rPr>
          <w:sz w:val="12"/>
          <w:szCs w:val="12"/>
        </w:rPr>
        <w:t>Krankenbezüge werden nicht gezahlt</w:t>
      </w:r>
    </w:p>
    <w:p w:rsidR="00BE1EFE" w:rsidRDefault="00BE1EFE">
      <w:pPr>
        <w:pStyle w:val="StandardWeb"/>
      </w:pPr>
      <w:r>
        <w:rPr>
          <w:sz w:val="12"/>
          <w:szCs w:val="12"/>
        </w:rPr>
        <w:t>a) über die Beendigung des Arbeitsverhältnisses hinaus,</w:t>
      </w:r>
    </w:p>
    <w:p w:rsidR="00BE1EFE" w:rsidRDefault="00BE1EFE">
      <w:pPr>
        <w:pStyle w:val="StandardWeb"/>
      </w:pPr>
      <w:r>
        <w:rPr>
          <w:sz w:val="12"/>
          <w:szCs w:val="12"/>
        </w:rPr>
        <w:t xml:space="preserve">b) über den Zeitpunkt hinaus, von dem an der Angestellte Bezüge aufgrund eigener Versicherung aus der gesetzlichen Rentenversicherung (einschließlich eines rentenersetzenden Übergangsgeldes i. S. d. </w:t>
      </w:r>
      <w:hyperlink r:id="rId761" w:history="1">
        <w:r w:rsidRPr="00F466E0">
          <w:rPr>
            <w:rStyle w:val="Hyperlink"/>
            <w:sz w:val="12"/>
            <w:szCs w:val="12"/>
          </w:rPr>
          <w:t>§ 20 SGB VI</w:t>
        </w:r>
      </w:hyperlink>
      <w:r>
        <w:rPr>
          <w:sz w:val="12"/>
          <w:szCs w:val="12"/>
        </w:rPr>
        <w:t xml:space="preserve"> in Verbindung mit </w:t>
      </w:r>
      <w:hyperlink r:id="rId762" w:history="1">
        <w:r w:rsidRPr="00F466E0">
          <w:rPr>
            <w:rStyle w:val="Hyperlink"/>
            <w:sz w:val="12"/>
            <w:szCs w:val="12"/>
          </w:rPr>
          <w:t xml:space="preserve">§ 8 </w:t>
        </w:r>
        <w:r w:rsidRPr="00F466E0">
          <w:rPr>
            <w:rStyle w:val="Hyperlink"/>
            <w:sz w:val="12"/>
            <w:szCs w:val="12"/>
          </w:rPr>
          <w:lastRenderedPageBreak/>
          <w:t>SGB IX</w:t>
        </w:r>
      </w:hyperlink>
      <w:r>
        <w:rPr>
          <w:sz w:val="12"/>
          <w:szCs w:val="12"/>
        </w:rPr>
        <w:t xml:space="preserve">), aus einer zusätzlichen Alters- und Hinterbliebenenversorgung oder aus einer sonstigen Versorgungseinrichtung erhält, zu der der Arbeitgeber oder ein anderer Arbeitgeber, der das ABD oder ein Arbeitsvertragswerk wesentlich gleichen Inhalts angewendet hat, die Mittel ganz oder teilweise beigesteuert hat. </w:t>
      </w:r>
      <w:r w:rsidRPr="009C6551">
        <w:rPr>
          <w:rStyle w:val="kleinschrift1"/>
        </w:rPr>
        <w:t>3</w:t>
      </w:r>
      <w:r>
        <w:rPr>
          <w:sz w:val="12"/>
          <w:szCs w:val="12"/>
        </w:rPr>
        <w:t xml:space="preserve">Überzahlte Krankenbezüge und sonstige überzahlte Bezüge gelten als Vorschüsse auf die zustehenden Bezüge i. S. d. Satzes 1 dieses Unterabs.. </w:t>
      </w:r>
      <w:r w:rsidRPr="009C6551">
        <w:rPr>
          <w:rStyle w:val="kleinschrift1"/>
        </w:rPr>
        <w:t>4</w:t>
      </w:r>
      <w:r>
        <w:rPr>
          <w:sz w:val="12"/>
          <w:szCs w:val="12"/>
        </w:rPr>
        <w:t xml:space="preserve">Die Ansprüche des Angestellten gehen insoweit auf den Arbeitgeber über; </w:t>
      </w:r>
      <w:hyperlink r:id="rId763" w:history="1">
        <w:r w:rsidRPr="00F466E0">
          <w:rPr>
            <w:rStyle w:val="Hyperlink"/>
            <w:sz w:val="12"/>
            <w:szCs w:val="12"/>
          </w:rPr>
          <w:t>§ 53 SGB I</w:t>
        </w:r>
      </w:hyperlink>
      <w:r>
        <w:rPr>
          <w:sz w:val="12"/>
          <w:szCs w:val="12"/>
        </w:rPr>
        <w:t xml:space="preserve"> bleibt unberührt. </w:t>
      </w:r>
      <w:r w:rsidRPr="009C6551">
        <w:rPr>
          <w:rStyle w:val="kleinschrift1"/>
        </w:rPr>
        <w:t>5</w:t>
      </w:r>
      <w:r>
        <w:rPr>
          <w:sz w:val="12"/>
          <w:szCs w:val="12"/>
        </w:rPr>
        <w:t xml:space="preserve">Der Arbeitgeber kann von der Rückforderung des Teils des überzahlten Betrages, der nicht durch die für den Zeitraum der Überzahlung zustehenden Bezüge i. S. d. Satzes 1 dieses Unterabs. ausgeglichen worden ist, absehen, es sei denn, der Angestellte hat dem Arbeitgeber die Zustellung des Rentenbescheides schuldhaft verspätet mitgeteilt. </w:t>
      </w:r>
    </w:p>
    <w:p w:rsidR="00BE1EFE" w:rsidRDefault="00BE1EFE">
      <w:pPr>
        <w:pStyle w:val="StandardWeb"/>
      </w:pPr>
      <w:r w:rsidRPr="009C6551">
        <w:rPr>
          <w:rStyle w:val="kleinschrift1"/>
        </w:rPr>
        <w:t>6</w:t>
      </w:r>
      <w:r>
        <w:rPr>
          <w:sz w:val="12"/>
          <w:szCs w:val="12"/>
        </w:rPr>
        <w:t>Kündigt der Arbeitgeber das Arbeitsverhältnis aus Anlass der Arbeitsunfähigkeit und endet das Arbeitsverhältnis vor dem Ende der</w:t>
      </w:r>
      <w:r>
        <w:t xml:space="preserve"> </w:t>
      </w:r>
      <w:r>
        <w:rPr>
          <w:sz w:val="12"/>
          <w:szCs w:val="12"/>
        </w:rPr>
        <w:t xml:space="preserve">Bezugsfrist nach Unterabs. 1 Satz 1, behält der Angestellte abweichend von Unterabs. 5 Satz 1 Buchst. a den Anspruch auf Krankenbezüge bis zur Dauer von sechs Wochen. </w:t>
      </w:r>
      <w:r w:rsidRPr="009C6551">
        <w:rPr>
          <w:rStyle w:val="kleinschrift1"/>
        </w:rPr>
        <w:t>7</w:t>
      </w:r>
      <w:r>
        <w:rPr>
          <w:sz w:val="12"/>
          <w:szCs w:val="12"/>
        </w:rPr>
        <w:t>Das Gleiche gilt, wenn der Angestellte das Arbeitsverhältnis aus einem von dem Arbeitgeber zu vertretenden Grunde kündigt, der den Angestellten zu einer außerordentlichen Kündigung berechtigt.</w:t>
      </w:r>
    </w:p>
    <w:p w:rsidR="00BE1EFE" w:rsidRDefault="00BE1EFE">
      <w:pPr>
        <w:pStyle w:val="StandardWeb"/>
      </w:pPr>
    </w:p>
    <w:p w:rsidR="00BE1EFE" w:rsidRDefault="00BE1EFE">
      <w:pPr>
        <w:pStyle w:val="StandardWeb"/>
      </w:pPr>
      <w:r>
        <w:t>(3) </w:t>
      </w:r>
      <w:r>
        <w:rPr>
          <w:rStyle w:val="kleinschrift"/>
        </w:rPr>
        <w:t>1</w:t>
      </w:r>
      <w:r>
        <w:t xml:space="preserve">Als Krankenbezüge wird die Urlaubsvergütung gezahlt, die dem Angestellten zustehen würde, wenn er Erholungsurlaub hätte. </w:t>
      </w:r>
    </w:p>
    <w:p w:rsidR="00BE1EFE" w:rsidRDefault="00BE1EFE">
      <w:pPr>
        <w:pStyle w:val="StandardWeb"/>
      </w:pPr>
      <w:r>
        <w:rPr>
          <w:rStyle w:val="kleinschrift"/>
        </w:rPr>
        <w:t>2</w:t>
      </w:r>
      <w:r>
        <w:t>In den Fällen des Abs. 1 Unterabs. 2 erhält der Angestellte abweichend von Unterabs. 1 für die Dauer der Maßnahme als Krankenbezüge einen Krankengeldzuschuss in entsprechender Anwendung des § 37 Abs. 3, 8 und 9; der Anspruch auf Krankenbezüge nach Unterabs. 1 für die Dauer von sechs Wochen (Abs. 2 Unterabs. 1 Satz 1) bleibt unberührt.</w:t>
      </w:r>
    </w:p>
    <w:p w:rsidR="00BE1EFE" w:rsidRDefault="00BE1EFE">
      <w:pPr>
        <w:pStyle w:val="StandardWeb"/>
      </w:pPr>
      <w:r>
        <w:t>(4) Vollendet der Angestellte während der Arbeitsunfähigkeit die zu einer längeren Bezugs</w:t>
      </w:r>
      <w:r>
        <w:softHyphen/>
        <w:t>dauer berechtigende Dienstzeit, werden die Krankenbezüge so gezahlt, wie wenn der Angestellte die längere Dienstzeit bereits bei Beginn der Arbeitsunfähigkeit vollendet hätte.</w:t>
      </w:r>
    </w:p>
    <w:p w:rsidR="00BE1EFE" w:rsidRDefault="00BE1EFE">
      <w:pPr>
        <w:pStyle w:val="StandardWeb"/>
      </w:pPr>
      <w:r>
        <w:t>(5) </w:t>
      </w:r>
      <w:r>
        <w:rPr>
          <w:rStyle w:val="kleinschrift"/>
        </w:rPr>
        <w:t>1</w:t>
      </w:r>
      <w:r>
        <w:t xml:space="preserve">Hat der Angestellte nicht mindestens vier Wochen wieder gearbeitet und wird er aufgrund derselben Ursache erneut arbeitsunfähig, werden Krankenbezüge insgesamt nur für die nach Abs. 2 maßgebende Zeit gezahlt. </w:t>
      </w:r>
    </w:p>
    <w:p w:rsidR="00BE1EFE" w:rsidRDefault="00BE1EFE">
      <w:pPr>
        <w:pStyle w:val="StandardWeb"/>
      </w:pPr>
      <w:r>
        <w:rPr>
          <w:rStyle w:val="kleinschrift"/>
        </w:rPr>
        <w:t>2</w:t>
      </w:r>
      <w:r>
        <w:t>Hat der Angestellte in einem Fall des Abs. 2 Unterabs. 2 die Arbeit vor Ablauf der Bezugsfrist von 26 Wochen wieder aufgenommen und wird er vor Ablauf von sechs Monaten aufgrund desselben Arbeitsunfalls oder derselben Berufskrankheit erneut arbeitsunfähig, wird der Ablauf der Bezugsfrist, wenn dies für den Angestellten günstiger ist, um die Zeit der Arbeitsfähigkeit hinausgeschoben.</w:t>
      </w:r>
    </w:p>
    <w:p w:rsidR="00BE1EFE" w:rsidRDefault="00BE1EFE">
      <w:pPr>
        <w:pStyle w:val="StandardWeb"/>
      </w:pPr>
      <w:r>
        <w:t>(6) </w:t>
      </w:r>
      <w:r>
        <w:rPr>
          <w:rStyle w:val="kleinschrift"/>
        </w:rPr>
        <w:t>1</w:t>
      </w:r>
      <w:r>
        <w:t xml:space="preserve">Der Angestellte kann die Anwendung des § 37 beantragen. </w:t>
      </w:r>
      <w:r>
        <w:rPr>
          <w:rStyle w:val="kleinschrift"/>
        </w:rPr>
        <w:t>2</w:t>
      </w:r>
      <w:r>
        <w:t>Der Antrag kann nicht widerrufen werden.</w:t>
      </w:r>
    </w:p>
    <w:p w:rsidR="00BE1EFE" w:rsidRDefault="00BE1EFE">
      <w:pPr>
        <w:pStyle w:val="StandardWeb"/>
      </w:pPr>
    </w:p>
    <w:p w:rsidR="00BE1EFE" w:rsidRDefault="00BE1EFE">
      <w:pPr>
        <w:pStyle w:val="StandardWeb"/>
        <w:rPr>
          <w:sz w:val="12"/>
          <w:szCs w:val="12"/>
        </w:rPr>
      </w:pPr>
      <w:r w:rsidRPr="009C6551">
        <w:rPr>
          <w:rStyle w:val="kleinschrift1"/>
        </w:rPr>
        <w:t>Anmerkung zu Abs. 1:</w:t>
      </w:r>
    </w:p>
    <w:p w:rsidR="00BE1EFE" w:rsidRDefault="00BE1EFE">
      <w:pPr>
        <w:pStyle w:val="StandardWeb"/>
        <w:rPr>
          <w:sz w:val="12"/>
          <w:szCs w:val="12"/>
        </w:rPr>
      </w:pPr>
      <w:r w:rsidRPr="009C6551">
        <w:rPr>
          <w:rStyle w:val="kleinschrift1"/>
        </w:rPr>
        <w:t>Ein Verschulden i. S. d. Abs. 1 liegt nur dann vor, wenn die Arbeitsunfähigkeit vorsätzlich oder grob fahrlässig herbeigeführt wurde.</w:t>
      </w:r>
    </w:p>
    <w:p w:rsidR="00BE1EFE" w:rsidRDefault="00BE1EFE">
      <w:pPr>
        <w:pStyle w:val="StandardWeb"/>
        <w:rPr>
          <w:sz w:val="12"/>
          <w:szCs w:val="12"/>
        </w:rPr>
      </w:pPr>
      <w:r w:rsidRPr="009C6551">
        <w:rPr>
          <w:rStyle w:val="kleinschrift1"/>
        </w:rPr>
        <w:t>Anmerkung zu Abs. 5 Unterabs. 1:</w:t>
      </w:r>
    </w:p>
    <w:p w:rsidR="00BE1EFE" w:rsidRDefault="00BE1EFE">
      <w:pPr>
        <w:pStyle w:val="StandardWeb"/>
      </w:pPr>
      <w:r w:rsidRPr="009C6551">
        <w:rPr>
          <w:rStyle w:val="kleinschrift1"/>
        </w:rPr>
        <w:t>Auf die vier Wochen wird ein Erholungsurlaub (einschließlich eines etwaigen Zusatzurlaubs) angerechnet, den der Angestellte nach Arbeitsaufnahme angetreten hat, weil dies im Urlaubsplan vorgesehen war oder der Arbeitgeber dies verlangt hatte.</w:t>
      </w:r>
    </w:p>
    <w:p w:rsidR="00BE1EFE" w:rsidRDefault="00BE1EFE">
      <w:pPr>
        <w:pStyle w:val="StandardWeb"/>
      </w:pPr>
    </w:p>
    <w:p w:rsidR="00BE1EFE" w:rsidRDefault="00BE1EFE">
      <w:pPr>
        <w:pStyle w:val="StandardWeb"/>
      </w:pPr>
    </w:p>
    <w:p w:rsidR="00BE1EFE" w:rsidRPr="003575ED" w:rsidRDefault="00BE1EFE" w:rsidP="003575ED">
      <w:pPr>
        <w:pStyle w:val="StandardWeb"/>
        <w:autoSpaceDE w:val="0"/>
        <w:jc w:val="left"/>
        <w:rPr>
          <w:b/>
          <w:bCs/>
        </w:rPr>
      </w:pPr>
      <w:r>
        <w:rPr>
          <w:rStyle w:val="Fett"/>
          <w:bCs/>
        </w:rPr>
        <w:t>§ 72 Übergangsregelung für die kirchliche Höherversicherung</w:t>
      </w:r>
      <w:r>
        <w:rPr>
          <w:b/>
          <w:bCs/>
        </w:rPr>
        <w:t xml:space="preserve"> </w:t>
      </w:r>
      <w:r>
        <w:rPr>
          <w:rStyle w:val="Fett"/>
          <w:bCs/>
        </w:rPr>
        <w:t>bei Krankheitsfällen</w:t>
      </w:r>
    </w:p>
    <w:p w:rsidR="00BE1EFE" w:rsidRDefault="00BE1EFE">
      <w:pPr>
        <w:pStyle w:val="StandardWeb"/>
        <w:jc w:val="center"/>
      </w:pPr>
    </w:p>
    <w:p w:rsidR="00BE1EFE" w:rsidRDefault="00BE1EFE">
      <w:pPr>
        <w:pStyle w:val="StandardWeb"/>
      </w:pPr>
      <w:r>
        <w:t>(1) </w:t>
      </w:r>
      <w:r>
        <w:rPr>
          <w:rStyle w:val="kleinschrift"/>
        </w:rPr>
        <w:t>1</w:t>
      </w:r>
      <w:r>
        <w:t>Zur Wahrung des Besitzstandes wird den Mitarbeitern, die</w:t>
      </w:r>
    </w:p>
    <w:p w:rsidR="00BE1EFE" w:rsidRDefault="00BE1EFE">
      <w:pPr>
        <w:pStyle w:val="StandardWeb"/>
      </w:pPr>
      <w:r>
        <w:t xml:space="preserve">1. am 31. 08. 1994 in einem unter die arbeitsvertragsrechtlichen Bestimmungen der bayer. (Erz-)Diözesen fallenden Arbeitsverhältnis gestanden haben, das am 01.09.1994 mit mindestens der Hälfte der durchschnittlichen regelmäßigen wöchentlichen Arbeitszeit eines entsprechenden vollbeschäftigten Mitarbeiters fortbestanden hat, </w:t>
      </w:r>
    </w:p>
    <w:p w:rsidR="00BE1EFE" w:rsidRDefault="00BE1EFE">
      <w:pPr>
        <w:pStyle w:val="StandardWeb"/>
      </w:pPr>
      <w:r>
        <w:t xml:space="preserve">und die </w:t>
      </w:r>
    </w:p>
    <w:p w:rsidR="00BE1EFE" w:rsidRDefault="00BE1EFE">
      <w:pPr>
        <w:pStyle w:val="StandardWeb"/>
      </w:pPr>
      <w:r>
        <w:t xml:space="preserve">2. am 31. 08. 1994 nach diözesaner Regelung einen Anspruch auf Gewährung von Beihilfen in Krankheits-, Pflege-, Geburts- und Todesfällen sowie von Unterstützungen nach Tarif 820 der Beihilfeversicherung hatten, </w:t>
      </w:r>
    </w:p>
    <w:p w:rsidR="00BE1EFE" w:rsidRDefault="00BE1EFE">
      <w:pPr>
        <w:pStyle w:val="StandardWeb"/>
      </w:pPr>
      <w:r>
        <w:t xml:space="preserve">die kirchliche Höherversicherung in Krankheitsfällen gem. § 40 a nach Ablauf der jeweiligen diözesanen Wartezeit für die Dauer dieses Arbeitsverhältnisses als Beihilfe ohne eigene Kostenbeteiligung gewährt. </w:t>
      </w:r>
      <w:r>
        <w:rPr>
          <w:rStyle w:val="kleinschrift"/>
        </w:rPr>
        <w:t>2</w:t>
      </w:r>
      <w:r>
        <w:t xml:space="preserve">Der Übertritt in ein Arbeitsverhältnis zu einem anderen Dienstgeber, der das Arbeitsvertragsrecht der bayer. (Erz-)Diözesen anwendet, ist </w:t>
      </w:r>
      <w:r>
        <w:lastRenderedPageBreak/>
        <w:t>unschädlich, soweit eine Unterbrechung nicht vorliegt und der neue Dienstgeber die gleichen diözesanen Beihilferegelungen anwendet.</w:t>
      </w:r>
      <w:r>
        <w:rPr>
          <w:vertAlign w:val="superscript"/>
        </w:rPr>
        <w:t xml:space="preserve">1 </w:t>
      </w:r>
    </w:p>
    <w:p w:rsidR="00BE1EFE" w:rsidRDefault="00BE1EFE">
      <w:pPr>
        <w:pStyle w:val="StandardWeb"/>
      </w:pPr>
      <w:r>
        <w:rPr>
          <w:rStyle w:val="kleinschrift"/>
        </w:rPr>
        <w:t>3</w:t>
      </w:r>
      <w:r>
        <w:t>Unterabs. 1 gilt auch für Mitarbeiter, die die Voraussetzungen des Unterabs. 1 Satz 1 Nr. 2 wegen Inanspruchnahme von Elternzeit, Sonderurlaub nach § 50 Abs. 1 oder Teilzeitbeschäftigung nach § 15 b nicht erfüllen, sofern der Beschäftigungsumfang des Mitarbeiters im unmittelbaren Anschluss wieder mindestens die Hälfte der durchschnittlichen regelmäßigen wöchentlichen Arbeitszeit eines entsprechenden vollbeschäftigten Mitarbeiters beträgt.</w:t>
      </w:r>
    </w:p>
    <w:p w:rsidR="00BE1EFE" w:rsidRDefault="00BE1EFE">
      <w:pPr>
        <w:pStyle w:val="StandardWeb"/>
      </w:pPr>
      <w:r>
        <w:rPr>
          <w:vertAlign w:val="superscript"/>
        </w:rPr>
        <w:t>1</w:t>
      </w:r>
      <w:r>
        <w:rPr>
          <w:rStyle w:val="kleinschrift1"/>
        </w:rPr>
        <w:t> </w:t>
      </w:r>
      <w:r w:rsidRPr="009C6551">
        <w:rPr>
          <w:rStyle w:val="kleinschrift1"/>
        </w:rPr>
        <w:t>§ 72 Abs. 1 Satz 1 findet auch Anwendung im Ruhestand, sofern und soweit dem Mitarbeiter eine entsprechende Zusage erteilt worden ist.</w:t>
      </w:r>
    </w:p>
    <w:p w:rsidR="00BE1EFE" w:rsidRDefault="00BE1EFE">
      <w:pPr>
        <w:pStyle w:val="StandardWeb"/>
      </w:pPr>
      <w:r>
        <w:t>(2) Mitarbeiter, die am 31. 12. 1998 Beihilfeansprüche nach Tarif 825 hatten, erhalten für die Dauer dieses Beschäftigungsverhältnisses bei einer Versicherung im Tarif 820 K den Betrag, der der Differenz aus dem Tarif 825 der Höherversicherung und dem Tarif 810 der Höherversicherung zum Stande vom 31. 12. 1998 entspricht.</w:t>
      </w:r>
    </w:p>
    <w:p w:rsidR="00BE1EFE" w:rsidRDefault="00BE1EFE" w:rsidP="00955556">
      <w:pPr>
        <w:pStyle w:val="berschrift6"/>
        <w:spacing w:before="0"/>
      </w:pPr>
      <w:r>
        <w:br w:type="page"/>
      </w:r>
      <w:bookmarkStart w:id="687" w:name="_Toc523926220"/>
      <w:r>
        <w:lastRenderedPageBreak/>
        <w:t>Anlage 2: Zuordnung der Vergütungs- und Lohngruppen zu den Entgeltgruppen für am 30. September/1. Oktober 2005 vorhandene Beschäftigte für die Überleitung</w:t>
      </w:r>
      <w:bookmarkEnd w:id="687"/>
    </w:p>
    <w:tbl>
      <w:tblPr>
        <w:tblW w:w="6591" w:type="dxa"/>
        <w:tblInd w:w="55" w:type="dxa"/>
        <w:tblCellMar>
          <w:left w:w="0" w:type="dxa"/>
          <w:right w:w="0" w:type="dxa"/>
        </w:tblCellMar>
        <w:tblLook w:val="04A0" w:firstRow="1" w:lastRow="0" w:firstColumn="1" w:lastColumn="0" w:noHBand="0" w:noVBand="1"/>
      </w:tblPr>
      <w:tblGrid>
        <w:gridCol w:w="736"/>
        <w:gridCol w:w="3173"/>
        <w:gridCol w:w="2682"/>
      </w:tblGrid>
      <w:tr w:rsidR="00BE1EFE" w:rsidTr="00E87479">
        <w:trPr>
          <w:trHeight w:val="225"/>
        </w:trPr>
        <w:tc>
          <w:tcPr>
            <w:tcW w:w="736"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B76821" w:rsidRDefault="00BE1EFE" w:rsidP="00E87479">
            <w:pPr>
              <w:pStyle w:val="h7"/>
              <w:keepNext w:val="0"/>
              <w:spacing w:before="0" w:after="0"/>
              <w:outlineLvl w:val="5"/>
              <w:rPr>
                <w:rStyle w:val="Fett"/>
                <w:bCs/>
                <w:sz w:val="2"/>
                <w:szCs w:val="16"/>
              </w:rPr>
            </w:pPr>
          </w:p>
          <w:p w:rsidR="00BE1EFE" w:rsidRPr="000B1AF8" w:rsidRDefault="00BE1EFE" w:rsidP="00E87479">
            <w:pPr>
              <w:pStyle w:val="StandardWeb"/>
              <w:autoSpaceDE w:val="0"/>
              <w:spacing w:line="225" w:lineRule="atLeast"/>
              <w:jc w:val="center"/>
            </w:pPr>
            <w:r>
              <w:rPr>
                <w:rStyle w:val="Fett"/>
                <w:rFonts w:cs="Arial"/>
                <w:bCs/>
                <w:szCs w:val="16"/>
              </w:rPr>
              <w:t>Entgelt-gruppe</w:t>
            </w:r>
          </w:p>
        </w:tc>
        <w:tc>
          <w:tcPr>
            <w:tcW w:w="3173"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Vergütungsgruppe</w:t>
            </w:r>
          </w:p>
        </w:tc>
        <w:tc>
          <w:tcPr>
            <w:tcW w:w="268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Lohngruppe</w:t>
            </w:r>
          </w:p>
        </w:tc>
      </w:tr>
      <w:tr w:rsidR="00BE1EFE" w:rsidTr="00852190">
        <w:trPr>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nil"/>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nil"/>
              <w:right w:val="single" w:sz="8" w:space="0" w:color="auto"/>
            </w:tcBorders>
            <w:vAlign w:val="center"/>
            <w:hideMark/>
          </w:tcPr>
          <w:p w:rsidR="00BE1EFE" w:rsidRPr="000B1AF8" w:rsidRDefault="00BE1EFE">
            <w:pPr>
              <w:rPr>
                <w:sz w:val="24"/>
              </w:rPr>
            </w:pPr>
          </w:p>
        </w:tc>
      </w:tr>
      <w:tr w:rsidR="00BE1EFE" w:rsidTr="00E87479">
        <w:trPr>
          <w:trHeight w:val="240"/>
        </w:trPr>
        <w:tc>
          <w:tcPr>
            <w:tcW w:w="73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jc w:val="center"/>
            </w:pPr>
            <w:r>
              <w:rPr>
                <w:rStyle w:val="Fett"/>
                <w:rFonts w:cs="Arial"/>
                <w:bCs/>
                <w:szCs w:val="16"/>
              </w:rPr>
              <w:t>15 Ü</w:t>
            </w:r>
          </w:p>
        </w:tc>
        <w:tc>
          <w:tcPr>
            <w:tcW w:w="317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 xml:space="preserve">I </w:t>
            </w:r>
          </w:p>
        </w:tc>
        <w:tc>
          <w:tcPr>
            <w:tcW w:w="268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Keine</w:t>
            </w:r>
          </w:p>
        </w:tc>
      </w:tr>
      <w:tr w:rsidR="00BE1EFE" w:rsidTr="00E87479">
        <w:trPr>
          <w:trHeight w:val="225"/>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15</w:t>
            </w: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I a</w:t>
            </w:r>
          </w:p>
        </w:tc>
        <w:tc>
          <w:tcPr>
            <w:tcW w:w="268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Keine</w:t>
            </w:r>
          </w:p>
        </w:tc>
      </w:tr>
      <w:tr w:rsidR="00BE1EFE" w:rsidTr="00E87479">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 xml:space="preserve">I a nach Aufstieg aus I b </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4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 xml:space="preserve">I b mit ausstehendem Aufstieg nach I a </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315"/>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jc w:val="center"/>
            </w:pPr>
            <w:r>
              <w:rPr>
                <w:rStyle w:val="Fett"/>
                <w:rFonts w:cs="Arial"/>
                <w:bCs/>
                <w:szCs w:val="16"/>
              </w:rPr>
              <w:t>14</w:t>
            </w: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I b ohne Aufstieg nach I a</w:t>
            </w:r>
          </w:p>
        </w:tc>
        <w:tc>
          <w:tcPr>
            <w:tcW w:w="268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Keine</w:t>
            </w:r>
          </w:p>
        </w:tc>
      </w:tr>
      <w:tr w:rsidR="00BE1EFE" w:rsidTr="00E87479">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 xml:space="preserve">I b nach Aufstieg aus II a </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4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II a mit ausstehendem Aufstieg nach I b</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55"/>
        </w:trPr>
        <w:tc>
          <w:tcPr>
            <w:tcW w:w="7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jc w:val="center"/>
            </w:pPr>
            <w:r>
              <w:rPr>
                <w:rStyle w:val="Fett"/>
                <w:rFonts w:cs="Arial"/>
                <w:bCs/>
                <w:szCs w:val="16"/>
              </w:rPr>
              <w:t>13</w:t>
            </w:r>
          </w:p>
        </w:tc>
        <w:tc>
          <w:tcPr>
            <w:tcW w:w="31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II a ohne Aufstieg nach I b</w:t>
            </w:r>
          </w:p>
        </w:tc>
        <w:tc>
          <w:tcPr>
            <w:tcW w:w="268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Keine</w:t>
            </w:r>
          </w:p>
        </w:tc>
      </w:tr>
      <w:tr w:rsidR="00BE1EFE" w:rsidTr="00E87479">
        <w:trPr>
          <w:trHeight w:val="225"/>
        </w:trPr>
        <w:tc>
          <w:tcPr>
            <w:tcW w:w="736"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E87479">
            <w:pPr>
              <w:spacing w:line="225" w:lineRule="atLeast"/>
              <w:jc w:val="cente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 xml:space="preserve">II a nach Aufstieg aus III </w:t>
            </w:r>
          </w:p>
        </w:tc>
        <w:tc>
          <w:tcPr>
            <w:tcW w:w="2682"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r>
      <w:tr w:rsidR="00BE1EFE" w:rsidTr="00E87479">
        <w:trPr>
          <w:trHeight w:val="225"/>
        </w:trPr>
        <w:tc>
          <w:tcPr>
            <w:tcW w:w="736"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12</w:t>
            </w:r>
          </w:p>
        </w:tc>
        <w:tc>
          <w:tcPr>
            <w:tcW w:w="3173" w:type="dxa"/>
            <w:tcMar>
              <w:top w:w="0" w:type="dxa"/>
              <w:left w:w="70" w:type="dxa"/>
              <w:bottom w:w="0" w:type="dxa"/>
              <w:right w:w="70" w:type="dxa"/>
            </w:tcMar>
            <w:vAlign w:val="center"/>
            <w:hideMark/>
          </w:tcPr>
          <w:p w:rsidR="00BE1EFE" w:rsidRDefault="00BE1EFE">
            <w:pPr>
              <w:spacing w:line="225" w:lineRule="atLeast"/>
              <w:rPr>
                <w:sz w:val="24"/>
              </w:rPr>
            </w:pPr>
            <w:r>
              <w:t> </w:t>
            </w:r>
          </w:p>
        </w:tc>
        <w:tc>
          <w:tcPr>
            <w:tcW w:w="2682"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Keine</w:t>
            </w:r>
          </w:p>
        </w:tc>
      </w:tr>
      <w:tr w:rsidR="00BE1EFE" w:rsidTr="00E87479">
        <w:trPr>
          <w:trHeight w:val="240"/>
        </w:trPr>
        <w:tc>
          <w:tcPr>
            <w:tcW w:w="7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Default="00BE1EFE" w:rsidP="00E87479">
            <w:pPr>
              <w:jc w:val="center"/>
              <w:rPr>
                <w:sz w:val="24"/>
              </w:rPr>
            </w:pPr>
          </w:p>
        </w:tc>
        <w:tc>
          <w:tcPr>
            <w:tcW w:w="317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III mit ausstehendem Aufstieg nach II a</w:t>
            </w:r>
          </w:p>
        </w:tc>
        <w:tc>
          <w:tcPr>
            <w:tcW w:w="268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E87479">
        <w:trPr>
          <w:trHeight w:val="225"/>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11</w:t>
            </w: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III ohne Aufstieg nach II a</w:t>
            </w:r>
          </w:p>
        </w:tc>
        <w:tc>
          <w:tcPr>
            <w:tcW w:w="268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Keine</w:t>
            </w:r>
          </w:p>
        </w:tc>
      </w:tr>
      <w:tr w:rsidR="00BE1EFE" w:rsidTr="00E87479">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III nach Aufstieg aus IV a</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31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4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IV a mit ausstehendem Aufstieg nach III</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25"/>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10</w:t>
            </w:r>
          </w:p>
        </w:tc>
        <w:tc>
          <w:tcPr>
            <w:tcW w:w="3173"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IV a ohne Aufstieg nach III</w:t>
            </w:r>
          </w:p>
        </w:tc>
        <w:tc>
          <w:tcPr>
            <w:tcW w:w="268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Keine</w:t>
            </w:r>
          </w:p>
        </w:tc>
      </w:tr>
      <w:tr w:rsidR="00BE1EFE" w:rsidTr="00852190">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IV a nach Aufstieg aus IV b</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852190">
        <w:trPr>
          <w:trHeight w:val="25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852190">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IV b mit ausstehendem Aufstieg nach IV a</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852190">
        <w:trPr>
          <w:trHeight w:val="28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3173"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852190">
        <w:trPr>
          <w:trHeight w:val="276"/>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3173"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V a in den ersten sechs Monaten der Berufsausübung, wenn danach IV b mit Aufstieg nach IV a (Zuordnung zu Stufe 1)</w:t>
            </w: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852190">
        <w:trPr>
          <w:trHeight w:val="276"/>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852190">
        <w:trPr>
          <w:trHeight w:val="276"/>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bl>
    <w:p w:rsidR="00BE1EFE" w:rsidRDefault="00BE1EFE" w:rsidP="00942CDA">
      <w:pPr>
        <w:pStyle w:val="Leerzeile"/>
      </w:pPr>
      <w:r>
        <w:br w:type="page"/>
      </w:r>
    </w:p>
    <w:tbl>
      <w:tblPr>
        <w:tblW w:w="6565" w:type="dxa"/>
        <w:tblInd w:w="55" w:type="dxa"/>
        <w:tblCellMar>
          <w:left w:w="0" w:type="dxa"/>
          <w:right w:w="0" w:type="dxa"/>
        </w:tblCellMar>
        <w:tblLook w:val="04A0" w:firstRow="1" w:lastRow="0" w:firstColumn="1" w:lastColumn="0" w:noHBand="0" w:noVBand="1"/>
      </w:tblPr>
      <w:tblGrid>
        <w:gridCol w:w="736"/>
        <w:gridCol w:w="3162"/>
        <w:gridCol w:w="2667"/>
      </w:tblGrid>
      <w:tr w:rsidR="00BE1EFE" w:rsidTr="00E87479">
        <w:trPr>
          <w:trHeight w:val="225"/>
        </w:trPr>
        <w:tc>
          <w:tcPr>
            <w:tcW w:w="736"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lastRenderedPageBreak/>
              <w:t>Entgelt-gruppe</w:t>
            </w:r>
          </w:p>
        </w:tc>
        <w:tc>
          <w:tcPr>
            <w:tcW w:w="316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Vergütungsgruppe</w:t>
            </w:r>
          </w:p>
        </w:tc>
        <w:tc>
          <w:tcPr>
            <w:tcW w:w="266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Lohngruppe</w:t>
            </w:r>
          </w:p>
        </w:tc>
      </w:tr>
      <w:tr w:rsidR="00BE1EFE" w:rsidTr="00852190">
        <w:trPr>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55"/>
        </w:trPr>
        <w:tc>
          <w:tcPr>
            <w:tcW w:w="736"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jc w:val="center"/>
            </w:pPr>
            <w:r>
              <w:rPr>
                <w:rStyle w:val="Fett"/>
                <w:rFonts w:cs="Arial"/>
                <w:bCs/>
                <w:szCs w:val="16"/>
              </w:rPr>
              <w:t>9</w:t>
            </w:r>
          </w:p>
        </w:tc>
        <w:tc>
          <w:tcPr>
            <w:tcW w:w="3162"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IV b ohne Aufstieg nach IV a</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E87479">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 xml:space="preserve">IV b nach Aufstieg aus V a ohne weiteren Aufstieg nach IV a </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E87479">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IV b nach Aufstieg aus V b</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r>
      <w:tr w:rsidR="00BE1EFE" w:rsidTr="00E87479">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r>
      <w:tr w:rsidR="00BE1EFE" w:rsidTr="00E87479">
        <w:trPr>
          <w:trHeight w:val="4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 xml:space="preserve">V a mit ausstehendem Aufstieg nach IV b ohne weiteren Aufstieg nach IV a </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E87479">
        <w:trPr>
          <w:trHeight w:val="9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vAlign w:val="bottom"/>
            <w:hideMark/>
          </w:tcPr>
          <w:p w:rsidR="00BE1EFE" w:rsidRPr="000B1AF8" w:rsidRDefault="00BE1EFE">
            <w:pPr>
              <w:pStyle w:val="StandardWeb"/>
            </w:pPr>
            <w:r>
              <w:rPr>
                <w:rFonts w:cs="Arial"/>
                <w:szCs w:val="16"/>
              </w:rPr>
              <w:t>V a ohne Aufstieg nach IV b [nach 9 Jahren in Stufe 4 monatliche Zulage entsprechend Anhang zu § 16 Teil A, 1. (keine Stufen 5 und 6)]</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pStyle w:val="StandardWeb"/>
              <w:rPr>
                <w:rFonts w:cs="Arial"/>
                <w:szCs w:val="16"/>
              </w:rPr>
            </w:pPr>
            <w:r>
              <w:rPr>
                <w:rFonts w:cs="Arial"/>
                <w:szCs w:val="16"/>
              </w:rPr>
              <w:t>9 (Stufe 4 nach 7 Jahren</w:t>
            </w:r>
          </w:p>
          <w:p w:rsidR="00BE1EFE" w:rsidRPr="000B1AF8" w:rsidRDefault="00BE1EFE">
            <w:pPr>
              <w:pStyle w:val="StandardWeb"/>
            </w:pPr>
            <w:r>
              <w:rPr>
                <w:rFonts w:cs="Arial"/>
                <w:szCs w:val="16"/>
              </w:rPr>
              <w:t>in Stufe 3, keine Stufen 5 und 6)</w:t>
            </w:r>
          </w:p>
        </w:tc>
      </w:tr>
      <w:tr w:rsidR="00BE1EFE" w:rsidTr="00E87479">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r>
      <w:tr w:rsidR="00BE1EFE" w:rsidTr="00E87479">
        <w:trPr>
          <w:trHeight w:val="22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 xml:space="preserve">V b mit ausstehendem Aufstieg nach IV b </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r>
      <w:tr w:rsidR="00BE1EFE" w:rsidTr="00E87479">
        <w:trPr>
          <w:trHeight w:val="9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vAlign w:val="bottom"/>
            <w:hideMark/>
          </w:tcPr>
          <w:p w:rsidR="00BE1EFE" w:rsidRPr="000B1AF8" w:rsidRDefault="00BE1EFE">
            <w:pPr>
              <w:pStyle w:val="StandardWeb"/>
            </w:pPr>
            <w:r>
              <w:rPr>
                <w:rFonts w:cs="Arial"/>
                <w:szCs w:val="16"/>
              </w:rPr>
              <w:t>V b ohne Aufstieg nach IV b [nach 9 Jahren in Stufe 4 monatliche Zulage entsprechend Anhang zu § 16 Teil A, 1. (keine Stufen 5 und 6)]</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E87479">
        <w:trPr>
          <w:trHeight w:val="9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BE1EFE" w:rsidRPr="000B1AF8" w:rsidRDefault="00BE1EFE">
            <w:pPr>
              <w:pStyle w:val="StandardWeb"/>
            </w:pPr>
            <w:r>
              <w:rPr>
                <w:rFonts w:cs="Arial"/>
                <w:szCs w:val="16"/>
              </w:rPr>
              <w:t>V b nach Aufstieg aus V c [nach 9 Jahren in Stufe 4 monatliche Zulage ent</w:t>
            </w:r>
            <w:r>
              <w:rPr>
                <w:rFonts w:cs="Arial"/>
                <w:szCs w:val="16"/>
              </w:rPr>
              <w:softHyphen/>
              <w:t>sprechend Anhang zu § 16 Teil A, 1. (keine Stufen 5 und 6)]</w:t>
            </w:r>
          </w:p>
        </w:tc>
        <w:tc>
          <w:tcPr>
            <w:tcW w:w="26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E87479">
        <w:trPr>
          <w:trHeight w:val="270"/>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jc w:val="center"/>
            </w:pPr>
            <w:r>
              <w:rPr>
                <w:rStyle w:val="Fett"/>
                <w:rFonts w:cs="Arial"/>
                <w:bCs/>
                <w:szCs w:val="16"/>
              </w:rPr>
              <w:t>8</w:t>
            </w:r>
          </w:p>
        </w:tc>
        <w:tc>
          <w:tcPr>
            <w:tcW w:w="3162"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V c mit ausstehendem Aufstieg nach V b</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8a</w:t>
            </w:r>
          </w:p>
        </w:tc>
      </w:tr>
      <w:tr w:rsidR="00BE1EFE" w:rsidTr="00E87479">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nil"/>
              <w:right w:val="single" w:sz="8" w:space="0" w:color="auto"/>
            </w:tcBorders>
            <w:tcMar>
              <w:top w:w="0" w:type="dxa"/>
              <w:left w:w="70" w:type="dxa"/>
              <w:bottom w:w="0" w:type="dxa"/>
              <w:right w:w="70" w:type="dxa"/>
            </w:tcMar>
            <w:hideMark/>
          </w:tcPr>
          <w:p w:rsidR="00BE1EFE" w:rsidRPr="000B1AF8" w:rsidRDefault="00BE1EFE">
            <w:pPr>
              <w:pStyle w:val="StandardWeb"/>
              <w:spacing w:line="225" w:lineRule="atLeast"/>
            </w:pPr>
            <w:r>
              <w:rPr>
                <w:rFonts w:cs="Arial"/>
                <w:szCs w:val="16"/>
              </w:rPr>
              <w:t>V c ohne Aufstieg nach V b</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r>
      <w:tr w:rsidR="00BE1EFE" w:rsidTr="00E87479">
        <w:trPr>
          <w:trHeight w:val="24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2" w:type="dxa"/>
            <w:tcBorders>
              <w:top w:val="nil"/>
              <w:left w:val="nil"/>
              <w:bottom w:val="single" w:sz="8" w:space="0" w:color="auto"/>
              <w:right w:val="single" w:sz="8" w:space="0" w:color="auto"/>
            </w:tcBorders>
            <w:tcMar>
              <w:top w:w="0" w:type="dxa"/>
              <w:left w:w="70" w:type="dxa"/>
              <w:bottom w:w="0" w:type="dxa"/>
              <w:right w:w="70" w:type="dxa"/>
            </w:tcMar>
            <w:hideMark/>
          </w:tcPr>
          <w:p w:rsidR="00BE1EFE" w:rsidRPr="000B1AF8" w:rsidRDefault="00BE1EFE">
            <w:pPr>
              <w:pStyle w:val="StandardWeb"/>
            </w:pPr>
            <w:r>
              <w:rPr>
                <w:rFonts w:cs="Arial"/>
                <w:szCs w:val="16"/>
              </w:rPr>
              <w:t xml:space="preserve">V c nach Aufstieg aus VI b </w:t>
            </w:r>
          </w:p>
        </w:tc>
        <w:tc>
          <w:tcPr>
            <w:tcW w:w="26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8 mit ausstehendem Aufstieg nach 8a</w:t>
            </w:r>
          </w:p>
        </w:tc>
      </w:tr>
      <w:tr w:rsidR="00BE1EFE" w:rsidTr="00E87479">
        <w:trPr>
          <w:trHeight w:val="225"/>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7</w:t>
            </w:r>
          </w:p>
        </w:tc>
        <w:tc>
          <w:tcPr>
            <w:tcW w:w="316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Keine</w:t>
            </w: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7a</w:t>
            </w:r>
          </w:p>
        </w:tc>
      </w:tr>
      <w:tr w:rsidR="00BE1EFE" w:rsidTr="00852190">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r>
      <w:tr w:rsidR="00BE1EFE" w:rsidTr="00852190">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7 mit ausstehendem Aufstieg nach 7a</w:t>
            </w:r>
          </w:p>
        </w:tc>
      </w:tr>
      <w:tr w:rsidR="00BE1EFE" w:rsidTr="00852190">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225" w:lineRule="atLeast"/>
            </w:pPr>
            <w:r>
              <w:rPr>
                <w:rFonts w:cs="Arial"/>
                <w:szCs w:val="16"/>
              </w:rPr>
              <w:t xml:space="preserve">7 nach Aufstieg aus 6 </w:t>
            </w:r>
          </w:p>
        </w:tc>
      </w:tr>
      <w:tr w:rsidR="00BE1EFE" w:rsidTr="00852190">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667"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225" w:lineRule="atLeast"/>
              <w:rPr>
                <w:sz w:val="24"/>
              </w:rPr>
            </w:pPr>
            <w:r>
              <w:t> </w:t>
            </w:r>
          </w:p>
        </w:tc>
      </w:tr>
      <w:tr w:rsidR="00BE1EFE" w:rsidTr="00852190">
        <w:trPr>
          <w:trHeight w:val="24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6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6 mit ausstehendem Aufstieg nach 7 und 7a</w:t>
            </w:r>
          </w:p>
        </w:tc>
      </w:tr>
    </w:tbl>
    <w:p w:rsidR="00BE1EFE" w:rsidRDefault="00BE1EFE" w:rsidP="00942CDA">
      <w:pPr>
        <w:pStyle w:val="Leerzeile"/>
      </w:pPr>
      <w:r>
        <w:br w:type="page"/>
      </w:r>
    </w:p>
    <w:tbl>
      <w:tblPr>
        <w:tblW w:w="6775" w:type="dxa"/>
        <w:tblInd w:w="55" w:type="dxa"/>
        <w:tblCellMar>
          <w:left w:w="0" w:type="dxa"/>
          <w:right w:w="0" w:type="dxa"/>
        </w:tblCellMar>
        <w:tblLook w:val="04A0" w:firstRow="1" w:lastRow="0" w:firstColumn="1" w:lastColumn="0" w:noHBand="0" w:noVBand="1"/>
      </w:tblPr>
      <w:tblGrid>
        <w:gridCol w:w="736"/>
        <w:gridCol w:w="3164"/>
        <w:gridCol w:w="2875"/>
      </w:tblGrid>
      <w:tr w:rsidR="00BE1EFE" w:rsidTr="00E87479">
        <w:trPr>
          <w:trHeight w:val="184"/>
        </w:trPr>
        <w:tc>
          <w:tcPr>
            <w:tcW w:w="736"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50" w:lineRule="atLeast"/>
              <w:jc w:val="center"/>
            </w:pPr>
            <w:r>
              <w:rPr>
                <w:rStyle w:val="Fett"/>
                <w:rFonts w:cs="Arial"/>
                <w:bCs/>
                <w:szCs w:val="16"/>
              </w:rPr>
              <w:lastRenderedPageBreak/>
              <w:t>Entgelt-gruppe</w:t>
            </w:r>
          </w:p>
        </w:tc>
        <w:tc>
          <w:tcPr>
            <w:tcW w:w="316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50" w:lineRule="atLeast"/>
              <w:jc w:val="center"/>
            </w:pPr>
            <w:r>
              <w:rPr>
                <w:rStyle w:val="Fett"/>
                <w:rFonts w:cs="Arial"/>
                <w:bCs/>
                <w:szCs w:val="16"/>
              </w:rPr>
              <w:t>Vergütungsgruppe</w:t>
            </w:r>
          </w:p>
        </w:tc>
        <w:tc>
          <w:tcPr>
            <w:tcW w:w="287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50" w:lineRule="atLeast"/>
              <w:jc w:val="center"/>
            </w:pPr>
            <w:r>
              <w:rPr>
                <w:rStyle w:val="Fett"/>
                <w:rFonts w:cs="Arial"/>
                <w:bCs/>
                <w:szCs w:val="16"/>
              </w:rPr>
              <w:t>Lohngruppe</w:t>
            </w:r>
          </w:p>
        </w:tc>
      </w:tr>
      <w:tr w:rsidR="00BE1EFE" w:rsidTr="00852190">
        <w:trPr>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150"/>
        </w:trPr>
        <w:tc>
          <w:tcPr>
            <w:tcW w:w="736"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50" w:lineRule="atLeast"/>
              <w:jc w:val="center"/>
            </w:pPr>
            <w:r>
              <w:rPr>
                <w:rStyle w:val="Fett"/>
                <w:rFonts w:cs="Arial"/>
                <w:bCs/>
                <w:szCs w:val="16"/>
              </w:rPr>
              <w:t>6</w:t>
            </w: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6a</w:t>
            </w:r>
          </w:p>
        </w:tc>
      </w:tr>
      <w:tr w:rsidR="00BE1EFE" w:rsidTr="00E87479">
        <w:trPr>
          <w:trHeight w:val="1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hideMark/>
          </w:tcPr>
          <w:p w:rsidR="00BE1EFE" w:rsidRPr="000B1AF8" w:rsidRDefault="00BE1EFE">
            <w:pPr>
              <w:pStyle w:val="StandardWeb"/>
              <w:spacing w:line="150" w:lineRule="atLeast"/>
            </w:pPr>
            <w:r>
              <w:rPr>
                <w:rFonts w:cs="Arial"/>
                <w:szCs w:val="16"/>
              </w:rPr>
              <w:t xml:space="preserve">VI b mit ausstehendem Aufstieg nach V c </w:t>
            </w:r>
          </w:p>
        </w:tc>
        <w:tc>
          <w:tcPr>
            <w:tcW w:w="2875" w:type="dxa"/>
            <w:tcBorders>
              <w:top w:val="nil"/>
              <w:left w:val="nil"/>
              <w:bottom w:val="nil"/>
              <w:right w:val="single" w:sz="8" w:space="0" w:color="auto"/>
            </w:tcBorders>
            <w:tcMar>
              <w:top w:w="0" w:type="dxa"/>
              <w:left w:w="70" w:type="dxa"/>
              <w:bottom w:w="0" w:type="dxa"/>
              <w:right w:w="70" w:type="dxa"/>
            </w:tcMar>
            <w:vAlign w:val="bottom"/>
            <w:hideMark/>
          </w:tcPr>
          <w:p w:rsidR="00BE1EFE" w:rsidRPr="000B1AF8" w:rsidRDefault="00BE1EFE">
            <w:pPr>
              <w:pStyle w:val="StandardWeb"/>
              <w:spacing w:line="150" w:lineRule="atLeast"/>
            </w:pPr>
            <w:r>
              <w:rPr>
                <w:rFonts w:cs="Arial"/>
                <w:szCs w:val="16"/>
              </w:rPr>
              <w:t>6 mit ausstehendem Aufstieg nach 6a</w:t>
            </w:r>
          </w:p>
        </w:tc>
      </w:tr>
      <w:tr w:rsidR="00BE1EFE" w:rsidTr="00E87479">
        <w:trPr>
          <w:trHeight w:val="1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VI b ohne Aufstieg nach V c</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 xml:space="preserve">6 nach Aufstieg aus 5 </w:t>
            </w:r>
          </w:p>
        </w:tc>
      </w:tr>
      <w:tr w:rsidR="00BE1EFE" w:rsidTr="00E87479">
        <w:trPr>
          <w:trHeight w:val="1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 xml:space="preserve">VI b nach Aufstieg aus VII </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r>
      <w:tr w:rsidR="00BE1EFE" w:rsidTr="00E87479">
        <w:trPr>
          <w:trHeight w:val="15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c>
          <w:tcPr>
            <w:tcW w:w="28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5 mit ausstehendem Aufstieg nach 6 und 6a</w:t>
            </w:r>
          </w:p>
        </w:tc>
      </w:tr>
      <w:tr w:rsidR="00BE1EFE" w:rsidTr="00E87479">
        <w:trPr>
          <w:trHeight w:val="150"/>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50" w:lineRule="atLeast"/>
              <w:jc w:val="center"/>
            </w:pPr>
            <w:r>
              <w:rPr>
                <w:rStyle w:val="Fett"/>
                <w:rFonts w:cs="Arial"/>
                <w:bCs/>
                <w:szCs w:val="16"/>
              </w:rPr>
              <w:t>5</w:t>
            </w: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5a</w:t>
            </w:r>
          </w:p>
        </w:tc>
      </w:tr>
      <w:tr w:rsidR="00BE1EFE" w:rsidTr="00E87479">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VII mit ausstehendem Aufstieg nach VI b</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r>
      <w:tr w:rsidR="00BE1EFE" w:rsidTr="00E87479">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VII ohne Aufstieg nach VI b</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5 mit ausstehendem Aufstieg nach 5a</w:t>
            </w:r>
          </w:p>
        </w:tc>
      </w:tr>
      <w:tr w:rsidR="00BE1EFE" w:rsidTr="00E87479">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 xml:space="preserve">VII nach Aufstieg aus VIII </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 xml:space="preserve">5 nach Aufstieg aus 4 </w:t>
            </w:r>
          </w:p>
        </w:tc>
      </w:tr>
      <w:tr w:rsidR="00BE1EFE" w:rsidTr="00E87479">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r>
      <w:tr w:rsidR="00BE1EFE" w:rsidTr="00E87479">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c>
          <w:tcPr>
            <w:tcW w:w="28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4 mit ausstehendem Aufstieg nach 5 und 5a</w:t>
            </w:r>
          </w:p>
        </w:tc>
      </w:tr>
      <w:tr w:rsidR="00BE1EFE" w:rsidTr="00E87479">
        <w:trPr>
          <w:trHeight w:val="150"/>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50" w:lineRule="atLeast"/>
              <w:jc w:val="center"/>
            </w:pPr>
            <w:r>
              <w:rPr>
                <w:rStyle w:val="Fett"/>
                <w:rFonts w:cs="Arial"/>
                <w:bCs/>
                <w:szCs w:val="16"/>
              </w:rPr>
              <w:t>4</w:t>
            </w:r>
          </w:p>
        </w:tc>
        <w:tc>
          <w:tcPr>
            <w:tcW w:w="316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Keine</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4a</w:t>
            </w:r>
          </w:p>
        </w:tc>
      </w:tr>
      <w:tr w:rsidR="00BE1EFE" w:rsidTr="00852190">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r>
      <w:tr w:rsidR="00BE1EFE" w:rsidTr="00852190">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4 mit ausstehendem Aufstieg nach 4a</w:t>
            </w:r>
          </w:p>
        </w:tc>
      </w:tr>
      <w:tr w:rsidR="00BE1EFE" w:rsidTr="00852190">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 xml:space="preserve">4 nach Aufstieg aus 3 </w:t>
            </w:r>
          </w:p>
        </w:tc>
      </w:tr>
      <w:tr w:rsidR="00BE1EFE" w:rsidTr="00852190">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50" w:lineRule="atLeast"/>
              <w:rPr>
                <w:sz w:val="24"/>
              </w:rPr>
            </w:pPr>
            <w:r>
              <w:t> </w:t>
            </w:r>
          </w:p>
        </w:tc>
      </w:tr>
      <w:tr w:rsidR="00BE1EFE" w:rsidTr="00852190">
        <w:trPr>
          <w:trHeight w:val="15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8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50" w:lineRule="atLeast"/>
            </w:pPr>
            <w:r>
              <w:rPr>
                <w:rFonts w:cs="Arial"/>
                <w:szCs w:val="16"/>
              </w:rPr>
              <w:t>3 mit ausstehendem Aufstieg nach 4 und 4a</w:t>
            </w:r>
          </w:p>
        </w:tc>
      </w:tr>
    </w:tbl>
    <w:p w:rsidR="00BE1EFE" w:rsidRDefault="00BE1EFE" w:rsidP="00942CDA">
      <w:pPr>
        <w:pStyle w:val="Leerzeile"/>
      </w:pPr>
      <w:r>
        <w:br w:type="page"/>
      </w:r>
    </w:p>
    <w:tbl>
      <w:tblPr>
        <w:tblW w:w="6775" w:type="dxa"/>
        <w:tblInd w:w="55" w:type="dxa"/>
        <w:tblCellMar>
          <w:left w:w="0" w:type="dxa"/>
          <w:right w:w="0" w:type="dxa"/>
        </w:tblCellMar>
        <w:tblLook w:val="04A0" w:firstRow="1" w:lastRow="0" w:firstColumn="1" w:lastColumn="0" w:noHBand="0" w:noVBand="1"/>
      </w:tblPr>
      <w:tblGrid>
        <w:gridCol w:w="736"/>
        <w:gridCol w:w="3164"/>
        <w:gridCol w:w="2875"/>
      </w:tblGrid>
      <w:tr w:rsidR="00BE1EFE" w:rsidTr="00E87479">
        <w:trPr>
          <w:trHeight w:val="225"/>
        </w:trPr>
        <w:tc>
          <w:tcPr>
            <w:tcW w:w="736"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lastRenderedPageBreak/>
              <w:t>Entgelt-gruppe</w:t>
            </w:r>
          </w:p>
        </w:tc>
        <w:tc>
          <w:tcPr>
            <w:tcW w:w="316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Vergütungsgruppe</w:t>
            </w:r>
          </w:p>
        </w:tc>
        <w:tc>
          <w:tcPr>
            <w:tcW w:w="287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225" w:lineRule="atLeast"/>
              <w:jc w:val="center"/>
            </w:pPr>
            <w:r>
              <w:rPr>
                <w:rStyle w:val="Fett"/>
                <w:rFonts w:cs="Arial"/>
                <w:bCs/>
                <w:szCs w:val="16"/>
              </w:rPr>
              <w:t>Lohngruppe</w:t>
            </w:r>
          </w:p>
        </w:tc>
      </w:tr>
      <w:tr w:rsidR="00BE1EFE" w:rsidTr="00852190">
        <w:trPr>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single" w:sz="8" w:space="0" w:color="auto"/>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184"/>
        </w:trPr>
        <w:tc>
          <w:tcPr>
            <w:tcW w:w="736"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80" w:lineRule="atLeast"/>
              <w:jc w:val="center"/>
            </w:pPr>
            <w:r>
              <w:rPr>
                <w:rStyle w:val="Fett"/>
                <w:rFonts w:cs="Arial"/>
                <w:bCs/>
                <w:szCs w:val="16"/>
              </w:rPr>
              <w:t>3</w:t>
            </w:r>
          </w:p>
        </w:tc>
        <w:tc>
          <w:tcPr>
            <w:tcW w:w="316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Keine Stufe 6</w:t>
            </w:r>
          </w:p>
          <w:p w:rsidR="00BE1EFE" w:rsidRPr="000B1AF8" w:rsidRDefault="00BE1EFE">
            <w:pPr>
              <w:pStyle w:val="StandardWeb"/>
            </w:pPr>
          </w:p>
          <w:p w:rsidR="00BE1EFE" w:rsidRDefault="00BE1EFE">
            <w:pPr>
              <w:pStyle w:val="StandardWeb"/>
            </w:pPr>
            <w:r>
              <w:rPr>
                <w:rFonts w:cs="Arial"/>
                <w:szCs w:val="16"/>
              </w:rPr>
              <w:t xml:space="preserve">VIII mit ausstehendem Aufstieg nach VII VIII ohne Aufstieg nach VII </w:t>
            </w:r>
          </w:p>
          <w:p w:rsidR="00BE1EFE" w:rsidRDefault="00BE1EFE">
            <w:pPr>
              <w:pStyle w:val="StandardWeb"/>
            </w:pPr>
          </w:p>
          <w:p w:rsidR="00BE1EFE" w:rsidRPr="000B1AF8" w:rsidRDefault="00BE1EFE">
            <w:pPr>
              <w:pStyle w:val="StandardWeb"/>
              <w:spacing w:line="180" w:lineRule="atLeast"/>
            </w:pPr>
            <w:r>
              <w:rPr>
                <w:rFonts w:cs="Arial"/>
                <w:szCs w:val="16"/>
              </w:rPr>
              <w:t>VIII nach Aufstieg aus IX b</w:t>
            </w:r>
          </w:p>
        </w:tc>
        <w:tc>
          <w:tcPr>
            <w:tcW w:w="287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pPr>
            <w:r>
              <w:rPr>
                <w:rFonts w:cs="Arial"/>
                <w:szCs w:val="16"/>
              </w:rPr>
              <w:t xml:space="preserve">3a </w:t>
            </w:r>
          </w:p>
          <w:p w:rsidR="00BE1EFE" w:rsidRPr="000B1AF8" w:rsidRDefault="00BE1EFE">
            <w:pPr>
              <w:pStyle w:val="StandardWeb"/>
            </w:pPr>
          </w:p>
          <w:p w:rsidR="00BE1EFE" w:rsidRDefault="00BE1EFE">
            <w:pPr>
              <w:pStyle w:val="StandardWeb"/>
            </w:pPr>
            <w:r>
              <w:rPr>
                <w:rFonts w:cs="Arial"/>
                <w:szCs w:val="16"/>
              </w:rPr>
              <w:t>3 mit ausstehendem Aufstieg nach 3a</w:t>
            </w:r>
          </w:p>
          <w:p w:rsidR="00BE1EFE" w:rsidRDefault="00BE1EFE">
            <w:pPr>
              <w:pStyle w:val="StandardWeb"/>
            </w:pPr>
          </w:p>
          <w:p w:rsidR="00BE1EFE" w:rsidRDefault="00BE1EFE">
            <w:pPr>
              <w:pStyle w:val="StandardWeb"/>
            </w:pPr>
            <w:r>
              <w:rPr>
                <w:rFonts w:cs="Arial"/>
                <w:szCs w:val="16"/>
              </w:rPr>
              <w:t>3 nach Aufstieg aus 2 und 2a mit aus</w:t>
            </w:r>
            <w:r>
              <w:rPr>
                <w:rFonts w:cs="Arial"/>
                <w:szCs w:val="16"/>
              </w:rPr>
              <w:softHyphen/>
              <w:t>stehendem Aufstieg nach 3a</w:t>
            </w:r>
          </w:p>
          <w:p w:rsidR="00BE1EFE" w:rsidRDefault="00BE1EFE">
            <w:pPr>
              <w:pStyle w:val="StandardWeb"/>
            </w:pPr>
          </w:p>
          <w:p w:rsidR="00BE1EFE" w:rsidRDefault="00BE1EFE">
            <w:pPr>
              <w:pStyle w:val="StandardWeb"/>
            </w:pPr>
            <w:r>
              <w:rPr>
                <w:rFonts w:cs="Arial"/>
                <w:szCs w:val="16"/>
              </w:rPr>
              <w:t>3 nach Aufstieg aus 2a mit aus</w:t>
            </w:r>
            <w:r>
              <w:rPr>
                <w:rFonts w:cs="Arial"/>
                <w:szCs w:val="16"/>
              </w:rPr>
              <w:softHyphen/>
              <w:t>stehendem Aufstieg nach 3a</w:t>
            </w:r>
          </w:p>
          <w:p w:rsidR="00BE1EFE" w:rsidRDefault="00BE1EFE">
            <w:pPr>
              <w:pStyle w:val="StandardWeb"/>
            </w:pPr>
          </w:p>
          <w:p w:rsidR="00BE1EFE" w:rsidRDefault="00BE1EFE">
            <w:pPr>
              <w:pStyle w:val="StandardWeb"/>
            </w:pPr>
            <w:r>
              <w:rPr>
                <w:rFonts w:cs="Arial"/>
                <w:szCs w:val="16"/>
              </w:rPr>
              <w:t>3 nach Aufstieg aus 2 und 2a (keine Stufe 6)</w:t>
            </w:r>
          </w:p>
          <w:p w:rsidR="00BE1EFE" w:rsidRDefault="00BE1EFE">
            <w:pPr>
              <w:pStyle w:val="StandardWeb"/>
            </w:pPr>
          </w:p>
          <w:p w:rsidR="00BE1EFE" w:rsidRDefault="00BE1EFE">
            <w:pPr>
              <w:pStyle w:val="StandardWeb"/>
            </w:pPr>
            <w:r>
              <w:rPr>
                <w:rFonts w:cs="Arial"/>
                <w:szCs w:val="16"/>
              </w:rPr>
              <w:t>2a nach Aufstieg aus 2 mit aus</w:t>
            </w:r>
            <w:r>
              <w:rPr>
                <w:rFonts w:cs="Arial"/>
                <w:szCs w:val="16"/>
              </w:rPr>
              <w:softHyphen/>
              <w:t>stehendem Aufstieg nach 3 und 3a</w:t>
            </w:r>
          </w:p>
          <w:p w:rsidR="00BE1EFE" w:rsidRDefault="00BE1EFE">
            <w:pPr>
              <w:pStyle w:val="StandardWeb"/>
            </w:pPr>
          </w:p>
          <w:p w:rsidR="00BE1EFE" w:rsidRDefault="00BE1EFE">
            <w:pPr>
              <w:pStyle w:val="StandardWeb"/>
            </w:pPr>
            <w:r>
              <w:rPr>
                <w:rFonts w:cs="Arial"/>
                <w:szCs w:val="16"/>
              </w:rPr>
              <w:t xml:space="preserve">2a mit ausstehendem Aufstieg nach 3 und 3a </w:t>
            </w:r>
          </w:p>
          <w:p w:rsidR="00BE1EFE" w:rsidRDefault="00BE1EFE">
            <w:pPr>
              <w:pStyle w:val="StandardWeb"/>
            </w:pPr>
          </w:p>
          <w:p w:rsidR="00BE1EFE" w:rsidRDefault="00BE1EFE">
            <w:pPr>
              <w:pStyle w:val="StandardWeb"/>
              <w:rPr>
                <w:rFonts w:cs="Arial"/>
                <w:szCs w:val="16"/>
              </w:rPr>
            </w:pPr>
            <w:r>
              <w:rPr>
                <w:rFonts w:cs="Arial"/>
                <w:szCs w:val="16"/>
              </w:rPr>
              <w:t>2a nach Aufstieg aus 2</w:t>
            </w:r>
          </w:p>
          <w:p w:rsidR="00BE1EFE" w:rsidRDefault="00BE1EFE">
            <w:pPr>
              <w:pStyle w:val="StandardWeb"/>
            </w:pPr>
            <w:r>
              <w:rPr>
                <w:rFonts w:cs="Arial"/>
                <w:szCs w:val="16"/>
              </w:rPr>
              <w:t>(keine Stufe 6)</w:t>
            </w:r>
          </w:p>
          <w:p w:rsidR="00BE1EFE" w:rsidRDefault="00BE1EFE">
            <w:pPr>
              <w:pStyle w:val="StandardWeb"/>
            </w:pPr>
          </w:p>
          <w:p w:rsidR="00BE1EFE" w:rsidRDefault="00BE1EFE">
            <w:pPr>
              <w:pStyle w:val="StandardWeb"/>
            </w:pPr>
            <w:r>
              <w:rPr>
                <w:rFonts w:cs="Arial"/>
                <w:szCs w:val="16"/>
              </w:rPr>
              <w:t>2 mit ausstehendem Aufstieg nach 2a, 3 und 3a</w:t>
            </w:r>
          </w:p>
          <w:p w:rsidR="00BE1EFE" w:rsidRDefault="00BE1EFE">
            <w:pPr>
              <w:pStyle w:val="StandardWeb"/>
            </w:pPr>
          </w:p>
          <w:p w:rsidR="00BE1EFE" w:rsidRPr="000B1AF8" w:rsidRDefault="00BE1EFE">
            <w:pPr>
              <w:pStyle w:val="StandardWeb"/>
              <w:spacing w:line="180" w:lineRule="atLeast"/>
            </w:pPr>
            <w:r>
              <w:rPr>
                <w:rFonts w:cs="Arial"/>
                <w:szCs w:val="16"/>
              </w:rPr>
              <w:t>2 mit ausstehendem Aufstieg nach 2a und 3 (keine Stufe 6)</w:t>
            </w: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r>
      <w:tr w:rsidR="00BE1EFE" w:rsidTr="00E87479">
        <w:trPr>
          <w:trHeight w:val="180"/>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80" w:lineRule="atLeast"/>
              <w:jc w:val="center"/>
            </w:pPr>
            <w:r>
              <w:rPr>
                <w:rStyle w:val="Fett"/>
                <w:rFonts w:cs="Arial"/>
                <w:bCs/>
                <w:szCs w:val="16"/>
              </w:rPr>
              <w:t>2 Ü</w:t>
            </w:r>
          </w:p>
        </w:tc>
        <w:tc>
          <w:tcPr>
            <w:tcW w:w="316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Keine</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2a</w:t>
            </w:r>
          </w:p>
        </w:tc>
      </w:tr>
      <w:tr w:rsidR="00BE1EFE" w:rsidTr="00E87479">
        <w:trPr>
          <w:trHeight w:val="18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2 mit ausstehendem Aufstieg nach 2a</w:t>
            </w:r>
          </w:p>
        </w:tc>
      </w:tr>
      <w:tr w:rsidR="00BE1EFE" w:rsidTr="00E87479">
        <w:trPr>
          <w:trHeight w:val="18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 xml:space="preserve">2 nach Aufstieg aus 1 </w:t>
            </w:r>
          </w:p>
        </w:tc>
      </w:tr>
      <w:tr w:rsidR="00BE1EFE" w:rsidTr="00E87479">
        <w:trPr>
          <w:trHeight w:val="18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0" w:type="auto"/>
            <w:vMerge/>
            <w:tcBorders>
              <w:top w:val="nil"/>
              <w:left w:val="nil"/>
              <w:bottom w:val="single" w:sz="8" w:space="0" w:color="auto"/>
              <w:right w:val="single" w:sz="8" w:space="0" w:color="auto"/>
            </w:tcBorders>
            <w:vAlign w:val="center"/>
            <w:hideMark/>
          </w:tcPr>
          <w:p w:rsidR="00BE1EFE" w:rsidRPr="000B1AF8" w:rsidRDefault="00BE1EFE">
            <w:pPr>
              <w:rPr>
                <w:sz w:val="24"/>
              </w:rPr>
            </w:pPr>
          </w:p>
        </w:tc>
        <w:tc>
          <w:tcPr>
            <w:tcW w:w="28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1 mit ausstehendem Aufstieg nach 2 und 2a</w:t>
            </w:r>
          </w:p>
        </w:tc>
      </w:tr>
      <w:tr w:rsidR="00BE1EFE" w:rsidTr="00E87479">
        <w:trPr>
          <w:trHeight w:val="180"/>
        </w:trPr>
        <w:tc>
          <w:tcPr>
            <w:tcW w:w="73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80" w:lineRule="atLeast"/>
              <w:jc w:val="center"/>
            </w:pPr>
            <w:r>
              <w:rPr>
                <w:rStyle w:val="Fett"/>
                <w:rFonts w:cs="Arial"/>
                <w:bCs/>
                <w:szCs w:val="16"/>
              </w:rPr>
              <w:t>2</w:t>
            </w: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IX a</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1a (keine Stufe 6)</w:t>
            </w:r>
          </w:p>
        </w:tc>
      </w:tr>
      <w:tr w:rsidR="00BE1EFE" w:rsidTr="00E87479">
        <w:trPr>
          <w:trHeight w:val="18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hideMark/>
          </w:tcPr>
          <w:p w:rsidR="00BE1EFE" w:rsidRPr="000B1AF8" w:rsidRDefault="00BE1EFE">
            <w:pPr>
              <w:pStyle w:val="StandardWeb"/>
              <w:spacing w:line="180" w:lineRule="atLeast"/>
            </w:pPr>
            <w:r>
              <w:rPr>
                <w:rFonts w:cs="Arial"/>
                <w:szCs w:val="16"/>
              </w:rPr>
              <w:t xml:space="preserve">IX b mit ausstehendem Aufstieg nach VIII </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 xml:space="preserve">1 mit ausstehendem Aufstieg nach 1a </w:t>
            </w:r>
          </w:p>
        </w:tc>
      </w:tr>
      <w:tr w:rsidR="00BE1EFE" w:rsidTr="00E87479">
        <w:trPr>
          <w:trHeight w:val="18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 xml:space="preserve">IX b mit ausstehendem Aufstieg nach IX a </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(keine Stufe 6)</w:t>
            </w:r>
          </w:p>
        </w:tc>
      </w:tr>
      <w:tr w:rsidR="00BE1EFE" w:rsidTr="00E87479">
        <w:trPr>
          <w:trHeight w:val="18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IX b nach Aufstieg aus X (keine Stufe 6)</w:t>
            </w:r>
          </w:p>
        </w:tc>
        <w:tc>
          <w:tcPr>
            <w:tcW w:w="2875"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spacing w:line="180" w:lineRule="atLeast"/>
              <w:rPr>
                <w:sz w:val="24"/>
              </w:rPr>
            </w:pPr>
            <w:r>
              <w:t> </w:t>
            </w:r>
          </w:p>
        </w:tc>
      </w:tr>
      <w:tr w:rsidR="00BE1EFE" w:rsidTr="00E87479">
        <w:trPr>
          <w:trHeight w:val="180"/>
        </w:trPr>
        <w:tc>
          <w:tcPr>
            <w:tcW w:w="0" w:type="auto"/>
            <w:vMerge/>
            <w:tcBorders>
              <w:top w:val="nil"/>
              <w:left w:val="single" w:sz="8" w:space="0" w:color="auto"/>
              <w:bottom w:val="single" w:sz="8" w:space="0" w:color="auto"/>
              <w:right w:val="single" w:sz="8" w:space="0" w:color="auto"/>
            </w:tcBorders>
            <w:vAlign w:val="center"/>
            <w:hideMark/>
          </w:tcPr>
          <w:p w:rsidR="00BE1EFE" w:rsidRPr="000B1AF8" w:rsidRDefault="00BE1EFE" w:rsidP="00E87479">
            <w:pPr>
              <w:jc w:val="center"/>
              <w:rPr>
                <w:sz w:val="24"/>
              </w:rPr>
            </w:pPr>
          </w:p>
        </w:tc>
        <w:tc>
          <w:tcPr>
            <w:tcW w:w="31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X (keine Stufe 6)</w:t>
            </w:r>
          </w:p>
        </w:tc>
        <w:tc>
          <w:tcPr>
            <w:tcW w:w="28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spacing w:line="180" w:lineRule="atLeast"/>
              <w:rPr>
                <w:sz w:val="24"/>
              </w:rPr>
            </w:pPr>
            <w:r>
              <w:t> </w:t>
            </w:r>
          </w:p>
        </w:tc>
      </w:tr>
      <w:tr w:rsidR="00BE1EFE" w:rsidTr="00E87479">
        <w:trPr>
          <w:trHeight w:val="180"/>
        </w:trPr>
        <w:tc>
          <w:tcPr>
            <w:tcW w:w="73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E87479">
            <w:pPr>
              <w:pStyle w:val="StandardWeb"/>
              <w:autoSpaceDE w:val="0"/>
              <w:spacing w:line="180" w:lineRule="atLeast"/>
              <w:jc w:val="center"/>
            </w:pPr>
            <w:r>
              <w:rPr>
                <w:rStyle w:val="Fett"/>
                <w:rFonts w:cs="Arial"/>
                <w:bCs/>
                <w:szCs w:val="16"/>
              </w:rPr>
              <w:t>1</w:t>
            </w:r>
          </w:p>
        </w:tc>
        <w:tc>
          <w:tcPr>
            <w:tcW w:w="316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Keine</w:t>
            </w:r>
          </w:p>
        </w:tc>
        <w:tc>
          <w:tcPr>
            <w:tcW w:w="28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spacing w:line="180" w:lineRule="atLeast"/>
            </w:pPr>
            <w:r>
              <w:rPr>
                <w:rFonts w:cs="Arial"/>
                <w:szCs w:val="16"/>
              </w:rPr>
              <w:t>Keine</w:t>
            </w:r>
          </w:p>
        </w:tc>
      </w:tr>
    </w:tbl>
    <w:p w:rsidR="00BE1EFE" w:rsidRDefault="00BE1EFE" w:rsidP="0035266A"/>
    <w:p w:rsidR="00BE1EFE" w:rsidRDefault="00BE1EFE" w:rsidP="00942CDA">
      <w:pPr>
        <w:pStyle w:val="Leerzeile"/>
      </w:pPr>
      <w:r>
        <w:br w:type="page"/>
      </w:r>
    </w:p>
    <w:p w:rsidR="00BE1EFE" w:rsidRDefault="00BE1EFE" w:rsidP="004416C4">
      <w:pPr>
        <w:pStyle w:val="berschrift6"/>
      </w:pPr>
      <w:bookmarkStart w:id="688" w:name="_Toc523926221"/>
      <w:r>
        <w:lastRenderedPageBreak/>
        <w:t>Anlage 2 A: Zuordnung der Vergütungs- und Lohngruppen zu den Entgeltgruppen für am 30. September/1. Oktober 2005 vorhandene Beschäftigte für die Überleitung (pädagogisches Personal in Kindertageseinrichtungen)</w:t>
      </w:r>
      <w:bookmarkEnd w:id="688"/>
    </w:p>
    <w:p w:rsidR="00BE1EFE" w:rsidRPr="00B76821" w:rsidRDefault="00BE1EFE" w:rsidP="00B76821">
      <w:pPr>
        <w:pStyle w:val="h7"/>
        <w:keepNext w:val="0"/>
        <w:spacing w:before="0" w:after="0"/>
        <w:jc w:val="left"/>
        <w:outlineLvl w:val="5"/>
        <w:rPr>
          <w:rStyle w:val="Hervorhebung"/>
          <w:iCs/>
          <w:sz w:val="2"/>
        </w:rPr>
      </w:pPr>
    </w:p>
    <w:p w:rsidR="00BE1EFE" w:rsidRPr="000B1AF8" w:rsidRDefault="00BE1EFE" w:rsidP="0054275E">
      <w:pPr>
        <w:pStyle w:val="StandardWeb"/>
        <w:autoSpaceDE w:val="0"/>
      </w:pPr>
      <w:r>
        <w:rPr>
          <w:rStyle w:val="Hervorhebung"/>
          <w:iCs/>
        </w:rPr>
        <w:t>(aufgehoben)</w:t>
      </w:r>
    </w:p>
    <w:p w:rsidR="00BE1EFE" w:rsidRPr="000B1AF8" w:rsidRDefault="00BE1EFE" w:rsidP="00942CDA">
      <w:pPr>
        <w:pStyle w:val="Leerzeile"/>
      </w:pPr>
      <w:r>
        <w:br w:type="page"/>
      </w:r>
    </w:p>
    <w:p w:rsidR="00BE1EFE" w:rsidRDefault="00BE1EFE" w:rsidP="004416C4">
      <w:pPr>
        <w:pStyle w:val="berschrift6"/>
      </w:pPr>
      <w:bookmarkStart w:id="689" w:name="_Toc523926222"/>
      <w:r>
        <w:lastRenderedPageBreak/>
        <w:t>Anlage 2 K: Zuordnung der Vergütungs- und Lohngruppen zu den Entgelt</w:t>
      </w:r>
      <w:r>
        <w:rPr>
          <w:lang w:eastAsia="x-none"/>
        </w:rPr>
        <w:softHyphen/>
      </w:r>
      <w:r>
        <w:t>gruppen für am 30. September/1. Oktober 2005 vorhandene Beschäftigte für die Überleitung (kirchenspezifische Berufe)</w:t>
      </w:r>
      <w:bookmarkEnd w:id="689"/>
    </w:p>
    <w:p w:rsidR="00BE1EFE" w:rsidRPr="00B76821" w:rsidRDefault="00BE1EFE" w:rsidP="00B76821">
      <w:pPr>
        <w:pStyle w:val="h7"/>
        <w:keepNext w:val="0"/>
        <w:spacing w:before="0" w:after="0"/>
        <w:jc w:val="left"/>
        <w:outlineLvl w:val="5"/>
        <w:rPr>
          <w:sz w:val="2"/>
        </w:rPr>
      </w:pPr>
    </w:p>
    <w:p w:rsidR="00BE1EFE" w:rsidRDefault="00BE1EFE">
      <w:pPr>
        <w:pStyle w:val="StandardWeb"/>
        <w:jc w:val="center"/>
      </w:pPr>
    </w:p>
    <w:tbl>
      <w:tblPr>
        <w:tblW w:w="6539" w:type="dxa"/>
        <w:tblCellMar>
          <w:left w:w="0" w:type="dxa"/>
          <w:right w:w="0" w:type="dxa"/>
        </w:tblCellMar>
        <w:tblLook w:val="04A0" w:firstRow="1" w:lastRow="0" w:firstColumn="1" w:lastColumn="0" w:noHBand="0" w:noVBand="1"/>
      </w:tblPr>
      <w:tblGrid>
        <w:gridCol w:w="2977"/>
        <w:gridCol w:w="2662"/>
        <w:gridCol w:w="900"/>
      </w:tblGrid>
      <w:tr w:rsidR="00BE1EFE" w:rsidRPr="004D505F" w:rsidTr="00E87479">
        <w:trPr>
          <w:trHeight w:val="255"/>
        </w:trPr>
        <w:tc>
          <w:tcPr>
            <w:tcW w:w="2977"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Berufsgruppe</w:t>
            </w:r>
          </w:p>
        </w:tc>
        <w:tc>
          <w:tcPr>
            <w:tcW w:w="266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Vergütungsgruppen</w:t>
            </w:r>
          </w:p>
        </w:tc>
        <w:tc>
          <w:tcPr>
            <w:tcW w:w="90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Entgelt-gruppe</w:t>
            </w:r>
          </w:p>
        </w:tc>
      </w:tr>
      <w:tr w:rsidR="00BE1EFE" w:rsidRPr="004D505F" w:rsidTr="00180FD5">
        <w:trPr>
          <w:trHeight w:val="270"/>
        </w:trPr>
        <w:tc>
          <w:tcPr>
            <w:tcW w:w="0" w:type="auto"/>
            <w:vMerge/>
            <w:tcBorders>
              <w:top w:val="single" w:sz="8" w:space="0" w:color="auto"/>
              <w:left w:val="single" w:sz="8" w:space="0" w:color="auto"/>
              <w:bottom w:val="nil"/>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r>
      <w:tr w:rsidR="00BE1EFE" w:rsidRPr="004D505F" w:rsidTr="00180FD5">
        <w:trPr>
          <w:trHeight w:val="270"/>
        </w:trPr>
        <w:tc>
          <w:tcPr>
            <w:tcW w:w="2977" w:type="dxa"/>
            <w:tcBorders>
              <w:top w:val="single" w:sz="8" w:space="0" w:color="auto"/>
              <w:left w:val="single" w:sz="8" w:space="0" w:color="auto"/>
              <w:bottom w:val="single" w:sz="8" w:space="0" w:color="auto"/>
              <w:right w:val="nil"/>
            </w:tcBorders>
            <w:tcMar>
              <w:top w:w="0" w:type="dxa"/>
              <w:left w:w="70" w:type="dxa"/>
              <w:bottom w:w="0" w:type="dxa"/>
              <w:right w:w="70" w:type="dxa"/>
            </w:tcMar>
            <w:hideMark/>
          </w:tcPr>
          <w:p w:rsidR="00BE1EFE" w:rsidRPr="004D505F" w:rsidRDefault="00BE1EFE">
            <w:pPr>
              <w:rPr>
                <w:szCs w:val="16"/>
              </w:rPr>
            </w:pPr>
            <w:r w:rsidRPr="004D505F">
              <w:rPr>
                <w:szCs w:val="16"/>
              </w:rPr>
              <w:t> </w:t>
            </w:r>
          </w:p>
        </w:tc>
        <w:tc>
          <w:tcPr>
            <w:tcW w:w="266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pPr>
              <w:rPr>
                <w:szCs w:val="16"/>
              </w:rPr>
            </w:pPr>
            <w:r w:rsidRPr="004D505F">
              <w:rPr>
                <w:szCs w:val="16"/>
              </w:rPr>
              <w:t> </w:t>
            </w:r>
          </w:p>
        </w:tc>
        <w:tc>
          <w:tcPr>
            <w:tcW w:w="900" w:type="dxa"/>
            <w:tcBorders>
              <w:top w:val="nil"/>
              <w:left w:val="nil"/>
              <w:bottom w:val="single" w:sz="8" w:space="0" w:color="auto"/>
              <w:right w:val="single" w:sz="8" w:space="0" w:color="auto"/>
            </w:tcBorders>
            <w:tcMar>
              <w:top w:w="0" w:type="dxa"/>
              <w:left w:w="70" w:type="dxa"/>
              <w:bottom w:w="0" w:type="dxa"/>
              <w:right w:w="70" w:type="dxa"/>
            </w:tcMar>
            <w:hideMark/>
          </w:tcPr>
          <w:p w:rsidR="00BE1EFE" w:rsidRPr="004D505F" w:rsidRDefault="00BE1EFE">
            <w:pPr>
              <w:rPr>
                <w:szCs w:val="16"/>
              </w:rPr>
            </w:pPr>
            <w:r w:rsidRPr="004D505F">
              <w:rPr>
                <w:szCs w:val="16"/>
              </w:rPr>
              <w:t> </w:t>
            </w:r>
          </w:p>
        </w:tc>
      </w:tr>
      <w:tr w:rsidR="00BE1EFE" w:rsidRPr="004D505F" w:rsidTr="00C63A29">
        <w:trPr>
          <w:trHeight w:val="525"/>
        </w:trPr>
        <w:tc>
          <w:tcPr>
            <w:tcW w:w="297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Mesner</w:t>
            </w:r>
          </w:p>
        </w:tc>
        <w:tc>
          <w:tcPr>
            <w:tcW w:w="26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VIII mit ausstehendem Auf</w:t>
            </w:r>
            <w:r w:rsidRPr="004D505F">
              <w:rPr>
                <w:rFonts w:cs="Arial"/>
                <w:szCs w:val="16"/>
              </w:rPr>
              <w:t>stieg nach VII</w:t>
            </w:r>
          </w:p>
        </w:tc>
        <w:tc>
          <w:tcPr>
            <w:tcW w:w="9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3</w:t>
            </w:r>
          </w:p>
        </w:tc>
      </w:tr>
      <w:tr w:rsidR="00BE1EFE" w:rsidRPr="004D505F" w:rsidTr="00C63A29">
        <w:trPr>
          <w:trHeight w:val="525"/>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VII mit ausstehendem Auf</w:t>
            </w:r>
            <w:r w:rsidRPr="004D505F">
              <w:rPr>
                <w:rFonts w:cs="Arial"/>
                <w:szCs w:val="16"/>
              </w:rPr>
              <w:t>stieg nach VI b</w:t>
            </w:r>
          </w:p>
        </w:tc>
        <w:tc>
          <w:tcPr>
            <w:tcW w:w="9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5</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VI b nach Aufstieg aus VII</w:t>
            </w:r>
          </w:p>
        </w:tc>
        <w:tc>
          <w:tcPr>
            <w:tcW w:w="9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6</w:t>
            </w:r>
          </w:p>
        </w:tc>
      </w:tr>
      <w:tr w:rsidR="00BE1EFE" w:rsidRPr="004D505F" w:rsidTr="00C63A29">
        <w:trPr>
          <w:trHeight w:val="270"/>
        </w:trPr>
        <w:tc>
          <w:tcPr>
            <w:tcW w:w="2977"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pPr>
              <w:rPr>
                <w:szCs w:val="16"/>
              </w:rPr>
            </w:pPr>
            <w:r w:rsidRPr="004D505F">
              <w:rPr>
                <w:szCs w:val="16"/>
              </w:rPr>
              <w:t> </w:t>
            </w:r>
          </w:p>
        </w:tc>
        <w:tc>
          <w:tcPr>
            <w:tcW w:w="26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rPr>
                <w:szCs w:val="16"/>
              </w:rPr>
            </w:pPr>
          </w:p>
        </w:tc>
        <w:tc>
          <w:tcPr>
            <w:tcW w:w="9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jc w:val="center"/>
              <w:rPr>
                <w:szCs w:val="16"/>
              </w:rPr>
            </w:pPr>
          </w:p>
        </w:tc>
      </w:tr>
      <w:tr w:rsidR="00BE1EFE" w:rsidRPr="004D505F" w:rsidTr="00C63A29">
        <w:trPr>
          <w:trHeight w:val="255"/>
        </w:trPr>
        <w:tc>
          <w:tcPr>
            <w:tcW w:w="297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Beschäftigte im Pfarrbüro</w:t>
            </w:r>
          </w:p>
        </w:tc>
        <w:tc>
          <w:tcPr>
            <w:tcW w:w="266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IX b mit ausstehendem Auf</w:t>
            </w:r>
            <w:r w:rsidRPr="004D505F">
              <w:rPr>
                <w:rFonts w:cs="Arial"/>
                <w:szCs w:val="16"/>
              </w:rPr>
              <w:t>stieg nach VIII</w:t>
            </w:r>
          </w:p>
        </w:tc>
        <w:tc>
          <w:tcPr>
            <w:tcW w:w="90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2</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rPr>
                <w:szCs w:val="16"/>
              </w:rPr>
            </w:pP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270"/>
        </w:trPr>
        <w:tc>
          <w:tcPr>
            <w:tcW w:w="2977" w:type="dxa"/>
            <w:tcBorders>
              <w:top w:val="nil"/>
              <w:left w:val="single" w:sz="8" w:space="0" w:color="auto"/>
              <w:bottom w:val="nil"/>
              <w:right w:val="single" w:sz="8" w:space="0" w:color="auto"/>
            </w:tcBorders>
            <w:tcMar>
              <w:top w:w="0" w:type="dxa"/>
              <w:left w:w="70" w:type="dxa"/>
              <w:bottom w:w="0" w:type="dxa"/>
              <w:right w:w="70" w:type="dxa"/>
            </w:tcMar>
            <w:hideMark/>
          </w:tcPr>
          <w:p w:rsidR="00BE1EFE" w:rsidRPr="004D505F" w:rsidRDefault="00BE1EFE">
            <w:pPr>
              <w:rPr>
                <w:szCs w:val="16"/>
              </w:rPr>
            </w:pPr>
            <w:r w:rsidRPr="004D505F">
              <w:rPr>
                <w:szCs w:val="16"/>
              </w:rPr>
              <w:t> </w:t>
            </w:r>
          </w:p>
        </w:tc>
        <w:tc>
          <w:tcPr>
            <w:tcW w:w="2662"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rPr>
                <w:szCs w:val="16"/>
              </w:rPr>
            </w:pPr>
          </w:p>
        </w:tc>
        <w:tc>
          <w:tcPr>
            <w:tcW w:w="900"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jc w:val="center"/>
              <w:rPr>
                <w:szCs w:val="16"/>
              </w:rPr>
            </w:pPr>
          </w:p>
        </w:tc>
      </w:tr>
      <w:tr w:rsidR="00BE1EFE" w:rsidRPr="004D505F" w:rsidTr="00C63A29">
        <w:trPr>
          <w:trHeight w:val="255"/>
        </w:trPr>
        <w:tc>
          <w:tcPr>
            <w:tcW w:w="2977"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Pfarrsekretärin</w:t>
            </w:r>
          </w:p>
        </w:tc>
        <w:tc>
          <w:tcPr>
            <w:tcW w:w="2662"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keine Stufe 6</w:t>
            </w:r>
          </w:p>
        </w:tc>
        <w:tc>
          <w:tcPr>
            <w:tcW w:w="90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3</w:t>
            </w:r>
          </w:p>
        </w:tc>
      </w:tr>
      <w:tr w:rsidR="00BE1EFE" w:rsidRPr="004D505F" w:rsidTr="00C63A29">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62"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VIII nach Aufstieg aus IX b</w:t>
            </w: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62"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VIII mit ausstehendem Auf</w:t>
            </w:r>
            <w:r w:rsidRPr="004D505F">
              <w:rPr>
                <w:rFonts w:cs="Arial"/>
                <w:szCs w:val="16"/>
              </w:rPr>
              <w:t>stieg nach VII</w:t>
            </w: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62"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VII mit ausstehendem Auf</w:t>
            </w:r>
            <w:r w:rsidRPr="004D505F">
              <w:rPr>
                <w:rFonts w:cs="Arial"/>
                <w:szCs w:val="16"/>
              </w:rPr>
              <w:t>stieg nach VI b</w:t>
            </w:r>
          </w:p>
        </w:tc>
        <w:tc>
          <w:tcPr>
            <w:tcW w:w="90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5</w:t>
            </w:r>
          </w:p>
        </w:tc>
      </w:tr>
      <w:tr w:rsidR="00BE1EFE" w:rsidRPr="004D505F" w:rsidTr="00C63A29">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62"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VI b nach Aufstieg aus VII</w:t>
            </w:r>
          </w:p>
        </w:tc>
        <w:tc>
          <w:tcPr>
            <w:tcW w:w="900"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6</w:t>
            </w:r>
          </w:p>
        </w:tc>
      </w:tr>
      <w:tr w:rsidR="00BE1EFE" w:rsidRPr="004D505F" w:rsidTr="00C63A29">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VI b ohne Aufstieg nach V c</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bl>
    <w:p w:rsidR="00BE1EFE" w:rsidRPr="004D505F" w:rsidRDefault="00BE1EFE" w:rsidP="00942CDA">
      <w:pPr>
        <w:pStyle w:val="Leerzeile"/>
        <w:rPr>
          <w:szCs w:val="16"/>
        </w:rPr>
      </w:pPr>
      <w:r w:rsidRPr="004D505F">
        <w:rPr>
          <w:szCs w:val="16"/>
        </w:rPr>
        <w:br w:type="page"/>
      </w:r>
    </w:p>
    <w:tbl>
      <w:tblPr>
        <w:tblW w:w="6539" w:type="dxa"/>
        <w:tblCellMar>
          <w:left w:w="0" w:type="dxa"/>
          <w:right w:w="0" w:type="dxa"/>
        </w:tblCellMar>
        <w:tblLook w:val="04A0" w:firstRow="1" w:lastRow="0" w:firstColumn="1" w:lastColumn="0" w:noHBand="0" w:noVBand="1"/>
      </w:tblPr>
      <w:tblGrid>
        <w:gridCol w:w="2985"/>
        <w:gridCol w:w="2657"/>
        <w:gridCol w:w="897"/>
      </w:tblGrid>
      <w:tr w:rsidR="00BE1EFE" w:rsidRPr="004D505F" w:rsidTr="00E87479">
        <w:trPr>
          <w:trHeight w:val="255"/>
        </w:trPr>
        <w:tc>
          <w:tcPr>
            <w:tcW w:w="2985"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lastRenderedPageBreak/>
              <w:t>Berufsgruppe</w:t>
            </w:r>
          </w:p>
        </w:tc>
        <w:tc>
          <w:tcPr>
            <w:tcW w:w="2657"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Vergütungsgruppen</w:t>
            </w:r>
          </w:p>
        </w:tc>
        <w:tc>
          <w:tcPr>
            <w:tcW w:w="8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Entgelt-gruppe</w:t>
            </w:r>
          </w:p>
        </w:tc>
      </w:tr>
      <w:tr w:rsidR="00BE1EFE" w:rsidRPr="004D505F" w:rsidTr="00180FD5">
        <w:trPr>
          <w:trHeight w:val="270"/>
        </w:trPr>
        <w:tc>
          <w:tcPr>
            <w:tcW w:w="0" w:type="auto"/>
            <w:vMerge/>
            <w:tcBorders>
              <w:top w:val="single" w:sz="8" w:space="0" w:color="auto"/>
              <w:left w:val="single" w:sz="8" w:space="0" w:color="auto"/>
              <w:bottom w:val="nil"/>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r>
      <w:tr w:rsidR="00BE1EFE" w:rsidRPr="004D505F" w:rsidTr="00C63A29">
        <w:trPr>
          <w:trHeight w:val="255"/>
        </w:trPr>
        <w:tc>
          <w:tcPr>
            <w:tcW w:w="2985"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Kirchenmusiker A</w:t>
            </w:r>
          </w:p>
        </w:tc>
        <w:tc>
          <w:tcPr>
            <w:tcW w:w="2657"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keine Stufen 5 und 6</w:t>
            </w:r>
          </w:p>
        </w:tc>
        <w:tc>
          <w:tcPr>
            <w:tcW w:w="897" w:type="dxa"/>
            <w:vMerge w:val="restart"/>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12</w:t>
            </w:r>
          </w:p>
        </w:tc>
      </w:tr>
      <w:tr w:rsidR="00BE1EFE" w:rsidRPr="004D505F" w:rsidTr="00C63A29">
        <w:trPr>
          <w:trHeight w:val="2040"/>
        </w:trPr>
        <w:tc>
          <w:tcPr>
            <w:tcW w:w="0" w:type="auto"/>
            <w:vMerge/>
            <w:tcBorders>
              <w:top w:val="single" w:sz="8" w:space="0" w:color="auto"/>
              <w:left w:val="single" w:sz="8" w:space="0" w:color="auto"/>
              <w:bottom w:val="nil"/>
              <w:right w:val="single" w:sz="8" w:space="0" w:color="auto"/>
            </w:tcBorders>
            <w:vAlign w:val="center"/>
            <w:hideMark/>
          </w:tcPr>
          <w:p w:rsidR="00BE1EFE" w:rsidRPr="004D505F" w:rsidRDefault="00BE1EFE">
            <w:pPr>
              <w:rPr>
                <w:szCs w:val="16"/>
              </w:rPr>
            </w:pP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 xml:space="preserve">monatliche Zulage von 175,- € nach 4 Jahren in Stufe 4, Erhöhung der monatlichen Zulage um weitere 175,- € (Erhöhungsbetrag) nach weiteren 5 Jahren (für die Zulagen gilt § 9 </w:t>
            </w:r>
            <w:r>
              <w:rPr>
                <w:rFonts w:cs="Arial"/>
                <w:szCs w:val="16"/>
              </w:rPr>
              <w:t>Absatz</w:t>
            </w:r>
            <w:r w:rsidRPr="004D505F">
              <w:rPr>
                <w:rFonts w:cs="Arial"/>
                <w:szCs w:val="16"/>
              </w:rPr>
              <w:t xml:space="preserve"> 4 Satz 2 Teil A, 3. entsprechend)</w:t>
            </w:r>
          </w:p>
        </w:tc>
        <w:tc>
          <w:tcPr>
            <w:tcW w:w="0" w:type="auto"/>
            <w:vMerge/>
            <w:tcBorders>
              <w:top w:val="nil"/>
              <w:left w:val="nil"/>
              <w:bottom w:val="nil"/>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0" w:type="auto"/>
            <w:vMerge/>
            <w:tcBorders>
              <w:top w:val="single" w:sz="8" w:space="0" w:color="auto"/>
              <w:left w:val="single" w:sz="8" w:space="0" w:color="auto"/>
              <w:bottom w:val="nil"/>
              <w:right w:val="single" w:sz="8" w:space="0" w:color="auto"/>
            </w:tcBorders>
            <w:vAlign w:val="center"/>
            <w:hideMark/>
          </w:tcPr>
          <w:p w:rsidR="00BE1EFE" w:rsidRPr="004D505F" w:rsidRDefault="00BE1EFE">
            <w:pPr>
              <w:rPr>
                <w:szCs w:val="16"/>
              </w:rPr>
            </w:pP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III mit ausstehendem Auf</w:t>
            </w:r>
            <w:r w:rsidRPr="004D505F">
              <w:rPr>
                <w:rFonts w:cs="Arial"/>
                <w:szCs w:val="16"/>
              </w:rPr>
              <w:t xml:space="preserve">stieg nach II b </w:t>
            </w:r>
          </w:p>
        </w:tc>
        <w:tc>
          <w:tcPr>
            <w:tcW w:w="0" w:type="auto"/>
            <w:vMerge/>
            <w:tcBorders>
              <w:top w:val="nil"/>
              <w:left w:val="nil"/>
              <w:bottom w:val="nil"/>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270"/>
        </w:trPr>
        <w:tc>
          <w:tcPr>
            <w:tcW w:w="29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pPr>
              <w:rPr>
                <w:szCs w:val="16"/>
              </w:rPr>
            </w:pPr>
            <w:r w:rsidRPr="004D505F">
              <w:rPr>
                <w:szCs w:val="16"/>
              </w:rPr>
              <w:t> </w:t>
            </w: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 xml:space="preserve">II b nach Aufstieg aus III </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jc w:val="center"/>
              <w:rPr>
                <w:szCs w:val="16"/>
              </w:rPr>
            </w:pPr>
          </w:p>
        </w:tc>
      </w:tr>
      <w:tr w:rsidR="00BE1EFE" w:rsidRPr="004D505F" w:rsidTr="00C63A29">
        <w:trPr>
          <w:trHeight w:val="525"/>
        </w:trPr>
        <w:tc>
          <w:tcPr>
            <w:tcW w:w="2985" w:type="dxa"/>
            <w:vMerge w:val="restart"/>
            <w:tcBorders>
              <w:top w:val="nil"/>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Kirchenmusiker B</w:t>
            </w: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 c mit ausstehendem Auf</w:t>
            </w:r>
            <w:r w:rsidRPr="004D505F">
              <w:rPr>
                <w:rFonts w:cs="Arial"/>
                <w:szCs w:val="16"/>
              </w:rPr>
              <w:t>stieg nach V b</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8</w:t>
            </w:r>
          </w:p>
        </w:tc>
      </w:tr>
      <w:tr w:rsidR="00BE1EFE" w:rsidRPr="004D505F" w:rsidTr="00C63A29">
        <w:trPr>
          <w:trHeight w:val="255"/>
        </w:trPr>
        <w:tc>
          <w:tcPr>
            <w:tcW w:w="0" w:type="auto"/>
            <w:vMerge/>
            <w:tcBorders>
              <w:top w:val="nil"/>
              <w:left w:val="single" w:sz="8" w:space="0" w:color="auto"/>
              <w:bottom w:val="nil"/>
              <w:right w:val="single" w:sz="8" w:space="0" w:color="auto"/>
            </w:tcBorders>
            <w:vAlign w:val="center"/>
            <w:hideMark/>
          </w:tcPr>
          <w:p w:rsidR="00BE1EFE" w:rsidRPr="004D505F" w:rsidRDefault="00BE1EFE">
            <w:pPr>
              <w:rPr>
                <w:szCs w:val="16"/>
              </w:rPr>
            </w:pPr>
          </w:p>
        </w:tc>
        <w:tc>
          <w:tcPr>
            <w:tcW w:w="265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 b mit ausstehendem Auf</w:t>
            </w:r>
            <w:r w:rsidRPr="004D505F">
              <w:rPr>
                <w:rFonts w:cs="Arial"/>
                <w:szCs w:val="16"/>
              </w:rPr>
              <w:t xml:space="preserve">stieg nach IV b </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r w:rsidR="00BE1EFE" w:rsidRPr="004D505F" w:rsidTr="00C63A29">
        <w:trPr>
          <w:trHeight w:val="270"/>
        </w:trPr>
        <w:tc>
          <w:tcPr>
            <w:tcW w:w="0" w:type="auto"/>
            <w:vMerge/>
            <w:tcBorders>
              <w:top w:val="nil"/>
              <w:left w:val="single" w:sz="8" w:space="0" w:color="auto"/>
              <w:bottom w:val="nil"/>
              <w:right w:val="single" w:sz="8" w:space="0" w:color="auto"/>
            </w:tcBorders>
            <w:vAlign w:val="center"/>
            <w:hideMark/>
          </w:tcPr>
          <w:p w:rsidR="00BE1EFE" w:rsidRPr="004D505F" w:rsidRDefault="00BE1EFE">
            <w:pPr>
              <w:rPr>
                <w:szCs w:val="16"/>
              </w:rPr>
            </w:pP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rPr>
                <w:szCs w:val="16"/>
              </w:rPr>
            </w:pP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0" w:type="auto"/>
            <w:vMerge/>
            <w:tcBorders>
              <w:top w:val="nil"/>
              <w:left w:val="single" w:sz="8" w:space="0" w:color="auto"/>
              <w:bottom w:val="nil"/>
              <w:right w:val="single" w:sz="8" w:space="0" w:color="auto"/>
            </w:tcBorders>
            <w:vAlign w:val="center"/>
            <w:hideMark/>
          </w:tcPr>
          <w:p w:rsidR="00BE1EFE" w:rsidRPr="004D505F" w:rsidRDefault="00BE1EFE">
            <w:pPr>
              <w:rPr>
                <w:szCs w:val="16"/>
              </w:rPr>
            </w:pP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IV b mit ausstehendem Auf</w:t>
            </w:r>
            <w:r w:rsidRPr="004D505F">
              <w:rPr>
                <w:rFonts w:cs="Arial"/>
                <w:szCs w:val="16"/>
              </w:rPr>
              <w:t>stieg nach IV a</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10</w:t>
            </w:r>
          </w:p>
        </w:tc>
      </w:tr>
      <w:tr w:rsidR="00BE1EFE" w:rsidRPr="004D505F" w:rsidTr="00C63A29">
        <w:trPr>
          <w:trHeight w:val="270"/>
        </w:trPr>
        <w:tc>
          <w:tcPr>
            <w:tcW w:w="0" w:type="auto"/>
            <w:vMerge/>
            <w:tcBorders>
              <w:top w:val="nil"/>
              <w:left w:val="single" w:sz="8" w:space="0" w:color="auto"/>
              <w:bottom w:val="nil"/>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 a nach Aufstieg aus IV b</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270"/>
        </w:trPr>
        <w:tc>
          <w:tcPr>
            <w:tcW w:w="2985"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Kirchenmusiker C</w:t>
            </w: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VII ohne Aufstieg nach VI b</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5</w:t>
            </w:r>
          </w:p>
        </w:tc>
      </w:tr>
      <w:tr w:rsidR="00BE1EFE" w:rsidRPr="004D505F" w:rsidTr="00C63A29">
        <w:trPr>
          <w:trHeight w:val="255"/>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Kirchenmusiker D</w:t>
            </w: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keine Stufe 6</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2</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 xml:space="preserve">X </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270"/>
        </w:trPr>
        <w:tc>
          <w:tcPr>
            <w:tcW w:w="29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Kirchenmusiker E</w:t>
            </w: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X (Endstufe 3)</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2</w:t>
            </w:r>
          </w:p>
        </w:tc>
      </w:tr>
      <w:tr w:rsidR="00BE1EFE" w:rsidRPr="004D505F" w:rsidTr="00C63A29">
        <w:trPr>
          <w:trHeight w:val="270"/>
        </w:trPr>
        <w:tc>
          <w:tcPr>
            <w:tcW w:w="2985"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pPr>
              <w:rPr>
                <w:szCs w:val="16"/>
              </w:rPr>
            </w:pPr>
            <w:r w:rsidRPr="004D505F">
              <w:rPr>
                <w:szCs w:val="16"/>
              </w:rPr>
              <w:t> </w:t>
            </w: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rPr>
                <w:szCs w:val="16"/>
              </w:rPr>
            </w:pPr>
            <w:r w:rsidRPr="004D505F">
              <w:rPr>
                <w:szCs w:val="16"/>
              </w:rPr>
              <w:t> </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jc w:val="center"/>
              <w:rPr>
                <w:szCs w:val="16"/>
              </w:rPr>
            </w:pPr>
          </w:p>
        </w:tc>
      </w:tr>
      <w:tr w:rsidR="00BE1EFE" w:rsidRPr="004D505F" w:rsidTr="00C63A29">
        <w:trPr>
          <w:trHeight w:val="255"/>
        </w:trPr>
        <w:tc>
          <w:tcPr>
            <w:tcW w:w="2985" w:type="dxa"/>
            <w:vMerge w:val="restart"/>
            <w:tcBorders>
              <w:top w:val="nil"/>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b/>
                <w:bCs/>
                <w:szCs w:val="16"/>
              </w:rPr>
            </w:pPr>
            <w:r w:rsidRPr="004D505F">
              <w:rPr>
                <w:rStyle w:val="Fett"/>
                <w:rFonts w:cs="Arial"/>
                <w:bCs/>
                <w:szCs w:val="16"/>
              </w:rPr>
              <w:t>Religionslehrer</w:t>
            </w:r>
          </w:p>
          <w:p w:rsidR="00BE1EFE" w:rsidRPr="004D505F" w:rsidRDefault="00BE1EFE">
            <w:pPr>
              <w:pStyle w:val="StandardWeb"/>
              <w:rPr>
                <w:rFonts w:cs="Arial"/>
                <w:szCs w:val="16"/>
              </w:rPr>
            </w:pPr>
            <w:r w:rsidRPr="004D505F">
              <w:rPr>
                <w:rFonts w:cs="Arial"/>
                <w:szCs w:val="16"/>
              </w:rPr>
              <w:t>vor Vorbereitungsdienst</w:t>
            </w:r>
          </w:p>
          <w:p w:rsidR="00BE1EFE" w:rsidRPr="004D505F" w:rsidRDefault="00BE1EFE">
            <w:pPr>
              <w:pStyle w:val="StandardWeb"/>
              <w:rPr>
                <w:szCs w:val="16"/>
              </w:rPr>
            </w:pPr>
            <w:r w:rsidRPr="004D505F">
              <w:rPr>
                <w:rFonts w:cs="Arial"/>
                <w:szCs w:val="16"/>
              </w:rPr>
              <w:t>(oder Seminardienst)</w:t>
            </w:r>
          </w:p>
        </w:tc>
        <w:tc>
          <w:tcPr>
            <w:tcW w:w="2657" w:type="dxa"/>
            <w:tcMar>
              <w:top w:w="0" w:type="dxa"/>
              <w:left w:w="70" w:type="dxa"/>
              <w:bottom w:w="0" w:type="dxa"/>
              <w:right w:w="70" w:type="dxa"/>
            </w:tcMar>
            <w:vAlign w:val="center"/>
            <w:hideMark/>
          </w:tcPr>
          <w:p w:rsidR="00BE1EFE" w:rsidRPr="004D505F" w:rsidRDefault="00BE1EFE" w:rsidP="00C63A29">
            <w:pPr>
              <w:rPr>
                <w:szCs w:val="16"/>
              </w:rPr>
            </w:pPr>
            <w:r w:rsidRPr="004D505F">
              <w:rPr>
                <w:szCs w:val="16"/>
              </w:rPr>
              <w:t> </w:t>
            </w:r>
          </w:p>
        </w:tc>
        <w:tc>
          <w:tcPr>
            <w:tcW w:w="897"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Pr="004D505F" w:rsidRDefault="00BE1EFE" w:rsidP="00C63A29">
            <w:pPr>
              <w:jc w:val="center"/>
              <w:rPr>
                <w:szCs w:val="16"/>
              </w:rPr>
            </w:pPr>
          </w:p>
        </w:tc>
      </w:tr>
      <w:tr w:rsidR="00BE1EFE" w:rsidRPr="004D505F" w:rsidTr="00C63A29">
        <w:trPr>
          <w:trHeight w:val="270"/>
        </w:trPr>
        <w:tc>
          <w:tcPr>
            <w:tcW w:w="0" w:type="auto"/>
            <w:vMerge/>
            <w:tcBorders>
              <w:top w:val="nil"/>
              <w:left w:val="single" w:sz="8" w:space="0" w:color="auto"/>
              <w:bottom w:val="nil"/>
              <w:right w:val="single" w:sz="8" w:space="0" w:color="auto"/>
            </w:tcBorders>
            <w:vAlign w:val="center"/>
            <w:hideMark/>
          </w:tcPr>
          <w:p w:rsidR="00BE1EFE" w:rsidRPr="004D505F" w:rsidRDefault="00BE1EFE">
            <w:pPr>
              <w:rPr>
                <w:szCs w:val="16"/>
              </w:rPr>
            </w:pP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 c ohne Aufstieg nach V b</w:t>
            </w:r>
          </w:p>
        </w:tc>
        <w:tc>
          <w:tcPr>
            <w:tcW w:w="89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8</w:t>
            </w:r>
          </w:p>
        </w:tc>
      </w:tr>
      <w:tr w:rsidR="00BE1EFE" w:rsidRPr="004D505F" w:rsidTr="00C63A29">
        <w:trPr>
          <w:trHeight w:val="255"/>
        </w:trPr>
        <w:tc>
          <w:tcPr>
            <w:tcW w:w="2985"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b/>
                <w:bCs/>
                <w:szCs w:val="16"/>
              </w:rPr>
            </w:pPr>
            <w:r w:rsidRPr="004D505F">
              <w:rPr>
                <w:rStyle w:val="Fett"/>
                <w:rFonts w:cs="Arial"/>
                <w:bCs/>
                <w:szCs w:val="16"/>
              </w:rPr>
              <w:t>Religionslehrer</w:t>
            </w:r>
          </w:p>
          <w:p w:rsidR="00BE1EFE" w:rsidRPr="004D505F" w:rsidRDefault="00BE1EFE">
            <w:pPr>
              <w:pStyle w:val="StandardWeb"/>
              <w:rPr>
                <w:rFonts w:cs="Arial"/>
                <w:szCs w:val="16"/>
              </w:rPr>
            </w:pPr>
            <w:r w:rsidRPr="004D505F">
              <w:rPr>
                <w:rFonts w:cs="Arial"/>
                <w:szCs w:val="16"/>
              </w:rPr>
              <w:t>vor Vorbereitungsdienst</w:t>
            </w:r>
          </w:p>
          <w:p w:rsidR="00BE1EFE" w:rsidRPr="004D505F" w:rsidRDefault="00BE1EFE">
            <w:pPr>
              <w:pStyle w:val="StandardWeb"/>
              <w:rPr>
                <w:szCs w:val="16"/>
              </w:rPr>
            </w:pPr>
            <w:r w:rsidRPr="004D505F">
              <w:rPr>
                <w:rFonts w:cs="Arial"/>
                <w:szCs w:val="16"/>
              </w:rPr>
              <w:t>(oder Seminardienst)</w:t>
            </w:r>
          </w:p>
        </w:tc>
        <w:tc>
          <w:tcPr>
            <w:tcW w:w="265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 b ohne Aufstieg nach IV b (Endstufe 3)</w:t>
            </w:r>
          </w:p>
        </w:tc>
        <w:tc>
          <w:tcPr>
            <w:tcW w:w="8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r w:rsidR="00BE1EFE" w:rsidRPr="004D505F" w:rsidTr="00180FD5">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r>
      <w:tr w:rsidR="00BE1EFE" w:rsidRPr="004D505F" w:rsidTr="00180FD5">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r>
    </w:tbl>
    <w:p w:rsidR="00BE1EFE" w:rsidRPr="004D505F" w:rsidRDefault="00BE1EFE" w:rsidP="00942CDA">
      <w:pPr>
        <w:pStyle w:val="Leerzeile"/>
        <w:rPr>
          <w:szCs w:val="16"/>
        </w:rPr>
      </w:pPr>
      <w:r w:rsidRPr="004D505F">
        <w:rPr>
          <w:szCs w:val="16"/>
        </w:rPr>
        <w:br w:type="page"/>
      </w:r>
    </w:p>
    <w:tbl>
      <w:tblPr>
        <w:tblW w:w="6539" w:type="dxa"/>
        <w:tblCellMar>
          <w:left w:w="0" w:type="dxa"/>
          <w:right w:w="0" w:type="dxa"/>
        </w:tblCellMar>
        <w:tblLook w:val="04A0" w:firstRow="1" w:lastRow="0" w:firstColumn="1" w:lastColumn="0" w:noHBand="0" w:noVBand="1"/>
      </w:tblPr>
      <w:tblGrid>
        <w:gridCol w:w="2985"/>
        <w:gridCol w:w="2657"/>
        <w:gridCol w:w="897"/>
      </w:tblGrid>
      <w:tr w:rsidR="00BE1EFE" w:rsidRPr="004D505F" w:rsidTr="00E87479">
        <w:trPr>
          <w:trHeight w:val="255"/>
        </w:trPr>
        <w:tc>
          <w:tcPr>
            <w:tcW w:w="2985"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lastRenderedPageBreak/>
              <w:t>Berufsgruppe</w:t>
            </w:r>
          </w:p>
        </w:tc>
        <w:tc>
          <w:tcPr>
            <w:tcW w:w="265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Vergütungsgruppen</w:t>
            </w:r>
          </w:p>
        </w:tc>
        <w:tc>
          <w:tcPr>
            <w:tcW w:w="8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Entgelt-gruppe</w:t>
            </w:r>
          </w:p>
        </w:tc>
      </w:tr>
      <w:tr w:rsidR="00BE1EFE" w:rsidRPr="004D505F" w:rsidTr="00180FD5">
        <w:trPr>
          <w:trHeight w:val="270"/>
        </w:trPr>
        <w:tc>
          <w:tcPr>
            <w:tcW w:w="0" w:type="auto"/>
            <w:vMerge/>
            <w:tcBorders>
              <w:top w:val="single" w:sz="8" w:space="0" w:color="auto"/>
              <w:left w:val="single" w:sz="8" w:space="0" w:color="auto"/>
              <w:bottom w:val="nil"/>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r>
      <w:tr w:rsidR="00BE1EFE" w:rsidRPr="004D505F" w:rsidTr="00C63A29">
        <w:trPr>
          <w:trHeight w:val="480"/>
        </w:trPr>
        <w:tc>
          <w:tcPr>
            <w:tcW w:w="2985"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b/>
                <w:bCs/>
                <w:szCs w:val="16"/>
              </w:rPr>
            </w:pPr>
            <w:r w:rsidRPr="004D505F">
              <w:rPr>
                <w:rStyle w:val="Fett"/>
                <w:rFonts w:cs="Arial"/>
                <w:bCs/>
                <w:szCs w:val="16"/>
              </w:rPr>
              <w:t>Religionslehrer i. K.</w:t>
            </w:r>
          </w:p>
          <w:p w:rsidR="00BE1EFE" w:rsidRPr="004D505F" w:rsidRDefault="00BE1EFE">
            <w:pPr>
              <w:pStyle w:val="StandardWeb"/>
              <w:rPr>
                <w:szCs w:val="16"/>
              </w:rPr>
            </w:pPr>
            <w:r w:rsidRPr="004D505F">
              <w:rPr>
                <w:rFonts w:cs="Arial"/>
                <w:szCs w:val="16"/>
              </w:rPr>
              <w:t>mit 2. Dienstprüfung</w:t>
            </w: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IV b mit ausstehendem Auf</w:t>
            </w:r>
            <w:r w:rsidRPr="004D505F">
              <w:rPr>
                <w:rFonts w:cs="Arial"/>
                <w:szCs w:val="16"/>
              </w:rPr>
              <w:t>stieg nach IV a</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10</w:t>
            </w:r>
          </w:p>
        </w:tc>
      </w:tr>
      <w:tr w:rsidR="00BE1EFE" w:rsidRPr="004D505F" w:rsidTr="00C63A29">
        <w:trPr>
          <w:trHeight w:val="4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 a nach Aufstieg aus IV b</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390"/>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b/>
                <w:bCs/>
                <w:szCs w:val="16"/>
              </w:rPr>
            </w:pPr>
            <w:r w:rsidRPr="004D505F">
              <w:rPr>
                <w:rStyle w:val="Fett"/>
                <w:rFonts w:cs="Arial"/>
                <w:bCs/>
                <w:szCs w:val="16"/>
              </w:rPr>
              <w:t>Religionslehrer</w:t>
            </w:r>
          </w:p>
          <w:p w:rsidR="00BE1EFE" w:rsidRPr="004D505F" w:rsidRDefault="00BE1EFE" w:rsidP="004D505F">
            <w:pPr>
              <w:pStyle w:val="StandardWeb"/>
              <w:jc w:val="left"/>
              <w:rPr>
                <w:szCs w:val="16"/>
              </w:rPr>
            </w:pPr>
            <w:r>
              <w:rPr>
                <w:rFonts w:cs="Arial"/>
                <w:szCs w:val="16"/>
              </w:rPr>
              <w:t xml:space="preserve">Ohne Vorbereitungsdienst </w:t>
            </w:r>
            <w:r w:rsidRPr="004D505F">
              <w:rPr>
                <w:rFonts w:cs="Arial"/>
                <w:szCs w:val="16"/>
              </w:rPr>
              <w:t>(oder Seminardienst)</w:t>
            </w:r>
          </w:p>
        </w:tc>
        <w:tc>
          <w:tcPr>
            <w:tcW w:w="265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 c mit ausstehendem Auf</w:t>
            </w:r>
            <w:r w:rsidRPr="004D505F">
              <w:rPr>
                <w:rFonts w:cs="Arial"/>
                <w:szCs w:val="16"/>
              </w:rPr>
              <w:t>stieg nach V b</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8</w:t>
            </w:r>
          </w:p>
        </w:tc>
      </w:tr>
      <w:tr w:rsidR="00BE1EFE" w:rsidRPr="004D505F" w:rsidTr="00C63A29">
        <w:trPr>
          <w:trHeight w:val="39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rPr>
                <w:szCs w:val="16"/>
              </w:rPr>
            </w:pP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 b mit ausstehendem Auf</w:t>
            </w:r>
            <w:r w:rsidRPr="004D505F">
              <w:rPr>
                <w:rFonts w:cs="Arial"/>
                <w:szCs w:val="16"/>
              </w:rPr>
              <w:t>stieg nach IV b</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 b nach Aufstieg aus V b</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9B251D">
            <w:pPr>
              <w:pStyle w:val="StandardWeb"/>
              <w:autoSpaceDE w:val="0"/>
              <w:rPr>
                <w:rFonts w:cs="Arial"/>
                <w:szCs w:val="16"/>
              </w:rPr>
            </w:pPr>
            <w:r w:rsidRPr="004D505F">
              <w:rPr>
                <w:rStyle w:val="Fett"/>
                <w:rFonts w:cs="Arial"/>
                <w:bCs/>
                <w:szCs w:val="16"/>
              </w:rPr>
              <w:t xml:space="preserve">Religionslehrer </w:t>
            </w:r>
            <w:r w:rsidRPr="004D505F">
              <w:rPr>
                <w:rFonts w:cs="Arial"/>
                <w:szCs w:val="16"/>
              </w:rPr>
              <w:t xml:space="preserve">(Dipl. FH) </w:t>
            </w:r>
          </w:p>
          <w:p w:rsidR="00BE1EFE" w:rsidRPr="004D505F" w:rsidRDefault="00BE1EFE" w:rsidP="009B251D">
            <w:pPr>
              <w:pStyle w:val="StandardWeb"/>
              <w:autoSpaceDE w:val="0"/>
              <w:rPr>
                <w:rFonts w:cs="Arial"/>
                <w:szCs w:val="16"/>
              </w:rPr>
            </w:pPr>
            <w:r w:rsidRPr="004D505F">
              <w:rPr>
                <w:rFonts w:cs="Arial"/>
                <w:szCs w:val="16"/>
              </w:rPr>
              <w:t>an beruflichen Schulen</w:t>
            </w: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IV a mit ausstehendem Auf</w:t>
            </w:r>
            <w:r w:rsidRPr="004D505F">
              <w:rPr>
                <w:rFonts w:cs="Arial"/>
                <w:szCs w:val="16"/>
              </w:rPr>
              <w:t>stieg nach III</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11</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III nach Aufstieg aus IV a</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 xml:space="preserve">(Dipl.Theol.) </w:t>
            </w:r>
          </w:p>
          <w:p w:rsidR="00BE1EFE" w:rsidRPr="004D505F" w:rsidRDefault="00BE1EFE" w:rsidP="0054275E">
            <w:pPr>
              <w:pStyle w:val="StandardWeb"/>
              <w:autoSpaceDE w:val="0"/>
              <w:rPr>
                <w:szCs w:val="16"/>
              </w:rPr>
            </w:pPr>
            <w:r w:rsidRPr="004D505F">
              <w:rPr>
                <w:rFonts w:cs="Arial"/>
                <w:szCs w:val="16"/>
              </w:rPr>
              <w:t>an beruflichen Schulen</w:t>
            </w: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II a mit ausstehendem Auf</w:t>
            </w:r>
            <w:r w:rsidRPr="004D505F">
              <w:rPr>
                <w:rFonts w:cs="Arial"/>
                <w:szCs w:val="16"/>
              </w:rPr>
              <w:t>stieg nach I b</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14</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 xml:space="preserve">I b nach Aufstieg aus II a </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255"/>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(Dipl. FH)</w:t>
            </w:r>
          </w:p>
          <w:p w:rsidR="00BE1EFE" w:rsidRPr="004D505F" w:rsidRDefault="00BE1EFE">
            <w:pPr>
              <w:pStyle w:val="StandardWeb"/>
              <w:rPr>
                <w:szCs w:val="16"/>
              </w:rPr>
            </w:pPr>
            <w:r w:rsidRPr="004D505F">
              <w:rPr>
                <w:rFonts w:cs="Arial"/>
                <w:szCs w:val="16"/>
              </w:rPr>
              <w:t>an Realschulen</w:t>
            </w: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spacing w:after="120"/>
              <w:jc w:val="left"/>
              <w:rPr>
                <w:szCs w:val="16"/>
              </w:rPr>
            </w:pPr>
            <w:r w:rsidRPr="004D505F">
              <w:rPr>
                <w:rFonts w:cs="Arial"/>
                <w:szCs w:val="16"/>
              </w:rPr>
              <w:t>IV a mit ausstehendem</w:t>
            </w:r>
            <w:r>
              <w:rPr>
                <w:rFonts w:cs="Arial"/>
                <w:szCs w:val="16"/>
              </w:rPr>
              <w:t xml:space="preserve"> Aufstieg nach III</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11</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III nach Aufstieg aus IV a</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 xml:space="preserve">(Dipl.Theol.) </w:t>
            </w:r>
          </w:p>
          <w:p w:rsidR="00BE1EFE" w:rsidRPr="004D505F" w:rsidRDefault="00BE1EFE" w:rsidP="0054275E">
            <w:pPr>
              <w:pStyle w:val="StandardWeb"/>
              <w:autoSpaceDE w:val="0"/>
              <w:rPr>
                <w:szCs w:val="16"/>
              </w:rPr>
            </w:pPr>
            <w:r w:rsidRPr="004D505F">
              <w:rPr>
                <w:rFonts w:cs="Arial"/>
                <w:szCs w:val="16"/>
              </w:rPr>
              <w:t xml:space="preserve">an Realschulen </w:t>
            </w:r>
          </w:p>
        </w:tc>
        <w:tc>
          <w:tcPr>
            <w:tcW w:w="2657"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III mit ausstehendem Auf</w:t>
            </w:r>
            <w:r w:rsidRPr="004D505F">
              <w:rPr>
                <w:rFonts w:cs="Arial"/>
                <w:szCs w:val="16"/>
              </w:rPr>
              <w:t>stieg nach II a</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12</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II a nach Aufstieg aus III</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(Dipl. FH)</w:t>
            </w:r>
          </w:p>
          <w:p w:rsidR="00BE1EFE" w:rsidRPr="004D505F" w:rsidRDefault="00BE1EFE" w:rsidP="004D505F">
            <w:pPr>
              <w:pStyle w:val="StandardWeb"/>
              <w:jc w:val="left"/>
              <w:rPr>
                <w:szCs w:val="16"/>
              </w:rPr>
            </w:pPr>
            <w:r w:rsidRPr="004D505F">
              <w:rPr>
                <w:rFonts w:cs="Arial"/>
                <w:szCs w:val="16"/>
              </w:rPr>
              <w:t>an Gymnasien (bis höchstens 10. Jahr</w:t>
            </w:r>
            <w:r>
              <w:rPr>
                <w:rFonts w:cs="Arial"/>
                <w:szCs w:val="16"/>
              </w:rPr>
              <w:softHyphen/>
            </w:r>
            <w:r w:rsidRPr="004D505F">
              <w:rPr>
                <w:rFonts w:cs="Arial"/>
                <w:szCs w:val="16"/>
              </w:rPr>
              <w:t>gangsstufe)</w:t>
            </w: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 a mit ausstehendem Aufstieg nach III</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11</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III nach Aufstieg aus IV a</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 xml:space="preserve">(Dipl. Theol.) </w:t>
            </w:r>
          </w:p>
          <w:p w:rsidR="00BE1EFE" w:rsidRPr="004D505F" w:rsidRDefault="00BE1EFE" w:rsidP="0054275E">
            <w:pPr>
              <w:pStyle w:val="StandardWeb"/>
              <w:autoSpaceDE w:val="0"/>
              <w:rPr>
                <w:szCs w:val="16"/>
              </w:rPr>
            </w:pPr>
            <w:r w:rsidRPr="004D505F">
              <w:rPr>
                <w:rFonts w:cs="Arial"/>
                <w:szCs w:val="16"/>
              </w:rPr>
              <w:t>an Gymnasien</w:t>
            </w: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II a mit ausstehendem Auf</w:t>
            </w:r>
            <w:r w:rsidRPr="004D505F">
              <w:rPr>
                <w:rFonts w:cs="Arial"/>
                <w:szCs w:val="16"/>
              </w:rPr>
              <w:t>stieg nach I b</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14</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 b nach Aufstieg aus II a</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10"/>
        </w:trPr>
        <w:tc>
          <w:tcPr>
            <w:tcW w:w="29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 xml:space="preserve">(Dipl. Theol.) </w:t>
            </w:r>
          </w:p>
          <w:p w:rsidR="00BE1EFE" w:rsidRPr="004D505F" w:rsidRDefault="00BE1EFE" w:rsidP="0054275E">
            <w:pPr>
              <w:pStyle w:val="StandardWeb"/>
              <w:autoSpaceDE w:val="0"/>
              <w:rPr>
                <w:szCs w:val="16"/>
              </w:rPr>
            </w:pPr>
            <w:r w:rsidRPr="004D505F">
              <w:rPr>
                <w:rFonts w:cs="Arial"/>
                <w:szCs w:val="16"/>
              </w:rPr>
              <w:t>an Fachoberschulen</w:t>
            </w:r>
          </w:p>
        </w:tc>
        <w:tc>
          <w:tcPr>
            <w:tcW w:w="265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II a mit ausstehendem Auf</w:t>
            </w:r>
            <w:r w:rsidRPr="004D505F">
              <w:rPr>
                <w:rFonts w:cs="Arial"/>
                <w:szCs w:val="16"/>
              </w:rPr>
              <w:t>stieg nach I b</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14</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 b nach Aufstieg aus II a</w:t>
            </w:r>
          </w:p>
        </w:tc>
        <w:tc>
          <w:tcPr>
            <w:tcW w:w="0" w:type="auto"/>
            <w:vMerge/>
            <w:tcBorders>
              <w:top w:val="nil"/>
              <w:left w:val="nil"/>
              <w:bottom w:val="single" w:sz="8" w:space="0" w:color="auto"/>
              <w:right w:val="single" w:sz="8" w:space="0" w:color="auto"/>
            </w:tcBorders>
            <w:vAlign w:val="center"/>
            <w:hideMark/>
          </w:tcPr>
          <w:p w:rsidR="00BE1EFE" w:rsidRPr="004D505F" w:rsidRDefault="00BE1EFE">
            <w:pPr>
              <w:rPr>
                <w:szCs w:val="16"/>
              </w:rPr>
            </w:pPr>
          </w:p>
        </w:tc>
      </w:tr>
    </w:tbl>
    <w:p w:rsidR="00BE1EFE" w:rsidRPr="004D505F" w:rsidRDefault="00BE1EFE" w:rsidP="00942CDA">
      <w:pPr>
        <w:pStyle w:val="Leerzeile"/>
        <w:rPr>
          <w:szCs w:val="16"/>
        </w:rPr>
      </w:pPr>
      <w:r w:rsidRPr="004D505F">
        <w:rPr>
          <w:szCs w:val="16"/>
        </w:rPr>
        <w:br w:type="page"/>
      </w:r>
    </w:p>
    <w:tbl>
      <w:tblPr>
        <w:tblW w:w="6539" w:type="dxa"/>
        <w:tblCellMar>
          <w:left w:w="0" w:type="dxa"/>
          <w:right w:w="0" w:type="dxa"/>
        </w:tblCellMar>
        <w:tblLook w:val="04A0" w:firstRow="1" w:lastRow="0" w:firstColumn="1" w:lastColumn="0" w:noHBand="0" w:noVBand="1"/>
      </w:tblPr>
      <w:tblGrid>
        <w:gridCol w:w="2988"/>
        <w:gridCol w:w="2654"/>
        <w:gridCol w:w="897"/>
      </w:tblGrid>
      <w:tr w:rsidR="00BE1EFE" w:rsidRPr="004D505F" w:rsidTr="00E87479">
        <w:trPr>
          <w:trHeight w:val="255"/>
        </w:trPr>
        <w:tc>
          <w:tcPr>
            <w:tcW w:w="2988"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lastRenderedPageBreak/>
              <w:t>Berufsgruppe</w:t>
            </w:r>
          </w:p>
        </w:tc>
        <w:tc>
          <w:tcPr>
            <w:tcW w:w="265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Vergütungsgruppen</w:t>
            </w:r>
          </w:p>
        </w:tc>
        <w:tc>
          <w:tcPr>
            <w:tcW w:w="8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Entgelt-gruppe</w:t>
            </w:r>
          </w:p>
        </w:tc>
      </w:tr>
      <w:tr w:rsidR="00BE1EFE" w:rsidRPr="004D505F" w:rsidTr="00180FD5">
        <w:trPr>
          <w:trHeight w:val="30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r>
      <w:tr w:rsidR="00BE1EFE" w:rsidRPr="004D505F" w:rsidTr="00C63A29">
        <w:trPr>
          <w:trHeight w:val="2310"/>
        </w:trPr>
        <w:tc>
          <w:tcPr>
            <w:tcW w:w="2988" w:type="dxa"/>
            <w:tcBorders>
              <w:top w:val="nil"/>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b/>
                <w:bCs/>
                <w:szCs w:val="16"/>
              </w:rPr>
            </w:pPr>
            <w:r w:rsidRPr="004D505F">
              <w:rPr>
                <w:rStyle w:val="Fett"/>
                <w:rFonts w:cs="Arial"/>
                <w:bCs/>
                <w:szCs w:val="16"/>
              </w:rPr>
              <w:t>Religionslehrer</w:t>
            </w:r>
          </w:p>
          <w:p w:rsidR="00BE1EFE" w:rsidRPr="004D505F" w:rsidRDefault="00BE1EFE">
            <w:pPr>
              <w:pStyle w:val="StandardWeb"/>
              <w:rPr>
                <w:rFonts w:cs="Arial"/>
                <w:szCs w:val="16"/>
              </w:rPr>
            </w:pPr>
            <w:r w:rsidRPr="004D505F">
              <w:rPr>
                <w:rFonts w:cs="Arial"/>
                <w:szCs w:val="16"/>
              </w:rPr>
              <w:t>(Dipl. FH/Dipl.Theol.)</w:t>
            </w:r>
          </w:p>
          <w:p w:rsidR="00BE1EFE" w:rsidRPr="004D505F" w:rsidRDefault="00BE1EFE" w:rsidP="004D505F">
            <w:pPr>
              <w:pStyle w:val="StandardWeb"/>
              <w:jc w:val="left"/>
              <w:rPr>
                <w:szCs w:val="16"/>
              </w:rPr>
            </w:pPr>
            <w:r w:rsidRPr="004D505F">
              <w:rPr>
                <w:rFonts w:cs="Arial"/>
                <w:szCs w:val="16"/>
              </w:rPr>
              <w:t>an Waldorf-Schulen werden in den Klassen 1 – 4 gemäß der jeweils gel</w:t>
            </w:r>
            <w:r w:rsidR="00D65D81">
              <w:rPr>
                <w:rFonts w:cs="Arial"/>
                <w:szCs w:val="16"/>
              </w:rPr>
              <w:softHyphen/>
            </w:r>
            <w:r w:rsidRPr="004D505F">
              <w:rPr>
                <w:rFonts w:cs="Arial"/>
                <w:szCs w:val="16"/>
              </w:rPr>
              <w:t>tenden „Vergütungsordnung für Religi</w:t>
            </w:r>
            <w:r w:rsidR="00D65D81">
              <w:rPr>
                <w:rFonts w:cs="Arial"/>
                <w:szCs w:val="16"/>
              </w:rPr>
              <w:softHyphen/>
            </w:r>
            <w:r w:rsidRPr="004D505F">
              <w:rPr>
                <w:rFonts w:cs="Arial"/>
                <w:szCs w:val="16"/>
              </w:rPr>
              <w:t>onslehrer i. K. an Volks- und Förder</w:t>
            </w:r>
            <w:r w:rsidR="00D65D81">
              <w:rPr>
                <w:rFonts w:cs="Arial"/>
                <w:szCs w:val="16"/>
              </w:rPr>
              <w:softHyphen/>
            </w:r>
            <w:r w:rsidRPr="004D505F">
              <w:rPr>
                <w:rFonts w:cs="Arial"/>
                <w:szCs w:val="16"/>
              </w:rPr>
              <w:t>schulen in den bayerischen (Erz-)Diö</w:t>
            </w:r>
            <w:r w:rsidR="00D65D81">
              <w:rPr>
                <w:rFonts w:cs="Arial"/>
                <w:szCs w:val="16"/>
              </w:rPr>
              <w:softHyphen/>
            </w:r>
            <w:r w:rsidRPr="004D505F">
              <w:rPr>
                <w:rFonts w:cs="Arial"/>
                <w:szCs w:val="16"/>
              </w:rPr>
              <w:t>zesen“ vergütet.</w:t>
            </w:r>
          </w:p>
        </w:tc>
        <w:tc>
          <w:tcPr>
            <w:tcW w:w="2654"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Siehe Abschnitt Religions</w:t>
            </w:r>
            <w:r w:rsidRPr="004D505F">
              <w:rPr>
                <w:rFonts w:cs="Arial"/>
                <w:szCs w:val="16"/>
              </w:rPr>
              <w:t>lehrer bzw. Religionslehrer i. K.</w:t>
            </w:r>
          </w:p>
        </w:tc>
        <w:tc>
          <w:tcPr>
            <w:tcW w:w="897" w:type="dxa"/>
            <w:tcBorders>
              <w:top w:val="nil"/>
              <w:left w:val="nil"/>
              <w:bottom w:val="nil"/>
              <w:right w:val="single" w:sz="8" w:space="0" w:color="auto"/>
            </w:tcBorders>
            <w:tcMar>
              <w:top w:w="0" w:type="dxa"/>
              <w:left w:w="70" w:type="dxa"/>
              <w:bottom w:w="0" w:type="dxa"/>
              <w:right w:w="70" w:type="dxa"/>
            </w:tcMar>
            <w:hideMark/>
          </w:tcPr>
          <w:p w:rsidR="00BE1EFE" w:rsidRPr="004D505F" w:rsidRDefault="00BE1EFE">
            <w:pPr>
              <w:rPr>
                <w:szCs w:val="16"/>
              </w:rPr>
            </w:pPr>
            <w:r w:rsidRPr="004D505F">
              <w:rPr>
                <w:szCs w:val="16"/>
              </w:rPr>
              <w:t> </w:t>
            </w:r>
          </w:p>
        </w:tc>
      </w:tr>
      <w:tr w:rsidR="00BE1EFE" w:rsidRPr="004D505F" w:rsidTr="00C63A29">
        <w:trPr>
          <w:trHeight w:val="510"/>
        </w:trPr>
        <w:tc>
          <w:tcPr>
            <w:tcW w:w="2988"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(Dipl. FH)</w:t>
            </w:r>
          </w:p>
          <w:p w:rsidR="00BE1EFE" w:rsidRPr="004D505F" w:rsidRDefault="00BE1EFE" w:rsidP="004D505F">
            <w:pPr>
              <w:pStyle w:val="StandardWeb"/>
              <w:jc w:val="left"/>
              <w:rPr>
                <w:szCs w:val="16"/>
              </w:rPr>
            </w:pPr>
            <w:r w:rsidRPr="004D505F">
              <w:rPr>
                <w:rFonts w:cs="Arial"/>
                <w:szCs w:val="16"/>
              </w:rPr>
              <w:t>an Waldorf-Schulen in den Klassen 5 – 10</w:t>
            </w:r>
          </w:p>
        </w:tc>
        <w:tc>
          <w:tcPr>
            <w:tcW w:w="2654"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w:t>
            </w:r>
            <w:r>
              <w:rPr>
                <w:rFonts w:cs="Arial"/>
                <w:szCs w:val="16"/>
              </w:rPr>
              <w:t xml:space="preserve"> a mit ausstehendem Auf</w:t>
            </w:r>
            <w:r w:rsidRPr="004D505F">
              <w:rPr>
                <w:rFonts w:cs="Arial"/>
                <w:szCs w:val="16"/>
              </w:rPr>
              <w:t>stieg nach III</w:t>
            </w:r>
          </w:p>
        </w:tc>
        <w:tc>
          <w:tcPr>
            <w:tcW w:w="8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11</w:t>
            </w:r>
          </w:p>
        </w:tc>
      </w:tr>
      <w:tr w:rsidR="00BE1EFE" w:rsidRPr="004D505F" w:rsidTr="00C63A29">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III nach Aufstieg aus IV a</w:t>
            </w: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780"/>
        </w:trPr>
        <w:tc>
          <w:tcPr>
            <w:tcW w:w="2988" w:type="dxa"/>
            <w:tcBorders>
              <w:top w:val="nil"/>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 xml:space="preserve">(Dipl. Theol.) </w:t>
            </w:r>
          </w:p>
          <w:p w:rsidR="00BE1EFE" w:rsidRPr="004D505F" w:rsidRDefault="00BE1EFE" w:rsidP="004D505F">
            <w:pPr>
              <w:pStyle w:val="StandardWeb"/>
              <w:autoSpaceDE w:val="0"/>
              <w:jc w:val="left"/>
              <w:rPr>
                <w:szCs w:val="16"/>
              </w:rPr>
            </w:pPr>
            <w:r w:rsidRPr="004D505F">
              <w:rPr>
                <w:rFonts w:cs="Arial"/>
                <w:szCs w:val="16"/>
              </w:rPr>
              <w:t>an Waldorf-Schulen in den Klassen 5 – 10</w:t>
            </w:r>
          </w:p>
        </w:tc>
        <w:tc>
          <w:tcPr>
            <w:tcW w:w="2654"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rFonts w:cs="Arial"/>
                <w:szCs w:val="16"/>
              </w:rPr>
            </w:pPr>
            <w:r>
              <w:rPr>
                <w:rFonts w:cs="Arial"/>
                <w:szCs w:val="16"/>
              </w:rPr>
              <w:t>III mit ausstehendem Auf</w:t>
            </w:r>
            <w:r w:rsidRPr="004D505F">
              <w:rPr>
                <w:rFonts w:cs="Arial"/>
                <w:szCs w:val="16"/>
              </w:rPr>
              <w:t>stieg nach II a</w:t>
            </w:r>
          </w:p>
          <w:p w:rsidR="00BE1EFE" w:rsidRPr="004D505F" w:rsidRDefault="00BE1EFE" w:rsidP="00C63A29">
            <w:pPr>
              <w:pStyle w:val="StandardWeb"/>
              <w:jc w:val="left"/>
              <w:rPr>
                <w:szCs w:val="16"/>
              </w:rPr>
            </w:pPr>
            <w:r w:rsidRPr="004D505F">
              <w:rPr>
                <w:rFonts w:cs="Arial"/>
                <w:szCs w:val="16"/>
              </w:rPr>
              <w:t>II a nach Aufstieg aus III</w:t>
            </w:r>
          </w:p>
        </w:tc>
        <w:tc>
          <w:tcPr>
            <w:tcW w:w="89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12</w:t>
            </w:r>
          </w:p>
        </w:tc>
      </w:tr>
      <w:tr w:rsidR="00BE1EFE" w:rsidRPr="004D505F" w:rsidTr="00C63A29">
        <w:trPr>
          <w:trHeight w:val="780"/>
        </w:trPr>
        <w:tc>
          <w:tcPr>
            <w:tcW w:w="2988" w:type="dxa"/>
            <w:tcBorders>
              <w:top w:val="single" w:sz="8" w:space="0" w:color="auto"/>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szCs w:val="16"/>
              </w:rPr>
            </w:pPr>
            <w:r w:rsidRPr="004D505F">
              <w:rPr>
                <w:rStyle w:val="Fett"/>
                <w:rFonts w:cs="Arial"/>
                <w:bCs/>
                <w:szCs w:val="16"/>
              </w:rPr>
              <w:t xml:space="preserve">Religionslehrer </w:t>
            </w:r>
            <w:r w:rsidRPr="004D505F">
              <w:rPr>
                <w:rFonts w:cs="Arial"/>
                <w:szCs w:val="16"/>
              </w:rPr>
              <w:t xml:space="preserve">(Dipl.Theol.) </w:t>
            </w:r>
          </w:p>
          <w:p w:rsidR="00BE1EFE" w:rsidRPr="004D505F" w:rsidRDefault="00BE1EFE" w:rsidP="004D505F">
            <w:pPr>
              <w:pStyle w:val="StandardWeb"/>
              <w:autoSpaceDE w:val="0"/>
              <w:jc w:val="left"/>
              <w:rPr>
                <w:szCs w:val="16"/>
              </w:rPr>
            </w:pPr>
            <w:r w:rsidRPr="004D505F">
              <w:rPr>
                <w:rFonts w:cs="Arial"/>
                <w:szCs w:val="16"/>
              </w:rPr>
              <w:t>an Waldorf-Schulen in den Klassen 11 – 13</w:t>
            </w:r>
          </w:p>
        </w:tc>
        <w:tc>
          <w:tcPr>
            <w:tcW w:w="2654"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rFonts w:cs="Arial"/>
                <w:szCs w:val="16"/>
              </w:rPr>
            </w:pPr>
            <w:r>
              <w:rPr>
                <w:rFonts w:cs="Arial"/>
                <w:szCs w:val="16"/>
              </w:rPr>
              <w:t>II a mit ausstehendem Auf</w:t>
            </w:r>
            <w:r w:rsidRPr="004D505F">
              <w:rPr>
                <w:rFonts w:cs="Arial"/>
                <w:szCs w:val="16"/>
              </w:rPr>
              <w:t>stieg nach I b</w:t>
            </w:r>
          </w:p>
          <w:p w:rsidR="00BE1EFE" w:rsidRPr="004D505F" w:rsidRDefault="00BE1EFE" w:rsidP="00C63A29">
            <w:pPr>
              <w:pStyle w:val="StandardWeb"/>
              <w:jc w:val="left"/>
              <w:rPr>
                <w:szCs w:val="16"/>
              </w:rPr>
            </w:pPr>
            <w:r w:rsidRPr="004D505F">
              <w:rPr>
                <w:rFonts w:cs="Arial"/>
                <w:szCs w:val="16"/>
              </w:rPr>
              <w:t>I b nach Aufstieg aus II a</w:t>
            </w:r>
          </w:p>
        </w:tc>
        <w:tc>
          <w:tcPr>
            <w:tcW w:w="897"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14</w:t>
            </w:r>
          </w:p>
        </w:tc>
      </w:tr>
      <w:tr w:rsidR="00BE1EFE" w:rsidRPr="004D505F" w:rsidTr="00C63A29">
        <w:trPr>
          <w:trHeight w:val="270"/>
        </w:trPr>
        <w:tc>
          <w:tcPr>
            <w:tcW w:w="2988" w:type="dxa"/>
            <w:tcBorders>
              <w:top w:val="single" w:sz="8" w:space="0" w:color="auto"/>
              <w:left w:val="single" w:sz="8" w:space="0" w:color="auto"/>
              <w:bottom w:val="single" w:sz="8" w:space="0" w:color="auto"/>
              <w:right w:val="nil"/>
            </w:tcBorders>
            <w:tcMar>
              <w:top w:w="0" w:type="dxa"/>
              <w:left w:w="70" w:type="dxa"/>
              <w:bottom w:w="0" w:type="dxa"/>
              <w:right w:w="70" w:type="dxa"/>
            </w:tcMar>
            <w:hideMark/>
          </w:tcPr>
          <w:p w:rsidR="00BE1EFE" w:rsidRPr="004D505F" w:rsidRDefault="00BE1EFE">
            <w:pPr>
              <w:rPr>
                <w:szCs w:val="16"/>
              </w:rPr>
            </w:pPr>
            <w:r w:rsidRPr="004D505F">
              <w:rPr>
                <w:szCs w:val="16"/>
              </w:rPr>
              <w:t> </w:t>
            </w:r>
          </w:p>
        </w:tc>
        <w:tc>
          <w:tcPr>
            <w:tcW w:w="265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rPr>
                <w:szCs w:val="16"/>
              </w:rPr>
            </w:pPr>
            <w:r w:rsidRPr="004D505F">
              <w:rPr>
                <w:szCs w:val="16"/>
              </w:rPr>
              <w:t> </w:t>
            </w:r>
          </w:p>
        </w:tc>
        <w:tc>
          <w:tcPr>
            <w:tcW w:w="89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jc w:val="center"/>
              <w:rPr>
                <w:szCs w:val="16"/>
              </w:rPr>
            </w:pPr>
          </w:p>
        </w:tc>
      </w:tr>
      <w:tr w:rsidR="00BE1EFE" w:rsidRPr="004D505F" w:rsidTr="00C63A29">
        <w:trPr>
          <w:trHeight w:val="510"/>
        </w:trPr>
        <w:tc>
          <w:tcPr>
            <w:tcW w:w="2988" w:type="dxa"/>
            <w:tcBorders>
              <w:top w:val="nil"/>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b/>
                <w:bCs/>
                <w:szCs w:val="16"/>
              </w:rPr>
            </w:pPr>
            <w:r w:rsidRPr="004D505F">
              <w:rPr>
                <w:rStyle w:val="Fett"/>
                <w:rFonts w:cs="Arial"/>
                <w:bCs/>
                <w:szCs w:val="16"/>
              </w:rPr>
              <w:t>Gemeindeassistenten</w:t>
            </w:r>
          </w:p>
          <w:p w:rsidR="00BE1EFE" w:rsidRPr="004D505F" w:rsidRDefault="00BE1EFE">
            <w:pPr>
              <w:pStyle w:val="StandardWeb"/>
              <w:rPr>
                <w:szCs w:val="16"/>
              </w:rPr>
            </w:pPr>
            <w:r w:rsidRPr="004D505F">
              <w:rPr>
                <w:rFonts w:cs="Arial"/>
                <w:szCs w:val="16"/>
              </w:rPr>
              <w:t>vor Vorbereitungsdienst</w:t>
            </w:r>
          </w:p>
        </w:tc>
        <w:tc>
          <w:tcPr>
            <w:tcW w:w="2654"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 c ohne Aufstieg nach V b</w:t>
            </w:r>
          </w:p>
        </w:tc>
        <w:tc>
          <w:tcPr>
            <w:tcW w:w="89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8</w:t>
            </w:r>
          </w:p>
        </w:tc>
      </w:tr>
      <w:tr w:rsidR="00BE1EFE" w:rsidRPr="004D505F" w:rsidTr="00C63A29">
        <w:trPr>
          <w:trHeight w:val="525"/>
        </w:trPr>
        <w:tc>
          <w:tcPr>
            <w:tcW w:w="2988"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Gemeindeassistenten</w:t>
            </w:r>
          </w:p>
        </w:tc>
        <w:tc>
          <w:tcPr>
            <w:tcW w:w="265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 b ohne Aufstieg nach IV b (Endstufe 3)</w:t>
            </w:r>
          </w:p>
        </w:tc>
        <w:tc>
          <w:tcPr>
            <w:tcW w:w="89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r w:rsidR="00BE1EFE" w:rsidRPr="004D505F" w:rsidTr="00C63A29">
        <w:trPr>
          <w:trHeight w:val="510"/>
        </w:trPr>
        <w:tc>
          <w:tcPr>
            <w:tcW w:w="2988"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rFonts w:cs="Arial"/>
                <w:b/>
                <w:bCs/>
                <w:szCs w:val="16"/>
              </w:rPr>
            </w:pPr>
            <w:r w:rsidRPr="004D505F">
              <w:rPr>
                <w:rStyle w:val="Fett"/>
                <w:rFonts w:cs="Arial"/>
                <w:bCs/>
                <w:szCs w:val="16"/>
              </w:rPr>
              <w:t>Gemeindereferenten</w:t>
            </w:r>
          </w:p>
          <w:p w:rsidR="00BE1EFE" w:rsidRPr="004D505F" w:rsidRDefault="00BE1EFE">
            <w:pPr>
              <w:pStyle w:val="StandardWeb"/>
              <w:rPr>
                <w:szCs w:val="16"/>
              </w:rPr>
            </w:pPr>
            <w:r w:rsidRPr="004D505F">
              <w:rPr>
                <w:rFonts w:cs="Arial"/>
                <w:szCs w:val="16"/>
              </w:rPr>
              <w:t>mit 2. Dienstprüfung</w:t>
            </w:r>
          </w:p>
        </w:tc>
        <w:tc>
          <w:tcPr>
            <w:tcW w:w="2654"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IV b mit ausstehendem Auf</w:t>
            </w:r>
            <w:r w:rsidRPr="004D505F">
              <w:rPr>
                <w:rFonts w:cs="Arial"/>
                <w:szCs w:val="16"/>
              </w:rPr>
              <w:t>stieg nach IV a</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10</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 a nach Aufstieg aus IV b</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25"/>
        </w:trPr>
        <w:tc>
          <w:tcPr>
            <w:tcW w:w="2988"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Seelsorgehelfer</w:t>
            </w:r>
          </w:p>
        </w:tc>
        <w:tc>
          <w:tcPr>
            <w:tcW w:w="26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 c mit ausstehendem Auf</w:t>
            </w:r>
            <w:r w:rsidRPr="004D505F">
              <w:rPr>
                <w:rFonts w:cs="Arial"/>
                <w:szCs w:val="16"/>
              </w:rPr>
              <w:t>stieg nach V b</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8</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 b nach Aufstieg aus V c</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bl>
    <w:p w:rsidR="00BE1EFE" w:rsidRPr="004D505F" w:rsidRDefault="00BE1EFE" w:rsidP="00942CDA">
      <w:pPr>
        <w:pStyle w:val="Leerzeile"/>
        <w:rPr>
          <w:szCs w:val="16"/>
        </w:rPr>
      </w:pPr>
      <w:r w:rsidRPr="004D505F">
        <w:rPr>
          <w:szCs w:val="16"/>
        </w:rPr>
        <w:br w:type="page"/>
      </w:r>
    </w:p>
    <w:tbl>
      <w:tblPr>
        <w:tblW w:w="6659" w:type="dxa"/>
        <w:tblCellMar>
          <w:left w:w="0" w:type="dxa"/>
          <w:right w:w="0" w:type="dxa"/>
        </w:tblCellMar>
        <w:tblLook w:val="04A0" w:firstRow="1" w:lastRow="0" w:firstColumn="1" w:lastColumn="0" w:noHBand="0" w:noVBand="1"/>
      </w:tblPr>
      <w:tblGrid>
        <w:gridCol w:w="3112"/>
        <w:gridCol w:w="2650"/>
        <w:gridCol w:w="897"/>
      </w:tblGrid>
      <w:tr w:rsidR="00BE1EFE" w:rsidRPr="004D505F" w:rsidTr="00E87479">
        <w:trPr>
          <w:trHeight w:val="255"/>
        </w:trPr>
        <w:tc>
          <w:tcPr>
            <w:tcW w:w="3112"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lastRenderedPageBreak/>
              <w:t>Berufsgruppe</w:t>
            </w:r>
          </w:p>
        </w:tc>
        <w:tc>
          <w:tcPr>
            <w:tcW w:w="265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Vergütungsgruppen</w:t>
            </w:r>
          </w:p>
        </w:tc>
        <w:tc>
          <w:tcPr>
            <w:tcW w:w="8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E87479">
            <w:pPr>
              <w:pStyle w:val="StandardWeb"/>
              <w:autoSpaceDE w:val="0"/>
              <w:jc w:val="center"/>
              <w:rPr>
                <w:szCs w:val="16"/>
              </w:rPr>
            </w:pPr>
            <w:r w:rsidRPr="004D505F">
              <w:rPr>
                <w:rStyle w:val="Fett"/>
                <w:rFonts w:cs="Arial"/>
                <w:bCs/>
                <w:szCs w:val="16"/>
              </w:rPr>
              <w:t>Entgelt-gruppe</w:t>
            </w:r>
          </w:p>
        </w:tc>
      </w:tr>
      <w:tr w:rsidR="00BE1EFE" w:rsidRPr="004D505F" w:rsidTr="00180FD5">
        <w:trPr>
          <w:trHeight w:val="270"/>
        </w:trPr>
        <w:tc>
          <w:tcPr>
            <w:tcW w:w="0" w:type="auto"/>
            <w:vMerge/>
            <w:tcBorders>
              <w:top w:val="single" w:sz="8" w:space="0" w:color="auto"/>
              <w:left w:val="single" w:sz="8" w:space="0" w:color="auto"/>
              <w:bottom w:val="nil"/>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pPr>
              <w:rPr>
                <w:szCs w:val="16"/>
              </w:rPr>
            </w:pPr>
          </w:p>
        </w:tc>
      </w:tr>
      <w:tr w:rsidR="00BE1EFE" w:rsidRPr="004D505F" w:rsidTr="00C63A29">
        <w:trPr>
          <w:trHeight w:val="270"/>
        </w:trPr>
        <w:tc>
          <w:tcPr>
            <w:tcW w:w="3112" w:type="dxa"/>
            <w:tcBorders>
              <w:top w:val="single" w:sz="8" w:space="0" w:color="auto"/>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 xml:space="preserve">Pfarrhelfer </w:t>
            </w:r>
            <w:r w:rsidRPr="004D505F">
              <w:rPr>
                <w:rFonts w:cs="Arial"/>
                <w:szCs w:val="16"/>
              </w:rPr>
              <w:t>im Vorbereitungsdienst</w:t>
            </w:r>
          </w:p>
        </w:tc>
        <w:tc>
          <w:tcPr>
            <w:tcW w:w="2650"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VII</w:t>
            </w:r>
          </w:p>
        </w:tc>
        <w:tc>
          <w:tcPr>
            <w:tcW w:w="89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5</w:t>
            </w:r>
          </w:p>
        </w:tc>
      </w:tr>
      <w:tr w:rsidR="00BE1EFE" w:rsidRPr="004D505F" w:rsidTr="00C63A29">
        <w:trPr>
          <w:trHeight w:val="270"/>
        </w:trPr>
        <w:tc>
          <w:tcPr>
            <w:tcW w:w="3112" w:type="dxa"/>
            <w:tcBorders>
              <w:top w:val="single" w:sz="8" w:space="0" w:color="auto"/>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Pfarrhelfer</w:t>
            </w:r>
            <w:r w:rsidRPr="004D505F">
              <w:rPr>
                <w:rFonts w:cs="Arial"/>
                <w:szCs w:val="16"/>
              </w:rPr>
              <w:t>in der Berufseinführung</w:t>
            </w:r>
          </w:p>
        </w:tc>
        <w:tc>
          <w:tcPr>
            <w:tcW w:w="265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VI b</w:t>
            </w:r>
          </w:p>
        </w:tc>
        <w:tc>
          <w:tcPr>
            <w:tcW w:w="897"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6</w:t>
            </w:r>
          </w:p>
        </w:tc>
      </w:tr>
      <w:tr w:rsidR="00BE1EFE" w:rsidRPr="004D505F" w:rsidTr="00C63A29">
        <w:trPr>
          <w:trHeight w:val="272"/>
        </w:trPr>
        <w:tc>
          <w:tcPr>
            <w:tcW w:w="3112"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 xml:space="preserve">Pfarrhelfer </w:t>
            </w:r>
            <w:r w:rsidRPr="004D505F">
              <w:rPr>
                <w:rFonts w:cs="Arial"/>
                <w:szCs w:val="16"/>
              </w:rPr>
              <w:t>mit 2. Dienstprüfung</w:t>
            </w:r>
          </w:p>
        </w:tc>
        <w:tc>
          <w:tcPr>
            <w:tcW w:w="265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 xml:space="preserve">V c </w:t>
            </w:r>
          </w:p>
        </w:tc>
        <w:tc>
          <w:tcPr>
            <w:tcW w:w="89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8</w:t>
            </w:r>
          </w:p>
        </w:tc>
      </w:tr>
      <w:tr w:rsidR="00BE1EFE" w:rsidRPr="004D505F" w:rsidTr="00C63A29">
        <w:trPr>
          <w:trHeight w:val="272"/>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50" w:type="dxa"/>
            <w:tcBorders>
              <w:top w:val="nil"/>
              <w:left w:val="nil"/>
              <w:bottom w:val="single" w:sz="8" w:space="0" w:color="auto"/>
              <w:right w:val="nil"/>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 b</w:t>
            </w:r>
          </w:p>
        </w:tc>
        <w:tc>
          <w:tcPr>
            <w:tcW w:w="89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r w:rsidR="00BE1EFE" w:rsidRPr="004D505F" w:rsidTr="00C63A29">
        <w:trPr>
          <w:trHeight w:val="270"/>
        </w:trPr>
        <w:tc>
          <w:tcPr>
            <w:tcW w:w="3112" w:type="dxa"/>
            <w:tcBorders>
              <w:top w:val="nil"/>
              <w:left w:val="single" w:sz="8" w:space="0" w:color="auto"/>
              <w:bottom w:val="nil"/>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Pastoralassistenten</w:t>
            </w:r>
          </w:p>
        </w:tc>
        <w:tc>
          <w:tcPr>
            <w:tcW w:w="2650"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III ohne Aufstieg nach II a</w:t>
            </w:r>
          </w:p>
        </w:tc>
        <w:tc>
          <w:tcPr>
            <w:tcW w:w="89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11</w:t>
            </w:r>
          </w:p>
        </w:tc>
      </w:tr>
      <w:tr w:rsidR="00BE1EFE" w:rsidRPr="004D505F" w:rsidTr="00C63A29">
        <w:trPr>
          <w:trHeight w:val="510"/>
        </w:trPr>
        <w:tc>
          <w:tcPr>
            <w:tcW w:w="3112"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hideMark/>
          </w:tcPr>
          <w:p w:rsidR="00BE1EFE" w:rsidRPr="004D505F" w:rsidRDefault="00BE1EFE" w:rsidP="0054275E">
            <w:pPr>
              <w:pStyle w:val="StandardWeb"/>
              <w:autoSpaceDE w:val="0"/>
              <w:rPr>
                <w:szCs w:val="16"/>
              </w:rPr>
            </w:pPr>
            <w:r w:rsidRPr="004D505F">
              <w:rPr>
                <w:rStyle w:val="Fett"/>
                <w:rFonts w:cs="Arial"/>
                <w:bCs/>
                <w:szCs w:val="16"/>
              </w:rPr>
              <w:t>Pastoralreferenten</w:t>
            </w:r>
          </w:p>
        </w:tc>
        <w:tc>
          <w:tcPr>
            <w:tcW w:w="265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II a mit ausstehendem Auf</w:t>
            </w:r>
            <w:r w:rsidRPr="004D505F">
              <w:rPr>
                <w:rFonts w:cs="Arial"/>
                <w:szCs w:val="16"/>
              </w:rPr>
              <w:t>stieg nach I b</w:t>
            </w:r>
          </w:p>
        </w:tc>
        <w:tc>
          <w:tcPr>
            <w:tcW w:w="8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14</w:t>
            </w:r>
          </w:p>
        </w:tc>
      </w:tr>
      <w:tr w:rsidR="00BE1EFE" w:rsidRPr="004D505F" w:rsidTr="00C63A29">
        <w:trPr>
          <w:trHeight w:val="272"/>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 b nach Aufstieg aus II a</w:t>
            </w: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113"/>
        </w:trPr>
        <w:tc>
          <w:tcPr>
            <w:tcW w:w="3112" w:type="dxa"/>
            <w:tcBorders>
              <w:top w:val="nil"/>
              <w:left w:val="single" w:sz="8" w:space="0" w:color="auto"/>
              <w:bottom w:val="nil"/>
              <w:right w:val="single" w:sz="8" w:space="0" w:color="auto"/>
            </w:tcBorders>
            <w:tcMar>
              <w:top w:w="0" w:type="dxa"/>
              <w:left w:w="70" w:type="dxa"/>
              <w:bottom w:w="0" w:type="dxa"/>
              <w:right w:w="70" w:type="dxa"/>
            </w:tcMar>
            <w:hideMark/>
          </w:tcPr>
          <w:p w:rsidR="00BE1EFE" w:rsidRPr="004D505F" w:rsidRDefault="00BE1EFE">
            <w:pPr>
              <w:spacing w:line="113" w:lineRule="atLeast"/>
              <w:rPr>
                <w:szCs w:val="16"/>
              </w:rPr>
            </w:pPr>
            <w:r w:rsidRPr="004D505F">
              <w:rPr>
                <w:szCs w:val="16"/>
              </w:rPr>
              <w:t> </w:t>
            </w:r>
          </w:p>
        </w:tc>
        <w:tc>
          <w:tcPr>
            <w:tcW w:w="26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spacing w:line="113" w:lineRule="atLeast"/>
              <w:rPr>
                <w:szCs w:val="16"/>
              </w:rPr>
            </w:pPr>
            <w:r w:rsidRPr="004D505F">
              <w:rPr>
                <w:szCs w:val="16"/>
              </w:rPr>
              <w:t> </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spacing w:line="113" w:lineRule="atLeast"/>
              <w:jc w:val="center"/>
              <w:rPr>
                <w:szCs w:val="16"/>
              </w:rPr>
            </w:pPr>
          </w:p>
        </w:tc>
      </w:tr>
      <w:tr w:rsidR="00BE1EFE" w:rsidRPr="004D505F" w:rsidTr="00C63A29">
        <w:trPr>
          <w:trHeight w:val="525"/>
        </w:trPr>
        <w:tc>
          <w:tcPr>
            <w:tcW w:w="3112"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hideMark/>
          </w:tcPr>
          <w:p w:rsidR="00BE1EFE" w:rsidRPr="004D505F" w:rsidRDefault="00BE1EFE" w:rsidP="004D505F">
            <w:pPr>
              <w:pStyle w:val="StandardWeb"/>
              <w:autoSpaceDE w:val="0"/>
              <w:jc w:val="left"/>
              <w:rPr>
                <w:szCs w:val="16"/>
              </w:rPr>
            </w:pPr>
            <w:r w:rsidRPr="004D505F">
              <w:rPr>
                <w:rStyle w:val="Fett"/>
                <w:rFonts w:cs="Arial"/>
                <w:bCs/>
                <w:szCs w:val="16"/>
              </w:rPr>
              <w:t>Beschäftigte in der Verbands- und/oder Bildungsarbeit für Erwachsene (FH)</w:t>
            </w:r>
          </w:p>
        </w:tc>
        <w:tc>
          <w:tcPr>
            <w:tcW w:w="26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 b mit ausstehendem Aufstieg nach IV b</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r w:rsidR="00BE1EFE" w:rsidRPr="004D505F" w:rsidTr="00C63A29">
        <w:trPr>
          <w:trHeight w:val="51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50"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IV b mit ausstehendem Auf</w:t>
            </w:r>
            <w:r w:rsidRPr="004D505F">
              <w:rPr>
                <w:rFonts w:cs="Arial"/>
                <w:szCs w:val="16"/>
              </w:rPr>
              <w:t>stieg nach IV a</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10</w:t>
            </w:r>
          </w:p>
        </w:tc>
      </w:tr>
      <w:tr w:rsidR="00BE1EFE" w:rsidRPr="004D505F" w:rsidTr="00C63A29">
        <w:trPr>
          <w:trHeight w:val="272"/>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4D505F" w:rsidRDefault="00BE1EFE">
            <w:pPr>
              <w:rPr>
                <w:szCs w:val="16"/>
              </w:rPr>
            </w:pPr>
          </w:p>
        </w:tc>
        <w:tc>
          <w:tcPr>
            <w:tcW w:w="26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 a nach Aufstieg aus IV b</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454"/>
        </w:trPr>
        <w:tc>
          <w:tcPr>
            <w:tcW w:w="3112"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4D505F">
            <w:pPr>
              <w:pStyle w:val="StandardWeb"/>
              <w:autoSpaceDE w:val="0"/>
              <w:jc w:val="left"/>
              <w:rPr>
                <w:rFonts w:cs="Arial"/>
                <w:b/>
                <w:bCs/>
                <w:szCs w:val="16"/>
              </w:rPr>
            </w:pPr>
            <w:r w:rsidRPr="004D505F">
              <w:rPr>
                <w:rStyle w:val="Fett"/>
                <w:rFonts w:cs="Arial"/>
                <w:bCs/>
                <w:szCs w:val="16"/>
              </w:rPr>
              <w:t>Beschäftigte in der Verbands- und/oder Bildungsarbeit für Erwachsene</w:t>
            </w:r>
          </w:p>
          <w:p w:rsidR="00BE1EFE" w:rsidRPr="004D505F" w:rsidRDefault="00BE1EFE" w:rsidP="004D505F">
            <w:pPr>
              <w:pStyle w:val="StandardWeb"/>
              <w:jc w:val="left"/>
              <w:rPr>
                <w:szCs w:val="16"/>
              </w:rPr>
            </w:pPr>
            <w:r w:rsidRPr="004D505F">
              <w:rPr>
                <w:rFonts w:cs="Arial"/>
                <w:szCs w:val="16"/>
              </w:rPr>
              <w:t>m</w:t>
            </w:r>
            <w:r>
              <w:rPr>
                <w:rFonts w:cs="Arial"/>
                <w:szCs w:val="16"/>
              </w:rPr>
              <w:t>it mindestens zweijähriger Voll</w:t>
            </w:r>
            <w:r w:rsidRPr="004D505F">
              <w:rPr>
                <w:rFonts w:cs="Arial"/>
                <w:szCs w:val="16"/>
              </w:rPr>
              <w:t>zeit</w:t>
            </w:r>
            <w:r w:rsidRPr="004D505F">
              <w:rPr>
                <w:rFonts w:cs="Arial"/>
                <w:szCs w:val="16"/>
              </w:rPr>
              <w:softHyphen/>
              <w:t>ausbildung oder mit sonstiger kirchlich anerkannter Ausbildung</w:t>
            </w:r>
          </w:p>
        </w:tc>
        <w:tc>
          <w:tcPr>
            <w:tcW w:w="2650"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 c mit ausstehendem Auf</w:t>
            </w:r>
            <w:r w:rsidRPr="004D505F">
              <w:rPr>
                <w:rFonts w:cs="Arial"/>
                <w:szCs w:val="16"/>
              </w:rPr>
              <w:t>stieg nach V b</w:t>
            </w:r>
          </w:p>
        </w:tc>
        <w:tc>
          <w:tcPr>
            <w:tcW w:w="897"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8</w:t>
            </w:r>
          </w:p>
        </w:tc>
      </w:tr>
      <w:tr w:rsidR="00BE1EFE" w:rsidRPr="004D505F" w:rsidTr="00C63A29">
        <w:trPr>
          <w:trHeight w:val="255"/>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 b mit ausstehendem Auf</w:t>
            </w:r>
            <w:r w:rsidRPr="004D505F">
              <w:rPr>
                <w:rFonts w:cs="Arial"/>
                <w:szCs w:val="16"/>
              </w:rPr>
              <w:t>stieg nach IV b</w:t>
            </w:r>
          </w:p>
        </w:tc>
        <w:tc>
          <w:tcPr>
            <w:tcW w:w="8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r w:rsidR="00BE1EFE" w:rsidRPr="004D505F" w:rsidTr="00C63A29">
        <w:trPr>
          <w:trHeight w:val="218"/>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rsidP="00C63A2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465"/>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0"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 b mit ausstehendem Au</w:t>
            </w:r>
            <w:r>
              <w:rPr>
                <w:rFonts w:cs="Arial"/>
                <w:szCs w:val="16"/>
              </w:rPr>
              <w:t>f</w:t>
            </w:r>
            <w:r w:rsidRPr="004D505F">
              <w:rPr>
                <w:rFonts w:cs="Arial"/>
                <w:szCs w:val="16"/>
              </w:rPr>
              <w:t>stieg nach IV a,</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10</w:t>
            </w:r>
          </w:p>
        </w:tc>
      </w:tr>
      <w:tr w:rsidR="00BE1EFE" w:rsidRPr="004D505F" w:rsidTr="00C63A29">
        <w:trPr>
          <w:trHeight w:val="225"/>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spacing w:line="225" w:lineRule="atLeast"/>
              <w:jc w:val="left"/>
              <w:rPr>
                <w:szCs w:val="16"/>
              </w:rPr>
            </w:pPr>
            <w:r w:rsidRPr="004D505F">
              <w:rPr>
                <w:rFonts w:cs="Arial"/>
                <w:szCs w:val="16"/>
              </w:rPr>
              <w:t>IV a nach Aufstieg aus IV b</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284"/>
        </w:trPr>
        <w:tc>
          <w:tcPr>
            <w:tcW w:w="3112"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4D505F">
            <w:pPr>
              <w:pStyle w:val="StandardWeb"/>
              <w:autoSpaceDE w:val="0"/>
              <w:jc w:val="left"/>
              <w:rPr>
                <w:szCs w:val="16"/>
              </w:rPr>
            </w:pPr>
            <w:r w:rsidRPr="004D505F">
              <w:rPr>
                <w:rStyle w:val="Fett"/>
                <w:rFonts w:cs="Arial"/>
                <w:bCs/>
                <w:szCs w:val="16"/>
              </w:rPr>
              <w:t>Beschäftigte in der Verbands- und/oder Bildungsarbeit für Jugendliche (FH)</w:t>
            </w:r>
          </w:p>
        </w:tc>
        <w:tc>
          <w:tcPr>
            <w:tcW w:w="2650" w:type="dxa"/>
            <w:tcBorders>
              <w:top w:val="nil"/>
              <w:left w:val="nil"/>
              <w:bottom w:val="nil"/>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V b mit ausstehendem Aufstieg nach IV b</w:t>
            </w:r>
          </w:p>
        </w:tc>
        <w:tc>
          <w:tcPr>
            <w:tcW w:w="8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r w:rsidR="00BE1EFE" w:rsidRPr="004D505F" w:rsidTr="00C63A29">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rsidP="004D505F">
            <w:pPr>
              <w:rPr>
                <w:szCs w:val="16"/>
              </w:rPr>
            </w:pPr>
          </w:p>
        </w:tc>
        <w:tc>
          <w:tcPr>
            <w:tcW w:w="26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sidRPr="004D505F">
              <w:rPr>
                <w:rFonts w:cs="Arial"/>
                <w:szCs w:val="16"/>
              </w:rPr>
              <w:t>IV b nach Aufstieg aus V b</w:t>
            </w:r>
          </w:p>
        </w:tc>
        <w:tc>
          <w:tcPr>
            <w:tcW w:w="0" w:type="auto"/>
            <w:vMerge/>
            <w:tcBorders>
              <w:top w:val="nil"/>
              <w:left w:val="nil"/>
              <w:bottom w:val="single" w:sz="8" w:space="0" w:color="auto"/>
              <w:right w:val="single" w:sz="8" w:space="0" w:color="auto"/>
            </w:tcBorders>
            <w:vAlign w:val="center"/>
            <w:hideMark/>
          </w:tcPr>
          <w:p w:rsidR="00BE1EFE" w:rsidRPr="004D505F" w:rsidRDefault="00BE1EFE" w:rsidP="00C63A29">
            <w:pPr>
              <w:jc w:val="center"/>
              <w:rPr>
                <w:szCs w:val="16"/>
              </w:rPr>
            </w:pPr>
          </w:p>
        </w:tc>
      </w:tr>
      <w:tr w:rsidR="00BE1EFE" w:rsidRPr="004D505F" w:rsidTr="00C63A29">
        <w:trPr>
          <w:trHeight w:val="525"/>
        </w:trPr>
        <w:tc>
          <w:tcPr>
            <w:tcW w:w="3112"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BE1EFE" w:rsidRPr="004D505F" w:rsidRDefault="00BE1EFE" w:rsidP="004D505F">
            <w:pPr>
              <w:pStyle w:val="StandardWeb"/>
              <w:autoSpaceDE w:val="0"/>
              <w:jc w:val="left"/>
              <w:rPr>
                <w:rFonts w:cs="Arial"/>
                <w:b/>
                <w:bCs/>
                <w:szCs w:val="16"/>
              </w:rPr>
            </w:pPr>
            <w:r w:rsidRPr="004D505F">
              <w:rPr>
                <w:rStyle w:val="Fett"/>
                <w:rFonts w:cs="Arial"/>
                <w:bCs/>
                <w:szCs w:val="16"/>
              </w:rPr>
              <w:t>Beschäftigte in der Verbands- und/oder Bildungsarbeit für Jugendliche</w:t>
            </w:r>
          </w:p>
          <w:p w:rsidR="00BE1EFE" w:rsidRPr="004D505F" w:rsidRDefault="00BE1EFE" w:rsidP="004D505F">
            <w:pPr>
              <w:pStyle w:val="StandardWeb"/>
              <w:jc w:val="left"/>
              <w:rPr>
                <w:szCs w:val="16"/>
              </w:rPr>
            </w:pPr>
            <w:r w:rsidRPr="004D505F">
              <w:rPr>
                <w:rFonts w:cs="Arial"/>
                <w:szCs w:val="16"/>
              </w:rPr>
              <w:t>m</w:t>
            </w:r>
            <w:r w:rsidR="00627946">
              <w:rPr>
                <w:rFonts w:cs="Arial"/>
                <w:szCs w:val="16"/>
              </w:rPr>
              <w:t>it mindestens zweijähriger Voll</w:t>
            </w:r>
            <w:r w:rsidRPr="004D505F">
              <w:rPr>
                <w:rFonts w:cs="Arial"/>
                <w:szCs w:val="16"/>
              </w:rPr>
              <w:t>zeit</w:t>
            </w:r>
            <w:r w:rsidR="00627946">
              <w:rPr>
                <w:rFonts w:cs="Arial"/>
                <w:szCs w:val="16"/>
              </w:rPr>
              <w:softHyphen/>
            </w:r>
            <w:r w:rsidRPr="004D505F">
              <w:rPr>
                <w:rFonts w:cs="Arial"/>
                <w:szCs w:val="16"/>
              </w:rPr>
              <w:t>ausbildung oder mit sonstiger kirchlich anerkannter Ausbildung</w:t>
            </w:r>
          </w:p>
        </w:tc>
        <w:tc>
          <w:tcPr>
            <w:tcW w:w="26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szCs w:val="16"/>
              </w:rPr>
            </w:pPr>
            <w:r>
              <w:rPr>
                <w:rFonts w:cs="Arial"/>
                <w:szCs w:val="16"/>
              </w:rPr>
              <w:t>V c mit ausstehendem Auf</w:t>
            </w:r>
            <w:r w:rsidRPr="004D505F">
              <w:rPr>
                <w:rFonts w:cs="Arial"/>
                <w:szCs w:val="16"/>
              </w:rPr>
              <w:t>stieg nach V b</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8</w:t>
            </w:r>
          </w:p>
        </w:tc>
      </w:tr>
      <w:tr w:rsidR="00BE1EFE" w:rsidRPr="004D505F" w:rsidTr="00C63A29">
        <w:trPr>
          <w:trHeight w:val="510"/>
        </w:trPr>
        <w:tc>
          <w:tcPr>
            <w:tcW w:w="0" w:type="auto"/>
            <w:vMerge/>
            <w:tcBorders>
              <w:top w:val="nil"/>
              <w:left w:val="single" w:sz="8" w:space="0" w:color="auto"/>
              <w:bottom w:val="single" w:sz="8" w:space="0" w:color="auto"/>
              <w:right w:val="single" w:sz="8" w:space="0" w:color="auto"/>
            </w:tcBorders>
            <w:vAlign w:val="center"/>
            <w:hideMark/>
          </w:tcPr>
          <w:p w:rsidR="00BE1EFE" w:rsidRPr="004D505F" w:rsidRDefault="00BE1EFE">
            <w:pPr>
              <w:rPr>
                <w:szCs w:val="16"/>
              </w:rPr>
            </w:pPr>
          </w:p>
        </w:tc>
        <w:tc>
          <w:tcPr>
            <w:tcW w:w="26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left"/>
              <w:rPr>
                <w:rFonts w:cs="Arial"/>
                <w:szCs w:val="16"/>
              </w:rPr>
            </w:pPr>
            <w:r>
              <w:rPr>
                <w:rFonts w:cs="Arial"/>
                <w:szCs w:val="16"/>
              </w:rPr>
              <w:t>V b mit ausstehendem Auf</w:t>
            </w:r>
            <w:r w:rsidRPr="004D505F">
              <w:rPr>
                <w:rFonts w:cs="Arial"/>
                <w:szCs w:val="16"/>
              </w:rPr>
              <w:t>stieg nach IV b</w:t>
            </w:r>
          </w:p>
          <w:p w:rsidR="00BE1EFE" w:rsidRPr="004D505F" w:rsidRDefault="00BE1EFE" w:rsidP="00C63A29">
            <w:pPr>
              <w:pStyle w:val="StandardWeb"/>
              <w:jc w:val="left"/>
              <w:rPr>
                <w:szCs w:val="16"/>
              </w:rPr>
            </w:pPr>
            <w:r w:rsidRPr="004D505F">
              <w:rPr>
                <w:rFonts w:cs="Arial"/>
                <w:szCs w:val="16"/>
              </w:rPr>
              <w:t>IV b nach Aufstieg aus V b</w:t>
            </w:r>
          </w:p>
        </w:tc>
        <w:tc>
          <w:tcPr>
            <w:tcW w:w="8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D505F" w:rsidRDefault="00BE1EFE" w:rsidP="00C63A29">
            <w:pPr>
              <w:pStyle w:val="StandardWeb"/>
              <w:jc w:val="center"/>
              <w:rPr>
                <w:szCs w:val="16"/>
              </w:rPr>
            </w:pPr>
            <w:r w:rsidRPr="004D505F">
              <w:rPr>
                <w:rFonts w:cs="Arial"/>
                <w:szCs w:val="16"/>
              </w:rPr>
              <w:t>9</w:t>
            </w:r>
          </w:p>
        </w:tc>
      </w:tr>
    </w:tbl>
    <w:p w:rsidR="00BE1EFE" w:rsidRPr="004D505F" w:rsidRDefault="00BE1EFE" w:rsidP="00953826">
      <w:pPr>
        <w:pStyle w:val="Leerzeile"/>
        <w:rPr>
          <w:szCs w:val="16"/>
        </w:rPr>
      </w:pPr>
    </w:p>
    <w:p w:rsidR="00BE1EFE" w:rsidRDefault="00C63A29" w:rsidP="006731BD">
      <w:pPr>
        <w:pStyle w:val="StandardWeb"/>
        <w:rPr>
          <w:szCs w:val="16"/>
        </w:rPr>
      </w:pPr>
      <w:r>
        <w:rPr>
          <w:szCs w:val="16"/>
        </w:rPr>
        <w:br w:type="page"/>
      </w:r>
    </w:p>
    <w:p w:rsidR="00BE1EFE" w:rsidRPr="004D505F" w:rsidRDefault="00BE1EFE" w:rsidP="006731BD">
      <w:pPr>
        <w:pStyle w:val="StandardWeb"/>
        <w:rPr>
          <w:szCs w:val="16"/>
        </w:rPr>
      </w:pPr>
    </w:p>
    <w:p w:rsidR="00BE1EFE" w:rsidRDefault="00BE1EFE" w:rsidP="00C63A29">
      <w:pPr>
        <w:pStyle w:val="berschrift6"/>
        <w:spacing w:before="0"/>
      </w:pPr>
      <w:bookmarkStart w:id="690" w:name="_Toc523926223"/>
      <w:r>
        <w:t>Anlage 3: Strukturausgleiche für Angestellte</w:t>
      </w:r>
      <w:bookmarkEnd w:id="690"/>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Abschnitt B Absatz 5 b bzw. 5 d Teil A, 1. in der bis zum 30.09.2005 geltenden Fassung bemisst, erhalten den entsprechenden Anteil, in jedem Fall aber die Hälfte des Strukturausgleichs für Verheiratete.</w:t>
      </w:r>
    </w:p>
    <w:p w:rsidR="00BE1EFE" w:rsidRDefault="00BE1EFE">
      <w:pPr>
        <w:pStyle w:val="StandardWeb"/>
      </w:pPr>
      <w:r>
        <w:rPr>
          <w:rStyle w:val="kleinschrift"/>
        </w:rPr>
        <w:t>2</w:t>
      </w:r>
      <w:r>
        <w:t>Soweit nicht anders ausgewiesen, beginnt die Zahlung des Strukturausgleichs</w:t>
      </w:r>
      <w:r w:rsidR="005F75CA">
        <w:t xml:space="preserve"> am </w:t>
      </w:r>
      <w:r>
        <w:t xml:space="preserve">1. Oktober 2007. Die Angabe "nach … Jahren" bedeutet, dass die Zahlung nach den genannten Jahren ab dem In-Kraft-Treten des ABD in der ab dem 01.10.2005 geltenden Fassung beginnt; so wird z. B. bei dem Merkmal "nach 4 Jahren" der Zahlungsbeginn auf den 1. Oktober 2009 festgelegt, wobei die Auszahlung eines Strukturausgleichs mit den jeweiligen Monatsbezügen erfolgt. </w:t>
      </w:r>
      <w:r>
        <w:rPr>
          <w:rStyle w:val="kleinschrift"/>
        </w:rPr>
        <w:t>3</w:t>
      </w:r>
      <w:r>
        <w:t>Die Dauer der Zahlung ist ebenfalls angegeben; dabei bedeutet "dauerhaft" die Zahlung während der Zeit des Arbeitsverhältnisses.</w:t>
      </w:r>
    </w:p>
    <w:p w:rsidR="00BE1EFE" w:rsidRDefault="00BE1EFE">
      <w:pPr>
        <w:pStyle w:val="StandardWeb"/>
      </w:pPr>
      <w:r>
        <w:rPr>
          <w:rStyle w:val="kleinschrift"/>
        </w:rPr>
        <w:t>4</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5</w:t>
      </w:r>
      <w:r>
        <w:t xml:space="preserve">Eine Ausnahme besteht dann, wenn das Ende des Zahlungszeitraumes nicht mit einem Stufenaufstieg in der jeweiligen Entgeltgruppe zeitlich zusammenfällt; in diesen Fällen wird der Strukturausgleich bis zum nächsten Stufenaufstieg fortgezahlt. </w:t>
      </w:r>
      <w:r>
        <w:rPr>
          <w:rStyle w:val="kleinschrift"/>
        </w:rPr>
        <w:t>6</w:t>
      </w:r>
      <w:r>
        <w:t>Diese Ausnahmeregelung gilt nicht, wenn der Stufenaufstieg in die Endstufe erfolgt; in diesen Fällen bleibt es bei der festgelegten Dauer.</w:t>
      </w:r>
    </w:p>
    <w:p w:rsidR="00BE1EFE" w:rsidRPr="000B1AF8" w:rsidRDefault="00BE1EFE">
      <w:pPr>
        <w:pStyle w:val="StandardWeb"/>
      </w:pPr>
    </w:p>
    <w:tbl>
      <w:tblPr>
        <w:tblW w:w="6747" w:type="dxa"/>
        <w:tblCellMar>
          <w:left w:w="0" w:type="dxa"/>
          <w:right w:w="0" w:type="dxa"/>
        </w:tblCellMar>
        <w:tblLook w:val="04A0" w:firstRow="1" w:lastRow="0" w:firstColumn="1" w:lastColumn="0" w:noHBand="0" w:noVBand="1"/>
      </w:tblPr>
      <w:tblGrid>
        <w:gridCol w:w="778"/>
        <w:gridCol w:w="1173"/>
        <w:gridCol w:w="892"/>
        <w:gridCol w:w="790"/>
        <w:gridCol w:w="754"/>
        <w:gridCol w:w="785"/>
        <w:gridCol w:w="1575"/>
      </w:tblGrid>
      <w:tr w:rsidR="006B46D3" w:rsidRPr="00CC06D0" w:rsidTr="006B46D3">
        <w:trPr>
          <w:trHeight w:val="420"/>
        </w:trPr>
        <w:tc>
          <w:tcPr>
            <w:tcW w:w="787"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Entgelt-gruppe</w:t>
            </w:r>
          </w:p>
        </w:tc>
        <w:tc>
          <w:tcPr>
            <w:tcW w:w="119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CF518F" w:rsidP="0054275E">
            <w:pPr>
              <w:pStyle w:val="StandardWeb"/>
              <w:autoSpaceDE w:val="0"/>
              <w:jc w:val="center"/>
              <w:rPr>
                <w:szCs w:val="16"/>
              </w:rPr>
            </w:pPr>
            <w:r>
              <w:rPr>
                <w:rStyle w:val="Fett"/>
                <w:rFonts w:cs="Arial"/>
                <w:bCs/>
                <w:szCs w:val="16"/>
              </w:rPr>
              <w:t>Vergütungs-gruppe bei In</w:t>
            </w:r>
            <w:r w:rsidR="00BE1EFE" w:rsidRPr="00CC06D0">
              <w:rPr>
                <w:rStyle w:val="Fett"/>
                <w:rFonts w:cs="Arial"/>
                <w:bCs/>
                <w:szCs w:val="16"/>
              </w:rPr>
              <w:t>krafttreten</w:t>
            </w:r>
            <w:r w:rsidR="00BE1EFE">
              <w:rPr>
                <w:rStyle w:val="Fett"/>
                <w:rFonts w:cs="Arial"/>
                <w:bCs/>
                <w:szCs w:val="16"/>
              </w:rPr>
              <w:t xml:space="preserve"> </w:t>
            </w:r>
            <w:r w:rsidR="00BE1EFE" w:rsidRPr="00CC06D0">
              <w:rPr>
                <w:rStyle w:val="Fett"/>
                <w:rFonts w:cs="Arial"/>
                <w:bCs/>
                <w:szCs w:val="16"/>
              </w:rPr>
              <w:t>Teil A, 3.</w:t>
            </w:r>
          </w:p>
        </w:tc>
        <w:tc>
          <w:tcPr>
            <w:tcW w:w="91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81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F518F" w:rsidRDefault="00BE1EFE" w:rsidP="0054275E">
            <w:pPr>
              <w:pStyle w:val="StandardWeb"/>
              <w:autoSpaceDE w:val="0"/>
              <w:jc w:val="center"/>
              <w:rPr>
                <w:rStyle w:val="Fett"/>
                <w:rFonts w:cs="Arial"/>
                <w:bCs/>
                <w:szCs w:val="16"/>
              </w:rPr>
            </w:pPr>
            <w:r w:rsidRPr="00CC06D0">
              <w:rPr>
                <w:rStyle w:val="Fett"/>
                <w:rFonts w:cs="Arial"/>
                <w:bCs/>
                <w:szCs w:val="16"/>
              </w:rPr>
              <w:t xml:space="preserve">Ortszu-schlag Stufe </w:t>
            </w:r>
          </w:p>
          <w:p w:rsidR="00BE1EFE" w:rsidRPr="00CC06D0" w:rsidRDefault="00BE1EFE" w:rsidP="0054275E">
            <w:pPr>
              <w:pStyle w:val="StandardWeb"/>
              <w:autoSpaceDE w:val="0"/>
              <w:jc w:val="center"/>
              <w:rPr>
                <w:szCs w:val="16"/>
              </w:rPr>
            </w:pPr>
            <w:r w:rsidRPr="00CC06D0">
              <w:rPr>
                <w:rStyle w:val="Fett"/>
                <w:rFonts w:cs="Arial"/>
                <w:bCs/>
                <w:szCs w:val="16"/>
              </w:rPr>
              <w:t>1, 2</w:t>
            </w:r>
          </w:p>
        </w:tc>
        <w:tc>
          <w:tcPr>
            <w:tcW w:w="75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79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148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6B46D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1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75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B46D3">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1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75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B46D3">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565" w:type="dxa"/>
            <w:gridSpan w:val="2"/>
            <w:vMerge w:val="restart"/>
            <w:tcBorders>
              <w:top w:val="nil"/>
              <w:left w:val="nil"/>
              <w:bottom w:val="single" w:sz="8" w:space="0" w:color="auto"/>
              <w:right w:val="single" w:sz="8" w:space="0" w:color="auto"/>
            </w:tcBorders>
            <w:tcMar>
              <w:top w:w="0" w:type="dxa"/>
              <w:left w:w="70" w:type="dxa"/>
              <w:bottom w:w="0" w:type="dxa"/>
              <w:right w:w="70" w:type="dxa"/>
            </w:tcMar>
            <w:hideMark/>
          </w:tcPr>
          <w:p w:rsidR="00BE1EFE" w:rsidRPr="00CC06D0" w:rsidRDefault="00BE1EFE" w:rsidP="0054275E">
            <w:pPr>
              <w:pStyle w:val="StandardWeb"/>
              <w:autoSpaceDE w:val="0"/>
              <w:jc w:val="center"/>
              <w:rPr>
                <w:szCs w:val="16"/>
              </w:rPr>
            </w:pPr>
            <w:r w:rsidRPr="00CC06D0">
              <w:rPr>
                <w:rStyle w:val="Fett"/>
                <w:rFonts w:cs="Arial"/>
                <w:bCs/>
                <w:szCs w:val="16"/>
              </w:rPr>
              <w:t>bei Inkrafttreten 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B46D3">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565" w:type="dxa"/>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6B46D3" w:rsidRPr="00CC06D0" w:rsidTr="00CF518F">
        <w:trPr>
          <w:trHeight w:val="255"/>
        </w:trPr>
        <w:tc>
          <w:tcPr>
            <w:tcW w:w="78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16476" w:rsidRDefault="00BE1EFE" w:rsidP="00CF518F">
            <w:pPr>
              <w:pStyle w:val="StandardWeb"/>
              <w:autoSpaceDE w:val="0"/>
              <w:jc w:val="center"/>
              <w:rPr>
                <w:b/>
                <w:szCs w:val="16"/>
              </w:rPr>
            </w:pPr>
            <w:r w:rsidRPr="00416476">
              <w:rPr>
                <w:rStyle w:val="Fett"/>
                <w:rFonts w:cs="Arial"/>
                <w:b w:val="0"/>
                <w:bCs/>
                <w:szCs w:val="16"/>
              </w:rPr>
              <w:t>2</w:t>
            </w:r>
          </w:p>
        </w:tc>
        <w:tc>
          <w:tcPr>
            <w:tcW w:w="119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X</w:t>
            </w:r>
          </w:p>
        </w:tc>
        <w:tc>
          <w:tcPr>
            <w:tcW w:w="91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IX b nach 2 Jahren</w:t>
            </w:r>
          </w:p>
        </w:tc>
        <w:tc>
          <w:tcPr>
            <w:tcW w:w="81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75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23</w:t>
            </w:r>
          </w:p>
        </w:tc>
        <w:tc>
          <w:tcPr>
            <w:tcW w:w="79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40 €</w:t>
            </w:r>
          </w:p>
        </w:tc>
        <w:tc>
          <w:tcPr>
            <w:tcW w:w="148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für 4 Jahre</w:t>
            </w:r>
          </w:p>
        </w:tc>
      </w:tr>
      <w:tr w:rsidR="00BE1EFE" w:rsidRPr="00CC06D0" w:rsidTr="00CF518F">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416476"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811" w:type="dxa"/>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754" w:type="dxa"/>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r>
      <w:tr w:rsidR="006B46D3" w:rsidRPr="00CC06D0" w:rsidTr="00CF518F">
        <w:trPr>
          <w:trHeight w:val="255"/>
        </w:trPr>
        <w:tc>
          <w:tcPr>
            <w:tcW w:w="78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19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X</w:t>
            </w:r>
          </w:p>
        </w:tc>
        <w:tc>
          <w:tcPr>
            <w:tcW w:w="91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IX b nach 2 Jahren</w:t>
            </w:r>
          </w:p>
        </w:tc>
        <w:tc>
          <w:tcPr>
            <w:tcW w:w="81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75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29</w:t>
            </w:r>
          </w:p>
        </w:tc>
        <w:tc>
          <w:tcPr>
            <w:tcW w:w="79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30 €</w:t>
            </w:r>
          </w:p>
        </w:tc>
        <w:tc>
          <w:tcPr>
            <w:tcW w:w="148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0" w:type="auto"/>
            <w:vMerge/>
            <w:tcBorders>
              <w:top w:val="nil"/>
              <w:left w:val="single" w:sz="8" w:space="0" w:color="auto"/>
              <w:bottom w:val="single" w:sz="8" w:space="0" w:color="auto"/>
              <w:right w:val="single" w:sz="8" w:space="0" w:color="auto"/>
            </w:tcBorders>
            <w:vAlign w:val="center"/>
          </w:tcPr>
          <w:p w:rsidR="00BE1EFE" w:rsidRPr="00416476"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811" w:type="dxa"/>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754" w:type="dxa"/>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r>
      <w:tr w:rsidR="006B46D3" w:rsidRPr="00CC06D0" w:rsidTr="00CF518F">
        <w:trPr>
          <w:trHeight w:val="255"/>
        </w:trPr>
        <w:tc>
          <w:tcPr>
            <w:tcW w:w="78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19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X</w:t>
            </w:r>
          </w:p>
        </w:tc>
        <w:tc>
          <w:tcPr>
            <w:tcW w:w="91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IX b nach 2 Jahren</w:t>
            </w:r>
          </w:p>
        </w:tc>
        <w:tc>
          <w:tcPr>
            <w:tcW w:w="81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754"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31</w:t>
            </w:r>
          </w:p>
        </w:tc>
        <w:tc>
          <w:tcPr>
            <w:tcW w:w="79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30 €</w:t>
            </w:r>
          </w:p>
        </w:tc>
        <w:tc>
          <w:tcPr>
            <w:tcW w:w="148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0" w:type="auto"/>
            <w:vMerge/>
            <w:tcBorders>
              <w:top w:val="nil"/>
              <w:left w:val="single" w:sz="8" w:space="0" w:color="auto"/>
              <w:bottom w:val="single" w:sz="8" w:space="0" w:color="auto"/>
              <w:right w:val="single" w:sz="8" w:space="0" w:color="auto"/>
            </w:tcBorders>
            <w:vAlign w:val="center"/>
          </w:tcPr>
          <w:p w:rsidR="00BE1EFE" w:rsidRPr="00416476"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811" w:type="dxa"/>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754" w:type="dxa"/>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CF518F">
            <w:pPr>
              <w:jc w:val="center"/>
              <w:rPr>
                <w:szCs w:val="16"/>
              </w:rPr>
            </w:pPr>
          </w:p>
        </w:tc>
      </w:tr>
      <w:tr w:rsidR="006B46D3" w:rsidRPr="00CC06D0" w:rsidTr="00CF518F">
        <w:trPr>
          <w:trHeight w:val="255"/>
        </w:trPr>
        <w:tc>
          <w:tcPr>
            <w:tcW w:w="787"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63A29" w:rsidRPr="00416476" w:rsidRDefault="00C63A29" w:rsidP="00CF518F">
            <w:pPr>
              <w:jc w:val="center"/>
              <w:rPr>
                <w:szCs w:val="16"/>
              </w:rPr>
            </w:pPr>
          </w:p>
        </w:tc>
        <w:tc>
          <w:tcPr>
            <w:tcW w:w="1194"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CC06D0" w:rsidRDefault="00C63A29" w:rsidP="00CF518F">
            <w:pPr>
              <w:pStyle w:val="StandardWeb"/>
              <w:jc w:val="center"/>
              <w:rPr>
                <w:rFonts w:cs="Arial"/>
                <w:szCs w:val="16"/>
              </w:rPr>
            </w:pPr>
            <w:r w:rsidRPr="00CC06D0">
              <w:rPr>
                <w:rFonts w:cs="Arial"/>
                <w:szCs w:val="16"/>
              </w:rPr>
              <w:t>X</w:t>
            </w:r>
          </w:p>
        </w:tc>
        <w:tc>
          <w:tcPr>
            <w:tcW w:w="919"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CC06D0" w:rsidRDefault="00C63A29" w:rsidP="00CF518F">
            <w:pPr>
              <w:pStyle w:val="StandardWeb"/>
              <w:jc w:val="center"/>
              <w:rPr>
                <w:rFonts w:cs="Arial"/>
                <w:szCs w:val="16"/>
              </w:rPr>
            </w:pPr>
            <w:r w:rsidRPr="00CC06D0">
              <w:rPr>
                <w:rFonts w:cs="Arial"/>
                <w:szCs w:val="16"/>
              </w:rPr>
              <w:t>IX b nach 2 Jahren</w:t>
            </w:r>
          </w:p>
        </w:tc>
        <w:tc>
          <w:tcPr>
            <w:tcW w:w="811"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CC06D0" w:rsidRDefault="00C63A29" w:rsidP="00CF518F">
            <w:pPr>
              <w:pStyle w:val="StandardWeb"/>
              <w:jc w:val="center"/>
              <w:rPr>
                <w:rFonts w:cs="Arial"/>
                <w:szCs w:val="16"/>
              </w:rPr>
            </w:pPr>
            <w:r w:rsidRPr="00CC06D0">
              <w:rPr>
                <w:rFonts w:cs="Arial"/>
                <w:szCs w:val="16"/>
              </w:rPr>
              <w:t>OZ 2</w:t>
            </w:r>
          </w:p>
        </w:tc>
        <w:tc>
          <w:tcPr>
            <w:tcW w:w="754"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CC06D0" w:rsidRDefault="00C63A29" w:rsidP="00CF518F">
            <w:pPr>
              <w:pStyle w:val="StandardWeb"/>
              <w:jc w:val="center"/>
              <w:rPr>
                <w:rFonts w:cs="Arial"/>
                <w:szCs w:val="16"/>
              </w:rPr>
            </w:pPr>
            <w:r w:rsidRPr="00CC06D0">
              <w:rPr>
                <w:rFonts w:cs="Arial"/>
                <w:szCs w:val="16"/>
              </w:rPr>
              <w:t>33</w:t>
            </w:r>
          </w:p>
        </w:tc>
        <w:tc>
          <w:tcPr>
            <w:tcW w:w="795"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CC06D0" w:rsidRDefault="00C63A29" w:rsidP="00CF518F">
            <w:pPr>
              <w:pStyle w:val="StandardWeb"/>
              <w:jc w:val="center"/>
              <w:rPr>
                <w:rFonts w:cs="Arial"/>
                <w:szCs w:val="16"/>
              </w:rPr>
            </w:pPr>
            <w:r w:rsidRPr="00CC06D0">
              <w:rPr>
                <w:rFonts w:cs="Arial"/>
                <w:szCs w:val="16"/>
              </w:rPr>
              <w:t>30 €</w:t>
            </w:r>
          </w:p>
        </w:tc>
        <w:tc>
          <w:tcPr>
            <w:tcW w:w="1487" w:type="dxa"/>
            <w:vMerge w:val="restart"/>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CC06D0" w:rsidRDefault="00C63A29" w:rsidP="00CF518F">
            <w:pPr>
              <w:pStyle w:val="StandardWeb"/>
              <w:jc w:val="center"/>
              <w:rPr>
                <w:rFonts w:cs="Arial"/>
                <w:szCs w:val="16"/>
              </w:rPr>
            </w:pPr>
            <w:r w:rsidRPr="00CC06D0">
              <w:rPr>
                <w:rFonts w:cs="Arial"/>
                <w:szCs w:val="16"/>
              </w:rPr>
              <w:t>dauerhaft</w:t>
            </w:r>
          </w:p>
        </w:tc>
      </w:tr>
      <w:tr w:rsidR="00C63A29" w:rsidRPr="00CC06D0" w:rsidTr="00CF518F">
        <w:trPr>
          <w:trHeight w:val="276"/>
        </w:trPr>
        <w:tc>
          <w:tcPr>
            <w:tcW w:w="0" w:type="auto"/>
            <w:vMerge/>
            <w:tcBorders>
              <w:top w:val="nil"/>
              <w:left w:val="single" w:sz="8" w:space="0" w:color="auto"/>
              <w:bottom w:val="single" w:sz="8" w:space="0" w:color="auto"/>
              <w:right w:val="single" w:sz="8" w:space="0" w:color="auto"/>
            </w:tcBorders>
            <w:vAlign w:val="center"/>
          </w:tcPr>
          <w:p w:rsidR="00C63A29" w:rsidRPr="00416476" w:rsidRDefault="00C63A29" w:rsidP="00CF518F">
            <w:pPr>
              <w:jc w:val="center"/>
              <w:rPr>
                <w:szCs w:val="16"/>
              </w:rPr>
            </w:pPr>
          </w:p>
        </w:tc>
        <w:tc>
          <w:tcPr>
            <w:tcW w:w="0" w:type="auto"/>
            <w:vMerge/>
            <w:tcBorders>
              <w:top w:val="nil"/>
              <w:left w:val="nil"/>
              <w:bottom w:val="single" w:sz="8" w:space="0" w:color="auto"/>
              <w:right w:val="single" w:sz="8" w:space="0" w:color="auto"/>
            </w:tcBorders>
            <w:vAlign w:val="center"/>
          </w:tcPr>
          <w:p w:rsidR="00C63A29" w:rsidRPr="00CC06D0" w:rsidRDefault="00C63A29" w:rsidP="00CF518F">
            <w:pPr>
              <w:jc w:val="center"/>
              <w:rPr>
                <w:szCs w:val="16"/>
              </w:rPr>
            </w:pPr>
          </w:p>
        </w:tc>
        <w:tc>
          <w:tcPr>
            <w:tcW w:w="0" w:type="auto"/>
            <w:vMerge/>
            <w:tcBorders>
              <w:top w:val="nil"/>
              <w:left w:val="nil"/>
              <w:bottom w:val="single" w:sz="8" w:space="0" w:color="auto"/>
              <w:right w:val="single" w:sz="8" w:space="0" w:color="auto"/>
            </w:tcBorders>
            <w:vAlign w:val="center"/>
          </w:tcPr>
          <w:p w:rsidR="00C63A29" w:rsidRPr="00CC06D0" w:rsidRDefault="00C63A29" w:rsidP="00CF518F">
            <w:pPr>
              <w:jc w:val="center"/>
              <w:rPr>
                <w:szCs w:val="16"/>
              </w:rPr>
            </w:pPr>
          </w:p>
        </w:tc>
        <w:tc>
          <w:tcPr>
            <w:tcW w:w="811" w:type="dxa"/>
            <w:vMerge/>
            <w:tcBorders>
              <w:top w:val="nil"/>
              <w:left w:val="nil"/>
              <w:bottom w:val="single" w:sz="8" w:space="0" w:color="auto"/>
              <w:right w:val="single" w:sz="8" w:space="0" w:color="auto"/>
            </w:tcBorders>
            <w:vAlign w:val="center"/>
          </w:tcPr>
          <w:p w:rsidR="00C63A29" w:rsidRPr="00CC06D0" w:rsidRDefault="00C63A29" w:rsidP="00CF518F">
            <w:pPr>
              <w:jc w:val="center"/>
              <w:rPr>
                <w:szCs w:val="16"/>
              </w:rPr>
            </w:pPr>
          </w:p>
        </w:tc>
        <w:tc>
          <w:tcPr>
            <w:tcW w:w="754" w:type="dxa"/>
            <w:vMerge/>
            <w:tcBorders>
              <w:top w:val="nil"/>
              <w:left w:val="nil"/>
              <w:bottom w:val="single" w:sz="8" w:space="0" w:color="auto"/>
              <w:right w:val="single" w:sz="8" w:space="0" w:color="auto"/>
            </w:tcBorders>
            <w:vAlign w:val="center"/>
          </w:tcPr>
          <w:p w:rsidR="00C63A29" w:rsidRPr="00CC06D0" w:rsidRDefault="00C63A29" w:rsidP="00CF518F">
            <w:pPr>
              <w:jc w:val="center"/>
              <w:rPr>
                <w:szCs w:val="16"/>
              </w:rPr>
            </w:pPr>
          </w:p>
        </w:tc>
        <w:tc>
          <w:tcPr>
            <w:tcW w:w="0" w:type="auto"/>
            <w:vMerge/>
            <w:tcBorders>
              <w:top w:val="nil"/>
              <w:left w:val="nil"/>
              <w:bottom w:val="single" w:sz="8" w:space="0" w:color="auto"/>
              <w:right w:val="single" w:sz="8" w:space="0" w:color="auto"/>
            </w:tcBorders>
            <w:vAlign w:val="center"/>
          </w:tcPr>
          <w:p w:rsidR="00C63A29" w:rsidRPr="00CC06D0" w:rsidRDefault="00C63A29" w:rsidP="00CF518F">
            <w:pPr>
              <w:jc w:val="center"/>
              <w:rPr>
                <w:szCs w:val="16"/>
              </w:rPr>
            </w:pPr>
          </w:p>
        </w:tc>
        <w:tc>
          <w:tcPr>
            <w:tcW w:w="0" w:type="auto"/>
            <w:vMerge/>
            <w:tcBorders>
              <w:top w:val="nil"/>
              <w:left w:val="nil"/>
              <w:bottom w:val="single" w:sz="8" w:space="0" w:color="auto"/>
              <w:right w:val="single" w:sz="8" w:space="0" w:color="auto"/>
            </w:tcBorders>
            <w:vAlign w:val="center"/>
          </w:tcPr>
          <w:p w:rsidR="00C63A29" w:rsidRPr="00CC06D0" w:rsidRDefault="00C63A29" w:rsidP="00CF518F">
            <w:pPr>
              <w:jc w:val="center"/>
              <w:rPr>
                <w:szCs w:val="16"/>
              </w:rPr>
            </w:pPr>
          </w:p>
        </w:tc>
      </w:tr>
      <w:tr w:rsidR="006B46D3" w:rsidRPr="00CC06D0" w:rsidTr="00CF518F">
        <w:trPr>
          <w:trHeight w:val="255"/>
        </w:trPr>
        <w:tc>
          <w:tcPr>
            <w:tcW w:w="78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63A29" w:rsidRPr="00416476" w:rsidRDefault="00C63A29" w:rsidP="00CF518F">
            <w:pPr>
              <w:jc w:val="center"/>
            </w:pPr>
            <w:r w:rsidRPr="00416476">
              <w:t>2</w:t>
            </w:r>
          </w:p>
        </w:tc>
        <w:tc>
          <w:tcPr>
            <w:tcW w:w="1194" w:type="dxa"/>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4B4C64" w:rsidRDefault="00C63A29" w:rsidP="00CF518F">
            <w:pPr>
              <w:jc w:val="center"/>
            </w:pPr>
            <w:r w:rsidRPr="004B4C64">
              <w:t>X</w:t>
            </w:r>
          </w:p>
        </w:tc>
        <w:tc>
          <w:tcPr>
            <w:tcW w:w="919" w:type="dxa"/>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4B4C64" w:rsidRDefault="00C63A29" w:rsidP="00CF518F">
            <w:pPr>
              <w:jc w:val="center"/>
            </w:pPr>
            <w:r w:rsidRPr="004B4C64">
              <w:t>IX b nach 2 Jahren</w:t>
            </w:r>
          </w:p>
        </w:tc>
        <w:tc>
          <w:tcPr>
            <w:tcW w:w="811" w:type="dxa"/>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4B4C64" w:rsidRDefault="00C63A29" w:rsidP="00CF518F">
            <w:pPr>
              <w:jc w:val="center"/>
            </w:pPr>
            <w:r w:rsidRPr="004B4C64">
              <w:t>OZ 2</w:t>
            </w:r>
          </w:p>
        </w:tc>
        <w:tc>
          <w:tcPr>
            <w:tcW w:w="754" w:type="dxa"/>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4B4C64" w:rsidRDefault="00C63A29" w:rsidP="00CF518F">
            <w:pPr>
              <w:jc w:val="center"/>
            </w:pPr>
            <w:r w:rsidRPr="004B4C64">
              <w:t>35</w:t>
            </w:r>
          </w:p>
        </w:tc>
        <w:tc>
          <w:tcPr>
            <w:tcW w:w="795" w:type="dxa"/>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4B4C64" w:rsidRDefault="00C63A29" w:rsidP="00CF518F">
            <w:pPr>
              <w:jc w:val="center"/>
            </w:pPr>
            <w:r w:rsidRPr="004B4C64">
              <w:t>20 €</w:t>
            </w:r>
          </w:p>
        </w:tc>
        <w:tc>
          <w:tcPr>
            <w:tcW w:w="1487" w:type="dxa"/>
            <w:tcBorders>
              <w:top w:val="nil"/>
              <w:left w:val="nil"/>
              <w:bottom w:val="single" w:sz="8" w:space="0" w:color="auto"/>
              <w:right w:val="single" w:sz="8" w:space="0" w:color="auto"/>
            </w:tcBorders>
            <w:tcMar>
              <w:top w:w="0" w:type="dxa"/>
              <w:left w:w="70" w:type="dxa"/>
              <w:bottom w:w="0" w:type="dxa"/>
              <w:right w:w="70" w:type="dxa"/>
            </w:tcMar>
            <w:vAlign w:val="center"/>
          </w:tcPr>
          <w:p w:rsidR="00C63A29" w:rsidRPr="004B4C64" w:rsidRDefault="00C63A29" w:rsidP="00CF518F">
            <w:pPr>
              <w:jc w:val="center"/>
            </w:pPr>
            <w:r w:rsidRPr="004B4C64">
              <w:t>dauerhaft</w:t>
            </w:r>
          </w:p>
        </w:tc>
      </w:tr>
      <w:tr w:rsidR="00C63A29" w:rsidRPr="00CC06D0" w:rsidTr="00CF518F">
        <w:trPr>
          <w:trHeight w:val="276"/>
        </w:trPr>
        <w:tc>
          <w:tcPr>
            <w:tcW w:w="0" w:type="auto"/>
            <w:tcBorders>
              <w:top w:val="nil"/>
              <w:left w:val="single" w:sz="8" w:space="0" w:color="auto"/>
              <w:bottom w:val="single" w:sz="8" w:space="0" w:color="auto"/>
              <w:right w:val="single" w:sz="8" w:space="0" w:color="auto"/>
            </w:tcBorders>
            <w:vAlign w:val="center"/>
          </w:tcPr>
          <w:p w:rsidR="00C63A29" w:rsidRPr="00416476" w:rsidRDefault="00C63A29" w:rsidP="00CF518F">
            <w:pPr>
              <w:jc w:val="center"/>
            </w:pPr>
            <w:r w:rsidRPr="00416476">
              <w:t>3</w:t>
            </w:r>
          </w:p>
        </w:tc>
        <w:tc>
          <w:tcPr>
            <w:tcW w:w="0" w:type="auto"/>
            <w:tcBorders>
              <w:top w:val="nil"/>
              <w:left w:val="nil"/>
              <w:bottom w:val="single" w:sz="8" w:space="0" w:color="auto"/>
              <w:right w:val="single" w:sz="8" w:space="0" w:color="auto"/>
            </w:tcBorders>
            <w:vAlign w:val="center"/>
          </w:tcPr>
          <w:p w:rsidR="00C63A29" w:rsidRPr="00533D7B" w:rsidRDefault="00C63A29" w:rsidP="00CF518F">
            <w:pPr>
              <w:jc w:val="center"/>
            </w:pPr>
            <w:r w:rsidRPr="00533D7B">
              <w:t>VIII</w:t>
            </w:r>
          </w:p>
        </w:tc>
        <w:tc>
          <w:tcPr>
            <w:tcW w:w="0" w:type="auto"/>
            <w:tcBorders>
              <w:top w:val="nil"/>
              <w:left w:val="nil"/>
              <w:bottom w:val="single" w:sz="8" w:space="0" w:color="auto"/>
              <w:right w:val="single" w:sz="8" w:space="0" w:color="auto"/>
            </w:tcBorders>
            <w:vAlign w:val="center"/>
          </w:tcPr>
          <w:p w:rsidR="00C63A29" w:rsidRPr="00533D7B" w:rsidRDefault="00C63A29" w:rsidP="00CF518F">
            <w:pPr>
              <w:jc w:val="center"/>
            </w:pPr>
            <w:r w:rsidRPr="00533D7B">
              <w:t>ohne</w:t>
            </w:r>
          </w:p>
        </w:tc>
        <w:tc>
          <w:tcPr>
            <w:tcW w:w="811" w:type="dxa"/>
            <w:tcBorders>
              <w:top w:val="nil"/>
              <w:left w:val="nil"/>
              <w:bottom w:val="single" w:sz="8" w:space="0" w:color="auto"/>
              <w:right w:val="single" w:sz="8" w:space="0" w:color="auto"/>
            </w:tcBorders>
            <w:vAlign w:val="center"/>
          </w:tcPr>
          <w:p w:rsidR="00C63A29" w:rsidRPr="00533D7B" w:rsidRDefault="00C63A29" w:rsidP="00CF518F">
            <w:pPr>
              <w:jc w:val="center"/>
            </w:pPr>
            <w:r w:rsidRPr="00533D7B">
              <w:t>OZ 2</w:t>
            </w:r>
          </w:p>
        </w:tc>
        <w:tc>
          <w:tcPr>
            <w:tcW w:w="754" w:type="dxa"/>
            <w:tcBorders>
              <w:top w:val="nil"/>
              <w:left w:val="nil"/>
              <w:bottom w:val="single" w:sz="8" w:space="0" w:color="auto"/>
              <w:right w:val="single" w:sz="8" w:space="0" w:color="auto"/>
            </w:tcBorders>
            <w:vAlign w:val="center"/>
          </w:tcPr>
          <w:p w:rsidR="00C63A29" w:rsidRPr="00533D7B" w:rsidRDefault="00C63A29" w:rsidP="00CF518F">
            <w:pPr>
              <w:jc w:val="center"/>
            </w:pPr>
            <w:r w:rsidRPr="00533D7B">
              <w:t>25</w:t>
            </w:r>
          </w:p>
        </w:tc>
        <w:tc>
          <w:tcPr>
            <w:tcW w:w="0" w:type="auto"/>
            <w:tcBorders>
              <w:top w:val="nil"/>
              <w:left w:val="nil"/>
              <w:bottom w:val="single" w:sz="8" w:space="0" w:color="auto"/>
              <w:right w:val="single" w:sz="8" w:space="0" w:color="auto"/>
            </w:tcBorders>
            <w:vAlign w:val="center"/>
          </w:tcPr>
          <w:p w:rsidR="00C63A29" w:rsidRPr="00533D7B" w:rsidRDefault="00C63A29" w:rsidP="00CF518F">
            <w:pPr>
              <w:jc w:val="center"/>
            </w:pPr>
            <w:r w:rsidRPr="00533D7B">
              <w:t>35 €</w:t>
            </w:r>
          </w:p>
        </w:tc>
        <w:tc>
          <w:tcPr>
            <w:tcW w:w="0" w:type="auto"/>
            <w:tcBorders>
              <w:top w:val="nil"/>
              <w:left w:val="nil"/>
              <w:bottom w:val="single" w:sz="8" w:space="0" w:color="auto"/>
              <w:right w:val="single" w:sz="8" w:space="0" w:color="auto"/>
            </w:tcBorders>
            <w:vAlign w:val="center"/>
          </w:tcPr>
          <w:p w:rsidR="009074C3" w:rsidRPr="00533D7B" w:rsidRDefault="009074C3" w:rsidP="00CF518F">
            <w:pPr>
              <w:jc w:val="center"/>
            </w:pPr>
            <w:r>
              <w:t>nach 4 Jahren dauerhaft</w:t>
            </w:r>
          </w:p>
        </w:tc>
      </w:tr>
      <w:tr w:rsidR="009074C3" w:rsidRPr="00CC06D0" w:rsidTr="00CF518F">
        <w:trPr>
          <w:trHeight w:val="255"/>
        </w:trPr>
        <w:tc>
          <w:tcPr>
            <w:tcW w:w="78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074C3" w:rsidRPr="00515A08" w:rsidRDefault="009074C3" w:rsidP="00CF518F">
            <w:pPr>
              <w:jc w:val="center"/>
            </w:pPr>
          </w:p>
        </w:tc>
        <w:tc>
          <w:tcPr>
            <w:tcW w:w="1194" w:type="dxa"/>
            <w:tcBorders>
              <w:top w:val="nil"/>
              <w:left w:val="nil"/>
              <w:bottom w:val="single" w:sz="8" w:space="0" w:color="auto"/>
              <w:right w:val="single" w:sz="8" w:space="0" w:color="auto"/>
            </w:tcBorders>
            <w:tcMar>
              <w:top w:w="0" w:type="dxa"/>
              <w:left w:w="70" w:type="dxa"/>
              <w:bottom w:w="0" w:type="dxa"/>
              <w:right w:w="70" w:type="dxa"/>
            </w:tcMar>
            <w:vAlign w:val="center"/>
          </w:tcPr>
          <w:p w:rsidR="009074C3" w:rsidRPr="00515A08" w:rsidRDefault="009074C3" w:rsidP="00CF518F">
            <w:pPr>
              <w:jc w:val="center"/>
            </w:pPr>
            <w:r w:rsidRPr="00515A08">
              <w:t>VIII</w:t>
            </w:r>
          </w:p>
        </w:tc>
        <w:tc>
          <w:tcPr>
            <w:tcW w:w="919" w:type="dxa"/>
            <w:tcBorders>
              <w:top w:val="nil"/>
              <w:left w:val="nil"/>
              <w:bottom w:val="single" w:sz="8" w:space="0" w:color="auto"/>
              <w:right w:val="single" w:sz="8" w:space="0" w:color="auto"/>
            </w:tcBorders>
            <w:tcMar>
              <w:top w:w="0" w:type="dxa"/>
              <w:left w:w="70" w:type="dxa"/>
              <w:bottom w:w="0" w:type="dxa"/>
              <w:right w:w="70" w:type="dxa"/>
            </w:tcMar>
            <w:vAlign w:val="center"/>
          </w:tcPr>
          <w:p w:rsidR="009074C3" w:rsidRPr="00515A08" w:rsidRDefault="009074C3" w:rsidP="00CF518F">
            <w:pPr>
              <w:jc w:val="center"/>
            </w:pPr>
            <w:r w:rsidRPr="00515A08">
              <w:t>ohne</w:t>
            </w:r>
          </w:p>
        </w:tc>
        <w:tc>
          <w:tcPr>
            <w:tcW w:w="811" w:type="dxa"/>
            <w:tcBorders>
              <w:top w:val="nil"/>
              <w:left w:val="nil"/>
              <w:bottom w:val="single" w:sz="8" w:space="0" w:color="auto"/>
              <w:right w:val="single" w:sz="8" w:space="0" w:color="auto"/>
            </w:tcBorders>
            <w:tcMar>
              <w:top w:w="0" w:type="dxa"/>
              <w:left w:w="70" w:type="dxa"/>
              <w:bottom w:w="0" w:type="dxa"/>
              <w:right w:w="70" w:type="dxa"/>
            </w:tcMar>
            <w:vAlign w:val="center"/>
          </w:tcPr>
          <w:p w:rsidR="009074C3" w:rsidRPr="00515A08" w:rsidRDefault="009074C3" w:rsidP="00CF518F">
            <w:pPr>
              <w:jc w:val="center"/>
            </w:pPr>
            <w:r w:rsidRPr="00515A08">
              <w:t>OZ 2</w:t>
            </w:r>
          </w:p>
        </w:tc>
        <w:tc>
          <w:tcPr>
            <w:tcW w:w="754" w:type="dxa"/>
            <w:tcBorders>
              <w:top w:val="nil"/>
              <w:left w:val="nil"/>
              <w:bottom w:val="single" w:sz="8" w:space="0" w:color="auto"/>
              <w:right w:val="single" w:sz="8" w:space="0" w:color="auto"/>
            </w:tcBorders>
            <w:tcMar>
              <w:top w:w="0" w:type="dxa"/>
              <w:left w:w="70" w:type="dxa"/>
              <w:bottom w:w="0" w:type="dxa"/>
              <w:right w:w="70" w:type="dxa"/>
            </w:tcMar>
            <w:vAlign w:val="center"/>
          </w:tcPr>
          <w:p w:rsidR="009074C3" w:rsidRPr="00515A08" w:rsidRDefault="009074C3" w:rsidP="00CF518F">
            <w:pPr>
              <w:jc w:val="center"/>
            </w:pPr>
            <w:r w:rsidRPr="00515A08">
              <w:t>27</w:t>
            </w:r>
          </w:p>
        </w:tc>
        <w:tc>
          <w:tcPr>
            <w:tcW w:w="795" w:type="dxa"/>
            <w:tcBorders>
              <w:top w:val="nil"/>
              <w:left w:val="nil"/>
              <w:bottom w:val="single" w:sz="8" w:space="0" w:color="auto"/>
              <w:right w:val="single" w:sz="8" w:space="0" w:color="auto"/>
            </w:tcBorders>
            <w:tcMar>
              <w:top w:w="0" w:type="dxa"/>
              <w:left w:w="70" w:type="dxa"/>
              <w:bottom w:w="0" w:type="dxa"/>
              <w:right w:w="70" w:type="dxa"/>
            </w:tcMar>
            <w:vAlign w:val="center"/>
          </w:tcPr>
          <w:p w:rsidR="009074C3" w:rsidRPr="00515A08" w:rsidRDefault="009074C3" w:rsidP="00CF518F">
            <w:pPr>
              <w:jc w:val="center"/>
            </w:pPr>
            <w:r w:rsidRPr="00515A08">
              <w:t>35 €</w:t>
            </w:r>
          </w:p>
        </w:tc>
        <w:tc>
          <w:tcPr>
            <w:tcW w:w="1487" w:type="dxa"/>
            <w:tcBorders>
              <w:top w:val="nil"/>
              <w:left w:val="nil"/>
              <w:bottom w:val="single" w:sz="8" w:space="0" w:color="auto"/>
              <w:right w:val="single" w:sz="8" w:space="0" w:color="auto"/>
            </w:tcBorders>
            <w:tcMar>
              <w:top w:w="0" w:type="dxa"/>
              <w:left w:w="70" w:type="dxa"/>
              <w:bottom w:w="0" w:type="dxa"/>
              <w:right w:w="70" w:type="dxa"/>
            </w:tcMar>
            <w:vAlign w:val="center"/>
          </w:tcPr>
          <w:p w:rsidR="009074C3" w:rsidRDefault="009074C3" w:rsidP="00CF518F">
            <w:pPr>
              <w:jc w:val="center"/>
            </w:pPr>
            <w:r w:rsidRPr="00515A08">
              <w:t>dauerhaft</w:t>
            </w:r>
          </w:p>
        </w:tc>
      </w:tr>
      <w:tr w:rsidR="006B46D3" w:rsidRPr="00CC06D0" w:rsidTr="00CF518F">
        <w:trPr>
          <w:trHeight w:val="276"/>
        </w:trPr>
        <w:tc>
          <w:tcPr>
            <w:tcW w:w="0" w:type="auto"/>
            <w:tcBorders>
              <w:top w:val="nil"/>
              <w:left w:val="single" w:sz="8" w:space="0" w:color="auto"/>
              <w:bottom w:val="single" w:sz="8" w:space="0" w:color="auto"/>
              <w:right w:val="single" w:sz="8" w:space="0" w:color="auto"/>
            </w:tcBorders>
            <w:vAlign w:val="center"/>
          </w:tcPr>
          <w:p w:rsidR="009074C3" w:rsidRPr="00614AFB" w:rsidRDefault="009074C3" w:rsidP="00CF518F">
            <w:pPr>
              <w:jc w:val="center"/>
            </w:pPr>
          </w:p>
        </w:tc>
        <w:tc>
          <w:tcPr>
            <w:tcW w:w="0" w:type="auto"/>
            <w:tcBorders>
              <w:top w:val="nil"/>
              <w:left w:val="nil"/>
              <w:bottom w:val="single" w:sz="8" w:space="0" w:color="auto"/>
              <w:right w:val="single" w:sz="8" w:space="0" w:color="auto"/>
            </w:tcBorders>
            <w:vAlign w:val="center"/>
          </w:tcPr>
          <w:p w:rsidR="009074C3" w:rsidRPr="00614AFB" w:rsidRDefault="009074C3" w:rsidP="00CF518F">
            <w:pPr>
              <w:jc w:val="center"/>
            </w:pPr>
            <w:r w:rsidRPr="00614AFB">
              <w:t>VIII</w:t>
            </w:r>
          </w:p>
        </w:tc>
        <w:tc>
          <w:tcPr>
            <w:tcW w:w="0" w:type="auto"/>
            <w:tcBorders>
              <w:top w:val="nil"/>
              <w:left w:val="nil"/>
              <w:bottom w:val="single" w:sz="8" w:space="0" w:color="auto"/>
              <w:right w:val="single" w:sz="8" w:space="0" w:color="auto"/>
            </w:tcBorders>
            <w:vAlign w:val="center"/>
          </w:tcPr>
          <w:p w:rsidR="009074C3" w:rsidRPr="00614AFB" w:rsidRDefault="009074C3" w:rsidP="00CF518F">
            <w:pPr>
              <w:jc w:val="center"/>
            </w:pPr>
            <w:r w:rsidRPr="00614AFB">
              <w:t>ohne</w:t>
            </w:r>
          </w:p>
        </w:tc>
        <w:tc>
          <w:tcPr>
            <w:tcW w:w="811" w:type="dxa"/>
            <w:tcBorders>
              <w:top w:val="nil"/>
              <w:left w:val="nil"/>
              <w:bottom w:val="single" w:sz="8" w:space="0" w:color="auto"/>
              <w:right w:val="single" w:sz="8" w:space="0" w:color="auto"/>
            </w:tcBorders>
            <w:vAlign w:val="center"/>
          </w:tcPr>
          <w:p w:rsidR="009074C3" w:rsidRPr="00614AFB" w:rsidRDefault="009074C3" w:rsidP="00CF518F">
            <w:pPr>
              <w:jc w:val="center"/>
            </w:pPr>
            <w:r w:rsidRPr="00614AFB">
              <w:t>OZ 2</w:t>
            </w:r>
          </w:p>
        </w:tc>
        <w:tc>
          <w:tcPr>
            <w:tcW w:w="754" w:type="dxa"/>
            <w:tcBorders>
              <w:top w:val="nil"/>
              <w:left w:val="nil"/>
              <w:bottom w:val="single" w:sz="8" w:space="0" w:color="auto"/>
              <w:right w:val="single" w:sz="8" w:space="0" w:color="auto"/>
            </w:tcBorders>
            <w:vAlign w:val="center"/>
          </w:tcPr>
          <w:p w:rsidR="009074C3" w:rsidRPr="00614AFB" w:rsidRDefault="009074C3" w:rsidP="00CF518F">
            <w:pPr>
              <w:jc w:val="center"/>
            </w:pPr>
            <w:r w:rsidRPr="00614AFB">
              <w:t>29</w:t>
            </w:r>
          </w:p>
        </w:tc>
        <w:tc>
          <w:tcPr>
            <w:tcW w:w="0" w:type="auto"/>
            <w:tcBorders>
              <w:top w:val="nil"/>
              <w:left w:val="nil"/>
              <w:bottom w:val="single" w:sz="8" w:space="0" w:color="auto"/>
              <w:right w:val="single" w:sz="8" w:space="0" w:color="auto"/>
            </w:tcBorders>
            <w:vAlign w:val="center"/>
          </w:tcPr>
          <w:p w:rsidR="009074C3" w:rsidRPr="00614AFB" w:rsidRDefault="009074C3" w:rsidP="00CF518F">
            <w:pPr>
              <w:jc w:val="center"/>
            </w:pPr>
            <w:r w:rsidRPr="00614AFB">
              <w:t>35 €</w:t>
            </w:r>
          </w:p>
        </w:tc>
        <w:tc>
          <w:tcPr>
            <w:tcW w:w="0" w:type="auto"/>
            <w:tcBorders>
              <w:top w:val="nil"/>
              <w:left w:val="nil"/>
              <w:bottom w:val="single" w:sz="8" w:space="0" w:color="auto"/>
              <w:right w:val="single" w:sz="8" w:space="0" w:color="auto"/>
            </w:tcBorders>
            <w:vAlign w:val="center"/>
          </w:tcPr>
          <w:p w:rsidR="009074C3" w:rsidRPr="00614AFB" w:rsidRDefault="009074C3" w:rsidP="00CF518F">
            <w:pPr>
              <w:jc w:val="center"/>
            </w:pPr>
            <w:r>
              <w:t>nach 4 Jahren dauerhaft</w:t>
            </w:r>
          </w:p>
        </w:tc>
      </w:tr>
      <w:tr w:rsidR="006B46D3" w:rsidRPr="00CC06D0" w:rsidTr="00CF518F">
        <w:trPr>
          <w:trHeight w:val="255"/>
        </w:trPr>
        <w:tc>
          <w:tcPr>
            <w:tcW w:w="78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B46D3" w:rsidRPr="00476548" w:rsidRDefault="006B46D3" w:rsidP="00CF518F">
            <w:pPr>
              <w:jc w:val="center"/>
            </w:pPr>
          </w:p>
        </w:tc>
        <w:tc>
          <w:tcPr>
            <w:tcW w:w="1194"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476548" w:rsidRDefault="006B46D3" w:rsidP="00CF518F">
            <w:pPr>
              <w:jc w:val="center"/>
            </w:pPr>
            <w:r w:rsidRPr="00476548">
              <w:t>VIII</w:t>
            </w:r>
          </w:p>
        </w:tc>
        <w:tc>
          <w:tcPr>
            <w:tcW w:w="919"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476548" w:rsidRDefault="006B46D3" w:rsidP="00CF518F">
            <w:pPr>
              <w:jc w:val="center"/>
            </w:pPr>
            <w:r w:rsidRPr="00476548">
              <w:t>ohne</w:t>
            </w:r>
          </w:p>
        </w:tc>
        <w:tc>
          <w:tcPr>
            <w:tcW w:w="81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476548" w:rsidRDefault="006B46D3" w:rsidP="00CF518F">
            <w:pPr>
              <w:jc w:val="center"/>
            </w:pPr>
            <w:r w:rsidRPr="00476548">
              <w:t>OZ 2</w:t>
            </w:r>
          </w:p>
        </w:tc>
        <w:tc>
          <w:tcPr>
            <w:tcW w:w="754"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476548" w:rsidRDefault="006B46D3" w:rsidP="00CF518F">
            <w:pPr>
              <w:jc w:val="center"/>
            </w:pPr>
            <w:r w:rsidRPr="00476548">
              <w:t>31</w:t>
            </w:r>
          </w:p>
        </w:tc>
        <w:tc>
          <w:tcPr>
            <w:tcW w:w="795"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476548" w:rsidRDefault="006B46D3" w:rsidP="00CF518F">
            <w:pPr>
              <w:jc w:val="center"/>
            </w:pPr>
            <w:r w:rsidRPr="00476548">
              <w:t>35 €</w:t>
            </w:r>
          </w:p>
        </w:tc>
        <w:tc>
          <w:tcPr>
            <w:tcW w:w="1487"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Default="006B46D3" w:rsidP="00CF518F">
            <w:pPr>
              <w:jc w:val="center"/>
            </w:pPr>
            <w:r w:rsidRPr="00476548">
              <w:t>dauerhaft</w:t>
            </w:r>
          </w:p>
        </w:tc>
      </w:tr>
    </w:tbl>
    <w:p w:rsidR="00BE1EFE" w:rsidRPr="006B46D3" w:rsidRDefault="00BE1EFE">
      <w:pPr>
        <w:pStyle w:val="StandardWeb"/>
        <w:rPr>
          <w:sz w:val="4"/>
          <w:szCs w:val="4"/>
        </w:rPr>
      </w:pPr>
    </w:p>
    <w:p w:rsidR="00BE1EFE" w:rsidRPr="00CC06D0" w:rsidRDefault="00BE1EFE" w:rsidP="00942CDA">
      <w:pPr>
        <w:pStyle w:val="Leerzeile"/>
        <w:rPr>
          <w:szCs w:val="16"/>
        </w:rPr>
      </w:pPr>
      <w:r w:rsidRPr="00CC06D0">
        <w:rPr>
          <w:szCs w:val="16"/>
        </w:rPr>
        <w:br w:type="page"/>
      </w:r>
    </w:p>
    <w:tbl>
      <w:tblPr>
        <w:tblW w:w="6747" w:type="dxa"/>
        <w:tblCellMar>
          <w:left w:w="0" w:type="dxa"/>
          <w:right w:w="0" w:type="dxa"/>
        </w:tblCellMar>
        <w:tblLook w:val="04A0" w:firstRow="1" w:lastRow="0" w:firstColumn="1" w:lastColumn="0" w:noHBand="0" w:noVBand="1"/>
      </w:tblPr>
      <w:tblGrid>
        <w:gridCol w:w="842"/>
        <w:gridCol w:w="1322"/>
        <w:gridCol w:w="1077"/>
        <w:gridCol w:w="831"/>
        <w:gridCol w:w="108"/>
        <w:gridCol w:w="754"/>
        <w:gridCol w:w="852"/>
        <w:gridCol w:w="961"/>
      </w:tblGrid>
      <w:tr w:rsidR="00BE1EFE" w:rsidRPr="00CC06D0" w:rsidTr="005F75CA">
        <w:trPr>
          <w:trHeight w:val="420"/>
        </w:trPr>
        <w:tc>
          <w:tcPr>
            <w:tcW w:w="842"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lastRenderedPageBreak/>
              <w:t>Entgelt-gruppe</w:t>
            </w:r>
          </w:p>
        </w:tc>
        <w:tc>
          <w:tcPr>
            <w:tcW w:w="132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Vergütungs-gruppe bei Inkrafttreten Teil A, 3.</w:t>
            </w:r>
          </w:p>
        </w:tc>
        <w:tc>
          <w:tcPr>
            <w:tcW w:w="107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939" w:type="dxa"/>
            <w:gridSpan w:val="2"/>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994BA8" w:rsidP="0054275E">
            <w:pPr>
              <w:pStyle w:val="StandardWeb"/>
              <w:autoSpaceDE w:val="0"/>
              <w:jc w:val="center"/>
              <w:rPr>
                <w:szCs w:val="16"/>
              </w:rPr>
            </w:pPr>
            <w:r>
              <w:rPr>
                <w:rStyle w:val="Fett"/>
                <w:rFonts w:cs="Arial"/>
                <w:bCs/>
                <w:szCs w:val="16"/>
              </w:rPr>
              <w:t>Ortszu-schlag Stufe 1,</w:t>
            </w:r>
            <w:r w:rsidR="005F75CA">
              <w:rPr>
                <w:rStyle w:val="Fett"/>
                <w:rFonts w:cs="Arial"/>
                <w:bCs/>
                <w:szCs w:val="16"/>
              </w:rPr>
              <w:t xml:space="preserve"> </w:t>
            </w:r>
            <w:r w:rsidR="00BE1EFE" w:rsidRPr="00CC06D0">
              <w:rPr>
                <w:rStyle w:val="Fett"/>
                <w:rFonts w:cs="Arial"/>
                <w:bCs/>
                <w:szCs w:val="16"/>
              </w:rPr>
              <w:t>2</w:t>
            </w:r>
          </w:p>
        </w:tc>
        <w:tc>
          <w:tcPr>
            <w:tcW w:w="75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85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96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5F75CA">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9" w:type="dxa"/>
            <w:gridSpan w:val="2"/>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75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5F75C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9" w:type="dxa"/>
            <w:gridSpan w:val="2"/>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75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5F75CA">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693" w:type="dxa"/>
            <w:gridSpan w:val="3"/>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676F7A" w:rsidRDefault="00676F7A" w:rsidP="00951B10">
            <w:pPr>
              <w:pStyle w:val="StandardWeb"/>
              <w:autoSpaceDE w:val="0"/>
              <w:jc w:val="center"/>
              <w:rPr>
                <w:rStyle w:val="Fett"/>
                <w:rFonts w:cs="Arial"/>
                <w:bCs/>
                <w:szCs w:val="16"/>
              </w:rPr>
            </w:pPr>
            <w:r>
              <w:rPr>
                <w:rStyle w:val="Fett"/>
                <w:rFonts w:cs="Arial"/>
                <w:bCs/>
                <w:szCs w:val="16"/>
              </w:rPr>
              <w:t>bei Inkrafttreten</w:t>
            </w:r>
          </w:p>
          <w:p w:rsidR="00BE1EFE" w:rsidRPr="00CC06D0" w:rsidRDefault="00BE1EFE" w:rsidP="00951B10">
            <w:pPr>
              <w:pStyle w:val="StandardWeb"/>
              <w:autoSpaceDE w:val="0"/>
              <w:jc w:val="center"/>
              <w:rPr>
                <w:szCs w:val="16"/>
              </w:rPr>
            </w:pPr>
            <w:r w:rsidRPr="00CC06D0">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5F75CA">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693" w:type="dxa"/>
            <w:gridSpan w:val="3"/>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6B46D3" w:rsidP="00CF518F">
            <w:pPr>
              <w:jc w:val="center"/>
              <w:rPr>
                <w:szCs w:val="16"/>
              </w:rPr>
            </w:pPr>
            <w:r w:rsidRPr="00416476">
              <w:rPr>
                <w:szCs w:val="16"/>
              </w:rPr>
              <w:t>3</w:t>
            </w: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VIII</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33</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35 €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VIII</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35</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35 €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VIII</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37</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20 €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16476" w:rsidRDefault="00BE1EFE" w:rsidP="00CF518F">
            <w:pPr>
              <w:pStyle w:val="StandardWeb"/>
              <w:autoSpaceDE w:val="0"/>
              <w:jc w:val="center"/>
              <w:rPr>
                <w:b/>
                <w:szCs w:val="16"/>
              </w:rPr>
            </w:pPr>
            <w:r w:rsidRPr="00416476">
              <w:rPr>
                <w:rStyle w:val="Fett"/>
                <w:rFonts w:cs="Arial"/>
                <w:b w:val="0"/>
                <w:bCs/>
                <w:szCs w:val="16"/>
              </w:rPr>
              <w:t>6</w:t>
            </w: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29</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50 €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31</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50 €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33</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50 €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35</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50 €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37</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50 €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VI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39</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50 €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16476" w:rsidRDefault="00BE1EFE" w:rsidP="00CF518F">
            <w:pPr>
              <w:pStyle w:val="StandardWeb"/>
              <w:autoSpaceDE w:val="0"/>
              <w:jc w:val="center"/>
              <w:rPr>
                <w:b/>
                <w:szCs w:val="16"/>
              </w:rPr>
            </w:pPr>
            <w:r w:rsidRPr="00416476">
              <w:rPr>
                <w:rStyle w:val="Fett"/>
                <w:rFonts w:cs="Arial"/>
                <w:b w:val="0"/>
                <w:bCs/>
                <w:szCs w:val="16"/>
              </w:rPr>
              <w:t>8</w:t>
            </w: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 c</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37</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 c</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39</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16476" w:rsidRDefault="00BE1EFE" w:rsidP="00CF518F">
            <w:pPr>
              <w:pStyle w:val="StandardWeb"/>
              <w:autoSpaceDE w:val="0"/>
              <w:jc w:val="center"/>
              <w:rPr>
                <w:b/>
                <w:szCs w:val="16"/>
              </w:rPr>
            </w:pPr>
            <w:r w:rsidRPr="00416476">
              <w:rPr>
                <w:rStyle w:val="Fett"/>
                <w:rFonts w:cs="Arial"/>
                <w:b w:val="0"/>
                <w:bCs/>
                <w:szCs w:val="16"/>
              </w:rPr>
              <w:t>9</w:t>
            </w: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29</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60 €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rFonts w:cs="Arial"/>
                <w:szCs w:val="16"/>
              </w:rPr>
            </w:pPr>
            <w:r w:rsidRPr="00CC06D0">
              <w:rPr>
                <w:rFonts w:cs="Arial"/>
                <w:szCs w:val="16"/>
              </w:rPr>
              <w:t>für</w:t>
            </w:r>
          </w:p>
          <w:p w:rsidR="00BE1EFE" w:rsidRPr="00CC06D0" w:rsidRDefault="00BE1EFE" w:rsidP="00CF518F">
            <w:pPr>
              <w:pStyle w:val="StandardWeb"/>
              <w:jc w:val="center"/>
              <w:rPr>
                <w:szCs w:val="16"/>
              </w:rPr>
            </w:pPr>
            <w:r w:rsidRPr="00CC06D0">
              <w:rPr>
                <w:rFonts w:cs="Arial"/>
                <w:szCs w:val="16"/>
              </w:rPr>
              <w:t>12 Jahre</w:t>
            </w:r>
          </w:p>
        </w:tc>
      </w:tr>
      <w:tr w:rsidR="00BE1EFE"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jc w:val="center"/>
              <w:rPr>
                <w:szCs w:val="16"/>
              </w:rP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31</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60 €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rFonts w:cs="Arial"/>
                <w:szCs w:val="16"/>
              </w:rPr>
            </w:pPr>
            <w:r w:rsidRPr="00CC06D0">
              <w:rPr>
                <w:rFonts w:cs="Arial"/>
                <w:szCs w:val="16"/>
              </w:rPr>
              <w:t>nach</w:t>
            </w:r>
          </w:p>
          <w:p w:rsidR="00BE1EFE" w:rsidRPr="00CC06D0" w:rsidRDefault="00BE1EFE" w:rsidP="00CF518F">
            <w:pPr>
              <w:pStyle w:val="StandardWeb"/>
              <w:jc w:val="center"/>
              <w:rPr>
                <w:szCs w:val="16"/>
              </w:rPr>
            </w:pPr>
            <w:r w:rsidRPr="00CC06D0">
              <w:rPr>
                <w:rFonts w:cs="Arial"/>
                <w:szCs w:val="16"/>
              </w:rPr>
              <w:t>4 Jahren für 7 Jahre</w:t>
            </w:r>
          </w:p>
        </w:tc>
      </w:tr>
      <w:tr w:rsidR="006B46D3"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B46D3" w:rsidRPr="00416476" w:rsidRDefault="006B46D3" w:rsidP="00CF518F">
            <w:pPr>
              <w:jc w:val="cente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82604" w:rsidRDefault="006B46D3" w:rsidP="00CF518F">
            <w:pPr>
              <w:jc w:val="center"/>
            </w:pPr>
            <w:r w:rsidRPr="00D82604">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82604" w:rsidRDefault="006B46D3" w:rsidP="00CF518F">
            <w:pPr>
              <w:jc w:val="center"/>
            </w:pPr>
            <w:r w:rsidRPr="00D82604">
              <w:t>ohne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82604" w:rsidRDefault="006B46D3" w:rsidP="00CF518F">
            <w:pPr>
              <w:jc w:val="center"/>
            </w:pPr>
            <w:r w:rsidRPr="00D82604">
              <w:t>OZ 1</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82604" w:rsidRDefault="006B46D3" w:rsidP="00CF518F">
            <w:pPr>
              <w:jc w:val="center"/>
            </w:pPr>
            <w:r w:rsidRPr="00D82604">
              <w:t>33</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82604" w:rsidRDefault="006B46D3" w:rsidP="00CF518F">
            <w:pPr>
              <w:jc w:val="center"/>
            </w:pPr>
            <w:r w:rsidRPr="00D82604">
              <w:t>60 €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Default="006B46D3" w:rsidP="00CF518F">
            <w:pPr>
              <w:jc w:val="center"/>
            </w:pPr>
            <w:r w:rsidRPr="00D82604">
              <w:t>für 7 Jahre</w:t>
            </w:r>
          </w:p>
        </w:tc>
      </w:tr>
      <w:tr w:rsidR="006B46D3"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B46D3" w:rsidRPr="00416476" w:rsidRDefault="006B46D3" w:rsidP="00CF518F">
            <w:pPr>
              <w:jc w:val="center"/>
            </w:pPr>
            <w:r w:rsidRPr="00416476">
              <w:t>9</w:t>
            </w: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0036DC" w:rsidRDefault="006B46D3" w:rsidP="00CF518F">
            <w:pPr>
              <w:jc w:val="center"/>
            </w:pPr>
            <w:r w:rsidRPr="000036DC">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0036DC" w:rsidRDefault="006B46D3" w:rsidP="00CF518F">
            <w:pPr>
              <w:jc w:val="center"/>
            </w:pPr>
            <w:r>
              <w:t>o</w:t>
            </w:r>
            <w:r w:rsidRPr="000036DC">
              <w:t>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0036DC" w:rsidRDefault="006B46D3" w:rsidP="00CF518F">
            <w:pPr>
              <w:jc w:val="center"/>
            </w:pPr>
            <w:r w:rsidRPr="000036DC">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0036DC" w:rsidRDefault="006B46D3" w:rsidP="00CF518F">
            <w:pPr>
              <w:jc w:val="center"/>
            </w:pPr>
            <w:r w:rsidRPr="000036DC">
              <w:t>27</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0036DC" w:rsidRDefault="006B46D3" w:rsidP="00CF518F">
            <w:pPr>
              <w:jc w:val="center"/>
            </w:pPr>
            <w:r w:rsidRPr="000036DC">
              <w:t>90 €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0036DC" w:rsidRDefault="006B46D3" w:rsidP="00CF518F">
            <w:pPr>
              <w:jc w:val="center"/>
            </w:pPr>
            <w:r>
              <w:t>nach 4 Jahren für 7 Jahre</w:t>
            </w:r>
          </w:p>
        </w:tc>
      </w:tr>
      <w:tr w:rsidR="006B46D3"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B46D3" w:rsidRPr="00416476" w:rsidRDefault="006B46D3" w:rsidP="00CF518F">
            <w:pPr>
              <w:jc w:val="cente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3033E" w:rsidRDefault="006B46D3" w:rsidP="00CF518F">
            <w:pPr>
              <w:jc w:val="center"/>
            </w:pPr>
            <w:r w:rsidRPr="00D3033E">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3033E" w:rsidRDefault="006B46D3" w:rsidP="00CF518F">
            <w:pPr>
              <w:jc w:val="center"/>
            </w:pPr>
            <w:r>
              <w:t>o</w:t>
            </w:r>
            <w:r w:rsidRPr="00D3033E">
              <w:t>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3033E" w:rsidRDefault="006B46D3" w:rsidP="00CF518F">
            <w:pPr>
              <w:jc w:val="center"/>
            </w:pPr>
            <w:r w:rsidRPr="00D3033E">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3033E" w:rsidRDefault="006B46D3" w:rsidP="00CF518F">
            <w:pPr>
              <w:jc w:val="center"/>
            </w:pPr>
            <w:r w:rsidRPr="00D3033E">
              <w:t>29</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D3033E" w:rsidRDefault="006B46D3" w:rsidP="00CF518F">
            <w:pPr>
              <w:jc w:val="center"/>
            </w:pPr>
            <w:r w:rsidRPr="00D3033E">
              <w:t>90 €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Default="006B46D3" w:rsidP="00CF518F">
            <w:pPr>
              <w:jc w:val="center"/>
            </w:pPr>
            <w:r w:rsidRPr="00D3033E">
              <w:t>für 7 Jahre</w:t>
            </w:r>
          </w:p>
        </w:tc>
      </w:tr>
      <w:tr w:rsidR="006B46D3"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B46D3" w:rsidRPr="00416476" w:rsidRDefault="006B46D3" w:rsidP="00CF518F">
            <w:pPr>
              <w:jc w:val="cente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F155FC" w:rsidRDefault="006B46D3" w:rsidP="00CF518F">
            <w:pPr>
              <w:jc w:val="center"/>
            </w:pPr>
            <w:r w:rsidRPr="00F155FC">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F155FC" w:rsidRDefault="006B46D3" w:rsidP="00CF518F">
            <w:pPr>
              <w:jc w:val="center"/>
            </w:pPr>
            <w:r>
              <w:t>o</w:t>
            </w:r>
            <w:r w:rsidRPr="00F155FC">
              <w:t>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F155FC" w:rsidRDefault="006B46D3" w:rsidP="00CF518F">
            <w:pPr>
              <w:jc w:val="center"/>
            </w:pPr>
            <w:r w:rsidRPr="00F155FC">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F155FC" w:rsidRDefault="006B46D3" w:rsidP="00CF518F">
            <w:pPr>
              <w:jc w:val="center"/>
            </w:pPr>
            <w:r w:rsidRPr="00F155FC">
              <w:t>35</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F155FC" w:rsidRDefault="006B46D3" w:rsidP="00CF518F">
            <w:pPr>
              <w:jc w:val="center"/>
            </w:pPr>
            <w:r w:rsidRPr="00F155FC">
              <w:t>20 €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F155FC" w:rsidRDefault="006B46D3" w:rsidP="00CF518F">
            <w:pPr>
              <w:jc w:val="center"/>
            </w:pPr>
            <w:r>
              <w:t>nach 4 Jahren dauerhaft</w:t>
            </w:r>
          </w:p>
        </w:tc>
      </w:tr>
      <w:tr w:rsidR="006B46D3"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B46D3" w:rsidRPr="00416476" w:rsidRDefault="006B46D3" w:rsidP="00CF518F">
            <w:pPr>
              <w:jc w:val="cente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BA1C1C" w:rsidRDefault="006B46D3" w:rsidP="00CF518F">
            <w:pPr>
              <w:jc w:val="center"/>
            </w:pPr>
            <w:r w:rsidRPr="00BA1C1C">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BA1C1C" w:rsidRDefault="006B46D3" w:rsidP="00CF518F">
            <w:pPr>
              <w:jc w:val="center"/>
            </w:pPr>
            <w:r>
              <w:t>o</w:t>
            </w:r>
            <w:r w:rsidRPr="00BA1C1C">
              <w:t>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BA1C1C" w:rsidRDefault="006B46D3" w:rsidP="00CF518F">
            <w:pPr>
              <w:jc w:val="center"/>
            </w:pPr>
            <w:r w:rsidRPr="00BA1C1C">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BA1C1C" w:rsidRDefault="006B46D3" w:rsidP="00CF518F">
            <w:pPr>
              <w:jc w:val="center"/>
            </w:pPr>
            <w:r w:rsidRPr="00BA1C1C">
              <w:t>37</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BA1C1C" w:rsidRDefault="006B46D3" w:rsidP="00CF518F">
            <w:pPr>
              <w:jc w:val="center"/>
            </w:pPr>
            <w:r w:rsidRPr="00BA1C1C">
              <w:t>40 €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BA1C1C" w:rsidRDefault="006B46D3" w:rsidP="00CF518F">
            <w:pPr>
              <w:jc w:val="center"/>
            </w:pPr>
            <w:r>
              <w:t>nach 4 Jahren dauerhaft</w:t>
            </w:r>
          </w:p>
        </w:tc>
      </w:tr>
      <w:tr w:rsidR="006B46D3"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B46D3" w:rsidRPr="00416476" w:rsidRDefault="006B46D3" w:rsidP="00CF518F">
            <w:pPr>
              <w:jc w:val="cente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2B219F" w:rsidRDefault="006B46D3" w:rsidP="00CF518F">
            <w:pPr>
              <w:jc w:val="center"/>
            </w:pPr>
            <w:r w:rsidRPr="002B219F">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2B219F" w:rsidRDefault="006B46D3" w:rsidP="00CF518F">
            <w:pPr>
              <w:jc w:val="center"/>
            </w:pPr>
            <w:r>
              <w:t>o</w:t>
            </w:r>
            <w:r w:rsidRPr="002B219F">
              <w:t>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2B219F" w:rsidRDefault="006B46D3" w:rsidP="00CF518F">
            <w:pPr>
              <w:jc w:val="center"/>
            </w:pPr>
            <w:r w:rsidRPr="002B219F">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2B219F" w:rsidRDefault="006B46D3" w:rsidP="00CF518F">
            <w:pPr>
              <w:jc w:val="center"/>
            </w:pPr>
            <w:r w:rsidRPr="002B219F">
              <w:t>39</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2B219F" w:rsidRDefault="006B46D3" w:rsidP="00CF518F">
            <w:pPr>
              <w:jc w:val="center"/>
            </w:pPr>
            <w:r w:rsidRPr="002B219F">
              <w:t>40 €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Default="006B46D3" w:rsidP="00CF518F">
            <w:pPr>
              <w:jc w:val="center"/>
            </w:pPr>
            <w:r w:rsidRPr="002B219F">
              <w:t>dauerhaft</w:t>
            </w:r>
          </w:p>
        </w:tc>
      </w:tr>
      <w:tr w:rsidR="006B46D3" w:rsidRPr="00CC06D0" w:rsidTr="00CF518F">
        <w:trPr>
          <w:trHeight w:val="270"/>
        </w:trPr>
        <w:tc>
          <w:tcPr>
            <w:tcW w:w="84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6B46D3" w:rsidRPr="00416476" w:rsidRDefault="006B46D3" w:rsidP="00CF518F">
            <w:pPr>
              <w:jc w:val="center"/>
            </w:pPr>
          </w:p>
        </w:tc>
        <w:tc>
          <w:tcPr>
            <w:tcW w:w="132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C452AE" w:rsidRDefault="006B46D3" w:rsidP="00CF518F">
            <w:pPr>
              <w:jc w:val="center"/>
            </w:pPr>
            <w:r w:rsidRPr="00C452AE">
              <w:t>V b</w:t>
            </w:r>
          </w:p>
        </w:tc>
        <w:tc>
          <w:tcPr>
            <w:tcW w:w="1077"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C452AE" w:rsidRDefault="006B46D3" w:rsidP="00CF518F">
            <w:pPr>
              <w:jc w:val="center"/>
            </w:pPr>
            <w:r>
              <w:t>o</w:t>
            </w:r>
            <w:r w:rsidRPr="00C452AE">
              <w:t>hne</w:t>
            </w:r>
          </w:p>
        </w:tc>
        <w:tc>
          <w:tcPr>
            <w:tcW w:w="83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C452AE" w:rsidRDefault="006B46D3" w:rsidP="00CF518F">
            <w:pPr>
              <w:jc w:val="center"/>
            </w:pPr>
            <w:r w:rsidRPr="00C452AE">
              <w:t>OZ 2</w:t>
            </w:r>
          </w:p>
        </w:tc>
        <w:tc>
          <w:tcPr>
            <w:tcW w:w="862" w:type="dxa"/>
            <w:gridSpan w:val="2"/>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C452AE" w:rsidRDefault="006B46D3" w:rsidP="00CF518F">
            <w:pPr>
              <w:jc w:val="center"/>
            </w:pPr>
            <w:r w:rsidRPr="00C452AE">
              <w:t>41</w:t>
            </w:r>
          </w:p>
        </w:tc>
        <w:tc>
          <w:tcPr>
            <w:tcW w:w="852"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Pr="00C452AE" w:rsidRDefault="006B46D3" w:rsidP="00CF518F">
            <w:pPr>
              <w:jc w:val="center"/>
            </w:pPr>
            <w:r w:rsidRPr="00C452AE">
              <w:t>40 €</w:t>
            </w:r>
          </w:p>
        </w:tc>
        <w:tc>
          <w:tcPr>
            <w:tcW w:w="961" w:type="dxa"/>
            <w:tcBorders>
              <w:top w:val="nil"/>
              <w:left w:val="nil"/>
              <w:bottom w:val="single" w:sz="8" w:space="0" w:color="auto"/>
              <w:right w:val="single" w:sz="8" w:space="0" w:color="auto"/>
            </w:tcBorders>
            <w:tcMar>
              <w:top w:w="0" w:type="dxa"/>
              <w:left w:w="70" w:type="dxa"/>
              <w:bottom w:w="0" w:type="dxa"/>
              <w:right w:w="70" w:type="dxa"/>
            </w:tcMar>
            <w:vAlign w:val="center"/>
          </w:tcPr>
          <w:p w:rsidR="006B46D3" w:rsidRDefault="006B46D3" w:rsidP="00CF518F">
            <w:pPr>
              <w:jc w:val="center"/>
            </w:pPr>
            <w:r w:rsidRPr="00C452AE">
              <w:t>dauerhaft</w:t>
            </w:r>
          </w:p>
        </w:tc>
      </w:tr>
    </w:tbl>
    <w:p w:rsidR="00BE1EFE" w:rsidRPr="00CC06D0" w:rsidRDefault="00BE1EFE">
      <w:pPr>
        <w:pStyle w:val="StandardWeb"/>
        <w:rPr>
          <w:szCs w:val="16"/>
        </w:rPr>
      </w:pPr>
    </w:p>
    <w:p w:rsidR="00BE1EFE" w:rsidRPr="00CC06D0" w:rsidRDefault="00BE1EFE" w:rsidP="00942CDA">
      <w:pPr>
        <w:pStyle w:val="Leerzeile"/>
        <w:rPr>
          <w:szCs w:val="16"/>
        </w:rPr>
      </w:pPr>
      <w:r w:rsidRPr="00CC06D0">
        <w:rPr>
          <w:szCs w:val="16"/>
        </w:rPr>
        <w:br w:type="page"/>
      </w:r>
    </w:p>
    <w:tbl>
      <w:tblPr>
        <w:tblW w:w="6747" w:type="dxa"/>
        <w:tblCellMar>
          <w:left w:w="0" w:type="dxa"/>
          <w:right w:w="0" w:type="dxa"/>
        </w:tblCellMar>
        <w:tblLook w:val="04A0" w:firstRow="1" w:lastRow="0" w:firstColumn="1" w:lastColumn="0" w:noHBand="0" w:noVBand="1"/>
      </w:tblPr>
      <w:tblGrid>
        <w:gridCol w:w="934"/>
        <w:gridCol w:w="1143"/>
        <w:gridCol w:w="934"/>
        <w:gridCol w:w="934"/>
        <w:gridCol w:w="934"/>
        <w:gridCol w:w="934"/>
        <w:gridCol w:w="934"/>
      </w:tblGrid>
      <w:tr w:rsidR="00BE1EFE" w:rsidRPr="00CC06D0" w:rsidTr="006B46D3">
        <w:trPr>
          <w:trHeight w:val="420"/>
        </w:trPr>
        <w:tc>
          <w:tcPr>
            <w:tcW w:w="934"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lastRenderedPageBreak/>
              <w:t>Entgelt-gruppe</w:t>
            </w:r>
          </w:p>
        </w:tc>
        <w:tc>
          <w:tcPr>
            <w:tcW w:w="1143"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Vergütungs-gruppe bei Inkrafttreten Teil A, 3.</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Ortszu-schlag Stufe 1, 2</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6B46D3">
        <w:trPr>
          <w:trHeight w:val="255"/>
        </w:trPr>
        <w:tc>
          <w:tcPr>
            <w:tcW w:w="934"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43"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B46D3">
        <w:trPr>
          <w:trHeight w:val="315"/>
        </w:trPr>
        <w:tc>
          <w:tcPr>
            <w:tcW w:w="934"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43"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B46D3">
        <w:trPr>
          <w:trHeight w:val="255"/>
        </w:trPr>
        <w:tc>
          <w:tcPr>
            <w:tcW w:w="934"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43"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868"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676F7A" w:rsidRDefault="00676F7A" w:rsidP="00951B10">
            <w:pPr>
              <w:pStyle w:val="StandardWeb"/>
              <w:autoSpaceDE w:val="0"/>
              <w:jc w:val="center"/>
              <w:rPr>
                <w:rStyle w:val="Fett"/>
                <w:rFonts w:cs="Arial"/>
                <w:bCs/>
                <w:szCs w:val="16"/>
              </w:rPr>
            </w:pPr>
            <w:r>
              <w:rPr>
                <w:rStyle w:val="Fett"/>
                <w:rFonts w:cs="Arial"/>
                <w:bCs/>
                <w:szCs w:val="16"/>
              </w:rPr>
              <w:t>bei Inkrafttreten</w:t>
            </w:r>
          </w:p>
          <w:p w:rsidR="00BE1EFE" w:rsidRPr="00CC06D0" w:rsidRDefault="00BE1EFE" w:rsidP="00951B10">
            <w:pPr>
              <w:pStyle w:val="StandardWeb"/>
              <w:autoSpaceDE w:val="0"/>
              <w:jc w:val="center"/>
              <w:rPr>
                <w:szCs w:val="16"/>
              </w:rPr>
            </w:pPr>
            <w:r w:rsidRPr="00CC06D0">
              <w:rPr>
                <w:rStyle w:val="Fett"/>
                <w:rFonts w:cs="Arial"/>
                <w:bCs/>
                <w:szCs w:val="16"/>
              </w:rPr>
              <w:t>Teil A, 3.</w:t>
            </w: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B46D3">
        <w:trPr>
          <w:trHeight w:val="270"/>
        </w:trPr>
        <w:tc>
          <w:tcPr>
            <w:tcW w:w="934"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43"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868" w:type="dxa"/>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CF518F">
        <w:trPr>
          <w:trHeight w:val="344"/>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16476" w:rsidRDefault="00BE1EFE" w:rsidP="00CF518F">
            <w:pPr>
              <w:jc w:val="center"/>
              <w:rPr>
                <w:szCs w:val="16"/>
              </w:rPr>
            </w:pPr>
            <w:r w:rsidRPr="00416476">
              <w:rPr>
                <w:szCs w:val="16"/>
              </w:rPr>
              <w:t>9</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b nach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29</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50 €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für 3 Jahre</w:t>
            </w:r>
          </w:p>
        </w:tc>
      </w:tr>
      <w:tr w:rsidR="00BE1EFE" w:rsidRPr="00CC06D0" w:rsidTr="00CF518F">
        <w:trPr>
          <w:trHeigh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16476" w:rsidRDefault="00BE1EFE" w:rsidP="00CF518F">
            <w:pPr>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b nach 2, 3,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35</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für 4 Jahre</w:t>
            </w:r>
          </w:p>
        </w:tc>
      </w:tr>
      <w:tr w:rsidR="00BE1EFE" w:rsidRPr="00CC06D0" w:rsidTr="00CF518F">
        <w:trPr>
          <w:trHeigh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416476" w:rsidRDefault="00BE1EFE" w:rsidP="00CF518F">
            <w:pPr>
              <w:jc w:val="center"/>
              <w:rPr>
                <w:szCs w:val="16"/>
              </w:rPr>
            </w:pPr>
            <w:r w:rsidRPr="00416476">
              <w:rPr>
                <w:szCs w:val="16"/>
              </w:rPr>
              <w:t>9</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b nach 2, 3,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50 €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für 4 Jahre</w:t>
            </w:r>
          </w:p>
        </w:tc>
      </w:tr>
      <w:tr w:rsidR="00BE1EFE" w:rsidRPr="00CC06D0" w:rsidTr="00CF518F">
        <w:trPr>
          <w:trHeigh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416476" w:rsidRDefault="00BE1EFE" w:rsidP="00CF518F">
            <w:pPr>
              <w:pStyle w:val="StandardWeb"/>
              <w:autoSpaceDE w:val="0"/>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b nach 2, 3,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37</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416476" w:rsidRPr="00CC06D0" w:rsidTr="00CF518F">
        <w:trPr>
          <w:trHeigh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416476" w:rsidRPr="00416476" w:rsidRDefault="00416476"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26CF4" w:rsidRDefault="00416476" w:rsidP="00CF518F">
            <w:pPr>
              <w:jc w:val="center"/>
            </w:pPr>
            <w:r w:rsidRPr="00A26CF4">
              <w:t>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26CF4" w:rsidRDefault="00416476" w:rsidP="00CF518F">
            <w:pPr>
              <w:jc w:val="center"/>
            </w:pPr>
            <w:r w:rsidRPr="00A26CF4">
              <w:t>IV b nach 2, 3,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26CF4" w:rsidRDefault="00416476" w:rsidP="00CF518F">
            <w:pPr>
              <w:jc w:val="center"/>
            </w:pPr>
            <w:r w:rsidRPr="00A26CF4">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26CF4" w:rsidRDefault="00416476" w:rsidP="00CF518F">
            <w:pPr>
              <w:jc w:val="center"/>
            </w:pPr>
            <w:r w:rsidRPr="00A26CF4">
              <w:t>39</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26CF4" w:rsidRDefault="00416476" w:rsidP="00CF518F">
            <w:pPr>
              <w:jc w:val="center"/>
            </w:pPr>
            <w:r w:rsidRPr="00A26CF4">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Default="00416476" w:rsidP="00CF518F">
            <w:pPr>
              <w:jc w:val="center"/>
            </w:pPr>
            <w:r w:rsidRPr="00A26CF4">
              <w:t>dauerhaft</w:t>
            </w:r>
          </w:p>
        </w:tc>
      </w:tr>
      <w:tr w:rsidR="00416476" w:rsidRPr="00CC06D0" w:rsidTr="00CF518F">
        <w:trPr>
          <w:trHeight w:hRule="exac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416476" w:rsidRPr="00416476" w:rsidRDefault="00416476"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A7645" w:rsidRDefault="00416476" w:rsidP="00CF518F">
            <w:pPr>
              <w:jc w:val="center"/>
            </w:pPr>
            <w:r w:rsidRPr="00AA7645">
              <w:t>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A7645" w:rsidRDefault="00416476" w:rsidP="00CF518F">
            <w:pPr>
              <w:jc w:val="center"/>
            </w:pPr>
            <w:r w:rsidRPr="00AA7645">
              <w:t>IV b nach 2, 3,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A7645" w:rsidRDefault="00416476" w:rsidP="00CF518F">
            <w:pPr>
              <w:jc w:val="center"/>
            </w:pPr>
            <w:r w:rsidRPr="00AA7645">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A7645" w:rsidRDefault="00416476" w:rsidP="00CF518F">
            <w:pPr>
              <w:jc w:val="center"/>
            </w:pPr>
            <w:r w:rsidRPr="00AA7645">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AA7645" w:rsidRDefault="00416476" w:rsidP="00CF518F">
            <w:pPr>
              <w:jc w:val="center"/>
            </w:pPr>
            <w:r w:rsidRPr="00AA7645">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Default="00416476" w:rsidP="00CF518F">
            <w:pPr>
              <w:jc w:val="center"/>
            </w:pPr>
            <w:r w:rsidRPr="00AA7645">
              <w:t>dauerhaft</w:t>
            </w:r>
          </w:p>
        </w:tc>
      </w:tr>
      <w:tr w:rsidR="00416476" w:rsidRPr="00CC06D0" w:rsidTr="00CF518F">
        <w:trPr>
          <w:trHeight w:hRule="exact" w:val="22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9</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35</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für 4 Jahre</w:t>
            </w:r>
          </w:p>
        </w:tc>
      </w:tr>
      <w:tr w:rsidR="00416476" w:rsidRPr="00CC06D0" w:rsidTr="00CF518F">
        <w:trPr>
          <w:trHeight w:hRule="exact" w:val="22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9</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31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50 €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für 4 Jahre</w:t>
            </w:r>
          </w:p>
        </w:tc>
      </w:tr>
      <w:tr w:rsidR="00416476" w:rsidRPr="00CC06D0" w:rsidTr="00CF518F">
        <w:trPr>
          <w:trHeight w:hRule="exact" w:val="22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37</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dauerhaft</w:t>
            </w:r>
          </w:p>
        </w:tc>
      </w:tr>
      <w:tr w:rsidR="00416476" w:rsidRPr="00CC06D0" w:rsidTr="00CF518F">
        <w:trPr>
          <w:trHeight w:hRule="exact" w:val="22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39</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dauerhaft</w:t>
            </w:r>
          </w:p>
        </w:tc>
      </w:tr>
      <w:tr w:rsidR="00416476" w:rsidRPr="00CC06D0" w:rsidTr="00CF518F">
        <w:trPr>
          <w:trHeight w:hRule="exact" w:val="22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Pr="00354E3C" w:rsidRDefault="00416476" w:rsidP="00CF518F">
            <w:pPr>
              <w:jc w:val="center"/>
            </w:pPr>
            <w:r w:rsidRPr="00354E3C">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416476" w:rsidRDefault="00416476" w:rsidP="00CF518F">
            <w:pPr>
              <w:jc w:val="center"/>
            </w:pPr>
            <w:r w:rsidRPr="00354E3C">
              <w:t>dauerhaft</w:t>
            </w:r>
          </w:p>
        </w:tc>
      </w:tr>
      <w:tr w:rsidR="00952FAD" w:rsidRPr="00CC06D0" w:rsidTr="00CF518F">
        <w:trPr>
          <w:trHeight w:hRule="exac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10</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a nach 2,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35</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40 €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für 4 Jahre</w:t>
            </w:r>
          </w:p>
        </w:tc>
      </w:tr>
      <w:tr w:rsidR="00952FAD" w:rsidRPr="00CC06D0" w:rsidTr="00CF518F">
        <w:trPr>
          <w:trHeight w:hRule="exac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a nach 2,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30 €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dauerhaft</w:t>
            </w:r>
          </w:p>
        </w:tc>
      </w:tr>
      <w:tr w:rsidR="00952FAD" w:rsidRPr="00CC06D0" w:rsidTr="00CF518F">
        <w:trPr>
          <w:trHeight w:hRule="exac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a nach 2,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43</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30 €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dauerhaft</w:t>
            </w:r>
          </w:p>
        </w:tc>
      </w:tr>
      <w:tr w:rsidR="00952FAD" w:rsidRPr="00CC06D0" w:rsidTr="00CF518F">
        <w:trPr>
          <w:trHeight w:hRule="exact" w:val="39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10</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a nach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29</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70 €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für 7 Jahre</w:t>
            </w:r>
          </w:p>
        </w:tc>
      </w:tr>
      <w:tr w:rsidR="00952FAD" w:rsidRPr="00CC06D0" w:rsidTr="00CF518F">
        <w:trPr>
          <w:trHeight w:hRule="exac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IV a nach 2,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37</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rsidRPr="00091D9D">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091D9D" w:rsidRDefault="00952FAD" w:rsidP="00CF518F">
            <w:pPr>
              <w:jc w:val="center"/>
            </w:pPr>
            <w:r>
              <w:t>nach 4 Jahren dauerhaft</w:t>
            </w:r>
          </w:p>
        </w:tc>
      </w:tr>
      <w:tr w:rsidR="00952FAD" w:rsidRPr="00CC06D0" w:rsidTr="00CF518F">
        <w:trPr>
          <w:trHeight w:hRule="exac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FD6CF4" w:rsidRDefault="00952FAD"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D6CF4" w:rsidRDefault="00952FAD" w:rsidP="00CF518F">
            <w:pPr>
              <w:jc w:val="center"/>
            </w:pPr>
            <w:r w:rsidRPr="00FD6CF4">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D6CF4" w:rsidRDefault="00952FAD" w:rsidP="00CF518F">
            <w:pPr>
              <w:jc w:val="center"/>
            </w:pPr>
            <w:r w:rsidRPr="00FD6CF4">
              <w:t>IV a nach</w:t>
            </w:r>
            <w:r>
              <w:t xml:space="preserve"> 2, 4,</w:t>
            </w:r>
            <w:r w:rsidRPr="00FD6CF4">
              <w:t xml:space="preserve">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D6CF4" w:rsidRDefault="00952FAD" w:rsidP="00CF518F">
            <w:pPr>
              <w:jc w:val="center"/>
            </w:pPr>
            <w:r w:rsidRPr="00FD6CF4">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D6CF4" w:rsidRDefault="00952FAD" w:rsidP="00CF518F">
            <w:pPr>
              <w:jc w:val="center"/>
            </w:pPr>
            <w:r>
              <w:t>3</w:t>
            </w:r>
            <w:r w:rsidRPr="00FD6CF4">
              <w:t>9</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D6CF4" w:rsidRDefault="00952FAD" w:rsidP="00CF518F">
            <w:pPr>
              <w:jc w:val="center"/>
            </w:pPr>
            <w:r>
              <w:t>6</w:t>
            </w:r>
            <w:r w:rsidRPr="00FD6CF4">
              <w:t>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Default="00952FAD" w:rsidP="00CF518F">
            <w:pPr>
              <w:jc w:val="center"/>
            </w:pPr>
            <w:r>
              <w:t>dauerhaft</w:t>
            </w:r>
          </w:p>
        </w:tc>
      </w:tr>
    </w:tbl>
    <w:p w:rsidR="00BE1EFE" w:rsidRPr="00CC06D0" w:rsidRDefault="00BE1EFE" w:rsidP="00942CDA">
      <w:pPr>
        <w:pStyle w:val="Leerzeile"/>
        <w:rPr>
          <w:szCs w:val="16"/>
        </w:rPr>
      </w:pPr>
      <w:r w:rsidRPr="00CC06D0">
        <w:rPr>
          <w:szCs w:val="16"/>
        </w:rPr>
        <w:br w:type="page"/>
      </w:r>
    </w:p>
    <w:p w:rsidR="00BE1EFE" w:rsidRPr="00CC06D0" w:rsidRDefault="00BE1EFE" w:rsidP="00942CDA">
      <w:pPr>
        <w:pStyle w:val="Leerzeile"/>
        <w:rPr>
          <w:szCs w:val="16"/>
        </w:rPr>
      </w:pPr>
    </w:p>
    <w:tbl>
      <w:tblPr>
        <w:tblW w:w="6747" w:type="dxa"/>
        <w:tblCellMar>
          <w:left w:w="0" w:type="dxa"/>
          <w:right w:w="0" w:type="dxa"/>
        </w:tblCellMar>
        <w:tblLook w:val="04A0" w:firstRow="1" w:lastRow="0" w:firstColumn="1" w:lastColumn="0" w:noHBand="0" w:noVBand="1"/>
      </w:tblPr>
      <w:tblGrid>
        <w:gridCol w:w="934"/>
        <w:gridCol w:w="1143"/>
        <w:gridCol w:w="934"/>
        <w:gridCol w:w="934"/>
        <w:gridCol w:w="934"/>
        <w:gridCol w:w="934"/>
        <w:gridCol w:w="934"/>
      </w:tblGrid>
      <w:tr w:rsidR="00BE1EFE" w:rsidRPr="00CC06D0" w:rsidTr="00952FAD">
        <w:trPr>
          <w:trHeight w:val="420"/>
        </w:trPr>
        <w:tc>
          <w:tcPr>
            <w:tcW w:w="934"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Entgelt-gruppe</w:t>
            </w:r>
          </w:p>
        </w:tc>
        <w:tc>
          <w:tcPr>
            <w:tcW w:w="1143"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Vergütungs-gruppe bei Inkrafttreten Teil A, 3.</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994BA8" w:rsidRDefault="00994BA8" w:rsidP="00994BA8">
            <w:pPr>
              <w:pStyle w:val="StandardWeb"/>
              <w:autoSpaceDE w:val="0"/>
              <w:jc w:val="center"/>
              <w:rPr>
                <w:rFonts w:cs="Arial"/>
                <w:b/>
                <w:bCs/>
                <w:szCs w:val="16"/>
              </w:rPr>
            </w:pPr>
            <w:r>
              <w:rPr>
                <w:rStyle w:val="Fett"/>
                <w:rFonts w:cs="Arial"/>
                <w:bCs/>
                <w:szCs w:val="16"/>
              </w:rPr>
              <w:t>Ortszu-schlag Stufe 1,</w:t>
            </w:r>
            <w:r w:rsidR="005F75CA">
              <w:rPr>
                <w:rStyle w:val="Fett"/>
                <w:rFonts w:cs="Arial"/>
                <w:bCs/>
                <w:szCs w:val="16"/>
              </w:rPr>
              <w:t xml:space="preserve"> </w:t>
            </w:r>
            <w:r w:rsidR="00BE1EFE" w:rsidRPr="00CC06D0">
              <w:rPr>
                <w:rStyle w:val="Fett"/>
                <w:rFonts w:cs="Arial"/>
                <w:bCs/>
                <w:szCs w:val="16"/>
              </w:rPr>
              <w:t>2</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9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952FAD">
        <w:trPr>
          <w:trHeight w:val="255"/>
        </w:trPr>
        <w:tc>
          <w:tcPr>
            <w:tcW w:w="934"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43"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952FAD">
        <w:trPr>
          <w:trHeight w:val="315"/>
        </w:trPr>
        <w:tc>
          <w:tcPr>
            <w:tcW w:w="934"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43"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952FAD">
        <w:trPr>
          <w:trHeight w:val="255"/>
        </w:trPr>
        <w:tc>
          <w:tcPr>
            <w:tcW w:w="934"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43"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868"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676F7A" w:rsidRDefault="00676F7A" w:rsidP="00951B10">
            <w:pPr>
              <w:pStyle w:val="StandardWeb"/>
              <w:autoSpaceDE w:val="0"/>
              <w:jc w:val="center"/>
              <w:rPr>
                <w:rStyle w:val="Fett"/>
                <w:rFonts w:cs="Arial"/>
                <w:bCs/>
                <w:szCs w:val="16"/>
              </w:rPr>
            </w:pPr>
            <w:r>
              <w:rPr>
                <w:rStyle w:val="Fett"/>
                <w:rFonts w:cs="Arial"/>
                <w:bCs/>
                <w:szCs w:val="16"/>
              </w:rPr>
              <w:t>bei Inkrafttreten</w:t>
            </w:r>
          </w:p>
          <w:p w:rsidR="00BE1EFE" w:rsidRPr="00CC06D0" w:rsidRDefault="00BE1EFE" w:rsidP="00951B10">
            <w:pPr>
              <w:pStyle w:val="StandardWeb"/>
              <w:autoSpaceDE w:val="0"/>
              <w:jc w:val="center"/>
              <w:rPr>
                <w:szCs w:val="16"/>
              </w:rPr>
            </w:pPr>
            <w:r w:rsidRPr="00CC06D0">
              <w:rPr>
                <w:rStyle w:val="Fett"/>
                <w:rFonts w:cs="Arial"/>
                <w:bCs/>
                <w:szCs w:val="16"/>
              </w:rPr>
              <w:t>Teil A, 3.</w:t>
            </w: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952FAD">
        <w:trPr>
          <w:trHeight w:val="270"/>
        </w:trPr>
        <w:tc>
          <w:tcPr>
            <w:tcW w:w="934"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43"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868" w:type="dxa"/>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34"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952FAD" w:rsidRDefault="00BE1EFE" w:rsidP="00CF518F">
            <w:pPr>
              <w:pStyle w:val="StandardWeb"/>
              <w:autoSpaceDE w:val="0"/>
              <w:jc w:val="center"/>
              <w:rPr>
                <w:b/>
                <w:szCs w:val="16"/>
              </w:rPr>
            </w:pPr>
            <w:r w:rsidRPr="00952FAD">
              <w:rPr>
                <w:rStyle w:val="Fett"/>
                <w:rFonts w:cs="Arial"/>
                <w:b w:val="0"/>
                <w:bCs/>
                <w:szCs w:val="16"/>
              </w:rPr>
              <w:t>10</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 nach 2,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85 €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952FAD" w:rsidRDefault="00BE1EFE" w:rsidP="00CF518F">
            <w:pPr>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b</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 nach 2, 4, 6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43</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952FAD" w:rsidRDefault="00BE1EFE" w:rsidP="00CF518F">
            <w:pPr>
              <w:jc w:val="center"/>
              <w:rPr>
                <w:szCs w:val="16"/>
              </w:rPr>
            </w:pPr>
            <w:r w:rsidRPr="00952FAD">
              <w:rPr>
                <w:szCs w:val="16"/>
              </w:rPr>
              <w:t>10</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952FAD" w:rsidP="00CF518F">
            <w:pPr>
              <w:pStyle w:val="StandardWeb"/>
              <w:jc w:val="center"/>
              <w:rPr>
                <w:szCs w:val="16"/>
              </w:rPr>
            </w:pPr>
            <w:r>
              <w:rPr>
                <w:rFonts w:cs="Arial"/>
                <w:szCs w:val="16"/>
              </w:rPr>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35</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für 4 Jahre</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52FAD" w:rsidRDefault="00BE1EFE" w:rsidP="00CF518F">
            <w:pPr>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952FAD" w:rsidP="00CF518F">
            <w:pPr>
              <w:pStyle w:val="StandardWeb"/>
              <w:jc w:val="center"/>
              <w:rPr>
                <w:szCs w:val="16"/>
              </w:rPr>
            </w:pPr>
            <w:r>
              <w:rPr>
                <w:rFonts w:cs="Arial"/>
                <w:szCs w:val="16"/>
              </w:rPr>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52FAD" w:rsidRDefault="00BE1EFE" w:rsidP="00CF518F">
            <w:pPr>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952FAD" w:rsidP="00CF518F">
            <w:pPr>
              <w:pStyle w:val="StandardWeb"/>
              <w:jc w:val="center"/>
              <w:rPr>
                <w:szCs w:val="16"/>
              </w:rPr>
            </w:pPr>
            <w:r>
              <w:rPr>
                <w:rFonts w:cs="Arial"/>
                <w:szCs w:val="16"/>
              </w:rPr>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43</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567"/>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952FAD" w:rsidRDefault="00BE1EFE" w:rsidP="00CF518F">
            <w:pPr>
              <w:jc w:val="center"/>
              <w:rPr>
                <w:szCs w:val="16"/>
              </w:rPr>
            </w:pPr>
            <w:r w:rsidRPr="00952FAD">
              <w:rPr>
                <w:szCs w:val="16"/>
              </w:rPr>
              <w:t>10</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952FAD" w:rsidP="00CF518F">
            <w:pPr>
              <w:pStyle w:val="StandardWeb"/>
              <w:jc w:val="center"/>
              <w:rPr>
                <w:szCs w:val="16"/>
              </w:rPr>
            </w:pPr>
            <w:r>
              <w:rPr>
                <w:rFonts w:cs="Arial"/>
                <w:szCs w:val="16"/>
              </w:rPr>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37</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rFonts w:cs="Arial"/>
                <w:szCs w:val="16"/>
              </w:rPr>
            </w:pPr>
            <w:r w:rsidRPr="00CC06D0">
              <w:rPr>
                <w:rFonts w:cs="Arial"/>
                <w:szCs w:val="16"/>
              </w:rPr>
              <w:t>nach</w:t>
            </w:r>
          </w:p>
          <w:p w:rsidR="00BE1EFE" w:rsidRPr="00CC06D0" w:rsidRDefault="00BE1EFE" w:rsidP="00CF518F">
            <w:pPr>
              <w:pStyle w:val="StandardWeb"/>
              <w:jc w:val="center"/>
              <w:rPr>
                <w:szCs w:val="16"/>
              </w:rPr>
            </w:pPr>
            <w:r w:rsidRPr="00CC06D0">
              <w:rPr>
                <w:rFonts w:cs="Arial"/>
                <w:szCs w:val="16"/>
              </w:rPr>
              <w:t>4 Jahren dauerhaft</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52FAD" w:rsidRDefault="00BE1EFE" w:rsidP="00CF518F">
            <w:pPr>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952FAD" w:rsidP="00CF518F">
            <w:pPr>
              <w:pStyle w:val="StandardWeb"/>
              <w:jc w:val="center"/>
              <w:rPr>
                <w:szCs w:val="16"/>
              </w:rPr>
            </w:pPr>
            <w:r>
              <w:rPr>
                <w:rFonts w:cs="Arial"/>
                <w:szCs w:val="16"/>
              </w:rPr>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39</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55"/>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52FAD" w:rsidRDefault="00BE1EFE" w:rsidP="00CF518F">
            <w:pPr>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952FAD" w:rsidP="00CF518F">
            <w:pPr>
              <w:pStyle w:val="StandardWeb"/>
              <w:jc w:val="center"/>
              <w:rPr>
                <w:szCs w:val="16"/>
              </w:rPr>
            </w:pPr>
            <w:r>
              <w:rPr>
                <w:rFonts w:cs="Arial"/>
                <w:szCs w:val="16"/>
              </w:rPr>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85 €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52FAD" w:rsidRDefault="00BE1EFE" w:rsidP="00CF518F">
            <w:pPr>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952FAD" w:rsidP="00CF518F">
            <w:pPr>
              <w:pStyle w:val="StandardWeb"/>
              <w:jc w:val="center"/>
              <w:rPr>
                <w:szCs w:val="16"/>
              </w:rPr>
            </w:pPr>
            <w:r>
              <w:rPr>
                <w:rFonts w:cs="Arial"/>
                <w:szCs w:val="16"/>
              </w:rPr>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43</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60 €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952FAD" w:rsidRDefault="00BE1EFE" w:rsidP="00CF518F">
            <w:pPr>
              <w:pStyle w:val="StandardWeb"/>
              <w:autoSpaceDE w:val="0"/>
              <w:jc w:val="center"/>
              <w:rPr>
                <w:b/>
                <w:szCs w:val="16"/>
              </w:rPr>
            </w:pPr>
            <w:r w:rsidRPr="00952FAD">
              <w:rPr>
                <w:rStyle w:val="Fett"/>
                <w:rFonts w:cs="Arial"/>
                <w:b w:val="0"/>
                <w:bCs/>
                <w:szCs w:val="16"/>
              </w:rPr>
              <w:t>11</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52FAD" w:rsidRDefault="00BE1EFE" w:rsidP="00CF518F">
            <w:pPr>
              <w:pStyle w:val="StandardWeb"/>
              <w:jc w:val="center"/>
              <w:rPr>
                <w:rFonts w:cs="Arial"/>
                <w:szCs w:val="16"/>
              </w:rPr>
            </w:pPr>
            <w:r w:rsidRPr="00CC06D0">
              <w:rPr>
                <w:rFonts w:cs="Arial"/>
                <w:szCs w:val="16"/>
              </w:rPr>
              <w:t>III nach</w:t>
            </w:r>
          </w:p>
          <w:p w:rsidR="00BE1EFE" w:rsidRPr="00CC06D0" w:rsidRDefault="00BE1EFE" w:rsidP="00CF518F">
            <w:pPr>
              <w:pStyle w:val="StandardWeb"/>
              <w:jc w:val="center"/>
              <w:rPr>
                <w:szCs w:val="16"/>
              </w:rPr>
            </w:pPr>
            <w:r w:rsidRPr="00CC06D0">
              <w:rPr>
                <w:rFonts w:cs="Arial"/>
                <w:szCs w:val="16"/>
              </w:rPr>
              <w:t>4, 6, 8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952FAD" w:rsidRDefault="00BE1EFE" w:rsidP="00CF518F">
            <w:pPr>
              <w:jc w:val="center"/>
              <w:rPr>
                <w:szCs w:val="16"/>
              </w:rP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52FAD" w:rsidRDefault="00BE1EFE" w:rsidP="00CF518F">
            <w:pPr>
              <w:pStyle w:val="StandardWeb"/>
              <w:jc w:val="center"/>
              <w:rPr>
                <w:rFonts w:cs="Arial"/>
                <w:szCs w:val="16"/>
              </w:rPr>
            </w:pPr>
            <w:r w:rsidRPr="00CC06D0">
              <w:rPr>
                <w:rFonts w:cs="Arial"/>
                <w:szCs w:val="16"/>
              </w:rPr>
              <w:t>III nach</w:t>
            </w:r>
          </w:p>
          <w:p w:rsidR="00BE1EFE" w:rsidRPr="00CC06D0" w:rsidRDefault="00BE1EFE" w:rsidP="00CF518F">
            <w:pPr>
              <w:pStyle w:val="StandardWeb"/>
              <w:jc w:val="center"/>
              <w:rPr>
                <w:szCs w:val="16"/>
              </w:rPr>
            </w:pPr>
            <w:r w:rsidRPr="00CC06D0">
              <w:rPr>
                <w:rFonts w:cs="Arial"/>
                <w:szCs w:val="16"/>
              </w:rPr>
              <w:t>4, 6, 8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43</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40 €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dauerhaft</w:t>
            </w:r>
          </w:p>
        </w:tc>
      </w:tr>
      <w:tr w:rsidR="00BE1EFE"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952FAD" w:rsidRDefault="00BE1EFE" w:rsidP="00CF518F">
            <w:pPr>
              <w:jc w:val="center"/>
              <w:rPr>
                <w:szCs w:val="16"/>
              </w:rPr>
            </w:pPr>
            <w:r w:rsidRPr="00952FAD">
              <w:rPr>
                <w:szCs w:val="16"/>
              </w:rPr>
              <w:t>11</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52FAD" w:rsidRDefault="00BE1EFE" w:rsidP="00CF518F">
            <w:pPr>
              <w:pStyle w:val="StandardWeb"/>
              <w:jc w:val="center"/>
              <w:rPr>
                <w:rFonts w:cs="Arial"/>
                <w:szCs w:val="16"/>
              </w:rPr>
            </w:pPr>
            <w:r w:rsidRPr="00CC06D0">
              <w:rPr>
                <w:rFonts w:cs="Arial"/>
                <w:szCs w:val="16"/>
              </w:rPr>
              <w:t>III nach</w:t>
            </w:r>
          </w:p>
          <w:p w:rsidR="00BE1EFE" w:rsidRPr="00CC06D0" w:rsidRDefault="00BE1EFE" w:rsidP="00CF518F">
            <w:pPr>
              <w:pStyle w:val="StandardWeb"/>
              <w:jc w:val="center"/>
              <w:rPr>
                <w:szCs w:val="16"/>
              </w:rPr>
            </w:pPr>
            <w:r w:rsidRPr="00CC06D0">
              <w:rPr>
                <w:rFonts w:cs="Arial"/>
                <w:szCs w:val="16"/>
              </w:rPr>
              <w:t>4,</w:t>
            </w:r>
            <w:r w:rsidR="00952FAD">
              <w:rPr>
                <w:rFonts w:cs="Arial"/>
                <w:szCs w:val="16"/>
              </w:rPr>
              <w:t xml:space="preserve"> </w:t>
            </w:r>
            <w:r w:rsidRPr="00CC06D0">
              <w:rPr>
                <w:rFonts w:cs="Arial"/>
                <w:szCs w:val="16"/>
              </w:rPr>
              <w:t>6, 8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37</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szCs w:val="16"/>
              </w:rPr>
            </w:pPr>
            <w:r w:rsidRPr="00CC06D0">
              <w:rPr>
                <w:rFonts w:cs="Arial"/>
                <w:szCs w:val="16"/>
              </w:rPr>
              <w:t>70 €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CF518F">
            <w:pPr>
              <w:pStyle w:val="StandardWeb"/>
              <w:jc w:val="center"/>
              <w:rPr>
                <w:rFonts w:cs="Arial"/>
                <w:szCs w:val="16"/>
              </w:rPr>
            </w:pPr>
            <w:r w:rsidRPr="00CC06D0">
              <w:rPr>
                <w:rFonts w:cs="Arial"/>
                <w:szCs w:val="16"/>
              </w:rPr>
              <w:t>nach</w:t>
            </w:r>
          </w:p>
          <w:p w:rsidR="00BE1EFE" w:rsidRPr="00CC06D0" w:rsidRDefault="00BE1EFE" w:rsidP="00CF518F">
            <w:pPr>
              <w:pStyle w:val="StandardWeb"/>
              <w:jc w:val="center"/>
              <w:rPr>
                <w:szCs w:val="16"/>
              </w:rPr>
            </w:pPr>
            <w:r w:rsidRPr="00CC06D0">
              <w:rPr>
                <w:rFonts w:cs="Arial"/>
                <w:szCs w:val="16"/>
              </w:rPr>
              <w:t>4 Jahren dauerhaft</w:t>
            </w:r>
          </w:p>
        </w:tc>
      </w:tr>
      <w:tr w:rsidR="00952FAD"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952FAD" w:rsidRDefault="00952FAD"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C42AC" w:rsidRDefault="00952FAD" w:rsidP="00CF518F">
            <w:pPr>
              <w:jc w:val="center"/>
            </w:pPr>
            <w:r w:rsidRPr="00FC42AC">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Default="00952FAD" w:rsidP="00CF518F">
            <w:pPr>
              <w:jc w:val="center"/>
            </w:pPr>
            <w:r>
              <w:t>III nach</w:t>
            </w:r>
          </w:p>
          <w:p w:rsidR="00952FAD" w:rsidRPr="00FC42AC" w:rsidRDefault="00952FAD" w:rsidP="00CF518F">
            <w:pPr>
              <w:jc w:val="center"/>
            </w:pPr>
            <w:r>
              <w:t xml:space="preserve">4, 6, 8 </w:t>
            </w:r>
            <w:r w:rsidRPr="00FC42AC">
              <w:t>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C42AC" w:rsidRDefault="00952FAD" w:rsidP="00CF518F">
            <w:pPr>
              <w:jc w:val="center"/>
            </w:pPr>
            <w:r w:rsidRPr="00FC42AC">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C42AC" w:rsidRDefault="00952FAD" w:rsidP="00CF518F">
            <w:pPr>
              <w:jc w:val="center"/>
            </w:pPr>
            <w:r w:rsidRPr="00FC42AC">
              <w:t>39</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FC42AC" w:rsidRDefault="00952FAD" w:rsidP="00CF518F">
            <w:pPr>
              <w:jc w:val="center"/>
            </w:pPr>
            <w:r w:rsidRPr="00FC42AC">
              <w:t>70 €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Default="00952FAD" w:rsidP="00CF518F">
            <w:pPr>
              <w:jc w:val="center"/>
            </w:pPr>
            <w:r w:rsidRPr="00FC42AC">
              <w:t>dauerhaft</w:t>
            </w:r>
          </w:p>
        </w:tc>
      </w:tr>
      <w:tr w:rsidR="00952FAD"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11</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Default="000F5776" w:rsidP="00CF518F">
            <w:pPr>
              <w:jc w:val="center"/>
            </w:pPr>
            <w:r>
              <w:t>III nach</w:t>
            </w:r>
          </w:p>
          <w:p w:rsidR="00952FAD" w:rsidRPr="003950F8" w:rsidRDefault="00952FAD" w:rsidP="00CF518F">
            <w:pPr>
              <w:jc w:val="center"/>
            </w:pPr>
            <w:r w:rsidRPr="003950F8">
              <w:t>4, 6, 8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85 €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dauerhaft</w:t>
            </w:r>
          </w:p>
        </w:tc>
      </w:tr>
      <w:tr w:rsidR="00952FAD"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IV a</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Default="000F5776" w:rsidP="00CF518F">
            <w:pPr>
              <w:jc w:val="center"/>
            </w:pPr>
            <w:r>
              <w:t>III nach</w:t>
            </w:r>
          </w:p>
          <w:p w:rsidR="00952FAD" w:rsidRPr="003950F8" w:rsidRDefault="00952FAD" w:rsidP="00CF518F">
            <w:pPr>
              <w:jc w:val="center"/>
            </w:pPr>
            <w:r w:rsidRPr="003950F8">
              <w:t>4, 6, 8 Jahren</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OZ 2</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43</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70 €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dauerhaft</w:t>
            </w:r>
          </w:p>
        </w:tc>
      </w:tr>
      <w:tr w:rsidR="00952FAD"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11</w:t>
            </w: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III</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41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40 €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0F5776" w:rsidP="00CF518F">
            <w:pPr>
              <w:jc w:val="center"/>
            </w:pPr>
            <w:r>
              <w:t>nach 4 Jahren dauerhaft</w:t>
            </w:r>
          </w:p>
        </w:tc>
      </w:tr>
      <w:tr w:rsidR="00952FAD" w:rsidRPr="00CC06D0" w:rsidTr="00CF518F">
        <w:trPr>
          <w:trHeight w:val="270"/>
        </w:trPr>
        <w:tc>
          <w:tcPr>
            <w:tcW w:w="93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p>
        </w:tc>
        <w:tc>
          <w:tcPr>
            <w:tcW w:w="1143"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III</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ohne</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OZ 1</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43</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40 €</w:t>
            </w:r>
          </w:p>
        </w:tc>
        <w:tc>
          <w:tcPr>
            <w:tcW w:w="934" w:type="dxa"/>
            <w:tcBorders>
              <w:top w:val="nil"/>
              <w:left w:val="nil"/>
              <w:bottom w:val="single" w:sz="8" w:space="0" w:color="auto"/>
              <w:right w:val="single" w:sz="8" w:space="0" w:color="auto"/>
            </w:tcBorders>
            <w:tcMar>
              <w:top w:w="0" w:type="dxa"/>
              <w:left w:w="70" w:type="dxa"/>
              <w:bottom w:w="0" w:type="dxa"/>
              <w:right w:w="70" w:type="dxa"/>
            </w:tcMar>
            <w:vAlign w:val="center"/>
          </w:tcPr>
          <w:p w:rsidR="00952FAD" w:rsidRPr="003950F8" w:rsidRDefault="00952FAD" w:rsidP="00CF518F">
            <w:pPr>
              <w:jc w:val="center"/>
            </w:pPr>
            <w:r w:rsidRPr="003950F8">
              <w:t>dauerhaft</w:t>
            </w:r>
          </w:p>
        </w:tc>
      </w:tr>
    </w:tbl>
    <w:p w:rsidR="00BE1EFE" w:rsidRPr="000F5776" w:rsidRDefault="00BE1EFE">
      <w:pPr>
        <w:pStyle w:val="StandardWeb"/>
        <w:rPr>
          <w:sz w:val="12"/>
          <w:szCs w:val="12"/>
        </w:rPr>
      </w:pPr>
    </w:p>
    <w:p w:rsidR="00BE1EFE" w:rsidRPr="00CC06D0" w:rsidRDefault="00BE1EFE" w:rsidP="00942CDA">
      <w:pPr>
        <w:pStyle w:val="Leerzeile"/>
        <w:rPr>
          <w:szCs w:val="16"/>
        </w:rPr>
      </w:pPr>
      <w:r w:rsidRPr="00CC06D0">
        <w:rPr>
          <w:szCs w:val="16"/>
        </w:rPr>
        <w:br w:type="page"/>
      </w:r>
    </w:p>
    <w:tbl>
      <w:tblPr>
        <w:tblW w:w="7170" w:type="dxa"/>
        <w:tblCellMar>
          <w:left w:w="0" w:type="dxa"/>
          <w:right w:w="0" w:type="dxa"/>
        </w:tblCellMar>
        <w:tblLook w:val="04A0" w:firstRow="1" w:lastRow="0" w:firstColumn="1" w:lastColumn="0" w:noHBand="0" w:noVBand="1"/>
      </w:tblPr>
      <w:tblGrid>
        <w:gridCol w:w="885"/>
        <w:gridCol w:w="1419"/>
        <w:gridCol w:w="1197"/>
        <w:gridCol w:w="849"/>
        <w:gridCol w:w="906"/>
        <w:gridCol w:w="895"/>
        <w:gridCol w:w="1019"/>
      </w:tblGrid>
      <w:tr w:rsidR="00BE1EFE" w:rsidRPr="00CC06D0" w:rsidTr="000F5776">
        <w:trPr>
          <w:trHeight w:val="420"/>
        </w:trPr>
        <w:tc>
          <w:tcPr>
            <w:tcW w:w="885"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lastRenderedPageBreak/>
              <w:t>Entgelt-gruppe</w:t>
            </w:r>
          </w:p>
        </w:tc>
        <w:tc>
          <w:tcPr>
            <w:tcW w:w="141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rsidP="0054275E">
            <w:pPr>
              <w:pStyle w:val="StandardWeb"/>
              <w:autoSpaceDE w:val="0"/>
              <w:jc w:val="center"/>
              <w:rPr>
                <w:rStyle w:val="Fett"/>
                <w:rFonts w:cs="Arial"/>
                <w:bCs/>
                <w:szCs w:val="16"/>
              </w:rPr>
            </w:pPr>
            <w:r w:rsidRPr="00CC06D0">
              <w:rPr>
                <w:rStyle w:val="Fett"/>
                <w:rFonts w:cs="Arial"/>
                <w:bCs/>
                <w:szCs w:val="16"/>
              </w:rPr>
              <w:t>Vergütungs-gruppe bei Inkrafttreten</w:t>
            </w:r>
          </w:p>
          <w:p w:rsidR="00BE1EFE" w:rsidRPr="00CC06D0" w:rsidRDefault="00BE1EFE" w:rsidP="0054275E">
            <w:pPr>
              <w:pStyle w:val="StandardWeb"/>
              <w:autoSpaceDE w:val="0"/>
              <w:jc w:val="center"/>
              <w:rPr>
                <w:szCs w:val="16"/>
              </w:rPr>
            </w:pPr>
            <w:r w:rsidRPr="00CC06D0">
              <w:rPr>
                <w:rStyle w:val="Fett"/>
                <w:rFonts w:cs="Arial"/>
                <w:bCs/>
                <w:szCs w:val="16"/>
              </w:rPr>
              <w:t>Teil A, 3.</w:t>
            </w:r>
          </w:p>
        </w:tc>
        <w:tc>
          <w:tcPr>
            <w:tcW w:w="119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849" w:type="dxa"/>
            <w:vMerge w:val="restart"/>
            <w:tcBorders>
              <w:top w:val="single" w:sz="8" w:space="0" w:color="auto"/>
              <w:left w:val="nil"/>
              <w:bottom w:val="single" w:sz="8" w:space="0" w:color="auto"/>
              <w:right w:val="single" w:sz="8" w:space="0" w:color="auto"/>
            </w:tcBorders>
            <w:tcMar>
              <w:top w:w="0" w:type="dxa"/>
              <w:left w:w="0" w:type="dxa"/>
              <w:bottom w:w="0" w:type="dxa"/>
              <w:right w:w="0" w:type="dxa"/>
            </w:tcMar>
            <w:vAlign w:val="center"/>
            <w:hideMark/>
          </w:tcPr>
          <w:p w:rsidR="00BE1EFE" w:rsidRPr="00CC06D0" w:rsidRDefault="00BE1EFE" w:rsidP="0054275E">
            <w:pPr>
              <w:pStyle w:val="StandardWeb"/>
              <w:autoSpaceDE w:val="0"/>
              <w:jc w:val="center"/>
              <w:rPr>
                <w:rFonts w:cs="Arial"/>
                <w:b/>
                <w:bCs/>
                <w:szCs w:val="16"/>
              </w:rPr>
            </w:pPr>
            <w:r w:rsidRPr="00CC06D0">
              <w:rPr>
                <w:rStyle w:val="Fett"/>
                <w:rFonts w:cs="Arial"/>
                <w:bCs/>
                <w:szCs w:val="16"/>
              </w:rPr>
              <w:t>Ortszu-schlag Stufe 1, 2</w:t>
            </w:r>
          </w:p>
        </w:tc>
        <w:tc>
          <w:tcPr>
            <w:tcW w:w="90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89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101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0F5776">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49"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0F5776">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49"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0F5776">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755"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676F7A" w:rsidRDefault="00676F7A" w:rsidP="00951B10">
            <w:pPr>
              <w:pStyle w:val="StandardWeb"/>
              <w:autoSpaceDE w:val="0"/>
              <w:jc w:val="center"/>
              <w:rPr>
                <w:rStyle w:val="Fett"/>
                <w:rFonts w:cs="Arial"/>
                <w:bCs/>
                <w:szCs w:val="16"/>
              </w:rPr>
            </w:pPr>
            <w:r>
              <w:rPr>
                <w:rStyle w:val="Fett"/>
                <w:rFonts w:cs="Arial"/>
                <w:bCs/>
                <w:szCs w:val="16"/>
              </w:rPr>
              <w:t>bei Inkrafttreten</w:t>
            </w:r>
          </w:p>
          <w:p w:rsidR="00BE1EFE" w:rsidRPr="00CC06D0" w:rsidRDefault="00BE1EFE" w:rsidP="00951B10">
            <w:pPr>
              <w:pStyle w:val="StandardWeb"/>
              <w:autoSpaceDE w:val="0"/>
              <w:jc w:val="center"/>
              <w:rPr>
                <w:szCs w:val="16"/>
              </w:rPr>
            </w:pPr>
            <w:r w:rsidRPr="00CC06D0">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0F5776">
        <w:trPr>
          <w:trHeight w:val="207"/>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755" w:type="dxa"/>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0F5776">
        <w:trPr>
          <w:trHeight w:val="510"/>
        </w:trPr>
        <w:tc>
          <w:tcPr>
            <w:tcW w:w="885"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F5776" w:rsidRDefault="00BE1EFE" w:rsidP="00876902">
            <w:pPr>
              <w:jc w:val="center"/>
              <w:rPr>
                <w:szCs w:val="16"/>
              </w:rPr>
            </w:pPr>
            <w:r w:rsidRPr="000F5776">
              <w:rPr>
                <w:szCs w:val="16"/>
              </w:rPr>
              <w:t>11</w:t>
            </w:r>
          </w:p>
        </w:tc>
        <w:tc>
          <w:tcPr>
            <w:tcW w:w="141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19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84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906"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37</w:t>
            </w:r>
          </w:p>
        </w:tc>
        <w:tc>
          <w:tcPr>
            <w:tcW w:w="895"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70 €</w:t>
            </w:r>
          </w:p>
        </w:tc>
        <w:tc>
          <w:tcPr>
            <w:tcW w:w="101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rFonts w:cs="Arial"/>
                <w:szCs w:val="16"/>
              </w:rPr>
            </w:pPr>
            <w:r w:rsidRPr="00CC06D0">
              <w:rPr>
                <w:rFonts w:cs="Arial"/>
                <w:szCs w:val="16"/>
              </w:rPr>
              <w:t xml:space="preserve">nach </w:t>
            </w:r>
          </w:p>
          <w:p w:rsidR="00BE1EFE" w:rsidRPr="00CC06D0" w:rsidRDefault="00BE1EFE" w:rsidP="00876902">
            <w:pPr>
              <w:pStyle w:val="StandardWeb"/>
              <w:jc w:val="center"/>
              <w:rPr>
                <w:szCs w:val="16"/>
              </w:rPr>
            </w:pPr>
            <w:r w:rsidRPr="00CC06D0">
              <w:rPr>
                <w:rFonts w:cs="Arial"/>
                <w:szCs w:val="16"/>
              </w:rPr>
              <w:t>4 Jahren dauerhaft</w:t>
            </w:r>
          </w:p>
        </w:tc>
      </w:tr>
      <w:tr w:rsidR="00BE1EFE" w:rsidRPr="00CC06D0" w:rsidTr="000F5776">
        <w:trPr>
          <w:trHeight w:val="270"/>
        </w:trPr>
        <w:tc>
          <w:tcPr>
            <w:tcW w:w="0" w:type="auto"/>
            <w:vMerge/>
            <w:tcBorders>
              <w:top w:val="nil"/>
              <w:left w:val="single" w:sz="8" w:space="0" w:color="auto"/>
              <w:bottom w:val="single" w:sz="8" w:space="0" w:color="auto"/>
              <w:right w:val="single" w:sz="8" w:space="0" w:color="auto"/>
            </w:tcBorders>
            <w:vAlign w:val="center"/>
            <w:hideMark/>
          </w:tcPr>
          <w:p w:rsidR="00BE1EFE" w:rsidRPr="000F5776"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849"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r>
      <w:tr w:rsidR="00BE1EFE"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F5776" w:rsidRDefault="00BE1EFE" w:rsidP="00876902">
            <w:pPr>
              <w:jc w:val="center"/>
              <w:rPr>
                <w:szCs w:val="16"/>
              </w:rP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39</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70 €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F5776" w:rsidRDefault="00BE1EFE" w:rsidP="00876902">
            <w:pPr>
              <w:jc w:val="center"/>
              <w:rPr>
                <w:szCs w:val="16"/>
              </w:rP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41</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85 €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F5776" w:rsidRDefault="00BE1EFE" w:rsidP="00876902">
            <w:pPr>
              <w:jc w:val="center"/>
              <w:rPr>
                <w:szCs w:val="16"/>
              </w:rP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43</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70 €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F5776" w:rsidRDefault="00BE1EFE" w:rsidP="0054275E">
            <w:pPr>
              <w:pStyle w:val="StandardWeb"/>
              <w:autoSpaceDE w:val="0"/>
              <w:jc w:val="center"/>
              <w:rPr>
                <w:b/>
                <w:szCs w:val="16"/>
              </w:rPr>
            </w:pPr>
            <w:r w:rsidRPr="000F5776">
              <w:rPr>
                <w:rStyle w:val="Fett"/>
                <w:rFonts w:cs="Arial"/>
                <w:b w:val="0"/>
                <w:bCs/>
                <w:szCs w:val="16"/>
              </w:rPr>
              <w:t>12</w:t>
            </w: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18F" w:rsidRDefault="00BE1EFE" w:rsidP="00876902">
            <w:pPr>
              <w:pStyle w:val="StandardWeb"/>
              <w:jc w:val="center"/>
              <w:rPr>
                <w:rFonts w:cs="Arial"/>
                <w:szCs w:val="16"/>
              </w:rPr>
            </w:pPr>
            <w:r w:rsidRPr="00CC06D0">
              <w:rPr>
                <w:rFonts w:cs="Arial"/>
                <w:szCs w:val="16"/>
              </w:rPr>
              <w:t xml:space="preserve">II a nach </w:t>
            </w:r>
          </w:p>
          <w:p w:rsidR="00BE1EFE" w:rsidRPr="00CC06D0" w:rsidRDefault="00BE1EFE" w:rsidP="00876902">
            <w:pPr>
              <w:pStyle w:val="StandardWeb"/>
              <w:jc w:val="center"/>
              <w:rPr>
                <w:szCs w:val="16"/>
              </w:rPr>
            </w:pPr>
            <w:r w:rsidRPr="00CC06D0">
              <w:rPr>
                <w:rFonts w:cs="Arial"/>
                <w:szCs w:val="16"/>
              </w:rPr>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33</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95 €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für 5 Jahre</w:t>
            </w:r>
          </w:p>
        </w:tc>
      </w:tr>
      <w:tr w:rsidR="00BE1EFE"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F5776" w:rsidRDefault="00BE1EFE" w:rsidP="00876902">
            <w:pPr>
              <w:jc w:val="center"/>
              <w:rPr>
                <w:szCs w:val="16"/>
              </w:rP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18F" w:rsidRDefault="00BE1EFE" w:rsidP="00876902">
            <w:pPr>
              <w:pStyle w:val="StandardWeb"/>
              <w:jc w:val="center"/>
              <w:rPr>
                <w:rFonts w:cs="Arial"/>
                <w:szCs w:val="16"/>
              </w:rPr>
            </w:pPr>
            <w:r w:rsidRPr="00CC06D0">
              <w:rPr>
                <w:rFonts w:cs="Arial"/>
                <w:szCs w:val="16"/>
              </w:rPr>
              <w:t xml:space="preserve">II a nach </w:t>
            </w:r>
          </w:p>
          <w:p w:rsidR="00BE1EFE" w:rsidRPr="00CC06D0" w:rsidRDefault="00BE1EFE" w:rsidP="00876902">
            <w:pPr>
              <w:pStyle w:val="StandardWeb"/>
              <w:jc w:val="center"/>
              <w:rPr>
                <w:szCs w:val="16"/>
              </w:rPr>
            </w:pPr>
            <w:r w:rsidRPr="00CC06D0">
              <w:rPr>
                <w:rFonts w:cs="Arial"/>
                <w:szCs w:val="16"/>
              </w:rPr>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35</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95 €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für 4 Jahre</w:t>
            </w:r>
          </w:p>
        </w:tc>
      </w:tr>
      <w:tr w:rsidR="00BE1EFE"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F5776" w:rsidRDefault="00BE1EFE" w:rsidP="00876902">
            <w:pPr>
              <w:jc w:val="center"/>
              <w:rPr>
                <w:szCs w:val="16"/>
              </w:rP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18F" w:rsidRDefault="00BE1EFE" w:rsidP="00876902">
            <w:pPr>
              <w:pStyle w:val="StandardWeb"/>
              <w:jc w:val="center"/>
              <w:rPr>
                <w:rFonts w:cs="Arial"/>
                <w:szCs w:val="16"/>
              </w:rPr>
            </w:pPr>
            <w:r w:rsidRPr="00CC06D0">
              <w:rPr>
                <w:rFonts w:cs="Arial"/>
                <w:szCs w:val="16"/>
              </w:rPr>
              <w:t xml:space="preserve">II a nach </w:t>
            </w:r>
          </w:p>
          <w:p w:rsidR="00BE1EFE" w:rsidRPr="00CC06D0" w:rsidRDefault="00BE1EFE" w:rsidP="00876902">
            <w:pPr>
              <w:pStyle w:val="StandardWeb"/>
              <w:jc w:val="center"/>
              <w:rPr>
                <w:szCs w:val="16"/>
              </w:rPr>
            </w:pPr>
            <w:r w:rsidRPr="00CC06D0">
              <w:rPr>
                <w:rFonts w:cs="Arial"/>
                <w:szCs w:val="16"/>
              </w:rPr>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39</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50 €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rFonts w:cs="Arial"/>
                <w:szCs w:val="16"/>
              </w:rPr>
            </w:pPr>
            <w:r w:rsidRPr="00CC06D0">
              <w:rPr>
                <w:rFonts w:cs="Arial"/>
                <w:szCs w:val="16"/>
              </w:rPr>
              <w:t xml:space="preserve">nach </w:t>
            </w:r>
          </w:p>
          <w:p w:rsidR="00BE1EFE" w:rsidRPr="00CC06D0" w:rsidRDefault="00BE1EFE" w:rsidP="00876902">
            <w:pPr>
              <w:pStyle w:val="StandardWeb"/>
              <w:jc w:val="center"/>
              <w:rPr>
                <w:szCs w:val="16"/>
              </w:rPr>
            </w:pPr>
            <w:r w:rsidRPr="00CC06D0">
              <w:rPr>
                <w:rFonts w:cs="Arial"/>
                <w:szCs w:val="16"/>
              </w:rPr>
              <w:t>4 Jahren dauerhaft</w:t>
            </w:r>
          </w:p>
        </w:tc>
      </w:tr>
      <w:tr w:rsidR="00BE1EFE"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F5776" w:rsidRDefault="00BE1EFE" w:rsidP="00876902">
            <w:pPr>
              <w:jc w:val="center"/>
              <w:rPr>
                <w:szCs w:val="16"/>
              </w:rP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18F" w:rsidRDefault="00BE1EFE" w:rsidP="00876902">
            <w:pPr>
              <w:pStyle w:val="StandardWeb"/>
              <w:jc w:val="center"/>
              <w:rPr>
                <w:rFonts w:cs="Arial"/>
                <w:szCs w:val="16"/>
              </w:rPr>
            </w:pPr>
            <w:r w:rsidRPr="00CC06D0">
              <w:rPr>
                <w:rFonts w:cs="Arial"/>
                <w:szCs w:val="16"/>
              </w:rPr>
              <w:t xml:space="preserve">II a nach </w:t>
            </w:r>
          </w:p>
          <w:p w:rsidR="00BE1EFE" w:rsidRPr="00CC06D0" w:rsidRDefault="00BE1EFE" w:rsidP="00876902">
            <w:pPr>
              <w:pStyle w:val="StandardWeb"/>
              <w:jc w:val="center"/>
              <w:rPr>
                <w:szCs w:val="16"/>
              </w:rPr>
            </w:pPr>
            <w:r w:rsidRPr="00CC06D0">
              <w:rPr>
                <w:rFonts w:cs="Arial"/>
                <w:szCs w:val="16"/>
              </w:rPr>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41</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50 €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F5776" w:rsidRDefault="00BE1EFE" w:rsidP="000F5776">
            <w:pPr>
              <w:jc w:val="center"/>
              <w:rPr>
                <w:szCs w:val="16"/>
              </w:rP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0F5776">
            <w:pPr>
              <w:pStyle w:val="StandardWeb"/>
              <w:jc w:val="center"/>
              <w:rPr>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18F" w:rsidRDefault="00BE1EFE" w:rsidP="000F5776">
            <w:pPr>
              <w:pStyle w:val="StandardWeb"/>
              <w:jc w:val="center"/>
              <w:rPr>
                <w:rFonts w:cs="Arial"/>
                <w:szCs w:val="16"/>
              </w:rPr>
            </w:pPr>
            <w:r w:rsidRPr="00CC06D0">
              <w:rPr>
                <w:rFonts w:cs="Arial"/>
                <w:szCs w:val="16"/>
              </w:rPr>
              <w:t xml:space="preserve">II a nach </w:t>
            </w:r>
          </w:p>
          <w:p w:rsidR="00BE1EFE" w:rsidRPr="00CC06D0" w:rsidRDefault="00BE1EFE" w:rsidP="000F5776">
            <w:pPr>
              <w:pStyle w:val="StandardWeb"/>
              <w:jc w:val="center"/>
              <w:rPr>
                <w:szCs w:val="16"/>
              </w:rPr>
            </w:pPr>
            <w:r w:rsidRPr="00CC06D0">
              <w:rPr>
                <w:rFonts w:cs="Arial"/>
                <w:szCs w:val="16"/>
              </w:rPr>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0F5776">
            <w:pPr>
              <w:pStyle w:val="StandardWeb"/>
              <w:jc w:val="center"/>
              <w:rPr>
                <w:szCs w:val="16"/>
              </w:rPr>
            </w:pPr>
            <w:r w:rsidRPr="00CC06D0">
              <w:rPr>
                <w:rFonts w:cs="Arial"/>
                <w:szCs w:val="16"/>
              </w:rPr>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0F5776">
            <w:pPr>
              <w:pStyle w:val="StandardWeb"/>
              <w:jc w:val="center"/>
              <w:rPr>
                <w:szCs w:val="16"/>
              </w:rPr>
            </w:pPr>
            <w:r w:rsidRPr="00CC06D0">
              <w:rPr>
                <w:rFonts w:cs="Arial"/>
                <w:szCs w:val="16"/>
              </w:rPr>
              <w:t>43</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0F5776">
            <w:pPr>
              <w:pStyle w:val="StandardWeb"/>
              <w:jc w:val="center"/>
              <w:rPr>
                <w:szCs w:val="16"/>
              </w:rPr>
            </w:pPr>
            <w:r w:rsidRPr="00CC06D0">
              <w:rPr>
                <w:rFonts w:cs="Arial"/>
                <w:szCs w:val="16"/>
              </w:rPr>
              <w:t>50 €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0F5776">
            <w:pPr>
              <w:pStyle w:val="StandardWeb"/>
              <w:jc w:val="center"/>
              <w:rPr>
                <w:szCs w:val="16"/>
              </w:rPr>
            </w:pPr>
            <w:r w:rsidRPr="00CC06D0">
              <w:rPr>
                <w:rFonts w:cs="Arial"/>
                <w:szCs w:val="16"/>
              </w:rPr>
              <w:t>dauerhaft</w:t>
            </w:r>
          </w:p>
        </w:tc>
      </w:tr>
      <w:tr w:rsidR="000F5776"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F5776" w:rsidRPr="000F5776" w:rsidRDefault="000F5776" w:rsidP="000F5776">
            <w:pPr>
              <w:jc w:val="center"/>
              <w:rPr>
                <w:szCs w:val="16"/>
              </w:rPr>
            </w:pPr>
            <w:r w:rsidRPr="000F5776">
              <w:rPr>
                <w:szCs w:val="16"/>
              </w:rPr>
              <w:t>12</w:t>
            </w: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C06D0" w:rsidRDefault="000F5776" w:rsidP="000F5776">
            <w:pPr>
              <w:pStyle w:val="StandardWeb"/>
              <w:jc w:val="center"/>
              <w:rPr>
                <w:rFonts w:cs="Arial"/>
                <w:szCs w:val="16"/>
              </w:rPr>
            </w:pPr>
            <w:r w:rsidRPr="00CC06D0">
              <w:rPr>
                <w:rFonts w:cs="Arial"/>
                <w:szCs w:val="16"/>
              </w:rPr>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0F5776" w:rsidP="000F5776">
            <w:pPr>
              <w:pStyle w:val="StandardWeb"/>
              <w:jc w:val="center"/>
              <w:rPr>
                <w:rFonts w:cs="Arial"/>
                <w:szCs w:val="16"/>
              </w:rPr>
            </w:pPr>
            <w:r w:rsidRPr="00CC06D0">
              <w:rPr>
                <w:rFonts w:cs="Arial"/>
                <w:szCs w:val="16"/>
              </w:rPr>
              <w:t xml:space="preserve">II a nach </w:t>
            </w:r>
          </w:p>
          <w:p w:rsidR="000F5776" w:rsidRPr="00CC06D0" w:rsidRDefault="000F5776" w:rsidP="000F5776">
            <w:pPr>
              <w:pStyle w:val="StandardWeb"/>
              <w:jc w:val="center"/>
              <w:rPr>
                <w:rFonts w:cs="Arial"/>
                <w:szCs w:val="16"/>
              </w:rPr>
            </w:pPr>
            <w:r w:rsidRPr="00CC06D0">
              <w:rPr>
                <w:rFonts w:cs="Arial"/>
                <w:szCs w:val="16"/>
              </w:rPr>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C06D0" w:rsidRDefault="000F5776" w:rsidP="000F5776">
            <w:pPr>
              <w:pStyle w:val="StandardWeb"/>
              <w:jc w:val="center"/>
              <w:rPr>
                <w:rFonts w:cs="Arial"/>
                <w:szCs w:val="16"/>
              </w:rPr>
            </w:pPr>
            <w:r w:rsidRPr="00CC06D0">
              <w:rPr>
                <w:rFonts w:cs="Arial"/>
                <w:szCs w:val="16"/>
              </w:rPr>
              <w:t>OZ 2</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C06D0" w:rsidRDefault="000F5776" w:rsidP="000F5776">
            <w:pPr>
              <w:pStyle w:val="StandardWeb"/>
              <w:jc w:val="center"/>
              <w:rPr>
                <w:rFonts w:cs="Arial"/>
                <w:szCs w:val="16"/>
              </w:rPr>
            </w:pPr>
            <w:r w:rsidRPr="00CC06D0">
              <w:rPr>
                <w:rFonts w:cs="Arial"/>
                <w:szCs w:val="16"/>
              </w:rPr>
              <w:t>33</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C06D0" w:rsidRDefault="000F5776" w:rsidP="000F5776">
            <w:pPr>
              <w:pStyle w:val="StandardWeb"/>
              <w:jc w:val="center"/>
              <w:rPr>
                <w:rFonts w:cs="Arial"/>
                <w:szCs w:val="16"/>
              </w:rPr>
            </w:pPr>
            <w:r w:rsidRPr="00CC06D0">
              <w:rPr>
                <w:rFonts w:cs="Arial"/>
                <w:szCs w:val="16"/>
              </w:rPr>
              <w:t>100 €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C06D0" w:rsidRDefault="000F5776" w:rsidP="000F5776">
            <w:pPr>
              <w:pStyle w:val="StandardWeb"/>
              <w:jc w:val="center"/>
              <w:rPr>
                <w:rFonts w:cs="Arial"/>
                <w:szCs w:val="16"/>
              </w:rPr>
            </w:pPr>
            <w:r w:rsidRPr="00CC06D0">
              <w:rPr>
                <w:rFonts w:cs="Arial"/>
                <w:szCs w:val="16"/>
              </w:rPr>
              <w:t>für 4 Jahre</w:t>
            </w:r>
          </w:p>
        </w:tc>
      </w:tr>
      <w:tr w:rsidR="000F5776"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12</w:t>
            </w: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0F5776" w:rsidP="000F5776">
            <w:pPr>
              <w:jc w:val="center"/>
            </w:pPr>
            <w:r w:rsidRPr="00CA0454">
              <w:t xml:space="preserve">II a nach </w:t>
            </w:r>
          </w:p>
          <w:p w:rsidR="000F5776" w:rsidRPr="00CA0454" w:rsidRDefault="000F5776" w:rsidP="000F5776">
            <w:pPr>
              <w:jc w:val="center"/>
            </w:pPr>
            <w:r w:rsidRPr="00CA0454">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OZ 2</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37</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100 €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C06D0" w:rsidRDefault="000F5776" w:rsidP="000F5776">
            <w:pPr>
              <w:pStyle w:val="StandardWeb"/>
              <w:jc w:val="center"/>
              <w:rPr>
                <w:rFonts w:cs="Arial"/>
                <w:szCs w:val="16"/>
              </w:rPr>
            </w:pPr>
            <w:r w:rsidRPr="00CC06D0">
              <w:rPr>
                <w:rFonts w:cs="Arial"/>
                <w:szCs w:val="16"/>
              </w:rPr>
              <w:t>nach</w:t>
            </w:r>
          </w:p>
          <w:p w:rsidR="000F5776" w:rsidRPr="00CA0454" w:rsidRDefault="000F5776" w:rsidP="000F5776">
            <w:pPr>
              <w:jc w:val="center"/>
            </w:pPr>
            <w:r w:rsidRPr="00CC06D0">
              <w:rPr>
                <w:rFonts w:cs="Arial"/>
                <w:szCs w:val="16"/>
              </w:rPr>
              <w:t>4 Jahren dauerhaft</w:t>
            </w:r>
          </w:p>
        </w:tc>
      </w:tr>
      <w:tr w:rsidR="000F5776"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0F5776" w:rsidP="000F5776">
            <w:pPr>
              <w:jc w:val="center"/>
            </w:pPr>
            <w:r w:rsidRPr="00CA0454">
              <w:t xml:space="preserve">II a nach </w:t>
            </w:r>
          </w:p>
          <w:p w:rsidR="000F5776" w:rsidRPr="00CA0454" w:rsidRDefault="000F5776" w:rsidP="000F5776">
            <w:pPr>
              <w:jc w:val="center"/>
            </w:pPr>
            <w:r w:rsidRPr="00CA0454">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OZ 2</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39</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100 €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dauerhaft</w:t>
            </w:r>
          </w:p>
        </w:tc>
      </w:tr>
      <w:tr w:rsidR="000F5776"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0F5776" w:rsidP="000F5776">
            <w:pPr>
              <w:jc w:val="center"/>
            </w:pPr>
            <w:r w:rsidRPr="00CA0454">
              <w:t xml:space="preserve">II a nach </w:t>
            </w:r>
          </w:p>
          <w:p w:rsidR="000F5776" w:rsidRPr="00CA0454" w:rsidRDefault="000F5776" w:rsidP="000F5776">
            <w:pPr>
              <w:jc w:val="center"/>
            </w:pPr>
            <w:r w:rsidRPr="00CA0454">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OZ 2</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41</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100 €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dauerhaft</w:t>
            </w:r>
          </w:p>
        </w:tc>
      </w:tr>
      <w:tr w:rsidR="000F5776"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0F5776" w:rsidP="000F5776">
            <w:pPr>
              <w:jc w:val="center"/>
            </w:pPr>
            <w:r w:rsidRPr="00CA0454">
              <w:t xml:space="preserve">II a nach </w:t>
            </w:r>
          </w:p>
          <w:p w:rsidR="000F5776" w:rsidRPr="00CA0454" w:rsidRDefault="000F5776" w:rsidP="000F5776">
            <w:pPr>
              <w:jc w:val="center"/>
            </w:pPr>
            <w:r w:rsidRPr="00CA0454">
              <w:t>10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OZ 2</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43</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85 €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A0454" w:rsidRDefault="000F5776" w:rsidP="000F5776">
            <w:pPr>
              <w:jc w:val="center"/>
            </w:pPr>
            <w:r w:rsidRPr="00CA0454">
              <w:t>dauerhaft</w:t>
            </w:r>
          </w:p>
        </w:tc>
      </w:tr>
      <w:tr w:rsidR="000F5776"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12</w:t>
            </w: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0F5776" w:rsidP="000F5776">
            <w:pPr>
              <w:jc w:val="center"/>
            </w:pPr>
            <w:r w:rsidRPr="001E1073">
              <w:t xml:space="preserve">II a nach </w:t>
            </w:r>
          </w:p>
          <w:p w:rsidR="000F5776" w:rsidRPr="001E1073" w:rsidRDefault="000F5776" w:rsidP="000F5776">
            <w:pPr>
              <w:jc w:val="center"/>
            </w:pPr>
            <w:r w:rsidRPr="001E1073">
              <w:t>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35</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95 €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für 4 Jahre</w:t>
            </w:r>
          </w:p>
        </w:tc>
      </w:tr>
      <w:tr w:rsidR="000F5776" w:rsidRPr="00CC06D0" w:rsidTr="000F5776">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0F5776" w:rsidP="000F5776">
            <w:pPr>
              <w:jc w:val="center"/>
            </w:pPr>
            <w:r w:rsidRPr="001E1073">
              <w:t xml:space="preserve">II a nach </w:t>
            </w:r>
          </w:p>
          <w:p w:rsidR="000F5776" w:rsidRPr="001E1073" w:rsidRDefault="000F5776" w:rsidP="000F5776">
            <w:pPr>
              <w:jc w:val="center"/>
            </w:pPr>
            <w:r w:rsidRPr="001E1073">
              <w:t>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39</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1E1073" w:rsidRDefault="000F5776" w:rsidP="000F5776">
            <w:pPr>
              <w:jc w:val="center"/>
            </w:pPr>
            <w:r w:rsidRPr="001E1073">
              <w:t>50 €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0F5776" w:rsidRPr="00CC06D0" w:rsidRDefault="000F5776" w:rsidP="000F5776">
            <w:pPr>
              <w:pStyle w:val="StandardWeb"/>
              <w:jc w:val="center"/>
              <w:rPr>
                <w:rFonts w:cs="Arial"/>
                <w:szCs w:val="16"/>
              </w:rPr>
            </w:pPr>
            <w:r w:rsidRPr="00CC06D0">
              <w:rPr>
                <w:rFonts w:cs="Arial"/>
                <w:szCs w:val="16"/>
              </w:rPr>
              <w:t>nach</w:t>
            </w:r>
          </w:p>
          <w:p w:rsidR="000F5776" w:rsidRPr="001E1073" w:rsidRDefault="000F5776" w:rsidP="000F5776">
            <w:pPr>
              <w:jc w:val="center"/>
            </w:pPr>
            <w:r w:rsidRPr="00CC06D0">
              <w:rPr>
                <w:rFonts w:cs="Arial"/>
                <w:szCs w:val="16"/>
              </w:rPr>
              <w:t>4 Jahren dauerhaft</w:t>
            </w:r>
          </w:p>
        </w:tc>
      </w:tr>
      <w:tr w:rsidR="00CF518F" w:rsidRPr="00CC06D0" w:rsidTr="00CF518F">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CF518F" w:rsidP="00CF518F">
            <w:pPr>
              <w:jc w:val="center"/>
            </w:pPr>
            <w:r w:rsidRPr="00006987">
              <w:t xml:space="preserve">II a nach </w:t>
            </w:r>
          </w:p>
          <w:p w:rsidR="00CF518F" w:rsidRPr="00006987" w:rsidRDefault="00CF518F" w:rsidP="00CF518F">
            <w:pPr>
              <w:jc w:val="center"/>
            </w:pPr>
            <w:r w:rsidRPr="00006987">
              <w:t>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41</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50 €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dauerhaft</w:t>
            </w:r>
          </w:p>
        </w:tc>
      </w:tr>
      <w:tr w:rsidR="00CF518F" w:rsidRPr="00CC06D0" w:rsidTr="00CF518F">
        <w:trPr>
          <w:trHeight w:val="270"/>
        </w:trPr>
        <w:tc>
          <w:tcPr>
            <w:tcW w:w="88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p>
        </w:tc>
        <w:tc>
          <w:tcPr>
            <w:tcW w:w="1419"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III</w:t>
            </w:r>
          </w:p>
        </w:tc>
        <w:tc>
          <w:tcPr>
            <w:tcW w:w="1197"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CF518F" w:rsidP="00CF518F">
            <w:pPr>
              <w:jc w:val="center"/>
            </w:pPr>
            <w:r w:rsidRPr="00006987">
              <w:t xml:space="preserve">II a nach </w:t>
            </w:r>
          </w:p>
          <w:p w:rsidR="00CF518F" w:rsidRPr="00006987" w:rsidRDefault="00CF518F" w:rsidP="00CF518F">
            <w:pPr>
              <w:jc w:val="center"/>
            </w:pPr>
            <w:r w:rsidRPr="00006987">
              <w:t>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OZ 1</w:t>
            </w:r>
          </w:p>
        </w:tc>
        <w:tc>
          <w:tcPr>
            <w:tcW w:w="906"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43</w:t>
            </w:r>
          </w:p>
        </w:tc>
        <w:tc>
          <w:tcPr>
            <w:tcW w:w="895"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Pr="00006987" w:rsidRDefault="00CF518F" w:rsidP="00CF518F">
            <w:pPr>
              <w:jc w:val="center"/>
            </w:pPr>
            <w:r w:rsidRPr="00006987">
              <w:t>50 €</w:t>
            </w:r>
          </w:p>
        </w:tc>
        <w:tc>
          <w:tcPr>
            <w:tcW w:w="1019" w:type="dxa"/>
            <w:tcBorders>
              <w:top w:val="nil"/>
              <w:left w:val="nil"/>
              <w:bottom w:val="single" w:sz="8" w:space="0" w:color="auto"/>
              <w:right w:val="single" w:sz="8" w:space="0" w:color="auto"/>
            </w:tcBorders>
            <w:tcMar>
              <w:top w:w="0" w:type="dxa"/>
              <w:left w:w="70" w:type="dxa"/>
              <w:bottom w:w="0" w:type="dxa"/>
              <w:right w:w="70" w:type="dxa"/>
            </w:tcMar>
            <w:vAlign w:val="center"/>
          </w:tcPr>
          <w:p w:rsidR="00CF518F" w:rsidRDefault="00CF518F" w:rsidP="00CF518F">
            <w:pPr>
              <w:jc w:val="center"/>
            </w:pPr>
            <w:r w:rsidRPr="00006987">
              <w:t>dauerhaft</w:t>
            </w:r>
          </w:p>
        </w:tc>
      </w:tr>
    </w:tbl>
    <w:p w:rsidR="00BE1EFE" w:rsidRPr="00CC06D0" w:rsidRDefault="00BE1EFE" w:rsidP="008B7E79">
      <w:pPr>
        <w:pStyle w:val="StandardWeb"/>
        <w:rPr>
          <w:szCs w:val="16"/>
        </w:rPr>
      </w:pPr>
    </w:p>
    <w:p w:rsidR="00BE1EFE" w:rsidRPr="00CC06D0" w:rsidRDefault="00BE1EFE" w:rsidP="00942CDA">
      <w:pPr>
        <w:pStyle w:val="Leerzeile"/>
        <w:rPr>
          <w:szCs w:val="16"/>
        </w:rPr>
      </w:pPr>
      <w:r w:rsidRPr="00CC06D0">
        <w:rPr>
          <w:szCs w:val="16"/>
        </w:rPr>
        <w:br w:type="page"/>
      </w:r>
    </w:p>
    <w:tbl>
      <w:tblPr>
        <w:tblW w:w="6747" w:type="dxa"/>
        <w:tblCellMar>
          <w:left w:w="0" w:type="dxa"/>
          <w:right w:w="0" w:type="dxa"/>
        </w:tblCellMar>
        <w:tblLook w:val="04A0" w:firstRow="1" w:lastRow="0" w:firstColumn="1" w:lastColumn="0" w:noHBand="0" w:noVBand="1"/>
      </w:tblPr>
      <w:tblGrid>
        <w:gridCol w:w="816"/>
        <w:gridCol w:w="1207"/>
        <w:gridCol w:w="1042"/>
        <w:gridCol w:w="777"/>
        <w:gridCol w:w="837"/>
        <w:gridCol w:w="826"/>
        <w:gridCol w:w="1242"/>
      </w:tblGrid>
      <w:tr w:rsidR="00BE1EFE" w:rsidRPr="00CC06D0" w:rsidTr="00CF518F">
        <w:trPr>
          <w:trHeight w:val="420"/>
        </w:trPr>
        <w:tc>
          <w:tcPr>
            <w:tcW w:w="816"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lastRenderedPageBreak/>
              <w:t>Entgelt-gruppe</w:t>
            </w:r>
          </w:p>
        </w:tc>
        <w:tc>
          <w:tcPr>
            <w:tcW w:w="120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Vergütungs-gruppe bei Inkrafttreten Teil A, 3.</w:t>
            </w:r>
          </w:p>
        </w:tc>
        <w:tc>
          <w:tcPr>
            <w:tcW w:w="104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777" w:type="dxa"/>
            <w:vMerge w:val="restart"/>
            <w:tcBorders>
              <w:top w:val="single" w:sz="8" w:space="0" w:color="auto"/>
              <w:left w:val="nil"/>
              <w:bottom w:val="single" w:sz="8" w:space="0" w:color="auto"/>
              <w:right w:val="single" w:sz="8" w:space="0" w:color="auto"/>
            </w:tcBorders>
            <w:tcMar>
              <w:top w:w="0" w:type="dxa"/>
              <w:left w:w="0" w:type="dxa"/>
              <w:bottom w:w="0" w:type="dxa"/>
              <w:right w:w="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Ortszu-schlag Stufe 1, 2</w:t>
            </w:r>
          </w:p>
        </w:tc>
        <w:tc>
          <w:tcPr>
            <w:tcW w:w="83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82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124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CF518F">
        <w:trPr>
          <w:trHeight w:val="255"/>
        </w:trPr>
        <w:tc>
          <w:tcPr>
            <w:tcW w:w="816"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207"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04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777"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37"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26"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24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CF518F">
        <w:trPr>
          <w:trHeight w:val="315"/>
        </w:trPr>
        <w:tc>
          <w:tcPr>
            <w:tcW w:w="816"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207"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04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777"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37"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26"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24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CF518F">
        <w:trPr>
          <w:trHeight w:val="255"/>
        </w:trPr>
        <w:tc>
          <w:tcPr>
            <w:tcW w:w="816"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207"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04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614"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951B10">
            <w:pPr>
              <w:pStyle w:val="StandardWeb"/>
              <w:autoSpaceDE w:val="0"/>
              <w:jc w:val="center"/>
              <w:rPr>
                <w:szCs w:val="16"/>
              </w:rPr>
            </w:pPr>
            <w:r w:rsidRPr="00CC06D0">
              <w:rPr>
                <w:rStyle w:val="Fett"/>
                <w:rFonts w:cs="Arial"/>
                <w:bCs/>
                <w:szCs w:val="16"/>
              </w:rPr>
              <w:t>bei Inkrafttreten Teil A, 3.</w:t>
            </w:r>
          </w:p>
        </w:tc>
        <w:tc>
          <w:tcPr>
            <w:tcW w:w="826"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24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CF518F">
        <w:trPr>
          <w:trHeight w:val="207"/>
        </w:trPr>
        <w:tc>
          <w:tcPr>
            <w:tcW w:w="816"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207"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04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614" w:type="dxa"/>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826"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24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CF518F">
        <w:trPr>
          <w:trHeight w:val="255"/>
        </w:trPr>
        <w:tc>
          <w:tcPr>
            <w:tcW w:w="81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CF518F" w:rsidRDefault="00BE1EFE" w:rsidP="00876902">
            <w:pPr>
              <w:jc w:val="center"/>
              <w:rPr>
                <w:szCs w:val="16"/>
              </w:rPr>
            </w:pPr>
            <w:r w:rsidRPr="00CF518F">
              <w:rPr>
                <w:szCs w:val="16"/>
              </w:rPr>
              <w:t>12</w:t>
            </w:r>
          </w:p>
        </w:tc>
        <w:tc>
          <w:tcPr>
            <w:tcW w:w="12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04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F518F" w:rsidRDefault="00BE1EFE" w:rsidP="00876902">
            <w:pPr>
              <w:pStyle w:val="StandardWeb"/>
              <w:jc w:val="center"/>
              <w:rPr>
                <w:rFonts w:cs="Arial"/>
                <w:szCs w:val="16"/>
              </w:rPr>
            </w:pPr>
            <w:r w:rsidRPr="00CC06D0">
              <w:rPr>
                <w:rFonts w:cs="Arial"/>
                <w:szCs w:val="16"/>
              </w:rPr>
              <w:t xml:space="preserve">II a nach </w:t>
            </w:r>
          </w:p>
          <w:p w:rsidR="00BE1EFE" w:rsidRPr="00CC06D0" w:rsidRDefault="00BE1EFE" w:rsidP="00876902">
            <w:pPr>
              <w:pStyle w:val="StandardWeb"/>
              <w:jc w:val="center"/>
              <w:rPr>
                <w:szCs w:val="16"/>
              </w:rPr>
            </w:pPr>
            <w:r w:rsidRPr="00CC06D0">
              <w:rPr>
                <w:rFonts w:cs="Arial"/>
                <w:szCs w:val="16"/>
              </w:rPr>
              <w:t>8 Jahren</w:t>
            </w:r>
          </w:p>
        </w:tc>
        <w:tc>
          <w:tcPr>
            <w:tcW w:w="77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3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31</w:t>
            </w:r>
          </w:p>
        </w:tc>
        <w:tc>
          <w:tcPr>
            <w:tcW w:w="82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100 €</w:t>
            </w:r>
          </w:p>
        </w:tc>
        <w:tc>
          <w:tcPr>
            <w:tcW w:w="124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für 5 Jahre</w:t>
            </w:r>
          </w:p>
        </w:tc>
      </w:tr>
      <w:tr w:rsidR="00BE1EFE" w:rsidRPr="00CC06D0" w:rsidTr="00CF518F">
        <w:trPr>
          <w:trHeight w:val="255"/>
        </w:trPr>
        <w:tc>
          <w:tcPr>
            <w:tcW w:w="81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CF518F" w:rsidRDefault="00BE1EFE" w:rsidP="00876902">
            <w:pPr>
              <w:jc w:val="center"/>
              <w:rPr>
                <w:szCs w:val="16"/>
              </w:rPr>
            </w:pPr>
          </w:p>
        </w:tc>
        <w:tc>
          <w:tcPr>
            <w:tcW w:w="120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III</w:t>
            </w:r>
          </w:p>
        </w:tc>
        <w:tc>
          <w:tcPr>
            <w:tcW w:w="104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CF518F" w:rsidRDefault="00BE1EFE" w:rsidP="00876902">
            <w:pPr>
              <w:pStyle w:val="StandardWeb"/>
              <w:jc w:val="center"/>
              <w:rPr>
                <w:rFonts w:cs="Arial"/>
                <w:szCs w:val="16"/>
              </w:rPr>
            </w:pPr>
            <w:r w:rsidRPr="00CC06D0">
              <w:rPr>
                <w:rFonts w:cs="Arial"/>
                <w:szCs w:val="16"/>
              </w:rPr>
              <w:t xml:space="preserve">II a nach </w:t>
            </w:r>
          </w:p>
          <w:p w:rsidR="00BE1EFE" w:rsidRPr="00CC06D0" w:rsidRDefault="00BE1EFE" w:rsidP="00876902">
            <w:pPr>
              <w:pStyle w:val="StandardWeb"/>
              <w:jc w:val="center"/>
              <w:rPr>
                <w:szCs w:val="16"/>
              </w:rPr>
            </w:pPr>
            <w:r w:rsidRPr="00CC06D0">
              <w:rPr>
                <w:rFonts w:cs="Arial"/>
                <w:szCs w:val="16"/>
              </w:rPr>
              <w:t>8 Jahren</w:t>
            </w:r>
          </w:p>
        </w:tc>
        <w:tc>
          <w:tcPr>
            <w:tcW w:w="77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3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33</w:t>
            </w:r>
          </w:p>
        </w:tc>
        <w:tc>
          <w:tcPr>
            <w:tcW w:w="826"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100 €</w:t>
            </w:r>
          </w:p>
        </w:tc>
        <w:tc>
          <w:tcPr>
            <w:tcW w:w="124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für 4 Jahre</w:t>
            </w:r>
          </w:p>
        </w:tc>
      </w:tr>
      <w:tr w:rsidR="00BE1EFE" w:rsidRPr="00CC06D0" w:rsidTr="00CF518F">
        <w:trPr>
          <w:trHeight w:val="255"/>
        </w:trPr>
        <w:tc>
          <w:tcPr>
            <w:tcW w:w="816" w:type="dxa"/>
            <w:vMerge/>
            <w:tcBorders>
              <w:top w:val="nil"/>
              <w:left w:val="single" w:sz="8" w:space="0" w:color="auto"/>
              <w:bottom w:val="single" w:sz="8" w:space="0" w:color="auto"/>
              <w:right w:val="single" w:sz="8" w:space="0" w:color="auto"/>
            </w:tcBorders>
            <w:vAlign w:val="center"/>
          </w:tcPr>
          <w:p w:rsidR="00BE1EFE" w:rsidRPr="00CF518F" w:rsidRDefault="00BE1EFE" w:rsidP="00876902">
            <w:pPr>
              <w:jc w:val="center"/>
              <w:rPr>
                <w:szCs w:val="16"/>
              </w:rPr>
            </w:pPr>
          </w:p>
        </w:tc>
        <w:tc>
          <w:tcPr>
            <w:tcW w:w="1207"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1042"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777"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837"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826"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1242"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r>
      <w:tr w:rsidR="00BE1EFE"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BE1EFE" w:rsidRPr="00CF518F" w:rsidRDefault="00BE1EFE" w:rsidP="00876902">
            <w:pPr>
              <w:jc w:val="center"/>
              <w:rPr>
                <w:szCs w:val="16"/>
              </w:rPr>
            </w:pPr>
          </w:p>
        </w:tc>
        <w:tc>
          <w:tcPr>
            <w:tcW w:w="1207"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BE1EFE" w:rsidP="00876902">
            <w:pPr>
              <w:pStyle w:val="StandardWeb"/>
              <w:jc w:val="center"/>
              <w:rPr>
                <w:rFonts w:cs="Arial"/>
                <w:szCs w:val="16"/>
              </w:rPr>
            </w:pPr>
            <w:r w:rsidRPr="00CC06D0">
              <w:rPr>
                <w:rFonts w:cs="Arial"/>
                <w:szCs w:val="16"/>
              </w:rPr>
              <w:t xml:space="preserve">II a nach </w:t>
            </w:r>
          </w:p>
          <w:p w:rsidR="00BE1EFE" w:rsidRPr="00CC06D0" w:rsidRDefault="00BE1EFE" w:rsidP="00876902">
            <w:pPr>
              <w:pStyle w:val="StandardWeb"/>
              <w:jc w:val="center"/>
              <w:rPr>
                <w:szCs w:val="16"/>
              </w:rPr>
            </w:pPr>
            <w:r w:rsidRPr="00CC06D0">
              <w:rPr>
                <w:rFonts w:cs="Arial"/>
                <w:szCs w:val="16"/>
              </w:rPr>
              <w:t>8 Jahren</w:t>
            </w:r>
          </w:p>
        </w:tc>
        <w:tc>
          <w:tcPr>
            <w:tcW w:w="777"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37</w:t>
            </w:r>
          </w:p>
        </w:tc>
        <w:tc>
          <w:tcPr>
            <w:tcW w:w="826"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100 €</w:t>
            </w:r>
          </w:p>
        </w:tc>
        <w:tc>
          <w:tcPr>
            <w:tcW w:w="1242"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rFonts w:cs="Arial"/>
                <w:szCs w:val="16"/>
              </w:rPr>
            </w:pPr>
            <w:r w:rsidRPr="00CC06D0">
              <w:rPr>
                <w:rFonts w:cs="Arial"/>
                <w:szCs w:val="16"/>
              </w:rPr>
              <w:t xml:space="preserve">nach </w:t>
            </w:r>
          </w:p>
          <w:p w:rsidR="00BE1EFE" w:rsidRPr="00CC06D0" w:rsidRDefault="00BE1EFE" w:rsidP="009D69CC">
            <w:pPr>
              <w:pStyle w:val="StandardWeb"/>
              <w:jc w:val="center"/>
              <w:rPr>
                <w:rFonts w:cs="Arial"/>
                <w:szCs w:val="16"/>
              </w:rPr>
            </w:pPr>
            <w:r w:rsidRPr="00CC06D0">
              <w:rPr>
                <w:rFonts w:cs="Arial"/>
                <w:szCs w:val="16"/>
              </w:rPr>
              <w:t xml:space="preserve">4 Jahren </w:t>
            </w:r>
          </w:p>
          <w:p w:rsidR="00BE1EFE" w:rsidRPr="00CC06D0" w:rsidRDefault="00BE1EFE" w:rsidP="00876902">
            <w:pPr>
              <w:pStyle w:val="StandardWeb"/>
              <w:jc w:val="center"/>
              <w:rPr>
                <w:szCs w:val="16"/>
              </w:rPr>
            </w:pPr>
            <w:r w:rsidRPr="00CC06D0">
              <w:rPr>
                <w:rFonts w:cs="Arial"/>
                <w:szCs w:val="16"/>
              </w:rPr>
              <w:t>dauerhaft</w:t>
            </w:r>
          </w:p>
        </w:tc>
      </w:tr>
      <w:tr w:rsidR="00BE1EFE"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BE1EFE" w:rsidRPr="00CF518F" w:rsidRDefault="00BE1EFE" w:rsidP="00876902">
            <w:pPr>
              <w:jc w:val="center"/>
              <w:rPr>
                <w:szCs w:val="16"/>
              </w:rPr>
            </w:pPr>
          </w:p>
        </w:tc>
        <w:tc>
          <w:tcPr>
            <w:tcW w:w="1207"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876902">
            <w:pPr>
              <w:pStyle w:val="StandardWeb"/>
              <w:jc w:val="center"/>
              <w:rPr>
                <w:rFonts w:cs="Arial"/>
                <w:szCs w:val="16"/>
              </w:rPr>
            </w:pPr>
            <w:r>
              <w:rPr>
                <w:rFonts w:cs="Arial"/>
                <w:szCs w:val="16"/>
              </w:rPr>
              <w:t>II a nach</w:t>
            </w:r>
          </w:p>
          <w:p w:rsidR="00BE1EFE" w:rsidRPr="00CC06D0" w:rsidRDefault="00BE1EFE" w:rsidP="00876902">
            <w:pPr>
              <w:pStyle w:val="StandardWeb"/>
              <w:jc w:val="center"/>
              <w:rPr>
                <w:szCs w:val="16"/>
              </w:rPr>
            </w:pPr>
            <w:r w:rsidRPr="00CC06D0">
              <w:rPr>
                <w:rFonts w:cs="Arial"/>
                <w:szCs w:val="16"/>
              </w:rPr>
              <w:t>8 Jahren</w:t>
            </w:r>
          </w:p>
        </w:tc>
        <w:tc>
          <w:tcPr>
            <w:tcW w:w="777"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39</w:t>
            </w:r>
          </w:p>
        </w:tc>
        <w:tc>
          <w:tcPr>
            <w:tcW w:w="826"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100 €</w:t>
            </w:r>
          </w:p>
        </w:tc>
        <w:tc>
          <w:tcPr>
            <w:tcW w:w="1242"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C06D0" w:rsidRDefault="00CF518F" w:rsidP="00CF518F">
            <w:pPr>
              <w:jc w:val="center"/>
              <w:rPr>
                <w:szCs w:val="16"/>
              </w:rPr>
            </w:pPr>
            <w:r w:rsidRPr="00CF518F">
              <w:rPr>
                <w:rStyle w:val="Fett"/>
                <w:b w:val="0"/>
                <w:szCs w:val="16"/>
              </w:rPr>
              <w:t>12</w:t>
            </w: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sidRPr="00CC06D0">
              <w:rPr>
                <w:rFonts w:cs="Arial"/>
                <w:szCs w:val="16"/>
              </w:rPr>
              <w:t xml:space="preserve">II a nach </w:t>
            </w:r>
          </w:p>
          <w:p w:rsidR="00CF518F" w:rsidRPr="00CF518F" w:rsidRDefault="00CF518F" w:rsidP="00CF518F">
            <w:pPr>
              <w:pStyle w:val="StandardWeb"/>
              <w:jc w:val="center"/>
              <w:rPr>
                <w:rFonts w:cs="Arial"/>
                <w:szCs w:val="16"/>
              </w:rPr>
            </w:pPr>
            <w:r>
              <w:rPr>
                <w:rFonts w:cs="Arial"/>
                <w:szCs w:val="16"/>
              </w:rPr>
              <w:t xml:space="preserve">8 </w:t>
            </w:r>
            <w:r w:rsidRPr="00CC06D0">
              <w:rPr>
                <w:rFonts w:cs="Arial"/>
                <w:szCs w:val="16"/>
              </w:rPr>
              <w:t>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41</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100 €</w:t>
            </w:r>
          </w:p>
        </w:tc>
        <w:tc>
          <w:tcPr>
            <w:tcW w:w="1242"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Pr>
                <w:rFonts w:cs="Arial"/>
                <w:szCs w:val="16"/>
              </w:rPr>
              <w:t xml:space="preserve">8 </w:t>
            </w:r>
            <w:r w:rsidRPr="00CC06D0">
              <w:rPr>
                <w:rFonts w:cs="Arial"/>
                <w:szCs w:val="16"/>
              </w:rPr>
              <w:t>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43</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85 €</w:t>
            </w:r>
          </w:p>
        </w:tc>
        <w:tc>
          <w:tcPr>
            <w:tcW w:w="1242"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r w:rsidRPr="00CF518F">
              <w:rPr>
                <w:szCs w:val="16"/>
              </w:rPr>
              <w:t>12</w:t>
            </w: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1</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29</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100 €</w:t>
            </w:r>
          </w:p>
        </w:tc>
        <w:tc>
          <w:tcPr>
            <w:tcW w:w="1242" w:type="dxa"/>
            <w:tcBorders>
              <w:top w:val="nil"/>
              <w:left w:val="nil"/>
              <w:bottom w:val="single" w:sz="8" w:space="0" w:color="auto"/>
              <w:right w:val="single" w:sz="8" w:space="0" w:color="auto"/>
            </w:tcBorders>
            <w:vAlign w:val="center"/>
            <w:hideMark/>
          </w:tcPr>
          <w:p w:rsidR="00CF518F" w:rsidRPr="00CC06D0" w:rsidRDefault="00CF518F" w:rsidP="00CF518F">
            <w:pPr>
              <w:pStyle w:val="StandardWeb"/>
              <w:jc w:val="center"/>
              <w:rPr>
                <w:rFonts w:cs="Arial"/>
                <w:szCs w:val="16"/>
              </w:rPr>
            </w:pPr>
            <w:r w:rsidRPr="00CC06D0">
              <w:rPr>
                <w:rFonts w:cs="Arial"/>
                <w:szCs w:val="16"/>
              </w:rPr>
              <w:t xml:space="preserve">für </w:t>
            </w:r>
          </w:p>
          <w:p w:rsidR="00CF518F" w:rsidRPr="00CF518F" w:rsidRDefault="00CF518F" w:rsidP="00CF518F">
            <w:pPr>
              <w:pStyle w:val="StandardWeb"/>
              <w:jc w:val="center"/>
              <w:rPr>
                <w:rFonts w:cs="Arial"/>
                <w:szCs w:val="16"/>
              </w:rPr>
            </w:pPr>
            <w:r w:rsidRPr="00CC06D0">
              <w:rPr>
                <w:rFonts w:cs="Arial"/>
                <w:szCs w:val="16"/>
              </w:rPr>
              <w:t>3 Jahre</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1</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35</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95 €</w:t>
            </w:r>
          </w:p>
        </w:tc>
        <w:tc>
          <w:tcPr>
            <w:tcW w:w="1242" w:type="dxa"/>
            <w:tcBorders>
              <w:top w:val="nil"/>
              <w:left w:val="nil"/>
              <w:bottom w:val="single" w:sz="8" w:space="0" w:color="auto"/>
              <w:right w:val="single" w:sz="8" w:space="0" w:color="auto"/>
            </w:tcBorders>
            <w:vAlign w:val="center"/>
            <w:hideMark/>
          </w:tcPr>
          <w:p w:rsidR="00CF518F" w:rsidRPr="00CC06D0" w:rsidRDefault="00CF518F" w:rsidP="00CF518F">
            <w:pPr>
              <w:pStyle w:val="StandardWeb"/>
              <w:jc w:val="center"/>
              <w:rPr>
                <w:rFonts w:cs="Arial"/>
                <w:szCs w:val="16"/>
              </w:rPr>
            </w:pPr>
            <w:r w:rsidRPr="00CC06D0">
              <w:rPr>
                <w:rFonts w:cs="Arial"/>
                <w:szCs w:val="16"/>
              </w:rPr>
              <w:t xml:space="preserve">für </w:t>
            </w:r>
          </w:p>
          <w:p w:rsidR="00CF518F" w:rsidRPr="00CF518F" w:rsidRDefault="00CF518F" w:rsidP="00CF518F">
            <w:pPr>
              <w:pStyle w:val="StandardWeb"/>
              <w:jc w:val="center"/>
              <w:rPr>
                <w:rFonts w:cs="Arial"/>
                <w:szCs w:val="16"/>
              </w:rPr>
            </w:pPr>
            <w:r w:rsidRPr="00CC06D0">
              <w:rPr>
                <w:rFonts w:cs="Arial"/>
                <w:szCs w:val="16"/>
              </w:rPr>
              <w:t>4 Jahre</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1</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39</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50 €</w:t>
            </w:r>
          </w:p>
        </w:tc>
        <w:tc>
          <w:tcPr>
            <w:tcW w:w="1242" w:type="dxa"/>
            <w:tcBorders>
              <w:top w:val="nil"/>
              <w:left w:val="nil"/>
              <w:bottom w:val="single" w:sz="8" w:space="0" w:color="auto"/>
              <w:right w:val="single" w:sz="8" w:space="0" w:color="auto"/>
            </w:tcBorders>
            <w:vAlign w:val="center"/>
            <w:hideMark/>
          </w:tcPr>
          <w:p w:rsidR="00CF518F" w:rsidRPr="00CC06D0" w:rsidRDefault="00CF518F" w:rsidP="00CF518F">
            <w:pPr>
              <w:pStyle w:val="StandardWeb"/>
              <w:jc w:val="center"/>
              <w:rPr>
                <w:rFonts w:cs="Arial"/>
                <w:szCs w:val="16"/>
              </w:rPr>
            </w:pPr>
            <w:r w:rsidRPr="00CC06D0">
              <w:rPr>
                <w:rFonts w:cs="Arial"/>
                <w:szCs w:val="16"/>
              </w:rPr>
              <w:t xml:space="preserve">nach </w:t>
            </w:r>
          </w:p>
          <w:p w:rsidR="00CF518F" w:rsidRPr="00CF518F" w:rsidRDefault="00CF518F" w:rsidP="00CF518F">
            <w:pPr>
              <w:pStyle w:val="StandardWeb"/>
              <w:jc w:val="center"/>
              <w:rPr>
                <w:rFonts w:cs="Arial"/>
                <w:szCs w:val="16"/>
              </w:rPr>
            </w:pPr>
            <w:r w:rsidRPr="00CC06D0">
              <w:rPr>
                <w:rFonts w:cs="Arial"/>
                <w:szCs w:val="16"/>
              </w:rPr>
              <w:t>4 Jahren 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1</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41</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50 €</w:t>
            </w:r>
          </w:p>
        </w:tc>
        <w:tc>
          <w:tcPr>
            <w:tcW w:w="1242"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1</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43</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50 €</w:t>
            </w:r>
          </w:p>
        </w:tc>
        <w:tc>
          <w:tcPr>
            <w:tcW w:w="1242"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r w:rsidRPr="00CF518F">
              <w:rPr>
                <w:szCs w:val="16"/>
              </w:rPr>
              <w:t>12</w:t>
            </w: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33</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100 €</w:t>
            </w:r>
          </w:p>
        </w:tc>
        <w:tc>
          <w:tcPr>
            <w:tcW w:w="1242" w:type="dxa"/>
            <w:tcBorders>
              <w:top w:val="nil"/>
              <w:left w:val="nil"/>
              <w:bottom w:val="single" w:sz="8" w:space="0" w:color="auto"/>
              <w:right w:val="single" w:sz="8" w:space="0" w:color="auto"/>
            </w:tcBorders>
            <w:vAlign w:val="center"/>
            <w:hideMark/>
          </w:tcPr>
          <w:p w:rsidR="00CF518F" w:rsidRPr="00CC06D0" w:rsidRDefault="00CF518F" w:rsidP="00CF518F">
            <w:pPr>
              <w:pStyle w:val="StandardWeb"/>
              <w:jc w:val="center"/>
              <w:rPr>
                <w:rFonts w:cs="Arial"/>
                <w:szCs w:val="16"/>
              </w:rPr>
            </w:pPr>
            <w:r w:rsidRPr="00CC06D0">
              <w:rPr>
                <w:rFonts w:cs="Arial"/>
                <w:szCs w:val="16"/>
              </w:rPr>
              <w:t xml:space="preserve">für </w:t>
            </w:r>
          </w:p>
          <w:p w:rsidR="00CF518F" w:rsidRPr="00CF518F" w:rsidRDefault="00CF518F" w:rsidP="00CF518F">
            <w:pPr>
              <w:pStyle w:val="StandardWeb"/>
              <w:jc w:val="center"/>
              <w:rPr>
                <w:rFonts w:cs="Arial"/>
                <w:szCs w:val="16"/>
              </w:rPr>
            </w:pPr>
            <w:r w:rsidRPr="00CC06D0">
              <w:rPr>
                <w:rFonts w:cs="Arial"/>
                <w:szCs w:val="16"/>
              </w:rPr>
              <w:t>4 Jahre</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37</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100 €</w:t>
            </w:r>
          </w:p>
        </w:tc>
        <w:tc>
          <w:tcPr>
            <w:tcW w:w="1242" w:type="dxa"/>
            <w:tcBorders>
              <w:top w:val="nil"/>
              <w:left w:val="nil"/>
              <w:bottom w:val="single" w:sz="8" w:space="0" w:color="auto"/>
              <w:right w:val="single" w:sz="8" w:space="0" w:color="auto"/>
            </w:tcBorders>
            <w:vAlign w:val="center"/>
            <w:hideMark/>
          </w:tcPr>
          <w:p w:rsidR="00CF518F" w:rsidRPr="00CC06D0" w:rsidRDefault="00CF518F" w:rsidP="00CF518F">
            <w:pPr>
              <w:pStyle w:val="StandardWeb"/>
              <w:jc w:val="center"/>
              <w:rPr>
                <w:rFonts w:cs="Arial"/>
                <w:szCs w:val="16"/>
              </w:rPr>
            </w:pPr>
            <w:r w:rsidRPr="00CC06D0">
              <w:rPr>
                <w:rFonts w:cs="Arial"/>
                <w:szCs w:val="16"/>
              </w:rPr>
              <w:t xml:space="preserve">nach </w:t>
            </w:r>
          </w:p>
          <w:p w:rsidR="00CF518F" w:rsidRPr="00CF518F" w:rsidRDefault="00CF518F" w:rsidP="00CF518F">
            <w:pPr>
              <w:pStyle w:val="StandardWeb"/>
              <w:jc w:val="center"/>
              <w:rPr>
                <w:rFonts w:cs="Arial"/>
                <w:szCs w:val="16"/>
              </w:rPr>
            </w:pPr>
            <w:r w:rsidRPr="00CC06D0">
              <w:rPr>
                <w:rFonts w:cs="Arial"/>
                <w:szCs w:val="16"/>
              </w:rPr>
              <w:t>4 Jahren 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39</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100 €</w:t>
            </w:r>
          </w:p>
        </w:tc>
        <w:tc>
          <w:tcPr>
            <w:tcW w:w="1242"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hideMark/>
          </w:tcPr>
          <w:p w:rsidR="00CF518F" w:rsidRDefault="00CF518F" w:rsidP="00CF518F">
            <w:pPr>
              <w:pStyle w:val="StandardWeb"/>
              <w:jc w:val="center"/>
              <w:rPr>
                <w:rFonts w:cs="Arial"/>
                <w:szCs w:val="16"/>
              </w:rPr>
            </w:pPr>
            <w:r>
              <w:rPr>
                <w:rFonts w:cs="Arial"/>
                <w:szCs w:val="16"/>
              </w:rPr>
              <w:t>II a nach</w:t>
            </w:r>
          </w:p>
          <w:p w:rsidR="00CF518F" w:rsidRP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41</w:t>
            </w:r>
          </w:p>
        </w:tc>
        <w:tc>
          <w:tcPr>
            <w:tcW w:w="826"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100 €</w:t>
            </w:r>
          </w:p>
        </w:tc>
        <w:tc>
          <w:tcPr>
            <w:tcW w:w="1242" w:type="dxa"/>
            <w:tcBorders>
              <w:top w:val="nil"/>
              <w:left w:val="nil"/>
              <w:bottom w:val="single" w:sz="8" w:space="0" w:color="auto"/>
              <w:right w:val="single" w:sz="8" w:space="0" w:color="auto"/>
            </w:tcBorders>
            <w:vAlign w:val="center"/>
            <w:hideMark/>
          </w:tcPr>
          <w:p w:rsidR="00CF518F" w:rsidRPr="00CF518F" w:rsidRDefault="00CF518F" w:rsidP="00CF518F">
            <w:pPr>
              <w:pStyle w:val="StandardWeb"/>
              <w:jc w:val="center"/>
              <w:rPr>
                <w:rFonts w:cs="Arial"/>
                <w:szCs w:val="16"/>
              </w:rPr>
            </w:pPr>
            <w:r w:rsidRPr="00CC06D0">
              <w:rPr>
                <w:rFonts w:cs="Arial"/>
                <w:szCs w:val="16"/>
              </w:rPr>
              <w:t>dauerhaft</w:t>
            </w:r>
          </w:p>
        </w:tc>
      </w:tr>
      <w:tr w:rsidR="00CF518F" w:rsidRPr="00CC06D0" w:rsidTr="00CF518F">
        <w:trPr>
          <w:trHeight w:val="255"/>
        </w:trPr>
        <w:tc>
          <w:tcPr>
            <w:tcW w:w="816" w:type="dxa"/>
            <w:tcBorders>
              <w:top w:val="nil"/>
              <w:left w:val="single" w:sz="8" w:space="0" w:color="auto"/>
              <w:bottom w:val="single" w:sz="8" w:space="0" w:color="auto"/>
              <w:right w:val="single" w:sz="8" w:space="0" w:color="auto"/>
            </w:tcBorders>
            <w:vAlign w:val="center"/>
          </w:tcPr>
          <w:p w:rsidR="00CF518F" w:rsidRPr="00CF518F" w:rsidRDefault="00CF518F" w:rsidP="00CF518F">
            <w:pPr>
              <w:jc w:val="center"/>
              <w:rPr>
                <w:szCs w:val="16"/>
              </w:rPr>
            </w:pPr>
          </w:p>
        </w:tc>
        <w:tc>
          <w:tcPr>
            <w:tcW w:w="1207" w:type="dxa"/>
            <w:tcBorders>
              <w:top w:val="nil"/>
              <w:left w:val="nil"/>
              <w:bottom w:val="single" w:sz="8" w:space="0" w:color="auto"/>
              <w:right w:val="single" w:sz="8" w:space="0" w:color="auto"/>
            </w:tcBorders>
            <w:vAlign w:val="center"/>
          </w:tcPr>
          <w:p w:rsidR="00CF518F" w:rsidRPr="00CC06D0" w:rsidRDefault="00CF518F" w:rsidP="00CF518F">
            <w:pPr>
              <w:pStyle w:val="StandardWeb"/>
              <w:jc w:val="center"/>
              <w:rPr>
                <w:rFonts w:cs="Arial"/>
                <w:szCs w:val="16"/>
              </w:rPr>
            </w:pPr>
            <w:r w:rsidRPr="00CC06D0">
              <w:rPr>
                <w:rFonts w:cs="Arial"/>
                <w:szCs w:val="16"/>
              </w:rPr>
              <w:t>III</w:t>
            </w:r>
          </w:p>
        </w:tc>
        <w:tc>
          <w:tcPr>
            <w:tcW w:w="1042" w:type="dxa"/>
            <w:tcBorders>
              <w:top w:val="nil"/>
              <w:left w:val="nil"/>
              <w:bottom w:val="single" w:sz="8" w:space="0" w:color="auto"/>
              <w:right w:val="single" w:sz="8" w:space="0" w:color="auto"/>
            </w:tcBorders>
            <w:vAlign w:val="center"/>
          </w:tcPr>
          <w:p w:rsidR="00CF518F" w:rsidRDefault="00CF518F" w:rsidP="00CF518F">
            <w:pPr>
              <w:pStyle w:val="StandardWeb"/>
              <w:jc w:val="center"/>
              <w:rPr>
                <w:rFonts w:cs="Arial"/>
                <w:szCs w:val="16"/>
              </w:rPr>
            </w:pPr>
            <w:r>
              <w:rPr>
                <w:rFonts w:cs="Arial"/>
                <w:szCs w:val="16"/>
              </w:rPr>
              <w:t>II a nach</w:t>
            </w:r>
          </w:p>
          <w:p w:rsidR="00CF518F" w:rsidRDefault="00CF518F" w:rsidP="00CF518F">
            <w:pPr>
              <w:pStyle w:val="StandardWeb"/>
              <w:jc w:val="center"/>
              <w:rPr>
                <w:rFonts w:cs="Arial"/>
                <w:szCs w:val="16"/>
              </w:rPr>
            </w:pPr>
            <w:r w:rsidRPr="00CC06D0">
              <w:rPr>
                <w:rFonts w:cs="Arial"/>
                <w:szCs w:val="16"/>
              </w:rPr>
              <w:t>5 u. 6 Jahren</w:t>
            </w:r>
          </w:p>
        </w:tc>
        <w:tc>
          <w:tcPr>
            <w:tcW w:w="777" w:type="dxa"/>
            <w:tcBorders>
              <w:top w:val="nil"/>
              <w:left w:val="nil"/>
              <w:bottom w:val="single" w:sz="8" w:space="0" w:color="auto"/>
              <w:right w:val="single" w:sz="8" w:space="0" w:color="auto"/>
            </w:tcBorders>
            <w:vAlign w:val="center"/>
          </w:tcPr>
          <w:p w:rsidR="00CF518F" w:rsidRPr="00CC06D0" w:rsidRDefault="00CF518F" w:rsidP="00CF518F">
            <w:pPr>
              <w:pStyle w:val="StandardWeb"/>
              <w:jc w:val="center"/>
              <w:rPr>
                <w:rFonts w:cs="Arial"/>
                <w:szCs w:val="16"/>
              </w:rPr>
            </w:pPr>
            <w:r w:rsidRPr="00CC06D0">
              <w:rPr>
                <w:rFonts w:cs="Arial"/>
                <w:szCs w:val="16"/>
              </w:rPr>
              <w:t>OZ 2</w:t>
            </w:r>
          </w:p>
        </w:tc>
        <w:tc>
          <w:tcPr>
            <w:tcW w:w="837" w:type="dxa"/>
            <w:tcBorders>
              <w:top w:val="nil"/>
              <w:left w:val="nil"/>
              <w:bottom w:val="single" w:sz="8" w:space="0" w:color="auto"/>
              <w:right w:val="single" w:sz="8" w:space="0" w:color="auto"/>
            </w:tcBorders>
            <w:vAlign w:val="center"/>
          </w:tcPr>
          <w:p w:rsidR="00CF518F" w:rsidRPr="00CC06D0" w:rsidRDefault="00CF518F" w:rsidP="00CF518F">
            <w:pPr>
              <w:pStyle w:val="StandardWeb"/>
              <w:jc w:val="center"/>
              <w:rPr>
                <w:rFonts w:cs="Arial"/>
                <w:szCs w:val="16"/>
              </w:rPr>
            </w:pPr>
            <w:r w:rsidRPr="00CC06D0">
              <w:rPr>
                <w:rFonts w:cs="Arial"/>
                <w:szCs w:val="16"/>
              </w:rPr>
              <w:t>43</w:t>
            </w:r>
          </w:p>
        </w:tc>
        <w:tc>
          <w:tcPr>
            <w:tcW w:w="826" w:type="dxa"/>
            <w:tcBorders>
              <w:top w:val="nil"/>
              <w:left w:val="nil"/>
              <w:bottom w:val="single" w:sz="8" w:space="0" w:color="auto"/>
              <w:right w:val="single" w:sz="8" w:space="0" w:color="auto"/>
            </w:tcBorders>
            <w:vAlign w:val="center"/>
          </w:tcPr>
          <w:p w:rsidR="00CF518F" w:rsidRPr="00CC06D0" w:rsidRDefault="00CF518F" w:rsidP="00CF518F">
            <w:pPr>
              <w:pStyle w:val="StandardWeb"/>
              <w:jc w:val="center"/>
              <w:rPr>
                <w:rFonts w:cs="Arial"/>
                <w:szCs w:val="16"/>
              </w:rPr>
            </w:pPr>
            <w:r w:rsidRPr="00CC06D0">
              <w:rPr>
                <w:rFonts w:cs="Arial"/>
                <w:szCs w:val="16"/>
              </w:rPr>
              <w:t>85 €</w:t>
            </w:r>
          </w:p>
        </w:tc>
        <w:tc>
          <w:tcPr>
            <w:tcW w:w="1242" w:type="dxa"/>
            <w:tcBorders>
              <w:top w:val="nil"/>
              <w:left w:val="nil"/>
              <w:bottom w:val="single" w:sz="8" w:space="0" w:color="auto"/>
              <w:right w:val="single" w:sz="8" w:space="0" w:color="auto"/>
            </w:tcBorders>
            <w:vAlign w:val="center"/>
          </w:tcPr>
          <w:p w:rsidR="00CF518F" w:rsidRPr="00CC06D0" w:rsidRDefault="00CF518F" w:rsidP="00CF518F">
            <w:pPr>
              <w:pStyle w:val="StandardWeb"/>
              <w:jc w:val="center"/>
              <w:rPr>
                <w:rFonts w:cs="Arial"/>
                <w:szCs w:val="16"/>
              </w:rPr>
            </w:pPr>
            <w:r w:rsidRPr="00CC06D0">
              <w:rPr>
                <w:rFonts w:cs="Arial"/>
                <w:szCs w:val="16"/>
              </w:rPr>
              <w:t>dauerhaft</w:t>
            </w:r>
          </w:p>
        </w:tc>
      </w:tr>
      <w:tr w:rsidR="005C77DA" w:rsidRPr="00CC06D0" w:rsidTr="005C77DA">
        <w:trPr>
          <w:trHeight w:val="255"/>
        </w:trPr>
        <w:tc>
          <w:tcPr>
            <w:tcW w:w="816" w:type="dxa"/>
            <w:tcBorders>
              <w:top w:val="nil"/>
              <w:left w:val="single" w:sz="8" w:space="0" w:color="auto"/>
              <w:bottom w:val="single" w:sz="8" w:space="0" w:color="auto"/>
              <w:right w:val="single" w:sz="8" w:space="0" w:color="auto"/>
            </w:tcBorders>
            <w:vAlign w:val="center"/>
          </w:tcPr>
          <w:p w:rsidR="005C77DA" w:rsidRPr="003C7C24" w:rsidRDefault="005C77DA" w:rsidP="005C77DA">
            <w:pPr>
              <w:jc w:val="center"/>
            </w:pPr>
            <w:r w:rsidRPr="003C7C24">
              <w:t>13</w:t>
            </w:r>
          </w:p>
        </w:tc>
        <w:tc>
          <w:tcPr>
            <w:tcW w:w="1207" w:type="dxa"/>
            <w:tcBorders>
              <w:top w:val="nil"/>
              <w:left w:val="nil"/>
              <w:bottom w:val="single" w:sz="8" w:space="0" w:color="auto"/>
              <w:right w:val="single" w:sz="8" w:space="0" w:color="auto"/>
            </w:tcBorders>
            <w:vAlign w:val="center"/>
          </w:tcPr>
          <w:p w:rsidR="005C77DA" w:rsidRPr="003C7C24" w:rsidRDefault="005C77DA" w:rsidP="005C77DA">
            <w:pPr>
              <w:jc w:val="center"/>
            </w:pPr>
            <w:r w:rsidRPr="003C7C24">
              <w:t>II a</w:t>
            </w:r>
          </w:p>
        </w:tc>
        <w:tc>
          <w:tcPr>
            <w:tcW w:w="1042" w:type="dxa"/>
            <w:tcBorders>
              <w:top w:val="nil"/>
              <w:left w:val="nil"/>
              <w:bottom w:val="single" w:sz="8" w:space="0" w:color="auto"/>
              <w:right w:val="single" w:sz="8" w:space="0" w:color="auto"/>
            </w:tcBorders>
            <w:vAlign w:val="center"/>
          </w:tcPr>
          <w:p w:rsidR="005C77DA" w:rsidRPr="003C7C24" w:rsidRDefault="005C77DA" w:rsidP="005C77DA">
            <w:pPr>
              <w:jc w:val="center"/>
            </w:pPr>
            <w:r>
              <w:t>o</w:t>
            </w:r>
            <w:r w:rsidRPr="003C7C24">
              <w:t>hne</w:t>
            </w:r>
          </w:p>
        </w:tc>
        <w:tc>
          <w:tcPr>
            <w:tcW w:w="777" w:type="dxa"/>
            <w:tcBorders>
              <w:top w:val="nil"/>
              <w:left w:val="nil"/>
              <w:bottom w:val="single" w:sz="8" w:space="0" w:color="auto"/>
              <w:right w:val="single" w:sz="8" w:space="0" w:color="auto"/>
            </w:tcBorders>
            <w:vAlign w:val="center"/>
          </w:tcPr>
          <w:p w:rsidR="005C77DA" w:rsidRPr="003C7C24" w:rsidRDefault="005C77DA" w:rsidP="005C77DA">
            <w:pPr>
              <w:jc w:val="center"/>
            </w:pPr>
            <w:r w:rsidRPr="003C7C24">
              <w:t>OZ 2</w:t>
            </w:r>
          </w:p>
        </w:tc>
        <w:tc>
          <w:tcPr>
            <w:tcW w:w="837" w:type="dxa"/>
            <w:tcBorders>
              <w:top w:val="nil"/>
              <w:left w:val="nil"/>
              <w:bottom w:val="single" w:sz="8" w:space="0" w:color="auto"/>
              <w:right w:val="single" w:sz="8" w:space="0" w:color="auto"/>
            </w:tcBorders>
            <w:vAlign w:val="center"/>
          </w:tcPr>
          <w:p w:rsidR="005C77DA" w:rsidRPr="003C7C24" w:rsidRDefault="005C77DA" w:rsidP="005C77DA">
            <w:pPr>
              <w:jc w:val="center"/>
            </w:pPr>
            <w:r w:rsidRPr="003C7C24">
              <w:t>39</w:t>
            </w:r>
          </w:p>
        </w:tc>
        <w:tc>
          <w:tcPr>
            <w:tcW w:w="826" w:type="dxa"/>
            <w:tcBorders>
              <w:top w:val="nil"/>
              <w:left w:val="nil"/>
              <w:bottom w:val="single" w:sz="8" w:space="0" w:color="auto"/>
              <w:right w:val="single" w:sz="8" w:space="0" w:color="auto"/>
            </w:tcBorders>
            <w:vAlign w:val="center"/>
          </w:tcPr>
          <w:p w:rsidR="005C77DA" w:rsidRPr="003C7C24" w:rsidRDefault="005C77DA" w:rsidP="005C77DA">
            <w:pPr>
              <w:jc w:val="center"/>
            </w:pPr>
            <w:r w:rsidRPr="003C7C24">
              <w:t>60 €</w:t>
            </w:r>
          </w:p>
        </w:tc>
        <w:tc>
          <w:tcPr>
            <w:tcW w:w="1242" w:type="dxa"/>
            <w:tcBorders>
              <w:top w:val="nil"/>
              <w:left w:val="nil"/>
              <w:bottom w:val="single" w:sz="8" w:space="0" w:color="auto"/>
              <w:right w:val="single" w:sz="8" w:space="0" w:color="auto"/>
            </w:tcBorders>
            <w:vAlign w:val="center"/>
          </w:tcPr>
          <w:p w:rsidR="005C77DA" w:rsidRDefault="005C77DA" w:rsidP="005C77DA">
            <w:pPr>
              <w:jc w:val="center"/>
            </w:pPr>
            <w:r>
              <w:t>nach</w:t>
            </w:r>
          </w:p>
          <w:p w:rsidR="005C77DA" w:rsidRPr="003C7C24" w:rsidRDefault="005C77DA" w:rsidP="005C77DA">
            <w:pPr>
              <w:jc w:val="center"/>
            </w:pPr>
            <w:r>
              <w:t>4 Jahren dauerhaft</w:t>
            </w:r>
          </w:p>
        </w:tc>
      </w:tr>
      <w:tr w:rsidR="005C77DA" w:rsidRPr="00CC06D0" w:rsidTr="005C77DA">
        <w:trPr>
          <w:trHeight w:val="255"/>
        </w:trPr>
        <w:tc>
          <w:tcPr>
            <w:tcW w:w="816" w:type="dxa"/>
            <w:tcBorders>
              <w:top w:val="nil"/>
              <w:left w:val="single" w:sz="8" w:space="0" w:color="auto"/>
              <w:bottom w:val="single" w:sz="8" w:space="0" w:color="auto"/>
              <w:right w:val="single" w:sz="8" w:space="0" w:color="auto"/>
            </w:tcBorders>
            <w:vAlign w:val="center"/>
          </w:tcPr>
          <w:p w:rsidR="005C77DA" w:rsidRPr="008E36E7" w:rsidRDefault="005C77DA" w:rsidP="005C77DA">
            <w:pPr>
              <w:jc w:val="center"/>
            </w:pPr>
          </w:p>
        </w:tc>
        <w:tc>
          <w:tcPr>
            <w:tcW w:w="1207" w:type="dxa"/>
            <w:tcBorders>
              <w:top w:val="nil"/>
              <w:left w:val="nil"/>
              <w:bottom w:val="single" w:sz="8" w:space="0" w:color="auto"/>
              <w:right w:val="single" w:sz="8" w:space="0" w:color="auto"/>
            </w:tcBorders>
            <w:vAlign w:val="center"/>
          </w:tcPr>
          <w:p w:rsidR="005C77DA" w:rsidRPr="008E36E7" w:rsidRDefault="005C77DA" w:rsidP="005C77DA">
            <w:pPr>
              <w:jc w:val="center"/>
            </w:pPr>
            <w:r w:rsidRPr="008E36E7">
              <w:t>II a</w:t>
            </w:r>
          </w:p>
        </w:tc>
        <w:tc>
          <w:tcPr>
            <w:tcW w:w="1042" w:type="dxa"/>
            <w:tcBorders>
              <w:top w:val="nil"/>
              <w:left w:val="nil"/>
              <w:bottom w:val="single" w:sz="8" w:space="0" w:color="auto"/>
              <w:right w:val="single" w:sz="8" w:space="0" w:color="auto"/>
            </w:tcBorders>
            <w:vAlign w:val="center"/>
          </w:tcPr>
          <w:p w:rsidR="005C77DA" w:rsidRPr="008E36E7" w:rsidRDefault="005C77DA" w:rsidP="005C77DA">
            <w:pPr>
              <w:jc w:val="center"/>
            </w:pPr>
            <w:r>
              <w:t>ohne</w:t>
            </w:r>
          </w:p>
        </w:tc>
        <w:tc>
          <w:tcPr>
            <w:tcW w:w="777" w:type="dxa"/>
            <w:tcBorders>
              <w:top w:val="nil"/>
              <w:left w:val="nil"/>
              <w:bottom w:val="single" w:sz="8" w:space="0" w:color="auto"/>
              <w:right w:val="single" w:sz="8" w:space="0" w:color="auto"/>
            </w:tcBorders>
            <w:vAlign w:val="center"/>
          </w:tcPr>
          <w:p w:rsidR="005C77DA" w:rsidRPr="008E36E7" w:rsidRDefault="005C77DA" w:rsidP="005C77DA">
            <w:pPr>
              <w:jc w:val="center"/>
            </w:pPr>
            <w:r w:rsidRPr="008E36E7">
              <w:t>OZ 2</w:t>
            </w:r>
          </w:p>
        </w:tc>
        <w:tc>
          <w:tcPr>
            <w:tcW w:w="837" w:type="dxa"/>
            <w:tcBorders>
              <w:top w:val="nil"/>
              <w:left w:val="nil"/>
              <w:bottom w:val="single" w:sz="8" w:space="0" w:color="auto"/>
              <w:right w:val="single" w:sz="8" w:space="0" w:color="auto"/>
            </w:tcBorders>
            <w:vAlign w:val="center"/>
          </w:tcPr>
          <w:p w:rsidR="005C77DA" w:rsidRPr="008E36E7" w:rsidRDefault="005C77DA" w:rsidP="005C77DA">
            <w:pPr>
              <w:jc w:val="center"/>
            </w:pPr>
            <w:r w:rsidRPr="008E36E7">
              <w:t>41</w:t>
            </w:r>
          </w:p>
        </w:tc>
        <w:tc>
          <w:tcPr>
            <w:tcW w:w="826" w:type="dxa"/>
            <w:tcBorders>
              <w:top w:val="nil"/>
              <w:left w:val="nil"/>
              <w:bottom w:val="single" w:sz="8" w:space="0" w:color="auto"/>
              <w:right w:val="single" w:sz="8" w:space="0" w:color="auto"/>
            </w:tcBorders>
            <w:vAlign w:val="center"/>
          </w:tcPr>
          <w:p w:rsidR="005C77DA" w:rsidRPr="008E36E7" w:rsidRDefault="005C77DA" w:rsidP="005C77DA">
            <w:pPr>
              <w:jc w:val="center"/>
            </w:pPr>
            <w:r w:rsidRPr="008E36E7">
              <w:t>60 €</w:t>
            </w:r>
          </w:p>
        </w:tc>
        <w:tc>
          <w:tcPr>
            <w:tcW w:w="1242" w:type="dxa"/>
            <w:tcBorders>
              <w:top w:val="nil"/>
              <w:left w:val="nil"/>
              <w:bottom w:val="single" w:sz="8" w:space="0" w:color="auto"/>
              <w:right w:val="single" w:sz="8" w:space="0" w:color="auto"/>
            </w:tcBorders>
            <w:vAlign w:val="center"/>
          </w:tcPr>
          <w:p w:rsidR="005C77DA" w:rsidRDefault="005C77DA" w:rsidP="005C77DA">
            <w:pPr>
              <w:jc w:val="center"/>
            </w:pPr>
            <w:r w:rsidRPr="008E36E7">
              <w:t>dauerhaft</w:t>
            </w:r>
          </w:p>
        </w:tc>
      </w:tr>
    </w:tbl>
    <w:p w:rsidR="00CF518F" w:rsidRPr="005C77DA" w:rsidRDefault="00CF518F" w:rsidP="00942CDA">
      <w:pPr>
        <w:pStyle w:val="Leerzeile"/>
        <w:rPr>
          <w:sz w:val="8"/>
          <w:szCs w:val="8"/>
        </w:rPr>
      </w:pPr>
    </w:p>
    <w:p w:rsidR="00BE1EFE" w:rsidRPr="00CC06D0" w:rsidRDefault="00BE1EFE" w:rsidP="00942CDA">
      <w:pPr>
        <w:pStyle w:val="Leerzeile"/>
        <w:rPr>
          <w:szCs w:val="16"/>
        </w:rPr>
      </w:pPr>
      <w:r w:rsidRPr="00CC06D0">
        <w:rPr>
          <w:szCs w:val="16"/>
        </w:rPr>
        <w:br w:type="page"/>
      </w:r>
    </w:p>
    <w:p w:rsidR="00BE1EFE" w:rsidRPr="005C77DA" w:rsidRDefault="00BE1EFE" w:rsidP="00942CDA">
      <w:pPr>
        <w:pStyle w:val="Leerzeile"/>
        <w:rPr>
          <w:sz w:val="4"/>
          <w:szCs w:val="4"/>
        </w:rPr>
      </w:pPr>
    </w:p>
    <w:tbl>
      <w:tblPr>
        <w:tblW w:w="6747" w:type="dxa"/>
        <w:tblCellMar>
          <w:left w:w="0" w:type="dxa"/>
          <w:right w:w="0" w:type="dxa"/>
        </w:tblCellMar>
        <w:tblLook w:val="04A0" w:firstRow="1" w:lastRow="0" w:firstColumn="1" w:lastColumn="0" w:noHBand="0" w:noVBand="1"/>
      </w:tblPr>
      <w:tblGrid>
        <w:gridCol w:w="880"/>
        <w:gridCol w:w="1198"/>
        <w:gridCol w:w="967"/>
        <w:gridCol w:w="875"/>
        <w:gridCol w:w="927"/>
        <w:gridCol w:w="892"/>
        <w:gridCol w:w="1008"/>
      </w:tblGrid>
      <w:tr w:rsidR="005C77DA" w:rsidRPr="00CC06D0" w:rsidTr="00676F7A">
        <w:trPr>
          <w:trHeight w:val="420"/>
        </w:trPr>
        <w:tc>
          <w:tcPr>
            <w:tcW w:w="856"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Entgelt-gruppe</w:t>
            </w:r>
          </w:p>
        </w:tc>
        <w:tc>
          <w:tcPr>
            <w:tcW w:w="116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Vergütungs-gruppe bei Inkrafttreten Teil A, 3.</w:t>
            </w:r>
          </w:p>
        </w:tc>
        <w:tc>
          <w:tcPr>
            <w:tcW w:w="94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851" w:type="dxa"/>
            <w:vMerge w:val="restart"/>
            <w:tcBorders>
              <w:top w:val="single" w:sz="8" w:space="0" w:color="auto"/>
              <w:left w:val="nil"/>
              <w:bottom w:val="single" w:sz="8" w:space="0" w:color="auto"/>
              <w:right w:val="single" w:sz="8" w:space="0" w:color="auto"/>
            </w:tcBorders>
            <w:tcMar>
              <w:top w:w="0" w:type="dxa"/>
              <w:left w:w="0" w:type="dxa"/>
              <w:bottom w:w="0" w:type="dxa"/>
              <w:right w:w="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Ortszu-schlag Stufe 1, 2</w:t>
            </w:r>
          </w:p>
        </w:tc>
        <w:tc>
          <w:tcPr>
            <w:tcW w:w="90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868"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98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676F7A">
        <w:trPr>
          <w:trHeight w:val="255"/>
        </w:trPr>
        <w:tc>
          <w:tcPr>
            <w:tcW w:w="856"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66"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4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5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0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68"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8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76F7A">
        <w:trPr>
          <w:trHeight w:val="315"/>
        </w:trPr>
        <w:tc>
          <w:tcPr>
            <w:tcW w:w="856"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66"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4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5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0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68"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8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76F7A">
        <w:trPr>
          <w:trHeight w:val="255"/>
        </w:trPr>
        <w:tc>
          <w:tcPr>
            <w:tcW w:w="856"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66"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4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02"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676F7A" w:rsidRDefault="00676F7A" w:rsidP="00652495">
            <w:pPr>
              <w:pStyle w:val="StandardWeb"/>
              <w:autoSpaceDE w:val="0"/>
              <w:jc w:val="center"/>
              <w:rPr>
                <w:rStyle w:val="Fett"/>
                <w:rFonts w:cs="Arial"/>
                <w:bCs/>
                <w:szCs w:val="16"/>
              </w:rPr>
            </w:pPr>
            <w:r>
              <w:rPr>
                <w:rStyle w:val="Fett"/>
                <w:rFonts w:cs="Arial"/>
                <w:bCs/>
                <w:szCs w:val="16"/>
              </w:rPr>
              <w:t>bei Inkrafttreten</w:t>
            </w:r>
          </w:p>
          <w:p w:rsidR="00BE1EFE" w:rsidRPr="00CC06D0" w:rsidRDefault="00BE1EFE" w:rsidP="00652495">
            <w:pPr>
              <w:pStyle w:val="StandardWeb"/>
              <w:autoSpaceDE w:val="0"/>
              <w:jc w:val="center"/>
              <w:rPr>
                <w:szCs w:val="16"/>
              </w:rPr>
            </w:pPr>
            <w:r w:rsidRPr="00CC06D0">
              <w:rPr>
                <w:rStyle w:val="Fett"/>
                <w:rFonts w:cs="Arial"/>
                <w:bCs/>
                <w:szCs w:val="16"/>
              </w:rPr>
              <w:t>Teil A, 3.</w:t>
            </w:r>
          </w:p>
        </w:tc>
        <w:tc>
          <w:tcPr>
            <w:tcW w:w="868"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8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76F7A">
        <w:trPr>
          <w:trHeight w:val="270"/>
        </w:trPr>
        <w:tc>
          <w:tcPr>
            <w:tcW w:w="856" w:type="dxa"/>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1166"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4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02" w:type="dxa"/>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868"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981"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5C77DA" w:rsidRPr="00CC06D0" w:rsidTr="00676F7A">
        <w:trPr>
          <w:trHeight w:val="270"/>
        </w:trPr>
        <w:tc>
          <w:tcPr>
            <w:tcW w:w="8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5C77DA" w:rsidP="00876902">
            <w:pPr>
              <w:jc w:val="center"/>
              <w:rPr>
                <w:szCs w:val="16"/>
              </w:rPr>
            </w:pPr>
            <w:r>
              <w:rPr>
                <w:szCs w:val="16"/>
              </w:rPr>
              <w:t>13</w:t>
            </w:r>
          </w:p>
        </w:tc>
        <w:tc>
          <w:tcPr>
            <w:tcW w:w="11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5C77DA" w:rsidP="00876902">
            <w:pPr>
              <w:pStyle w:val="StandardWeb"/>
              <w:jc w:val="center"/>
              <w:rPr>
                <w:szCs w:val="16"/>
              </w:rPr>
            </w:pPr>
            <w:r>
              <w:rPr>
                <w:rFonts w:cs="Arial"/>
                <w:szCs w:val="16"/>
              </w:rPr>
              <w:t>ohne</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43</w:t>
            </w:r>
          </w:p>
        </w:tc>
        <w:tc>
          <w:tcPr>
            <w:tcW w:w="8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60 €</w:t>
            </w:r>
          </w:p>
        </w:tc>
        <w:tc>
          <w:tcPr>
            <w:tcW w:w="98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5C77DA" w:rsidRPr="00CC06D0" w:rsidTr="00676F7A">
        <w:trPr>
          <w:trHeight w:val="255"/>
        </w:trPr>
        <w:tc>
          <w:tcPr>
            <w:tcW w:w="856"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C77DA" w:rsidRDefault="00BE1EFE" w:rsidP="0054275E">
            <w:pPr>
              <w:pStyle w:val="StandardWeb"/>
              <w:autoSpaceDE w:val="0"/>
              <w:jc w:val="center"/>
              <w:rPr>
                <w:b/>
                <w:szCs w:val="16"/>
              </w:rPr>
            </w:pPr>
            <w:r w:rsidRPr="005C77DA">
              <w:rPr>
                <w:rStyle w:val="Fett"/>
                <w:rFonts w:cs="Arial"/>
                <w:b w:val="0"/>
                <w:bCs/>
                <w:szCs w:val="16"/>
              </w:rPr>
              <w:t>14</w:t>
            </w:r>
          </w:p>
        </w:tc>
        <w:tc>
          <w:tcPr>
            <w:tcW w:w="1166"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5C77DA" w:rsidP="00876902">
            <w:pPr>
              <w:pStyle w:val="StandardWeb"/>
              <w:jc w:val="center"/>
              <w:rPr>
                <w:rFonts w:cs="Arial"/>
                <w:szCs w:val="16"/>
              </w:rPr>
            </w:pPr>
            <w:r>
              <w:rPr>
                <w:rFonts w:cs="Arial"/>
                <w:szCs w:val="16"/>
              </w:rPr>
              <w:t>I b nach</w:t>
            </w:r>
          </w:p>
          <w:p w:rsidR="00BE1EFE" w:rsidRPr="00CC06D0" w:rsidRDefault="00BE1EFE" w:rsidP="00876902">
            <w:pPr>
              <w:pStyle w:val="StandardWeb"/>
              <w:jc w:val="center"/>
              <w:rPr>
                <w:szCs w:val="16"/>
              </w:rPr>
            </w:pPr>
            <w:r w:rsidRPr="00CC06D0">
              <w:rPr>
                <w:rFonts w:cs="Arial"/>
                <w:szCs w:val="16"/>
              </w:rPr>
              <w:t>15 Jahren</w:t>
            </w:r>
          </w:p>
        </w:tc>
        <w:tc>
          <w:tcPr>
            <w:tcW w:w="85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39</w:t>
            </w:r>
          </w:p>
        </w:tc>
        <w:tc>
          <w:tcPr>
            <w:tcW w:w="86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80 €</w:t>
            </w:r>
          </w:p>
        </w:tc>
        <w:tc>
          <w:tcPr>
            <w:tcW w:w="981"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76F7A">
        <w:trPr>
          <w:trHeight w:val="270"/>
        </w:trPr>
        <w:tc>
          <w:tcPr>
            <w:tcW w:w="856" w:type="dxa"/>
            <w:vMerge/>
            <w:tcBorders>
              <w:top w:val="nil"/>
              <w:left w:val="single" w:sz="8" w:space="0" w:color="auto"/>
              <w:bottom w:val="single" w:sz="8" w:space="0" w:color="auto"/>
              <w:right w:val="single" w:sz="8" w:space="0" w:color="auto"/>
            </w:tcBorders>
            <w:vAlign w:val="center"/>
            <w:hideMark/>
          </w:tcPr>
          <w:p w:rsidR="00BE1EFE" w:rsidRPr="005C77DA" w:rsidRDefault="00BE1EFE" w:rsidP="00876902">
            <w:pPr>
              <w:jc w:val="center"/>
              <w:rPr>
                <w:szCs w:val="16"/>
              </w:rPr>
            </w:pPr>
          </w:p>
        </w:tc>
        <w:tc>
          <w:tcPr>
            <w:tcW w:w="1166"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941"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851"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902"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868"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c>
          <w:tcPr>
            <w:tcW w:w="981" w:type="dxa"/>
            <w:vMerge/>
            <w:tcBorders>
              <w:top w:val="nil"/>
              <w:left w:val="nil"/>
              <w:bottom w:val="single" w:sz="8" w:space="0" w:color="auto"/>
              <w:right w:val="single" w:sz="8" w:space="0" w:color="auto"/>
            </w:tcBorders>
            <w:vAlign w:val="center"/>
            <w:hideMark/>
          </w:tcPr>
          <w:p w:rsidR="00BE1EFE" w:rsidRPr="00CC06D0" w:rsidRDefault="00BE1EFE" w:rsidP="00876902">
            <w:pPr>
              <w:jc w:val="center"/>
              <w:rPr>
                <w:szCs w:val="16"/>
              </w:rPr>
            </w:pPr>
          </w:p>
        </w:tc>
      </w:tr>
      <w:tr w:rsidR="005C77DA" w:rsidRPr="00CC06D0" w:rsidTr="00676F7A">
        <w:trPr>
          <w:trHeight w:val="405"/>
        </w:trPr>
        <w:tc>
          <w:tcPr>
            <w:tcW w:w="8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1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5C77DA" w:rsidP="00876902">
            <w:pPr>
              <w:pStyle w:val="StandardWeb"/>
              <w:jc w:val="center"/>
              <w:rPr>
                <w:rFonts w:cs="Arial"/>
                <w:szCs w:val="16"/>
              </w:rPr>
            </w:pPr>
            <w:r>
              <w:rPr>
                <w:rFonts w:cs="Arial"/>
                <w:szCs w:val="16"/>
              </w:rPr>
              <w:t>I b nach</w:t>
            </w:r>
          </w:p>
          <w:p w:rsidR="00BE1EFE" w:rsidRPr="00CC06D0" w:rsidRDefault="00BE1EFE" w:rsidP="00876902">
            <w:pPr>
              <w:pStyle w:val="StandardWeb"/>
              <w:jc w:val="center"/>
              <w:rPr>
                <w:szCs w:val="16"/>
              </w:rPr>
            </w:pPr>
            <w:r w:rsidRPr="00CC06D0">
              <w:rPr>
                <w:rFonts w:cs="Arial"/>
                <w:szCs w:val="16"/>
              </w:rPr>
              <w:t>15 Jahren</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41</w:t>
            </w:r>
          </w:p>
        </w:tc>
        <w:tc>
          <w:tcPr>
            <w:tcW w:w="8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80 €</w:t>
            </w:r>
          </w:p>
        </w:tc>
        <w:tc>
          <w:tcPr>
            <w:tcW w:w="98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5C77DA" w:rsidRPr="00CC06D0" w:rsidTr="00676F7A">
        <w:trPr>
          <w:trHeight w:val="405"/>
        </w:trPr>
        <w:tc>
          <w:tcPr>
            <w:tcW w:w="8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1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5C77DA" w:rsidP="00876902">
            <w:pPr>
              <w:pStyle w:val="StandardWeb"/>
              <w:jc w:val="center"/>
              <w:rPr>
                <w:rFonts w:cs="Arial"/>
                <w:szCs w:val="16"/>
              </w:rPr>
            </w:pPr>
            <w:r>
              <w:rPr>
                <w:rFonts w:cs="Arial"/>
                <w:szCs w:val="16"/>
              </w:rPr>
              <w:t>I b nach</w:t>
            </w:r>
          </w:p>
          <w:p w:rsidR="00BE1EFE" w:rsidRPr="00CC06D0" w:rsidRDefault="00BE1EFE" w:rsidP="00876902">
            <w:pPr>
              <w:pStyle w:val="StandardWeb"/>
              <w:jc w:val="center"/>
              <w:rPr>
                <w:szCs w:val="16"/>
              </w:rPr>
            </w:pPr>
            <w:r w:rsidRPr="00CC06D0">
              <w:rPr>
                <w:rFonts w:cs="Arial"/>
                <w:szCs w:val="16"/>
              </w:rPr>
              <w:t>15 Jahren</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43</w:t>
            </w:r>
          </w:p>
        </w:tc>
        <w:tc>
          <w:tcPr>
            <w:tcW w:w="8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80 €</w:t>
            </w:r>
          </w:p>
        </w:tc>
        <w:tc>
          <w:tcPr>
            <w:tcW w:w="98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5C77DA" w:rsidRPr="00CC06D0" w:rsidTr="00676F7A">
        <w:trPr>
          <w:trHeight w:val="405"/>
        </w:trPr>
        <w:tc>
          <w:tcPr>
            <w:tcW w:w="8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1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BE1EFE" w:rsidP="00876902">
            <w:pPr>
              <w:pStyle w:val="StandardWeb"/>
              <w:jc w:val="center"/>
              <w:rPr>
                <w:rFonts w:cs="Arial"/>
                <w:szCs w:val="16"/>
              </w:rPr>
            </w:pPr>
            <w:r w:rsidRPr="00CC06D0">
              <w:rPr>
                <w:rFonts w:cs="Arial"/>
                <w:szCs w:val="16"/>
              </w:rPr>
              <w:t>I b na</w:t>
            </w:r>
            <w:r w:rsidR="005C77DA">
              <w:rPr>
                <w:rFonts w:cs="Arial"/>
                <w:szCs w:val="16"/>
              </w:rPr>
              <w:t>ch</w:t>
            </w:r>
          </w:p>
          <w:p w:rsidR="00BE1EFE" w:rsidRPr="00CC06D0" w:rsidRDefault="00BE1EFE" w:rsidP="00876902">
            <w:pPr>
              <w:pStyle w:val="StandardWeb"/>
              <w:jc w:val="center"/>
              <w:rPr>
                <w:szCs w:val="16"/>
              </w:rPr>
            </w:pPr>
            <w:r w:rsidRPr="00CC06D0">
              <w:rPr>
                <w:rFonts w:cs="Arial"/>
                <w:szCs w:val="16"/>
              </w:rPr>
              <w:t>15 Jahren</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45</w:t>
            </w:r>
          </w:p>
        </w:tc>
        <w:tc>
          <w:tcPr>
            <w:tcW w:w="8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60 €</w:t>
            </w:r>
          </w:p>
        </w:tc>
        <w:tc>
          <w:tcPr>
            <w:tcW w:w="98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5C77DA" w:rsidRPr="00CC06D0" w:rsidTr="00676F7A">
        <w:trPr>
          <w:trHeight w:val="405"/>
        </w:trPr>
        <w:tc>
          <w:tcPr>
            <w:tcW w:w="8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C77DA" w:rsidRDefault="00BE1EFE" w:rsidP="00876902">
            <w:pPr>
              <w:jc w:val="center"/>
              <w:rPr>
                <w:szCs w:val="16"/>
              </w:rPr>
            </w:pPr>
            <w:r w:rsidRPr="005C77DA">
              <w:rPr>
                <w:szCs w:val="16"/>
              </w:rPr>
              <w:t>14</w:t>
            </w:r>
          </w:p>
        </w:tc>
        <w:tc>
          <w:tcPr>
            <w:tcW w:w="11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BE1EFE" w:rsidP="005C77DA">
            <w:pPr>
              <w:pStyle w:val="StandardWeb"/>
              <w:jc w:val="center"/>
              <w:rPr>
                <w:rFonts w:cs="Arial"/>
                <w:szCs w:val="16"/>
              </w:rPr>
            </w:pPr>
            <w:r w:rsidRPr="00CC06D0">
              <w:rPr>
                <w:rFonts w:cs="Arial"/>
                <w:szCs w:val="16"/>
              </w:rPr>
              <w:t xml:space="preserve">I </w:t>
            </w:r>
            <w:r w:rsidR="005C77DA" w:rsidRPr="00CC06D0">
              <w:rPr>
                <w:rFonts w:cs="Arial"/>
                <w:szCs w:val="16"/>
              </w:rPr>
              <w:t>I b na</w:t>
            </w:r>
            <w:r w:rsidR="005C77DA">
              <w:rPr>
                <w:rFonts w:cs="Arial"/>
                <w:szCs w:val="16"/>
              </w:rPr>
              <w:t>ch</w:t>
            </w:r>
          </w:p>
          <w:p w:rsidR="00BE1EFE" w:rsidRPr="00CC06D0" w:rsidRDefault="005C77DA" w:rsidP="005C77DA">
            <w:pPr>
              <w:pStyle w:val="StandardWeb"/>
              <w:jc w:val="center"/>
              <w:rPr>
                <w:szCs w:val="16"/>
              </w:rPr>
            </w:pPr>
            <w:r w:rsidRPr="00CC06D0">
              <w:rPr>
                <w:rFonts w:cs="Arial"/>
                <w:szCs w:val="16"/>
              </w:rPr>
              <w:t>15 Jahren</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37</w:t>
            </w:r>
          </w:p>
        </w:tc>
        <w:tc>
          <w:tcPr>
            <w:tcW w:w="8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110 €</w:t>
            </w:r>
          </w:p>
        </w:tc>
        <w:tc>
          <w:tcPr>
            <w:tcW w:w="98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5C77DA" w:rsidRPr="00CC06D0" w:rsidTr="00676F7A">
        <w:trPr>
          <w:trHeight w:val="466"/>
        </w:trPr>
        <w:tc>
          <w:tcPr>
            <w:tcW w:w="85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1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5C77DA" w:rsidP="005C77DA">
            <w:pPr>
              <w:pStyle w:val="StandardWeb"/>
              <w:jc w:val="center"/>
              <w:rPr>
                <w:rFonts w:cs="Arial"/>
                <w:szCs w:val="16"/>
              </w:rPr>
            </w:pPr>
            <w:r w:rsidRPr="00CC06D0">
              <w:rPr>
                <w:rFonts w:cs="Arial"/>
                <w:szCs w:val="16"/>
              </w:rPr>
              <w:t>I b na</w:t>
            </w:r>
            <w:r>
              <w:rPr>
                <w:rFonts w:cs="Arial"/>
                <w:szCs w:val="16"/>
              </w:rPr>
              <w:t>ch</w:t>
            </w:r>
          </w:p>
          <w:p w:rsidR="00BE1EFE" w:rsidRPr="00CC06D0" w:rsidRDefault="005C77DA" w:rsidP="005C77DA">
            <w:pPr>
              <w:pStyle w:val="StandardWeb"/>
              <w:jc w:val="center"/>
              <w:rPr>
                <w:szCs w:val="16"/>
              </w:rPr>
            </w:pPr>
            <w:r w:rsidRPr="00CC06D0">
              <w:rPr>
                <w:rFonts w:cs="Arial"/>
                <w:szCs w:val="16"/>
              </w:rPr>
              <w:t>15 Jahren</w:t>
            </w:r>
          </w:p>
        </w:tc>
        <w:tc>
          <w:tcPr>
            <w:tcW w:w="8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39</w:t>
            </w:r>
          </w:p>
        </w:tc>
        <w:tc>
          <w:tcPr>
            <w:tcW w:w="8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110 €</w:t>
            </w:r>
          </w:p>
        </w:tc>
        <w:tc>
          <w:tcPr>
            <w:tcW w:w="98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BE1EFE" w:rsidRPr="005C77DA" w:rsidRDefault="00BE1EFE" w:rsidP="00876902">
            <w:pPr>
              <w:jc w:val="center"/>
              <w:rPr>
                <w:szCs w:val="16"/>
              </w:rPr>
            </w:pPr>
          </w:p>
        </w:tc>
        <w:tc>
          <w:tcPr>
            <w:tcW w:w="1166"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vAlign w:val="center"/>
            <w:hideMark/>
          </w:tcPr>
          <w:p w:rsidR="005C77DA" w:rsidRDefault="005C77DA" w:rsidP="005C77DA">
            <w:pPr>
              <w:pStyle w:val="StandardWeb"/>
              <w:jc w:val="center"/>
              <w:rPr>
                <w:rFonts w:cs="Arial"/>
                <w:szCs w:val="16"/>
              </w:rPr>
            </w:pPr>
            <w:r w:rsidRPr="00CC06D0">
              <w:rPr>
                <w:rFonts w:cs="Arial"/>
                <w:szCs w:val="16"/>
              </w:rPr>
              <w:t>I b na</w:t>
            </w:r>
            <w:r>
              <w:rPr>
                <w:rFonts w:cs="Arial"/>
                <w:szCs w:val="16"/>
              </w:rPr>
              <w:t>ch</w:t>
            </w:r>
          </w:p>
          <w:p w:rsidR="00BE1EFE" w:rsidRPr="00CC06D0" w:rsidRDefault="005C77DA" w:rsidP="005C77DA">
            <w:pPr>
              <w:pStyle w:val="StandardWeb"/>
              <w:jc w:val="center"/>
              <w:rPr>
                <w:szCs w:val="16"/>
              </w:rPr>
            </w:pPr>
            <w:r w:rsidRPr="00CC06D0">
              <w:rPr>
                <w:rFonts w:cs="Arial"/>
                <w:szCs w:val="16"/>
              </w:rPr>
              <w:t>15 Jahren</w:t>
            </w:r>
          </w:p>
        </w:tc>
        <w:tc>
          <w:tcPr>
            <w:tcW w:w="85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OZ 2</w:t>
            </w:r>
          </w:p>
        </w:tc>
        <w:tc>
          <w:tcPr>
            <w:tcW w:w="902"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41</w:t>
            </w:r>
          </w:p>
        </w:tc>
        <w:tc>
          <w:tcPr>
            <w:tcW w:w="868"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110 €</w:t>
            </w:r>
          </w:p>
        </w:tc>
        <w:tc>
          <w:tcPr>
            <w:tcW w:w="98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BE1EFE" w:rsidRPr="005C77DA" w:rsidRDefault="00BE1EFE" w:rsidP="00876902">
            <w:pPr>
              <w:jc w:val="center"/>
              <w:rPr>
                <w:szCs w:val="16"/>
              </w:rPr>
            </w:pPr>
          </w:p>
        </w:tc>
        <w:tc>
          <w:tcPr>
            <w:tcW w:w="1166"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I b nach 15 Jahren</w:t>
            </w:r>
          </w:p>
        </w:tc>
        <w:tc>
          <w:tcPr>
            <w:tcW w:w="85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OZ 2</w:t>
            </w:r>
          </w:p>
        </w:tc>
        <w:tc>
          <w:tcPr>
            <w:tcW w:w="902"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43</w:t>
            </w:r>
          </w:p>
        </w:tc>
        <w:tc>
          <w:tcPr>
            <w:tcW w:w="868"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110 €</w:t>
            </w:r>
          </w:p>
        </w:tc>
        <w:tc>
          <w:tcPr>
            <w:tcW w:w="98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BE1EFE" w:rsidRPr="005C77DA" w:rsidRDefault="00BE1EFE" w:rsidP="00876902">
            <w:pPr>
              <w:jc w:val="center"/>
              <w:rPr>
                <w:szCs w:val="16"/>
              </w:rPr>
            </w:pPr>
          </w:p>
        </w:tc>
        <w:tc>
          <w:tcPr>
            <w:tcW w:w="1166"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vAlign w:val="center"/>
            <w:hideMark/>
          </w:tcPr>
          <w:p w:rsidR="005C77DA" w:rsidRDefault="005C77DA" w:rsidP="005C77DA">
            <w:pPr>
              <w:pStyle w:val="StandardWeb"/>
              <w:jc w:val="center"/>
              <w:rPr>
                <w:rFonts w:cs="Arial"/>
                <w:szCs w:val="16"/>
              </w:rPr>
            </w:pPr>
            <w:r w:rsidRPr="00CC06D0">
              <w:rPr>
                <w:rFonts w:cs="Arial"/>
                <w:szCs w:val="16"/>
              </w:rPr>
              <w:t>I b na</w:t>
            </w:r>
            <w:r>
              <w:rPr>
                <w:rFonts w:cs="Arial"/>
                <w:szCs w:val="16"/>
              </w:rPr>
              <w:t>ch</w:t>
            </w:r>
          </w:p>
          <w:p w:rsidR="00BE1EFE" w:rsidRPr="00CC06D0" w:rsidRDefault="005C77DA" w:rsidP="005C77DA">
            <w:pPr>
              <w:pStyle w:val="StandardWeb"/>
              <w:jc w:val="center"/>
              <w:rPr>
                <w:szCs w:val="16"/>
              </w:rPr>
            </w:pPr>
            <w:r w:rsidRPr="00CC06D0">
              <w:rPr>
                <w:rFonts w:cs="Arial"/>
                <w:szCs w:val="16"/>
              </w:rPr>
              <w:t>15 Jahren</w:t>
            </w:r>
          </w:p>
        </w:tc>
        <w:tc>
          <w:tcPr>
            <w:tcW w:w="85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OZ 2</w:t>
            </w:r>
          </w:p>
        </w:tc>
        <w:tc>
          <w:tcPr>
            <w:tcW w:w="902"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45</w:t>
            </w:r>
          </w:p>
        </w:tc>
        <w:tc>
          <w:tcPr>
            <w:tcW w:w="868"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60 €</w:t>
            </w:r>
          </w:p>
        </w:tc>
        <w:tc>
          <w:tcPr>
            <w:tcW w:w="98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76F7A">
        <w:trPr>
          <w:trHeight w:val="315"/>
        </w:trPr>
        <w:tc>
          <w:tcPr>
            <w:tcW w:w="856" w:type="dxa"/>
            <w:tcBorders>
              <w:top w:val="nil"/>
              <w:left w:val="single" w:sz="8" w:space="0" w:color="auto"/>
              <w:bottom w:val="single" w:sz="8" w:space="0" w:color="auto"/>
              <w:right w:val="single" w:sz="8" w:space="0" w:color="auto"/>
            </w:tcBorders>
            <w:vAlign w:val="center"/>
            <w:hideMark/>
          </w:tcPr>
          <w:p w:rsidR="00BE1EFE" w:rsidRPr="005C77DA" w:rsidRDefault="00BE1EFE" w:rsidP="00876902">
            <w:pPr>
              <w:jc w:val="center"/>
              <w:rPr>
                <w:szCs w:val="16"/>
              </w:rPr>
            </w:pPr>
            <w:r w:rsidRPr="005C77DA">
              <w:rPr>
                <w:szCs w:val="16"/>
              </w:rPr>
              <w:t>14</w:t>
            </w:r>
          </w:p>
        </w:tc>
        <w:tc>
          <w:tcPr>
            <w:tcW w:w="1166"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II a</w:t>
            </w:r>
          </w:p>
        </w:tc>
        <w:tc>
          <w:tcPr>
            <w:tcW w:w="941" w:type="dxa"/>
            <w:tcBorders>
              <w:top w:val="nil"/>
              <w:left w:val="nil"/>
              <w:bottom w:val="single" w:sz="8" w:space="0" w:color="auto"/>
              <w:right w:val="single" w:sz="8" w:space="0" w:color="auto"/>
            </w:tcBorders>
            <w:vAlign w:val="center"/>
            <w:hideMark/>
          </w:tcPr>
          <w:p w:rsidR="005C77DA" w:rsidRDefault="005C77DA" w:rsidP="00876902">
            <w:pPr>
              <w:pStyle w:val="StandardWeb"/>
              <w:jc w:val="center"/>
              <w:rPr>
                <w:rFonts w:cs="Arial"/>
                <w:szCs w:val="16"/>
              </w:rPr>
            </w:pPr>
            <w:r>
              <w:rPr>
                <w:rFonts w:cs="Arial"/>
                <w:szCs w:val="16"/>
              </w:rPr>
              <w:t>I b nach</w:t>
            </w:r>
          </w:p>
          <w:p w:rsidR="00BE1EFE" w:rsidRPr="00CC06D0" w:rsidRDefault="00BE1EFE" w:rsidP="00876902">
            <w:pPr>
              <w:pStyle w:val="StandardWeb"/>
              <w:jc w:val="center"/>
              <w:rPr>
                <w:szCs w:val="16"/>
              </w:rPr>
            </w:pPr>
            <w:r w:rsidRPr="00CC06D0">
              <w:rPr>
                <w:rFonts w:cs="Arial"/>
                <w:szCs w:val="16"/>
              </w:rPr>
              <w:t>5 u. 6 Jahren</w:t>
            </w:r>
          </w:p>
        </w:tc>
        <w:tc>
          <w:tcPr>
            <w:tcW w:w="85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OZ 1</w:t>
            </w:r>
          </w:p>
        </w:tc>
        <w:tc>
          <w:tcPr>
            <w:tcW w:w="902"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31</w:t>
            </w:r>
          </w:p>
        </w:tc>
        <w:tc>
          <w:tcPr>
            <w:tcW w:w="868"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100 €</w:t>
            </w:r>
          </w:p>
        </w:tc>
        <w:tc>
          <w:tcPr>
            <w:tcW w:w="981" w:type="dxa"/>
            <w:tcBorders>
              <w:top w:val="nil"/>
              <w:left w:val="nil"/>
              <w:bottom w:val="single" w:sz="8" w:space="0" w:color="auto"/>
              <w:right w:val="single" w:sz="8" w:space="0" w:color="auto"/>
            </w:tcBorders>
            <w:vAlign w:val="center"/>
            <w:hideMark/>
          </w:tcPr>
          <w:p w:rsidR="00BE1EFE" w:rsidRPr="00CC06D0" w:rsidRDefault="00BE1EFE" w:rsidP="00876902">
            <w:pPr>
              <w:pStyle w:val="StandardWeb"/>
              <w:jc w:val="center"/>
              <w:rPr>
                <w:szCs w:val="16"/>
              </w:rPr>
            </w:pPr>
            <w:r w:rsidRPr="00CC06D0">
              <w:rPr>
                <w:rFonts w:cs="Arial"/>
                <w:szCs w:val="16"/>
              </w:rPr>
              <w:t>für 3 Jahre</w:t>
            </w:r>
          </w:p>
        </w:tc>
      </w:tr>
      <w:tr w:rsidR="005C77DA"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5C77DA" w:rsidRPr="00CC06D0" w:rsidRDefault="005C77DA" w:rsidP="005C77DA">
            <w:pPr>
              <w:jc w:val="center"/>
              <w:rPr>
                <w:b/>
                <w:szCs w:val="16"/>
              </w:rPr>
            </w:pPr>
          </w:p>
        </w:tc>
        <w:tc>
          <w:tcPr>
            <w:tcW w:w="1166" w:type="dxa"/>
            <w:tcBorders>
              <w:top w:val="nil"/>
              <w:left w:val="nil"/>
              <w:bottom w:val="single" w:sz="8" w:space="0" w:color="auto"/>
              <w:right w:val="single" w:sz="8" w:space="0" w:color="auto"/>
            </w:tcBorders>
            <w:vAlign w:val="center"/>
          </w:tcPr>
          <w:p w:rsidR="005C77DA" w:rsidRPr="00CC06D0" w:rsidRDefault="005C77DA" w:rsidP="005C77DA">
            <w:pPr>
              <w:pStyle w:val="StandardWeb"/>
              <w:jc w:val="center"/>
              <w:rPr>
                <w:rFonts w:cs="Arial"/>
                <w:szCs w:val="16"/>
              </w:rPr>
            </w:pPr>
            <w:r w:rsidRPr="00CC06D0">
              <w:rPr>
                <w:rFonts w:cs="Arial"/>
                <w:szCs w:val="16"/>
              </w:rPr>
              <w:t>II a</w:t>
            </w:r>
          </w:p>
        </w:tc>
        <w:tc>
          <w:tcPr>
            <w:tcW w:w="941" w:type="dxa"/>
            <w:tcBorders>
              <w:top w:val="nil"/>
              <w:left w:val="nil"/>
              <w:bottom w:val="single" w:sz="8" w:space="0" w:color="auto"/>
              <w:right w:val="single" w:sz="8" w:space="0" w:color="auto"/>
            </w:tcBorders>
            <w:vAlign w:val="center"/>
          </w:tcPr>
          <w:p w:rsidR="005C77DA" w:rsidRDefault="005C77DA" w:rsidP="005C77DA">
            <w:pPr>
              <w:pStyle w:val="StandardWeb"/>
              <w:jc w:val="center"/>
              <w:rPr>
                <w:rFonts w:cs="Arial"/>
                <w:szCs w:val="16"/>
              </w:rPr>
            </w:pPr>
            <w:r>
              <w:rPr>
                <w:rFonts w:cs="Arial"/>
                <w:szCs w:val="16"/>
              </w:rPr>
              <w:t>I b nach</w:t>
            </w:r>
          </w:p>
          <w:p w:rsidR="005C77DA" w:rsidRDefault="005C77DA" w:rsidP="005C77DA">
            <w:pPr>
              <w:pStyle w:val="StandardWeb"/>
              <w:jc w:val="center"/>
              <w:rPr>
                <w:rFonts w:cs="Arial"/>
                <w:szCs w:val="16"/>
              </w:rPr>
            </w:pPr>
            <w:r w:rsidRPr="00CC06D0">
              <w:rPr>
                <w:rFonts w:cs="Arial"/>
                <w:szCs w:val="16"/>
              </w:rPr>
              <w:t>5 u. 6 Jahren</w:t>
            </w:r>
          </w:p>
        </w:tc>
        <w:tc>
          <w:tcPr>
            <w:tcW w:w="851" w:type="dxa"/>
            <w:tcBorders>
              <w:top w:val="nil"/>
              <w:left w:val="nil"/>
              <w:bottom w:val="single" w:sz="8" w:space="0" w:color="auto"/>
              <w:right w:val="single" w:sz="8" w:space="0" w:color="auto"/>
            </w:tcBorders>
            <w:vAlign w:val="center"/>
          </w:tcPr>
          <w:p w:rsidR="005C77DA" w:rsidRPr="00CC06D0" w:rsidRDefault="005C77DA" w:rsidP="005C77DA">
            <w:pPr>
              <w:pStyle w:val="StandardWeb"/>
              <w:jc w:val="center"/>
              <w:rPr>
                <w:rFonts w:cs="Arial"/>
                <w:szCs w:val="16"/>
              </w:rPr>
            </w:pPr>
            <w:r w:rsidRPr="00CC06D0">
              <w:rPr>
                <w:rFonts w:cs="Arial"/>
                <w:szCs w:val="16"/>
              </w:rPr>
              <w:t>OZ 1</w:t>
            </w:r>
          </w:p>
        </w:tc>
        <w:tc>
          <w:tcPr>
            <w:tcW w:w="902" w:type="dxa"/>
            <w:tcBorders>
              <w:top w:val="nil"/>
              <w:left w:val="nil"/>
              <w:bottom w:val="single" w:sz="8" w:space="0" w:color="auto"/>
              <w:right w:val="single" w:sz="8" w:space="0" w:color="auto"/>
            </w:tcBorders>
            <w:vAlign w:val="center"/>
          </w:tcPr>
          <w:p w:rsidR="005C77DA" w:rsidRPr="00CC06D0" w:rsidRDefault="005C77DA" w:rsidP="005C77DA">
            <w:pPr>
              <w:pStyle w:val="StandardWeb"/>
              <w:jc w:val="center"/>
              <w:rPr>
                <w:rFonts w:cs="Arial"/>
                <w:szCs w:val="16"/>
              </w:rPr>
            </w:pPr>
            <w:r w:rsidRPr="00CC06D0">
              <w:rPr>
                <w:rFonts w:cs="Arial"/>
                <w:szCs w:val="16"/>
              </w:rPr>
              <w:t>35</w:t>
            </w:r>
          </w:p>
        </w:tc>
        <w:tc>
          <w:tcPr>
            <w:tcW w:w="868" w:type="dxa"/>
            <w:tcBorders>
              <w:top w:val="nil"/>
              <w:left w:val="nil"/>
              <w:bottom w:val="single" w:sz="8" w:space="0" w:color="auto"/>
              <w:right w:val="single" w:sz="8" w:space="0" w:color="auto"/>
            </w:tcBorders>
            <w:vAlign w:val="center"/>
          </w:tcPr>
          <w:p w:rsidR="005C77DA" w:rsidRPr="00CC06D0" w:rsidRDefault="005C77DA" w:rsidP="005C77DA">
            <w:pPr>
              <w:pStyle w:val="StandardWeb"/>
              <w:jc w:val="center"/>
              <w:rPr>
                <w:rFonts w:cs="Arial"/>
                <w:szCs w:val="16"/>
              </w:rPr>
            </w:pPr>
            <w:r w:rsidRPr="00CC06D0">
              <w:rPr>
                <w:rFonts w:cs="Arial"/>
                <w:szCs w:val="16"/>
              </w:rPr>
              <w:t>100 €</w:t>
            </w:r>
          </w:p>
        </w:tc>
        <w:tc>
          <w:tcPr>
            <w:tcW w:w="981" w:type="dxa"/>
            <w:tcBorders>
              <w:top w:val="nil"/>
              <w:left w:val="nil"/>
              <w:bottom w:val="single" w:sz="8" w:space="0" w:color="auto"/>
              <w:right w:val="single" w:sz="8" w:space="0" w:color="auto"/>
            </w:tcBorders>
            <w:vAlign w:val="center"/>
          </w:tcPr>
          <w:p w:rsidR="005C77DA" w:rsidRPr="00CC06D0" w:rsidRDefault="005C77DA" w:rsidP="005C77DA">
            <w:pPr>
              <w:pStyle w:val="StandardWeb"/>
              <w:jc w:val="center"/>
              <w:rPr>
                <w:rFonts w:cs="Arial"/>
                <w:szCs w:val="16"/>
              </w:rPr>
            </w:pPr>
            <w:r w:rsidRPr="00CC06D0">
              <w:rPr>
                <w:rFonts w:cs="Arial"/>
                <w:szCs w:val="16"/>
              </w:rPr>
              <w:t>für 4 Jahre</w:t>
            </w:r>
          </w:p>
        </w:tc>
      </w:tr>
      <w:tr w:rsidR="005C77DA"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5C77DA" w:rsidRPr="00211D20" w:rsidRDefault="005C77DA" w:rsidP="005C77DA">
            <w:pPr>
              <w:jc w:val="center"/>
            </w:pPr>
            <w:r w:rsidRPr="00211D20">
              <w:t>14</w:t>
            </w:r>
          </w:p>
        </w:tc>
        <w:tc>
          <w:tcPr>
            <w:tcW w:w="1166" w:type="dxa"/>
            <w:tcBorders>
              <w:top w:val="nil"/>
              <w:left w:val="nil"/>
              <w:bottom w:val="single" w:sz="8" w:space="0" w:color="auto"/>
              <w:right w:val="single" w:sz="8" w:space="0" w:color="auto"/>
            </w:tcBorders>
            <w:vAlign w:val="center"/>
          </w:tcPr>
          <w:p w:rsidR="005C77DA" w:rsidRPr="00211D20" w:rsidRDefault="005C77DA" w:rsidP="005C77DA">
            <w:pPr>
              <w:jc w:val="center"/>
            </w:pPr>
            <w:r w:rsidRPr="00211D20">
              <w:t>II a</w:t>
            </w:r>
          </w:p>
        </w:tc>
        <w:tc>
          <w:tcPr>
            <w:tcW w:w="941" w:type="dxa"/>
            <w:tcBorders>
              <w:top w:val="nil"/>
              <w:left w:val="nil"/>
              <w:bottom w:val="single" w:sz="8" w:space="0" w:color="auto"/>
              <w:right w:val="single" w:sz="8" w:space="0" w:color="auto"/>
            </w:tcBorders>
            <w:vAlign w:val="center"/>
          </w:tcPr>
          <w:p w:rsidR="005C77DA" w:rsidRDefault="005C77DA" w:rsidP="005C77DA">
            <w:pPr>
              <w:jc w:val="center"/>
            </w:pPr>
            <w:r w:rsidRPr="00211D20">
              <w:t>I b nach</w:t>
            </w:r>
          </w:p>
          <w:p w:rsidR="005C77DA" w:rsidRPr="00211D20" w:rsidRDefault="005C77DA" w:rsidP="005C77DA">
            <w:pPr>
              <w:jc w:val="center"/>
            </w:pPr>
            <w:r>
              <w:t>5 u. 6 Jahren</w:t>
            </w:r>
          </w:p>
        </w:tc>
        <w:tc>
          <w:tcPr>
            <w:tcW w:w="851" w:type="dxa"/>
            <w:tcBorders>
              <w:top w:val="nil"/>
              <w:left w:val="nil"/>
              <w:bottom w:val="single" w:sz="8" w:space="0" w:color="auto"/>
              <w:right w:val="single" w:sz="8" w:space="0" w:color="auto"/>
            </w:tcBorders>
            <w:vAlign w:val="center"/>
          </w:tcPr>
          <w:p w:rsidR="005C77DA" w:rsidRPr="00211D20" w:rsidRDefault="005C77DA" w:rsidP="005C77DA">
            <w:pPr>
              <w:jc w:val="center"/>
            </w:pPr>
            <w:r>
              <w:t>OZ 1</w:t>
            </w:r>
          </w:p>
        </w:tc>
        <w:tc>
          <w:tcPr>
            <w:tcW w:w="902" w:type="dxa"/>
            <w:tcBorders>
              <w:top w:val="nil"/>
              <w:left w:val="nil"/>
              <w:bottom w:val="single" w:sz="8" w:space="0" w:color="auto"/>
              <w:right w:val="single" w:sz="8" w:space="0" w:color="auto"/>
            </w:tcBorders>
            <w:vAlign w:val="center"/>
          </w:tcPr>
          <w:p w:rsidR="005C77DA" w:rsidRPr="00211D20" w:rsidRDefault="005C77DA" w:rsidP="005C77DA">
            <w:pPr>
              <w:jc w:val="center"/>
            </w:pPr>
            <w:r>
              <w:t>41</w:t>
            </w:r>
          </w:p>
        </w:tc>
        <w:tc>
          <w:tcPr>
            <w:tcW w:w="868" w:type="dxa"/>
            <w:tcBorders>
              <w:top w:val="nil"/>
              <w:left w:val="nil"/>
              <w:bottom w:val="single" w:sz="8" w:space="0" w:color="auto"/>
              <w:right w:val="single" w:sz="8" w:space="0" w:color="auto"/>
            </w:tcBorders>
            <w:vAlign w:val="center"/>
          </w:tcPr>
          <w:p w:rsidR="005C77DA" w:rsidRPr="00211D20" w:rsidRDefault="005C77DA" w:rsidP="005C77DA">
            <w:pPr>
              <w:jc w:val="center"/>
            </w:pPr>
            <w:r>
              <w:t>80</w:t>
            </w:r>
          </w:p>
        </w:tc>
        <w:tc>
          <w:tcPr>
            <w:tcW w:w="981" w:type="dxa"/>
            <w:tcBorders>
              <w:top w:val="nil"/>
              <w:left w:val="nil"/>
              <w:bottom w:val="single" w:sz="8" w:space="0" w:color="auto"/>
              <w:right w:val="single" w:sz="8" w:space="0" w:color="auto"/>
            </w:tcBorders>
            <w:vAlign w:val="center"/>
          </w:tcPr>
          <w:p w:rsidR="005C77DA" w:rsidRPr="00CC06D0" w:rsidRDefault="005C77DA" w:rsidP="005C77DA">
            <w:pPr>
              <w:pStyle w:val="StandardWeb"/>
              <w:jc w:val="center"/>
              <w:rPr>
                <w:rFonts w:cs="Arial"/>
                <w:szCs w:val="16"/>
              </w:rPr>
            </w:pPr>
            <w:r w:rsidRPr="00CC06D0">
              <w:rPr>
                <w:rFonts w:cs="Arial"/>
                <w:szCs w:val="16"/>
              </w:rPr>
              <w:t xml:space="preserve">nach </w:t>
            </w:r>
          </w:p>
          <w:p w:rsidR="005C77DA" w:rsidRPr="00211D20" w:rsidRDefault="005C77DA" w:rsidP="005C77DA">
            <w:pPr>
              <w:jc w:val="center"/>
            </w:pPr>
            <w:r w:rsidRPr="00CC06D0">
              <w:rPr>
                <w:rFonts w:cs="Arial"/>
                <w:szCs w:val="16"/>
              </w:rPr>
              <w:t>4 Jahren dauerhaft</w:t>
            </w:r>
          </w:p>
        </w:tc>
      </w:tr>
      <w:tr w:rsidR="005C77DA"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5C77DA" w:rsidRPr="00211D20" w:rsidRDefault="005C77DA" w:rsidP="005C77DA">
            <w:pPr>
              <w:jc w:val="center"/>
            </w:pPr>
          </w:p>
        </w:tc>
        <w:tc>
          <w:tcPr>
            <w:tcW w:w="1166" w:type="dxa"/>
            <w:tcBorders>
              <w:top w:val="nil"/>
              <w:left w:val="nil"/>
              <w:bottom w:val="single" w:sz="8" w:space="0" w:color="auto"/>
              <w:right w:val="single" w:sz="8" w:space="0" w:color="auto"/>
            </w:tcBorders>
            <w:vAlign w:val="center"/>
          </w:tcPr>
          <w:p w:rsidR="005C77DA" w:rsidRPr="00211D20" w:rsidRDefault="005C77DA" w:rsidP="005C77DA">
            <w:pPr>
              <w:jc w:val="center"/>
            </w:pPr>
            <w:r w:rsidRPr="00211D20">
              <w:t>II a</w:t>
            </w:r>
          </w:p>
        </w:tc>
        <w:tc>
          <w:tcPr>
            <w:tcW w:w="941" w:type="dxa"/>
            <w:tcBorders>
              <w:top w:val="nil"/>
              <w:left w:val="nil"/>
              <w:bottom w:val="single" w:sz="8" w:space="0" w:color="auto"/>
              <w:right w:val="single" w:sz="8" w:space="0" w:color="auto"/>
            </w:tcBorders>
            <w:vAlign w:val="center"/>
          </w:tcPr>
          <w:p w:rsidR="005C77DA" w:rsidRDefault="005C77DA" w:rsidP="005C77DA">
            <w:pPr>
              <w:jc w:val="center"/>
            </w:pPr>
            <w:r w:rsidRPr="00211D20">
              <w:t>I b nach</w:t>
            </w:r>
          </w:p>
          <w:p w:rsidR="005C77DA" w:rsidRPr="00211D20" w:rsidRDefault="005C77DA" w:rsidP="005C77DA">
            <w:pPr>
              <w:jc w:val="center"/>
            </w:pPr>
            <w:r>
              <w:t>5 u. 6 Jahren</w:t>
            </w:r>
          </w:p>
        </w:tc>
        <w:tc>
          <w:tcPr>
            <w:tcW w:w="851" w:type="dxa"/>
            <w:tcBorders>
              <w:top w:val="nil"/>
              <w:left w:val="nil"/>
              <w:bottom w:val="single" w:sz="8" w:space="0" w:color="auto"/>
              <w:right w:val="single" w:sz="8" w:space="0" w:color="auto"/>
            </w:tcBorders>
            <w:vAlign w:val="center"/>
          </w:tcPr>
          <w:p w:rsidR="005C77DA" w:rsidRPr="00211D20" w:rsidRDefault="005C77DA" w:rsidP="005C77DA">
            <w:pPr>
              <w:jc w:val="center"/>
            </w:pPr>
            <w:r>
              <w:t>OZ 1</w:t>
            </w:r>
          </w:p>
        </w:tc>
        <w:tc>
          <w:tcPr>
            <w:tcW w:w="902" w:type="dxa"/>
            <w:tcBorders>
              <w:top w:val="nil"/>
              <w:left w:val="nil"/>
              <w:bottom w:val="single" w:sz="8" w:space="0" w:color="auto"/>
              <w:right w:val="single" w:sz="8" w:space="0" w:color="auto"/>
            </w:tcBorders>
            <w:vAlign w:val="center"/>
          </w:tcPr>
          <w:p w:rsidR="005C77DA" w:rsidRPr="00211D20" w:rsidRDefault="005C77DA" w:rsidP="005C77DA">
            <w:pPr>
              <w:jc w:val="center"/>
            </w:pPr>
            <w:r>
              <w:t>43</w:t>
            </w:r>
          </w:p>
        </w:tc>
        <w:tc>
          <w:tcPr>
            <w:tcW w:w="868" w:type="dxa"/>
            <w:tcBorders>
              <w:top w:val="nil"/>
              <w:left w:val="nil"/>
              <w:bottom w:val="single" w:sz="8" w:space="0" w:color="auto"/>
              <w:right w:val="single" w:sz="8" w:space="0" w:color="auto"/>
            </w:tcBorders>
            <w:vAlign w:val="center"/>
          </w:tcPr>
          <w:p w:rsidR="005C77DA" w:rsidRPr="00211D20" w:rsidRDefault="005C77DA" w:rsidP="005C77DA">
            <w:pPr>
              <w:jc w:val="center"/>
            </w:pPr>
            <w:r>
              <w:t>80</w:t>
            </w:r>
          </w:p>
        </w:tc>
        <w:tc>
          <w:tcPr>
            <w:tcW w:w="981" w:type="dxa"/>
            <w:tcBorders>
              <w:top w:val="nil"/>
              <w:left w:val="nil"/>
              <w:bottom w:val="single" w:sz="8" w:space="0" w:color="auto"/>
              <w:right w:val="single" w:sz="8" w:space="0" w:color="auto"/>
            </w:tcBorders>
            <w:vAlign w:val="center"/>
          </w:tcPr>
          <w:p w:rsidR="005C77DA" w:rsidRPr="00211D20" w:rsidRDefault="005C77DA" w:rsidP="005C77DA">
            <w:pPr>
              <w:jc w:val="center"/>
            </w:pPr>
            <w:r w:rsidRPr="00CC06D0">
              <w:rPr>
                <w:rFonts w:cs="Arial"/>
                <w:szCs w:val="16"/>
              </w:rPr>
              <w:t>dauerhaft</w:t>
            </w:r>
          </w:p>
        </w:tc>
      </w:tr>
      <w:tr w:rsidR="005C77DA"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5C77DA" w:rsidRPr="003C4707" w:rsidRDefault="005C77DA" w:rsidP="005C77DA">
            <w:pPr>
              <w:jc w:val="center"/>
            </w:pPr>
          </w:p>
        </w:tc>
        <w:tc>
          <w:tcPr>
            <w:tcW w:w="1166" w:type="dxa"/>
            <w:tcBorders>
              <w:top w:val="nil"/>
              <w:left w:val="nil"/>
              <w:bottom w:val="single" w:sz="8" w:space="0" w:color="auto"/>
              <w:right w:val="single" w:sz="8" w:space="0" w:color="auto"/>
            </w:tcBorders>
            <w:vAlign w:val="center"/>
          </w:tcPr>
          <w:p w:rsidR="005C77DA" w:rsidRPr="003C4707" w:rsidRDefault="005C77DA" w:rsidP="005C77DA">
            <w:pPr>
              <w:jc w:val="center"/>
            </w:pPr>
            <w:r w:rsidRPr="003C4707">
              <w:t>II a</w:t>
            </w:r>
          </w:p>
        </w:tc>
        <w:tc>
          <w:tcPr>
            <w:tcW w:w="941" w:type="dxa"/>
            <w:tcBorders>
              <w:top w:val="nil"/>
              <w:left w:val="nil"/>
              <w:bottom w:val="single" w:sz="8" w:space="0" w:color="auto"/>
              <w:right w:val="single" w:sz="8" w:space="0" w:color="auto"/>
            </w:tcBorders>
            <w:vAlign w:val="center"/>
          </w:tcPr>
          <w:p w:rsidR="005C77DA" w:rsidRDefault="005C77DA" w:rsidP="005C77DA">
            <w:pPr>
              <w:jc w:val="center"/>
            </w:pPr>
            <w:r>
              <w:t>I b nach</w:t>
            </w:r>
          </w:p>
          <w:p w:rsidR="005C77DA" w:rsidRPr="003C4707" w:rsidRDefault="005C77DA" w:rsidP="005C77DA">
            <w:pPr>
              <w:jc w:val="center"/>
            </w:pPr>
            <w:r w:rsidRPr="003C4707">
              <w:t>5 u. 6 Jahren</w:t>
            </w:r>
          </w:p>
        </w:tc>
        <w:tc>
          <w:tcPr>
            <w:tcW w:w="851" w:type="dxa"/>
            <w:tcBorders>
              <w:top w:val="nil"/>
              <w:left w:val="nil"/>
              <w:bottom w:val="single" w:sz="8" w:space="0" w:color="auto"/>
              <w:right w:val="single" w:sz="8" w:space="0" w:color="auto"/>
            </w:tcBorders>
            <w:vAlign w:val="center"/>
          </w:tcPr>
          <w:p w:rsidR="005C77DA" w:rsidRPr="003C4707" w:rsidRDefault="005C77DA" w:rsidP="005C77DA">
            <w:pPr>
              <w:jc w:val="center"/>
            </w:pPr>
            <w:r w:rsidRPr="003C4707">
              <w:t>OZ 1</w:t>
            </w:r>
          </w:p>
        </w:tc>
        <w:tc>
          <w:tcPr>
            <w:tcW w:w="902" w:type="dxa"/>
            <w:tcBorders>
              <w:top w:val="nil"/>
              <w:left w:val="nil"/>
              <w:bottom w:val="single" w:sz="8" w:space="0" w:color="auto"/>
              <w:right w:val="single" w:sz="8" w:space="0" w:color="auto"/>
            </w:tcBorders>
            <w:vAlign w:val="center"/>
          </w:tcPr>
          <w:p w:rsidR="005C77DA" w:rsidRPr="003C4707" w:rsidRDefault="005C77DA" w:rsidP="005C77DA">
            <w:pPr>
              <w:jc w:val="center"/>
            </w:pPr>
            <w:r w:rsidRPr="003C4707">
              <w:t>45</w:t>
            </w:r>
          </w:p>
        </w:tc>
        <w:tc>
          <w:tcPr>
            <w:tcW w:w="868" w:type="dxa"/>
            <w:tcBorders>
              <w:top w:val="nil"/>
              <w:left w:val="nil"/>
              <w:bottom w:val="single" w:sz="8" w:space="0" w:color="auto"/>
              <w:right w:val="single" w:sz="8" w:space="0" w:color="auto"/>
            </w:tcBorders>
            <w:vAlign w:val="center"/>
          </w:tcPr>
          <w:p w:rsidR="005C77DA" w:rsidRPr="003C4707" w:rsidRDefault="005C77DA" w:rsidP="005C77DA">
            <w:pPr>
              <w:jc w:val="center"/>
            </w:pPr>
            <w:r w:rsidRPr="003C4707">
              <w:t>60 €</w:t>
            </w:r>
          </w:p>
        </w:tc>
        <w:tc>
          <w:tcPr>
            <w:tcW w:w="981" w:type="dxa"/>
            <w:tcBorders>
              <w:top w:val="nil"/>
              <w:left w:val="nil"/>
              <w:bottom w:val="single" w:sz="8" w:space="0" w:color="auto"/>
              <w:right w:val="single" w:sz="8" w:space="0" w:color="auto"/>
            </w:tcBorders>
            <w:vAlign w:val="center"/>
          </w:tcPr>
          <w:p w:rsidR="005C77DA" w:rsidRPr="003C4707" w:rsidRDefault="005C77DA" w:rsidP="005C77DA">
            <w:pPr>
              <w:jc w:val="center"/>
            </w:pPr>
            <w:r w:rsidRPr="003C4707">
              <w:t>dauerhaft</w:t>
            </w:r>
          </w:p>
        </w:tc>
      </w:tr>
      <w:tr w:rsidR="005C77DA"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5C77DA" w:rsidRPr="003C4707" w:rsidRDefault="005C77DA" w:rsidP="005C77DA">
            <w:pPr>
              <w:jc w:val="center"/>
            </w:pPr>
            <w:r w:rsidRPr="003C4707">
              <w:t>14</w:t>
            </w:r>
          </w:p>
        </w:tc>
        <w:tc>
          <w:tcPr>
            <w:tcW w:w="1166" w:type="dxa"/>
            <w:tcBorders>
              <w:top w:val="nil"/>
              <w:left w:val="nil"/>
              <w:bottom w:val="single" w:sz="8" w:space="0" w:color="auto"/>
              <w:right w:val="single" w:sz="8" w:space="0" w:color="auto"/>
            </w:tcBorders>
            <w:vAlign w:val="center"/>
          </w:tcPr>
          <w:p w:rsidR="005C77DA" w:rsidRPr="003C4707" w:rsidRDefault="005C77DA" w:rsidP="005C77DA">
            <w:pPr>
              <w:jc w:val="center"/>
            </w:pPr>
            <w:r w:rsidRPr="003C4707">
              <w:t>II a</w:t>
            </w:r>
          </w:p>
        </w:tc>
        <w:tc>
          <w:tcPr>
            <w:tcW w:w="941" w:type="dxa"/>
            <w:tcBorders>
              <w:top w:val="nil"/>
              <w:left w:val="nil"/>
              <w:bottom w:val="single" w:sz="8" w:space="0" w:color="auto"/>
              <w:right w:val="single" w:sz="8" w:space="0" w:color="auto"/>
            </w:tcBorders>
            <w:vAlign w:val="center"/>
          </w:tcPr>
          <w:p w:rsidR="005C77DA" w:rsidRDefault="005C77DA" w:rsidP="005C77DA">
            <w:pPr>
              <w:jc w:val="center"/>
            </w:pPr>
            <w:r>
              <w:t>I b nach</w:t>
            </w:r>
          </w:p>
          <w:p w:rsidR="005C77DA" w:rsidRPr="003C4707" w:rsidRDefault="005C77DA" w:rsidP="005C77DA">
            <w:pPr>
              <w:jc w:val="center"/>
            </w:pPr>
            <w:r w:rsidRPr="003C4707">
              <w:t>5 u. 6 Jahren</w:t>
            </w:r>
          </w:p>
        </w:tc>
        <w:tc>
          <w:tcPr>
            <w:tcW w:w="851" w:type="dxa"/>
            <w:tcBorders>
              <w:top w:val="nil"/>
              <w:left w:val="nil"/>
              <w:bottom w:val="single" w:sz="8" w:space="0" w:color="auto"/>
              <w:right w:val="single" w:sz="8" w:space="0" w:color="auto"/>
            </w:tcBorders>
            <w:vAlign w:val="center"/>
          </w:tcPr>
          <w:p w:rsidR="005C77DA" w:rsidRPr="003C4707" w:rsidRDefault="005C77DA" w:rsidP="005C77DA">
            <w:pPr>
              <w:jc w:val="center"/>
            </w:pPr>
            <w:r>
              <w:t>OZ 2</w:t>
            </w:r>
          </w:p>
        </w:tc>
        <w:tc>
          <w:tcPr>
            <w:tcW w:w="902" w:type="dxa"/>
            <w:tcBorders>
              <w:top w:val="nil"/>
              <w:left w:val="nil"/>
              <w:bottom w:val="single" w:sz="8" w:space="0" w:color="auto"/>
              <w:right w:val="single" w:sz="8" w:space="0" w:color="auto"/>
            </w:tcBorders>
            <w:vAlign w:val="center"/>
          </w:tcPr>
          <w:p w:rsidR="005C77DA" w:rsidRPr="003C4707" w:rsidRDefault="005C77DA" w:rsidP="005C77DA">
            <w:pPr>
              <w:jc w:val="center"/>
            </w:pPr>
            <w:r>
              <w:t>31</w:t>
            </w:r>
          </w:p>
        </w:tc>
        <w:tc>
          <w:tcPr>
            <w:tcW w:w="868" w:type="dxa"/>
            <w:tcBorders>
              <w:top w:val="nil"/>
              <w:left w:val="nil"/>
              <w:bottom w:val="single" w:sz="8" w:space="0" w:color="auto"/>
              <w:right w:val="single" w:sz="8" w:space="0" w:color="auto"/>
            </w:tcBorders>
            <w:vAlign w:val="center"/>
          </w:tcPr>
          <w:p w:rsidR="005C77DA" w:rsidRPr="003C4707" w:rsidRDefault="005C77DA" w:rsidP="005C77DA">
            <w:pPr>
              <w:jc w:val="center"/>
            </w:pPr>
            <w:r>
              <w:t>110 €</w:t>
            </w:r>
          </w:p>
        </w:tc>
        <w:tc>
          <w:tcPr>
            <w:tcW w:w="981" w:type="dxa"/>
            <w:tcBorders>
              <w:top w:val="nil"/>
              <w:left w:val="nil"/>
              <w:bottom w:val="single" w:sz="8" w:space="0" w:color="auto"/>
              <w:right w:val="single" w:sz="8" w:space="0" w:color="auto"/>
            </w:tcBorders>
            <w:vAlign w:val="center"/>
          </w:tcPr>
          <w:p w:rsidR="005C77DA" w:rsidRPr="003C4707" w:rsidRDefault="005C77DA" w:rsidP="005C77DA">
            <w:pPr>
              <w:jc w:val="center"/>
            </w:pPr>
            <w:r>
              <w:t>für 7 Jahre</w:t>
            </w:r>
          </w:p>
        </w:tc>
      </w:tr>
      <w:tr w:rsidR="005C77DA"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5C77DA" w:rsidRPr="003C4707" w:rsidRDefault="005C77DA" w:rsidP="005C77DA">
            <w:pPr>
              <w:jc w:val="center"/>
            </w:pPr>
          </w:p>
        </w:tc>
        <w:tc>
          <w:tcPr>
            <w:tcW w:w="1166" w:type="dxa"/>
            <w:tcBorders>
              <w:top w:val="nil"/>
              <w:left w:val="nil"/>
              <w:bottom w:val="single" w:sz="8" w:space="0" w:color="auto"/>
              <w:right w:val="single" w:sz="8" w:space="0" w:color="auto"/>
            </w:tcBorders>
            <w:vAlign w:val="center"/>
          </w:tcPr>
          <w:p w:rsidR="005C77DA" w:rsidRPr="003C4707" w:rsidRDefault="005C77DA" w:rsidP="005C77DA">
            <w:pPr>
              <w:jc w:val="center"/>
            </w:pPr>
            <w:r w:rsidRPr="003C4707">
              <w:t>II a</w:t>
            </w:r>
          </w:p>
        </w:tc>
        <w:tc>
          <w:tcPr>
            <w:tcW w:w="941" w:type="dxa"/>
            <w:tcBorders>
              <w:top w:val="nil"/>
              <w:left w:val="nil"/>
              <w:bottom w:val="single" w:sz="8" w:space="0" w:color="auto"/>
              <w:right w:val="single" w:sz="8" w:space="0" w:color="auto"/>
            </w:tcBorders>
            <w:vAlign w:val="center"/>
          </w:tcPr>
          <w:p w:rsidR="005C77DA" w:rsidRDefault="005C77DA" w:rsidP="005C77DA">
            <w:pPr>
              <w:jc w:val="center"/>
            </w:pPr>
            <w:r>
              <w:t>I b nach</w:t>
            </w:r>
          </w:p>
          <w:p w:rsidR="005C77DA" w:rsidRPr="003C4707" w:rsidRDefault="005C77DA" w:rsidP="005C77DA">
            <w:pPr>
              <w:jc w:val="center"/>
            </w:pPr>
            <w:r w:rsidRPr="003C4707">
              <w:t>5 u. 6 Jahren</w:t>
            </w:r>
          </w:p>
        </w:tc>
        <w:tc>
          <w:tcPr>
            <w:tcW w:w="851" w:type="dxa"/>
            <w:tcBorders>
              <w:top w:val="nil"/>
              <w:left w:val="nil"/>
              <w:bottom w:val="single" w:sz="8" w:space="0" w:color="auto"/>
              <w:right w:val="single" w:sz="8" w:space="0" w:color="auto"/>
            </w:tcBorders>
            <w:vAlign w:val="center"/>
          </w:tcPr>
          <w:p w:rsidR="005C77DA" w:rsidRPr="003C4707" w:rsidRDefault="005C77DA" w:rsidP="005C77DA">
            <w:pPr>
              <w:jc w:val="center"/>
            </w:pPr>
            <w:r>
              <w:t>OZ 2</w:t>
            </w:r>
          </w:p>
        </w:tc>
        <w:tc>
          <w:tcPr>
            <w:tcW w:w="902" w:type="dxa"/>
            <w:tcBorders>
              <w:top w:val="nil"/>
              <w:left w:val="nil"/>
              <w:bottom w:val="single" w:sz="8" w:space="0" w:color="auto"/>
              <w:right w:val="single" w:sz="8" w:space="0" w:color="auto"/>
            </w:tcBorders>
            <w:vAlign w:val="center"/>
          </w:tcPr>
          <w:p w:rsidR="005C77DA" w:rsidRPr="003C4707" w:rsidRDefault="005C77DA" w:rsidP="005C77DA">
            <w:pPr>
              <w:jc w:val="center"/>
            </w:pPr>
            <w:r>
              <w:t>33</w:t>
            </w:r>
          </w:p>
        </w:tc>
        <w:tc>
          <w:tcPr>
            <w:tcW w:w="868" w:type="dxa"/>
            <w:tcBorders>
              <w:top w:val="nil"/>
              <w:left w:val="nil"/>
              <w:bottom w:val="single" w:sz="8" w:space="0" w:color="auto"/>
              <w:right w:val="single" w:sz="8" w:space="0" w:color="auto"/>
            </w:tcBorders>
            <w:vAlign w:val="center"/>
          </w:tcPr>
          <w:p w:rsidR="005C77DA" w:rsidRPr="003C4707" w:rsidRDefault="005C77DA" w:rsidP="005C77DA">
            <w:pPr>
              <w:jc w:val="center"/>
            </w:pPr>
            <w:r>
              <w:t>50 €</w:t>
            </w:r>
          </w:p>
        </w:tc>
        <w:tc>
          <w:tcPr>
            <w:tcW w:w="981" w:type="dxa"/>
            <w:tcBorders>
              <w:top w:val="nil"/>
              <w:left w:val="nil"/>
              <w:bottom w:val="single" w:sz="8" w:space="0" w:color="auto"/>
              <w:right w:val="single" w:sz="8" w:space="0" w:color="auto"/>
            </w:tcBorders>
            <w:vAlign w:val="center"/>
          </w:tcPr>
          <w:p w:rsidR="005C77DA" w:rsidRPr="003C4707" w:rsidRDefault="005C77DA" w:rsidP="005C77DA">
            <w:pPr>
              <w:jc w:val="center"/>
            </w:pPr>
            <w:r>
              <w:t>für 4 Jahre</w:t>
            </w:r>
          </w:p>
        </w:tc>
      </w:tr>
      <w:tr w:rsidR="005C77DA" w:rsidRPr="00CC06D0" w:rsidTr="00676F7A">
        <w:trPr>
          <w:trHeight w:val="315"/>
        </w:trPr>
        <w:tc>
          <w:tcPr>
            <w:tcW w:w="856" w:type="dxa"/>
            <w:tcBorders>
              <w:top w:val="nil"/>
              <w:left w:val="single" w:sz="8" w:space="0" w:color="auto"/>
              <w:bottom w:val="single" w:sz="8" w:space="0" w:color="auto"/>
              <w:right w:val="single" w:sz="8" w:space="0" w:color="auto"/>
            </w:tcBorders>
            <w:vAlign w:val="center"/>
          </w:tcPr>
          <w:p w:rsidR="005C77DA" w:rsidRPr="00874CC0" w:rsidRDefault="005C77DA" w:rsidP="005C77DA">
            <w:pPr>
              <w:jc w:val="center"/>
            </w:pPr>
          </w:p>
        </w:tc>
        <w:tc>
          <w:tcPr>
            <w:tcW w:w="1166" w:type="dxa"/>
            <w:tcBorders>
              <w:top w:val="nil"/>
              <w:left w:val="nil"/>
              <w:bottom w:val="single" w:sz="8" w:space="0" w:color="auto"/>
              <w:right w:val="single" w:sz="8" w:space="0" w:color="auto"/>
            </w:tcBorders>
            <w:vAlign w:val="center"/>
          </w:tcPr>
          <w:p w:rsidR="005C77DA" w:rsidRPr="00874CC0" w:rsidRDefault="005C77DA" w:rsidP="005C77DA">
            <w:pPr>
              <w:jc w:val="center"/>
            </w:pPr>
            <w:r w:rsidRPr="00874CC0">
              <w:t>II a</w:t>
            </w:r>
          </w:p>
        </w:tc>
        <w:tc>
          <w:tcPr>
            <w:tcW w:w="941" w:type="dxa"/>
            <w:tcBorders>
              <w:top w:val="nil"/>
              <w:left w:val="nil"/>
              <w:bottom w:val="single" w:sz="8" w:space="0" w:color="auto"/>
              <w:right w:val="single" w:sz="8" w:space="0" w:color="auto"/>
            </w:tcBorders>
            <w:vAlign w:val="center"/>
          </w:tcPr>
          <w:p w:rsidR="005C77DA" w:rsidRDefault="005C77DA" w:rsidP="005C77DA">
            <w:pPr>
              <w:jc w:val="center"/>
            </w:pPr>
            <w:r>
              <w:t>I b nach</w:t>
            </w:r>
          </w:p>
          <w:p w:rsidR="005C77DA" w:rsidRPr="00874CC0" w:rsidRDefault="005C77DA" w:rsidP="005C77DA">
            <w:pPr>
              <w:jc w:val="center"/>
            </w:pPr>
            <w:r w:rsidRPr="003C4707">
              <w:t>5 u. 6 Jahren</w:t>
            </w:r>
          </w:p>
        </w:tc>
        <w:tc>
          <w:tcPr>
            <w:tcW w:w="851" w:type="dxa"/>
            <w:tcBorders>
              <w:top w:val="nil"/>
              <w:left w:val="nil"/>
              <w:bottom w:val="single" w:sz="8" w:space="0" w:color="auto"/>
              <w:right w:val="single" w:sz="8" w:space="0" w:color="auto"/>
            </w:tcBorders>
            <w:vAlign w:val="center"/>
          </w:tcPr>
          <w:p w:rsidR="005C77DA" w:rsidRPr="00874CC0" w:rsidRDefault="005C77DA" w:rsidP="005C77DA">
            <w:pPr>
              <w:jc w:val="center"/>
            </w:pPr>
            <w:r>
              <w:t>OZ 2</w:t>
            </w:r>
          </w:p>
        </w:tc>
        <w:tc>
          <w:tcPr>
            <w:tcW w:w="902" w:type="dxa"/>
            <w:tcBorders>
              <w:top w:val="nil"/>
              <w:left w:val="nil"/>
              <w:bottom w:val="single" w:sz="8" w:space="0" w:color="auto"/>
              <w:right w:val="single" w:sz="8" w:space="0" w:color="auto"/>
            </w:tcBorders>
            <w:vAlign w:val="center"/>
          </w:tcPr>
          <w:p w:rsidR="005C77DA" w:rsidRPr="00874CC0" w:rsidRDefault="005C77DA" w:rsidP="005C77DA">
            <w:pPr>
              <w:jc w:val="center"/>
            </w:pPr>
            <w:r>
              <w:t>39</w:t>
            </w:r>
          </w:p>
        </w:tc>
        <w:tc>
          <w:tcPr>
            <w:tcW w:w="868" w:type="dxa"/>
            <w:tcBorders>
              <w:top w:val="nil"/>
              <w:left w:val="nil"/>
              <w:bottom w:val="single" w:sz="8" w:space="0" w:color="auto"/>
              <w:right w:val="single" w:sz="8" w:space="0" w:color="auto"/>
            </w:tcBorders>
            <w:vAlign w:val="center"/>
          </w:tcPr>
          <w:p w:rsidR="005C77DA" w:rsidRPr="00874CC0" w:rsidRDefault="005C77DA" w:rsidP="005C77DA">
            <w:pPr>
              <w:jc w:val="center"/>
            </w:pPr>
            <w:r>
              <w:t>110 €</w:t>
            </w:r>
          </w:p>
        </w:tc>
        <w:tc>
          <w:tcPr>
            <w:tcW w:w="981" w:type="dxa"/>
            <w:tcBorders>
              <w:top w:val="nil"/>
              <w:left w:val="nil"/>
              <w:bottom w:val="single" w:sz="8" w:space="0" w:color="auto"/>
              <w:right w:val="single" w:sz="8" w:space="0" w:color="auto"/>
            </w:tcBorders>
            <w:vAlign w:val="center"/>
          </w:tcPr>
          <w:p w:rsidR="005C77DA" w:rsidRPr="00CC06D0" w:rsidRDefault="005C77DA" w:rsidP="005C77DA">
            <w:pPr>
              <w:pStyle w:val="StandardWeb"/>
              <w:jc w:val="center"/>
              <w:rPr>
                <w:rFonts w:cs="Arial"/>
                <w:szCs w:val="16"/>
              </w:rPr>
            </w:pPr>
            <w:r w:rsidRPr="00CC06D0">
              <w:rPr>
                <w:rFonts w:cs="Arial"/>
                <w:szCs w:val="16"/>
              </w:rPr>
              <w:t xml:space="preserve">nach </w:t>
            </w:r>
          </w:p>
          <w:p w:rsidR="005C77DA" w:rsidRPr="00874CC0" w:rsidRDefault="005C77DA" w:rsidP="005C77DA">
            <w:pPr>
              <w:jc w:val="center"/>
            </w:pPr>
            <w:r w:rsidRPr="00CC06D0">
              <w:rPr>
                <w:rFonts w:cs="Arial"/>
                <w:szCs w:val="16"/>
              </w:rPr>
              <w:t>4 Jahren dauerhaft</w:t>
            </w:r>
          </w:p>
        </w:tc>
      </w:tr>
    </w:tbl>
    <w:p w:rsidR="00BE1EFE" w:rsidRPr="005C77DA" w:rsidRDefault="00BE1EFE">
      <w:pPr>
        <w:pStyle w:val="StandardWeb"/>
        <w:rPr>
          <w:sz w:val="4"/>
          <w:szCs w:val="4"/>
        </w:rPr>
      </w:pPr>
    </w:p>
    <w:p w:rsidR="00BE1EFE" w:rsidRPr="00CC06D0" w:rsidRDefault="00BE1EFE">
      <w:pPr>
        <w:pStyle w:val="StandardWeb"/>
        <w:rPr>
          <w:szCs w:val="16"/>
        </w:rPr>
      </w:pPr>
      <w:r w:rsidRPr="00CC06D0">
        <w:rPr>
          <w:szCs w:val="16"/>
        </w:rPr>
        <w:br w:type="page"/>
      </w:r>
    </w:p>
    <w:tbl>
      <w:tblPr>
        <w:tblW w:w="6747" w:type="dxa"/>
        <w:tblInd w:w="55" w:type="dxa"/>
        <w:tblCellMar>
          <w:left w:w="0" w:type="dxa"/>
          <w:right w:w="0" w:type="dxa"/>
        </w:tblCellMar>
        <w:tblLook w:val="04A0" w:firstRow="1" w:lastRow="0" w:firstColumn="1" w:lastColumn="0" w:noHBand="0" w:noVBand="1"/>
      </w:tblPr>
      <w:tblGrid>
        <w:gridCol w:w="855"/>
        <w:gridCol w:w="1262"/>
        <w:gridCol w:w="916"/>
        <w:gridCol w:w="1022"/>
        <w:gridCol w:w="876"/>
        <w:gridCol w:w="866"/>
        <w:gridCol w:w="950"/>
      </w:tblGrid>
      <w:tr w:rsidR="00BE1EFE" w:rsidRPr="00CC06D0" w:rsidTr="005C77DA">
        <w:trPr>
          <w:trHeight w:val="420"/>
        </w:trPr>
        <w:tc>
          <w:tcPr>
            <w:tcW w:w="855"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lastRenderedPageBreak/>
              <w:t>Entgelt-gruppe</w:t>
            </w:r>
          </w:p>
        </w:tc>
        <w:tc>
          <w:tcPr>
            <w:tcW w:w="126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Vergütungs-gruppe bei Inkrafttreten Teil A, 3.</w:t>
            </w:r>
          </w:p>
        </w:tc>
        <w:tc>
          <w:tcPr>
            <w:tcW w:w="91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1022" w:type="dxa"/>
            <w:vMerge w:val="restart"/>
            <w:tcBorders>
              <w:top w:val="single" w:sz="8" w:space="0" w:color="auto"/>
              <w:left w:val="nil"/>
              <w:bottom w:val="single" w:sz="8" w:space="0" w:color="auto"/>
              <w:right w:val="single" w:sz="8" w:space="0" w:color="auto"/>
            </w:tcBorders>
            <w:tcMar>
              <w:top w:w="0" w:type="dxa"/>
              <w:left w:w="0" w:type="dxa"/>
              <w:bottom w:w="0" w:type="dxa"/>
              <w:right w:w="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 xml:space="preserve">Ortszu-schlag </w:t>
            </w:r>
            <w:r w:rsidR="00BB0D2D">
              <w:rPr>
                <w:rStyle w:val="Fett"/>
                <w:rFonts w:cs="Arial"/>
                <w:bCs/>
                <w:szCs w:val="16"/>
              </w:rPr>
              <w:br/>
            </w:r>
            <w:r w:rsidRPr="00CC06D0">
              <w:rPr>
                <w:rStyle w:val="Fett"/>
                <w:rFonts w:cs="Arial"/>
                <w:bCs/>
                <w:szCs w:val="16"/>
              </w:rPr>
              <w:t>Stufe 1, 2</w:t>
            </w:r>
          </w:p>
        </w:tc>
        <w:tc>
          <w:tcPr>
            <w:tcW w:w="87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866"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95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5C77DA">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02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5C77DA">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022"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5C77DA">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898"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B0D2D" w:rsidRDefault="00BB0D2D" w:rsidP="00506F4B">
            <w:pPr>
              <w:pStyle w:val="StandardWeb"/>
              <w:autoSpaceDE w:val="0"/>
              <w:jc w:val="center"/>
              <w:rPr>
                <w:rStyle w:val="Fett"/>
                <w:rFonts w:cs="Arial"/>
                <w:bCs/>
                <w:szCs w:val="16"/>
              </w:rPr>
            </w:pPr>
            <w:r>
              <w:rPr>
                <w:rStyle w:val="Fett"/>
                <w:rFonts w:cs="Arial"/>
                <w:bCs/>
                <w:szCs w:val="16"/>
              </w:rPr>
              <w:t>bei Inkrafttreten</w:t>
            </w:r>
          </w:p>
          <w:p w:rsidR="00BE1EFE" w:rsidRPr="00CC06D0" w:rsidRDefault="00BE1EFE" w:rsidP="00506F4B">
            <w:pPr>
              <w:pStyle w:val="StandardWeb"/>
              <w:autoSpaceDE w:val="0"/>
              <w:jc w:val="center"/>
              <w:rPr>
                <w:szCs w:val="16"/>
              </w:rPr>
            </w:pPr>
            <w:r w:rsidRPr="00CC06D0">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5C77DA">
        <w:trPr>
          <w:trHeight w:val="19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898" w:type="dxa"/>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5C77DA">
        <w:trPr>
          <w:trHeight w:val="56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5C77DA" w:rsidP="00876902">
            <w:pPr>
              <w:jc w:val="center"/>
              <w:rPr>
                <w:szCs w:val="16"/>
              </w:rPr>
            </w:pPr>
            <w:r>
              <w:rPr>
                <w:szCs w:val="16"/>
              </w:rPr>
              <w:t>14</w:t>
            </w: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5C77DA" w:rsidP="00876902">
            <w:pPr>
              <w:pStyle w:val="StandardWeb"/>
              <w:jc w:val="center"/>
              <w:rPr>
                <w:rFonts w:cs="Arial"/>
                <w:szCs w:val="16"/>
              </w:rPr>
            </w:pPr>
            <w:r>
              <w:rPr>
                <w:rFonts w:cs="Arial"/>
                <w:szCs w:val="16"/>
              </w:rPr>
              <w:t>I b nach</w:t>
            </w:r>
          </w:p>
          <w:p w:rsidR="00BE1EFE" w:rsidRPr="00CC06D0" w:rsidRDefault="00BE1EFE" w:rsidP="00876902">
            <w:pPr>
              <w:pStyle w:val="StandardWeb"/>
              <w:jc w:val="center"/>
              <w:rPr>
                <w:szCs w:val="16"/>
              </w:rPr>
            </w:pPr>
            <w:r w:rsidRPr="00CC06D0">
              <w:rPr>
                <w:rFonts w:cs="Arial"/>
                <w:szCs w:val="16"/>
              </w:rPr>
              <w:t>5 u. 6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41</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110 €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5C77DA">
        <w:trPr>
          <w:trHeight w:val="56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5C77DA" w:rsidP="00876902">
            <w:pPr>
              <w:pStyle w:val="StandardWeb"/>
              <w:jc w:val="center"/>
              <w:rPr>
                <w:rFonts w:cs="Arial"/>
                <w:szCs w:val="16"/>
              </w:rPr>
            </w:pPr>
            <w:r>
              <w:rPr>
                <w:rFonts w:cs="Arial"/>
                <w:szCs w:val="16"/>
              </w:rPr>
              <w:t>I b nach</w:t>
            </w:r>
          </w:p>
          <w:p w:rsidR="00BE1EFE" w:rsidRPr="00CC06D0" w:rsidRDefault="00BE1EFE" w:rsidP="00876902">
            <w:pPr>
              <w:pStyle w:val="StandardWeb"/>
              <w:jc w:val="center"/>
              <w:rPr>
                <w:szCs w:val="16"/>
              </w:rPr>
            </w:pPr>
            <w:r w:rsidRPr="00CC06D0">
              <w:rPr>
                <w:rFonts w:cs="Arial"/>
                <w:szCs w:val="16"/>
              </w:rPr>
              <w:t>5 u. 6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43</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110 €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5C77DA">
        <w:trPr>
          <w:trHeight w:val="56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C77DA" w:rsidRDefault="00BE1EFE" w:rsidP="00876902">
            <w:pPr>
              <w:jc w:val="center"/>
              <w:rPr>
                <w:szCs w:val="16"/>
              </w:rPr>
            </w:pPr>
            <w:r w:rsidRPr="005C77DA">
              <w:rPr>
                <w:szCs w:val="16"/>
              </w:rPr>
              <w:t>14</w:t>
            </w: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Default="005C77DA" w:rsidP="00876902">
            <w:pPr>
              <w:pStyle w:val="StandardWeb"/>
              <w:jc w:val="center"/>
              <w:rPr>
                <w:rFonts w:cs="Arial"/>
                <w:szCs w:val="16"/>
              </w:rPr>
            </w:pPr>
            <w:r>
              <w:rPr>
                <w:rFonts w:cs="Arial"/>
                <w:szCs w:val="16"/>
              </w:rPr>
              <w:t>I b nach</w:t>
            </w:r>
          </w:p>
          <w:p w:rsidR="00BE1EFE" w:rsidRPr="00CC06D0" w:rsidRDefault="00BE1EFE" w:rsidP="00876902">
            <w:pPr>
              <w:pStyle w:val="StandardWeb"/>
              <w:jc w:val="center"/>
              <w:rPr>
                <w:szCs w:val="16"/>
              </w:rPr>
            </w:pPr>
            <w:r w:rsidRPr="00CC06D0">
              <w:rPr>
                <w:rFonts w:cs="Arial"/>
                <w:szCs w:val="16"/>
              </w:rPr>
              <w:t>5 u. 6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45</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60 €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5C77DA">
        <w:trPr>
          <w:trHeight w:val="56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33</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50 €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rFonts w:cs="Arial"/>
                <w:szCs w:val="16"/>
              </w:rPr>
            </w:pPr>
            <w:r w:rsidRPr="00CC06D0">
              <w:rPr>
                <w:rFonts w:cs="Arial"/>
                <w:szCs w:val="16"/>
              </w:rPr>
              <w:t xml:space="preserve">nach </w:t>
            </w:r>
          </w:p>
          <w:p w:rsidR="00BE1EFE" w:rsidRPr="00CC06D0" w:rsidRDefault="00BE1EFE" w:rsidP="00876902">
            <w:pPr>
              <w:pStyle w:val="StandardWeb"/>
              <w:jc w:val="center"/>
              <w:rPr>
                <w:szCs w:val="16"/>
              </w:rPr>
            </w:pPr>
            <w:r w:rsidRPr="00CC06D0">
              <w:rPr>
                <w:rFonts w:cs="Arial"/>
                <w:szCs w:val="16"/>
              </w:rPr>
              <w:t>4 Jahren für 5 Jahre</w:t>
            </w:r>
          </w:p>
        </w:tc>
      </w:tr>
      <w:tr w:rsidR="005C77DA" w:rsidRPr="00CC06D0" w:rsidTr="005C77DA">
        <w:trPr>
          <w:trHeight w:val="39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CC06D0" w:rsidRDefault="005C77DA" w:rsidP="005C77DA">
            <w:pPr>
              <w:pStyle w:val="StandardWeb"/>
              <w:jc w:val="center"/>
              <w:rPr>
                <w:rFonts w:cs="Arial"/>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CC06D0" w:rsidRDefault="005C77DA" w:rsidP="005C77DA">
            <w:pPr>
              <w:pStyle w:val="StandardWeb"/>
              <w:jc w:val="center"/>
              <w:rPr>
                <w:rFonts w:cs="Arial"/>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CC06D0" w:rsidRDefault="005C77DA" w:rsidP="005C77DA">
            <w:pPr>
              <w:pStyle w:val="StandardWeb"/>
              <w:jc w:val="center"/>
              <w:rPr>
                <w:rFonts w:cs="Arial"/>
                <w:szCs w:val="16"/>
              </w:rPr>
            </w:pPr>
            <w:r w:rsidRPr="00CC06D0">
              <w:rPr>
                <w:rFonts w:cs="Arial"/>
                <w:szCs w:val="16"/>
              </w:rPr>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CC06D0" w:rsidRDefault="005C77DA" w:rsidP="005C77DA">
            <w:pPr>
              <w:pStyle w:val="StandardWeb"/>
              <w:jc w:val="center"/>
              <w:rPr>
                <w:rFonts w:cs="Arial"/>
                <w:szCs w:val="16"/>
              </w:rPr>
            </w:pPr>
            <w:r w:rsidRPr="00CC06D0">
              <w:rPr>
                <w:rFonts w:cs="Arial"/>
                <w:szCs w:val="16"/>
              </w:rPr>
              <w:t>35</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CC06D0" w:rsidRDefault="005C77DA" w:rsidP="005C77DA">
            <w:pPr>
              <w:pStyle w:val="StandardWeb"/>
              <w:jc w:val="center"/>
              <w:rPr>
                <w:rFonts w:cs="Arial"/>
                <w:szCs w:val="16"/>
              </w:rPr>
            </w:pPr>
            <w:r w:rsidRPr="00CC06D0">
              <w:rPr>
                <w:rFonts w:cs="Arial"/>
                <w:szCs w:val="16"/>
              </w:rPr>
              <w:t>50 €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CC06D0" w:rsidRDefault="005C77DA" w:rsidP="005C77DA">
            <w:pPr>
              <w:pStyle w:val="StandardWeb"/>
              <w:jc w:val="center"/>
              <w:rPr>
                <w:rFonts w:cs="Arial"/>
                <w:szCs w:val="16"/>
              </w:rPr>
            </w:pPr>
            <w:r w:rsidRPr="00CC06D0">
              <w:rPr>
                <w:rFonts w:cs="Arial"/>
                <w:szCs w:val="16"/>
              </w:rPr>
              <w:t>für 5 Jahre</w:t>
            </w:r>
          </w:p>
        </w:tc>
      </w:tr>
      <w:tr w:rsidR="005C77DA" w:rsidRPr="00CC06D0" w:rsidTr="005C77DA">
        <w:trPr>
          <w:trHeight w:val="39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C77DA" w:rsidRPr="005C77DA" w:rsidRDefault="005C77DA" w:rsidP="005C77DA">
            <w:pPr>
              <w:pStyle w:val="StandardWeb"/>
              <w:autoSpaceDE w:val="0"/>
              <w:jc w:val="center"/>
              <w:rPr>
                <w:b/>
                <w:szCs w:val="16"/>
              </w:rPr>
            </w:pPr>
            <w:r w:rsidRPr="005C77DA">
              <w:rPr>
                <w:rStyle w:val="Fett"/>
                <w:rFonts w:cs="Arial"/>
                <w:b w:val="0"/>
                <w:bCs/>
                <w:szCs w:val="16"/>
              </w:rPr>
              <w:t>14</w:t>
            </w: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37</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80 €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für 4 Jahre</w:t>
            </w:r>
          </w:p>
        </w:tc>
      </w:tr>
      <w:tr w:rsidR="005C77DA" w:rsidRPr="00CC06D0" w:rsidTr="005C77DA">
        <w:trPr>
          <w:trHeight w:val="56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41</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80 €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rFonts w:cs="Arial"/>
                <w:szCs w:val="16"/>
              </w:rPr>
            </w:pPr>
            <w:r w:rsidRPr="00CC06D0">
              <w:rPr>
                <w:rFonts w:cs="Arial"/>
                <w:szCs w:val="16"/>
              </w:rPr>
              <w:t xml:space="preserve">nach </w:t>
            </w:r>
          </w:p>
          <w:p w:rsidR="005C77DA" w:rsidRPr="00CC06D0" w:rsidRDefault="005C77DA" w:rsidP="005C77DA">
            <w:pPr>
              <w:pStyle w:val="StandardWeb"/>
              <w:jc w:val="center"/>
              <w:rPr>
                <w:szCs w:val="16"/>
              </w:rPr>
            </w:pPr>
            <w:r w:rsidRPr="00CC06D0">
              <w:rPr>
                <w:rFonts w:cs="Arial"/>
                <w:szCs w:val="16"/>
              </w:rPr>
              <w:t>4 Jahren dauerhaft</w:t>
            </w:r>
          </w:p>
        </w:tc>
      </w:tr>
      <w:tr w:rsidR="005C77DA" w:rsidRPr="00CC06D0" w:rsidTr="005C77DA">
        <w:trPr>
          <w:trHeight w:val="39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43</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80 €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dauerhaft</w:t>
            </w:r>
          </w:p>
        </w:tc>
      </w:tr>
      <w:tr w:rsidR="005C77DA" w:rsidRPr="00CC06D0" w:rsidTr="005C77DA">
        <w:trPr>
          <w:trHeight w:val="39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45</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60 €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dauerhaft</w:t>
            </w:r>
          </w:p>
        </w:tc>
      </w:tr>
      <w:tr w:rsidR="005C77DA" w:rsidRPr="00CC06D0" w:rsidTr="005C77DA">
        <w:trPr>
          <w:trHeight w:val="56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C77DA" w:rsidRPr="005C77DA" w:rsidRDefault="005C77DA" w:rsidP="005C77DA">
            <w:pPr>
              <w:jc w:val="center"/>
              <w:rPr>
                <w:szCs w:val="16"/>
              </w:rPr>
            </w:pPr>
            <w:r w:rsidRPr="005C77DA">
              <w:rPr>
                <w:szCs w:val="16"/>
              </w:rPr>
              <w:t>14</w:t>
            </w: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OZ 2</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35</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110 €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rFonts w:cs="Arial"/>
                <w:szCs w:val="16"/>
              </w:rPr>
            </w:pPr>
            <w:r w:rsidRPr="00CC06D0">
              <w:rPr>
                <w:rFonts w:cs="Arial"/>
                <w:szCs w:val="16"/>
              </w:rPr>
              <w:t xml:space="preserve">nach </w:t>
            </w:r>
          </w:p>
          <w:p w:rsidR="005C77DA" w:rsidRPr="00CC06D0" w:rsidRDefault="005C77DA" w:rsidP="005C77DA">
            <w:pPr>
              <w:pStyle w:val="StandardWeb"/>
              <w:jc w:val="center"/>
              <w:rPr>
                <w:szCs w:val="16"/>
              </w:rPr>
            </w:pPr>
            <w:r w:rsidRPr="00CC06D0">
              <w:rPr>
                <w:rFonts w:cs="Arial"/>
                <w:szCs w:val="16"/>
              </w:rPr>
              <w:t>3 Jahren für 3 Jahre</w:t>
            </w:r>
          </w:p>
        </w:tc>
      </w:tr>
      <w:tr w:rsidR="005C77DA" w:rsidRPr="00CC06D0" w:rsidTr="005C77DA">
        <w:trPr>
          <w:trHeight w:val="39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OZ 2</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37</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110 €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dauerhaft</w:t>
            </w:r>
          </w:p>
        </w:tc>
      </w:tr>
      <w:tr w:rsidR="005C77DA" w:rsidRPr="00CC06D0" w:rsidTr="005C77DA">
        <w:trPr>
          <w:trHeight w:val="56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OZ 2</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39</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110 €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rFonts w:cs="Arial"/>
                <w:szCs w:val="16"/>
              </w:rPr>
            </w:pPr>
            <w:r w:rsidRPr="00CC06D0">
              <w:rPr>
                <w:rFonts w:cs="Arial"/>
                <w:szCs w:val="16"/>
              </w:rPr>
              <w:t xml:space="preserve">nach </w:t>
            </w:r>
          </w:p>
          <w:p w:rsidR="005C77DA" w:rsidRPr="00CC06D0" w:rsidRDefault="005C77DA" w:rsidP="005C77DA">
            <w:pPr>
              <w:pStyle w:val="StandardWeb"/>
              <w:jc w:val="center"/>
              <w:rPr>
                <w:szCs w:val="16"/>
              </w:rPr>
            </w:pPr>
            <w:r w:rsidRPr="00CC06D0">
              <w:rPr>
                <w:rFonts w:cs="Arial"/>
                <w:szCs w:val="16"/>
              </w:rPr>
              <w:t>4 Jahren dauerhaft</w:t>
            </w:r>
          </w:p>
        </w:tc>
      </w:tr>
      <w:tr w:rsidR="005C77DA" w:rsidRPr="00CC06D0" w:rsidTr="005C77DA">
        <w:trPr>
          <w:trHeight w:val="397"/>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rPr>
                <w:szCs w:val="16"/>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OZ 2</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41</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110 €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C77DA" w:rsidRPr="00CC06D0" w:rsidRDefault="005C77DA" w:rsidP="005C77DA">
            <w:pPr>
              <w:pStyle w:val="StandardWeb"/>
              <w:jc w:val="center"/>
              <w:rPr>
                <w:szCs w:val="16"/>
              </w:rPr>
            </w:pPr>
            <w:r w:rsidRPr="00CC06D0">
              <w:rPr>
                <w:rFonts w:cs="Arial"/>
                <w:szCs w:val="16"/>
              </w:rPr>
              <w:t>dauerhaft</w:t>
            </w:r>
          </w:p>
        </w:tc>
      </w:tr>
      <w:tr w:rsidR="005C77DA" w:rsidRPr="00CC06D0" w:rsidTr="005C77DA">
        <w:trPr>
          <w:trHeight w:val="255"/>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243A05" w:rsidRDefault="005C77DA" w:rsidP="005C77DA">
            <w:pPr>
              <w:jc w:val="cente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243A05" w:rsidRDefault="005C77DA" w:rsidP="005C77DA">
            <w:pPr>
              <w:jc w:val="center"/>
            </w:pPr>
            <w:r w:rsidRPr="00243A05">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243A05" w:rsidRDefault="005C77DA" w:rsidP="005C77DA">
            <w:pPr>
              <w:jc w:val="center"/>
            </w:pPr>
            <w:r w:rsidRPr="00243A05">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243A05" w:rsidRDefault="005C77DA" w:rsidP="005C77DA">
            <w:pPr>
              <w:jc w:val="center"/>
            </w:pPr>
            <w:r w:rsidRPr="00243A05">
              <w:t>OZ 2</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243A05" w:rsidRDefault="005C77DA" w:rsidP="005C77DA">
            <w:pPr>
              <w:jc w:val="center"/>
            </w:pPr>
            <w:r w:rsidRPr="00243A05">
              <w:t>43</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243A05" w:rsidRDefault="005C77DA" w:rsidP="005C77DA">
            <w:pPr>
              <w:jc w:val="center"/>
            </w:pPr>
            <w:r w:rsidRPr="00243A05">
              <w:t>110 €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Default="005C77DA" w:rsidP="005C77DA">
            <w:pPr>
              <w:jc w:val="center"/>
            </w:pPr>
            <w:r w:rsidRPr="00243A05">
              <w:t>dauerhaft</w:t>
            </w:r>
          </w:p>
        </w:tc>
      </w:tr>
      <w:tr w:rsidR="005C77DA" w:rsidRPr="00CC06D0" w:rsidTr="005C77DA">
        <w:trPr>
          <w:trHeight w:val="255"/>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EF0C86" w:rsidRDefault="005C77DA" w:rsidP="005C77DA">
            <w:pPr>
              <w:jc w:val="cente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EF0C86" w:rsidRDefault="005C77DA" w:rsidP="005C77DA">
            <w:pPr>
              <w:jc w:val="center"/>
            </w:pPr>
            <w:r w:rsidRPr="00EF0C86">
              <w:t>II a</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EF0C86" w:rsidRDefault="005C77DA" w:rsidP="005C77DA">
            <w:pPr>
              <w:jc w:val="center"/>
            </w:pPr>
            <w:r w:rsidRPr="00EF0C86">
              <w:t>I b nach 11 Jahren</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EF0C86" w:rsidRDefault="005C77DA" w:rsidP="005C77DA">
            <w:pPr>
              <w:jc w:val="center"/>
            </w:pPr>
            <w:r w:rsidRPr="00EF0C86">
              <w:t>OZ 2</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EF0C86" w:rsidRDefault="005C77DA" w:rsidP="005C77DA">
            <w:pPr>
              <w:jc w:val="center"/>
            </w:pPr>
            <w:r w:rsidRPr="00EF0C86">
              <w:t>45</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EF0C86" w:rsidRDefault="005C77DA" w:rsidP="005C77DA">
            <w:pPr>
              <w:jc w:val="center"/>
            </w:pPr>
            <w:r w:rsidRPr="00EF0C86">
              <w:t>60 €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Default="005C77DA" w:rsidP="005C77DA">
            <w:pPr>
              <w:jc w:val="center"/>
            </w:pPr>
            <w:r w:rsidRPr="00EF0C86">
              <w:t>dauerhaft</w:t>
            </w:r>
          </w:p>
        </w:tc>
      </w:tr>
      <w:tr w:rsidR="005C77DA" w:rsidRPr="00CC06D0" w:rsidTr="005C77DA">
        <w:trPr>
          <w:trHeight w:val="255"/>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4B3EBD" w:rsidRDefault="005C77DA" w:rsidP="005C77DA">
            <w:pPr>
              <w:jc w:val="center"/>
            </w:pPr>
            <w:r w:rsidRPr="004B3EBD">
              <w:t>14</w:t>
            </w: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4B3EBD" w:rsidRDefault="005C77DA" w:rsidP="005C77DA">
            <w:pPr>
              <w:jc w:val="center"/>
            </w:pPr>
            <w:r w:rsidRPr="004B3EBD">
              <w:t>I b</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4B3EBD" w:rsidRDefault="005C77DA" w:rsidP="005C77DA">
            <w:pPr>
              <w:jc w:val="center"/>
            </w:pPr>
            <w:r w:rsidRPr="004B3EBD">
              <w:t>ohne</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4B3EBD" w:rsidRDefault="005C77DA" w:rsidP="005C77DA">
            <w:pPr>
              <w:jc w:val="center"/>
            </w:pPr>
            <w:r w:rsidRPr="004B3EBD">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4B3EBD" w:rsidRDefault="005C77DA" w:rsidP="005C77DA">
            <w:pPr>
              <w:jc w:val="center"/>
            </w:pPr>
            <w:r w:rsidRPr="004B3EBD">
              <w:t>35</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4B3EBD" w:rsidRDefault="005C77DA" w:rsidP="005C77DA">
            <w:pPr>
              <w:jc w:val="center"/>
            </w:pPr>
            <w:r w:rsidRPr="004B3EBD">
              <w:t>100 €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Default="005C77DA" w:rsidP="005C77DA">
            <w:pPr>
              <w:jc w:val="center"/>
            </w:pPr>
            <w:r w:rsidRPr="004B3EBD">
              <w:t>für 4 Jahre</w:t>
            </w:r>
          </w:p>
        </w:tc>
      </w:tr>
      <w:tr w:rsidR="005C77DA" w:rsidRPr="00CC06D0" w:rsidTr="005C77DA">
        <w:trPr>
          <w:trHeight w:val="255"/>
        </w:trPr>
        <w:tc>
          <w:tcPr>
            <w:tcW w:w="855"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FD2B7D" w:rsidRDefault="005C77DA" w:rsidP="005C77DA">
            <w:pPr>
              <w:jc w:val="cente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FD2B7D" w:rsidRDefault="005C77DA" w:rsidP="005C77DA">
            <w:pPr>
              <w:jc w:val="center"/>
            </w:pPr>
            <w:r w:rsidRPr="00FD2B7D">
              <w:t>I b</w:t>
            </w:r>
          </w:p>
        </w:tc>
        <w:tc>
          <w:tcPr>
            <w:tcW w:w="91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FD2B7D" w:rsidRDefault="005C77DA" w:rsidP="005C77DA">
            <w:pPr>
              <w:jc w:val="center"/>
            </w:pPr>
            <w:r w:rsidRPr="00FD2B7D">
              <w:t>ohne</w:t>
            </w:r>
          </w:p>
        </w:tc>
        <w:tc>
          <w:tcPr>
            <w:tcW w:w="102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FD2B7D" w:rsidRDefault="005C77DA" w:rsidP="005C77DA">
            <w:pPr>
              <w:jc w:val="center"/>
            </w:pPr>
            <w:r w:rsidRPr="00FD2B7D">
              <w:t>OZ 1</w:t>
            </w:r>
          </w:p>
        </w:tc>
        <w:tc>
          <w:tcPr>
            <w:tcW w:w="87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FD2B7D" w:rsidRDefault="005C77DA" w:rsidP="005C77DA">
            <w:pPr>
              <w:jc w:val="center"/>
            </w:pPr>
            <w:r w:rsidRPr="00FD2B7D">
              <w:t>41</w:t>
            </w:r>
          </w:p>
        </w:tc>
        <w:tc>
          <w:tcPr>
            <w:tcW w:w="866"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FD2B7D" w:rsidRDefault="005C77DA" w:rsidP="005C77DA">
            <w:pPr>
              <w:jc w:val="center"/>
            </w:pPr>
            <w:r w:rsidRPr="00FD2B7D">
              <w:t>80 €</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CC06D0" w:rsidRDefault="005C77DA" w:rsidP="005C77DA">
            <w:pPr>
              <w:pStyle w:val="StandardWeb"/>
              <w:jc w:val="center"/>
              <w:rPr>
                <w:rFonts w:cs="Arial"/>
                <w:szCs w:val="16"/>
              </w:rPr>
            </w:pPr>
            <w:r w:rsidRPr="00CC06D0">
              <w:rPr>
                <w:rFonts w:cs="Arial"/>
                <w:szCs w:val="16"/>
              </w:rPr>
              <w:t xml:space="preserve">nach </w:t>
            </w:r>
          </w:p>
          <w:p w:rsidR="005C77DA" w:rsidRPr="00FD2B7D" w:rsidRDefault="005C77DA" w:rsidP="005C77DA">
            <w:pPr>
              <w:jc w:val="center"/>
            </w:pPr>
            <w:r w:rsidRPr="00CC06D0">
              <w:rPr>
                <w:rFonts w:cs="Arial"/>
                <w:szCs w:val="16"/>
              </w:rPr>
              <w:t>4 Jahren dauerhaft</w:t>
            </w:r>
          </w:p>
        </w:tc>
      </w:tr>
    </w:tbl>
    <w:p w:rsidR="00A27557" w:rsidRDefault="00A27557">
      <w:pPr>
        <w:pStyle w:val="StandardWeb"/>
        <w:rPr>
          <w:sz w:val="8"/>
          <w:szCs w:val="8"/>
        </w:rPr>
      </w:pPr>
      <w:r>
        <w:rPr>
          <w:sz w:val="8"/>
          <w:szCs w:val="8"/>
        </w:rPr>
        <w:br w:type="page"/>
      </w:r>
    </w:p>
    <w:p w:rsidR="00BE1EFE" w:rsidRPr="00A27557" w:rsidRDefault="00BE1EFE">
      <w:pPr>
        <w:pStyle w:val="StandardWeb"/>
        <w:rPr>
          <w:sz w:val="8"/>
          <w:szCs w:val="8"/>
        </w:rPr>
      </w:pPr>
    </w:p>
    <w:tbl>
      <w:tblPr>
        <w:tblW w:w="6747" w:type="dxa"/>
        <w:tblInd w:w="55" w:type="dxa"/>
        <w:tblCellMar>
          <w:left w:w="0" w:type="dxa"/>
          <w:right w:w="0" w:type="dxa"/>
        </w:tblCellMar>
        <w:tblLook w:val="04A0" w:firstRow="1" w:lastRow="0" w:firstColumn="1" w:lastColumn="0" w:noHBand="0" w:noVBand="1"/>
      </w:tblPr>
      <w:tblGrid>
        <w:gridCol w:w="858"/>
        <w:gridCol w:w="1335"/>
        <w:gridCol w:w="1067"/>
        <w:gridCol w:w="762"/>
        <w:gridCol w:w="880"/>
        <w:gridCol w:w="870"/>
        <w:gridCol w:w="975"/>
      </w:tblGrid>
      <w:tr w:rsidR="00BE1EFE" w:rsidRPr="00CC06D0" w:rsidTr="006C781B">
        <w:trPr>
          <w:trHeight w:val="420"/>
        </w:trPr>
        <w:tc>
          <w:tcPr>
            <w:tcW w:w="858"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Entgelt-gruppe</w:t>
            </w:r>
          </w:p>
        </w:tc>
        <w:tc>
          <w:tcPr>
            <w:tcW w:w="133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Vergütungs-gruppe bei Inkrafttreten Teil A, 3.</w:t>
            </w:r>
          </w:p>
        </w:tc>
        <w:tc>
          <w:tcPr>
            <w:tcW w:w="106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762" w:type="dxa"/>
            <w:vMerge w:val="restart"/>
            <w:tcBorders>
              <w:top w:val="single" w:sz="8" w:space="0" w:color="auto"/>
              <w:left w:val="nil"/>
              <w:bottom w:val="single" w:sz="8" w:space="0" w:color="auto"/>
              <w:right w:val="single" w:sz="8" w:space="0" w:color="auto"/>
            </w:tcBorders>
            <w:tcMar>
              <w:top w:w="0" w:type="dxa"/>
              <w:left w:w="0" w:type="dxa"/>
              <w:bottom w:w="0" w:type="dxa"/>
              <w:right w:w="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Ortszu-schlag Stufe 1, 2</w:t>
            </w:r>
          </w:p>
        </w:tc>
        <w:tc>
          <w:tcPr>
            <w:tcW w:w="88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87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97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723714">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723714">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C781B">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642"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06F4B">
            <w:pPr>
              <w:pStyle w:val="StandardWeb"/>
              <w:autoSpaceDE w:val="0"/>
              <w:jc w:val="center"/>
              <w:rPr>
                <w:szCs w:val="16"/>
              </w:rPr>
            </w:pPr>
            <w:r w:rsidRPr="00CC06D0">
              <w:rPr>
                <w:rStyle w:val="Fett"/>
                <w:rFonts w:cs="Arial"/>
                <w:bCs/>
                <w:szCs w:val="16"/>
              </w:rPr>
              <w:t>bei Inkrafttreten 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723714">
        <w:trPr>
          <w:trHeight w:val="19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5C77DA" w:rsidP="00876902">
            <w:pPr>
              <w:jc w:val="center"/>
              <w:rPr>
                <w:szCs w:val="16"/>
              </w:rPr>
            </w:pPr>
            <w:r w:rsidRPr="005C77DA">
              <w:rPr>
                <w:szCs w:val="16"/>
              </w:rPr>
              <w:t>14</w:t>
            </w: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43</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80 €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45</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60 €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C77DA" w:rsidRDefault="00BE1EFE" w:rsidP="00876902">
            <w:pPr>
              <w:jc w:val="center"/>
              <w:rPr>
                <w:szCs w:val="16"/>
              </w:rPr>
            </w:pPr>
            <w:r w:rsidRPr="005C77DA">
              <w:rPr>
                <w:szCs w:val="16"/>
              </w:rPr>
              <w:t>14</w:t>
            </w: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33</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für 4 Jahre</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39</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110 €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rFonts w:cs="Arial"/>
                <w:szCs w:val="16"/>
              </w:rPr>
            </w:pPr>
            <w:r w:rsidRPr="00CC06D0">
              <w:rPr>
                <w:rFonts w:cs="Arial"/>
                <w:szCs w:val="16"/>
              </w:rPr>
              <w:t xml:space="preserve">nach </w:t>
            </w:r>
          </w:p>
          <w:p w:rsidR="00BE1EFE" w:rsidRPr="00CC06D0" w:rsidRDefault="00BE1EFE" w:rsidP="00876902">
            <w:pPr>
              <w:pStyle w:val="StandardWeb"/>
              <w:jc w:val="center"/>
              <w:rPr>
                <w:szCs w:val="16"/>
              </w:rPr>
            </w:pPr>
            <w:r w:rsidRPr="00CC06D0">
              <w:rPr>
                <w:rFonts w:cs="Arial"/>
                <w:szCs w:val="16"/>
              </w:rPr>
              <w:t>4 Jahren 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41</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110 €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43</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110 €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45</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60 €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C77DA" w:rsidRDefault="00BE1EFE" w:rsidP="0054275E">
            <w:pPr>
              <w:pStyle w:val="StandardWeb"/>
              <w:autoSpaceDE w:val="0"/>
              <w:jc w:val="center"/>
              <w:rPr>
                <w:b/>
                <w:szCs w:val="16"/>
              </w:rPr>
            </w:pPr>
            <w:r w:rsidRPr="005C77DA">
              <w:rPr>
                <w:rStyle w:val="Fett"/>
                <w:rFonts w:cs="Arial"/>
                <w:b w:val="0"/>
                <w:bCs/>
                <w:szCs w:val="16"/>
              </w:rPr>
              <w:t>15</w:t>
            </w: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a</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39</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110 €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für 4 Jahre</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876902">
            <w:pPr>
              <w:jc w:val="center"/>
              <w:rPr>
                <w:szCs w:val="16"/>
              </w:rP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a</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43</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6C781B">
            <w:pPr>
              <w:jc w:val="center"/>
              <w:rPr>
                <w:szCs w:val="16"/>
              </w:rP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6C781B">
            <w:pPr>
              <w:pStyle w:val="StandardWeb"/>
              <w:jc w:val="center"/>
              <w:rPr>
                <w:szCs w:val="16"/>
              </w:rPr>
            </w:pPr>
            <w:r w:rsidRPr="00CC06D0">
              <w:rPr>
                <w:rFonts w:cs="Arial"/>
                <w:szCs w:val="16"/>
              </w:rPr>
              <w:t>I a</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6C781B">
            <w:pPr>
              <w:pStyle w:val="StandardWeb"/>
              <w:jc w:val="center"/>
              <w:rPr>
                <w:szCs w:val="16"/>
              </w:rPr>
            </w:pPr>
            <w:r w:rsidRPr="00CC06D0">
              <w:rPr>
                <w:rFonts w:cs="Arial"/>
                <w:szCs w:val="16"/>
              </w:rP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6C781B">
            <w:pPr>
              <w:pStyle w:val="StandardWeb"/>
              <w:jc w:val="center"/>
              <w:rPr>
                <w:szCs w:val="16"/>
              </w:rPr>
            </w:pPr>
            <w:r w:rsidRPr="00CC06D0">
              <w:rPr>
                <w:rFonts w:cs="Arial"/>
                <w:szCs w:val="16"/>
              </w:rPr>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6C781B">
            <w:pPr>
              <w:pStyle w:val="StandardWeb"/>
              <w:jc w:val="center"/>
              <w:rPr>
                <w:szCs w:val="16"/>
              </w:rPr>
            </w:pPr>
            <w:r w:rsidRPr="00CC06D0">
              <w:rPr>
                <w:rFonts w:cs="Arial"/>
                <w:szCs w:val="16"/>
              </w:rPr>
              <w:t>45</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6C781B">
            <w:pPr>
              <w:pStyle w:val="StandardWeb"/>
              <w:jc w:val="center"/>
              <w:rPr>
                <w:szCs w:val="16"/>
              </w:rPr>
            </w:pPr>
            <w:r w:rsidRPr="00CC06D0">
              <w:rPr>
                <w:rFonts w:cs="Arial"/>
                <w:szCs w:val="16"/>
              </w:rPr>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6C781B">
            <w:pPr>
              <w:pStyle w:val="StandardWeb"/>
              <w:jc w:val="center"/>
              <w:rPr>
                <w:szCs w:val="16"/>
              </w:rPr>
            </w:pPr>
            <w:r w:rsidRPr="00CC06D0">
              <w:rPr>
                <w:rFonts w:cs="Arial"/>
                <w:szCs w:val="16"/>
              </w:rPr>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6C781B">
            <w:pPr>
              <w:jc w:val="center"/>
            </w:pPr>
            <w:r w:rsidRPr="005C77DA">
              <w:t>15</w:t>
            </w: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I a</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5C77DA" w:rsidP="006C781B">
            <w:pPr>
              <w:jc w:val="center"/>
            </w:pPr>
            <w: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37</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110 €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für 4 Jahre</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6C781B">
            <w:pPr>
              <w:jc w:val="cente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I a</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5C77DA" w:rsidP="006C781B">
            <w:pPr>
              <w:jc w:val="center"/>
            </w:pPr>
            <w: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41</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6C781B">
            <w:pPr>
              <w:jc w:val="cente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I a</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5C77DA" w:rsidP="006C781B">
            <w:pPr>
              <w:jc w:val="center"/>
            </w:pPr>
            <w: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43</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dauerhaft</w:t>
            </w:r>
          </w:p>
        </w:tc>
      </w:tr>
      <w:tr w:rsidR="00BE1EFE" w:rsidRPr="00CC06D0" w:rsidTr="006C781B">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C77DA" w:rsidRDefault="00BE1EFE" w:rsidP="006C781B">
            <w:pPr>
              <w:jc w:val="cente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I a</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5C77DA" w:rsidP="006C781B">
            <w:pPr>
              <w:jc w:val="center"/>
            </w:pPr>
            <w: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45</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E23F4B" w:rsidRDefault="00BE1EFE" w:rsidP="006C781B">
            <w:pPr>
              <w:jc w:val="center"/>
            </w:pPr>
            <w:r w:rsidRPr="00E23F4B">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6C781B">
            <w:pPr>
              <w:jc w:val="center"/>
            </w:pPr>
            <w:r w:rsidRPr="00E23F4B">
              <w:t>dauerhaft</w:t>
            </w:r>
          </w:p>
        </w:tc>
      </w:tr>
      <w:tr w:rsidR="005C77DA" w:rsidRPr="00CC06D0" w:rsidTr="00A27557">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pPr>
            <w:r w:rsidRPr="005C77DA">
              <w:t>15</w:t>
            </w: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A27557" w:rsidRDefault="00A27557" w:rsidP="00A27557">
            <w:pPr>
              <w:jc w:val="center"/>
            </w:pPr>
            <w:r>
              <w:t>I a nach</w:t>
            </w:r>
          </w:p>
          <w:p w:rsidR="005C77DA" w:rsidRPr="005C77DA" w:rsidRDefault="005C77DA" w:rsidP="00A27557">
            <w:pPr>
              <w:jc w:val="center"/>
            </w:pPr>
            <w:r w:rsidRPr="005C77DA">
              <w:t>8 Jahren</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39</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110 €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für 4 Jahre</w:t>
            </w:r>
          </w:p>
        </w:tc>
      </w:tr>
      <w:tr w:rsidR="005C77DA" w:rsidRPr="00CC06D0" w:rsidTr="00A27557">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A27557" w:rsidRDefault="00A27557" w:rsidP="00A27557">
            <w:pPr>
              <w:jc w:val="center"/>
            </w:pPr>
            <w:r>
              <w:t>I a nach</w:t>
            </w:r>
          </w:p>
          <w:p w:rsidR="005C77DA" w:rsidRPr="005C77DA" w:rsidRDefault="005C77DA" w:rsidP="00A27557">
            <w:pPr>
              <w:jc w:val="center"/>
            </w:pPr>
            <w:r w:rsidRPr="005C77DA">
              <w:t>8 Jahren</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43</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dauerhaft</w:t>
            </w:r>
          </w:p>
        </w:tc>
      </w:tr>
      <w:tr w:rsidR="005C77DA" w:rsidRPr="00CC06D0" w:rsidTr="00A27557">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A27557" w:rsidRDefault="00A27557" w:rsidP="00A27557">
            <w:pPr>
              <w:jc w:val="center"/>
            </w:pPr>
            <w:r>
              <w:t>I a nach</w:t>
            </w:r>
          </w:p>
          <w:p w:rsidR="005C77DA" w:rsidRPr="005C77DA" w:rsidRDefault="005C77DA" w:rsidP="00A27557">
            <w:pPr>
              <w:jc w:val="center"/>
            </w:pPr>
            <w:r w:rsidRPr="005C77DA">
              <w:t>8 Jahren</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45</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dauerhaft</w:t>
            </w:r>
          </w:p>
        </w:tc>
      </w:tr>
      <w:tr w:rsidR="005C77DA" w:rsidRPr="00DC29E0" w:rsidTr="00A27557">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pPr>
            <w:r w:rsidRPr="005C77DA">
              <w:rPr>
                <w:rStyle w:val="Fett"/>
                <w:b w:val="0"/>
              </w:rPr>
              <w:t>15</w:t>
            </w: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A27557" w:rsidRDefault="00A27557" w:rsidP="00A27557">
            <w:pPr>
              <w:jc w:val="center"/>
            </w:pPr>
            <w:r>
              <w:t>I a nach</w:t>
            </w:r>
          </w:p>
          <w:p w:rsidR="005C77DA" w:rsidRPr="005C77DA" w:rsidRDefault="005C77DA" w:rsidP="00A27557">
            <w:pPr>
              <w:jc w:val="center"/>
            </w:pPr>
            <w:r w:rsidRPr="005C77DA">
              <w:t>8 Jahren</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37</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110 €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für 4 Jahre</w:t>
            </w:r>
          </w:p>
        </w:tc>
      </w:tr>
      <w:tr w:rsidR="005C77DA" w:rsidRPr="00DC29E0" w:rsidTr="00A27557">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5C77DA">
            <w:pPr>
              <w:jc w:val="cente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087528" w:rsidP="00A27557">
            <w:pPr>
              <w:jc w:val="center"/>
            </w:pPr>
            <w: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41</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5C77DA" w:rsidRPr="005C77DA" w:rsidRDefault="005C77DA" w:rsidP="00A27557">
            <w:pPr>
              <w:jc w:val="center"/>
            </w:pPr>
            <w:r w:rsidRPr="005C77DA">
              <w:t>dauerhaft</w:t>
            </w:r>
          </w:p>
        </w:tc>
      </w:tr>
      <w:tr w:rsidR="00087528" w:rsidRPr="00DC29E0" w:rsidTr="00087528">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087528">
            <w:pPr>
              <w:jc w:val="cente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087528">
            <w:pPr>
              <w:jc w:val="center"/>
            </w:pPr>
            <w:r w:rsidRPr="005C77DA">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087528">
            <w:pPr>
              <w:jc w:val="center"/>
            </w:pPr>
            <w: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087528">
            <w:pPr>
              <w:jc w:val="center"/>
            </w:pPr>
            <w:r w:rsidRPr="005C77DA">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087528">
            <w:pPr>
              <w:jc w:val="center"/>
            </w:pPr>
            <w:r w:rsidRPr="005C77DA">
              <w:t>43</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087528">
            <w:pPr>
              <w:jc w:val="center"/>
            </w:pPr>
            <w:r w:rsidRPr="005C77DA">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Default="00087528" w:rsidP="00087528">
            <w:pPr>
              <w:jc w:val="center"/>
            </w:pPr>
            <w:r w:rsidRPr="005C77DA">
              <w:t>dauerhaft</w:t>
            </w:r>
          </w:p>
        </w:tc>
      </w:tr>
      <w:tr w:rsidR="00087528" w:rsidRPr="00DC29E0" w:rsidTr="00A27557">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5C77DA">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t>ohne</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5C77DA">
              <w:t>OZ 2</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t>45</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5C77DA">
              <w:t>50 €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Default="00087528" w:rsidP="00A27557">
            <w:pPr>
              <w:jc w:val="center"/>
            </w:pPr>
            <w:r w:rsidRPr="005C77DA">
              <w:t>dauerhaft</w:t>
            </w:r>
          </w:p>
        </w:tc>
      </w:tr>
      <w:tr w:rsidR="00087528" w:rsidRPr="00DC29E0" w:rsidTr="00A27557">
        <w:trPr>
          <w:trHeight w:val="270"/>
        </w:trPr>
        <w:tc>
          <w:tcPr>
            <w:tcW w:w="85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083A10">
              <w:t>15</w:t>
            </w:r>
          </w:p>
        </w:tc>
        <w:tc>
          <w:tcPr>
            <w:tcW w:w="1335"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083A10">
              <w:t>I b</w:t>
            </w:r>
          </w:p>
        </w:tc>
        <w:tc>
          <w:tcPr>
            <w:tcW w:w="1067"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083A10">
              <w:t>I a nach 8 Jahren</w:t>
            </w:r>
          </w:p>
        </w:tc>
        <w:tc>
          <w:tcPr>
            <w:tcW w:w="762"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083A10">
              <w:t>OZ 1</w:t>
            </w:r>
          </w:p>
        </w:tc>
        <w:tc>
          <w:tcPr>
            <w:tcW w:w="880"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083A10">
              <w:t>39</w:t>
            </w:r>
          </w:p>
        </w:tc>
        <w:tc>
          <w:tcPr>
            <w:tcW w:w="870"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083A10">
              <w:t>110 €</w:t>
            </w:r>
          </w:p>
        </w:tc>
        <w:tc>
          <w:tcPr>
            <w:tcW w:w="975" w:type="dxa"/>
            <w:tcBorders>
              <w:top w:val="nil"/>
              <w:left w:val="nil"/>
              <w:bottom w:val="single" w:sz="8" w:space="0" w:color="auto"/>
              <w:right w:val="single" w:sz="8" w:space="0" w:color="auto"/>
            </w:tcBorders>
            <w:tcMar>
              <w:top w:w="0" w:type="dxa"/>
              <w:left w:w="70" w:type="dxa"/>
              <w:bottom w:w="0" w:type="dxa"/>
              <w:right w:w="70" w:type="dxa"/>
            </w:tcMar>
            <w:vAlign w:val="center"/>
          </w:tcPr>
          <w:p w:rsidR="00087528" w:rsidRPr="00083A10" w:rsidRDefault="00087528" w:rsidP="00A27557">
            <w:pPr>
              <w:jc w:val="center"/>
            </w:pPr>
            <w:r w:rsidRPr="00083A10">
              <w:t>für 4 Jahre</w:t>
            </w:r>
          </w:p>
        </w:tc>
      </w:tr>
    </w:tbl>
    <w:p w:rsidR="005C77DA" w:rsidRPr="00A27557" w:rsidRDefault="005C77DA">
      <w:pPr>
        <w:pStyle w:val="StandardWeb"/>
        <w:rPr>
          <w:color w:val="010101"/>
          <w:sz w:val="8"/>
          <w:szCs w:val="8"/>
        </w:rPr>
      </w:pPr>
    </w:p>
    <w:p w:rsidR="00BE1EFE" w:rsidRPr="00CC06D0" w:rsidRDefault="00BE1EFE">
      <w:pPr>
        <w:pStyle w:val="StandardWeb"/>
        <w:rPr>
          <w:szCs w:val="16"/>
        </w:rPr>
      </w:pPr>
      <w:r w:rsidRPr="00CC06D0">
        <w:rPr>
          <w:color w:val="010101"/>
          <w:szCs w:val="16"/>
        </w:rPr>
        <w:br w:type="page"/>
      </w:r>
    </w:p>
    <w:tbl>
      <w:tblPr>
        <w:tblW w:w="6747" w:type="dxa"/>
        <w:tblCellMar>
          <w:left w:w="0" w:type="dxa"/>
          <w:right w:w="0" w:type="dxa"/>
        </w:tblCellMar>
        <w:tblLook w:val="04A0" w:firstRow="1" w:lastRow="0" w:firstColumn="1" w:lastColumn="0" w:noHBand="0" w:noVBand="1"/>
      </w:tblPr>
      <w:tblGrid>
        <w:gridCol w:w="881"/>
        <w:gridCol w:w="1300"/>
        <w:gridCol w:w="943"/>
        <w:gridCol w:w="849"/>
        <w:gridCol w:w="903"/>
        <w:gridCol w:w="892"/>
        <w:gridCol w:w="979"/>
      </w:tblGrid>
      <w:tr w:rsidR="00BE1EFE" w:rsidRPr="00CC06D0" w:rsidTr="00A27557">
        <w:trPr>
          <w:trHeight w:val="420"/>
        </w:trPr>
        <w:tc>
          <w:tcPr>
            <w:tcW w:w="881"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lastRenderedPageBreak/>
              <w:t>Entgelt-gruppe</w:t>
            </w:r>
          </w:p>
        </w:tc>
        <w:tc>
          <w:tcPr>
            <w:tcW w:w="130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Vergütungs-gruppe bei Inkrafttreten Teil A, 3.</w:t>
            </w:r>
          </w:p>
        </w:tc>
        <w:tc>
          <w:tcPr>
            <w:tcW w:w="943"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Aufstieg</w:t>
            </w:r>
          </w:p>
        </w:tc>
        <w:tc>
          <w:tcPr>
            <w:tcW w:w="849" w:type="dxa"/>
            <w:vMerge w:val="restart"/>
            <w:tcBorders>
              <w:top w:val="single" w:sz="8" w:space="0" w:color="auto"/>
              <w:left w:val="nil"/>
              <w:bottom w:val="single" w:sz="8" w:space="0" w:color="auto"/>
              <w:right w:val="single" w:sz="8" w:space="0" w:color="auto"/>
            </w:tcBorders>
            <w:tcMar>
              <w:top w:w="0" w:type="dxa"/>
              <w:left w:w="0" w:type="dxa"/>
              <w:bottom w:w="0" w:type="dxa"/>
              <w:right w:w="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Ortszu-schlag Stufe 1, 2</w:t>
            </w:r>
          </w:p>
        </w:tc>
        <w:tc>
          <w:tcPr>
            <w:tcW w:w="903"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Lebens-alters-stufe</w:t>
            </w:r>
          </w:p>
        </w:tc>
        <w:tc>
          <w:tcPr>
            <w:tcW w:w="89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Höhe Aus-gleichs-betrag</w:t>
            </w:r>
          </w:p>
        </w:tc>
        <w:tc>
          <w:tcPr>
            <w:tcW w:w="97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4275E">
            <w:pPr>
              <w:pStyle w:val="StandardWeb"/>
              <w:autoSpaceDE w:val="0"/>
              <w:jc w:val="center"/>
              <w:rPr>
                <w:szCs w:val="16"/>
              </w:rPr>
            </w:pPr>
            <w:r w:rsidRPr="00CC06D0">
              <w:rPr>
                <w:rStyle w:val="Fett"/>
                <w:rFonts w:cs="Arial"/>
                <w:bCs/>
                <w:szCs w:val="16"/>
              </w:rPr>
              <w:t>Dauer</w:t>
            </w:r>
          </w:p>
        </w:tc>
      </w:tr>
      <w:tr w:rsidR="00BE1EFE" w:rsidRPr="00CC06D0" w:rsidTr="00A27557">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49"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A2755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849" w:type="dxa"/>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A27557">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752"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506F4B">
            <w:pPr>
              <w:pStyle w:val="StandardWeb"/>
              <w:autoSpaceDE w:val="0"/>
              <w:jc w:val="center"/>
              <w:rPr>
                <w:szCs w:val="16"/>
              </w:rPr>
            </w:pPr>
            <w:r w:rsidRPr="00CC06D0">
              <w:rPr>
                <w:rStyle w:val="Fett"/>
                <w:rFonts w:cs="Arial"/>
                <w:bCs/>
                <w:szCs w:val="16"/>
              </w:rPr>
              <w:t>bei Inkrafttreten 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A27557">
        <w:trPr>
          <w:trHeight w:val="27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1752" w:type="dxa"/>
            <w:gridSpan w:val="2"/>
            <w:vMerge/>
            <w:tcBorders>
              <w:top w:val="nil"/>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CC06D0" w:rsidRDefault="00BE1EFE">
            <w:pPr>
              <w:rPr>
                <w:szCs w:val="16"/>
              </w:rPr>
            </w:pPr>
          </w:p>
        </w:tc>
      </w:tr>
      <w:tr w:rsidR="00BE1EFE" w:rsidRPr="00CC06D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A27557" w:rsidP="00876902">
            <w:pPr>
              <w:jc w:val="center"/>
              <w:rPr>
                <w:szCs w:val="16"/>
              </w:rPr>
            </w:pPr>
            <w:r>
              <w:rPr>
                <w:szCs w:val="16"/>
              </w:rPr>
              <w:t>15</w:t>
            </w: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I a nach 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OZ 1</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43</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CC06D0" w:rsidRDefault="00BE1EFE" w:rsidP="00876902">
            <w:pPr>
              <w:pStyle w:val="StandardWeb"/>
              <w:jc w:val="center"/>
              <w:rPr>
                <w:szCs w:val="16"/>
              </w:rPr>
            </w:pPr>
            <w:r w:rsidRPr="00CC06D0">
              <w:rPr>
                <w:rFonts w:cs="Arial"/>
                <w:szCs w:val="16"/>
              </w:rPr>
              <w:t>dauerhaft</w:t>
            </w:r>
          </w:p>
        </w:tc>
      </w:tr>
      <w:tr w:rsidR="00BE1EFE" w:rsidRPr="00CC06D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CC06D0">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CC06D0">
              <w:rPr>
                <w:rFonts w:cs="Arial"/>
                <w:szCs w:val="16"/>
              </w:rPr>
              <w:t>I a nach 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CC06D0">
              <w:rPr>
                <w:rFonts w:cs="Arial"/>
                <w:szCs w:val="16"/>
              </w:rPr>
              <w:t>OZ 1</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CC06D0">
              <w:rPr>
                <w:rFonts w:cs="Arial"/>
                <w:szCs w:val="16"/>
              </w:rPr>
              <w:t>45</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CC06D0">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CC06D0">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b/>
                <w:szCs w:val="16"/>
              </w:rPr>
            </w:pPr>
            <w:r w:rsidRPr="00A27557">
              <w:rPr>
                <w:rStyle w:val="Fett"/>
                <w:b w:val="0"/>
                <w:szCs w:val="16"/>
              </w:rPr>
              <w:t>15</w:t>
            </w: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37</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110 €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für 4 Jahre</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41</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43</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8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45</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r w:rsidRPr="00A27557">
              <w:rPr>
                <w:szCs w:val="16"/>
              </w:rPr>
              <w:t>15</w:t>
            </w: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4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1</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39</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110 €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für 4 Jahre</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4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1</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43</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4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1</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45</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b/>
                <w:szCs w:val="16"/>
              </w:rPr>
            </w:pPr>
            <w:r w:rsidRPr="00A27557">
              <w:rPr>
                <w:rStyle w:val="Fett"/>
                <w:b w:val="0"/>
                <w:szCs w:val="16"/>
              </w:rPr>
              <w:t>15</w:t>
            </w: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4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37</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110 €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für 4 Jahre</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4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41</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4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43</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b</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 a nach 4 Jahren</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45</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b/>
                <w:szCs w:val="16"/>
              </w:rPr>
            </w:pPr>
            <w:r w:rsidRPr="00A27557">
              <w:rPr>
                <w:rStyle w:val="Fett"/>
                <w:b w:val="0"/>
                <w:szCs w:val="16"/>
              </w:rPr>
              <w:t>15 Ü</w:t>
            </w: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ohne</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43</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r w:rsidR="00BE1EFE" w:rsidRPr="00DC29E0" w:rsidTr="00A27557">
        <w:trPr>
          <w:trHeight w:val="255"/>
        </w:trPr>
        <w:tc>
          <w:tcPr>
            <w:tcW w:w="881"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A27557" w:rsidRDefault="00BE1EFE" w:rsidP="006C781B">
            <w:pPr>
              <w:jc w:val="center"/>
              <w:rPr>
                <w:szCs w:val="16"/>
              </w:rPr>
            </w:pPr>
          </w:p>
        </w:tc>
        <w:tc>
          <w:tcPr>
            <w:tcW w:w="13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I</w:t>
            </w:r>
          </w:p>
        </w:tc>
        <w:tc>
          <w:tcPr>
            <w:tcW w:w="94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ohne</w:t>
            </w:r>
          </w:p>
        </w:tc>
        <w:tc>
          <w:tcPr>
            <w:tcW w:w="8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OZ 2</w:t>
            </w:r>
          </w:p>
        </w:tc>
        <w:tc>
          <w:tcPr>
            <w:tcW w:w="90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45</w:t>
            </w:r>
          </w:p>
        </w:tc>
        <w:tc>
          <w:tcPr>
            <w:tcW w:w="8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50 €</w:t>
            </w:r>
          </w:p>
        </w:tc>
        <w:tc>
          <w:tcPr>
            <w:tcW w:w="97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6C781B" w:rsidRDefault="00BE1EFE" w:rsidP="006C781B">
            <w:pPr>
              <w:pStyle w:val="StandardWeb"/>
              <w:jc w:val="center"/>
              <w:rPr>
                <w:rFonts w:cs="Arial"/>
                <w:szCs w:val="16"/>
              </w:rPr>
            </w:pPr>
            <w:r w:rsidRPr="007F1895">
              <w:rPr>
                <w:rFonts w:cs="Arial"/>
                <w:szCs w:val="16"/>
              </w:rPr>
              <w:t>dauerhaft</w:t>
            </w:r>
          </w:p>
        </w:tc>
      </w:tr>
    </w:tbl>
    <w:p w:rsidR="00087528" w:rsidRDefault="00087528" w:rsidP="006C781B">
      <w:pPr>
        <w:pStyle w:val="StandardWeb"/>
      </w:pPr>
      <w:r>
        <w:br w:type="page"/>
      </w:r>
    </w:p>
    <w:p w:rsidR="00BE1EFE" w:rsidRPr="007B615A" w:rsidRDefault="00BE1EFE" w:rsidP="006C781B">
      <w:pPr>
        <w:pStyle w:val="StandardWeb"/>
      </w:pPr>
    </w:p>
    <w:p w:rsidR="00BE1EFE" w:rsidRDefault="00BE1EFE">
      <w:pPr>
        <w:pStyle w:val="berschrift6"/>
      </w:pPr>
      <w:bookmarkStart w:id="691" w:name="_Toc523926224"/>
      <w:r>
        <w:t>Anlage 3 A: Strukturausgleiche für Angestellte (pädagogisches Personal in Kindertageseinrichtungen)</w:t>
      </w:r>
      <w:bookmarkEnd w:id="691"/>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Abschnitt B Absatz 5 b bzw. 5 d Teil A, 1. in der bis zum 30.09.2005 geltenden Fassung bemisst, erhalten den entsprechenden Anteil, in jedem Fall aber die Hälfte des Strukturausgleichs für Verheiratete.</w:t>
      </w:r>
    </w:p>
    <w:p w:rsidR="00BE1EFE" w:rsidRDefault="00BE1EFE">
      <w:pPr>
        <w:pStyle w:val="StandardWeb"/>
      </w:pPr>
      <w:r>
        <w:rPr>
          <w:rStyle w:val="kleinschrift"/>
        </w:rPr>
        <w:t>2</w:t>
      </w:r>
      <w:r>
        <w:t xml:space="preserve">Soweit nicht anders ausgewiesen, beginnt die Zahlung des Strukturausgleichs am 1. Oktober 2007. </w:t>
      </w:r>
      <w:r>
        <w:rPr>
          <w:rStyle w:val="kleinschrift"/>
        </w:rPr>
        <w:t>3</w:t>
      </w:r>
      <w:r>
        <w:t xml:space="preserve">Die Angabe „nach ... Jahren“ bedeutet, dass die Zahlung nach den genannten Jahren ab dem In-Kraft-Treten des ABD in der ab dem 01.10.2005 geltenden Fassung beginnt; so wird z. B. bei dem Merkmal „nach 4 Jahren“ der Zahlungsbeginn auf den 1. Oktober 2009 festgelegt, wobei die Auszahlung eines Strukturausgleichs mit den jeweiligen Monatsbezügen erfolgt. </w:t>
      </w:r>
      <w:r>
        <w:rPr>
          <w:rStyle w:val="kleinschrift"/>
        </w:rPr>
        <w:t>4</w:t>
      </w:r>
      <w:r>
        <w:t>Die Dauer der Zahlung ist ebenfalls angegeben; dabei bedeutet „dauerhaft“ die Zahlung während der Zeit des Arbeitsverhältnisses.</w:t>
      </w:r>
    </w:p>
    <w:p w:rsidR="00BE1EFE" w:rsidRDefault="00BE1EFE">
      <w:pPr>
        <w:pStyle w:val="StandardWeb"/>
      </w:pPr>
      <w:r>
        <w:rPr>
          <w:rStyle w:val="kleinschrift"/>
        </w:rPr>
        <w:t>5</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6</w:t>
      </w:r>
      <w:r>
        <w:t xml:space="preserve">Eine Ausnahme besteht dann, wenn das Ende des Zahlungszeitraumes nicht mit einem Stufenaufstieg in der jeweiligen Entgeltgruppe zeitlich zusammenfällt; in diesen Fällen wird der Strukturausgleich bis zum nächsten Stufenaufstieg fortgezahlt. </w:t>
      </w:r>
      <w:r>
        <w:rPr>
          <w:rStyle w:val="kleinschrift"/>
        </w:rPr>
        <w:t>7</w:t>
      </w:r>
      <w:r>
        <w:t>Diese Ausnahmereglung gilt nicht, wenn der Stufenaufstieg in die Endstufe erfolgt; in diesen Fällen bleibt es bei der festgelegten Dauer.</w:t>
      </w:r>
    </w:p>
    <w:p w:rsidR="00BE1EFE" w:rsidRPr="000B1AF8" w:rsidRDefault="00BE1EFE">
      <w:pPr>
        <w:pStyle w:val="StandardWeb"/>
      </w:pPr>
      <w:r>
        <w:rPr>
          <w:rStyle w:val="kleinschrift"/>
        </w:rPr>
        <w:t>8</w:t>
      </w:r>
      <w:r>
        <w:t xml:space="preserve">Betrifft die Zahlung eines Strukturausgleichs eine Vergütungsgruppe (Fallgruppe) mit Bewährungs- bzw. Zeitaufstieg, wird dies ebenfalls angegeben. </w:t>
      </w:r>
      <w:r>
        <w:rPr>
          <w:rStyle w:val="kleinschrift"/>
        </w:rPr>
        <w:t>9</w:t>
      </w:r>
      <w:r>
        <w:t>Soweit keine Aufstiegszeiten angegeben sind, gelten die Ausgleichsbeträge für alle Aufstiege.</w:t>
      </w:r>
    </w:p>
    <w:p w:rsidR="00BE1EFE" w:rsidRDefault="00BE1EFE">
      <w:pPr>
        <w:pStyle w:val="StandardWeb"/>
      </w:pPr>
    </w:p>
    <w:tbl>
      <w:tblPr>
        <w:tblW w:w="4950" w:type="pct"/>
        <w:tblCellMar>
          <w:left w:w="0" w:type="dxa"/>
          <w:right w:w="0" w:type="dxa"/>
        </w:tblCellMar>
        <w:tblLook w:val="04A0" w:firstRow="1" w:lastRow="0" w:firstColumn="1" w:lastColumn="0" w:noHBand="0" w:noVBand="1"/>
      </w:tblPr>
      <w:tblGrid>
        <w:gridCol w:w="531"/>
        <w:gridCol w:w="1180"/>
        <w:gridCol w:w="1039"/>
        <w:gridCol w:w="1277"/>
        <w:gridCol w:w="938"/>
        <w:gridCol w:w="1007"/>
        <w:gridCol w:w="791"/>
      </w:tblGrid>
      <w:tr w:rsidR="00BE1EFE" w:rsidRPr="00F77815" w:rsidTr="00C120D3">
        <w:trPr>
          <w:trHeight w:hRule="exact" w:val="227"/>
        </w:trPr>
        <w:tc>
          <w:tcPr>
            <w:tcW w:w="531"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EG</w:t>
            </w:r>
          </w:p>
        </w:tc>
        <w:tc>
          <w:tcPr>
            <w:tcW w:w="1180"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Vergütungs-gruppe</w:t>
            </w:r>
          </w:p>
        </w:tc>
        <w:tc>
          <w:tcPr>
            <w:tcW w:w="1039"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Orts-Zuschlag Stufe 1/2</w:t>
            </w:r>
          </w:p>
        </w:tc>
        <w:tc>
          <w:tcPr>
            <w:tcW w:w="1277"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Überleitung aus Stufe</w:t>
            </w:r>
          </w:p>
        </w:tc>
        <w:tc>
          <w:tcPr>
            <w:tcW w:w="938"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nach</w:t>
            </w:r>
          </w:p>
        </w:tc>
        <w:tc>
          <w:tcPr>
            <w:tcW w:w="1007"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für</w:t>
            </w:r>
          </w:p>
        </w:tc>
        <w:tc>
          <w:tcPr>
            <w:tcW w:w="791"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Betrag</w:t>
            </w:r>
          </w:p>
        </w:tc>
      </w:tr>
      <w:tr w:rsidR="00BE1EFE" w:rsidRPr="00F77815" w:rsidTr="00980322">
        <w:trPr>
          <w:trHeight w:val="276"/>
        </w:trPr>
        <w:tc>
          <w:tcPr>
            <w:tcW w:w="531" w:type="dxa"/>
            <w:vMerge/>
            <w:tcBorders>
              <w:top w:val="single" w:sz="8" w:space="0" w:color="auto"/>
              <w:left w:val="single" w:sz="8" w:space="0" w:color="auto"/>
              <w:bottom w:val="nil"/>
              <w:right w:val="single" w:sz="8" w:space="0" w:color="auto"/>
            </w:tcBorders>
            <w:vAlign w:val="center"/>
            <w:hideMark/>
          </w:tcPr>
          <w:p w:rsidR="00BE1EFE" w:rsidRPr="00F77815" w:rsidRDefault="00BE1EFE">
            <w:pPr>
              <w:rPr>
                <w:szCs w:val="16"/>
              </w:rPr>
            </w:pPr>
          </w:p>
        </w:tc>
        <w:tc>
          <w:tcPr>
            <w:tcW w:w="1180" w:type="dxa"/>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r>
      <w:tr w:rsidR="00BE1EFE" w:rsidRPr="00F77815" w:rsidTr="00980322">
        <w:trPr>
          <w:trHeight w:val="276"/>
        </w:trPr>
        <w:tc>
          <w:tcPr>
            <w:tcW w:w="531" w:type="dxa"/>
            <w:vMerge/>
            <w:tcBorders>
              <w:top w:val="single" w:sz="8" w:space="0" w:color="auto"/>
              <w:left w:val="single" w:sz="8" w:space="0" w:color="auto"/>
              <w:bottom w:val="nil"/>
              <w:right w:val="single" w:sz="8" w:space="0" w:color="auto"/>
            </w:tcBorders>
            <w:vAlign w:val="center"/>
            <w:hideMark/>
          </w:tcPr>
          <w:p w:rsidR="00BE1EFE" w:rsidRPr="00F77815" w:rsidRDefault="00BE1EFE">
            <w:pPr>
              <w:rPr>
                <w:szCs w:val="16"/>
              </w:rPr>
            </w:pPr>
          </w:p>
        </w:tc>
        <w:tc>
          <w:tcPr>
            <w:tcW w:w="1180" w:type="dxa"/>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r>
      <w:tr w:rsidR="00BE1EFE" w:rsidRPr="00F77815" w:rsidTr="00C120D3">
        <w:trPr>
          <w:trHeight w:val="184"/>
        </w:trPr>
        <w:tc>
          <w:tcPr>
            <w:tcW w:w="531" w:type="dxa"/>
            <w:vMerge/>
            <w:tcBorders>
              <w:top w:val="single" w:sz="8" w:space="0" w:color="auto"/>
              <w:left w:val="single" w:sz="8" w:space="0" w:color="auto"/>
              <w:bottom w:val="nil"/>
              <w:right w:val="single" w:sz="8" w:space="0" w:color="auto"/>
            </w:tcBorders>
            <w:vAlign w:val="center"/>
            <w:hideMark/>
          </w:tcPr>
          <w:p w:rsidR="00BE1EFE" w:rsidRPr="00F77815" w:rsidRDefault="00BE1EFE">
            <w:pPr>
              <w:rPr>
                <w:szCs w:val="16"/>
              </w:rPr>
            </w:pPr>
          </w:p>
        </w:tc>
        <w:tc>
          <w:tcPr>
            <w:tcW w:w="1180" w:type="dxa"/>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r>
      <w:tr w:rsidR="00BE1EFE" w:rsidRPr="00F77815" w:rsidTr="00980322">
        <w:trPr>
          <w:trHeight w:val="270"/>
        </w:trPr>
        <w:tc>
          <w:tcPr>
            <w:tcW w:w="531"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087528" w:rsidRDefault="00BE1EFE" w:rsidP="0054275E">
            <w:pPr>
              <w:autoSpaceDE w:val="0"/>
              <w:jc w:val="center"/>
              <w:rPr>
                <w:b/>
                <w:szCs w:val="16"/>
              </w:rPr>
            </w:pPr>
            <w:r w:rsidRPr="00087528">
              <w:rPr>
                <w:rStyle w:val="Fett"/>
                <w:rFonts w:cs="Arial"/>
                <w:b w:val="0"/>
                <w:bCs/>
                <w:szCs w:val="16"/>
              </w:rPr>
              <w:t>15 Ü</w:t>
            </w:r>
          </w:p>
        </w:tc>
        <w:tc>
          <w:tcPr>
            <w:tcW w:w="118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w:t>
            </w:r>
          </w:p>
        </w:tc>
        <w:tc>
          <w:tcPr>
            <w:tcW w:w="1039"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77"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9</w:t>
            </w:r>
          </w:p>
        </w:tc>
        <w:tc>
          <w:tcPr>
            <w:tcW w:w="93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087528" w:rsidP="00876902">
            <w:pPr>
              <w:jc w:val="center"/>
              <w:rPr>
                <w:szCs w:val="16"/>
              </w:rPr>
            </w:pPr>
            <w:r>
              <w:rPr>
                <w:rFonts w:cs="Arial"/>
                <w:szCs w:val="16"/>
              </w:rPr>
              <w:t xml:space="preserve">2 </w:t>
            </w:r>
            <w:r w:rsidR="00BE1EFE" w:rsidRPr="00F77815">
              <w:rPr>
                <w:rFonts w:cs="Arial"/>
                <w:szCs w:val="16"/>
              </w:rPr>
              <w:t>Jahren</w:t>
            </w:r>
          </w:p>
        </w:tc>
        <w:tc>
          <w:tcPr>
            <w:tcW w:w="1007"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 Jahre</w:t>
            </w:r>
          </w:p>
        </w:tc>
        <w:tc>
          <w:tcPr>
            <w:tcW w:w="791"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130,- €</w:t>
            </w:r>
          </w:p>
        </w:tc>
      </w:tr>
      <w:tr w:rsidR="00BE1EFE" w:rsidRPr="00F77815" w:rsidTr="00980322">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876902">
            <w:pPr>
              <w:jc w:val="center"/>
              <w:rPr>
                <w:b/>
                <w:szCs w:val="16"/>
              </w:rPr>
            </w:pP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w:t>
            </w:r>
          </w:p>
        </w:tc>
        <w:tc>
          <w:tcPr>
            <w:tcW w:w="103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w:t>
            </w:r>
          </w:p>
        </w:tc>
        <w:tc>
          <w:tcPr>
            <w:tcW w:w="93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100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dauerhaft</w:t>
            </w:r>
          </w:p>
        </w:tc>
        <w:tc>
          <w:tcPr>
            <w:tcW w:w="79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50,- €</w:t>
            </w:r>
          </w:p>
        </w:tc>
      </w:tr>
      <w:tr w:rsidR="00BE1EFE" w:rsidRPr="00F77815" w:rsidTr="00980322">
        <w:trPr>
          <w:trHeight w:val="270"/>
        </w:trPr>
        <w:tc>
          <w:tcPr>
            <w:tcW w:w="531" w:type="dxa"/>
            <w:tcBorders>
              <w:top w:val="nil"/>
              <w:left w:val="single" w:sz="8" w:space="0" w:color="auto"/>
              <w:bottom w:val="nil"/>
              <w:right w:val="single" w:sz="8" w:space="0" w:color="auto"/>
            </w:tcBorders>
            <w:tcMar>
              <w:top w:w="0" w:type="dxa"/>
              <w:left w:w="70" w:type="dxa"/>
              <w:bottom w:w="0" w:type="dxa"/>
              <w:right w:w="70" w:type="dxa"/>
            </w:tcMar>
            <w:vAlign w:val="center"/>
          </w:tcPr>
          <w:p w:rsidR="00BE1EFE" w:rsidRPr="00F77815" w:rsidRDefault="00BE1EFE" w:rsidP="00876902">
            <w:pPr>
              <w:jc w:val="center"/>
              <w:rPr>
                <w:b/>
                <w:szCs w:val="16"/>
              </w:rPr>
            </w:pPr>
          </w:p>
        </w:tc>
        <w:tc>
          <w:tcPr>
            <w:tcW w:w="1180" w:type="dxa"/>
            <w:tcBorders>
              <w:top w:val="nil"/>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77" w:type="dxa"/>
            <w:tcBorders>
              <w:top w:val="nil"/>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10</w:t>
            </w:r>
          </w:p>
        </w:tc>
        <w:tc>
          <w:tcPr>
            <w:tcW w:w="9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dauerhaft</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50,- €</w:t>
            </w:r>
          </w:p>
        </w:tc>
      </w:tr>
      <w:tr w:rsidR="00BE1EFE" w:rsidRPr="00F77815" w:rsidTr="00980322">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876902">
            <w:pPr>
              <w:jc w:val="center"/>
              <w:rPr>
                <w:b/>
                <w:szCs w:val="16"/>
              </w:rPr>
            </w:pP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11</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dauerhaft</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50,- €</w:t>
            </w:r>
          </w:p>
        </w:tc>
      </w:tr>
      <w:tr w:rsidR="00980322" w:rsidRPr="00F77815" w:rsidTr="00980322">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980322" w:rsidRPr="00980322" w:rsidRDefault="00980322" w:rsidP="00980322">
            <w:pPr>
              <w:jc w:val="center"/>
              <w:rPr>
                <w:b/>
                <w:szCs w:val="16"/>
              </w:rPr>
            </w:pPr>
            <w:r w:rsidRPr="00980322">
              <w:rPr>
                <w:rStyle w:val="Fett"/>
                <w:b w:val="0"/>
                <w:szCs w:val="16"/>
              </w:rPr>
              <w:t>15</w:t>
            </w: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I a</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OZ 1</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6</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2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4 Jahre</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60,- €</w:t>
            </w:r>
          </w:p>
        </w:tc>
      </w:tr>
      <w:tr w:rsidR="00980322" w:rsidRPr="00F77815" w:rsidTr="00980322">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980322" w:rsidRPr="00980322" w:rsidRDefault="00980322" w:rsidP="009752DE">
            <w:pPr>
              <w:jc w:val="center"/>
              <w:rPr>
                <w:b/>
                <w:szCs w:val="16"/>
              </w:rPr>
            </w:pP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I a</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OZ 1</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8</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4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dauerhaft</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30,- €</w:t>
            </w:r>
          </w:p>
        </w:tc>
      </w:tr>
      <w:tr w:rsidR="00980322" w:rsidRPr="00F77815" w:rsidTr="00980322">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980322" w:rsidRPr="00980322" w:rsidRDefault="00980322" w:rsidP="009752DE">
            <w:pPr>
              <w:jc w:val="center"/>
              <w:rPr>
                <w:b/>
                <w:szCs w:val="16"/>
              </w:rPr>
            </w:pP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I a</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OZ 1</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9</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2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für 5 Jahre danach</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Default="00980322" w:rsidP="009752DE">
            <w:pPr>
              <w:jc w:val="center"/>
              <w:rPr>
                <w:rFonts w:cs="Arial"/>
                <w:szCs w:val="16"/>
              </w:rPr>
            </w:pPr>
            <w:r w:rsidRPr="00F77815">
              <w:rPr>
                <w:rFonts w:cs="Arial"/>
                <w:szCs w:val="16"/>
              </w:rPr>
              <w:t>90,- €</w:t>
            </w:r>
          </w:p>
          <w:p w:rsidR="00980322" w:rsidRPr="00980322" w:rsidRDefault="00980322" w:rsidP="009752DE">
            <w:pPr>
              <w:jc w:val="center"/>
              <w:rPr>
                <w:rFonts w:cs="Arial"/>
                <w:szCs w:val="16"/>
              </w:rPr>
            </w:pPr>
            <w:r>
              <w:rPr>
                <w:rFonts w:cs="Arial"/>
                <w:szCs w:val="16"/>
              </w:rPr>
              <w:t>30, -€</w:t>
            </w:r>
          </w:p>
        </w:tc>
      </w:tr>
      <w:tr w:rsidR="00980322" w:rsidRPr="00F77815" w:rsidTr="00980322">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980322" w:rsidRPr="00980322" w:rsidRDefault="00980322" w:rsidP="009752DE">
            <w:pPr>
              <w:jc w:val="center"/>
              <w:rPr>
                <w:b/>
                <w:szCs w:val="16"/>
              </w:rPr>
            </w:pP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I a</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OZ 1</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10</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4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dauerhaft</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30,- €</w:t>
            </w:r>
          </w:p>
        </w:tc>
      </w:tr>
      <w:tr w:rsidR="00980322" w:rsidRPr="00F77815" w:rsidTr="00980322">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980322" w:rsidRPr="00980322" w:rsidRDefault="00980322" w:rsidP="009752DE">
            <w:pPr>
              <w:jc w:val="center"/>
              <w:rPr>
                <w:b/>
                <w:szCs w:val="16"/>
              </w:rPr>
            </w:pP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I a</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OZ 1</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11</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2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dauerhaft</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30,- €</w:t>
            </w:r>
          </w:p>
        </w:tc>
      </w:tr>
      <w:tr w:rsidR="00980322" w:rsidRPr="00F77815" w:rsidTr="00980322">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980322" w:rsidRPr="00980322" w:rsidRDefault="00980322" w:rsidP="009752DE">
            <w:pPr>
              <w:jc w:val="center"/>
              <w:rPr>
                <w:szCs w:val="16"/>
              </w:rPr>
            </w:pPr>
            <w:r w:rsidRPr="00980322">
              <w:rPr>
                <w:szCs w:val="16"/>
              </w:rPr>
              <w:t>15</w:t>
            </w: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I a</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OZ 2</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6</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2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Pr="00980322" w:rsidRDefault="00980322" w:rsidP="009752DE">
            <w:pPr>
              <w:jc w:val="center"/>
              <w:rPr>
                <w:rFonts w:cs="Arial"/>
                <w:szCs w:val="16"/>
              </w:rPr>
            </w:pPr>
            <w:r w:rsidRPr="00F77815">
              <w:rPr>
                <w:rFonts w:cs="Arial"/>
                <w:szCs w:val="16"/>
              </w:rPr>
              <w:t>für 4 Jahre danach</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80322" w:rsidRDefault="00980322" w:rsidP="009752DE">
            <w:pPr>
              <w:jc w:val="center"/>
              <w:rPr>
                <w:rFonts w:cs="Arial"/>
                <w:szCs w:val="16"/>
              </w:rPr>
            </w:pPr>
            <w:r w:rsidRPr="00F77815">
              <w:rPr>
                <w:rFonts w:cs="Arial"/>
                <w:szCs w:val="16"/>
              </w:rPr>
              <w:t>110,- €</w:t>
            </w:r>
          </w:p>
          <w:p w:rsidR="00980322" w:rsidRPr="00980322" w:rsidRDefault="00980322" w:rsidP="009752DE">
            <w:pPr>
              <w:jc w:val="center"/>
              <w:rPr>
                <w:rFonts w:cs="Arial"/>
                <w:szCs w:val="16"/>
              </w:rPr>
            </w:pPr>
            <w:r>
              <w:rPr>
                <w:rFonts w:cs="Arial"/>
                <w:szCs w:val="16"/>
              </w:rPr>
              <w:t>60, - €</w:t>
            </w:r>
          </w:p>
        </w:tc>
      </w:tr>
      <w:tr w:rsidR="00C120D3" w:rsidRPr="00F77815" w:rsidTr="00C120D3">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C120D3" w:rsidRPr="00087528" w:rsidRDefault="00C120D3" w:rsidP="00C120D3">
            <w:pPr>
              <w:jc w:val="center"/>
              <w:rPr>
                <w:szCs w:val="16"/>
              </w:rPr>
            </w:pPr>
            <w:r>
              <w:rPr>
                <w:szCs w:val="16"/>
              </w:rPr>
              <w:t>15</w:t>
            </w: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C120D3">
              <w:rPr>
                <w:rFonts w:cs="Arial"/>
                <w:szCs w:val="16"/>
              </w:rPr>
              <w:t>I a</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C120D3">
              <w:rPr>
                <w:rFonts w:cs="Arial"/>
                <w:szCs w:val="16"/>
              </w:rPr>
              <w:t>OZ 2</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C120D3">
              <w:rPr>
                <w:rFonts w:cs="Arial"/>
                <w:szCs w:val="16"/>
              </w:rPr>
              <w:t>7</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C120D3">
              <w:rPr>
                <w:rFonts w:cs="Arial"/>
                <w:szCs w:val="16"/>
              </w:rPr>
              <w:t>4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C120D3">
              <w:rPr>
                <w:rFonts w:cs="Arial"/>
                <w:szCs w:val="16"/>
              </w:rPr>
              <w:t>dauerhaft</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C120D3">
              <w:rPr>
                <w:rFonts w:cs="Arial"/>
                <w:szCs w:val="16"/>
              </w:rPr>
              <w:t>50,- €</w:t>
            </w:r>
          </w:p>
        </w:tc>
      </w:tr>
      <w:tr w:rsidR="00C120D3" w:rsidRPr="00F77815" w:rsidTr="00C120D3">
        <w:trPr>
          <w:trHeight w:val="270"/>
        </w:trPr>
        <w:tc>
          <w:tcPr>
            <w:tcW w:w="531"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C120D3" w:rsidRPr="00087528" w:rsidRDefault="00C120D3" w:rsidP="009752DE">
            <w:pPr>
              <w:jc w:val="center"/>
              <w:rPr>
                <w:szCs w:val="16"/>
              </w:rPr>
            </w:pPr>
          </w:p>
        </w:tc>
        <w:tc>
          <w:tcPr>
            <w:tcW w:w="118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F77815">
              <w:rPr>
                <w:rFonts w:cs="Arial"/>
                <w:szCs w:val="16"/>
              </w:rPr>
              <w:t>l a</w:t>
            </w:r>
          </w:p>
        </w:tc>
        <w:tc>
          <w:tcPr>
            <w:tcW w:w="10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F77815">
              <w:rPr>
                <w:rFonts w:cs="Arial"/>
                <w:szCs w:val="16"/>
              </w:rPr>
              <w:t>OZ 2</w:t>
            </w:r>
          </w:p>
        </w:tc>
        <w:tc>
          <w:tcPr>
            <w:tcW w:w="127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F77815">
              <w:rPr>
                <w:rFonts w:cs="Arial"/>
                <w:szCs w:val="16"/>
              </w:rPr>
              <w:t>8</w:t>
            </w:r>
          </w:p>
        </w:tc>
        <w:tc>
          <w:tcPr>
            <w:tcW w:w="9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F77815">
              <w:rPr>
                <w:rFonts w:cs="Arial"/>
                <w:szCs w:val="16"/>
              </w:rPr>
              <w:t>2 Jahren</w:t>
            </w:r>
          </w:p>
        </w:tc>
        <w:tc>
          <w:tcPr>
            <w:tcW w:w="100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F77815">
              <w:rPr>
                <w:rFonts w:cs="Arial"/>
                <w:szCs w:val="16"/>
              </w:rPr>
              <w:t>dauerhaft</w:t>
            </w:r>
          </w:p>
        </w:tc>
        <w:tc>
          <w:tcPr>
            <w:tcW w:w="7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C120D3" w:rsidRPr="00C120D3" w:rsidRDefault="00C120D3" w:rsidP="009752DE">
            <w:pPr>
              <w:jc w:val="center"/>
              <w:rPr>
                <w:rFonts w:cs="Arial"/>
                <w:szCs w:val="16"/>
              </w:rPr>
            </w:pPr>
            <w:r w:rsidRPr="00F77815">
              <w:rPr>
                <w:rFonts w:cs="Arial"/>
                <w:szCs w:val="16"/>
              </w:rPr>
              <w:t>80,- €</w:t>
            </w:r>
          </w:p>
        </w:tc>
      </w:tr>
    </w:tbl>
    <w:p w:rsidR="00BE1EFE" w:rsidRPr="00F77815" w:rsidRDefault="00BE1EFE">
      <w:pPr>
        <w:pStyle w:val="StandardWeb"/>
        <w:rPr>
          <w:szCs w:val="16"/>
        </w:rPr>
      </w:pPr>
      <w:r w:rsidRPr="00F77815">
        <w:rPr>
          <w:color w:val="010101"/>
          <w:szCs w:val="16"/>
        </w:rPr>
        <w:br w:type="page"/>
      </w:r>
    </w:p>
    <w:tbl>
      <w:tblPr>
        <w:tblW w:w="4810" w:type="pct"/>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F77815" w:rsidTr="00C120D3">
        <w:trPr>
          <w:trHeight w:hRule="exact" w:val="227"/>
        </w:trPr>
        <w:tc>
          <w:tcPr>
            <w:tcW w:w="423"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lastRenderedPageBreak/>
              <w:t>EG</w:t>
            </w:r>
          </w:p>
        </w:tc>
        <w:tc>
          <w:tcPr>
            <w:tcW w:w="1292"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Vergütungs-gruppe</w:t>
            </w:r>
          </w:p>
        </w:tc>
        <w:tc>
          <w:tcPr>
            <w:tcW w:w="999"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Orts-Zuschlag Stufe 1/2</w:t>
            </w:r>
          </w:p>
        </w:tc>
        <w:tc>
          <w:tcPr>
            <w:tcW w:w="1228"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Überleitung aus Stufe</w:t>
            </w:r>
          </w:p>
        </w:tc>
        <w:tc>
          <w:tcPr>
            <w:tcW w:w="902"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nach</w:t>
            </w:r>
          </w:p>
        </w:tc>
        <w:tc>
          <w:tcPr>
            <w:tcW w:w="967"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für</w:t>
            </w:r>
          </w:p>
        </w:tc>
        <w:tc>
          <w:tcPr>
            <w:tcW w:w="76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Betrag</w:t>
            </w:r>
          </w:p>
        </w:tc>
      </w:tr>
      <w:tr w:rsidR="00BE1EFE" w:rsidRPr="00F77815" w:rsidTr="00980322">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r>
      <w:tr w:rsidR="00BE1EFE" w:rsidRPr="00F77815" w:rsidTr="00980322">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r>
      <w:tr w:rsidR="00BE1EFE" w:rsidRPr="00F77815" w:rsidTr="00980322">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C120D3" w:rsidP="00876902">
            <w:pPr>
              <w:jc w:val="center"/>
              <w:rPr>
                <w:szCs w:val="16"/>
              </w:rPr>
            </w:pPr>
            <w:r>
              <w:rPr>
                <w:szCs w:val="16"/>
              </w:rPr>
              <w:t>15</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 a</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80,- €</w:t>
            </w: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 a</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10</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80,- €</w:t>
            </w: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54275E">
            <w:pPr>
              <w:autoSpaceDE w:val="0"/>
              <w:jc w:val="center"/>
              <w:rPr>
                <w:b/>
                <w:szCs w:val="16"/>
              </w:rPr>
            </w:pPr>
            <w:r w:rsidRPr="00087528">
              <w:rPr>
                <w:rStyle w:val="Fett"/>
                <w:rFonts w:cs="Arial"/>
                <w:b w:val="0"/>
                <w:bCs/>
                <w:szCs w:val="16"/>
              </w:rPr>
              <w:t>14</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50,- €</w:t>
            </w: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50,- €</w:t>
            </w:r>
          </w:p>
        </w:tc>
      </w:tr>
      <w:tr w:rsidR="00BE1EFE" w:rsidRPr="00F77815" w:rsidTr="00C120D3">
        <w:trPr>
          <w:trHeight w:val="170"/>
        </w:trPr>
        <w:tc>
          <w:tcPr>
            <w:tcW w:w="423"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FB310F" w:rsidP="00876902">
            <w:pPr>
              <w:jc w:val="center"/>
              <w:rPr>
                <w:szCs w:val="16"/>
              </w:rPr>
            </w:pPr>
            <w:r w:rsidRPr="00087528">
              <w:rPr>
                <w:szCs w:val="16"/>
              </w:rPr>
              <w:t>14</w:t>
            </w:r>
          </w:p>
        </w:tc>
        <w:tc>
          <w:tcPr>
            <w:tcW w:w="129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 b</w:t>
            </w:r>
          </w:p>
        </w:tc>
        <w:tc>
          <w:tcPr>
            <w:tcW w:w="99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w:t>
            </w:r>
          </w:p>
        </w:tc>
        <w:tc>
          <w:tcPr>
            <w:tcW w:w="90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Jahre danach</w:t>
            </w:r>
          </w:p>
        </w:tc>
        <w:tc>
          <w:tcPr>
            <w:tcW w:w="760" w:type="dxa"/>
            <w:tcBorders>
              <w:top w:val="nil"/>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130,- €</w:t>
            </w:r>
          </w:p>
        </w:tc>
      </w:tr>
      <w:tr w:rsidR="00BE1EFE" w:rsidRPr="00F77815" w:rsidTr="00C120D3">
        <w:trPr>
          <w:trHeight w:val="170"/>
        </w:trPr>
        <w:tc>
          <w:tcPr>
            <w:tcW w:w="0" w:type="auto"/>
            <w:vMerge/>
            <w:tcBorders>
              <w:top w:val="nil"/>
              <w:left w:val="single" w:sz="8" w:space="0" w:color="auto"/>
              <w:bottom w:val="single" w:sz="8" w:space="0" w:color="auto"/>
              <w:right w:val="single" w:sz="8" w:space="0" w:color="auto"/>
            </w:tcBorders>
            <w:vAlign w:val="center"/>
            <w:hideMark/>
          </w:tcPr>
          <w:p w:rsidR="00BE1EFE" w:rsidRPr="00087528"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20,-€</w:t>
            </w:r>
          </w:p>
        </w:tc>
      </w:tr>
      <w:tr w:rsidR="00BE1EFE" w:rsidRPr="00F77815" w:rsidTr="00C120D3">
        <w:trPr>
          <w:trHeight w:val="170"/>
        </w:trPr>
        <w:tc>
          <w:tcPr>
            <w:tcW w:w="423"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 b</w:t>
            </w:r>
          </w:p>
        </w:tc>
        <w:tc>
          <w:tcPr>
            <w:tcW w:w="99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7</w:t>
            </w:r>
          </w:p>
        </w:tc>
        <w:tc>
          <w:tcPr>
            <w:tcW w:w="90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 Jahre danach</w:t>
            </w:r>
          </w:p>
        </w:tc>
        <w:tc>
          <w:tcPr>
            <w:tcW w:w="760" w:type="dxa"/>
            <w:tcBorders>
              <w:top w:val="nil"/>
              <w:left w:val="nil"/>
              <w:bottom w:val="nil"/>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90,- €</w:t>
            </w:r>
          </w:p>
        </w:tc>
      </w:tr>
      <w:tr w:rsidR="00BE1EFE" w:rsidRPr="00F77815" w:rsidTr="00C120D3">
        <w:trPr>
          <w:trHeight w:val="170"/>
        </w:trPr>
        <w:tc>
          <w:tcPr>
            <w:tcW w:w="0" w:type="auto"/>
            <w:vMerge/>
            <w:tcBorders>
              <w:top w:val="nil"/>
              <w:left w:val="single" w:sz="8" w:space="0" w:color="auto"/>
              <w:bottom w:val="single" w:sz="8" w:space="0" w:color="auto"/>
              <w:right w:val="single" w:sz="8" w:space="0" w:color="auto"/>
            </w:tcBorders>
            <w:vAlign w:val="center"/>
            <w:hideMark/>
          </w:tcPr>
          <w:p w:rsidR="00BE1EFE" w:rsidRPr="00087528"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40,- €</w:t>
            </w:r>
          </w:p>
        </w:tc>
      </w:tr>
      <w:tr w:rsidR="00BE1EFE" w:rsidRPr="00F77815" w:rsidTr="00C120D3">
        <w:trPr>
          <w:trHeight w:val="170"/>
        </w:trPr>
        <w:tc>
          <w:tcPr>
            <w:tcW w:w="423"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 b</w:t>
            </w:r>
          </w:p>
        </w:tc>
        <w:tc>
          <w:tcPr>
            <w:tcW w:w="999"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w:t>
            </w:r>
          </w:p>
        </w:tc>
        <w:tc>
          <w:tcPr>
            <w:tcW w:w="90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rFonts w:cs="Arial"/>
                <w:szCs w:val="16"/>
              </w:rPr>
            </w:pPr>
            <w:r w:rsidRPr="00F77815">
              <w:rPr>
                <w:rFonts w:cs="Arial"/>
                <w:szCs w:val="16"/>
              </w:rPr>
              <w:t>5 Jahre danach</w:t>
            </w:r>
          </w:p>
          <w:p w:rsidR="00BE1EFE" w:rsidRPr="00F77815" w:rsidRDefault="00BE1EFE" w:rsidP="00876902">
            <w:pPr>
              <w:jc w:val="center"/>
              <w:rPr>
                <w:szCs w:val="16"/>
              </w:rPr>
            </w:pPr>
            <w:r w:rsidRPr="00F77815">
              <w:rPr>
                <w:rFonts w:cs="Arial"/>
                <w:szCs w:val="16"/>
              </w:rPr>
              <w:t>dauerhaft</w:t>
            </w:r>
          </w:p>
        </w:tc>
        <w:tc>
          <w:tcPr>
            <w:tcW w:w="760" w:type="dxa"/>
            <w:tcBorders>
              <w:top w:val="nil"/>
              <w:left w:val="nil"/>
              <w:bottom w:val="nil"/>
              <w:right w:val="single" w:sz="8" w:space="0" w:color="auto"/>
            </w:tcBorders>
            <w:tcMar>
              <w:top w:w="0" w:type="dxa"/>
              <w:left w:w="70" w:type="dxa"/>
              <w:bottom w:w="0" w:type="dxa"/>
              <w:right w:w="70" w:type="dxa"/>
            </w:tcMar>
            <w:vAlign w:val="bottom"/>
            <w:hideMark/>
          </w:tcPr>
          <w:p w:rsidR="00BE1EFE" w:rsidRPr="00F77815" w:rsidRDefault="00BE1EFE" w:rsidP="00C120D3">
            <w:pPr>
              <w:jc w:val="center"/>
              <w:rPr>
                <w:szCs w:val="16"/>
              </w:rPr>
            </w:pPr>
            <w:r w:rsidRPr="00F77815">
              <w:rPr>
                <w:rFonts w:cs="Arial"/>
                <w:szCs w:val="16"/>
              </w:rPr>
              <w:t>110,- €</w:t>
            </w:r>
          </w:p>
        </w:tc>
      </w:tr>
      <w:tr w:rsidR="00BE1EFE" w:rsidRPr="00F77815" w:rsidTr="00C120D3">
        <w:trPr>
          <w:trHeight w:val="170"/>
        </w:trPr>
        <w:tc>
          <w:tcPr>
            <w:tcW w:w="0" w:type="auto"/>
            <w:vMerge/>
            <w:tcBorders>
              <w:top w:val="nil"/>
              <w:left w:val="single" w:sz="8" w:space="0" w:color="auto"/>
              <w:bottom w:val="single" w:sz="8" w:space="0" w:color="auto"/>
              <w:right w:val="single" w:sz="8" w:space="0" w:color="auto"/>
            </w:tcBorders>
            <w:vAlign w:val="center"/>
            <w:hideMark/>
          </w:tcPr>
          <w:p w:rsidR="00BE1EFE" w:rsidRPr="00087528"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876902">
            <w:pPr>
              <w:jc w:val="center"/>
              <w:rPr>
                <w:szCs w:val="16"/>
              </w:rPr>
            </w:pP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C120D3">
            <w:pPr>
              <w:jc w:val="center"/>
              <w:rPr>
                <w:szCs w:val="16"/>
              </w:rPr>
            </w:pPr>
            <w:r w:rsidRPr="00F77815">
              <w:rPr>
                <w:rFonts w:cs="Arial"/>
                <w:szCs w:val="16"/>
              </w:rPr>
              <w:t>40,- €</w:t>
            </w: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30,- €</w:t>
            </w: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54275E">
            <w:pPr>
              <w:autoSpaceDE w:val="0"/>
              <w:jc w:val="center"/>
              <w:rPr>
                <w:b/>
                <w:szCs w:val="16"/>
              </w:rPr>
            </w:pPr>
            <w:r w:rsidRPr="00087528">
              <w:rPr>
                <w:rStyle w:val="Fett"/>
                <w:rFonts w:cs="Arial"/>
                <w:b w:val="0"/>
                <w:bCs/>
                <w:szCs w:val="16"/>
              </w:rPr>
              <w:t>14</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 5J.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 Jahr</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110,- €</w:t>
            </w: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 5J.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50,- €</w:t>
            </w: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 5J.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50,- €</w:t>
            </w:r>
          </w:p>
        </w:tc>
      </w:tr>
      <w:tr w:rsidR="00BE1EFE" w:rsidRPr="00F77815" w:rsidTr="00876902">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FB310F" w:rsidP="00876902">
            <w:pPr>
              <w:jc w:val="center"/>
              <w:rPr>
                <w:szCs w:val="16"/>
              </w:rPr>
            </w:pPr>
            <w:r w:rsidRPr="00087528">
              <w:rPr>
                <w:szCs w:val="16"/>
              </w:rPr>
              <w:t>14</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 5J.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90,-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A263F9">
            <w:pPr>
              <w:jc w:val="center"/>
              <w:rPr>
                <w:szCs w:val="16"/>
              </w:rPr>
            </w:pPr>
            <w:r w:rsidRPr="00A263F9">
              <w:rPr>
                <w:rStyle w:val="Fett"/>
                <w:b w:val="0"/>
                <w:szCs w:val="16"/>
              </w:rPr>
              <w:t>14</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5J.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9752DE" w:rsidP="009752DE">
            <w:pPr>
              <w:jc w:val="center"/>
              <w:rPr>
                <w:rFonts w:cs="Arial"/>
                <w:szCs w:val="16"/>
              </w:rPr>
            </w:pPr>
            <w:r>
              <w:rPr>
                <w:rFonts w:cs="Arial"/>
                <w:szCs w:val="16"/>
              </w:rPr>
              <w:t xml:space="preserve">2 </w:t>
            </w:r>
            <w:r w:rsidR="00A263F9" w:rsidRPr="00F77815">
              <w:rPr>
                <w:rFonts w:cs="Arial"/>
                <w:szCs w:val="16"/>
              </w:rPr>
              <w:t>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4 Jahre danach</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A263F9" w:rsidRDefault="00A263F9" w:rsidP="009752DE">
            <w:pPr>
              <w:jc w:val="center"/>
              <w:rPr>
                <w:rFonts w:cs="Arial"/>
                <w:szCs w:val="16"/>
              </w:rPr>
            </w:pPr>
            <w:r w:rsidRPr="00F77815">
              <w:rPr>
                <w:rFonts w:cs="Arial"/>
                <w:szCs w:val="16"/>
              </w:rPr>
              <w:t>130,- €</w:t>
            </w:r>
            <w:r w:rsidR="009752DE">
              <w:rPr>
                <w:rFonts w:cs="Arial"/>
                <w:szCs w:val="16"/>
              </w:rPr>
              <w:t xml:space="preserve"> 20,- €</w:t>
            </w:r>
          </w:p>
        </w:tc>
      </w:tr>
      <w:tr w:rsidR="00A263F9" w:rsidRPr="00980322"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980322" w:rsidRDefault="00A263F9"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980322">
              <w:rPr>
                <w:rFonts w:cs="Arial"/>
                <w:szCs w:val="16"/>
              </w:rPr>
              <w:t>II/ 5J.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980322">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980322">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980322">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980322">
              <w:rPr>
                <w:rFonts w:cs="Arial"/>
                <w:szCs w:val="16"/>
              </w:rPr>
              <w:t>3 Jahre danach</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980322">
              <w:rPr>
                <w:rFonts w:cs="Arial"/>
                <w:szCs w:val="16"/>
              </w:rPr>
              <w:t>90,- €</w:t>
            </w:r>
            <w:r w:rsidR="009752DE">
              <w:rPr>
                <w:rFonts w:cs="Arial"/>
                <w:szCs w:val="16"/>
              </w:rPr>
              <w:t xml:space="preserve"> 40,-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087528" w:rsidRDefault="00A263F9"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5J.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Pr>
                <w:rFonts w:cs="Arial"/>
                <w:szCs w:val="16"/>
              </w:rPr>
              <w:t xml:space="preserve">5 Jahre danach </w:t>
            </w: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110,- €</w:t>
            </w:r>
            <w:r w:rsidR="009752DE">
              <w:rPr>
                <w:rFonts w:cs="Arial"/>
                <w:szCs w:val="16"/>
              </w:rPr>
              <w:t xml:space="preserve"> 40,-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087528" w:rsidRDefault="00A263F9"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5J.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30,-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A263F9">
            <w:pPr>
              <w:jc w:val="center"/>
              <w:rPr>
                <w:szCs w:val="16"/>
              </w:rPr>
            </w:pPr>
            <w:r w:rsidRPr="00A263F9">
              <w:rPr>
                <w:rStyle w:val="Fett"/>
                <w:b w:val="0"/>
                <w:szCs w:val="16"/>
              </w:rPr>
              <w:t>14</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6J.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7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110,-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087528" w:rsidRDefault="00A263F9"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6J.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50,-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087528" w:rsidRDefault="00A263F9"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6J.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50,-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087528" w:rsidRDefault="00A263F9" w:rsidP="009752DE">
            <w:pPr>
              <w:jc w:val="center"/>
              <w:rPr>
                <w:szCs w:val="16"/>
              </w:rPr>
            </w:pPr>
            <w:r w:rsidRPr="00087528">
              <w:rPr>
                <w:szCs w:val="16"/>
              </w:rPr>
              <w:t>14</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6J.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90,-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087528" w:rsidRDefault="00A263F9"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6J.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4 Jahre danach</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Default="00A263F9" w:rsidP="009752DE">
            <w:pPr>
              <w:jc w:val="center"/>
              <w:rPr>
                <w:rFonts w:cs="Arial"/>
                <w:szCs w:val="16"/>
              </w:rPr>
            </w:pPr>
            <w:r w:rsidRPr="00F77815">
              <w:rPr>
                <w:rFonts w:cs="Arial"/>
                <w:szCs w:val="16"/>
              </w:rPr>
              <w:t>130,- €</w:t>
            </w:r>
          </w:p>
          <w:p w:rsidR="00A263F9" w:rsidRPr="00A263F9" w:rsidRDefault="00A263F9" w:rsidP="009752DE">
            <w:pPr>
              <w:jc w:val="center"/>
              <w:rPr>
                <w:rFonts w:cs="Arial"/>
                <w:szCs w:val="16"/>
              </w:rPr>
            </w:pPr>
            <w:r>
              <w:rPr>
                <w:rFonts w:cs="Arial"/>
                <w:szCs w:val="16"/>
              </w:rPr>
              <w:t>20,- €</w:t>
            </w:r>
          </w:p>
        </w:tc>
      </w:tr>
      <w:tr w:rsidR="00A263F9" w:rsidRPr="00F77815" w:rsidTr="00A263F9">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087528" w:rsidRDefault="00A263F9"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II/ 6J.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Pr="00A263F9" w:rsidRDefault="00A263F9" w:rsidP="009752DE">
            <w:pPr>
              <w:jc w:val="center"/>
              <w:rPr>
                <w:rFonts w:cs="Arial"/>
                <w:szCs w:val="16"/>
              </w:rPr>
            </w:pPr>
            <w:r w:rsidRPr="00F77815">
              <w:rPr>
                <w:rFonts w:cs="Arial"/>
                <w:szCs w:val="16"/>
              </w:rPr>
              <w:t>3 Jahre danach</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263F9" w:rsidRDefault="00A263F9" w:rsidP="009752DE">
            <w:pPr>
              <w:jc w:val="center"/>
              <w:rPr>
                <w:rFonts w:cs="Arial"/>
                <w:szCs w:val="16"/>
              </w:rPr>
            </w:pPr>
            <w:r w:rsidRPr="00F77815">
              <w:rPr>
                <w:rFonts w:cs="Arial"/>
                <w:szCs w:val="16"/>
              </w:rPr>
              <w:t>90,- €</w:t>
            </w:r>
          </w:p>
          <w:p w:rsidR="00A263F9" w:rsidRPr="00A263F9" w:rsidRDefault="00A263F9" w:rsidP="009752DE">
            <w:pPr>
              <w:jc w:val="center"/>
              <w:rPr>
                <w:rFonts w:cs="Arial"/>
                <w:szCs w:val="16"/>
              </w:rPr>
            </w:pPr>
            <w:r>
              <w:rPr>
                <w:rFonts w:cs="Arial"/>
                <w:szCs w:val="16"/>
              </w:rPr>
              <w:t>40,-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 6J.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F77815" w:rsidRDefault="009752DE" w:rsidP="009752DE">
            <w:pPr>
              <w:jc w:val="center"/>
              <w:rPr>
                <w:rFonts w:cs="Arial"/>
                <w:szCs w:val="16"/>
              </w:rPr>
            </w:pPr>
            <w:r w:rsidRPr="00F77815">
              <w:rPr>
                <w:rFonts w:cs="Arial"/>
                <w:szCs w:val="16"/>
              </w:rPr>
              <w:t>5 Jahre danach</w:t>
            </w:r>
          </w:p>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110,- €</w:t>
            </w:r>
            <w:r>
              <w:rPr>
                <w:rFonts w:cs="Arial"/>
                <w:szCs w:val="16"/>
              </w:rPr>
              <w:t xml:space="preserve"> 40,-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 6J. 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30,- €</w:t>
            </w:r>
          </w:p>
        </w:tc>
      </w:tr>
    </w:tbl>
    <w:p w:rsidR="00BE1EFE" w:rsidRPr="00F77815" w:rsidRDefault="00BE1EFE">
      <w:pPr>
        <w:pStyle w:val="StandardWeb"/>
        <w:rPr>
          <w:szCs w:val="16"/>
        </w:rPr>
      </w:pPr>
      <w:r w:rsidRPr="00F77815">
        <w:rPr>
          <w:color w:val="010101"/>
          <w:szCs w:val="16"/>
        </w:rPr>
        <w:br w:type="page"/>
      </w:r>
    </w:p>
    <w:tbl>
      <w:tblPr>
        <w:tblW w:w="4811" w:type="pct"/>
        <w:tblCellMar>
          <w:left w:w="0" w:type="dxa"/>
          <w:right w:w="0" w:type="dxa"/>
        </w:tblCellMar>
        <w:tblLook w:val="04A0" w:firstRow="1" w:lastRow="0" w:firstColumn="1" w:lastColumn="0" w:noHBand="0" w:noVBand="1"/>
      </w:tblPr>
      <w:tblGrid>
        <w:gridCol w:w="423"/>
        <w:gridCol w:w="1293"/>
        <w:gridCol w:w="999"/>
        <w:gridCol w:w="1228"/>
        <w:gridCol w:w="902"/>
        <w:gridCol w:w="968"/>
        <w:gridCol w:w="760"/>
      </w:tblGrid>
      <w:tr w:rsidR="00A263F9" w:rsidRPr="00F77815" w:rsidTr="009752DE">
        <w:trPr>
          <w:trHeight w:val="1135"/>
        </w:trPr>
        <w:tc>
          <w:tcPr>
            <w:tcW w:w="42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A263F9" w:rsidRPr="00F77815" w:rsidRDefault="00A263F9" w:rsidP="00951B10">
            <w:pPr>
              <w:autoSpaceDE w:val="0"/>
              <w:spacing w:line="180" w:lineRule="atLeast"/>
              <w:jc w:val="center"/>
              <w:rPr>
                <w:szCs w:val="16"/>
              </w:rPr>
            </w:pPr>
            <w:r w:rsidRPr="00F77815">
              <w:rPr>
                <w:rStyle w:val="Fett"/>
                <w:rFonts w:cs="Arial"/>
                <w:bCs/>
                <w:szCs w:val="16"/>
              </w:rPr>
              <w:lastRenderedPageBreak/>
              <w:t>EG</w:t>
            </w:r>
          </w:p>
        </w:tc>
        <w:tc>
          <w:tcPr>
            <w:tcW w:w="129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263F9" w:rsidRPr="00F77815" w:rsidRDefault="00A263F9" w:rsidP="00951B10">
            <w:pPr>
              <w:autoSpaceDE w:val="0"/>
              <w:spacing w:line="180" w:lineRule="atLeast"/>
              <w:jc w:val="center"/>
              <w:rPr>
                <w:szCs w:val="16"/>
              </w:rPr>
            </w:pPr>
            <w:r w:rsidRPr="00F77815">
              <w:rPr>
                <w:rStyle w:val="Fett"/>
                <w:rFonts w:cs="Arial"/>
                <w:bCs/>
                <w:szCs w:val="16"/>
              </w:rPr>
              <w:t>Vergütungs-gruppe</w:t>
            </w:r>
          </w:p>
        </w:tc>
        <w:tc>
          <w:tcPr>
            <w:tcW w:w="99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263F9" w:rsidRPr="00F77815" w:rsidRDefault="00A263F9" w:rsidP="00951B10">
            <w:pPr>
              <w:autoSpaceDE w:val="0"/>
              <w:spacing w:line="180" w:lineRule="atLeast"/>
              <w:jc w:val="center"/>
              <w:rPr>
                <w:szCs w:val="16"/>
              </w:rPr>
            </w:pPr>
            <w:r w:rsidRPr="00F77815">
              <w:rPr>
                <w:rStyle w:val="Fett"/>
                <w:rFonts w:cs="Arial"/>
                <w:bCs/>
                <w:szCs w:val="16"/>
              </w:rPr>
              <w:t>Orts-Zuschlag Stufe 1/2</w:t>
            </w:r>
          </w:p>
        </w:tc>
        <w:tc>
          <w:tcPr>
            <w:tcW w:w="122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263F9" w:rsidRPr="00F77815" w:rsidRDefault="00A263F9" w:rsidP="00951B10">
            <w:pPr>
              <w:autoSpaceDE w:val="0"/>
              <w:spacing w:line="180" w:lineRule="atLeast"/>
              <w:jc w:val="center"/>
              <w:rPr>
                <w:szCs w:val="16"/>
              </w:rPr>
            </w:pPr>
            <w:r w:rsidRPr="00F77815">
              <w:rPr>
                <w:rStyle w:val="Fett"/>
                <w:rFonts w:cs="Arial"/>
                <w:bCs/>
                <w:szCs w:val="16"/>
              </w:rPr>
              <w:t>Überleitung aus Stufe</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263F9" w:rsidRPr="00F77815" w:rsidRDefault="00A263F9" w:rsidP="00951B10">
            <w:pPr>
              <w:autoSpaceDE w:val="0"/>
              <w:spacing w:line="180" w:lineRule="atLeast"/>
              <w:jc w:val="center"/>
              <w:rPr>
                <w:szCs w:val="16"/>
              </w:rPr>
            </w:pPr>
            <w:r w:rsidRPr="00F77815">
              <w:rPr>
                <w:rStyle w:val="Fett"/>
                <w:rFonts w:cs="Arial"/>
                <w:bCs/>
                <w:szCs w:val="16"/>
              </w:rPr>
              <w:t>nach</w:t>
            </w:r>
          </w:p>
        </w:tc>
        <w:tc>
          <w:tcPr>
            <w:tcW w:w="96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263F9" w:rsidRPr="00F77815" w:rsidRDefault="00A263F9" w:rsidP="00951B10">
            <w:pPr>
              <w:autoSpaceDE w:val="0"/>
              <w:spacing w:line="180" w:lineRule="atLeast"/>
              <w:jc w:val="center"/>
              <w:rPr>
                <w:szCs w:val="16"/>
              </w:rPr>
            </w:pPr>
            <w:r w:rsidRPr="00F77815">
              <w:rPr>
                <w:rStyle w:val="Fett"/>
                <w:rFonts w:cs="Arial"/>
                <w:bCs/>
                <w:szCs w:val="16"/>
              </w:rPr>
              <w:t>für</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263F9" w:rsidRPr="00F77815" w:rsidRDefault="00A263F9" w:rsidP="00A263F9">
            <w:pPr>
              <w:autoSpaceDE w:val="0"/>
              <w:spacing w:line="180" w:lineRule="atLeast"/>
              <w:jc w:val="center"/>
              <w:rPr>
                <w:szCs w:val="16"/>
              </w:rPr>
            </w:pPr>
            <w:r w:rsidRPr="00F77815">
              <w:rPr>
                <w:rStyle w:val="Fett"/>
                <w:rFonts w:cs="Arial"/>
                <w:bCs/>
                <w:szCs w:val="16"/>
              </w:rPr>
              <w:t>Betrag</w:t>
            </w:r>
          </w:p>
        </w:tc>
      </w:tr>
      <w:tr w:rsidR="00BE1EF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54275E">
            <w:pPr>
              <w:autoSpaceDE w:val="0"/>
              <w:jc w:val="center"/>
              <w:rPr>
                <w:b/>
                <w:szCs w:val="16"/>
              </w:rPr>
            </w:pPr>
            <w:r w:rsidRPr="00087528">
              <w:rPr>
                <w:rStyle w:val="Fett"/>
                <w:rFonts w:cs="Arial"/>
                <w:b w:val="0"/>
                <w:bCs/>
                <w:szCs w:val="16"/>
              </w:rPr>
              <w:t>13</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50,- €</w:t>
            </w:r>
          </w:p>
        </w:tc>
      </w:tr>
      <w:tr w:rsidR="00BE1EF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r w:rsidRPr="00087528">
              <w:rPr>
                <w:szCs w:val="16"/>
              </w:rPr>
              <w:t>13</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80,- €</w:t>
            </w:r>
          </w:p>
        </w:tc>
      </w:tr>
      <w:tr w:rsidR="00BE1EF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54275E">
            <w:pPr>
              <w:autoSpaceDE w:val="0"/>
              <w:jc w:val="center"/>
              <w:rPr>
                <w:b/>
                <w:szCs w:val="16"/>
              </w:rPr>
            </w:pPr>
            <w:r w:rsidRPr="00087528">
              <w:rPr>
                <w:rStyle w:val="Fett"/>
                <w:rFonts w:cs="Arial"/>
                <w:b w:val="0"/>
                <w:bCs/>
                <w:szCs w:val="16"/>
              </w:rPr>
              <w:t>12</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90,- €</w:t>
            </w:r>
          </w:p>
        </w:tc>
      </w:tr>
      <w:tr w:rsidR="00BE1EF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80,- €</w:t>
            </w:r>
          </w:p>
        </w:tc>
      </w:tr>
      <w:tr w:rsidR="00BE1EF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r w:rsidRPr="00087528">
              <w:rPr>
                <w:szCs w:val="16"/>
              </w:rPr>
              <w:t>12</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(aus III)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 Jahr</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110,- €</w:t>
            </w:r>
          </w:p>
        </w:tc>
      </w:tr>
      <w:tr w:rsidR="00BE1EF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(aus 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90,- €</w:t>
            </w:r>
          </w:p>
        </w:tc>
      </w:tr>
      <w:tr w:rsidR="00BE1EF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876902">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876902">
            <w:pPr>
              <w:jc w:val="center"/>
              <w:rPr>
                <w:szCs w:val="16"/>
              </w:rPr>
            </w:pPr>
            <w:r w:rsidRPr="00F77815">
              <w:rPr>
                <w:rFonts w:cs="Arial"/>
                <w:szCs w:val="16"/>
              </w:rPr>
              <w:t>30,-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szCs w:val="16"/>
              </w:rPr>
            </w:pPr>
            <w:r w:rsidRPr="009752DE">
              <w:rPr>
                <w:rStyle w:val="Fett"/>
                <w:b w:val="0"/>
                <w:szCs w:val="16"/>
              </w:rPr>
              <w:t>12</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60,-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5J.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10</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30,-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szCs w:val="16"/>
              </w:rPr>
            </w:pPr>
            <w:r w:rsidRPr="009752DE">
              <w:rPr>
                <w:rStyle w:val="Fett"/>
                <w:b w:val="0"/>
                <w:szCs w:val="16"/>
              </w:rPr>
              <w:t>12</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90,-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70,-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r w:rsidRPr="00087528">
              <w:rPr>
                <w:szCs w:val="16"/>
              </w:rPr>
              <w:t>12</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(aus III)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70,-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(aus 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90,-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30,-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60,-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6J.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10</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30,-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szCs w:val="16"/>
              </w:rPr>
            </w:pPr>
            <w:r w:rsidRPr="009752DE">
              <w:rPr>
                <w:rStyle w:val="Fett"/>
                <w:b w:val="0"/>
                <w:szCs w:val="16"/>
              </w:rPr>
              <w:t>12</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 (aus III)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70,-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 (aus 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90,-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70,-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r w:rsidRPr="00087528">
              <w:rPr>
                <w:szCs w:val="16"/>
              </w:rPr>
              <w:t>12</w:t>
            </w: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 (aus III)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130,-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30,-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60,-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4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F77815">
              <w:rPr>
                <w:rFonts w:cs="Arial"/>
                <w:szCs w:val="16"/>
              </w:rPr>
              <w:t>50,- €</w:t>
            </w:r>
          </w:p>
        </w:tc>
      </w:tr>
      <w:tr w:rsidR="009752DE" w:rsidRPr="00F77815" w:rsidTr="009752DE">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9752DE" w:rsidRPr="00087528" w:rsidRDefault="009752DE" w:rsidP="009752DE">
            <w:pPr>
              <w:jc w:val="center"/>
              <w:rPr>
                <w:szCs w:val="16"/>
              </w:rPr>
            </w:pPr>
          </w:p>
        </w:tc>
        <w:tc>
          <w:tcPr>
            <w:tcW w:w="12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9752DE">
              <w:rPr>
                <w:rFonts w:cs="Arial"/>
                <w:szCs w:val="16"/>
              </w:rPr>
              <w:t>III/ 8J.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9752DE">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9752DE">
              <w:rPr>
                <w:rFonts w:cs="Arial"/>
                <w:szCs w:val="16"/>
              </w:rPr>
              <w:t>10</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9752DE">
              <w:rPr>
                <w:rFonts w:cs="Arial"/>
                <w:szCs w:val="16"/>
              </w:rPr>
              <w:t>2 Jahren</w:t>
            </w:r>
          </w:p>
        </w:tc>
        <w:tc>
          <w:tcPr>
            <w:tcW w:w="96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9752DE">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9752DE" w:rsidRPr="009752DE" w:rsidRDefault="009752DE" w:rsidP="009752DE">
            <w:pPr>
              <w:jc w:val="center"/>
              <w:rPr>
                <w:rFonts w:cs="Arial"/>
                <w:szCs w:val="16"/>
              </w:rPr>
            </w:pPr>
            <w:r w:rsidRPr="009752DE">
              <w:rPr>
                <w:rFonts w:cs="Arial"/>
                <w:szCs w:val="16"/>
              </w:rPr>
              <w:t>30,- €</w:t>
            </w:r>
          </w:p>
        </w:tc>
      </w:tr>
    </w:tbl>
    <w:p w:rsidR="009752DE" w:rsidRPr="009752DE" w:rsidRDefault="009752DE">
      <w:pPr>
        <w:pStyle w:val="StandardWeb"/>
        <w:rPr>
          <w:color w:val="010101"/>
          <w:sz w:val="8"/>
          <w:szCs w:val="8"/>
        </w:rPr>
      </w:pPr>
    </w:p>
    <w:p w:rsidR="00BE1EFE" w:rsidRPr="00F77815" w:rsidRDefault="00BE1EFE">
      <w:pPr>
        <w:pStyle w:val="StandardWeb"/>
        <w:rPr>
          <w:szCs w:val="16"/>
        </w:rPr>
      </w:pPr>
      <w:r w:rsidRPr="00F77815">
        <w:rPr>
          <w:color w:val="010101"/>
          <w:szCs w:val="16"/>
        </w:rPr>
        <w:br w:type="page"/>
      </w:r>
    </w:p>
    <w:tbl>
      <w:tblPr>
        <w:tblW w:w="4810" w:type="pct"/>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F77815" w:rsidTr="00C120D3">
        <w:trPr>
          <w:trHeight w:hRule="exact" w:val="227"/>
        </w:trPr>
        <w:tc>
          <w:tcPr>
            <w:tcW w:w="423"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lastRenderedPageBreak/>
              <w:t>EG</w:t>
            </w:r>
          </w:p>
        </w:tc>
        <w:tc>
          <w:tcPr>
            <w:tcW w:w="129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Vergütungs-gruppe</w:t>
            </w:r>
          </w:p>
        </w:tc>
        <w:tc>
          <w:tcPr>
            <w:tcW w:w="999"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Orts-Zuschlag Stufe 1/2</w:t>
            </w:r>
          </w:p>
        </w:tc>
        <w:tc>
          <w:tcPr>
            <w:tcW w:w="1228"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Überleitung aus Stufe</w:t>
            </w:r>
          </w:p>
        </w:tc>
        <w:tc>
          <w:tcPr>
            <w:tcW w:w="90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nach</w:t>
            </w:r>
          </w:p>
        </w:tc>
        <w:tc>
          <w:tcPr>
            <w:tcW w:w="967"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für</w:t>
            </w:r>
          </w:p>
        </w:tc>
        <w:tc>
          <w:tcPr>
            <w:tcW w:w="760"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951B10">
            <w:pPr>
              <w:autoSpaceDE w:val="0"/>
              <w:spacing w:line="180" w:lineRule="atLeast"/>
              <w:jc w:val="center"/>
              <w:rPr>
                <w:szCs w:val="16"/>
              </w:rPr>
            </w:pPr>
            <w:r w:rsidRPr="00F77815">
              <w:rPr>
                <w:rStyle w:val="Fett"/>
                <w:rFonts w:cs="Arial"/>
                <w:bCs/>
                <w:szCs w:val="16"/>
              </w:rPr>
              <w:t>Betrag</w:t>
            </w:r>
          </w:p>
        </w:tc>
      </w:tr>
      <w:tr w:rsidR="00BE1EFE" w:rsidRPr="00F77815" w:rsidTr="00F77815">
        <w:trPr>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r>
      <w:tr w:rsidR="00BE1EFE" w:rsidRPr="00F77815" w:rsidTr="00F77815">
        <w:trPr>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pPr>
              <w:rPr>
                <w:szCs w:val="16"/>
              </w:rPr>
            </w:pPr>
          </w:p>
        </w:tc>
      </w:tr>
      <w:tr w:rsidR="00BE1EFE" w:rsidRPr="00F77815" w:rsidTr="009752DE">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pPr>
              <w:rPr>
                <w:szCs w:val="16"/>
              </w:rPr>
            </w:pPr>
          </w:p>
        </w:tc>
      </w:tr>
      <w:tr w:rsidR="00BE1EFE" w:rsidRPr="00F77815" w:rsidTr="009752DE">
        <w:trPr>
          <w:trHeight w:val="270"/>
        </w:trPr>
        <w:tc>
          <w:tcPr>
            <w:tcW w:w="42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876902">
            <w:pPr>
              <w:jc w:val="center"/>
              <w:rPr>
                <w:szCs w:val="16"/>
              </w:rPr>
            </w:pPr>
            <w:r w:rsidRPr="00087528">
              <w:rPr>
                <w:szCs w:val="16"/>
              </w:rPr>
              <w:t>12</w:t>
            </w:r>
          </w:p>
        </w:tc>
        <w:tc>
          <w:tcPr>
            <w:tcW w:w="1292"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III/ 10J. II</w:t>
            </w:r>
          </w:p>
        </w:tc>
        <w:tc>
          <w:tcPr>
            <w:tcW w:w="999"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OZ 1</w:t>
            </w:r>
          </w:p>
        </w:tc>
        <w:tc>
          <w:tcPr>
            <w:tcW w:w="1228"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6 (aus III)</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2 Jahren</w:t>
            </w:r>
          </w:p>
        </w:tc>
        <w:tc>
          <w:tcPr>
            <w:tcW w:w="967"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4 Jahre</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90,- €</w:t>
            </w:r>
          </w:p>
        </w:tc>
      </w:tr>
      <w:tr w:rsidR="00BE1EFE" w:rsidRPr="00F77815" w:rsidTr="00F77815">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III/ 10J. II</w:t>
            </w:r>
          </w:p>
        </w:tc>
        <w:tc>
          <w:tcPr>
            <w:tcW w:w="999" w:type="dxa"/>
            <w:tcBorders>
              <w:top w:val="nil"/>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8</w:t>
            </w:r>
          </w:p>
        </w:tc>
        <w:tc>
          <w:tcPr>
            <w:tcW w:w="902" w:type="dxa"/>
            <w:tcBorders>
              <w:top w:val="nil"/>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tcPr>
          <w:p w:rsidR="00BE1EFE" w:rsidRPr="003971C9" w:rsidRDefault="00BE1EFE" w:rsidP="00F77815">
            <w:pPr>
              <w:jc w:val="center"/>
            </w:pPr>
            <w:r w:rsidRPr="003971C9">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tcPr>
          <w:p w:rsidR="00BE1EFE" w:rsidRDefault="00BE1EFE" w:rsidP="00F77815">
            <w:pPr>
              <w:jc w:val="center"/>
            </w:pPr>
            <w:r w:rsidRPr="003971C9">
              <w:t>70,- €</w:t>
            </w:r>
          </w:p>
        </w:tc>
      </w:tr>
      <w:tr w:rsidR="00BE1EFE" w:rsidRPr="00F77815" w:rsidTr="00F77815">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876902">
            <w:pPr>
              <w:jc w:val="center"/>
              <w:rPr>
                <w:szCs w:val="16"/>
              </w:rPr>
            </w:pPr>
            <w:r w:rsidRPr="00087528">
              <w:rPr>
                <w:szCs w:val="16"/>
              </w:rPr>
              <w:t>12</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B42635" w:rsidRDefault="00BE1EFE" w:rsidP="00F77815">
            <w:pPr>
              <w:jc w:val="center"/>
            </w:pPr>
            <w:r w:rsidRPr="00B42635">
              <w:t>III/ 10J.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B42635" w:rsidRDefault="00BE1EFE" w:rsidP="00F77815">
            <w:pPr>
              <w:jc w:val="center"/>
            </w:pPr>
            <w:r w:rsidRPr="00B42635">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B42635" w:rsidRDefault="00BE1EFE" w:rsidP="00F77815">
            <w:pPr>
              <w:jc w:val="center"/>
            </w:pPr>
            <w:r w:rsidRPr="00B42635">
              <w:t>6 (aus III)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B42635" w:rsidRDefault="00BE1EFE" w:rsidP="00F77815">
            <w:pPr>
              <w:jc w:val="center"/>
            </w:pPr>
            <w:r w:rsidRPr="00B42635">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C120D3">
            <w:pPr>
              <w:jc w:val="center"/>
            </w:pPr>
            <w:r w:rsidRPr="00B42635">
              <w:t>4 Jahre</w:t>
            </w:r>
          </w:p>
          <w:p w:rsidR="00BE1EFE" w:rsidRPr="00B42635" w:rsidRDefault="00BE1EFE" w:rsidP="00F77815">
            <w:pPr>
              <w:jc w:val="center"/>
            </w:pPr>
            <w:r w:rsidRPr="00B42635">
              <w:t>danach</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C120D3">
            <w:pPr>
              <w:jc w:val="center"/>
            </w:pPr>
            <w:r w:rsidRPr="00B42635">
              <w:t>110,- €</w:t>
            </w:r>
          </w:p>
          <w:p w:rsidR="00BE1EFE" w:rsidRPr="00B42635" w:rsidRDefault="00BE1EFE" w:rsidP="00F77815">
            <w:pPr>
              <w:jc w:val="center"/>
            </w:pPr>
            <w:r>
              <w:t>60,- €</w:t>
            </w:r>
          </w:p>
        </w:tc>
      </w:tr>
      <w:tr w:rsidR="00BE1EFE" w:rsidRPr="00F77815" w:rsidTr="00F77815">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III/ 10J.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6 (aus II)</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30,- €</w:t>
            </w:r>
          </w:p>
        </w:tc>
      </w:tr>
      <w:tr w:rsidR="00BE1EFE" w:rsidRPr="00F77815" w:rsidTr="00F77815">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III/ 10J.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60,- €</w:t>
            </w:r>
          </w:p>
        </w:tc>
      </w:tr>
      <w:tr w:rsidR="00BE1EFE" w:rsidRPr="00F77815" w:rsidTr="00F77815">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876902">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III/ 10J.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F77815">
            <w:pPr>
              <w:jc w:val="center"/>
              <w:rPr>
                <w:szCs w:val="16"/>
              </w:rPr>
            </w:pPr>
            <w:r w:rsidRPr="00F77815">
              <w:rPr>
                <w:rFonts w:cs="Arial"/>
                <w:szCs w:val="16"/>
              </w:rPr>
              <w:t>50,-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r w:rsidRPr="00087528">
              <w:rPr>
                <w:szCs w:val="16"/>
              </w:rPr>
              <w:t>12</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III/ 10J.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III/ 10J. 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10</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30,-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A6532C">
            <w:pPr>
              <w:jc w:val="center"/>
              <w:rPr>
                <w:szCs w:val="16"/>
              </w:rPr>
            </w:pPr>
            <w:r w:rsidRPr="009752DE">
              <w:rPr>
                <w:rStyle w:val="Fett"/>
                <w:b w:val="0"/>
                <w:szCs w:val="16"/>
              </w:rPr>
              <w:t>11</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60,-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r w:rsidRPr="00087528">
              <w:rPr>
                <w:szCs w:val="16"/>
              </w:rPr>
              <w:t>11</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3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A6532C">
            <w:pPr>
              <w:jc w:val="center"/>
              <w:rPr>
                <w:szCs w:val="16"/>
              </w:rPr>
            </w:pPr>
            <w:r w:rsidRPr="009752DE">
              <w:rPr>
                <w:rStyle w:val="Fett"/>
                <w:b w:val="0"/>
                <w:szCs w:val="16"/>
              </w:rPr>
              <w:t>11</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4J.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4J.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60,-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r w:rsidRPr="00087528">
              <w:rPr>
                <w:szCs w:val="16"/>
              </w:rPr>
              <w:t>11</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4J.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4J.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3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4J.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r w:rsidRPr="00087528">
              <w:rPr>
                <w:szCs w:val="16"/>
              </w:rPr>
              <w:t>11</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6J.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6J.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60,-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r w:rsidRPr="00087528">
              <w:rPr>
                <w:szCs w:val="16"/>
              </w:rPr>
              <w:t>11</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6J.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6J.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3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F77815" w:rsidRDefault="00A6532C" w:rsidP="00BD3460">
            <w:pPr>
              <w:jc w:val="center"/>
              <w:rPr>
                <w:rFonts w:cs="Arial"/>
                <w:szCs w:val="16"/>
              </w:rPr>
            </w:pPr>
            <w:r w:rsidRPr="00F77815">
              <w:rPr>
                <w:rFonts w:cs="Arial"/>
                <w:szCs w:val="16"/>
              </w:rPr>
              <w:t>IV a/ 6J.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F77815"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F77815" w:rsidRDefault="00A6532C" w:rsidP="00BD3460">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F77815"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F77815" w:rsidRDefault="00A6532C" w:rsidP="00BD3460">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F77815" w:rsidRDefault="00A6532C" w:rsidP="00BD3460">
            <w:pPr>
              <w:jc w:val="center"/>
              <w:rPr>
                <w:rFonts w:cs="Arial"/>
                <w:szCs w:val="16"/>
              </w:rPr>
            </w:pPr>
            <w:r w:rsidRPr="00F77815">
              <w:rPr>
                <w:rFonts w:cs="Arial"/>
                <w:szCs w:val="16"/>
              </w:rPr>
              <w:t>100,-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r w:rsidRPr="00087528">
              <w:rPr>
                <w:szCs w:val="16"/>
              </w:rPr>
              <w:t>11</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8J.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Pr>
                <w:rFonts w:cs="Arial"/>
                <w:szCs w:val="16"/>
              </w:rPr>
              <w:t xml:space="preserve">2 </w:t>
            </w:r>
            <w:r w:rsidRPr="00F77815">
              <w:rPr>
                <w:rFonts w:cs="Arial"/>
                <w:szCs w:val="16"/>
              </w:rPr>
              <w:t>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8J.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60,-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r w:rsidRPr="00087528">
              <w:rPr>
                <w:szCs w:val="16"/>
              </w:rPr>
              <w:t>11</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8J.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110,-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8J.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3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r w:rsidR="00A6532C" w:rsidRPr="00F77815" w:rsidTr="00A6532C">
        <w:trPr>
          <w:trHeight w:val="270"/>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6532C" w:rsidRPr="00087528" w:rsidRDefault="00A6532C" w:rsidP="00A6532C">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IV a/ 8J. 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tcPr>
          <w:p w:rsidR="00A6532C" w:rsidRPr="009752DE" w:rsidRDefault="00A6532C" w:rsidP="00BD3460">
            <w:pPr>
              <w:jc w:val="center"/>
              <w:rPr>
                <w:rFonts w:cs="Arial"/>
                <w:szCs w:val="16"/>
              </w:rPr>
            </w:pPr>
            <w:r w:rsidRPr="00F77815">
              <w:rPr>
                <w:rFonts w:cs="Arial"/>
                <w:szCs w:val="16"/>
              </w:rPr>
              <w:t>90,- €</w:t>
            </w:r>
          </w:p>
        </w:tc>
      </w:tr>
    </w:tbl>
    <w:p w:rsidR="00676F7A" w:rsidRDefault="00676F7A">
      <w:pPr>
        <w:pStyle w:val="StandardWeb"/>
        <w:rPr>
          <w:color w:val="010101"/>
          <w:szCs w:val="16"/>
        </w:rPr>
      </w:pPr>
    </w:p>
    <w:p w:rsidR="00BE1EFE" w:rsidRPr="00F77815" w:rsidRDefault="00BE1EFE">
      <w:pPr>
        <w:pStyle w:val="StandardWeb"/>
        <w:rPr>
          <w:szCs w:val="16"/>
        </w:rPr>
      </w:pPr>
      <w:r w:rsidRPr="00F77815">
        <w:rPr>
          <w:color w:val="010101"/>
          <w:szCs w:val="16"/>
        </w:rPr>
        <w:br w:type="page"/>
      </w:r>
    </w:p>
    <w:p w:rsidR="00BE1EFE" w:rsidRPr="00F77815" w:rsidRDefault="00BE1EFE">
      <w:pPr>
        <w:pStyle w:val="StandardWeb"/>
        <w:rPr>
          <w:szCs w:val="16"/>
        </w:rPr>
      </w:pPr>
    </w:p>
    <w:tbl>
      <w:tblPr>
        <w:tblW w:w="4810" w:type="pct"/>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BE1EFE" w:rsidRPr="00F77815" w:rsidTr="003C78E6">
        <w:trPr>
          <w:cantSplit/>
          <w:trHeight w:hRule="exact" w:val="227"/>
        </w:trPr>
        <w:tc>
          <w:tcPr>
            <w:tcW w:w="433"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EG</w:t>
            </w:r>
          </w:p>
        </w:tc>
        <w:tc>
          <w:tcPr>
            <w:tcW w:w="1286"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Vergütungs-gruppe</w:t>
            </w:r>
          </w:p>
        </w:tc>
        <w:tc>
          <w:tcPr>
            <w:tcW w:w="998"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Orts-Zuschlag Stufe 1/2</w:t>
            </w:r>
          </w:p>
        </w:tc>
        <w:tc>
          <w:tcPr>
            <w:tcW w:w="122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Überleitung aus Stufe</w:t>
            </w:r>
          </w:p>
        </w:tc>
        <w:tc>
          <w:tcPr>
            <w:tcW w:w="90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nach</w:t>
            </w:r>
          </w:p>
        </w:tc>
        <w:tc>
          <w:tcPr>
            <w:tcW w:w="967"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für</w:t>
            </w:r>
          </w:p>
        </w:tc>
        <w:tc>
          <w:tcPr>
            <w:tcW w:w="763"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Betrag</w:t>
            </w:r>
          </w:p>
        </w:tc>
      </w:tr>
      <w:tr w:rsidR="00BE1EFE" w:rsidRPr="00F77815" w:rsidTr="003C78E6">
        <w:trPr>
          <w:cantSplit/>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r>
      <w:tr w:rsidR="00BE1EFE" w:rsidRPr="00F77815" w:rsidTr="003C78E6">
        <w:trPr>
          <w:cantSplit/>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r>
      <w:tr w:rsidR="00BE1EFE" w:rsidRPr="00F77815" w:rsidTr="003C78E6">
        <w:trPr>
          <w:cantSplit/>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r>
      <w:tr w:rsidR="00A408CF" w:rsidRPr="00F77815" w:rsidTr="003C78E6">
        <w:trPr>
          <w:cantSplit/>
          <w:trHeight w:val="574"/>
        </w:trPr>
        <w:tc>
          <w:tcPr>
            <w:tcW w:w="4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087528" w:rsidRDefault="00A408CF" w:rsidP="003361E9">
            <w:pPr>
              <w:jc w:val="center"/>
              <w:rPr>
                <w:szCs w:val="16"/>
              </w:rPr>
            </w:pPr>
            <w:r>
              <w:rPr>
                <w:szCs w:val="16"/>
              </w:rPr>
              <w:t>10</w:t>
            </w:r>
          </w:p>
        </w:tc>
        <w:tc>
          <w:tcPr>
            <w:tcW w:w="128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3361E9">
            <w:pPr>
              <w:jc w:val="center"/>
              <w:rPr>
                <w:rFonts w:cs="Arial"/>
                <w:szCs w:val="16"/>
              </w:rPr>
            </w:pPr>
            <w:r>
              <w:rPr>
                <w:rFonts w:cs="Arial"/>
                <w:szCs w:val="16"/>
              </w:rPr>
              <w:t>IV a</w:t>
            </w:r>
          </w:p>
        </w:tc>
        <w:tc>
          <w:tcPr>
            <w:tcW w:w="99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3361E9">
            <w:pPr>
              <w:jc w:val="center"/>
              <w:rPr>
                <w:rFonts w:cs="Arial"/>
                <w:szCs w:val="16"/>
              </w:rPr>
            </w:pPr>
            <w:r>
              <w:rPr>
                <w:rFonts w:cs="Arial"/>
                <w:szCs w:val="16"/>
              </w:rPr>
              <w:t>OZ 2</w:t>
            </w:r>
          </w:p>
        </w:tc>
        <w:tc>
          <w:tcPr>
            <w:tcW w:w="122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3361E9">
            <w:pPr>
              <w:jc w:val="center"/>
              <w:rPr>
                <w:rFonts w:cs="Arial"/>
                <w:szCs w:val="16"/>
              </w:rPr>
            </w:pPr>
            <w:r>
              <w:rPr>
                <w:rFonts w:cs="Arial"/>
                <w:szCs w:val="16"/>
              </w:rPr>
              <w:t>4</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3361E9">
            <w:pPr>
              <w:jc w:val="center"/>
              <w:rPr>
                <w:rFonts w:cs="Arial"/>
                <w:szCs w:val="16"/>
              </w:rPr>
            </w:pPr>
            <w:r>
              <w:rPr>
                <w:rFonts w:cs="Arial"/>
                <w:szCs w:val="16"/>
              </w:rPr>
              <w:t>2 Jahren</w:t>
            </w:r>
          </w:p>
        </w:tc>
        <w:tc>
          <w:tcPr>
            <w:tcW w:w="96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814E8">
            <w:pPr>
              <w:pBdr>
                <w:right w:val="single" w:sz="8" w:space="4" w:color="auto"/>
              </w:pBdr>
              <w:jc w:val="center"/>
              <w:rPr>
                <w:rFonts w:cs="Arial"/>
                <w:szCs w:val="16"/>
              </w:rPr>
            </w:pPr>
            <w:r>
              <w:rPr>
                <w:rFonts w:cs="Arial"/>
                <w:szCs w:val="16"/>
              </w:rPr>
              <w:t>4 Jahre</w:t>
            </w:r>
          </w:p>
        </w:tc>
        <w:tc>
          <w:tcPr>
            <w:tcW w:w="7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3361E9">
            <w:pPr>
              <w:jc w:val="center"/>
              <w:rPr>
                <w:rFonts w:cs="Arial"/>
                <w:szCs w:val="16"/>
              </w:rPr>
            </w:pPr>
            <w:r>
              <w:rPr>
                <w:rFonts w:cs="Arial"/>
                <w:szCs w:val="16"/>
              </w:rPr>
              <w:t>30,- €</w:t>
            </w:r>
          </w:p>
        </w:tc>
      </w:tr>
      <w:tr w:rsidR="00A408CF" w:rsidRPr="00F77815" w:rsidTr="003C78E6">
        <w:trPr>
          <w:cantSplit/>
          <w:trHeight w:val="574"/>
        </w:trPr>
        <w:tc>
          <w:tcPr>
            <w:tcW w:w="4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087528" w:rsidRDefault="00A408CF" w:rsidP="003361E9">
            <w:pPr>
              <w:jc w:val="center"/>
              <w:rPr>
                <w:szCs w:val="16"/>
              </w:rPr>
            </w:pPr>
          </w:p>
        </w:tc>
        <w:tc>
          <w:tcPr>
            <w:tcW w:w="128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IV a</w:t>
            </w:r>
          </w:p>
        </w:tc>
        <w:tc>
          <w:tcPr>
            <w:tcW w:w="99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OZ 2</w:t>
            </w:r>
          </w:p>
        </w:tc>
        <w:tc>
          <w:tcPr>
            <w:tcW w:w="122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7</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4 Jahren</w:t>
            </w:r>
          </w:p>
        </w:tc>
        <w:tc>
          <w:tcPr>
            <w:tcW w:w="96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pBdr>
                <w:right w:val="single" w:sz="8" w:space="4" w:color="auto"/>
              </w:pBdr>
              <w:jc w:val="center"/>
              <w:rPr>
                <w:rFonts w:cs="Arial"/>
                <w:szCs w:val="16"/>
              </w:rPr>
            </w:pPr>
            <w:r>
              <w:rPr>
                <w:rFonts w:cs="Arial"/>
                <w:szCs w:val="16"/>
              </w:rPr>
              <w:t>dauerhaft</w:t>
            </w:r>
          </w:p>
        </w:tc>
        <w:tc>
          <w:tcPr>
            <w:tcW w:w="7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25,- €</w:t>
            </w:r>
          </w:p>
        </w:tc>
      </w:tr>
      <w:tr w:rsidR="00A408CF" w:rsidRPr="00F77815" w:rsidTr="003C78E6">
        <w:trPr>
          <w:cantSplit/>
          <w:trHeight w:val="574"/>
        </w:trPr>
        <w:tc>
          <w:tcPr>
            <w:tcW w:w="4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087528" w:rsidRDefault="00A408CF" w:rsidP="003361E9">
            <w:pPr>
              <w:jc w:val="center"/>
              <w:rPr>
                <w:szCs w:val="16"/>
              </w:rPr>
            </w:pPr>
          </w:p>
        </w:tc>
        <w:tc>
          <w:tcPr>
            <w:tcW w:w="128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IV a</w:t>
            </w:r>
          </w:p>
        </w:tc>
        <w:tc>
          <w:tcPr>
            <w:tcW w:w="99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OZ 2</w:t>
            </w:r>
          </w:p>
        </w:tc>
        <w:tc>
          <w:tcPr>
            <w:tcW w:w="122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8</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2 Jahren</w:t>
            </w:r>
          </w:p>
        </w:tc>
        <w:tc>
          <w:tcPr>
            <w:tcW w:w="96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A408CF">
            <w:pPr>
              <w:pBdr>
                <w:right w:val="single" w:sz="8" w:space="4" w:color="auto"/>
              </w:pBdr>
              <w:jc w:val="center"/>
              <w:rPr>
                <w:rFonts w:cs="Arial"/>
                <w:szCs w:val="16"/>
              </w:rPr>
            </w:pPr>
            <w:r>
              <w:rPr>
                <w:rFonts w:cs="Arial"/>
                <w:szCs w:val="16"/>
              </w:rPr>
              <w:t>5 Jahre danach</w:t>
            </w:r>
          </w:p>
        </w:tc>
        <w:tc>
          <w:tcPr>
            <w:tcW w:w="7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50,- € 25,- €</w:t>
            </w:r>
          </w:p>
        </w:tc>
      </w:tr>
      <w:tr w:rsidR="00A408CF" w:rsidRPr="00F77815" w:rsidTr="003C78E6">
        <w:trPr>
          <w:cantSplit/>
          <w:trHeight w:val="574"/>
        </w:trPr>
        <w:tc>
          <w:tcPr>
            <w:tcW w:w="4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087528" w:rsidRDefault="00A408CF" w:rsidP="003361E9">
            <w:pPr>
              <w:jc w:val="center"/>
              <w:rPr>
                <w:szCs w:val="16"/>
              </w:rPr>
            </w:pPr>
          </w:p>
        </w:tc>
        <w:tc>
          <w:tcPr>
            <w:tcW w:w="128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IV a</w:t>
            </w:r>
          </w:p>
        </w:tc>
        <w:tc>
          <w:tcPr>
            <w:tcW w:w="99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OZ 2</w:t>
            </w:r>
          </w:p>
        </w:tc>
        <w:tc>
          <w:tcPr>
            <w:tcW w:w="122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9</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2 Jahren</w:t>
            </w:r>
          </w:p>
        </w:tc>
        <w:tc>
          <w:tcPr>
            <w:tcW w:w="96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pBdr>
                <w:right w:val="single" w:sz="8" w:space="4" w:color="auto"/>
              </w:pBdr>
              <w:jc w:val="center"/>
              <w:rPr>
                <w:rFonts w:cs="Arial"/>
                <w:szCs w:val="16"/>
              </w:rPr>
            </w:pPr>
            <w:r>
              <w:rPr>
                <w:rFonts w:cs="Arial"/>
                <w:szCs w:val="16"/>
              </w:rPr>
              <w:t>dauerhaft</w:t>
            </w:r>
          </w:p>
        </w:tc>
        <w:tc>
          <w:tcPr>
            <w:tcW w:w="7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rFonts w:cs="Arial"/>
                <w:szCs w:val="16"/>
              </w:rPr>
            </w:pPr>
            <w:r>
              <w:rPr>
                <w:rFonts w:cs="Arial"/>
                <w:szCs w:val="16"/>
              </w:rPr>
              <w:t>25,- €</w:t>
            </w:r>
          </w:p>
        </w:tc>
      </w:tr>
      <w:tr w:rsidR="00A408CF"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A408CF" w:rsidRPr="00087528" w:rsidRDefault="00A408CF" w:rsidP="00B258BD">
            <w:pPr>
              <w:jc w:val="center"/>
              <w:rPr>
                <w:szCs w:val="16"/>
              </w:rPr>
            </w:pPr>
            <w:r>
              <w:rPr>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408CF" w:rsidRPr="00F77815" w:rsidRDefault="00A408CF" w:rsidP="00B258BD">
            <w:pPr>
              <w:jc w:val="center"/>
              <w:rPr>
                <w:szCs w:val="16"/>
              </w:rPr>
            </w:pPr>
            <w:r w:rsidRPr="00F77815">
              <w:rPr>
                <w:rFonts w:cs="Arial"/>
                <w:szCs w:val="16"/>
              </w:rPr>
              <w:t>IV b/ 2J.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408CF" w:rsidRPr="00F77815" w:rsidRDefault="00A408CF" w:rsidP="00B258BD">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408CF" w:rsidRPr="00F77815" w:rsidRDefault="00A408CF" w:rsidP="00B258BD">
            <w:pPr>
              <w:jc w:val="center"/>
              <w:rPr>
                <w:szCs w:val="16"/>
              </w:rPr>
            </w:pPr>
            <w:r>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A408CF" w:rsidRPr="00F77815" w:rsidRDefault="00A408CF" w:rsidP="00B258BD">
            <w:pPr>
              <w:jc w:val="center"/>
              <w:rPr>
                <w:szCs w:val="16"/>
              </w:rPr>
            </w:pPr>
            <w:r w:rsidRPr="00F77815">
              <w:rPr>
                <w:rFonts w:cs="Arial"/>
                <w:szCs w:val="16"/>
              </w:rPr>
              <w:t>2 Jahren</w:t>
            </w:r>
          </w:p>
        </w:tc>
        <w:tc>
          <w:tcPr>
            <w:tcW w:w="96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408CF" w:rsidRPr="00F77815" w:rsidRDefault="00A408CF" w:rsidP="00B258BD">
            <w:pPr>
              <w:jc w:val="center"/>
              <w:rPr>
                <w:szCs w:val="16"/>
              </w:rPr>
            </w:pPr>
            <w:r>
              <w:rPr>
                <w:rFonts w:cs="Arial"/>
                <w:szCs w:val="16"/>
              </w:rPr>
              <w:t>4 Jahre</w:t>
            </w:r>
          </w:p>
        </w:tc>
        <w:tc>
          <w:tcPr>
            <w:tcW w:w="76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A408CF" w:rsidRPr="00F77815" w:rsidRDefault="00A408CF" w:rsidP="00B258BD">
            <w:pPr>
              <w:jc w:val="center"/>
              <w:rPr>
                <w:szCs w:val="16"/>
              </w:rPr>
            </w:pPr>
            <w:r>
              <w:rPr>
                <w:rFonts w:cs="Arial"/>
                <w:szCs w:val="16"/>
              </w:rPr>
              <w:t>30</w:t>
            </w:r>
            <w:r w:rsidRPr="00F77815">
              <w:rPr>
                <w:rFonts w:cs="Arial"/>
                <w:szCs w:val="16"/>
              </w:rPr>
              <w:t>,- €</w:t>
            </w:r>
          </w:p>
        </w:tc>
      </w:tr>
      <w:tr w:rsidR="00A408CF" w:rsidRPr="00F77815" w:rsidTr="003C78E6">
        <w:trPr>
          <w:cantSplit/>
          <w:trHeight w:val="574"/>
        </w:trPr>
        <w:tc>
          <w:tcPr>
            <w:tcW w:w="4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087528" w:rsidRDefault="00A408CF" w:rsidP="003361E9">
            <w:pPr>
              <w:jc w:val="center"/>
              <w:rPr>
                <w:szCs w:val="16"/>
              </w:rPr>
            </w:pPr>
          </w:p>
        </w:tc>
        <w:tc>
          <w:tcPr>
            <w:tcW w:w="128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sidRPr="00F77815">
              <w:rPr>
                <w:rFonts w:cs="Arial"/>
                <w:szCs w:val="16"/>
              </w:rPr>
              <w:t>IV b/ 2J. IV a</w:t>
            </w:r>
          </w:p>
        </w:tc>
        <w:tc>
          <w:tcPr>
            <w:tcW w:w="99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sidRPr="00F77815">
              <w:rPr>
                <w:rFonts w:cs="Arial"/>
                <w:szCs w:val="16"/>
              </w:rPr>
              <w:t>OZ 2</w:t>
            </w:r>
          </w:p>
        </w:tc>
        <w:tc>
          <w:tcPr>
            <w:tcW w:w="122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Pr>
                <w:rFonts w:cs="Arial"/>
                <w:szCs w:val="16"/>
              </w:rPr>
              <w:t>7</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Pr>
                <w:rFonts w:cs="Arial"/>
                <w:szCs w:val="16"/>
              </w:rPr>
              <w:t>4</w:t>
            </w:r>
            <w:r w:rsidRPr="00F77815">
              <w:rPr>
                <w:rFonts w:cs="Arial"/>
                <w:szCs w:val="16"/>
              </w:rPr>
              <w:t xml:space="preserve"> Jahren</w:t>
            </w:r>
          </w:p>
        </w:tc>
        <w:tc>
          <w:tcPr>
            <w:tcW w:w="96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Pr>
                <w:rFonts w:cs="Arial"/>
                <w:szCs w:val="16"/>
              </w:rPr>
              <w:t>dauerhaft</w:t>
            </w:r>
          </w:p>
        </w:tc>
        <w:tc>
          <w:tcPr>
            <w:tcW w:w="7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Pr>
                <w:rFonts w:cs="Arial"/>
                <w:szCs w:val="16"/>
              </w:rPr>
              <w:t>25</w:t>
            </w:r>
            <w:r w:rsidRPr="00F77815">
              <w:rPr>
                <w:rFonts w:cs="Arial"/>
                <w:szCs w:val="16"/>
              </w:rPr>
              <w:t>,- €</w:t>
            </w:r>
          </w:p>
        </w:tc>
      </w:tr>
      <w:tr w:rsidR="00A408CF" w:rsidRPr="00F77815" w:rsidTr="00A408CF">
        <w:trPr>
          <w:cantSplit/>
          <w:trHeight w:val="574"/>
        </w:trPr>
        <w:tc>
          <w:tcPr>
            <w:tcW w:w="43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087528" w:rsidRDefault="00A408CF" w:rsidP="003361E9">
            <w:pPr>
              <w:jc w:val="center"/>
              <w:rPr>
                <w:szCs w:val="16"/>
              </w:rPr>
            </w:pPr>
          </w:p>
        </w:tc>
        <w:tc>
          <w:tcPr>
            <w:tcW w:w="128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sidRPr="00F77815">
              <w:rPr>
                <w:rFonts w:cs="Arial"/>
                <w:szCs w:val="16"/>
              </w:rPr>
              <w:t>IV b/ 2J. IV a</w:t>
            </w:r>
          </w:p>
        </w:tc>
        <w:tc>
          <w:tcPr>
            <w:tcW w:w="99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sidRPr="00F77815">
              <w:rPr>
                <w:rFonts w:cs="Arial"/>
                <w:szCs w:val="16"/>
              </w:rPr>
              <w:t>OZ 2</w:t>
            </w:r>
          </w:p>
        </w:tc>
        <w:tc>
          <w:tcPr>
            <w:tcW w:w="122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Pr>
                <w:rFonts w:cs="Arial"/>
                <w:szCs w:val="16"/>
              </w:rPr>
              <w:t>8</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Pr>
                <w:rFonts w:cs="Arial"/>
                <w:szCs w:val="16"/>
              </w:rPr>
              <w:t>2</w:t>
            </w:r>
            <w:r w:rsidRPr="00F77815">
              <w:rPr>
                <w:rFonts w:cs="Arial"/>
                <w:szCs w:val="16"/>
              </w:rPr>
              <w:t xml:space="preserve"> Jahren</w:t>
            </w:r>
          </w:p>
        </w:tc>
        <w:tc>
          <w:tcPr>
            <w:tcW w:w="96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B258BD">
            <w:pPr>
              <w:jc w:val="center"/>
              <w:rPr>
                <w:szCs w:val="16"/>
              </w:rPr>
            </w:pPr>
            <w:r>
              <w:rPr>
                <w:rFonts w:cs="Arial"/>
                <w:szCs w:val="16"/>
              </w:rPr>
              <w:t>5 Jahre danach</w:t>
            </w:r>
          </w:p>
        </w:tc>
        <w:tc>
          <w:tcPr>
            <w:tcW w:w="763"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A408CF" w:rsidRPr="00F77815" w:rsidRDefault="00A408CF" w:rsidP="00A408CF">
            <w:pPr>
              <w:jc w:val="center"/>
              <w:rPr>
                <w:szCs w:val="16"/>
              </w:rPr>
            </w:pPr>
            <w:r>
              <w:rPr>
                <w:rFonts w:cs="Arial"/>
                <w:szCs w:val="16"/>
              </w:rPr>
              <w:t>50,- € 25</w:t>
            </w:r>
            <w:r w:rsidRPr="00F77815">
              <w:rPr>
                <w:rFonts w:cs="Arial"/>
                <w:szCs w:val="16"/>
              </w:rPr>
              <w:t>,-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3361E9">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2J.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 Jahren</w:t>
            </w:r>
          </w:p>
        </w:tc>
        <w:tc>
          <w:tcPr>
            <w:tcW w:w="967"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dauerhaft</w:t>
            </w:r>
          </w:p>
        </w:tc>
        <w:tc>
          <w:tcPr>
            <w:tcW w:w="763"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25,-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3361E9">
            <w:pPr>
              <w:autoSpaceDE w:val="0"/>
              <w:jc w:val="center"/>
              <w:rPr>
                <w:b/>
                <w:szCs w:val="16"/>
              </w:rPr>
            </w:pPr>
            <w:r w:rsidRPr="00087528">
              <w:rPr>
                <w:rStyle w:val="Fett"/>
                <w:rFonts w:cs="Arial"/>
                <w:b w:val="0"/>
                <w:bCs/>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4J.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30,-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3361E9">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4J.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25,- €</w:t>
            </w:r>
          </w:p>
        </w:tc>
      </w:tr>
      <w:tr w:rsidR="00BE1EFE" w:rsidRPr="00F77815" w:rsidTr="003C78E6">
        <w:trPr>
          <w:cantSplit/>
          <w:trHeight w:val="170"/>
        </w:trPr>
        <w:tc>
          <w:tcPr>
            <w:tcW w:w="433"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3361E9">
            <w:pPr>
              <w:jc w:val="center"/>
              <w:rPr>
                <w:szCs w:val="16"/>
              </w:rPr>
            </w:pPr>
          </w:p>
        </w:tc>
        <w:tc>
          <w:tcPr>
            <w:tcW w:w="1286"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4J. IV a</w:t>
            </w:r>
          </w:p>
        </w:tc>
        <w:tc>
          <w:tcPr>
            <w:tcW w:w="99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2</w:t>
            </w:r>
          </w:p>
        </w:tc>
        <w:tc>
          <w:tcPr>
            <w:tcW w:w="122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8</w:t>
            </w:r>
          </w:p>
        </w:tc>
        <w:tc>
          <w:tcPr>
            <w:tcW w:w="90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 Jahren</w:t>
            </w:r>
          </w:p>
        </w:tc>
        <w:tc>
          <w:tcPr>
            <w:tcW w:w="96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rsidP="003361E9">
            <w:pPr>
              <w:jc w:val="center"/>
              <w:rPr>
                <w:rFonts w:cs="Arial"/>
                <w:szCs w:val="16"/>
              </w:rPr>
            </w:pPr>
            <w:r w:rsidRPr="00F77815">
              <w:rPr>
                <w:rFonts w:cs="Arial"/>
                <w:szCs w:val="16"/>
              </w:rPr>
              <w:t xml:space="preserve">5 Jahre </w:t>
            </w:r>
          </w:p>
          <w:p w:rsidR="00BE1EFE" w:rsidRPr="00F77815" w:rsidRDefault="00BE1EFE" w:rsidP="003361E9">
            <w:pPr>
              <w:jc w:val="center"/>
              <w:rPr>
                <w:szCs w:val="16"/>
              </w:rPr>
            </w:pPr>
            <w:r w:rsidRPr="00F77815">
              <w:rPr>
                <w:rFonts w:cs="Arial"/>
                <w:szCs w:val="16"/>
              </w:rPr>
              <w:t>danach</w:t>
            </w:r>
          </w:p>
        </w:tc>
        <w:tc>
          <w:tcPr>
            <w:tcW w:w="763" w:type="dxa"/>
            <w:tcBorders>
              <w:top w:val="nil"/>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50,- €</w:t>
            </w:r>
          </w:p>
        </w:tc>
      </w:tr>
      <w:tr w:rsidR="00BE1EFE" w:rsidRPr="00F77815" w:rsidTr="003C78E6">
        <w:trPr>
          <w:cantSplit/>
          <w:trHeight w:val="170"/>
        </w:trPr>
        <w:tc>
          <w:tcPr>
            <w:tcW w:w="0" w:type="auto"/>
            <w:vMerge/>
            <w:tcBorders>
              <w:top w:val="nil"/>
              <w:left w:val="single" w:sz="8" w:space="0" w:color="auto"/>
              <w:bottom w:val="single" w:sz="8" w:space="0" w:color="auto"/>
              <w:right w:val="single" w:sz="8" w:space="0" w:color="auto"/>
            </w:tcBorders>
            <w:vAlign w:val="center"/>
            <w:hideMark/>
          </w:tcPr>
          <w:p w:rsidR="00BE1EFE" w:rsidRPr="00087528"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25,-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3361E9">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4J.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25,-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3361E9">
            <w:pPr>
              <w:autoSpaceDE w:val="0"/>
              <w:jc w:val="center"/>
              <w:rPr>
                <w:b/>
                <w:szCs w:val="16"/>
              </w:rPr>
            </w:pPr>
            <w:r w:rsidRPr="00087528">
              <w:rPr>
                <w:rStyle w:val="Fett"/>
                <w:rFonts w:cs="Arial"/>
                <w:b w:val="0"/>
                <w:bCs/>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5J.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1 Jahr</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8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90,-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FB310F" w:rsidP="003361E9">
            <w:pPr>
              <w:jc w:val="center"/>
              <w:rPr>
                <w:szCs w:val="16"/>
              </w:rPr>
            </w:pPr>
            <w:r w:rsidRPr="00087528">
              <w:rPr>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5J.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1 Jahr</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6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90,-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3361E9">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5J.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25,- €</w:t>
            </w:r>
          </w:p>
        </w:tc>
      </w:tr>
      <w:tr w:rsidR="00BE1EFE" w:rsidRPr="00F77815" w:rsidTr="003C78E6">
        <w:trPr>
          <w:cantSplit/>
          <w:trHeight w:val="170"/>
        </w:trPr>
        <w:tc>
          <w:tcPr>
            <w:tcW w:w="433"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3361E9">
            <w:pPr>
              <w:jc w:val="center"/>
              <w:rPr>
                <w:szCs w:val="16"/>
              </w:rPr>
            </w:pPr>
          </w:p>
        </w:tc>
        <w:tc>
          <w:tcPr>
            <w:tcW w:w="1286"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IV b/ 5J. IV a</w:t>
            </w:r>
          </w:p>
        </w:tc>
        <w:tc>
          <w:tcPr>
            <w:tcW w:w="998"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OZ 2</w:t>
            </w:r>
          </w:p>
        </w:tc>
        <w:tc>
          <w:tcPr>
            <w:tcW w:w="122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8</w:t>
            </w:r>
          </w:p>
        </w:tc>
        <w:tc>
          <w:tcPr>
            <w:tcW w:w="902"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 Jahren</w:t>
            </w:r>
          </w:p>
        </w:tc>
        <w:tc>
          <w:tcPr>
            <w:tcW w:w="967" w:type="dxa"/>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rsidP="003361E9">
            <w:pPr>
              <w:jc w:val="center"/>
              <w:rPr>
                <w:rFonts w:cs="Arial"/>
                <w:szCs w:val="16"/>
              </w:rPr>
            </w:pPr>
            <w:r w:rsidRPr="00F77815">
              <w:rPr>
                <w:rFonts w:cs="Arial"/>
                <w:szCs w:val="16"/>
              </w:rPr>
              <w:t xml:space="preserve">5 Jahre </w:t>
            </w:r>
          </w:p>
          <w:p w:rsidR="00BE1EFE" w:rsidRPr="00F77815" w:rsidRDefault="00BE1EFE" w:rsidP="003361E9">
            <w:pPr>
              <w:jc w:val="center"/>
              <w:rPr>
                <w:szCs w:val="16"/>
              </w:rPr>
            </w:pPr>
            <w:r w:rsidRPr="00F77815">
              <w:rPr>
                <w:rFonts w:cs="Arial"/>
                <w:szCs w:val="16"/>
              </w:rPr>
              <w:t>danach</w:t>
            </w:r>
          </w:p>
        </w:tc>
        <w:tc>
          <w:tcPr>
            <w:tcW w:w="763" w:type="dxa"/>
            <w:tcBorders>
              <w:top w:val="nil"/>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50,- €</w:t>
            </w:r>
          </w:p>
        </w:tc>
      </w:tr>
      <w:tr w:rsidR="00BE1EFE" w:rsidRPr="00F77815" w:rsidTr="003C78E6">
        <w:trPr>
          <w:cantSplit/>
          <w:trHeight w:val="170"/>
        </w:trPr>
        <w:tc>
          <w:tcPr>
            <w:tcW w:w="0" w:type="auto"/>
            <w:vMerge/>
            <w:tcBorders>
              <w:top w:val="nil"/>
              <w:left w:val="single" w:sz="8" w:space="0" w:color="auto"/>
              <w:bottom w:val="single" w:sz="8" w:space="0" w:color="auto"/>
              <w:right w:val="single" w:sz="8" w:space="0" w:color="auto"/>
            </w:tcBorders>
            <w:vAlign w:val="center"/>
            <w:hideMark/>
          </w:tcPr>
          <w:p w:rsidR="00BE1EFE" w:rsidRPr="00087528"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0" w:type="auto"/>
            <w:vMerge/>
            <w:tcBorders>
              <w:top w:val="nil"/>
              <w:left w:val="nil"/>
              <w:bottom w:val="single" w:sz="8" w:space="0" w:color="auto"/>
              <w:right w:val="single" w:sz="8" w:space="0" w:color="auto"/>
            </w:tcBorders>
            <w:vAlign w:val="center"/>
            <w:hideMark/>
          </w:tcPr>
          <w:p w:rsidR="00BE1EFE" w:rsidRPr="00F77815" w:rsidRDefault="00BE1EFE" w:rsidP="003361E9">
            <w:pPr>
              <w:jc w:val="center"/>
              <w:rPr>
                <w:szCs w:val="16"/>
              </w:rPr>
            </w:pP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F77815" w:rsidRDefault="00BE1EFE" w:rsidP="003361E9">
            <w:pPr>
              <w:jc w:val="center"/>
              <w:rPr>
                <w:szCs w:val="16"/>
              </w:rPr>
            </w:pPr>
            <w:r w:rsidRPr="00F77815">
              <w:rPr>
                <w:rFonts w:cs="Arial"/>
                <w:szCs w:val="16"/>
              </w:rPr>
              <w:t>25,-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3361E9">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rFonts w:cs="Arial"/>
                <w:szCs w:val="16"/>
              </w:rPr>
            </w:pPr>
            <w:r w:rsidRPr="00F77815">
              <w:rPr>
                <w:rFonts w:cs="Arial"/>
                <w:szCs w:val="16"/>
              </w:rPr>
              <w:t>IV b/ 5J.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rFonts w:cs="Arial"/>
                <w:szCs w:val="16"/>
              </w:rPr>
            </w:pPr>
            <w:r w:rsidRPr="00F77815">
              <w:rPr>
                <w:rFonts w:cs="Arial"/>
                <w:szCs w:val="16"/>
              </w:rPr>
              <w:t>25,-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3361E9">
            <w:pPr>
              <w:autoSpaceDE w:val="0"/>
              <w:jc w:val="center"/>
              <w:rPr>
                <w:b/>
                <w:szCs w:val="16"/>
              </w:rPr>
            </w:pPr>
            <w:r w:rsidRPr="00087528">
              <w:rPr>
                <w:rStyle w:val="Fett"/>
                <w:rFonts w:cs="Arial"/>
                <w:b w:val="0"/>
                <w:bCs/>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IV b/ 6J.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CB5C9C" w:rsidP="003361E9">
            <w:pPr>
              <w:jc w:val="center"/>
              <w:rPr>
                <w:szCs w:val="16"/>
              </w:rPr>
            </w:pPr>
            <w:r>
              <w:rPr>
                <w:rFonts w:cs="Arial"/>
                <w:szCs w:val="16"/>
              </w:rPr>
              <w:t xml:space="preserve">2 </w:t>
            </w:r>
            <w:r w:rsidR="00BE1EFE" w:rsidRPr="00F77815">
              <w:rPr>
                <w:rFonts w:cs="Arial"/>
                <w:szCs w:val="16"/>
              </w:rPr>
              <w:t>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7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90,-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3361E9">
            <w:pPr>
              <w:jc w:val="center"/>
              <w:rPr>
                <w:szCs w:val="16"/>
              </w:rPr>
            </w:pPr>
            <w:r w:rsidRPr="00087528">
              <w:rPr>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IV b/ 6J.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90,-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3361E9">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IV b/ 6J.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25,- €</w:t>
            </w:r>
          </w:p>
        </w:tc>
      </w:tr>
      <w:tr w:rsidR="00BE1EFE" w:rsidRPr="00F77815" w:rsidTr="003C78E6">
        <w:trPr>
          <w:cantSplit/>
          <w:trHeight w:val="1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3361E9">
            <w:pPr>
              <w:autoSpaceDE w:val="0"/>
              <w:jc w:val="center"/>
              <w:rPr>
                <w:b/>
                <w:szCs w:val="16"/>
              </w:rPr>
            </w:pPr>
            <w:r w:rsidRPr="00087528">
              <w:rPr>
                <w:rStyle w:val="Fett"/>
                <w:rFonts w:cs="Arial"/>
                <w:b w:val="0"/>
                <w:bCs/>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IV b/ 6J.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3361E9">
            <w:pPr>
              <w:jc w:val="center"/>
              <w:rPr>
                <w:rFonts w:cs="Arial"/>
                <w:szCs w:val="16"/>
              </w:rPr>
            </w:pPr>
            <w:r w:rsidRPr="00F77815">
              <w:rPr>
                <w:rFonts w:cs="Arial"/>
                <w:szCs w:val="16"/>
              </w:rPr>
              <w:t xml:space="preserve">5 Jahre </w:t>
            </w:r>
          </w:p>
          <w:p w:rsidR="00BE1EFE" w:rsidRPr="00F77815" w:rsidRDefault="00BE1EFE" w:rsidP="003361E9">
            <w:pPr>
              <w:jc w:val="center"/>
              <w:rPr>
                <w:szCs w:val="16"/>
              </w:rPr>
            </w:pPr>
            <w:r w:rsidRPr="00F77815">
              <w:rPr>
                <w:rFonts w:cs="Arial"/>
                <w:szCs w:val="16"/>
              </w:rPr>
              <w:t>danach</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C120D3">
            <w:pPr>
              <w:jc w:val="center"/>
              <w:rPr>
                <w:rFonts w:cs="Arial"/>
                <w:szCs w:val="16"/>
              </w:rPr>
            </w:pPr>
            <w:r w:rsidRPr="00F77815">
              <w:rPr>
                <w:rFonts w:cs="Arial"/>
                <w:szCs w:val="16"/>
              </w:rPr>
              <w:t>50,- €</w:t>
            </w:r>
          </w:p>
          <w:p w:rsidR="00BE1EFE" w:rsidRPr="00F77815" w:rsidRDefault="00BE1EFE" w:rsidP="00C120D3">
            <w:pPr>
              <w:jc w:val="center"/>
              <w:rPr>
                <w:szCs w:val="16"/>
              </w:rPr>
            </w:pPr>
            <w:r>
              <w:rPr>
                <w:rFonts w:cs="Arial"/>
                <w:szCs w:val="16"/>
              </w:rPr>
              <w:t>25,- €</w:t>
            </w:r>
          </w:p>
        </w:tc>
      </w:tr>
      <w:tr w:rsidR="00BE1EFE" w:rsidRPr="00F77815" w:rsidTr="003C78E6">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087528" w:rsidRDefault="00BE1EFE" w:rsidP="003361E9">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IV b/ 6J.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F77815" w:rsidRDefault="00BE1EFE" w:rsidP="003361E9">
            <w:pPr>
              <w:jc w:val="center"/>
              <w:rPr>
                <w:szCs w:val="16"/>
              </w:rPr>
            </w:pPr>
            <w:r w:rsidRPr="00F77815">
              <w:rPr>
                <w:rFonts w:cs="Arial"/>
                <w:szCs w:val="16"/>
              </w:rPr>
              <w:t>25,- €</w:t>
            </w:r>
          </w:p>
        </w:tc>
      </w:tr>
    </w:tbl>
    <w:p w:rsidR="003C78E6" w:rsidRDefault="003C78E6">
      <w:pPr>
        <w:pStyle w:val="StandardWeb"/>
        <w:rPr>
          <w:color w:val="010101"/>
          <w:szCs w:val="16"/>
        </w:rPr>
      </w:pPr>
    </w:p>
    <w:tbl>
      <w:tblPr>
        <w:tblW w:w="4810" w:type="pct"/>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CB5C9C" w:rsidRPr="00F77815" w:rsidTr="00B258BD">
        <w:trPr>
          <w:cantSplit/>
          <w:trHeight w:hRule="exact" w:val="227"/>
        </w:trPr>
        <w:tc>
          <w:tcPr>
            <w:tcW w:w="433"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CB5C9C" w:rsidRPr="00F77815" w:rsidRDefault="00CB5C9C" w:rsidP="00B258BD">
            <w:pPr>
              <w:autoSpaceDE w:val="0"/>
              <w:spacing w:line="180" w:lineRule="atLeast"/>
              <w:jc w:val="center"/>
              <w:rPr>
                <w:szCs w:val="16"/>
              </w:rPr>
            </w:pPr>
            <w:r w:rsidRPr="00F77815">
              <w:rPr>
                <w:rStyle w:val="Fett"/>
                <w:rFonts w:cs="Arial"/>
                <w:bCs/>
                <w:szCs w:val="16"/>
              </w:rPr>
              <w:t>EG</w:t>
            </w:r>
          </w:p>
        </w:tc>
        <w:tc>
          <w:tcPr>
            <w:tcW w:w="1286"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CB5C9C" w:rsidRPr="00F77815" w:rsidRDefault="00CB5C9C" w:rsidP="00B258BD">
            <w:pPr>
              <w:autoSpaceDE w:val="0"/>
              <w:spacing w:line="180" w:lineRule="atLeast"/>
              <w:jc w:val="center"/>
              <w:rPr>
                <w:szCs w:val="16"/>
              </w:rPr>
            </w:pPr>
            <w:r w:rsidRPr="00F77815">
              <w:rPr>
                <w:rStyle w:val="Fett"/>
                <w:rFonts w:cs="Arial"/>
                <w:bCs/>
                <w:szCs w:val="16"/>
              </w:rPr>
              <w:t>Vergütungs-gruppe</w:t>
            </w:r>
          </w:p>
        </w:tc>
        <w:tc>
          <w:tcPr>
            <w:tcW w:w="998"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CB5C9C" w:rsidRPr="00F77815" w:rsidRDefault="00CB5C9C" w:rsidP="00B258BD">
            <w:pPr>
              <w:autoSpaceDE w:val="0"/>
              <w:spacing w:line="180" w:lineRule="atLeast"/>
              <w:jc w:val="center"/>
              <w:rPr>
                <w:szCs w:val="16"/>
              </w:rPr>
            </w:pPr>
            <w:r w:rsidRPr="00F77815">
              <w:rPr>
                <w:rStyle w:val="Fett"/>
                <w:rFonts w:cs="Arial"/>
                <w:bCs/>
                <w:szCs w:val="16"/>
              </w:rPr>
              <w:t>Orts-Zuschlag Stufe 1/2</w:t>
            </w:r>
          </w:p>
        </w:tc>
        <w:tc>
          <w:tcPr>
            <w:tcW w:w="122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CB5C9C" w:rsidRPr="00F77815" w:rsidRDefault="00CB5C9C" w:rsidP="00B258BD">
            <w:pPr>
              <w:autoSpaceDE w:val="0"/>
              <w:spacing w:line="180" w:lineRule="atLeast"/>
              <w:jc w:val="center"/>
              <w:rPr>
                <w:szCs w:val="16"/>
              </w:rPr>
            </w:pPr>
            <w:r w:rsidRPr="00F77815">
              <w:rPr>
                <w:rStyle w:val="Fett"/>
                <w:rFonts w:cs="Arial"/>
                <w:bCs/>
                <w:szCs w:val="16"/>
              </w:rPr>
              <w:t>Überleitung aus Stufe</w:t>
            </w:r>
          </w:p>
        </w:tc>
        <w:tc>
          <w:tcPr>
            <w:tcW w:w="90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CB5C9C" w:rsidRPr="00F77815" w:rsidRDefault="00CB5C9C" w:rsidP="00B258BD">
            <w:pPr>
              <w:autoSpaceDE w:val="0"/>
              <w:spacing w:line="180" w:lineRule="atLeast"/>
              <w:jc w:val="center"/>
              <w:rPr>
                <w:szCs w:val="16"/>
              </w:rPr>
            </w:pPr>
            <w:r w:rsidRPr="00F77815">
              <w:rPr>
                <w:rStyle w:val="Fett"/>
                <w:rFonts w:cs="Arial"/>
                <w:bCs/>
                <w:szCs w:val="16"/>
              </w:rPr>
              <w:t>nach</w:t>
            </w:r>
          </w:p>
        </w:tc>
        <w:tc>
          <w:tcPr>
            <w:tcW w:w="967"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CB5C9C" w:rsidRPr="00F77815" w:rsidRDefault="00CB5C9C" w:rsidP="00B258BD">
            <w:pPr>
              <w:autoSpaceDE w:val="0"/>
              <w:spacing w:line="180" w:lineRule="atLeast"/>
              <w:jc w:val="center"/>
              <w:rPr>
                <w:szCs w:val="16"/>
              </w:rPr>
            </w:pPr>
            <w:r w:rsidRPr="00F77815">
              <w:rPr>
                <w:rStyle w:val="Fett"/>
                <w:rFonts w:cs="Arial"/>
                <w:bCs/>
                <w:szCs w:val="16"/>
              </w:rPr>
              <w:t>für</w:t>
            </w:r>
          </w:p>
        </w:tc>
        <w:tc>
          <w:tcPr>
            <w:tcW w:w="763"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CB5C9C" w:rsidRPr="00F77815" w:rsidRDefault="00CB5C9C" w:rsidP="00B258BD">
            <w:pPr>
              <w:autoSpaceDE w:val="0"/>
              <w:spacing w:line="180" w:lineRule="atLeast"/>
              <w:jc w:val="center"/>
              <w:rPr>
                <w:szCs w:val="16"/>
              </w:rPr>
            </w:pPr>
            <w:r w:rsidRPr="00F77815">
              <w:rPr>
                <w:rStyle w:val="Fett"/>
                <w:rFonts w:cs="Arial"/>
                <w:bCs/>
                <w:szCs w:val="16"/>
              </w:rPr>
              <w:t>Betrag</w:t>
            </w:r>
          </w:p>
        </w:tc>
      </w:tr>
      <w:tr w:rsidR="00CB5C9C" w:rsidRPr="00F77815" w:rsidTr="00B258BD">
        <w:trPr>
          <w:cantSplit/>
          <w:trHeight w:val="276"/>
        </w:trPr>
        <w:tc>
          <w:tcPr>
            <w:tcW w:w="0" w:type="auto"/>
            <w:vMerge/>
            <w:tcBorders>
              <w:top w:val="single" w:sz="8" w:space="0" w:color="auto"/>
              <w:left w:val="single" w:sz="8" w:space="0" w:color="auto"/>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r>
      <w:tr w:rsidR="00CB5C9C" w:rsidRPr="00F77815" w:rsidTr="00B258BD">
        <w:trPr>
          <w:cantSplit/>
          <w:trHeight w:val="276"/>
        </w:trPr>
        <w:tc>
          <w:tcPr>
            <w:tcW w:w="0" w:type="auto"/>
            <w:vMerge/>
            <w:tcBorders>
              <w:top w:val="single" w:sz="8" w:space="0" w:color="auto"/>
              <w:left w:val="single" w:sz="8" w:space="0" w:color="auto"/>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nil"/>
              <w:right w:val="single" w:sz="8" w:space="0" w:color="auto"/>
            </w:tcBorders>
            <w:vAlign w:val="center"/>
            <w:hideMark/>
          </w:tcPr>
          <w:p w:rsidR="00CB5C9C" w:rsidRPr="00F77815" w:rsidRDefault="00CB5C9C" w:rsidP="00B258BD">
            <w:pPr>
              <w:rPr>
                <w:szCs w:val="16"/>
              </w:rPr>
            </w:pPr>
          </w:p>
        </w:tc>
      </w:tr>
      <w:tr w:rsidR="00CB5C9C" w:rsidRPr="00F77815" w:rsidTr="00B258BD">
        <w:trPr>
          <w:cantSplit/>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CB5C9C" w:rsidRPr="00F77815" w:rsidRDefault="00CB5C9C"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CB5C9C" w:rsidRPr="00F77815" w:rsidRDefault="00CB5C9C" w:rsidP="00B258BD">
            <w:pPr>
              <w:rPr>
                <w:szCs w:val="16"/>
              </w:rPr>
            </w:pPr>
          </w:p>
        </w:tc>
      </w:tr>
      <w:tr w:rsidR="00CB5C9C"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autoSpaceDE w:val="0"/>
              <w:jc w:val="center"/>
              <w:rPr>
                <w:b/>
                <w:szCs w:val="16"/>
              </w:rPr>
            </w:pPr>
            <w:r w:rsidRPr="00087528">
              <w:rPr>
                <w:rStyle w:val="Fett"/>
                <w:rFonts w:cs="Arial"/>
                <w:b w:val="0"/>
                <w:bCs/>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IV b/ 8J.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90,- €</w:t>
            </w:r>
          </w:p>
        </w:tc>
      </w:tr>
      <w:tr w:rsidR="00CB5C9C"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IV b/ 8J.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7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180,- €</w:t>
            </w:r>
          </w:p>
        </w:tc>
      </w:tr>
      <w:tr w:rsidR="00CB5C9C"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r w:rsidRPr="00087528">
              <w:rPr>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IV b/ 8J.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77815" w:rsidRDefault="00CB5C9C" w:rsidP="00B258BD">
            <w:pPr>
              <w:jc w:val="center"/>
              <w:rPr>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Default="00CB5C9C" w:rsidP="00B258BD">
            <w:pPr>
              <w:jc w:val="center"/>
              <w:rPr>
                <w:rFonts w:cs="Arial"/>
                <w:szCs w:val="16"/>
              </w:rPr>
            </w:pPr>
            <w:r w:rsidRPr="00F77815">
              <w:rPr>
                <w:rFonts w:cs="Arial"/>
                <w:szCs w:val="16"/>
              </w:rPr>
              <w:t xml:space="preserve">5 Jahre </w:t>
            </w:r>
          </w:p>
          <w:p w:rsidR="00CB5C9C" w:rsidRPr="00F77815" w:rsidRDefault="00CB5C9C" w:rsidP="00B258BD">
            <w:pPr>
              <w:jc w:val="center"/>
              <w:rPr>
                <w:szCs w:val="16"/>
              </w:rPr>
            </w:pPr>
            <w:r w:rsidRPr="00F77815">
              <w:rPr>
                <w:rFonts w:cs="Arial"/>
                <w:szCs w:val="16"/>
              </w:rPr>
              <w:t>danach</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Default="00CB5C9C" w:rsidP="00B258BD">
            <w:pPr>
              <w:jc w:val="center"/>
              <w:rPr>
                <w:rFonts w:cs="Arial"/>
                <w:szCs w:val="16"/>
              </w:rPr>
            </w:pPr>
            <w:r w:rsidRPr="00F77815">
              <w:rPr>
                <w:rFonts w:cs="Arial"/>
                <w:szCs w:val="16"/>
              </w:rPr>
              <w:t>115,- €</w:t>
            </w:r>
          </w:p>
          <w:p w:rsidR="00CB5C9C" w:rsidRPr="00F77815" w:rsidRDefault="00CB5C9C" w:rsidP="00B258BD">
            <w:pPr>
              <w:jc w:val="center"/>
              <w:rPr>
                <w:szCs w:val="16"/>
              </w:rPr>
            </w:pPr>
            <w:r>
              <w:rPr>
                <w:szCs w:val="16"/>
              </w:rPr>
              <w:t>25,- €</w:t>
            </w:r>
          </w:p>
        </w:tc>
      </w:tr>
      <w:tr w:rsidR="00CB5C9C"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IV b/ 8J.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25,- €</w:t>
            </w:r>
          </w:p>
        </w:tc>
      </w:tr>
      <w:tr w:rsidR="00CB5C9C"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r w:rsidRPr="00087528">
              <w:rPr>
                <w:szCs w:val="16"/>
              </w:rPr>
              <w:t>10</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IV b/ 8J.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Default="00CB5C9C" w:rsidP="00B258BD">
            <w:pPr>
              <w:jc w:val="center"/>
              <w:rPr>
                <w:rFonts w:cs="Arial"/>
                <w:szCs w:val="16"/>
              </w:rPr>
            </w:pPr>
            <w:r w:rsidRPr="00F77815">
              <w:rPr>
                <w:rFonts w:cs="Arial"/>
                <w:szCs w:val="16"/>
              </w:rPr>
              <w:t xml:space="preserve">5 Jahre </w:t>
            </w:r>
          </w:p>
          <w:p w:rsidR="00CB5C9C" w:rsidRPr="007C6319" w:rsidRDefault="00CB5C9C" w:rsidP="00B258BD">
            <w:pPr>
              <w:jc w:val="center"/>
              <w:rPr>
                <w:rFonts w:cs="Arial"/>
                <w:szCs w:val="16"/>
              </w:rPr>
            </w:pPr>
            <w:r w:rsidRPr="00F77815">
              <w:rPr>
                <w:rFonts w:cs="Arial"/>
                <w:szCs w:val="16"/>
              </w:rPr>
              <w:t>danach</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120D3" w:rsidRDefault="00CB5C9C" w:rsidP="00B258BD">
            <w:pPr>
              <w:jc w:val="center"/>
              <w:rPr>
                <w:rFonts w:cs="Arial"/>
                <w:szCs w:val="16"/>
              </w:rPr>
            </w:pPr>
            <w:r w:rsidRPr="00F77815">
              <w:rPr>
                <w:rFonts w:cs="Arial"/>
                <w:szCs w:val="16"/>
              </w:rPr>
              <w:t>50,- €</w:t>
            </w:r>
          </w:p>
          <w:p w:rsidR="00CB5C9C" w:rsidRPr="007C6319" w:rsidRDefault="00CB5C9C" w:rsidP="00B258BD">
            <w:pPr>
              <w:jc w:val="center"/>
              <w:rPr>
                <w:rFonts w:cs="Arial"/>
                <w:szCs w:val="16"/>
              </w:rPr>
            </w:pPr>
            <w:r w:rsidRPr="007C6319">
              <w:rPr>
                <w:rFonts w:cs="Arial"/>
                <w:szCs w:val="16"/>
              </w:rPr>
              <w:t>25,- €</w:t>
            </w:r>
          </w:p>
        </w:tc>
      </w:tr>
      <w:tr w:rsidR="00CB5C9C"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IV b/ 8J. IV a</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25,-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CB5C9C">
            <w:pPr>
              <w:jc w:val="center"/>
              <w:rPr>
                <w:szCs w:val="16"/>
              </w:rPr>
            </w:pPr>
            <w:r w:rsidRPr="00CB5C9C">
              <w:rPr>
                <w:rStyle w:val="Fett"/>
                <w:b w:val="0"/>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r w:rsidRPr="00087528">
              <w:rPr>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80,-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25,-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90,-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CB5C9C">
            <w:pPr>
              <w:jc w:val="center"/>
              <w:rPr>
                <w:szCs w:val="16"/>
              </w:rPr>
            </w:pPr>
            <w:r w:rsidRPr="00CB5C9C">
              <w:rPr>
                <w:rStyle w:val="Fett"/>
                <w:b w:val="0"/>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V b/ 2J.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V b/ 2J.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r w:rsidRPr="00087528">
              <w:rPr>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V b/ 2J.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80,-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V b/ 2J.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25,-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V b/ 2J.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F77815">
              <w:rPr>
                <w:rFonts w:cs="Arial"/>
                <w:szCs w:val="16"/>
              </w:rPr>
              <w:t>90,-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szCs w:val="16"/>
              </w:rPr>
            </w:pPr>
            <w:r w:rsidRPr="00087528">
              <w:rPr>
                <w:rStyle w:val="Fett"/>
                <w:b w:val="0"/>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4J.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4J.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r w:rsidRPr="00087528">
              <w:rPr>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CB5C9C">
              <w:rPr>
                <w:rFonts w:cs="Arial"/>
                <w:szCs w:val="16"/>
              </w:rPr>
              <w:t>V b/ 4J.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CB5C9C">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CB5C9C">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CB5C9C">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CB5C9C">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rFonts w:cs="Arial"/>
                <w:szCs w:val="16"/>
              </w:rPr>
            </w:pPr>
            <w:r w:rsidRPr="00CB5C9C">
              <w:rPr>
                <w:rFonts w:cs="Arial"/>
                <w:szCs w:val="16"/>
              </w:rPr>
              <w:t>80,-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4J.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25,-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4J.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90,-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szCs w:val="16"/>
              </w:rPr>
            </w:pPr>
            <w:r w:rsidRPr="00087528">
              <w:rPr>
                <w:rStyle w:val="Fett"/>
                <w:b w:val="0"/>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5J.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1 Jahr</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110,-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5J.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5J.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r w:rsidRPr="00087528">
              <w:rPr>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5J.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1 Jahr</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80,-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5J.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25,-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087528" w:rsidRDefault="00CB5C9C"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V b/ 5J.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FE5E64" w:rsidRDefault="00CB5C9C" w:rsidP="00B258BD">
            <w:pPr>
              <w:jc w:val="center"/>
              <w:rPr>
                <w:rFonts w:cs="Arial"/>
                <w:szCs w:val="16"/>
              </w:rPr>
            </w:pPr>
            <w:r w:rsidRPr="00F77815">
              <w:rPr>
                <w:rFonts w:cs="Arial"/>
                <w:szCs w:val="16"/>
              </w:rPr>
              <w:t>90,- €</w:t>
            </w:r>
          </w:p>
        </w:tc>
      </w:tr>
      <w:tr w:rsidR="00CB5C9C" w:rsidRPr="00F77815" w:rsidTr="00CB5C9C">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CB5C9C" w:rsidRPr="00CB5C9C" w:rsidRDefault="00CB5C9C" w:rsidP="00B258BD">
            <w:pPr>
              <w:jc w:val="center"/>
              <w:rPr>
                <w:szCs w:val="16"/>
              </w:rPr>
            </w:pPr>
            <w:r w:rsidRPr="00087528">
              <w:rPr>
                <w:rStyle w:val="Fett"/>
                <w:b w:val="0"/>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V b/ 6J.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CB5C9C" w:rsidRPr="007C6319" w:rsidRDefault="00CB5C9C" w:rsidP="00B258BD">
            <w:pPr>
              <w:jc w:val="center"/>
              <w:rPr>
                <w:rFonts w:cs="Arial"/>
                <w:szCs w:val="16"/>
              </w:rPr>
            </w:pPr>
            <w:r w:rsidRPr="00F77815">
              <w:rPr>
                <w:rFonts w:cs="Arial"/>
                <w:szCs w:val="16"/>
              </w:rPr>
              <w:t>50,- €</w:t>
            </w:r>
          </w:p>
        </w:tc>
      </w:tr>
    </w:tbl>
    <w:p w:rsidR="00B258BD" w:rsidRDefault="00B258BD">
      <w:pPr>
        <w:pStyle w:val="StandardWeb"/>
        <w:rPr>
          <w:color w:val="010101"/>
          <w:szCs w:val="16"/>
        </w:rPr>
      </w:pPr>
      <w:r>
        <w:rPr>
          <w:color w:val="010101"/>
          <w:szCs w:val="16"/>
        </w:rPr>
        <w:br w:type="page"/>
      </w:r>
    </w:p>
    <w:p w:rsidR="00B258BD" w:rsidRDefault="00B258BD">
      <w:pPr>
        <w:pStyle w:val="StandardWeb"/>
        <w:rPr>
          <w:color w:val="010101"/>
          <w:szCs w:val="16"/>
        </w:rPr>
      </w:pPr>
    </w:p>
    <w:tbl>
      <w:tblPr>
        <w:tblW w:w="4810" w:type="pct"/>
        <w:tblCellMar>
          <w:left w:w="0" w:type="dxa"/>
          <w:right w:w="0" w:type="dxa"/>
        </w:tblCellMar>
        <w:tblLook w:val="04A0" w:firstRow="1" w:lastRow="0" w:firstColumn="1" w:lastColumn="0" w:noHBand="0" w:noVBand="1"/>
      </w:tblPr>
      <w:tblGrid>
        <w:gridCol w:w="433"/>
        <w:gridCol w:w="1286"/>
        <w:gridCol w:w="998"/>
        <w:gridCol w:w="1222"/>
        <w:gridCol w:w="902"/>
        <w:gridCol w:w="967"/>
        <w:gridCol w:w="763"/>
      </w:tblGrid>
      <w:tr w:rsidR="00B258BD" w:rsidRPr="00F77815" w:rsidTr="00B258BD">
        <w:trPr>
          <w:cantSplit/>
          <w:trHeight w:hRule="exact" w:val="227"/>
        </w:trPr>
        <w:tc>
          <w:tcPr>
            <w:tcW w:w="433"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258BD" w:rsidRPr="00F77815" w:rsidRDefault="00B258BD" w:rsidP="00B258BD">
            <w:pPr>
              <w:autoSpaceDE w:val="0"/>
              <w:spacing w:line="180" w:lineRule="atLeast"/>
              <w:jc w:val="center"/>
              <w:rPr>
                <w:szCs w:val="16"/>
              </w:rPr>
            </w:pPr>
            <w:r w:rsidRPr="00F77815">
              <w:rPr>
                <w:rStyle w:val="Fett"/>
                <w:rFonts w:cs="Arial"/>
                <w:bCs/>
                <w:szCs w:val="16"/>
              </w:rPr>
              <w:t>EG</w:t>
            </w:r>
          </w:p>
        </w:tc>
        <w:tc>
          <w:tcPr>
            <w:tcW w:w="1286"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258BD" w:rsidRPr="00F77815" w:rsidRDefault="00B258BD" w:rsidP="00B258BD">
            <w:pPr>
              <w:autoSpaceDE w:val="0"/>
              <w:spacing w:line="180" w:lineRule="atLeast"/>
              <w:jc w:val="center"/>
              <w:rPr>
                <w:szCs w:val="16"/>
              </w:rPr>
            </w:pPr>
            <w:r w:rsidRPr="00F77815">
              <w:rPr>
                <w:rStyle w:val="Fett"/>
                <w:rFonts w:cs="Arial"/>
                <w:bCs/>
                <w:szCs w:val="16"/>
              </w:rPr>
              <w:t>Vergütungs-gruppe</w:t>
            </w:r>
          </w:p>
        </w:tc>
        <w:tc>
          <w:tcPr>
            <w:tcW w:w="998"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258BD" w:rsidRPr="00F77815" w:rsidRDefault="00B258BD" w:rsidP="00B258BD">
            <w:pPr>
              <w:autoSpaceDE w:val="0"/>
              <w:spacing w:line="180" w:lineRule="atLeast"/>
              <w:jc w:val="center"/>
              <w:rPr>
                <w:szCs w:val="16"/>
              </w:rPr>
            </w:pPr>
            <w:r w:rsidRPr="00F77815">
              <w:rPr>
                <w:rStyle w:val="Fett"/>
                <w:rFonts w:cs="Arial"/>
                <w:bCs/>
                <w:szCs w:val="16"/>
              </w:rPr>
              <w:t>Orts-Zuschlag Stufe 1/2</w:t>
            </w:r>
          </w:p>
        </w:tc>
        <w:tc>
          <w:tcPr>
            <w:tcW w:w="122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258BD" w:rsidRPr="00F77815" w:rsidRDefault="00B258BD" w:rsidP="00B258BD">
            <w:pPr>
              <w:autoSpaceDE w:val="0"/>
              <w:spacing w:line="180" w:lineRule="atLeast"/>
              <w:jc w:val="center"/>
              <w:rPr>
                <w:szCs w:val="16"/>
              </w:rPr>
            </w:pPr>
            <w:r w:rsidRPr="00F77815">
              <w:rPr>
                <w:rStyle w:val="Fett"/>
                <w:rFonts w:cs="Arial"/>
                <w:bCs/>
                <w:szCs w:val="16"/>
              </w:rPr>
              <w:t>Überleitung aus Stufe</w:t>
            </w:r>
          </w:p>
        </w:tc>
        <w:tc>
          <w:tcPr>
            <w:tcW w:w="90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258BD" w:rsidRPr="00F77815" w:rsidRDefault="00B258BD" w:rsidP="00B258BD">
            <w:pPr>
              <w:autoSpaceDE w:val="0"/>
              <w:spacing w:line="180" w:lineRule="atLeast"/>
              <w:jc w:val="center"/>
              <w:rPr>
                <w:szCs w:val="16"/>
              </w:rPr>
            </w:pPr>
            <w:r w:rsidRPr="00F77815">
              <w:rPr>
                <w:rStyle w:val="Fett"/>
                <w:rFonts w:cs="Arial"/>
                <w:bCs/>
                <w:szCs w:val="16"/>
              </w:rPr>
              <w:t>nach</w:t>
            </w:r>
          </w:p>
        </w:tc>
        <w:tc>
          <w:tcPr>
            <w:tcW w:w="967"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258BD" w:rsidRPr="00F77815" w:rsidRDefault="00B258BD" w:rsidP="00B258BD">
            <w:pPr>
              <w:autoSpaceDE w:val="0"/>
              <w:spacing w:line="180" w:lineRule="atLeast"/>
              <w:jc w:val="center"/>
              <w:rPr>
                <w:szCs w:val="16"/>
              </w:rPr>
            </w:pPr>
            <w:r w:rsidRPr="00F77815">
              <w:rPr>
                <w:rStyle w:val="Fett"/>
                <w:rFonts w:cs="Arial"/>
                <w:bCs/>
                <w:szCs w:val="16"/>
              </w:rPr>
              <w:t>für</w:t>
            </w:r>
          </w:p>
        </w:tc>
        <w:tc>
          <w:tcPr>
            <w:tcW w:w="763"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258BD" w:rsidRPr="00F77815" w:rsidRDefault="00B258BD" w:rsidP="00B258BD">
            <w:pPr>
              <w:autoSpaceDE w:val="0"/>
              <w:spacing w:line="180" w:lineRule="atLeast"/>
              <w:jc w:val="center"/>
              <w:rPr>
                <w:szCs w:val="16"/>
              </w:rPr>
            </w:pPr>
            <w:r w:rsidRPr="00F77815">
              <w:rPr>
                <w:rStyle w:val="Fett"/>
                <w:rFonts w:cs="Arial"/>
                <w:bCs/>
                <w:szCs w:val="16"/>
              </w:rPr>
              <w:t>Betrag</w:t>
            </w:r>
          </w:p>
        </w:tc>
      </w:tr>
      <w:tr w:rsidR="00B258BD" w:rsidRPr="00F77815" w:rsidTr="00B258BD">
        <w:trPr>
          <w:cantSplit/>
          <w:trHeight w:val="276"/>
        </w:trPr>
        <w:tc>
          <w:tcPr>
            <w:tcW w:w="0" w:type="auto"/>
            <w:vMerge/>
            <w:tcBorders>
              <w:top w:val="single" w:sz="8" w:space="0" w:color="auto"/>
              <w:left w:val="single" w:sz="8" w:space="0" w:color="auto"/>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r>
      <w:tr w:rsidR="00B258BD" w:rsidRPr="00F77815" w:rsidTr="00B258BD">
        <w:trPr>
          <w:cantSplit/>
          <w:trHeight w:val="276"/>
        </w:trPr>
        <w:tc>
          <w:tcPr>
            <w:tcW w:w="0" w:type="auto"/>
            <w:vMerge/>
            <w:tcBorders>
              <w:top w:val="single" w:sz="8" w:space="0" w:color="auto"/>
              <w:left w:val="single" w:sz="8" w:space="0" w:color="auto"/>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nil"/>
              <w:right w:val="single" w:sz="8" w:space="0" w:color="auto"/>
            </w:tcBorders>
            <w:vAlign w:val="center"/>
            <w:hideMark/>
          </w:tcPr>
          <w:p w:rsidR="00B258BD" w:rsidRPr="00F77815" w:rsidRDefault="00B258BD" w:rsidP="00B258BD">
            <w:pPr>
              <w:rPr>
                <w:szCs w:val="16"/>
              </w:rPr>
            </w:pPr>
          </w:p>
        </w:tc>
      </w:tr>
      <w:tr w:rsidR="00B258BD" w:rsidRPr="00F77815" w:rsidTr="00B258BD">
        <w:trPr>
          <w:cantSplit/>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258BD" w:rsidRPr="00F77815" w:rsidRDefault="00B258BD" w:rsidP="00B258BD">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258BD" w:rsidRPr="00F77815" w:rsidRDefault="00B258BD" w:rsidP="00B258BD">
            <w:pPr>
              <w:rPr>
                <w:szCs w:val="16"/>
              </w:rPr>
            </w:pP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r>
              <w:rPr>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b/ 6J.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r w:rsidRPr="00087528">
              <w:rPr>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b/ 6J.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4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80,-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b/ 6J.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b/ 6J. IV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90,-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CB5C9C" w:rsidRDefault="00B258BD" w:rsidP="00B258BD">
            <w:pPr>
              <w:jc w:val="center"/>
              <w:rPr>
                <w:szCs w:val="16"/>
              </w:rPr>
            </w:pPr>
            <w:r w:rsidRPr="00087528">
              <w:rPr>
                <w:rStyle w:val="Fett"/>
                <w:b w:val="0"/>
                <w:szCs w:val="16"/>
              </w:rPr>
              <w:t>9</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9 Jahre</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szCs w:val="16"/>
              </w:rPr>
            </w:pPr>
            <w:r w:rsidRPr="00B258BD">
              <w:rPr>
                <w:rStyle w:val="Fett"/>
                <w:b w:val="0"/>
                <w:szCs w:val="16"/>
              </w:rPr>
              <w:t>8</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2</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9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9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szCs w:val="16"/>
              </w:rPr>
            </w:pPr>
            <w:r w:rsidRPr="00B258BD">
              <w:rPr>
                <w:rStyle w:val="Fett"/>
                <w:b w:val="0"/>
                <w:szCs w:val="16"/>
              </w:rPr>
              <w:t>8</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7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6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r w:rsidRPr="00087528">
              <w:rPr>
                <w:szCs w:val="16"/>
              </w:rPr>
              <w:t>8</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3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120,-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120,-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120,-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120,-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120,-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 c</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55,-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B258BD" w:rsidRDefault="00B258BD" w:rsidP="00B258BD">
            <w:pPr>
              <w:jc w:val="center"/>
              <w:rPr>
                <w:szCs w:val="16"/>
              </w:rPr>
            </w:pPr>
            <w:r w:rsidRPr="00087528">
              <w:rPr>
                <w:rStyle w:val="Fett"/>
                <w:b w:val="0"/>
                <w:szCs w:val="16"/>
              </w:rPr>
              <w:t>6</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9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Vl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9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7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6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6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1</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50,- €</w:t>
            </w:r>
          </w:p>
        </w:tc>
      </w:tr>
      <w:tr w:rsidR="00B258BD" w:rsidRPr="00F77815" w:rsidTr="00B258BD">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258BD" w:rsidRPr="00087528" w:rsidRDefault="00B258BD" w:rsidP="00B258BD">
            <w:pPr>
              <w:jc w:val="center"/>
              <w:rPr>
                <w:szCs w:val="16"/>
              </w:rPr>
            </w:pPr>
            <w:r w:rsidRPr="00087528">
              <w:rPr>
                <w:szCs w:val="16"/>
              </w:rPr>
              <w:t>6</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2</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7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B258BD" w:rsidRPr="007C6319" w:rsidRDefault="00B258BD" w:rsidP="00B258BD">
            <w:pPr>
              <w:jc w:val="center"/>
              <w:rPr>
                <w:rFonts w:cs="Arial"/>
                <w:szCs w:val="16"/>
              </w:rPr>
            </w:pPr>
            <w:r w:rsidRPr="00F77815">
              <w:rPr>
                <w:rFonts w:cs="Arial"/>
                <w:szCs w:val="16"/>
              </w:rPr>
              <w:t>90,- €</w:t>
            </w:r>
          </w:p>
        </w:tc>
      </w:tr>
      <w:tr w:rsidR="005E4D74" w:rsidRPr="00F77815" w:rsidTr="005E4D74">
        <w:trPr>
          <w:cantSplit/>
          <w:trHeight w:val="270"/>
        </w:trPr>
        <w:tc>
          <w:tcPr>
            <w:tcW w:w="43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5E4D74" w:rsidRPr="00087528" w:rsidRDefault="005E4D74" w:rsidP="005E4D74">
            <w:pPr>
              <w:jc w:val="center"/>
              <w:rPr>
                <w:szCs w:val="16"/>
              </w:rPr>
            </w:pPr>
            <w:r>
              <w:rPr>
                <w:szCs w:val="16"/>
              </w:rPr>
              <w:t>6</w:t>
            </w:r>
          </w:p>
        </w:tc>
        <w:tc>
          <w:tcPr>
            <w:tcW w:w="1286" w:type="dxa"/>
            <w:tcBorders>
              <w:top w:val="nil"/>
              <w:left w:val="nil"/>
              <w:bottom w:val="single" w:sz="8" w:space="0" w:color="auto"/>
              <w:right w:val="single" w:sz="8" w:space="0" w:color="auto"/>
            </w:tcBorders>
            <w:tcMar>
              <w:top w:w="0" w:type="dxa"/>
              <w:left w:w="70" w:type="dxa"/>
              <w:bottom w:w="0" w:type="dxa"/>
              <w:right w:w="70" w:type="dxa"/>
            </w:tcMar>
            <w:vAlign w:val="center"/>
          </w:tcPr>
          <w:p w:rsidR="005E4D74" w:rsidRPr="007C6319" w:rsidRDefault="005E4D74" w:rsidP="005E4D74">
            <w:pPr>
              <w:jc w:val="center"/>
              <w:rPr>
                <w:rFonts w:cs="Arial"/>
                <w:szCs w:val="16"/>
              </w:rPr>
            </w:pPr>
            <w:r w:rsidRPr="00F77815">
              <w:rPr>
                <w:rFonts w:cs="Arial"/>
                <w:szCs w:val="16"/>
              </w:rPr>
              <w:t>VI b</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5E4D74" w:rsidRPr="007C6319" w:rsidRDefault="005E4D74" w:rsidP="005E4D74">
            <w:pPr>
              <w:jc w:val="center"/>
              <w:rPr>
                <w:rFonts w:cs="Arial"/>
                <w:szCs w:val="16"/>
              </w:rPr>
            </w:pPr>
            <w:r w:rsidRPr="00F77815">
              <w:rPr>
                <w:rFonts w:cs="Arial"/>
                <w:szCs w:val="16"/>
              </w:rPr>
              <w:t>OZ 2</w:t>
            </w:r>
          </w:p>
        </w:tc>
        <w:tc>
          <w:tcPr>
            <w:tcW w:w="1222" w:type="dxa"/>
            <w:tcBorders>
              <w:top w:val="nil"/>
              <w:left w:val="nil"/>
              <w:bottom w:val="single" w:sz="8" w:space="0" w:color="auto"/>
              <w:right w:val="single" w:sz="8" w:space="0" w:color="auto"/>
            </w:tcBorders>
            <w:tcMar>
              <w:top w:w="0" w:type="dxa"/>
              <w:left w:w="70" w:type="dxa"/>
              <w:bottom w:w="0" w:type="dxa"/>
              <w:right w:w="70" w:type="dxa"/>
            </w:tcMar>
            <w:vAlign w:val="center"/>
          </w:tcPr>
          <w:p w:rsidR="005E4D74" w:rsidRPr="007C6319" w:rsidRDefault="005E4D74" w:rsidP="005E4D74">
            <w:pPr>
              <w:jc w:val="center"/>
              <w:rPr>
                <w:rFonts w:cs="Arial"/>
                <w:szCs w:val="16"/>
              </w:rPr>
            </w:pPr>
            <w:r w:rsidRPr="00F77815">
              <w:rPr>
                <w:rFonts w:cs="Arial"/>
                <w:szCs w:val="16"/>
              </w:rPr>
              <w:t>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5E4D74" w:rsidRPr="007C6319" w:rsidRDefault="005E4D74" w:rsidP="005E4D74">
            <w:pPr>
              <w:jc w:val="center"/>
              <w:rPr>
                <w:rFonts w:cs="Arial"/>
                <w:szCs w:val="16"/>
              </w:rPr>
            </w:pPr>
            <w:r w:rsidRPr="00F77815">
              <w:rPr>
                <w:rFonts w:cs="Arial"/>
                <w:szCs w:val="16"/>
              </w:rPr>
              <w:t>6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tcPr>
          <w:p w:rsidR="005E4D74" w:rsidRPr="007C6319" w:rsidRDefault="005E4D74" w:rsidP="005E4D74">
            <w:pPr>
              <w:jc w:val="center"/>
              <w:rPr>
                <w:rFonts w:cs="Arial"/>
                <w:szCs w:val="16"/>
              </w:rPr>
            </w:pPr>
            <w:r w:rsidRPr="00F77815">
              <w:rPr>
                <w:rFonts w:cs="Arial"/>
                <w:szCs w:val="16"/>
              </w:rPr>
              <w:t>dauerhaft</w:t>
            </w:r>
          </w:p>
        </w:tc>
        <w:tc>
          <w:tcPr>
            <w:tcW w:w="763" w:type="dxa"/>
            <w:tcBorders>
              <w:top w:val="nil"/>
              <w:left w:val="nil"/>
              <w:bottom w:val="single" w:sz="8" w:space="0" w:color="auto"/>
              <w:right w:val="single" w:sz="8" w:space="0" w:color="auto"/>
            </w:tcBorders>
            <w:tcMar>
              <w:top w:w="0" w:type="dxa"/>
              <w:left w:w="70" w:type="dxa"/>
              <w:bottom w:w="0" w:type="dxa"/>
              <w:right w:w="70" w:type="dxa"/>
            </w:tcMar>
            <w:vAlign w:val="center"/>
          </w:tcPr>
          <w:p w:rsidR="005E4D74" w:rsidRPr="007C6319" w:rsidRDefault="005E4D74" w:rsidP="005E4D74">
            <w:pPr>
              <w:jc w:val="center"/>
              <w:rPr>
                <w:rFonts w:cs="Arial"/>
                <w:szCs w:val="16"/>
              </w:rPr>
            </w:pPr>
            <w:r w:rsidRPr="00F77815">
              <w:rPr>
                <w:rFonts w:cs="Arial"/>
                <w:szCs w:val="16"/>
              </w:rPr>
              <w:t>90,- €</w:t>
            </w:r>
          </w:p>
        </w:tc>
      </w:tr>
    </w:tbl>
    <w:p w:rsidR="00B258BD" w:rsidRDefault="00B258BD">
      <w:pPr>
        <w:pStyle w:val="StandardWeb"/>
        <w:rPr>
          <w:color w:val="010101"/>
          <w:szCs w:val="16"/>
        </w:rPr>
      </w:pPr>
      <w:r>
        <w:rPr>
          <w:color w:val="010101"/>
          <w:szCs w:val="16"/>
        </w:rPr>
        <w:br w:type="page"/>
      </w:r>
    </w:p>
    <w:p w:rsidR="00BE1EFE" w:rsidRPr="005E4D74" w:rsidRDefault="00BE1EFE">
      <w:pPr>
        <w:pStyle w:val="StandardWeb"/>
        <w:rPr>
          <w:sz w:val="8"/>
          <w:szCs w:val="8"/>
        </w:rPr>
      </w:pPr>
    </w:p>
    <w:tbl>
      <w:tblPr>
        <w:tblW w:w="4810" w:type="pct"/>
        <w:tblCellMar>
          <w:left w:w="0" w:type="dxa"/>
          <w:right w:w="0" w:type="dxa"/>
        </w:tblCellMar>
        <w:tblLook w:val="04A0" w:firstRow="1" w:lastRow="0" w:firstColumn="1" w:lastColumn="0" w:noHBand="0" w:noVBand="1"/>
      </w:tblPr>
      <w:tblGrid>
        <w:gridCol w:w="423"/>
        <w:gridCol w:w="1292"/>
        <w:gridCol w:w="999"/>
        <w:gridCol w:w="1228"/>
        <w:gridCol w:w="902"/>
        <w:gridCol w:w="967"/>
        <w:gridCol w:w="760"/>
      </w:tblGrid>
      <w:tr w:rsidR="00BE1EFE" w:rsidRPr="00F77815" w:rsidTr="00C120D3">
        <w:trPr>
          <w:trHeight w:hRule="exact" w:val="227"/>
        </w:trPr>
        <w:tc>
          <w:tcPr>
            <w:tcW w:w="423"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EG</w:t>
            </w:r>
          </w:p>
        </w:tc>
        <w:tc>
          <w:tcPr>
            <w:tcW w:w="129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Vergütungs-gruppe</w:t>
            </w:r>
          </w:p>
        </w:tc>
        <w:tc>
          <w:tcPr>
            <w:tcW w:w="999"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Orts-Zuschlag Stufe 1/2</w:t>
            </w:r>
          </w:p>
        </w:tc>
        <w:tc>
          <w:tcPr>
            <w:tcW w:w="1228"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Überleitung aus Stufe</w:t>
            </w:r>
          </w:p>
        </w:tc>
        <w:tc>
          <w:tcPr>
            <w:tcW w:w="90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nach</w:t>
            </w:r>
          </w:p>
        </w:tc>
        <w:tc>
          <w:tcPr>
            <w:tcW w:w="967"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für</w:t>
            </w:r>
          </w:p>
        </w:tc>
        <w:tc>
          <w:tcPr>
            <w:tcW w:w="760"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F77815" w:rsidRDefault="00BE1EFE" w:rsidP="003361E9">
            <w:pPr>
              <w:autoSpaceDE w:val="0"/>
              <w:spacing w:line="180" w:lineRule="atLeast"/>
              <w:jc w:val="center"/>
              <w:rPr>
                <w:szCs w:val="16"/>
              </w:rPr>
            </w:pPr>
            <w:r w:rsidRPr="00F77815">
              <w:rPr>
                <w:rStyle w:val="Fett"/>
                <w:rFonts w:cs="Arial"/>
                <w:bCs/>
                <w:szCs w:val="16"/>
              </w:rPr>
              <w:t>Betrag</w:t>
            </w:r>
          </w:p>
        </w:tc>
      </w:tr>
      <w:tr w:rsidR="00BE1EFE" w:rsidRPr="00F77815" w:rsidTr="003361E9">
        <w:trPr>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r>
      <w:tr w:rsidR="00BE1EFE" w:rsidRPr="00F77815" w:rsidTr="003361E9">
        <w:trPr>
          <w:trHeight w:val="276"/>
        </w:trPr>
        <w:tc>
          <w:tcPr>
            <w:tcW w:w="0" w:type="auto"/>
            <w:vMerge/>
            <w:tcBorders>
              <w:top w:val="single" w:sz="8" w:space="0" w:color="auto"/>
              <w:left w:val="single" w:sz="8" w:space="0" w:color="auto"/>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nil"/>
              <w:right w:val="single" w:sz="8" w:space="0" w:color="auto"/>
            </w:tcBorders>
            <w:vAlign w:val="center"/>
            <w:hideMark/>
          </w:tcPr>
          <w:p w:rsidR="00BE1EFE" w:rsidRPr="00F77815" w:rsidRDefault="00BE1EFE" w:rsidP="003361E9">
            <w:pPr>
              <w:rPr>
                <w:szCs w:val="16"/>
              </w:rPr>
            </w:pPr>
          </w:p>
        </w:tc>
      </w:tr>
      <w:tr w:rsidR="00BE1EFE" w:rsidRPr="00F77815" w:rsidTr="003361E9">
        <w:trPr>
          <w:trHeight w:val="276"/>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F77815" w:rsidRDefault="00BE1EFE" w:rsidP="003361E9">
            <w:pPr>
              <w:rPr>
                <w:szCs w:val="16"/>
              </w:rPr>
            </w:pPr>
          </w:p>
        </w:tc>
      </w:tr>
      <w:tr w:rsidR="00BE1EFE" w:rsidRPr="00F77815" w:rsidTr="007C6319">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7C6319">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VI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6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90,- €</w:t>
            </w:r>
          </w:p>
        </w:tc>
      </w:tr>
      <w:tr w:rsidR="00BE1EFE" w:rsidRPr="00F77815" w:rsidTr="007C6319">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7C6319">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VI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90,- €</w:t>
            </w:r>
          </w:p>
        </w:tc>
      </w:tr>
      <w:tr w:rsidR="00BE1EFE" w:rsidRPr="00F77815" w:rsidTr="007C6319">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87528" w:rsidRDefault="00BE1EFE" w:rsidP="007C6319">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VI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7C6319" w:rsidRDefault="00BE1EFE" w:rsidP="007C6319">
            <w:pPr>
              <w:jc w:val="center"/>
              <w:rPr>
                <w:rFonts w:cs="Arial"/>
                <w:szCs w:val="16"/>
              </w:rPr>
            </w:pPr>
            <w:r w:rsidRPr="00F77815">
              <w:rPr>
                <w:rFonts w:cs="Arial"/>
                <w:szCs w:val="16"/>
              </w:rPr>
              <w:t>90,-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r w:rsidRPr="005E4D74">
              <w:rPr>
                <w:szCs w:val="16"/>
              </w:rPr>
              <w:t>6</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VI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90,-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VI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50,-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VI b</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50,-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r w:rsidRPr="005E4D74">
              <w:rPr>
                <w:szCs w:val="16"/>
              </w:rPr>
              <w:t>5</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VII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VII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VII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VII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VII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5E4D74">
              <w:rPr>
                <w:rFonts w:cs="Arial"/>
                <w:szCs w:val="16"/>
              </w:rPr>
              <w:t>20,-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r w:rsidRPr="005E4D74">
              <w:rPr>
                <w:rStyle w:val="Fett"/>
                <w:b w:val="0"/>
                <w:szCs w:val="16"/>
              </w:rPr>
              <w:t>3</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30,-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r w:rsidRPr="00087528">
              <w:rPr>
                <w:szCs w:val="16"/>
              </w:rPr>
              <w:t>3</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9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3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25,-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r w:rsidRPr="005E4D74">
              <w:rPr>
                <w:rStyle w:val="Fett"/>
                <w:b w:val="0"/>
                <w:szCs w:val="16"/>
              </w:rPr>
              <w:t>3</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8</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35,-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VIII</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10</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25,-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r w:rsidRPr="005E4D74">
              <w:rPr>
                <w:rStyle w:val="Fett"/>
                <w:b w:val="0"/>
                <w:szCs w:val="16"/>
              </w:rPr>
              <w:t>2</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IX 2J. IX a</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45,-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szCs w:val="16"/>
              </w:rPr>
            </w:pPr>
            <w:r w:rsidRPr="005E4D74">
              <w:rPr>
                <w:rStyle w:val="Fett"/>
                <w:b w:val="0"/>
                <w:szCs w:val="16"/>
              </w:rPr>
              <w:t>2</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X 2J. IX</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1</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 Jahre</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25,-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r w:rsidRPr="00087528">
              <w:rPr>
                <w:szCs w:val="16"/>
              </w:rPr>
              <w:t>2</w:t>
            </w: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X 2J. IX</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X 2J. IX</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X 2J. IX</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X 2J. IX</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6</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40,- €</w:t>
            </w:r>
          </w:p>
        </w:tc>
      </w:tr>
      <w:tr w:rsidR="005E4D74" w:rsidRPr="00F77815" w:rsidTr="005E4D74">
        <w:trPr>
          <w:trHeight w:val="285"/>
        </w:trPr>
        <w:tc>
          <w:tcPr>
            <w:tcW w:w="42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5E4D74" w:rsidRPr="00087528" w:rsidRDefault="005E4D74" w:rsidP="005E4D74">
            <w:pPr>
              <w:jc w:val="center"/>
              <w:rPr>
                <w:szCs w:val="16"/>
              </w:rPr>
            </w:pPr>
          </w:p>
        </w:tc>
        <w:tc>
          <w:tcPr>
            <w:tcW w:w="129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X 2J. IX</w:t>
            </w:r>
          </w:p>
        </w:tc>
        <w:tc>
          <w:tcPr>
            <w:tcW w:w="99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OZ 2</w:t>
            </w:r>
          </w:p>
        </w:tc>
        <w:tc>
          <w:tcPr>
            <w:tcW w:w="122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 Jahren</w:t>
            </w:r>
          </w:p>
        </w:tc>
        <w:tc>
          <w:tcPr>
            <w:tcW w:w="967"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dauerhaft</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5E4D74" w:rsidRPr="005E4D74" w:rsidRDefault="005E4D74" w:rsidP="005E4D74">
            <w:pPr>
              <w:jc w:val="center"/>
              <w:rPr>
                <w:rFonts w:cs="Arial"/>
                <w:szCs w:val="16"/>
              </w:rPr>
            </w:pPr>
            <w:r w:rsidRPr="00F77815">
              <w:rPr>
                <w:rFonts w:cs="Arial"/>
                <w:szCs w:val="16"/>
              </w:rPr>
              <w:t>25,- €</w:t>
            </w:r>
          </w:p>
        </w:tc>
      </w:tr>
    </w:tbl>
    <w:p w:rsidR="005E4D74" w:rsidRDefault="005E4D74">
      <w:pPr>
        <w:pStyle w:val="StandardWeb"/>
        <w:rPr>
          <w:sz w:val="8"/>
          <w:szCs w:val="8"/>
        </w:rPr>
      </w:pPr>
      <w:r>
        <w:rPr>
          <w:sz w:val="8"/>
          <w:szCs w:val="8"/>
        </w:rPr>
        <w:br w:type="page"/>
      </w:r>
    </w:p>
    <w:p w:rsidR="00BE1EFE" w:rsidRDefault="00BE1EFE" w:rsidP="005E4D74">
      <w:pPr>
        <w:pStyle w:val="berschrift6"/>
        <w:spacing w:before="360"/>
      </w:pPr>
      <w:bookmarkStart w:id="692" w:name="_Toc523926225"/>
      <w:r>
        <w:lastRenderedPageBreak/>
        <w:t>Anlage 3 K: Strukturausgleiche für nach Anlage 2 K übergeleitete Beschäftigte (kirchenspezifische Berufe)</w:t>
      </w:r>
      <w:bookmarkEnd w:id="692"/>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Angestellte, deren Ortszuschlag sich nach § 29 ABD Abschnitt B Absatz Teil A, 1. i d. F. vom 30.09.2005 bemisst, erhalten den entsprechenden Anteil, in jedem Fall aber die Hälfte des Strukturausgleichs für Verheiratete.</w:t>
      </w:r>
    </w:p>
    <w:p w:rsidR="00BE1EFE" w:rsidRDefault="00BE1EFE">
      <w:pPr>
        <w:pStyle w:val="StandardWeb"/>
      </w:pPr>
      <w:r>
        <w:rPr>
          <w:rStyle w:val="kleinschrift"/>
        </w:rPr>
        <w:t>2</w:t>
      </w:r>
      <w:r>
        <w:t>Soweit nicht anders ausgewiesen, beginnt die Zahlung des Strukturausgleichs am 1. Oktober 2007. Die Angabe "nach … Jahren" bedeutet, dass die Zahlung nach den genannten Jahren ab dem In-Kraft-Treten des ABD i. d. F. vom 01.10.2005 beginnt; so wird z. B. bei dem Merk</w:t>
      </w:r>
      <w:r>
        <w:softHyphen/>
        <w:t xml:space="preserve">mal "nach 4 Jahren" der Zahlungsbeginn auf den 1. Oktober 2009 festgelegt, wobei die Auszahlung eines Strukturausgleichs mit den jeweiligen Monatsbezügen erfolgt. </w:t>
      </w:r>
      <w:r>
        <w:rPr>
          <w:rStyle w:val="kleinschrift"/>
        </w:rPr>
        <w:t>3</w:t>
      </w:r>
      <w:r>
        <w:t>Die Dauer der Zahlung ist ebenfalls angegeben; dabei bedeutet "dauerhaft" die Zahlung während der Zeit des Arbeitsverhältnisses.</w:t>
      </w:r>
    </w:p>
    <w:p w:rsidR="00BE1EFE" w:rsidRDefault="00BE1EFE">
      <w:pPr>
        <w:pStyle w:val="StandardWeb"/>
      </w:pPr>
      <w:r>
        <w:rPr>
          <w:rStyle w:val="kleinschrift"/>
        </w:rPr>
        <w:t>4</w:t>
      </w:r>
      <w:r>
        <w:t xml:space="preserve">Ist die Zahlung "für" eine bestimmte Zahl von Jahren angegeben, ist der Bezug auf diesen Zeitraum begrenzt (z. B. "für 5 Jahre" bedeutet Beginn der Zahlung im Oktober 2007 und Ende der Zahlung mit Ablauf September 2012). </w:t>
      </w:r>
      <w:r>
        <w:rPr>
          <w:rStyle w:val="kleinschrift"/>
        </w:rPr>
        <w:t>5</w:t>
      </w:r>
      <w:r>
        <w:t>Eine Ausnahme besteht dann, wenn das Ende des Zahlungszeitraumes nicht mit einem Stufenaufstieg in der jeweiligen Entgeltgruppe zeitlich zusammenfällt; in diesen Fällen wird der Strukturausgleich bis zum nächsten Stufen</w:t>
      </w:r>
      <w:r>
        <w:softHyphen/>
        <w:t xml:space="preserve">aufstieg fortgezahlt. </w:t>
      </w:r>
      <w:r>
        <w:rPr>
          <w:rStyle w:val="kleinschrift"/>
        </w:rPr>
        <w:t>6</w:t>
      </w:r>
      <w:r>
        <w:t>Diese Ausnahmeregelung gilt nicht, wenn der Stufenaufstieg in die Endstufe erfolgt; in diesen Fällen bleibt es bei der festgelegten Dauer.</w:t>
      </w:r>
    </w:p>
    <w:p w:rsidR="00BE1EFE" w:rsidRDefault="00BE1EFE">
      <w:pPr>
        <w:pStyle w:val="StandardWeb"/>
      </w:pPr>
      <w:r>
        <w:rPr>
          <w:rStyle w:val="kleinschrift"/>
        </w:rPr>
        <w:t>7</w:t>
      </w:r>
      <w:r>
        <w:t>Bei Beschäftigten, für die eine gemäß § 17 Absatz 1 ABD Teil A, 3. fortgeltende Vergütungs</w:t>
      </w:r>
      <w:r>
        <w:softHyphen/>
        <w:t xml:space="preserve">ordnung mehr als einen Bewährungs-, Zeit- oder Tätigkeitsaufstieg vorsieht, und die den letzten vorgesehenen Aufstieg bei der Überleitung noch nicht erreicht hatten, ist in Spalte 2 die Vergütungsgruppe maßgebend, in die sie am 30.09.2005 tatsächlich eingruppiert waren. </w:t>
      </w:r>
      <w:r>
        <w:rPr>
          <w:rStyle w:val="kleinschrift"/>
        </w:rPr>
        <w:t>8</w:t>
      </w:r>
      <w:r>
        <w:t>Bei Beschäftigten, die den letzten vorgesehenen Aufstieg bei der Überleitung bereits voll</w:t>
      </w:r>
      <w:r>
        <w:softHyphen/>
        <w:t>zogen haben, ist in Spalte 2 die Vergütungsgruppe maßgebend, aus der die Beschäftigten spätestens bei der Überleitung höhergruppiert waren.</w:t>
      </w:r>
    </w:p>
    <w:p w:rsidR="00BE1EFE" w:rsidRPr="000B1AF8" w:rsidRDefault="00BE1EFE">
      <w:pPr>
        <w:pStyle w:val="StandardWeb"/>
      </w:pPr>
    </w:p>
    <w:tbl>
      <w:tblPr>
        <w:tblW w:w="6747" w:type="dxa"/>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756"/>
        <w:gridCol w:w="1116"/>
        <w:gridCol w:w="802"/>
        <w:gridCol w:w="867"/>
        <w:gridCol w:w="978"/>
        <w:gridCol w:w="766"/>
        <w:gridCol w:w="1462"/>
      </w:tblGrid>
      <w:tr w:rsidR="00BE1EFE" w:rsidRPr="003361E9" w:rsidTr="00EB4B95">
        <w:trPr>
          <w:trHeight w:val="255"/>
          <w:jc w:val="center"/>
        </w:trPr>
        <w:tc>
          <w:tcPr>
            <w:tcW w:w="764"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Entgelt-gruppe</w:t>
            </w:r>
          </w:p>
        </w:tc>
        <w:tc>
          <w:tcPr>
            <w:tcW w:w="1128"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
                <w:bCs/>
                <w:szCs w:val="16"/>
              </w:rPr>
            </w:pPr>
            <w:r w:rsidRPr="003361E9">
              <w:rPr>
                <w:rStyle w:val="Fett"/>
                <w:rFonts w:cs="Arial"/>
                <w:bCs/>
                <w:szCs w:val="16"/>
              </w:rPr>
              <w:t>Vergütungs-gruppe bei Inkrafttreten</w:t>
            </w:r>
          </w:p>
          <w:p w:rsidR="00BE1EFE" w:rsidRPr="003361E9" w:rsidRDefault="00BE1EFE" w:rsidP="0054275E">
            <w:pPr>
              <w:pStyle w:val="StandardWeb"/>
              <w:autoSpaceDE w:val="0"/>
              <w:jc w:val="center"/>
              <w:rPr>
                <w:szCs w:val="16"/>
              </w:rPr>
            </w:pPr>
            <w:r w:rsidRPr="003361E9">
              <w:rPr>
                <w:rStyle w:val="Fett"/>
                <w:rFonts w:cs="Arial"/>
                <w:bCs/>
                <w:szCs w:val="16"/>
              </w:rPr>
              <w:t>Teil A, 3.</w:t>
            </w:r>
          </w:p>
        </w:tc>
        <w:tc>
          <w:tcPr>
            <w:tcW w:w="811"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Aufstieg</w:t>
            </w:r>
          </w:p>
        </w:tc>
        <w:tc>
          <w:tcPr>
            <w:tcW w:w="876"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Orts-Zuschlag Stufe 1, 2</w:t>
            </w:r>
          </w:p>
        </w:tc>
        <w:tc>
          <w:tcPr>
            <w:tcW w:w="989" w:type="dxa"/>
            <w:vMerge w:val="restart"/>
            <w:tcMar>
              <w:top w:w="0" w:type="dxa"/>
              <w:left w:w="70" w:type="dxa"/>
              <w:bottom w:w="0" w:type="dxa"/>
              <w:right w:w="70" w:type="dxa"/>
            </w:tcMar>
            <w:vAlign w:val="center"/>
            <w:hideMark/>
          </w:tcPr>
          <w:p w:rsidR="00BE1EFE" w:rsidRPr="003361E9" w:rsidRDefault="00BE1EFE" w:rsidP="00F73F91">
            <w:pPr>
              <w:pStyle w:val="StandardWeb"/>
              <w:autoSpaceDE w:val="0"/>
              <w:jc w:val="center"/>
              <w:rPr>
                <w:szCs w:val="16"/>
              </w:rPr>
            </w:pPr>
            <w:r w:rsidRPr="003361E9">
              <w:rPr>
                <w:rStyle w:val="Fett"/>
                <w:rFonts w:cs="Arial"/>
                <w:bCs/>
                <w:szCs w:val="16"/>
              </w:rPr>
              <w:t>Lebens-altersstufe</w:t>
            </w:r>
          </w:p>
        </w:tc>
        <w:tc>
          <w:tcPr>
            <w:tcW w:w="774"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Höhe Aus-gleichs-betrag</w:t>
            </w:r>
          </w:p>
        </w:tc>
        <w:tc>
          <w:tcPr>
            <w:tcW w:w="1405"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Dauer</w:t>
            </w:r>
          </w:p>
        </w:tc>
      </w:tr>
      <w:tr w:rsidR="00BE1EFE" w:rsidRPr="003361E9" w:rsidTr="007F1895">
        <w:trPr>
          <w:trHeight w:val="276"/>
          <w:jc w:val="center"/>
        </w:trPr>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r>
      <w:tr w:rsidR="00BE1EFE" w:rsidRPr="003361E9" w:rsidTr="007F1895">
        <w:trPr>
          <w:trHeight w:val="276"/>
          <w:jc w:val="center"/>
        </w:trPr>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r>
      <w:tr w:rsidR="00BE1EFE" w:rsidRPr="003361E9" w:rsidTr="00EB4B95">
        <w:trPr>
          <w:trHeight w:val="276"/>
          <w:jc w:val="center"/>
        </w:trPr>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1865" w:type="dxa"/>
            <w:gridSpan w:val="2"/>
            <w:vMerge w:val="restart"/>
            <w:tcMar>
              <w:top w:w="0" w:type="dxa"/>
              <w:left w:w="70" w:type="dxa"/>
              <w:bottom w:w="0" w:type="dxa"/>
              <w:right w:w="70" w:type="dxa"/>
            </w:tcMar>
            <w:vAlign w:val="center"/>
            <w:hideMark/>
          </w:tcPr>
          <w:p w:rsidR="00BE1EFE" w:rsidRPr="003361E9" w:rsidRDefault="00BE1EFE" w:rsidP="00F73F91">
            <w:pPr>
              <w:pStyle w:val="StandardWeb"/>
              <w:autoSpaceDE w:val="0"/>
              <w:jc w:val="center"/>
              <w:rPr>
                <w:rFonts w:cs="Arial"/>
                <w:b/>
                <w:bCs/>
                <w:szCs w:val="16"/>
              </w:rPr>
            </w:pPr>
            <w:r w:rsidRPr="003361E9">
              <w:rPr>
                <w:rStyle w:val="Fett"/>
                <w:rFonts w:cs="Arial"/>
                <w:bCs/>
                <w:szCs w:val="16"/>
              </w:rPr>
              <w:t>bei Inkrafttreten</w:t>
            </w:r>
          </w:p>
          <w:p w:rsidR="00BE1EFE" w:rsidRPr="003361E9" w:rsidRDefault="00BE1EFE" w:rsidP="00F73F91">
            <w:pPr>
              <w:pStyle w:val="StandardWeb"/>
              <w:autoSpaceDE w:val="0"/>
              <w:jc w:val="center"/>
              <w:rPr>
                <w:szCs w:val="16"/>
              </w:rPr>
            </w:pPr>
            <w:r w:rsidRPr="003361E9">
              <w:rPr>
                <w:rStyle w:val="Fett"/>
                <w:rFonts w:cs="Arial"/>
                <w:bCs/>
                <w:szCs w:val="16"/>
              </w:rPr>
              <w:t>Teil A, 3.</w:t>
            </w: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r>
      <w:tr w:rsidR="00BE1EFE" w:rsidRPr="003361E9" w:rsidTr="007F1895">
        <w:trPr>
          <w:trHeight w:val="276"/>
          <w:jc w:val="center"/>
        </w:trPr>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gridSpan w:val="2"/>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r>
      <w:tr w:rsidR="00BE1EFE" w:rsidRPr="003361E9" w:rsidTr="00EB4B95">
        <w:trPr>
          <w:trHeight w:val="255"/>
          <w:jc w:val="center"/>
        </w:trPr>
        <w:tc>
          <w:tcPr>
            <w:tcW w:w="764" w:type="dxa"/>
            <w:vMerge w:val="restart"/>
            <w:tcMar>
              <w:top w:w="0" w:type="dxa"/>
              <w:left w:w="70" w:type="dxa"/>
              <w:bottom w:w="0" w:type="dxa"/>
              <w:right w:w="70" w:type="dxa"/>
            </w:tcMar>
            <w:vAlign w:val="center"/>
            <w:hideMark/>
          </w:tcPr>
          <w:p w:rsidR="00BE1EFE" w:rsidRPr="005E4D74" w:rsidRDefault="00BE1EFE" w:rsidP="0054275E">
            <w:pPr>
              <w:pStyle w:val="StandardWeb"/>
              <w:autoSpaceDE w:val="0"/>
              <w:jc w:val="center"/>
              <w:rPr>
                <w:b/>
                <w:szCs w:val="16"/>
              </w:rPr>
            </w:pPr>
            <w:r w:rsidRPr="005E4D74">
              <w:rPr>
                <w:rStyle w:val="Fett"/>
                <w:rFonts w:cs="Arial"/>
                <w:b w:val="0"/>
                <w:bCs/>
                <w:szCs w:val="16"/>
              </w:rPr>
              <w:t>3</w:t>
            </w:r>
          </w:p>
        </w:tc>
        <w:tc>
          <w:tcPr>
            <w:tcW w:w="1128"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b/>
                <w:szCs w:val="16"/>
              </w:rPr>
            </w:pPr>
            <w:r w:rsidRPr="003361E9">
              <w:rPr>
                <w:rStyle w:val="Fett"/>
                <w:rFonts w:cs="Arial"/>
                <w:b w:val="0"/>
                <w:bCs/>
                <w:szCs w:val="16"/>
              </w:rPr>
              <w:t>VIII</w:t>
            </w:r>
          </w:p>
        </w:tc>
        <w:tc>
          <w:tcPr>
            <w:tcW w:w="811"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b/>
                <w:szCs w:val="16"/>
              </w:rPr>
            </w:pPr>
            <w:r w:rsidRPr="003361E9">
              <w:rPr>
                <w:rStyle w:val="Fett"/>
                <w:rFonts w:cs="Arial"/>
                <w:b w:val="0"/>
                <w:bCs/>
                <w:szCs w:val="16"/>
              </w:rPr>
              <w:t>ohne</w:t>
            </w:r>
          </w:p>
        </w:tc>
        <w:tc>
          <w:tcPr>
            <w:tcW w:w="876" w:type="dxa"/>
            <w:vMerge w:val="restart"/>
            <w:tcMar>
              <w:top w:w="0" w:type="dxa"/>
              <w:left w:w="70" w:type="dxa"/>
              <w:bottom w:w="0" w:type="dxa"/>
              <w:right w:w="70" w:type="dxa"/>
            </w:tcMar>
            <w:vAlign w:val="center"/>
            <w:hideMark/>
          </w:tcPr>
          <w:p w:rsidR="00BE1EFE" w:rsidRPr="003361E9" w:rsidRDefault="00BE1EFE" w:rsidP="0054275E">
            <w:pPr>
              <w:pStyle w:val="StandardWeb"/>
              <w:autoSpaceDE w:val="0"/>
              <w:jc w:val="center"/>
              <w:rPr>
                <w:b/>
                <w:szCs w:val="16"/>
              </w:rPr>
            </w:pPr>
            <w:r w:rsidRPr="003361E9">
              <w:rPr>
                <w:rStyle w:val="Fett"/>
                <w:rFonts w:cs="Arial"/>
                <w:b w:val="0"/>
                <w:bCs/>
                <w:szCs w:val="16"/>
              </w:rPr>
              <w:t>OZ 2</w:t>
            </w:r>
          </w:p>
        </w:tc>
        <w:tc>
          <w:tcPr>
            <w:tcW w:w="989" w:type="dxa"/>
            <w:vMerge w:val="restart"/>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25</w:t>
            </w:r>
          </w:p>
        </w:tc>
        <w:tc>
          <w:tcPr>
            <w:tcW w:w="774" w:type="dxa"/>
            <w:vMerge w:val="restart"/>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35 €</w:t>
            </w:r>
          </w:p>
        </w:tc>
        <w:tc>
          <w:tcPr>
            <w:tcW w:w="0" w:type="auto"/>
            <w:vMerge w:val="restart"/>
            <w:vAlign w:val="center"/>
            <w:hideMark/>
          </w:tcPr>
          <w:p w:rsidR="00BE1EFE" w:rsidRPr="003361E9" w:rsidRDefault="00BE1EFE" w:rsidP="00F401A9">
            <w:pPr>
              <w:pStyle w:val="StandardWeb"/>
              <w:jc w:val="center"/>
              <w:rPr>
                <w:szCs w:val="16"/>
              </w:rPr>
            </w:pPr>
            <w:r w:rsidRPr="003361E9">
              <w:rPr>
                <w:rFonts w:cs="Arial"/>
                <w:szCs w:val="16"/>
              </w:rPr>
              <w:t>nach 4 Jahren dauerhaft</w:t>
            </w:r>
          </w:p>
        </w:tc>
      </w:tr>
      <w:tr w:rsidR="00BE1EFE" w:rsidRPr="003361E9" w:rsidTr="007F1895">
        <w:trPr>
          <w:trHeight w:val="276"/>
          <w:jc w:val="center"/>
        </w:trPr>
        <w:tc>
          <w:tcPr>
            <w:tcW w:w="0" w:type="auto"/>
            <w:vMerge/>
            <w:vAlign w:val="center"/>
            <w:hideMark/>
          </w:tcPr>
          <w:p w:rsidR="00BE1EFE" w:rsidRPr="005E4D74"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pPr>
              <w:rPr>
                <w:szCs w:val="16"/>
              </w:rPr>
            </w:pPr>
          </w:p>
        </w:tc>
        <w:tc>
          <w:tcPr>
            <w:tcW w:w="0" w:type="auto"/>
            <w:vMerge/>
            <w:vAlign w:val="center"/>
            <w:hideMark/>
          </w:tcPr>
          <w:p w:rsidR="00BE1EFE" w:rsidRPr="003361E9" w:rsidRDefault="00BE1EFE" w:rsidP="00F401A9">
            <w:pPr>
              <w:jc w:val="center"/>
              <w:rPr>
                <w:szCs w:val="16"/>
              </w:rPr>
            </w:pPr>
          </w:p>
        </w:tc>
      </w:tr>
      <w:tr w:rsidR="00BE1EFE" w:rsidRPr="003361E9" w:rsidTr="005E4D74">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27</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5E4D74">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29</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nach 4 Jahren dauerhaft</w:t>
            </w:r>
          </w:p>
        </w:tc>
      </w:tr>
      <w:tr w:rsidR="00BE1EFE" w:rsidRPr="003361E9" w:rsidTr="005E4D74">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31</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5E4D74">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33</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5E4D74">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35</w:t>
            </w:r>
          </w:p>
        </w:tc>
        <w:tc>
          <w:tcPr>
            <w:tcW w:w="0" w:type="auto"/>
            <w:vAlign w:val="center"/>
          </w:tcPr>
          <w:p w:rsidR="00BE1EFE" w:rsidRPr="003361E9" w:rsidRDefault="00BE1EFE" w:rsidP="00F401A9">
            <w:pPr>
              <w:pStyle w:val="StandardWeb"/>
              <w:jc w:val="center"/>
              <w:rPr>
                <w:szCs w:val="16"/>
              </w:rPr>
            </w:pPr>
            <w:r w:rsidRPr="003361E9">
              <w:rPr>
                <w:rFonts w:cs="Arial"/>
                <w:szCs w:val="16"/>
              </w:rPr>
              <w:t>35 €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BE1EFE" w:rsidRPr="003361E9" w:rsidTr="005E4D74">
        <w:trPr>
          <w:trHeight w:val="227"/>
          <w:jc w:val="center"/>
        </w:trPr>
        <w:tc>
          <w:tcPr>
            <w:tcW w:w="0" w:type="auto"/>
            <w:vAlign w:val="center"/>
          </w:tcPr>
          <w:p w:rsidR="00BE1EFE" w:rsidRPr="005E4D74" w:rsidRDefault="00BE1EFE" w:rsidP="00F401A9">
            <w:pPr>
              <w:pStyle w:val="StandardWeb"/>
              <w:autoSpaceDE w:val="0"/>
              <w:jc w:val="center"/>
              <w:rPr>
                <w:szCs w:val="16"/>
              </w:rPr>
            </w:pP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VIII</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ohne</w:t>
            </w:r>
          </w:p>
        </w:tc>
        <w:tc>
          <w:tcPr>
            <w:tcW w:w="0" w:type="auto"/>
            <w:vAlign w:val="center"/>
          </w:tcPr>
          <w:p w:rsidR="00BE1EFE" w:rsidRPr="003361E9" w:rsidRDefault="00BE1EFE" w:rsidP="00F401A9">
            <w:pPr>
              <w:pStyle w:val="StandardWeb"/>
              <w:autoSpaceDE w:val="0"/>
              <w:jc w:val="center"/>
              <w:rPr>
                <w:b/>
                <w:szCs w:val="16"/>
              </w:rPr>
            </w:pPr>
            <w:r w:rsidRPr="003361E9">
              <w:rPr>
                <w:rStyle w:val="Fett"/>
                <w:rFonts w:cs="Arial"/>
                <w:b w:val="0"/>
                <w:bCs/>
                <w:szCs w:val="16"/>
              </w:rPr>
              <w:t>OZ 2</w:t>
            </w:r>
          </w:p>
        </w:tc>
        <w:tc>
          <w:tcPr>
            <w:tcW w:w="0" w:type="auto"/>
            <w:vAlign w:val="center"/>
          </w:tcPr>
          <w:p w:rsidR="00BE1EFE" w:rsidRPr="003361E9" w:rsidRDefault="00BE1EFE" w:rsidP="00F401A9">
            <w:pPr>
              <w:pStyle w:val="StandardWeb"/>
              <w:jc w:val="center"/>
              <w:rPr>
                <w:szCs w:val="16"/>
              </w:rPr>
            </w:pPr>
            <w:r w:rsidRPr="003361E9">
              <w:rPr>
                <w:rFonts w:cs="Arial"/>
                <w:szCs w:val="16"/>
              </w:rPr>
              <w:t>37</w:t>
            </w:r>
          </w:p>
        </w:tc>
        <w:tc>
          <w:tcPr>
            <w:tcW w:w="0" w:type="auto"/>
            <w:vAlign w:val="center"/>
          </w:tcPr>
          <w:p w:rsidR="00BE1EFE" w:rsidRPr="003361E9" w:rsidRDefault="00BE1EFE" w:rsidP="00F401A9">
            <w:pPr>
              <w:pStyle w:val="StandardWeb"/>
              <w:jc w:val="center"/>
              <w:rPr>
                <w:szCs w:val="16"/>
              </w:rPr>
            </w:pPr>
            <w:r>
              <w:rPr>
                <w:rFonts w:cs="Arial"/>
                <w:szCs w:val="16"/>
              </w:rPr>
              <w:t>20</w:t>
            </w:r>
            <w:r w:rsidRPr="003361E9">
              <w:rPr>
                <w:rFonts w:cs="Arial"/>
                <w:szCs w:val="16"/>
              </w:rPr>
              <w:t xml:space="preserve"> €</w:t>
            </w:r>
          </w:p>
        </w:tc>
        <w:tc>
          <w:tcPr>
            <w:tcW w:w="0" w:type="auto"/>
            <w:vAlign w:val="center"/>
          </w:tcPr>
          <w:p w:rsidR="00BE1EFE" w:rsidRPr="003361E9" w:rsidRDefault="00BE1EFE" w:rsidP="00F401A9">
            <w:pPr>
              <w:jc w:val="center"/>
              <w:rPr>
                <w:szCs w:val="16"/>
              </w:rPr>
            </w:pPr>
            <w:r w:rsidRPr="003361E9">
              <w:rPr>
                <w:rFonts w:cs="Arial"/>
                <w:szCs w:val="16"/>
              </w:rPr>
              <w:t>dauerhaft</w:t>
            </w:r>
          </w:p>
        </w:tc>
      </w:tr>
      <w:tr w:rsidR="005E4D74" w:rsidRPr="003361E9" w:rsidTr="005E4D74">
        <w:trPr>
          <w:trHeight w:val="227"/>
          <w:jc w:val="center"/>
        </w:trPr>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autoSpaceDE w:val="0"/>
              <w:jc w:val="center"/>
              <w:rPr>
                <w:szCs w:val="16"/>
              </w:rPr>
            </w:pPr>
            <w:r w:rsidRPr="005E4D74">
              <w:rPr>
                <w:rStyle w:val="Fett"/>
                <w:b w:val="0"/>
                <w:szCs w:val="16"/>
              </w:rPr>
              <w:t>6</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VI b</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ohne</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OZ 2</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jc w:val="center"/>
              <w:rPr>
                <w:rFonts w:cs="Arial"/>
                <w:szCs w:val="16"/>
              </w:rPr>
            </w:pPr>
            <w:r w:rsidRPr="003361E9">
              <w:rPr>
                <w:rFonts w:cs="Arial"/>
                <w:szCs w:val="16"/>
              </w:rPr>
              <w:t>29</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jc w:val="center"/>
              <w:rPr>
                <w:rFonts w:cs="Arial"/>
                <w:szCs w:val="16"/>
              </w:rPr>
            </w:pPr>
            <w:r w:rsidRPr="003361E9">
              <w:rPr>
                <w:rFonts w:cs="Arial"/>
                <w:szCs w:val="16"/>
              </w:rPr>
              <w:t>50 €</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jc w:val="center"/>
              <w:rPr>
                <w:rFonts w:cs="Arial"/>
                <w:szCs w:val="16"/>
              </w:rPr>
            </w:pPr>
            <w:r w:rsidRPr="003361E9">
              <w:rPr>
                <w:rFonts w:cs="Arial"/>
                <w:szCs w:val="16"/>
              </w:rPr>
              <w:t>dauerhaft</w:t>
            </w:r>
          </w:p>
        </w:tc>
      </w:tr>
      <w:tr w:rsidR="005E4D74" w:rsidRPr="003361E9" w:rsidTr="005E4D74">
        <w:trPr>
          <w:trHeight w:val="227"/>
          <w:jc w:val="center"/>
        </w:trPr>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autoSpaceDE w:val="0"/>
              <w:rPr>
                <w:szCs w:val="16"/>
              </w:rPr>
            </w:pP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VI b</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ohne</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autoSpaceDE w:val="0"/>
              <w:jc w:val="center"/>
              <w:rPr>
                <w:rFonts w:cs="Arial"/>
                <w:bCs/>
                <w:szCs w:val="16"/>
              </w:rPr>
            </w:pPr>
            <w:r w:rsidRPr="003361E9">
              <w:rPr>
                <w:rStyle w:val="Fett"/>
                <w:rFonts w:cs="Arial"/>
                <w:b w:val="0"/>
                <w:bCs/>
                <w:szCs w:val="16"/>
              </w:rPr>
              <w:t>OZ 2</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jc w:val="center"/>
              <w:rPr>
                <w:rFonts w:cs="Arial"/>
                <w:szCs w:val="16"/>
              </w:rPr>
            </w:pPr>
            <w:r w:rsidRPr="003361E9">
              <w:rPr>
                <w:rFonts w:cs="Arial"/>
                <w:szCs w:val="16"/>
              </w:rPr>
              <w:t>31</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pStyle w:val="StandardWeb"/>
              <w:jc w:val="center"/>
              <w:rPr>
                <w:rFonts w:cs="Arial"/>
                <w:szCs w:val="16"/>
              </w:rPr>
            </w:pPr>
            <w:r w:rsidRPr="003361E9">
              <w:rPr>
                <w:rFonts w:cs="Arial"/>
                <w:szCs w:val="16"/>
              </w:rPr>
              <w:t>50 €</w:t>
            </w:r>
          </w:p>
        </w:tc>
        <w:tc>
          <w:tcPr>
            <w:tcW w:w="0" w:type="auto"/>
            <w:tcBorders>
              <w:top w:val="single" w:sz="8" w:space="0" w:color="auto"/>
              <w:left w:val="single" w:sz="8" w:space="0" w:color="auto"/>
              <w:bottom w:val="single" w:sz="8" w:space="0" w:color="auto"/>
              <w:right w:val="single" w:sz="8" w:space="0" w:color="auto"/>
            </w:tcBorders>
            <w:vAlign w:val="center"/>
          </w:tcPr>
          <w:p w:rsidR="005E4D74" w:rsidRPr="005E4D74" w:rsidRDefault="005E4D74" w:rsidP="005E4D74">
            <w:pPr>
              <w:jc w:val="center"/>
              <w:rPr>
                <w:rFonts w:cs="Arial"/>
                <w:szCs w:val="16"/>
              </w:rPr>
            </w:pPr>
            <w:r w:rsidRPr="003361E9">
              <w:rPr>
                <w:rFonts w:cs="Arial"/>
                <w:szCs w:val="16"/>
              </w:rPr>
              <w:t>dauerhaft</w:t>
            </w:r>
          </w:p>
        </w:tc>
      </w:tr>
      <w:tr w:rsidR="00EB4B95" w:rsidRPr="003361E9" w:rsidTr="00EB4B95">
        <w:trPr>
          <w:trHeight w:val="227"/>
          <w:jc w:val="center"/>
        </w:trPr>
        <w:tc>
          <w:tcPr>
            <w:tcW w:w="0" w:type="auto"/>
            <w:tcBorders>
              <w:top w:val="single" w:sz="8" w:space="0" w:color="auto"/>
              <w:left w:val="single" w:sz="8" w:space="0" w:color="auto"/>
              <w:bottom w:val="single" w:sz="8" w:space="0" w:color="auto"/>
              <w:right w:val="single" w:sz="8" w:space="0" w:color="auto"/>
            </w:tcBorders>
            <w:vAlign w:val="center"/>
          </w:tcPr>
          <w:p w:rsidR="00EB4B95" w:rsidRPr="005E4D74" w:rsidRDefault="00EB4B95" w:rsidP="00EB4B95">
            <w:pPr>
              <w:pStyle w:val="StandardWeb"/>
              <w:autoSpaceDE w:val="0"/>
              <w:rPr>
                <w:szCs w:val="16"/>
              </w:rPr>
            </w:pPr>
          </w:p>
        </w:tc>
        <w:tc>
          <w:tcPr>
            <w:tcW w:w="0" w:type="auto"/>
            <w:tcBorders>
              <w:top w:val="single" w:sz="8" w:space="0" w:color="auto"/>
              <w:left w:val="single" w:sz="8" w:space="0" w:color="auto"/>
              <w:bottom w:val="single" w:sz="8" w:space="0" w:color="auto"/>
              <w:right w:val="single" w:sz="8" w:space="0" w:color="auto"/>
            </w:tcBorders>
            <w:vAlign w:val="center"/>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VI b</w:t>
            </w:r>
          </w:p>
        </w:tc>
        <w:tc>
          <w:tcPr>
            <w:tcW w:w="0" w:type="auto"/>
            <w:tcBorders>
              <w:top w:val="single" w:sz="8" w:space="0" w:color="auto"/>
              <w:left w:val="single" w:sz="8" w:space="0" w:color="auto"/>
              <w:bottom w:val="single" w:sz="8" w:space="0" w:color="auto"/>
              <w:right w:val="single" w:sz="8" w:space="0" w:color="auto"/>
            </w:tcBorders>
            <w:vAlign w:val="center"/>
          </w:tcPr>
          <w:p w:rsidR="00EB4B95" w:rsidRPr="00EB4B95" w:rsidRDefault="00EB4B95" w:rsidP="00312A15">
            <w:pPr>
              <w:pStyle w:val="StandardWeb"/>
              <w:autoSpaceDE w:val="0"/>
              <w:jc w:val="center"/>
              <w:rPr>
                <w:rFonts w:cs="Arial"/>
                <w:bCs/>
                <w:szCs w:val="16"/>
              </w:rPr>
            </w:pPr>
            <w:r w:rsidRPr="00EB4B95">
              <w:rPr>
                <w:rFonts w:cs="Arial"/>
                <w:bCs/>
                <w:szCs w:val="16"/>
              </w:rPr>
              <w:t>ohne</w:t>
            </w:r>
          </w:p>
        </w:tc>
        <w:tc>
          <w:tcPr>
            <w:tcW w:w="0" w:type="auto"/>
            <w:tcBorders>
              <w:top w:val="single" w:sz="8" w:space="0" w:color="auto"/>
              <w:left w:val="single" w:sz="8" w:space="0" w:color="auto"/>
              <w:bottom w:val="single" w:sz="8" w:space="0" w:color="auto"/>
              <w:right w:val="single" w:sz="8" w:space="0" w:color="auto"/>
            </w:tcBorders>
            <w:vAlign w:val="center"/>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0" w:type="auto"/>
            <w:tcBorders>
              <w:top w:val="single" w:sz="8" w:space="0" w:color="auto"/>
              <w:left w:val="single" w:sz="8" w:space="0" w:color="auto"/>
              <w:bottom w:val="single" w:sz="8" w:space="0" w:color="auto"/>
              <w:right w:val="single" w:sz="8" w:space="0" w:color="auto"/>
            </w:tcBorders>
            <w:vAlign w:val="center"/>
          </w:tcPr>
          <w:p w:rsidR="00EB4B95" w:rsidRPr="003361E9" w:rsidRDefault="00EB4B95" w:rsidP="00312A15">
            <w:pPr>
              <w:pStyle w:val="StandardWeb"/>
              <w:jc w:val="center"/>
              <w:rPr>
                <w:rFonts w:cs="Arial"/>
                <w:szCs w:val="16"/>
              </w:rPr>
            </w:pPr>
            <w:r w:rsidRPr="003361E9">
              <w:rPr>
                <w:rFonts w:cs="Arial"/>
                <w:szCs w:val="16"/>
              </w:rPr>
              <w:t>33</w:t>
            </w:r>
          </w:p>
        </w:tc>
        <w:tc>
          <w:tcPr>
            <w:tcW w:w="0" w:type="auto"/>
            <w:tcBorders>
              <w:top w:val="single" w:sz="8" w:space="0" w:color="auto"/>
              <w:left w:val="single" w:sz="8" w:space="0" w:color="auto"/>
              <w:bottom w:val="single" w:sz="8" w:space="0" w:color="auto"/>
              <w:right w:val="single" w:sz="8" w:space="0" w:color="auto"/>
            </w:tcBorders>
            <w:vAlign w:val="center"/>
          </w:tcPr>
          <w:p w:rsidR="00EB4B95" w:rsidRPr="00EB4B95" w:rsidRDefault="00EB4B95" w:rsidP="00312A15">
            <w:pPr>
              <w:pStyle w:val="StandardWeb"/>
              <w:jc w:val="center"/>
              <w:rPr>
                <w:rFonts w:cs="Arial"/>
                <w:szCs w:val="16"/>
              </w:rPr>
            </w:pPr>
            <w:r w:rsidRPr="003361E9">
              <w:rPr>
                <w:rFonts w:cs="Arial"/>
                <w:szCs w:val="16"/>
              </w:rPr>
              <w:t>50 €</w:t>
            </w:r>
          </w:p>
        </w:tc>
        <w:tc>
          <w:tcPr>
            <w:tcW w:w="0" w:type="auto"/>
            <w:tcBorders>
              <w:top w:val="single" w:sz="8" w:space="0" w:color="auto"/>
              <w:left w:val="single" w:sz="8" w:space="0" w:color="auto"/>
              <w:bottom w:val="single" w:sz="8" w:space="0" w:color="auto"/>
              <w:right w:val="single" w:sz="8" w:space="0" w:color="auto"/>
            </w:tcBorders>
            <w:vAlign w:val="center"/>
          </w:tcPr>
          <w:p w:rsidR="00EB4B95" w:rsidRPr="00EB4B95" w:rsidRDefault="00EB4B95" w:rsidP="00EB4B95">
            <w:pPr>
              <w:jc w:val="center"/>
              <w:rPr>
                <w:rFonts w:cs="Arial"/>
                <w:szCs w:val="16"/>
              </w:rPr>
            </w:pPr>
            <w:r w:rsidRPr="003361E9">
              <w:rPr>
                <w:rFonts w:cs="Arial"/>
                <w:szCs w:val="16"/>
              </w:rPr>
              <w:t>dauerhaft</w:t>
            </w:r>
          </w:p>
        </w:tc>
      </w:tr>
    </w:tbl>
    <w:p w:rsidR="00EB4B95" w:rsidRDefault="00EB4B95" w:rsidP="00FB7184">
      <w:r>
        <w:br w:type="page"/>
      </w:r>
    </w:p>
    <w:p w:rsidR="005E4D74" w:rsidRPr="00EB4B95" w:rsidRDefault="005E4D74" w:rsidP="00FB7184">
      <w:pPr>
        <w:rPr>
          <w:sz w:val="8"/>
          <w:szCs w:val="8"/>
        </w:rPr>
      </w:pPr>
    </w:p>
    <w:tbl>
      <w:tblPr>
        <w:tblW w:w="6747" w:type="dxa"/>
        <w:jc w:val="center"/>
        <w:tblCellMar>
          <w:left w:w="0" w:type="dxa"/>
          <w:right w:w="0" w:type="dxa"/>
        </w:tblCellMar>
        <w:tblLook w:val="04A0" w:firstRow="1" w:lastRow="0" w:firstColumn="1" w:lastColumn="0" w:noHBand="0" w:noVBand="1"/>
      </w:tblPr>
      <w:tblGrid>
        <w:gridCol w:w="789"/>
        <w:gridCol w:w="1169"/>
        <w:gridCol w:w="839"/>
        <w:gridCol w:w="949"/>
        <w:gridCol w:w="1024"/>
        <w:gridCol w:w="884"/>
        <w:gridCol w:w="1093"/>
      </w:tblGrid>
      <w:tr w:rsidR="00BE1EFE" w:rsidRPr="003361E9" w:rsidTr="005E4D74">
        <w:trPr>
          <w:trHeight w:val="458"/>
          <w:jc w:val="center"/>
        </w:trPr>
        <w:tc>
          <w:tcPr>
            <w:tcW w:w="789"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Cs/>
                <w:szCs w:val="16"/>
              </w:rPr>
              <w:t>Entgelt-gruppe</w:t>
            </w:r>
          </w:p>
        </w:tc>
        <w:tc>
          <w:tcPr>
            <w:tcW w:w="1169"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rFonts w:cs="Arial"/>
                <w:b/>
                <w:bCs/>
                <w:szCs w:val="16"/>
              </w:rPr>
            </w:pPr>
            <w:r w:rsidRPr="003361E9">
              <w:rPr>
                <w:rStyle w:val="Fett"/>
                <w:rFonts w:cs="Arial"/>
                <w:bCs/>
                <w:szCs w:val="16"/>
              </w:rPr>
              <w:t xml:space="preserve">Vergütungs-gruppe bei Inkrafttreten </w:t>
            </w:r>
          </w:p>
          <w:p w:rsidR="00BE1EFE" w:rsidRPr="003361E9" w:rsidRDefault="00BE1EFE" w:rsidP="005C70E0">
            <w:pPr>
              <w:pStyle w:val="StandardWeb"/>
              <w:autoSpaceDE w:val="0"/>
              <w:jc w:val="center"/>
              <w:rPr>
                <w:szCs w:val="16"/>
              </w:rPr>
            </w:pPr>
            <w:r w:rsidRPr="003361E9">
              <w:rPr>
                <w:rStyle w:val="Fett"/>
                <w:rFonts w:cs="Arial"/>
                <w:bCs/>
                <w:szCs w:val="16"/>
              </w:rPr>
              <w:t>Teil A, 3.</w:t>
            </w:r>
          </w:p>
        </w:tc>
        <w:tc>
          <w:tcPr>
            <w:tcW w:w="839"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Cs/>
                <w:szCs w:val="16"/>
              </w:rPr>
              <w:t>Aufstieg</w:t>
            </w:r>
          </w:p>
        </w:tc>
        <w:tc>
          <w:tcPr>
            <w:tcW w:w="94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Cs/>
                <w:szCs w:val="16"/>
              </w:rPr>
              <w:t>Orts-Zuschlag Stufe 1, 2</w:t>
            </w:r>
          </w:p>
        </w:tc>
        <w:tc>
          <w:tcPr>
            <w:tcW w:w="102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Cs/>
                <w:szCs w:val="16"/>
              </w:rPr>
              <w:t>Lebens-altersstufe</w:t>
            </w:r>
          </w:p>
        </w:tc>
        <w:tc>
          <w:tcPr>
            <w:tcW w:w="884"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Cs/>
                <w:szCs w:val="16"/>
              </w:rPr>
              <w:t>Höhe Aus-gleichs-betrag</w:t>
            </w:r>
          </w:p>
        </w:tc>
        <w:tc>
          <w:tcPr>
            <w:tcW w:w="1093"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Cs/>
                <w:szCs w:val="16"/>
              </w:rPr>
              <w:t>Dauer</w:t>
            </w:r>
          </w:p>
        </w:tc>
      </w:tr>
      <w:tr w:rsidR="00BE1EFE" w:rsidRPr="003361E9" w:rsidTr="005E4D74">
        <w:trPr>
          <w:trHeight w:val="45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3361E9" w:rsidRDefault="00BE1EFE" w:rsidP="005C70E0">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rsidP="005C70E0">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rsidP="005C70E0">
            <w:pPr>
              <w:rPr>
                <w:szCs w:val="16"/>
              </w:rPr>
            </w:pPr>
          </w:p>
        </w:tc>
        <w:tc>
          <w:tcPr>
            <w:tcW w:w="1973"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rFonts w:cs="Arial"/>
                <w:b/>
                <w:bCs/>
                <w:szCs w:val="16"/>
              </w:rPr>
            </w:pPr>
            <w:r w:rsidRPr="003361E9">
              <w:rPr>
                <w:rStyle w:val="Fett"/>
                <w:rFonts w:cs="Arial"/>
                <w:bCs/>
                <w:szCs w:val="16"/>
              </w:rPr>
              <w:t>bei Inkrafttreten</w:t>
            </w:r>
          </w:p>
          <w:p w:rsidR="00BE1EFE" w:rsidRPr="003361E9" w:rsidRDefault="00BE1EFE" w:rsidP="005C70E0">
            <w:pPr>
              <w:pStyle w:val="StandardWeb"/>
              <w:autoSpaceDE w:val="0"/>
              <w:jc w:val="center"/>
              <w:rPr>
                <w:szCs w:val="16"/>
              </w:rPr>
            </w:pPr>
            <w:r w:rsidRPr="003361E9">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rsidP="005C70E0">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rsidP="005C70E0">
            <w:pPr>
              <w:rPr>
                <w:szCs w:val="16"/>
              </w:rPr>
            </w:pPr>
          </w:p>
        </w:tc>
      </w:tr>
      <w:tr w:rsidR="00BE1EFE" w:rsidRPr="003361E9" w:rsidTr="005E4D74">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EB4B95" w:rsidP="0053602A">
            <w:pPr>
              <w:jc w:val="center"/>
              <w:rPr>
                <w:szCs w:val="16"/>
              </w:rPr>
            </w:pPr>
            <w:r>
              <w:rPr>
                <w:szCs w:val="16"/>
              </w:rPr>
              <w:t>6</w:t>
            </w: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VI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35</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5E4D74">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C70E0">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VI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5E4D74">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VI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4 Jahre</w:t>
            </w:r>
            <w:r>
              <w:rPr>
                <w:rFonts w:cs="Arial"/>
                <w:szCs w:val="16"/>
              </w:rPr>
              <w:t xml:space="preserve"> dauerhaft</w:t>
            </w:r>
          </w:p>
        </w:tc>
      </w:tr>
      <w:tr w:rsidR="00BE1EFE" w:rsidRPr="003361E9" w:rsidTr="005E4D74">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C70E0">
            <w:pPr>
              <w:jc w:val="center"/>
              <w:rPr>
                <w:rFonts w:cs="Arial"/>
                <w:szCs w:val="16"/>
              </w:rPr>
            </w:pPr>
            <w:r w:rsidRPr="005E4D74">
              <w:rPr>
                <w:rFonts w:cs="Arial"/>
                <w:szCs w:val="16"/>
              </w:rPr>
              <w:t>8</w:t>
            </w: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c</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5E4D74">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c</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5E4D74">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C70E0">
            <w:pPr>
              <w:jc w:val="center"/>
              <w:rPr>
                <w:rFonts w:cs="Arial"/>
                <w:szCs w:val="16"/>
              </w:rPr>
            </w:pPr>
            <w:r w:rsidRPr="005E4D74">
              <w:rPr>
                <w:rFonts w:cs="Arial"/>
                <w:szCs w:val="16"/>
              </w:rPr>
              <w:t>9</w:t>
            </w: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12 Jahre</w:t>
            </w:r>
          </w:p>
        </w:tc>
      </w:tr>
      <w:tr w:rsidR="00BE1EFE" w:rsidRPr="003361E9" w:rsidTr="005E4D74">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C70E0">
            <w:pPr>
              <w:pStyle w:val="StandardWeb"/>
              <w:autoSpaceDE w:val="0"/>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b/>
                <w:szCs w:val="16"/>
              </w:rPr>
            </w:pPr>
            <w:r w:rsidRPr="003361E9">
              <w:rPr>
                <w:rStyle w:val="Fett"/>
                <w:rFonts w:cs="Arial"/>
                <w:b w:val="0"/>
                <w:bCs/>
                <w:szCs w:val="16"/>
              </w:rPr>
              <w:t>OZ 1</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31</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für 7 Jahre</w:t>
            </w:r>
          </w:p>
        </w:tc>
      </w:tr>
      <w:tr w:rsidR="00BE1EFE" w:rsidRPr="003361E9" w:rsidTr="005E4D74">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33</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7 Jahre</w:t>
            </w:r>
          </w:p>
        </w:tc>
      </w:tr>
      <w:tr w:rsidR="00BE1EFE" w:rsidRPr="003361E9" w:rsidTr="005E4D74">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9</w:t>
            </w: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27</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90 €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für 7 Jahre</w:t>
            </w:r>
          </w:p>
        </w:tc>
      </w:tr>
      <w:tr w:rsidR="00BE1EFE" w:rsidRPr="003361E9" w:rsidTr="005E4D74">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90 €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7 Jahre</w:t>
            </w:r>
          </w:p>
        </w:tc>
      </w:tr>
      <w:tr w:rsidR="00BE1EFE" w:rsidRPr="003361E9" w:rsidTr="005E4D74">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35</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rFonts w:cs="Arial"/>
                <w:szCs w:val="16"/>
              </w:rPr>
            </w:pPr>
            <w:r w:rsidRPr="003361E9">
              <w:rPr>
                <w:rFonts w:cs="Arial"/>
                <w:szCs w:val="16"/>
              </w:rPr>
              <w:t xml:space="preserve">nach </w:t>
            </w:r>
          </w:p>
          <w:p w:rsidR="00BE1EFE" w:rsidRPr="003361E9" w:rsidRDefault="00BE1EFE" w:rsidP="005C70E0">
            <w:pPr>
              <w:pStyle w:val="StandardWeb"/>
              <w:jc w:val="center"/>
              <w:rPr>
                <w:szCs w:val="16"/>
              </w:rPr>
            </w:pPr>
            <w:r w:rsidRPr="003361E9">
              <w:rPr>
                <w:rFonts w:cs="Arial"/>
                <w:szCs w:val="16"/>
              </w:rPr>
              <w:t>4 Jahren dauerhaft</w:t>
            </w:r>
          </w:p>
        </w:tc>
      </w:tr>
      <w:tr w:rsidR="00BE1EFE" w:rsidRPr="003361E9" w:rsidTr="005E4D74">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37</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 xml:space="preserve">nach </w:t>
            </w:r>
            <w:r>
              <w:rPr>
                <w:rFonts w:cs="Arial"/>
                <w:szCs w:val="16"/>
              </w:rPr>
              <w:br/>
            </w:r>
            <w:r w:rsidRPr="003361E9">
              <w:rPr>
                <w:rFonts w:cs="Arial"/>
                <w:szCs w:val="16"/>
              </w:rPr>
              <w:t>4 Jahren dauerhaft</w:t>
            </w:r>
          </w:p>
        </w:tc>
      </w:tr>
      <w:tr w:rsidR="00BE1EFE" w:rsidRPr="003361E9" w:rsidTr="005E4D74">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39</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5E4D74">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41</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40 €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dauerhaft</w:t>
            </w:r>
          </w:p>
        </w:tc>
      </w:tr>
      <w:tr w:rsidR="00BE1EFE" w:rsidRPr="003361E9" w:rsidTr="005E4D74">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9</w:t>
            </w: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IV b nach 5 Jahren</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29</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50 €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3 Jahre</w:t>
            </w:r>
          </w:p>
        </w:tc>
      </w:tr>
      <w:tr w:rsidR="00BE1EFE" w:rsidRPr="003361E9" w:rsidTr="005E4D74">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IV b nach 5 Jahren</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autoSpaceDE w:val="0"/>
              <w:jc w:val="center"/>
              <w:rPr>
                <w:szCs w:val="16"/>
              </w:rPr>
            </w:pPr>
            <w:r w:rsidRPr="003361E9">
              <w:rPr>
                <w:rStyle w:val="Fett"/>
                <w:rFonts w:cs="Arial"/>
                <w:b w:val="0"/>
                <w:bCs/>
                <w:szCs w:val="16"/>
              </w:rPr>
              <w:t>OZ 1</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35</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C70E0">
            <w:pPr>
              <w:pStyle w:val="StandardWeb"/>
              <w:jc w:val="center"/>
              <w:rPr>
                <w:szCs w:val="16"/>
              </w:rPr>
            </w:pPr>
            <w:r w:rsidRPr="003361E9">
              <w:rPr>
                <w:rFonts w:cs="Arial"/>
                <w:szCs w:val="16"/>
              </w:rPr>
              <w:t>für 4 Jahre</w:t>
            </w:r>
          </w:p>
        </w:tc>
      </w:tr>
      <w:tr w:rsidR="00EB4B95" w:rsidRPr="003361E9" w:rsidTr="00EB4B95">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EB4B95">
            <w:pPr>
              <w:jc w:val="center"/>
              <w:rPr>
                <w:szCs w:val="16"/>
              </w:rPr>
            </w:pPr>
            <w:r w:rsidRPr="00EB4B95">
              <w:rPr>
                <w:rStyle w:val="Fett"/>
                <w:b w:val="0"/>
                <w:szCs w:val="16"/>
              </w:rPr>
              <w:t>9</w:t>
            </w: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31</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50 €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EB4B95">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 nach 5 Jahren</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37</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EB4B95">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3361E9"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39</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EB4B95">
        <w:trPr>
          <w:trHeight w:val="270"/>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3361E9" w:rsidRDefault="00EB4B95" w:rsidP="00312A15">
            <w:pPr>
              <w:pStyle w:val="StandardWeb"/>
              <w:autoSpaceDE w:val="0"/>
              <w:jc w:val="center"/>
              <w:rPr>
                <w:rFonts w:cs="Arial"/>
                <w:bCs/>
                <w:szCs w:val="16"/>
              </w:rPr>
            </w:pPr>
            <w:r w:rsidRPr="003361E9">
              <w:rPr>
                <w:rStyle w:val="Fett"/>
                <w:rFonts w:cs="Arial"/>
                <w:b w:val="0"/>
                <w:bCs/>
                <w:szCs w:val="16"/>
              </w:rPr>
              <w:t>IV b nach</w:t>
            </w:r>
          </w:p>
          <w:p w:rsidR="00EB4B95" w:rsidRPr="00EB4B95" w:rsidRDefault="00EB4B95" w:rsidP="00312A15">
            <w:pPr>
              <w:pStyle w:val="StandardWeb"/>
              <w:autoSpaceDE w:val="0"/>
              <w:jc w:val="center"/>
              <w:rPr>
                <w:rFonts w:cs="Arial"/>
                <w:bCs/>
                <w:szCs w:val="16"/>
              </w:rPr>
            </w:pPr>
            <w:r w:rsidRPr="003361E9">
              <w:rPr>
                <w:rStyle w:val="Fett"/>
                <w:rFonts w:cs="Arial"/>
                <w:b w:val="0"/>
                <w:bCs/>
                <w:szCs w:val="16"/>
              </w:rPr>
              <w:t>5 Jahren</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41</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EB4B95">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5E4D74" w:rsidRDefault="00EB4B95" w:rsidP="00312A15">
            <w:pPr>
              <w:jc w:val="center"/>
              <w:rPr>
                <w:szCs w:val="16"/>
              </w:rPr>
            </w:pPr>
            <w:r w:rsidRPr="005E4D74">
              <w:rPr>
                <w:szCs w:val="16"/>
              </w:rPr>
              <w:t>9</w:t>
            </w: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1</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35</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EB4B95">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5E4D74" w:rsidRDefault="00EB4B95" w:rsidP="00312A15">
            <w:pPr>
              <w:jc w:val="center"/>
              <w:rPr>
                <w:szCs w:val="16"/>
              </w:rPr>
            </w:pPr>
            <w:r w:rsidRPr="005E4D74">
              <w:rPr>
                <w:szCs w:val="16"/>
              </w:rPr>
              <w:t>9</w:t>
            </w: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31</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50 €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für 4 Jahre</w:t>
            </w:r>
          </w:p>
        </w:tc>
      </w:tr>
      <w:tr w:rsidR="00EB4B95" w:rsidRPr="003361E9" w:rsidTr="00EB4B95">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37</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EB4B95">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39</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r w:rsidR="00EB4B95" w:rsidRPr="003361E9" w:rsidTr="00EB4B95">
        <w:trPr>
          <w:trHeight w:val="227"/>
          <w:jc w:val="center"/>
        </w:trPr>
        <w:tc>
          <w:tcPr>
            <w:tcW w:w="78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EB4B95" w:rsidRPr="005E4D74" w:rsidRDefault="00EB4B95" w:rsidP="00312A15">
            <w:pPr>
              <w:jc w:val="center"/>
              <w:rPr>
                <w:szCs w:val="16"/>
              </w:rPr>
            </w:pPr>
          </w:p>
        </w:tc>
        <w:tc>
          <w:tcPr>
            <w:tcW w:w="116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IV b</w:t>
            </w:r>
          </w:p>
        </w:tc>
        <w:tc>
          <w:tcPr>
            <w:tcW w:w="83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ohne</w:t>
            </w:r>
          </w:p>
        </w:tc>
        <w:tc>
          <w:tcPr>
            <w:tcW w:w="9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autoSpaceDE w:val="0"/>
              <w:jc w:val="center"/>
              <w:rPr>
                <w:rFonts w:cs="Arial"/>
                <w:bCs/>
                <w:szCs w:val="16"/>
              </w:rPr>
            </w:pPr>
            <w:r w:rsidRPr="003361E9">
              <w:rPr>
                <w:rStyle w:val="Fett"/>
                <w:rFonts w:cs="Arial"/>
                <w:b w:val="0"/>
                <w:bCs/>
                <w:szCs w:val="16"/>
              </w:rPr>
              <w:t>OZ 2</w:t>
            </w:r>
          </w:p>
        </w:tc>
        <w:tc>
          <w:tcPr>
            <w:tcW w:w="10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41</w:t>
            </w:r>
          </w:p>
        </w:tc>
        <w:tc>
          <w:tcPr>
            <w:tcW w:w="88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60 €</w:t>
            </w:r>
          </w:p>
        </w:tc>
        <w:tc>
          <w:tcPr>
            <w:tcW w:w="1093"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EB4B95" w:rsidRPr="00EB4B95" w:rsidRDefault="00EB4B95" w:rsidP="00312A15">
            <w:pPr>
              <w:pStyle w:val="StandardWeb"/>
              <w:jc w:val="center"/>
              <w:rPr>
                <w:rFonts w:cs="Arial"/>
                <w:szCs w:val="16"/>
              </w:rPr>
            </w:pPr>
            <w:r w:rsidRPr="003361E9">
              <w:rPr>
                <w:rFonts w:cs="Arial"/>
                <w:szCs w:val="16"/>
              </w:rPr>
              <w:t>dauerhaft</w:t>
            </w:r>
          </w:p>
        </w:tc>
      </w:tr>
    </w:tbl>
    <w:p w:rsidR="00EB4B95" w:rsidRDefault="00EB4B95" w:rsidP="008A5595">
      <w:r>
        <w:br w:type="page"/>
      </w:r>
    </w:p>
    <w:p w:rsidR="00BE1EFE" w:rsidRPr="00EB4B95" w:rsidRDefault="00BE1EFE" w:rsidP="008A5595">
      <w:pPr>
        <w:rPr>
          <w:szCs w:val="16"/>
        </w:rPr>
      </w:pPr>
    </w:p>
    <w:tbl>
      <w:tblPr>
        <w:tblW w:w="6747" w:type="dxa"/>
        <w:jc w:val="center"/>
        <w:tblCellMar>
          <w:left w:w="0" w:type="dxa"/>
          <w:right w:w="0" w:type="dxa"/>
        </w:tblCellMar>
        <w:tblLook w:val="04A0" w:firstRow="1" w:lastRow="0" w:firstColumn="1" w:lastColumn="0" w:noHBand="0" w:noVBand="1"/>
      </w:tblPr>
      <w:tblGrid>
        <w:gridCol w:w="739"/>
        <w:gridCol w:w="1154"/>
        <w:gridCol w:w="838"/>
        <w:gridCol w:w="958"/>
        <w:gridCol w:w="1001"/>
        <w:gridCol w:w="902"/>
        <w:gridCol w:w="1155"/>
      </w:tblGrid>
      <w:tr w:rsidR="00BE1EFE" w:rsidRPr="003361E9" w:rsidTr="00EB4B95">
        <w:trPr>
          <w:trHeight w:val="458"/>
          <w:jc w:val="center"/>
        </w:trPr>
        <w:tc>
          <w:tcPr>
            <w:tcW w:w="739" w:type="dxa"/>
            <w:vMerge w:val="restart"/>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Entgelt-gruppe</w:t>
            </w:r>
          </w:p>
        </w:tc>
        <w:tc>
          <w:tcPr>
            <w:tcW w:w="1154"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
                <w:bCs/>
                <w:szCs w:val="16"/>
              </w:rPr>
            </w:pPr>
            <w:r w:rsidRPr="003361E9">
              <w:rPr>
                <w:rStyle w:val="Fett"/>
                <w:rFonts w:cs="Arial"/>
                <w:bCs/>
                <w:szCs w:val="16"/>
              </w:rPr>
              <w:t xml:space="preserve">Vergütungs-gruppe bei Inkrafttreten </w:t>
            </w:r>
          </w:p>
          <w:p w:rsidR="00BE1EFE" w:rsidRPr="003361E9" w:rsidRDefault="00BE1EFE" w:rsidP="0054275E">
            <w:pPr>
              <w:pStyle w:val="StandardWeb"/>
              <w:autoSpaceDE w:val="0"/>
              <w:jc w:val="center"/>
              <w:rPr>
                <w:szCs w:val="16"/>
              </w:rPr>
            </w:pPr>
            <w:r w:rsidRPr="003361E9">
              <w:rPr>
                <w:rStyle w:val="Fett"/>
                <w:rFonts w:cs="Arial"/>
                <w:bCs/>
                <w:szCs w:val="16"/>
              </w:rPr>
              <w:t>Teil A, 3.</w:t>
            </w:r>
          </w:p>
        </w:tc>
        <w:tc>
          <w:tcPr>
            <w:tcW w:w="838"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Aufstieg</w:t>
            </w:r>
          </w:p>
        </w:tc>
        <w:tc>
          <w:tcPr>
            <w:tcW w:w="95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Orts-Zuschlag Stufe 1, 2</w:t>
            </w:r>
          </w:p>
        </w:tc>
        <w:tc>
          <w:tcPr>
            <w:tcW w:w="10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Lebens-altersstufe</w:t>
            </w:r>
          </w:p>
        </w:tc>
        <w:tc>
          <w:tcPr>
            <w:tcW w:w="902"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Höhe Aus-gleichs-betrag</w:t>
            </w:r>
          </w:p>
        </w:tc>
        <w:tc>
          <w:tcPr>
            <w:tcW w:w="1155" w:type="dxa"/>
            <w:vMerge w:val="restart"/>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Dauer</w:t>
            </w:r>
          </w:p>
        </w:tc>
      </w:tr>
      <w:tr w:rsidR="00BE1EFE" w:rsidRPr="003361E9" w:rsidTr="00EB4B95">
        <w:trPr>
          <w:trHeight w:val="45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959" w:type="dxa"/>
            <w:gridSpan w:val="2"/>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
                <w:bCs/>
                <w:szCs w:val="16"/>
              </w:rPr>
            </w:pPr>
            <w:r w:rsidRPr="003361E9">
              <w:rPr>
                <w:rStyle w:val="Fett"/>
                <w:rFonts w:cs="Arial"/>
                <w:bCs/>
                <w:szCs w:val="16"/>
              </w:rPr>
              <w:t>bei Inkrafttreten</w:t>
            </w:r>
          </w:p>
          <w:p w:rsidR="00BE1EFE" w:rsidRPr="003361E9" w:rsidRDefault="00BE1EFE" w:rsidP="00F73F91">
            <w:pPr>
              <w:pStyle w:val="StandardWeb"/>
              <w:autoSpaceDE w:val="0"/>
              <w:jc w:val="center"/>
              <w:rPr>
                <w:szCs w:val="16"/>
              </w:rPr>
            </w:pPr>
            <w:r w:rsidRPr="003361E9">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r>
      <w:tr w:rsidR="00BE1EFE" w:rsidRPr="003361E9" w:rsidTr="00EB4B95">
        <w:trPr>
          <w:trHeight w:val="270"/>
          <w:jc w:val="center"/>
        </w:trPr>
        <w:tc>
          <w:tcPr>
            <w:tcW w:w="73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pStyle w:val="StandardWeb"/>
              <w:autoSpaceDE w:val="0"/>
              <w:jc w:val="center"/>
              <w:rPr>
                <w:b/>
                <w:szCs w:val="16"/>
              </w:rPr>
            </w:pPr>
            <w:r w:rsidRPr="005E4D74">
              <w:rPr>
                <w:rStyle w:val="Fett"/>
                <w:rFonts w:cs="Arial"/>
                <w:b w:val="0"/>
                <w:bCs/>
                <w:szCs w:val="16"/>
              </w:rPr>
              <w:t>10</w:t>
            </w:r>
          </w:p>
        </w:tc>
        <w:tc>
          <w:tcPr>
            <w:tcW w:w="115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b/>
                <w:szCs w:val="16"/>
              </w:rPr>
            </w:pPr>
            <w:r w:rsidRPr="003361E9">
              <w:rPr>
                <w:rStyle w:val="Fett"/>
                <w:rFonts w:cs="Arial"/>
                <w:b w:val="0"/>
                <w:bCs/>
                <w:szCs w:val="16"/>
              </w:rPr>
              <w:t>IV b</w:t>
            </w:r>
          </w:p>
        </w:tc>
        <w:tc>
          <w:tcPr>
            <w:tcW w:w="8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b/>
                <w:szCs w:val="16"/>
              </w:rPr>
            </w:pPr>
            <w:r w:rsidRPr="003361E9">
              <w:rPr>
                <w:rStyle w:val="Fett"/>
                <w:rFonts w:cs="Arial"/>
                <w:b w:val="0"/>
                <w:bCs/>
                <w:szCs w:val="16"/>
              </w:rPr>
              <w:t>5 u. 7,5 Jahren</w:t>
            </w:r>
          </w:p>
        </w:tc>
        <w:tc>
          <w:tcPr>
            <w:tcW w:w="95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b/>
                <w:szCs w:val="16"/>
              </w:rPr>
            </w:pPr>
            <w:r w:rsidRPr="003361E9">
              <w:rPr>
                <w:rStyle w:val="Fett"/>
                <w:rFonts w:cs="Arial"/>
                <w:b w:val="0"/>
                <w:bCs/>
                <w:szCs w:val="16"/>
              </w:rPr>
              <w:t>OZ 1</w:t>
            </w:r>
          </w:p>
        </w:tc>
        <w:tc>
          <w:tcPr>
            <w:tcW w:w="1001"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35</w:t>
            </w:r>
          </w:p>
        </w:tc>
        <w:tc>
          <w:tcPr>
            <w:tcW w:w="90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40 €</w:t>
            </w:r>
          </w:p>
        </w:tc>
        <w:tc>
          <w:tcPr>
            <w:tcW w:w="1155"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4 Jahre</w:t>
            </w:r>
          </w:p>
        </w:tc>
      </w:tr>
      <w:tr w:rsidR="00BE1EFE" w:rsidRPr="003361E9" w:rsidTr="00EB4B95">
        <w:trPr>
          <w:trHeight w:val="270"/>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EB4B95">
        <w:trPr>
          <w:trHeight w:val="270"/>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EB4B95">
        <w:trPr>
          <w:trHeight w:val="270"/>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10</w:t>
            </w: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29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70 €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7 Jahre</w:t>
            </w:r>
          </w:p>
        </w:tc>
      </w:tr>
      <w:tr w:rsidR="00BE1EFE" w:rsidRPr="003361E9" w:rsidTr="00EB4B95">
        <w:trPr>
          <w:trHeight w:val="270"/>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rFonts w:cs="Arial"/>
                <w:szCs w:val="16"/>
              </w:rPr>
            </w:pPr>
            <w:r w:rsidRPr="003361E9">
              <w:rPr>
                <w:rFonts w:cs="Arial"/>
                <w:szCs w:val="16"/>
              </w:rPr>
              <w:t xml:space="preserve">nach </w:t>
            </w:r>
          </w:p>
          <w:p w:rsidR="00BE1EFE" w:rsidRPr="003361E9" w:rsidRDefault="00BE1EFE">
            <w:pPr>
              <w:pStyle w:val="StandardWeb"/>
              <w:jc w:val="center"/>
              <w:rPr>
                <w:szCs w:val="16"/>
              </w:rPr>
            </w:pPr>
            <w:r w:rsidRPr="003361E9">
              <w:rPr>
                <w:rFonts w:cs="Arial"/>
                <w:szCs w:val="16"/>
              </w:rPr>
              <w:t>4 Jahren dauerhaft</w:t>
            </w:r>
          </w:p>
        </w:tc>
      </w:tr>
      <w:tr w:rsidR="00BE1EFE" w:rsidRPr="003361E9" w:rsidTr="00EB4B95">
        <w:trPr>
          <w:trHeight w:val="270"/>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EB4B95">
        <w:trPr>
          <w:trHeight w:val="270"/>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85 €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EB4B95">
        <w:trPr>
          <w:trHeight w:val="270"/>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b</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IV a nach</w:t>
            </w:r>
          </w:p>
          <w:p w:rsidR="00BE1EFE" w:rsidRPr="003361E9" w:rsidRDefault="00BE1EFE" w:rsidP="0054275E">
            <w:pPr>
              <w:pStyle w:val="StandardWeb"/>
              <w:autoSpaceDE w:val="0"/>
              <w:jc w:val="center"/>
              <w:rPr>
                <w:szCs w:val="16"/>
              </w:rPr>
            </w:pPr>
            <w:r w:rsidRPr="003361E9">
              <w:rPr>
                <w:rStyle w:val="Fett"/>
                <w:rFonts w:cs="Arial"/>
                <w:b w:val="0"/>
                <w:bCs/>
                <w:szCs w:val="16"/>
              </w:rPr>
              <w:t>5 u. 7,5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BE1EFE" w:rsidRPr="003361E9" w:rsidTr="00EB4B95">
        <w:trPr>
          <w:trHeight w:val="227"/>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10</w:t>
            </w: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a</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35</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4 Jahre</w:t>
            </w:r>
          </w:p>
        </w:tc>
      </w:tr>
      <w:tr w:rsidR="00BE1EFE" w:rsidRPr="003361E9" w:rsidTr="00EB4B95">
        <w:trPr>
          <w:trHeight w:val="227"/>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a</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r>
      <w:tr w:rsidR="00312A15" w:rsidRPr="003361E9" w:rsidTr="00312A15">
        <w:trPr>
          <w:trHeight w:val="227"/>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12A15" w:rsidRPr="005E4D74" w:rsidRDefault="00312A15" w:rsidP="00312A15">
            <w:pPr>
              <w:jc w:val="center"/>
              <w:rPr>
                <w:szCs w:val="16"/>
              </w:rP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IV a</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ohne</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3361E9" w:rsidRDefault="00312A15" w:rsidP="00312A15">
            <w:pPr>
              <w:pStyle w:val="StandardWeb"/>
              <w:autoSpaceDE w:val="0"/>
              <w:jc w:val="center"/>
              <w:rPr>
                <w:rStyle w:val="Fett"/>
                <w:rFonts w:cs="Arial"/>
                <w:b w:val="0"/>
                <w:bCs/>
                <w:szCs w:val="16"/>
              </w:rPr>
            </w:pPr>
            <w:r w:rsidRPr="003361E9">
              <w:rPr>
                <w:rStyle w:val="Fett"/>
                <w:rFonts w:cs="Arial"/>
                <w:b w:val="0"/>
                <w:bCs/>
                <w:szCs w:val="16"/>
              </w:rPr>
              <w:t>OZ 1</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43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30 €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3361E9" w:rsidRDefault="00312A15" w:rsidP="00312A15">
            <w:pPr>
              <w:pStyle w:val="StandardWeb"/>
              <w:jc w:val="center"/>
              <w:rPr>
                <w:rFonts w:cs="Arial"/>
                <w:szCs w:val="16"/>
              </w:rPr>
            </w:pPr>
            <w:r w:rsidRPr="003361E9">
              <w:rPr>
                <w:rFonts w:cs="Arial"/>
                <w:szCs w:val="16"/>
              </w:rPr>
              <w:t>dauerhaft</w:t>
            </w:r>
          </w:p>
        </w:tc>
      </w:tr>
      <w:tr w:rsidR="00312A15" w:rsidRPr="003361E9" w:rsidTr="00312A15">
        <w:trPr>
          <w:trHeight w:val="227"/>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11</w:t>
            </w: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OZ 1</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41</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40,-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dauerhaft</w:t>
            </w:r>
          </w:p>
        </w:tc>
      </w:tr>
      <w:tr w:rsidR="00312A15" w:rsidRPr="003361E9" w:rsidTr="00312A15">
        <w:trPr>
          <w:trHeight w:val="227"/>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OZ 1</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43</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40,-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dauerhaft</w:t>
            </w:r>
          </w:p>
        </w:tc>
      </w:tr>
      <w:tr w:rsidR="00312A15" w:rsidRPr="003361E9" w:rsidTr="00312A15">
        <w:trPr>
          <w:trHeight w:val="227"/>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11</w:t>
            </w: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OZ 2</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37</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70,-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nach 4 Jahren dauerhaft</w:t>
            </w:r>
          </w:p>
        </w:tc>
      </w:tr>
      <w:tr w:rsidR="00312A15" w:rsidRPr="003361E9" w:rsidTr="00312A15">
        <w:trPr>
          <w:trHeight w:val="227"/>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OZ 2</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39</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70,-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dauerhaft</w:t>
            </w:r>
          </w:p>
        </w:tc>
      </w:tr>
      <w:tr w:rsidR="00312A15" w:rsidRPr="003361E9" w:rsidTr="00312A15">
        <w:trPr>
          <w:trHeight w:val="227"/>
          <w:jc w:val="center"/>
        </w:trPr>
        <w:tc>
          <w:tcPr>
            <w:tcW w:w="739"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p>
        </w:tc>
        <w:tc>
          <w:tcPr>
            <w:tcW w:w="1154"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IV a</w:t>
            </w:r>
          </w:p>
        </w:tc>
        <w:tc>
          <w:tcPr>
            <w:tcW w:w="83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rsidRPr="00800598">
              <w:t>III nach</w:t>
            </w:r>
            <w:r>
              <w:t xml:space="preserve"> 8,5 Jahren</w:t>
            </w:r>
          </w:p>
        </w:tc>
        <w:tc>
          <w:tcPr>
            <w:tcW w:w="958"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OZ 2</w:t>
            </w:r>
          </w:p>
        </w:tc>
        <w:tc>
          <w:tcPr>
            <w:tcW w:w="1001"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41</w:t>
            </w:r>
          </w:p>
        </w:tc>
        <w:tc>
          <w:tcPr>
            <w:tcW w:w="902"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85,- €</w:t>
            </w:r>
          </w:p>
        </w:tc>
        <w:tc>
          <w:tcPr>
            <w:tcW w:w="1155" w:type="dxa"/>
            <w:tcBorders>
              <w:top w:val="nil"/>
              <w:left w:val="nil"/>
              <w:bottom w:val="single" w:sz="8" w:space="0" w:color="auto"/>
              <w:right w:val="single" w:sz="8" w:space="0" w:color="auto"/>
            </w:tcBorders>
            <w:tcMar>
              <w:top w:w="0" w:type="dxa"/>
              <w:left w:w="70" w:type="dxa"/>
              <w:bottom w:w="0" w:type="dxa"/>
              <w:right w:w="70" w:type="dxa"/>
            </w:tcMar>
            <w:vAlign w:val="center"/>
          </w:tcPr>
          <w:p w:rsidR="00312A15" w:rsidRPr="00800598" w:rsidRDefault="00312A15" w:rsidP="00312A15">
            <w:pPr>
              <w:jc w:val="center"/>
            </w:pPr>
            <w:r>
              <w:t>dauerhaft</w:t>
            </w:r>
          </w:p>
        </w:tc>
      </w:tr>
    </w:tbl>
    <w:p w:rsidR="00EB4B95" w:rsidRDefault="00EB4B95">
      <w:pPr>
        <w:pStyle w:val="StandardWeb"/>
      </w:pPr>
    </w:p>
    <w:p w:rsidR="00BE1EFE" w:rsidRDefault="00BE1EFE">
      <w:pPr>
        <w:pStyle w:val="StandardWeb"/>
      </w:pPr>
      <w:r>
        <w:br w:type="page"/>
      </w:r>
    </w:p>
    <w:tbl>
      <w:tblPr>
        <w:tblW w:w="6747" w:type="dxa"/>
        <w:jc w:val="center"/>
        <w:tblCellMar>
          <w:left w:w="0" w:type="dxa"/>
          <w:right w:w="0" w:type="dxa"/>
        </w:tblCellMar>
        <w:tblLook w:val="04A0" w:firstRow="1" w:lastRow="0" w:firstColumn="1" w:lastColumn="0" w:noHBand="0" w:noVBand="1"/>
      </w:tblPr>
      <w:tblGrid>
        <w:gridCol w:w="738"/>
        <w:gridCol w:w="1149"/>
        <w:gridCol w:w="834"/>
        <w:gridCol w:w="950"/>
        <w:gridCol w:w="998"/>
        <w:gridCol w:w="891"/>
        <w:gridCol w:w="1132"/>
        <w:gridCol w:w="55"/>
      </w:tblGrid>
      <w:tr w:rsidR="00BE1EFE" w:rsidRPr="003361E9" w:rsidTr="00312A15">
        <w:trPr>
          <w:trHeight w:val="20"/>
          <w:jc w:val="center"/>
        </w:trPr>
        <w:tc>
          <w:tcPr>
            <w:tcW w:w="738"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0" w:lineRule="atLeast"/>
              <w:jc w:val="center"/>
              <w:rPr>
                <w:szCs w:val="16"/>
              </w:rPr>
            </w:pPr>
            <w:r w:rsidRPr="003361E9">
              <w:rPr>
                <w:rStyle w:val="Fett"/>
                <w:rFonts w:cs="Arial"/>
                <w:bCs/>
                <w:szCs w:val="16"/>
              </w:rPr>
              <w:lastRenderedPageBreak/>
              <w:t>Entgelt-gruppe</w:t>
            </w:r>
          </w:p>
        </w:tc>
        <w:tc>
          <w:tcPr>
            <w:tcW w:w="114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F73F91">
            <w:pPr>
              <w:pStyle w:val="StandardWeb"/>
              <w:autoSpaceDE w:val="0"/>
              <w:jc w:val="center"/>
              <w:rPr>
                <w:szCs w:val="16"/>
              </w:rPr>
            </w:pPr>
            <w:r w:rsidRPr="003361E9">
              <w:rPr>
                <w:rStyle w:val="Fett"/>
                <w:rFonts w:cs="Arial"/>
                <w:bCs/>
                <w:szCs w:val="16"/>
              </w:rPr>
              <w:t xml:space="preserve">Vergütungs-gruppe bei Inkrafttreten </w:t>
            </w:r>
          </w:p>
          <w:p w:rsidR="00BE1EFE" w:rsidRPr="003361E9" w:rsidRDefault="00BE1EFE" w:rsidP="0054275E">
            <w:pPr>
              <w:pStyle w:val="StandardWeb"/>
              <w:autoSpaceDE w:val="0"/>
              <w:spacing w:line="20" w:lineRule="atLeast"/>
              <w:jc w:val="center"/>
              <w:rPr>
                <w:szCs w:val="16"/>
              </w:rPr>
            </w:pPr>
            <w:r w:rsidRPr="003361E9">
              <w:rPr>
                <w:rStyle w:val="Fett"/>
                <w:rFonts w:cs="Arial"/>
                <w:bCs/>
                <w:szCs w:val="16"/>
              </w:rPr>
              <w:t>Teil A, 3.</w:t>
            </w:r>
          </w:p>
        </w:tc>
        <w:tc>
          <w:tcPr>
            <w:tcW w:w="8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0" w:lineRule="atLeast"/>
              <w:jc w:val="center"/>
              <w:rPr>
                <w:szCs w:val="16"/>
              </w:rPr>
            </w:pPr>
            <w:r w:rsidRPr="003361E9">
              <w:rPr>
                <w:rStyle w:val="Fett"/>
                <w:rFonts w:cs="Arial"/>
                <w:bCs/>
                <w:szCs w:val="16"/>
              </w:rPr>
              <w:t>Aufstieg</w:t>
            </w:r>
          </w:p>
        </w:tc>
        <w:tc>
          <w:tcPr>
            <w:tcW w:w="95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0" w:lineRule="atLeast"/>
              <w:jc w:val="center"/>
              <w:rPr>
                <w:szCs w:val="16"/>
              </w:rPr>
            </w:pPr>
            <w:r w:rsidRPr="003361E9">
              <w:rPr>
                <w:rStyle w:val="Fett"/>
                <w:rFonts w:cs="Arial"/>
                <w:bCs/>
                <w:szCs w:val="16"/>
              </w:rPr>
              <w:t>Orts-Zuschlag Stufe 1, 2</w:t>
            </w:r>
          </w:p>
        </w:tc>
        <w:tc>
          <w:tcPr>
            <w:tcW w:w="998"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0" w:lineRule="atLeast"/>
              <w:jc w:val="center"/>
              <w:rPr>
                <w:szCs w:val="16"/>
              </w:rPr>
            </w:pPr>
            <w:r w:rsidRPr="003361E9">
              <w:rPr>
                <w:rStyle w:val="Fett"/>
                <w:rFonts w:cs="Arial"/>
                <w:bCs/>
                <w:szCs w:val="16"/>
              </w:rPr>
              <w:t>Lebens-altersstufe</w:t>
            </w:r>
          </w:p>
        </w:tc>
        <w:tc>
          <w:tcPr>
            <w:tcW w:w="89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0" w:lineRule="atLeast"/>
              <w:jc w:val="center"/>
              <w:rPr>
                <w:szCs w:val="16"/>
              </w:rPr>
            </w:pPr>
            <w:r w:rsidRPr="003361E9">
              <w:rPr>
                <w:rStyle w:val="Fett"/>
                <w:rFonts w:cs="Arial"/>
                <w:bCs/>
                <w:szCs w:val="16"/>
              </w:rPr>
              <w:t>Höhe Aus-gleichs-betrag</w:t>
            </w:r>
          </w:p>
        </w:tc>
        <w:tc>
          <w:tcPr>
            <w:tcW w:w="113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0" w:lineRule="atLeast"/>
              <w:jc w:val="center"/>
              <w:rPr>
                <w:szCs w:val="16"/>
              </w:rPr>
            </w:pPr>
            <w:r w:rsidRPr="003361E9">
              <w:rPr>
                <w:rStyle w:val="Fett"/>
                <w:rFonts w:cs="Arial"/>
                <w:bCs/>
                <w:szCs w:val="16"/>
              </w:rPr>
              <w:t>Dauer</w:t>
            </w:r>
          </w:p>
        </w:tc>
        <w:tc>
          <w:tcPr>
            <w:tcW w:w="55" w:type="dxa"/>
            <w:vAlign w:val="center"/>
            <w:hideMark/>
          </w:tcPr>
          <w:p w:rsidR="00BE1EFE" w:rsidRPr="003361E9" w:rsidRDefault="00BE1EFE">
            <w:pPr>
              <w:spacing w:line="20" w:lineRule="atLeast"/>
              <w:rPr>
                <w:szCs w:val="16"/>
              </w:rPr>
            </w:pPr>
            <w:r w:rsidRPr="003361E9">
              <w:rPr>
                <w:szCs w:val="16"/>
              </w:rPr>
              <w:t> </w:t>
            </w:r>
          </w:p>
        </w:tc>
      </w:tr>
      <w:tr w:rsidR="00BE1EFE" w:rsidRPr="003361E9" w:rsidTr="00312A15">
        <w:trPr>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948" w:type="dxa"/>
            <w:gridSpan w:val="2"/>
            <w:vMerge w:val="restart"/>
            <w:tcBorders>
              <w:top w:val="nil"/>
              <w:left w:val="nil"/>
              <w:bottom w:val="single" w:sz="8" w:space="0" w:color="auto"/>
              <w:right w:val="single" w:sz="8" w:space="0" w:color="auto"/>
            </w:tcBorders>
            <w:tcMar>
              <w:top w:w="0" w:type="dxa"/>
              <w:left w:w="70" w:type="dxa"/>
              <w:bottom w:w="0" w:type="dxa"/>
              <w:right w:w="70" w:type="dxa"/>
            </w:tcMar>
            <w:hideMark/>
          </w:tcPr>
          <w:p w:rsidR="00BE1EFE" w:rsidRPr="003361E9" w:rsidRDefault="00BE1EFE" w:rsidP="00DC525C">
            <w:pPr>
              <w:pStyle w:val="StandardWeb"/>
              <w:autoSpaceDE w:val="0"/>
              <w:spacing w:before="60"/>
              <w:jc w:val="center"/>
              <w:rPr>
                <w:szCs w:val="16"/>
              </w:rPr>
            </w:pPr>
            <w:r w:rsidRPr="003361E9">
              <w:rPr>
                <w:rStyle w:val="Fett"/>
                <w:rFonts w:cs="Arial"/>
                <w:bCs/>
                <w:szCs w:val="16"/>
              </w:rPr>
              <w:t xml:space="preserve">bei Inkrafttreten </w:t>
            </w:r>
          </w:p>
          <w:p w:rsidR="00BE1EFE" w:rsidRPr="003361E9" w:rsidRDefault="00BE1EFE" w:rsidP="00F73F91">
            <w:pPr>
              <w:pStyle w:val="StandardWeb"/>
              <w:autoSpaceDE w:val="0"/>
              <w:jc w:val="center"/>
              <w:rPr>
                <w:szCs w:val="16"/>
              </w:rPr>
            </w:pPr>
            <w:r w:rsidRPr="003361E9">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gridSpan w:val="2"/>
            <w:vMerge/>
            <w:tcBorders>
              <w:top w:val="nil"/>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9255BF" w:rsidP="0053602A">
            <w:pPr>
              <w:jc w:val="center"/>
              <w:rPr>
                <w:szCs w:val="16"/>
              </w:rPr>
            </w:pPr>
            <w:r>
              <w:rPr>
                <w:szCs w:val="16"/>
              </w:rPr>
              <w:t>11</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IV a</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III nach</w:t>
            </w:r>
          </w:p>
          <w:p w:rsidR="00BE1EFE" w:rsidRPr="003361E9" w:rsidRDefault="00BE1EFE" w:rsidP="0054275E">
            <w:pPr>
              <w:pStyle w:val="StandardWeb"/>
              <w:autoSpaceDE w:val="0"/>
              <w:jc w:val="center"/>
              <w:rPr>
                <w:szCs w:val="16"/>
              </w:rPr>
            </w:pPr>
            <w:r w:rsidRPr="003361E9">
              <w:rPr>
                <w:rStyle w:val="Fett"/>
                <w:rFonts w:cs="Arial"/>
                <w:b w:val="0"/>
                <w:bCs/>
                <w:szCs w:val="16"/>
              </w:rPr>
              <w:t>8,5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70 €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11</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rFonts w:cs="Arial"/>
                <w:szCs w:val="16"/>
              </w:rPr>
            </w:pPr>
            <w:r w:rsidRPr="003361E9">
              <w:rPr>
                <w:rFonts w:cs="Arial"/>
                <w:szCs w:val="16"/>
              </w:rPr>
              <w:t xml:space="preserve">nach </w:t>
            </w:r>
          </w:p>
          <w:p w:rsidR="00BE1EFE" w:rsidRPr="003361E9" w:rsidRDefault="00BE1EFE">
            <w:pPr>
              <w:pStyle w:val="StandardWeb"/>
              <w:jc w:val="center"/>
              <w:rPr>
                <w:szCs w:val="16"/>
              </w:rPr>
            </w:pPr>
            <w:r w:rsidRPr="003361E9">
              <w:rPr>
                <w:rFonts w:cs="Arial"/>
                <w:szCs w:val="16"/>
              </w:rPr>
              <w:t>4 Jahren 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374"/>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3602A">
            <w:pPr>
              <w:jc w:val="center"/>
              <w:rPr>
                <w:szCs w:val="16"/>
              </w:rPr>
            </w:pPr>
            <w:r w:rsidRPr="005E4D74">
              <w:rPr>
                <w:szCs w:val="16"/>
              </w:rPr>
              <w:t>11</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37</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70 €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312A15" w:rsidP="00312A15">
            <w:pPr>
              <w:pStyle w:val="StandardWeb"/>
              <w:jc w:val="center"/>
              <w:rPr>
                <w:rFonts w:cs="Arial"/>
                <w:szCs w:val="16"/>
              </w:rPr>
            </w:pPr>
            <w:r>
              <w:rPr>
                <w:rFonts w:cs="Arial"/>
                <w:szCs w:val="16"/>
              </w:rPr>
              <w:t xml:space="preserve">nach </w:t>
            </w:r>
            <w:r>
              <w:rPr>
                <w:rFonts w:cs="Arial"/>
                <w:szCs w:val="16"/>
              </w:rPr>
              <w:br/>
            </w:r>
            <w:r w:rsidR="00BE1EFE" w:rsidRPr="003361E9">
              <w:rPr>
                <w:rFonts w:cs="Arial"/>
                <w:szCs w:val="16"/>
              </w:rPr>
              <w:t>4</w:t>
            </w:r>
            <w:r>
              <w:rPr>
                <w:rFonts w:cs="Arial"/>
                <w:szCs w:val="16"/>
              </w:rPr>
              <w:t xml:space="preserve"> </w:t>
            </w:r>
            <w:r w:rsidR="00BE1EFE" w:rsidRPr="003361E9">
              <w:rPr>
                <w:rFonts w:cs="Arial"/>
                <w:szCs w:val="16"/>
              </w:rPr>
              <w:t>Jahren</w:t>
            </w:r>
          </w:p>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70 €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85 €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5E4D74" w:rsidRDefault="00BE1EFE" w:rsidP="0053602A">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70 €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54275E">
            <w:pPr>
              <w:pStyle w:val="StandardWeb"/>
              <w:autoSpaceDE w:val="0"/>
              <w:jc w:val="center"/>
              <w:rPr>
                <w:b/>
                <w:szCs w:val="16"/>
              </w:rPr>
            </w:pPr>
            <w:r w:rsidRPr="005E4D74">
              <w:rPr>
                <w:rStyle w:val="Fett"/>
                <w:rFonts w:cs="Arial"/>
                <w:b w:val="0"/>
                <w:bCs/>
                <w:szCs w:val="16"/>
              </w:rPr>
              <w:t>12</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b/>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b/>
                <w:szCs w:val="16"/>
              </w:rPr>
            </w:pPr>
            <w:r w:rsidRPr="003361E9">
              <w:rPr>
                <w:rStyle w:val="Fett"/>
                <w:rFonts w:cs="Arial"/>
                <w:b w:val="0"/>
                <w:bCs/>
                <w:szCs w:val="16"/>
              </w:rPr>
              <w:t>II a nach 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b/>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95 €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5 Jahre</w:t>
            </w:r>
          </w:p>
        </w:tc>
        <w:tc>
          <w:tcPr>
            <w:tcW w:w="55" w:type="dxa"/>
            <w:vAlign w:val="center"/>
            <w:hideMark/>
          </w:tcPr>
          <w:p w:rsidR="00BE1EFE" w:rsidRPr="003361E9" w:rsidRDefault="00BE1EFE">
            <w:pPr>
              <w:rPr>
                <w:szCs w:val="16"/>
              </w:rPr>
            </w:pPr>
            <w:r w:rsidRPr="003361E9">
              <w:rPr>
                <w:szCs w:val="16"/>
              </w:rPr>
              <w:t> </w:t>
            </w:r>
          </w:p>
        </w:tc>
      </w:tr>
      <w:tr w:rsidR="00312A15"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5E4D74">
              <w:rPr>
                <w:rStyle w:val="Fett"/>
                <w:rFonts w:cs="Arial"/>
                <w:b w:val="0"/>
                <w:bCs/>
                <w:szCs w:val="16"/>
              </w:rPr>
              <w:t>12</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II a nach</w:t>
            </w:r>
          </w:p>
          <w:p w:rsidR="00312A15" w:rsidRPr="00312A15" w:rsidRDefault="00312A15" w:rsidP="00312A15">
            <w:pPr>
              <w:pStyle w:val="StandardWeb"/>
              <w:autoSpaceDE w:val="0"/>
              <w:jc w:val="center"/>
              <w:rPr>
                <w:rFonts w:cs="Arial"/>
                <w:bCs/>
                <w:szCs w:val="16"/>
              </w:rPr>
            </w:pPr>
            <w:r w:rsidRPr="003361E9">
              <w:rPr>
                <w:rStyle w:val="Fett"/>
                <w:rFonts w:cs="Arial"/>
                <w:b w:val="0"/>
                <w:bCs/>
                <w:szCs w:val="16"/>
              </w:rPr>
              <w:t>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35</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95 €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für 4 Jahre</w:t>
            </w:r>
          </w:p>
        </w:tc>
        <w:tc>
          <w:tcPr>
            <w:tcW w:w="55" w:type="dxa"/>
            <w:vAlign w:val="center"/>
            <w:hideMark/>
          </w:tcPr>
          <w:p w:rsidR="00312A15" w:rsidRPr="003361E9" w:rsidRDefault="00312A15" w:rsidP="00312A15">
            <w:pPr>
              <w:rPr>
                <w:szCs w:val="16"/>
              </w:rPr>
            </w:pPr>
            <w:r w:rsidRPr="003361E9">
              <w:rPr>
                <w:szCs w:val="16"/>
              </w:rPr>
              <w:t> </w:t>
            </w:r>
          </w:p>
        </w:tc>
      </w:tr>
      <w:tr w:rsidR="00312A15"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rPr>
                <w:rFonts w:cs="Arial"/>
                <w:bCs/>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361E9" w:rsidRDefault="00312A15" w:rsidP="00312A15">
            <w:pPr>
              <w:pStyle w:val="StandardWeb"/>
              <w:autoSpaceDE w:val="0"/>
              <w:jc w:val="center"/>
              <w:rPr>
                <w:rFonts w:cs="Arial"/>
                <w:bCs/>
                <w:szCs w:val="16"/>
              </w:rPr>
            </w:pPr>
            <w:r w:rsidRPr="003361E9">
              <w:rPr>
                <w:rStyle w:val="Fett"/>
                <w:rFonts w:cs="Arial"/>
                <w:b w:val="0"/>
                <w:bCs/>
                <w:szCs w:val="16"/>
              </w:rPr>
              <w:t>II a nach</w:t>
            </w:r>
          </w:p>
          <w:p w:rsidR="00312A15" w:rsidRPr="00312A15" w:rsidRDefault="00312A15" w:rsidP="00312A15">
            <w:pPr>
              <w:pStyle w:val="StandardWeb"/>
              <w:autoSpaceDE w:val="0"/>
              <w:jc w:val="center"/>
              <w:rPr>
                <w:rFonts w:cs="Arial"/>
                <w:bCs/>
                <w:szCs w:val="16"/>
              </w:rPr>
            </w:pPr>
            <w:r w:rsidRPr="003361E9">
              <w:rPr>
                <w:rStyle w:val="Fett"/>
                <w:rFonts w:cs="Arial"/>
                <w:b w:val="0"/>
                <w:bCs/>
                <w:szCs w:val="16"/>
              </w:rPr>
              <w:t>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50 €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361E9" w:rsidRDefault="00312A15" w:rsidP="00312A15">
            <w:pPr>
              <w:pStyle w:val="StandardWeb"/>
              <w:jc w:val="center"/>
              <w:rPr>
                <w:rFonts w:cs="Arial"/>
                <w:szCs w:val="16"/>
              </w:rPr>
            </w:pPr>
            <w:r w:rsidRPr="003361E9">
              <w:rPr>
                <w:rFonts w:cs="Arial"/>
                <w:szCs w:val="16"/>
              </w:rPr>
              <w:t xml:space="preserve">nach </w:t>
            </w:r>
          </w:p>
          <w:p w:rsidR="00312A15" w:rsidRPr="003361E9" w:rsidRDefault="00312A15" w:rsidP="00312A15">
            <w:pPr>
              <w:pStyle w:val="StandardWeb"/>
              <w:jc w:val="center"/>
              <w:rPr>
                <w:rFonts w:cs="Arial"/>
                <w:szCs w:val="16"/>
              </w:rPr>
            </w:pPr>
            <w:r w:rsidRPr="003361E9">
              <w:rPr>
                <w:rFonts w:cs="Arial"/>
                <w:szCs w:val="16"/>
              </w:rPr>
              <w:t>4 Jahren</w:t>
            </w:r>
          </w:p>
          <w:p w:rsidR="00312A15" w:rsidRPr="00312A15" w:rsidRDefault="00312A15" w:rsidP="00312A15">
            <w:pPr>
              <w:pStyle w:val="StandardWeb"/>
              <w:jc w:val="center"/>
              <w:rPr>
                <w:rFonts w:cs="Arial"/>
                <w:szCs w:val="16"/>
              </w:rPr>
            </w:pPr>
            <w:r w:rsidRPr="003361E9">
              <w:rPr>
                <w:rFonts w:cs="Arial"/>
                <w:szCs w:val="16"/>
              </w:rPr>
              <w:t>dauerhaft</w:t>
            </w:r>
          </w:p>
        </w:tc>
        <w:tc>
          <w:tcPr>
            <w:tcW w:w="55" w:type="dxa"/>
            <w:vAlign w:val="center"/>
            <w:hideMark/>
          </w:tcPr>
          <w:p w:rsidR="00312A15" w:rsidRPr="003361E9" w:rsidRDefault="00312A15" w:rsidP="00312A15">
            <w:pPr>
              <w:rPr>
                <w:szCs w:val="16"/>
              </w:rPr>
            </w:pPr>
            <w:r w:rsidRPr="003361E9">
              <w:rPr>
                <w:szCs w:val="16"/>
              </w:rPr>
              <w:t> </w:t>
            </w:r>
          </w:p>
        </w:tc>
      </w:tr>
      <w:tr w:rsidR="00312A15"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rPr>
                <w:rFonts w:cs="Arial"/>
                <w:bCs/>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361E9" w:rsidRDefault="00312A15" w:rsidP="00312A15">
            <w:pPr>
              <w:pStyle w:val="StandardWeb"/>
              <w:autoSpaceDE w:val="0"/>
              <w:jc w:val="center"/>
              <w:rPr>
                <w:rFonts w:cs="Arial"/>
                <w:bCs/>
                <w:szCs w:val="16"/>
              </w:rPr>
            </w:pPr>
            <w:r w:rsidRPr="003361E9">
              <w:rPr>
                <w:rStyle w:val="Fett"/>
                <w:rFonts w:cs="Arial"/>
                <w:b w:val="0"/>
                <w:bCs/>
                <w:szCs w:val="16"/>
              </w:rPr>
              <w:t>II a nach</w:t>
            </w:r>
          </w:p>
          <w:p w:rsidR="00312A15" w:rsidRPr="00312A15" w:rsidRDefault="00312A15" w:rsidP="00312A15">
            <w:pPr>
              <w:pStyle w:val="StandardWeb"/>
              <w:autoSpaceDE w:val="0"/>
              <w:jc w:val="center"/>
              <w:rPr>
                <w:rFonts w:cs="Arial"/>
                <w:bCs/>
                <w:szCs w:val="16"/>
              </w:rPr>
            </w:pPr>
            <w:r w:rsidRPr="003361E9">
              <w:rPr>
                <w:rStyle w:val="Fett"/>
                <w:rFonts w:cs="Arial"/>
                <w:b w:val="0"/>
                <w:bCs/>
                <w:szCs w:val="16"/>
              </w:rPr>
              <w:t>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50 €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dauerhaft</w:t>
            </w:r>
          </w:p>
        </w:tc>
        <w:tc>
          <w:tcPr>
            <w:tcW w:w="55" w:type="dxa"/>
            <w:vAlign w:val="center"/>
            <w:hideMark/>
          </w:tcPr>
          <w:p w:rsidR="00312A15" w:rsidRPr="003361E9" w:rsidRDefault="00312A15" w:rsidP="00312A15">
            <w:pPr>
              <w:rPr>
                <w:szCs w:val="16"/>
              </w:rPr>
            </w:pPr>
            <w:r w:rsidRPr="003361E9">
              <w:rPr>
                <w:szCs w:val="16"/>
              </w:rPr>
              <w:t> </w:t>
            </w:r>
          </w:p>
        </w:tc>
      </w:tr>
      <w:tr w:rsidR="00312A15"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rPr>
                <w:rFonts w:cs="Arial"/>
                <w:bCs/>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361E9" w:rsidRDefault="00312A15" w:rsidP="00312A15">
            <w:pPr>
              <w:pStyle w:val="StandardWeb"/>
              <w:autoSpaceDE w:val="0"/>
              <w:jc w:val="center"/>
              <w:rPr>
                <w:rFonts w:cs="Arial"/>
                <w:bCs/>
                <w:szCs w:val="16"/>
              </w:rPr>
            </w:pPr>
            <w:r w:rsidRPr="003361E9">
              <w:rPr>
                <w:rStyle w:val="Fett"/>
                <w:rFonts w:cs="Arial"/>
                <w:b w:val="0"/>
                <w:bCs/>
                <w:szCs w:val="16"/>
              </w:rPr>
              <w:t>II a nach</w:t>
            </w:r>
          </w:p>
          <w:p w:rsidR="00312A15" w:rsidRPr="00312A15" w:rsidRDefault="00312A15" w:rsidP="00312A15">
            <w:pPr>
              <w:pStyle w:val="StandardWeb"/>
              <w:autoSpaceDE w:val="0"/>
              <w:jc w:val="center"/>
              <w:rPr>
                <w:rFonts w:cs="Arial"/>
                <w:bCs/>
                <w:szCs w:val="16"/>
              </w:rPr>
            </w:pPr>
            <w:r w:rsidRPr="003361E9">
              <w:rPr>
                <w:rStyle w:val="Fett"/>
                <w:rFonts w:cs="Arial"/>
                <w:b w:val="0"/>
                <w:bCs/>
                <w:szCs w:val="16"/>
              </w:rPr>
              <w:t>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50 €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dauerhaft</w:t>
            </w:r>
          </w:p>
        </w:tc>
        <w:tc>
          <w:tcPr>
            <w:tcW w:w="55" w:type="dxa"/>
            <w:vAlign w:val="center"/>
            <w:hideMark/>
          </w:tcPr>
          <w:p w:rsidR="00312A15" w:rsidRPr="003361E9" w:rsidRDefault="00312A15" w:rsidP="00312A15">
            <w:pPr>
              <w:rPr>
                <w:szCs w:val="16"/>
              </w:rPr>
            </w:pPr>
            <w:r w:rsidRPr="003361E9">
              <w:rPr>
                <w:szCs w:val="16"/>
              </w:rPr>
              <w:t> </w:t>
            </w:r>
          </w:p>
        </w:tc>
      </w:tr>
      <w:tr w:rsidR="00312A15"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455640">
            <w:pPr>
              <w:pStyle w:val="StandardWeb"/>
              <w:autoSpaceDE w:val="0"/>
              <w:jc w:val="center"/>
              <w:rPr>
                <w:rFonts w:cs="Arial"/>
                <w:bCs/>
                <w:szCs w:val="16"/>
              </w:rPr>
            </w:pPr>
            <w:r w:rsidRPr="00312A15">
              <w:rPr>
                <w:rFonts w:cs="Arial"/>
                <w:bCs/>
                <w:szCs w:val="16"/>
              </w:rPr>
              <w:t>12</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361E9" w:rsidRDefault="00312A15" w:rsidP="00312A15">
            <w:pPr>
              <w:pStyle w:val="StandardWeb"/>
              <w:autoSpaceDE w:val="0"/>
              <w:jc w:val="center"/>
              <w:rPr>
                <w:rFonts w:cs="Arial"/>
                <w:bCs/>
                <w:szCs w:val="16"/>
              </w:rPr>
            </w:pPr>
            <w:r w:rsidRPr="003361E9">
              <w:rPr>
                <w:rStyle w:val="Fett"/>
                <w:rFonts w:cs="Arial"/>
                <w:b w:val="0"/>
                <w:bCs/>
                <w:szCs w:val="16"/>
              </w:rPr>
              <w:t>II a nach</w:t>
            </w:r>
          </w:p>
          <w:p w:rsidR="00312A15" w:rsidRPr="00312A15" w:rsidRDefault="00455640" w:rsidP="00312A15">
            <w:pPr>
              <w:pStyle w:val="StandardWeb"/>
              <w:autoSpaceDE w:val="0"/>
              <w:jc w:val="center"/>
              <w:rPr>
                <w:rFonts w:cs="Arial"/>
                <w:bCs/>
                <w:szCs w:val="16"/>
              </w:rPr>
            </w:pPr>
            <w:r>
              <w:rPr>
                <w:rStyle w:val="Fett"/>
                <w:rFonts w:cs="Arial"/>
                <w:b w:val="0"/>
                <w:bCs/>
                <w:szCs w:val="16"/>
              </w:rPr>
              <w:t xml:space="preserve">11 </w:t>
            </w:r>
            <w:r w:rsidR="00312A15" w:rsidRPr="003361E9">
              <w:rPr>
                <w:rStyle w:val="Fett"/>
                <w:rFonts w:cs="Arial"/>
                <w:b w:val="0"/>
                <w:bCs/>
                <w:szCs w:val="16"/>
              </w:rPr>
              <w:t>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33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für 4 Jahre</w:t>
            </w:r>
          </w:p>
        </w:tc>
        <w:tc>
          <w:tcPr>
            <w:tcW w:w="55" w:type="dxa"/>
            <w:vAlign w:val="center"/>
            <w:hideMark/>
          </w:tcPr>
          <w:p w:rsidR="00312A15" w:rsidRPr="003361E9" w:rsidRDefault="00312A15" w:rsidP="00312A15">
            <w:pPr>
              <w:rPr>
                <w:szCs w:val="16"/>
              </w:rPr>
            </w:pPr>
            <w:r w:rsidRPr="003361E9">
              <w:rPr>
                <w:szCs w:val="16"/>
              </w:rPr>
              <w:t> </w:t>
            </w:r>
          </w:p>
        </w:tc>
      </w:tr>
      <w:tr w:rsidR="00312A15"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rPr>
                <w:rFonts w:cs="Arial"/>
                <w:bCs/>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361E9" w:rsidRDefault="00312A15" w:rsidP="00312A15">
            <w:pPr>
              <w:pStyle w:val="StandardWeb"/>
              <w:autoSpaceDE w:val="0"/>
              <w:jc w:val="center"/>
              <w:rPr>
                <w:rFonts w:cs="Arial"/>
                <w:bCs/>
                <w:szCs w:val="16"/>
              </w:rPr>
            </w:pPr>
            <w:r w:rsidRPr="003361E9">
              <w:rPr>
                <w:rStyle w:val="Fett"/>
                <w:rFonts w:cs="Arial"/>
                <w:b w:val="0"/>
                <w:bCs/>
                <w:szCs w:val="16"/>
              </w:rPr>
              <w:t>II a nach</w:t>
            </w:r>
          </w:p>
          <w:p w:rsidR="00312A15" w:rsidRPr="00312A15" w:rsidRDefault="00312A15" w:rsidP="00312A15">
            <w:pPr>
              <w:pStyle w:val="StandardWeb"/>
              <w:autoSpaceDE w:val="0"/>
              <w:jc w:val="center"/>
              <w:rPr>
                <w:rFonts w:cs="Arial"/>
                <w:bCs/>
                <w:szCs w:val="16"/>
              </w:rPr>
            </w:pPr>
            <w:r w:rsidRPr="003361E9">
              <w:rPr>
                <w:rStyle w:val="Fett"/>
                <w:rFonts w:cs="Arial"/>
                <w:b w:val="0"/>
                <w:bCs/>
                <w:szCs w:val="16"/>
              </w:rPr>
              <w:t>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37</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12A15" w:rsidRDefault="00312A15" w:rsidP="00312A15">
            <w:pPr>
              <w:pStyle w:val="StandardWeb"/>
              <w:jc w:val="center"/>
              <w:rPr>
                <w:rFonts w:cs="Arial"/>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312A15" w:rsidRPr="003361E9" w:rsidRDefault="00312A15" w:rsidP="00312A15">
            <w:pPr>
              <w:pStyle w:val="StandardWeb"/>
              <w:jc w:val="center"/>
              <w:rPr>
                <w:rFonts w:cs="Arial"/>
                <w:szCs w:val="16"/>
              </w:rPr>
            </w:pPr>
            <w:r w:rsidRPr="003361E9">
              <w:rPr>
                <w:rFonts w:cs="Arial"/>
                <w:szCs w:val="16"/>
              </w:rPr>
              <w:t xml:space="preserve">nach </w:t>
            </w:r>
          </w:p>
          <w:p w:rsidR="00312A15" w:rsidRPr="003361E9" w:rsidRDefault="00312A15" w:rsidP="00312A15">
            <w:pPr>
              <w:pStyle w:val="StandardWeb"/>
              <w:jc w:val="center"/>
              <w:rPr>
                <w:rFonts w:cs="Arial"/>
                <w:szCs w:val="16"/>
              </w:rPr>
            </w:pPr>
            <w:r w:rsidRPr="003361E9">
              <w:rPr>
                <w:rFonts w:cs="Arial"/>
                <w:szCs w:val="16"/>
              </w:rPr>
              <w:t>4 Jahren</w:t>
            </w:r>
          </w:p>
          <w:p w:rsidR="00312A15" w:rsidRPr="00312A15" w:rsidRDefault="00312A15" w:rsidP="00312A15">
            <w:pPr>
              <w:pStyle w:val="StandardWeb"/>
              <w:jc w:val="center"/>
              <w:rPr>
                <w:rFonts w:cs="Arial"/>
                <w:szCs w:val="16"/>
              </w:rPr>
            </w:pPr>
            <w:r w:rsidRPr="003361E9">
              <w:rPr>
                <w:rFonts w:cs="Arial"/>
                <w:szCs w:val="16"/>
              </w:rPr>
              <w:t>dauerhaft</w:t>
            </w:r>
          </w:p>
        </w:tc>
        <w:tc>
          <w:tcPr>
            <w:tcW w:w="55" w:type="dxa"/>
            <w:vAlign w:val="center"/>
            <w:hideMark/>
          </w:tcPr>
          <w:p w:rsidR="00312A15" w:rsidRPr="003361E9" w:rsidRDefault="00312A15" w:rsidP="00312A15">
            <w:pPr>
              <w:rPr>
                <w:szCs w:val="16"/>
              </w:rPr>
            </w:pPr>
            <w:r w:rsidRPr="003361E9">
              <w:rPr>
                <w:szCs w:val="16"/>
              </w:rPr>
              <w:t> </w:t>
            </w:r>
          </w:p>
        </w:tc>
      </w:tr>
      <w:tr w:rsidR="00455640" w:rsidRPr="003361E9" w:rsidTr="00455640">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455640">
            <w:pPr>
              <w:pStyle w:val="StandardWeb"/>
              <w:autoSpaceDE w:val="0"/>
              <w:rPr>
                <w:rFonts w:cs="Arial"/>
                <w:bCs/>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autoSpaceDE w:val="0"/>
              <w:jc w:val="center"/>
              <w:rPr>
                <w:rFonts w:cs="Arial"/>
                <w:bCs/>
                <w:szCs w:val="16"/>
              </w:rPr>
            </w:pPr>
            <w:r w:rsidRPr="003361E9">
              <w:rPr>
                <w:rStyle w:val="Fett"/>
                <w:rFonts w:cs="Arial"/>
                <w:b w:val="0"/>
                <w:bCs/>
                <w:szCs w:val="16"/>
              </w:rPr>
              <w:t>II a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455640">
            <w:pPr>
              <w:pStyle w:val="StandardWeb"/>
              <w:autoSpaceDE w:val="0"/>
              <w:rPr>
                <w:rFonts w:cs="Arial"/>
                <w:bCs/>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III</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autoSpaceDE w:val="0"/>
              <w:jc w:val="center"/>
              <w:rPr>
                <w:rFonts w:cs="Arial"/>
                <w:bCs/>
                <w:szCs w:val="16"/>
              </w:rPr>
            </w:pPr>
            <w:r w:rsidRPr="003361E9">
              <w:rPr>
                <w:rStyle w:val="Fett"/>
                <w:rFonts w:cs="Arial"/>
                <w:b w:val="0"/>
                <w:bCs/>
                <w:szCs w:val="16"/>
              </w:rPr>
              <w:t>II a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bl>
    <w:p w:rsidR="00455640" w:rsidRDefault="00455640">
      <w:pPr>
        <w:pStyle w:val="StandardWeb"/>
      </w:pPr>
      <w:r>
        <w:br w:type="page"/>
      </w:r>
    </w:p>
    <w:p w:rsidR="00312A15" w:rsidRDefault="00312A15">
      <w:pPr>
        <w:pStyle w:val="StandardWeb"/>
      </w:pPr>
    </w:p>
    <w:tbl>
      <w:tblPr>
        <w:tblW w:w="6747" w:type="dxa"/>
        <w:jc w:val="center"/>
        <w:tblCellMar>
          <w:left w:w="0" w:type="dxa"/>
          <w:right w:w="0" w:type="dxa"/>
        </w:tblCellMar>
        <w:tblLook w:val="04A0" w:firstRow="1" w:lastRow="0" w:firstColumn="1" w:lastColumn="0" w:noHBand="0" w:noVBand="1"/>
      </w:tblPr>
      <w:tblGrid>
        <w:gridCol w:w="738"/>
        <w:gridCol w:w="1149"/>
        <w:gridCol w:w="834"/>
        <w:gridCol w:w="950"/>
        <w:gridCol w:w="998"/>
        <w:gridCol w:w="891"/>
        <w:gridCol w:w="1132"/>
        <w:gridCol w:w="55"/>
      </w:tblGrid>
      <w:tr w:rsidR="00BE1EFE" w:rsidRPr="003361E9" w:rsidTr="00312A15">
        <w:trPr>
          <w:trHeight w:val="227"/>
          <w:jc w:val="center"/>
        </w:trPr>
        <w:tc>
          <w:tcPr>
            <w:tcW w:w="738"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27" w:lineRule="atLeast"/>
              <w:jc w:val="center"/>
              <w:rPr>
                <w:szCs w:val="16"/>
              </w:rPr>
            </w:pPr>
            <w:r w:rsidRPr="003361E9">
              <w:rPr>
                <w:rStyle w:val="Fett"/>
                <w:rFonts w:cs="Arial"/>
                <w:bCs/>
                <w:szCs w:val="16"/>
              </w:rPr>
              <w:t>Entgelt-gruppe</w:t>
            </w:r>
          </w:p>
        </w:tc>
        <w:tc>
          <w:tcPr>
            <w:tcW w:w="114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27" w:lineRule="atLeast"/>
              <w:jc w:val="center"/>
              <w:rPr>
                <w:rFonts w:cs="Arial"/>
                <w:b/>
                <w:bCs/>
                <w:szCs w:val="16"/>
              </w:rPr>
            </w:pPr>
            <w:r w:rsidRPr="003361E9">
              <w:rPr>
                <w:rStyle w:val="Fett"/>
                <w:rFonts w:cs="Arial"/>
                <w:bCs/>
                <w:szCs w:val="16"/>
              </w:rPr>
              <w:t xml:space="preserve">Vergütungs-gruppe bei Inkrafttreten </w:t>
            </w:r>
          </w:p>
          <w:p w:rsidR="00BE1EFE" w:rsidRPr="003361E9" w:rsidRDefault="00BE1EFE" w:rsidP="0054275E">
            <w:pPr>
              <w:pStyle w:val="StandardWeb"/>
              <w:autoSpaceDE w:val="0"/>
              <w:spacing w:line="227" w:lineRule="atLeast"/>
              <w:jc w:val="center"/>
              <w:rPr>
                <w:szCs w:val="16"/>
              </w:rPr>
            </w:pPr>
            <w:r w:rsidRPr="003361E9">
              <w:rPr>
                <w:rStyle w:val="Fett"/>
                <w:rFonts w:cs="Arial"/>
                <w:bCs/>
                <w:szCs w:val="16"/>
              </w:rPr>
              <w:t xml:space="preserve"> Teil A, 3.</w:t>
            </w:r>
          </w:p>
        </w:tc>
        <w:tc>
          <w:tcPr>
            <w:tcW w:w="8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27" w:lineRule="atLeast"/>
              <w:jc w:val="center"/>
              <w:rPr>
                <w:szCs w:val="16"/>
              </w:rPr>
            </w:pPr>
            <w:r w:rsidRPr="003361E9">
              <w:rPr>
                <w:rStyle w:val="Fett"/>
                <w:rFonts w:cs="Arial"/>
                <w:bCs/>
                <w:szCs w:val="16"/>
              </w:rPr>
              <w:t>Aufstieg</w:t>
            </w:r>
          </w:p>
        </w:tc>
        <w:tc>
          <w:tcPr>
            <w:tcW w:w="95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27" w:lineRule="atLeast"/>
              <w:jc w:val="center"/>
              <w:rPr>
                <w:szCs w:val="16"/>
              </w:rPr>
            </w:pPr>
            <w:r w:rsidRPr="003361E9">
              <w:rPr>
                <w:rStyle w:val="Fett"/>
                <w:rFonts w:cs="Arial"/>
                <w:bCs/>
                <w:szCs w:val="16"/>
              </w:rPr>
              <w:t>Orts- Zuschlag Stufe 1, 2</w:t>
            </w:r>
          </w:p>
        </w:tc>
        <w:tc>
          <w:tcPr>
            <w:tcW w:w="998"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27" w:lineRule="atLeast"/>
              <w:jc w:val="center"/>
              <w:rPr>
                <w:rFonts w:cs="Arial"/>
                <w:b/>
                <w:bCs/>
                <w:szCs w:val="16"/>
              </w:rPr>
            </w:pPr>
            <w:r w:rsidRPr="003361E9">
              <w:rPr>
                <w:rStyle w:val="Fett"/>
                <w:rFonts w:cs="Arial"/>
                <w:bCs/>
                <w:szCs w:val="16"/>
              </w:rPr>
              <w:t>Lebens-</w:t>
            </w:r>
          </w:p>
          <w:p w:rsidR="00BE1EFE" w:rsidRPr="003361E9" w:rsidRDefault="00BE1EFE" w:rsidP="0054275E">
            <w:pPr>
              <w:pStyle w:val="StandardWeb"/>
              <w:autoSpaceDE w:val="0"/>
              <w:spacing w:line="227" w:lineRule="atLeast"/>
              <w:jc w:val="center"/>
              <w:rPr>
                <w:szCs w:val="16"/>
              </w:rPr>
            </w:pPr>
            <w:r w:rsidRPr="003361E9">
              <w:rPr>
                <w:rStyle w:val="Fett"/>
                <w:rFonts w:cs="Arial"/>
                <w:bCs/>
                <w:szCs w:val="16"/>
              </w:rPr>
              <w:t>altersstufe</w:t>
            </w:r>
          </w:p>
        </w:tc>
        <w:tc>
          <w:tcPr>
            <w:tcW w:w="89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27" w:lineRule="atLeast"/>
              <w:jc w:val="center"/>
              <w:rPr>
                <w:szCs w:val="16"/>
              </w:rPr>
            </w:pPr>
            <w:r w:rsidRPr="003361E9">
              <w:rPr>
                <w:rStyle w:val="Fett"/>
                <w:rFonts w:cs="Arial"/>
                <w:bCs/>
                <w:szCs w:val="16"/>
              </w:rPr>
              <w:t>Höhe Aus-gleichs-betrag</w:t>
            </w:r>
          </w:p>
        </w:tc>
        <w:tc>
          <w:tcPr>
            <w:tcW w:w="113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227" w:lineRule="atLeast"/>
              <w:jc w:val="center"/>
              <w:rPr>
                <w:szCs w:val="16"/>
              </w:rPr>
            </w:pPr>
            <w:r w:rsidRPr="003361E9">
              <w:rPr>
                <w:rStyle w:val="Fett"/>
                <w:rFonts w:cs="Arial"/>
                <w:bCs/>
                <w:szCs w:val="16"/>
              </w:rPr>
              <w:t>Dauer</w:t>
            </w:r>
          </w:p>
        </w:tc>
        <w:tc>
          <w:tcPr>
            <w:tcW w:w="55" w:type="dxa"/>
            <w:vAlign w:val="center"/>
            <w:hideMark/>
          </w:tcPr>
          <w:p w:rsidR="00BE1EFE" w:rsidRPr="003361E9" w:rsidRDefault="00BE1EFE">
            <w:pPr>
              <w:spacing w:line="227" w:lineRule="atLeast"/>
              <w:rPr>
                <w:szCs w:val="16"/>
              </w:rPr>
            </w:pPr>
            <w:r w:rsidRPr="003361E9">
              <w:rPr>
                <w:szCs w:val="16"/>
              </w:rPr>
              <w:t> </w:t>
            </w:r>
          </w:p>
        </w:tc>
      </w:tr>
      <w:tr w:rsidR="00BE1EFE" w:rsidRPr="003361E9" w:rsidTr="00312A15">
        <w:trPr>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948" w:type="dxa"/>
            <w:gridSpan w:val="2"/>
            <w:vMerge w:val="restart"/>
            <w:tcBorders>
              <w:top w:val="nil"/>
              <w:left w:val="nil"/>
              <w:bottom w:val="single" w:sz="8" w:space="0" w:color="auto"/>
              <w:right w:val="single" w:sz="8" w:space="0" w:color="auto"/>
            </w:tcBorders>
            <w:tcMar>
              <w:top w:w="0" w:type="dxa"/>
              <w:left w:w="70" w:type="dxa"/>
              <w:bottom w:w="0" w:type="dxa"/>
              <w:right w:w="70" w:type="dxa"/>
            </w:tcMar>
            <w:hideMark/>
          </w:tcPr>
          <w:p w:rsidR="00BE1EFE" w:rsidRPr="003361E9" w:rsidRDefault="00BE1EFE" w:rsidP="00DC525C">
            <w:pPr>
              <w:pStyle w:val="StandardWeb"/>
              <w:autoSpaceDE w:val="0"/>
              <w:spacing w:before="60"/>
              <w:jc w:val="center"/>
              <w:rPr>
                <w:szCs w:val="16"/>
              </w:rPr>
            </w:pPr>
            <w:r w:rsidRPr="003361E9">
              <w:rPr>
                <w:rStyle w:val="Fett"/>
                <w:rFonts w:cs="Arial"/>
                <w:bCs/>
                <w:szCs w:val="16"/>
              </w:rPr>
              <w:t xml:space="preserve">bei Inkrafttreten </w:t>
            </w:r>
          </w:p>
          <w:p w:rsidR="00BE1EFE" w:rsidRPr="003361E9" w:rsidRDefault="00BE1EFE" w:rsidP="00F73F91">
            <w:pPr>
              <w:pStyle w:val="StandardWeb"/>
              <w:autoSpaceDE w:val="0"/>
              <w:jc w:val="center"/>
              <w:rPr>
                <w:szCs w:val="16"/>
              </w:rPr>
            </w:pPr>
            <w:r w:rsidRPr="003361E9">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gridSpan w:val="2"/>
            <w:vMerge/>
            <w:tcBorders>
              <w:top w:val="nil"/>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56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9255BF" w:rsidP="00C6647F">
            <w:pPr>
              <w:jc w:val="center"/>
              <w:rPr>
                <w:szCs w:val="16"/>
              </w:rPr>
            </w:pPr>
            <w:r>
              <w:rPr>
                <w:szCs w:val="16"/>
              </w:rPr>
              <w:t>12</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nil"/>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II a nach</w:t>
            </w:r>
          </w:p>
          <w:p w:rsidR="00BE1EFE" w:rsidRPr="003361E9" w:rsidRDefault="00BE1EFE" w:rsidP="0054275E">
            <w:pPr>
              <w:pStyle w:val="StandardWeb"/>
              <w:autoSpaceDE w:val="0"/>
              <w:jc w:val="center"/>
              <w:rPr>
                <w:szCs w:val="16"/>
              </w:rPr>
            </w:pPr>
            <w:r w:rsidRPr="003361E9">
              <w:rPr>
                <w:rStyle w:val="Fett"/>
                <w:rFonts w:cs="Arial"/>
                <w:b w:val="0"/>
                <w:bCs/>
                <w:szCs w:val="16"/>
              </w:rPr>
              <w:t>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85 €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39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C6647F">
            <w:pPr>
              <w:jc w:val="center"/>
              <w:rPr>
                <w:szCs w:val="16"/>
              </w:rPr>
            </w:pPr>
            <w:r w:rsidRPr="005E4D74">
              <w:rPr>
                <w:szCs w:val="16"/>
              </w:rPr>
              <w:t>12</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II a nach</w:t>
            </w:r>
          </w:p>
          <w:p w:rsidR="00BE1EFE" w:rsidRPr="003361E9" w:rsidRDefault="00BE1EFE" w:rsidP="0054275E">
            <w:pPr>
              <w:pStyle w:val="StandardWeb"/>
              <w:autoSpaceDE w:val="0"/>
              <w:jc w:val="center"/>
              <w:rPr>
                <w:szCs w:val="16"/>
              </w:rPr>
            </w:pPr>
            <w:r w:rsidRPr="003361E9">
              <w:rPr>
                <w:rStyle w:val="Fett"/>
                <w:rFonts w:cs="Arial"/>
                <w:b w:val="0"/>
                <w:bCs/>
                <w:szCs w:val="16"/>
              </w:rPr>
              <w:t>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29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3 Jahre</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39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C6647F">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nil"/>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II a nach</w:t>
            </w:r>
          </w:p>
          <w:p w:rsidR="00BE1EFE" w:rsidRPr="003361E9" w:rsidRDefault="00BE1EFE" w:rsidP="0054275E">
            <w:pPr>
              <w:pStyle w:val="StandardWeb"/>
              <w:autoSpaceDE w:val="0"/>
              <w:jc w:val="center"/>
              <w:rPr>
                <w:szCs w:val="16"/>
              </w:rPr>
            </w:pPr>
            <w:r w:rsidRPr="003361E9">
              <w:rPr>
                <w:rStyle w:val="Fett"/>
                <w:rFonts w:cs="Arial"/>
                <w:b w:val="0"/>
                <w:bCs/>
                <w:szCs w:val="16"/>
              </w:rPr>
              <w:t> 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35</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95 €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4 Jahre</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498"/>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C6647F">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II a nach</w:t>
            </w:r>
          </w:p>
          <w:p w:rsidR="00BE1EFE" w:rsidRPr="003361E9" w:rsidRDefault="00BE1EFE" w:rsidP="0054275E">
            <w:pPr>
              <w:pStyle w:val="StandardWeb"/>
              <w:autoSpaceDE w:val="0"/>
              <w:jc w:val="center"/>
              <w:rPr>
                <w:szCs w:val="16"/>
              </w:rPr>
            </w:pPr>
            <w:r w:rsidRPr="003361E9">
              <w:rPr>
                <w:rStyle w:val="Fett"/>
                <w:rFonts w:cs="Arial"/>
                <w:b w:val="0"/>
                <w:bCs/>
                <w:szCs w:val="16"/>
              </w:rPr>
              <w:t>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50 €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rFonts w:cs="Arial"/>
                <w:szCs w:val="16"/>
              </w:rPr>
            </w:pPr>
            <w:r w:rsidRPr="003361E9">
              <w:rPr>
                <w:rFonts w:cs="Arial"/>
                <w:szCs w:val="16"/>
              </w:rPr>
              <w:t xml:space="preserve">nach </w:t>
            </w:r>
          </w:p>
          <w:p w:rsidR="00BE1EFE" w:rsidRPr="003361E9" w:rsidRDefault="00BE1EFE">
            <w:pPr>
              <w:pStyle w:val="StandardWeb"/>
              <w:jc w:val="center"/>
              <w:rPr>
                <w:rFonts w:cs="Arial"/>
                <w:szCs w:val="16"/>
              </w:rPr>
            </w:pPr>
            <w:r w:rsidRPr="003361E9">
              <w:rPr>
                <w:rFonts w:cs="Arial"/>
                <w:szCs w:val="16"/>
              </w:rPr>
              <w:t>4 Jahren</w:t>
            </w:r>
          </w:p>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39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C6647F">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nil"/>
              <w:left w:val="nil"/>
              <w:bottom w:val="nil"/>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II a nach</w:t>
            </w:r>
          </w:p>
          <w:p w:rsidR="00BE1EFE" w:rsidRPr="003361E9" w:rsidRDefault="00BE1EFE" w:rsidP="0054275E">
            <w:pPr>
              <w:pStyle w:val="StandardWeb"/>
              <w:autoSpaceDE w:val="0"/>
              <w:jc w:val="center"/>
              <w:rPr>
                <w:szCs w:val="16"/>
              </w:rPr>
            </w:pPr>
            <w:r w:rsidRPr="003361E9">
              <w:rPr>
                <w:rStyle w:val="Fett"/>
                <w:rFonts w:cs="Arial"/>
                <w:b w:val="0"/>
                <w:bCs/>
                <w:szCs w:val="16"/>
              </w:rPr>
              <w:t> 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50 €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312A15">
        <w:trPr>
          <w:trHeight w:val="416"/>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C6647F">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III</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II a nach</w:t>
            </w:r>
          </w:p>
          <w:p w:rsidR="00BE1EFE" w:rsidRPr="003361E9" w:rsidRDefault="00BE1EFE" w:rsidP="0054275E">
            <w:pPr>
              <w:pStyle w:val="StandardWeb"/>
              <w:autoSpaceDE w:val="0"/>
              <w:jc w:val="center"/>
              <w:rPr>
                <w:szCs w:val="16"/>
              </w:rPr>
            </w:pPr>
            <w:r w:rsidRPr="003361E9">
              <w:rPr>
                <w:rStyle w:val="Fett"/>
                <w:rFonts w:cs="Arial"/>
                <w:b w:val="0"/>
                <w:bCs/>
                <w:szCs w:val="16"/>
              </w:rPr>
              <w:t>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50 €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455640" w:rsidRPr="003361E9" w:rsidTr="00455640">
        <w:trPr>
          <w:trHeight w:val="416"/>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455640">
            <w:pPr>
              <w:jc w:val="center"/>
              <w:rPr>
                <w:szCs w:val="16"/>
              </w:rPr>
            </w:pPr>
            <w:r w:rsidRPr="00455640">
              <w:rPr>
                <w:rStyle w:val="Fett"/>
                <w:b w:val="0"/>
                <w:szCs w:val="16"/>
              </w:rPr>
              <w:t>12</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III</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 a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33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für 4 Jahre</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416"/>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5E4D74" w:rsidRDefault="00455640" w:rsidP="00D338BB">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III</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autoSpaceDE w:val="0"/>
              <w:jc w:val="center"/>
              <w:rPr>
                <w:rFonts w:cs="Arial"/>
                <w:bCs/>
                <w:szCs w:val="16"/>
              </w:rPr>
            </w:pPr>
            <w:r w:rsidRPr="003361E9">
              <w:rPr>
                <w:rStyle w:val="Fett"/>
                <w:rFonts w:cs="Arial"/>
                <w:b w:val="0"/>
                <w:bCs/>
                <w:szCs w:val="16"/>
              </w:rPr>
              <w:t>II a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37</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jc w:val="center"/>
              <w:rPr>
                <w:rFonts w:cs="Arial"/>
                <w:szCs w:val="16"/>
              </w:rPr>
            </w:pPr>
            <w:r w:rsidRPr="003361E9">
              <w:rPr>
                <w:rFonts w:cs="Arial"/>
                <w:szCs w:val="16"/>
              </w:rPr>
              <w:t xml:space="preserve">nach </w:t>
            </w:r>
          </w:p>
          <w:p w:rsidR="00455640" w:rsidRPr="003361E9" w:rsidRDefault="00455640" w:rsidP="00D338BB">
            <w:pPr>
              <w:pStyle w:val="StandardWeb"/>
              <w:jc w:val="center"/>
              <w:rPr>
                <w:rFonts w:cs="Arial"/>
                <w:szCs w:val="16"/>
              </w:rPr>
            </w:pPr>
            <w:r w:rsidRPr="003361E9">
              <w:rPr>
                <w:rFonts w:cs="Arial"/>
                <w:szCs w:val="16"/>
              </w:rPr>
              <w:t>4 Jahren</w:t>
            </w:r>
          </w:p>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416"/>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5E4D74" w:rsidRDefault="00455640" w:rsidP="00D338BB">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III</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autoSpaceDE w:val="0"/>
              <w:jc w:val="center"/>
              <w:rPr>
                <w:rFonts w:cs="Arial"/>
                <w:bCs/>
                <w:szCs w:val="16"/>
              </w:rPr>
            </w:pPr>
            <w:r w:rsidRPr="003361E9">
              <w:rPr>
                <w:rStyle w:val="Fett"/>
                <w:rFonts w:cs="Arial"/>
                <w:b w:val="0"/>
                <w:bCs/>
                <w:szCs w:val="16"/>
              </w:rPr>
              <w:t>II a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416"/>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5E4D74" w:rsidRDefault="00455640" w:rsidP="00D338BB">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III</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autoSpaceDE w:val="0"/>
              <w:jc w:val="center"/>
              <w:rPr>
                <w:rFonts w:cs="Arial"/>
                <w:bCs/>
                <w:szCs w:val="16"/>
              </w:rPr>
            </w:pPr>
            <w:r w:rsidRPr="003361E9">
              <w:rPr>
                <w:rStyle w:val="Fett"/>
                <w:rFonts w:cs="Arial"/>
                <w:b w:val="0"/>
                <w:bCs/>
                <w:szCs w:val="16"/>
              </w:rPr>
              <w:t>II a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416"/>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5E4D74" w:rsidRDefault="00455640" w:rsidP="00D338BB">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III</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autoSpaceDE w:val="0"/>
              <w:jc w:val="center"/>
              <w:rPr>
                <w:rFonts w:cs="Arial"/>
                <w:bCs/>
                <w:szCs w:val="16"/>
              </w:rPr>
            </w:pPr>
            <w:r w:rsidRPr="003361E9">
              <w:rPr>
                <w:rStyle w:val="Fett"/>
                <w:rFonts w:cs="Arial"/>
                <w:b w:val="0"/>
                <w:bCs/>
                <w:szCs w:val="16"/>
              </w:rPr>
              <w:t>II a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6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85 €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416"/>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455640">
            <w:pPr>
              <w:jc w:val="center"/>
              <w:rPr>
                <w:szCs w:val="16"/>
              </w:rPr>
            </w:pPr>
            <w:r w:rsidRPr="00455640">
              <w:rPr>
                <w:rStyle w:val="Fett"/>
                <w:b w:val="0"/>
                <w:szCs w:val="16"/>
              </w:rPr>
              <w:t>13</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 a</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60 €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jc w:val="center"/>
              <w:rPr>
                <w:rFonts w:cs="Arial"/>
                <w:szCs w:val="16"/>
              </w:rPr>
            </w:pPr>
            <w:r w:rsidRPr="003361E9">
              <w:rPr>
                <w:rFonts w:cs="Arial"/>
                <w:szCs w:val="16"/>
              </w:rPr>
              <w:t xml:space="preserve">nach </w:t>
            </w:r>
          </w:p>
          <w:p w:rsidR="00455640" w:rsidRPr="003361E9" w:rsidRDefault="00455640" w:rsidP="00D338BB">
            <w:pPr>
              <w:pStyle w:val="StandardWeb"/>
              <w:jc w:val="center"/>
              <w:rPr>
                <w:rFonts w:cs="Arial"/>
                <w:szCs w:val="16"/>
              </w:rPr>
            </w:pPr>
            <w:r w:rsidRPr="003361E9">
              <w:rPr>
                <w:rFonts w:cs="Arial"/>
                <w:szCs w:val="16"/>
              </w:rPr>
              <w:t>4 Jahren</w:t>
            </w:r>
          </w:p>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5E4D74" w:rsidRDefault="00455640" w:rsidP="00D338BB">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 a</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60 €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5E4D74" w:rsidRDefault="00455640" w:rsidP="00D338BB">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 a</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60 €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455640">
            <w:pPr>
              <w:jc w:val="center"/>
              <w:rPr>
                <w:szCs w:val="16"/>
              </w:rPr>
            </w:pPr>
            <w:r w:rsidRPr="00455640">
              <w:rPr>
                <w:rStyle w:val="Fett"/>
                <w:b w:val="0"/>
                <w:szCs w:val="16"/>
              </w:rPr>
              <w:t>14</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 a</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 b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80 €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5E4D74" w:rsidRDefault="00455640" w:rsidP="00D338BB">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 a</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autoSpaceDE w:val="0"/>
              <w:jc w:val="center"/>
              <w:rPr>
                <w:rFonts w:cs="Arial"/>
                <w:bCs/>
                <w:szCs w:val="16"/>
              </w:rPr>
            </w:pPr>
            <w:r w:rsidRPr="003361E9">
              <w:rPr>
                <w:rStyle w:val="Fett"/>
                <w:rFonts w:cs="Arial"/>
                <w:b w:val="0"/>
                <w:bCs/>
                <w:szCs w:val="16"/>
              </w:rPr>
              <w:t>I b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80 €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r w:rsidR="00455640" w:rsidRPr="003361E9" w:rsidTr="00455640">
        <w:trPr>
          <w:trHeight w:val="227"/>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455640" w:rsidRPr="005E4D74" w:rsidRDefault="00455640" w:rsidP="00D338BB">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II a</w:t>
            </w:r>
          </w:p>
        </w:tc>
        <w:tc>
          <w:tcPr>
            <w:tcW w:w="8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455640" w:rsidRPr="003361E9" w:rsidRDefault="00455640" w:rsidP="00D338BB">
            <w:pPr>
              <w:pStyle w:val="StandardWeb"/>
              <w:autoSpaceDE w:val="0"/>
              <w:jc w:val="center"/>
              <w:rPr>
                <w:rFonts w:cs="Arial"/>
                <w:bCs/>
                <w:szCs w:val="16"/>
              </w:rPr>
            </w:pPr>
            <w:r w:rsidRPr="003361E9">
              <w:rPr>
                <w:rStyle w:val="Fett"/>
                <w:rFonts w:cs="Arial"/>
                <w:b w:val="0"/>
                <w:bCs/>
                <w:szCs w:val="16"/>
              </w:rPr>
              <w:t>I b nach</w:t>
            </w:r>
          </w:p>
          <w:p w:rsidR="00455640" w:rsidRPr="00455640" w:rsidRDefault="00455640" w:rsidP="00D338BB">
            <w:pPr>
              <w:pStyle w:val="StandardWeb"/>
              <w:autoSpaceDE w:val="0"/>
              <w:jc w:val="center"/>
              <w:rPr>
                <w:rFonts w:cs="Arial"/>
                <w:bCs/>
                <w:szCs w:val="16"/>
              </w:rPr>
            </w:pPr>
            <w:r w:rsidRPr="003361E9">
              <w:rPr>
                <w:rStyle w:val="Fett"/>
                <w:rFonts w:cs="Arial"/>
                <w:b w:val="0"/>
                <w:bCs/>
                <w:szCs w:val="16"/>
              </w:rPr>
              <w:t>15 u. 17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autoSpaceDE w:val="0"/>
              <w:jc w:val="center"/>
              <w:rPr>
                <w:rFonts w:cs="Arial"/>
                <w:bCs/>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80 €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455640" w:rsidRPr="00455640" w:rsidRDefault="00455640" w:rsidP="00D338BB">
            <w:pPr>
              <w:pStyle w:val="StandardWeb"/>
              <w:jc w:val="center"/>
              <w:rPr>
                <w:rFonts w:cs="Arial"/>
                <w:szCs w:val="16"/>
              </w:rPr>
            </w:pPr>
            <w:r w:rsidRPr="003361E9">
              <w:rPr>
                <w:rFonts w:cs="Arial"/>
                <w:szCs w:val="16"/>
              </w:rPr>
              <w:t>dauerhaft</w:t>
            </w:r>
          </w:p>
        </w:tc>
        <w:tc>
          <w:tcPr>
            <w:tcW w:w="55" w:type="dxa"/>
            <w:vAlign w:val="center"/>
            <w:hideMark/>
          </w:tcPr>
          <w:p w:rsidR="00455640" w:rsidRPr="003361E9" w:rsidRDefault="00455640" w:rsidP="00D338BB">
            <w:pPr>
              <w:rPr>
                <w:szCs w:val="16"/>
              </w:rPr>
            </w:pPr>
            <w:r w:rsidRPr="003361E9">
              <w:rPr>
                <w:szCs w:val="16"/>
              </w:rPr>
              <w:t> </w:t>
            </w:r>
          </w:p>
        </w:tc>
      </w:tr>
    </w:tbl>
    <w:p w:rsidR="00455640" w:rsidRDefault="00455640">
      <w:pPr>
        <w:pStyle w:val="StandardWeb"/>
      </w:pPr>
      <w:r>
        <w:br w:type="page"/>
      </w:r>
    </w:p>
    <w:p w:rsidR="00BE1EFE" w:rsidRDefault="00BE1EFE">
      <w:pPr>
        <w:pStyle w:val="StandardWeb"/>
      </w:pPr>
    </w:p>
    <w:p w:rsidR="00BE1EFE" w:rsidRPr="00FB7184" w:rsidRDefault="00BE1EFE">
      <w:pPr>
        <w:pStyle w:val="StandardWeb"/>
        <w:rPr>
          <w:sz w:val="4"/>
          <w:szCs w:val="4"/>
        </w:rPr>
      </w:pPr>
    </w:p>
    <w:tbl>
      <w:tblPr>
        <w:tblW w:w="6747" w:type="dxa"/>
        <w:jc w:val="center"/>
        <w:tblCellMar>
          <w:left w:w="0" w:type="dxa"/>
          <w:right w:w="0" w:type="dxa"/>
        </w:tblCellMar>
        <w:tblLook w:val="04A0" w:firstRow="1" w:lastRow="0" w:firstColumn="1" w:lastColumn="0" w:noHBand="0" w:noVBand="1"/>
      </w:tblPr>
      <w:tblGrid>
        <w:gridCol w:w="737"/>
        <w:gridCol w:w="1150"/>
        <w:gridCol w:w="823"/>
        <w:gridCol w:w="929"/>
        <w:gridCol w:w="988"/>
        <w:gridCol w:w="862"/>
        <w:gridCol w:w="1070"/>
        <w:gridCol w:w="188"/>
      </w:tblGrid>
      <w:tr w:rsidR="00BE1EFE" w:rsidRPr="003361E9" w:rsidTr="00A6532C">
        <w:trPr>
          <w:trHeight w:val="184"/>
          <w:jc w:val="center"/>
        </w:trPr>
        <w:tc>
          <w:tcPr>
            <w:tcW w:w="737"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184" w:lineRule="atLeast"/>
              <w:jc w:val="center"/>
              <w:rPr>
                <w:szCs w:val="16"/>
              </w:rPr>
            </w:pPr>
            <w:r w:rsidRPr="003361E9">
              <w:rPr>
                <w:rStyle w:val="Fett"/>
                <w:rFonts w:cs="Arial"/>
                <w:bCs/>
                <w:szCs w:val="16"/>
              </w:rPr>
              <w:t>Entgelt-gruppe</w:t>
            </w:r>
          </w:p>
        </w:tc>
        <w:tc>
          <w:tcPr>
            <w:tcW w:w="115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A6532C" w:rsidP="0054275E">
            <w:pPr>
              <w:pStyle w:val="StandardWeb"/>
              <w:autoSpaceDE w:val="0"/>
              <w:spacing w:line="184" w:lineRule="atLeast"/>
              <w:jc w:val="center"/>
              <w:rPr>
                <w:rFonts w:cs="Arial"/>
                <w:b/>
                <w:bCs/>
                <w:szCs w:val="16"/>
              </w:rPr>
            </w:pPr>
            <w:r>
              <w:rPr>
                <w:rStyle w:val="Fett"/>
                <w:rFonts w:cs="Arial"/>
                <w:bCs/>
                <w:szCs w:val="16"/>
              </w:rPr>
              <w:t>Vergütungs-gruppe bei Inkraftt</w:t>
            </w:r>
            <w:r w:rsidR="00BE1EFE" w:rsidRPr="003361E9">
              <w:rPr>
                <w:rStyle w:val="Fett"/>
                <w:rFonts w:cs="Arial"/>
                <w:bCs/>
                <w:szCs w:val="16"/>
              </w:rPr>
              <w:t xml:space="preserve">reten </w:t>
            </w:r>
          </w:p>
          <w:p w:rsidR="00BE1EFE" w:rsidRPr="003361E9" w:rsidRDefault="00BE1EFE" w:rsidP="0054275E">
            <w:pPr>
              <w:pStyle w:val="StandardWeb"/>
              <w:autoSpaceDE w:val="0"/>
              <w:spacing w:line="184" w:lineRule="atLeast"/>
              <w:jc w:val="center"/>
              <w:rPr>
                <w:szCs w:val="16"/>
              </w:rPr>
            </w:pPr>
            <w:r w:rsidRPr="003361E9">
              <w:rPr>
                <w:rStyle w:val="Fett"/>
                <w:rFonts w:cs="Arial"/>
                <w:bCs/>
                <w:szCs w:val="16"/>
              </w:rPr>
              <w:t xml:space="preserve"> Teil A, 3.</w:t>
            </w:r>
          </w:p>
        </w:tc>
        <w:tc>
          <w:tcPr>
            <w:tcW w:w="82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184" w:lineRule="atLeast"/>
              <w:jc w:val="center"/>
              <w:rPr>
                <w:szCs w:val="16"/>
              </w:rPr>
            </w:pPr>
            <w:r w:rsidRPr="003361E9">
              <w:rPr>
                <w:rStyle w:val="Fett"/>
                <w:rFonts w:cs="Arial"/>
                <w:bCs/>
                <w:szCs w:val="16"/>
              </w:rPr>
              <w:t>Aufstieg</w:t>
            </w:r>
          </w:p>
        </w:tc>
        <w:tc>
          <w:tcPr>
            <w:tcW w:w="93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184" w:lineRule="atLeast"/>
              <w:jc w:val="center"/>
              <w:rPr>
                <w:szCs w:val="16"/>
              </w:rPr>
            </w:pPr>
            <w:r w:rsidRPr="003361E9">
              <w:rPr>
                <w:rStyle w:val="Fett"/>
                <w:rFonts w:cs="Arial"/>
                <w:bCs/>
                <w:szCs w:val="16"/>
              </w:rPr>
              <w:t>Orts-Zuschlag Stufe 1, 2</w:t>
            </w:r>
          </w:p>
        </w:tc>
        <w:tc>
          <w:tcPr>
            <w:tcW w:w="98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184" w:lineRule="atLeast"/>
              <w:jc w:val="center"/>
              <w:rPr>
                <w:szCs w:val="16"/>
              </w:rPr>
            </w:pPr>
            <w:r w:rsidRPr="003361E9">
              <w:rPr>
                <w:rStyle w:val="Fett"/>
                <w:rFonts w:cs="Arial"/>
                <w:bCs/>
                <w:szCs w:val="16"/>
              </w:rPr>
              <w:t>Lebens-altersstufe</w:t>
            </w:r>
          </w:p>
        </w:tc>
        <w:tc>
          <w:tcPr>
            <w:tcW w:w="86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184" w:lineRule="atLeast"/>
              <w:jc w:val="center"/>
              <w:rPr>
                <w:szCs w:val="16"/>
              </w:rPr>
            </w:pPr>
            <w:r w:rsidRPr="003361E9">
              <w:rPr>
                <w:rStyle w:val="Fett"/>
                <w:rFonts w:cs="Arial"/>
                <w:bCs/>
                <w:szCs w:val="16"/>
              </w:rPr>
              <w:t>Höhe Aus-gleichs-betrag</w:t>
            </w:r>
          </w:p>
        </w:tc>
        <w:tc>
          <w:tcPr>
            <w:tcW w:w="1075"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spacing w:line="184" w:lineRule="atLeast"/>
              <w:jc w:val="center"/>
              <w:rPr>
                <w:szCs w:val="16"/>
              </w:rPr>
            </w:pPr>
            <w:r w:rsidRPr="003361E9">
              <w:rPr>
                <w:rStyle w:val="Fett"/>
                <w:rFonts w:cs="Arial"/>
                <w:bCs/>
                <w:szCs w:val="16"/>
              </w:rPr>
              <w:t>Dauer</w:t>
            </w:r>
          </w:p>
        </w:tc>
        <w:tc>
          <w:tcPr>
            <w:tcW w:w="188" w:type="dxa"/>
            <w:vAlign w:val="center"/>
            <w:hideMark/>
          </w:tcPr>
          <w:p w:rsidR="00BE1EFE" w:rsidRPr="003361E9" w:rsidRDefault="00BE1EFE">
            <w:pPr>
              <w:spacing w:line="184" w:lineRule="atLeast"/>
              <w:rPr>
                <w:szCs w:val="16"/>
              </w:rPr>
            </w:pPr>
            <w:r w:rsidRPr="003361E9">
              <w:rPr>
                <w:szCs w:val="16"/>
              </w:rPr>
              <w:t> </w:t>
            </w:r>
          </w:p>
        </w:tc>
      </w:tr>
      <w:tr w:rsidR="00BE1EFE" w:rsidRPr="003361E9" w:rsidTr="00A6532C">
        <w:trPr>
          <w:trHeight w:val="330"/>
          <w:jc w:val="center"/>
        </w:trPr>
        <w:tc>
          <w:tcPr>
            <w:tcW w:w="737" w:type="dxa"/>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1151" w:type="dxa"/>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88" w:type="dxa"/>
            <w:vAlign w:val="center"/>
            <w:hideMark/>
          </w:tcPr>
          <w:p w:rsidR="00BE1EFE" w:rsidRPr="003361E9" w:rsidRDefault="00BE1EFE">
            <w:pPr>
              <w:rPr>
                <w:szCs w:val="16"/>
              </w:rPr>
            </w:pPr>
            <w:r w:rsidRPr="003361E9">
              <w:rPr>
                <w:szCs w:val="16"/>
              </w:rPr>
              <w:t> </w:t>
            </w:r>
          </w:p>
        </w:tc>
      </w:tr>
      <w:tr w:rsidR="00BE1EFE" w:rsidRPr="003361E9" w:rsidTr="00A6532C">
        <w:trPr>
          <w:trHeight w:val="330"/>
          <w:jc w:val="center"/>
        </w:trPr>
        <w:tc>
          <w:tcPr>
            <w:tcW w:w="737" w:type="dxa"/>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1151" w:type="dxa"/>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88" w:type="dxa"/>
            <w:vAlign w:val="center"/>
            <w:hideMark/>
          </w:tcPr>
          <w:p w:rsidR="00BE1EFE" w:rsidRPr="003361E9" w:rsidRDefault="00BE1EFE">
            <w:pPr>
              <w:rPr>
                <w:szCs w:val="16"/>
              </w:rPr>
            </w:pPr>
            <w:r w:rsidRPr="003361E9">
              <w:rPr>
                <w:szCs w:val="16"/>
              </w:rPr>
              <w:t> </w:t>
            </w:r>
          </w:p>
        </w:tc>
      </w:tr>
      <w:tr w:rsidR="00BE1EFE" w:rsidRPr="003361E9" w:rsidTr="00A6532C">
        <w:trPr>
          <w:trHeight w:val="330"/>
          <w:jc w:val="center"/>
        </w:trPr>
        <w:tc>
          <w:tcPr>
            <w:tcW w:w="737" w:type="dxa"/>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1151" w:type="dxa"/>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920" w:type="dxa"/>
            <w:gridSpan w:val="2"/>
            <w:vMerge w:val="restart"/>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F73F91">
            <w:pPr>
              <w:pStyle w:val="StandardWeb"/>
              <w:autoSpaceDE w:val="0"/>
              <w:jc w:val="center"/>
              <w:rPr>
                <w:szCs w:val="16"/>
              </w:rPr>
            </w:pPr>
            <w:r w:rsidRPr="003361E9">
              <w:rPr>
                <w:rStyle w:val="Fett"/>
                <w:rFonts w:cs="Arial"/>
                <w:bCs/>
                <w:szCs w:val="16"/>
              </w:rPr>
              <w:t xml:space="preserve">bei Inkrafttreten </w:t>
            </w:r>
          </w:p>
          <w:p w:rsidR="00BE1EFE" w:rsidRPr="003361E9" w:rsidRDefault="00BE1EFE" w:rsidP="0054275E">
            <w:pPr>
              <w:pStyle w:val="StandardWeb"/>
              <w:autoSpaceDE w:val="0"/>
              <w:jc w:val="center"/>
              <w:rPr>
                <w:szCs w:val="16"/>
              </w:rPr>
            </w:pPr>
            <w:r w:rsidRPr="003361E9">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88" w:type="dxa"/>
            <w:vAlign w:val="center"/>
            <w:hideMark/>
          </w:tcPr>
          <w:p w:rsidR="00BE1EFE" w:rsidRPr="003361E9" w:rsidRDefault="00BE1EFE">
            <w:pPr>
              <w:rPr>
                <w:szCs w:val="16"/>
              </w:rPr>
            </w:pPr>
            <w:r w:rsidRPr="003361E9">
              <w:rPr>
                <w:szCs w:val="16"/>
              </w:rPr>
              <w:t> </w:t>
            </w:r>
          </w:p>
        </w:tc>
      </w:tr>
      <w:tr w:rsidR="00BE1EFE" w:rsidRPr="003361E9" w:rsidTr="00A6532C">
        <w:trPr>
          <w:trHeight w:val="330"/>
          <w:jc w:val="center"/>
        </w:trPr>
        <w:tc>
          <w:tcPr>
            <w:tcW w:w="737" w:type="dxa"/>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1151" w:type="dxa"/>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gridSpan w:val="2"/>
            <w:vMerge/>
            <w:tcBorders>
              <w:top w:val="nil"/>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88" w:type="dxa"/>
            <w:vAlign w:val="center"/>
            <w:hideMark/>
          </w:tcPr>
          <w:p w:rsidR="00BE1EFE" w:rsidRPr="003361E9" w:rsidRDefault="00BE1EFE">
            <w:pPr>
              <w:rPr>
                <w:szCs w:val="16"/>
              </w:rPr>
            </w:pPr>
            <w:r w:rsidRPr="003361E9">
              <w:rPr>
                <w:szCs w:val="16"/>
              </w:rPr>
              <w:t> </w:t>
            </w:r>
          </w:p>
        </w:tc>
      </w:tr>
      <w:tr w:rsidR="00BE1EFE"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9255BF" w:rsidP="001C4661">
            <w:pPr>
              <w:jc w:val="center"/>
              <w:rPr>
                <w:szCs w:val="16"/>
              </w:rPr>
            </w:pPr>
            <w:r>
              <w:rPr>
                <w:szCs w:val="16"/>
              </w:rPr>
              <w:t>14</w:t>
            </w: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 b nach</w:t>
            </w:r>
          </w:p>
          <w:p w:rsidR="00BE1EFE" w:rsidRPr="003361E9" w:rsidRDefault="00BE1EFE" w:rsidP="0054275E">
            <w:pPr>
              <w:pStyle w:val="StandardWeb"/>
              <w:autoSpaceDE w:val="0"/>
              <w:jc w:val="center"/>
              <w:rPr>
                <w:szCs w:val="16"/>
              </w:rPr>
            </w:pPr>
            <w:r w:rsidRPr="003361E9">
              <w:rPr>
                <w:rStyle w:val="Fett"/>
                <w:rFonts w:cs="Arial"/>
                <w:b w:val="0"/>
                <w:bCs/>
                <w:szCs w:val="16"/>
              </w:rPr>
              <w:t>15 u. 17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45</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188" w:type="dxa"/>
            <w:vAlign w:val="center"/>
            <w:hideMark/>
          </w:tcPr>
          <w:p w:rsidR="00BE1EFE" w:rsidRPr="003361E9" w:rsidRDefault="00BE1EFE">
            <w:pPr>
              <w:rPr>
                <w:szCs w:val="16"/>
              </w:rPr>
            </w:pPr>
            <w:r w:rsidRPr="003361E9">
              <w:rPr>
                <w:szCs w:val="16"/>
              </w:rPr>
              <w:t> </w:t>
            </w:r>
          </w:p>
        </w:tc>
      </w:tr>
      <w:tr w:rsidR="00BE1EFE"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r w:rsidRPr="005E4D74">
              <w:rPr>
                <w:szCs w:val="16"/>
              </w:rPr>
              <w:t>14</w:t>
            </w: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 b nach</w:t>
            </w:r>
          </w:p>
          <w:p w:rsidR="00BE1EFE" w:rsidRPr="003361E9" w:rsidRDefault="00BE1EFE" w:rsidP="0054275E">
            <w:pPr>
              <w:pStyle w:val="StandardWeb"/>
              <w:autoSpaceDE w:val="0"/>
              <w:jc w:val="center"/>
              <w:rPr>
                <w:szCs w:val="16"/>
              </w:rPr>
            </w:pPr>
            <w:r w:rsidRPr="003361E9">
              <w:rPr>
                <w:rStyle w:val="Fett"/>
                <w:rFonts w:cs="Arial"/>
                <w:b w:val="0"/>
                <w:bCs/>
                <w:szCs w:val="16"/>
              </w:rPr>
              <w:t>15 u. 17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37</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110 €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188" w:type="dxa"/>
            <w:vAlign w:val="center"/>
            <w:hideMark/>
          </w:tcPr>
          <w:p w:rsidR="00BE1EFE" w:rsidRPr="003361E9" w:rsidRDefault="00BE1EFE">
            <w:pPr>
              <w:rPr>
                <w:szCs w:val="16"/>
              </w:rPr>
            </w:pPr>
            <w:r w:rsidRPr="003361E9">
              <w:rPr>
                <w:szCs w:val="16"/>
              </w:rPr>
              <w:t> </w:t>
            </w:r>
          </w:p>
        </w:tc>
      </w:tr>
      <w:tr w:rsidR="00BE1EFE"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Cs/>
                <w:szCs w:val="16"/>
              </w:rPr>
            </w:pPr>
            <w:r w:rsidRPr="003361E9">
              <w:rPr>
                <w:rStyle w:val="Fett"/>
                <w:rFonts w:cs="Arial"/>
                <w:b w:val="0"/>
                <w:bCs/>
                <w:szCs w:val="16"/>
              </w:rPr>
              <w:t>I b nach</w:t>
            </w:r>
          </w:p>
          <w:p w:rsidR="00BE1EFE" w:rsidRPr="003361E9" w:rsidRDefault="00BE1EFE" w:rsidP="0054275E">
            <w:pPr>
              <w:pStyle w:val="StandardWeb"/>
              <w:autoSpaceDE w:val="0"/>
              <w:jc w:val="center"/>
              <w:rPr>
                <w:szCs w:val="16"/>
              </w:rPr>
            </w:pPr>
            <w:r w:rsidRPr="003361E9">
              <w:rPr>
                <w:rStyle w:val="Fett"/>
                <w:rFonts w:cs="Arial"/>
                <w:b w:val="0"/>
                <w:bCs/>
                <w:szCs w:val="16"/>
              </w:rPr>
              <w:t>15 u. 17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39</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110 €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188" w:type="dxa"/>
            <w:vAlign w:val="center"/>
            <w:hideMark/>
          </w:tcPr>
          <w:p w:rsidR="00BE1EFE" w:rsidRPr="003361E9" w:rsidRDefault="00BE1EFE">
            <w:pPr>
              <w:rPr>
                <w:szCs w:val="16"/>
              </w:rPr>
            </w:pPr>
            <w:r w:rsidRPr="003361E9">
              <w:rPr>
                <w:szCs w:val="16"/>
              </w:rPr>
              <w:t> </w:t>
            </w:r>
          </w:p>
        </w:tc>
      </w:tr>
      <w:tr w:rsidR="00D338BB"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D338BB">
            <w:pPr>
              <w:jc w:val="center"/>
            </w:pP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D338BB">
            <w:pPr>
              <w:jc w:val="center"/>
            </w:pPr>
            <w:r w:rsidRPr="003361E9">
              <w:rPr>
                <w:rStyle w:val="Fett"/>
                <w:rFonts w:cs="Arial"/>
                <w:b w:val="0"/>
                <w:bCs/>
                <w:szCs w:val="16"/>
              </w:rPr>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361E9" w:rsidRDefault="00D338BB" w:rsidP="00D338BB">
            <w:pPr>
              <w:pStyle w:val="StandardWeb"/>
              <w:autoSpaceDE w:val="0"/>
              <w:jc w:val="center"/>
              <w:rPr>
                <w:rFonts w:cs="Arial"/>
                <w:bCs/>
                <w:szCs w:val="16"/>
              </w:rPr>
            </w:pPr>
            <w:r w:rsidRPr="003361E9">
              <w:rPr>
                <w:rStyle w:val="Fett"/>
                <w:rFonts w:cs="Arial"/>
                <w:b w:val="0"/>
                <w:bCs/>
                <w:szCs w:val="16"/>
              </w:rPr>
              <w:t>I b nach</w:t>
            </w:r>
          </w:p>
          <w:p w:rsidR="00D338BB" w:rsidRPr="003B2FE0" w:rsidRDefault="00D338BB" w:rsidP="00D338BB">
            <w:pPr>
              <w:jc w:val="center"/>
            </w:pPr>
            <w:r w:rsidRPr="003361E9">
              <w:rPr>
                <w:rStyle w:val="Fett"/>
                <w:rFonts w:cs="Arial"/>
                <w:b w:val="0"/>
                <w:bCs/>
                <w:szCs w:val="16"/>
              </w:rPr>
              <w:t>15 u. 17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D338BB">
            <w:pPr>
              <w:jc w:val="center"/>
            </w:pPr>
            <w:r w:rsidRPr="003361E9">
              <w:rPr>
                <w:rStyle w:val="Fett"/>
                <w:rFonts w:cs="Arial"/>
                <w:b w:val="0"/>
                <w:bCs/>
                <w:szCs w:val="16"/>
              </w:rPr>
              <w:t>OZ 2</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D338BB">
            <w:pPr>
              <w:jc w:val="center"/>
            </w:pPr>
            <w:r w:rsidRPr="003361E9">
              <w:rPr>
                <w:rFonts w:cs="Arial"/>
                <w:szCs w:val="16"/>
              </w:rPr>
              <w:t>41</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D338BB">
            <w:pPr>
              <w:jc w:val="center"/>
            </w:pPr>
            <w:r w:rsidRPr="003361E9">
              <w:rPr>
                <w:rFonts w:cs="Arial"/>
                <w:szCs w:val="16"/>
              </w:rPr>
              <w:t>110 €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D338BB">
            <w:pPr>
              <w:jc w:val="center"/>
            </w:pPr>
            <w:r w:rsidRPr="003361E9">
              <w:rPr>
                <w:rFonts w:cs="Arial"/>
                <w:szCs w:val="16"/>
              </w:rPr>
              <w:t>dauerhaft</w:t>
            </w:r>
          </w:p>
        </w:tc>
        <w:tc>
          <w:tcPr>
            <w:tcW w:w="188" w:type="dxa"/>
            <w:vAlign w:val="center"/>
          </w:tcPr>
          <w:p w:rsidR="00D338BB" w:rsidRDefault="00D338BB" w:rsidP="00D338BB">
            <w:pPr>
              <w:jc w:val="center"/>
            </w:pPr>
            <w:r w:rsidRPr="003361E9">
              <w:rPr>
                <w:szCs w:val="16"/>
              </w:rPr>
              <w:t> </w:t>
            </w:r>
          </w:p>
        </w:tc>
      </w:tr>
      <w:tr w:rsidR="00D338BB"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455640">
            <w:pPr>
              <w:jc w:val="center"/>
            </w:pP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455640">
            <w:pPr>
              <w:jc w:val="center"/>
            </w:pPr>
            <w:r w:rsidRPr="003361E9">
              <w:rPr>
                <w:rStyle w:val="Fett"/>
                <w:rFonts w:cs="Arial"/>
                <w:b w:val="0"/>
                <w:bCs/>
                <w:szCs w:val="16"/>
              </w:rPr>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361E9" w:rsidRDefault="00D338BB" w:rsidP="00D338BB">
            <w:pPr>
              <w:pStyle w:val="StandardWeb"/>
              <w:autoSpaceDE w:val="0"/>
              <w:jc w:val="center"/>
              <w:rPr>
                <w:rFonts w:cs="Arial"/>
                <w:bCs/>
                <w:szCs w:val="16"/>
              </w:rPr>
            </w:pPr>
            <w:r w:rsidRPr="003361E9">
              <w:rPr>
                <w:rStyle w:val="Fett"/>
                <w:rFonts w:cs="Arial"/>
                <w:b w:val="0"/>
                <w:bCs/>
                <w:szCs w:val="16"/>
              </w:rPr>
              <w:t>I b nach</w:t>
            </w:r>
          </w:p>
          <w:p w:rsidR="00D338BB" w:rsidRPr="003B2FE0" w:rsidRDefault="00D338BB" w:rsidP="00455640">
            <w:pPr>
              <w:jc w:val="center"/>
            </w:pPr>
            <w:r w:rsidRPr="003361E9">
              <w:rPr>
                <w:rStyle w:val="Fett"/>
                <w:rFonts w:cs="Arial"/>
                <w:b w:val="0"/>
                <w:bCs/>
                <w:szCs w:val="16"/>
              </w:rPr>
              <w:t>15 u. 17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455640">
            <w:pPr>
              <w:jc w:val="center"/>
            </w:pPr>
            <w:r w:rsidRPr="003361E9">
              <w:rPr>
                <w:rStyle w:val="Fett"/>
                <w:rFonts w:cs="Arial"/>
                <w:b w:val="0"/>
                <w:bCs/>
                <w:szCs w:val="16"/>
              </w:rPr>
              <w:t>OZ 2</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455640">
            <w:pPr>
              <w:jc w:val="center"/>
            </w:pPr>
            <w:r>
              <w:rPr>
                <w:rFonts w:cs="Arial"/>
                <w:szCs w:val="16"/>
              </w:rPr>
              <w:t>43</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455640">
            <w:pPr>
              <w:jc w:val="center"/>
            </w:pPr>
            <w:r w:rsidRPr="003361E9">
              <w:rPr>
                <w:rFonts w:cs="Arial"/>
                <w:szCs w:val="16"/>
              </w:rPr>
              <w:t>110 €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D338BB" w:rsidRPr="003B2FE0" w:rsidRDefault="00D338BB" w:rsidP="00455640">
            <w:pPr>
              <w:jc w:val="center"/>
            </w:pPr>
            <w:r w:rsidRPr="003361E9">
              <w:rPr>
                <w:rFonts w:cs="Arial"/>
                <w:szCs w:val="16"/>
              </w:rPr>
              <w:t>dauerhaft</w:t>
            </w:r>
          </w:p>
        </w:tc>
        <w:tc>
          <w:tcPr>
            <w:tcW w:w="188" w:type="dxa"/>
            <w:vAlign w:val="center"/>
          </w:tcPr>
          <w:p w:rsidR="00D338BB" w:rsidRDefault="00D338BB" w:rsidP="00455640">
            <w:pPr>
              <w:jc w:val="center"/>
            </w:pPr>
            <w:r w:rsidRPr="003361E9">
              <w:rPr>
                <w:szCs w:val="16"/>
              </w:rPr>
              <w:t> </w:t>
            </w:r>
          </w:p>
        </w:tc>
      </w:tr>
      <w:tr w:rsidR="00E619F6"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619F6" w:rsidRPr="00B00CE2" w:rsidRDefault="00E619F6" w:rsidP="00E619F6">
            <w:pPr>
              <w:jc w:val="center"/>
            </w:pP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B00CE2" w:rsidRDefault="00E619F6" w:rsidP="00E619F6">
            <w:pPr>
              <w:jc w:val="center"/>
            </w:pPr>
            <w:r w:rsidRPr="00B00CE2">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B00CE2" w:rsidRDefault="00E619F6" w:rsidP="00E619F6">
            <w:pPr>
              <w:jc w:val="center"/>
            </w:pPr>
            <w:r>
              <w:t>I b nach 15 u. 17</w:t>
            </w:r>
            <w:r w:rsidRPr="00B00CE2">
              <w:t xml:space="preserve">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B00CE2" w:rsidRDefault="00E619F6" w:rsidP="00E619F6">
            <w:pPr>
              <w:jc w:val="center"/>
            </w:pPr>
            <w:r>
              <w:t>OZ 2</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B00CE2" w:rsidRDefault="00E619F6" w:rsidP="00E619F6">
            <w:pPr>
              <w:jc w:val="center"/>
            </w:pPr>
            <w:r w:rsidRPr="00B00CE2">
              <w:t>45</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B00CE2" w:rsidRDefault="00E619F6" w:rsidP="00E619F6">
            <w:pPr>
              <w:jc w:val="center"/>
            </w:pPr>
            <w:r w:rsidRPr="00B00CE2">
              <w:t>60 €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B00CE2" w:rsidRDefault="00E619F6" w:rsidP="00E619F6">
            <w:pPr>
              <w:jc w:val="center"/>
            </w:pPr>
            <w:r w:rsidRPr="003361E9">
              <w:rPr>
                <w:rFonts w:cs="Arial"/>
                <w:szCs w:val="16"/>
              </w:rPr>
              <w:t>dauerhaft</w:t>
            </w:r>
          </w:p>
        </w:tc>
        <w:tc>
          <w:tcPr>
            <w:tcW w:w="188" w:type="dxa"/>
            <w:vAlign w:val="center"/>
          </w:tcPr>
          <w:p w:rsidR="00E619F6" w:rsidRDefault="00E619F6" w:rsidP="00E619F6">
            <w:pPr>
              <w:jc w:val="center"/>
            </w:pPr>
          </w:p>
        </w:tc>
      </w:tr>
      <w:tr w:rsidR="00E619F6"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619F6" w:rsidRPr="005A4AB9" w:rsidRDefault="00E619F6" w:rsidP="00D338BB">
            <w:pPr>
              <w:jc w:val="center"/>
            </w:pPr>
            <w:r>
              <w:t>14</w:t>
            </w: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5A4AB9" w:rsidRDefault="00E619F6" w:rsidP="00D338BB">
            <w:pPr>
              <w:jc w:val="center"/>
            </w:pPr>
            <w:r w:rsidRPr="003B2FE0">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5A4AB9" w:rsidRDefault="00E619F6" w:rsidP="00D338BB">
            <w:pPr>
              <w:jc w:val="center"/>
            </w:pPr>
            <w:r>
              <w:t xml:space="preserve">I b nach 11 </w:t>
            </w:r>
            <w:r w:rsidRPr="003B2FE0">
              <w:t>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5A4AB9" w:rsidRDefault="00E619F6" w:rsidP="00D338BB">
            <w:pPr>
              <w:jc w:val="center"/>
            </w:pPr>
            <w:r w:rsidRPr="003B2FE0">
              <w:t>OZ 1</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5A4AB9" w:rsidRDefault="00E619F6" w:rsidP="00D338BB">
            <w:pPr>
              <w:jc w:val="center"/>
            </w:pPr>
            <w:r>
              <w:t>33</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5A4AB9" w:rsidRDefault="00E619F6" w:rsidP="00D338BB">
            <w:pPr>
              <w:jc w:val="center"/>
            </w:pPr>
            <w:r>
              <w:t>5</w:t>
            </w:r>
            <w:r w:rsidRPr="003B2FE0">
              <w:t>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Default="00E619F6" w:rsidP="00E619F6">
            <w:pPr>
              <w:jc w:val="center"/>
            </w:pPr>
            <w:r>
              <w:t>nach</w:t>
            </w:r>
          </w:p>
          <w:p w:rsidR="00E619F6" w:rsidRDefault="00E619F6" w:rsidP="00E619F6">
            <w:pPr>
              <w:jc w:val="center"/>
            </w:pPr>
            <w:r>
              <w:t>4 Jahren</w:t>
            </w:r>
          </w:p>
          <w:p w:rsidR="00E619F6" w:rsidRPr="005A4AB9" w:rsidRDefault="00E619F6" w:rsidP="00E619F6">
            <w:pPr>
              <w:jc w:val="center"/>
            </w:pPr>
            <w:r>
              <w:t>für 5 Jahre</w:t>
            </w:r>
          </w:p>
        </w:tc>
        <w:tc>
          <w:tcPr>
            <w:tcW w:w="188" w:type="dxa"/>
            <w:vAlign w:val="center"/>
          </w:tcPr>
          <w:p w:rsidR="00E619F6" w:rsidRDefault="00E619F6" w:rsidP="00D338BB">
            <w:pPr>
              <w:jc w:val="center"/>
            </w:pPr>
          </w:p>
        </w:tc>
      </w:tr>
      <w:tr w:rsidR="00E619F6"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619F6" w:rsidRPr="00FE46E0" w:rsidRDefault="00E619F6" w:rsidP="00D338BB">
            <w:pPr>
              <w:jc w:val="center"/>
            </w:pPr>
            <w:r w:rsidRPr="005F5C4C">
              <w:t>14</w:t>
            </w: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FE46E0" w:rsidRDefault="00E619F6" w:rsidP="00D338BB">
            <w:pPr>
              <w:jc w:val="center"/>
            </w:pPr>
            <w:r w:rsidRPr="005F5C4C">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FE46E0" w:rsidRDefault="00E619F6" w:rsidP="00D338BB">
            <w:pPr>
              <w:jc w:val="center"/>
            </w:pPr>
            <w:r w:rsidRPr="005F5C4C">
              <w:t>I b nach 11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FE46E0" w:rsidRDefault="00E619F6" w:rsidP="00D338BB">
            <w:pPr>
              <w:jc w:val="center"/>
            </w:pPr>
            <w:r>
              <w:t>OZ 1</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FE46E0" w:rsidRDefault="00E619F6" w:rsidP="00D338BB">
            <w:pPr>
              <w:jc w:val="center"/>
            </w:pPr>
            <w:r w:rsidRPr="005F5C4C">
              <w:t>35</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FE46E0" w:rsidRDefault="00E619F6" w:rsidP="00D338BB">
            <w:pPr>
              <w:jc w:val="center"/>
            </w:pPr>
            <w:r>
              <w:t>50</w:t>
            </w:r>
            <w:r w:rsidRPr="005F5C4C">
              <w:t xml:space="preserve">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FE46E0" w:rsidRDefault="00E619F6" w:rsidP="00D338BB">
            <w:pPr>
              <w:jc w:val="center"/>
            </w:pPr>
            <w:r>
              <w:t>für 5 Jahre</w:t>
            </w:r>
          </w:p>
        </w:tc>
        <w:tc>
          <w:tcPr>
            <w:tcW w:w="188" w:type="dxa"/>
            <w:vAlign w:val="center"/>
          </w:tcPr>
          <w:p w:rsidR="00E619F6" w:rsidRPr="00FE46E0" w:rsidRDefault="00E619F6" w:rsidP="00D338BB">
            <w:pPr>
              <w:jc w:val="center"/>
            </w:pPr>
            <w:r w:rsidRPr="005F5C4C">
              <w:t>14</w:t>
            </w:r>
          </w:p>
        </w:tc>
      </w:tr>
      <w:tr w:rsidR="00E619F6"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619F6" w:rsidRPr="005E4D74" w:rsidRDefault="00E619F6" w:rsidP="009255BF">
            <w:pPr>
              <w:jc w:val="center"/>
              <w:rPr>
                <w:szCs w:val="16"/>
              </w:rPr>
            </w:pP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autoSpaceDE w:val="0"/>
              <w:jc w:val="center"/>
              <w:rPr>
                <w:rStyle w:val="Fett"/>
                <w:rFonts w:cs="Arial"/>
                <w:b w:val="0"/>
                <w:bCs/>
                <w:szCs w:val="16"/>
              </w:rPr>
            </w:pPr>
            <w:r w:rsidRPr="005A4AB9">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autoSpaceDE w:val="0"/>
              <w:jc w:val="center"/>
              <w:rPr>
                <w:rStyle w:val="Fett"/>
                <w:rFonts w:cs="Arial"/>
                <w:b w:val="0"/>
                <w:bCs/>
                <w:szCs w:val="16"/>
              </w:rPr>
            </w:pPr>
            <w:r w:rsidRPr="005A4AB9">
              <w:t>I b nach 11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Default="00E619F6" w:rsidP="009255BF">
            <w:pPr>
              <w:pStyle w:val="StandardWeb"/>
              <w:autoSpaceDE w:val="0"/>
              <w:jc w:val="center"/>
              <w:rPr>
                <w:rStyle w:val="Fett"/>
                <w:rFonts w:cs="Arial"/>
                <w:b w:val="0"/>
                <w:bCs/>
                <w:szCs w:val="16"/>
              </w:rPr>
            </w:pPr>
            <w:r>
              <w:t>OZ 1</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rsidRPr="005A4AB9">
              <w:t>37</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8</w:t>
            </w:r>
            <w:r w:rsidRPr="005A4AB9">
              <w:t>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für 4 Jahre</w:t>
            </w:r>
          </w:p>
        </w:tc>
        <w:tc>
          <w:tcPr>
            <w:tcW w:w="188" w:type="dxa"/>
            <w:vAlign w:val="center"/>
          </w:tcPr>
          <w:p w:rsidR="00E619F6" w:rsidRPr="003361E9" w:rsidRDefault="00E619F6" w:rsidP="009255BF">
            <w:pPr>
              <w:rPr>
                <w:szCs w:val="16"/>
              </w:rPr>
            </w:pPr>
          </w:p>
        </w:tc>
      </w:tr>
      <w:tr w:rsidR="00E619F6"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619F6" w:rsidRPr="005E4D74" w:rsidRDefault="00E619F6" w:rsidP="009255BF">
            <w:pPr>
              <w:jc w:val="center"/>
              <w:rPr>
                <w:szCs w:val="16"/>
              </w:rPr>
            </w:pP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autoSpaceDE w:val="0"/>
              <w:jc w:val="center"/>
              <w:rPr>
                <w:rStyle w:val="Fett"/>
                <w:rFonts w:cs="Arial"/>
                <w:b w:val="0"/>
                <w:bCs/>
                <w:szCs w:val="16"/>
              </w:rPr>
            </w:pPr>
            <w:r w:rsidRPr="005A4AB9">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autoSpaceDE w:val="0"/>
              <w:jc w:val="center"/>
              <w:rPr>
                <w:rStyle w:val="Fett"/>
                <w:rFonts w:cs="Arial"/>
                <w:b w:val="0"/>
                <w:bCs/>
                <w:szCs w:val="16"/>
              </w:rPr>
            </w:pPr>
            <w:r w:rsidRPr="005A4AB9">
              <w:t>I b nach 11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Default="00E619F6" w:rsidP="009255BF">
            <w:pPr>
              <w:pStyle w:val="StandardWeb"/>
              <w:autoSpaceDE w:val="0"/>
              <w:jc w:val="center"/>
              <w:rPr>
                <w:rStyle w:val="Fett"/>
                <w:rFonts w:cs="Arial"/>
                <w:b w:val="0"/>
                <w:bCs/>
                <w:szCs w:val="16"/>
              </w:rPr>
            </w:pPr>
            <w:r>
              <w:t>OZ 1</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41</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8</w:t>
            </w:r>
            <w:r w:rsidRPr="005A4AB9">
              <w:t>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nach 4 Jahren dauerhaft</w:t>
            </w:r>
          </w:p>
        </w:tc>
        <w:tc>
          <w:tcPr>
            <w:tcW w:w="188" w:type="dxa"/>
            <w:vAlign w:val="center"/>
          </w:tcPr>
          <w:p w:rsidR="00E619F6" w:rsidRPr="003361E9" w:rsidRDefault="00E619F6" w:rsidP="009255BF">
            <w:pPr>
              <w:rPr>
                <w:szCs w:val="16"/>
              </w:rPr>
            </w:pPr>
          </w:p>
        </w:tc>
      </w:tr>
      <w:tr w:rsidR="00E619F6"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619F6" w:rsidRPr="005E4D74" w:rsidRDefault="00E619F6" w:rsidP="009255BF">
            <w:pPr>
              <w:jc w:val="center"/>
              <w:rPr>
                <w:szCs w:val="16"/>
              </w:rPr>
            </w:pP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autoSpaceDE w:val="0"/>
              <w:jc w:val="center"/>
              <w:rPr>
                <w:rStyle w:val="Fett"/>
                <w:rFonts w:cs="Arial"/>
                <w:b w:val="0"/>
                <w:bCs/>
                <w:szCs w:val="16"/>
              </w:rPr>
            </w:pPr>
            <w:r w:rsidRPr="005A4AB9">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autoSpaceDE w:val="0"/>
              <w:jc w:val="center"/>
              <w:rPr>
                <w:rStyle w:val="Fett"/>
                <w:rFonts w:cs="Arial"/>
                <w:b w:val="0"/>
                <w:bCs/>
                <w:szCs w:val="16"/>
              </w:rPr>
            </w:pPr>
            <w:r w:rsidRPr="005A4AB9">
              <w:t>I b nach 11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Default="00E619F6" w:rsidP="009255BF">
            <w:pPr>
              <w:pStyle w:val="StandardWeb"/>
              <w:autoSpaceDE w:val="0"/>
              <w:jc w:val="center"/>
              <w:rPr>
                <w:rStyle w:val="Fett"/>
                <w:rFonts w:cs="Arial"/>
                <w:b w:val="0"/>
                <w:bCs/>
                <w:szCs w:val="16"/>
              </w:rPr>
            </w:pPr>
            <w:r>
              <w:t>OZ 1</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43</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8</w:t>
            </w:r>
            <w:r w:rsidRPr="005A4AB9">
              <w:t>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dauerhaft</w:t>
            </w:r>
          </w:p>
        </w:tc>
        <w:tc>
          <w:tcPr>
            <w:tcW w:w="188" w:type="dxa"/>
            <w:vAlign w:val="center"/>
          </w:tcPr>
          <w:p w:rsidR="00E619F6" w:rsidRPr="003361E9" w:rsidRDefault="00E619F6" w:rsidP="009255BF">
            <w:pPr>
              <w:rPr>
                <w:szCs w:val="16"/>
              </w:rPr>
            </w:pPr>
          </w:p>
        </w:tc>
      </w:tr>
      <w:tr w:rsidR="00E619F6"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E619F6" w:rsidRPr="005E4D74" w:rsidRDefault="00E619F6" w:rsidP="009255BF">
            <w:pPr>
              <w:jc w:val="center"/>
              <w:rPr>
                <w:szCs w:val="16"/>
              </w:rPr>
            </w:pP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autoSpaceDE w:val="0"/>
              <w:jc w:val="center"/>
              <w:rPr>
                <w:rStyle w:val="Fett"/>
                <w:rFonts w:cs="Arial"/>
                <w:b w:val="0"/>
                <w:bCs/>
                <w:szCs w:val="16"/>
              </w:rPr>
            </w:pPr>
            <w:r w:rsidRPr="005A4AB9">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autoSpaceDE w:val="0"/>
              <w:jc w:val="center"/>
              <w:rPr>
                <w:rStyle w:val="Fett"/>
                <w:rFonts w:cs="Arial"/>
                <w:b w:val="0"/>
                <w:bCs/>
                <w:szCs w:val="16"/>
              </w:rPr>
            </w:pPr>
            <w:r w:rsidRPr="005A4AB9">
              <w:t>I b nach 11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Default="00E619F6" w:rsidP="009255BF">
            <w:pPr>
              <w:pStyle w:val="StandardWeb"/>
              <w:autoSpaceDE w:val="0"/>
              <w:jc w:val="center"/>
              <w:rPr>
                <w:rStyle w:val="Fett"/>
                <w:rFonts w:cs="Arial"/>
                <w:b w:val="0"/>
                <w:bCs/>
                <w:szCs w:val="16"/>
              </w:rPr>
            </w:pPr>
            <w:r>
              <w:t>OZ 1</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45</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6</w:t>
            </w:r>
            <w:r w:rsidRPr="005A4AB9">
              <w:t>0 €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E619F6" w:rsidRPr="003361E9" w:rsidRDefault="00E619F6" w:rsidP="009255BF">
            <w:pPr>
              <w:pStyle w:val="StandardWeb"/>
              <w:jc w:val="center"/>
              <w:rPr>
                <w:rFonts w:cs="Arial"/>
                <w:szCs w:val="16"/>
              </w:rPr>
            </w:pPr>
            <w:r>
              <w:t>dauerhaft</w:t>
            </w:r>
          </w:p>
        </w:tc>
        <w:tc>
          <w:tcPr>
            <w:tcW w:w="188" w:type="dxa"/>
            <w:vAlign w:val="center"/>
          </w:tcPr>
          <w:p w:rsidR="00E619F6" w:rsidRPr="003361E9" w:rsidRDefault="00E619F6" w:rsidP="009255BF">
            <w:pPr>
              <w:rPr>
                <w:szCs w:val="16"/>
              </w:rPr>
            </w:pPr>
          </w:p>
        </w:tc>
      </w:tr>
      <w:tr w:rsidR="00A10DCE" w:rsidRPr="003361E9" w:rsidTr="00A6532C">
        <w:trPr>
          <w:trHeight w:val="567"/>
          <w:jc w:val="center"/>
        </w:trPr>
        <w:tc>
          <w:tcPr>
            <w:tcW w:w="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10DCE" w:rsidRPr="005E4D74" w:rsidRDefault="00A10DCE" w:rsidP="009255BF">
            <w:pPr>
              <w:jc w:val="center"/>
              <w:rPr>
                <w:szCs w:val="16"/>
              </w:rPr>
            </w:pPr>
            <w:r>
              <w:rPr>
                <w:szCs w:val="16"/>
              </w:rPr>
              <w:t>14</w:t>
            </w:r>
          </w:p>
        </w:tc>
        <w:tc>
          <w:tcPr>
            <w:tcW w:w="1151"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361E9" w:rsidRDefault="00A10DCE" w:rsidP="009255BF">
            <w:pPr>
              <w:pStyle w:val="StandardWeb"/>
              <w:autoSpaceDE w:val="0"/>
              <w:jc w:val="center"/>
              <w:rPr>
                <w:rStyle w:val="Fett"/>
                <w:rFonts w:cs="Arial"/>
                <w:b w:val="0"/>
                <w:bCs/>
                <w:szCs w:val="16"/>
              </w:rPr>
            </w:pPr>
            <w:r w:rsidRPr="005A4AB9">
              <w:t>II a</w:t>
            </w:r>
          </w:p>
        </w:tc>
        <w:tc>
          <w:tcPr>
            <w:tcW w:w="824"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361E9" w:rsidRDefault="00A10DCE" w:rsidP="009255BF">
            <w:pPr>
              <w:pStyle w:val="StandardWeb"/>
              <w:autoSpaceDE w:val="0"/>
              <w:jc w:val="center"/>
              <w:rPr>
                <w:rStyle w:val="Fett"/>
                <w:rFonts w:cs="Arial"/>
                <w:b w:val="0"/>
                <w:bCs/>
                <w:szCs w:val="16"/>
              </w:rPr>
            </w:pPr>
            <w:r w:rsidRPr="005A4AB9">
              <w:t>I b nach 11 Jahren</w:t>
            </w:r>
          </w:p>
        </w:tc>
        <w:tc>
          <w:tcPr>
            <w:tcW w:w="931"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Default="00A10DCE" w:rsidP="009255BF">
            <w:pPr>
              <w:pStyle w:val="StandardWeb"/>
              <w:autoSpaceDE w:val="0"/>
              <w:jc w:val="center"/>
              <w:rPr>
                <w:rStyle w:val="Fett"/>
                <w:rFonts w:cs="Arial"/>
                <w:b w:val="0"/>
                <w:bCs/>
                <w:szCs w:val="16"/>
              </w:rPr>
            </w:pPr>
            <w:r>
              <w:t>OZ 2</w:t>
            </w:r>
          </w:p>
        </w:tc>
        <w:tc>
          <w:tcPr>
            <w:tcW w:w="989"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361E9" w:rsidRDefault="00A10DCE" w:rsidP="009255BF">
            <w:pPr>
              <w:pStyle w:val="StandardWeb"/>
              <w:jc w:val="center"/>
              <w:rPr>
                <w:rFonts w:cs="Arial"/>
                <w:szCs w:val="16"/>
              </w:rPr>
            </w:pPr>
            <w:r>
              <w:t>35</w:t>
            </w:r>
          </w:p>
        </w:tc>
        <w:tc>
          <w:tcPr>
            <w:tcW w:w="865"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361E9" w:rsidRDefault="00A10DCE" w:rsidP="009255BF">
            <w:pPr>
              <w:pStyle w:val="StandardWeb"/>
              <w:jc w:val="center"/>
              <w:rPr>
                <w:rFonts w:cs="Arial"/>
                <w:szCs w:val="16"/>
              </w:rPr>
            </w:pPr>
            <w:r>
              <w:t>110</w:t>
            </w:r>
            <w:r w:rsidRPr="005A4AB9">
              <w:t xml:space="preserve"> €</w:t>
            </w:r>
          </w:p>
        </w:tc>
        <w:tc>
          <w:tcPr>
            <w:tcW w:w="1075"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Default="00A10DCE" w:rsidP="009255BF">
            <w:pPr>
              <w:pStyle w:val="StandardWeb"/>
              <w:jc w:val="center"/>
            </w:pPr>
            <w:r>
              <w:t>nach</w:t>
            </w:r>
          </w:p>
          <w:p w:rsidR="00A10DCE" w:rsidRPr="003361E9" w:rsidRDefault="00A10DCE" w:rsidP="009255BF">
            <w:pPr>
              <w:pStyle w:val="StandardWeb"/>
              <w:jc w:val="center"/>
              <w:rPr>
                <w:rFonts w:cs="Arial"/>
                <w:szCs w:val="16"/>
              </w:rPr>
            </w:pPr>
            <w:r>
              <w:t>3 Jahren für 3 Jahre</w:t>
            </w:r>
          </w:p>
        </w:tc>
        <w:tc>
          <w:tcPr>
            <w:tcW w:w="188" w:type="dxa"/>
            <w:vAlign w:val="center"/>
          </w:tcPr>
          <w:p w:rsidR="00A10DCE" w:rsidRPr="003361E9" w:rsidRDefault="00A10DCE" w:rsidP="009255BF">
            <w:pPr>
              <w:rPr>
                <w:szCs w:val="16"/>
              </w:rPr>
            </w:pPr>
          </w:p>
        </w:tc>
      </w:tr>
    </w:tbl>
    <w:p w:rsidR="00930C5E" w:rsidRDefault="00930C5E">
      <w:pPr>
        <w:pStyle w:val="StandardWeb"/>
      </w:pPr>
    </w:p>
    <w:p w:rsidR="00BE1EFE" w:rsidRDefault="00BE1EFE">
      <w:pPr>
        <w:pStyle w:val="StandardWeb"/>
      </w:pPr>
      <w:r>
        <w:br w:type="page"/>
      </w:r>
    </w:p>
    <w:p w:rsidR="00A10DCE" w:rsidRDefault="00A10DCE">
      <w:pPr>
        <w:pStyle w:val="StandardWeb"/>
      </w:pPr>
    </w:p>
    <w:tbl>
      <w:tblPr>
        <w:tblW w:w="6747" w:type="dxa"/>
        <w:jc w:val="center"/>
        <w:tblCellMar>
          <w:left w:w="0" w:type="dxa"/>
          <w:right w:w="0" w:type="dxa"/>
        </w:tblCellMar>
        <w:tblLook w:val="04A0" w:firstRow="1" w:lastRow="0" w:firstColumn="1" w:lastColumn="0" w:noHBand="0" w:noVBand="1"/>
      </w:tblPr>
      <w:tblGrid>
        <w:gridCol w:w="738"/>
        <w:gridCol w:w="1149"/>
        <w:gridCol w:w="834"/>
        <w:gridCol w:w="950"/>
        <w:gridCol w:w="998"/>
        <w:gridCol w:w="891"/>
        <w:gridCol w:w="1132"/>
        <w:gridCol w:w="55"/>
      </w:tblGrid>
      <w:tr w:rsidR="00BE1EFE" w:rsidRPr="003361E9" w:rsidTr="00D338BB">
        <w:trPr>
          <w:trHeight w:val="255"/>
          <w:jc w:val="center"/>
        </w:trPr>
        <w:tc>
          <w:tcPr>
            <w:tcW w:w="738"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Entgelt-gruppe</w:t>
            </w:r>
          </w:p>
        </w:tc>
        <w:tc>
          <w:tcPr>
            <w:tcW w:w="114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rFonts w:cs="Arial"/>
                <w:b/>
                <w:bCs/>
                <w:szCs w:val="16"/>
              </w:rPr>
            </w:pPr>
            <w:r w:rsidRPr="003361E9">
              <w:rPr>
                <w:rStyle w:val="Fett"/>
                <w:rFonts w:cs="Arial"/>
                <w:bCs/>
                <w:szCs w:val="16"/>
              </w:rPr>
              <w:t xml:space="preserve">Vergütungs-gruppe bei Inkrafttreten </w:t>
            </w:r>
          </w:p>
          <w:p w:rsidR="00BE1EFE" w:rsidRPr="003361E9" w:rsidRDefault="00BE1EFE" w:rsidP="0054275E">
            <w:pPr>
              <w:pStyle w:val="StandardWeb"/>
              <w:autoSpaceDE w:val="0"/>
              <w:jc w:val="center"/>
              <w:rPr>
                <w:szCs w:val="16"/>
              </w:rPr>
            </w:pPr>
            <w:r w:rsidRPr="003361E9">
              <w:rPr>
                <w:rStyle w:val="Fett"/>
                <w:rFonts w:cs="Arial"/>
                <w:bCs/>
                <w:szCs w:val="16"/>
              </w:rPr>
              <w:t xml:space="preserve"> Teil A, 3.</w:t>
            </w:r>
          </w:p>
        </w:tc>
        <w:tc>
          <w:tcPr>
            <w:tcW w:w="834"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Aufstieg</w:t>
            </w:r>
          </w:p>
        </w:tc>
        <w:tc>
          <w:tcPr>
            <w:tcW w:w="950"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Orts-Zuschlag Stufe 1, 2</w:t>
            </w:r>
          </w:p>
        </w:tc>
        <w:tc>
          <w:tcPr>
            <w:tcW w:w="998"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Lebens-altersstufe</w:t>
            </w:r>
          </w:p>
        </w:tc>
        <w:tc>
          <w:tcPr>
            <w:tcW w:w="89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Höhe Aus-gleichs-betrag</w:t>
            </w:r>
          </w:p>
        </w:tc>
        <w:tc>
          <w:tcPr>
            <w:tcW w:w="113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Cs/>
                <w:szCs w:val="16"/>
              </w:rPr>
              <w:t>Dauer</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55"/>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1948" w:type="dxa"/>
            <w:gridSpan w:val="2"/>
            <w:vMerge w:val="restart"/>
            <w:tcBorders>
              <w:top w:val="nil"/>
              <w:left w:val="nil"/>
              <w:bottom w:val="single" w:sz="8" w:space="0" w:color="auto"/>
              <w:right w:val="single" w:sz="8" w:space="0" w:color="auto"/>
            </w:tcBorders>
            <w:tcMar>
              <w:top w:w="0" w:type="dxa"/>
              <w:left w:w="70" w:type="dxa"/>
              <w:bottom w:w="0" w:type="dxa"/>
              <w:right w:w="70" w:type="dxa"/>
            </w:tcMar>
            <w:hideMark/>
          </w:tcPr>
          <w:p w:rsidR="00BE1EFE" w:rsidRPr="003361E9" w:rsidRDefault="00BE1EFE" w:rsidP="00F73F91">
            <w:pPr>
              <w:pStyle w:val="StandardWeb"/>
              <w:autoSpaceDE w:val="0"/>
              <w:spacing w:before="60"/>
              <w:jc w:val="center"/>
              <w:rPr>
                <w:szCs w:val="16"/>
              </w:rPr>
            </w:pPr>
            <w:r w:rsidRPr="003361E9">
              <w:rPr>
                <w:rStyle w:val="Fett"/>
                <w:rFonts w:cs="Arial"/>
                <w:bCs/>
                <w:szCs w:val="16"/>
              </w:rPr>
              <w:t xml:space="preserve">bei Inkrafttreten </w:t>
            </w:r>
          </w:p>
          <w:p w:rsidR="00BE1EFE" w:rsidRPr="003361E9" w:rsidRDefault="00BE1EFE" w:rsidP="00F73F91">
            <w:pPr>
              <w:pStyle w:val="StandardWeb"/>
              <w:autoSpaceDE w:val="0"/>
              <w:jc w:val="center"/>
              <w:rPr>
                <w:szCs w:val="16"/>
              </w:rPr>
            </w:pPr>
            <w:r w:rsidRPr="003361E9">
              <w:rPr>
                <w:rStyle w:val="Fett"/>
                <w:rFonts w:cs="Arial"/>
                <w:bCs/>
                <w:szCs w:val="16"/>
              </w:rPr>
              <w:t>Teil A, 3.</w:t>
            </w: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gridSpan w:val="2"/>
            <w:vMerge/>
            <w:tcBorders>
              <w:top w:val="nil"/>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3361E9" w:rsidRDefault="00BE1EFE">
            <w:pPr>
              <w:rPr>
                <w:szCs w:val="16"/>
              </w:rPr>
            </w:pPr>
          </w:p>
        </w:tc>
        <w:tc>
          <w:tcPr>
            <w:tcW w:w="55" w:type="dxa"/>
            <w:vAlign w:val="center"/>
            <w:hideMark/>
          </w:tcPr>
          <w:p w:rsidR="00BE1EFE" w:rsidRPr="003361E9" w:rsidRDefault="00BE1EFE">
            <w:pPr>
              <w:rPr>
                <w:szCs w:val="16"/>
              </w:rPr>
            </w:pPr>
            <w:r w:rsidRPr="003361E9">
              <w:rPr>
                <w:szCs w:val="16"/>
              </w:rPr>
              <w:t> </w:t>
            </w:r>
          </w:p>
        </w:tc>
      </w:tr>
      <w:tr w:rsidR="00A10DCE" w:rsidRPr="003361E9" w:rsidTr="009255BF">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9255BF">
            <w:pPr>
              <w:jc w:val="center"/>
            </w:pPr>
            <w:r>
              <w:t>14</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9255BF">
            <w:pPr>
              <w:jc w:val="center"/>
            </w:pPr>
            <w:r w:rsidRPr="00B36419">
              <w:t>II a</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9255BF">
            <w:pPr>
              <w:jc w:val="center"/>
            </w:pPr>
            <w:r w:rsidRPr="00B36419">
              <w:t>I b nach 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9255BF">
            <w:pPr>
              <w:jc w:val="center"/>
            </w:pPr>
            <w:r w:rsidRPr="00B36419">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9255BF">
            <w:pPr>
              <w:jc w:val="center"/>
            </w:pPr>
            <w:r>
              <w:t>37</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9255BF">
            <w:pPr>
              <w:jc w:val="center"/>
            </w:pPr>
            <w:r w:rsidRPr="00B36419">
              <w:t>110 €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9255BF">
            <w:pPr>
              <w:jc w:val="center"/>
            </w:pPr>
            <w:r w:rsidRPr="00B36419">
              <w:t>dauerhaft</w:t>
            </w:r>
          </w:p>
        </w:tc>
        <w:tc>
          <w:tcPr>
            <w:tcW w:w="55" w:type="dxa"/>
            <w:vAlign w:val="center"/>
          </w:tcPr>
          <w:p w:rsidR="00A10DCE" w:rsidRDefault="00A10DCE" w:rsidP="009255BF">
            <w:pPr>
              <w:jc w:val="center"/>
            </w:pPr>
          </w:p>
        </w:tc>
      </w:tr>
      <w:tr w:rsidR="00A10DCE" w:rsidRPr="003361E9" w:rsidTr="00A10DCE">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A10DCE">
            <w:pPr>
              <w:jc w:val="cente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A10DCE">
            <w:pPr>
              <w:jc w:val="center"/>
            </w:pPr>
            <w:r w:rsidRPr="00B36419">
              <w:t>II a</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A10DCE">
            <w:pPr>
              <w:jc w:val="center"/>
            </w:pPr>
            <w:r w:rsidRPr="00B36419">
              <w:t>I b nach 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A10DCE">
            <w:pPr>
              <w:jc w:val="center"/>
            </w:pPr>
            <w:r w:rsidRPr="00B36419">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A10DCE">
            <w:pPr>
              <w:jc w:val="center"/>
            </w:pPr>
            <w:r w:rsidRPr="00B36419">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A10DCE">
            <w:pPr>
              <w:jc w:val="center"/>
            </w:pPr>
            <w:r w:rsidRPr="00B36419">
              <w:t>110 €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36419" w:rsidRDefault="00A10DCE" w:rsidP="00A10DCE">
            <w:pPr>
              <w:jc w:val="center"/>
            </w:pPr>
            <w:r w:rsidRPr="00B36419">
              <w:t>dauerhaft</w:t>
            </w:r>
          </w:p>
        </w:tc>
        <w:tc>
          <w:tcPr>
            <w:tcW w:w="55" w:type="dxa"/>
            <w:vAlign w:val="center"/>
          </w:tcPr>
          <w:p w:rsidR="00A10DCE" w:rsidRDefault="00A10DCE" w:rsidP="00A10DCE">
            <w:pPr>
              <w:jc w:val="center"/>
            </w:pPr>
          </w:p>
        </w:tc>
      </w:tr>
      <w:tr w:rsidR="00A10DCE" w:rsidRPr="003361E9" w:rsidTr="00A10DCE">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10DCE" w:rsidRPr="003E10BE" w:rsidRDefault="00A10DCE" w:rsidP="00A10DCE">
            <w:pPr>
              <w:jc w:val="cente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E10BE" w:rsidRDefault="00A10DCE" w:rsidP="00A10DCE">
            <w:pPr>
              <w:jc w:val="center"/>
            </w:pPr>
            <w:r w:rsidRPr="003E10BE">
              <w:t>II a</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E10BE" w:rsidRDefault="00A10DCE" w:rsidP="00A10DCE">
            <w:pPr>
              <w:jc w:val="center"/>
            </w:pPr>
            <w:r w:rsidRPr="003E10BE">
              <w:t>I b nach 11 Jahren</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E10BE" w:rsidRDefault="00A10DCE" w:rsidP="00A10DCE">
            <w:pPr>
              <w:jc w:val="center"/>
            </w:pPr>
            <w:r w:rsidRPr="003E10BE">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E10BE" w:rsidRDefault="00A10DCE" w:rsidP="00A10DCE">
            <w:pPr>
              <w:jc w:val="center"/>
            </w:pPr>
            <w:r w:rsidRPr="003E10BE">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E10BE" w:rsidRDefault="00A10DCE" w:rsidP="00A10DCE">
            <w:pPr>
              <w:jc w:val="center"/>
            </w:pPr>
            <w:r w:rsidRPr="003E10BE">
              <w:t>110 €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3E10BE" w:rsidRDefault="00A10DCE" w:rsidP="00A10DCE">
            <w:pPr>
              <w:jc w:val="center"/>
            </w:pPr>
            <w:r w:rsidRPr="003E10BE">
              <w:t>dauerhaft</w:t>
            </w:r>
          </w:p>
        </w:tc>
        <w:tc>
          <w:tcPr>
            <w:tcW w:w="55" w:type="dxa"/>
            <w:vAlign w:val="center"/>
          </w:tcPr>
          <w:p w:rsidR="00A10DCE" w:rsidRDefault="00A10DCE" w:rsidP="00A10DCE">
            <w:pPr>
              <w:jc w:val="center"/>
            </w:pPr>
          </w:p>
        </w:tc>
      </w:tr>
      <w:tr w:rsidR="00A10DCE" w:rsidRPr="003361E9" w:rsidTr="00A10DCE">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10DCE" w:rsidRPr="005B4F83" w:rsidRDefault="00A10DCE" w:rsidP="00A10DCE">
            <w:pPr>
              <w:jc w:val="cente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5B4F83" w:rsidRDefault="00A10DCE" w:rsidP="00A10DCE">
            <w:pPr>
              <w:jc w:val="center"/>
            </w:pPr>
            <w:r w:rsidRPr="005B4F83">
              <w:t>II a</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5B4F83" w:rsidRDefault="00A10DCE" w:rsidP="00A10DCE">
            <w:pPr>
              <w:jc w:val="center"/>
            </w:pPr>
            <w:r w:rsidRPr="005B4F83">
              <w:t>I b nach</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5B4F83" w:rsidRDefault="00A10DCE" w:rsidP="00A10DCE">
            <w:pPr>
              <w:jc w:val="center"/>
            </w:pPr>
            <w:r w:rsidRPr="005B4F83">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5B4F83" w:rsidRDefault="00A10DCE" w:rsidP="00A10DCE">
            <w:pPr>
              <w:jc w:val="center"/>
            </w:pPr>
            <w:r w:rsidRPr="005B4F83">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5B4F83" w:rsidRDefault="00A10DCE" w:rsidP="00A10DCE">
            <w:pPr>
              <w:jc w:val="center"/>
            </w:pPr>
            <w:r w:rsidRPr="005B4F83">
              <w:t>110 €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5B4F83" w:rsidRDefault="00A10DCE" w:rsidP="00A10DCE">
            <w:pPr>
              <w:jc w:val="center"/>
            </w:pPr>
            <w:r>
              <w:t>d</w:t>
            </w:r>
            <w:r w:rsidRPr="005B4F83">
              <w:t>auerhaft</w:t>
            </w:r>
          </w:p>
        </w:tc>
        <w:tc>
          <w:tcPr>
            <w:tcW w:w="55" w:type="dxa"/>
            <w:vAlign w:val="center"/>
          </w:tcPr>
          <w:p w:rsidR="00A10DCE" w:rsidRDefault="00A10DCE" w:rsidP="00A10DCE">
            <w:pPr>
              <w:jc w:val="center"/>
            </w:pPr>
          </w:p>
        </w:tc>
      </w:tr>
      <w:tr w:rsidR="00A10DCE" w:rsidRPr="003361E9" w:rsidTr="00A10DCE">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10DCE" w:rsidRPr="00B84F39" w:rsidRDefault="00A10DCE" w:rsidP="00A10DCE">
            <w:pPr>
              <w:jc w:val="center"/>
            </w:pPr>
            <w:r w:rsidRPr="00B84F39">
              <w:t>14</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84F39" w:rsidRDefault="00A10DCE" w:rsidP="00A10DCE">
            <w:pPr>
              <w:jc w:val="center"/>
            </w:pPr>
            <w:r w:rsidRPr="00B84F39">
              <w:t>II a</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84F39" w:rsidRDefault="00A10DCE" w:rsidP="00A10DCE">
            <w:pPr>
              <w:jc w:val="center"/>
            </w:pPr>
            <w:r w:rsidRPr="00B84F39">
              <w:t>I b nach</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84F39" w:rsidRDefault="00A10DCE" w:rsidP="00A10DCE">
            <w:pPr>
              <w:jc w:val="center"/>
            </w:pPr>
            <w:r w:rsidRPr="00B84F39">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84F39" w:rsidRDefault="00A10DCE" w:rsidP="00A10DCE">
            <w:pPr>
              <w:jc w:val="center"/>
            </w:pPr>
            <w:r w:rsidRPr="00B84F39">
              <w:t>45</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84F39" w:rsidRDefault="00A10DCE" w:rsidP="00A10DCE">
            <w:pPr>
              <w:jc w:val="center"/>
            </w:pPr>
            <w:r w:rsidRPr="00B84F39">
              <w:t>60 €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tcPr>
          <w:p w:rsidR="00A10DCE" w:rsidRPr="00B84F39" w:rsidRDefault="00A10DCE" w:rsidP="00A10DCE">
            <w:pPr>
              <w:jc w:val="center"/>
            </w:pPr>
            <w:r w:rsidRPr="00B84F39">
              <w:t>dauerhaft</w:t>
            </w:r>
          </w:p>
        </w:tc>
        <w:tc>
          <w:tcPr>
            <w:tcW w:w="55" w:type="dxa"/>
            <w:vAlign w:val="center"/>
          </w:tcPr>
          <w:p w:rsidR="00A10DCE" w:rsidRDefault="00A10DCE" w:rsidP="00A10DCE">
            <w:pPr>
              <w:jc w:val="center"/>
            </w:pPr>
          </w:p>
        </w:tc>
      </w:tr>
      <w:tr w:rsidR="00BE1EFE" w:rsidRPr="003361E9" w:rsidTr="00D338BB">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r w:rsidRPr="005E4D74">
              <w:rPr>
                <w:szCs w:val="16"/>
              </w:rPr>
              <w:t>14</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35</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100 €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4 Jahre</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80 €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rFonts w:cs="Arial"/>
                <w:szCs w:val="16"/>
              </w:rPr>
            </w:pPr>
            <w:r w:rsidRPr="003361E9">
              <w:rPr>
                <w:rFonts w:cs="Arial"/>
                <w:szCs w:val="16"/>
              </w:rPr>
              <w:t xml:space="preserve">nach </w:t>
            </w:r>
          </w:p>
          <w:p w:rsidR="00BE1EFE" w:rsidRPr="003361E9" w:rsidRDefault="00BE1EFE">
            <w:pPr>
              <w:pStyle w:val="StandardWeb"/>
              <w:jc w:val="center"/>
              <w:rPr>
                <w:szCs w:val="16"/>
              </w:rPr>
            </w:pPr>
            <w:r w:rsidRPr="003361E9">
              <w:rPr>
                <w:rFonts w:cs="Arial"/>
                <w:szCs w:val="16"/>
              </w:rPr>
              <w:t>4 Jahren 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80 €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1</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45</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r w:rsidRPr="005E4D74">
              <w:rPr>
                <w:szCs w:val="16"/>
              </w:rPr>
              <w:t>14</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50 €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für 4 Jahre</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34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39</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110 €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rFonts w:cs="Arial"/>
                <w:szCs w:val="16"/>
              </w:rPr>
            </w:pPr>
            <w:r w:rsidRPr="003361E9">
              <w:rPr>
                <w:rFonts w:cs="Arial"/>
                <w:szCs w:val="16"/>
              </w:rPr>
              <w:t xml:space="preserve">nach </w:t>
            </w:r>
          </w:p>
          <w:p w:rsidR="00BE1EFE" w:rsidRPr="003361E9" w:rsidRDefault="00BE1EFE">
            <w:pPr>
              <w:pStyle w:val="StandardWeb"/>
              <w:jc w:val="center"/>
              <w:rPr>
                <w:rFonts w:cs="Arial"/>
                <w:szCs w:val="16"/>
              </w:rPr>
            </w:pPr>
            <w:r w:rsidRPr="003361E9">
              <w:rPr>
                <w:rFonts w:cs="Arial"/>
                <w:szCs w:val="16"/>
              </w:rPr>
              <w:t>4 Jahren</w:t>
            </w:r>
          </w:p>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41</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110 €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43</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110 €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r w:rsidR="00BE1EFE" w:rsidRPr="003361E9" w:rsidTr="00D338BB">
        <w:trPr>
          <w:trHeight w:val="270"/>
          <w:jc w:val="center"/>
        </w:trPr>
        <w:tc>
          <w:tcPr>
            <w:tcW w:w="738"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5E4D74" w:rsidRDefault="00BE1EFE" w:rsidP="001C4661">
            <w:pPr>
              <w:jc w:val="center"/>
              <w:rPr>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I b</w:t>
            </w:r>
          </w:p>
        </w:tc>
        <w:tc>
          <w:tcPr>
            <w:tcW w:w="834"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ohne</w:t>
            </w:r>
          </w:p>
        </w:tc>
        <w:tc>
          <w:tcPr>
            <w:tcW w:w="95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rsidP="0054275E">
            <w:pPr>
              <w:pStyle w:val="StandardWeb"/>
              <w:autoSpaceDE w:val="0"/>
              <w:jc w:val="center"/>
              <w:rPr>
                <w:szCs w:val="16"/>
              </w:rPr>
            </w:pPr>
            <w:r w:rsidRPr="003361E9">
              <w:rPr>
                <w:rStyle w:val="Fett"/>
                <w:rFonts w:cs="Arial"/>
                <w:b w:val="0"/>
                <w:bCs/>
                <w:szCs w:val="16"/>
              </w:rPr>
              <w:t>OZ 2</w:t>
            </w:r>
          </w:p>
        </w:tc>
        <w:tc>
          <w:tcPr>
            <w:tcW w:w="99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45</w:t>
            </w:r>
          </w:p>
        </w:tc>
        <w:tc>
          <w:tcPr>
            <w:tcW w:w="89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60 €</w:t>
            </w:r>
          </w:p>
        </w:tc>
        <w:tc>
          <w:tcPr>
            <w:tcW w:w="113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3361E9" w:rsidRDefault="00BE1EFE">
            <w:pPr>
              <w:pStyle w:val="StandardWeb"/>
              <w:jc w:val="center"/>
              <w:rPr>
                <w:szCs w:val="16"/>
              </w:rPr>
            </w:pPr>
            <w:r w:rsidRPr="003361E9">
              <w:rPr>
                <w:rFonts w:cs="Arial"/>
                <w:szCs w:val="16"/>
              </w:rPr>
              <w:t>dauerhaft</w:t>
            </w:r>
          </w:p>
        </w:tc>
        <w:tc>
          <w:tcPr>
            <w:tcW w:w="55" w:type="dxa"/>
            <w:vAlign w:val="center"/>
            <w:hideMark/>
          </w:tcPr>
          <w:p w:rsidR="00BE1EFE" w:rsidRPr="003361E9" w:rsidRDefault="00BE1EFE">
            <w:pPr>
              <w:rPr>
                <w:szCs w:val="16"/>
              </w:rPr>
            </w:pPr>
            <w:r w:rsidRPr="003361E9">
              <w:rPr>
                <w:szCs w:val="16"/>
              </w:rPr>
              <w:t> </w:t>
            </w:r>
          </w:p>
        </w:tc>
      </w:tr>
    </w:tbl>
    <w:p w:rsidR="00BE1EFE" w:rsidRDefault="005F75CA">
      <w:pPr>
        <w:pStyle w:val="StandardWeb"/>
      </w:pPr>
      <w:r>
        <w:br w:type="page"/>
      </w:r>
    </w:p>
    <w:p w:rsidR="00BE1EFE" w:rsidRDefault="00BE1EFE" w:rsidP="005F75CA">
      <w:pPr>
        <w:pStyle w:val="berschrift6"/>
        <w:spacing w:before="0"/>
      </w:pPr>
      <w:bookmarkStart w:id="693" w:name="_Toc473544424"/>
      <w:bookmarkStart w:id="694" w:name="_Toc523926226"/>
      <w:r>
        <w:lastRenderedPageBreak/>
        <w:t>Anlage 4</w:t>
      </w:r>
      <w:r>
        <w:rPr>
          <w:lang w:eastAsia="x-none"/>
        </w:rPr>
        <w:t>:</w:t>
      </w:r>
      <w:r>
        <w:t xml:space="preserve"> </w:t>
      </w:r>
      <w:r w:rsidRPr="00480F46">
        <w:t>Zuordnung der Lohngruppen zu den Entgeltgruppen</w:t>
      </w:r>
      <w:bookmarkEnd w:id="693"/>
      <w:bookmarkEnd w:id="694"/>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1"/>
        <w:gridCol w:w="4299"/>
      </w:tblGrid>
      <w:tr w:rsidR="00BE1EFE" w:rsidRPr="0056189C" w:rsidTr="00E87479">
        <w:tc>
          <w:tcPr>
            <w:tcW w:w="0" w:type="auto"/>
            <w:vAlign w:val="center"/>
          </w:tcPr>
          <w:p w:rsidR="00BE1EFE" w:rsidRPr="00B76821" w:rsidRDefault="00BE1EFE" w:rsidP="00E87479">
            <w:pPr>
              <w:pStyle w:val="h7"/>
              <w:keepNext w:val="0"/>
              <w:spacing w:before="0" w:after="0"/>
              <w:outlineLvl w:val="5"/>
              <w:rPr>
                <w:sz w:val="2"/>
              </w:rPr>
            </w:pPr>
          </w:p>
          <w:p w:rsidR="00BE1EFE" w:rsidRPr="0056189C" w:rsidRDefault="00BE1EFE" w:rsidP="00E87479">
            <w:pPr>
              <w:spacing w:before="120" w:after="120"/>
              <w:jc w:val="center"/>
              <w:rPr>
                <w:rFonts w:cs="Arial"/>
                <w:b/>
                <w:szCs w:val="16"/>
              </w:rPr>
            </w:pPr>
            <w:r w:rsidRPr="0056189C">
              <w:rPr>
                <w:rFonts w:cs="Arial"/>
                <w:b/>
                <w:szCs w:val="16"/>
              </w:rPr>
              <w:t>Entgelt</w:t>
            </w:r>
            <w:r>
              <w:rPr>
                <w:rFonts w:cs="Arial"/>
                <w:b/>
                <w:szCs w:val="16"/>
              </w:rPr>
              <w:t>gruppe</w:t>
            </w:r>
          </w:p>
        </w:tc>
        <w:tc>
          <w:tcPr>
            <w:tcW w:w="0" w:type="auto"/>
            <w:vAlign w:val="center"/>
          </w:tcPr>
          <w:p w:rsidR="00BE1EFE" w:rsidRPr="0056189C" w:rsidRDefault="00BE1EFE" w:rsidP="00E87479">
            <w:pPr>
              <w:spacing w:before="120" w:after="120"/>
              <w:jc w:val="center"/>
              <w:rPr>
                <w:rFonts w:cs="Arial"/>
                <w:b/>
                <w:szCs w:val="16"/>
              </w:rPr>
            </w:pPr>
            <w:r w:rsidRPr="0056189C">
              <w:rPr>
                <w:rFonts w:cs="Arial"/>
                <w:b/>
                <w:szCs w:val="16"/>
              </w:rPr>
              <w:t>Lohngruppe</w:t>
            </w:r>
          </w:p>
        </w:tc>
      </w:tr>
      <w:tr w:rsidR="00BE1EFE" w:rsidRPr="0056189C" w:rsidTr="009B251D">
        <w:tc>
          <w:tcPr>
            <w:tcW w:w="0" w:type="auto"/>
          </w:tcPr>
          <w:p w:rsidR="00BE1EFE" w:rsidRPr="00E87479" w:rsidRDefault="00BE1EFE" w:rsidP="00511BE3">
            <w:pPr>
              <w:spacing w:before="120" w:after="120"/>
              <w:jc w:val="center"/>
              <w:rPr>
                <w:rFonts w:cs="Arial"/>
                <w:b/>
                <w:szCs w:val="16"/>
              </w:rPr>
            </w:pPr>
            <w:r w:rsidRPr="00E87479">
              <w:rPr>
                <w:rFonts w:cs="Arial"/>
                <w:b/>
                <w:szCs w:val="16"/>
              </w:rPr>
              <w:t>9a</w:t>
            </w:r>
          </w:p>
        </w:tc>
        <w:tc>
          <w:tcPr>
            <w:tcW w:w="0" w:type="auto"/>
          </w:tcPr>
          <w:p w:rsidR="00BE1EFE" w:rsidRPr="0056189C" w:rsidRDefault="00BE1EFE" w:rsidP="00511BE3">
            <w:pPr>
              <w:spacing w:before="120" w:after="120"/>
              <w:rPr>
                <w:rFonts w:cs="Arial"/>
                <w:szCs w:val="16"/>
              </w:rPr>
            </w:pPr>
            <w:r w:rsidRPr="0056189C">
              <w:rPr>
                <w:rFonts w:cs="Arial"/>
                <w:szCs w:val="16"/>
              </w:rPr>
              <w:t>9 (Stufe 4 nach 7 Jahren in Stufe 3, keine Stufen 5 und 6)</w:t>
            </w:r>
          </w:p>
        </w:tc>
      </w:tr>
      <w:tr w:rsidR="00BE1EFE" w:rsidRPr="0056189C" w:rsidTr="00E87479">
        <w:tc>
          <w:tcPr>
            <w:tcW w:w="0" w:type="auto"/>
            <w:vAlign w:val="center"/>
          </w:tcPr>
          <w:p w:rsidR="00BE1EFE" w:rsidRPr="00E87479" w:rsidRDefault="00BE1EFE" w:rsidP="00E87479">
            <w:pPr>
              <w:spacing w:before="120" w:after="120"/>
              <w:jc w:val="center"/>
              <w:rPr>
                <w:rFonts w:cs="Arial"/>
                <w:b/>
                <w:szCs w:val="16"/>
              </w:rPr>
            </w:pPr>
            <w:r w:rsidRPr="00E87479">
              <w:rPr>
                <w:rFonts w:cs="Arial"/>
                <w:b/>
                <w:szCs w:val="16"/>
              </w:rPr>
              <w:t>8</w:t>
            </w:r>
          </w:p>
        </w:tc>
        <w:tc>
          <w:tcPr>
            <w:tcW w:w="0" w:type="auto"/>
          </w:tcPr>
          <w:p w:rsidR="00BE1EFE" w:rsidRPr="0056189C" w:rsidRDefault="00BE1EFE" w:rsidP="00511BE3">
            <w:pPr>
              <w:spacing w:before="120" w:after="120"/>
              <w:rPr>
                <w:rFonts w:cs="Arial"/>
                <w:szCs w:val="16"/>
              </w:rPr>
            </w:pPr>
            <w:r w:rsidRPr="0056189C">
              <w:rPr>
                <w:rFonts w:cs="Arial"/>
                <w:szCs w:val="16"/>
              </w:rPr>
              <w:t>8 mit Aufstieg nach 8a</w:t>
            </w:r>
          </w:p>
        </w:tc>
      </w:tr>
      <w:tr w:rsidR="00BE1EFE" w:rsidRPr="0056189C" w:rsidTr="00E87479">
        <w:tc>
          <w:tcPr>
            <w:tcW w:w="0" w:type="auto"/>
            <w:vAlign w:val="center"/>
          </w:tcPr>
          <w:p w:rsidR="00BE1EFE" w:rsidRPr="00E87479" w:rsidRDefault="00BE1EFE" w:rsidP="00E87479">
            <w:pPr>
              <w:spacing w:before="120" w:after="120"/>
              <w:jc w:val="center"/>
              <w:rPr>
                <w:rFonts w:cs="Arial"/>
                <w:b/>
                <w:szCs w:val="16"/>
              </w:rPr>
            </w:pPr>
            <w:r w:rsidRPr="00E87479">
              <w:rPr>
                <w:rFonts w:cs="Arial"/>
                <w:b/>
                <w:szCs w:val="16"/>
              </w:rPr>
              <w:t>7</w:t>
            </w:r>
          </w:p>
        </w:tc>
        <w:tc>
          <w:tcPr>
            <w:tcW w:w="0" w:type="auto"/>
          </w:tcPr>
          <w:p w:rsidR="00BE1EFE" w:rsidRPr="0056189C" w:rsidRDefault="00BE1EFE" w:rsidP="00511BE3">
            <w:pPr>
              <w:spacing w:before="120" w:after="120"/>
              <w:rPr>
                <w:rFonts w:cs="Arial"/>
                <w:szCs w:val="16"/>
              </w:rPr>
            </w:pPr>
            <w:r w:rsidRPr="0056189C">
              <w:rPr>
                <w:rFonts w:cs="Arial"/>
                <w:szCs w:val="16"/>
              </w:rPr>
              <w:t>7 mit Aufstieg nach 7a</w:t>
            </w:r>
          </w:p>
          <w:p w:rsidR="00BE1EFE" w:rsidRPr="0056189C" w:rsidRDefault="00BE1EFE" w:rsidP="00511BE3">
            <w:pPr>
              <w:spacing w:before="120" w:after="120"/>
              <w:rPr>
                <w:rFonts w:cs="Arial"/>
                <w:szCs w:val="16"/>
              </w:rPr>
            </w:pPr>
            <w:r w:rsidRPr="0056189C">
              <w:rPr>
                <w:rFonts w:cs="Arial"/>
                <w:szCs w:val="16"/>
              </w:rPr>
              <w:t>6 mit Aufstieg nach 7 und 7a</w:t>
            </w:r>
          </w:p>
        </w:tc>
      </w:tr>
      <w:tr w:rsidR="00BE1EFE" w:rsidRPr="0056189C" w:rsidTr="00E87479">
        <w:tc>
          <w:tcPr>
            <w:tcW w:w="0" w:type="auto"/>
            <w:vAlign w:val="center"/>
          </w:tcPr>
          <w:p w:rsidR="00BE1EFE" w:rsidRPr="00E87479" w:rsidRDefault="00BE1EFE" w:rsidP="00E87479">
            <w:pPr>
              <w:spacing w:before="120" w:after="120"/>
              <w:jc w:val="center"/>
              <w:rPr>
                <w:rFonts w:cs="Arial"/>
                <w:b/>
                <w:szCs w:val="16"/>
              </w:rPr>
            </w:pPr>
            <w:r w:rsidRPr="00E87479">
              <w:rPr>
                <w:rFonts w:cs="Arial"/>
                <w:b/>
                <w:szCs w:val="16"/>
              </w:rPr>
              <w:t>6</w:t>
            </w:r>
          </w:p>
        </w:tc>
        <w:tc>
          <w:tcPr>
            <w:tcW w:w="0" w:type="auto"/>
          </w:tcPr>
          <w:p w:rsidR="00BE1EFE" w:rsidRPr="0056189C" w:rsidRDefault="00BE1EFE" w:rsidP="00511BE3">
            <w:pPr>
              <w:spacing w:before="120" w:after="120"/>
              <w:rPr>
                <w:rFonts w:cs="Arial"/>
                <w:szCs w:val="16"/>
              </w:rPr>
            </w:pPr>
            <w:r w:rsidRPr="0056189C">
              <w:rPr>
                <w:rFonts w:cs="Arial"/>
                <w:szCs w:val="16"/>
              </w:rPr>
              <w:t>6 mit Aufstieg nach 6a</w:t>
            </w:r>
          </w:p>
          <w:p w:rsidR="00BE1EFE" w:rsidRPr="0056189C" w:rsidRDefault="00BE1EFE" w:rsidP="00511BE3">
            <w:pPr>
              <w:spacing w:before="120" w:after="120"/>
              <w:rPr>
                <w:rFonts w:cs="Arial"/>
                <w:szCs w:val="16"/>
              </w:rPr>
            </w:pPr>
            <w:r w:rsidRPr="0056189C">
              <w:rPr>
                <w:rFonts w:cs="Arial"/>
                <w:szCs w:val="16"/>
              </w:rPr>
              <w:t>5 mit Aufstieg nach 6 und 6a</w:t>
            </w:r>
          </w:p>
        </w:tc>
      </w:tr>
      <w:tr w:rsidR="00BE1EFE" w:rsidRPr="0056189C" w:rsidTr="00E87479">
        <w:tc>
          <w:tcPr>
            <w:tcW w:w="0" w:type="auto"/>
            <w:vAlign w:val="center"/>
          </w:tcPr>
          <w:p w:rsidR="00BE1EFE" w:rsidRPr="00E87479" w:rsidRDefault="00BE1EFE" w:rsidP="00E87479">
            <w:pPr>
              <w:spacing w:before="120" w:after="120"/>
              <w:jc w:val="center"/>
              <w:rPr>
                <w:rFonts w:cs="Arial"/>
                <w:b/>
                <w:szCs w:val="16"/>
              </w:rPr>
            </w:pPr>
            <w:r w:rsidRPr="00E87479">
              <w:rPr>
                <w:rFonts w:cs="Arial"/>
                <w:b/>
                <w:szCs w:val="16"/>
              </w:rPr>
              <w:t>5</w:t>
            </w:r>
          </w:p>
        </w:tc>
        <w:tc>
          <w:tcPr>
            <w:tcW w:w="0" w:type="auto"/>
          </w:tcPr>
          <w:p w:rsidR="00BE1EFE" w:rsidRPr="0056189C" w:rsidRDefault="00BE1EFE" w:rsidP="00511BE3">
            <w:pPr>
              <w:spacing w:before="120" w:after="120"/>
              <w:rPr>
                <w:rFonts w:cs="Arial"/>
                <w:szCs w:val="16"/>
              </w:rPr>
            </w:pPr>
            <w:r w:rsidRPr="0056189C">
              <w:rPr>
                <w:rFonts w:cs="Arial"/>
                <w:szCs w:val="16"/>
              </w:rPr>
              <w:t>5 mit Aufstieg nach 5a</w:t>
            </w:r>
          </w:p>
          <w:p w:rsidR="00BE1EFE" w:rsidRPr="0056189C" w:rsidRDefault="00BE1EFE" w:rsidP="00511BE3">
            <w:pPr>
              <w:spacing w:before="120" w:after="120"/>
              <w:rPr>
                <w:rFonts w:cs="Arial"/>
                <w:szCs w:val="16"/>
              </w:rPr>
            </w:pPr>
            <w:r w:rsidRPr="0056189C">
              <w:rPr>
                <w:rFonts w:cs="Arial"/>
                <w:szCs w:val="16"/>
              </w:rPr>
              <w:t>4 mit Aufstieg nach 5 und 5a</w:t>
            </w:r>
          </w:p>
        </w:tc>
      </w:tr>
      <w:tr w:rsidR="00BE1EFE" w:rsidRPr="0056189C" w:rsidTr="00E87479">
        <w:tc>
          <w:tcPr>
            <w:tcW w:w="0" w:type="auto"/>
            <w:vAlign w:val="center"/>
          </w:tcPr>
          <w:p w:rsidR="00BE1EFE" w:rsidRPr="00E87479" w:rsidRDefault="00BE1EFE" w:rsidP="00E87479">
            <w:pPr>
              <w:spacing w:before="120" w:after="120"/>
              <w:jc w:val="center"/>
              <w:rPr>
                <w:rFonts w:cs="Arial"/>
                <w:b/>
                <w:szCs w:val="16"/>
              </w:rPr>
            </w:pPr>
            <w:r w:rsidRPr="00E87479">
              <w:rPr>
                <w:rFonts w:cs="Arial"/>
                <w:b/>
                <w:szCs w:val="16"/>
              </w:rPr>
              <w:t>4</w:t>
            </w:r>
          </w:p>
        </w:tc>
        <w:tc>
          <w:tcPr>
            <w:tcW w:w="0" w:type="auto"/>
          </w:tcPr>
          <w:p w:rsidR="00BE1EFE" w:rsidRPr="0056189C" w:rsidRDefault="00BE1EFE" w:rsidP="00511BE3">
            <w:pPr>
              <w:spacing w:before="120" w:after="120"/>
              <w:rPr>
                <w:rFonts w:cs="Arial"/>
                <w:szCs w:val="16"/>
              </w:rPr>
            </w:pPr>
            <w:r w:rsidRPr="0056189C">
              <w:rPr>
                <w:rFonts w:cs="Arial"/>
                <w:szCs w:val="16"/>
              </w:rPr>
              <w:t>4 mit Aufstieg nach 4a</w:t>
            </w:r>
          </w:p>
          <w:p w:rsidR="00BE1EFE" w:rsidRPr="0056189C" w:rsidRDefault="00BE1EFE" w:rsidP="00511BE3">
            <w:pPr>
              <w:spacing w:before="120" w:after="120"/>
              <w:rPr>
                <w:rFonts w:cs="Arial"/>
                <w:szCs w:val="16"/>
              </w:rPr>
            </w:pPr>
            <w:r w:rsidRPr="0056189C">
              <w:rPr>
                <w:rFonts w:cs="Arial"/>
                <w:szCs w:val="16"/>
              </w:rPr>
              <w:t>3 mit Aufstieg nach 4 und 4a</w:t>
            </w:r>
          </w:p>
        </w:tc>
      </w:tr>
      <w:tr w:rsidR="00BE1EFE" w:rsidRPr="0056189C" w:rsidTr="00E87479">
        <w:tc>
          <w:tcPr>
            <w:tcW w:w="0" w:type="auto"/>
            <w:vAlign w:val="center"/>
          </w:tcPr>
          <w:p w:rsidR="00BE1EFE" w:rsidRPr="00E87479" w:rsidRDefault="00BE1EFE" w:rsidP="00E87479">
            <w:pPr>
              <w:spacing w:before="120" w:after="120"/>
              <w:jc w:val="center"/>
              <w:rPr>
                <w:rFonts w:cs="Arial"/>
                <w:b/>
                <w:szCs w:val="16"/>
              </w:rPr>
            </w:pPr>
            <w:r w:rsidRPr="00E87479">
              <w:rPr>
                <w:rFonts w:cs="Arial"/>
                <w:b/>
                <w:szCs w:val="16"/>
              </w:rPr>
              <w:t>3</w:t>
            </w:r>
          </w:p>
        </w:tc>
        <w:tc>
          <w:tcPr>
            <w:tcW w:w="0" w:type="auto"/>
          </w:tcPr>
          <w:p w:rsidR="00BE1EFE" w:rsidRPr="0056189C" w:rsidRDefault="00BE1EFE" w:rsidP="00511BE3">
            <w:pPr>
              <w:spacing w:before="120" w:after="120"/>
              <w:rPr>
                <w:rFonts w:cs="Arial"/>
                <w:szCs w:val="16"/>
              </w:rPr>
            </w:pPr>
            <w:r w:rsidRPr="0056189C">
              <w:rPr>
                <w:rFonts w:cs="Arial"/>
                <w:szCs w:val="16"/>
              </w:rPr>
              <w:t>3 mit Aufstieg nach 3a</w:t>
            </w:r>
          </w:p>
          <w:p w:rsidR="00BE1EFE" w:rsidRPr="0056189C" w:rsidRDefault="00BE1EFE" w:rsidP="00511BE3">
            <w:pPr>
              <w:spacing w:before="120" w:after="120"/>
              <w:rPr>
                <w:rFonts w:cs="Arial"/>
                <w:szCs w:val="16"/>
              </w:rPr>
            </w:pPr>
            <w:r w:rsidRPr="0056189C">
              <w:rPr>
                <w:rFonts w:cs="Arial"/>
                <w:szCs w:val="16"/>
              </w:rPr>
              <w:t>2a mit Aufstieg nach 3 und 3a</w:t>
            </w:r>
          </w:p>
          <w:p w:rsidR="00BE1EFE" w:rsidRPr="0056189C" w:rsidRDefault="00BE1EFE" w:rsidP="00511BE3">
            <w:pPr>
              <w:spacing w:before="120" w:after="120"/>
              <w:rPr>
                <w:rFonts w:cs="Arial"/>
                <w:szCs w:val="16"/>
              </w:rPr>
            </w:pPr>
            <w:r w:rsidRPr="0056189C">
              <w:rPr>
                <w:rFonts w:cs="Arial"/>
                <w:szCs w:val="16"/>
              </w:rPr>
              <w:t>2 mit Aufstieg nach 2a, 3 und 3a</w:t>
            </w:r>
          </w:p>
          <w:p w:rsidR="00BE1EFE" w:rsidRPr="0056189C" w:rsidRDefault="00BE1EFE" w:rsidP="00511BE3">
            <w:pPr>
              <w:spacing w:before="120" w:after="120"/>
              <w:rPr>
                <w:rFonts w:cs="Arial"/>
                <w:szCs w:val="16"/>
              </w:rPr>
            </w:pPr>
            <w:r w:rsidRPr="0056189C">
              <w:rPr>
                <w:rFonts w:cs="Arial"/>
                <w:szCs w:val="16"/>
              </w:rPr>
              <w:t>2 mit Aufstieg nach 2a und 3 (keine Stufe 6)</w:t>
            </w:r>
          </w:p>
        </w:tc>
      </w:tr>
      <w:tr w:rsidR="00BE1EFE" w:rsidRPr="0056189C" w:rsidTr="00E87479">
        <w:tc>
          <w:tcPr>
            <w:tcW w:w="0" w:type="auto"/>
            <w:vAlign w:val="center"/>
          </w:tcPr>
          <w:p w:rsidR="00BE1EFE" w:rsidRPr="00E87479" w:rsidRDefault="00BE1EFE" w:rsidP="00E87479">
            <w:pPr>
              <w:spacing w:before="120" w:after="120"/>
              <w:jc w:val="center"/>
              <w:rPr>
                <w:rFonts w:cs="Arial"/>
                <w:b/>
                <w:szCs w:val="16"/>
              </w:rPr>
            </w:pPr>
            <w:r w:rsidRPr="00E87479">
              <w:rPr>
                <w:rFonts w:cs="Arial"/>
                <w:b/>
                <w:szCs w:val="16"/>
              </w:rPr>
              <w:t>2Ü</w:t>
            </w:r>
          </w:p>
        </w:tc>
        <w:tc>
          <w:tcPr>
            <w:tcW w:w="0" w:type="auto"/>
          </w:tcPr>
          <w:p w:rsidR="00BE1EFE" w:rsidRPr="0056189C" w:rsidRDefault="00BE1EFE" w:rsidP="00511BE3">
            <w:pPr>
              <w:spacing w:before="120" w:after="120"/>
              <w:rPr>
                <w:rFonts w:cs="Arial"/>
                <w:szCs w:val="16"/>
              </w:rPr>
            </w:pPr>
            <w:r w:rsidRPr="0056189C">
              <w:rPr>
                <w:rFonts w:cs="Arial"/>
                <w:szCs w:val="16"/>
              </w:rPr>
              <w:t>2 mit Aufstieg nach 2a</w:t>
            </w:r>
          </w:p>
          <w:p w:rsidR="00BE1EFE" w:rsidRPr="0056189C" w:rsidRDefault="00BE1EFE" w:rsidP="00511BE3">
            <w:pPr>
              <w:spacing w:before="120" w:after="120"/>
              <w:rPr>
                <w:rFonts w:cs="Arial"/>
                <w:szCs w:val="16"/>
              </w:rPr>
            </w:pPr>
            <w:r w:rsidRPr="0056189C">
              <w:rPr>
                <w:rFonts w:cs="Arial"/>
                <w:szCs w:val="16"/>
              </w:rPr>
              <w:t>1 mit Aufstieg nach 2 und 2a</w:t>
            </w:r>
          </w:p>
        </w:tc>
      </w:tr>
      <w:tr w:rsidR="00BE1EFE" w:rsidRPr="0056189C" w:rsidTr="00E87479">
        <w:tc>
          <w:tcPr>
            <w:tcW w:w="0" w:type="auto"/>
            <w:vAlign w:val="center"/>
          </w:tcPr>
          <w:p w:rsidR="00BE1EFE" w:rsidRPr="00E87479" w:rsidRDefault="00BE1EFE" w:rsidP="00E87479">
            <w:pPr>
              <w:spacing w:before="120" w:after="120"/>
              <w:jc w:val="center"/>
              <w:rPr>
                <w:rFonts w:cs="Arial"/>
                <w:b/>
                <w:szCs w:val="16"/>
              </w:rPr>
            </w:pPr>
            <w:r w:rsidRPr="00E87479">
              <w:rPr>
                <w:rFonts w:cs="Arial"/>
                <w:b/>
                <w:szCs w:val="16"/>
              </w:rPr>
              <w:t>2</w:t>
            </w:r>
          </w:p>
        </w:tc>
        <w:tc>
          <w:tcPr>
            <w:tcW w:w="0" w:type="auto"/>
          </w:tcPr>
          <w:p w:rsidR="00BE1EFE" w:rsidRPr="0056189C" w:rsidRDefault="00BE1EFE" w:rsidP="00511BE3">
            <w:pPr>
              <w:spacing w:before="120" w:after="120"/>
              <w:rPr>
                <w:rFonts w:cs="Arial"/>
                <w:szCs w:val="16"/>
              </w:rPr>
            </w:pPr>
            <w:r w:rsidRPr="0056189C">
              <w:rPr>
                <w:rFonts w:cs="Arial"/>
                <w:szCs w:val="16"/>
              </w:rPr>
              <w:t>1 mit Aufstieg nach 1a (keine Stufe 6)</w:t>
            </w:r>
          </w:p>
        </w:tc>
      </w:tr>
    </w:tbl>
    <w:p w:rsidR="00BE1EFE" w:rsidRPr="00480F46" w:rsidRDefault="005F75CA" w:rsidP="00C124DD">
      <w:pPr>
        <w:pStyle w:val="StandardWeb"/>
      </w:pPr>
      <w:r>
        <w:br w:type="page"/>
      </w:r>
    </w:p>
    <w:p w:rsidR="00BE1EFE" w:rsidRDefault="00BE1EFE" w:rsidP="005F75CA">
      <w:pPr>
        <w:pStyle w:val="berschrift6"/>
        <w:spacing w:before="0"/>
      </w:pPr>
      <w:bookmarkStart w:id="695" w:name="_Toc523926227"/>
      <w:r>
        <w:lastRenderedPageBreak/>
        <w:t>Anlage 4 A: Vorläufige Zuordnung der Vergütungs- und Lohngruppen zu den Entgeltgruppen für zwischen dem 01.10.2005 und dem In-Kraft-Treten der neuen Entgeltordnung stattfindende Eingruppierungs- und Einreihungs</w:t>
      </w:r>
      <w:r>
        <w:rPr>
          <w:lang w:eastAsia="x-none"/>
        </w:rPr>
        <w:softHyphen/>
      </w:r>
      <w:r>
        <w:t>vorgänge (päd. Personal Kindertageseinrichtungen)</w:t>
      </w:r>
      <w:bookmarkEnd w:id="695"/>
    </w:p>
    <w:p w:rsidR="00BE1EFE" w:rsidRPr="00B76821" w:rsidRDefault="00BE1EFE" w:rsidP="00B76821">
      <w:pPr>
        <w:pStyle w:val="h7"/>
        <w:keepNext w:val="0"/>
        <w:spacing w:before="0" w:after="0"/>
        <w:jc w:val="left"/>
        <w:outlineLvl w:val="5"/>
        <w:rPr>
          <w:rStyle w:val="Hervorhebung"/>
          <w:iCs/>
          <w:sz w:val="2"/>
        </w:rPr>
      </w:pPr>
    </w:p>
    <w:p w:rsidR="00BE1EFE" w:rsidRPr="002D33F4" w:rsidRDefault="00BE1EFE" w:rsidP="00815B6E">
      <w:pPr>
        <w:pStyle w:val="StandardWeb"/>
        <w:autoSpaceDE w:val="0"/>
        <w:jc w:val="left"/>
        <w:rPr>
          <w:sz w:val="18"/>
          <w:szCs w:val="18"/>
        </w:rPr>
      </w:pPr>
      <w:r w:rsidRPr="002D33F4">
        <w:rPr>
          <w:rStyle w:val="Hervorhebung"/>
          <w:iCs/>
          <w:sz w:val="18"/>
          <w:szCs w:val="18"/>
        </w:rPr>
        <w:t>(aufgehoben)</w:t>
      </w:r>
    </w:p>
    <w:p w:rsidR="00BE1EFE" w:rsidRPr="000B1AF8" w:rsidRDefault="00BE1EFE" w:rsidP="00BF51C4">
      <w:pPr>
        <w:pStyle w:val="Leerzeile"/>
      </w:pPr>
      <w:r>
        <w:br w:type="page"/>
      </w:r>
    </w:p>
    <w:p w:rsidR="00BE1EFE" w:rsidRPr="00153E59" w:rsidRDefault="00BE1EFE" w:rsidP="004416C4">
      <w:pPr>
        <w:pStyle w:val="berschrift6"/>
        <w:rPr>
          <w:lang w:eastAsia="x-none"/>
        </w:rPr>
      </w:pPr>
      <w:bookmarkStart w:id="696" w:name="_Toc523926228"/>
      <w:r>
        <w:lastRenderedPageBreak/>
        <w:t>Anlage 4 K: Vorläufige Zuordnung der Vergütungs- und Lohngruppen zu den Entgeltgruppen für zwischen dem 1. Oktober 2005 und dem In-Kraft-Treten der neuen Entgeltordnung stattfindende Eingruppierungs- und Einreihungs</w:t>
      </w:r>
      <w:r>
        <w:rPr>
          <w:lang w:eastAsia="x-none"/>
        </w:rPr>
        <w:softHyphen/>
      </w:r>
      <w:r>
        <w:t>vorgänge (kirchenspezifische Berufe)</w:t>
      </w:r>
      <w:bookmarkEnd w:id="696"/>
    </w:p>
    <w:tbl>
      <w:tblPr>
        <w:tblW w:w="6821" w:type="dxa"/>
        <w:tblInd w:w="55" w:type="dxa"/>
        <w:tblCellMar>
          <w:left w:w="0" w:type="dxa"/>
          <w:right w:w="0" w:type="dxa"/>
        </w:tblCellMar>
        <w:tblLook w:val="04A0" w:firstRow="1" w:lastRow="0" w:firstColumn="1" w:lastColumn="0" w:noHBand="0" w:noVBand="1"/>
      </w:tblPr>
      <w:tblGrid>
        <w:gridCol w:w="2310"/>
        <w:gridCol w:w="3362"/>
        <w:gridCol w:w="1149"/>
      </w:tblGrid>
      <w:tr w:rsidR="00BE1EFE" w:rsidRPr="00DB4C2F" w:rsidTr="00E87479">
        <w:trPr>
          <w:trHeight w:val="170"/>
        </w:trPr>
        <w:tc>
          <w:tcPr>
            <w:tcW w:w="231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B76821" w:rsidRDefault="00BE1EFE" w:rsidP="00E87479">
            <w:pPr>
              <w:pStyle w:val="h7"/>
              <w:keepNext w:val="0"/>
              <w:spacing w:before="0" w:after="0"/>
              <w:outlineLvl w:val="5"/>
              <w:rPr>
                <w:rStyle w:val="Fett"/>
                <w:bCs/>
                <w:sz w:val="2"/>
                <w:szCs w:val="16"/>
              </w:rPr>
            </w:pPr>
          </w:p>
          <w:p w:rsidR="00BE1EFE" w:rsidRPr="00DB4C2F" w:rsidRDefault="00BE1EFE" w:rsidP="009255BF">
            <w:pPr>
              <w:rPr>
                <w:rFonts w:cs="Arial"/>
                <w:szCs w:val="16"/>
              </w:rPr>
            </w:pPr>
            <w:r w:rsidRPr="00DB4C2F">
              <w:rPr>
                <w:rStyle w:val="Fett"/>
                <w:rFonts w:cs="Arial"/>
                <w:bCs/>
                <w:szCs w:val="16"/>
              </w:rPr>
              <w:t>Berufsgruppe</w:t>
            </w:r>
          </w:p>
        </w:tc>
        <w:tc>
          <w:tcPr>
            <w:tcW w:w="336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rPr>
                <w:rFonts w:cs="Arial"/>
                <w:szCs w:val="16"/>
              </w:rPr>
            </w:pPr>
            <w:r>
              <w:rPr>
                <w:rStyle w:val="Fett"/>
                <w:rFonts w:cs="Arial"/>
                <w:bCs/>
                <w:szCs w:val="16"/>
              </w:rPr>
              <w:t xml:space="preserve">Vorläufige Zuordnung der </w:t>
            </w:r>
            <w:r w:rsidRPr="00DB4C2F">
              <w:rPr>
                <w:rStyle w:val="Fett"/>
                <w:rFonts w:cs="Arial"/>
                <w:bCs/>
                <w:szCs w:val="16"/>
              </w:rPr>
              <w:t>Vergütungs-gruppen zu den Entgeltgruppen für zwischen dem 01.10.05 und dem Inkraft</w:t>
            </w:r>
            <w:r>
              <w:rPr>
                <w:rStyle w:val="Fett"/>
                <w:rFonts w:cs="Arial"/>
                <w:bCs/>
                <w:szCs w:val="16"/>
              </w:rPr>
              <w:softHyphen/>
            </w:r>
            <w:r w:rsidRPr="00DB4C2F">
              <w:rPr>
                <w:rStyle w:val="Fett"/>
                <w:rFonts w:cs="Arial"/>
                <w:bCs/>
                <w:szCs w:val="16"/>
              </w:rPr>
              <w:t>treten der neuen Entgeltordnung stattfin</w:t>
            </w:r>
            <w:r>
              <w:rPr>
                <w:rStyle w:val="Fett"/>
                <w:rFonts w:cs="Arial"/>
                <w:bCs/>
                <w:szCs w:val="16"/>
              </w:rPr>
              <w:softHyphen/>
            </w:r>
            <w:r w:rsidRPr="00DB4C2F">
              <w:rPr>
                <w:rStyle w:val="Fett"/>
                <w:rFonts w:cs="Arial"/>
                <w:bCs/>
                <w:szCs w:val="16"/>
              </w:rPr>
              <w:t>dende Eingruppierungsvorgänge</w:t>
            </w:r>
          </w:p>
        </w:tc>
        <w:tc>
          <w:tcPr>
            <w:tcW w:w="114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pStyle w:val="StandardWeb"/>
              <w:autoSpaceDE w:val="0"/>
              <w:jc w:val="left"/>
              <w:rPr>
                <w:rFonts w:cs="Arial"/>
                <w:szCs w:val="16"/>
              </w:rPr>
            </w:pPr>
            <w:r w:rsidRPr="00DB4C2F">
              <w:rPr>
                <w:rStyle w:val="Fett"/>
                <w:rFonts w:cs="Arial"/>
                <w:bCs/>
                <w:szCs w:val="16"/>
              </w:rPr>
              <w:t>Neue Einstufung Entgelt-gruppe</w:t>
            </w:r>
          </w:p>
        </w:tc>
      </w:tr>
      <w:tr w:rsidR="00BE1EFE" w:rsidRPr="00DB4C2F" w:rsidTr="009255BF">
        <w:trPr>
          <w:trHeight w:val="170"/>
        </w:trPr>
        <w:tc>
          <w:tcPr>
            <w:tcW w:w="2310" w:type="dxa"/>
            <w:vMerge w:val="restart"/>
            <w:tcBorders>
              <w:top w:val="nil"/>
              <w:left w:val="single" w:sz="8" w:space="0" w:color="auto"/>
              <w:right w:val="single" w:sz="8" w:space="0" w:color="auto"/>
            </w:tcBorders>
            <w:tcMar>
              <w:top w:w="0" w:type="dxa"/>
              <w:left w:w="70" w:type="dxa"/>
              <w:bottom w:w="0" w:type="dxa"/>
              <w:right w:w="70" w:type="dxa"/>
            </w:tcMar>
            <w:vAlign w:val="center"/>
            <w:hideMark/>
          </w:tcPr>
          <w:p w:rsidR="00BE1EFE" w:rsidRPr="009255BF" w:rsidRDefault="00BE1EFE" w:rsidP="00511BE3">
            <w:pPr>
              <w:rPr>
                <w:rFonts w:cs="Arial"/>
                <w:b/>
                <w:szCs w:val="16"/>
              </w:rPr>
            </w:pPr>
            <w:r w:rsidRPr="009255BF">
              <w:rPr>
                <w:rStyle w:val="Fett"/>
                <w:rFonts w:cs="Arial"/>
                <w:b w:val="0"/>
                <w:bCs/>
                <w:szCs w:val="16"/>
              </w:rPr>
              <w:t>Mesner</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rPr>
                <w:rFonts w:cs="Arial"/>
                <w:szCs w:val="16"/>
              </w:rPr>
            </w:pPr>
            <w:r w:rsidRPr="00DB4C2F">
              <w:rPr>
                <w:rFonts w:cs="Arial"/>
                <w:szCs w:val="16"/>
              </w:rPr>
              <w:t>Keine Stufe 6</w:t>
            </w:r>
            <w:r>
              <w:rPr>
                <w:rFonts w:cs="Arial"/>
                <w:szCs w:val="16"/>
              </w:rPr>
              <w:br/>
            </w:r>
            <w:r w:rsidRPr="00DB4C2F">
              <w:rPr>
                <w:rFonts w:cs="Arial"/>
                <w:szCs w:val="16"/>
              </w:rPr>
              <w:t>VIII mit Aufstieg nach VII</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9255BF">
            <w:pPr>
              <w:jc w:val="center"/>
              <w:rPr>
                <w:rFonts w:cs="Arial"/>
                <w:szCs w:val="16"/>
              </w:rPr>
            </w:pPr>
            <w:r>
              <w:rPr>
                <w:rFonts w:cs="Arial"/>
                <w:szCs w:val="16"/>
              </w:rPr>
              <w:t>3</w:t>
            </w:r>
          </w:p>
        </w:tc>
      </w:tr>
      <w:tr w:rsidR="00BE1EFE" w:rsidRPr="00DB4C2F" w:rsidTr="009255BF">
        <w:trPr>
          <w:trHeight w:val="270"/>
        </w:trPr>
        <w:tc>
          <w:tcPr>
            <w:tcW w:w="0" w:type="auto"/>
            <w:vMerge/>
            <w:tcBorders>
              <w:left w:val="single" w:sz="8" w:space="0" w:color="auto"/>
              <w:right w:val="single" w:sz="8" w:space="0" w:color="auto"/>
            </w:tcBorders>
            <w:vAlign w:val="center"/>
            <w:hideMark/>
          </w:tcPr>
          <w:p w:rsidR="00BE1EFE" w:rsidRPr="009255BF" w:rsidRDefault="00BE1EFE" w:rsidP="00511BE3">
            <w:pPr>
              <w:rPr>
                <w:rFonts w:cs="Arial"/>
                <w:szCs w:val="16"/>
              </w:rPr>
            </w:pP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pStyle w:val="StandardWeb"/>
              <w:rPr>
                <w:rFonts w:cs="Arial"/>
                <w:szCs w:val="16"/>
              </w:rPr>
            </w:pPr>
            <w:r w:rsidRPr="00DB4C2F">
              <w:rPr>
                <w:rFonts w:cs="Arial"/>
                <w:szCs w:val="16"/>
              </w:rPr>
              <w:t>VII mit Aufstieg nach VI b</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5</w:t>
            </w:r>
          </w:p>
        </w:tc>
      </w:tr>
      <w:tr w:rsidR="00BE1EFE" w:rsidRPr="00DB4C2F" w:rsidTr="009255BF">
        <w:trPr>
          <w:trHeight w:val="270"/>
        </w:trPr>
        <w:tc>
          <w:tcPr>
            <w:tcW w:w="0" w:type="auto"/>
            <w:vMerge/>
            <w:tcBorders>
              <w:left w:val="single" w:sz="8" w:space="0" w:color="auto"/>
              <w:bottom w:val="single" w:sz="8" w:space="0" w:color="auto"/>
              <w:right w:val="single" w:sz="8" w:space="0" w:color="auto"/>
            </w:tcBorders>
            <w:vAlign w:val="center"/>
            <w:hideMark/>
          </w:tcPr>
          <w:p w:rsidR="00BE1EFE" w:rsidRPr="009255BF" w:rsidRDefault="00BE1EFE" w:rsidP="00511BE3">
            <w:pPr>
              <w:rPr>
                <w:rFonts w:cs="Arial"/>
                <w:szCs w:val="16"/>
              </w:rPr>
            </w:pP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pStyle w:val="StandardWeb"/>
              <w:rPr>
                <w:rFonts w:cs="Arial"/>
                <w:szCs w:val="16"/>
              </w:rPr>
            </w:pPr>
            <w:r w:rsidRPr="00DB4C2F">
              <w:rPr>
                <w:rFonts w:cs="Arial"/>
                <w:szCs w:val="16"/>
              </w:rPr>
              <w:t>VI b ohne Aufstieg nach V c</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6</w:t>
            </w:r>
          </w:p>
        </w:tc>
      </w:tr>
      <w:tr w:rsidR="00BE1EFE" w:rsidRPr="009255BF" w:rsidTr="009255BF">
        <w:trPr>
          <w:trHeight w:val="113"/>
        </w:trPr>
        <w:tc>
          <w:tcPr>
            <w:tcW w:w="2310" w:type="dxa"/>
            <w:tcBorders>
              <w:top w:val="single" w:sz="8" w:space="0" w:color="auto"/>
              <w:bottom w:val="single" w:sz="8" w:space="0" w:color="auto"/>
            </w:tcBorders>
            <w:tcMar>
              <w:top w:w="0" w:type="dxa"/>
              <w:left w:w="70" w:type="dxa"/>
              <w:bottom w:w="0" w:type="dxa"/>
              <w:right w:w="70" w:type="dxa"/>
            </w:tcMar>
            <w:vAlign w:val="center"/>
            <w:hideMark/>
          </w:tcPr>
          <w:p w:rsidR="00BE1EFE" w:rsidRPr="009255BF" w:rsidRDefault="00BE1EFE" w:rsidP="00511BE3">
            <w:pPr>
              <w:rPr>
                <w:rFonts w:cs="Arial"/>
                <w:sz w:val="20"/>
                <w:szCs w:val="20"/>
              </w:rPr>
            </w:pPr>
            <w:r w:rsidRPr="009255BF">
              <w:rPr>
                <w:rFonts w:cs="Arial"/>
                <w:sz w:val="20"/>
                <w:szCs w:val="20"/>
              </w:rPr>
              <w:t> </w:t>
            </w:r>
          </w:p>
        </w:tc>
        <w:tc>
          <w:tcPr>
            <w:tcW w:w="3362" w:type="dxa"/>
            <w:tcBorders>
              <w:top w:val="single" w:sz="8" w:space="0" w:color="auto"/>
              <w:bottom w:val="single" w:sz="8" w:space="0" w:color="auto"/>
            </w:tcBorders>
            <w:tcMar>
              <w:top w:w="0" w:type="dxa"/>
              <w:left w:w="70" w:type="dxa"/>
              <w:bottom w:w="0" w:type="dxa"/>
              <w:right w:w="70" w:type="dxa"/>
            </w:tcMar>
            <w:vAlign w:val="center"/>
            <w:hideMark/>
          </w:tcPr>
          <w:p w:rsidR="00BE1EFE" w:rsidRPr="009255BF" w:rsidRDefault="00BE1EFE" w:rsidP="00511BE3">
            <w:pPr>
              <w:rPr>
                <w:rFonts w:cs="Arial"/>
                <w:sz w:val="20"/>
                <w:szCs w:val="20"/>
              </w:rPr>
            </w:pPr>
            <w:r w:rsidRPr="009255BF">
              <w:rPr>
                <w:rFonts w:cs="Arial"/>
                <w:sz w:val="20"/>
                <w:szCs w:val="20"/>
              </w:rPr>
              <w:t> </w:t>
            </w:r>
          </w:p>
        </w:tc>
        <w:tc>
          <w:tcPr>
            <w:tcW w:w="1149" w:type="dxa"/>
            <w:tcBorders>
              <w:top w:val="single" w:sz="8" w:space="0" w:color="auto"/>
              <w:bottom w:val="single" w:sz="8" w:space="0" w:color="auto"/>
            </w:tcBorders>
            <w:tcMar>
              <w:top w:w="0" w:type="dxa"/>
              <w:left w:w="70" w:type="dxa"/>
              <w:bottom w:w="0" w:type="dxa"/>
              <w:right w:w="70" w:type="dxa"/>
            </w:tcMar>
            <w:vAlign w:val="center"/>
            <w:hideMark/>
          </w:tcPr>
          <w:p w:rsidR="00BE1EFE" w:rsidRPr="009255BF" w:rsidRDefault="00BE1EFE" w:rsidP="009255BF">
            <w:pPr>
              <w:jc w:val="center"/>
              <w:rPr>
                <w:rFonts w:cs="Arial"/>
                <w:sz w:val="20"/>
                <w:szCs w:val="20"/>
              </w:rPr>
            </w:pP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rPr>
                <w:rFonts w:cs="Arial"/>
                <w:b/>
                <w:szCs w:val="16"/>
              </w:rPr>
            </w:pPr>
            <w:r w:rsidRPr="009255BF">
              <w:rPr>
                <w:rStyle w:val="Fett"/>
                <w:rFonts w:cs="Arial"/>
                <w:b w:val="0"/>
                <w:bCs/>
                <w:szCs w:val="16"/>
              </w:rPr>
              <w:t>Beschäftigte im Pfarrbüro</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DB4C2F" w:rsidRDefault="00BE1EFE" w:rsidP="00511BE3">
            <w:pPr>
              <w:rPr>
                <w:rFonts w:cs="Arial"/>
                <w:szCs w:val="16"/>
              </w:rPr>
            </w:pPr>
            <w:r w:rsidRPr="00DB4C2F">
              <w:rPr>
                <w:rStyle w:val="Fett"/>
                <w:rFonts w:cs="Arial"/>
                <w:b w:val="0"/>
                <w:bCs/>
              </w:rPr>
              <w:t>IX b mit Aufstieg nach VIII</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DB4C2F" w:rsidRDefault="00BE1EFE" w:rsidP="009255BF">
            <w:pPr>
              <w:jc w:val="center"/>
              <w:rPr>
                <w:rFonts w:cs="Arial"/>
                <w:szCs w:val="16"/>
              </w:rPr>
            </w:pPr>
            <w:r w:rsidRPr="00DB4C2F">
              <w:rPr>
                <w:rFonts w:cs="Arial"/>
                <w:szCs w:val="16"/>
              </w:rPr>
              <w:t>2</w:t>
            </w:r>
          </w:p>
        </w:tc>
      </w:tr>
      <w:tr w:rsidR="00BE1EFE" w:rsidRPr="00DB4C2F" w:rsidTr="009255BF">
        <w:trPr>
          <w:trHeight w:val="270"/>
        </w:trPr>
        <w:tc>
          <w:tcPr>
            <w:tcW w:w="2310" w:type="dxa"/>
            <w:vMerge w:val="restart"/>
            <w:tcBorders>
              <w:top w:val="nil"/>
              <w:left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Pfarrsekretärin</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pStyle w:val="StandardWeb"/>
              <w:rPr>
                <w:rFonts w:cs="Arial"/>
                <w:szCs w:val="16"/>
              </w:rPr>
            </w:pPr>
            <w:r w:rsidRPr="00DB4C2F">
              <w:rPr>
                <w:rFonts w:cs="Arial"/>
                <w:szCs w:val="16"/>
              </w:rPr>
              <w:t>keine Stufe 6</w:t>
            </w:r>
          </w:p>
          <w:p w:rsidR="00BE1EFE" w:rsidRPr="00DB4C2F" w:rsidRDefault="00BE1EFE" w:rsidP="00511BE3">
            <w:pPr>
              <w:pStyle w:val="StandardWeb"/>
              <w:rPr>
                <w:rFonts w:cs="Arial"/>
                <w:szCs w:val="16"/>
              </w:rPr>
            </w:pPr>
            <w:r w:rsidRPr="00DB4C2F">
              <w:rPr>
                <w:rFonts w:cs="Arial"/>
                <w:szCs w:val="16"/>
              </w:rPr>
              <w:t>VIII mit Aufstieg nach VII</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DB4C2F" w:rsidRDefault="00BE1EFE" w:rsidP="009255BF">
            <w:pPr>
              <w:jc w:val="center"/>
              <w:rPr>
                <w:rFonts w:cs="Arial"/>
                <w:szCs w:val="16"/>
              </w:rPr>
            </w:pPr>
            <w:r>
              <w:rPr>
                <w:rFonts w:cs="Arial"/>
                <w:szCs w:val="16"/>
              </w:rPr>
              <w:t>3</w:t>
            </w:r>
          </w:p>
        </w:tc>
      </w:tr>
      <w:tr w:rsidR="00BE1EFE" w:rsidRPr="00DB4C2F" w:rsidTr="009255BF">
        <w:trPr>
          <w:trHeight w:val="270"/>
        </w:trPr>
        <w:tc>
          <w:tcPr>
            <w:tcW w:w="0" w:type="auto"/>
            <w:vMerge/>
            <w:tcBorders>
              <w:left w:val="single" w:sz="8" w:space="0" w:color="auto"/>
              <w:right w:val="single" w:sz="8" w:space="0" w:color="auto"/>
            </w:tcBorders>
            <w:vAlign w:val="center"/>
            <w:hideMark/>
          </w:tcPr>
          <w:p w:rsidR="00BE1EFE" w:rsidRPr="009255BF" w:rsidRDefault="00BE1EFE" w:rsidP="00511BE3">
            <w:pPr>
              <w:rPr>
                <w:rFonts w:cs="Arial"/>
                <w:szCs w:val="16"/>
              </w:rPr>
            </w:pP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pStyle w:val="StandardWeb"/>
              <w:rPr>
                <w:rFonts w:cs="Arial"/>
                <w:szCs w:val="16"/>
              </w:rPr>
            </w:pPr>
            <w:r w:rsidRPr="00DB4C2F">
              <w:rPr>
                <w:rFonts w:cs="Arial"/>
                <w:szCs w:val="16"/>
              </w:rPr>
              <w:t>VII mit Aufstieg nach VI b</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5</w:t>
            </w:r>
          </w:p>
        </w:tc>
      </w:tr>
      <w:tr w:rsidR="00BE1EFE" w:rsidRPr="00DB4C2F" w:rsidTr="009255BF">
        <w:trPr>
          <w:trHeight w:val="270"/>
        </w:trPr>
        <w:tc>
          <w:tcPr>
            <w:tcW w:w="0" w:type="auto"/>
            <w:vMerge/>
            <w:tcBorders>
              <w:left w:val="single" w:sz="8" w:space="0" w:color="auto"/>
              <w:bottom w:val="single" w:sz="8" w:space="0" w:color="000000"/>
              <w:right w:val="single" w:sz="8" w:space="0" w:color="auto"/>
            </w:tcBorders>
            <w:vAlign w:val="center"/>
            <w:hideMark/>
          </w:tcPr>
          <w:p w:rsidR="00BE1EFE" w:rsidRPr="009255BF" w:rsidRDefault="00BE1EFE" w:rsidP="00511BE3">
            <w:pPr>
              <w:rPr>
                <w:rFonts w:cs="Arial"/>
                <w:szCs w:val="16"/>
              </w:rPr>
            </w:pP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pStyle w:val="StandardWeb"/>
              <w:rPr>
                <w:rFonts w:cs="Arial"/>
                <w:szCs w:val="16"/>
              </w:rPr>
            </w:pPr>
            <w:r w:rsidRPr="00DB4C2F">
              <w:rPr>
                <w:rFonts w:cs="Arial"/>
                <w:szCs w:val="16"/>
              </w:rPr>
              <w:t>VI b ohne Aufstieg nach V c</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6</w:t>
            </w:r>
          </w:p>
        </w:tc>
      </w:tr>
      <w:tr w:rsidR="00BE1EFE" w:rsidRPr="009255BF" w:rsidTr="009255BF">
        <w:trPr>
          <w:trHeight w:val="113"/>
        </w:trPr>
        <w:tc>
          <w:tcPr>
            <w:tcW w:w="2310" w:type="dxa"/>
            <w:tcBorders>
              <w:top w:val="nil"/>
              <w:bottom w:val="single" w:sz="8" w:space="0" w:color="auto"/>
            </w:tcBorders>
            <w:tcMar>
              <w:top w:w="0" w:type="dxa"/>
              <w:left w:w="70" w:type="dxa"/>
              <w:bottom w:w="0" w:type="dxa"/>
              <w:right w:w="70" w:type="dxa"/>
            </w:tcMar>
            <w:vAlign w:val="center"/>
            <w:hideMark/>
          </w:tcPr>
          <w:p w:rsidR="00BE1EFE" w:rsidRPr="009255BF" w:rsidRDefault="00BE1EFE" w:rsidP="00511BE3">
            <w:pPr>
              <w:rPr>
                <w:rFonts w:cs="Arial"/>
                <w:sz w:val="20"/>
                <w:szCs w:val="20"/>
              </w:rPr>
            </w:pPr>
            <w:r w:rsidRPr="009255BF">
              <w:rPr>
                <w:rFonts w:cs="Arial"/>
                <w:sz w:val="20"/>
                <w:szCs w:val="20"/>
              </w:rPr>
              <w:t> </w:t>
            </w:r>
          </w:p>
        </w:tc>
        <w:tc>
          <w:tcPr>
            <w:tcW w:w="3362" w:type="dxa"/>
            <w:tcBorders>
              <w:top w:val="nil"/>
              <w:bottom w:val="single" w:sz="8" w:space="0" w:color="auto"/>
            </w:tcBorders>
            <w:tcMar>
              <w:top w:w="0" w:type="dxa"/>
              <w:left w:w="70" w:type="dxa"/>
              <w:bottom w:w="0" w:type="dxa"/>
              <w:right w:w="70" w:type="dxa"/>
            </w:tcMar>
            <w:vAlign w:val="center"/>
            <w:hideMark/>
          </w:tcPr>
          <w:p w:rsidR="00BE1EFE" w:rsidRPr="009255BF" w:rsidRDefault="00BE1EFE" w:rsidP="00511BE3">
            <w:pPr>
              <w:rPr>
                <w:rFonts w:cs="Arial"/>
                <w:sz w:val="20"/>
                <w:szCs w:val="20"/>
              </w:rPr>
            </w:pPr>
            <w:r w:rsidRPr="009255BF">
              <w:rPr>
                <w:rFonts w:cs="Arial"/>
                <w:sz w:val="20"/>
                <w:szCs w:val="20"/>
              </w:rPr>
              <w:t> </w:t>
            </w:r>
          </w:p>
        </w:tc>
        <w:tc>
          <w:tcPr>
            <w:tcW w:w="1149" w:type="dxa"/>
            <w:tcBorders>
              <w:top w:val="nil"/>
              <w:bottom w:val="single" w:sz="8" w:space="0" w:color="auto"/>
            </w:tcBorders>
            <w:tcMar>
              <w:top w:w="0" w:type="dxa"/>
              <w:left w:w="70" w:type="dxa"/>
              <w:bottom w:w="0" w:type="dxa"/>
              <w:right w:w="70" w:type="dxa"/>
            </w:tcMar>
            <w:vAlign w:val="center"/>
            <w:hideMark/>
          </w:tcPr>
          <w:p w:rsidR="00BE1EFE" w:rsidRPr="009255BF" w:rsidRDefault="00BE1EFE" w:rsidP="009255BF">
            <w:pPr>
              <w:jc w:val="center"/>
              <w:rPr>
                <w:rFonts w:cs="Arial"/>
                <w:sz w:val="20"/>
                <w:szCs w:val="20"/>
              </w:rPr>
            </w:pP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vMerge w:val="restart"/>
            <w:tcMar>
              <w:top w:w="0" w:type="dxa"/>
              <w:left w:w="70" w:type="dxa"/>
              <w:bottom w:w="0" w:type="dxa"/>
              <w:right w:w="70" w:type="dxa"/>
            </w:tcMar>
            <w:hideMark/>
          </w:tcPr>
          <w:p w:rsidR="00BE1EFE" w:rsidRPr="009255BF" w:rsidRDefault="00BE1EFE" w:rsidP="00511BE3">
            <w:pPr>
              <w:pStyle w:val="StandardWeb"/>
              <w:autoSpaceDE w:val="0"/>
              <w:jc w:val="left"/>
              <w:rPr>
                <w:rStyle w:val="Fett"/>
                <w:rFonts w:cs="Arial"/>
                <w:b w:val="0"/>
                <w:bCs/>
                <w:szCs w:val="16"/>
              </w:rPr>
            </w:pPr>
          </w:p>
          <w:p w:rsidR="00BE1EFE" w:rsidRPr="009255BF" w:rsidRDefault="00BE1EFE" w:rsidP="00511BE3">
            <w:pPr>
              <w:pStyle w:val="StandardWeb"/>
              <w:autoSpaceDE w:val="0"/>
              <w:jc w:val="left"/>
              <w:rPr>
                <w:rStyle w:val="Fett"/>
                <w:rFonts w:cs="Arial"/>
                <w:b w:val="0"/>
                <w:bCs/>
                <w:szCs w:val="16"/>
              </w:rPr>
            </w:pPr>
          </w:p>
          <w:p w:rsidR="00BE1EFE" w:rsidRPr="009255BF" w:rsidRDefault="00BE1EFE" w:rsidP="00511BE3">
            <w:pPr>
              <w:pStyle w:val="StandardWeb"/>
              <w:autoSpaceDE w:val="0"/>
              <w:jc w:val="left"/>
              <w:rPr>
                <w:rFonts w:cs="Arial"/>
                <w:b/>
                <w:szCs w:val="16"/>
              </w:rPr>
            </w:pPr>
            <w:r w:rsidRPr="009255BF">
              <w:rPr>
                <w:rStyle w:val="Fett"/>
                <w:rFonts w:cs="Arial"/>
                <w:b w:val="0"/>
                <w:bCs/>
                <w:szCs w:val="16"/>
              </w:rPr>
              <w:t>Kirchenmusiker A</w:t>
            </w:r>
          </w:p>
        </w:tc>
        <w:tc>
          <w:tcPr>
            <w:tcW w:w="3362" w:type="dxa"/>
            <w:tcMar>
              <w:top w:w="0" w:type="dxa"/>
              <w:left w:w="70" w:type="dxa"/>
              <w:bottom w:w="0" w:type="dxa"/>
              <w:right w:w="70" w:type="dxa"/>
            </w:tcMar>
            <w:vAlign w:val="center"/>
            <w:hideMark/>
          </w:tcPr>
          <w:p w:rsidR="00BE1EFE" w:rsidRPr="00DB4C2F" w:rsidRDefault="00BE1EFE" w:rsidP="00511BE3">
            <w:pPr>
              <w:pStyle w:val="StandardWeb"/>
              <w:rPr>
                <w:rFonts w:cs="Arial"/>
                <w:szCs w:val="16"/>
              </w:rPr>
            </w:pPr>
            <w:r w:rsidRPr="00DB4C2F">
              <w:rPr>
                <w:rFonts w:cs="Arial"/>
                <w:szCs w:val="16"/>
              </w:rPr>
              <w:t>Keine Stufen 5 und 6</w:t>
            </w:r>
          </w:p>
        </w:tc>
        <w:tc>
          <w:tcPr>
            <w:tcW w:w="1149" w:type="dxa"/>
            <w:vMerge w:val="restart"/>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12</w:t>
            </w:r>
            <w:r w:rsidRPr="00DB4C2F">
              <w:rPr>
                <w:rFonts w:cs="Arial"/>
                <w:szCs w:val="16"/>
                <w:vertAlign w:val="superscript"/>
              </w:rPr>
              <w:t>1)</w:t>
            </w: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vMerge/>
            <w:vAlign w:val="center"/>
            <w:hideMark/>
          </w:tcPr>
          <w:p w:rsidR="00BE1EFE" w:rsidRPr="009255BF" w:rsidRDefault="00BE1EFE" w:rsidP="00511BE3">
            <w:pPr>
              <w:rPr>
                <w:rFonts w:cs="Arial"/>
                <w:szCs w:val="16"/>
              </w:rPr>
            </w:pPr>
          </w:p>
        </w:tc>
        <w:tc>
          <w:tcPr>
            <w:tcW w:w="3362" w:type="dxa"/>
            <w:vMerge w:val="restart"/>
            <w:tcMar>
              <w:top w:w="0" w:type="dxa"/>
              <w:left w:w="70" w:type="dxa"/>
              <w:bottom w:w="0" w:type="dxa"/>
              <w:right w:w="70" w:type="dxa"/>
            </w:tcMar>
            <w:hideMark/>
          </w:tcPr>
          <w:p w:rsidR="00BE1EFE" w:rsidRPr="00DB4C2F" w:rsidRDefault="00BE1EFE" w:rsidP="00511BE3">
            <w:pPr>
              <w:pStyle w:val="StandardWeb"/>
              <w:jc w:val="left"/>
              <w:rPr>
                <w:rFonts w:cs="Arial"/>
                <w:szCs w:val="16"/>
              </w:rPr>
            </w:pPr>
            <w:r w:rsidRPr="00DB4C2F">
              <w:rPr>
                <w:rFonts w:cs="Arial"/>
                <w:szCs w:val="16"/>
              </w:rPr>
              <w:t>monatliche Zulage von 175,</w:t>
            </w:r>
            <w:r>
              <w:rPr>
                <w:rFonts w:cs="Arial"/>
                <w:szCs w:val="16"/>
              </w:rPr>
              <w:t xml:space="preserve">- € nach 4 Jahren in Stufe 4, Erhöhung der </w:t>
            </w:r>
            <w:r w:rsidRPr="00DB4C2F">
              <w:rPr>
                <w:rFonts w:cs="Arial"/>
                <w:szCs w:val="16"/>
              </w:rPr>
              <w:t>monatlichen Zulag</w:t>
            </w:r>
            <w:r>
              <w:rPr>
                <w:rFonts w:cs="Arial"/>
                <w:szCs w:val="16"/>
              </w:rPr>
              <w:t xml:space="preserve">e um weitere 175,- € (Erhöhungsbetrag) nach weiteren </w:t>
            </w:r>
            <w:r w:rsidRPr="00DB4C2F">
              <w:rPr>
                <w:rFonts w:cs="Arial"/>
                <w:szCs w:val="16"/>
              </w:rPr>
              <w:t>5 Jahren (für die Zulagen gilt § 9 </w:t>
            </w:r>
            <w:r>
              <w:rPr>
                <w:rFonts w:cs="Arial"/>
                <w:szCs w:val="16"/>
              </w:rPr>
              <w:t>Absatz</w:t>
            </w:r>
            <w:r w:rsidRPr="00DB4C2F">
              <w:rPr>
                <w:rFonts w:cs="Arial"/>
                <w:szCs w:val="16"/>
              </w:rPr>
              <w:t xml:space="preserve"> 4 Satz 2 Teil A, 3. entsprechend)</w:t>
            </w:r>
          </w:p>
        </w:tc>
        <w:tc>
          <w:tcPr>
            <w:tcW w:w="1149" w:type="dxa"/>
            <w:vMerge/>
            <w:vAlign w:val="center"/>
            <w:hideMark/>
          </w:tcPr>
          <w:p w:rsidR="00BE1EFE" w:rsidRPr="00DB4C2F" w:rsidRDefault="00BE1EFE" w:rsidP="009255BF">
            <w:pPr>
              <w:jc w:val="center"/>
              <w:rPr>
                <w:rFonts w:cs="Arial"/>
                <w:szCs w:val="16"/>
              </w:rPr>
            </w:pP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vMerge/>
            <w:vAlign w:val="center"/>
            <w:hideMark/>
          </w:tcPr>
          <w:p w:rsidR="00BE1EFE" w:rsidRPr="009255BF" w:rsidRDefault="00BE1EFE" w:rsidP="00511BE3">
            <w:pPr>
              <w:rPr>
                <w:rFonts w:cs="Arial"/>
                <w:szCs w:val="16"/>
              </w:rPr>
            </w:pPr>
          </w:p>
        </w:tc>
        <w:tc>
          <w:tcPr>
            <w:tcW w:w="3362" w:type="dxa"/>
            <w:vMerge/>
            <w:vAlign w:val="center"/>
            <w:hideMark/>
          </w:tcPr>
          <w:p w:rsidR="00BE1EFE" w:rsidRPr="00DB4C2F" w:rsidRDefault="00BE1EFE" w:rsidP="00511BE3">
            <w:pPr>
              <w:rPr>
                <w:rFonts w:cs="Arial"/>
                <w:szCs w:val="16"/>
              </w:rPr>
            </w:pPr>
          </w:p>
        </w:tc>
        <w:tc>
          <w:tcPr>
            <w:tcW w:w="1149" w:type="dxa"/>
            <w:vMerge/>
            <w:vAlign w:val="center"/>
            <w:hideMark/>
          </w:tcPr>
          <w:p w:rsidR="00BE1EFE" w:rsidRPr="00DB4C2F" w:rsidRDefault="00BE1EFE" w:rsidP="009255BF">
            <w:pPr>
              <w:jc w:val="center"/>
              <w:rPr>
                <w:rFonts w:cs="Arial"/>
                <w:szCs w:val="16"/>
              </w:rPr>
            </w:pP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vMerge/>
            <w:vAlign w:val="center"/>
            <w:hideMark/>
          </w:tcPr>
          <w:p w:rsidR="00BE1EFE" w:rsidRPr="009255BF" w:rsidRDefault="00BE1EFE" w:rsidP="00511BE3">
            <w:pPr>
              <w:rPr>
                <w:rFonts w:cs="Arial"/>
                <w:szCs w:val="16"/>
              </w:rPr>
            </w:pPr>
          </w:p>
        </w:tc>
        <w:tc>
          <w:tcPr>
            <w:tcW w:w="3362" w:type="dxa"/>
            <w:vMerge/>
            <w:vAlign w:val="center"/>
            <w:hideMark/>
          </w:tcPr>
          <w:p w:rsidR="00BE1EFE" w:rsidRPr="00DB4C2F" w:rsidRDefault="00BE1EFE" w:rsidP="00511BE3">
            <w:pPr>
              <w:rPr>
                <w:rFonts w:cs="Arial"/>
                <w:szCs w:val="16"/>
              </w:rPr>
            </w:pPr>
          </w:p>
        </w:tc>
        <w:tc>
          <w:tcPr>
            <w:tcW w:w="1149" w:type="dxa"/>
            <w:vMerge/>
            <w:vAlign w:val="center"/>
            <w:hideMark/>
          </w:tcPr>
          <w:p w:rsidR="00BE1EFE" w:rsidRPr="00DB4C2F" w:rsidRDefault="00BE1EFE" w:rsidP="009255BF">
            <w:pPr>
              <w:jc w:val="center"/>
              <w:rPr>
                <w:rFonts w:cs="Arial"/>
                <w:szCs w:val="16"/>
              </w:rPr>
            </w:pP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vMerge w:val="restart"/>
            <w:tcMar>
              <w:top w:w="0" w:type="dxa"/>
              <w:left w:w="70" w:type="dxa"/>
              <w:bottom w:w="0" w:type="dxa"/>
              <w:right w:w="70" w:type="dxa"/>
            </w:tcMar>
            <w:vAlign w:val="center"/>
            <w:hideMark/>
          </w:tcPr>
          <w:p w:rsidR="00BE1EFE" w:rsidRPr="009255BF" w:rsidRDefault="00BE1EFE" w:rsidP="00511BE3">
            <w:pPr>
              <w:pStyle w:val="StandardWeb"/>
              <w:autoSpaceDE w:val="0"/>
              <w:jc w:val="left"/>
              <w:rPr>
                <w:rFonts w:cs="Arial"/>
                <w:b/>
                <w:szCs w:val="16"/>
              </w:rPr>
            </w:pPr>
            <w:r w:rsidRPr="009255BF">
              <w:rPr>
                <w:rStyle w:val="Fett"/>
                <w:rFonts w:cs="Arial"/>
                <w:b w:val="0"/>
                <w:bCs/>
                <w:szCs w:val="16"/>
              </w:rPr>
              <w:t>Kirchenmusiker B</w:t>
            </w:r>
          </w:p>
        </w:tc>
        <w:tc>
          <w:tcPr>
            <w:tcW w:w="3362" w:type="dxa"/>
            <w:tcMar>
              <w:top w:w="0" w:type="dxa"/>
              <w:left w:w="70" w:type="dxa"/>
              <w:bottom w:w="0" w:type="dxa"/>
              <w:right w:w="70" w:type="dxa"/>
            </w:tcMar>
            <w:vAlign w:val="center"/>
            <w:hideMark/>
          </w:tcPr>
          <w:p w:rsidR="00BE1EFE" w:rsidRPr="00DB4C2F" w:rsidRDefault="00BE1EFE" w:rsidP="00511BE3">
            <w:pPr>
              <w:pStyle w:val="StandardWeb"/>
              <w:rPr>
                <w:rFonts w:cs="Arial"/>
                <w:szCs w:val="16"/>
              </w:rPr>
            </w:pPr>
            <w:r w:rsidRPr="00DB4C2F">
              <w:rPr>
                <w:rFonts w:cs="Arial"/>
                <w:szCs w:val="16"/>
              </w:rPr>
              <w:t>V c mit Aufstieg nach V b</w:t>
            </w:r>
          </w:p>
        </w:tc>
        <w:tc>
          <w:tcPr>
            <w:tcW w:w="1149" w:type="dxa"/>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8</w:t>
            </w: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vMerge/>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Mar>
              <w:top w:w="0" w:type="dxa"/>
              <w:left w:w="70" w:type="dxa"/>
              <w:bottom w:w="0" w:type="dxa"/>
              <w:right w:w="70" w:type="dxa"/>
            </w:tcMar>
            <w:vAlign w:val="center"/>
          </w:tcPr>
          <w:p w:rsidR="00BE1EFE" w:rsidRPr="00DB4C2F" w:rsidRDefault="00BE1EFE" w:rsidP="00511BE3">
            <w:pPr>
              <w:pStyle w:val="StandardWeb"/>
              <w:rPr>
                <w:rFonts w:cs="Arial"/>
                <w:szCs w:val="16"/>
              </w:rPr>
            </w:pPr>
            <w:r w:rsidRPr="00DB4C2F">
              <w:rPr>
                <w:rFonts w:cs="Arial"/>
                <w:szCs w:val="16"/>
              </w:rPr>
              <w:t>V b mit Aufstieg nach IV b</w:t>
            </w:r>
          </w:p>
        </w:tc>
        <w:tc>
          <w:tcPr>
            <w:tcW w:w="1149" w:type="dxa"/>
            <w:tcMar>
              <w:top w:w="0" w:type="dxa"/>
              <w:left w:w="70" w:type="dxa"/>
              <w:bottom w:w="0" w:type="dxa"/>
              <w:right w:w="70" w:type="dxa"/>
            </w:tcMar>
            <w:vAlign w:val="center"/>
          </w:tcPr>
          <w:p w:rsidR="00BE1EFE" w:rsidRPr="00DB4C2F" w:rsidRDefault="00BE1EFE" w:rsidP="009255BF">
            <w:pPr>
              <w:pStyle w:val="StandardWeb"/>
              <w:jc w:val="center"/>
              <w:rPr>
                <w:rFonts w:cs="Arial"/>
                <w:szCs w:val="16"/>
              </w:rPr>
            </w:pPr>
            <w:r w:rsidRPr="00DB4C2F">
              <w:rPr>
                <w:rFonts w:cs="Arial"/>
                <w:szCs w:val="16"/>
              </w:rPr>
              <w:t>9</w:t>
            </w: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84"/>
        </w:trPr>
        <w:tc>
          <w:tcPr>
            <w:tcW w:w="2310" w:type="dxa"/>
            <w:vMerge/>
            <w:vAlign w:val="center"/>
            <w:hideMark/>
          </w:tcPr>
          <w:p w:rsidR="00BE1EFE" w:rsidRPr="009255BF" w:rsidRDefault="00BE1EFE" w:rsidP="00511BE3">
            <w:pPr>
              <w:rPr>
                <w:rFonts w:cs="Arial"/>
                <w:szCs w:val="16"/>
              </w:rPr>
            </w:pPr>
          </w:p>
        </w:tc>
        <w:tc>
          <w:tcPr>
            <w:tcW w:w="3362" w:type="dxa"/>
            <w:tcMar>
              <w:left w:w="68" w:type="dxa"/>
              <w:right w:w="68" w:type="dxa"/>
            </w:tcMar>
            <w:vAlign w:val="center"/>
            <w:hideMark/>
          </w:tcPr>
          <w:p w:rsidR="00BE1EFE" w:rsidRPr="00DB4C2F" w:rsidRDefault="00BE1EFE" w:rsidP="00511BE3">
            <w:pPr>
              <w:pStyle w:val="StandardWeb"/>
              <w:jc w:val="left"/>
              <w:rPr>
                <w:rFonts w:cs="Arial"/>
                <w:szCs w:val="16"/>
              </w:rPr>
            </w:pPr>
            <w:r w:rsidRPr="00DB4C2F">
              <w:rPr>
                <w:rFonts w:cs="Arial"/>
                <w:szCs w:val="16"/>
              </w:rPr>
              <w:t xml:space="preserve">IV b mit Aufstieg nach IVa </w:t>
            </w:r>
          </w:p>
        </w:tc>
        <w:tc>
          <w:tcPr>
            <w:tcW w:w="1149" w:type="dxa"/>
            <w:vMerge w:val="restart"/>
            <w:tcMar>
              <w:left w:w="68" w:type="dxa"/>
              <w:right w:w="68" w:type="dxa"/>
            </w:tcMar>
            <w:vAlign w:val="center"/>
            <w:hideMark/>
          </w:tcPr>
          <w:p w:rsidR="00BE1EFE" w:rsidRPr="00DB4C2F" w:rsidRDefault="00BE1EFE" w:rsidP="009255BF">
            <w:pPr>
              <w:pStyle w:val="StandardWeb"/>
              <w:jc w:val="center"/>
              <w:rPr>
                <w:rFonts w:cs="Arial"/>
                <w:szCs w:val="16"/>
              </w:rPr>
            </w:pPr>
            <w:r w:rsidRPr="00DB4C2F">
              <w:rPr>
                <w:rFonts w:cs="Arial"/>
                <w:szCs w:val="16"/>
              </w:rPr>
              <w:t>10</w:t>
            </w: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84"/>
        </w:trPr>
        <w:tc>
          <w:tcPr>
            <w:tcW w:w="2310" w:type="dxa"/>
            <w:vMerge/>
            <w:vAlign w:val="center"/>
          </w:tcPr>
          <w:p w:rsidR="00BE1EFE" w:rsidRPr="009255BF" w:rsidRDefault="00BE1EFE" w:rsidP="00511BE3">
            <w:pPr>
              <w:rPr>
                <w:rFonts w:cs="Arial"/>
                <w:szCs w:val="16"/>
              </w:rPr>
            </w:pPr>
          </w:p>
        </w:tc>
        <w:tc>
          <w:tcPr>
            <w:tcW w:w="3362" w:type="dxa"/>
            <w:tcMar>
              <w:left w:w="68" w:type="dxa"/>
              <w:right w:w="68" w:type="dxa"/>
            </w:tcMar>
            <w:vAlign w:val="center"/>
          </w:tcPr>
          <w:p w:rsidR="00BE1EFE" w:rsidRPr="00DB4C2F" w:rsidRDefault="00BE1EFE" w:rsidP="00511BE3">
            <w:pPr>
              <w:pStyle w:val="StandardWeb"/>
              <w:rPr>
                <w:rFonts w:cs="Arial"/>
                <w:szCs w:val="16"/>
              </w:rPr>
            </w:pPr>
            <w:r w:rsidRPr="00DB4C2F">
              <w:rPr>
                <w:rFonts w:cs="Arial"/>
                <w:szCs w:val="16"/>
              </w:rPr>
              <w:t xml:space="preserve">IV a ohne Aufstieg nach III </w:t>
            </w:r>
          </w:p>
        </w:tc>
        <w:tc>
          <w:tcPr>
            <w:tcW w:w="1149" w:type="dxa"/>
            <w:vMerge/>
            <w:vAlign w:val="center"/>
          </w:tcPr>
          <w:p w:rsidR="00BE1EFE" w:rsidRPr="00DB4C2F" w:rsidRDefault="00BE1EFE" w:rsidP="009255BF">
            <w:pPr>
              <w:jc w:val="center"/>
              <w:rPr>
                <w:rFonts w:cs="Arial"/>
                <w:szCs w:val="16"/>
              </w:rPr>
            </w:pP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tcMar>
              <w:top w:w="0" w:type="dxa"/>
              <w:left w:w="70" w:type="dxa"/>
              <w:bottom w:w="0" w:type="dxa"/>
              <w:right w:w="70" w:type="dxa"/>
            </w:tcMar>
            <w:vAlign w:val="center"/>
            <w:hideMark/>
          </w:tcPr>
          <w:p w:rsidR="00BE1EFE" w:rsidRPr="009255BF" w:rsidRDefault="00BE1EFE" w:rsidP="00511BE3">
            <w:pPr>
              <w:pStyle w:val="StandardWeb"/>
              <w:autoSpaceDE w:val="0"/>
              <w:rPr>
                <w:rFonts w:cs="Arial"/>
                <w:b/>
                <w:szCs w:val="16"/>
              </w:rPr>
            </w:pPr>
            <w:r w:rsidRPr="009255BF">
              <w:rPr>
                <w:rStyle w:val="Fett"/>
                <w:rFonts w:cs="Arial"/>
                <w:b w:val="0"/>
                <w:bCs/>
                <w:szCs w:val="16"/>
              </w:rPr>
              <w:t>Kirchenmusiker C</w:t>
            </w:r>
          </w:p>
        </w:tc>
        <w:tc>
          <w:tcPr>
            <w:tcW w:w="3362" w:type="dxa"/>
            <w:tcMar>
              <w:top w:w="0" w:type="dxa"/>
              <w:left w:w="70" w:type="dxa"/>
              <w:bottom w:w="0" w:type="dxa"/>
              <w:right w:w="70" w:type="dxa"/>
            </w:tcMar>
            <w:vAlign w:val="center"/>
            <w:hideMark/>
          </w:tcPr>
          <w:p w:rsidR="00BE1EFE" w:rsidRPr="00DB4C2F" w:rsidRDefault="00BE1EFE" w:rsidP="00511BE3">
            <w:pPr>
              <w:rPr>
                <w:rFonts w:cs="Arial"/>
                <w:szCs w:val="16"/>
              </w:rPr>
            </w:pPr>
            <w:r w:rsidRPr="00DB4C2F">
              <w:rPr>
                <w:rFonts w:cs="Arial"/>
                <w:szCs w:val="16"/>
              </w:rPr>
              <w:t> </w:t>
            </w:r>
          </w:p>
        </w:tc>
        <w:tc>
          <w:tcPr>
            <w:tcW w:w="1149" w:type="dxa"/>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5</w:t>
            </w: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Kirchenmusiker D</w:t>
            </w:r>
          </w:p>
        </w:tc>
        <w:tc>
          <w:tcPr>
            <w:tcW w:w="3362" w:type="dxa"/>
            <w:tcMar>
              <w:top w:w="0" w:type="dxa"/>
              <w:left w:w="70" w:type="dxa"/>
              <w:bottom w:w="0" w:type="dxa"/>
              <w:right w:w="70" w:type="dxa"/>
            </w:tcMar>
            <w:vAlign w:val="center"/>
          </w:tcPr>
          <w:p w:rsidR="00BE1EFE" w:rsidRPr="00DB4C2F" w:rsidRDefault="00BE1EFE" w:rsidP="00511BE3">
            <w:pPr>
              <w:rPr>
                <w:rFonts w:cs="Arial"/>
                <w:szCs w:val="16"/>
              </w:rPr>
            </w:pPr>
            <w:r w:rsidRPr="00DB4C2F">
              <w:rPr>
                <w:rFonts w:cs="Arial"/>
                <w:szCs w:val="16"/>
              </w:rPr>
              <w:t>X Keine Stufe 6</w:t>
            </w:r>
          </w:p>
        </w:tc>
        <w:tc>
          <w:tcPr>
            <w:tcW w:w="1149" w:type="dxa"/>
            <w:tcMar>
              <w:top w:w="0" w:type="dxa"/>
              <w:left w:w="70" w:type="dxa"/>
              <w:bottom w:w="0" w:type="dxa"/>
              <w:right w:w="70" w:type="dxa"/>
            </w:tcMar>
            <w:vAlign w:val="center"/>
          </w:tcPr>
          <w:p w:rsidR="00BE1EFE" w:rsidRPr="00DB4C2F" w:rsidRDefault="00BE1EFE" w:rsidP="009255BF">
            <w:pPr>
              <w:pStyle w:val="StandardWeb"/>
              <w:jc w:val="center"/>
              <w:rPr>
                <w:rFonts w:cs="Arial"/>
                <w:szCs w:val="16"/>
              </w:rPr>
            </w:pPr>
            <w:r w:rsidRPr="00DB4C2F">
              <w:rPr>
                <w:rFonts w:cs="Arial"/>
                <w:szCs w:val="16"/>
              </w:rPr>
              <w:t>3</w:t>
            </w:r>
            <w:r w:rsidRPr="00DB4C2F">
              <w:rPr>
                <w:rFonts w:cs="Arial"/>
                <w:szCs w:val="16"/>
                <w:vertAlign w:val="superscript"/>
              </w:rPr>
              <w:t>2)</w:t>
            </w: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70"/>
        </w:trPr>
        <w:tc>
          <w:tcPr>
            <w:tcW w:w="2310" w:type="dxa"/>
            <w:tcBorders>
              <w:bottom w:val="single" w:sz="8" w:space="0" w:color="auto"/>
            </w:tcBorders>
            <w:tcMar>
              <w:top w:w="0" w:type="dxa"/>
              <w:left w:w="70" w:type="dxa"/>
              <w:bottom w:w="0" w:type="dxa"/>
              <w:right w:w="70" w:type="dxa"/>
            </w:tcMar>
            <w:vAlign w:val="center"/>
            <w:hideMark/>
          </w:tcPr>
          <w:p w:rsidR="00BE1EFE" w:rsidRPr="009255BF" w:rsidRDefault="00BE1EFE" w:rsidP="00511BE3">
            <w:pPr>
              <w:pStyle w:val="StandardWeb"/>
              <w:autoSpaceDE w:val="0"/>
              <w:rPr>
                <w:rFonts w:cs="Arial"/>
                <w:b/>
                <w:szCs w:val="16"/>
              </w:rPr>
            </w:pPr>
            <w:r w:rsidRPr="009255BF">
              <w:rPr>
                <w:rStyle w:val="Fett"/>
                <w:rFonts w:cs="Arial"/>
                <w:b w:val="0"/>
                <w:bCs/>
                <w:szCs w:val="16"/>
              </w:rPr>
              <w:t>Kirchenmusiker E</w:t>
            </w:r>
          </w:p>
        </w:tc>
        <w:tc>
          <w:tcPr>
            <w:tcW w:w="3362" w:type="dxa"/>
            <w:tcBorders>
              <w:bottom w:val="single" w:sz="8" w:space="0" w:color="auto"/>
            </w:tcBorders>
            <w:tcMar>
              <w:top w:w="0" w:type="dxa"/>
              <w:left w:w="70" w:type="dxa"/>
              <w:bottom w:w="0" w:type="dxa"/>
              <w:right w:w="70" w:type="dxa"/>
            </w:tcMar>
            <w:vAlign w:val="center"/>
            <w:hideMark/>
          </w:tcPr>
          <w:p w:rsidR="00BE1EFE" w:rsidRPr="00DB4C2F" w:rsidRDefault="00BE1EFE" w:rsidP="00511BE3">
            <w:pPr>
              <w:pStyle w:val="StandardWeb"/>
              <w:rPr>
                <w:rFonts w:cs="Arial"/>
                <w:szCs w:val="16"/>
              </w:rPr>
            </w:pPr>
            <w:r w:rsidRPr="00DB4C2F">
              <w:rPr>
                <w:rFonts w:cs="Arial"/>
                <w:szCs w:val="16"/>
              </w:rPr>
              <w:t>X (Endstufe 3)</w:t>
            </w:r>
          </w:p>
        </w:tc>
        <w:tc>
          <w:tcPr>
            <w:tcW w:w="1149" w:type="dxa"/>
            <w:tcBorders>
              <w:bottom w:val="single" w:sz="8" w:space="0" w:color="auto"/>
            </w:tcBorders>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2</w:t>
            </w:r>
            <w:r w:rsidRPr="00DB4C2F">
              <w:rPr>
                <w:rFonts w:cs="Arial"/>
                <w:szCs w:val="16"/>
                <w:vertAlign w:val="superscript"/>
              </w:rPr>
              <w:t>3)</w:t>
            </w:r>
          </w:p>
        </w:tc>
      </w:tr>
      <w:tr w:rsidR="00BE1EFE" w:rsidRPr="009255B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113"/>
        </w:trPr>
        <w:tc>
          <w:tcPr>
            <w:tcW w:w="2310" w:type="dxa"/>
            <w:tcBorders>
              <w:left w:val="nil"/>
              <w:right w:val="nil"/>
            </w:tcBorders>
            <w:tcMar>
              <w:top w:w="0" w:type="dxa"/>
              <w:left w:w="70" w:type="dxa"/>
              <w:bottom w:w="0" w:type="dxa"/>
              <w:right w:w="70" w:type="dxa"/>
            </w:tcMar>
            <w:vAlign w:val="center"/>
            <w:hideMark/>
          </w:tcPr>
          <w:p w:rsidR="00BE1EFE" w:rsidRPr="009255BF" w:rsidRDefault="00BE1EFE" w:rsidP="00511BE3">
            <w:pPr>
              <w:rPr>
                <w:rFonts w:cs="Arial"/>
                <w:sz w:val="20"/>
                <w:szCs w:val="20"/>
              </w:rPr>
            </w:pPr>
            <w:r w:rsidRPr="009255BF">
              <w:rPr>
                <w:rFonts w:cs="Arial"/>
                <w:sz w:val="20"/>
                <w:szCs w:val="20"/>
              </w:rPr>
              <w:t> </w:t>
            </w:r>
          </w:p>
        </w:tc>
        <w:tc>
          <w:tcPr>
            <w:tcW w:w="3362" w:type="dxa"/>
            <w:tcBorders>
              <w:left w:val="nil"/>
              <w:right w:val="nil"/>
            </w:tcBorders>
            <w:tcMar>
              <w:top w:w="0" w:type="dxa"/>
              <w:left w:w="70" w:type="dxa"/>
              <w:bottom w:w="0" w:type="dxa"/>
              <w:right w:w="70" w:type="dxa"/>
            </w:tcMar>
            <w:vAlign w:val="center"/>
            <w:hideMark/>
          </w:tcPr>
          <w:p w:rsidR="00BE1EFE" w:rsidRPr="009255BF" w:rsidRDefault="00BE1EFE" w:rsidP="00511BE3">
            <w:pPr>
              <w:rPr>
                <w:rFonts w:cs="Arial"/>
                <w:sz w:val="20"/>
                <w:szCs w:val="20"/>
              </w:rPr>
            </w:pPr>
            <w:r w:rsidRPr="009255BF">
              <w:rPr>
                <w:rFonts w:cs="Arial"/>
                <w:sz w:val="20"/>
                <w:szCs w:val="20"/>
              </w:rPr>
              <w:t> </w:t>
            </w:r>
          </w:p>
        </w:tc>
        <w:tc>
          <w:tcPr>
            <w:tcW w:w="1149" w:type="dxa"/>
            <w:tcBorders>
              <w:left w:val="nil"/>
              <w:right w:val="nil"/>
            </w:tcBorders>
            <w:tcMar>
              <w:top w:w="0" w:type="dxa"/>
              <w:left w:w="70" w:type="dxa"/>
              <w:bottom w:w="0" w:type="dxa"/>
              <w:right w:w="70" w:type="dxa"/>
            </w:tcMar>
            <w:vAlign w:val="center"/>
            <w:hideMark/>
          </w:tcPr>
          <w:p w:rsidR="00BE1EFE" w:rsidRPr="009255BF" w:rsidRDefault="00BE1EFE" w:rsidP="009255BF">
            <w:pPr>
              <w:jc w:val="center"/>
              <w:rPr>
                <w:rFonts w:cs="Arial"/>
                <w:sz w:val="20"/>
                <w:szCs w:val="20"/>
              </w:rPr>
            </w:pP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55"/>
        </w:trPr>
        <w:tc>
          <w:tcPr>
            <w:tcW w:w="2310" w:type="dxa"/>
            <w:tcMar>
              <w:top w:w="0" w:type="dxa"/>
              <w:left w:w="70" w:type="dxa"/>
              <w:bottom w:w="0" w:type="dxa"/>
              <w:right w:w="70" w:type="dxa"/>
            </w:tcMar>
            <w:vAlign w:val="center"/>
            <w:hideMark/>
          </w:tcPr>
          <w:p w:rsidR="00BE1EFE" w:rsidRPr="009255BF" w:rsidRDefault="00BE1EFE" w:rsidP="00511BE3">
            <w:pPr>
              <w:pStyle w:val="StandardWeb"/>
              <w:autoSpaceDE w:val="0"/>
              <w:rPr>
                <w:rFonts w:cs="Arial"/>
                <w:b/>
                <w:szCs w:val="16"/>
              </w:rPr>
            </w:pPr>
            <w:r w:rsidRPr="009255BF">
              <w:rPr>
                <w:rStyle w:val="Fett"/>
                <w:rFonts w:cs="Arial"/>
                <w:b w:val="0"/>
                <w:bCs/>
                <w:szCs w:val="16"/>
              </w:rPr>
              <w:t xml:space="preserve">Religionslehrer i. K. </w:t>
            </w:r>
          </w:p>
        </w:tc>
        <w:tc>
          <w:tcPr>
            <w:tcW w:w="3362" w:type="dxa"/>
            <w:tcMar>
              <w:top w:w="0" w:type="dxa"/>
              <w:left w:w="70" w:type="dxa"/>
              <w:bottom w:w="0" w:type="dxa"/>
              <w:right w:w="70" w:type="dxa"/>
            </w:tcMar>
            <w:vAlign w:val="center"/>
            <w:hideMark/>
          </w:tcPr>
          <w:p w:rsidR="00BE1EFE" w:rsidRPr="00DB4C2F" w:rsidRDefault="00BE1EFE" w:rsidP="00511BE3">
            <w:pPr>
              <w:rPr>
                <w:rFonts w:cs="Arial"/>
                <w:szCs w:val="16"/>
              </w:rPr>
            </w:pPr>
            <w:r w:rsidRPr="00DB4C2F">
              <w:rPr>
                <w:rFonts w:cs="Arial"/>
                <w:szCs w:val="16"/>
              </w:rPr>
              <w:t> </w:t>
            </w:r>
          </w:p>
        </w:tc>
        <w:tc>
          <w:tcPr>
            <w:tcW w:w="1149" w:type="dxa"/>
            <w:tcMar>
              <w:top w:w="0" w:type="dxa"/>
              <w:left w:w="70" w:type="dxa"/>
              <w:bottom w:w="0" w:type="dxa"/>
              <w:right w:w="70" w:type="dxa"/>
            </w:tcMar>
            <w:vAlign w:val="center"/>
            <w:hideMark/>
          </w:tcPr>
          <w:p w:rsidR="00BE1EFE" w:rsidRPr="00DB4C2F" w:rsidRDefault="00BE1EFE" w:rsidP="009255BF">
            <w:pPr>
              <w:pStyle w:val="StandardWeb"/>
              <w:jc w:val="center"/>
              <w:rPr>
                <w:rFonts w:cs="Arial"/>
                <w:szCs w:val="16"/>
              </w:rPr>
            </w:pPr>
            <w:r w:rsidRPr="00DB4C2F">
              <w:rPr>
                <w:rFonts w:cs="Arial"/>
                <w:szCs w:val="16"/>
              </w:rPr>
              <w:t>10</w:t>
            </w: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55"/>
        </w:trPr>
        <w:tc>
          <w:tcPr>
            <w:tcW w:w="2310" w:type="dxa"/>
            <w:tcMar>
              <w:top w:w="0" w:type="dxa"/>
              <w:left w:w="70" w:type="dxa"/>
              <w:bottom w:w="0" w:type="dxa"/>
              <w:right w:w="70" w:type="dxa"/>
            </w:tcMar>
            <w:vAlign w:val="center"/>
          </w:tcPr>
          <w:p w:rsidR="00BE1EFE" w:rsidRPr="009255BF" w:rsidRDefault="009255BF" w:rsidP="00BB0D2D">
            <w:pPr>
              <w:pStyle w:val="StandardWeb"/>
              <w:autoSpaceDE w:val="0"/>
              <w:spacing w:before="60"/>
              <w:jc w:val="left"/>
              <w:rPr>
                <w:rFonts w:cs="Arial"/>
                <w:b/>
                <w:szCs w:val="16"/>
              </w:rPr>
            </w:pPr>
            <w:r>
              <w:rPr>
                <w:rStyle w:val="Fett"/>
                <w:rFonts w:cs="Arial"/>
                <w:b w:val="0"/>
                <w:bCs/>
                <w:szCs w:val="16"/>
              </w:rPr>
              <w:t>Religionslehrer im kirchl</w:t>
            </w:r>
            <w:r w:rsidR="00BE1EFE" w:rsidRPr="009255BF">
              <w:rPr>
                <w:rStyle w:val="Fett"/>
                <w:rFonts w:cs="Arial"/>
                <w:b w:val="0"/>
                <w:bCs/>
                <w:szCs w:val="16"/>
              </w:rPr>
              <w:t>ichen Vorbereitungsdienst</w:t>
            </w:r>
          </w:p>
        </w:tc>
        <w:tc>
          <w:tcPr>
            <w:tcW w:w="3362" w:type="dxa"/>
            <w:tcMar>
              <w:top w:w="0" w:type="dxa"/>
              <w:left w:w="70" w:type="dxa"/>
              <w:bottom w:w="0" w:type="dxa"/>
              <w:right w:w="70" w:type="dxa"/>
            </w:tcMar>
            <w:vAlign w:val="center"/>
          </w:tcPr>
          <w:p w:rsidR="00BE1EFE" w:rsidRPr="00DB4C2F" w:rsidRDefault="00BE1EFE" w:rsidP="00511BE3">
            <w:pPr>
              <w:rPr>
                <w:rFonts w:cs="Arial"/>
                <w:szCs w:val="16"/>
              </w:rPr>
            </w:pPr>
            <w:r w:rsidRPr="00DB4C2F">
              <w:rPr>
                <w:rFonts w:cs="Arial"/>
                <w:szCs w:val="16"/>
              </w:rPr>
              <w:t>Endstufe 2</w:t>
            </w:r>
          </w:p>
        </w:tc>
        <w:tc>
          <w:tcPr>
            <w:tcW w:w="1149" w:type="dxa"/>
            <w:tcMar>
              <w:top w:w="0" w:type="dxa"/>
              <w:left w:w="70" w:type="dxa"/>
              <w:bottom w:w="0" w:type="dxa"/>
              <w:right w:w="70" w:type="dxa"/>
            </w:tcMar>
            <w:vAlign w:val="center"/>
          </w:tcPr>
          <w:p w:rsidR="00BE1EFE" w:rsidRPr="00DB4C2F" w:rsidRDefault="00BE1EFE" w:rsidP="009255BF">
            <w:pPr>
              <w:pStyle w:val="StandardWeb"/>
              <w:jc w:val="center"/>
              <w:rPr>
                <w:rFonts w:cs="Arial"/>
                <w:szCs w:val="16"/>
              </w:rPr>
            </w:pPr>
            <w:r w:rsidRPr="00DB4C2F">
              <w:rPr>
                <w:rFonts w:cs="Arial"/>
                <w:szCs w:val="16"/>
              </w:rPr>
              <w:t>9</w:t>
            </w:r>
          </w:p>
        </w:tc>
      </w:tr>
      <w:tr w:rsidR="00BE1EFE" w:rsidRPr="00DB4C2F" w:rsidTr="009255BF">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255"/>
        </w:trPr>
        <w:tc>
          <w:tcPr>
            <w:tcW w:w="2310" w:type="dxa"/>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b/>
                <w:szCs w:val="16"/>
              </w:rPr>
            </w:pPr>
            <w:r w:rsidRPr="009255BF">
              <w:rPr>
                <w:rStyle w:val="Fett"/>
                <w:rFonts w:cs="Arial"/>
                <w:b w:val="0"/>
                <w:bCs/>
                <w:szCs w:val="16"/>
              </w:rPr>
              <w:t>Religionslehrer zur</w:t>
            </w:r>
          </w:p>
          <w:p w:rsidR="00BE1EFE" w:rsidRPr="009255BF" w:rsidRDefault="00BE1EFE" w:rsidP="00511BE3">
            <w:pPr>
              <w:pStyle w:val="StandardWeb"/>
              <w:autoSpaceDE w:val="0"/>
              <w:jc w:val="left"/>
              <w:rPr>
                <w:rStyle w:val="Fett"/>
                <w:rFonts w:cs="Arial"/>
                <w:b w:val="0"/>
                <w:bCs/>
                <w:szCs w:val="16"/>
              </w:rPr>
            </w:pPr>
            <w:r w:rsidRPr="009255BF">
              <w:rPr>
                <w:rStyle w:val="Fett"/>
                <w:rFonts w:cs="Arial"/>
                <w:b w:val="0"/>
                <w:bCs/>
                <w:szCs w:val="16"/>
              </w:rPr>
              <w:t>Vertretung</w:t>
            </w:r>
          </w:p>
        </w:tc>
        <w:tc>
          <w:tcPr>
            <w:tcW w:w="3362" w:type="dxa"/>
            <w:tcMar>
              <w:top w:w="0" w:type="dxa"/>
              <w:left w:w="70" w:type="dxa"/>
              <w:bottom w:w="0" w:type="dxa"/>
              <w:right w:w="70" w:type="dxa"/>
            </w:tcMar>
            <w:vAlign w:val="center"/>
          </w:tcPr>
          <w:p w:rsidR="00BE1EFE" w:rsidRPr="00DB4C2F" w:rsidRDefault="00BE1EFE" w:rsidP="00511BE3">
            <w:pPr>
              <w:rPr>
                <w:rFonts w:cs="Arial"/>
                <w:szCs w:val="16"/>
              </w:rPr>
            </w:pPr>
          </w:p>
        </w:tc>
        <w:tc>
          <w:tcPr>
            <w:tcW w:w="1149" w:type="dxa"/>
            <w:tcMar>
              <w:top w:w="0" w:type="dxa"/>
              <w:left w:w="70" w:type="dxa"/>
              <w:bottom w:w="0" w:type="dxa"/>
              <w:right w:w="70" w:type="dxa"/>
            </w:tcMar>
            <w:vAlign w:val="center"/>
          </w:tcPr>
          <w:p w:rsidR="00BE1EFE" w:rsidRPr="00DB4C2F" w:rsidRDefault="00BE1EFE" w:rsidP="009255BF">
            <w:pPr>
              <w:pStyle w:val="StandardWeb"/>
              <w:jc w:val="center"/>
              <w:rPr>
                <w:rFonts w:cs="Arial"/>
                <w:szCs w:val="16"/>
              </w:rPr>
            </w:pPr>
            <w:r>
              <w:rPr>
                <w:rFonts w:cs="Arial"/>
                <w:szCs w:val="16"/>
              </w:rPr>
              <w:t>8</w:t>
            </w:r>
          </w:p>
        </w:tc>
      </w:tr>
    </w:tbl>
    <w:p w:rsidR="009255BF" w:rsidRDefault="009255BF">
      <w:pPr>
        <w:pStyle w:val="StandardWeb"/>
      </w:pPr>
      <w:r>
        <w:br w:type="page"/>
      </w:r>
    </w:p>
    <w:p w:rsidR="00BE1EFE" w:rsidRDefault="00BE1EFE">
      <w:pPr>
        <w:pStyle w:val="StandardWeb"/>
        <w:rPr>
          <w:rFonts w:cs="Arial"/>
          <w:color w:val="010101"/>
          <w:sz w:val="12"/>
          <w:szCs w:val="12"/>
        </w:rPr>
      </w:pPr>
    </w:p>
    <w:tbl>
      <w:tblPr>
        <w:tblW w:w="6821" w:type="dxa"/>
        <w:tblInd w:w="55" w:type="dxa"/>
        <w:tblCellMar>
          <w:left w:w="0" w:type="dxa"/>
          <w:right w:w="0" w:type="dxa"/>
        </w:tblCellMar>
        <w:tblLook w:val="04A0" w:firstRow="1" w:lastRow="0" w:firstColumn="1" w:lastColumn="0" w:noHBand="0" w:noVBand="1"/>
      </w:tblPr>
      <w:tblGrid>
        <w:gridCol w:w="2310"/>
        <w:gridCol w:w="3362"/>
        <w:gridCol w:w="1149"/>
      </w:tblGrid>
      <w:tr w:rsidR="00BE1EFE" w:rsidRPr="00DB4C2F" w:rsidTr="0036068E">
        <w:trPr>
          <w:trHeight w:val="170"/>
        </w:trPr>
        <w:tc>
          <w:tcPr>
            <w:tcW w:w="231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rPr>
                <w:rFonts w:cs="Arial"/>
                <w:szCs w:val="16"/>
              </w:rPr>
            </w:pPr>
            <w:r w:rsidRPr="00DB4C2F">
              <w:rPr>
                <w:rStyle w:val="Fett"/>
                <w:rFonts w:cs="Arial"/>
                <w:bCs/>
                <w:szCs w:val="16"/>
              </w:rPr>
              <w:t>Berufsgruppe</w:t>
            </w:r>
          </w:p>
        </w:tc>
        <w:tc>
          <w:tcPr>
            <w:tcW w:w="336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rPr>
                <w:rFonts w:cs="Arial"/>
                <w:szCs w:val="16"/>
              </w:rPr>
            </w:pPr>
            <w:r>
              <w:rPr>
                <w:rStyle w:val="Fett"/>
                <w:rFonts w:cs="Arial"/>
                <w:bCs/>
                <w:szCs w:val="16"/>
              </w:rPr>
              <w:t xml:space="preserve">Vorläufige Zuordnung der </w:t>
            </w:r>
            <w:r w:rsidRPr="00DB4C2F">
              <w:rPr>
                <w:rStyle w:val="Fett"/>
                <w:rFonts w:cs="Arial"/>
                <w:bCs/>
                <w:szCs w:val="16"/>
              </w:rPr>
              <w:t>Vergütungs-gruppen zu den Entgeltgruppen für zwischen dem 01.10.05 und dem Inkraft</w:t>
            </w:r>
            <w:r>
              <w:rPr>
                <w:rStyle w:val="Fett"/>
                <w:rFonts w:cs="Arial"/>
                <w:bCs/>
                <w:szCs w:val="16"/>
              </w:rPr>
              <w:softHyphen/>
            </w:r>
            <w:r w:rsidRPr="00DB4C2F">
              <w:rPr>
                <w:rStyle w:val="Fett"/>
                <w:rFonts w:cs="Arial"/>
                <w:bCs/>
                <w:szCs w:val="16"/>
              </w:rPr>
              <w:t>treten der neuen Entgeltordnung stattfin</w:t>
            </w:r>
            <w:r>
              <w:rPr>
                <w:rStyle w:val="Fett"/>
                <w:rFonts w:cs="Arial"/>
                <w:bCs/>
                <w:szCs w:val="16"/>
              </w:rPr>
              <w:softHyphen/>
            </w:r>
            <w:r w:rsidRPr="00DB4C2F">
              <w:rPr>
                <w:rStyle w:val="Fett"/>
                <w:rFonts w:cs="Arial"/>
                <w:bCs/>
                <w:szCs w:val="16"/>
              </w:rPr>
              <w:t>dende Eingruppierungsvorgänge</w:t>
            </w:r>
          </w:p>
        </w:tc>
        <w:tc>
          <w:tcPr>
            <w:tcW w:w="1149"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511BE3">
            <w:pPr>
              <w:pStyle w:val="StandardWeb"/>
              <w:autoSpaceDE w:val="0"/>
              <w:jc w:val="left"/>
              <w:rPr>
                <w:rFonts w:cs="Arial"/>
                <w:szCs w:val="16"/>
              </w:rPr>
            </w:pPr>
            <w:r w:rsidRPr="00DB4C2F">
              <w:rPr>
                <w:rStyle w:val="Fett"/>
                <w:rFonts w:cs="Arial"/>
                <w:bCs/>
                <w:szCs w:val="16"/>
              </w:rPr>
              <w:t>Neue Einstufung Entgelt-gruppe</w:t>
            </w:r>
          </w:p>
        </w:tc>
      </w:tr>
      <w:tr w:rsidR="00BE1EFE" w:rsidRPr="00434CCF" w:rsidTr="009255BF">
        <w:trPr>
          <w:trHeight w:val="113"/>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Gemeindeassistenten</w:t>
            </w:r>
          </w:p>
          <w:p w:rsidR="00BE1EFE" w:rsidRPr="009255BF" w:rsidRDefault="00BE1EFE" w:rsidP="009255BF">
            <w:pPr>
              <w:spacing w:after="60"/>
              <w:rPr>
                <w:rFonts w:cs="Arial"/>
                <w:sz w:val="12"/>
                <w:szCs w:val="12"/>
              </w:rPr>
            </w:pPr>
            <w:r w:rsidRPr="009255BF">
              <w:rPr>
                <w:rFonts w:cs="Arial"/>
                <w:szCs w:val="16"/>
              </w:rPr>
              <w:t>vor Vorbereitungsdienst</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434CCF" w:rsidRDefault="00BE1EFE" w:rsidP="00511BE3">
            <w:pPr>
              <w:rPr>
                <w:rFonts w:cs="Arial"/>
                <w:sz w:val="12"/>
                <w:szCs w:val="12"/>
              </w:rPr>
            </w:pPr>
            <w:r w:rsidRPr="00434CCF">
              <w:rPr>
                <w:rFonts w:cs="Arial"/>
                <w:sz w:val="12"/>
                <w:szCs w:val="12"/>
              </w:rPr>
              <w:t> </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B6285A" w:rsidRDefault="00BE1EFE" w:rsidP="009255BF">
            <w:pPr>
              <w:jc w:val="center"/>
              <w:rPr>
                <w:rFonts w:cs="Arial"/>
                <w:szCs w:val="16"/>
              </w:rPr>
            </w:pPr>
            <w:r w:rsidRPr="00B6285A">
              <w:rPr>
                <w:rFonts w:cs="Arial"/>
                <w:szCs w:val="16"/>
              </w:rPr>
              <w:t>8</w:t>
            </w: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Fonts w:cs="Arial"/>
                <w:b/>
                <w:szCs w:val="16"/>
              </w:rPr>
            </w:pPr>
            <w:r w:rsidRPr="009255BF">
              <w:rPr>
                <w:rStyle w:val="Fett"/>
                <w:rFonts w:cs="Arial"/>
                <w:b w:val="0"/>
                <w:bCs/>
                <w:szCs w:val="16"/>
              </w:rPr>
              <w:t>Gemeindeassistenten</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DB4C2F" w:rsidRDefault="00BE1EFE" w:rsidP="00511BE3">
            <w:pPr>
              <w:rPr>
                <w:rFonts w:cs="Arial"/>
                <w:szCs w:val="16"/>
              </w:rPr>
            </w:pPr>
            <w:r>
              <w:rPr>
                <w:rStyle w:val="Fett"/>
                <w:rFonts w:cs="Arial"/>
                <w:b w:val="0"/>
                <w:bCs/>
              </w:rPr>
              <w:t>Endstufe 2</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DB4C2F" w:rsidRDefault="00BE1EFE" w:rsidP="009255BF">
            <w:pPr>
              <w:jc w:val="center"/>
              <w:rPr>
                <w:rFonts w:cs="Arial"/>
                <w:szCs w:val="16"/>
              </w:rPr>
            </w:pPr>
            <w:r>
              <w:rPr>
                <w:rFonts w:cs="Arial"/>
                <w:szCs w:val="16"/>
              </w:rPr>
              <w:t>9</w:t>
            </w: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Gemeindereferenten</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Style w:val="Fett"/>
                <w:rFonts w:cs="Arial"/>
                <w:b w:val="0"/>
                <w:bCs/>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10</w:t>
            </w:r>
          </w:p>
        </w:tc>
      </w:tr>
      <w:tr w:rsidR="00BE1EFE" w:rsidRPr="005A484B" w:rsidTr="009255BF">
        <w:trPr>
          <w:trHeight w:val="113"/>
        </w:trPr>
        <w:tc>
          <w:tcPr>
            <w:tcW w:w="2310" w:type="dxa"/>
            <w:tcBorders>
              <w:top w:val="single" w:sz="8" w:space="0" w:color="auto"/>
              <w:bottom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top w:val="single" w:sz="8" w:space="0" w:color="auto"/>
              <w:bottom w:val="single" w:sz="8" w:space="0" w:color="auto"/>
            </w:tcBorders>
            <w:tcMar>
              <w:top w:w="0" w:type="dxa"/>
              <w:left w:w="70" w:type="dxa"/>
              <w:bottom w:w="0" w:type="dxa"/>
              <w:right w:w="70" w:type="dxa"/>
            </w:tcMar>
            <w:vAlign w:val="center"/>
          </w:tcPr>
          <w:p w:rsidR="00BE1EFE" w:rsidRPr="005A484B" w:rsidRDefault="00BE1EFE" w:rsidP="00511BE3">
            <w:pPr>
              <w:rPr>
                <w:rStyle w:val="Fett"/>
                <w:rFonts w:cs="Arial"/>
                <w:b w:val="0"/>
                <w:bCs/>
                <w:sz w:val="12"/>
                <w:szCs w:val="12"/>
              </w:rPr>
            </w:pPr>
          </w:p>
        </w:tc>
        <w:tc>
          <w:tcPr>
            <w:tcW w:w="1149" w:type="dxa"/>
            <w:tcBorders>
              <w:top w:val="single" w:sz="8" w:space="0" w:color="auto"/>
              <w:bottom w:val="single" w:sz="8" w:space="0" w:color="auto"/>
            </w:tcBorders>
            <w:tcMar>
              <w:top w:w="0" w:type="dxa"/>
              <w:left w:w="70" w:type="dxa"/>
              <w:bottom w:w="0" w:type="dxa"/>
              <w:right w:w="70" w:type="dxa"/>
            </w:tcMar>
            <w:vAlign w:val="center"/>
          </w:tcPr>
          <w:p w:rsidR="00BE1EFE" w:rsidRPr="005A484B" w:rsidRDefault="00BE1EFE" w:rsidP="009255BF">
            <w:pPr>
              <w:jc w:val="center"/>
              <w:rPr>
                <w:rFonts w:cs="Arial"/>
                <w:sz w:val="12"/>
                <w:szCs w:val="12"/>
              </w:rPr>
            </w:pPr>
          </w:p>
        </w:tc>
      </w:tr>
      <w:tr w:rsidR="00BE1EFE" w:rsidRPr="00DB4C2F" w:rsidTr="009255BF">
        <w:trPr>
          <w:trHeight w:val="270"/>
        </w:trPr>
        <w:tc>
          <w:tcPr>
            <w:tcW w:w="2310" w:type="dxa"/>
            <w:vMerge w:val="restart"/>
            <w:tcBorders>
              <w:top w:val="nil"/>
              <w:left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Seelsorgehelfer</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Style w:val="Fett"/>
                <w:rFonts w:cs="Arial"/>
                <w:b w:val="0"/>
                <w:bCs/>
              </w:rPr>
            </w:pPr>
            <w:r w:rsidRPr="00B6285A">
              <w:rPr>
                <w:rFonts w:cs="Arial"/>
                <w:szCs w:val="16"/>
              </w:rPr>
              <w:t>V c mit Aufstieg nach V b</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8</w:t>
            </w:r>
          </w:p>
        </w:tc>
      </w:tr>
      <w:tr w:rsidR="00BE1EFE" w:rsidRPr="00DB4C2F" w:rsidTr="009255BF">
        <w:trPr>
          <w:trHeight w:val="270"/>
        </w:trPr>
        <w:tc>
          <w:tcPr>
            <w:tcW w:w="2310"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Style w:val="Fett"/>
                <w:rFonts w:cs="Arial"/>
                <w:b w:val="0"/>
                <w:bCs/>
              </w:rPr>
            </w:pPr>
            <w:r w:rsidRPr="00B6285A">
              <w:rPr>
                <w:rFonts w:cs="Arial"/>
                <w:szCs w:val="16"/>
              </w:rPr>
              <w:t>V b ohne Aufstieg nach IV b</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r w:rsidR="00BE1EFE" w:rsidRPr="00815C29" w:rsidTr="009255BF">
        <w:trPr>
          <w:trHeight w:val="113"/>
        </w:trPr>
        <w:tc>
          <w:tcPr>
            <w:tcW w:w="2310" w:type="dxa"/>
            <w:tcBorders>
              <w:top w:val="single" w:sz="8" w:space="0" w:color="auto"/>
              <w:bottom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top w:val="single" w:sz="8" w:space="0" w:color="auto"/>
              <w:bottom w:val="single" w:sz="8" w:space="0" w:color="auto"/>
            </w:tcBorders>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Borders>
              <w:top w:val="single" w:sz="8" w:space="0" w:color="auto"/>
              <w:bottom w:val="single" w:sz="8" w:space="0" w:color="auto"/>
            </w:tcBorders>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Pfarrhelfer</w:t>
            </w:r>
          </w:p>
          <w:p w:rsidR="00BE1EFE" w:rsidRPr="009255BF" w:rsidRDefault="00BE1EFE" w:rsidP="009255BF">
            <w:pPr>
              <w:pStyle w:val="StandardWeb"/>
              <w:spacing w:after="60"/>
              <w:jc w:val="left"/>
              <w:rPr>
                <w:rStyle w:val="Fett"/>
                <w:rFonts w:cs="Arial"/>
                <w:b w:val="0"/>
                <w:bCs/>
                <w:szCs w:val="16"/>
              </w:rPr>
            </w:pPr>
            <w:r w:rsidRPr="009255BF">
              <w:rPr>
                <w:rFonts w:cs="Arial"/>
                <w:szCs w:val="16"/>
              </w:rPr>
              <w:t>im Vorbereitungsdienst</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Fonts w:cs="Arial"/>
                <w:szCs w:val="16"/>
              </w:rPr>
            </w:pPr>
            <w:r>
              <w:rPr>
                <w:rFonts w:cs="Arial"/>
                <w:szCs w:val="16"/>
              </w:rPr>
              <w:t>Stufe 1</w:t>
            </w:r>
          </w:p>
          <w:p w:rsidR="00BE1EFE" w:rsidRPr="00B6285A" w:rsidRDefault="00BE1EFE" w:rsidP="00511BE3">
            <w:pPr>
              <w:rPr>
                <w:rFonts w:cs="Arial"/>
                <w:szCs w:val="16"/>
              </w:rPr>
            </w:pPr>
            <w:r>
              <w:rPr>
                <w:rFonts w:cs="Arial"/>
                <w:szCs w:val="16"/>
              </w:rPr>
              <w:t>VII</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5</w:t>
            </w: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Pfarrhelfer</w:t>
            </w:r>
          </w:p>
          <w:p w:rsidR="00BE1EFE" w:rsidRPr="009255BF" w:rsidRDefault="00BE1EFE" w:rsidP="009255BF">
            <w:pPr>
              <w:pStyle w:val="StandardWeb"/>
              <w:spacing w:after="60"/>
              <w:jc w:val="left"/>
              <w:rPr>
                <w:rStyle w:val="Fett"/>
                <w:rFonts w:cs="Arial"/>
                <w:b w:val="0"/>
                <w:bCs/>
                <w:szCs w:val="16"/>
              </w:rPr>
            </w:pPr>
            <w:r w:rsidRPr="009255BF">
              <w:rPr>
                <w:rStyle w:val="Fett"/>
                <w:rFonts w:cs="Arial"/>
                <w:b w:val="0"/>
                <w:bCs/>
                <w:szCs w:val="16"/>
              </w:rPr>
              <w:t>In der Berufseinführung</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B6285A" w:rsidRDefault="00BE1EFE" w:rsidP="00511BE3">
            <w:pPr>
              <w:rPr>
                <w:rFonts w:cs="Arial"/>
                <w:szCs w:val="16"/>
              </w:rPr>
            </w:pPr>
            <w:r>
              <w:rPr>
                <w:rFonts w:cs="Arial"/>
                <w:szCs w:val="16"/>
              </w:rPr>
              <w:t>Stufe 2</w:t>
            </w:r>
            <w:r>
              <w:rPr>
                <w:rFonts w:cs="Arial"/>
                <w:szCs w:val="16"/>
              </w:rPr>
              <w:br/>
              <w:t>VI b</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6</w:t>
            </w: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 xml:space="preserve">Pfarrhelfer </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Fonts w:cs="Arial"/>
                <w:szCs w:val="16"/>
              </w:rPr>
            </w:pPr>
            <w:r>
              <w:rPr>
                <w:rFonts w:cs="Arial"/>
                <w:szCs w:val="16"/>
              </w:rPr>
              <w:t>Stufe 3</w:t>
            </w:r>
          </w:p>
          <w:p w:rsidR="00BE1EFE" w:rsidRPr="00B6285A" w:rsidRDefault="00BE1EFE" w:rsidP="00511BE3">
            <w:pPr>
              <w:rPr>
                <w:rFonts w:cs="Arial"/>
                <w:szCs w:val="16"/>
              </w:rPr>
            </w:pPr>
            <w:r>
              <w:rPr>
                <w:rFonts w:cs="Arial"/>
                <w:szCs w:val="16"/>
              </w:rPr>
              <w:t>V c</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8</w:t>
            </w: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Fonts w:cs="Arial"/>
                <w:szCs w:val="16"/>
              </w:rPr>
            </w:pPr>
            <w:r w:rsidRPr="009255BF">
              <w:rPr>
                <w:rStyle w:val="Fett"/>
                <w:rFonts w:cs="Arial"/>
                <w:b w:val="0"/>
                <w:bCs/>
                <w:szCs w:val="16"/>
              </w:rPr>
              <w:t xml:space="preserve">Pfarrhelfer </w:t>
            </w:r>
          </w:p>
          <w:p w:rsidR="00BE1EFE" w:rsidRPr="009255BF" w:rsidRDefault="00BE1EFE" w:rsidP="009255BF">
            <w:pPr>
              <w:pStyle w:val="StandardWeb"/>
              <w:spacing w:after="60"/>
              <w:jc w:val="left"/>
              <w:rPr>
                <w:rStyle w:val="Fett"/>
                <w:rFonts w:cs="Arial"/>
                <w:b w:val="0"/>
                <w:bCs/>
                <w:szCs w:val="16"/>
              </w:rPr>
            </w:pPr>
            <w:r w:rsidRPr="009255BF">
              <w:rPr>
                <w:rFonts w:cs="Arial"/>
                <w:szCs w:val="16"/>
              </w:rPr>
              <w:t>mit 2. Dienstprüfung</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B6285A" w:rsidRDefault="00BE1EFE" w:rsidP="00511BE3">
            <w:pPr>
              <w:rPr>
                <w:rFonts w:cs="Arial"/>
                <w:szCs w:val="16"/>
              </w:rPr>
            </w:pPr>
            <w:r>
              <w:rPr>
                <w:rFonts w:cs="Arial"/>
                <w:szCs w:val="16"/>
              </w:rPr>
              <w:t>V b</w:t>
            </w: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r w:rsidR="00BE1EFE" w:rsidRPr="00815C29" w:rsidTr="009255BF">
        <w:trPr>
          <w:trHeight w:val="113"/>
        </w:trPr>
        <w:tc>
          <w:tcPr>
            <w:tcW w:w="2310" w:type="dxa"/>
            <w:tcBorders>
              <w:top w:val="single" w:sz="8" w:space="0" w:color="auto"/>
              <w:bottom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top w:val="single" w:sz="8" w:space="0" w:color="auto"/>
              <w:bottom w:val="single" w:sz="8" w:space="0" w:color="auto"/>
            </w:tcBorders>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Borders>
              <w:top w:val="single" w:sz="8" w:space="0" w:color="auto"/>
              <w:bottom w:val="single" w:sz="8" w:space="0" w:color="auto"/>
            </w:tcBorders>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Pastoralassistenten</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Fonts w:cs="Arial"/>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11</w:t>
            </w: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r w:rsidRPr="009255BF">
              <w:rPr>
                <w:rStyle w:val="Fett"/>
                <w:rFonts w:cs="Arial"/>
                <w:b w:val="0"/>
                <w:bCs/>
                <w:szCs w:val="16"/>
              </w:rPr>
              <w:t>Pastoralreferenten</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Fonts w:cs="Arial"/>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13</w:t>
            </w:r>
          </w:p>
        </w:tc>
      </w:tr>
      <w:tr w:rsidR="00BE1EFE" w:rsidRPr="00815C29" w:rsidTr="009255BF">
        <w:trPr>
          <w:trHeight w:val="113"/>
        </w:trPr>
        <w:tc>
          <w:tcPr>
            <w:tcW w:w="2310" w:type="dxa"/>
            <w:tcBorders>
              <w:top w:val="single" w:sz="8" w:space="0" w:color="auto"/>
              <w:bottom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 w:val="20"/>
                <w:szCs w:val="20"/>
              </w:rPr>
            </w:pPr>
          </w:p>
        </w:tc>
        <w:tc>
          <w:tcPr>
            <w:tcW w:w="3362" w:type="dxa"/>
            <w:tcBorders>
              <w:top w:val="single" w:sz="8" w:space="0" w:color="auto"/>
              <w:bottom w:val="single" w:sz="8" w:space="0" w:color="auto"/>
            </w:tcBorders>
            <w:tcMar>
              <w:top w:w="0" w:type="dxa"/>
              <w:left w:w="70" w:type="dxa"/>
              <w:bottom w:w="0" w:type="dxa"/>
              <w:right w:w="70" w:type="dxa"/>
            </w:tcMar>
            <w:vAlign w:val="center"/>
          </w:tcPr>
          <w:p w:rsidR="00BE1EFE" w:rsidRPr="00815C29" w:rsidRDefault="00BE1EFE" w:rsidP="00511BE3">
            <w:pPr>
              <w:rPr>
                <w:rFonts w:cs="Arial"/>
                <w:sz w:val="12"/>
                <w:szCs w:val="12"/>
              </w:rPr>
            </w:pPr>
          </w:p>
        </w:tc>
        <w:tc>
          <w:tcPr>
            <w:tcW w:w="1149" w:type="dxa"/>
            <w:tcBorders>
              <w:top w:val="single" w:sz="8" w:space="0" w:color="auto"/>
              <w:bottom w:val="single" w:sz="8" w:space="0" w:color="auto"/>
            </w:tcBorders>
            <w:tcMar>
              <w:top w:w="0" w:type="dxa"/>
              <w:left w:w="70" w:type="dxa"/>
              <w:bottom w:w="0" w:type="dxa"/>
              <w:right w:w="70" w:type="dxa"/>
            </w:tcMar>
            <w:vAlign w:val="center"/>
          </w:tcPr>
          <w:p w:rsidR="00BE1EFE" w:rsidRPr="00815C29" w:rsidRDefault="00BE1EFE" w:rsidP="009255BF">
            <w:pPr>
              <w:jc w:val="center"/>
              <w:rPr>
                <w:rFonts w:cs="Arial"/>
                <w:sz w:val="12"/>
                <w:szCs w:val="12"/>
              </w:rPr>
            </w:pPr>
          </w:p>
        </w:tc>
      </w:tr>
      <w:tr w:rsidR="00BE1EFE" w:rsidRPr="00815C29" w:rsidTr="009255BF">
        <w:trPr>
          <w:trHeight w:val="113"/>
        </w:trPr>
        <w:tc>
          <w:tcPr>
            <w:tcW w:w="2310" w:type="dxa"/>
            <w:vMerge w:val="restart"/>
            <w:tcBorders>
              <w:top w:val="nil"/>
              <w:left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after="60"/>
              <w:jc w:val="left"/>
              <w:rPr>
                <w:rStyle w:val="Fett"/>
                <w:rFonts w:cs="Arial"/>
                <w:b w:val="0"/>
                <w:bCs/>
                <w:szCs w:val="16"/>
              </w:rPr>
            </w:pPr>
            <w:r w:rsidRPr="009255BF">
              <w:rPr>
                <w:rStyle w:val="Fett"/>
                <w:rFonts w:cs="Arial"/>
                <w:b w:val="0"/>
                <w:bCs/>
                <w:szCs w:val="16"/>
              </w:rPr>
              <w:t>Beschäftigte in der Verbands- und/oder Bildungsarbeit für Erwachsene (FH)</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815C29" w:rsidRDefault="00BE1EFE" w:rsidP="00511BE3">
            <w:pPr>
              <w:rPr>
                <w:rFonts w:cs="Arial"/>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815C29" w:rsidRDefault="00BE1EFE" w:rsidP="009255BF">
            <w:pPr>
              <w:jc w:val="center"/>
              <w:rPr>
                <w:rFonts w:cs="Arial"/>
                <w:szCs w:val="16"/>
              </w:rPr>
            </w:pPr>
            <w:r>
              <w:rPr>
                <w:rFonts w:cs="Arial"/>
                <w:szCs w:val="16"/>
              </w:rPr>
              <w:t>9</w:t>
            </w:r>
          </w:p>
        </w:tc>
      </w:tr>
      <w:tr w:rsidR="00BE1EFE" w:rsidRPr="00815C29" w:rsidTr="009255BF">
        <w:trPr>
          <w:trHeight w:val="113"/>
        </w:trPr>
        <w:tc>
          <w:tcPr>
            <w:tcW w:w="2310" w:type="dxa"/>
            <w:vMerge/>
            <w:tcBorders>
              <w:left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815C29" w:rsidRDefault="00BE1EFE" w:rsidP="00511BE3">
            <w:pPr>
              <w:rPr>
                <w:rFonts w:cs="Arial"/>
                <w:szCs w:val="16"/>
              </w:rPr>
            </w:pPr>
            <w:r w:rsidRPr="00B6285A">
              <w:rPr>
                <w:rFonts w:cs="Arial"/>
                <w:szCs w:val="16"/>
              </w:rPr>
              <w:t>IV b mit Aufstieg nach IV a</w:t>
            </w:r>
          </w:p>
        </w:tc>
        <w:tc>
          <w:tcPr>
            <w:tcW w:w="1149" w:type="dxa"/>
            <w:vMerge w:val="restart"/>
            <w:tcBorders>
              <w:top w:val="nil"/>
              <w:left w:val="nil"/>
              <w:right w:val="single" w:sz="8" w:space="0" w:color="auto"/>
            </w:tcBorders>
            <w:tcMar>
              <w:top w:w="0" w:type="dxa"/>
              <w:left w:w="70" w:type="dxa"/>
              <w:bottom w:w="0" w:type="dxa"/>
              <w:right w:w="70" w:type="dxa"/>
            </w:tcMar>
            <w:vAlign w:val="center"/>
          </w:tcPr>
          <w:p w:rsidR="00BE1EFE" w:rsidRPr="00815C29" w:rsidRDefault="00BE1EFE" w:rsidP="009255BF">
            <w:pPr>
              <w:jc w:val="center"/>
              <w:rPr>
                <w:rFonts w:cs="Arial"/>
                <w:szCs w:val="16"/>
              </w:rPr>
            </w:pPr>
            <w:r>
              <w:rPr>
                <w:rFonts w:cs="Arial"/>
                <w:szCs w:val="16"/>
              </w:rPr>
              <w:t>10</w:t>
            </w:r>
          </w:p>
        </w:tc>
      </w:tr>
      <w:tr w:rsidR="00BE1EFE" w:rsidRPr="00815C29" w:rsidTr="009255BF">
        <w:trPr>
          <w:trHeight w:val="113"/>
        </w:trPr>
        <w:tc>
          <w:tcPr>
            <w:tcW w:w="2310" w:type="dxa"/>
            <w:vMerge/>
            <w:tcBorders>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511BE3">
            <w:pPr>
              <w:pStyle w:val="StandardWeb"/>
              <w:autoSpaceDE w:val="0"/>
              <w:rPr>
                <w:rStyle w:val="Fett"/>
                <w:rFonts w:cs="Arial"/>
                <w:b w:val="0"/>
                <w:bCs/>
                <w:szCs w:val="16"/>
              </w:rPr>
            </w:pP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815C29" w:rsidRDefault="00BE1EFE" w:rsidP="00511BE3">
            <w:pPr>
              <w:rPr>
                <w:rFonts w:cs="Arial"/>
                <w:szCs w:val="16"/>
              </w:rPr>
            </w:pPr>
            <w:r w:rsidRPr="00B6285A">
              <w:rPr>
                <w:rFonts w:cs="Arial"/>
                <w:szCs w:val="16"/>
              </w:rPr>
              <w:t>IV a ohne Aufstieg nach III</w:t>
            </w:r>
          </w:p>
        </w:tc>
        <w:tc>
          <w:tcPr>
            <w:tcW w:w="1149" w:type="dxa"/>
            <w:vMerge/>
            <w:tcBorders>
              <w:left w:val="nil"/>
              <w:bottom w:val="single" w:sz="8" w:space="0" w:color="auto"/>
              <w:right w:val="single" w:sz="8" w:space="0" w:color="auto"/>
            </w:tcBorders>
            <w:tcMar>
              <w:top w:w="0" w:type="dxa"/>
              <w:left w:w="70" w:type="dxa"/>
              <w:bottom w:w="0" w:type="dxa"/>
              <w:right w:w="70" w:type="dxa"/>
            </w:tcMar>
            <w:vAlign w:val="center"/>
          </w:tcPr>
          <w:p w:rsidR="00BE1EFE" w:rsidRPr="00815C29" w:rsidRDefault="00BE1EFE" w:rsidP="009255BF">
            <w:pPr>
              <w:jc w:val="center"/>
              <w:rPr>
                <w:rFonts w:cs="Arial"/>
                <w:szCs w:val="16"/>
              </w:rPr>
            </w:pP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Beschäftigte in der Verbands- und/oder Bildungsarbeit für Erwachsene (FH)</w:t>
            </w:r>
          </w:p>
          <w:p w:rsidR="00BE1EFE" w:rsidRPr="009255BF" w:rsidRDefault="00BE1EFE" w:rsidP="009255BF">
            <w:pPr>
              <w:pStyle w:val="StandardWeb"/>
              <w:autoSpaceDE w:val="0"/>
              <w:spacing w:after="60"/>
              <w:jc w:val="left"/>
              <w:rPr>
                <w:rStyle w:val="Fett"/>
                <w:rFonts w:cs="Arial"/>
                <w:b w:val="0"/>
                <w:bCs/>
                <w:szCs w:val="16"/>
              </w:rPr>
            </w:pPr>
            <w:r w:rsidRPr="009255BF">
              <w:rPr>
                <w:szCs w:val="16"/>
              </w:rPr>
              <w:t>mit mindestens zweijähriger Vollzeitausbildung oder mit sonstiger kirchlich anerkannter Ausbildung</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Fonts w:cs="Arial"/>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bl>
    <w:p w:rsidR="009255BF" w:rsidRDefault="009255BF">
      <w:pPr>
        <w:pStyle w:val="StandardWeb"/>
        <w:rPr>
          <w:color w:val="010101"/>
        </w:rPr>
      </w:pPr>
      <w:r>
        <w:rPr>
          <w:color w:val="010101"/>
        </w:rPr>
        <w:br w:type="page"/>
      </w:r>
    </w:p>
    <w:p w:rsidR="00BE1EFE" w:rsidRDefault="00BE1EFE">
      <w:pPr>
        <w:pStyle w:val="StandardWeb"/>
        <w:rPr>
          <w:color w:val="010101"/>
        </w:rPr>
      </w:pPr>
    </w:p>
    <w:tbl>
      <w:tblPr>
        <w:tblW w:w="6821" w:type="dxa"/>
        <w:tblInd w:w="55" w:type="dxa"/>
        <w:tblCellMar>
          <w:left w:w="0" w:type="dxa"/>
          <w:right w:w="0" w:type="dxa"/>
        </w:tblCellMar>
        <w:tblLook w:val="04A0" w:firstRow="1" w:lastRow="0" w:firstColumn="1" w:lastColumn="0" w:noHBand="0" w:noVBand="1"/>
      </w:tblPr>
      <w:tblGrid>
        <w:gridCol w:w="2310"/>
        <w:gridCol w:w="3362"/>
        <w:gridCol w:w="1149"/>
      </w:tblGrid>
      <w:tr w:rsidR="00BE1EFE" w:rsidRPr="00DB4C2F" w:rsidTr="003E2CF4">
        <w:trPr>
          <w:trHeight w:val="184"/>
        </w:trPr>
        <w:tc>
          <w:tcPr>
            <w:tcW w:w="2310" w:type="dxa"/>
            <w:vMerge w:val="restart"/>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rsidR="00BE1EFE" w:rsidRPr="00DB4C2F" w:rsidRDefault="00BE1EFE" w:rsidP="00926F44">
            <w:pPr>
              <w:pStyle w:val="StandardWeb"/>
              <w:autoSpaceDE w:val="0"/>
              <w:jc w:val="left"/>
              <w:rPr>
                <w:rFonts w:cs="Arial"/>
                <w:szCs w:val="16"/>
              </w:rPr>
            </w:pPr>
            <w:r w:rsidRPr="00DB4C2F">
              <w:rPr>
                <w:rStyle w:val="Fett"/>
                <w:rFonts w:cs="Arial"/>
                <w:bCs/>
                <w:szCs w:val="16"/>
              </w:rPr>
              <w:t>Berufsgruppe</w:t>
            </w:r>
          </w:p>
        </w:tc>
        <w:tc>
          <w:tcPr>
            <w:tcW w:w="3362"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926F44">
            <w:pPr>
              <w:pStyle w:val="StandardWeb"/>
              <w:autoSpaceDE w:val="0"/>
              <w:jc w:val="left"/>
              <w:rPr>
                <w:rFonts w:cs="Arial"/>
                <w:b/>
                <w:bCs/>
                <w:szCs w:val="16"/>
              </w:rPr>
            </w:pPr>
            <w:r>
              <w:rPr>
                <w:rStyle w:val="Fett"/>
                <w:rFonts w:cs="Arial"/>
                <w:bCs/>
                <w:szCs w:val="16"/>
              </w:rPr>
              <w:t xml:space="preserve">Vorläufige Zuordnung der </w:t>
            </w:r>
            <w:r w:rsidRPr="00DB4C2F">
              <w:rPr>
                <w:rStyle w:val="Fett"/>
                <w:rFonts w:cs="Arial"/>
                <w:bCs/>
                <w:szCs w:val="16"/>
              </w:rPr>
              <w:t>Vergütungs-gruppen zu den Entgeltgruppen für zwischen dem 01.10.05 und dem Inkraft</w:t>
            </w:r>
            <w:r>
              <w:rPr>
                <w:rStyle w:val="Fett"/>
                <w:rFonts w:cs="Arial"/>
                <w:bCs/>
                <w:szCs w:val="16"/>
              </w:rPr>
              <w:softHyphen/>
            </w:r>
            <w:r w:rsidRPr="00DB4C2F">
              <w:rPr>
                <w:rStyle w:val="Fett"/>
                <w:rFonts w:cs="Arial"/>
                <w:bCs/>
                <w:szCs w:val="16"/>
              </w:rPr>
              <w:t>treten der neuen Entgeltordnung stattfin</w:t>
            </w:r>
            <w:r>
              <w:rPr>
                <w:rStyle w:val="Fett"/>
                <w:rFonts w:cs="Arial"/>
                <w:bCs/>
                <w:szCs w:val="16"/>
              </w:rPr>
              <w:softHyphen/>
            </w:r>
            <w:r w:rsidRPr="00DB4C2F">
              <w:rPr>
                <w:rStyle w:val="Fett"/>
                <w:rFonts w:cs="Arial"/>
                <w:bCs/>
                <w:szCs w:val="16"/>
              </w:rPr>
              <w:t xml:space="preserve">dende Eingruppierungsvorgänge </w:t>
            </w:r>
          </w:p>
        </w:tc>
        <w:tc>
          <w:tcPr>
            <w:tcW w:w="1149"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DB4C2F" w:rsidRDefault="00BE1EFE" w:rsidP="00926F44">
            <w:pPr>
              <w:pStyle w:val="StandardWeb"/>
              <w:autoSpaceDE w:val="0"/>
              <w:jc w:val="left"/>
              <w:rPr>
                <w:rFonts w:cs="Arial"/>
                <w:szCs w:val="16"/>
              </w:rPr>
            </w:pPr>
            <w:r w:rsidRPr="00DB4C2F">
              <w:rPr>
                <w:rStyle w:val="Fett"/>
                <w:rFonts w:cs="Arial"/>
                <w:bCs/>
                <w:szCs w:val="16"/>
              </w:rPr>
              <w:t>Neue Einstufung Entgelt-gruppe</w:t>
            </w:r>
          </w:p>
        </w:tc>
      </w:tr>
      <w:tr w:rsidR="00BE1EFE" w:rsidRPr="00DB4C2F" w:rsidTr="003E2CF4">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DB4C2F" w:rsidRDefault="00BE1EFE" w:rsidP="00926F44">
            <w:pPr>
              <w:rPr>
                <w:rFonts w:cs="Arial"/>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DB4C2F" w:rsidRDefault="00BE1EFE" w:rsidP="00926F44">
            <w:pPr>
              <w:rPr>
                <w:rFonts w:cs="Arial"/>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DB4C2F" w:rsidRDefault="00BE1EFE" w:rsidP="00926F44">
            <w:pPr>
              <w:rPr>
                <w:rFonts w:cs="Arial"/>
                <w:szCs w:val="16"/>
              </w:rPr>
            </w:pPr>
          </w:p>
        </w:tc>
      </w:tr>
      <w:tr w:rsidR="00BE1EFE" w:rsidRPr="00DB4C2F" w:rsidTr="003E2CF4">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DB4C2F" w:rsidRDefault="00BE1EFE" w:rsidP="00926F44">
            <w:pPr>
              <w:rPr>
                <w:rFonts w:cs="Arial"/>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DB4C2F" w:rsidRDefault="00BE1EFE" w:rsidP="00926F44">
            <w:pPr>
              <w:rPr>
                <w:rFonts w:cs="Arial"/>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DB4C2F" w:rsidRDefault="00BE1EFE" w:rsidP="00926F44">
            <w:pPr>
              <w:rPr>
                <w:rFonts w:cs="Arial"/>
                <w:szCs w:val="16"/>
              </w:rPr>
            </w:pPr>
          </w:p>
        </w:tc>
      </w:tr>
      <w:tr w:rsidR="00BE1EFE" w:rsidRPr="00DB4C2F" w:rsidTr="003E2CF4">
        <w:trPr>
          <w:trHeight w:val="25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DB4C2F" w:rsidRDefault="00BE1EFE" w:rsidP="00926F44">
            <w:pPr>
              <w:rPr>
                <w:rFonts w:cs="Arial"/>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DB4C2F" w:rsidRDefault="00BE1EFE" w:rsidP="00926F44">
            <w:pPr>
              <w:rPr>
                <w:rFonts w:cs="Arial"/>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DB4C2F" w:rsidRDefault="00BE1EFE" w:rsidP="00926F44">
            <w:pPr>
              <w:rPr>
                <w:rFonts w:cs="Arial"/>
                <w:szCs w:val="16"/>
              </w:rPr>
            </w:pPr>
          </w:p>
        </w:tc>
      </w:tr>
      <w:tr w:rsidR="00BE1EFE" w:rsidRPr="00DB4C2F" w:rsidTr="003E2CF4">
        <w:trPr>
          <w:trHeight w:val="18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E1EFE" w:rsidRPr="00DB4C2F" w:rsidRDefault="00BE1EFE" w:rsidP="00926F44">
            <w:pPr>
              <w:rPr>
                <w:rFonts w:cs="Arial"/>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DB4C2F" w:rsidRDefault="00BE1EFE" w:rsidP="00926F44">
            <w:pPr>
              <w:rPr>
                <w:rFonts w:cs="Arial"/>
                <w:szCs w:val="16"/>
              </w:rPr>
            </w:pPr>
          </w:p>
        </w:tc>
        <w:tc>
          <w:tcPr>
            <w:tcW w:w="0" w:type="auto"/>
            <w:vMerge/>
            <w:tcBorders>
              <w:top w:val="single" w:sz="8" w:space="0" w:color="auto"/>
              <w:left w:val="nil"/>
              <w:bottom w:val="single" w:sz="8" w:space="0" w:color="auto"/>
              <w:right w:val="single" w:sz="8" w:space="0" w:color="auto"/>
            </w:tcBorders>
            <w:vAlign w:val="center"/>
            <w:hideMark/>
          </w:tcPr>
          <w:p w:rsidR="00BE1EFE" w:rsidRPr="00DB4C2F" w:rsidRDefault="00BE1EFE" w:rsidP="00926F44">
            <w:pPr>
              <w:rPr>
                <w:rFonts w:cs="Arial"/>
                <w:szCs w:val="16"/>
              </w:rPr>
            </w:pP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autoSpaceDE w:val="0"/>
              <w:spacing w:before="60" w:after="60"/>
              <w:rPr>
                <w:rFonts w:cs="Arial"/>
                <w:b/>
                <w:bCs/>
                <w:szCs w:val="16"/>
              </w:rPr>
            </w:pPr>
            <w:r w:rsidRPr="009255BF">
              <w:rPr>
                <w:rStyle w:val="Fett"/>
                <w:rFonts w:cs="Arial"/>
                <w:b w:val="0"/>
                <w:bCs/>
                <w:szCs w:val="16"/>
              </w:rPr>
              <w:t>Beschäftigte in der Verbands- und/oder Bildungsarbeit für Jugendliche (FH)</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DB4C2F" w:rsidRDefault="00BE1EFE" w:rsidP="00511BE3">
            <w:pPr>
              <w:rPr>
                <w:rFonts w:cs="Arial"/>
                <w:szCs w:val="16"/>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Pr="00DB4C2F" w:rsidRDefault="00BE1EFE" w:rsidP="009255BF">
            <w:pPr>
              <w:jc w:val="center"/>
              <w:rPr>
                <w:rFonts w:cs="Arial"/>
                <w:szCs w:val="16"/>
              </w:rPr>
            </w:pPr>
            <w:r>
              <w:rPr>
                <w:rFonts w:cs="Arial"/>
                <w:szCs w:val="16"/>
              </w:rPr>
              <w:t>9</w:t>
            </w:r>
          </w:p>
        </w:tc>
      </w:tr>
      <w:tr w:rsidR="00BE1EFE" w:rsidRPr="00DB4C2F" w:rsidTr="009255BF">
        <w:trPr>
          <w:trHeight w:val="270"/>
        </w:trPr>
        <w:tc>
          <w:tcPr>
            <w:tcW w:w="231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BE1EFE" w:rsidRPr="009255BF" w:rsidRDefault="00BE1EFE" w:rsidP="00BB0D2D">
            <w:pPr>
              <w:pStyle w:val="StandardWeb"/>
              <w:autoSpaceDE w:val="0"/>
              <w:spacing w:before="60"/>
              <w:jc w:val="left"/>
              <w:rPr>
                <w:rStyle w:val="Fett"/>
                <w:rFonts w:cs="Arial"/>
                <w:b w:val="0"/>
                <w:bCs/>
                <w:szCs w:val="16"/>
              </w:rPr>
            </w:pPr>
            <w:r w:rsidRPr="009255BF">
              <w:rPr>
                <w:rStyle w:val="Fett"/>
                <w:rFonts w:cs="Arial"/>
                <w:b w:val="0"/>
                <w:bCs/>
                <w:szCs w:val="16"/>
              </w:rPr>
              <w:t>Beschäftigte in der Verbands- und/oder Bildungsarbeit für Jugendliche (FH)</w:t>
            </w:r>
          </w:p>
          <w:p w:rsidR="00BE1EFE" w:rsidRPr="009255BF" w:rsidRDefault="00BE1EFE" w:rsidP="009255BF">
            <w:pPr>
              <w:pStyle w:val="StandardWeb"/>
              <w:autoSpaceDE w:val="0"/>
              <w:spacing w:after="60"/>
              <w:jc w:val="left"/>
              <w:rPr>
                <w:rStyle w:val="Fett"/>
                <w:rFonts w:cs="Arial"/>
                <w:b w:val="0"/>
                <w:bCs/>
                <w:szCs w:val="16"/>
              </w:rPr>
            </w:pPr>
            <w:r w:rsidRPr="009255BF">
              <w:rPr>
                <w:szCs w:val="16"/>
              </w:rPr>
              <w:t>mit mindestens zweijähriger Vollzeitausbildung oder mit sonstiger kirchlich anerkannter Ausbildung</w:t>
            </w:r>
          </w:p>
        </w:tc>
        <w:tc>
          <w:tcPr>
            <w:tcW w:w="3362"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511BE3">
            <w:pPr>
              <w:rPr>
                <w:rStyle w:val="Fett"/>
                <w:rFonts w:cs="Arial"/>
                <w:b w:val="0"/>
                <w:bCs/>
              </w:rPr>
            </w:pPr>
          </w:p>
        </w:tc>
        <w:tc>
          <w:tcPr>
            <w:tcW w:w="1149" w:type="dxa"/>
            <w:tcBorders>
              <w:top w:val="nil"/>
              <w:left w:val="nil"/>
              <w:bottom w:val="single" w:sz="8" w:space="0" w:color="auto"/>
              <w:right w:val="single" w:sz="8" w:space="0" w:color="auto"/>
            </w:tcBorders>
            <w:tcMar>
              <w:top w:w="0" w:type="dxa"/>
              <w:left w:w="70" w:type="dxa"/>
              <w:bottom w:w="0" w:type="dxa"/>
              <w:right w:w="70" w:type="dxa"/>
            </w:tcMar>
            <w:vAlign w:val="center"/>
          </w:tcPr>
          <w:p w:rsidR="00BE1EFE" w:rsidRDefault="00BE1EFE" w:rsidP="009255BF">
            <w:pPr>
              <w:jc w:val="center"/>
              <w:rPr>
                <w:rFonts w:cs="Arial"/>
                <w:szCs w:val="16"/>
              </w:rPr>
            </w:pPr>
            <w:r>
              <w:rPr>
                <w:rFonts w:cs="Arial"/>
                <w:szCs w:val="16"/>
              </w:rPr>
              <w:t>9</w:t>
            </w:r>
          </w:p>
        </w:tc>
      </w:tr>
    </w:tbl>
    <w:p w:rsidR="00BE1EFE" w:rsidRDefault="00BE1EFE" w:rsidP="003E2CF4">
      <w:pPr>
        <w:pStyle w:val="StandardWeb"/>
        <w:rPr>
          <w:color w:val="010101"/>
        </w:rPr>
      </w:pPr>
    </w:p>
    <w:p w:rsidR="00BE1EFE" w:rsidRPr="000C432F" w:rsidRDefault="00BE1EFE" w:rsidP="000C432F">
      <w:pPr>
        <w:pStyle w:val="StandardWeb"/>
        <w:rPr>
          <w:color w:val="010101"/>
          <w:sz w:val="12"/>
          <w:szCs w:val="12"/>
        </w:rPr>
      </w:pPr>
      <w:r w:rsidRPr="000C432F">
        <w:rPr>
          <w:color w:val="010101"/>
          <w:sz w:val="12"/>
          <w:szCs w:val="12"/>
        </w:rPr>
        <w:t>1) Das halbe Jahr in Vergütungsgruppe III bleibt unberücksichtigt.</w:t>
      </w:r>
    </w:p>
    <w:p w:rsidR="00BE1EFE" w:rsidRPr="000C432F" w:rsidRDefault="00BE1EFE" w:rsidP="000C432F">
      <w:pPr>
        <w:pStyle w:val="StandardWeb"/>
        <w:rPr>
          <w:color w:val="010101"/>
          <w:sz w:val="12"/>
          <w:szCs w:val="12"/>
        </w:rPr>
      </w:pPr>
      <w:r w:rsidRPr="000C432F">
        <w:rPr>
          <w:color w:val="010101"/>
          <w:sz w:val="12"/>
          <w:szCs w:val="12"/>
        </w:rPr>
        <w:t>2) Bei der Eingruppierung wird berücksichtigt, dass eine abgeschlossene Ausbildung vorliegt.</w:t>
      </w:r>
    </w:p>
    <w:p w:rsidR="00BE1EFE" w:rsidRDefault="00BE1EFE" w:rsidP="000C432F">
      <w:pPr>
        <w:pStyle w:val="StandardWeb"/>
        <w:rPr>
          <w:color w:val="010101"/>
          <w:sz w:val="12"/>
          <w:szCs w:val="12"/>
        </w:rPr>
      </w:pPr>
      <w:r w:rsidRPr="000C432F">
        <w:rPr>
          <w:color w:val="010101"/>
          <w:sz w:val="12"/>
          <w:szCs w:val="12"/>
        </w:rPr>
        <w:t>3) Es wird nicht berücksichtigt, dass nur 80 v.H. der Vergütungsgruppe X gezahlt wird, da sonst eine Eingruppierung in EG 1 erfolgen müsste.</w:t>
      </w:r>
    </w:p>
    <w:p w:rsidR="00BE1EFE" w:rsidRPr="000C432F" w:rsidRDefault="00BE1EFE" w:rsidP="000C432F">
      <w:pPr>
        <w:pStyle w:val="StandardWeb"/>
        <w:rPr>
          <w:color w:val="010101"/>
          <w:sz w:val="12"/>
          <w:szCs w:val="12"/>
        </w:rPr>
      </w:pPr>
    </w:p>
    <w:p w:rsidR="00BE1EFE" w:rsidRPr="000C432F" w:rsidRDefault="00BE1EFE" w:rsidP="000C432F">
      <w:pPr>
        <w:pStyle w:val="StandardWeb"/>
        <w:rPr>
          <w:color w:val="010101"/>
          <w:sz w:val="12"/>
          <w:szCs w:val="12"/>
        </w:rPr>
      </w:pPr>
      <w:r w:rsidRPr="000C432F">
        <w:rPr>
          <w:color w:val="010101"/>
          <w:sz w:val="12"/>
          <w:szCs w:val="12"/>
        </w:rPr>
        <w:t xml:space="preserve">Anmerkung: </w:t>
      </w:r>
      <w:r>
        <w:rPr>
          <w:color w:val="010101"/>
          <w:sz w:val="12"/>
          <w:szCs w:val="12"/>
        </w:rPr>
        <w:br/>
      </w:r>
      <w:r w:rsidRPr="000C432F">
        <w:rPr>
          <w:color w:val="010101"/>
          <w:sz w:val="12"/>
          <w:szCs w:val="12"/>
        </w:rPr>
        <w:t>Bei der Höhergruppierung findet die Stufenzuordnung von § 6 Absatz 2 RÜÜ Anwendung.</w:t>
      </w:r>
    </w:p>
    <w:p w:rsidR="00BE1EFE" w:rsidRPr="003E2CF4" w:rsidRDefault="00BE1EFE" w:rsidP="003E2CF4">
      <w:pPr>
        <w:pStyle w:val="StandardWeb"/>
        <w:rPr>
          <w:sz w:val="12"/>
          <w:szCs w:val="12"/>
        </w:rPr>
      </w:pPr>
      <w:r>
        <w:rPr>
          <w:color w:val="010101"/>
        </w:rPr>
        <w:br w:type="page"/>
      </w:r>
    </w:p>
    <w:p w:rsidR="00BE1EFE" w:rsidRDefault="00BE1EFE">
      <w:pPr>
        <w:pStyle w:val="berschrift6"/>
      </w:pPr>
      <w:bookmarkStart w:id="697" w:name="_Toc523926229"/>
      <w:r>
        <w:lastRenderedPageBreak/>
        <w:t>Anlage 5 zu § 23</w:t>
      </w:r>
      <w:bookmarkEnd w:id="697"/>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53602A">
        <w:rPr>
          <w:i/>
        </w:rPr>
        <w:t>(frei)</w:t>
      </w:r>
    </w:p>
    <w:p w:rsidR="00BE1EFE" w:rsidRDefault="00BE1EFE">
      <w:pPr>
        <w:pStyle w:val="StandardWeb"/>
      </w:pPr>
      <w:r>
        <w:t>2. </w:t>
      </w:r>
      <w:r w:rsidRPr="0053602A">
        <w:rPr>
          <w:i/>
        </w:rPr>
        <w:t>(frei)</w:t>
      </w:r>
    </w:p>
    <w:p w:rsidR="00BE1EFE" w:rsidRDefault="00BE1EFE">
      <w:pPr>
        <w:pStyle w:val="StandardWeb"/>
      </w:pPr>
      <w:r>
        <w:t>3. </w:t>
      </w:r>
      <w:r w:rsidRPr="0053602A">
        <w:rPr>
          <w:i/>
        </w:rPr>
        <w:t>(frei)</w:t>
      </w:r>
    </w:p>
    <w:p w:rsidR="00BE1EFE" w:rsidRDefault="00BE1EFE">
      <w:pPr>
        <w:pStyle w:val="StandardWeb"/>
      </w:pPr>
      <w:r>
        <w:t>4. </w:t>
      </w:r>
      <w:r w:rsidRPr="0053602A">
        <w:rPr>
          <w:i/>
        </w:rPr>
        <w:t>(frei)</w:t>
      </w:r>
    </w:p>
    <w:p w:rsidR="00BE1EFE" w:rsidRDefault="00BE1EFE">
      <w:pPr>
        <w:pStyle w:val="StandardWeb"/>
      </w:pPr>
      <w:r>
        <w:t>5. </w:t>
      </w:r>
      <w:r w:rsidRPr="0053602A">
        <w:rPr>
          <w:i/>
        </w:rPr>
        <w:t>(frei)</w:t>
      </w:r>
    </w:p>
    <w:p w:rsidR="00BE1EFE" w:rsidRDefault="00BE1EFE">
      <w:pPr>
        <w:pStyle w:val="StandardWeb"/>
      </w:pPr>
      <w:r>
        <w:t>6. </w:t>
      </w:r>
      <w:r w:rsidRPr="0053602A">
        <w:rPr>
          <w:i/>
        </w:rPr>
        <w:t>(frei)</w:t>
      </w:r>
    </w:p>
    <w:p w:rsidR="00BE1EFE" w:rsidRDefault="00BE1EFE">
      <w:pPr>
        <w:pStyle w:val="StandardWeb"/>
      </w:pPr>
      <w:r>
        <w:t>7. </w:t>
      </w:r>
      <w:r w:rsidRPr="0053602A">
        <w:rPr>
          <w:i/>
        </w:rPr>
        <w:t>(frei)</w:t>
      </w:r>
    </w:p>
    <w:p w:rsidR="00BE1EFE" w:rsidRDefault="00BE1EFE">
      <w:pPr>
        <w:pStyle w:val="StandardWeb"/>
      </w:pPr>
      <w:r>
        <w:t>8. Für Lehrkräfte im kirchlichen Dienst im Geltungsbereich des ABD erfolgt am 1. Oktober 2005 vorerst die Fortzahlung der bisherigen Bezüge als zu verrechnender Abschlag auf das Entgelt, das diesen Beschäftigten nach der Überleitung zusteht.</w:t>
      </w:r>
    </w:p>
    <w:p w:rsidR="00BE1EFE" w:rsidRDefault="00BE1EFE">
      <w:pPr>
        <w:pStyle w:val="StandardWeb"/>
      </w:pPr>
      <w:r>
        <w:t xml:space="preserve">9.Übergangsregelung zu </w:t>
      </w:r>
      <w:hyperlink r:id="rId764" w:history="1">
        <w:r w:rsidRPr="000838FF">
          <w:rPr>
            <w:rStyle w:val="Hyperlink"/>
          </w:rPr>
          <w:t>§ 65 Teil A, 1</w:t>
        </w:r>
      </w:hyperlink>
      <w:r>
        <w:t xml:space="preserve">., </w:t>
      </w:r>
      <w:hyperlink r:id="rId765" w:history="1">
        <w:r w:rsidRPr="000838FF">
          <w:rPr>
            <w:rStyle w:val="Hyperlink"/>
          </w:rPr>
          <w:t>§ 69 Teil B, 1</w:t>
        </w:r>
      </w:hyperlink>
      <w:r>
        <w:t xml:space="preserve">. und </w:t>
      </w:r>
      <w:hyperlink r:id="rId766" w:history="1">
        <w:r w:rsidRPr="000838FF">
          <w:rPr>
            <w:rStyle w:val="Hyperlink"/>
          </w:rPr>
          <w:t>§ 4 Teil D</w:t>
        </w:r>
      </w:hyperlink>
      <w:r>
        <w:t>, 1.2. jeweils in der bis zum 30.09.2005 geltenden Fassung:</w:t>
      </w:r>
    </w:p>
    <w:p w:rsidR="00BE1EFE" w:rsidRPr="000B1AF8" w:rsidRDefault="00BE1EFE">
      <w:pPr>
        <w:pStyle w:val="StandardWeb"/>
      </w:pPr>
      <w:r>
        <w:t>§ 65 Teil A, 1., § 69 Teil B, 1. und § 4 Teil D, 1.2. jeweils in der bis zum 30.09.2005 geltenden Fassung gelten für bestehende Dienstwohnungsverhältnisse bis zum 30. September 2007 weiter.</w:t>
      </w:r>
    </w:p>
    <w:p w:rsidR="00BE1EFE" w:rsidRPr="000B1AF8" w:rsidRDefault="00BE1EFE">
      <w:pPr>
        <w:pStyle w:val="StandardWeb"/>
      </w:pPr>
    </w:p>
    <w:p w:rsidR="00BE1EFE" w:rsidRDefault="00BE1EFE">
      <w:pPr>
        <w:pStyle w:val="berschrift6"/>
      </w:pPr>
      <w:bookmarkStart w:id="698" w:name="_Toc523926230"/>
      <w:r>
        <w:t>Feststellung der Bayerischen Regional-KODA:</w:t>
      </w:r>
      <w:bookmarkEnd w:id="69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von den Tarifvertragsparteien anlässlich der Unterzeichnung des TVÜ-Bund und des TVÜ-VKA am 13.09.2005 abgegebenen „Niederschriftserklärungen“ gelten für die Bayerische Regional-KODA, soweit sie für das arbeitsvertragsrechtliche Regelungswerk relevant sind, als Absichtserklärung.</w:t>
      </w:r>
    </w:p>
    <w:p w:rsidR="00BE1EFE" w:rsidRPr="000B1AF8" w:rsidRDefault="00BE1EFE">
      <w:pPr>
        <w:pStyle w:val="StandardWeb"/>
      </w:pPr>
    </w:p>
    <w:p w:rsidR="00BE1EFE" w:rsidRDefault="00BE1EFE">
      <w:pPr>
        <w:pStyle w:val="StandardWeb"/>
      </w:pPr>
      <w:r>
        <w:t>(Hinweis: Protokollerklärungen in den Niederschriftserklärungen sind im ABD Anmerkungen)</w:t>
      </w:r>
    </w:p>
    <w:p w:rsidR="00BE1EFE" w:rsidRDefault="00BE1EFE">
      <w:pPr>
        <w:pStyle w:val="StandardWeb"/>
      </w:pPr>
    </w:p>
    <w:p w:rsidR="00BE1EFE" w:rsidRDefault="00BE1EFE" w:rsidP="0054275E">
      <w:pPr>
        <w:pStyle w:val="StandardWeb"/>
        <w:autoSpaceDE w:val="0"/>
      </w:pPr>
      <w:r>
        <w:rPr>
          <w:rStyle w:val="Fett"/>
          <w:bCs/>
        </w:rPr>
        <w:t>TVÜ-Bund:</w:t>
      </w:r>
    </w:p>
    <w:p w:rsidR="00BE1EFE" w:rsidRDefault="00BE1EFE">
      <w:pPr>
        <w:pStyle w:val="StandardWeb"/>
      </w:pPr>
    </w:p>
    <w:p w:rsidR="00BE1EFE" w:rsidRDefault="00BE1EFE">
      <w:pPr>
        <w:pStyle w:val="StandardWeb"/>
      </w:pPr>
      <w:r>
        <w:t>Niederschriftserklärung zu § 2 Absatz 1:</w:t>
      </w:r>
    </w:p>
    <w:p w:rsidR="00BE1EFE" w:rsidRDefault="00BE1EFE">
      <w:pPr>
        <w:pStyle w:val="StandardWeb"/>
      </w:pPr>
    </w:p>
    <w:p w:rsidR="00BE1EFE" w:rsidRDefault="00BE1EFE">
      <w:pPr>
        <w:pStyle w:val="StandardWeb"/>
      </w:pPr>
      <w:r>
        <w:t>Die Tarifvertragsparteien gehen davon aus, dass der TVöD und der diesen ergänzende TVÜ-Bund das bisherige Tarifrecht auch dann ersetzen, wenn arbeitsvertragliche Bezugnahmen nicht ausdrücklich den Fall der ersetzenden Regelung beinhalten.</w:t>
      </w:r>
    </w:p>
    <w:p w:rsidR="00BE1EFE" w:rsidRDefault="00BE1EFE">
      <w:pPr>
        <w:pStyle w:val="StandardWeb"/>
      </w:pPr>
    </w:p>
    <w:p w:rsidR="00BE1EFE" w:rsidRDefault="00BE1EFE">
      <w:pPr>
        <w:pStyle w:val="StandardWeb"/>
      </w:pPr>
      <w:r>
        <w:t>Niederschriftserklärung zu § 2 Absatz 2:</w:t>
      </w:r>
    </w:p>
    <w:p w:rsidR="00BE1EFE" w:rsidRDefault="00BE1EFE">
      <w:pPr>
        <w:pStyle w:val="StandardWeb"/>
      </w:pPr>
    </w:p>
    <w:p w:rsidR="00BE1EFE" w:rsidRDefault="00BE1EFE">
      <w:pPr>
        <w:pStyle w:val="StandardWeb"/>
      </w:pPr>
      <w:r>
        <w:t>Mit Abschluss der Verhandlungen über die Anlage 1 TVÜ-Bund Teil B heben die Tarifvertragsparteien § 2 Absatz 2 auf.</w:t>
      </w:r>
    </w:p>
    <w:p w:rsidR="00BE1EFE" w:rsidRDefault="00BE1EFE">
      <w:pPr>
        <w:pStyle w:val="StandardWeb"/>
      </w:pPr>
    </w:p>
    <w:p w:rsidR="00BE1EFE" w:rsidRDefault="00BE1EFE">
      <w:pPr>
        <w:pStyle w:val="StandardWeb"/>
      </w:pPr>
      <w:r>
        <w:t>Niederschriftserklärung zu § 8 Absatz 2:</w:t>
      </w:r>
    </w:p>
    <w:p w:rsidR="00BE1EFE" w:rsidRDefault="00BE1EFE">
      <w:pPr>
        <w:pStyle w:val="StandardWeb"/>
      </w:pPr>
    </w:p>
    <w:p w:rsidR="00BE1EFE" w:rsidRDefault="00BE1EFE">
      <w:pPr>
        <w:pStyle w:val="StandardWeb"/>
      </w:pPr>
      <w:r>
        <w:t>Die Neuberechnung des Vergleichsentgelts führt nicht zu einem Wechsel der Entgeltgruppe.</w:t>
      </w:r>
    </w:p>
    <w:p w:rsidR="00BE1EFE" w:rsidRDefault="00BE1EFE">
      <w:pPr>
        <w:pStyle w:val="StandardWeb"/>
      </w:pPr>
    </w:p>
    <w:p w:rsidR="00BE1EFE" w:rsidRDefault="00BE1EFE">
      <w:pPr>
        <w:pStyle w:val="StandardWeb"/>
      </w:pPr>
      <w:r>
        <w:t>Niederschriftserklärung zu § 8 Absatz 1 Satz 2 und Absatz 2 Satz 2 sowie § 9 Absatz 2 bis 4:</w:t>
      </w:r>
    </w:p>
    <w:p w:rsidR="00BE1EFE" w:rsidRDefault="00BE1EFE">
      <w:pPr>
        <w:pStyle w:val="StandardWeb"/>
      </w:pPr>
    </w:p>
    <w:p w:rsidR="00BE1EFE" w:rsidRDefault="00BE1EFE">
      <w:pPr>
        <w:pStyle w:val="StandardWeb"/>
      </w:pPr>
      <w:r>
        <w:t>Eine missbräuchliche Entziehung der Tätigkeit mit dem ausschließlichen Ziel, eine Höhergruppierung zu verhindern, ist nicht zulässig.</w:t>
      </w:r>
    </w:p>
    <w:p w:rsidR="00BE1EFE" w:rsidRDefault="00BE1EFE">
      <w:pPr>
        <w:pStyle w:val="StandardWeb"/>
      </w:pPr>
    </w:p>
    <w:p w:rsidR="00BE1EFE" w:rsidRDefault="00BE1EFE">
      <w:pPr>
        <w:pStyle w:val="StandardWeb"/>
      </w:pPr>
    </w:p>
    <w:p w:rsidR="00BE1EFE" w:rsidRDefault="00BE1EFE">
      <w:pPr>
        <w:pStyle w:val="StandardWeb"/>
      </w:pPr>
    </w:p>
    <w:p w:rsidR="00BE1EFE" w:rsidRDefault="00BE1EFE">
      <w:pPr>
        <w:pStyle w:val="StandardWeb"/>
      </w:pPr>
      <w:r>
        <w:lastRenderedPageBreak/>
        <w:t>Niederschriftserklärung zu § 10:</w:t>
      </w:r>
    </w:p>
    <w:p w:rsidR="00BE1EFE" w:rsidRDefault="00BE1EFE">
      <w:pPr>
        <w:pStyle w:val="StandardWeb"/>
      </w:pPr>
    </w:p>
    <w:p w:rsidR="00BE1EFE" w:rsidRDefault="00BE1EFE">
      <w:pPr>
        <w:pStyle w:val="StandardWeb"/>
      </w:pPr>
      <w:r>
        <w:t>Die Tarifvertragsparteien stellen klar, dass die vertretungsweise Übertragung einer höherwertigen Tätigkeit ein Unterfall der vorübergehenden Übertragung einer höherwertigen Tätigkeit ist.</w:t>
      </w:r>
    </w:p>
    <w:p w:rsidR="00BE1EFE" w:rsidRDefault="00BE1EFE">
      <w:pPr>
        <w:pStyle w:val="StandardWeb"/>
      </w:pPr>
    </w:p>
    <w:p w:rsidR="00BE1EFE" w:rsidRDefault="00BE1EFE">
      <w:pPr>
        <w:pStyle w:val="StandardWeb"/>
      </w:pPr>
      <w:r>
        <w:t>Niederschriftserklärungen zu § 12:</w:t>
      </w:r>
    </w:p>
    <w:p w:rsidR="00BE1EFE" w:rsidRDefault="00BE1EFE">
      <w:pPr>
        <w:pStyle w:val="StandardWeb"/>
      </w:pPr>
    </w:p>
    <w:p w:rsidR="00BE1EFE" w:rsidRDefault="00BE1EFE">
      <w:pPr>
        <w:pStyle w:val="StandardWeb"/>
      </w:pPr>
      <w:r>
        <w:rPr>
          <w:rStyle w:val="kleinschrift"/>
        </w:rPr>
        <w:t>1</w:t>
      </w:r>
      <w:r>
        <w:t xml:space="preserve">Die Tarifvertragsparteien sind sich angesichts der Fülle der denkbaren Fallgestaltungen bewusst, dass die Festlegung der Strukturausgleiche je nach individueller Fallgestaltung in Einzelfällen sowohl zu überproportional positiven Folgen als auch zu Härten führen kann. </w:t>
      </w:r>
      <w:r>
        <w:rPr>
          <w:rStyle w:val="kleinschrift"/>
        </w:rPr>
        <w:t>2</w:t>
      </w:r>
      <w:r>
        <w:t>Sie nehmen diese Verwerfungen im Interesse einer für eine Vielzahl von Fallgestaltungen angestrebten Abmilderung von Exspektanzverlusten hin.</w:t>
      </w:r>
    </w:p>
    <w:p w:rsidR="00BE1EFE" w:rsidRDefault="00BE1EFE">
      <w:pPr>
        <w:pStyle w:val="StandardWeb"/>
      </w:pPr>
    </w:p>
    <w:p w:rsidR="00BE1EFE" w:rsidRDefault="00BE1EFE">
      <w:pPr>
        <w:pStyle w:val="StandardWeb"/>
      </w:pPr>
      <w:r>
        <w:rPr>
          <w:rStyle w:val="kleinschrift"/>
        </w:rPr>
        <w:t>3</w:t>
      </w:r>
      <w:r>
        <w:t xml:space="preserve">Die Tarifvertragsparteien erkennen unbeschadet der Niederschriftserklärung Nr. 1 an, dass die Strukturausgleiche in einem Zusammenhang mit der zukünftigen Entgeltordnung stehen. </w:t>
      </w:r>
      <w:r>
        <w:rPr>
          <w:rStyle w:val="kleinschrift"/>
        </w:rPr>
        <w:t>4</w:t>
      </w:r>
      <w:r>
        <w:t xml:space="preserve">Die Tarifvertragsparteien werden nach einer Vereinbarung der Entgeltordnung zum TVöD, rechtzeitig vor Ablauf des 30. September 2007 prüfen, ob und in welchem Umfang sie neben den bereits verbindlich vereinbarten Fällen, in denen Strukturausgleichsbeträge festgelegt sind, für einen Zeitraum bis längstens Ende 2014 in weiteren Fällen Regelungen, die auch in der Begrenzung der Zuwächse aus Strukturausgleichen bestehen können, vornehmen müssen. </w:t>
      </w:r>
      <w:r>
        <w:rPr>
          <w:rStyle w:val="kleinschrift"/>
        </w:rPr>
        <w:t>5</w:t>
      </w:r>
      <w:r>
        <w:t>Sollten zusätzliche Strukturausgleiche vereinbart werden, sind die sich daraus ergebenden Kostenwirkungen in der Entgeltrunde 2008 zu berücksichtigen.</w:t>
      </w:r>
    </w:p>
    <w:p w:rsidR="00BE1EFE" w:rsidRDefault="00BE1EFE">
      <w:pPr>
        <w:pStyle w:val="StandardWeb"/>
      </w:pPr>
    </w:p>
    <w:p w:rsidR="00BE1EFE" w:rsidRDefault="00BE1EFE">
      <w:pPr>
        <w:pStyle w:val="StandardWeb"/>
      </w:pPr>
      <w:r>
        <w:t>Niederschriftserklärung zu § 17 Absatz 8:</w:t>
      </w:r>
    </w:p>
    <w:p w:rsidR="00BE1EFE" w:rsidRDefault="00BE1EFE">
      <w:pPr>
        <w:pStyle w:val="StandardWeb"/>
      </w:pPr>
    </w:p>
    <w:p w:rsidR="00BE1EFE" w:rsidRDefault="00BE1EFE">
      <w:pPr>
        <w:pStyle w:val="StandardWeb"/>
      </w:pPr>
      <w:r>
        <w:t>Mit dieser Regelung ist noch keine Entscheidung über die Zuordnung und Fortbestand/Be</w:t>
      </w:r>
      <w:r>
        <w:softHyphen/>
        <w:t>sitzstand der Zulage im Rahmen der neuen Entgeltordnung verbunden.</w:t>
      </w:r>
    </w:p>
    <w:p w:rsidR="00BE1EFE" w:rsidRDefault="00BE1EFE">
      <w:pPr>
        <w:pStyle w:val="StandardWeb"/>
      </w:pPr>
    </w:p>
    <w:p w:rsidR="00BE1EFE" w:rsidRDefault="00BE1EFE">
      <w:pPr>
        <w:pStyle w:val="StandardWeb"/>
      </w:pPr>
      <w:r>
        <w:t>Niederschriftserklärungen zu § 18:</w:t>
      </w:r>
    </w:p>
    <w:p w:rsidR="00BE1EFE" w:rsidRDefault="00BE1EFE">
      <w:pPr>
        <w:pStyle w:val="StandardWeb"/>
      </w:pPr>
    </w:p>
    <w:p w:rsidR="00BE1EFE" w:rsidRDefault="00BE1EFE">
      <w:pPr>
        <w:pStyle w:val="StandardWeb"/>
      </w:pPr>
      <w:r>
        <w:rPr>
          <w:rStyle w:val="kleinschrift"/>
        </w:rPr>
        <w:t>1</w:t>
      </w:r>
      <w:r>
        <w:t xml:space="preserve">Abweichend von der Grundsatzregelung des TVöD über eine persönliche Zulage bei vorübergehender Übertragung einer höherwertigen Tätigkeit ist durch einen Tarifvertrag für den Bund im Rahmen eines Katalogs, der die hierfür in Frage kommenden Tätigkeiten aufführt, zu bestimmen, dass die Voraussetzung für die Zahlung einer persönlichen Zulagen bereits erfüllt ist, wenn die vorübergehende übertragene Tätigkeit mindestens drei Arbeitstage angedauert hat und der/die Beschäftigte ab dem ersten Tag der Vertretung in Anspruch genommen ist. </w:t>
      </w:r>
      <w:r>
        <w:rPr>
          <w:rStyle w:val="kleinschrift"/>
        </w:rPr>
        <w:t>2</w:t>
      </w:r>
      <w:r>
        <w:t>Der Tarifvertrag soll spätestens am 1. Juli 2007 in Kraft treten.</w:t>
      </w:r>
    </w:p>
    <w:p w:rsidR="00BE1EFE" w:rsidRDefault="00BE1EFE">
      <w:pPr>
        <w:pStyle w:val="StandardWeb"/>
      </w:pPr>
    </w:p>
    <w:p w:rsidR="00BE1EFE" w:rsidRDefault="00BE1EFE">
      <w:pPr>
        <w:pStyle w:val="StandardWeb"/>
      </w:pPr>
      <w:r>
        <w:rPr>
          <w:rStyle w:val="kleinschrift"/>
        </w:rPr>
        <w:t>3</w:t>
      </w:r>
      <w:r>
        <w:t>Die Niederschriftserklärung zu § 10 gilt entsprechend.</w:t>
      </w:r>
    </w:p>
    <w:p w:rsidR="00BE1EFE" w:rsidRDefault="00BE1EFE">
      <w:pPr>
        <w:pStyle w:val="StandardWeb"/>
      </w:pPr>
    </w:p>
    <w:p w:rsidR="00BE1EFE" w:rsidRDefault="00BE1EFE">
      <w:pPr>
        <w:pStyle w:val="StandardWeb"/>
      </w:pPr>
      <w:r>
        <w:t>Niederschriftserklärung zu § 20:</w:t>
      </w:r>
    </w:p>
    <w:p w:rsidR="00BE1EFE" w:rsidRDefault="00BE1EFE">
      <w:pPr>
        <w:pStyle w:val="StandardWeb"/>
      </w:pPr>
    </w:p>
    <w:p w:rsidR="00BE1EFE" w:rsidRDefault="00BE1EFE">
      <w:pPr>
        <w:pStyle w:val="StandardWeb"/>
      </w:pPr>
      <w:r>
        <w:t>Die Tarifvertragsparteien sind sich einig:</w:t>
      </w:r>
    </w:p>
    <w:p w:rsidR="00BE1EFE" w:rsidRDefault="00BE1EFE">
      <w:pPr>
        <w:pStyle w:val="StandardWeb"/>
      </w:pPr>
    </w:p>
    <w:p w:rsidR="00BE1EFE" w:rsidRDefault="00BE1EFE">
      <w:pPr>
        <w:pStyle w:val="StandardWeb"/>
      </w:pPr>
      <w:r>
        <w:t>Beschäftigte, deren Arbeitsverhältnis mit dem Bund nach dem 31. Juli 2003 begründet worden ist, erhalten im Jahr 2005 mit den Bezügen für den Monat November 2005 eine Zuwendung in gleicher Weise (Anspruchsgrund und Anspruchshöhe) wie im Jahr 2004</w:t>
      </w:r>
    </w:p>
    <w:p w:rsidR="00BE1EFE" w:rsidRDefault="00BE1EFE">
      <w:pPr>
        <w:pStyle w:val="StandardWeb"/>
      </w:pPr>
    </w:p>
    <w:p w:rsidR="00BE1EFE" w:rsidRDefault="00BE1EFE">
      <w:pPr>
        <w:pStyle w:val="StandardWeb"/>
      </w:pPr>
      <w:r>
        <w:t>Beschäftigte, deren Arbeitsverhältnis mit dem Bund vor dem 1. August 2003 begründet worden ist, erhalten im Jahr 2005 eine Jahressonderzahlung, bestehend aus Urlaubsgeld und Zuwendung nach Maßgabe der nachwirkenden Tarifverträge über ein Urlaubsgeld sowie über eine Zuwendung.</w:t>
      </w:r>
    </w:p>
    <w:p w:rsidR="00BE1EFE" w:rsidRDefault="00BE1EFE">
      <w:pPr>
        <w:pStyle w:val="StandardWeb"/>
      </w:pPr>
    </w:p>
    <w:p w:rsidR="00BE1EFE" w:rsidRDefault="00BE1EFE">
      <w:pPr>
        <w:pStyle w:val="StandardWeb"/>
      </w:pPr>
      <w:r>
        <w:t>Niederschriftserklärung zu § 24 Absatz 1:</w:t>
      </w:r>
    </w:p>
    <w:p w:rsidR="00BE1EFE" w:rsidRDefault="00BE1EFE">
      <w:pPr>
        <w:pStyle w:val="StandardWeb"/>
      </w:pPr>
    </w:p>
    <w:p w:rsidR="00BE1EFE" w:rsidRDefault="00BE1EFE">
      <w:pPr>
        <w:pStyle w:val="StandardWeb"/>
      </w:pPr>
      <w:r>
        <w:rPr>
          <w:rStyle w:val="kleinschrift"/>
        </w:rPr>
        <w:t>1</w:t>
      </w:r>
      <w:r>
        <w:t xml:space="preserve">Im Hinblick auf die notwendigen personalwirtschaftlichen, organisatorischen und technischen Vorarbeiten für die Überleitung der vorhandenen Beschäftigten in den TVöD sehen die Tarifvertragsparteien die Problematik einer fristgerechten Umsetzung der neuen Tarifregelungen zum 1. Oktober 2005. </w:t>
      </w:r>
      <w:r>
        <w:rPr>
          <w:rStyle w:val="kleinschrift"/>
        </w:rPr>
        <w:t>2</w:t>
      </w:r>
      <w:r>
        <w:t>Sie bitten die personalverwaltenden und bezüge</w:t>
      </w:r>
      <w:r>
        <w:softHyphen/>
        <w:t>zahlenden Stellen, im Interesse der Beschäftigten gleichwohl eine zeitnahe Überleitung zu ermöglichen und die Zwischenzeit mit zu verrechnenden Abschlagszahlungen zu überbrücken.</w:t>
      </w:r>
    </w:p>
    <w:p w:rsidR="00BE1EFE" w:rsidRDefault="00BE1EFE">
      <w:pPr>
        <w:pStyle w:val="StandardWeb"/>
      </w:pPr>
    </w:p>
    <w:p w:rsidR="00BE1EFE" w:rsidRDefault="00BE1EFE" w:rsidP="0054275E">
      <w:pPr>
        <w:pStyle w:val="StandardWeb"/>
        <w:autoSpaceDE w:val="0"/>
      </w:pPr>
      <w:r>
        <w:rPr>
          <w:rStyle w:val="Fett"/>
          <w:bCs/>
        </w:rPr>
        <w:t>TVÜ-VKA:</w:t>
      </w:r>
    </w:p>
    <w:p w:rsidR="00BE1EFE" w:rsidRDefault="00BE1EFE">
      <w:pPr>
        <w:pStyle w:val="StandardWeb"/>
      </w:pPr>
    </w:p>
    <w:p w:rsidR="00BE1EFE" w:rsidRDefault="00BE1EFE">
      <w:pPr>
        <w:pStyle w:val="StandardWeb"/>
      </w:pPr>
      <w:r>
        <w:t>Niederschriftserklärung zur Protokollerklärung zu § 2 Absatz 1:</w:t>
      </w:r>
    </w:p>
    <w:p w:rsidR="00BE1EFE" w:rsidRDefault="00BE1EFE">
      <w:pPr>
        <w:pStyle w:val="StandardWeb"/>
      </w:pPr>
    </w:p>
    <w:p w:rsidR="00BE1EFE" w:rsidRDefault="00BE1EFE">
      <w:pPr>
        <w:pStyle w:val="StandardWeb"/>
      </w:pPr>
      <w:r>
        <w:t>Landesbezirkliche Regelungen sind auch Regelungen, die vor der ver.di-Gründung im Tarifrecht als bezirkliche Regelungen bezeichnet sind.</w:t>
      </w:r>
    </w:p>
    <w:p w:rsidR="00BE1EFE" w:rsidRDefault="00BE1EFE">
      <w:pPr>
        <w:pStyle w:val="StandardWeb"/>
      </w:pPr>
    </w:p>
    <w:p w:rsidR="00BE1EFE" w:rsidRDefault="00BE1EFE">
      <w:pPr>
        <w:pStyle w:val="StandardWeb"/>
      </w:pPr>
      <w:r>
        <w:t>(2) Die von den Mitgliedverbänden der VKA abgeschlossenen Tarifverträge sind durch die landesbezirklichen Tarifvertragsparteien hinsichtlich ihrer Weitergeltung zu prüfen und bei Bedarf bis zum 31. Dezember 2006 an den TVöD anzupassen; die landesbezirklichen Tarifvertragsparteien können diese Frist verlängern. Das Recht zur Kündigung der in Satz 1 genannten Tarifverträge bleibt unberührt.</w:t>
      </w:r>
    </w:p>
    <w:p w:rsidR="00BE1EFE" w:rsidRDefault="00BE1EFE">
      <w:pPr>
        <w:pStyle w:val="StandardWeb"/>
      </w:pPr>
    </w:p>
    <w:p w:rsidR="00BE1EFE" w:rsidRDefault="00BE1EFE">
      <w:pPr>
        <w:pStyle w:val="StandardWeb"/>
      </w:pPr>
      <w:r>
        <w:t>Niederschriftserklärung zu § 2:</w:t>
      </w:r>
    </w:p>
    <w:p w:rsidR="00BE1EFE" w:rsidRDefault="00BE1EFE">
      <w:pPr>
        <w:pStyle w:val="StandardWeb"/>
      </w:pPr>
    </w:p>
    <w:p w:rsidR="00BE1EFE" w:rsidRDefault="00BE1EFE">
      <w:pPr>
        <w:pStyle w:val="StandardWeb"/>
      </w:pPr>
      <w:r>
        <w:rPr>
          <w:rStyle w:val="kleinschrift"/>
        </w:rPr>
        <w:t>1</w:t>
      </w:r>
      <w:r>
        <w:t xml:space="preserve">Die Tarifvertragsparteien gehen davon aus, dass der TVöD und dieser Tarifvertrag bei tarifgebundenen Arbeitgebern das bisherige Tarifrecht auch dann ersetzen, wenn arbeitsvertragliche Bezugnahmen nicht ausdrücklich den Fall der ersetzenden Regelung beinhalten. </w:t>
      </w:r>
      <w:r>
        <w:rPr>
          <w:rStyle w:val="kleinschrift"/>
        </w:rPr>
        <w:t>2</w:t>
      </w:r>
      <w:r>
        <w:t>Die Geltungsbereichsregelungen des TV-V, der TV-N und des TV-WW/NW bleiben hiervon unberührt.</w:t>
      </w:r>
    </w:p>
    <w:p w:rsidR="00BE1EFE" w:rsidRDefault="00BE1EFE">
      <w:pPr>
        <w:pStyle w:val="StandardWeb"/>
      </w:pPr>
    </w:p>
    <w:p w:rsidR="00BE1EFE" w:rsidRDefault="00BE1EFE">
      <w:pPr>
        <w:pStyle w:val="StandardWeb"/>
      </w:pPr>
      <w:r>
        <w:t>Niederschriftserklärungen zu § 4 Absatz 1:</w:t>
      </w:r>
    </w:p>
    <w:p w:rsidR="00BE1EFE" w:rsidRDefault="00BE1EFE">
      <w:pPr>
        <w:pStyle w:val="StandardWeb"/>
      </w:pPr>
    </w:p>
    <w:p w:rsidR="00BE1EFE" w:rsidRDefault="00BE1EFE">
      <w:pPr>
        <w:pStyle w:val="StandardWeb"/>
      </w:pPr>
      <w:r>
        <w:t>1. </w:t>
      </w:r>
      <w:r>
        <w:rPr>
          <w:rStyle w:val="kleinschrift"/>
        </w:rPr>
        <w:t>1</w:t>
      </w:r>
      <w:r>
        <w:t>Die Tarifvertragsparteien stimmen darin überein, dass die Ergebnisse der unterschied</w:t>
      </w:r>
      <w:r>
        <w:softHyphen/>
        <w:t xml:space="preserve">lichen Überleitung (ohne bzw. mit vollzogenem Aufstieg) der Lehrkräfte im Rahmen der Tarifverhandlungen zu einer neuen Entgeltordnung einer Lösung nach den Grundsätzen der neuen Entgeltordnung zuzuführen sind. </w:t>
      </w:r>
      <w:r>
        <w:rPr>
          <w:rStyle w:val="kleinschrift"/>
        </w:rPr>
        <w:t>2</w:t>
      </w:r>
      <w:r>
        <w:t>Die Vertreter der VKA erklären, dass damit keine Verhandlungszusage zur Einbeziehung der Lehrkräfte in die neue Entgeltordnung verbunden ist.</w:t>
      </w:r>
    </w:p>
    <w:p w:rsidR="00BE1EFE" w:rsidRDefault="00BE1EFE">
      <w:pPr>
        <w:pStyle w:val="StandardWeb"/>
      </w:pPr>
    </w:p>
    <w:p w:rsidR="00BE1EFE" w:rsidRDefault="00BE1EFE">
      <w:pPr>
        <w:pStyle w:val="StandardWeb"/>
      </w:pPr>
      <w:r>
        <w:t>2. Lehrkräfte, die ihre Lehrbefähigung nach dem Recht der DDR erworben haben und zur Anerkennung als Lehrkräfte nach Abschnitt A der Lehrer-Richtlinien der VKA auf Grund beamtenrechtlicher Regelungen unterschiedlich lange Bewährungszeiten durchlaufen mussten bzw. müssen, gehören nicht zur Gruppe der Lehrkräfte nach Abschnitt B der Lehrer-Richtlinien der VKA.</w:t>
      </w:r>
    </w:p>
    <w:p w:rsidR="00BE1EFE" w:rsidRDefault="00BE1EFE">
      <w:pPr>
        <w:pStyle w:val="StandardWeb"/>
      </w:pPr>
    </w:p>
    <w:p w:rsidR="00BE1EFE" w:rsidRDefault="00BE1EFE">
      <w:pPr>
        <w:pStyle w:val="StandardWeb"/>
      </w:pPr>
      <w:r>
        <w:t>Niederschriftserklärung zu § 8 Absatz 2:</w:t>
      </w:r>
    </w:p>
    <w:p w:rsidR="00BE1EFE" w:rsidRDefault="00BE1EFE">
      <w:pPr>
        <w:pStyle w:val="StandardWeb"/>
      </w:pPr>
    </w:p>
    <w:p w:rsidR="00BE1EFE" w:rsidRDefault="00BE1EFE">
      <w:pPr>
        <w:pStyle w:val="StandardWeb"/>
      </w:pPr>
      <w:r>
        <w:t>Die Neuberechnung des Vergleichsentgelts führt nicht zu einem Wechsel der Entgeltgruppe.</w:t>
      </w:r>
    </w:p>
    <w:p w:rsidR="00BE1EFE" w:rsidRDefault="00BE1EFE">
      <w:pPr>
        <w:pStyle w:val="StandardWeb"/>
      </w:pPr>
    </w:p>
    <w:p w:rsidR="00BE1EFE" w:rsidRDefault="00BE1EFE">
      <w:pPr>
        <w:pStyle w:val="StandardWeb"/>
      </w:pPr>
      <w:r>
        <w:t>Niederschriftserklärung zu § 8 Absatz 1 Satz 2 und Absatz 2 Satz 2 sowie § 9 Absatz 2 bis 4:</w:t>
      </w:r>
    </w:p>
    <w:p w:rsidR="00BE1EFE" w:rsidRDefault="00BE1EFE">
      <w:pPr>
        <w:pStyle w:val="StandardWeb"/>
      </w:pPr>
    </w:p>
    <w:p w:rsidR="00BE1EFE" w:rsidRDefault="00BE1EFE">
      <w:pPr>
        <w:pStyle w:val="StandardWeb"/>
      </w:pPr>
      <w:r>
        <w:lastRenderedPageBreak/>
        <w:t>Eine missbräuchliche Entziehung der Tätigkeit mit dem ausschließlichen Ziel, eine Höher</w:t>
      </w:r>
      <w:r>
        <w:softHyphen/>
        <w:t>gruppierung zu verhindern, ist nicht zulässig.</w:t>
      </w:r>
    </w:p>
    <w:p w:rsidR="00BE1EFE" w:rsidRDefault="00BE1EFE">
      <w:pPr>
        <w:pStyle w:val="StandardWeb"/>
      </w:pPr>
    </w:p>
    <w:p w:rsidR="00BE1EFE" w:rsidRDefault="00BE1EFE">
      <w:pPr>
        <w:pStyle w:val="StandardWeb"/>
      </w:pPr>
      <w:r>
        <w:t>Niederschriftserklärung zu § 10 Absatz 1 und 2:</w:t>
      </w:r>
    </w:p>
    <w:p w:rsidR="00BE1EFE" w:rsidRDefault="00BE1EFE">
      <w:pPr>
        <w:pStyle w:val="StandardWeb"/>
      </w:pPr>
    </w:p>
    <w:p w:rsidR="00BE1EFE" w:rsidRDefault="00BE1EFE">
      <w:pPr>
        <w:pStyle w:val="StandardWeb"/>
      </w:pPr>
      <w:r>
        <w:rPr>
          <w:rStyle w:val="kleinschrift"/>
        </w:rPr>
        <w:t>1</w:t>
      </w:r>
      <w:r>
        <w:t>Die Tarifvertragsparteien stellen klar, dass die vertretungsweise Übertragung einer höher</w:t>
      </w:r>
      <w:r>
        <w:softHyphen/>
        <w:t xml:space="preserve">wertigen Tätigkeit ein Unterfall der vorübergehenden Übertragung einer höherwertigen Tätigkeit ist. </w:t>
      </w:r>
      <w:r>
        <w:rPr>
          <w:rStyle w:val="kleinschrift"/>
        </w:rPr>
        <w:t>2</w:t>
      </w:r>
      <w:r>
        <w:t>Gleiches gilt für die Zulage nach § 2 der Anlage 3 zum BAT.</w:t>
      </w:r>
    </w:p>
    <w:p w:rsidR="00BE1EFE" w:rsidRDefault="00BE1EFE">
      <w:pPr>
        <w:pStyle w:val="StandardWeb"/>
      </w:pPr>
    </w:p>
    <w:p w:rsidR="00BE1EFE" w:rsidRDefault="00BE1EFE">
      <w:pPr>
        <w:pStyle w:val="StandardWeb"/>
      </w:pPr>
      <w:r>
        <w:t>Niederschriftserklärungen zu § 12:</w:t>
      </w:r>
    </w:p>
    <w:p w:rsidR="00BE1EFE" w:rsidRDefault="00BE1EFE">
      <w:pPr>
        <w:pStyle w:val="StandardWeb"/>
      </w:pPr>
    </w:p>
    <w:p w:rsidR="00BE1EFE" w:rsidRDefault="00BE1EFE">
      <w:pPr>
        <w:pStyle w:val="StandardWeb"/>
      </w:pPr>
      <w:r>
        <w:t>1. </w:t>
      </w:r>
      <w:r>
        <w:rPr>
          <w:rStyle w:val="kleinschrift"/>
        </w:rPr>
        <w:t>1</w:t>
      </w:r>
      <w:r>
        <w:t xml:space="preserve">Die Tarifvertragsparteien sind sich angesichts der Fülle der denkbaren Fallgestaltungen bewusst, dass die Festlegung der Strukturausgleiche je nach individueller Fallgestaltung in Einzelfällen sowohl zu überproportional positiven Wirkungen als auch zu Härten führen kann. </w:t>
      </w:r>
      <w:r>
        <w:rPr>
          <w:rStyle w:val="kleinschrift"/>
        </w:rPr>
        <w:t>2</w:t>
      </w:r>
      <w:r>
        <w:t>Sie nehmen diese Verwerfungen im Interesse einer für eine Vielzahl von Fallgestaltungen angestrebten Abmilderung von Exspektanzverlusten hin.</w:t>
      </w:r>
    </w:p>
    <w:p w:rsidR="00BE1EFE" w:rsidRDefault="00BE1EFE">
      <w:pPr>
        <w:pStyle w:val="StandardWeb"/>
      </w:pPr>
    </w:p>
    <w:p w:rsidR="00BE1EFE" w:rsidRDefault="00BE1EFE">
      <w:pPr>
        <w:pStyle w:val="StandardWeb"/>
      </w:pPr>
      <w:r>
        <w:t>2. </w:t>
      </w:r>
      <w:r>
        <w:rPr>
          <w:rStyle w:val="kleinschrift"/>
        </w:rPr>
        <w:t>1</w:t>
      </w:r>
      <w:r>
        <w:t xml:space="preserve">Die Tarifvertragsparteien erkennen unbeschadet der Niederschriftserklärung Nr. 1 zu § 12 an, dass die Strukturausgleiche in einem Zusammenhang mit der zukünftigen Entgeltordnung stehen. </w:t>
      </w:r>
      <w:r>
        <w:rPr>
          <w:rStyle w:val="kleinschrift"/>
        </w:rPr>
        <w:t>2</w:t>
      </w:r>
      <w:r>
        <w:t xml:space="preserve">Die Tarifvertragsparteien werden nach einer Vereinbarung der Entgeltordnung zum TVöD, rechtzeitig vor Ablauf des 30. September 2007, prüfen, ob und in welchem Umfang sie neben den bereits verbindlich vereinbarten Fällen, in denen Strukturausgleichsbeträge festgelegt sind, für einen Zeitraum bis längstens Ende 2014 in weiteren Fällen Regelungen, die auch in der Begrenzung der Zuwächse aus Strukturausgleichen bestehen können, vornehmen müssen. </w:t>
      </w:r>
      <w:r>
        <w:rPr>
          <w:rStyle w:val="kleinschrift"/>
        </w:rPr>
        <w:t>3</w:t>
      </w:r>
      <w:r>
        <w:t>Sollten zusätzliche Strukturausgleiche vereinbart werden, sind die sich daraus ergebenden Kostenwirkungen in der Entgeltrunde 2008 zu berücksichtigen.</w:t>
      </w:r>
    </w:p>
    <w:p w:rsidR="00BE1EFE" w:rsidRDefault="00BE1EFE">
      <w:pPr>
        <w:pStyle w:val="StandardWeb"/>
      </w:pPr>
    </w:p>
    <w:p w:rsidR="00BE1EFE" w:rsidRDefault="00BE1EFE">
      <w:pPr>
        <w:pStyle w:val="StandardWeb"/>
      </w:pPr>
      <w:r>
        <w:t>Niederschriftserklärung zu § 17 Absatz 8:</w:t>
      </w:r>
    </w:p>
    <w:p w:rsidR="00BE1EFE" w:rsidRDefault="00BE1EFE">
      <w:pPr>
        <w:pStyle w:val="StandardWeb"/>
      </w:pPr>
    </w:p>
    <w:p w:rsidR="00BE1EFE" w:rsidRDefault="00BE1EFE">
      <w:pPr>
        <w:pStyle w:val="StandardWeb"/>
      </w:pPr>
      <w:r>
        <w:t>Mit dieser Regelung ist keine Entscheidung über die Zuordnung und Fortbestand/Besitzstand der Zulage im Rahmen der neuen Entgeltordnung verbunden.</w:t>
      </w:r>
    </w:p>
    <w:p w:rsidR="00BE1EFE" w:rsidRDefault="00BE1EFE">
      <w:pPr>
        <w:pStyle w:val="StandardWeb"/>
      </w:pPr>
    </w:p>
    <w:p w:rsidR="00BE1EFE" w:rsidRDefault="00BE1EFE">
      <w:pPr>
        <w:pStyle w:val="StandardWeb"/>
      </w:pPr>
      <w:r>
        <w:t>Niederschriftserklärungen zu § 18:</w:t>
      </w:r>
    </w:p>
    <w:p w:rsidR="00BE1EFE" w:rsidRDefault="00BE1EFE">
      <w:pPr>
        <w:pStyle w:val="StandardWeb"/>
      </w:pPr>
    </w:p>
    <w:p w:rsidR="00BE1EFE" w:rsidRDefault="00BE1EFE">
      <w:pPr>
        <w:pStyle w:val="StandardWeb"/>
      </w:pPr>
      <w:r>
        <w:rPr>
          <w:rStyle w:val="kleinschrift"/>
        </w:rPr>
        <w:t>1</w:t>
      </w:r>
      <w:r>
        <w:t xml:space="preserve">Abweichend von der Grundsatzregelung des TVöD über eine persönliche Zulage bei vorübergehender Übertragung einer höherwertigen Tätigkeit ist durch einen landesbezirklichen Tarifvertrag im Rahmen eines Katalogs, der die hierfür in Frage kommenden Tätigkeiten aufführt, zu bestimmen, dass die Voraussetzung für die Zahlung einer persönlichen Zulagen bereits erfüllt ist, wenn die vorübergehende übertragene Tätigkeit mindestens drei Arbeitstage angedauert hat und der/die Beschäftigte ab dem ersten Tag der Vertretung in Anspruch genommen ist. </w:t>
      </w:r>
      <w:r>
        <w:rPr>
          <w:rStyle w:val="kleinschrift"/>
        </w:rPr>
        <w:t>2</w:t>
      </w:r>
      <w:r>
        <w:t>Die landesbezirklichen Tarifverträge sollen spätestens am 1. Juli 2007 in Kraft treten.</w:t>
      </w:r>
    </w:p>
    <w:p w:rsidR="00BE1EFE" w:rsidRDefault="00BE1EFE">
      <w:pPr>
        <w:pStyle w:val="StandardWeb"/>
      </w:pPr>
    </w:p>
    <w:p w:rsidR="00BE1EFE" w:rsidRDefault="00BE1EFE">
      <w:pPr>
        <w:pStyle w:val="StandardWeb"/>
      </w:pPr>
      <w:r>
        <w:t>Die Niederschriftserklärung zu § 10 Absatz 1 und 2 gilt entsprechend.</w:t>
      </w:r>
    </w:p>
    <w:p w:rsidR="00BE1EFE" w:rsidRDefault="00BE1EFE">
      <w:pPr>
        <w:pStyle w:val="StandardWeb"/>
      </w:pPr>
    </w:p>
    <w:p w:rsidR="00BE1EFE" w:rsidRDefault="00BE1EFE">
      <w:pPr>
        <w:pStyle w:val="StandardWeb"/>
      </w:pPr>
      <w:r>
        <w:t>Niederschriftserklärung zu § 19 Absatz 3</w:t>
      </w:r>
    </w:p>
    <w:p w:rsidR="00BE1EFE" w:rsidRDefault="00BE1EFE">
      <w:pPr>
        <w:pStyle w:val="StandardWeb"/>
      </w:pPr>
    </w:p>
    <w:p w:rsidR="00BE1EFE" w:rsidRDefault="00BE1EFE">
      <w:pPr>
        <w:pStyle w:val="StandardWeb"/>
      </w:pPr>
      <w:r>
        <w:t>Die Tarifvertragsparteien streben für die Zeit nach dem 31. Dezember 2007 eine Harmonisierung mit den Tabellenwerten für die übrigen Beschäftigten an.</w:t>
      </w:r>
    </w:p>
    <w:p w:rsidR="00BE1EFE" w:rsidRDefault="00BE1EFE" w:rsidP="00BF51C4">
      <w:pPr>
        <w:pStyle w:val="Leerzeile"/>
      </w:pPr>
      <w:r>
        <w:br w:type="page"/>
      </w:r>
    </w:p>
    <w:p w:rsidR="00BE1EFE" w:rsidRDefault="00BE1EFE">
      <w:pPr>
        <w:pStyle w:val="StandardWeb"/>
      </w:pPr>
      <w:r>
        <w:lastRenderedPageBreak/>
        <w:t>Niederschriftserklärung zu § 34 Absatz 1:</w:t>
      </w:r>
    </w:p>
    <w:p w:rsidR="00BE1EFE" w:rsidRDefault="00BE1EFE">
      <w:pPr>
        <w:pStyle w:val="StandardWeb"/>
      </w:pPr>
    </w:p>
    <w:p w:rsidR="00BE1EFE" w:rsidRDefault="00BE1EFE">
      <w:pPr>
        <w:pStyle w:val="StandardWeb"/>
      </w:pPr>
      <w:r>
        <w:rPr>
          <w:rStyle w:val="kleinschrift"/>
        </w:rPr>
        <w:t>1</w:t>
      </w:r>
      <w:r>
        <w:t xml:space="preserve">Im Hinblick auf die notwendigen personalwirtschaftlichen, organisatorischen und technischen Vorarbeiten für die Überleitung der vorhandenen Beschäftigten in den TVöD sehen die Tarifvertragsparteien die Problematik einer fristgerechten Umsetzung der neuen Tarifregelungen zum 1. Oktober 2005. </w:t>
      </w:r>
      <w:r>
        <w:rPr>
          <w:rStyle w:val="kleinschrift"/>
        </w:rPr>
        <w:t>2</w:t>
      </w:r>
      <w:r>
        <w:t>Sie bitten die Personal verwaltenden und Bezüge zahlenden Stellen, im Interesse der Beschäftigten gleichwohl eine zeitnahe Überleitung zu ermöglichen und die Zwischenzeit mit zu verrechnenden Abschlagszahlungen zu überbrücken.</w:t>
      </w:r>
    </w:p>
    <w:p w:rsidR="00BE1EFE" w:rsidRDefault="00BE1EFE" w:rsidP="005C70E0">
      <w:pPr>
        <w:pStyle w:val="StandardWeb"/>
      </w:pPr>
      <w:r>
        <w:br w:type="page"/>
      </w:r>
    </w:p>
    <w:p w:rsidR="00BE1EFE" w:rsidRDefault="00BE1EFE" w:rsidP="00E87479">
      <w:pPr>
        <w:pStyle w:val="berschrift3"/>
        <w:spacing w:before="0"/>
        <w:rPr>
          <w:lang w:eastAsia="x-none"/>
        </w:rPr>
      </w:pPr>
      <w:bookmarkStart w:id="699" w:name="_Toc523926231"/>
      <w:r>
        <w:lastRenderedPageBreak/>
        <w:t>Teil B: Sonderregelungen</w:t>
      </w:r>
      <w:bookmarkEnd w:id="699"/>
    </w:p>
    <w:p w:rsidR="00BE1EFE" w:rsidRDefault="00BE1EFE" w:rsidP="007A081D">
      <w:pPr>
        <w:pStyle w:val="berschrift4"/>
        <w:jc w:val="both"/>
      </w:pPr>
      <w:bookmarkStart w:id="700" w:name="_Toc523926232"/>
      <w:r>
        <w:t>B, 1. Beschäftigte im forstlichen Außendienst</w:t>
      </w:r>
      <w:bookmarkEnd w:id="700"/>
    </w:p>
    <w:p w:rsidR="00BE1EFE" w:rsidRDefault="00BE1EFE">
      <w:pPr>
        <w:pStyle w:val="berschrift5"/>
      </w:pPr>
      <w:bookmarkStart w:id="701" w:name="_Toc523926233"/>
      <w:r>
        <w:t>Nr. 1</w:t>
      </w:r>
      <w:bookmarkEnd w:id="701"/>
    </w:p>
    <w:p w:rsidR="00BE1EFE" w:rsidRDefault="00BE1EFE">
      <w:pPr>
        <w:pStyle w:val="berschrift6"/>
      </w:pPr>
      <w:bookmarkStart w:id="702" w:name="_Toc523926234"/>
      <w:r>
        <w:t>Zu § 1 Teil A, 1. - Allgemeiner Geltungsbereich -</w:t>
      </w:r>
      <w:bookmarkEnd w:id="70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Diese Sonderregelungen gelten für Beschäftigte im forstlichen Außendienst, die nicht von </w:t>
      </w:r>
      <w:hyperlink r:id="rId767" w:history="1">
        <w:r w:rsidRPr="002D1F1D">
          <w:rPr>
            <w:rStyle w:val="Hyperlink"/>
          </w:rPr>
          <w:t>§ 1 Absatz 2 Buchstabe g Teil A, 1</w:t>
        </w:r>
      </w:hyperlink>
      <w:r>
        <w:t>. erfasst werden.</w:t>
      </w:r>
    </w:p>
    <w:p w:rsidR="00BE1EFE" w:rsidRDefault="00BE1EFE">
      <w:pPr>
        <w:pStyle w:val="berschrift5"/>
      </w:pPr>
      <w:bookmarkStart w:id="703" w:name="_Toc523926235"/>
      <w:r>
        <w:t>Nr. 2</w:t>
      </w:r>
      <w:bookmarkEnd w:id="703"/>
    </w:p>
    <w:p w:rsidR="00BE1EFE" w:rsidRDefault="00BE1EFE">
      <w:pPr>
        <w:pStyle w:val="berschrift6"/>
      </w:pPr>
      <w:bookmarkStart w:id="704" w:name="_Toc523926236"/>
      <w:r>
        <w:t>Zu § 6 Teil A, 1. - Arbeitszeit -</w:t>
      </w:r>
      <w:bookmarkEnd w:id="7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wöchentliche Arbeitszeitkorridor beträgt 48 Stunden. </w:t>
      </w:r>
      <w:r>
        <w:rPr>
          <w:rStyle w:val="kleinschrift"/>
        </w:rPr>
        <w:t>2</w:t>
      </w:r>
      <w:r>
        <w:t xml:space="preserve">Abweichend von </w:t>
      </w:r>
      <w:hyperlink r:id="rId768" w:history="1">
        <w:r w:rsidRPr="002D1F1D">
          <w:rPr>
            <w:rStyle w:val="Hyperlink"/>
          </w:rPr>
          <w:t>§ 7 Absatz 7 Teil A, 1.</w:t>
        </w:r>
      </w:hyperlink>
      <w:r>
        <w:t xml:space="preserve"> sind nur die Arbeitsstunden Überstunden, die über den Arbeitszeitkorridor nach Satz 1 hinaus auf Anordnung geleistet worden sind. </w:t>
      </w:r>
      <w:r>
        <w:rPr>
          <w:rStyle w:val="kleinschrift"/>
        </w:rPr>
        <w:t>3</w:t>
      </w:r>
      <w:hyperlink r:id="rId769" w:history="1">
        <w:r w:rsidRPr="002D1F1D">
          <w:rPr>
            <w:rStyle w:val="Hyperlink"/>
          </w:rPr>
          <w:t>§ 10 Absatz 1 Satz 3 Teil A, 1</w:t>
        </w:r>
      </w:hyperlink>
      <w:r>
        <w:t xml:space="preserve"> findet keine Anwendung, auf Antrag der/des Beschäftigten kann ein Arbeitszeitkonto in vereinfachter Form durch Selbstaufschreibung geführt werden.</w:t>
      </w:r>
    </w:p>
    <w:p w:rsidR="00BE1EFE" w:rsidRPr="000B1AF8" w:rsidRDefault="00BE1EFE">
      <w:pPr>
        <w:pStyle w:val="StandardWeb"/>
      </w:pPr>
    </w:p>
    <w:p w:rsidR="00BE1EFE" w:rsidRDefault="00BE1EFE">
      <w:pPr>
        <w:pStyle w:val="StandardWeb"/>
      </w:pPr>
      <w:r>
        <w:t>(2) Absatz 1 gilt nicht, wenn Dienstvereinbarungen zur Gleitzeit bestehen oder vereinbart werden.</w:t>
      </w:r>
      <w:r>
        <w:br w:type="page"/>
      </w:r>
    </w:p>
    <w:p w:rsidR="00BE1EFE" w:rsidRDefault="00BE1EFE" w:rsidP="00E87479">
      <w:pPr>
        <w:pStyle w:val="berschrift4"/>
        <w:spacing w:before="0"/>
      </w:pPr>
      <w:bookmarkStart w:id="705" w:name="_Toc523926237"/>
      <w:r>
        <w:lastRenderedPageBreak/>
        <w:t>B, 2. Arbeitsvertragsrechtliche Regelungen für kurzfristig Beschäftigte</w:t>
      </w:r>
      <w:bookmarkEnd w:id="705"/>
    </w:p>
    <w:p w:rsidR="00BE1EFE" w:rsidRDefault="00BE1EFE">
      <w:pPr>
        <w:pStyle w:val="berschrift5"/>
      </w:pPr>
      <w:bookmarkStart w:id="706" w:name="_Toc523926238"/>
      <w:r>
        <w:t>Nr. 1</w:t>
      </w:r>
      <w:bookmarkEnd w:id="706"/>
    </w:p>
    <w:p w:rsidR="00BE1EFE" w:rsidRDefault="00BE1EFE">
      <w:pPr>
        <w:pStyle w:val="berschrift6"/>
      </w:pPr>
      <w:bookmarkStart w:id="707" w:name="_Toc523926239"/>
      <w:r>
        <w:t>Zu § 1 Teil A, 1. - Allgemeiner Geltungsbereich -</w:t>
      </w:r>
      <w:bookmarkEnd w:id="7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Bestimmungen des Teil </w:t>
      </w:r>
      <w:hyperlink r:id="rId770" w:history="1">
        <w:r w:rsidRPr="002D1F1D">
          <w:rPr>
            <w:rStyle w:val="Hyperlink"/>
          </w:rPr>
          <w:t>B, 2.</w:t>
        </w:r>
      </w:hyperlink>
      <w:r>
        <w:t xml:space="preserve"> gelten für die Arbeitsverhältnisse der Beschäftigten, die i. S. d. </w:t>
      </w:r>
      <w:hyperlink r:id="rId771" w:tgtFrame="_blank" w:history="1">
        <w:r>
          <w:rPr>
            <w:rStyle w:val="Hyperlink"/>
          </w:rPr>
          <w:t>§ 8 Absatz 1 Nr. 2 SGB IV</w:t>
        </w:r>
      </w:hyperlink>
      <w:r>
        <w:t xml:space="preserve"> – ohne Berücksichtigung des </w:t>
      </w:r>
      <w:hyperlink r:id="rId772" w:tgtFrame="_blank" w:history="1">
        <w:r>
          <w:rPr>
            <w:rStyle w:val="Hyperlink"/>
          </w:rPr>
          <w:t>§ 8 Absatz 2 Satz 1 SGB IV</w:t>
        </w:r>
      </w:hyperlink>
      <w:r>
        <w:t xml:space="preserve"> – kurzfristig beschäftigt sind.</w:t>
      </w:r>
    </w:p>
    <w:p w:rsidR="00BE1EFE" w:rsidRDefault="00BE1EFE">
      <w:pPr>
        <w:pStyle w:val="berschrift5"/>
      </w:pPr>
      <w:bookmarkStart w:id="708" w:name="_Toc523926240"/>
      <w:r>
        <w:t>Nr. 2</w:t>
      </w:r>
      <w:bookmarkEnd w:id="708"/>
    </w:p>
    <w:p w:rsidR="00BE1EFE" w:rsidRDefault="00BE1EFE">
      <w:pPr>
        <w:pStyle w:val="berschrift6"/>
      </w:pPr>
      <w:bookmarkStart w:id="709" w:name="_Toc523926241"/>
      <w:r>
        <w:t>Zu § 2 Teil A, 1. - Arbeitsvertrag -</w:t>
      </w:r>
      <w:bookmarkEnd w:id="7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Inhalt des Arbeitsvertrages unterliegt der freien Vereinbarkeit, soweit nicht durch Gesetz oder nachfolgend etwas anderes geregelt ist.</w:t>
      </w:r>
    </w:p>
    <w:p w:rsidR="00BE1EFE" w:rsidRPr="000B1AF8" w:rsidRDefault="00BE1EFE">
      <w:pPr>
        <w:pStyle w:val="StandardWeb"/>
      </w:pPr>
    </w:p>
    <w:p w:rsidR="00BE1EFE" w:rsidRDefault="00BE1EFE">
      <w:pPr>
        <w:pStyle w:val="berschrift5"/>
      </w:pPr>
      <w:bookmarkStart w:id="710" w:name="_Toc523926242"/>
      <w:r>
        <w:t>Nr. 3</w:t>
      </w:r>
      <w:bookmarkEnd w:id="710"/>
    </w:p>
    <w:p w:rsidR="00BE1EFE" w:rsidRDefault="00BE1EFE">
      <w:pPr>
        <w:pStyle w:val="berschrift6"/>
      </w:pPr>
      <w:bookmarkStart w:id="711" w:name="_Toc523926243"/>
      <w:r>
        <w:t>Zu § 15 Teil A, 1. - Tabellenentgelt -</w:t>
      </w:r>
      <w:bookmarkEnd w:id="71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Das Entgelt kann zwischen Arbeitgeber und Beschäftigter/Beschäftigtem frei vereinbart werden. </w:t>
      </w:r>
      <w:r>
        <w:rPr>
          <w:rStyle w:val="kleinschrift"/>
        </w:rPr>
        <w:t>2</w:t>
      </w:r>
      <w:r>
        <w:t>Der auf eine Stunde entfallende Anteil des Tabellenentgelts der Stufe 2 der jeweiligen Entgeltgruppe darf dabei nicht unterschritten werden.</w:t>
      </w:r>
    </w:p>
    <w:p w:rsidR="00BE1EFE" w:rsidRDefault="00BE1EFE" w:rsidP="004416C4">
      <w:pPr>
        <w:pStyle w:val="berschrift4"/>
      </w:pPr>
      <w:bookmarkStart w:id="712" w:name="_Toc523926244"/>
      <w:r>
        <w:t>B, 3. Arbeitsvertragsrechtliche Regelungen für Renten- und Versorgungsempfänger</w:t>
      </w:r>
      <w:bookmarkEnd w:id="712"/>
    </w:p>
    <w:p w:rsidR="00BE1EFE" w:rsidRPr="006A23D5" w:rsidRDefault="00BE1EFE" w:rsidP="00B76821">
      <w:pPr>
        <w:pStyle w:val="berschrift5"/>
        <w:keepNext w:val="0"/>
        <w:spacing w:before="0" w:after="0"/>
        <w:rPr>
          <w:rStyle w:val="Hervorhebung"/>
          <w:iCs/>
          <w:sz w:val="16"/>
          <w:szCs w:val="16"/>
        </w:rPr>
      </w:pPr>
    </w:p>
    <w:p w:rsidR="007741BF" w:rsidRDefault="00BE1EFE" w:rsidP="007741BF">
      <w:pPr>
        <w:pStyle w:val="StandardWeb"/>
        <w:rPr>
          <w:rStyle w:val="Hervorhebung"/>
        </w:rPr>
      </w:pPr>
      <w:r w:rsidRPr="007741BF">
        <w:rPr>
          <w:rStyle w:val="Hervorhebung"/>
        </w:rPr>
        <w:t>(aufgehoben durch Beschluss vom 16.07.2009 mit Inkraftsetzung zum 01.01.2010)</w:t>
      </w:r>
    </w:p>
    <w:p w:rsidR="007741BF" w:rsidRDefault="007741BF" w:rsidP="007741BF">
      <w:pPr>
        <w:pStyle w:val="StandardWeb"/>
        <w:rPr>
          <w:rStyle w:val="Hervorhebung"/>
        </w:rPr>
      </w:pPr>
      <w:r>
        <w:rPr>
          <w:rStyle w:val="Hervorhebung"/>
        </w:rPr>
        <w:br w:type="page"/>
      </w:r>
    </w:p>
    <w:p w:rsidR="007741BF" w:rsidRDefault="007741BF" w:rsidP="007741BF">
      <w:pPr>
        <w:pStyle w:val="berschrift4"/>
        <w:spacing w:before="0"/>
      </w:pPr>
      <w:bookmarkStart w:id="713" w:name="_Toc523926245"/>
      <w:r>
        <w:lastRenderedPageBreak/>
        <w:t>B, 4. Sonderregelungen für Beschäftigte als Lehrkräfte an Schulen in kirchlicher Trägerschaft</w:t>
      </w:r>
      <w:bookmarkEnd w:id="713"/>
    </w:p>
    <w:p w:rsidR="007741BF" w:rsidRDefault="007741BF" w:rsidP="007741BF">
      <w:pPr>
        <w:pStyle w:val="StandardWeb"/>
        <w:rPr>
          <w:rStyle w:val="Hervorhebung"/>
        </w:rPr>
      </w:pPr>
    </w:p>
    <w:p w:rsidR="00BE1EFE" w:rsidRPr="007741BF" w:rsidRDefault="00CC7132" w:rsidP="007741BF">
      <w:pPr>
        <w:pStyle w:val="StandardWeb"/>
      </w:pPr>
      <w:r w:rsidRPr="007741BF">
        <w:rPr>
          <w:rStyle w:val="Hervorhebung"/>
        </w:rPr>
        <w:br w:type="page"/>
      </w:r>
    </w:p>
    <w:p w:rsidR="00CD6753" w:rsidRDefault="00BE1EFE" w:rsidP="00E87479">
      <w:pPr>
        <w:pStyle w:val="berschrift5"/>
        <w:spacing w:before="0" w:after="0"/>
      </w:pPr>
      <w:bookmarkStart w:id="714" w:name="_Toc523926246"/>
      <w:r>
        <w:lastRenderedPageBreak/>
        <w:t>B, 4.1. Sonderregelungen für die Arbeitsverhältnisse arbeitsvertraglich beschäftigter Lehrkräfte an Schulen in kirchlicher Trägerschaft (SR-L)</w:t>
      </w:r>
      <w:bookmarkEnd w:id="714"/>
    </w:p>
    <w:p w:rsidR="00CD6753" w:rsidRPr="00CC7132" w:rsidRDefault="00CD6753" w:rsidP="00CD6753">
      <w:pPr>
        <w:pStyle w:val="StandardWeb"/>
      </w:pPr>
    </w:p>
    <w:p w:rsidR="00BE1EFE" w:rsidRPr="00CD6753" w:rsidRDefault="00BE1EFE" w:rsidP="00CD6753">
      <w:pPr>
        <w:pStyle w:val="StandardWeb"/>
        <w:rPr>
          <w:sz w:val="2"/>
          <w:szCs w:val="2"/>
        </w:rPr>
      </w:pPr>
    </w:p>
    <w:p w:rsidR="00BE1EFE" w:rsidRPr="006A62E1" w:rsidRDefault="00BE1EFE" w:rsidP="00E87479">
      <w:pPr>
        <w:pStyle w:val="berschrift6"/>
        <w:spacing w:before="0"/>
      </w:pPr>
      <w:bookmarkStart w:id="715" w:name="_Toc523926247"/>
      <w:r>
        <w:t>B, 4.1.1. Sonderregelungen für die Arbeitsverhältnisse von Lehrkräften an Realschulen und Gymnasien</w:t>
      </w:r>
      <w:bookmarkEnd w:id="715"/>
    </w:p>
    <w:p w:rsidR="00BE1EFE" w:rsidRPr="000B1AF8" w:rsidRDefault="00BE1EFE" w:rsidP="00585FBA">
      <w:pPr>
        <w:pStyle w:val="h7"/>
      </w:pPr>
      <w:bookmarkStart w:id="716" w:name="_Toc523926248"/>
      <w:r>
        <w:t>Kapitel 1 - Sonderregelungen zu Teil A, 1.</w:t>
      </w:r>
      <w:bookmarkEnd w:id="716"/>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Allgemeine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Zu § 1 Teil A, 1. - Allgemeiner Geltungsbereich</w:t>
      </w:r>
    </w:p>
    <w:p w:rsidR="00BE1EFE" w:rsidRDefault="00BE1EFE">
      <w:pPr>
        <w:pStyle w:val="StandardWeb"/>
        <w:jc w:val="center"/>
      </w:pPr>
    </w:p>
    <w:p w:rsidR="00BE1EFE" w:rsidRDefault="00BE1EFE">
      <w:pPr>
        <w:pStyle w:val="StandardWeb"/>
      </w:pPr>
      <w:r>
        <w:rPr>
          <w:rStyle w:val="kleinschrift"/>
        </w:rPr>
        <w:t>1</w:t>
      </w:r>
      <w:r>
        <w:t xml:space="preserve">Diese Sonderregelungen gelten für Lehrkräfte an Realschulen und Gymnasien. </w:t>
      </w:r>
      <w:r>
        <w:rPr>
          <w:rStyle w:val="kleinschrift"/>
        </w:rPr>
        <w:t>2</w:t>
      </w:r>
      <w:r>
        <w:t>Die Lehrerdienstordnung für katholische Schulen in freier Trägerschaft in Bayern (KLDO) in ihrer jeweiligen Fassung ist Bestandteil des Arbeitsverhältnisses.</w:t>
      </w:r>
    </w:p>
    <w:p w:rsidR="00BE1EFE" w:rsidRDefault="00BE1EFE">
      <w:pPr>
        <w:pStyle w:val="StandardWeb"/>
      </w:pPr>
      <w:r>
        <w:rPr>
          <w:sz w:val="12"/>
          <w:szCs w:val="12"/>
        </w:rPr>
        <w:t>Erläuterung:</w:t>
      </w:r>
    </w:p>
    <w:p w:rsidR="00BE1EFE" w:rsidRDefault="00BE1EFE">
      <w:pPr>
        <w:pStyle w:val="StandardWeb"/>
      </w:pPr>
      <w:r>
        <w:rPr>
          <w:sz w:val="12"/>
          <w:szCs w:val="12"/>
        </w:rPr>
        <w:t>1Lehrkräfte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pPr>
        <w:pStyle w:val="StandardWeb"/>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Zu § 3 Teil A, 1.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773"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Zu §§ 5 und 5a Teil A, 1.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Dabei finden die §§ 5, 5a Teil A, 1. entsprechende Anwendung.</w:t>
      </w:r>
      <w:r>
        <w:br w:type="page"/>
      </w:r>
    </w:p>
    <w:p w:rsidR="00BE1EFE" w:rsidRDefault="00BE1EFE" w:rsidP="0054275E">
      <w:pPr>
        <w:pStyle w:val="StandardWeb"/>
        <w:autoSpaceDE w:val="0"/>
        <w:jc w:val="center"/>
        <w:rPr>
          <w:b/>
          <w:bCs/>
        </w:rPr>
      </w:pPr>
      <w:r>
        <w:rPr>
          <w:rStyle w:val="Fett"/>
          <w:bCs/>
        </w:rPr>
        <w:lastRenderedPageBreak/>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pPr>
        <w:pStyle w:val="StandardWeb"/>
      </w:pPr>
      <w:r>
        <w:t xml:space="preserve">(1) Die </w:t>
      </w:r>
      <w:hyperlink r:id="rId774" w:history="1">
        <w:r w:rsidRPr="002D1F1D">
          <w:rPr>
            <w:rStyle w:val="Hyperlink"/>
          </w:rPr>
          <w:t>§§ 6</w:t>
        </w:r>
      </w:hyperlink>
      <w:r>
        <w:t xml:space="preserve">, </w:t>
      </w:r>
      <w:hyperlink r:id="rId775" w:history="1">
        <w:r w:rsidRPr="00A7358F">
          <w:rPr>
            <w:rStyle w:val="Hyperlink"/>
          </w:rPr>
          <w:t>7,</w:t>
        </w:r>
      </w:hyperlink>
      <w:r>
        <w:t xml:space="preserve"> </w:t>
      </w:r>
      <w:hyperlink r:id="rId776" w:history="1">
        <w:r w:rsidRPr="002D1F1D">
          <w:rPr>
            <w:rStyle w:val="Hyperlink"/>
          </w:rPr>
          <w:t>8</w:t>
        </w:r>
      </w:hyperlink>
      <w:r>
        <w:t xml:space="preserve">, </w:t>
      </w:r>
      <w:hyperlink r:id="rId777" w:history="1">
        <w:r w:rsidRPr="00A7358F">
          <w:rPr>
            <w:rStyle w:val="Hyperlink"/>
          </w:rPr>
          <w:t>9,</w:t>
        </w:r>
      </w:hyperlink>
      <w:r>
        <w:t xml:space="preserve"> </w:t>
      </w:r>
      <w:hyperlink r:id="rId778" w:history="1">
        <w:r w:rsidRPr="002D1F1D">
          <w:rPr>
            <w:rStyle w:val="Hyperlink"/>
          </w:rPr>
          <w:t>10</w:t>
        </w:r>
      </w:hyperlink>
      <w:r>
        <w:t xml:space="preserve">, </w:t>
      </w:r>
      <w:hyperlink r:id="rId779" w:history="1">
        <w:r w:rsidRPr="00A7358F">
          <w:rPr>
            <w:rStyle w:val="Hyperlink"/>
          </w:rPr>
          <w:t>11,</w:t>
        </w:r>
      </w:hyperlink>
      <w:r>
        <w:t xml:space="preserve"> </w:t>
      </w:r>
      <w:hyperlink r:id="rId780" w:history="1">
        <w:r w:rsidRPr="00A7358F">
          <w:rPr>
            <w:rStyle w:val="Hyperlink"/>
          </w:rPr>
          <w:t>11a,</w:t>
        </w:r>
      </w:hyperlink>
      <w:r>
        <w:t xml:space="preserve"> </w:t>
      </w:r>
      <w:hyperlink r:id="rId781" w:history="1">
        <w:r w:rsidRPr="002D1F1D">
          <w:rPr>
            <w:rStyle w:val="Hyperlink"/>
          </w:rPr>
          <w:t>11b</w:t>
        </w:r>
      </w:hyperlink>
      <w:r>
        <w:t xml:space="preserve"> und </w:t>
      </w:r>
      <w:hyperlink r:id="rId782"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entsprechende Lehrkräfte des Freistaates Bayern. </w:t>
      </w:r>
      <w:r>
        <w:rPr>
          <w:rStyle w:val="kleinschrift"/>
        </w:rPr>
        <w:t>2</w:t>
      </w:r>
      <w:r>
        <w:t xml:space="preserve">Bei der Errichtung eines freiwilligen Arbeitszeitkontos findet </w:t>
      </w:r>
      <w:hyperlink r:id="rId783" w:history="1">
        <w:r w:rsidRPr="002D1F1D">
          <w:rPr>
            <w:rStyle w:val="Hyperlink"/>
          </w:rPr>
          <w:t>§ 6 Absatz 4 Teil D, 4.</w:t>
        </w:r>
      </w:hyperlink>
      <w:r>
        <w:t xml:space="preserve"> entsprechende Anwendung. </w:t>
      </w:r>
      <w:r>
        <w:rPr>
          <w:rStyle w:val="kleinschrift"/>
        </w:rPr>
        <w:t>3</w:t>
      </w:r>
      <w:r>
        <w:t>Die Errichtung eines verpflichtenden Arbeitszeitkontos richtet sich nach den Vorschriften für die entsprechenden Lehrkräfte des Freistaates Bayern.</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Anstelle der in </w:t>
      </w:r>
      <w:hyperlink r:id="rId784" w:history="1">
        <w:r w:rsidRPr="002D1F1D">
          <w:rPr>
            <w:rStyle w:val="Hyperlink"/>
            <w:sz w:val="12"/>
            <w:szCs w:val="12"/>
          </w:rPr>
          <w:t>§ 6 Absatz 4 Teil D, 4.</w:t>
        </w:r>
      </w:hyperlink>
      <w:r>
        <w:rPr>
          <w:sz w:val="12"/>
          <w:szCs w:val="12"/>
        </w:rPr>
        <w:t> (Arbeitszeitkontenregelung)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Abweichend von Satz 1 erhalten Lehrkräfte in Altersteilzeit die ihrer tatsächlichen Beschäfti</w:t>
      </w:r>
      <w:r>
        <w:softHyphen/>
        <w:t>gung entsprechende Altersermäßigung.</w:t>
      </w:r>
    </w:p>
    <w:p w:rsidR="00BE1EFE" w:rsidRDefault="00BE1EFE">
      <w:pPr>
        <w:pStyle w:val="StandardWeb"/>
      </w:pP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Pr>
          <w:vertAlign w:val="superscript"/>
        </w:rPr>
        <w:t>1</w:t>
      </w:r>
      <w:r>
        <w:t xml:space="preserve">. </w:t>
      </w:r>
      <w:r>
        <w:rPr>
          <w:rStyle w:val="kleinschrift"/>
        </w:rPr>
        <w:t>2</w:t>
      </w:r>
      <w:r>
        <w:t>Davon ausge</w:t>
      </w:r>
      <w:r>
        <w:softHyphen/>
        <w:t xml:space="preserve">nommen sind Lehrkräfte, bei denen die Voraussetzungen des </w:t>
      </w:r>
      <w:hyperlink r:id="rId785" w:history="1">
        <w:r w:rsidRPr="002D1F1D">
          <w:rPr>
            <w:rStyle w:val="Hyperlink"/>
          </w:rPr>
          <w:t>§ 34 Absatz 2 Teil A, 1.</w:t>
        </w:r>
      </w:hyperlink>
      <w:r>
        <w:t xml:space="preserve"> vorliegen. </w:t>
      </w:r>
      <w:r>
        <w:rPr>
          <w:rStyle w:val="kleinschrift"/>
        </w:rPr>
        <w:t>3</w:t>
      </w:r>
      <w:r>
        <w:t>Die Auswahl hat soziale Gesichtspunkte entsprechend § 1 Absatz 3 Sätze 1, 2 des Kündigungsschutzgesetzes zu berücksichtigen.</w:t>
      </w:r>
    </w:p>
    <w:p w:rsidR="00BE1EFE" w:rsidRDefault="00BE1EFE">
      <w:pPr>
        <w:pStyle w:val="StandardWeb"/>
      </w:pPr>
      <w:r>
        <w:rPr>
          <w:sz w:val="12"/>
          <w:szCs w:val="12"/>
          <w:vertAlign w:val="superscript"/>
        </w:rPr>
        <w:t xml:space="preserve">1 </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 xml:space="preserve">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pPr>
      <w:r>
        <w:rPr>
          <w:sz w:val="12"/>
          <w:szCs w:val="12"/>
        </w:rPr>
        <w:t xml:space="preserve">Protokollnotiz: </w:t>
      </w:r>
    </w:p>
    <w:p w:rsidR="00BE1EFE" w:rsidRDefault="00BE1EFE">
      <w:pPr>
        <w:pStyle w:val="StandardWeb"/>
      </w:pPr>
      <w:r>
        <w:rPr>
          <w:sz w:val="12"/>
          <w:szCs w:val="12"/>
        </w:rPr>
        <w:t xml:space="preserve">Es bestehen keine Einwände gegen die Anwendung der staatlichen Regelungen bei der Mehr- oder Minderarbeit. Eine entsprechende Fixierung mit den betroffenen Lehrkräften im Rahmen der staatlichen Vorgaben wird nahegelegt. Der Abbau der Mehrarbeitsstunden erfolgt im Sinne der </w:t>
      </w:r>
      <w:hyperlink r:id="rId786" w:history="1">
        <w:r w:rsidRPr="002D1F1D">
          <w:rPr>
            <w:rStyle w:val="Hyperlink"/>
            <w:sz w:val="12"/>
            <w:szCs w:val="12"/>
          </w:rPr>
          <w:t>Arbeitszeitkontenregelung des Teiles D, 4</w:t>
        </w:r>
      </w:hyperlink>
      <w:r>
        <w:rPr>
          <w:sz w:val="12"/>
          <w:szCs w:val="12"/>
        </w:rPr>
        <w:t>.</w:t>
      </w:r>
    </w:p>
    <w:p w:rsidR="00BE1EFE" w:rsidRDefault="00BE1EFE" w:rsidP="0054275E">
      <w:pPr>
        <w:pStyle w:val="StandardWeb"/>
        <w:autoSpaceDE w:val="0"/>
        <w:jc w:val="center"/>
        <w:rPr>
          <w:rStyle w:val="Fett"/>
          <w:bCs/>
        </w:rPr>
      </w:pPr>
    </w:p>
    <w:p w:rsidR="00BE1EFE" w:rsidRDefault="00BE1EFE" w:rsidP="0054275E">
      <w:pPr>
        <w:pStyle w:val="StandardWeb"/>
        <w:autoSpaceDE w:val="0"/>
        <w:jc w:val="center"/>
        <w:rPr>
          <w:b/>
          <w:bCs/>
        </w:rPr>
      </w:pPr>
      <w:r>
        <w:rPr>
          <w:rStyle w:val="Fett"/>
          <w:bCs/>
        </w:rPr>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Zu §§ 12 bis 14 Teil A, 1. - Eingruppierung, Eingruppierung in besonderen Fällen, Anmerkung zu §§ 12, 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787"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vorbehaltlich anderweitiger in diesen Sonder</w:t>
      </w:r>
      <w:r>
        <w:softHyphen/>
        <w:t>regelungen getroffener Regelungen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788" w:history="1">
        <w:r w:rsidRPr="002D1F1D">
          <w:rPr>
            <w:rStyle w:val="Hyperlink"/>
          </w:rPr>
          <w:t>Anlage A</w:t>
        </w:r>
      </w:hyperlink>
      <w:r>
        <w:t xml:space="preserve">, hilfsweise gemäß </w:t>
      </w:r>
      <w:hyperlink r:id="rId789" w:history="1">
        <w:r w:rsidRPr="002D1F1D">
          <w:rPr>
            <w:rStyle w:val="Hyperlink"/>
          </w:rPr>
          <w:t>Anlage B</w:t>
        </w:r>
      </w:hyperlink>
      <w:r>
        <w:t xml:space="preserve">. </w:t>
      </w:r>
      <w:r>
        <w:rPr>
          <w:rStyle w:val="kleinschrift"/>
        </w:rPr>
        <w:t>2</w:t>
      </w:r>
      <w:r>
        <w:t xml:space="preserve">Für die Erfüllung der Bewährungszeit findet </w:t>
      </w:r>
      <w:hyperlink r:id="rId790"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Pr="00563E75" w:rsidRDefault="00BE1EFE" w:rsidP="009C48B8">
      <w:pPr>
        <w:pStyle w:val="StandardWeb"/>
        <w:rPr>
          <w:rStyle w:val="Fett"/>
          <w:b w:val="0"/>
        </w:rPr>
      </w:pPr>
      <w:r>
        <w:t>(5) </w:t>
      </w:r>
      <w:r>
        <w:rPr>
          <w:rStyle w:val="kleinschrift"/>
        </w:rPr>
        <w:t>1</w:t>
      </w:r>
      <w:r>
        <w:t xml:space="preserve">Für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jahres bei der Schulleitung eingegangen sein muss, verzichten; dies gilt nicht für Schulleite</w:t>
      </w:r>
      <w:r>
        <w:softHyphen/>
        <w:t xml:space="preserve">rinnen und Schulleiter. </w:t>
      </w:r>
      <w:r>
        <w:rPr>
          <w:rStyle w:val="kleinschrift"/>
        </w:rPr>
        <w:t>3</w:t>
      </w:r>
      <w:r>
        <w:t xml:space="preserve">Der Verzicht auf die Beurteilungen beinhaltet den Verzicht auf die Leistungsfeststellungen nach Nr. 6 Absatz 4 Satz 2 in Verbindung mit </w:t>
      </w:r>
      <w:hyperlink r:id="rId791" w:history="1">
        <w:r w:rsidRPr="00A95C87">
          <w:rPr>
            <w:rStyle w:val="Hyperlink"/>
          </w:rPr>
          <w:t>Art. 62 Absatz 1 LlbG</w:t>
        </w:r>
      </w:hyperlink>
      <w:r>
        <w:t xml:space="preserve">. </w:t>
      </w:r>
      <w:r>
        <w:rPr>
          <w:rStyle w:val="kleinschrift"/>
        </w:rPr>
        <w:t>4</w:t>
      </w:r>
      <w:r>
        <w:t>Er ist unwiderruflich und gilt vorbehaltlich Satz 5 bis zur Beendigung des Arbeitsverhält</w:t>
      </w:r>
      <w:r>
        <w:softHyphen/>
        <w:t xml:space="preserve">nisses.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792" w:history="1">
        <w:r w:rsidR="00A95C87" w:rsidRPr="00A95C87">
          <w:rPr>
            <w:rStyle w:val="Hyperlink"/>
          </w:rPr>
          <w:t>Art. 30 Absatz 2 BayBesG</w:t>
        </w:r>
      </w:hyperlink>
      <w:r w:rsidR="00A95C87">
        <w:t>,</w:t>
      </w:r>
      <w:r>
        <w:t xml:space="preserve"> keine Möglichkeit der Vergabe einer Leistungsstufe Nr. 6 Absatz 4 Satz 1 in Verbindung mit </w:t>
      </w:r>
      <w:hyperlink r:id="rId793"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jc w:val="center"/>
        <w:rPr>
          <w:rStyle w:val="Fett"/>
          <w:bCs/>
        </w:rPr>
      </w:pPr>
    </w:p>
    <w:p w:rsidR="00BE1EFE" w:rsidRDefault="00BE1EFE" w:rsidP="00167759">
      <w:pPr>
        <w:pStyle w:val="StandardWeb"/>
        <w:jc w:val="center"/>
        <w:rPr>
          <w:b/>
          <w:bCs/>
        </w:rPr>
      </w:pPr>
      <w:r>
        <w:rPr>
          <w:rStyle w:val="Fett"/>
          <w:bCs/>
        </w:rPr>
        <w:t xml:space="preserve">Nr. 5 a </w:t>
      </w:r>
    </w:p>
    <w:p w:rsidR="00BE1EFE" w:rsidRDefault="00BE1EFE" w:rsidP="00167759">
      <w:pPr>
        <w:pStyle w:val="StandardWeb"/>
        <w:jc w:val="center"/>
      </w:pPr>
      <w:r>
        <w:rPr>
          <w:rStyle w:val="Fett"/>
          <w:bCs/>
        </w:rPr>
        <w:t>Lehrkräfte mit Führungsaufgaben</w:t>
      </w:r>
    </w:p>
    <w:p w:rsidR="00BE1EFE" w:rsidRDefault="00BE1EFE" w:rsidP="00167759">
      <w:pPr>
        <w:pStyle w:val="StandardWeb"/>
        <w:jc w:val="center"/>
      </w:pPr>
    </w:p>
    <w:p w:rsidR="00BE1EFE" w:rsidRDefault="00BE1EFE" w:rsidP="00167759">
      <w:pPr>
        <w:pStyle w:val="StandardWeb"/>
      </w:pPr>
      <w:r>
        <w:t>(1) </w:t>
      </w:r>
      <w:r>
        <w:rPr>
          <w:rStyle w:val="kleinschrift"/>
        </w:rPr>
        <w:t>1</w:t>
      </w:r>
      <w:r>
        <w:t xml:space="preserve">Die Übertragung von Führungsaufgaben mit Weisungsbefugnis (Führungsaufgaben) erfolgt zunächst befristet für eine Bewährungszeit von drei Jahren. </w:t>
      </w:r>
      <w:r w:rsidRPr="003177FD">
        <w:rPr>
          <w:sz w:val="12"/>
          <w:szCs w:val="12"/>
        </w:rPr>
        <w:t>2</w:t>
      </w:r>
      <w:r w:rsidRPr="003177FD">
        <w:t xml:space="preserve">Zum Ende dieses Zeitraums überprüft und bewertet die Schulleiterin/der Schulleiter im Einvernehmen mit dem Schulträger die Wahrnehmung der Führungsaufgaben anhand der </w:t>
      </w:r>
      <w:hyperlink r:id="rId794" w:history="1">
        <w:r w:rsidRPr="00914491">
          <w:rPr>
            <w:rStyle w:val="Hyperlink"/>
          </w:rPr>
          <w:t>Ziffern 6 und 7 der Anlage D Abschnitt A 2.2.1</w:t>
        </w:r>
      </w:hyperlink>
      <w:r w:rsidRPr="003177FD">
        <w:t xml:space="preserve"> (Bewährungsfeststellung na</w:t>
      </w:r>
      <w:r>
        <w:t>ch Anlage D Abschnitt A 4.5.2).</w:t>
      </w:r>
    </w:p>
    <w:p w:rsidR="00BE1EFE" w:rsidRDefault="00BE1EFE" w:rsidP="00167759">
      <w:pPr>
        <w:pStyle w:val="StandardWeb"/>
      </w:pPr>
      <w:r>
        <w:rPr>
          <w:rStyle w:val="kleinschrift"/>
        </w:rPr>
        <w:lastRenderedPageBreak/>
        <w:t>3</w:t>
      </w:r>
      <w:r>
        <w:t xml:space="preserve">Wenn die </w:t>
      </w:r>
      <w:r w:rsidRPr="003177FD">
        <w:t>Lehrkraft dabei mindestens die Bewertung „Leistung, die die Anforderungen übersteigt – UB“ erreicht und sie während der Bewährungszeit an Maßnahmen der Qualifizierung teilgenommen hat, welche die für die Wahrnehmung von Führungsaufgaben erforderlichen Kenntnisse vermitteln, werden die Führung</w:t>
      </w:r>
      <w:r>
        <w:t>saufgaben auf Dauer übertragen.</w:t>
      </w:r>
    </w:p>
    <w:p w:rsidR="00BE1EFE" w:rsidRDefault="00BE1EFE" w:rsidP="00167759">
      <w:pPr>
        <w:pStyle w:val="StandardWeb"/>
      </w:pPr>
      <w:r>
        <w:rPr>
          <w:sz w:val="12"/>
          <w:szCs w:val="12"/>
        </w:rPr>
        <w:t>Protokollnotiz zu Absatz 1 Satz 3:</w:t>
      </w:r>
    </w:p>
    <w:p w:rsidR="00BE1EFE" w:rsidRDefault="00BE1EFE" w:rsidP="00167759">
      <w:pPr>
        <w:pStyle w:val="StandardWeb"/>
      </w:pPr>
      <w:r>
        <w:rPr>
          <w:sz w:val="12"/>
          <w:szCs w:val="12"/>
        </w:rPr>
        <w:t>Die Teilnahme an Maßnahmen der Qualifizierung vor der Bewährungszeit kann berücksichtigt werden.</w:t>
      </w:r>
    </w:p>
    <w:p w:rsidR="00BE1EFE" w:rsidRDefault="00BE1EFE" w:rsidP="00167759">
      <w:pPr>
        <w:pStyle w:val="StandardWeb"/>
      </w:pPr>
    </w:p>
    <w:p w:rsidR="00BE1EFE" w:rsidRDefault="00BE1EFE" w:rsidP="00167759">
      <w:pPr>
        <w:pStyle w:val="StandardWeb"/>
      </w:pPr>
      <w:r>
        <w:t>(2) </w:t>
      </w:r>
      <w:r>
        <w:rPr>
          <w:rStyle w:val="kleinschrift"/>
        </w:rPr>
        <w:t>1</w:t>
      </w:r>
      <w:r>
        <w:t>Für die Wahrnehmung der Führungsaufgaben steht an der Schule eine Anrechnungs</w:t>
      </w:r>
      <w:r>
        <w:softHyphen/>
        <w:t xml:space="preserve">stunde für je sechs zu führende Lehrkräfte zur Verfügung. </w:t>
      </w:r>
      <w:r>
        <w:rPr>
          <w:rStyle w:val="kleinschrift"/>
        </w:rPr>
        <w:t>2</w:t>
      </w:r>
      <w:r>
        <w:t>Über die Verteilung der Anrechnungsstunden auf die Lehrkräfte mit Führungsaufgaben entscheidet der Schulleiter oder die Schulleiterin.</w:t>
      </w:r>
    </w:p>
    <w:p w:rsidR="00BE1EFE" w:rsidRDefault="00BE1EFE" w:rsidP="00167759">
      <w:pPr>
        <w:pStyle w:val="StandardWeb"/>
      </w:pPr>
      <w:r>
        <w:rPr>
          <w:sz w:val="12"/>
          <w:szCs w:val="12"/>
        </w:rPr>
        <w:t>Protokollnotiz zu Absatz 2 Satz 1:</w:t>
      </w:r>
    </w:p>
    <w:p w:rsidR="00BE1EFE" w:rsidRDefault="00BE1EFE" w:rsidP="00167759">
      <w:pPr>
        <w:pStyle w:val="StandardWeb"/>
      </w:pPr>
      <w:r>
        <w:rPr>
          <w:sz w:val="12"/>
          <w:szCs w:val="12"/>
        </w:rPr>
        <w:t>1Der Schulträger kann weitere Anrechnungsstunden zur Verfügung stellen. 2Die Entscheidung, weitere Anrechnungsstunden zur Verfügung zu stellen, wird für jedes Schuljahr neu getroffen.</w:t>
      </w:r>
    </w:p>
    <w:p w:rsidR="00BE1EFE" w:rsidRDefault="00BE1EFE" w:rsidP="00167759">
      <w:pPr>
        <w:pStyle w:val="StandardWeb"/>
      </w:pPr>
    </w:p>
    <w:p w:rsidR="00BE1EFE" w:rsidRDefault="00BE1EFE" w:rsidP="00167759">
      <w:pPr>
        <w:pStyle w:val="StandardWeb"/>
      </w:pPr>
      <w:r>
        <w:t>(3) </w:t>
      </w:r>
      <w:r>
        <w:rPr>
          <w:rStyle w:val="kleinschrift"/>
        </w:rPr>
        <w:t>1</w:t>
      </w:r>
      <w:r>
        <w:t xml:space="preserve">Lehrkräfte mit Führungsaufgaben, deren Entgelt niedriger als Besoldungsgruppe A 15 ist, erhalten eine Zulage in Höhe des Unterschiedsbetrags zwischen den Entgelten ihrer Besoldungsgruppe und der nächsthöheren Besoldungsgruppe der für Beamte des Freistaates Bayern gemäß dem Bayerischen Besoldungsgesetz geltenden Besoldungsordnung A. </w:t>
      </w:r>
      <w:r>
        <w:rPr>
          <w:rStyle w:val="kleinschrift"/>
        </w:rPr>
        <w:t>2</w:t>
      </w:r>
      <w:r>
        <w:t>Lehrkräfte mit Führungsaufgaben an Realschulen erhalten eine Zulage höchstens in Höhe des Unterschiedsbetrags zwischen dem Entgelt ihrer Besoldungsgruppe und der Besoldungsgruppe A 14.</w:t>
      </w:r>
    </w:p>
    <w:p w:rsidR="00BE1EFE" w:rsidRDefault="00BE1EFE" w:rsidP="00167759">
      <w:pPr>
        <w:pStyle w:val="StandardWeb"/>
      </w:pPr>
    </w:p>
    <w:p w:rsidR="00BE1EFE" w:rsidRDefault="00BE1EFE" w:rsidP="00167759">
      <w:pPr>
        <w:pStyle w:val="StandardWeb"/>
      </w:pPr>
      <w:r>
        <w:t>(4) Lehrkräften, denen Führungsaufgaben übertragen worden sind und deren Bewertungs</w:t>
      </w:r>
      <w:r>
        <w:softHyphen/>
        <w:t>stufe in einer dienstlichen Beurteilung um zwei oder mehr Bewertungsstufen gegenüber der letzten Beurteilung absinkt, können die Führungsaufgaben entzogen werden.</w:t>
      </w:r>
    </w:p>
    <w:p w:rsidR="00BE1EFE" w:rsidRDefault="00BE1EFE" w:rsidP="00167759">
      <w:pPr>
        <w:pStyle w:val="StandardWeb"/>
      </w:pPr>
    </w:p>
    <w:p w:rsidR="00BE1EFE" w:rsidRDefault="00BE1EFE" w:rsidP="00167759">
      <w:pPr>
        <w:pStyle w:val="StandardWeb"/>
      </w:pPr>
      <w:r>
        <w:t>(5) </w:t>
      </w:r>
      <w:r>
        <w:rPr>
          <w:rStyle w:val="kleinschrift"/>
        </w:rPr>
        <w:t>1</w:t>
      </w:r>
      <w:r>
        <w:t>Lehrkräfte, denen vor dem Inkrafttreten dieser Regelung Führungsaufgaben auf Zeit über</w:t>
      </w:r>
      <w:r>
        <w:softHyphen/>
        <w:t xml:space="preserve">tragen worden waren, führen diese bis zum Ablauf des vorgesehenen Übertragungszeitraums fort. </w:t>
      </w:r>
      <w:r>
        <w:rPr>
          <w:rStyle w:val="kleinschrift"/>
        </w:rPr>
        <w:t>2</w:t>
      </w:r>
      <w:r>
        <w:t xml:space="preserve">Für die Vergabe von Anrechnungsstunden gilt Absatz 2, für die Vergütung Absatz 3. </w:t>
      </w:r>
      <w:r>
        <w:rPr>
          <w:rStyle w:val="kleinschrift"/>
        </w:rPr>
        <w:t>3</w:t>
      </w:r>
      <w:r>
        <w:t>Auf die Zeit nach Absatz 1 werden Zeiten mindestens ab dem 01.08.2014, für die Führungs</w:t>
      </w:r>
      <w:r>
        <w:softHyphen/>
        <w:t xml:space="preserve">aufgaben nach den vor dem Inkrafttreten dieser Regelung geltenden Vorschriften auf Zeit übertragen worden waren, angerechnet. </w:t>
      </w:r>
      <w:r>
        <w:rPr>
          <w:rStyle w:val="kleinschrift"/>
        </w:rPr>
        <w:t>4</w:t>
      </w:r>
      <w:r>
        <w:t>Für die Übertragung von Führungsaufgaben auf Dauer gilt Absatz 1 Satz 2.</w:t>
      </w:r>
    </w:p>
    <w:p w:rsidR="00BE1EFE" w:rsidRDefault="00BE1EFE">
      <w:pPr>
        <w:pStyle w:val="StandardWeb"/>
      </w:pPr>
    </w:p>
    <w:p w:rsidR="00BE1EFE" w:rsidRDefault="00BE1EFE" w:rsidP="0054275E">
      <w:pPr>
        <w:pStyle w:val="StandardWeb"/>
        <w:autoSpaceDE w:val="0"/>
        <w:jc w:val="center"/>
        <w:rPr>
          <w:b/>
          <w:bCs/>
        </w:rPr>
      </w:pPr>
      <w:r>
        <w:rPr>
          <w:rStyle w:val="Fett"/>
          <w:bCs/>
        </w:rPr>
        <w:t>Nr. 5 b</w:t>
      </w:r>
    </w:p>
    <w:p w:rsidR="00BE1EFE" w:rsidRDefault="00BE1EFE">
      <w:pPr>
        <w:pStyle w:val="StandardWeb"/>
        <w:jc w:val="center"/>
      </w:pPr>
      <w:r>
        <w:rPr>
          <w:b/>
          <w:bCs/>
        </w:rPr>
        <w:t>Lehrkräfte an Realschulen als Systembetreuer, Beratungslehrkräfte und Schulpsychologen</w:t>
      </w:r>
    </w:p>
    <w:p w:rsidR="00BE1EFE" w:rsidRDefault="00BE1EFE">
      <w:pPr>
        <w:pStyle w:val="StandardWeb"/>
        <w:jc w:val="center"/>
      </w:pPr>
    </w:p>
    <w:p w:rsidR="00BE1EFE" w:rsidRDefault="00BE1EFE">
      <w:pPr>
        <w:pStyle w:val="StandardWeb"/>
      </w:pPr>
      <w:r>
        <w:t>(1) Systembetreuer erhalten bei alleiniger Betreuung der schulischen Verwaltungs-EDV-Ausstattung sowie der sonstigen schulischen EDV-Ausstattung an einer oder mehreren Schulen bei insgesamt bis zu 360 Schülerinnen und Schülern zwei Anrechnungsstunden, bei bis zu 720 Schülerinnen und Schülern drei Anrechnungsstunden und ab 721 Schülerinnen und Schülern vier Anrechnungsstunden.</w:t>
      </w:r>
    </w:p>
    <w:p w:rsidR="00BE1EFE" w:rsidRDefault="00BE1EFE">
      <w:pPr>
        <w:pStyle w:val="StandardWeb"/>
        <w:rPr>
          <w:sz w:val="12"/>
          <w:szCs w:val="12"/>
        </w:rPr>
      </w:pPr>
      <w:r>
        <w:rPr>
          <w:sz w:val="12"/>
          <w:szCs w:val="12"/>
        </w:rPr>
        <w:t xml:space="preserve">Protokollnotiz zu Absatz 1: </w:t>
      </w:r>
    </w:p>
    <w:p w:rsidR="00BE1EFE" w:rsidRDefault="00BE1EFE">
      <w:pPr>
        <w:pStyle w:val="StandardWeb"/>
      </w:pPr>
      <w:r>
        <w:rPr>
          <w:sz w:val="12"/>
          <w:szCs w:val="12"/>
        </w:rPr>
        <w:t>Der Systembetreuer soll bei schulorganisatorischer Möglichkeit von einer Klassenleitung freigestellt werden. </w:t>
      </w:r>
    </w:p>
    <w:p w:rsidR="00BE1EFE" w:rsidRDefault="00BE1EFE">
      <w:pPr>
        <w:pStyle w:val="StandardWeb"/>
      </w:pPr>
    </w:p>
    <w:p w:rsidR="00BE1EFE" w:rsidRDefault="00BE1EFE" w:rsidP="003177FD">
      <w:pPr>
        <w:pStyle w:val="StandardWeb"/>
      </w:pPr>
      <w:r>
        <w:t>(2) </w:t>
      </w:r>
      <w:r w:rsidRPr="003177FD">
        <w:rPr>
          <w:sz w:val="12"/>
          <w:szCs w:val="12"/>
        </w:rPr>
        <w:t>1</w:t>
      </w:r>
      <w:r>
        <w:t xml:space="preserve">Systembetreuer mit staatlicher Qualifizierung zum Systembetreuer erhalten bei alleiniger Betreuung der schulischen Verwaltungs-EDV-Ausstattung sowie der sonstigen schulischen EDV-Ausstattung an einer oder mehreren Schulen mit insgesamt über 720 Schülerinnen und Schülern nach dreijähriger Bewährung für die weitere Dauer der Tätigkeit als Systembetreuer eine Zulage in Höhe des Unterschiedsbetrags zwischen dem Entgelt ihrer Besoldungsgruppe und der nächsthöheren Besoldungsgruppe der für Beamte des Freistaats Bayern gemäß dem </w:t>
      </w:r>
      <w:hyperlink r:id="rId795" w:history="1">
        <w:r w:rsidRPr="0019145B">
          <w:rPr>
            <w:rStyle w:val="Hyperlink"/>
          </w:rPr>
          <w:t>Bayerischen Besoldungsgesetz geltenden Besoldungsordnung</w:t>
        </w:r>
      </w:hyperlink>
      <w:r>
        <w:t xml:space="preserve">, jedoch höchstens in Höhe des </w:t>
      </w:r>
      <w:r>
        <w:lastRenderedPageBreak/>
        <w:t>Unterschiedsbetrags zwischen dem Entgelt ihrer Besoldungsgruppe und der Besoldungs</w:t>
      </w:r>
      <w:r>
        <w:softHyphen/>
        <w:t xml:space="preserve">gruppe A 14. </w:t>
      </w:r>
      <w:r w:rsidRPr="003177FD">
        <w:rPr>
          <w:sz w:val="12"/>
          <w:szCs w:val="12"/>
        </w:rPr>
        <w:t>2</w:t>
      </w:r>
      <w:r>
        <w:t xml:space="preserve">Systembetreuer nach Satz 1 ohne staatliche Qualifizierung erhalten eine entsprechende Zulage nach fünfjähriger Bewährung. </w:t>
      </w:r>
      <w:r w:rsidRPr="003177FD">
        <w:rPr>
          <w:sz w:val="12"/>
          <w:szCs w:val="12"/>
        </w:rPr>
        <w:t>3</w:t>
      </w:r>
      <w:r>
        <w:t>Für Systembetreuer, die am 1. Januar 2018 eine Zulage erhalten, verbleibt es für die Dauer der Tätigkeit bei den bisherigen Regelungen.</w:t>
      </w:r>
    </w:p>
    <w:p w:rsidR="00BE1EFE" w:rsidRDefault="00BE1EFE">
      <w:pPr>
        <w:pStyle w:val="StandardWeb"/>
      </w:pPr>
    </w:p>
    <w:p w:rsidR="00BE1EFE" w:rsidRDefault="00BE1EFE">
      <w:pPr>
        <w:pStyle w:val="StandardWeb"/>
      </w:pPr>
      <w:r>
        <w:t xml:space="preserve">(3) Die Systembetreuer sind verpflichtet, in angemessenem Umfang Fortbildungen im Bereich der Systembetreuung an der eigenen Schule oder darüber hinaus durchzuführen. </w:t>
      </w:r>
    </w:p>
    <w:p w:rsidR="00BE1EFE" w:rsidRDefault="00BE1EFE">
      <w:pPr>
        <w:pStyle w:val="StandardWeb"/>
      </w:pPr>
    </w:p>
    <w:p w:rsidR="00BE1EFE" w:rsidRDefault="00BE1EFE">
      <w:pPr>
        <w:pStyle w:val="StandardWeb"/>
      </w:pPr>
      <w:r>
        <w:t>(4) </w:t>
      </w:r>
      <w:r w:rsidRPr="00A07386">
        <w:t xml:space="preserve">Beratungslehrkräfte erhalten für die Beratungstätigkeit an Schulen mit </w:t>
      </w:r>
      <w:r>
        <w:t>bis zu 3</w:t>
      </w:r>
      <w:r w:rsidRPr="00A07386">
        <w:t xml:space="preserve">99 Schülerinnen und Schüler mindestens eine Anrechnungsstunde, an Schulen mit </w:t>
      </w:r>
      <w:r>
        <w:t>400 und mehr</w:t>
      </w:r>
      <w:r w:rsidRPr="00A07386">
        <w:t xml:space="preserve"> Schülerinnen und Schüler mindestens zwei Anrechnungsstunden</w:t>
      </w:r>
      <w:r>
        <w:t>.</w:t>
      </w:r>
      <w:r w:rsidRPr="00A07386">
        <w:t xml:space="preserve"> </w:t>
      </w:r>
    </w:p>
    <w:p w:rsidR="00BE1EFE" w:rsidRDefault="00BE1EFE">
      <w:pPr>
        <w:pStyle w:val="StandardWeb"/>
      </w:pPr>
    </w:p>
    <w:p w:rsidR="00BE1EFE" w:rsidRDefault="00BE1EFE">
      <w:pPr>
        <w:pStyle w:val="StandardWeb"/>
      </w:pPr>
      <w:r>
        <w:t>(5) </w:t>
      </w:r>
      <w:r w:rsidRPr="003177FD">
        <w:rPr>
          <w:sz w:val="12"/>
          <w:szCs w:val="12"/>
        </w:rPr>
        <w:t>1</w:t>
      </w:r>
      <w:r>
        <w:t>Beratungslehrkräfte mit bestandener Erweiterungsprüfung zur Beratungslehrkraft gemäß LPO I erhalten nach dreijähriger Bewährung für die weitere Dauer der Tätigkeit als Beratungs</w:t>
      </w:r>
      <w:r>
        <w:softHyphen/>
        <w:t xml:space="preserve">lehrkraft eine Zulage in Höhe des Unterschiedsbetrags zwischen dem Entgelt ihrer Besoldungsgruppe und der nächsthöheren Besoldungsgruppe der für Beamte des Freistaats Bayern gemäß dem </w:t>
      </w:r>
      <w:hyperlink r:id="rId796" w:history="1">
        <w:r w:rsidRPr="0019145B">
          <w:rPr>
            <w:rStyle w:val="Hyperlink"/>
          </w:rPr>
          <w:t>Bayerischen Besoldungsgesetz geltenden Besoldungsordnung</w:t>
        </w:r>
      </w:hyperlink>
      <w:r>
        <w:t>, jedoch höchstens in Höhe des Unterschiedsbetrags zwischen dem Entgelt ihrer Besoldungsgruppe und der Besoldungsgruppe A 14. </w:t>
      </w:r>
      <w:r w:rsidRPr="003177FD">
        <w:rPr>
          <w:sz w:val="12"/>
          <w:szCs w:val="12"/>
        </w:rPr>
        <w:t>2</w:t>
      </w:r>
      <w:r>
        <w:t xml:space="preserve">Dies gilt auch für Lehrkräfte, die die Weiterbildung des Katholischen Schulwerks in Bayern erfolgreich abgeschlossen haben, sowie für Lehrkräfte nach Nr. 5 Absatz 3 als Beratungslehrkräfte, wenn sie ein Studium für die Qualifikation als Beratungslehrkraft gemäß </w:t>
      </w:r>
      <w:hyperlink r:id="rId797" w:history="1">
        <w:r w:rsidRPr="00874718">
          <w:rPr>
            <w:rStyle w:val="Hyperlink"/>
          </w:rPr>
          <w:t>§ 111 LPO I</w:t>
        </w:r>
      </w:hyperlink>
      <w:r>
        <w:t xml:space="preserve"> vollständig absolviert und die Abschlussprüfung beim Katholischen Schulwerk in Bayern bestanden haben. </w:t>
      </w:r>
      <w:r>
        <w:rPr>
          <w:rStyle w:val="kleinschrift"/>
        </w:rPr>
        <w:t>3</w:t>
      </w:r>
      <w:r>
        <w:t>Für Beratungslehrkräfte, die sich in der Bewährungszeit nach Nr. 5 b Absatz 4 Satz 2 in der bis zum 31.07.2012 geltenden Fassung befinden, verbleibt es bei dieser Regelung.</w:t>
      </w:r>
      <w:r>
        <w:rPr>
          <w:vertAlign w:val="superscript"/>
        </w:rPr>
        <w:t>1</w:t>
      </w:r>
    </w:p>
    <w:p w:rsidR="00BE1EFE" w:rsidRDefault="00BE1EFE">
      <w:pPr>
        <w:pStyle w:val="StandardWeb"/>
      </w:pPr>
      <w:r>
        <w:rPr>
          <w:sz w:val="12"/>
          <w:szCs w:val="12"/>
          <w:vertAlign w:val="superscript"/>
        </w:rPr>
        <w:t>1</w:t>
      </w:r>
      <w:r>
        <w:rPr>
          <w:sz w:val="12"/>
          <w:szCs w:val="12"/>
        </w:rPr>
        <w:t>Satz 2 in der bis zum 31.07.2012 geltenden Fassung lautete wie folgt: Beratungslehrkräfte ohne Erweiterungsprüfung erhalten ein entsprechendes Entgelt nach siebenjähriger Bewährung.</w:t>
      </w:r>
    </w:p>
    <w:p w:rsidR="00BE1EFE" w:rsidRDefault="00BE1EFE">
      <w:pPr>
        <w:pStyle w:val="StandardWeb"/>
      </w:pPr>
    </w:p>
    <w:p w:rsidR="00BE1EFE" w:rsidRDefault="00BE1EFE">
      <w:pPr>
        <w:pStyle w:val="StandardWeb"/>
      </w:pPr>
      <w:r>
        <w:t>(6) </w:t>
      </w:r>
      <w:r w:rsidRPr="003177FD">
        <w:t>Schulpsychologen erhalten für ihre Tätigkeit an einer oder mehreren Schulen mit insgesamt bis zu 199 Schülerinnen und Schülern eine Anrechnungsstunde, an Schulen mit insgesamt 200 bis 399 Schülerinnen und Schülern zwei Anrechnungsstunden, an Schulen mit insgesamt 400 bis 599 Schülerinnen und Schülern drei Anrechnungsstunden, an Schulen mit insgesamt 600 bis 799 Schülerinnen und Schül</w:t>
      </w:r>
      <w:r>
        <w:t xml:space="preserve">ern vier Anrechnungsstunden, </w:t>
      </w:r>
      <w:r w:rsidRPr="003177FD">
        <w:t xml:space="preserve">an Schulen mit insgesamt </w:t>
      </w:r>
      <w:r w:rsidRPr="00381B00">
        <w:t>800 bis 999 Schülerinnen und Schülern fünf Anrechnungsstunden und an Schulen mit 1000 und mehr Schülerinnen und Schülern sechs Anrechnungsstunden</w:t>
      </w:r>
    </w:p>
    <w:p w:rsidR="00BE1EFE" w:rsidRDefault="00BE1EFE">
      <w:pPr>
        <w:pStyle w:val="StandardWeb"/>
      </w:pPr>
    </w:p>
    <w:p w:rsidR="00BE1EFE" w:rsidRDefault="00BE1EFE">
      <w:pPr>
        <w:pStyle w:val="StandardWeb"/>
      </w:pPr>
      <w:r>
        <w:t>(7</w:t>
      </w:r>
      <w:r w:rsidRPr="00874718">
        <w:t xml:space="preserve">) Schulpsychologen erhalten nach dreijähriger Bewährung für die weitere Dauer der Tätigkeit als Schulpsychologe eine Zulage in Höhe des Unterschiedsbetrags zwischen dem Entgelt ihrer Besoldungsgruppe und der Besoldungsgruppe A 14 der für Beamte des Freistaats Bayern gemäß dem </w:t>
      </w:r>
      <w:hyperlink r:id="rId798" w:history="1">
        <w:r w:rsidRPr="00874718">
          <w:rPr>
            <w:rStyle w:val="Hyperlink"/>
          </w:rPr>
          <w:t>Bayerischen Besold</w:t>
        </w:r>
        <w:r>
          <w:rPr>
            <w:rStyle w:val="Hyperlink"/>
          </w:rPr>
          <w:t>ungsgesetz geltenden Besoldungs</w:t>
        </w:r>
        <w:r w:rsidRPr="00874718">
          <w:rPr>
            <w:rStyle w:val="Hyperlink"/>
          </w:rPr>
          <w:t>ordnung</w:t>
        </w:r>
      </w:hyperlink>
      <w:r>
        <w:t>.</w:t>
      </w:r>
    </w:p>
    <w:p w:rsidR="00BE1EFE" w:rsidRDefault="00BE1EFE">
      <w:pPr>
        <w:pStyle w:val="StandardWeb"/>
      </w:pPr>
    </w:p>
    <w:p w:rsidR="00BE1EFE" w:rsidRDefault="00BE1EFE">
      <w:pPr>
        <w:pStyle w:val="StandardWeb"/>
      </w:pPr>
      <w:r>
        <w:t>(8) </w:t>
      </w:r>
      <w:r w:rsidRPr="00874718">
        <w:rPr>
          <w:sz w:val="12"/>
          <w:szCs w:val="12"/>
        </w:rPr>
        <w:t>1</w:t>
      </w:r>
      <w:r w:rsidRPr="00874718">
        <w:t xml:space="preserve">Die Bewährungszeit beginnt mit der Übernahme der Tätigkeit. </w:t>
      </w:r>
      <w:r w:rsidRPr="00874718">
        <w:rPr>
          <w:sz w:val="12"/>
          <w:szCs w:val="12"/>
        </w:rPr>
        <w:t>2</w:t>
      </w:r>
      <w:r w:rsidRPr="00874718">
        <w:t xml:space="preserve">Zum Ende der Bewährungszeit überprüft und bewertet die Schulleiterin/der Schulleiter im Einvernehmen mit dem Schulträger die Wahrnehmung der übertragenen Aufgaben als Systembetreuer, Beratungslehrkraft oder Schulpsychologe anhand </w:t>
      </w:r>
      <w:hyperlink r:id="rId799" w:history="1">
        <w:r w:rsidRPr="00874718">
          <w:rPr>
            <w:rStyle w:val="Hyperlink"/>
          </w:rPr>
          <w:t>Ziffer 6 der Anlage D Abschnitt A 2.2.1.</w:t>
        </w:r>
      </w:hyperlink>
      <w:r w:rsidRPr="00874718">
        <w:t xml:space="preserve"> (Bewährungsfeststellung). </w:t>
      </w:r>
      <w:r w:rsidRPr="00874718">
        <w:rPr>
          <w:sz w:val="12"/>
          <w:szCs w:val="12"/>
        </w:rPr>
        <w:t>3</w:t>
      </w:r>
      <w:r w:rsidRPr="00874718">
        <w:t>Das Erfordernis der Bewährung ist erfüllt, wenn die Lehrkraft dabei mindestens die Bewertung „Leistung, die die Anforderu</w:t>
      </w:r>
      <w:r>
        <w:t>ngen übersteigt – UB“ erreicht.</w:t>
      </w:r>
    </w:p>
    <w:p w:rsidR="00BE1EFE" w:rsidRDefault="00BE1EFE">
      <w:pPr>
        <w:pStyle w:val="StandardWeb"/>
        <w:rPr>
          <w:sz w:val="12"/>
          <w:szCs w:val="12"/>
        </w:rPr>
      </w:pPr>
      <w:r>
        <w:rPr>
          <w:sz w:val="12"/>
          <w:szCs w:val="12"/>
        </w:rPr>
        <w:t>Protokollnotiz zu Nr. 5 b:</w:t>
      </w:r>
    </w:p>
    <w:p w:rsidR="00BE1EFE" w:rsidRDefault="00BE1EFE">
      <w:pPr>
        <w:pStyle w:val="StandardWeb"/>
      </w:pPr>
      <w:r>
        <w:rPr>
          <w:sz w:val="12"/>
          <w:szCs w:val="12"/>
        </w:rPr>
        <w:t>Soweit in Nr. 5 b nicht anders geregelt, gilt für die Erfüllung der Bewährungszeit Anlage C Teil B, 4.1. mit Ausnahme der Nrn. 1 und 2. </w:t>
      </w:r>
    </w:p>
    <w:p w:rsidR="00BE1EFE" w:rsidRDefault="00BE1EFE">
      <w:pPr>
        <w:pStyle w:val="StandardWeb"/>
        <w:jc w:val="center"/>
        <w:rPr>
          <w:rStyle w:val="Fett"/>
          <w:bCs/>
        </w:rPr>
      </w:pPr>
    </w:p>
    <w:p w:rsidR="00BE1EFE" w:rsidRDefault="00BE1EFE" w:rsidP="0054275E">
      <w:pPr>
        <w:pStyle w:val="StandardWeb"/>
        <w:autoSpaceDE w:val="0"/>
        <w:jc w:val="center"/>
        <w:rPr>
          <w:b/>
          <w:bCs/>
        </w:rPr>
      </w:pPr>
      <w:r>
        <w:rPr>
          <w:rStyle w:val="Fett"/>
          <w:bCs/>
        </w:rPr>
        <w:t>Nr. 5 c</w:t>
      </w:r>
    </w:p>
    <w:p w:rsidR="00BE1EFE" w:rsidRDefault="00BE1EFE" w:rsidP="0054275E">
      <w:pPr>
        <w:pStyle w:val="StandardWeb"/>
        <w:autoSpaceDE w:val="0"/>
        <w:jc w:val="center"/>
      </w:pPr>
      <w:r>
        <w:rPr>
          <w:rStyle w:val="Fett"/>
          <w:bCs/>
        </w:rPr>
        <w:lastRenderedPageBreak/>
        <w:t>Dienstzulage an Realschulen</w:t>
      </w:r>
    </w:p>
    <w:p w:rsidR="00BE1EFE" w:rsidRDefault="00BE1EFE">
      <w:pPr>
        <w:pStyle w:val="StandardWeb"/>
        <w:jc w:val="center"/>
      </w:pPr>
    </w:p>
    <w:p w:rsidR="00BE1EFE" w:rsidRDefault="00BE1EFE">
      <w:pPr>
        <w:pStyle w:val="StandardWeb"/>
      </w:pPr>
      <w:r>
        <w:t>(1) </w:t>
      </w:r>
      <w:r>
        <w:rPr>
          <w:rStyle w:val="kleinschrift"/>
        </w:rPr>
        <w:t>1</w:t>
      </w:r>
      <w:r>
        <w:t xml:space="preserve">Lehrkräfte an Realschulen, die in der Besoldungsgruppe 13 der </w:t>
      </w:r>
      <w:hyperlink r:id="rId800" w:anchor="BayBesG-ANL_1-G1" w:tgtFrame="_blank" w:history="1">
        <w:r>
          <w:rPr>
            <w:rStyle w:val="Hyperlink"/>
          </w:rPr>
          <w:t>dem Bayerischen Besoldungsgesetz geltenden Besoldungsordnung A</w:t>
        </w:r>
      </w:hyperlink>
      <w:r>
        <w:t xml:space="preserve"> eingruppiert sind, erhalten nach Maßgabe der Absätze 2 - 4 eine Dienstzulage in Höhe der Zulage für die entsprechenden Beamten des Katholischen Schulwerks in Bayern. </w:t>
      </w:r>
      <w:r w:rsidRPr="00D70335">
        <w:rPr>
          <w:rStyle w:val="kleinschrift"/>
          <w:szCs w:val="12"/>
        </w:rPr>
        <w:t>2</w:t>
      </w:r>
      <w:r w:rsidRPr="00F832D8">
        <w:rPr>
          <w:szCs w:val="16"/>
        </w:rPr>
        <w:t>§ 3 Absatz 4 Teil B, 4.3.</w:t>
      </w:r>
      <w:r w:rsidRPr="00D70335">
        <w:rPr>
          <w:rStyle w:val="kleinschrift"/>
          <w:sz w:val="16"/>
          <w:szCs w:val="16"/>
        </w:rPr>
        <w:t xml:space="preserve"> gilt entsprechend.</w:t>
      </w:r>
    </w:p>
    <w:p w:rsidR="00BE1EFE" w:rsidRDefault="00BE1EFE">
      <w:pPr>
        <w:pStyle w:val="StandardWeb"/>
      </w:pPr>
      <w:r>
        <w:rPr>
          <w:sz w:val="12"/>
          <w:szCs w:val="12"/>
        </w:rPr>
        <w:t xml:space="preserve">Protokollnotiz zu Absatz 1: </w:t>
      </w:r>
    </w:p>
    <w:p w:rsidR="00BE1EFE" w:rsidRDefault="00BE1EFE">
      <w:pPr>
        <w:pStyle w:val="StandardWeb"/>
      </w:pPr>
      <w:r>
        <w:rPr>
          <w:sz w:val="12"/>
          <w:szCs w:val="12"/>
        </w:rPr>
        <w:t>1Einbezogen sind auch Lehrkräfte an Realschulen mit Führungsaufgaben nach Nr. 5 a, Lehrkräfte als Systembetreuer nach Nr. 5 b Absatz 2 Satz 1, 1. Alt. und Beratungslehrkräfte nach Nr. 5 b Absatz 4 Satz 1, 1. Alt., die in Besoldungsgruppe 13 eingruppiert sind und die lediglich aufgrund ihrer Funktion ein Entgelt nach Besoldungsgruppe 14 erhalten. 2Ausgenommen sind Lehrkräfte mit Führungsaufgaben nach Nr. 5 a Absatz 1 sowie Lehrkräfte als Systembetreuer und Beratungslehrkräfte nach Nr. 5 b Absatz 2 Satz 1, 2. Alt. bzw. Nr. 5 b Absatz 4 Satz 1, 2. Alt., deren Entgelt niedriger als Besoldungsgruppe 13 ist.</w:t>
      </w:r>
    </w:p>
    <w:p w:rsidR="00BE1EFE" w:rsidRDefault="00BE1EFE">
      <w:pPr>
        <w:pStyle w:val="StandardWeb"/>
      </w:pPr>
    </w:p>
    <w:p w:rsidR="00BE1EFE" w:rsidRDefault="00BE1EFE">
      <w:pPr>
        <w:pStyle w:val="StandardWeb"/>
      </w:pPr>
      <w:r>
        <w:t>(2) </w:t>
      </w:r>
      <w:r>
        <w:rPr>
          <w:rStyle w:val="kleinschrift"/>
        </w:rPr>
        <w:t>1</w:t>
      </w:r>
      <w:r>
        <w:t>Der Schulträger weist eine dem Verhältnis der Stellen für das funktionslose Beförderungs</w:t>
      </w:r>
      <w:r>
        <w:softHyphen/>
        <w:t xml:space="preserve">amt zur Gesamtzahl der Stellen der in A 13 eingruppierten Lehrkräfte an Realschulen des Freistaats Bayern entsprechende Anzahl von Stellen mit Dienstzulage aus. </w:t>
      </w:r>
      <w:r>
        <w:rPr>
          <w:rStyle w:val="kleinschrift"/>
        </w:rPr>
        <w:t>2</w:t>
      </w:r>
      <w:r>
        <w:t>Die ausgewiesenen Stellen mit Dienstzulage sind auszuschöpfen.</w:t>
      </w:r>
    </w:p>
    <w:p w:rsidR="00BE1EFE" w:rsidRDefault="00BE1EFE">
      <w:pPr>
        <w:pStyle w:val="StandardWeb"/>
      </w:pPr>
      <w:r>
        <w:rPr>
          <w:sz w:val="12"/>
          <w:szCs w:val="12"/>
        </w:rPr>
        <w:t xml:space="preserve">Protokollnotiz zu Absatz 2: </w:t>
      </w:r>
    </w:p>
    <w:p w:rsidR="00BE1EFE" w:rsidRDefault="00BE1EFE">
      <w:pPr>
        <w:pStyle w:val="StandardWeb"/>
      </w:pPr>
      <w:r>
        <w:rPr>
          <w:sz w:val="12"/>
          <w:szCs w:val="12"/>
        </w:rPr>
        <w:t>Wechselt eine Lehrkraft mit Dienstzulage an eine Schule eines anderen Schulträgers, so ist der neue Schulträger nicht verpflichtet, die Dienstzulage weiterhin zu gewähren.</w:t>
      </w:r>
    </w:p>
    <w:p w:rsidR="00BE1EFE" w:rsidRDefault="00BE1EFE">
      <w:pPr>
        <w:pStyle w:val="StandardWeb"/>
      </w:pPr>
    </w:p>
    <w:p w:rsidR="00BE1EFE" w:rsidRDefault="00BE1EFE">
      <w:pPr>
        <w:pStyle w:val="StandardWeb"/>
      </w:pPr>
      <w:r>
        <w:t>(3) </w:t>
      </w:r>
      <w:r>
        <w:rPr>
          <w:rStyle w:val="kleinschrift"/>
        </w:rPr>
        <w:t>1</w:t>
      </w:r>
      <w:r>
        <w:t>Die Dienstzulage wird an die Lehrkräfte mit den besten dienstlichen Beurteilungen vergeben, und zwar ohne Rücksicht darauf, ob es sich um Lehrkräfte im Beschäftigungs</w:t>
      </w:r>
      <w:r>
        <w:softHyphen/>
        <w:t xml:space="preserve">verhältnis oder um Beamtinnen oder Beamte des Katholischen Schulwerks in Bayern handelt. </w:t>
      </w:r>
      <w:r>
        <w:rPr>
          <w:rStyle w:val="kleinschrift"/>
        </w:rPr>
        <w:t>2</w:t>
      </w:r>
      <w:r>
        <w:t>Lehrkräften mit Dienstzulage, die bei einer späteren Beurteilung eine schlechtere Bewertungsstufe erhalten, kann die Dienstzulage entzogen werden.</w:t>
      </w:r>
    </w:p>
    <w:p w:rsidR="00BE1EFE" w:rsidRDefault="00BE1EFE">
      <w:pPr>
        <w:pStyle w:val="StandardWeb"/>
      </w:pPr>
    </w:p>
    <w:p w:rsidR="00BE1EFE" w:rsidRDefault="00BE1EFE">
      <w:pPr>
        <w:pStyle w:val="StandardWeb"/>
      </w:pPr>
      <w:r>
        <w:t>(4) </w:t>
      </w:r>
      <w:r>
        <w:rPr>
          <w:rStyle w:val="kleinschrift"/>
        </w:rPr>
        <w:t>1</w:t>
      </w:r>
      <w:r>
        <w:t xml:space="preserve">Erhält eine Lehrkraft mit Führungsaufgaben nach Nr. 5 a eine Dienstzulage nach dieser Vorschrift, so darf die Summe der Zulage nach Nr. 5 a und der Dienstzulage die Höhe des Unterschiedsbetrags zwischen den Entgelten nach der Besoldungsgruppe 13 und der Besoldungsgruppe 14 der für Beamte des Freistaates Bayern </w:t>
      </w:r>
      <w:hyperlink r:id="rId801" w:anchor="BayBesG-ANL_1-G1" w:tgtFrame="_blank" w:history="1">
        <w:r>
          <w:rPr>
            <w:rStyle w:val="Hyperlink"/>
          </w:rPr>
          <w:t>dem Bayerischen Besoldungs</w:t>
        </w:r>
        <w:r>
          <w:rPr>
            <w:rStyle w:val="Hyperlink"/>
          </w:rPr>
          <w:softHyphen/>
          <w:t>gesetz geltenden Besoldungsordnung A</w:t>
        </w:r>
      </w:hyperlink>
      <w:r>
        <w:t xml:space="preserve"> nicht überschreiten. </w:t>
      </w:r>
      <w:r>
        <w:rPr>
          <w:rStyle w:val="kleinschrift"/>
        </w:rPr>
        <w:t>2</w:t>
      </w:r>
      <w:r>
        <w:t>Erhalten Systembetreuer nach Nr. 5 b Absatz 2 oder Beratungslehrer nach Nr. 5 b Absatz 4 eine Dienstzulage nach dieser Vorschrift, so wird diese für die Dauer ihrer Tätigkeit auf das Entgelt angerechnet.</w:t>
      </w:r>
    </w:p>
    <w:p w:rsidR="00BE1EFE" w:rsidRDefault="00BE1EFE">
      <w:pPr>
        <w:pStyle w:val="StandardWeb"/>
      </w:pPr>
      <w:r>
        <w:rPr>
          <w:sz w:val="12"/>
          <w:szCs w:val="12"/>
        </w:rPr>
        <w:t xml:space="preserve">Protokollnotiz zu Absatz 4: </w:t>
      </w:r>
    </w:p>
    <w:p w:rsidR="00BE1EFE" w:rsidRDefault="00BE1EFE">
      <w:pPr>
        <w:pStyle w:val="StandardWeb"/>
      </w:pPr>
      <w:r>
        <w:rPr>
          <w:sz w:val="12"/>
          <w:szCs w:val="12"/>
        </w:rPr>
        <w:t>Endet die Übertragung der Führungsaufgaben oder die Tätigkeit als Systembetreuer oder Beratungslehrkraft, so bleibt die Dienstzulage erhalten und wird (erstmals) vollständig ausbezahlt.</w:t>
      </w:r>
    </w:p>
    <w:p w:rsidR="00BE1EFE" w:rsidRDefault="00BE1EFE">
      <w:pPr>
        <w:pStyle w:val="StandardWeb"/>
      </w:pPr>
    </w:p>
    <w:p w:rsidR="00BE1EFE" w:rsidRDefault="00BE1EFE" w:rsidP="0054275E">
      <w:pPr>
        <w:pStyle w:val="StandardWeb"/>
        <w:autoSpaceDE w:val="0"/>
        <w:jc w:val="center"/>
        <w:rPr>
          <w:b/>
          <w:bCs/>
        </w:rPr>
      </w:pPr>
      <w:r>
        <w:rPr>
          <w:rStyle w:val="Fett"/>
          <w:bCs/>
        </w:rPr>
        <w:t>Nr. 6</w:t>
      </w:r>
    </w:p>
    <w:p w:rsidR="00BE1EFE" w:rsidRDefault="00BE1EFE" w:rsidP="0054275E">
      <w:pPr>
        <w:pStyle w:val="StandardWeb"/>
        <w:autoSpaceDE w:val="0"/>
        <w:jc w:val="center"/>
      </w:pPr>
      <w:r>
        <w:rPr>
          <w:rStyle w:val="Fett"/>
          <w:bCs/>
        </w:rPr>
        <w:t>Zu §§ 15 bis 20b Teil A, 1. - Tabellenentgelt, Stufen der Entgelttabelle, Weitere Anrechnung von Vordienstzeiten bei Einstellung, Allgemeine Regelungen zu den Stufen, Leistungsentgelt, Besondere Einmalzahlung, Erschwerniszuschläge, Jahressonderzahlung, Entgeltbezugsgröße, Einmalige Sonderzahlung 2009 -</w:t>
      </w:r>
    </w:p>
    <w:p w:rsidR="00BE1EFE" w:rsidRDefault="00BE1EFE">
      <w:pPr>
        <w:pStyle w:val="StandardWeb"/>
        <w:jc w:val="center"/>
      </w:pPr>
    </w:p>
    <w:p w:rsidR="00BE1EFE" w:rsidRDefault="00BE1EFE">
      <w:pPr>
        <w:pStyle w:val="StandardWeb"/>
      </w:pPr>
      <w:r>
        <w:t xml:space="preserve">(1) Die </w:t>
      </w:r>
      <w:hyperlink r:id="rId802"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w:t>
      </w:r>
      <w:hyperlink r:id="rId803" w:tgtFrame="_blank" w:history="1">
        <w:r>
          <w:rPr>
            <w:rStyle w:val="Hyperlink"/>
          </w:rPr>
          <w:t>Bayerischen Besoldungsgesetz</w:t>
        </w:r>
      </w:hyperlink>
      <w:r>
        <w:t xml:space="preserve"> vorgesehenen Besoldung (Grundbezüge und Nebenbezüge, </w:t>
      </w:r>
      <w:hyperlink r:id="rId804" w:tgtFrame="_blank" w:history="1">
        <w:r>
          <w:rPr>
            <w:rStyle w:val="Hyperlink"/>
          </w:rPr>
          <w:t>Art. 2 BayBesG</w:t>
        </w:r>
      </w:hyperlink>
      <w:r>
        <w:t>) sowie der Ballungsraumzulage (</w:t>
      </w:r>
      <w:hyperlink r:id="rId805" w:tgtFrame="_blank" w:history="1">
        <w:r>
          <w:rPr>
            <w:rStyle w:val="Hyperlink"/>
          </w:rPr>
          <w:t>Art. 94 BayBesG</w:t>
        </w:r>
      </w:hyperlink>
      <w:r>
        <w:t xml:space="preserve">). </w:t>
      </w:r>
      <w:r>
        <w:rPr>
          <w:rStyle w:val="kleinschrift"/>
        </w:rPr>
        <w:t>2</w:t>
      </w:r>
      <w:r>
        <w:t xml:space="preserve">Lehrkräfte nach Nr. 5 Absatz 3 erhalten Entgelt nach der Besoldungsgruppe, die ihrer Eingruppierung nach Nr. 5 Absatz 3 entspricht. </w:t>
      </w:r>
      <w:r>
        <w:rPr>
          <w:rStyle w:val="kleinschrift"/>
        </w:rPr>
        <w:t>3</w:t>
      </w:r>
      <w:r>
        <w:t>Lehrkräfte nach Nr. 5 Absatz 3 in der Besoldungsgruppe A 14 mit uneingeschränkter Unterrichts</w:t>
      </w:r>
      <w:r>
        <w:softHyphen/>
        <w:t xml:space="preserve">genehmigung erhalten fünf Jahre nach Übernahme einer Funktion, die an gleichartigen staatlichen Schulen als Funktion vorgesehen ist, eine Zulage in Höhe der Hälfte des Unterschieds des Grundgehalts oder des Tabellenentgelts zur nächsthöheren Besoldungsgruppe. </w:t>
      </w:r>
      <w:r>
        <w:rPr>
          <w:rStyle w:val="kleinschrift"/>
        </w:rPr>
        <w:t>4</w:t>
      </w:r>
      <w:r>
        <w:t xml:space="preserve">Die Gewährung der Zulage setzt voraus, dass die Lehrkräfte während </w:t>
      </w:r>
      <w:r>
        <w:lastRenderedPageBreak/>
        <w:t xml:space="preserve">der fünf Jahre in der Besoldungsgruppe A 14 oder einer entsprechenden Entgeltgruppe eingruppiert waren. </w:t>
      </w:r>
      <w:r>
        <w:rPr>
          <w:rStyle w:val="kleinschrift"/>
        </w:rPr>
        <w:t>5</w:t>
      </w:r>
      <w:r>
        <w:t xml:space="preserve">Satz 3 gilt nicht für Lehrkräfte, denen der Schulträger auf ihr Verlangen hin zugestanden hat oder zugesteht, weiterhin nach Vergütungstarifverträgen des öffentlichen Dienstes vergütet zu werden. </w:t>
      </w:r>
      <w:r>
        <w:rPr>
          <w:rStyle w:val="kleinschrift"/>
        </w:rPr>
        <w:t>6</w:t>
      </w:r>
      <w:r>
        <w:t xml:space="preserve">Das Entgelt umfasst auch für Teilzeitbeschäftigte die Gewährung von Leistungsstufen und -prämien. </w:t>
      </w:r>
      <w:r>
        <w:rPr>
          <w:rStyle w:val="kleinschrift"/>
        </w:rPr>
        <w:t>7</w:t>
      </w:r>
      <w:r>
        <w:t>Für die Höhe der Amtszulage für Realschul</w:t>
      </w:r>
      <w:r>
        <w:softHyphen/>
        <w:t>direktorinnen/Realschuldirektoren ist die Höhe der Amtszulage für die entsprechenden Beamten des Katholischen Schulwerks in Bayern maßgeblich.* </w:t>
      </w:r>
    </w:p>
    <w:p w:rsidR="00BE1EFE" w:rsidRDefault="00BE1EFE">
      <w:pPr>
        <w:pStyle w:val="StandardWeb"/>
        <w:rPr>
          <w:sz w:val="12"/>
          <w:szCs w:val="12"/>
        </w:rPr>
      </w:pPr>
      <w:r>
        <w:rPr>
          <w:sz w:val="12"/>
          <w:szCs w:val="12"/>
        </w:rPr>
        <w:t>*Diese beträgt derzeit 340 EUR.</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806" w:history="1">
        <w:r w:rsidRPr="00E07DE2">
          <w:rPr>
            <w:rStyle w:val="Hyperlink"/>
            <w:sz w:val="12"/>
            <w:szCs w:val="12"/>
          </w:rPr>
          <w:t>Art. 33 BayBesG</w:t>
        </w:r>
      </w:hyperlink>
      <w:r>
        <w:rPr>
          <w:sz w:val="12"/>
          <w:szCs w:val="12"/>
        </w:rPr>
        <w:t xml:space="preserve">. </w:t>
      </w:r>
    </w:p>
    <w:p w:rsidR="00BE1EFE" w:rsidRDefault="00BE1EFE">
      <w:pPr>
        <w:pStyle w:val="StandardWeb"/>
      </w:pPr>
    </w:p>
    <w:p w:rsidR="00BE1EFE" w:rsidRDefault="00BE1EFE">
      <w:pPr>
        <w:pStyle w:val="StandardWeb"/>
      </w:pPr>
      <w:r>
        <w:t>(3) Änderungen der Besoldung sowie der Ballungsraumzulage werden zum jeweiligen Zeitpunkt Bestandteil dieser Sonderregelungen.</w:t>
      </w:r>
    </w:p>
    <w:p w:rsidR="00BE1EFE" w:rsidRDefault="00BE1EFE">
      <w:pPr>
        <w:pStyle w:val="StandardWeb"/>
      </w:pPr>
    </w:p>
    <w:p w:rsidR="00BE1EFE" w:rsidRDefault="00BE1EFE">
      <w:pPr>
        <w:pStyle w:val="StandardWeb"/>
      </w:pPr>
      <w:r>
        <w:t>(4) </w:t>
      </w:r>
      <w:r>
        <w:rPr>
          <w:rStyle w:val="kleinschrift"/>
        </w:rPr>
        <w:t>1</w:t>
      </w:r>
      <w:r>
        <w:t>Der regelmäßige Stufenaufstieg, die Vergabe einer Leistungsstufe und der Stufenstopp erfolgen en</w:t>
      </w:r>
      <w:r w:rsidR="00E07DE2">
        <w:t xml:space="preserve">tsprechend den Vorschriften des </w:t>
      </w:r>
      <w:hyperlink r:id="rId807" w:tgtFrame="_blank" w:history="1">
        <w:r>
          <w:rPr>
            <w:rStyle w:val="Hyperlink"/>
          </w:rPr>
          <w:t>Bayerischen Besoldungsgesetzes</w:t>
        </w:r>
      </w:hyperlink>
      <w:r>
        <w:t xml:space="preserve">. </w:t>
      </w:r>
      <w:r>
        <w:rPr>
          <w:rStyle w:val="kleinschrift"/>
        </w:rPr>
        <w:t>2</w:t>
      </w:r>
      <w:r>
        <w:t xml:space="preserve">Bei Lehrkräften, die nach Nr. 5 Absatz 5 Sätze 2 bis 7 wirksam auf die Beurteilung verzichtet haben, findet ein Stufenaufstieg und die Vergabe einer Leistungsstufe nicht statt. </w:t>
      </w:r>
      <w:r w:rsidRPr="009C6551">
        <w:rPr>
          <w:rStyle w:val="kleinschrift1"/>
        </w:rPr>
        <w:t>3</w:t>
      </w:r>
      <w:r>
        <w:t xml:space="preserve">Für die nach Satz 1 erforderlichen Leistungsfeststellungen gilt Art. 62 des Leistungslaufbahngesetzes entsprechend. </w:t>
      </w:r>
      <w:r>
        <w:rPr>
          <w:rStyle w:val="kleinschrift"/>
        </w:rPr>
        <w:t>4</w:t>
      </w:r>
      <w:r>
        <w:t xml:space="preserve">Die Leistungen der Lehrkraft entsprechen den mit dem Amt verbundenen Mindestanforderungen im Sinne des </w:t>
      </w:r>
      <w:hyperlink r:id="rId808" w:history="1">
        <w:r w:rsidRPr="00E07DE2">
          <w:rPr>
            <w:rStyle w:val="Hyperlink"/>
          </w:rPr>
          <w:t>Art. 30 Absatz 3 Satz 1 BayBesG</w:t>
        </w:r>
      </w:hyperlink>
      <w:r>
        <w:t>, wenn die Lehrkraft in allen Einzelmerkmalen der fachlichen Leistung mindestens die Bewertungsstufe „Leistung, die Mängel aufweist – MA“ erzielt hat.</w:t>
      </w:r>
    </w:p>
    <w:p w:rsidR="00BE1EFE" w:rsidRDefault="00BE1EFE">
      <w:pPr>
        <w:pStyle w:val="StandardWeb"/>
      </w:pPr>
      <w:r>
        <w:rPr>
          <w:sz w:val="12"/>
          <w:szCs w:val="12"/>
        </w:rPr>
        <w:t>Protokollnotiz zu Satz 4:</w:t>
      </w:r>
    </w:p>
    <w:p w:rsidR="00BE1EFE" w:rsidRDefault="00BE1EFE">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809" w:history="1">
        <w:r w:rsidRPr="00E07DE2">
          <w:rPr>
            <w:rStyle w:val="Hyperlink"/>
          </w:rPr>
          <w:t>Bayerischen Besoldungsgesetzes</w:t>
        </w:r>
      </w:hyperlink>
      <w:r w:rsidRPr="00E07DE2">
        <w:t xml:space="preserve"> </w:t>
      </w:r>
      <w:r>
        <w:t xml:space="preserve">sowie für ihre Einordnung in die neuen Grundgehaltstabellen gelten die Vorschriften des </w:t>
      </w:r>
      <w:hyperlink r:id="rId810" w:tgtFrame="_blank" w:history="1">
        <w:r>
          <w:rPr>
            <w:rStyle w:val="Hyperlink"/>
          </w:rPr>
          <w:t>Bayerischen Besoldungsgesetzes</w:t>
        </w:r>
      </w:hyperlink>
      <w:r>
        <w:t xml:space="preserve"> entsprechend. </w:t>
      </w:r>
    </w:p>
    <w:p w:rsidR="00BE1EFE" w:rsidRDefault="00BE1EFE">
      <w:pPr>
        <w:pStyle w:val="StandardWeb"/>
      </w:pPr>
    </w:p>
    <w:p w:rsidR="00BE1EFE" w:rsidRDefault="00BE1EFE">
      <w:pPr>
        <w:pStyle w:val="StandardWeb"/>
        <w:rPr>
          <w:vertAlign w:val="superscript"/>
        </w:rPr>
      </w:pPr>
      <w:r>
        <w:t>(6) </w:t>
      </w:r>
      <w:r>
        <w:rPr>
          <w:rStyle w:val="kleinschrift"/>
        </w:rPr>
        <w:t>1</w:t>
      </w:r>
      <w:r>
        <w:t xml:space="preserve">Der Schulträger übernimmt bei Lehrkräften, deren Arbeitsverhältnis bis 19.07.2006 begonnen und bei denen er die Arbeitnehmerbeiträge zur gesetzlichen Rentenversicherung gemäß </w:t>
      </w:r>
      <w:hyperlink r:id="rId811" w:tgtFrame="_blank" w:history="1">
        <w:r>
          <w:rPr>
            <w:rStyle w:val="Hyperlink"/>
          </w:rPr>
          <w:t>§ 168 SGB VI</w:t>
        </w:r>
      </w:hyperlink>
      <w:r>
        <w:t xml:space="preserve"> übernommen hat oder gemäß Nr. 6 Absatz 5 in ihrer bis zum 31.12.2005 geltenden Fassung hätte übernehmen müssen, die Arbeitnehmerbeiträge zur gesetzlichen Rentenversicherung gemäß </w:t>
      </w:r>
      <w:hyperlink r:id="rId812" w:tgtFrame="_blank" w:history="1">
        <w:r>
          <w:rPr>
            <w:rStyle w:val="Hyperlink"/>
          </w:rPr>
          <w:t>§ 168 SGB VI</w:t>
        </w:r>
      </w:hyperlink>
      <w:r>
        <w:t xml:space="preserve">. </w:t>
      </w:r>
      <w:r>
        <w:rPr>
          <w:rStyle w:val="kleinschrift"/>
        </w:rPr>
        <w:t>2</w:t>
      </w:r>
      <w:r>
        <w:t>Gleiches gilt bei Lehrkräften, welche die Voraussetzungen für die Übernahme der Arbeitnehmerbeiträge zur gesetzlichen Renten</w:t>
      </w:r>
      <w:r>
        <w:softHyphen/>
        <w:t xml:space="preserve">versicherung gemäß </w:t>
      </w:r>
      <w:hyperlink r:id="rId813" w:tgtFrame="_blank" w:history="1">
        <w:r>
          <w:rPr>
            <w:rStyle w:val="Hyperlink"/>
          </w:rPr>
          <w:t>§ 168 SGB VI</w:t>
        </w:r>
      </w:hyperlink>
      <w:r>
        <w:t xml:space="preserve"> erst später erfüllen.</w:t>
      </w:r>
      <w:r>
        <w:rPr>
          <w:vertAlign w:val="superscript"/>
        </w:rPr>
        <w:t>1</w:t>
      </w:r>
    </w:p>
    <w:p w:rsidR="00BE1EFE" w:rsidRDefault="00BE1EFE">
      <w:pPr>
        <w:pStyle w:val="StandardWeb"/>
      </w:pPr>
      <w:r>
        <w:rPr>
          <w:sz w:val="12"/>
          <w:szCs w:val="12"/>
          <w:vertAlign w:val="superscript"/>
        </w:rPr>
        <w:t>1</w:t>
      </w:r>
      <w:r>
        <w:rPr>
          <w:sz w:val="12"/>
          <w:szCs w:val="12"/>
        </w:rPr>
        <w:t>Gemeint sind Lehrkräfte, deren Arbeitsverhältnis vor dem 20.07.2006 begonnen hat und die die Voraussetzungen für die Übernahme erst nach diesem Zeitpunkt, jedoch vor Vollendung des 45. Lebensjahres erfüllen.</w:t>
      </w:r>
    </w:p>
    <w:p w:rsidR="00BE1EFE" w:rsidRDefault="00BE1EFE">
      <w:pPr>
        <w:pStyle w:val="StandardWeb"/>
      </w:pPr>
    </w:p>
    <w:p w:rsidR="00BE1EFE" w:rsidRDefault="00BE1EFE">
      <w:pPr>
        <w:pStyle w:val="StandardWeb"/>
      </w:pPr>
      <w:r>
        <w:t>(7) </w:t>
      </w:r>
      <w:r>
        <w:rPr>
          <w:rStyle w:val="kleinschrift"/>
        </w:rPr>
        <w:t>1</w:t>
      </w:r>
      <w:r>
        <w:t xml:space="preserve">Bei Lehrkräften, deren Arbeitsverhältnis ab dem 20.07.2006 begonnen hat und bei denen die persönlichen Voraussetzungen für einen Versorgungszuschuss nach </w:t>
      </w:r>
      <w:hyperlink r:id="rId814" w:history="1">
        <w:r w:rsidRPr="00E07DE2">
          <w:rPr>
            <w:rStyle w:val="Hyperlink"/>
          </w:rPr>
          <w:t>Art. 40 Absatz 1 bis 4 BaySchFG</w:t>
        </w:r>
      </w:hyperlink>
      <w:r>
        <w:t xml:space="preserve"> in der bis zum 31.12.2005 geltenden Fassung (unbefristetes Arbeitsverhältnis, Hauptberuflichkeit, uneingeschränkte Unterrichtsgenehmigung, Höchstalter vollendetes 45. Lebensjahr) vorgelegen hätten, übernimmt der Schulträger die Arbeitnehmerbeiträge zur gesetzlichen Rentenversicherung gemäß </w:t>
      </w:r>
      <w:hyperlink r:id="rId815" w:tgtFrame="_blank" w:history="1">
        <w:r>
          <w:rPr>
            <w:rStyle w:val="Hyperlink"/>
          </w:rPr>
          <w:t>§ 168 SGB VI</w:t>
        </w:r>
      </w:hyperlink>
      <w:r>
        <w:t xml:space="preserve"> als mit einer Frist von sechs Monaten widerrufliche Leistung. </w:t>
      </w:r>
      <w:r>
        <w:rPr>
          <w:rStyle w:val="kleinschrift"/>
        </w:rPr>
        <w:t>2</w:t>
      </w:r>
      <w:r>
        <w:t>Der Widerruf setzt die Gewährung eines für die Lehrkraft wirtschaftlich gleichwertigen Beitrags zur Altersversorgung voraus.</w:t>
      </w:r>
    </w:p>
    <w:p w:rsidR="00BE1EFE" w:rsidRDefault="00BE1EFE">
      <w:pPr>
        <w:pStyle w:val="StandardWeb"/>
      </w:pPr>
      <w:r>
        <w:rPr>
          <w:sz w:val="12"/>
          <w:szCs w:val="12"/>
        </w:rPr>
        <w:t>Protokollnotiz zu Absatz 7:</w:t>
      </w:r>
    </w:p>
    <w:p w:rsidR="00BE1EFE" w:rsidRDefault="00BE1EFE">
      <w:pPr>
        <w:pStyle w:val="StandardWeb"/>
      </w:pPr>
      <w:r>
        <w:rPr>
          <w:sz w:val="12"/>
          <w:szCs w:val="12"/>
        </w:rPr>
        <w:lastRenderedPageBreak/>
        <w:t xml:space="preserve">Unterhälftig Beschäftigte, welche die sonstigen Voraussetzungen nach </w:t>
      </w:r>
      <w:hyperlink r:id="rId816" w:history="1">
        <w:r w:rsidRPr="00E07DE2">
          <w:rPr>
            <w:rStyle w:val="Hyperlink"/>
            <w:sz w:val="12"/>
            <w:szCs w:val="12"/>
          </w:rPr>
          <w:t>Art. 40 Absatz 3 BaySchFG</w:t>
        </w:r>
      </w:hyperlink>
      <w:r>
        <w:rPr>
          <w:sz w:val="12"/>
          <w:szCs w:val="12"/>
        </w:rPr>
        <w:t xml:space="preserve"> in der bis zum 31.12.2005 geltenden Fassung erfüllen, sollen die Möglichkeit erhalten, mindestens hälftig beschäftigt zu werden.</w:t>
      </w:r>
    </w:p>
    <w:p w:rsidR="00BE1EFE" w:rsidRDefault="00BE1EFE">
      <w:pPr>
        <w:pStyle w:val="StandardWeb"/>
      </w:pPr>
    </w:p>
    <w:p w:rsidR="00BE1EFE" w:rsidRDefault="00BE1EFE">
      <w:pPr>
        <w:pStyle w:val="StandardWeb"/>
      </w:pPr>
      <w:r>
        <w:t>(8) </w:t>
      </w:r>
      <w:r>
        <w:rPr>
          <w:rStyle w:val="kleinschrift"/>
        </w:rPr>
        <w:t>1</w:t>
      </w:r>
      <w:r>
        <w:t>Bei Lehrkräften im Sinne von Absatz 6 übernimmt der Schulträger die Arbeitnehmer</w:t>
      </w:r>
      <w:r>
        <w:softHyphen/>
        <w:t xml:space="preserve">beiträge des </w:t>
      </w:r>
      <w:hyperlink r:id="rId817" w:tgtFrame="_blank" w:history="1">
        <w:r>
          <w:rPr>
            <w:rStyle w:val="Hyperlink"/>
          </w:rPr>
          <w:t>§ 346 SGB III</w:t>
        </w:r>
      </w:hyperlink>
      <w:r>
        <w:t xml:space="preserve"> (sog. Arbeitslosenversicherung) spätestens ab dem fünften Jahr nach Beginn des Arbeitsverhältnisses.</w:t>
      </w:r>
    </w:p>
    <w:p w:rsidR="00BE1EFE" w:rsidRDefault="00BE1EFE">
      <w:pPr>
        <w:pStyle w:val="StandardWeb"/>
      </w:pPr>
      <w:r>
        <w:rPr>
          <w:rStyle w:val="kleinschrift"/>
        </w:rPr>
        <w:t>2</w:t>
      </w:r>
      <w:r>
        <w:t>Institute des geweihten Lebens oder Gesellschaften des apostolischen Lebens entscheiden über die Übernahme dieser Beiträge.</w:t>
      </w:r>
    </w:p>
    <w:p w:rsidR="00BE1EFE" w:rsidRDefault="00BE1EFE">
      <w:pPr>
        <w:pStyle w:val="StandardWeb"/>
      </w:pPr>
    </w:p>
    <w:p w:rsidR="00BE1EFE" w:rsidRDefault="00BE1EFE">
      <w:pPr>
        <w:pStyle w:val="StandardWeb"/>
      </w:pPr>
      <w:r>
        <w:t>(9) </w:t>
      </w:r>
      <w:r>
        <w:rPr>
          <w:rStyle w:val="kleinschrift"/>
        </w:rPr>
        <w:t>1</w:t>
      </w:r>
      <w:r>
        <w:t xml:space="preserve">Bei Lehrkräften im Sinne von Absatz 7 kann der Schulträger die Arbeitnehmerbeiträge des </w:t>
      </w:r>
      <w:hyperlink r:id="rId818" w:tgtFrame="_blank" w:history="1">
        <w:r>
          <w:rPr>
            <w:rStyle w:val="Hyperlink"/>
          </w:rPr>
          <w:t>§ 346 SGB III</w:t>
        </w:r>
      </w:hyperlink>
      <w:r>
        <w:t xml:space="preserve"> (sog. Arbeitslosenversicherung) ganz oder teilweise übernehmen. </w:t>
      </w:r>
      <w:r>
        <w:rPr>
          <w:rStyle w:val="kleinschrift"/>
        </w:rPr>
        <w:t>2</w:t>
      </w:r>
      <w:r>
        <w:t>Es handelt sich dabei um eine freiwillige Leistung, die ohne Anerkennung einer Rechtspflicht gewährt wird.</w:t>
      </w:r>
    </w:p>
    <w:p w:rsidR="00BE1EFE" w:rsidRDefault="00BE1EFE">
      <w:pPr>
        <w:pStyle w:val="StandardWeb"/>
      </w:pPr>
    </w:p>
    <w:p w:rsidR="00BE1EFE" w:rsidRDefault="00BE1EFE">
      <w:pPr>
        <w:pStyle w:val="StandardWeb"/>
      </w:pPr>
      <w:r>
        <w:rPr>
          <w:sz w:val="12"/>
          <w:szCs w:val="12"/>
        </w:rPr>
        <w:t>Protokollnotiz zu Absatz 8 und 9:</w:t>
      </w:r>
    </w:p>
    <w:p w:rsidR="00BE1EFE" w:rsidRDefault="00BE1EFE">
      <w:pPr>
        <w:pStyle w:val="StandardWeb"/>
      </w:pPr>
      <w:r>
        <w:rPr>
          <w:sz w:val="12"/>
          <w:szCs w:val="12"/>
        </w:rPr>
        <w:t>Schulträger, welche die Arbeitnehmerbeiträge nicht übernehmen, sollen bei einer Verbesserung der finanziellen Situation, insbesondere der staatlichen Privatschulfinanzierung oder finanziell günstigeren Formen der Altersversorgung die Möglichkeit der Übernahme bzw. der dauernden Übernahme prüfen.</w:t>
      </w:r>
    </w:p>
    <w:p w:rsidR="00BE1EFE" w:rsidRDefault="00BE1EFE">
      <w:pPr>
        <w:pStyle w:val="StandardWeb"/>
      </w:pPr>
    </w:p>
    <w:p w:rsidR="00BE1EFE" w:rsidRDefault="00BE1EFE">
      <w:pPr>
        <w:pStyle w:val="StandardWeb"/>
      </w:pPr>
      <w:r>
        <w:t>(10) </w:t>
      </w:r>
      <w:r>
        <w:rPr>
          <w:rStyle w:val="kleinschrift"/>
        </w:rPr>
        <w:t>1</w:t>
      </w:r>
      <w:r>
        <w:t>Lehrkräfte mit A-Besoldung, deren Ehegatte als arbeitsvertraglich Beschäftigter, Beamter, Richter oder Soldat im öffentlichen Dienst oder aufgrund des Bezuges einer Versorgung nach beamtenrechtlichen Grundsätzen einen eigenen Anspruch auf Familien</w:t>
      </w:r>
      <w:r>
        <w:softHyphen/>
        <w:t>zuschlag der Stufe 1 oder einer der folgenden Stufen, Ortszuschlag oder entsprechende Leistungen in Höhe der Stufe 2 oder einer der folgenden Stufen hat oder bis zum 31.10.2006 hatte, erhalten keinen Familienzuschlag.</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beamtenrecht</w:t>
      </w:r>
      <w:r>
        <w:softHyphen/>
        <w: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Zu § 21 Teil A, 1. - Bemessungsgrundlage für die Entgeltfortzahlung -</w:t>
      </w:r>
    </w:p>
    <w:p w:rsidR="00BE1EFE" w:rsidRDefault="00BE1EFE">
      <w:pPr>
        <w:pStyle w:val="StandardWeb"/>
        <w:jc w:val="center"/>
      </w:pPr>
    </w:p>
    <w:p w:rsidR="00BE1EFE" w:rsidRDefault="00BE1EFE">
      <w:pPr>
        <w:pStyle w:val="StandardWeb"/>
      </w:pPr>
      <w:r>
        <w:rPr>
          <w:rStyle w:val="kleinschrift"/>
        </w:rPr>
        <w:t>1</w:t>
      </w:r>
      <w:r>
        <w:t xml:space="preserve">In den Fällen der Entgeltfortzahlung nach </w:t>
      </w:r>
      <w:hyperlink r:id="rId819" w:history="1">
        <w:r w:rsidRPr="00BC01FC">
          <w:rPr>
            <w:rStyle w:val="Hyperlink"/>
          </w:rPr>
          <w:t>§§ 6 Absatz 3 Satz 1</w:t>
        </w:r>
      </w:hyperlink>
      <w:r>
        <w:t xml:space="preserve">, </w:t>
      </w:r>
      <w:hyperlink r:id="rId820" w:history="1">
        <w:r w:rsidRPr="00BC01FC">
          <w:rPr>
            <w:rStyle w:val="Hyperlink"/>
          </w:rPr>
          <w:t>22 Absatz 1</w:t>
        </w:r>
      </w:hyperlink>
      <w:r>
        <w:t xml:space="preserve">, </w:t>
      </w:r>
      <w:hyperlink r:id="rId821" w:history="1">
        <w:r w:rsidRPr="00BC01FC">
          <w:rPr>
            <w:rStyle w:val="Hyperlink"/>
          </w:rPr>
          <w:t>26,</w:t>
        </w:r>
      </w:hyperlink>
      <w:r>
        <w:t xml:space="preserve"> </w:t>
      </w:r>
      <w:hyperlink r:id="rId822" w:history="1">
        <w:r w:rsidRPr="00BC01FC">
          <w:rPr>
            <w:rStyle w:val="Hyperlink"/>
          </w:rPr>
          <w:t>27</w:t>
        </w:r>
      </w:hyperlink>
      <w:r>
        <w:t xml:space="preserve"> und </w:t>
      </w:r>
      <w:hyperlink r:id="rId823" w:history="1">
        <w:r w:rsidRPr="00BC01FC">
          <w:rPr>
            <w:rStyle w:val="Hyperlink"/>
          </w:rPr>
          <w:t>29 Teil A, 1.</w:t>
        </w:r>
      </w:hyperlink>
      <w:r>
        <w:t xml:space="preserve"> werden das Entgelt gemäß Nr. 6 Absatz 2 sowie die sonstigen in Monatsbeträgen festgelegten Entgeltbestandteile einschließlich der vom Arbeitgeber übernommenen Arbeitnehmeranteile zur gesetzlichen Renten- sowie Arbeitslosenversicherung weiterbezahlt. </w:t>
      </w:r>
      <w:r>
        <w:rPr>
          <w:rStyle w:val="kleinschrift"/>
        </w:rPr>
        <w:t>2</w:t>
      </w:r>
      <w:r>
        <w:t>§ 21 Sätze 2, 3 Teil A, 1. bleiben unberührt.</w:t>
      </w:r>
    </w:p>
    <w:p w:rsidR="00BE1EFE" w:rsidRDefault="00BE1EFE">
      <w:pPr>
        <w:pStyle w:val="StandardWeb"/>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Zu § 22 Teil A, 1. - Entgelt im Krankheitsfall -</w:t>
      </w:r>
    </w:p>
    <w:p w:rsidR="00BE1EFE" w:rsidRDefault="00BE1EFE">
      <w:pPr>
        <w:pStyle w:val="StandardWeb"/>
        <w:jc w:val="center"/>
      </w:pPr>
    </w:p>
    <w:p w:rsidR="00BE1EFE" w:rsidRDefault="00BE1EFE">
      <w:pPr>
        <w:pStyle w:val="StandardWeb"/>
      </w:pPr>
      <w:r w:rsidRPr="009C6551">
        <w:rPr>
          <w:rStyle w:val="kleinschrift1"/>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w:t>
      </w:r>
      <w:hyperlink r:id="rId824" w:history="1">
        <w:r w:rsidRPr="002D1F1D">
          <w:rPr>
            <w:rStyle w:val="Hyperlink"/>
          </w:rPr>
          <w:t>§ 71 Absatz 1 bis 5 Teil A, 1. in der am 30.09.2005 geltenden Fassung</w:t>
        </w:r>
      </w:hyperlink>
      <w:r>
        <w:t xml:space="preserve"> zugesagt werden. </w:t>
      </w:r>
      <w:r>
        <w:rPr>
          <w:rStyle w:val="kleinschrift"/>
        </w:rPr>
        <w:t>2</w:t>
      </w:r>
      <w:r>
        <w:t>Ein Krankengeldzuschuss wird in diesen Fällen nicht gewährt.</w:t>
      </w:r>
    </w:p>
    <w:p w:rsidR="00BE1EFE" w:rsidRDefault="00BE1EFE">
      <w:pPr>
        <w:pStyle w:val="StandardWeb"/>
      </w:pPr>
    </w:p>
    <w:p w:rsidR="00BE1EFE" w:rsidRDefault="00BE1EFE">
      <w:pPr>
        <w:pStyle w:val="StandardWeb"/>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lastRenderedPageBreak/>
        <w:t>Zu § 24 Teil A, 1.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r>
        <w:br w:type="page"/>
      </w:r>
    </w:p>
    <w:p w:rsidR="00BE1EFE" w:rsidRDefault="00BE1EFE" w:rsidP="0054275E">
      <w:pPr>
        <w:pStyle w:val="StandardWeb"/>
        <w:autoSpaceDE w:val="0"/>
        <w:jc w:val="center"/>
        <w:rPr>
          <w:b/>
          <w:bCs/>
        </w:rPr>
      </w:pPr>
      <w:r>
        <w:rPr>
          <w:rStyle w:val="Fett"/>
          <w:bCs/>
        </w:rPr>
        <w:lastRenderedPageBreak/>
        <w:t>Zum 4. Abschnitt</w:t>
      </w:r>
    </w:p>
    <w:p w:rsidR="00BE1EFE" w:rsidRDefault="00BE1EFE" w:rsidP="0054275E">
      <w:pPr>
        <w:pStyle w:val="StandardWeb"/>
        <w:autoSpaceDE w:val="0"/>
        <w:jc w:val="center"/>
      </w:pPr>
      <w:r>
        <w:rPr>
          <w:rStyle w:val="Fett"/>
          <w:bCs/>
        </w:rPr>
        <w:t>Urlaub und Arbeitsbefreiung</w:t>
      </w:r>
    </w:p>
    <w:p w:rsidR="00BE1EFE" w:rsidRDefault="00BE1EFE" w:rsidP="00563E75">
      <w:pPr>
        <w:pStyle w:val="StandardWeb"/>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pPr>
        <w:pStyle w:val="StandardWeb"/>
      </w:pPr>
      <w:r>
        <w:t>(1) </w:t>
      </w:r>
      <w:r>
        <w:rPr>
          <w:rStyle w:val="kleinschrift"/>
        </w:rPr>
        <w:t>1</w:t>
      </w:r>
      <w:r w:rsidRPr="00414533">
        <w:t xml:space="preserve">Die </w:t>
      </w:r>
      <w:hyperlink r:id="rId825" w:history="1">
        <w:r w:rsidRPr="00414533">
          <w:rPr>
            <w:rStyle w:val="Hyperlink"/>
          </w:rPr>
          <w:t>§§ 26</w:t>
        </w:r>
      </w:hyperlink>
      <w:r w:rsidRPr="00414533">
        <w:t xml:space="preserve">, </w:t>
      </w:r>
      <w:hyperlink r:id="rId826"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827"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828"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w:t>
      </w:r>
      <w:r>
        <w:softHyphen/>
        <w:t>mungen für die entsprechenden arbeitsvertraglich beschäftigten Lehrkräfte des Freistaates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829" w:history="1">
        <w:r w:rsidRPr="002D1F1D">
          <w:rPr>
            <w:rStyle w:val="Hyperlink"/>
          </w:rPr>
          <w:t>§ 22 Absatz 1, 3 Teil A, 1.</w:t>
        </w:r>
      </w:hyperlink>
      <w:r>
        <w:t xml:space="preserve"> beginnen mit dem Tag der Arbeitsunfähigkeit.</w:t>
      </w: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rsidP="00563E75">
      <w:pPr>
        <w:pStyle w:val="StandardWeb"/>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Zu §§ 31 und 32 Teil A, 1.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Zu § 33 Teil A, 1. - Beendigung des Arbeitsverhältnisses ohne Kündigung -</w:t>
      </w:r>
    </w:p>
    <w:p w:rsidR="00BE1EFE" w:rsidRDefault="00BE1EFE">
      <w:pPr>
        <w:pStyle w:val="StandardWeb"/>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w:t>
      </w:r>
      <w:r>
        <w:softHyphen/>
        <w:t>vertrag geschlossen, richtet sich das Entgelt nach der Besoldungsordnung A; die Eingruppierung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Zu § 34 Teil A, 1. - Kündigung des Arbeitsverhältnisses -</w:t>
      </w:r>
    </w:p>
    <w:p w:rsidR="00BE1EFE" w:rsidRDefault="00BE1EFE">
      <w:pPr>
        <w:pStyle w:val="StandardWeb"/>
        <w:jc w:val="center"/>
      </w:pPr>
    </w:p>
    <w:p w:rsidR="00BE1EFE" w:rsidRDefault="00BE1EFE">
      <w:pPr>
        <w:pStyle w:val="StandardWeb"/>
      </w:pPr>
      <w:r>
        <w:t xml:space="preserve">(1) Das Arbeitsverhältnis kann zur Erprobung der Lehrkraft bis zu einem Jahr befristet werden. Abweichend von </w:t>
      </w:r>
      <w:hyperlink r:id="rId830"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831" w:history="1">
        <w:r w:rsidRPr="002D1F1D">
          <w:rPr>
            <w:rStyle w:val="Hyperlink"/>
          </w:rPr>
          <w:t>§ 34 Teil A, 1.</w:t>
        </w:r>
      </w:hyperlink>
      <w:r>
        <w:t> oder bei auf bestimmte Dauer abgeschlossenen Arbeitsverhältnissen vor deren vereinbartem Ende beendi</w:t>
      </w:r>
      <w:r>
        <w:softHyphen/>
        <w:t>gen, kann eine Vertragsstrafe bis zur Höhe des Entgelts für die Zeit der Mindest</w:t>
      </w:r>
      <w:r>
        <w:softHyphen/>
        <w:t>kündigungsfrist verlangt werden.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rPr>
          <w:rStyle w:val="Fett"/>
          <w:bCs/>
        </w:rPr>
      </w:pPr>
      <w:r>
        <w:rPr>
          <w:rStyle w:val="Fett"/>
          <w:bCs/>
        </w:rPr>
        <w:t>Zu § 36 Teil A, 1. - Beihilfen bei Krankheits-, Pflege-, Geburts- und Todesfällen, Unterstützungen –</w:t>
      </w:r>
    </w:p>
    <w:p w:rsidR="00BE1EFE" w:rsidRDefault="00BE1EFE" w:rsidP="0054275E">
      <w:pPr>
        <w:pStyle w:val="StandardWeb"/>
        <w:autoSpaceDE w:val="0"/>
        <w:jc w:val="center"/>
      </w:pPr>
    </w:p>
    <w:p w:rsidR="00BE1EFE" w:rsidRDefault="00BE1EFE">
      <w:pPr>
        <w:pStyle w:val="StandardWeb"/>
      </w:pPr>
      <w:r>
        <w:t>Lehrkräfte, für die der Schulträger die Arbeitnehmerbeiträge zur gesetzlichen Renten</w:t>
      </w:r>
      <w:r>
        <w:softHyphen/>
        <w:t>versicherung übernommen hat, erhalten Beihilfe</w:t>
      </w:r>
      <w:r w:rsidRPr="0003233B">
        <w:rPr>
          <w:vertAlign w:val="superscript"/>
        </w:rPr>
        <w:t>1</w:t>
      </w:r>
      <w:r>
        <w:t xml:space="preserve"> für die Dauer der Beschäftigung, während der Elternzeit oder des Sonderurlaubs aus familienpolitischen Gründen, sowie im Falle der Beendigung des Arbeitsverhältnisses wegen Bezugs einer Rente wegen verminderter Erwerbsfähigkeit oder wegen Alters, soweit Beamte als Lehrkräfte des Freistaates in diesen Zeiten beihilfeberechtigt sind.</w:t>
      </w:r>
    </w:p>
    <w:p w:rsidR="00BE1EFE" w:rsidRDefault="00BE1EFE">
      <w:pPr>
        <w:pStyle w:val="StandardWeb"/>
      </w:pPr>
      <w:r>
        <w:rPr>
          <w:sz w:val="12"/>
          <w:szCs w:val="12"/>
        </w:rPr>
        <w:t>Protokollnotiz:</w:t>
      </w:r>
    </w:p>
    <w:p w:rsidR="00BE1EFE" w:rsidRDefault="00BE1EFE">
      <w:pPr>
        <w:pStyle w:val="StandardWeb"/>
        <w:rPr>
          <w:sz w:val="12"/>
          <w:szCs w:val="12"/>
        </w:rPr>
      </w:pPr>
      <w:r>
        <w:rPr>
          <w:sz w:val="12"/>
          <w:szCs w:val="12"/>
        </w:rPr>
        <w:t xml:space="preserve">Bei der Beihilfe handelt es sich um eine Beihilfe, die das bayerische Staatministerium für Unterricht und Kultus akzeptiert und nach </w:t>
      </w:r>
      <w:r w:rsidRPr="00D05FB4">
        <w:rPr>
          <w:sz w:val="12"/>
          <w:szCs w:val="12"/>
        </w:rPr>
        <w:t>Artikel 40 Absatz 5 BaySchFG</w:t>
      </w:r>
      <w:r>
        <w:rPr>
          <w:sz w:val="12"/>
          <w:szCs w:val="12"/>
        </w:rPr>
        <w:t xml:space="preserve"> in der Fassung vom 27.12.1997 bezuschusst (siehe auch KMS VI/10-04401-8/56545 vom 12.07.1999). </w:t>
      </w:r>
    </w:p>
    <w:p w:rsidR="00BE1EFE" w:rsidRDefault="00BE1EFE">
      <w:pPr>
        <w:pStyle w:val="StandardWeb"/>
      </w:pPr>
      <w:r w:rsidRPr="00A02BFF">
        <w:rPr>
          <w:sz w:val="12"/>
          <w:szCs w:val="12"/>
          <w:vertAlign w:val="superscript"/>
        </w:rPr>
        <w:t>1</w:t>
      </w:r>
      <w:r>
        <w:rPr>
          <w:sz w:val="12"/>
          <w:szCs w:val="12"/>
        </w:rPr>
        <w:t xml:space="preserve"> 1. Die im Rahmen der Beihilfeordnung Teil A zu vergebenden Zusagen haben derzeit folgenden Wortlaut:</w:t>
      </w:r>
    </w:p>
    <w:p w:rsidR="00BE1EFE" w:rsidRPr="00865C69" w:rsidRDefault="00BE1EFE">
      <w:pPr>
        <w:pStyle w:val="StandardWeb"/>
        <w:rPr>
          <w:lang w:val="en-US"/>
        </w:rPr>
      </w:pPr>
      <w:r w:rsidRPr="00865C69">
        <w:rPr>
          <w:sz w:val="12"/>
          <w:szCs w:val="12"/>
          <w:lang w:val="en-US"/>
        </w:rPr>
        <w:t>1. Zusage nach § 2 a BO/A:</w:t>
      </w:r>
    </w:p>
    <w:p w:rsidR="00BE1EFE" w:rsidRDefault="00BE1EFE">
      <w:pPr>
        <w:pStyle w:val="StandardWeb"/>
        <w:rPr>
          <w:sz w:val="12"/>
          <w:szCs w:val="12"/>
        </w:rPr>
      </w:pPr>
      <w:r>
        <w:rPr>
          <w:sz w:val="12"/>
          <w:szCs w:val="12"/>
        </w:rPr>
        <w:t xml:space="preserve">„Herr/Frau ... hat ab dem ... für sich und seine/ihre berücksichtigungsfähigen Familienangehörigen Anspruch auf Beihilfen nach beamtenrechtlichen Grundsätzen wie ein privat krankenversicherter Beamter des Freistaates Bayern, soweit nicht die Beihilfeordnung der (Erz-)Diözese…von den für die Beamten des Freistaates Bayern geltenden Beihilfevorschriften abweichende Regelungen enthält. Ab diesem Zeitpunkt entfällt der Anspruch auf den Beitragszuschuss des Arbeitgebers nach </w:t>
      </w:r>
      <w:hyperlink r:id="rId832" w:tgtFrame="_blank" w:history="1">
        <w:r>
          <w:rPr>
            <w:rStyle w:val="Hyperlink"/>
            <w:sz w:val="12"/>
            <w:szCs w:val="12"/>
          </w:rPr>
          <w:t>§ 257 SGB V</w:t>
        </w:r>
      </w:hyperlink>
      <w:r>
        <w:rPr>
          <w:sz w:val="12"/>
          <w:szCs w:val="12"/>
        </w:rPr>
        <w:t>. Der Anspruch besteht nur für die Zeit der beihilfekonformen Teilversicherung in der privaten Krankenversicherung.“</w:t>
      </w:r>
    </w:p>
    <w:p w:rsidR="00BE1EFE" w:rsidRDefault="00BE1EFE">
      <w:pPr>
        <w:pStyle w:val="StandardWeb"/>
      </w:pPr>
      <w:r>
        <w:rPr>
          <w:sz w:val="12"/>
          <w:szCs w:val="12"/>
        </w:rPr>
        <w:t>2. Zusage nach § 7 b BO/A:</w:t>
      </w:r>
    </w:p>
    <w:p w:rsidR="00BE1EFE" w:rsidRDefault="00BE1EFE">
      <w:pPr>
        <w:pStyle w:val="StandardWeb"/>
      </w:pPr>
      <w:r>
        <w:rPr>
          <w:sz w:val="12"/>
          <w:szCs w:val="12"/>
        </w:rPr>
        <w:t>a) für die Dauer der Beschäftigung, auch im Falle der Elternzeit oder des Sonderurlaubs aus familienpolitischen Gründen:</w:t>
      </w:r>
    </w:p>
    <w:p w:rsidR="00BE1EFE" w:rsidRDefault="00BE1EFE">
      <w:pPr>
        <w:pStyle w:val="StandardWeb"/>
      </w:pPr>
      <w:r>
        <w:rPr>
          <w:sz w:val="12"/>
          <w:szCs w:val="12"/>
        </w:rPr>
        <w:t>„Herr/Frau … erhält ab dem … für sich und seine/ihre berücksichtigungsfähigen Familienangehörigen für die Dauer der Beschäftigung, auch im Falle der Elternzeit oder des Sonderurlaubs aus familienpolitischen Gründen, Beihilfeleistungen im jeweiligen Umfang des Tarifs 820K. Die Beihilfeordnung der (Erz-)Diözese … findet Anwendung.“</w:t>
      </w:r>
    </w:p>
    <w:p w:rsidR="00BE1EFE" w:rsidRDefault="00BE1EFE">
      <w:pPr>
        <w:pStyle w:val="StandardWeb"/>
        <w:rPr>
          <w:sz w:val="12"/>
          <w:szCs w:val="12"/>
        </w:rPr>
      </w:pPr>
      <w:r>
        <w:rPr>
          <w:sz w:val="12"/>
          <w:szCs w:val="12"/>
        </w:rPr>
        <w:t>b) zusätzlich zu a) im Falle der Beendigung des Arbeitsverhältnisses wegen des Bezugs einer Rente wegen verminderter Erwerbsfähigkeit oder wegen Alters: „Der Anspruch auf Beihilfeleistungen im jeweiligen Umfang des Tarifs 820 K besteht auch im Falle der Beendigung des Arbeitsverhältnisses wegen des Bezugs einer Rente wegen verminderter Erwerbsfähigkeit oder wegen Alters. Die Beihilfeordnung der (Erz ) Diözese … findet Anwendung.“</w:t>
      </w:r>
    </w:p>
    <w:p w:rsidR="00BE1EFE" w:rsidRDefault="00BE1EFE">
      <w:pPr>
        <w:pStyle w:val="StandardWeb"/>
      </w:pPr>
      <w:r>
        <w:rPr>
          <w:sz w:val="12"/>
          <w:szCs w:val="12"/>
        </w:rPr>
        <w:t>3. Zusage nach § 7 c BO/A:</w:t>
      </w:r>
    </w:p>
    <w:p w:rsidR="00BE1EFE" w:rsidRDefault="00BE1EFE">
      <w:pPr>
        <w:pStyle w:val="StandardWeb"/>
      </w:pPr>
      <w:r>
        <w:rPr>
          <w:sz w:val="12"/>
          <w:szCs w:val="12"/>
        </w:rPr>
        <w:t xml:space="preserve">a) auch im Falle der Elternzeit oder des Sonderurlaubs aus familienpolitischen Gründen: </w:t>
      </w:r>
    </w:p>
    <w:p w:rsidR="00BE1EFE" w:rsidRDefault="00BE1EFE">
      <w:pPr>
        <w:pStyle w:val="StandardWeb"/>
      </w:pPr>
      <w:r>
        <w:rPr>
          <w:sz w:val="12"/>
          <w:szCs w:val="12"/>
        </w:rPr>
        <w:t xml:space="preserve">„Herr/Frau … hat auch im Falle der Elternzeit oder des Sonderurlaubs aus familienpolitischen Gründen Anspruch auf Beihilfen bei Krankheits-, Geburts- und Todesfällen wie ein privat krankenversicherter Arbeitnehmer des Freistaates Bayern mit Beitragszuschuss nach </w:t>
      </w:r>
      <w:hyperlink r:id="rId833" w:tgtFrame="_blank" w:history="1">
        <w:r>
          <w:rPr>
            <w:rStyle w:val="Hyperlink"/>
            <w:sz w:val="12"/>
            <w:szCs w:val="12"/>
          </w:rPr>
          <w:t>§ 257 SGB V</w:t>
        </w:r>
      </w:hyperlink>
      <w:r>
        <w:rPr>
          <w:sz w:val="12"/>
          <w:szCs w:val="12"/>
        </w:rPr>
        <w:t> mit der Maßgabe, dass Aufwendungen für stationäre Krankenhausbehandlung nicht beihilfefähig und sonstige Aufwendungen, soweit sie zustehende Leistungen aus der privaten Krankenversicherung übersteigen, nur bis zu einem Betrag von maximal 750.- EURO pro Kalenderjahr beihilfefähig sind. Die Beihilfeordnung der (Erz )Diözese … findet Anwendung.“</w:t>
      </w:r>
    </w:p>
    <w:p w:rsidR="00BE1EFE" w:rsidRDefault="00BE1EFE">
      <w:pPr>
        <w:pStyle w:val="StandardWeb"/>
      </w:pPr>
      <w:r>
        <w:rPr>
          <w:sz w:val="12"/>
          <w:szCs w:val="12"/>
        </w:rPr>
        <w:t xml:space="preserve">b) zusätzlich zu a) im Falle der Beendigung des Arbeitsverhältnisses wegen des Bezugs einer Rente wegen verminderter Erwerbsfähigkeit oder wegen Alters: </w:t>
      </w:r>
    </w:p>
    <w:p w:rsidR="00BE1EFE" w:rsidRDefault="00BE1EFE">
      <w:pPr>
        <w:pStyle w:val="StandardWeb"/>
      </w:pPr>
      <w:r>
        <w:rPr>
          <w:sz w:val="12"/>
          <w:szCs w:val="12"/>
        </w:rPr>
        <w:t xml:space="preserve">„Herr/Frau … hat auch im Falle der Beendigung des Arbeitsverhältnisses wegen des Bezugs einer Rente wegen verminderter Erwerbsfähigkeit oder wegen Alters Anspruch auf Beihilfen bei Krankheits-, Geburts- und Todesfällen wie ein privat krankenversicherter Arbeitnehmer des Freistaates Bayern mit Beitragszuschuss nach </w:t>
      </w:r>
      <w:hyperlink r:id="rId834" w:tgtFrame="_blank" w:history="1">
        <w:r>
          <w:rPr>
            <w:rStyle w:val="Hyperlink"/>
            <w:sz w:val="12"/>
            <w:szCs w:val="12"/>
          </w:rPr>
          <w:t>§ 257 SGB V</w:t>
        </w:r>
      </w:hyperlink>
      <w:r>
        <w:rPr>
          <w:sz w:val="12"/>
          <w:szCs w:val="12"/>
        </w:rPr>
        <w:t> mit der Maßgabe, dass Aufwendungen für stationäre Krankenhausbehandlung nicht beihilfefähig und sonstige Aufwendungen, soweit sie zustehende Leistungen aus der privaten Krankenversicherung übersteigen, nur bis zu einem Betrag von maximal 750,- EURO pro Kalenderjahr beihilfefähig sind. Die Beihilfeordnung der (Erz-)Diözese findet Anwendung.“</w:t>
      </w:r>
    </w:p>
    <w:p w:rsidR="00BE1EFE" w:rsidRDefault="00BE1EFE">
      <w:pPr>
        <w:pStyle w:val="StandardWeb"/>
      </w:pPr>
      <w:r>
        <w:rPr>
          <w:sz w:val="12"/>
          <w:szCs w:val="12"/>
        </w:rPr>
        <w:t xml:space="preserve">2. Gesetzlich krankenversicherte Lehrkräfte, bei denen der Schulträger gemäß Nr. 6 Absatz 6 oder 7 die Arbeitnehmerbei-träge zur gesetzlichen Rentenversicherung gemäß </w:t>
      </w:r>
      <w:hyperlink r:id="rId835" w:tgtFrame="_blank" w:history="1">
        <w:r>
          <w:rPr>
            <w:rStyle w:val="Hyperlink"/>
            <w:sz w:val="12"/>
            <w:szCs w:val="12"/>
          </w:rPr>
          <w:t>§ 168 SGB VI</w:t>
        </w:r>
      </w:hyperlink>
      <w:r>
        <w:rPr>
          <w:sz w:val="12"/>
          <w:szCs w:val="12"/>
        </w:rPr>
        <w:t xml:space="preserve"> übernimmt, erhalten Beihilfe nach dem Tarif 814 auch im Falle der Elternzeit und des Sonderurlaubs aus familienpolitischen Gründen sowie der Beendigung des Arbeitsverhältnisses wegen Bezuges einer Rente wegen verminderter Erwerbsfähigkeit oder wegen Alters.</w:t>
      </w:r>
    </w:p>
    <w:p w:rsidR="00BE1EFE" w:rsidRDefault="00BE1EFE" w:rsidP="007F0BC8">
      <w:pPr>
        <w:pStyle w:val="StandardWeb"/>
        <w:autoSpaceDE w:val="0"/>
        <w:rPr>
          <w:rStyle w:val="Fett"/>
          <w:bCs/>
        </w:rPr>
      </w:pPr>
      <w:r>
        <w:rPr>
          <w:rStyle w:val="Fett"/>
          <w:bCs/>
        </w:rPr>
        <w:br w:type="page"/>
      </w:r>
    </w:p>
    <w:p w:rsidR="00BE1EFE" w:rsidRDefault="00BE1EFE" w:rsidP="0054275E">
      <w:pPr>
        <w:pStyle w:val="StandardWeb"/>
        <w:autoSpaceDE w:val="0"/>
        <w:jc w:val="center"/>
        <w:rPr>
          <w:b/>
          <w:bCs/>
        </w:rPr>
      </w:pPr>
      <w:r>
        <w:rPr>
          <w:rStyle w:val="Fett"/>
          <w:bCs/>
        </w:rPr>
        <w:lastRenderedPageBreak/>
        <w:t>Auffangklausel</w:t>
      </w: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836" w:history="1">
        <w:r w:rsidRPr="002D1F1D">
          <w:rPr>
            <w:rStyle w:val="Hyperlink"/>
          </w:rPr>
          <w:t>§§ 3 Absatz 3</w:t>
        </w:r>
      </w:hyperlink>
      <w:r>
        <w:t xml:space="preserve">, </w:t>
      </w:r>
      <w:hyperlink r:id="rId837" w:history="1">
        <w:r w:rsidRPr="002D1F1D">
          <w:rPr>
            <w:rStyle w:val="Hyperlink"/>
          </w:rPr>
          <w:t>23 Absatz 2</w:t>
        </w:r>
      </w:hyperlink>
      <w:r>
        <w:t xml:space="preserve">, </w:t>
      </w:r>
      <w:hyperlink r:id="rId838" w:history="1">
        <w:r w:rsidRPr="002D1F1D">
          <w:rPr>
            <w:rStyle w:val="Hyperlink"/>
          </w:rPr>
          <w:t>29 Absatz 1 Buchstabe d</w:t>
        </w:r>
      </w:hyperlink>
      <w:r>
        <w:t xml:space="preserve">, </w:t>
      </w:r>
      <w:hyperlink r:id="rId839" w:history="1">
        <w:r w:rsidRPr="002D1F1D">
          <w:rPr>
            <w:rStyle w:val="Hyperlink"/>
          </w:rPr>
          <w:t>39</w:t>
        </w:r>
      </w:hyperlink>
      <w:r>
        <w:t xml:space="preserve">, </w:t>
      </w:r>
      <w:hyperlink r:id="rId840" w:history="1">
        <w:r w:rsidRPr="002D1F1D">
          <w:rPr>
            <w:rStyle w:val="Hyperlink"/>
          </w:rPr>
          <w:t>40</w:t>
        </w:r>
      </w:hyperlink>
      <w:r>
        <w:t xml:space="preserve"> und </w:t>
      </w:r>
      <w:hyperlink r:id="rId841"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rsidP="0099582B">
      <w:pPr>
        <w:pStyle w:val="StandardWeb"/>
      </w:pPr>
    </w:p>
    <w:p w:rsidR="00BE1EFE" w:rsidRPr="0099582B" w:rsidRDefault="00BE1EFE" w:rsidP="00585FBA">
      <w:pPr>
        <w:pStyle w:val="h7"/>
      </w:pPr>
      <w:bookmarkStart w:id="717" w:name="_Toc523926249"/>
      <w:r w:rsidRPr="0099582B">
        <w:t xml:space="preserve">Kapitel 2 - </w:t>
      </w:r>
      <w:r w:rsidRPr="00585FBA">
        <w:t>Sonderregelungen</w:t>
      </w:r>
      <w:r w:rsidRPr="0099582B">
        <w:t xml:space="preserve"> zu Teil B, 3.</w:t>
      </w:r>
      <w:bookmarkEnd w:id="717"/>
    </w:p>
    <w:p w:rsidR="00BE1EFE" w:rsidRPr="00B76821" w:rsidRDefault="00BE1EFE" w:rsidP="00B76821">
      <w:pPr>
        <w:pStyle w:val="h8"/>
        <w:keepNext w:val="0"/>
        <w:spacing w:before="0" w:after="0"/>
        <w:outlineLvl w:val="5"/>
        <w:rPr>
          <w:rStyle w:val="Fett"/>
          <w:bCs/>
          <w:sz w:val="2"/>
        </w:rPr>
      </w:pPr>
    </w:p>
    <w:p w:rsidR="00BE1EFE" w:rsidRPr="0099582B" w:rsidRDefault="00BE1EFE" w:rsidP="0054275E">
      <w:pPr>
        <w:pStyle w:val="StandardWeb"/>
        <w:autoSpaceDE w:val="0"/>
        <w:jc w:val="center"/>
        <w:rPr>
          <w:sz w:val="18"/>
          <w:szCs w:val="18"/>
        </w:rPr>
      </w:pPr>
      <w:r w:rsidRPr="0099582B">
        <w:rPr>
          <w:rStyle w:val="Fett"/>
          <w:bCs/>
          <w:sz w:val="18"/>
          <w:szCs w:val="18"/>
        </w:rPr>
        <w:t>Beschäftige, die die Altersgrenze erreicht haben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16</w:t>
      </w:r>
    </w:p>
    <w:p w:rsidR="00BE1EFE" w:rsidRDefault="00BE1EFE" w:rsidP="0003233B">
      <w:pPr>
        <w:pStyle w:val="StandardWeb"/>
        <w:autoSpaceDE w:val="0"/>
        <w:spacing w:after="240"/>
        <w:jc w:val="left"/>
      </w:pPr>
      <w:r>
        <w:rPr>
          <w:rStyle w:val="Fett"/>
          <w:b w:val="0"/>
          <w:i/>
          <w:iCs/>
        </w:rPr>
        <w:t>(aufgehoben durch Beschluss vom 16.07.2009 mit Inkraftsetzung zum 01.01.2010)</w:t>
      </w:r>
    </w:p>
    <w:p w:rsidR="00BE1EFE" w:rsidRDefault="00BE1EFE" w:rsidP="00585FBA">
      <w:pPr>
        <w:pStyle w:val="h7"/>
      </w:pPr>
      <w:bookmarkStart w:id="718" w:name="_Toc523926250"/>
      <w:r>
        <w:t xml:space="preserve">Kapitel 3 - Sonderregelungen </w:t>
      </w:r>
      <w:r w:rsidRPr="00585FBA">
        <w:t>zu</w:t>
      </w:r>
      <w:r>
        <w:t xml:space="preserve"> Teil D, 5.</w:t>
      </w:r>
      <w:bookmarkEnd w:id="718"/>
    </w:p>
    <w:p w:rsidR="00BE1EFE" w:rsidRPr="00B76821" w:rsidRDefault="00BE1EFE" w:rsidP="00B76821">
      <w:pPr>
        <w:pStyle w:val="h8"/>
        <w:keepNext w:val="0"/>
        <w:spacing w:before="0" w:after="0"/>
        <w:outlineLvl w:val="5"/>
        <w:rPr>
          <w:sz w:val="2"/>
        </w:rPr>
      </w:pPr>
    </w:p>
    <w:p w:rsidR="00BE1EFE" w:rsidRDefault="00BE1EFE" w:rsidP="004D127E">
      <w:pPr>
        <w:pStyle w:val="StandardWeb"/>
        <w:jc w:val="center"/>
      </w:pPr>
    </w:p>
    <w:p w:rsidR="00BE1EFE" w:rsidRDefault="00BE1EFE" w:rsidP="0054275E">
      <w:pPr>
        <w:pStyle w:val="StandardWeb"/>
        <w:autoSpaceDE w:val="0"/>
        <w:jc w:val="center"/>
      </w:pPr>
      <w:r>
        <w:rPr>
          <w:rStyle w:val="Fett"/>
          <w:bCs/>
        </w:rPr>
        <w:t>Sabbatjahrregelung</w:t>
      </w:r>
    </w:p>
    <w:p w:rsidR="00BE1EFE" w:rsidRPr="00781266" w:rsidRDefault="00BE1EFE">
      <w:pPr>
        <w:pStyle w:val="StandardWeb"/>
        <w:jc w:val="center"/>
        <w:rPr>
          <w:sz w:val="14"/>
          <w:szCs w:val="14"/>
        </w:rP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Zu § 1 Teil D, 5. - Geltungsbereich -</w:t>
      </w:r>
    </w:p>
    <w:p w:rsidR="00BE1EFE" w:rsidRPr="00781266" w:rsidRDefault="00BE1EFE">
      <w:pPr>
        <w:pStyle w:val="StandardWeb"/>
        <w:jc w:val="center"/>
        <w:rPr>
          <w:sz w:val="14"/>
          <w:szCs w:val="14"/>
        </w:rPr>
      </w:pPr>
    </w:p>
    <w:p w:rsidR="00BE1EFE" w:rsidRDefault="00BE1EFE">
      <w:pPr>
        <w:pStyle w:val="StandardWeb"/>
      </w:pPr>
      <w:r>
        <w:rPr>
          <w:rStyle w:val="kleinschrift"/>
        </w:rPr>
        <w:t>1</w:t>
      </w:r>
      <w:r>
        <w:t xml:space="preserve">Teil D, 5. „Sabbatjahrregelung“ findet keine Anwendung. </w:t>
      </w:r>
      <w:r>
        <w:rPr>
          <w:rStyle w:val="kleinschrift"/>
        </w:rPr>
        <w:t>2</w:t>
      </w:r>
      <w:r>
        <w:t>Es gelten anstelle dieser Regelung die Bestimmungen für die entsprechenden arbeitsvertraglich beschäftigten Lehrkräfte des Freistaates Bayern.</w:t>
      </w:r>
    </w:p>
    <w:p w:rsidR="00BE1EFE" w:rsidRDefault="00BE1EFE" w:rsidP="001B1FC9">
      <w:pPr>
        <w:pStyle w:val="h7"/>
      </w:pPr>
      <w:bookmarkStart w:id="719" w:name="_Toc523926251"/>
      <w:r>
        <w:t xml:space="preserve">Nr. 18 - </w:t>
      </w:r>
      <w:r w:rsidRPr="001B1FC9">
        <w:rPr>
          <w:rStyle w:val="Fett"/>
          <w:b/>
          <w:bCs/>
        </w:rPr>
        <w:t>Geltung</w:t>
      </w:r>
      <w:bookmarkEnd w:id="719"/>
      <w:r>
        <w:rPr>
          <w:rStyle w:val="Fett"/>
          <w:bCs/>
        </w:rPr>
        <w:t xml:space="preserve"> </w:t>
      </w:r>
    </w:p>
    <w:p w:rsidR="00BE1EFE" w:rsidRPr="00B76821" w:rsidRDefault="00BE1EFE" w:rsidP="00B76821">
      <w:pPr>
        <w:pStyle w:val="h8"/>
        <w:keepNext w:val="0"/>
        <w:spacing w:before="0" w:after="0"/>
        <w:outlineLvl w:val="5"/>
        <w:rPr>
          <w:sz w:val="2"/>
        </w:rPr>
      </w:pPr>
    </w:p>
    <w:p w:rsidR="00BE1EFE" w:rsidRPr="00781266" w:rsidRDefault="00BE1EFE">
      <w:pPr>
        <w:pStyle w:val="StandardWeb"/>
        <w:jc w:val="center"/>
        <w:rPr>
          <w:sz w:val="14"/>
          <w:szCs w:val="14"/>
        </w:rPr>
      </w:pPr>
    </w:p>
    <w:p w:rsidR="00BE1EFE" w:rsidRDefault="00BE1EFE">
      <w:pPr>
        <w:pStyle w:val="StandardWeb"/>
      </w:pPr>
      <w:r>
        <w:t>(1) </w:t>
      </w:r>
      <w:r>
        <w:rPr>
          <w:rStyle w:val="kleinschrift"/>
        </w:rPr>
        <w:t>1</w:t>
      </w:r>
      <w:r>
        <w:t xml:space="preserve">Nr. 6 Absatz 7 und 8 gelten nur für Lehrkräfte, die Entgelt nach der Besoldungsordnung A erhalten. </w:t>
      </w:r>
      <w:r>
        <w:rPr>
          <w:rStyle w:val="kleinschrift"/>
        </w:rPr>
        <w:t>2</w:t>
      </w:r>
      <w:r>
        <w:t xml:space="preserve">Wenn bei anderen Lehrkräften die Arbeitnehmerbeiträge des </w:t>
      </w:r>
      <w:hyperlink r:id="rId842" w:tgtFrame="_blank" w:history="1">
        <w:r>
          <w:rPr>
            <w:rStyle w:val="Hyperlink"/>
          </w:rPr>
          <w:t>§ 346 SGB III</w:t>
        </w:r>
      </w:hyperlink>
      <w:r>
        <w:t> (sog. Arbeitslosenversicherung) übernommen wurden oder nach Nr. 15 Absatz 4 der Sonder</w:t>
      </w:r>
      <w:r>
        <w:softHyphen/>
        <w:t>regelungen für Angestellte als Lehrkräfte an Schulen in kirchlicher Trägerschaft in der bis zum 31.10.2006 geltenden Fassung hätten übernommen werden müssen, verbleibt es dabei.</w:t>
      </w:r>
    </w:p>
    <w:p w:rsidR="00BE1EFE" w:rsidRDefault="00BE1EFE">
      <w:pPr>
        <w:pStyle w:val="StandardWeb"/>
      </w:pPr>
    </w:p>
    <w:p w:rsidR="00BE1EFE" w:rsidRPr="00782A3A" w:rsidRDefault="00BE1EFE">
      <w:pPr>
        <w:pStyle w:val="StandardWeb"/>
        <w:rPr>
          <w:sz w:val="2"/>
          <w:szCs w:val="2"/>
        </w:rPr>
      </w:pPr>
      <w:r>
        <w:t xml:space="preserve">(2) Für am 30.04.2000 bestehende Arbeitsverträge gilt im Verhältnis zu kollektivrechtlichen Regelungen das Günstigkeitsprinzip in entsprechender Anwendung von </w:t>
      </w:r>
      <w:hyperlink r:id="rId843" w:tgtFrame="_blank" w:history="1">
        <w:r>
          <w:rPr>
            <w:rStyle w:val="Hyperlink"/>
          </w:rPr>
          <w:t>§ 4 Absatz 3 des Tarifvertragsgesetzes</w:t>
        </w:r>
      </w:hyperlink>
      <w:r>
        <w:t>.</w:t>
      </w:r>
      <w:r>
        <w:br w:type="page"/>
      </w:r>
    </w:p>
    <w:p w:rsidR="00BE1EFE" w:rsidRDefault="00BE1EFE" w:rsidP="00E87479">
      <w:pPr>
        <w:pStyle w:val="berschrift6"/>
        <w:spacing w:before="0" w:after="0"/>
      </w:pPr>
      <w:bookmarkStart w:id="720" w:name="_Toc523926252"/>
      <w:r>
        <w:lastRenderedPageBreak/>
        <w:t>B, 4.1.2. Sonderregelungen für die Arbeitsverhältnisse von Lehrkräften an beruflichen Schulen</w:t>
      </w:r>
      <w:bookmarkEnd w:id="720"/>
    </w:p>
    <w:p w:rsidR="00BE1EFE" w:rsidRDefault="00BE1EFE" w:rsidP="00FB6E9A">
      <w:pPr>
        <w:pStyle w:val="Leerzeile"/>
      </w:pPr>
    </w:p>
    <w:p w:rsidR="00BE1EFE" w:rsidRPr="000B1AF8" w:rsidRDefault="00BE1EFE" w:rsidP="00585FBA">
      <w:pPr>
        <w:pStyle w:val="h7"/>
      </w:pPr>
      <w:bookmarkStart w:id="721" w:name="_Toc523926253"/>
      <w:r>
        <w:t>Kapitel 1 - Sonderregelungen zu Teil A, 1.</w:t>
      </w:r>
      <w:bookmarkEnd w:id="721"/>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 xml:space="preserve">Allgemeine Vorschriften </w:t>
      </w:r>
    </w:p>
    <w:p w:rsidR="00BE1EFE" w:rsidRPr="00781266" w:rsidRDefault="00BE1EFE">
      <w:pPr>
        <w:pStyle w:val="StandardWeb"/>
        <w:jc w:val="center"/>
        <w:rPr>
          <w:sz w:val="14"/>
          <w:szCs w:val="14"/>
        </w:rP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 xml:space="preserve">Zu </w:t>
      </w:r>
      <w:hyperlink r:id="rId844" w:history="1">
        <w:r w:rsidRPr="002D1F1D">
          <w:rPr>
            <w:rStyle w:val="Hyperlink"/>
          </w:rPr>
          <w:t>§ 1 Teil A, 1.</w:t>
        </w:r>
      </w:hyperlink>
      <w:r>
        <w:rPr>
          <w:rStyle w:val="Fett"/>
          <w:bCs/>
        </w:rPr>
        <w:t xml:space="preserve"> - Allgemeiner Geltungsbereich -</w:t>
      </w:r>
    </w:p>
    <w:p w:rsidR="00BE1EFE" w:rsidRDefault="00BE1EFE">
      <w:pPr>
        <w:pStyle w:val="StandardWeb"/>
      </w:pPr>
      <w:r>
        <w:rPr>
          <w:rStyle w:val="kleinschrift"/>
        </w:rPr>
        <w:t>1</w:t>
      </w:r>
      <w:r>
        <w:t xml:space="preserve">Diese Sonderregelungen gelten für Lehrkräfte an beruflichen Schulen mit Ausnahme der Berufsschulen. </w:t>
      </w:r>
      <w:r>
        <w:rPr>
          <w:rStyle w:val="kleinschrift"/>
        </w:rPr>
        <w:t>2</w:t>
      </w:r>
      <w:r>
        <w:t>Die Lehrerdienstordnung für katholische Schulen in freier Trägerschaft in Bayern (KLDO) in ihrer jeweiligen Fassung ist Bestandteil des Arbeitsverhältnisses.</w:t>
      </w:r>
    </w:p>
    <w:p w:rsidR="00BE1EFE" w:rsidRDefault="00BE1EFE">
      <w:pPr>
        <w:pStyle w:val="StandardWeb"/>
      </w:pPr>
      <w:r>
        <w:rPr>
          <w:sz w:val="12"/>
          <w:szCs w:val="12"/>
        </w:rPr>
        <w:t>Erläuterung:</w:t>
      </w:r>
    </w:p>
    <w:p w:rsidR="00BE1EFE" w:rsidRDefault="00BE1EFE">
      <w:pPr>
        <w:pStyle w:val="StandardWeb"/>
      </w:pPr>
      <w:r>
        <w:rPr>
          <w:sz w:val="12"/>
          <w:szCs w:val="12"/>
        </w:rPr>
        <w:t>1Lehrkräfte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pPr>
        <w:pStyle w:val="StandardWeb"/>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 xml:space="preserve">Zu </w:t>
      </w:r>
      <w:hyperlink r:id="rId845" w:history="1">
        <w:r w:rsidRPr="002D1F1D">
          <w:rPr>
            <w:rStyle w:val="Hyperlink"/>
          </w:rPr>
          <w:t>§ 3 Teil A, 1.</w:t>
        </w:r>
      </w:hyperlink>
      <w:r>
        <w:rPr>
          <w:rStyle w:val="Fett"/>
          <w:bCs/>
        </w:rPr>
        <w:t xml:space="preserve">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846"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 xml:space="preserve">Zu </w:t>
      </w:r>
      <w:hyperlink r:id="rId847" w:history="1">
        <w:r w:rsidRPr="002D1F1D">
          <w:rPr>
            <w:rStyle w:val="Hyperlink"/>
          </w:rPr>
          <w:t>§§ 5</w:t>
        </w:r>
      </w:hyperlink>
      <w:r>
        <w:rPr>
          <w:rStyle w:val="Fett"/>
          <w:bCs/>
        </w:rPr>
        <w:t xml:space="preserve"> und </w:t>
      </w:r>
      <w:hyperlink r:id="rId848" w:history="1">
        <w:r>
          <w:rPr>
            <w:rStyle w:val="Hyperlink"/>
          </w:rPr>
          <w:t>5</w:t>
        </w:r>
        <w:r w:rsidRPr="002D1F1D">
          <w:rPr>
            <w:rStyle w:val="Hyperlink"/>
          </w:rPr>
          <w:t>a Teil A, 1.</w:t>
        </w:r>
      </w:hyperlink>
      <w:r>
        <w:rPr>
          <w:rStyle w:val="Fett"/>
          <w:bCs/>
        </w:rPr>
        <w:t xml:space="preserve">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 xml:space="preserve">Dabei finden die </w:t>
      </w:r>
      <w:hyperlink r:id="rId849" w:history="1">
        <w:r w:rsidRPr="002D1F1D">
          <w:rPr>
            <w:rStyle w:val="Hyperlink"/>
          </w:rPr>
          <w:t>§§ 5</w:t>
        </w:r>
      </w:hyperlink>
      <w:r>
        <w:t xml:space="preserve">, </w:t>
      </w:r>
      <w:hyperlink r:id="rId850" w:history="1">
        <w:r>
          <w:rPr>
            <w:rStyle w:val="Hyperlink"/>
          </w:rPr>
          <w:t>5</w:t>
        </w:r>
        <w:r w:rsidRPr="002D1F1D">
          <w:rPr>
            <w:rStyle w:val="Hyperlink"/>
          </w:rPr>
          <w:t>a Teil A, 1.</w:t>
        </w:r>
      </w:hyperlink>
      <w:r>
        <w:t xml:space="preserve"> entsprechende Anwendung.</w:t>
      </w:r>
      <w:r>
        <w:br w:type="page"/>
      </w:r>
    </w:p>
    <w:p w:rsidR="00BE1EFE" w:rsidRDefault="00BE1EFE" w:rsidP="0054275E">
      <w:pPr>
        <w:pStyle w:val="StandardWeb"/>
        <w:autoSpaceDE w:val="0"/>
        <w:jc w:val="center"/>
        <w:rPr>
          <w:b/>
          <w:bCs/>
        </w:rPr>
      </w:pPr>
      <w:r>
        <w:rPr>
          <w:rStyle w:val="Fett"/>
          <w:bCs/>
        </w:rPr>
        <w:lastRenderedPageBreak/>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rsidP="00BC6BD2">
      <w:pPr>
        <w:pStyle w:val="StandardWeb"/>
      </w:pPr>
      <w:r>
        <w:t xml:space="preserve">(1) Die </w:t>
      </w:r>
      <w:hyperlink r:id="rId851" w:history="1">
        <w:r w:rsidRPr="002D1F1D">
          <w:rPr>
            <w:rStyle w:val="Hyperlink"/>
          </w:rPr>
          <w:t>§§ 6</w:t>
        </w:r>
      </w:hyperlink>
      <w:r>
        <w:t xml:space="preserve">, </w:t>
      </w:r>
      <w:hyperlink r:id="rId852" w:history="1">
        <w:r w:rsidRPr="00A7358F">
          <w:rPr>
            <w:rStyle w:val="Hyperlink"/>
          </w:rPr>
          <w:t>7,</w:t>
        </w:r>
      </w:hyperlink>
      <w:r>
        <w:t xml:space="preserve"> </w:t>
      </w:r>
      <w:hyperlink r:id="rId853" w:history="1">
        <w:r w:rsidRPr="002D1F1D">
          <w:rPr>
            <w:rStyle w:val="Hyperlink"/>
          </w:rPr>
          <w:t>8</w:t>
        </w:r>
      </w:hyperlink>
      <w:r>
        <w:t xml:space="preserve">, </w:t>
      </w:r>
      <w:hyperlink r:id="rId854" w:history="1">
        <w:r w:rsidRPr="00A7358F">
          <w:rPr>
            <w:rStyle w:val="Hyperlink"/>
          </w:rPr>
          <w:t>9,</w:t>
        </w:r>
      </w:hyperlink>
      <w:r>
        <w:t xml:space="preserve"> </w:t>
      </w:r>
      <w:hyperlink r:id="rId855" w:history="1">
        <w:r w:rsidRPr="002D1F1D">
          <w:rPr>
            <w:rStyle w:val="Hyperlink"/>
          </w:rPr>
          <w:t>10</w:t>
        </w:r>
      </w:hyperlink>
      <w:r>
        <w:t xml:space="preserve">, </w:t>
      </w:r>
      <w:hyperlink r:id="rId856" w:history="1">
        <w:r w:rsidRPr="00A7358F">
          <w:rPr>
            <w:rStyle w:val="Hyperlink"/>
          </w:rPr>
          <w:t>11,</w:t>
        </w:r>
      </w:hyperlink>
      <w:r>
        <w:t xml:space="preserve"> </w:t>
      </w:r>
      <w:hyperlink r:id="rId857" w:history="1">
        <w:r>
          <w:rPr>
            <w:rStyle w:val="Hyperlink"/>
          </w:rPr>
          <w:t>11</w:t>
        </w:r>
        <w:r w:rsidRPr="00A7358F">
          <w:rPr>
            <w:rStyle w:val="Hyperlink"/>
          </w:rPr>
          <w:t>a,</w:t>
        </w:r>
      </w:hyperlink>
      <w:r>
        <w:t xml:space="preserve"> </w:t>
      </w:r>
      <w:hyperlink r:id="rId858" w:history="1">
        <w:r>
          <w:rPr>
            <w:rStyle w:val="Hyperlink"/>
          </w:rPr>
          <w:t>11</w:t>
        </w:r>
        <w:r w:rsidRPr="002D1F1D">
          <w:rPr>
            <w:rStyle w:val="Hyperlink"/>
          </w:rPr>
          <w:t>b</w:t>
        </w:r>
      </w:hyperlink>
      <w:r>
        <w:t xml:space="preserve"> und </w:t>
      </w:r>
      <w:hyperlink r:id="rId859"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Lehrkräfte des Freistaates Bayern an beruflichen Schulen. </w:t>
      </w:r>
      <w:r>
        <w:rPr>
          <w:rStyle w:val="kleinschrift"/>
        </w:rPr>
        <w:t>2</w:t>
      </w:r>
      <w:r>
        <w:t xml:space="preserve">Bei der Errichtung eines freiwilligen Arbeitszeitkontos findet </w:t>
      </w:r>
      <w:hyperlink r:id="rId860" w:history="1">
        <w:r w:rsidRPr="002D1F1D">
          <w:rPr>
            <w:rStyle w:val="Hyperlink"/>
          </w:rPr>
          <w:t>§ 6 Absatz 4 Teil D, 4.</w:t>
        </w:r>
      </w:hyperlink>
      <w:r>
        <w:t xml:space="preserve"> entsprechende Anwendung. </w:t>
      </w:r>
      <w:r>
        <w:rPr>
          <w:rStyle w:val="kleinschrift"/>
        </w:rPr>
        <w:t>3</w:t>
      </w:r>
      <w:r>
        <w:t>Die Errichtung eines verpflichtenden Arbeits</w:t>
      </w:r>
      <w:r>
        <w:softHyphen/>
        <w:t>zeitkontos richtet sich nach den Vorschriften für die entsprechenden arbeitsvertraglich beschäftigten Lehrkräfte des Freistaats Bayern.</w:t>
      </w:r>
    </w:p>
    <w:p w:rsidR="00BE1EFE" w:rsidRDefault="00BE1EFE">
      <w:pPr>
        <w:pStyle w:val="StandardWeb"/>
      </w:pPr>
      <w:r>
        <w:rPr>
          <w:sz w:val="12"/>
          <w:szCs w:val="12"/>
        </w:rPr>
        <w:t>Protokollnotiz zu Absatz 2 Satz 2:</w:t>
      </w:r>
    </w:p>
    <w:p w:rsidR="00BE1EFE" w:rsidRDefault="00BE1EFE">
      <w:pPr>
        <w:pStyle w:val="StandardWeb"/>
        <w:rPr>
          <w:sz w:val="12"/>
          <w:szCs w:val="12"/>
        </w:rPr>
      </w:pPr>
      <w:r>
        <w:rPr>
          <w:sz w:val="12"/>
          <w:szCs w:val="12"/>
        </w:rPr>
        <w:t xml:space="preserve">Anstelle der in </w:t>
      </w:r>
      <w:hyperlink r:id="rId861" w:history="1">
        <w:r w:rsidRPr="002D1F1D">
          <w:rPr>
            <w:rStyle w:val="Hyperlink"/>
            <w:sz w:val="12"/>
            <w:szCs w:val="12"/>
          </w:rPr>
          <w:t>§ 6 Absatz 4 Teil D, 4. (Arbeitszeitkontenregelung)</w:t>
        </w:r>
      </w:hyperlink>
      <w:r>
        <w:rPr>
          <w:sz w:val="12"/>
          <w:szCs w:val="12"/>
        </w:rPr>
        <w:t>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w:t>
      </w:r>
      <w:r>
        <w:softHyphen/>
        <w:t>chend von Satz 1 erhalten Lehrkräfte in Altersteilzeit die ihrer tatsächlichen Beschäftigung entsprechende Altersermäßigung.</w:t>
      </w:r>
    </w:p>
    <w:p w:rsidR="00BE1EFE" w:rsidRDefault="00BE1EFE">
      <w:pPr>
        <w:pStyle w:val="StandardWeb"/>
      </w:pP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sidRPr="0003233B">
        <w:rPr>
          <w:rStyle w:val="kleinschrift1"/>
          <w:sz w:val="16"/>
          <w:szCs w:val="16"/>
          <w:vertAlign w:val="superscript"/>
        </w:rPr>
        <w:t>1</w:t>
      </w:r>
      <w:r>
        <w:t xml:space="preserve">. </w:t>
      </w:r>
      <w:r>
        <w:rPr>
          <w:rStyle w:val="kleinschrift"/>
        </w:rPr>
        <w:t>2</w:t>
      </w:r>
      <w:r>
        <w:t>Davon ausgenom</w:t>
      </w:r>
      <w:r>
        <w:softHyphen/>
        <w:t xml:space="preserve">men sind Lehrkräfte, bei denen die Voraussetzungen des </w:t>
      </w:r>
      <w:hyperlink r:id="rId862" w:history="1">
        <w:r w:rsidRPr="002D1F1D">
          <w:rPr>
            <w:rStyle w:val="Hyperlink"/>
          </w:rPr>
          <w:t>§ 34 Absatz 2 Teil A, 1.</w:t>
        </w:r>
      </w:hyperlink>
      <w:r>
        <w:t xml:space="preserve"> vorliegen. </w:t>
      </w:r>
      <w:r>
        <w:rPr>
          <w:rStyle w:val="kleinschrift"/>
        </w:rPr>
        <w:t>3</w:t>
      </w:r>
      <w:r>
        <w:t>Die Auswahl hat soziale Gesichtspunkte entsprechend § 1 Absatz 3 Sätze 1, 2 des Kündi</w:t>
      </w:r>
      <w:r>
        <w:softHyphen/>
        <w:t>gungsschutzgesetzes zu berücksichtigen.</w:t>
      </w:r>
    </w:p>
    <w:p w:rsidR="00BE1EFE" w:rsidRDefault="00BE1EFE">
      <w:pPr>
        <w:pStyle w:val="StandardWeb"/>
      </w:pPr>
      <w:r w:rsidRPr="0003233B">
        <w:rPr>
          <w:rStyle w:val="kleinschrift1"/>
          <w:vertAlign w:val="superscript"/>
        </w:rPr>
        <w:t>1</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rPr>
          <w:sz w:val="12"/>
          <w:szCs w:val="12"/>
        </w:rPr>
      </w:pPr>
    </w:p>
    <w:p w:rsidR="00BE1EFE" w:rsidRDefault="00BE1EFE">
      <w:pPr>
        <w:pStyle w:val="StandardWeb"/>
      </w:pPr>
      <w:r>
        <w:rPr>
          <w:sz w:val="12"/>
          <w:szCs w:val="12"/>
        </w:rPr>
        <w:t xml:space="preserve">Anmerkung: </w:t>
      </w:r>
      <w:r>
        <w:rPr>
          <w:sz w:val="12"/>
          <w:szCs w:val="12"/>
        </w:rPr>
        <w:br/>
        <w:t xml:space="preserve">Es bestehen keine Einwände gegen die Anwendung der staatlichen Regelungen bei der Mehr- oder Minderarbeit. Eine </w:t>
      </w:r>
      <w:r>
        <w:rPr>
          <w:sz w:val="12"/>
          <w:szCs w:val="12"/>
        </w:rPr>
        <w:lastRenderedPageBreak/>
        <w:t xml:space="preserve">entsprechende Fixierung mit den betroffenen Lehrkräften im Rahmen der staatlichen Vorgaben wird nahegelegt. Der Abbau der Mehrarbeitsstunden erfolgt im Sinne der </w:t>
      </w:r>
      <w:hyperlink r:id="rId863" w:history="1">
        <w:r w:rsidRPr="002D1F1D">
          <w:rPr>
            <w:rStyle w:val="Hyperlink"/>
            <w:sz w:val="12"/>
            <w:szCs w:val="12"/>
          </w:rPr>
          <w:t>Arbeitszeitkontenregelung des Teil D, 4.</w:t>
        </w:r>
      </w:hyperlink>
    </w:p>
    <w:p w:rsidR="00BE1EFE" w:rsidRDefault="00BE1EFE">
      <w:pPr>
        <w:pStyle w:val="StandardWeb"/>
      </w:pPr>
    </w:p>
    <w:p w:rsidR="00BE1EFE" w:rsidRDefault="00BE1EFE" w:rsidP="0054275E">
      <w:pPr>
        <w:pStyle w:val="StandardWeb"/>
        <w:autoSpaceDE w:val="0"/>
        <w:jc w:val="center"/>
        <w:rPr>
          <w:b/>
          <w:bCs/>
        </w:rPr>
      </w:pPr>
      <w:r>
        <w:rPr>
          <w:rStyle w:val="Fett"/>
          <w:bCs/>
        </w:rPr>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Zu §§ 12 bis 14 Teil A, 1. - Eingruppierung, Eingruppierung in besonderen Fällen, Anmerkung zu §§ 12,13,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864"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865" w:history="1">
        <w:r w:rsidRPr="002D1F1D">
          <w:rPr>
            <w:rStyle w:val="Hyperlink"/>
          </w:rPr>
          <w:t>Anlage A</w:t>
        </w:r>
      </w:hyperlink>
      <w:r>
        <w:t xml:space="preserve">, hilfsweise gemäß </w:t>
      </w:r>
      <w:hyperlink r:id="rId866" w:history="1">
        <w:r w:rsidRPr="002D1F1D">
          <w:rPr>
            <w:rStyle w:val="Hyperlink"/>
          </w:rPr>
          <w:t>Anlage B</w:t>
        </w:r>
      </w:hyperlink>
      <w:r>
        <w:t xml:space="preserve">. </w:t>
      </w:r>
      <w:r>
        <w:rPr>
          <w:rStyle w:val="kleinschrift"/>
        </w:rPr>
        <w:t>2</w:t>
      </w:r>
      <w:r>
        <w:t xml:space="preserve">Für die Erfüllung der Bewährungszeit findet </w:t>
      </w:r>
      <w:hyperlink r:id="rId867"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Default="00BE1EFE">
      <w:pPr>
        <w:pStyle w:val="StandardWeb"/>
      </w:pPr>
      <w:r>
        <w:t>(5) </w:t>
      </w:r>
      <w:r>
        <w:rPr>
          <w:rStyle w:val="kleinschrift"/>
        </w:rPr>
        <w:t>1</w:t>
      </w:r>
      <w:r>
        <w:t xml:space="preserve">Für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 xml:space="preserve">jahres bei der Schulleitung eingegangen sein muss, verzichten; dies gilt nicht für Schulleite-rinnen und Schulleiter. </w:t>
      </w:r>
      <w:r>
        <w:rPr>
          <w:rStyle w:val="kleinschrift"/>
        </w:rPr>
        <w:t>3</w:t>
      </w:r>
      <w:r>
        <w:t xml:space="preserve">Der Verzicht auf die Beurteilungen beinhaltet den Verzicht auf die Leistungsfeststellungen nach Nr. 6 Absatz 4 Satz 2 in Verbindung mit </w:t>
      </w:r>
      <w:hyperlink r:id="rId868" w:tgtFrame="_blank" w:history="1">
        <w:r>
          <w:rPr>
            <w:rStyle w:val="Hyperlink"/>
          </w:rPr>
          <w:t>Art. 62 Absatz 1 LlbG</w:t>
        </w:r>
      </w:hyperlink>
      <w:r>
        <w:t xml:space="preserve">. </w:t>
      </w:r>
      <w:r>
        <w:rPr>
          <w:rStyle w:val="kleinschrift"/>
        </w:rPr>
        <w:t>4</w:t>
      </w:r>
      <w:r>
        <w:t>Er ist unwiderruflich und gilt vorbehaltlich Satz 5 bis zur Beendigung des Arbeitsverhältnis</w:t>
      </w:r>
      <w:r>
        <w:softHyphen/>
        <w:t xml:space="preserve">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869" w:tgtFrame="_blank" w:history="1">
        <w:r>
          <w:rPr>
            <w:rStyle w:val="Hyperlink"/>
          </w:rPr>
          <w:t>Art. 30 Absatz 2 BayBesG</w:t>
        </w:r>
      </w:hyperlink>
      <w:r>
        <w:t xml:space="preserve">, keine Möglichkeit der Vergabe einer Leistungsstufe Nr. 6 Absatz 4 Satz 1 in Verbindung mit </w:t>
      </w:r>
      <w:hyperlink r:id="rId870"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pPr>
    </w:p>
    <w:p w:rsidR="00BE1EFE" w:rsidRPr="007528C0" w:rsidRDefault="00BE1EFE" w:rsidP="007528C0">
      <w:pPr>
        <w:pStyle w:val="StandardWeb"/>
        <w:jc w:val="center"/>
        <w:rPr>
          <w:b/>
        </w:rPr>
      </w:pPr>
      <w:r w:rsidRPr="007528C0">
        <w:rPr>
          <w:b/>
        </w:rPr>
        <w:t>Nr. 5 a</w:t>
      </w:r>
    </w:p>
    <w:p w:rsidR="00BE1EFE" w:rsidRPr="007528C0" w:rsidRDefault="00BE1EFE" w:rsidP="007528C0">
      <w:pPr>
        <w:pStyle w:val="StandardWeb"/>
        <w:jc w:val="center"/>
        <w:rPr>
          <w:b/>
        </w:rPr>
      </w:pPr>
      <w:r w:rsidRPr="007528C0">
        <w:rPr>
          <w:b/>
        </w:rPr>
        <w:t>Lehrkräfte mit Führungsaufgaben</w:t>
      </w:r>
    </w:p>
    <w:p w:rsidR="00BE1EFE" w:rsidRDefault="00BE1EFE" w:rsidP="007528C0">
      <w:pPr>
        <w:pStyle w:val="StandardWeb"/>
      </w:pPr>
    </w:p>
    <w:p w:rsidR="00BE1EFE" w:rsidRDefault="00BE1EFE" w:rsidP="007528C0">
      <w:pPr>
        <w:pStyle w:val="StandardWeb"/>
      </w:pPr>
      <w:r>
        <w:t>(1) </w:t>
      </w:r>
      <w:r w:rsidRPr="007528C0">
        <w:rPr>
          <w:sz w:val="12"/>
          <w:szCs w:val="12"/>
        </w:rPr>
        <w:t>1</w:t>
      </w:r>
      <w:r>
        <w:t xml:space="preserve">Die Übertragung von Führungsaufgaben mit Weisungsbefugnis (Führungsaufgaben) erfolgt zunächst befristet für eine Bewährungszeit von drei Jahren. </w:t>
      </w:r>
      <w:r w:rsidRPr="007528C0">
        <w:rPr>
          <w:sz w:val="12"/>
          <w:szCs w:val="12"/>
        </w:rPr>
        <w:t>2</w:t>
      </w:r>
      <w:r w:rsidRPr="00D516B5">
        <w:rPr>
          <w:szCs w:val="16"/>
        </w:rPr>
        <w:t xml:space="preserve">Zum Ende dieses Zeitraums überprüft und bewertet die Schulleiterin/der Schulleiter im Einvernehmen mit dem Schulträger die Wahrnehmung der Führungsaufgaben anhand der </w:t>
      </w:r>
      <w:hyperlink r:id="rId871" w:history="1">
        <w:r w:rsidRPr="001E2DB3">
          <w:rPr>
            <w:rStyle w:val="Hyperlink"/>
            <w:szCs w:val="16"/>
          </w:rPr>
          <w:t>Ziffern 6 und 7 der Anlage D Abschnitt A 2.2.1</w:t>
        </w:r>
      </w:hyperlink>
      <w:r w:rsidRPr="001E2DB3">
        <w:rPr>
          <w:szCs w:val="16"/>
        </w:rPr>
        <w:t xml:space="preserve"> (Bewährungsfeststellung nach Anlage D Abschnitt A 4.5.2).</w:t>
      </w:r>
      <w:r w:rsidR="005F75CA">
        <w:rPr>
          <w:sz w:val="12"/>
          <w:szCs w:val="12"/>
        </w:rPr>
        <w:t xml:space="preserve"> </w:t>
      </w:r>
      <w:r>
        <w:rPr>
          <w:sz w:val="12"/>
          <w:szCs w:val="12"/>
        </w:rPr>
        <w:t>3</w:t>
      </w:r>
      <w:r>
        <w:t xml:space="preserve">Wenn die </w:t>
      </w:r>
      <w:r w:rsidRPr="00D516B5">
        <w:lastRenderedPageBreak/>
        <w:t>Lehrkraft dabei mindestens die Bewertung „Leistung, die die Anforderungen übersteigt – UB“ erreicht und sie während der Bewährungszeit an Maßnahmen der Qualifizierung teilgenommen hat, welche die für die Wahrnehmung von Führungsaufgaben erforderlichen Kenntnisse vermitteln, werden die Führung</w:t>
      </w:r>
      <w:r>
        <w:t>saufgaben auf Dauer übertragen.</w:t>
      </w:r>
    </w:p>
    <w:p w:rsidR="00BE1EFE" w:rsidRPr="007528C0" w:rsidRDefault="00BE1EFE" w:rsidP="007528C0">
      <w:pPr>
        <w:pStyle w:val="StandardWeb"/>
        <w:rPr>
          <w:sz w:val="12"/>
          <w:szCs w:val="12"/>
        </w:rPr>
      </w:pPr>
      <w:r w:rsidRPr="007528C0">
        <w:rPr>
          <w:sz w:val="12"/>
          <w:szCs w:val="12"/>
        </w:rPr>
        <w:t>P</w:t>
      </w:r>
      <w:r>
        <w:rPr>
          <w:sz w:val="12"/>
          <w:szCs w:val="12"/>
        </w:rPr>
        <w:t>rotokollnotiz zu Absatz 1 Satz 3</w:t>
      </w:r>
      <w:r w:rsidRPr="007528C0">
        <w:rPr>
          <w:sz w:val="12"/>
          <w:szCs w:val="12"/>
        </w:rPr>
        <w:t>:</w:t>
      </w:r>
    </w:p>
    <w:p w:rsidR="00BE1EFE" w:rsidRPr="007528C0" w:rsidRDefault="00BE1EFE" w:rsidP="007528C0">
      <w:pPr>
        <w:pStyle w:val="StandardWeb"/>
        <w:rPr>
          <w:sz w:val="12"/>
          <w:szCs w:val="12"/>
        </w:rPr>
      </w:pPr>
      <w:r w:rsidRPr="007528C0">
        <w:rPr>
          <w:sz w:val="12"/>
          <w:szCs w:val="12"/>
        </w:rPr>
        <w:t>Die Teilnahme an Maßnahmen der Qualifizierung vor der Bewährungszeit kann berücksichtigt werden.</w:t>
      </w:r>
    </w:p>
    <w:p w:rsidR="00BE1EFE" w:rsidRDefault="00BE1EFE" w:rsidP="007528C0">
      <w:pPr>
        <w:pStyle w:val="StandardWeb"/>
      </w:pPr>
    </w:p>
    <w:p w:rsidR="00BE1EFE" w:rsidRDefault="00BE1EFE" w:rsidP="007528C0">
      <w:pPr>
        <w:pStyle w:val="StandardWeb"/>
      </w:pPr>
      <w:r>
        <w:t>(2) </w:t>
      </w:r>
      <w:r w:rsidRPr="0003233B">
        <w:rPr>
          <w:sz w:val="12"/>
          <w:szCs w:val="12"/>
        </w:rPr>
        <w:t>1</w:t>
      </w:r>
      <w:r>
        <w:t>Für die Wahrnehmung der Führungsaufgaben steht an der Schule eine Anrechnungs</w:t>
      </w:r>
      <w:r>
        <w:softHyphen/>
        <w:t xml:space="preserve">stunde für je sechs zu führende Lehrkräfte zur Verfügung. </w:t>
      </w:r>
      <w:r w:rsidRPr="0003233B">
        <w:rPr>
          <w:sz w:val="12"/>
          <w:szCs w:val="12"/>
        </w:rPr>
        <w:t>2</w:t>
      </w:r>
      <w:r>
        <w:t>Über die Verteilung der Anrech</w:t>
      </w:r>
      <w:r>
        <w:softHyphen/>
        <w:t>nungsstunden auf die Lehrkräfte mit Führungsaufgaben entscheidet die Schulleiterin oder der Schulleiter.</w:t>
      </w:r>
    </w:p>
    <w:p w:rsidR="00BE1EFE" w:rsidRPr="007528C0" w:rsidRDefault="00BE1EFE" w:rsidP="007528C0">
      <w:pPr>
        <w:pStyle w:val="StandardWeb"/>
        <w:rPr>
          <w:sz w:val="12"/>
          <w:szCs w:val="12"/>
        </w:rPr>
      </w:pPr>
      <w:r w:rsidRPr="007528C0">
        <w:rPr>
          <w:sz w:val="12"/>
          <w:szCs w:val="12"/>
        </w:rPr>
        <w:t>Protokollnotiz zu Absatz 2 Satz 1:</w:t>
      </w:r>
    </w:p>
    <w:p w:rsidR="00BE1EFE" w:rsidRPr="007528C0" w:rsidRDefault="00BE1EFE" w:rsidP="007528C0">
      <w:pPr>
        <w:pStyle w:val="StandardWeb"/>
        <w:rPr>
          <w:sz w:val="12"/>
          <w:szCs w:val="12"/>
        </w:rPr>
      </w:pPr>
      <w:r w:rsidRPr="007528C0">
        <w:rPr>
          <w:sz w:val="12"/>
          <w:szCs w:val="12"/>
        </w:rPr>
        <w:t>1Der Schulträger kann weitere Anrechnungsstunden zur Verfügung stellen. 2Die Entscheidung, weitere Anrechnungsstunden zur Verfügung zu stellen, wird für jedes Schuljahr neu getroffen.</w:t>
      </w:r>
    </w:p>
    <w:p w:rsidR="00BE1EFE" w:rsidRDefault="00BE1EFE" w:rsidP="007528C0">
      <w:pPr>
        <w:pStyle w:val="StandardWeb"/>
      </w:pPr>
    </w:p>
    <w:p w:rsidR="00BE1EFE" w:rsidRDefault="00BE1EFE" w:rsidP="007528C0">
      <w:pPr>
        <w:pStyle w:val="StandardWeb"/>
      </w:pPr>
      <w:r>
        <w:t xml:space="preserve">(3) Lehrkräfte mit Führungsaufgaben, deren Entgelt niedriger als Besoldungsgruppe A 15 ist, erhalten eine Zulage in Höhe des Unterschiedsbetrags zwischen den Entgelten ihrer Besoldungsgruppe und der nächsthöheren Besoldungsgruppe der für Beamte des Freistaates Bayern gemäß dem </w:t>
      </w:r>
      <w:hyperlink r:id="rId872" w:history="1">
        <w:r w:rsidRPr="0019145B">
          <w:rPr>
            <w:rStyle w:val="Hyperlink"/>
          </w:rPr>
          <w:t>Bayerischen Besoldungsgesetz geltenden Besoldungsordnung A</w:t>
        </w:r>
      </w:hyperlink>
      <w:r>
        <w:t xml:space="preserve">. </w:t>
      </w:r>
    </w:p>
    <w:p w:rsidR="00BE1EFE" w:rsidRDefault="00BE1EFE" w:rsidP="007528C0">
      <w:pPr>
        <w:pStyle w:val="StandardWeb"/>
      </w:pPr>
    </w:p>
    <w:p w:rsidR="00BE1EFE" w:rsidRDefault="00BE1EFE" w:rsidP="007528C0">
      <w:pPr>
        <w:pStyle w:val="StandardWeb"/>
      </w:pPr>
      <w:r>
        <w:t>(4) Lehrkräften, denen Führungsaufgaben übertragen worden sind und deren Bewertungs</w:t>
      </w:r>
      <w:r>
        <w:softHyphen/>
        <w:t>stufe in einer dienstlichen Beurteilung um zwei oder mehr Bewertungsstufen gegenüber der letzten Beurteilung absinkt, können die Führungsaufgaben entzogen werden.</w:t>
      </w:r>
    </w:p>
    <w:p w:rsidR="00BE1EFE" w:rsidRDefault="00BE1EFE">
      <w:pPr>
        <w:pStyle w:val="StandardWeb"/>
      </w:pPr>
    </w:p>
    <w:p w:rsidR="00BE1EFE" w:rsidRPr="00A07386" w:rsidRDefault="00BE1EFE" w:rsidP="00A07386">
      <w:pPr>
        <w:pStyle w:val="StandardWeb"/>
        <w:autoSpaceDE w:val="0"/>
        <w:jc w:val="center"/>
        <w:rPr>
          <w:rStyle w:val="Fett"/>
          <w:bCs/>
        </w:rPr>
      </w:pPr>
      <w:r w:rsidRPr="00A07386">
        <w:rPr>
          <w:rStyle w:val="Fett"/>
          <w:bCs/>
        </w:rPr>
        <w:t>Nr. 5 b</w:t>
      </w:r>
    </w:p>
    <w:p w:rsidR="00BE1EFE" w:rsidRPr="00A07386" w:rsidRDefault="00BE1EFE" w:rsidP="00A07386">
      <w:pPr>
        <w:pStyle w:val="StandardWeb"/>
        <w:autoSpaceDE w:val="0"/>
        <w:jc w:val="center"/>
        <w:rPr>
          <w:rStyle w:val="Fett"/>
          <w:bCs/>
        </w:rPr>
      </w:pPr>
      <w:r w:rsidRPr="00A07386">
        <w:rPr>
          <w:rStyle w:val="Fett"/>
          <w:bCs/>
        </w:rPr>
        <w:t>Lehrkräfte als Beratungslehrkräfte und Schulpsychologen</w:t>
      </w:r>
    </w:p>
    <w:p w:rsidR="00BE1EFE" w:rsidRPr="00A07386" w:rsidRDefault="00BE1EFE" w:rsidP="00A07386">
      <w:pPr>
        <w:pStyle w:val="StandardWeb"/>
        <w:autoSpaceDE w:val="0"/>
        <w:jc w:val="center"/>
        <w:rPr>
          <w:rStyle w:val="Fett"/>
          <w:bCs/>
        </w:rPr>
      </w:pPr>
    </w:p>
    <w:p w:rsidR="00BE1EFE" w:rsidRPr="00A07386" w:rsidRDefault="00BE1EFE" w:rsidP="00A07386">
      <w:pPr>
        <w:pStyle w:val="StandardWeb"/>
        <w:autoSpaceDE w:val="0"/>
        <w:rPr>
          <w:rStyle w:val="Fett"/>
          <w:b w:val="0"/>
          <w:bCs/>
        </w:rPr>
      </w:pPr>
      <w:r>
        <w:rPr>
          <w:rStyle w:val="Fett"/>
          <w:b w:val="0"/>
          <w:bCs/>
        </w:rPr>
        <w:t>(1) </w:t>
      </w:r>
      <w:r w:rsidRPr="00A07386">
        <w:rPr>
          <w:rStyle w:val="Fett"/>
          <w:b w:val="0"/>
          <w:bCs/>
        </w:rPr>
        <w:t>Beratungslehrkräfte erhalten für die Beratungstätigkeit an Schulen mit bis zu 399 Schülerinnen und Schülern mindestens eine Anrechnungsstunde, an Schulen mit 400 und mehr Schülerinnen und Schülern mindestens zwei Anrechnungsstunden.</w:t>
      </w:r>
    </w:p>
    <w:p w:rsidR="00BE1EFE" w:rsidRPr="00A07386" w:rsidRDefault="00BE1EFE" w:rsidP="00A07386">
      <w:pPr>
        <w:pStyle w:val="StandardWeb"/>
        <w:autoSpaceDE w:val="0"/>
        <w:rPr>
          <w:rStyle w:val="Fett"/>
          <w:b w:val="0"/>
          <w:bCs/>
        </w:rPr>
      </w:pPr>
    </w:p>
    <w:p w:rsidR="00BE1EFE" w:rsidRPr="00563E75" w:rsidRDefault="00BE1EFE" w:rsidP="00A07386">
      <w:pPr>
        <w:pStyle w:val="StandardWeb"/>
        <w:autoSpaceDE w:val="0"/>
        <w:rPr>
          <w:rStyle w:val="Fett"/>
          <w:b w:val="0"/>
          <w:bCs/>
        </w:rPr>
      </w:pPr>
      <w:r>
        <w:rPr>
          <w:rStyle w:val="Fett"/>
          <w:b w:val="0"/>
          <w:bCs/>
        </w:rPr>
        <w:t>(2) </w:t>
      </w:r>
      <w:r w:rsidRPr="00A07386">
        <w:rPr>
          <w:rStyle w:val="Fett"/>
          <w:b w:val="0"/>
          <w:bCs/>
        </w:rPr>
        <w:t xml:space="preserve">Schulpsychologen erhalten für ihre Tätigkeit pro 200 zu betreuende Schülerinnen und </w:t>
      </w:r>
      <w:r>
        <w:rPr>
          <w:rStyle w:val="Fett"/>
          <w:b w:val="0"/>
          <w:bCs/>
        </w:rPr>
        <w:t>Schüler eine Anrechnungsstunde.</w:t>
      </w:r>
    </w:p>
    <w:p w:rsidR="00BE1EFE" w:rsidRDefault="00BE1EFE" w:rsidP="00A07386">
      <w:pPr>
        <w:pStyle w:val="StandardWeb"/>
        <w:autoSpaceDE w:val="0"/>
        <w:rPr>
          <w:rStyle w:val="Fett"/>
          <w:bCs/>
        </w:rPr>
      </w:pPr>
    </w:p>
    <w:p w:rsidR="00BE1EFE" w:rsidRDefault="00BE1EFE" w:rsidP="0054275E">
      <w:pPr>
        <w:pStyle w:val="StandardWeb"/>
        <w:autoSpaceDE w:val="0"/>
        <w:jc w:val="center"/>
        <w:rPr>
          <w:b/>
          <w:bCs/>
        </w:rPr>
      </w:pPr>
      <w:r>
        <w:rPr>
          <w:rStyle w:val="Fett"/>
          <w:bCs/>
        </w:rPr>
        <w:t xml:space="preserve">Nr. 6 </w:t>
      </w:r>
    </w:p>
    <w:p w:rsidR="00BE1EFE" w:rsidRDefault="00BE1EFE" w:rsidP="0054275E">
      <w:pPr>
        <w:pStyle w:val="StandardWeb"/>
        <w:autoSpaceDE w:val="0"/>
        <w:jc w:val="center"/>
      </w:pPr>
      <w:r>
        <w:rPr>
          <w:rStyle w:val="Fett"/>
          <w:bCs/>
        </w:rPr>
        <w:t xml:space="preserve">Zu §§ </w:t>
      </w:r>
      <w:hyperlink r:id="rId873" w:history="1">
        <w:r w:rsidRPr="002D1F1D">
          <w:rPr>
            <w:rStyle w:val="Hyperlink"/>
          </w:rPr>
          <w:t>15 bis 20b Teil A, 1.</w:t>
        </w:r>
      </w:hyperlink>
      <w:r>
        <w:rPr>
          <w:rStyle w:val="Fett"/>
          <w:bCs/>
        </w:rPr>
        <w:t xml:space="preserve"> - Tabellenentgelt, Stufen der Entgelttabelle, Weitere Anrechnung von Vordienstzeiten bei Einstellung, Allgemeine Regelungen zu den Stufen, Leistungsentgelt, Besondere Einmalzahlung, Erschwerniszuschläge, Jahressonderzahlung, Entgeltbezugsgröße, Einmalige Sonderzahlung 2009 -</w:t>
      </w:r>
    </w:p>
    <w:p w:rsidR="00BE1EFE" w:rsidRDefault="00BE1EFE">
      <w:pPr>
        <w:pStyle w:val="StandardWeb"/>
        <w:jc w:val="center"/>
      </w:pPr>
    </w:p>
    <w:p w:rsidR="00BE1EFE" w:rsidRDefault="00BE1EFE">
      <w:pPr>
        <w:pStyle w:val="StandardWeb"/>
      </w:pPr>
      <w:r>
        <w:t xml:space="preserve">(1) Die </w:t>
      </w:r>
      <w:hyperlink r:id="rId874"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w:t>
      </w:r>
      <w:hyperlink r:id="rId875" w:tgtFrame="_blank" w:history="1">
        <w:r>
          <w:rPr>
            <w:rStyle w:val="Hyperlink"/>
          </w:rPr>
          <w:t>Bayerischen Besoldungsgesetz</w:t>
        </w:r>
      </w:hyperlink>
      <w:r>
        <w:t xml:space="preserve"> vorgesehenen Besoldung (Grundbezüge und Nebenbezüge, </w:t>
      </w:r>
      <w:hyperlink r:id="rId876" w:tgtFrame="_blank" w:history="1">
        <w:r>
          <w:rPr>
            <w:rStyle w:val="Hyperlink"/>
          </w:rPr>
          <w:t>Art. 2 BayBesG</w:t>
        </w:r>
      </w:hyperlink>
      <w:r>
        <w:t>) sowie der Ballungsraumzulage (</w:t>
      </w:r>
      <w:hyperlink r:id="rId877" w:tgtFrame="_blank" w:history="1">
        <w:r>
          <w:rPr>
            <w:rStyle w:val="Hyperlink"/>
          </w:rPr>
          <w:t>Art. 94 BayBesG</w:t>
        </w:r>
      </w:hyperlink>
      <w:r>
        <w:t xml:space="preserve">). </w:t>
      </w:r>
      <w:r>
        <w:rPr>
          <w:rStyle w:val="kleinschrift"/>
        </w:rPr>
        <w:t>2</w:t>
      </w:r>
      <w:r>
        <w:t xml:space="preserve">Darüberhinaus können bei Vorliegen eines Angebots zur Berufung in ein Beamtenverhältnis weitere Entgeltbestandteile gewährt werden. </w:t>
      </w:r>
      <w:r>
        <w:rPr>
          <w:rStyle w:val="kleinschrift"/>
        </w:rPr>
        <w:t>3</w:t>
      </w:r>
      <w:r>
        <w:t>Lehrkräfte nach Nr. 5 Absatz 3 erhalten Entgelt nach der Besoldungsgruppe, die ihrer Ein</w:t>
      </w:r>
      <w:r>
        <w:softHyphen/>
        <w:t xml:space="preserve">gruppierung nach Nr. 5 Absatz 3 entspricht. </w:t>
      </w:r>
      <w:r>
        <w:rPr>
          <w:rStyle w:val="kleinschrift"/>
        </w:rPr>
        <w:t>4</w:t>
      </w:r>
      <w:r>
        <w:t>Das Entgelt umfasst auch für Teilzeitbeschäftigte die Gewährung von Leistungsstufen und -prämien.</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878" w:history="1">
        <w:r w:rsidRPr="001E2DB3">
          <w:rPr>
            <w:rStyle w:val="Hyperlink"/>
            <w:sz w:val="12"/>
            <w:szCs w:val="12"/>
          </w:rPr>
          <w:t>Art. 33 BayBesG</w:t>
        </w:r>
      </w:hyperlink>
      <w:r>
        <w:rPr>
          <w:sz w:val="12"/>
          <w:szCs w:val="12"/>
        </w:rPr>
        <w:t>.</w:t>
      </w:r>
    </w:p>
    <w:p w:rsidR="00BE1EFE" w:rsidRDefault="00BE1EFE">
      <w:pPr>
        <w:pStyle w:val="StandardWeb"/>
      </w:pPr>
    </w:p>
    <w:p w:rsidR="00BE1EFE" w:rsidRDefault="00BE1EFE">
      <w:pPr>
        <w:pStyle w:val="StandardWeb"/>
      </w:pPr>
      <w:r>
        <w:t>(3) Änderungen der Besoldung sowie der Ballungsraumzulage werden zum jeweiligen Zeit</w:t>
      </w:r>
      <w:r>
        <w:softHyphen/>
        <w:t>punkt Bestandteil dieser Sonderregelungen.</w:t>
      </w:r>
    </w:p>
    <w:p w:rsidR="00BE1EFE" w:rsidRDefault="00BE1EFE">
      <w:pPr>
        <w:pStyle w:val="StandardWeb"/>
      </w:pPr>
    </w:p>
    <w:p w:rsidR="00BE1EFE" w:rsidRDefault="00BE1EFE" w:rsidP="00993F28">
      <w:pPr>
        <w:pStyle w:val="StandardWeb"/>
      </w:pPr>
      <w:r>
        <w:t>(4) </w:t>
      </w:r>
      <w:r>
        <w:rPr>
          <w:rStyle w:val="kleinschrift"/>
        </w:rPr>
        <w:t>1</w:t>
      </w:r>
      <w:r>
        <w:t xml:space="preserve">Der regelmäßige Stufenaufstieg, die Vergabe einer Leistungsstufe und der Stufenstopp erfolgen entsprechend den Vorschriften des Bayerischen Besoldungsgesetzes. </w:t>
      </w:r>
      <w:r>
        <w:rPr>
          <w:rStyle w:val="kleinschrift"/>
        </w:rPr>
        <w:t>2</w:t>
      </w:r>
      <w:r>
        <w:t>Bei Lehrkräf</w:t>
      </w:r>
      <w:r>
        <w:softHyphen/>
        <w:t xml:space="preserve">ten, die nach Nr. 5 Absatz 5 Sätze 2 bis 7 wirksam auf die Beurteilung verzichtet haben, findet ein Stufenaufstieg und die Vergabe einer Leistungsstufe nicht statt. </w:t>
      </w:r>
      <w:r>
        <w:rPr>
          <w:rStyle w:val="kleinschrift"/>
        </w:rPr>
        <w:t>3</w:t>
      </w:r>
      <w:r>
        <w:t xml:space="preserve">Für die nach Satz 1 erforderlichen Leistungsfeststellungen gilt </w:t>
      </w:r>
      <w:hyperlink r:id="rId879" w:tgtFrame="_blank" w:history="1">
        <w:r>
          <w:rPr>
            <w:rStyle w:val="Hyperlink"/>
          </w:rPr>
          <w:t>Art. 62 des Leistungslaufbahngesetzes</w:t>
        </w:r>
      </w:hyperlink>
      <w:r>
        <w:t xml:space="preserve"> entspre</w:t>
      </w:r>
      <w:r>
        <w:softHyphen/>
        <w:t xml:space="preserve">chend. </w:t>
      </w:r>
      <w:r>
        <w:rPr>
          <w:rStyle w:val="kleinschrift"/>
        </w:rPr>
        <w:t>4</w:t>
      </w:r>
      <w:r>
        <w:t>Die Leistungen der Lehrkraft entsprechen den mit dem Amt verbundenen Mindestan</w:t>
      </w:r>
      <w:r>
        <w:softHyphen/>
        <w:t xml:space="preserve">forderungen im Sinne des </w:t>
      </w:r>
      <w:hyperlink r:id="rId880" w:history="1">
        <w:r w:rsidRPr="001E2DB3">
          <w:rPr>
            <w:rStyle w:val="Hyperlink"/>
          </w:rPr>
          <w:t>Art. 30 Absatz 3 Satz 1 BayBesG</w:t>
        </w:r>
      </w:hyperlink>
      <w:r>
        <w:t>, wenn die Lehrkraft in allen Einzelmerkmalen der fachlichen Leistung mindestens die Bewertungsstufe „Leistung, die Mängel aufweist – MA“ erzielt hat.</w:t>
      </w:r>
    </w:p>
    <w:p w:rsidR="00BE1EFE" w:rsidRDefault="00BE1EFE" w:rsidP="007528C0">
      <w:pPr>
        <w:pStyle w:val="StandardWeb"/>
      </w:pPr>
      <w:r>
        <w:rPr>
          <w:sz w:val="12"/>
          <w:szCs w:val="12"/>
        </w:rPr>
        <w:t>Protokollnotiz zu Satz 4:</w:t>
      </w:r>
    </w:p>
    <w:p w:rsidR="00BE1EFE" w:rsidRDefault="00BE1EFE" w:rsidP="007F0BC8">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881" w:tgtFrame="_blank" w:history="1">
        <w:r>
          <w:rPr>
            <w:rStyle w:val="Hyperlink"/>
          </w:rPr>
          <w:t>Bayerischen Besoldungsgesetzes</w:t>
        </w:r>
      </w:hyperlink>
      <w:r>
        <w:t xml:space="preserve"> sowie für ihre Einordnung in die neuen Grundgehaltstabellen gelten die Vorschriften des </w:t>
      </w:r>
      <w:hyperlink r:id="rId882" w:tgtFrame="_blank" w:history="1">
        <w:r>
          <w:rPr>
            <w:rStyle w:val="Hyperlink"/>
          </w:rPr>
          <w:t xml:space="preserve">Bayerischen Besoldungsgesetzes </w:t>
        </w:r>
      </w:hyperlink>
      <w:r>
        <w:t>entsprechend.</w:t>
      </w:r>
    </w:p>
    <w:p w:rsidR="00BE1EFE" w:rsidRDefault="00BE1EFE">
      <w:pPr>
        <w:pStyle w:val="StandardWeb"/>
      </w:pPr>
    </w:p>
    <w:p w:rsidR="00BE1EFE" w:rsidRDefault="00BE1EFE">
      <w:pPr>
        <w:pStyle w:val="StandardWeb"/>
      </w:pPr>
      <w:r>
        <w:t>(6) </w:t>
      </w:r>
      <w:r>
        <w:rPr>
          <w:rStyle w:val="kleinschrift"/>
        </w:rPr>
        <w:t>1</w:t>
      </w:r>
      <w:r>
        <w:t xml:space="preserve">Bei Lehrkräften in einem unbefristeten Arbeitsverhältnis übernimmt der Schulträger die Arbeitnehmerbeiträge zur gesetzlichen Rentenversicherung gemäß </w:t>
      </w:r>
      <w:hyperlink r:id="rId883" w:tgtFrame="_blank" w:history="1">
        <w:r>
          <w:rPr>
            <w:rStyle w:val="Hyperlink"/>
          </w:rPr>
          <w:t>§ 168 SGB VI</w:t>
        </w:r>
      </w:hyperlink>
      <w:r>
        <w:t xml:space="preserve">. </w:t>
      </w:r>
      <w:r>
        <w:rPr>
          <w:rStyle w:val="kleinschrift"/>
        </w:rPr>
        <w:t>2</w:t>
      </w:r>
      <w:r>
        <w:t>Davon ausgenommen sind Lehrkräfte, welche die Befähigung für eine beamtenrechtliche Laufbahn nicht besitzen.</w:t>
      </w:r>
    </w:p>
    <w:p w:rsidR="00BE1EFE" w:rsidRDefault="00BE1EFE">
      <w:pPr>
        <w:pStyle w:val="StandardWeb"/>
      </w:pPr>
    </w:p>
    <w:p w:rsidR="00BE1EFE" w:rsidRDefault="00BE1EFE">
      <w:pPr>
        <w:pStyle w:val="StandardWeb"/>
      </w:pPr>
      <w:r>
        <w:t xml:space="preserve">(7) Bei Lehrkräften, die die Voraussetzungen des Absatzes 6 erfüllen, kann der Schulträger die Arbeitnehmerbeiträge des </w:t>
      </w:r>
      <w:hyperlink r:id="rId884" w:tgtFrame="_blank" w:history="1">
        <w:r>
          <w:rPr>
            <w:rStyle w:val="Hyperlink"/>
          </w:rPr>
          <w:t>§ 346 SGB III</w:t>
        </w:r>
      </w:hyperlink>
      <w:r>
        <w:t xml:space="preserve"> (sog. Arbeitslosenversicherung) übernehmen.</w:t>
      </w:r>
    </w:p>
    <w:p w:rsidR="00BE1EFE" w:rsidRDefault="00BE1EFE">
      <w:pPr>
        <w:pStyle w:val="StandardWeb"/>
      </w:pPr>
    </w:p>
    <w:p w:rsidR="00BE1EFE" w:rsidRDefault="00BE1EFE">
      <w:pPr>
        <w:pStyle w:val="StandardWeb"/>
      </w:pPr>
      <w:r>
        <w:t>(8) </w:t>
      </w:r>
      <w:r>
        <w:rPr>
          <w:rStyle w:val="kleinschrift"/>
        </w:rPr>
        <w:t>1</w:t>
      </w:r>
      <w:r>
        <w:t xml:space="preserve">Lehrkräfte mit A-Besoldung, deren Ehegatte als arbeitsvertraglich Beschäftigter,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Stufe 2 oder einer der folgenden Stufen hat oder bis zum 31.10.2006 hatte, erhalten keinen Familienzuschlag. </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w:t>
      </w:r>
      <w:r>
        <w:softHyphen/>
        <w:t>rechtlichen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 xml:space="preserve">Zu </w:t>
      </w:r>
      <w:hyperlink r:id="rId885" w:history="1">
        <w:r w:rsidRPr="002D1F1D">
          <w:rPr>
            <w:rStyle w:val="Hyperlink"/>
          </w:rPr>
          <w:t>§ 21 Teil A, 1.</w:t>
        </w:r>
      </w:hyperlink>
      <w:r>
        <w:rPr>
          <w:rStyle w:val="Fett"/>
          <w:bCs/>
        </w:rPr>
        <w:t xml:space="preserve"> - Bemessungsgrundlage für die Entgeltfortzahlung -</w:t>
      </w:r>
    </w:p>
    <w:p w:rsidR="00BE1EFE" w:rsidRDefault="00BE1EFE">
      <w:pPr>
        <w:pStyle w:val="StandardWeb"/>
        <w:jc w:val="center"/>
      </w:pPr>
    </w:p>
    <w:p w:rsidR="00BE1EFE" w:rsidRDefault="00BE1EFE">
      <w:pPr>
        <w:pStyle w:val="StandardWeb"/>
      </w:pPr>
      <w:r>
        <w:rPr>
          <w:rStyle w:val="kleinschrift"/>
        </w:rPr>
        <w:t>1</w:t>
      </w:r>
      <w:r>
        <w:t xml:space="preserve">In den Fällen der Entgeltfortzahlung nach </w:t>
      </w:r>
      <w:hyperlink r:id="rId886" w:history="1">
        <w:r w:rsidRPr="002D1F1D">
          <w:rPr>
            <w:rStyle w:val="Hyperlink"/>
          </w:rPr>
          <w:t>§§ 6 Absatz 3 Satz 1</w:t>
        </w:r>
      </w:hyperlink>
      <w:r>
        <w:t xml:space="preserve">, </w:t>
      </w:r>
      <w:hyperlink r:id="rId887" w:history="1">
        <w:r w:rsidRPr="002D1F1D">
          <w:rPr>
            <w:rStyle w:val="Hyperlink"/>
          </w:rPr>
          <w:t>22 Absatz 1</w:t>
        </w:r>
      </w:hyperlink>
      <w:r>
        <w:t xml:space="preserve">, </w:t>
      </w:r>
      <w:hyperlink r:id="rId888" w:history="1">
        <w:r w:rsidRPr="002D1F1D">
          <w:rPr>
            <w:rStyle w:val="Hyperlink"/>
          </w:rPr>
          <w:t>26</w:t>
        </w:r>
      </w:hyperlink>
      <w:r>
        <w:t xml:space="preserve">, </w:t>
      </w:r>
      <w:hyperlink r:id="rId889" w:history="1">
        <w:r w:rsidRPr="002D1F1D">
          <w:rPr>
            <w:rStyle w:val="Hyperlink"/>
          </w:rPr>
          <w:t>27</w:t>
        </w:r>
      </w:hyperlink>
      <w:r>
        <w:t xml:space="preserve"> und </w:t>
      </w:r>
      <w:hyperlink r:id="rId890" w:history="1">
        <w:r w:rsidRPr="002D1F1D">
          <w:rPr>
            <w:rStyle w:val="Hyperlink"/>
          </w:rPr>
          <w:t>29 Teil A, 1.</w:t>
        </w:r>
      </w:hyperlink>
      <w:r>
        <w:t> werden das Entgelt gemäß Nr. 6 Absatz 2 sowie die sonstigen in Monatsbeträgen festgelegten Entgeltbestandteile einschließlich der vom Arbeitgeber übernommenen Arbeit</w:t>
      </w:r>
      <w:r>
        <w:softHyphen/>
        <w:t xml:space="preserve">nehmeranteile zur gesetzlichen Renten- sowie Arbeitslosenversicherung weiterbezahlt. </w:t>
      </w:r>
      <w:r>
        <w:rPr>
          <w:rStyle w:val="kleinschrift"/>
        </w:rPr>
        <w:t>2</w:t>
      </w:r>
      <w:hyperlink r:id="rId891" w:history="1">
        <w:r w:rsidRPr="002D1F1D">
          <w:rPr>
            <w:rStyle w:val="Hyperlink"/>
          </w:rPr>
          <w:t>§ 21 Sätze 2, 3 Teil A, 1.</w:t>
        </w:r>
      </w:hyperlink>
      <w:r>
        <w:t xml:space="preserve"> bleiben unberührt.</w:t>
      </w:r>
    </w:p>
    <w:p w:rsidR="00BE1EFE" w:rsidRDefault="00BE1EFE">
      <w:pPr>
        <w:pStyle w:val="StandardWeb"/>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 xml:space="preserve">Zu </w:t>
      </w:r>
      <w:hyperlink r:id="rId892" w:history="1">
        <w:r w:rsidRPr="002D1F1D">
          <w:rPr>
            <w:rStyle w:val="Hyperlink"/>
          </w:rPr>
          <w:t>§ 22 Teil A, 1.</w:t>
        </w:r>
      </w:hyperlink>
      <w:r>
        <w:rPr>
          <w:rStyle w:val="Fett"/>
          <w:bCs/>
        </w:rPr>
        <w:t xml:space="preserve"> - Entgelt im Krankheitsfall -</w:t>
      </w:r>
    </w:p>
    <w:p w:rsidR="00BE1EFE" w:rsidRDefault="00BE1EFE">
      <w:pPr>
        <w:pStyle w:val="StandardWeb"/>
        <w:jc w:val="center"/>
      </w:pPr>
    </w:p>
    <w:p w:rsidR="00BE1EFE" w:rsidRDefault="00BE1EFE">
      <w:pPr>
        <w:pStyle w:val="StandardWeb"/>
      </w:pPr>
      <w:r>
        <w:rPr>
          <w:rStyle w:val="kleinschrift"/>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 71 Absatz 1 bis 5 Teil A, 1. in der am 30.09.2005 geltenden Fassung zugesagt werden. </w:t>
      </w:r>
      <w:r>
        <w:rPr>
          <w:rStyle w:val="kleinschrift"/>
        </w:rPr>
        <w:t>2</w:t>
      </w:r>
      <w:r>
        <w:t>Ein Krankengeldzuschuss wird in diesen Fällen nicht gewährt.</w:t>
      </w:r>
    </w:p>
    <w:p w:rsidR="00BE1EFE" w:rsidRDefault="00BE1EFE" w:rsidP="00BF51C4">
      <w:pPr>
        <w:pStyle w:val="Leerzeile"/>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t xml:space="preserve">Zu </w:t>
      </w:r>
      <w:hyperlink r:id="rId893" w:history="1">
        <w:r w:rsidRPr="002D1F1D">
          <w:rPr>
            <w:rStyle w:val="Hyperlink"/>
          </w:rPr>
          <w:t>§ 24 Teil A, 1.</w:t>
        </w:r>
      </w:hyperlink>
      <w:r>
        <w:rPr>
          <w:rStyle w:val="Fett"/>
          <w:bCs/>
        </w:rPr>
        <w:t xml:space="preserve">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4. Abschnitt</w:t>
      </w:r>
    </w:p>
    <w:p w:rsidR="00BE1EFE" w:rsidRDefault="00BE1EFE" w:rsidP="0054275E">
      <w:pPr>
        <w:pStyle w:val="StandardWeb"/>
        <w:autoSpaceDE w:val="0"/>
        <w:jc w:val="center"/>
      </w:pPr>
      <w:r>
        <w:rPr>
          <w:rStyle w:val="Fett"/>
          <w:bCs/>
        </w:rPr>
        <w:t>Urlaub und Arbeitsbefreiung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rsidP="00414533">
      <w:pPr>
        <w:pStyle w:val="StandardWeb"/>
      </w:pPr>
      <w:r>
        <w:t>(1) </w:t>
      </w:r>
      <w:r>
        <w:rPr>
          <w:rStyle w:val="kleinschrift"/>
        </w:rPr>
        <w:t>1</w:t>
      </w:r>
      <w:r w:rsidRPr="00414533">
        <w:t xml:space="preserve">Die </w:t>
      </w:r>
      <w:hyperlink r:id="rId894" w:history="1">
        <w:r w:rsidRPr="00414533">
          <w:rPr>
            <w:rStyle w:val="Hyperlink"/>
          </w:rPr>
          <w:t>§§ 26</w:t>
        </w:r>
      </w:hyperlink>
      <w:r w:rsidRPr="00414533">
        <w:t xml:space="preserve">, </w:t>
      </w:r>
      <w:hyperlink r:id="rId895"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896"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897"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w:t>
      </w:r>
      <w:r>
        <w:softHyphen/>
        <w:t>mungen für die entsprechenden arbeitsvertraglich beschäftigten Lehrkräfte des Freistaates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898" w:history="1">
        <w:r w:rsidRPr="002D1F1D">
          <w:rPr>
            <w:rStyle w:val="Hyperlink"/>
          </w:rPr>
          <w:t>§ 22 Absatz 1, 3 Teil A, 1.</w:t>
        </w:r>
      </w:hyperlink>
      <w:r>
        <w:t xml:space="preserve"> beginnen mit dem Tag der Arbeitsunfähigkeit.</w:t>
      </w:r>
    </w:p>
    <w:p w:rsidR="00BE1EFE" w:rsidRDefault="00BE1EFE">
      <w:pPr>
        <w:pStyle w:val="StandardWeb"/>
      </w:pP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 xml:space="preserve">Zu </w:t>
      </w:r>
      <w:hyperlink r:id="rId899" w:history="1">
        <w:r w:rsidRPr="002D1F1D">
          <w:rPr>
            <w:rStyle w:val="Hyperlink"/>
          </w:rPr>
          <w:t>§§ 31</w:t>
        </w:r>
      </w:hyperlink>
      <w:r>
        <w:rPr>
          <w:rStyle w:val="Fett"/>
          <w:bCs/>
        </w:rPr>
        <w:t xml:space="preserve"> und </w:t>
      </w:r>
      <w:hyperlink r:id="rId900" w:history="1">
        <w:r w:rsidRPr="002D1F1D">
          <w:rPr>
            <w:rStyle w:val="Hyperlink"/>
          </w:rPr>
          <w:t>32 Teil A, 1.</w:t>
        </w:r>
      </w:hyperlink>
      <w:r>
        <w:rPr>
          <w:rStyle w:val="Fett"/>
          <w:bCs/>
        </w:rPr>
        <w:t xml:space="preserve">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 xml:space="preserve">Zu </w:t>
      </w:r>
      <w:hyperlink r:id="rId901" w:history="1">
        <w:r w:rsidRPr="002D1F1D">
          <w:rPr>
            <w:rStyle w:val="Hyperlink"/>
          </w:rPr>
          <w:t>§ 33 Teil A, 1.</w:t>
        </w:r>
      </w:hyperlink>
      <w:r>
        <w:rPr>
          <w:rStyle w:val="Fett"/>
          <w:bCs/>
        </w:rPr>
        <w:t xml:space="preserve"> - Beendigung des Arbeitsverhältnisses ohne Kündigung -</w:t>
      </w:r>
    </w:p>
    <w:p w:rsidR="00BE1EFE" w:rsidRDefault="00BE1EFE">
      <w:pPr>
        <w:pStyle w:val="StandardWeb"/>
        <w:jc w:val="center"/>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Arbeitsver</w:t>
      </w:r>
      <w:r>
        <w:softHyphen/>
        <w:t>trag geschlossen, richtet sich das Entgelt nach der Besoldungsordnung A; die Eingruppierung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 xml:space="preserve">Zu </w:t>
      </w:r>
      <w:hyperlink r:id="rId902" w:history="1">
        <w:r w:rsidRPr="002D1F1D">
          <w:rPr>
            <w:rStyle w:val="Hyperlink"/>
          </w:rPr>
          <w:t>§ 34 Teil A, 1.</w:t>
        </w:r>
      </w:hyperlink>
      <w:r>
        <w:rPr>
          <w:rStyle w:val="Fett"/>
          <w:bCs/>
        </w:rPr>
        <w:t xml:space="preserve"> - Kündigung des Arbeitsverhältnisses -</w:t>
      </w:r>
    </w:p>
    <w:p w:rsidR="00BE1EFE" w:rsidRDefault="00BE1EFE">
      <w:pPr>
        <w:pStyle w:val="StandardWeb"/>
        <w:jc w:val="center"/>
      </w:pPr>
    </w:p>
    <w:p w:rsidR="00BE1EFE" w:rsidRDefault="00BE1EFE">
      <w:pPr>
        <w:pStyle w:val="StandardWeb"/>
      </w:pPr>
      <w:r>
        <w:t>(1) </w:t>
      </w:r>
      <w:r>
        <w:rPr>
          <w:rStyle w:val="kleinschrift"/>
        </w:rPr>
        <w:t>1</w:t>
      </w:r>
      <w:r>
        <w:t xml:space="preserve">Das Arbeitsverhältnis kann zur Erprobung der Lehrkraft bis zu einem Jahr befristet werden. </w:t>
      </w:r>
      <w:r>
        <w:rPr>
          <w:rStyle w:val="kleinschrift"/>
        </w:rPr>
        <w:t>2</w:t>
      </w:r>
      <w:r>
        <w:t xml:space="preserve">Abweichend von </w:t>
      </w:r>
      <w:hyperlink r:id="rId903"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904" w:history="1">
        <w:r w:rsidRPr="002D1F1D">
          <w:rPr>
            <w:rStyle w:val="Hyperlink"/>
          </w:rPr>
          <w:t>§ 34 Teil A, 1.</w:t>
        </w:r>
      </w:hyperlink>
      <w:r>
        <w:t> oder bei auf bestimmte Dauer abgeschlossenen Arbeitsverhältnissen vor deren vereinbartem Ende beendigen, kann eine Vertragsstrafe bis zur Höhe der Entgelts für die Zeit der Mindest</w:t>
      </w:r>
      <w:r>
        <w:softHyphen/>
        <w:t>kündigungsfrist verlangt werden.</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pPr>
      <w:r>
        <w:rPr>
          <w:rStyle w:val="Fett"/>
          <w:bCs/>
        </w:rPr>
        <w:t xml:space="preserve">Zu </w:t>
      </w:r>
      <w:hyperlink r:id="rId905" w:history="1">
        <w:r w:rsidRPr="002D1F1D">
          <w:rPr>
            <w:rStyle w:val="Hyperlink"/>
          </w:rPr>
          <w:t>§ 36 Teil A, 1.</w:t>
        </w:r>
      </w:hyperlink>
      <w:r>
        <w:rPr>
          <w:rStyle w:val="Fett"/>
          <w:bCs/>
        </w:rPr>
        <w:t xml:space="preserve"> - Beihilfen bei Krankheits-, Pflege-, Geburts- und Todesfällen, Unterstützungen -</w:t>
      </w:r>
    </w:p>
    <w:p w:rsidR="00BE1EFE" w:rsidRDefault="00BE1EFE">
      <w:pPr>
        <w:pStyle w:val="StandardWeb"/>
        <w:jc w:val="center"/>
      </w:pPr>
    </w:p>
    <w:p w:rsidR="00BE1EFE" w:rsidRDefault="00BE1EFE">
      <w:pPr>
        <w:pStyle w:val="StandardWeb"/>
      </w:pPr>
      <w:r>
        <w:t> </w:t>
      </w:r>
      <w:r>
        <w:rPr>
          <w:rStyle w:val="kleinschrift"/>
        </w:rPr>
        <w:t>1</w:t>
      </w:r>
      <w:r>
        <w:t>Lehrkräfte in einem unbefristeten Arbeitsverhältnis erhalten Beihilfe zumindest für die Dauer der Beschäftigung, auch im Falle der Elternzeit oder des Sonderurlaubs aus familienpolitischen Gründen.</w:t>
      </w:r>
      <w:r>
        <w:rPr>
          <w:vertAlign w:val="superscript"/>
        </w:rPr>
        <w:t xml:space="preserve">1 </w:t>
      </w:r>
      <w:r>
        <w:rPr>
          <w:rStyle w:val="kleinschrift"/>
        </w:rPr>
        <w:t>2</w:t>
      </w:r>
      <w:r w:rsidRPr="00D55797">
        <w:rPr>
          <w:rStyle w:val="kleinschrift"/>
          <w:sz w:val="16"/>
          <w:szCs w:val="16"/>
        </w:rPr>
        <w:t>L</w:t>
      </w:r>
      <w:r w:rsidRPr="00D55797">
        <w:t xml:space="preserve">ehrkräfte, bei denen der Schulträger gemäß </w:t>
      </w:r>
      <w:r>
        <w:t>Nr. 6 Absatz 6 die Arbeitnehmer</w:t>
      </w:r>
      <w:r w:rsidRPr="00D55797">
        <w:t xml:space="preserve">beiträge zur gesetzlichen Rentenversicherung gemäß </w:t>
      </w:r>
      <w:hyperlink r:id="rId906" w:history="1">
        <w:r w:rsidRPr="008375AF">
          <w:rPr>
            <w:rStyle w:val="Hyperlink"/>
          </w:rPr>
          <w:t>§ 168 SGB VI</w:t>
        </w:r>
      </w:hyperlink>
      <w:r w:rsidRPr="00D55797">
        <w:t xml:space="preserve"> übernimmt, erhalten Beihilfe auch im Falle der Beendigung des Arbeitsverhältnisses wegen Bezuges einer Rente wegen verminderter Erwerbsfähigkeit oder wegen Alters. </w:t>
      </w:r>
      <w:r w:rsidRPr="00D55797">
        <w:rPr>
          <w:sz w:val="12"/>
          <w:szCs w:val="12"/>
        </w:rPr>
        <w:t>3</w:t>
      </w:r>
      <w:r w:rsidRPr="00D55797">
        <w:t>Für Institute des geweihten Lebens oder Gesellschaften des apostolischen Lebens gilt Satz 2 ab 01.01.2019</w:t>
      </w:r>
    </w:p>
    <w:p w:rsidR="00BE1EFE" w:rsidRPr="00D55797" w:rsidRDefault="00BE1EFE">
      <w:pPr>
        <w:pStyle w:val="StandardWeb"/>
      </w:pPr>
    </w:p>
    <w:p w:rsidR="00BE1EFE" w:rsidRDefault="00BE1EFE">
      <w:pPr>
        <w:pStyle w:val="StandardWeb"/>
        <w:rPr>
          <w:rStyle w:val="kleinschrift1"/>
        </w:rPr>
      </w:pPr>
      <w:r>
        <w:rPr>
          <w:sz w:val="12"/>
          <w:szCs w:val="12"/>
          <w:vertAlign w:val="superscript"/>
        </w:rPr>
        <w:t>1</w:t>
      </w:r>
      <w:r w:rsidRPr="009C6551">
        <w:rPr>
          <w:rStyle w:val="kleinschrift1"/>
        </w:rPr>
        <w:t xml:space="preserve"> Gesetzlich Krankenversicherte erhalten derzeit Beihilfe im Tarif </w:t>
      </w:r>
      <w:r>
        <w:rPr>
          <w:rStyle w:val="kleinschrift1"/>
        </w:rPr>
        <w:t xml:space="preserve">814 und Tarif </w:t>
      </w:r>
      <w:r w:rsidRPr="009C6551">
        <w:rPr>
          <w:rStyle w:val="kleinschrift1"/>
        </w:rPr>
        <w:t>820 K</w:t>
      </w:r>
      <w:r>
        <w:rPr>
          <w:rStyle w:val="kleinschrift1"/>
        </w:rPr>
        <w:t xml:space="preserve"> Plus</w:t>
      </w:r>
      <w:r w:rsidRPr="009C6551">
        <w:rPr>
          <w:rStyle w:val="kleinschrift1"/>
        </w:rPr>
        <w:t>.</w:t>
      </w:r>
    </w:p>
    <w:p w:rsidR="00BE1EFE" w:rsidRDefault="00BE1EFE">
      <w:pPr>
        <w:pStyle w:val="StandardWeb"/>
      </w:pPr>
      <w:r>
        <w:rPr>
          <w:rStyle w:val="kleinschrift1"/>
        </w:rPr>
        <w:br w:type="page"/>
      </w:r>
    </w:p>
    <w:p w:rsidR="00BE1EFE" w:rsidRDefault="00BE1EFE" w:rsidP="0054275E">
      <w:pPr>
        <w:pStyle w:val="StandardWeb"/>
        <w:autoSpaceDE w:val="0"/>
        <w:jc w:val="center"/>
        <w:rPr>
          <w:b/>
          <w:bCs/>
        </w:rPr>
      </w:pPr>
      <w:r>
        <w:rPr>
          <w:rStyle w:val="Fett"/>
          <w:bCs/>
        </w:rPr>
        <w:lastRenderedPageBreak/>
        <w:t>Auffangklausel</w:t>
      </w: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907" w:history="1">
        <w:r w:rsidRPr="002D1F1D">
          <w:rPr>
            <w:rStyle w:val="Hyperlink"/>
          </w:rPr>
          <w:t>§§ 3 Absatz 3</w:t>
        </w:r>
      </w:hyperlink>
      <w:r>
        <w:t xml:space="preserve">, </w:t>
      </w:r>
      <w:hyperlink r:id="rId908" w:history="1">
        <w:r w:rsidRPr="002D1F1D">
          <w:rPr>
            <w:rStyle w:val="Hyperlink"/>
          </w:rPr>
          <w:t>23 Absatz 2</w:t>
        </w:r>
      </w:hyperlink>
      <w:r>
        <w:t xml:space="preserve">, </w:t>
      </w:r>
      <w:hyperlink r:id="rId909" w:history="1">
        <w:r w:rsidRPr="002D1F1D">
          <w:rPr>
            <w:rStyle w:val="Hyperlink"/>
          </w:rPr>
          <w:t>29 Absatz 1 Buchstabe d</w:t>
        </w:r>
      </w:hyperlink>
      <w:r>
        <w:t xml:space="preserve">, </w:t>
      </w:r>
      <w:hyperlink r:id="rId910" w:history="1">
        <w:r w:rsidRPr="002D1F1D">
          <w:rPr>
            <w:rStyle w:val="Hyperlink"/>
          </w:rPr>
          <w:t>39</w:t>
        </w:r>
      </w:hyperlink>
      <w:r>
        <w:t xml:space="preserve">, </w:t>
      </w:r>
      <w:hyperlink r:id="rId911" w:history="1">
        <w:r w:rsidRPr="002D1F1D">
          <w:rPr>
            <w:rStyle w:val="Hyperlink"/>
          </w:rPr>
          <w:t>40</w:t>
        </w:r>
      </w:hyperlink>
      <w:r>
        <w:t xml:space="preserve"> und </w:t>
      </w:r>
      <w:hyperlink r:id="rId912"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rsidP="00585FBA">
      <w:pPr>
        <w:pStyle w:val="h7"/>
      </w:pPr>
      <w:bookmarkStart w:id="722" w:name="_Toc523926254"/>
      <w:r>
        <w:t>Kapitel 2 - Sonderregelungen zu Teil B, 3.</w:t>
      </w:r>
      <w:bookmarkEnd w:id="722"/>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spacing w:after="240"/>
        <w:jc w:val="center"/>
        <w:rPr>
          <w:b/>
          <w:bCs/>
        </w:rPr>
      </w:pPr>
      <w:r>
        <w:rPr>
          <w:rStyle w:val="Fett"/>
          <w:bCs/>
        </w:rPr>
        <w:t>Beschäftige, die die Altersgrenze erreicht haben</w:t>
      </w:r>
    </w:p>
    <w:p w:rsidR="00BE1EFE" w:rsidRDefault="00BE1EFE" w:rsidP="0003233B">
      <w:pPr>
        <w:pStyle w:val="StandardWeb"/>
        <w:autoSpaceDE w:val="0"/>
        <w:spacing w:after="240"/>
        <w:jc w:val="left"/>
      </w:pPr>
      <w:r>
        <w:rPr>
          <w:rStyle w:val="Fett"/>
          <w:b w:val="0"/>
          <w:i/>
          <w:iCs/>
        </w:rPr>
        <w:t>(aufgehoben durch Beschluss vom 16.07.2009 mit Inkraftsetzung zum 01.01.2010)</w:t>
      </w:r>
    </w:p>
    <w:p w:rsidR="00BE1EFE" w:rsidRDefault="00BE1EFE" w:rsidP="00585FBA">
      <w:pPr>
        <w:pStyle w:val="h7"/>
      </w:pPr>
      <w:bookmarkStart w:id="723" w:name="_Toc523926255"/>
      <w:r>
        <w:t>Kapitel 3 - Sonderregelungen zu Teil D, 5.</w:t>
      </w:r>
      <w:bookmarkEnd w:id="723"/>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pPr>
      <w:r>
        <w:rPr>
          <w:rStyle w:val="Fett"/>
          <w:bCs/>
        </w:rPr>
        <w:t>Sabbatjahrregelung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 xml:space="preserve">Zu </w:t>
      </w:r>
      <w:hyperlink r:id="rId913" w:history="1">
        <w:r w:rsidRPr="002D1F1D">
          <w:rPr>
            <w:rStyle w:val="Hyperlink"/>
          </w:rPr>
          <w:t>§ 1 Teil D, 5.</w:t>
        </w:r>
      </w:hyperlink>
      <w:r>
        <w:rPr>
          <w:rStyle w:val="Fett"/>
          <w:bCs/>
        </w:rPr>
        <w:t xml:space="preserve"> - Geltungsbereich -</w:t>
      </w:r>
    </w:p>
    <w:p w:rsidR="00BE1EFE" w:rsidRDefault="00BE1EFE">
      <w:pPr>
        <w:pStyle w:val="StandardWeb"/>
        <w:jc w:val="center"/>
      </w:pPr>
    </w:p>
    <w:p w:rsidR="00BE1EFE" w:rsidRDefault="00BE1EFE">
      <w:pPr>
        <w:pStyle w:val="StandardWeb"/>
      </w:pPr>
      <w:r>
        <w:rPr>
          <w:rStyle w:val="kleinschrift"/>
        </w:rPr>
        <w:t>1</w:t>
      </w:r>
      <w:hyperlink r:id="rId914" w:history="1">
        <w:r w:rsidRPr="002D1F1D">
          <w:rPr>
            <w:rStyle w:val="Hyperlink"/>
          </w:rPr>
          <w:t>Teil D, 5. „Sabbatjahrregelung“</w:t>
        </w:r>
      </w:hyperlink>
      <w:r>
        <w:t xml:space="preserve"> findet keine Anwendung. </w:t>
      </w:r>
      <w:r>
        <w:rPr>
          <w:rStyle w:val="kleinschrift"/>
        </w:rPr>
        <w:t>2</w:t>
      </w:r>
      <w:r>
        <w:t>Es gelten anstelle dieser Regelung die Bestimmungen für die entsprechenden arbeitsvertraglich beschäftigen Lehrkräfte des Freistaates Bayern.</w:t>
      </w:r>
    </w:p>
    <w:p w:rsidR="00BE1EFE" w:rsidRDefault="00BE1EFE" w:rsidP="001B1FC9">
      <w:pPr>
        <w:pStyle w:val="h7"/>
      </w:pPr>
      <w:bookmarkStart w:id="724" w:name="_Toc523926256"/>
      <w:r>
        <w:t xml:space="preserve">Nr. 18 - </w:t>
      </w:r>
      <w:r w:rsidRPr="001B1FC9">
        <w:rPr>
          <w:rStyle w:val="Fett"/>
          <w:b/>
          <w:bCs/>
        </w:rPr>
        <w:t>Geltung</w:t>
      </w:r>
      <w:bookmarkEnd w:id="724"/>
    </w:p>
    <w:p w:rsidR="00BE1EFE" w:rsidRPr="00B76821" w:rsidRDefault="00BE1EFE" w:rsidP="00B76821">
      <w:pPr>
        <w:pStyle w:val="h8"/>
        <w:keepNext w:val="0"/>
        <w:spacing w:before="0" w:after="0"/>
        <w:outlineLvl w:val="5"/>
        <w:rPr>
          <w:sz w:val="2"/>
        </w:rPr>
      </w:pPr>
    </w:p>
    <w:p w:rsidR="00BE1EFE" w:rsidRDefault="00BE1EFE">
      <w:pPr>
        <w:pStyle w:val="StandardWeb"/>
      </w:pPr>
      <w:r>
        <w:t>(1) Diese Regelungen gelten nicht, wenn und soweit der Schulträger aufgrund von Vereinbarungen mit nichtkirchlichen Zuschussgebern an andere Regelungen gebunden ist.</w:t>
      </w:r>
    </w:p>
    <w:p w:rsidR="00BE1EFE" w:rsidRDefault="00BE1EFE">
      <w:pPr>
        <w:pStyle w:val="StandardWeb"/>
      </w:pPr>
    </w:p>
    <w:p w:rsidR="00BE1EFE" w:rsidRPr="00782A3A" w:rsidRDefault="00BE1EFE">
      <w:pPr>
        <w:pStyle w:val="StandardWeb"/>
        <w:rPr>
          <w:sz w:val="2"/>
          <w:szCs w:val="2"/>
        </w:rPr>
      </w:pPr>
      <w:r>
        <w:t xml:space="preserve">(2) Für am 31.05.2002 bestehende Arbeitsverhältnisse gilt im Verhältnis zu kollektivrechtlichen Regelungen das Günstigkeitsprinzip in entsprechender Anwendung von </w:t>
      </w:r>
      <w:hyperlink r:id="rId915" w:tgtFrame="_blank" w:history="1">
        <w:r>
          <w:rPr>
            <w:rStyle w:val="Hyperlink"/>
          </w:rPr>
          <w:t>§ 4 Absatz 3 des Tarifvertragsgesetzes</w:t>
        </w:r>
      </w:hyperlink>
      <w:r>
        <w:t>.</w:t>
      </w:r>
      <w:r>
        <w:br w:type="page"/>
      </w:r>
    </w:p>
    <w:p w:rsidR="00BE1EFE" w:rsidRDefault="00BE1EFE" w:rsidP="00782A3A">
      <w:pPr>
        <w:pStyle w:val="berschrift6"/>
        <w:spacing w:before="0"/>
      </w:pPr>
      <w:bookmarkStart w:id="725" w:name="_Toc523926257"/>
      <w:r>
        <w:lastRenderedPageBreak/>
        <w:t>B, 4.1.3. Sonderregelungen für die Arbeitsverhältnisse von Lehrkräften an Grund- und Mittelschulen</w:t>
      </w:r>
      <w:bookmarkEnd w:id="725"/>
    </w:p>
    <w:p w:rsidR="00BE1EFE" w:rsidRPr="000B1AF8" w:rsidRDefault="00BE1EFE" w:rsidP="00585FBA">
      <w:pPr>
        <w:pStyle w:val="h7"/>
      </w:pPr>
      <w:bookmarkStart w:id="726" w:name="_Toc523926258"/>
      <w:r>
        <w:t>Kapitel 1 - Sonderregelungen zu Teil A, 1.</w:t>
      </w:r>
      <w:bookmarkEnd w:id="726"/>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jc w:val="center"/>
        <w:rPr>
          <w:b/>
          <w:bCs/>
        </w:rPr>
      </w:pPr>
      <w:r>
        <w:rPr>
          <w:rStyle w:val="Fett"/>
          <w:bCs/>
        </w:rPr>
        <w:t>Zum 1. Abschnitt</w:t>
      </w:r>
    </w:p>
    <w:p w:rsidR="00BE1EFE" w:rsidRDefault="00BE1EFE" w:rsidP="0054275E">
      <w:pPr>
        <w:pStyle w:val="StandardWeb"/>
        <w:autoSpaceDE w:val="0"/>
        <w:jc w:val="center"/>
      </w:pPr>
      <w:r>
        <w:rPr>
          <w:rStyle w:val="Fett"/>
          <w:bCs/>
        </w:rPr>
        <w:t>Allgemeine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w:t>
      </w:r>
    </w:p>
    <w:p w:rsidR="00BE1EFE" w:rsidRDefault="00BE1EFE" w:rsidP="0054275E">
      <w:pPr>
        <w:pStyle w:val="StandardWeb"/>
        <w:autoSpaceDE w:val="0"/>
        <w:jc w:val="center"/>
      </w:pPr>
      <w:r>
        <w:rPr>
          <w:rStyle w:val="Fett"/>
          <w:bCs/>
        </w:rPr>
        <w:t xml:space="preserve">Zu </w:t>
      </w:r>
      <w:hyperlink r:id="rId916" w:history="1">
        <w:r w:rsidRPr="002D1F1D">
          <w:rPr>
            <w:rStyle w:val="Hyperlink"/>
          </w:rPr>
          <w:t>§ 1 Teil A, 1.</w:t>
        </w:r>
      </w:hyperlink>
      <w:r>
        <w:rPr>
          <w:rStyle w:val="Fett"/>
          <w:bCs/>
        </w:rPr>
        <w:t xml:space="preserve"> - Allgemeiner Geltungsbereich -</w:t>
      </w:r>
    </w:p>
    <w:p w:rsidR="00BE1EFE" w:rsidRDefault="00BE1EFE">
      <w:pPr>
        <w:pStyle w:val="StandardWeb"/>
        <w:jc w:val="center"/>
      </w:pPr>
    </w:p>
    <w:p w:rsidR="00BE1EFE" w:rsidRDefault="00BE1EFE">
      <w:pPr>
        <w:pStyle w:val="StandardWeb"/>
      </w:pPr>
      <w:r>
        <w:t>(1) </w:t>
      </w:r>
      <w:r>
        <w:rPr>
          <w:rStyle w:val="kleinschrift"/>
        </w:rPr>
        <w:t>1</w:t>
      </w:r>
      <w:r>
        <w:t xml:space="preserve">Diese Sonderregelungen gelten für Lehrkräfte an Grund- und Mittelschulen. </w:t>
      </w:r>
      <w:r>
        <w:rPr>
          <w:rStyle w:val="kleinschrift"/>
        </w:rPr>
        <w:t>2</w:t>
      </w:r>
      <w:r>
        <w:t>Die Lehrer</w:t>
      </w:r>
      <w:r>
        <w:softHyphen/>
        <w:t>dienstordnung für katholische Schulen in freier Trägerschaft in Bayern (KLDO) in ihrer jeweiligen Fassung ist Bestandteil des Arbeitsverhältnisses.</w:t>
      </w:r>
    </w:p>
    <w:p w:rsidR="00BE1EFE" w:rsidRDefault="00BE1EFE">
      <w:pPr>
        <w:pStyle w:val="StandardWeb"/>
      </w:pPr>
    </w:p>
    <w:p w:rsidR="00BE1EFE" w:rsidRDefault="00BE1EFE">
      <w:pPr>
        <w:pStyle w:val="StandardWeb"/>
      </w:pPr>
      <w:r>
        <w:t>(2) Die Dienstordnung und die Vergütungsordnung für Religionslehrer i. K. an Volks- und Förderschulen in den bayerischen (Erz-)Diözesen bleiben unberührt.</w:t>
      </w:r>
    </w:p>
    <w:p w:rsidR="00BE1EFE" w:rsidRDefault="00BE1EFE">
      <w:pPr>
        <w:pStyle w:val="StandardWeb"/>
      </w:pPr>
    </w:p>
    <w:p w:rsidR="00BE1EFE" w:rsidRDefault="00BE1EFE">
      <w:pPr>
        <w:pStyle w:val="StandardWeb"/>
      </w:pPr>
      <w:r>
        <w:rPr>
          <w:sz w:val="12"/>
          <w:szCs w:val="12"/>
        </w:rPr>
        <w:t>Erläuterung:</w:t>
      </w:r>
    </w:p>
    <w:p w:rsidR="00BE1EFE" w:rsidRDefault="00BE1EFE">
      <w:pPr>
        <w:pStyle w:val="StandardWeb"/>
      </w:pPr>
      <w:r>
        <w:rPr>
          <w:sz w:val="12"/>
          <w:szCs w:val="12"/>
        </w:rPr>
        <w:t>1Diese Sonderregelungen gelten weiterhin für Lehrkräfte an Schulen, die gemäß Art. 127a BayEUG ab 1. August 2012 als Hauptschulen, Grund- und Hauptschulen oder Volksschulen fortgeführt werden. 2Lehrkräfte im Sinne dieser Sonderregelung sind Personen, bei denen die Vermittlung von Kenntnissen und Fertigkeiten im Rahmen eines Schulbetriebes der Tätigkeit das Gepräge gibt. 2Als Lehrkräfte im Sinne dieser Sonderregelungen gelten auch Schulleiterinnen und Schulleiter.</w:t>
      </w:r>
    </w:p>
    <w:p w:rsidR="00BE1EFE" w:rsidRDefault="00BE1EFE" w:rsidP="00BF51C4">
      <w:pPr>
        <w:pStyle w:val="Leerzeile"/>
      </w:pPr>
    </w:p>
    <w:p w:rsidR="00BE1EFE" w:rsidRDefault="00BE1EFE" w:rsidP="0054275E">
      <w:pPr>
        <w:pStyle w:val="StandardWeb"/>
        <w:autoSpaceDE w:val="0"/>
        <w:jc w:val="center"/>
        <w:rPr>
          <w:b/>
          <w:bCs/>
        </w:rPr>
      </w:pPr>
      <w:r>
        <w:rPr>
          <w:rStyle w:val="Fett"/>
          <w:bCs/>
        </w:rPr>
        <w:t>Nr. 2</w:t>
      </w:r>
    </w:p>
    <w:p w:rsidR="00BE1EFE" w:rsidRDefault="00BE1EFE" w:rsidP="0054275E">
      <w:pPr>
        <w:pStyle w:val="StandardWeb"/>
        <w:autoSpaceDE w:val="0"/>
        <w:jc w:val="center"/>
      </w:pPr>
      <w:r>
        <w:rPr>
          <w:rStyle w:val="Fett"/>
          <w:bCs/>
        </w:rPr>
        <w:t xml:space="preserve">Zu </w:t>
      </w:r>
      <w:hyperlink r:id="rId917" w:history="1">
        <w:r w:rsidRPr="002D1F1D">
          <w:rPr>
            <w:rStyle w:val="Hyperlink"/>
          </w:rPr>
          <w:t>§ 3 Teil A, 1.</w:t>
        </w:r>
      </w:hyperlink>
      <w:r>
        <w:rPr>
          <w:rStyle w:val="Fett"/>
          <w:bCs/>
        </w:rPr>
        <w:t xml:space="preserve"> - Allgemeine Arbeitsbedingungen -</w:t>
      </w:r>
    </w:p>
    <w:p w:rsidR="00BE1EFE" w:rsidRDefault="00BE1EFE">
      <w:pPr>
        <w:pStyle w:val="StandardWeb"/>
        <w:jc w:val="center"/>
      </w:pPr>
    </w:p>
    <w:p w:rsidR="00BE1EFE" w:rsidRDefault="00BE1EFE">
      <w:pPr>
        <w:pStyle w:val="StandardWeb"/>
      </w:pPr>
      <w:r>
        <w:t xml:space="preserve">Für die ärztliche Untersuchung gemäß </w:t>
      </w:r>
      <w:hyperlink r:id="rId918" w:history="1">
        <w:r w:rsidRPr="002D1F1D">
          <w:rPr>
            <w:rStyle w:val="Hyperlink"/>
          </w:rPr>
          <w:t>§ 3 Absatz 4 Teil A, 1.</w:t>
        </w:r>
      </w:hyperlink>
      <w:r>
        <w:t xml:space="preserve"> gelten auch die Bestimmungen, die zur Verhütung der Verbreitung übertragbarer Krankheiten an Schulen allgemein erlassen sind.</w:t>
      </w:r>
    </w:p>
    <w:p w:rsidR="00BE1EFE" w:rsidRDefault="00BE1EFE">
      <w:pPr>
        <w:pStyle w:val="StandardWeb"/>
      </w:pPr>
    </w:p>
    <w:p w:rsidR="00BE1EFE" w:rsidRDefault="00BE1EFE" w:rsidP="0054275E">
      <w:pPr>
        <w:pStyle w:val="StandardWeb"/>
        <w:autoSpaceDE w:val="0"/>
        <w:jc w:val="center"/>
        <w:rPr>
          <w:b/>
          <w:bCs/>
        </w:rPr>
      </w:pPr>
      <w:r>
        <w:rPr>
          <w:rStyle w:val="Fett"/>
          <w:bCs/>
        </w:rPr>
        <w:t>Nr. 3</w:t>
      </w:r>
    </w:p>
    <w:p w:rsidR="00BE1EFE" w:rsidRDefault="00BE1EFE" w:rsidP="0054275E">
      <w:pPr>
        <w:pStyle w:val="StandardWeb"/>
        <w:autoSpaceDE w:val="0"/>
        <w:jc w:val="center"/>
      </w:pPr>
      <w:r>
        <w:rPr>
          <w:rStyle w:val="Fett"/>
          <w:bCs/>
        </w:rPr>
        <w:t xml:space="preserve">Zu </w:t>
      </w:r>
      <w:hyperlink r:id="rId919" w:history="1">
        <w:r w:rsidRPr="002D1F1D">
          <w:rPr>
            <w:rStyle w:val="Hyperlink"/>
          </w:rPr>
          <w:t>§§ 5</w:t>
        </w:r>
      </w:hyperlink>
      <w:r>
        <w:rPr>
          <w:rStyle w:val="Fett"/>
          <w:bCs/>
        </w:rPr>
        <w:t xml:space="preserve"> und </w:t>
      </w:r>
      <w:hyperlink r:id="rId920" w:history="1">
        <w:r>
          <w:rPr>
            <w:rStyle w:val="Hyperlink"/>
          </w:rPr>
          <w:t>5</w:t>
        </w:r>
        <w:r w:rsidRPr="002D1F1D">
          <w:rPr>
            <w:rStyle w:val="Hyperlink"/>
          </w:rPr>
          <w:t>a Teil A, 1.</w:t>
        </w:r>
      </w:hyperlink>
      <w:r>
        <w:rPr>
          <w:rStyle w:val="Fett"/>
          <w:bCs/>
        </w:rPr>
        <w:t xml:space="preserve"> - Qualifizierung, Freiwillige Qualifizierungsmaßnahmen -</w:t>
      </w:r>
    </w:p>
    <w:p w:rsidR="00BE1EFE" w:rsidRDefault="00BE1EFE">
      <w:pPr>
        <w:pStyle w:val="StandardWeb"/>
        <w:jc w:val="center"/>
      </w:pPr>
    </w:p>
    <w:p w:rsidR="00BE1EFE" w:rsidRDefault="00BE1EFE">
      <w:pPr>
        <w:pStyle w:val="StandardWeb"/>
      </w:pPr>
      <w:r>
        <w:rPr>
          <w:rStyle w:val="kleinschrift"/>
        </w:rPr>
        <w:t>1</w:t>
      </w:r>
      <w:r>
        <w:t xml:space="preserve">Die Lehrkräfte sind verpflichtet und berechtigt, im Umfang von zwölf Fortbildungstagen innerhalb von vier Jahren an Maßnahmen der Qualifizierung – auch während der Ferien – teilzunehmen. </w:t>
      </w:r>
      <w:r>
        <w:rPr>
          <w:rStyle w:val="kleinschrift"/>
        </w:rPr>
        <w:t>2</w:t>
      </w:r>
      <w:r>
        <w:t xml:space="preserve">Die Durchführung im Einzelnen wird vom Schulträger geregelt. </w:t>
      </w:r>
      <w:r>
        <w:rPr>
          <w:rStyle w:val="kleinschrift"/>
        </w:rPr>
        <w:t>3</w:t>
      </w:r>
      <w:r>
        <w:t xml:space="preserve">Für die Reisekostenvergütung gelten die Regelungen wie für die entsprechenden Beamten des Katholischen Schulwerks in Bayern. </w:t>
      </w:r>
      <w:r>
        <w:rPr>
          <w:rStyle w:val="kleinschrift"/>
        </w:rPr>
        <w:t>4</w:t>
      </w:r>
      <w:r>
        <w:t xml:space="preserve">Dabei finden die </w:t>
      </w:r>
      <w:hyperlink r:id="rId921" w:history="1">
        <w:r w:rsidRPr="002D1F1D">
          <w:rPr>
            <w:rStyle w:val="Hyperlink"/>
          </w:rPr>
          <w:t>§§ 5</w:t>
        </w:r>
      </w:hyperlink>
      <w:r>
        <w:t xml:space="preserve">, </w:t>
      </w:r>
      <w:hyperlink r:id="rId922" w:history="1">
        <w:r>
          <w:rPr>
            <w:rStyle w:val="Hyperlink"/>
          </w:rPr>
          <w:t>5</w:t>
        </w:r>
        <w:r w:rsidRPr="002D1F1D">
          <w:rPr>
            <w:rStyle w:val="Hyperlink"/>
          </w:rPr>
          <w:t>a Teil A, 1.</w:t>
        </w:r>
      </w:hyperlink>
      <w:r>
        <w:t xml:space="preserve"> entsprechende Anwendung.</w:t>
      </w:r>
    </w:p>
    <w:p w:rsidR="00BE1EFE" w:rsidRDefault="00BE1EFE" w:rsidP="00371609">
      <w:pPr>
        <w:pStyle w:val="StandardWeb"/>
      </w:pPr>
      <w:r>
        <w:br w:type="page"/>
      </w:r>
    </w:p>
    <w:p w:rsidR="00BE1EFE" w:rsidRDefault="00BE1EFE" w:rsidP="0054275E">
      <w:pPr>
        <w:pStyle w:val="StandardWeb"/>
        <w:autoSpaceDE w:val="0"/>
        <w:jc w:val="center"/>
        <w:rPr>
          <w:b/>
          <w:bCs/>
        </w:rPr>
      </w:pPr>
      <w:r>
        <w:rPr>
          <w:rStyle w:val="Fett"/>
          <w:bCs/>
        </w:rPr>
        <w:lastRenderedPageBreak/>
        <w:t>Zum 2. Abschnitt</w:t>
      </w:r>
    </w:p>
    <w:p w:rsidR="00BE1EFE" w:rsidRDefault="00BE1EFE" w:rsidP="0054275E">
      <w:pPr>
        <w:pStyle w:val="StandardWeb"/>
        <w:autoSpaceDE w:val="0"/>
        <w:jc w:val="center"/>
      </w:pPr>
      <w:r>
        <w:rPr>
          <w:rStyle w:val="Fett"/>
          <w:bCs/>
        </w:rPr>
        <w:t>Arbeitszeit, Überstunden</w:t>
      </w:r>
    </w:p>
    <w:p w:rsidR="00BE1EFE" w:rsidRDefault="00BE1EFE">
      <w:pPr>
        <w:pStyle w:val="StandardWeb"/>
        <w:jc w:val="center"/>
      </w:pPr>
    </w:p>
    <w:p w:rsidR="00BE1EFE" w:rsidRDefault="00BE1EFE" w:rsidP="0054275E">
      <w:pPr>
        <w:pStyle w:val="StandardWeb"/>
        <w:autoSpaceDE w:val="0"/>
        <w:jc w:val="center"/>
      </w:pPr>
      <w:r>
        <w:rPr>
          <w:rStyle w:val="Fett"/>
          <w:bCs/>
        </w:rPr>
        <w:t>Nr. 4</w:t>
      </w:r>
    </w:p>
    <w:p w:rsidR="00BE1EFE" w:rsidRDefault="00BE1EFE">
      <w:pPr>
        <w:pStyle w:val="StandardWeb"/>
        <w:jc w:val="center"/>
      </w:pPr>
    </w:p>
    <w:p w:rsidR="00BE1EFE" w:rsidRDefault="00BE1EFE">
      <w:pPr>
        <w:pStyle w:val="StandardWeb"/>
      </w:pPr>
      <w:r>
        <w:t xml:space="preserve">(1) Die </w:t>
      </w:r>
      <w:hyperlink r:id="rId923" w:history="1">
        <w:r w:rsidRPr="002D1F1D">
          <w:rPr>
            <w:rStyle w:val="Hyperlink"/>
          </w:rPr>
          <w:t>§§ 6</w:t>
        </w:r>
      </w:hyperlink>
      <w:r>
        <w:t xml:space="preserve">, </w:t>
      </w:r>
      <w:hyperlink r:id="rId924" w:history="1">
        <w:r w:rsidRPr="002D1F1D">
          <w:rPr>
            <w:rStyle w:val="Hyperlink"/>
          </w:rPr>
          <w:t>7</w:t>
        </w:r>
      </w:hyperlink>
      <w:r>
        <w:t xml:space="preserve">, </w:t>
      </w:r>
      <w:hyperlink r:id="rId925" w:history="1">
        <w:r w:rsidRPr="002D1F1D">
          <w:rPr>
            <w:rStyle w:val="Hyperlink"/>
          </w:rPr>
          <w:t>8</w:t>
        </w:r>
      </w:hyperlink>
      <w:r>
        <w:t xml:space="preserve">, </w:t>
      </w:r>
      <w:hyperlink r:id="rId926" w:history="1">
        <w:r w:rsidRPr="002D1F1D">
          <w:rPr>
            <w:rStyle w:val="Hyperlink"/>
          </w:rPr>
          <w:t>9</w:t>
        </w:r>
      </w:hyperlink>
      <w:r>
        <w:t xml:space="preserve">, </w:t>
      </w:r>
      <w:hyperlink r:id="rId927" w:history="1">
        <w:r w:rsidRPr="002D1F1D">
          <w:rPr>
            <w:rStyle w:val="Hyperlink"/>
          </w:rPr>
          <w:t>10</w:t>
        </w:r>
      </w:hyperlink>
      <w:r>
        <w:t xml:space="preserve">, </w:t>
      </w:r>
      <w:hyperlink r:id="rId928" w:history="1">
        <w:r w:rsidRPr="002D1F1D">
          <w:rPr>
            <w:rStyle w:val="Hyperlink"/>
          </w:rPr>
          <w:t>11</w:t>
        </w:r>
      </w:hyperlink>
      <w:r>
        <w:t xml:space="preserve">, </w:t>
      </w:r>
      <w:hyperlink r:id="rId929" w:history="1">
        <w:r>
          <w:rPr>
            <w:rStyle w:val="Hyperlink"/>
          </w:rPr>
          <w:t>11</w:t>
        </w:r>
        <w:r w:rsidRPr="002D1F1D">
          <w:rPr>
            <w:rStyle w:val="Hyperlink"/>
          </w:rPr>
          <w:t>a</w:t>
        </w:r>
      </w:hyperlink>
      <w:r>
        <w:t xml:space="preserve">, </w:t>
      </w:r>
      <w:hyperlink r:id="rId930" w:history="1">
        <w:r>
          <w:rPr>
            <w:rStyle w:val="Hyperlink"/>
          </w:rPr>
          <w:t>11</w:t>
        </w:r>
        <w:r w:rsidRPr="002D1F1D">
          <w:rPr>
            <w:rStyle w:val="Hyperlink"/>
          </w:rPr>
          <w:t>b</w:t>
        </w:r>
      </w:hyperlink>
      <w:r>
        <w:t xml:space="preserve"> und </w:t>
      </w:r>
      <w:hyperlink r:id="rId931" w:history="1">
        <w:r w:rsidRPr="002D1F1D">
          <w:rPr>
            <w:rStyle w:val="Hyperlink"/>
          </w:rPr>
          <w:t>43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Für Lehrkräfte gelten die Arbeitszeitregelungen wie für entsprechende Lehrkräfte des Freistaates Bayern. </w:t>
      </w:r>
      <w:r>
        <w:rPr>
          <w:rStyle w:val="kleinschrift"/>
        </w:rPr>
        <w:t>2</w:t>
      </w:r>
      <w:r>
        <w:t xml:space="preserve">Bei der Errichtung eines freiwilligen Arbeitszeitkontos findet </w:t>
      </w:r>
      <w:hyperlink r:id="rId932" w:history="1">
        <w:r w:rsidRPr="002D1F1D">
          <w:rPr>
            <w:rStyle w:val="Hyperlink"/>
          </w:rPr>
          <w:t>§ 6 Absatz 4 Teil D, 4.</w:t>
        </w:r>
      </w:hyperlink>
      <w:r>
        <w:t xml:space="preserve"> entsprechende Anwendung. </w:t>
      </w:r>
      <w:r>
        <w:rPr>
          <w:rStyle w:val="kleinschrift"/>
        </w:rPr>
        <w:t>3</w:t>
      </w:r>
      <w:r>
        <w:t>Die Errichtung eines verpflichtenden Arbeitszeitkontos richtet sich nach den Vorschriften für die entsprechenden Lehrkräfte des Freistaats Bayern.</w:t>
      </w:r>
    </w:p>
    <w:p w:rsidR="00BE1EFE" w:rsidRDefault="00BE1EFE">
      <w:pPr>
        <w:pStyle w:val="StandardWeb"/>
      </w:pPr>
      <w:r>
        <w:rPr>
          <w:sz w:val="12"/>
          <w:szCs w:val="12"/>
        </w:rPr>
        <w:t>Protokollnotiz zu Absatz 2 Satz 2:</w:t>
      </w:r>
    </w:p>
    <w:p w:rsidR="00BE1EFE" w:rsidRDefault="00BE1EFE">
      <w:pPr>
        <w:pStyle w:val="StandardWeb"/>
        <w:rPr>
          <w:sz w:val="12"/>
          <w:szCs w:val="12"/>
        </w:rPr>
      </w:pPr>
      <w:r>
        <w:rPr>
          <w:sz w:val="12"/>
          <w:szCs w:val="12"/>
        </w:rPr>
        <w:t xml:space="preserve">Anstelle der in </w:t>
      </w:r>
      <w:hyperlink r:id="rId933" w:history="1">
        <w:r w:rsidRPr="002D1F1D">
          <w:rPr>
            <w:rStyle w:val="Hyperlink"/>
            <w:sz w:val="12"/>
            <w:szCs w:val="12"/>
          </w:rPr>
          <w:t>§ 6 Absatz 4. Teil D, 4.</w:t>
        </w:r>
      </w:hyperlink>
      <w:r>
        <w:rPr>
          <w:sz w:val="12"/>
          <w:szCs w:val="12"/>
        </w:rPr>
        <w:t> (Arbeitszeitkontenregelung) genannten Jahreswochenstunden können für den Bereich der Lehrkräfte an Schulen in kirchlicher Trägerschaft als Mehrarbeit vergütungspflichtige Unterrichtsstunden dem Arbeitszeitkonto gutgeschrieben werden.</w:t>
      </w:r>
    </w:p>
    <w:p w:rsidR="00BE1EFE" w:rsidRDefault="00BE1EFE">
      <w:pPr>
        <w:pStyle w:val="StandardWeb"/>
      </w:pPr>
      <w:r>
        <w:rPr>
          <w:sz w:val="12"/>
          <w:szCs w:val="12"/>
        </w:rPr>
        <w:t>Protokollnotiz zu Absatz 2 Satz 3:</w:t>
      </w:r>
    </w:p>
    <w:p w:rsidR="00BE1EFE" w:rsidRDefault="00BE1EFE">
      <w:pPr>
        <w:pStyle w:val="StandardWeb"/>
      </w:pPr>
      <w:r>
        <w:rPr>
          <w:sz w:val="12"/>
          <w:szCs w:val="12"/>
        </w:rPr>
        <w:t xml:space="preserve">1. Auf Antrag der Lehrkraft kann der Schulträger angesparte Zeiten finanziell abgelten. </w:t>
      </w:r>
    </w:p>
    <w:p w:rsidR="00BE1EFE" w:rsidRDefault="00BE1EFE">
      <w:pPr>
        <w:pStyle w:val="StandardWeb"/>
      </w:pPr>
      <w:r>
        <w:rPr>
          <w:sz w:val="12"/>
          <w:szCs w:val="12"/>
        </w:rPr>
        <w:t>2. Der Schulträger hat das Recht den Gesamtumfang des Arbeitszeitkontos bis höchstens zu der für die Lehrkräfte des Freistaates Bayern geltenden Dauer festzulegen.</w:t>
      </w:r>
    </w:p>
    <w:p w:rsidR="00BE1EFE" w:rsidRDefault="00BE1EFE">
      <w:pPr>
        <w:pStyle w:val="StandardWeb"/>
      </w:pPr>
    </w:p>
    <w:p w:rsidR="00BE1EFE" w:rsidRDefault="00BE1EFE">
      <w:pPr>
        <w:pStyle w:val="StandardWeb"/>
      </w:pPr>
      <w:r>
        <w:t>(3) Für die Vergütung von Mehrarbeit gelten die Vorschriften für arbeitsvertraglich beschäftigte Lehrkräfte des Freistaates Bayern.</w:t>
      </w:r>
    </w:p>
    <w:p w:rsidR="00BE1EFE" w:rsidRDefault="00BE1EFE">
      <w:pPr>
        <w:pStyle w:val="StandardWeb"/>
      </w:pPr>
      <w:r>
        <w:rPr>
          <w:sz w:val="12"/>
          <w:szCs w:val="12"/>
        </w:rPr>
        <w:t>Protokollnotiz zu Absatz 3:</w:t>
      </w:r>
    </w:p>
    <w:p w:rsidR="00BE1EFE" w:rsidRDefault="00BE1EFE">
      <w:pPr>
        <w:pStyle w:val="StandardWeb"/>
      </w:pPr>
      <w:r>
        <w:rPr>
          <w:sz w:val="12"/>
          <w:szCs w:val="12"/>
        </w:rPr>
        <w:t>Vollbeschäftigte Lehrkräfte erhalten bei für die Dauer von mindestens fünf zusammenhängenden Monaten angeordneter regelmäßiger Mehrarbeit im entsprechenden Umfang erhöhtes Entgelt. Diese Mehrarbeit muss ohne Unterbrechung innerhalb eines Schuljahres in einer Klasse in einem Fach geleistet werden. Krankheit, Fortbildung, Schulfahrten, Ferien und ähnliche Unterbrechungen der vertretenden Lehrkraft stellen keine Unterbrechung im oben genannten Sinne dar.</w:t>
      </w:r>
    </w:p>
    <w:p w:rsidR="00BE1EFE" w:rsidRDefault="00BE1EFE">
      <w:pPr>
        <w:pStyle w:val="StandardWeb"/>
      </w:pPr>
    </w:p>
    <w:p w:rsidR="00BE1EFE" w:rsidRDefault="00BE1EFE">
      <w:pPr>
        <w:pStyle w:val="StandardWeb"/>
      </w:pPr>
      <w:r>
        <w:t>(4) Lehrkräfte erhalten bei Übernahme einer Tätigkeit, für die bei gleichartigen staatlichen Schulen Anrechnungen üblich sind, sowie bei vergleichbaren Tätigkeiten, die dem speziellen Profil der Schule dienen, Anrechnungen, soweit solche zur Verfügung stehen.</w:t>
      </w:r>
    </w:p>
    <w:p w:rsidR="00BE1EFE" w:rsidRDefault="00BE1EFE">
      <w:pPr>
        <w:pStyle w:val="StandardWeb"/>
      </w:pPr>
      <w:r>
        <w:rPr>
          <w:sz w:val="12"/>
          <w:szCs w:val="12"/>
        </w:rPr>
        <w:t>Protokollnotiz zu Absatz 4:</w:t>
      </w:r>
    </w:p>
    <w:p w:rsidR="00BE1EFE" w:rsidRDefault="00BE1EFE">
      <w:pPr>
        <w:pStyle w:val="StandardWeb"/>
      </w:pPr>
      <w:r>
        <w:rPr>
          <w:sz w:val="12"/>
          <w:szCs w:val="12"/>
        </w:rPr>
        <w:t>Die für gleichartige staatliche Schulen zur Verfügung stehenden Anrechnungsstunden werden ausgeschöpft.</w:t>
      </w:r>
    </w:p>
    <w:p w:rsidR="00BE1EFE" w:rsidRDefault="00BE1EFE">
      <w:pPr>
        <w:pStyle w:val="StandardWeb"/>
      </w:pPr>
    </w:p>
    <w:p w:rsidR="00BE1EFE" w:rsidRDefault="00BE1EFE">
      <w:pPr>
        <w:pStyle w:val="StandardWeb"/>
      </w:pPr>
      <w:r>
        <w:t>(5) </w:t>
      </w:r>
      <w:r>
        <w:rPr>
          <w:rStyle w:val="kleinschrift"/>
        </w:rPr>
        <w:t>1</w:t>
      </w:r>
      <w:r>
        <w:t xml:space="preserve">Lehrkräfte erhalten Ermäßigungen entsprechend den staatlichen Vorschriften. </w:t>
      </w:r>
      <w:r>
        <w:rPr>
          <w:rStyle w:val="kleinschrift"/>
        </w:rPr>
        <w:t>2</w:t>
      </w:r>
      <w:r>
        <w:t>Abweichend von Satz 1 erhalten Lehrkräfte in Altersteilzeit die ihrer tatsächlichen Beschäfti</w:t>
      </w:r>
      <w:r>
        <w:softHyphen/>
        <w:t>gung entsprechende Altersermäßigung.</w:t>
      </w:r>
    </w:p>
    <w:p w:rsidR="00BE1EFE" w:rsidRDefault="00BE1EFE">
      <w:pPr>
        <w:pStyle w:val="StandardWeb"/>
      </w:pPr>
      <w:r>
        <w:t>(6) </w:t>
      </w:r>
      <w:r>
        <w:rPr>
          <w:rStyle w:val="kleinschrift"/>
        </w:rPr>
        <w:t>1</w:t>
      </w:r>
      <w:r>
        <w:t>Die Unterrichtspflichtzeit kann im Einzelfall bei Vorliegen dringender betrieblicher Erfordernisse für das jeweilige Schuljahr um bis zu 20 % gekürzt werden</w:t>
      </w:r>
      <w:r w:rsidRPr="0003233B">
        <w:rPr>
          <w:rStyle w:val="kleinschrift1"/>
          <w:sz w:val="16"/>
          <w:szCs w:val="16"/>
          <w:vertAlign w:val="superscript"/>
        </w:rPr>
        <w:t>1</w:t>
      </w:r>
      <w:r>
        <w:t xml:space="preserve">. </w:t>
      </w:r>
      <w:r>
        <w:rPr>
          <w:rStyle w:val="kleinschrift"/>
        </w:rPr>
        <w:t>2</w:t>
      </w:r>
      <w:r>
        <w:t>Davon ausgenom</w:t>
      </w:r>
      <w:r>
        <w:softHyphen/>
        <w:t xml:space="preserve">men sind Lehrkräfte, bei denen die Voraussetzungen des </w:t>
      </w:r>
      <w:hyperlink r:id="rId934" w:history="1">
        <w:r w:rsidRPr="002D1F1D">
          <w:rPr>
            <w:rStyle w:val="Hyperlink"/>
          </w:rPr>
          <w:t>§ 34 Absatz 2 Teil A, 1.</w:t>
        </w:r>
      </w:hyperlink>
      <w:r>
        <w:t xml:space="preserve"> vorliegen. </w:t>
      </w:r>
      <w:r>
        <w:rPr>
          <w:rStyle w:val="kleinschrift"/>
        </w:rPr>
        <w:t>3</w:t>
      </w:r>
      <w:r>
        <w:t>Die Auswahl hat soziale Gesichtspunkte entsprechend § 1 Absatz 3 Sätze 1, 2 des Kündigungsschutzgesetzes zu berücksichtigen.</w:t>
      </w:r>
    </w:p>
    <w:p w:rsidR="00BE1EFE" w:rsidRDefault="00BE1EFE">
      <w:pPr>
        <w:pStyle w:val="StandardWeb"/>
      </w:pPr>
      <w:r>
        <w:rPr>
          <w:sz w:val="12"/>
          <w:szCs w:val="12"/>
          <w:vertAlign w:val="superscript"/>
        </w:rPr>
        <w:t>1</w:t>
      </w:r>
      <w:r>
        <w:rPr>
          <w:sz w:val="12"/>
          <w:szCs w:val="12"/>
        </w:rPr>
        <w:t>Vorrangig ist eine Einigung mit den Lehrkräften zu versuchen.</w:t>
      </w:r>
    </w:p>
    <w:p w:rsidR="00BE1EFE" w:rsidRDefault="00BE1EFE">
      <w:pPr>
        <w:pStyle w:val="StandardWeb"/>
      </w:pPr>
    </w:p>
    <w:p w:rsidR="00BE1EFE" w:rsidRDefault="00BE1EFE">
      <w:pPr>
        <w:pStyle w:val="StandardWeb"/>
      </w:pPr>
      <w:r>
        <w:t>(7) </w:t>
      </w:r>
      <w:r>
        <w:rPr>
          <w:rStyle w:val="kleinschrift"/>
        </w:rPr>
        <w:t>1</w:t>
      </w:r>
      <w:r>
        <w:t xml:space="preserve">Der Schulträger ist berechtigt, in angemessenem Umfang Unterrichtsstunden der Lehrkraft durch die Erledigung außerunterrichtlicher schulbezogener Aufgaben zu ersetzen. </w:t>
      </w:r>
      <w:r>
        <w:rPr>
          <w:rStyle w:val="kleinschrift"/>
        </w:rPr>
        <w:t>2</w:t>
      </w:r>
      <w:r>
        <w:t>Dabei werden 45 Minuten Unterricht mit 100 Minuten außerunterrichtlicher Aufgaben verrechnet; bei einem Einsatz in offenen oder gebundenen Ganztagsangeboten werden 45 Minuten Unterricht mit 90 Minuten außerunterrichtlicher Aufgaben verrechnet, sofern die Ganztagsangebote die Voraussetzungen für die staatliche Förderung erfüllen. </w:t>
      </w:r>
      <w:r>
        <w:rPr>
          <w:rStyle w:val="kleinschrift"/>
        </w:rPr>
        <w:t>3</w:t>
      </w:r>
      <w:r>
        <w:t>Im Übrigen bleibt die Befugnis gemäß der Kirchlichen Lehrerdienstordnung, die Lehrkraft zur Erledigung außerunterrichtlicher Aufgaben zu verpflichten, unberührt.</w:t>
      </w:r>
    </w:p>
    <w:p w:rsidR="00BE1EFE" w:rsidRDefault="00BE1EFE">
      <w:pPr>
        <w:pStyle w:val="StandardWeb"/>
      </w:pPr>
      <w:r>
        <w:rPr>
          <w:sz w:val="12"/>
          <w:szCs w:val="12"/>
        </w:rPr>
        <w:t xml:space="preserve">Protokollnotiz: </w:t>
      </w:r>
    </w:p>
    <w:p w:rsidR="00BE1EFE" w:rsidRDefault="00BE1EFE">
      <w:pPr>
        <w:pStyle w:val="StandardWeb"/>
      </w:pPr>
      <w:r>
        <w:rPr>
          <w:sz w:val="12"/>
          <w:szCs w:val="12"/>
        </w:rPr>
        <w:t xml:space="preserve">Es bestehen keine Einwände gegen die Anwendung der staatlichen Regelungen bei der Mehr- oder Minderarbeit. Eine entsprechende Fixierung mit den betroffenen Lehrkräften im Rahmen der staatlichen Vorgaben wird nahegelegt. Der Abbau der Mehrarbeitsstunden erfolgt im Sinne der </w:t>
      </w:r>
      <w:hyperlink r:id="rId935" w:history="1">
        <w:r w:rsidRPr="002D1F1D">
          <w:rPr>
            <w:rStyle w:val="Hyperlink"/>
            <w:sz w:val="12"/>
            <w:szCs w:val="12"/>
          </w:rPr>
          <w:t>Arbeitszeitkontenregelung des Teil D, 4</w:t>
        </w:r>
      </w:hyperlink>
      <w:r>
        <w:rPr>
          <w:sz w:val="12"/>
          <w:szCs w:val="12"/>
        </w:rPr>
        <w:t>.</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3. Abschnitt</w:t>
      </w:r>
    </w:p>
    <w:p w:rsidR="00BE1EFE" w:rsidRDefault="00BE1EFE" w:rsidP="0054275E">
      <w:pPr>
        <w:pStyle w:val="StandardWeb"/>
        <w:autoSpaceDE w:val="0"/>
        <w:jc w:val="center"/>
      </w:pPr>
      <w:r>
        <w:rPr>
          <w:rStyle w:val="Fett"/>
          <w:bCs/>
        </w:rPr>
        <w:t>Eingruppierung, Entgelt und sonstige Leistungen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5</w:t>
      </w:r>
    </w:p>
    <w:p w:rsidR="00BE1EFE" w:rsidRDefault="00BE1EFE" w:rsidP="0054275E">
      <w:pPr>
        <w:pStyle w:val="StandardWeb"/>
        <w:autoSpaceDE w:val="0"/>
        <w:jc w:val="center"/>
      </w:pPr>
      <w:r>
        <w:rPr>
          <w:rStyle w:val="Fett"/>
          <w:bCs/>
        </w:rPr>
        <w:t xml:space="preserve">Zu </w:t>
      </w:r>
      <w:hyperlink r:id="rId936" w:history="1">
        <w:r w:rsidRPr="002D1F1D">
          <w:rPr>
            <w:rStyle w:val="Hyperlink"/>
          </w:rPr>
          <w:t>§§ 12 bis 14 Teil A, 1.</w:t>
        </w:r>
      </w:hyperlink>
      <w:r>
        <w:rPr>
          <w:rStyle w:val="Fett"/>
          <w:bCs/>
        </w:rPr>
        <w:t xml:space="preserve"> - Eingruppierung, Eingruppierung in besonderen Fällen, Anmerkung zu §§ 12,13, Vorübergehende Ausübung einer höherwertigen Tätigkeit -</w:t>
      </w:r>
    </w:p>
    <w:p w:rsidR="00BE1EFE" w:rsidRDefault="00BE1EFE">
      <w:pPr>
        <w:pStyle w:val="StandardWeb"/>
        <w:jc w:val="center"/>
      </w:pPr>
    </w:p>
    <w:p w:rsidR="00BE1EFE" w:rsidRDefault="00BE1EFE">
      <w:pPr>
        <w:pStyle w:val="StandardWeb"/>
      </w:pPr>
      <w:r>
        <w:t xml:space="preserve">(1) Die </w:t>
      </w:r>
      <w:hyperlink r:id="rId937" w:history="1">
        <w:r w:rsidRPr="002D1F1D">
          <w:rPr>
            <w:rStyle w:val="Hyperlink"/>
          </w:rPr>
          <w:t>§§ 12 bis 14 Teil A, 1.</w:t>
        </w:r>
      </w:hyperlink>
      <w:r>
        <w:t xml:space="preserve"> finden keine Anwendung.</w:t>
      </w:r>
    </w:p>
    <w:p w:rsidR="00BE1EFE" w:rsidRDefault="00BE1EFE">
      <w:pPr>
        <w:pStyle w:val="StandardWeb"/>
      </w:pPr>
    </w:p>
    <w:p w:rsidR="00BE1EFE" w:rsidRDefault="00BE1EFE">
      <w:pPr>
        <w:pStyle w:val="StandardWeb"/>
      </w:pPr>
      <w:r>
        <w:t>(2) Lehrkräfte, bei denen die fachlichen und pädagogischen Voraussetzungen zur Übernahme in ein Beamtenverhältnis erfüllt sind, werden eingruppiert wie vergleichbare Beamte des Katholischen Schulwerks in Bayern.</w:t>
      </w:r>
    </w:p>
    <w:p w:rsidR="00BE1EFE" w:rsidRDefault="00BE1EFE">
      <w:pPr>
        <w:pStyle w:val="StandardWeb"/>
      </w:pPr>
    </w:p>
    <w:p w:rsidR="00BE1EFE" w:rsidRDefault="00BE1EFE">
      <w:pPr>
        <w:pStyle w:val="StandardWeb"/>
      </w:pPr>
      <w:r>
        <w:t>(3) </w:t>
      </w:r>
      <w:r>
        <w:rPr>
          <w:rStyle w:val="kleinschrift"/>
        </w:rPr>
        <w:t>1</w:t>
      </w:r>
      <w:r>
        <w:t xml:space="preserve">Lehrkräfte, bei denen die Voraussetzungen zur Übernahme in ein Beamtenverhältnis wegen Fehlens der fachlichen und/oder pädagogischen Voraussetzungen nicht erfüllt sind, werden ein- und höhergruppiert gemäß </w:t>
      </w:r>
      <w:hyperlink r:id="rId938" w:history="1">
        <w:r w:rsidRPr="002D1F1D">
          <w:rPr>
            <w:rStyle w:val="Hyperlink"/>
          </w:rPr>
          <w:t>Anlage A</w:t>
        </w:r>
      </w:hyperlink>
      <w:r>
        <w:t xml:space="preserve">, hilfsweise gemäß </w:t>
      </w:r>
      <w:hyperlink r:id="rId939" w:history="1">
        <w:r w:rsidRPr="002D1F1D">
          <w:rPr>
            <w:rStyle w:val="Hyperlink"/>
          </w:rPr>
          <w:t>Anlage B</w:t>
        </w:r>
      </w:hyperlink>
      <w:r>
        <w:t xml:space="preserve">. </w:t>
      </w:r>
      <w:r>
        <w:rPr>
          <w:rStyle w:val="kleinschrift"/>
        </w:rPr>
        <w:t>2</w:t>
      </w:r>
      <w:r>
        <w:t>Für die Erfül</w:t>
      </w:r>
      <w:r>
        <w:softHyphen/>
        <w:t xml:space="preserve">lung der Bewährungszeit findet </w:t>
      </w:r>
      <w:hyperlink r:id="rId940" w:history="1">
        <w:r w:rsidRPr="002D1F1D">
          <w:rPr>
            <w:rStyle w:val="Hyperlink"/>
          </w:rPr>
          <w:t>Anlage C</w:t>
        </w:r>
      </w:hyperlink>
      <w:r>
        <w:t xml:space="preserve"> Anwendung.</w:t>
      </w:r>
    </w:p>
    <w:p w:rsidR="00BE1EFE" w:rsidRDefault="00BE1EFE">
      <w:pPr>
        <w:pStyle w:val="StandardWeb"/>
      </w:pPr>
    </w:p>
    <w:p w:rsidR="00BE1EFE" w:rsidRDefault="00BE1EFE">
      <w:pPr>
        <w:pStyle w:val="StandardWeb"/>
      </w:pPr>
      <w:r>
        <w:t>(4) </w:t>
      </w:r>
      <w:r>
        <w:rPr>
          <w:rStyle w:val="kleinschrift"/>
        </w:rPr>
        <w:t>1</w:t>
      </w:r>
      <w:r>
        <w:t xml:space="preserve">Den Lehrkräften an staatlich anerkannten Ersatzschulen wird das Recht zur Führung der Berufsbezeichnung eingeräumt, die das Bayerische Staatsministerium für Unterricht und Kultus für bestimmte Gruppen von Lehrkräften allgemein festsetzt. </w:t>
      </w:r>
      <w:r>
        <w:rPr>
          <w:rStyle w:val="kleinschrift"/>
        </w:rPr>
        <w:t>2</w:t>
      </w:r>
      <w:r>
        <w:t>Das Nähere regelt eine Ordnung zur Verleihung von Berufsbezeichnungen.</w:t>
      </w:r>
    </w:p>
    <w:p w:rsidR="00BE1EFE" w:rsidRDefault="00BE1EFE">
      <w:pPr>
        <w:pStyle w:val="StandardWeb"/>
      </w:pPr>
    </w:p>
    <w:p w:rsidR="00BE1EFE" w:rsidRDefault="00BE1EFE">
      <w:pPr>
        <w:pStyle w:val="StandardWeb"/>
      </w:pPr>
      <w:r>
        <w:t>(5) </w:t>
      </w:r>
      <w:r>
        <w:rPr>
          <w:rStyle w:val="kleinschrift"/>
        </w:rPr>
        <w:t>1</w:t>
      </w:r>
      <w:r w:rsidRPr="00926F44">
        <w:rPr>
          <w:rStyle w:val="kleinschrift1"/>
          <w:sz w:val="16"/>
          <w:szCs w:val="16"/>
        </w:rPr>
        <w:t>F</w:t>
      </w:r>
      <w:r>
        <w:t xml:space="preserve">ür die Beurteilung der Lehrkräfte und der Schulleiterinnen und Schulleiter gelten die Ordnung gemäß Absatz 4 Satz 2 und Anlage D, ergänzend die staatlichen Vorschriften. </w:t>
      </w:r>
      <w:r>
        <w:rPr>
          <w:rStyle w:val="kleinschrift"/>
        </w:rPr>
        <w:t>2</w:t>
      </w:r>
      <w:r>
        <w:t>Lehrkräfte können auf die nach Vollendung des 58. Lebensjahres fälligen Beurteilungen durch schriftlichen Antrag, der spätestens zwei Wochen nach der Vollendung des 57. Lebens</w:t>
      </w:r>
      <w:r>
        <w:softHyphen/>
        <w:t xml:space="preserve">jahres bei der Schulleitung eingegangen sein muss, verzichten; dies gilt nicht für Schulleite-rinnen und Schulleiter. </w:t>
      </w:r>
      <w:r>
        <w:rPr>
          <w:rStyle w:val="kleinschrift"/>
        </w:rPr>
        <w:t>3</w:t>
      </w:r>
      <w:r>
        <w:t xml:space="preserve">Der Verzicht auf die Beurteilungen beinhaltet den Verzicht auf die Leistungsfeststellungen nach Nr. 6 Absatz 4 Satz 2 in Verbindung mit </w:t>
      </w:r>
      <w:hyperlink r:id="rId941" w:tgtFrame="_blank" w:history="1">
        <w:r>
          <w:rPr>
            <w:rStyle w:val="Hyperlink"/>
          </w:rPr>
          <w:t>Art. 62 Absatz 1 LlbG</w:t>
        </w:r>
      </w:hyperlink>
      <w:r>
        <w:t xml:space="preserve">. </w:t>
      </w:r>
      <w:r>
        <w:rPr>
          <w:rStyle w:val="kleinschrift"/>
        </w:rPr>
        <w:t>4</w:t>
      </w:r>
      <w:r>
        <w:t>Er ist unwiderruflich und gilt vorbehaltlich Satz 5 bis zur Beendigung des Arbeitsverhält</w:t>
      </w:r>
      <w:r>
        <w:softHyphen/>
        <w:t xml:space="preserve">nisses. </w:t>
      </w:r>
      <w:r>
        <w:rPr>
          <w:rStyle w:val="kleinschrift"/>
        </w:rPr>
        <w:t>5</w:t>
      </w:r>
      <w:r>
        <w:t xml:space="preserve">Dem Antrag wird entsprochen, wenn dienstliche Gründe nicht entgegenstehen. </w:t>
      </w:r>
      <w:r>
        <w:rPr>
          <w:rStyle w:val="kleinschrift"/>
        </w:rPr>
        <w:t>6</w:t>
      </w:r>
      <w:r>
        <w:t>Die Entscheidung über den Antrag ist nur wirksam, wenn der Antrag schriftlich erfolgt ist und wenn die Lehrkraft vor der Entscheidung schriftlich über die Unwiderruflichkeit des Verzichts und über die Auswirkungen einer fehlenden Beurteilung und Leistungsfeststellung (keine Einräu</w:t>
      </w:r>
      <w:r>
        <w:softHyphen/>
        <w:t xml:space="preserve">mung des Rechts zum Führen einer höheren Berufsbezeichnung, kein weiterer Stufenaufstieg nach Nr. 6 Absatz 4 Satz 1 in Verbindung mit </w:t>
      </w:r>
      <w:hyperlink r:id="rId942" w:history="1">
        <w:r w:rsidRPr="005F7DC7">
          <w:rPr>
            <w:rStyle w:val="Hyperlink"/>
          </w:rPr>
          <w:t>Art. 30 Absatz 2 BayBesG</w:t>
        </w:r>
      </w:hyperlink>
      <w:r w:rsidRPr="005F7DC7">
        <w:t>,</w:t>
      </w:r>
      <w:r>
        <w:t xml:space="preserve"> keine Möglichkeit der Vergabe einer Leistungsstufe Nr. 6 Absatz 4 Satz 1 in Verbindung mit </w:t>
      </w:r>
      <w:hyperlink r:id="rId943" w:tgtFrame="_blank" w:history="1">
        <w:r>
          <w:rPr>
            <w:rStyle w:val="Hyperlink"/>
          </w:rPr>
          <w:t>Art. 66 BayBesG</w:t>
        </w:r>
      </w:hyperlink>
      <w:r>
        <w:t xml:space="preserve">) belehrt worden ist. </w:t>
      </w:r>
      <w:r>
        <w:rPr>
          <w:rStyle w:val="kleinschrift"/>
        </w:rPr>
        <w:t>7</w:t>
      </w:r>
      <w:r>
        <w:t>Bei Lehrkräften, die das 57. Lebensjahr spätestens am 31.12.2011 vollenden oder bereits vollendet haben, muss der Antrag abweichend von Satz 2 bis zum 01.01.2012 bei der Schulleitung eingegangen sein.</w:t>
      </w:r>
    </w:p>
    <w:p w:rsidR="00BE1EFE" w:rsidRDefault="00BE1EFE">
      <w:pPr>
        <w:pStyle w:val="StandardWeb"/>
      </w:pPr>
    </w:p>
    <w:p w:rsidR="00BE1EFE" w:rsidRDefault="00BE1EFE" w:rsidP="00953196">
      <w:pPr>
        <w:pStyle w:val="StandardWeb"/>
        <w:jc w:val="center"/>
        <w:rPr>
          <w:b/>
          <w:bCs/>
        </w:rPr>
      </w:pPr>
      <w:r>
        <w:rPr>
          <w:rStyle w:val="Fett"/>
          <w:bCs/>
        </w:rPr>
        <w:t>Nr. 5 a</w:t>
      </w:r>
    </w:p>
    <w:p w:rsidR="00BE1EFE" w:rsidRDefault="00BE1EFE" w:rsidP="00953196">
      <w:pPr>
        <w:pStyle w:val="StandardWeb"/>
        <w:jc w:val="center"/>
      </w:pPr>
      <w:r>
        <w:rPr>
          <w:rStyle w:val="Fett"/>
          <w:bCs/>
        </w:rPr>
        <w:t>Dienstzulagen an Grund- und Mittelschulen</w:t>
      </w:r>
    </w:p>
    <w:p w:rsidR="00BE1EFE" w:rsidRDefault="00BE1EFE" w:rsidP="00953196">
      <w:pPr>
        <w:pStyle w:val="StandardWeb"/>
        <w:jc w:val="center"/>
      </w:pPr>
    </w:p>
    <w:p w:rsidR="00BE1EFE" w:rsidRDefault="00BE1EFE" w:rsidP="00953196">
      <w:pPr>
        <w:pStyle w:val="StandardWeb"/>
      </w:pPr>
      <w:r>
        <w:t xml:space="preserve">(1) </w:t>
      </w:r>
      <w:r>
        <w:rPr>
          <w:rStyle w:val="kleinschrift"/>
        </w:rPr>
        <w:t>1</w:t>
      </w:r>
      <w:r>
        <w:t xml:space="preserve">Lehrkräfte an Grund und Mittelschulen, die in der Besoldungsgruppe 12 der gemäß dem </w:t>
      </w:r>
      <w:hyperlink r:id="rId944" w:history="1">
        <w:r w:rsidRPr="0019145B">
          <w:rPr>
            <w:rStyle w:val="Hyperlink"/>
          </w:rPr>
          <w:t>Bayerischen Besoldungsgesetz geltenden Besoldungsordnung A</w:t>
        </w:r>
      </w:hyperlink>
      <w:r>
        <w:t xml:space="preserve"> eingruppiert sind, erhalten nach Maßgabe der Absätze 2 und 3 eine erste Dienstzulage in Höhe der Zulage für die entsprechenden Beamten des Katholischen Schulwerks in Bayern. </w:t>
      </w:r>
      <w:r>
        <w:rPr>
          <w:rStyle w:val="kleinschrift"/>
        </w:rPr>
        <w:t>2</w:t>
      </w:r>
      <w:r>
        <w:t xml:space="preserve">Lehrkräfte an Grund- und Mittelschulen mit Dienstzulage nach Satz 1 erhalten nach Maßgabe der Absätze 2 und 3 eine weitere Dienstzulage in Höhe des Unterschiedsbetrags zwischen den Entgelten nach der Besoldungsgruppe A 12 und A 13 des </w:t>
      </w:r>
      <w:hyperlink r:id="rId945" w:history="1">
        <w:r w:rsidRPr="0019145B">
          <w:rPr>
            <w:rStyle w:val="Hyperlink"/>
          </w:rPr>
          <w:t>Bayerischen Besoldungsgesetzes</w:t>
        </w:r>
      </w:hyperlink>
      <w:r>
        <w:t xml:space="preserve">. </w:t>
      </w:r>
      <w:r>
        <w:rPr>
          <w:rStyle w:val="kleinschrift"/>
        </w:rPr>
        <w:t>3</w:t>
      </w:r>
      <w:hyperlink r:id="rId946" w:history="1">
        <w:r w:rsidRPr="004D6B45">
          <w:rPr>
            <w:rStyle w:val="Hyperlink"/>
            <w:szCs w:val="16"/>
          </w:rPr>
          <w:t>§ 3 Absatz 4</w:t>
        </w:r>
        <w:r w:rsidRPr="004D6B45">
          <w:rPr>
            <w:rStyle w:val="Hyperlink"/>
          </w:rPr>
          <w:t xml:space="preserve"> Teil B, </w:t>
        </w:r>
        <w:r w:rsidRPr="004D6B45">
          <w:rPr>
            <w:rStyle w:val="Hyperlink"/>
          </w:rPr>
          <w:lastRenderedPageBreak/>
          <w:t>4.3.</w:t>
        </w:r>
      </w:hyperlink>
      <w:r>
        <w:t xml:space="preserve"> gilt entsprechend. </w:t>
      </w:r>
      <w:r>
        <w:rPr>
          <w:rStyle w:val="kleinschrift"/>
        </w:rPr>
        <w:t>4</w:t>
      </w:r>
      <w:r>
        <w:t>In der weiteren Dienstzulage ist die erste Dienstzulage nach Satz 1 enthalten.</w:t>
      </w:r>
    </w:p>
    <w:p w:rsidR="00BE1EFE" w:rsidRDefault="00BE1EFE" w:rsidP="00953196">
      <w:pPr>
        <w:pStyle w:val="StandardWeb"/>
      </w:pPr>
    </w:p>
    <w:p w:rsidR="00BE1EFE" w:rsidRDefault="00BE1EFE" w:rsidP="00953196">
      <w:pPr>
        <w:pStyle w:val="StandardWeb"/>
      </w:pPr>
      <w:r>
        <w:t>(2)</w:t>
      </w:r>
      <w:r w:rsidRPr="00367822">
        <w:rPr>
          <w:rStyle w:val="kleinschrift"/>
          <w:sz w:val="16"/>
          <w:szCs w:val="16"/>
        </w:rPr>
        <w:t> </w:t>
      </w:r>
      <w:r>
        <w:rPr>
          <w:rStyle w:val="kleinschrift"/>
        </w:rPr>
        <w:t>1</w:t>
      </w:r>
      <w:r>
        <w:t xml:space="preserve">Der Schulträger weist eine dem Verhältnis der Stellen für das funktionslose Beförderungsamt in A 12 + AZ zur Gesamtzahl der Stellen der in A 12 eingruppierten Lehrkräfte an Grund- und Mittelschulen des Freistaats Bayern entsprechende Anzahl von Stellen mit erster Dienstzulage sowie eine dem Verhältnis der Stellen für das funktionslose Beförderungsamt in A 13 zur Gesamtzahl der Stellen der in A 12 und A 13 eingruppierten Lehrkräfte an Grund- und Mittelschulen des Freistaats Bayern entsprechende Anzahl von Stellen mit weiterer Dienstzulage aus. </w:t>
      </w:r>
      <w:r>
        <w:rPr>
          <w:rStyle w:val="kleinschrift"/>
        </w:rPr>
        <w:t>2</w:t>
      </w:r>
      <w:r>
        <w:t>Die ausgewiesenen Stellen mit Dienstzulage sind auszuschöpfen.</w:t>
      </w:r>
    </w:p>
    <w:p w:rsidR="00BE1EFE" w:rsidRDefault="00BE1EFE" w:rsidP="00953196">
      <w:pPr>
        <w:pStyle w:val="StandardWeb"/>
      </w:pPr>
      <w:r>
        <w:rPr>
          <w:sz w:val="12"/>
          <w:szCs w:val="12"/>
        </w:rPr>
        <w:t>Protokollnotiz zu Absatz 2:</w:t>
      </w:r>
    </w:p>
    <w:p w:rsidR="00BE1EFE" w:rsidRDefault="00BE1EFE" w:rsidP="00953196">
      <w:pPr>
        <w:pStyle w:val="StandardWeb"/>
      </w:pPr>
      <w:r>
        <w:rPr>
          <w:sz w:val="12"/>
          <w:szCs w:val="12"/>
        </w:rPr>
        <w:t>Wechselt eine Lehrkraft mit erster Dienstzulage oder mit weiterer Dienstzulage an eine Schule eines anderen Schulträgers, so ist der neue Schulträger nicht verpflichtet, die erste Dienstzulage oder die weitere Dienstzulage weiterhin zu gewähren.</w:t>
      </w:r>
    </w:p>
    <w:p w:rsidR="00BE1EFE" w:rsidRDefault="00BE1EFE" w:rsidP="00953196">
      <w:pPr>
        <w:pStyle w:val="StandardWeb"/>
      </w:pPr>
    </w:p>
    <w:p w:rsidR="00BE1EFE" w:rsidRDefault="00BE1EFE" w:rsidP="00953196">
      <w:pPr>
        <w:pStyle w:val="StandardWeb"/>
        <w:rPr>
          <w:rStyle w:val="kleinschrift"/>
          <w:sz w:val="16"/>
          <w:szCs w:val="16"/>
        </w:rPr>
      </w:pPr>
      <w:r>
        <w:t>(3) </w:t>
      </w:r>
      <w:r>
        <w:rPr>
          <w:rStyle w:val="kleinschrift"/>
        </w:rPr>
        <w:t>1</w:t>
      </w:r>
      <w:r>
        <w:t xml:space="preserve">Die erste Dienstzulage und die weitere Dienstzulage werden an die Lehrkräfte mit den besten dienstlichen Beurteilungen vergeben, und zwar ohne Rücksicht darauf, ob es sich um Lehrkräfte in einem Beschäftigungsverhältnis oder um Beamtinnen oder Beamte des Katholischen Schulwerks in Bayern handelt; die Wartezeit für die Vergabe der weiteren Dienstzulage beträgt drei Jahre nach Vergabe der ersten Dienstzulage. </w:t>
      </w:r>
      <w:r>
        <w:rPr>
          <w:rStyle w:val="kleinschrift"/>
        </w:rPr>
        <w:t>2</w:t>
      </w:r>
      <w:r>
        <w:t>Lehrkräften mit Dienstzulage, die bei einer späteren Beurteilung eine schlechtere Bewertungsstufe erhalten, kann die Dienstzulage entzogen werden; der Entzug der weiteren Dienstzulage beinhaltet den Entzug der ersten Dienstzulage, sofern der Schulträger der Lehrkraft nicht die erste Dienstzulage belässt.</w:t>
      </w:r>
    </w:p>
    <w:p w:rsidR="00BE1EFE" w:rsidRDefault="00BE1EFE" w:rsidP="00977F8D">
      <w:pPr>
        <w:pStyle w:val="StandardWeb"/>
        <w:rPr>
          <w:szCs w:val="16"/>
        </w:rPr>
      </w:pPr>
    </w:p>
    <w:p w:rsidR="00BE1EFE" w:rsidRPr="002950E6" w:rsidRDefault="00BE1EFE" w:rsidP="002950E6">
      <w:pPr>
        <w:pStyle w:val="StandardWeb"/>
        <w:jc w:val="center"/>
        <w:rPr>
          <w:b/>
        </w:rPr>
      </w:pPr>
      <w:r w:rsidRPr="002950E6">
        <w:rPr>
          <w:b/>
        </w:rPr>
        <w:t>Nr. 5 b</w:t>
      </w:r>
    </w:p>
    <w:p w:rsidR="00BE1EFE" w:rsidRPr="002950E6" w:rsidRDefault="00BE1EFE" w:rsidP="002950E6">
      <w:pPr>
        <w:pStyle w:val="StandardWeb"/>
        <w:jc w:val="center"/>
        <w:rPr>
          <w:b/>
        </w:rPr>
      </w:pPr>
      <w:r w:rsidRPr="002950E6">
        <w:rPr>
          <w:b/>
        </w:rPr>
        <w:t xml:space="preserve">Lehrkräfte an Grund- und Mittelschulen als Systembetreuer, </w:t>
      </w:r>
      <w:r>
        <w:rPr>
          <w:b/>
        </w:rPr>
        <w:br/>
      </w:r>
      <w:r w:rsidRPr="002950E6">
        <w:rPr>
          <w:b/>
        </w:rPr>
        <w:t>Beratungslehrkräfte und Schulpsychologen</w:t>
      </w:r>
    </w:p>
    <w:p w:rsidR="00BE1EFE" w:rsidRPr="002950E6" w:rsidRDefault="00BE1EFE" w:rsidP="002950E6">
      <w:pPr>
        <w:pStyle w:val="StandardWeb"/>
      </w:pPr>
    </w:p>
    <w:p w:rsidR="00BE1EFE" w:rsidRPr="002950E6" w:rsidRDefault="00BE1EFE" w:rsidP="002950E6">
      <w:pPr>
        <w:pStyle w:val="StandardWeb"/>
      </w:pPr>
      <w:r>
        <w:t>(1) </w:t>
      </w:r>
      <w:r w:rsidRPr="002950E6">
        <w:t>Systembetreuer erhalten bei alleiniger Betreuung der schulischen Verwaltungs-EDV-Ausstattung sowie der sonstigen schulischen EDV-Ausstattung an einer oder mehreren Schulen bei insgesamt bis zu 360 Schülerinnen und Schülern eine Anrechnungsstunde, bei bis zu 720 Schülerinnen und Schülern zwei Anrechnungsstunden und ab 721 Schülerinnen und Schülern drei Anrechnungsstunden.</w:t>
      </w:r>
    </w:p>
    <w:p w:rsidR="00BE1EFE" w:rsidRPr="002950E6" w:rsidRDefault="00BE1EFE" w:rsidP="002950E6">
      <w:pPr>
        <w:pStyle w:val="StandardWeb"/>
        <w:rPr>
          <w:sz w:val="12"/>
          <w:szCs w:val="12"/>
        </w:rPr>
      </w:pPr>
      <w:r w:rsidRPr="002950E6">
        <w:rPr>
          <w:sz w:val="12"/>
          <w:szCs w:val="12"/>
        </w:rPr>
        <w:t>Protokollnotiz zu Absatz 1: Der Systembetreuer soll bei schulorganisatorischer Möglichkeit von einer Klassenleitung freigestellt werden.</w:t>
      </w:r>
    </w:p>
    <w:p w:rsidR="00BE1EFE" w:rsidRPr="002950E6" w:rsidRDefault="00BE1EFE" w:rsidP="002950E6">
      <w:pPr>
        <w:pStyle w:val="StandardWeb"/>
      </w:pPr>
    </w:p>
    <w:p w:rsidR="00BE1EFE" w:rsidRDefault="00BE1EFE" w:rsidP="002950E6">
      <w:pPr>
        <w:pStyle w:val="StandardWeb"/>
      </w:pPr>
      <w:r>
        <w:t>(2) </w:t>
      </w:r>
      <w:r w:rsidRPr="003C4B8A">
        <w:rPr>
          <w:sz w:val="12"/>
          <w:szCs w:val="12"/>
        </w:rPr>
        <w:t>1</w:t>
      </w:r>
      <w:r w:rsidRPr="003C4B8A">
        <w:t xml:space="preserve">Systembetreuer mit staatlicher Qualifizierung zum Systembetreuer erhalten bei alleiniger Betreuung der schulischen Verwaltungs-EDV-Ausstattung sowie der sonstigen schulischen EDV-Ausstattung an einer oder mehreren Schulen mit insgesamt über 720 Schülerinnen und Schülern nach dreijähriger Bewährung für die weitere Dauer der Tätigkeit als Systembetreuer eine Zulage in Höhe des Unterschiedsbetrags zwischen dem Entgelt ihrer Besoldungsgruppe und der nächsthöheren Besoldungsgruppe der für Beamte des Freistaats Bayern gemäß dem </w:t>
      </w:r>
      <w:hyperlink r:id="rId947" w:history="1">
        <w:r w:rsidRPr="003C4B8A">
          <w:rPr>
            <w:rStyle w:val="Hyperlink"/>
          </w:rPr>
          <w:t>Bayerischen Besoldungsgesetz geltenden Besoldungsordnung</w:t>
        </w:r>
      </w:hyperlink>
      <w:r w:rsidRPr="003C4B8A">
        <w:t>, jedoch höchstens in Höhe des Unterschiedsbetrags zwischen dem Entgelt ihrer Besoldungsgruppe und der Besoldungs</w:t>
      </w:r>
      <w:r>
        <w:softHyphen/>
      </w:r>
      <w:r w:rsidRPr="003C4B8A">
        <w:t xml:space="preserve">gruppe A 13. </w:t>
      </w:r>
      <w:r w:rsidRPr="003C4B8A">
        <w:rPr>
          <w:sz w:val="12"/>
          <w:szCs w:val="12"/>
        </w:rPr>
        <w:t>2</w:t>
      </w:r>
      <w:r w:rsidRPr="003C4B8A">
        <w:t>Systembetreuer nach Satz 1 ohne staatliche Qualifizierung erhalten eine entsprechende Zula</w:t>
      </w:r>
      <w:r>
        <w:t>ge nach fünfjähriger Bewährung. </w:t>
      </w:r>
    </w:p>
    <w:p w:rsidR="00BE1EFE" w:rsidRDefault="00BE1EFE" w:rsidP="003C4B8A">
      <w:pPr>
        <w:pStyle w:val="StandardWeb"/>
      </w:pPr>
    </w:p>
    <w:p w:rsidR="00BE1EFE" w:rsidRPr="002950E6" w:rsidRDefault="00BE1EFE" w:rsidP="003C4B8A">
      <w:pPr>
        <w:pStyle w:val="StandardWeb"/>
      </w:pPr>
      <w:r>
        <w:t>(3) </w:t>
      </w:r>
      <w:r w:rsidRPr="002950E6">
        <w:t>Die Systembetreuer sind verpflichtet, in angemessenem Umfang Fortbildungen im Bereich der Systembetreuung an der eigenen Schule oder darüber hinaus durchzuführen</w:t>
      </w:r>
      <w:r>
        <w:t>.</w:t>
      </w:r>
    </w:p>
    <w:p w:rsidR="00BE1EFE" w:rsidRPr="002950E6" w:rsidRDefault="00BE1EFE" w:rsidP="003C4B8A">
      <w:pPr>
        <w:pStyle w:val="StandardWeb"/>
      </w:pPr>
      <w:r>
        <w:t>(4) </w:t>
      </w:r>
      <w:r w:rsidRPr="00A07386">
        <w:t xml:space="preserve">Beratungslehrkräfte erhalten für die Beratungstätigkeit an Schulen mit bis zu 199 Schülerinnen und Schüler mindestens eine Anrechnungsstunde, an Schulen mit 200 bis 399 </w:t>
      </w:r>
      <w:r w:rsidRPr="00A07386">
        <w:lastRenderedPageBreak/>
        <w:t>Schülerinnen und Schüler mindestens zwei Anrechnungsstunden bei 400 und mehr Schülerinnen und Schüler mindestens drei Anrechnungsstunden.</w:t>
      </w:r>
    </w:p>
    <w:p w:rsidR="00BE1EFE" w:rsidRPr="002950E6" w:rsidRDefault="00BE1EFE" w:rsidP="002950E6">
      <w:pPr>
        <w:pStyle w:val="StandardWeb"/>
      </w:pPr>
    </w:p>
    <w:p w:rsidR="00BE1EFE" w:rsidRDefault="00BE1EFE" w:rsidP="003C4B8A">
      <w:pPr>
        <w:pStyle w:val="StandardWeb"/>
      </w:pPr>
      <w:r>
        <w:t>(5) </w:t>
      </w:r>
      <w:r w:rsidRPr="003C4B8A">
        <w:rPr>
          <w:sz w:val="12"/>
          <w:szCs w:val="12"/>
        </w:rPr>
        <w:t>1</w:t>
      </w:r>
      <w:r>
        <w:t xml:space="preserve">Beratungslehrkräfte mit bestandener Erweiterungsprüfung zur Beratungslehrkraft gemäß LPO I erhalten nach dreijähriger Bewährung für die weitere Dauer der Tätigkeit als Beratungslehrkraft eine Zulage in Höhe des Unterschiedsbetrags zwischen dem Entgelt ihrer Besoldungsgruppe und der nächsthöheren Besoldungsgruppe der für Beamte des Freistaats Bayern gemäß dem </w:t>
      </w:r>
      <w:hyperlink r:id="rId948" w:history="1">
        <w:r w:rsidRPr="003C4B8A">
          <w:rPr>
            <w:rStyle w:val="Hyperlink"/>
          </w:rPr>
          <w:t>Bayerischen Besoldungsgesetz geltenden Besoldungsordnung</w:t>
        </w:r>
      </w:hyperlink>
      <w:r>
        <w:t xml:space="preserve">, jedoch höchstens in Höhe des Unterschiedsbetrags zwischen dem Entgelt ihrer Besoldungsgruppe und der Besoldungsgruppe A 13. </w:t>
      </w:r>
      <w:r w:rsidRPr="003C4B8A">
        <w:rPr>
          <w:sz w:val="12"/>
          <w:szCs w:val="12"/>
        </w:rPr>
        <w:t>2</w:t>
      </w:r>
      <w:r>
        <w:t xml:space="preserve">Dies gilt auch für Lehrkräfte, die die Weiterbildung des Katholischen Schulwerks in Bayern erfolgreich abgeschlossen haben, sowie für Lehrkräfte nach Nr. 5 Absatz 3 als Beratungslehrkräfte, wenn sie ein Studium für die Qualifikation als Beratungslehrkraft gemäß </w:t>
      </w:r>
      <w:hyperlink r:id="rId949" w:history="1">
        <w:r w:rsidRPr="00874718">
          <w:rPr>
            <w:rStyle w:val="Hyperlink"/>
          </w:rPr>
          <w:t>§ 111 LPO I</w:t>
        </w:r>
      </w:hyperlink>
      <w:r>
        <w:t xml:space="preserve"> vollständig absolviert und die Abschlussprüfung beim Katholischen Schulwerk in Bayern bestanden haben.</w:t>
      </w:r>
    </w:p>
    <w:p w:rsidR="00BE1EFE" w:rsidRPr="002950E6" w:rsidRDefault="00BE1EFE" w:rsidP="002950E6">
      <w:pPr>
        <w:pStyle w:val="StandardWeb"/>
      </w:pPr>
    </w:p>
    <w:p w:rsidR="00BE1EFE" w:rsidRDefault="00BE1EFE" w:rsidP="002950E6">
      <w:pPr>
        <w:pStyle w:val="StandardWeb"/>
      </w:pPr>
      <w:r>
        <w:t>(6) </w:t>
      </w:r>
      <w:r w:rsidRPr="003C4B8A">
        <w:t>Schulpsychologen erhalten für ihre Tätigkeit an einer oder mehreren Schulen mit insgesamt bis zu 149 Schülerinnen und Schülern eine Anrechnungsstunde, an Schulen mit insgesamt 150 bis 299 Schülerinnen und Schülern zwei Anrechnungsstunden, an Schulen mit insgesamt 300 bis 449 Schülerinnen und Schülern drei Anrechnungsstunden und an Schulen mit insgesamt 450 oder mehr Schülerinnen und Schülern vier Anrechnungsstunden</w:t>
      </w:r>
      <w:r>
        <w:t>.</w:t>
      </w:r>
    </w:p>
    <w:p w:rsidR="00BE1EFE" w:rsidRPr="002950E6" w:rsidRDefault="00BE1EFE" w:rsidP="002950E6">
      <w:pPr>
        <w:pStyle w:val="StandardWeb"/>
      </w:pPr>
    </w:p>
    <w:p w:rsidR="00BE1EFE" w:rsidRDefault="00BE1EFE" w:rsidP="00D516B5">
      <w:pPr>
        <w:pStyle w:val="StandardWeb"/>
      </w:pPr>
      <w:r>
        <w:t xml:space="preserve">(7) Schulpsychologen erhalten nach dreijähriger Bewährung für die weitere Dauer der Tätigkeit als Schulpsychologe eine Zulage in Höhe des Unterschiedsbetrags zwischen dem Entgelt ihrer Besoldungsgruppe und der Besoldungsgruppe A 13 mit Amtszulage* der für Beamte des Freistaats Bayern gemäß dem </w:t>
      </w:r>
      <w:hyperlink r:id="rId950" w:history="1">
        <w:r w:rsidRPr="0019145B">
          <w:rPr>
            <w:rStyle w:val="Hyperlink"/>
          </w:rPr>
          <w:t>Bayerischen Besoldungsgesetz geltenden Besoldungsordnung</w:t>
        </w:r>
      </w:hyperlink>
      <w:r>
        <w:t>.</w:t>
      </w:r>
    </w:p>
    <w:p w:rsidR="00BE1EFE" w:rsidRPr="00D516B5" w:rsidRDefault="00BE1EFE" w:rsidP="00D516B5">
      <w:pPr>
        <w:pStyle w:val="StandardWeb"/>
        <w:rPr>
          <w:sz w:val="12"/>
          <w:szCs w:val="12"/>
        </w:rPr>
      </w:pPr>
      <w:r w:rsidRPr="00D516B5">
        <w:rPr>
          <w:sz w:val="12"/>
          <w:szCs w:val="12"/>
        </w:rPr>
        <w:t>*Die Höhe der Amtszulage ergibt sich aus der Anlage 4 zum Bayerischen Besoldungsgesetz (Besoldungsgruppe A 13 mit Fußnote 1). </w:t>
      </w:r>
    </w:p>
    <w:p w:rsidR="00BE1EFE" w:rsidRDefault="00BE1EFE" w:rsidP="002950E6">
      <w:pPr>
        <w:pStyle w:val="StandardWeb"/>
      </w:pPr>
    </w:p>
    <w:p w:rsidR="00BE1EFE" w:rsidRDefault="00BE1EFE" w:rsidP="002950E6">
      <w:pPr>
        <w:pStyle w:val="StandardWeb"/>
      </w:pPr>
      <w:r>
        <w:t>(8) </w:t>
      </w:r>
      <w:r w:rsidRPr="00D516B5">
        <w:rPr>
          <w:sz w:val="12"/>
          <w:szCs w:val="12"/>
        </w:rPr>
        <w:t>1</w:t>
      </w:r>
      <w:r w:rsidRPr="00D516B5">
        <w:t xml:space="preserve">Die Bewährungszeit beginnt mit der Übernahme der Tätigkeit. </w:t>
      </w:r>
      <w:r w:rsidRPr="00D516B5">
        <w:rPr>
          <w:sz w:val="12"/>
          <w:szCs w:val="12"/>
        </w:rPr>
        <w:t>2</w:t>
      </w:r>
      <w:r w:rsidRPr="00D516B5">
        <w:t xml:space="preserve">Zum Ende der Bewährungszeit überprüft und bewertet die Schulleiterin/der Schulleiter im Einvernehmen mit dem Schulträger die Wahrnehmung der übertragenen Aufgaben als Systembetreuer, Beratungslehrkraft oder Schulpsychologe anhand </w:t>
      </w:r>
      <w:hyperlink r:id="rId951" w:history="1">
        <w:r w:rsidRPr="00D516B5">
          <w:rPr>
            <w:rStyle w:val="Hyperlink"/>
          </w:rPr>
          <w:t>Ziffer 6 der Anlage D Abschnitt A 2.2.1.</w:t>
        </w:r>
      </w:hyperlink>
      <w:r w:rsidRPr="00D516B5">
        <w:t xml:space="preserve"> (Bewährungsfeststellung). </w:t>
      </w:r>
      <w:r w:rsidRPr="00D516B5">
        <w:rPr>
          <w:sz w:val="12"/>
          <w:szCs w:val="12"/>
        </w:rPr>
        <w:t>3</w:t>
      </w:r>
      <w:r w:rsidRPr="00D516B5">
        <w:t>Das Erfordernis der Bewährung ist erfüllt, wenn die Lehrkraft dabei mindestens die Bewertung „Leistung, die die Anforderungen übersteigt – UB“ erreicht.</w:t>
      </w:r>
    </w:p>
    <w:p w:rsidR="00BE1EFE" w:rsidRPr="002950E6" w:rsidRDefault="00BE1EFE" w:rsidP="002950E6">
      <w:pPr>
        <w:pStyle w:val="StandardWeb"/>
        <w:rPr>
          <w:sz w:val="12"/>
          <w:szCs w:val="12"/>
        </w:rPr>
      </w:pPr>
    </w:p>
    <w:p w:rsidR="00BE1EFE" w:rsidRPr="002950E6" w:rsidRDefault="00BE1EFE" w:rsidP="002950E6">
      <w:pPr>
        <w:pStyle w:val="StandardWeb"/>
        <w:rPr>
          <w:sz w:val="12"/>
          <w:szCs w:val="12"/>
        </w:rPr>
      </w:pPr>
      <w:r w:rsidRPr="002950E6">
        <w:rPr>
          <w:sz w:val="12"/>
          <w:szCs w:val="12"/>
        </w:rPr>
        <w:t>Protokollnotiz zu Nr. 5 b:</w:t>
      </w:r>
    </w:p>
    <w:p w:rsidR="00BE1EFE" w:rsidRDefault="00BE1EFE" w:rsidP="002950E6">
      <w:pPr>
        <w:pStyle w:val="StandardWeb"/>
      </w:pPr>
      <w:r w:rsidRPr="002950E6">
        <w:rPr>
          <w:sz w:val="12"/>
          <w:szCs w:val="12"/>
        </w:rPr>
        <w:t xml:space="preserve">Soweit in Nr. 5 b nicht anders geregelt, gilt für die Erfüllung der Bewährungszeit </w:t>
      </w:r>
      <w:hyperlink r:id="rId952" w:history="1">
        <w:r w:rsidRPr="004F449C">
          <w:rPr>
            <w:rStyle w:val="Hyperlink"/>
            <w:sz w:val="12"/>
            <w:szCs w:val="12"/>
          </w:rPr>
          <w:t>Anlage C Teil B, 4.1.</w:t>
        </w:r>
      </w:hyperlink>
      <w:r w:rsidRPr="002950E6">
        <w:rPr>
          <w:sz w:val="12"/>
          <w:szCs w:val="12"/>
        </w:rPr>
        <w:t xml:space="preserve"> mit Ausnahme der Nr</w:t>
      </w:r>
      <w:r>
        <w:rPr>
          <w:sz w:val="12"/>
          <w:szCs w:val="12"/>
        </w:rPr>
        <w:t xml:space="preserve">n. 1 und </w:t>
      </w:r>
      <w:r w:rsidRPr="002950E6">
        <w:rPr>
          <w:sz w:val="12"/>
          <w:szCs w:val="12"/>
        </w:rPr>
        <w:t>2.</w:t>
      </w:r>
    </w:p>
    <w:p w:rsidR="00BE1EFE" w:rsidRPr="00977F8D" w:rsidRDefault="00BE1EFE" w:rsidP="002950E6">
      <w:pPr>
        <w:pStyle w:val="StandardWeb"/>
        <w:rPr>
          <w:szCs w:val="16"/>
        </w:rPr>
      </w:pPr>
    </w:p>
    <w:p w:rsidR="00BE1EFE" w:rsidRDefault="00BE1EFE" w:rsidP="0054275E">
      <w:pPr>
        <w:pStyle w:val="StandardWeb"/>
        <w:autoSpaceDE w:val="0"/>
        <w:jc w:val="center"/>
        <w:rPr>
          <w:b/>
          <w:bCs/>
        </w:rPr>
      </w:pPr>
      <w:r>
        <w:rPr>
          <w:rStyle w:val="Fett"/>
          <w:bCs/>
        </w:rPr>
        <w:t>Nr. 6</w:t>
      </w:r>
    </w:p>
    <w:p w:rsidR="00BE1EFE" w:rsidRDefault="00BE1EFE" w:rsidP="0054275E">
      <w:pPr>
        <w:pStyle w:val="StandardWeb"/>
        <w:autoSpaceDE w:val="0"/>
        <w:jc w:val="center"/>
      </w:pPr>
      <w:r>
        <w:rPr>
          <w:rStyle w:val="Fett"/>
          <w:bCs/>
        </w:rPr>
        <w:t xml:space="preserve">Zu </w:t>
      </w:r>
      <w:hyperlink r:id="rId953" w:history="1">
        <w:r w:rsidRPr="002D1F1D">
          <w:rPr>
            <w:rStyle w:val="Hyperlink"/>
          </w:rPr>
          <w:t>§§ 15 bis 20b Teil A, 1.</w:t>
        </w:r>
      </w:hyperlink>
      <w:r>
        <w:rPr>
          <w:rStyle w:val="Fett"/>
          <w:bCs/>
        </w:rPr>
        <w:t xml:space="preserve"> - Tabellenentgelt, Stufen der Entgelttabelle, Weitere Anrechnung von Vordienstzeiten bei Einstellung, Allgemeine Regelungen zu den Stufen, Leistungsentgelt, Besondere Einmalzahlung, Erschwerniszuschläge, Jahressonderzahlung, Entgeltbezugsgröße, Einmalige Sonderzahlung 2009 -</w:t>
      </w:r>
    </w:p>
    <w:p w:rsidR="00BE1EFE" w:rsidRDefault="00BE1EFE">
      <w:pPr>
        <w:pStyle w:val="StandardWeb"/>
        <w:jc w:val="center"/>
      </w:pPr>
    </w:p>
    <w:p w:rsidR="00BE1EFE" w:rsidRDefault="00BE1EFE">
      <w:pPr>
        <w:pStyle w:val="StandardWeb"/>
      </w:pPr>
      <w:r>
        <w:t xml:space="preserve">(1) Die </w:t>
      </w:r>
      <w:hyperlink r:id="rId954" w:history="1">
        <w:r w:rsidRPr="002D1F1D">
          <w:rPr>
            <w:rStyle w:val="Hyperlink"/>
          </w:rPr>
          <w:t>§§ 15 bis 20b Teil A, 1.</w:t>
        </w:r>
      </w:hyperlink>
      <w:r>
        <w:t xml:space="preserve"> finden keine Anwendung.</w:t>
      </w:r>
    </w:p>
    <w:p w:rsidR="00BE1EFE" w:rsidRDefault="00BE1EFE">
      <w:pPr>
        <w:pStyle w:val="StandardWeb"/>
      </w:pPr>
    </w:p>
    <w:p w:rsidR="00BE1EFE" w:rsidRDefault="00BE1EFE">
      <w:pPr>
        <w:pStyle w:val="StandardWeb"/>
      </w:pPr>
      <w:r>
        <w:t>(2) </w:t>
      </w:r>
      <w:r>
        <w:rPr>
          <w:rStyle w:val="kleinschrift"/>
        </w:rPr>
        <w:t>1</w:t>
      </w:r>
      <w:r>
        <w:t xml:space="preserve">Die Lehrkräfte erhalten Entgelt entsprechend der im Bayerischen Besoldungsgesetz vorgesehenen Besoldung (Grundbezüge und Nebenbezüge, </w:t>
      </w:r>
      <w:hyperlink r:id="rId955" w:history="1">
        <w:r w:rsidRPr="004F449C">
          <w:rPr>
            <w:rStyle w:val="Hyperlink"/>
          </w:rPr>
          <w:t>Art. 2 BayBesG</w:t>
        </w:r>
      </w:hyperlink>
      <w:r>
        <w:t>) sowie der Ballungsraumzulage (</w:t>
      </w:r>
      <w:hyperlink r:id="rId956" w:history="1">
        <w:r w:rsidRPr="004F449C">
          <w:rPr>
            <w:rStyle w:val="Hyperlink"/>
          </w:rPr>
          <w:t>Art. 94 BayBesG</w:t>
        </w:r>
      </w:hyperlink>
      <w:r>
        <w:t xml:space="preserve">). </w:t>
      </w:r>
      <w:r>
        <w:rPr>
          <w:rStyle w:val="kleinschrift"/>
        </w:rPr>
        <w:t>2</w:t>
      </w:r>
      <w:r>
        <w:t>Darüberhinaus können bei Vorliegen eines Ange</w:t>
      </w:r>
      <w:r>
        <w:softHyphen/>
        <w:t xml:space="preserve">bots zur Berufung in ein Beamtenverhältnis weitere Entgeltbestandteile gewährt werden. </w:t>
      </w:r>
      <w:r>
        <w:rPr>
          <w:rStyle w:val="kleinschrift"/>
        </w:rPr>
        <w:t>3</w:t>
      </w:r>
      <w:r>
        <w:t xml:space="preserve">Lehrkräfte nach Nr. 5 Absatz 3 erhalten Entgelt nach der Besoldungsgruppe, die ihrer </w:t>
      </w:r>
      <w:r>
        <w:lastRenderedPageBreak/>
        <w:t xml:space="preserve">Eingruppierung nach Nr. 5 Absatz 3 entspricht. </w:t>
      </w:r>
      <w:r>
        <w:rPr>
          <w:rStyle w:val="kleinschrift"/>
        </w:rPr>
        <w:t>4</w:t>
      </w:r>
      <w:r>
        <w:t>Das Entgelt umfasst auch für Teilzeitbe</w:t>
      </w:r>
      <w:r>
        <w:softHyphen/>
        <w:t>schäftigte die Gewährung von Leistungsstufen und -prämien.</w:t>
      </w:r>
    </w:p>
    <w:p w:rsidR="00BE1EFE" w:rsidRDefault="00BE1EFE">
      <w:pPr>
        <w:pStyle w:val="StandardWeb"/>
      </w:pPr>
      <w:r>
        <w:rPr>
          <w:sz w:val="12"/>
          <w:szCs w:val="12"/>
        </w:rPr>
        <w:t>Protokollnotiz zu Absatz 2 Satz 2:</w:t>
      </w:r>
    </w:p>
    <w:p w:rsidR="00BE1EFE" w:rsidRDefault="00BE1EFE">
      <w:pPr>
        <w:pStyle w:val="StandardWeb"/>
      </w:pPr>
      <w:r>
        <w:rPr>
          <w:sz w:val="12"/>
          <w:szCs w:val="12"/>
        </w:rPr>
        <w:t xml:space="preserve">Das Entgelt für Lehrkräfte nach Nr. 5 Absatz 3 umfasst nicht die Strukturzulage nach </w:t>
      </w:r>
      <w:hyperlink r:id="rId957" w:history="1">
        <w:r w:rsidRPr="00903902">
          <w:rPr>
            <w:rStyle w:val="Hyperlink"/>
            <w:sz w:val="12"/>
            <w:szCs w:val="12"/>
          </w:rPr>
          <w:t>Art. 33 BayBesG</w:t>
        </w:r>
      </w:hyperlink>
      <w:r>
        <w:t>.</w:t>
      </w:r>
    </w:p>
    <w:p w:rsidR="00BE1EFE" w:rsidRDefault="00BE1EFE">
      <w:pPr>
        <w:pStyle w:val="StandardWeb"/>
      </w:pPr>
    </w:p>
    <w:p w:rsidR="00BE1EFE" w:rsidRDefault="00BE1EFE">
      <w:pPr>
        <w:pStyle w:val="StandardWeb"/>
      </w:pPr>
      <w:r>
        <w:t>(3) Änderungen der Besoldung sowie der Ballungsraumzulage werden zum jeweiligen Zeitpunkt Bestandteil dieser Sonderregelungen.</w:t>
      </w:r>
    </w:p>
    <w:p w:rsidR="00BE1EFE" w:rsidRDefault="00BE1EFE">
      <w:pPr>
        <w:pStyle w:val="StandardWeb"/>
      </w:pPr>
    </w:p>
    <w:p w:rsidR="00BE1EFE" w:rsidRDefault="00BE1EFE">
      <w:pPr>
        <w:pStyle w:val="StandardWeb"/>
      </w:pPr>
      <w:r>
        <w:t>(4) </w:t>
      </w:r>
      <w:r>
        <w:rPr>
          <w:rStyle w:val="kleinschrift"/>
        </w:rPr>
        <w:t>1</w:t>
      </w:r>
      <w:r>
        <w:t xml:space="preserve">Der regelmäßige Stufenaufstieg, die Vergabe einer Leistungsstufe und der Stufenstopp erfolgen entsprechend den Vorschriften des </w:t>
      </w:r>
      <w:hyperlink r:id="rId958" w:history="1">
        <w:r w:rsidRPr="002950E6">
          <w:rPr>
            <w:rStyle w:val="Hyperlink"/>
          </w:rPr>
          <w:t>Bayerischen Besoldungsgesetzes</w:t>
        </w:r>
      </w:hyperlink>
      <w:r>
        <w:t xml:space="preserve">. </w:t>
      </w:r>
      <w:r>
        <w:rPr>
          <w:rStyle w:val="kleinschrift"/>
        </w:rPr>
        <w:t>2</w:t>
      </w:r>
      <w:r>
        <w:t>Bei Lehrkräf</w:t>
      </w:r>
      <w:r>
        <w:softHyphen/>
        <w:t xml:space="preserve">ten, die nach Nr. 5 Absatz 5 Sätze 2 bis 7 wirksam auf die Beurteilung verzichtet haben, findet ein Stufenaufstieg und die Vergabe einer Leistungsstufe nicht statt. </w:t>
      </w:r>
      <w:r>
        <w:rPr>
          <w:rStyle w:val="kleinschrift"/>
        </w:rPr>
        <w:t>3</w:t>
      </w:r>
      <w:r>
        <w:t xml:space="preserve">Für die nach Satz 1 erforderlichen Leistungsfeststellungen gilt </w:t>
      </w:r>
      <w:hyperlink r:id="rId959" w:history="1">
        <w:r w:rsidRPr="002950E6">
          <w:rPr>
            <w:rStyle w:val="Hyperlink"/>
          </w:rPr>
          <w:t>Art. 62 des Leistungslaufbahngesetzes</w:t>
        </w:r>
      </w:hyperlink>
      <w:r>
        <w:t xml:space="preserve"> entspre</w:t>
      </w:r>
      <w:r>
        <w:softHyphen/>
        <w:t xml:space="preserve">chend. </w:t>
      </w:r>
      <w:r>
        <w:rPr>
          <w:rStyle w:val="kleinschrift"/>
        </w:rPr>
        <w:t>4</w:t>
      </w:r>
      <w:r>
        <w:t>Die Leistungen der Lehrkraft entsprechen den mit dem Amt verbundenen Mindestan</w:t>
      </w:r>
      <w:r>
        <w:softHyphen/>
        <w:t xml:space="preserve">forderungen im Sinne des </w:t>
      </w:r>
      <w:hyperlink r:id="rId960" w:history="1">
        <w:r w:rsidRPr="00903902">
          <w:rPr>
            <w:rStyle w:val="Hyperlink"/>
          </w:rPr>
          <w:t>Art. 30 Absatz 3 Satz 1 BayBesG</w:t>
        </w:r>
      </w:hyperlink>
      <w:r>
        <w:t>, wenn die Lehrkraft in allen Einzelmerkmalen der fachlichen Leistung mindestens die Bewertungsstufe „Leistung, die Mängel aufweist – MA“ erzielt hat.</w:t>
      </w:r>
    </w:p>
    <w:p w:rsidR="00BE1EFE" w:rsidRDefault="00BE1EFE" w:rsidP="00D4437C">
      <w:pPr>
        <w:pStyle w:val="StandardWeb"/>
      </w:pPr>
      <w:r>
        <w:rPr>
          <w:sz w:val="12"/>
          <w:szCs w:val="12"/>
        </w:rPr>
        <w:t>Protokollnotiz zu Satz 4:</w:t>
      </w:r>
    </w:p>
    <w:p w:rsidR="00BE1EFE" w:rsidRDefault="00BE1EFE" w:rsidP="00E450EE">
      <w:pPr>
        <w:pStyle w:val="StandardWeb"/>
      </w:pPr>
      <w:r>
        <w:rPr>
          <w:sz w:val="12"/>
          <w:szCs w:val="12"/>
        </w:rPr>
        <w:t>Bei Lehrkräften, die vor dem 31.07.2013 im Gesamturteil der fachlichen Leistung die Bewertung „Leistung, die den Anforderungen voll entspricht – VE“ oder besser nicht erreicht hatten, und bei denen die Voraussetzungen des Satzes 3 in der am 01.08.2013 in Kraft getretenen Fassung erfüllt wären, endet eine Verzögerung des Stufenaufstiegs mit Ablauf des 31.07.2013.</w:t>
      </w:r>
    </w:p>
    <w:p w:rsidR="00BE1EFE" w:rsidRDefault="00BE1EFE">
      <w:pPr>
        <w:pStyle w:val="StandardWeb"/>
      </w:pPr>
    </w:p>
    <w:p w:rsidR="00BE1EFE" w:rsidRDefault="00BE1EFE">
      <w:pPr>
        <w:pStyle w:val="StandardWeb"/>
      </w:pPr>
      <w:r>
        <w:t xml:space="preserve">(5) Für die Überführung oder Überleitung der am 31.12.2010 vorhandenen und in die bis dahin geltende Besoldungsordnung A eingruppierten Lehrkräfte in die Besoldungsordnung A des ab dem 01.01.2011 geltenden </w:t>
      </w:r>
      <w:hyperlink r:id="rId961" w:history="1">
        <w:r w:rsidRPr="004F449C">
          <w:rPr>
            <w:rStyle w:val="Hyperlink"/>
          </w:rPr>
          <w:t>Bayerischen Besoldungsgesetzes</w:t>
        </w:r>
      </w:hyperlink>
      <w:r w:rsidRPr="004F449C">
        <w:t xml:space="preserve"> </w:t>
      </w:r>
      <w:r>
        <w:t xml:space="preserve">sowie für ihre Einordnung in die neuen Grundgehaltstabellen gelten die Vorschriften des </w:t>
      </w:r>
      <w:hyperlink r:id="rId962" w:history="1">
        <w:r w:rsidRPr="004F449C">
          <w:rPr>
            <w:rStyle w:val="Hyperlink"/>
          </w:rPr>
          <w:t>Bayerischen Besoldungsgesetzes</w:t>
        </w:r>
      </w:hyperlink>
      <w:r w:rsidRPr="004F449C">
        <w:t xml:space="preserve"> </w:t>
      </w:r>
      <w:r>
        <w:t>entsprechend.</w:t>
      </w:r>
    </w:p>
    <w:p w:rsidR="00BE1EFE" w:rsidRDefault="00BE1EFE">
      <w:pPr>
        <w:pStyle w:val="StandardWeb"/>
      </w:pPr>
    </w:p>
    <w:p w:rsidR="00BE1EFE" w:rsidRDefault="00BE1EFE">
      <w:pPr>
        <w:pStyle w:val="StandardWeb"/>
      </w:pPr>
      <w:r>
        <w:t>(6) </w:t>
      </w:r>
      <w:r>
        <w:rPr>
          <w:rStyle w:val="kleinschrift"/>
        </w:rPr>
        <w:t>1</w:t>
      </w:r>
      <w:r>
        <w:t xml:space="preserve">Bei Lehrkräften in einem unbefristeten Arbeitsverhältnis übernimmt der Schulträger die Arbeitnehmerbeiträge zur gesetzlichen Rentenversicherung gemäß </w:t>
      </w:r>
      <w:hyperlink r:id="rId963" w:tgtFrame="_blank" w:history="1">
        <w:r>
          <w:rPr>
            <w:rStyle w:val="Hyperlink"/>
          </w:rPr>
          <w:t>§ 168 SGB VI</w:t>
        </w:r>
      </w:hyperlink>
      <w:r>
        <w:t xml:space="preserve">. </w:t>
      </w:r>
      <w:r w:rsidRPr="009C6551">
        <w:rPr>
          <w:rStyle w:val="kleinschrift1"/>
        </w:rPr>
        <w:t>2</w:t>
      </w:r>
      <w:r>
        <w:t>Davon ausgenommen sind Lehrkräfte, welche die Befähigung für eine beamtenrechtliche Laufbahn nicht besitzen.</w:t>
      </w:r>
    </w:p>
    <w:p w:rsidR="00BE1EFE" w:rsidRDefault="00BE1EFE">
      <w:pPr>
        <w:pStyle w:val="StandardWeb"/>
      </w:pPr>
    </w:p>
    <w:p w:rsidR="00BE1EFE" w:rsidRDefault="00BE1EFE">
      <w:pPr>
        <w:pStyle w:val="StandardWeb"/>
      </w:pPr>
      <w:r>
        <w:t xml:space="preserve">(7) Bei Lehrkräften, die die Voraussetzungen des Absatzes 6 erfüllen, übernimmt der Schulträger die Arbeitnehmerbeiträge des </w:t>
      </w:r>
      <w:hyperlink r:id="rId964" w:tgtFrame="_blank" w:history="1">
        <w:r>
          <w:rPr>
            <w:rStyle w:val="Hyperlink"/>
          </w:rPr>
          <w:t>§ 346 SGB III</w:t>
        </w:r>
      </w:hyperlink>
      <w:r>
        <w:t xml:space="preserve"> (sog. Arbeitslosenversicherung).</w:t>
      </w:r>
    </w:p>
    <w:p w:rsidR="00BE1EFE" w:rsidRDefault="00BE1EFE">
      <w:pPr>
        <w:pStyle w:val="StandardWeb"/>
      </w:pPr>
    </w:p>
    <w:p w:rsidR="00BE1EFE" w:rsidRDefault="00BE1EFE">
      <w:pPr>
        <w:pStyle w:val="StandardWeb"/>
      </w:pPr>
      <w:r>
        <w:t>(8) </w:t>
      </w:r>
      <w:r>
        <w:rPr>
          <w:rStyle w:val="kleinschrift"/>
        </w:rPr>
        <w:t>1</w:t>
      </w:r>
      <w:r>
        <w:t xml:space="preserve">Lehrkräfte mit A-Besoldung, deren Ehegatte als arbeitsvertraglich Beschäftigter, Beamter, Richter oder Soldat im öffentlichen Dienst oder aufgrund des Bezuges einer Versorgung nach beamtenrechtlichen Grundsätzen einen eigenen Anspruch auf Familienzuschlag der Stufe 1 oder einer der folgenden Stufen, Ortszuschlag oder entsprechende Leistungen in Höhe der Stufe 2 oder einer der folgenden Stufen hat oder bis zum 31.10.2006 hatte, erhalten keinen Familienzuschlag. </w:t>
      </w:r>
    </w:p>
    <w:p w:rsidR="00BE1EFE" w:rsidRDefault="00BE1EFE">
      <w:pPr>
        <w:pStyle w:val="StandardWeb"/>
      </w:pPr>
      <w:r>
        <w:rPr>
          <w:rStyle w:val="kleinschrift"/>
        </w:rPr>
        <w:t>2</w:t>
      </w:r>
      <w:r>
        <w:t xml:space="preserve">Erreicht der Anspruch des Ehegatten nicht die Höhe der Stufe 1 oder einer der folgenden Stufen des Familienzuschlages, so erhält die Lehrkraft eine Aufzahlung in der Höhe, dass beide Ehegatten den Familienzuschlag der jeweiligen Stufe insgesamt einmal erhalten. </w:t>
      </w:r>
      <w:r>
        <w:rPr>
          <w:rStyle w:val="kleinschrift"/>
        </w:rPr>
        <w:t>3</w:t>
      </w:r>
      <w:r>
        <w:t>Entsprechendes gilt für Lehrkräfte, deren Ehegatte eine Versorgung nach beamtenrecht</w:t>
      </w:r>
      <w:r>
        <w:softHyphen/>
        <w:t>lichen Grundsätzen erhält.</w:t>
      </w:r>
    </w:p>
    <w:p w:rsidR="00BE1EFE" w:rsidRDefault="00BE1EFE">
      <w:pPr>
        <w:pStyle w:val="StandardWeb"/>
      </w:pPr>
    </w:p>
    <w:p w:rsidR="00BE1EFE" w:rsidRDefault="00BE1EFE" w:rsidP="0054275E">
      <w:pPr>
        <w:pStyle w:val="StandardWeb"/>
        <w:autoSpaceDE w:val="0"/>
        <w:jc w:val="center"/>
        <w:rPr>
          <w:b/>
          <w:bCs/>
        </w:rPr>
      </w:pPr>
      <w:r>
        <w:rPr>
          <w:rStyle w:val="Fett"/>
          <w:bCs/>
        </w:rPr>
        <w:t>Nr. 7</w:t>
      </w:r>
    </w:p>
    <w:p w:rsidR="00BE1EFE" w:rsidRDefault="00BE1EFE" w:rsidP="0054275E">
      <w:pPr>
        <w:pStyle w:val="StandardWeb"/>
        <w:autoSpaceDE w:val="0"/>
        <w:jc w:val="center"/>
      </w:pPr>
      <w:r>
        <w:rPr>
          <w:rStyle w:val="Fett"/>
          <w:bCs/>
        </w:rPr>
        <w:t xml:space="preserve">Zu </w:t>
      </w:r>
      <w:hyperlink r:id="rId965" w:history="1">
        <w:r w:rsidRPr="002D1F1D">
          <w:rPr>
            <w:rStyle w:val="Hyperlink"/>
          </w:rPr>
          <w:t>§ 21 Teil A, 1.</w:t>
        </w:r>
      </w:hyperlink>
      <w:r>
        <w:rPr>
          <w:rStyle w:val="Fett"/>
          <w:bCs/>
        </w:rPr>
        <w:t xml:space="preserve"> - Bemessungsgrundlage für die Entgeltfortzahlung -</w:t>
      </w:r>
    </w:p>
    <w:p w:rsidR="00BE1EFE" w:rsidRDefault="00BE1EFE">
      <w:pPr>
        <w:pStyle w:val="StandardWeb"/>
        <w:jc w:val="center"/>
      </w:pPr>
    </w:p>
    <w:p w:rsidR="00BE1EFE" w:rsidRDefault="00BE1EFE" w:rsidP="00563E75">
      <w:pPr>
        <w:pStyle w:val="StandardWeb"/>
      </w:pPr>
      <w:r>
        <w:rPr>
          <w:rStyle w:val="kleinschrift"/>
        </w:rPr>
        <w:t>1</w:t>
      </w:r>
      <w:r>
        <w:t xml:space="preserve">In den Fällen der Entgeltfortzahlung nach </w:t>
      </w:r>
      <w:hyperlink r:id="rId966" w:history="1">
        <w:r w:rsidRPr="002D1F1D">
          <w:rPr>
            <w:rStyle w:val="Hyperlink"/>
          </w:rPr>
          <w:t>§§ 6 Absatz 3 Satz 1</w:t>
        </w:r>
      </w:hyperlink>
      <w:r>
        <w:t xml:space="preserve">, </w:t>
      </w:r>
      <w:hyperlink r:id="rId967" w:history="1">
        <w:r w:rsidRPr="002D1F1D">
          <w:rPr>
            <w:rStyle w:val="Hyperlink"/>
          </w:rPr>
          <w:t>22 Absatz 1</w:t>
        </w:r>
      </w:hyperlink>
      <w:r>
        <w:t xml:space="preserve">, </w:t>
      </w:r>
      <w:hyperlink r:id="rId968" w:history="1">
        <w:r w:rsidRPr="002D1F1D">
          <w:rPr>
            <w:rStyle w:val="Hyperlink"/>
          </w:rPr>
          <w:t>26</w:t>
        </w:r>
      </w:hyperlink>
      <w:r>
        <w:t xml:space="preserve">, </w:t>
      </w:r>
      <w:hyperlink r:id="rId969" w:history="1">
        <w:r w:rsidRPr="002D1F1D">
          <w:rPr>
            <w:rStyle w:val="Hyperlink"/>
          </w:rPr>
          <w:t>27</w:t>
        </w:r>
      </w:hyperlink>
      <w:r>
        <w:t xml:space="preserve"> und </w:t>
      </w:r>
      <w:hyperlink r:id="rId970" w:history="1">
        <w:r w:rsidRPr="002D1F1D">
          <w:rPr>
            <w:rStyle w:val="Hyperlink"/>
          </w:rPr>
          <w:t>29 Teil A, 1.</w:t>
        </w:r>
      </w:hyperlink>
      <w:r>
        <w:t xml:space="preserve"> werden das Entgelt gemäß Nr. 6 Absatz 2 sowie die sonstigen in Monatsbeträgen </w:t>
      </w:r>
      <w:r>
        <w:lastRenderedPageBreak/>
        <w:t>festgelegten Entgeltbestandteile einschließlich der vom Arbeitgeber übernommenen Arbeit</w:t>
      </w:r>
      <w:r>
        <w:softHyphen/>
        <w:t xml:space="preserve">nehmeranteile zur Renten- sowie Sozialversicherung weiterbezahlt. </w:t>
      </w:r>
      <w:r>
        <w:rPr>
          <w:rStyle w:val="kleinschrift"/>
        </w:rPr>
        <w:t>2</w:t>
      </w:r>
      <w:hyperlink r:id="rId971" w:history="1">
        <w:r w:rsidRPr="002D1F1D">
          <w:rPr>
            <w:rStyle w:val="Hyperlink"/>
          </w:rPr>
          <w:t>§ 21 Sätze 2, 3 Teil A, 1.</w:t>
        </w:r>
      </w:hyperlink>
      <w:r>
        <w:t xml:space="preserve"> bleiben unberührt.</w:t>
      </w:r>
    </w:p>
    <w:p w:rsidR="00BE1EFE" w:rsidRDefault="00BE1EFE" w:rsidP="0054275E">
      <w:pPr>
        <w:pStyle w:val="StandardWeb"/>
        <w:autoSpaceDE w:val="0"/>
        <w:jc w:val="center"/>
      </w:pPr>
    </w:p>
    <w:p w:rsidR="00BE1EFE" w:rsidRDefault="00BE1EFE" w:rsidP="0054275E">
      <w:pPr>
        <w:pStyle w:val="StandardWeb"/>
        <w:autoSpaceDE w:val="0"/>
        <w:jc w:val="center"/>
        <w:rPr>
          <w:b/>
          <w:bCs/>
        </w:rPr>
      </w:pPr>
      <w:r>
        <w:rPr>
          <w:rStyle w:val="Fett"/>
          <w:bCs/>
        </w:rPr>
        <w:t>Nr. 8</w:t>
      </w:r>
    </w:p>
    <w:p w:rsidR="00BE1EFE" w:rsidRDefault="00BE1EFE" w:rsidP="0054275E">
      <w:pPr>
        <w:pStyle w:val="StandardWeb"/>
        <w:autoSpaceDE w:val="0"/>
        <w:jc w:val="center"/>
      </w:pPr>
      <w:r>
        <w:rPr>
          <w:rStyle w:val="Fett"/>
          <w:bCs/>
        </w:rPr>
        <w:t xml:space="preserve">Zu </w:t>
      </w:r>
      <w:hyperlink r:id="rId972" w:history="1">
        <w:r w:rsidRPr="002D1F1D">
          <w:rPr>
            <w:rStyle w:val="Hyperlink"/>
          </w:rPr>
          <w:t>§ 22 Teil A, 1.</w:t>
        </w:r>
      </w:hyperlink>
      <w:r>
        <w:rPr>
          <w:rStyle w:val="Fett"/>
          <w:bCs/>
        </w:rPr>
        <w:t xml:space="preserve"> - Entgelt im Krankheitsfall -</w:t>
      </w:r>
    </w:p>
    <w:p w:rsidR="00BE1EFE" w:rsidRDefault="00BE1EFE">
      <w:pPr>
        <w:pStyle w:val="StandardWeb"/>
        <w:jc w:val="center"/>
      </w:pPr>
    </w:p>
    <w:p w:rsidR="00BE1EFE" w:rsidRDefault="00BE1EFE">
      <w:pPr>
        <w:pStyle w:val="StandardWeb"/>
      </w:pPr>
      <w:r>
        <w:rPr>
          <w:rStyle w:val="kleinschrift"/>
        </w:rPr>
        <w:t>1</w:t>
      </w:r>
      <w:r>
        <w:t>Lehrkräften, die am 30.06.1994 in einem Arbeitsverhältnis gestanden haben, das am 01.07.1994 zu demselben Arbeitgeber fortbestanden hat und fortbesteht und für deren Arbeitsverhältnis das Arbeitsvertragsrecht der bayerischen Diözesen (ABD) vereinbart wurde, können, wenn sie in der gesetzlichen Krankenversicherung versicherungsfrei oder von der Versicherungspflicht in der gesetzlichen Krankenversicherung befreit sind und einen Anspruch auf Beihilfen nach beamtenrechtlichen Grundsätzen haben, Krankenbezüge in entsprechen</w:t>
      </w:r>
      <w:r>
        <w:softHyphen/>
        <w:t xml:space="preserve">der Anwendung von </w:t>
      </w:r>
      <w:hyperlink r:id="rId973" w:history="1">
        <w:r w:rsidRPr="002D1F1D">
          <w:rPr>
            <w:rStyle w:val="Hyperlink"/>
          </w:rPr>
          <w:t>§ 71 Absatz 1 bis 5 Teil A, 1. in der am 30.09.2005 geltenden Fassung</w:t>
        </w:r>
      </w:hyperlink>
      <w:r>
        <w:t xml:space="preserve"> zugesagt werden. </w:t>
      </w:r>
      <w:r>
        <w:rPr>
          <w:rStyle w:val="kleinschrift"/>
        </w:rPr>
        <w:t>2</w:t>
      </w:r>
      <w:r>
        <w:t>Ein Krankengeldzuschuss wird in diesen Fällen nicht gewährt.</w:t>
      </w:r>
    </w:p>
    <w:p w:rsidR="00BE1EFE" w:rsidRDefault="00BE1EFE">
      <w:pPr>
        <w:pStyle w:val="StandardWeb"/>
      </w:pPr>
    </w:p>
    <w:p w:rsidR="00BE1EFE" w:rsidRDefault="00BE1EFE" w:rsidP="0054275E">
      <w:pPr>
        <w:pStyle w:val="StandardWeb"/>
        <w:autoSpaceDE w:val="0"/>
        <w:jc w:val="center"/>
        <w:rPr>
          <w:b/>
          <w:bCs/>
        </w:rPr>
      </w:pPr>
      <w:r>
        <w:rPr>
          <w:rStyle w:val="Fett"/>
          <w:bCs/>
        </w:rPr>
        <w:t>Nr. 9</w:t>
      </w:r>
    </w:p>
    <w:p w:rsidR="00BE1EFE" w:rsidRDefault="00BE1EFE" w:rsidP="0054275E">
      <w:pPr>
        <w:pStyle w:val="StandardWeb"/>
        <w:autoSpaceDE w:val="0"/>
        <w:jc w:val="center"/>
      </w:pPr>
      <w:r>
        <w:rPr>
          <w:rStyle w:val="Fett"/>
          <w:bCs/>
        </w:rPr>
        <w:t xml:space="preserve">Zu </w:t>
      </w:r>
      <w:hyperlink r:id="rId974" w:history="1">
        <w:r w:rsidRPr="002D1F1D">
          <w:rPr>
            <w:rStyle w:val="Hyperlink"/>
          </w:rPr>
          <w:t>§ 24 Teil A, 1.</w:t>
        </w:r>
      </w:hyperlink>
      <w:r>
        <w:rPr>
          <w:rStyle w:val="Fett"/>
          <w:bCs/>
        </w:rPr>
        <w:t xml:space="preserve"> - Berechnung und Auszahlung des Entgelts -</w:t>
      </w:r>
    </w:p>
    <w:p w:rsidR="00BE1EFE" w:rsidRDefault="00BE1EFE">
      <w:pPr>
        <w:pStyle w:val="StandardWeb"/>
        <w:jc w:val="center"/>
      </w:pPr>
    </w:p>
    <w:p w:rsidR="00BE1EFE" w:rsidRDefault="00BE1EFE">
      <w:pPr>
        <w:pStyle w:val="StandardWeb"/>
      </w:pPr>
      <w:r>
        <w:t>Die Lehrkraft hat Anspruch auf Anweisung des Entgelts am ersten Banktag des laufenden Monats.</w:t>
      </w:r>
    </w:p>
    <w:p w:rsidR="00BE1EFE" w:rsidRDefault="00BE1EFE">
      <w:pPr>
        <w:pStyle w:val="StandardWeb"/>
      </w:pPr>
      <w:r>
        <w:br w:type="page"/>
      </w:r>
    </w:p>
    <w:p w:rsidR="00BE1EFE" w:rsidRDefault="00BE1EFE" w:rsidP="0054275E">
      <w:pPr>
        <w:pStyle w:val="StandardWeb"/>
        <w:autoSpaceDE w:val="0"/>
        <w:jc w:val="center"/>
        <w:rPr>
          <w:b/>
          <w:bCs/>
        </w:rPr>
      </w:pPr>
      <w:r>
        <w:rPr>
          <w:rStyle w:val="Fett"/>
          <w:bCs/>
        </w:rPr>
        <w:lastRenderedPageBreak/>
        <w:t>Zum 4. Abschnitt</w:t>
      </w:r>
    </w:p>
    <w:p w:rsidR="00BE1EFE" w:rsidRDefault="00BE1EFE" w:rsidP="0054275E">
      <w:pPr>
        <w:pStyle w:val="StandardWeb"/>
        <w:autoSpaceDE w:val="0"/>
        <w:jc w:val="center"/>
      </w:pPr>
      <w:r>
        <w:rPr>
          <w:rStyle w:val="Fett"/>
          <w:bCs/>
        </w:rPr>
        <w:t>Urlaub und Arbeitsbefreiung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10</w:t>
      </w:r>
    </w:p>
    <w:p w:rsidR="00BE1EFE" w:rsidRDefault="00BE1EFE" w:rsidP="00381B00">
      <w:pPr>
        <w:pStyle w:val="StandardWeb"/>
        <w:autoSpaceDE w:val="0"/>
        <w:jc w:val="center"/>
      </w:pPr>
      <w:r>
        <w:rPr>
          <w:rStyle w:val="Fett"/>
          <w:bCs/>
        </w:rPr>
        <w:t xml:space="preserve">Zu §§ 26, 27 </w:t>
      </w:r>
      <w:r w:rsidRPr="00414533">
        <w:rPr>
          <w:rStyle w:val="Fett"/>
        </w:rPr>
        <w:t>und</w:t>
      </w:r>
      <w:r>
        <w:rPr>
          <w:rStyle w:val="Fett"/>
        </w:rPr>
        <w:t xml:space="preserve"> </w:t>
      </w:r>
      <w:r w:rsidRPr="00381B00">
        <w:rPr>
          <w:rStyle w:val="Fett"/>
        </w:rPr>
        <w:t>28 Teil A, 1.</w:t>
      </w:r>
      <w:r w:rsidRPr="00381B00">
        <w:rPr>
          <w:rStyle w:val="Fett"/>
          <w:bCs/>
        </w:rPr>
        <w:t xml:space="preserve"> </w:t>
      </w:r>
      <w:r>
        <w:rPr>
          <w:rStyle w:val="Fett"/>
          <w:bCs/>
        </w:rPr>
        <w:t>- Urlaub, Zusatzurlaub, Sonderurlaub -</w:t>
      </w:r>
    </w:p>
    <w:p w:rsidR="00BE1EFE" w:rsidRDefault="00BE1EFE">
      <w:pPr>
        <w:pStyle w:val="StandardWeb"/>
        <w:jc w:val="center"/>
      </w:pPr>
    </w:p>
    <w:p w:rsidR="00BE1EFE" w:rsidRDefault="00BE1EFE" w:rsidP="00414533">
      <w:pPr>
        <w:pStyle w:val="StandardWeb"/>
      </w:pPr>
      <w:r>
        <w:t>(1) </w:t>
      </w:r>
      <w:r>
        <w:rPr>
          <w:rStyle w:val="kleinschrift"/>
        </w:rPr>
        <w:t>1</w:t>
      </w:r>
      <w:r w:rsidRPr="00414533">
        <w:t xml:space="preserve">Die </w:t>
      </w:r>
      <w:hyperlink r:id="rId975" w:history="1">
        <w:r w:rsidRPr="00414533">
          <w:rPr>
            <w:rStyle w:val="Hyperlink"/>
          </w:rPr>
          <w:t>§§ 26</w:t>
        </w:r>
      </w:hyperlink>
      <w:r w:rsidRPr="00414533">
        <w:t xml:space="preserve">, </w:t>
      </w:r>
      <w:hyperlink r:id="rId976" w:history="1">
        <w:r w:rsidRPr="00414533">
          <w:rPr>
            <w:rStyle w:val="Hyperlink"/>
          </w:rPr>
          <w:t>27 Teil A, 1.</w:t>
        </w:r>
      </w:hyperlink>
      <w:r w:rsidRPr="00414533">
        <w:t xml:space="preserve"> finden keine Anwendung. </w:t>
      </w:r>
      <w:r>
        <w:rPr>
          <w:rStyle w:val="kleinschrift"/>
        </w:rPr>
        <w:t>2</w:t>
      </w:r>
      <w:r>
        <w:t>Es gelten die Bestim</w:t>
      </w:r>
      <w:r w:rsidRPr="00414533">
        <w:t xml:space="preserve">mungen für die entsprechenden Beamten des Katholischen Schulwerks in Bayern. </w:t>
      </w:r>
      <w:r>
        <w:rPr>
          <w:rStyle w:val="kleinschrift"/>
        </w:rPr>
        <w:t>3</w:t>
      </w:r>
      <w:hyperlink r:id="rId977" w:history="1">
        <w:r w:rsidRPr="00414533">
          <w:rPr>
            <w:rStyle w:val="Hyperlink"/>
          </w:rPr>
          <w:t>§ 28 Teil A, 1.</w:t>
        </w:r>
      </w:hyperlink>
      <w:r w:rsidRPr="00414533">
        <w:t xml:space="preserve"> findet mit der Maßgabe Anwendung, dass Beschäftigten auf Antrag Sonderurlaub ohne Fortzahlung der Bezüge gewährt werden soll, wenn sie mindestens ein Kind unter 18 Jahren tatsächlich betreuen oder pflegen und dringende dienstliche bzw. betriebliche Belange nicht entgegenstehen, und dass der Sonderurlaub längstens bis zu insgesamt 15 Jahren gewährt werden kann; die übrigen Bestimmungen des </w:t>
      </w:r>
      <w:hyperlink r:id="rId978" w:history="1">
        <w:r w:rsidRPr="00414533">
          <w:rPr>
            <w:rStyle w:val="Hyperlink"/>
          </w:rPr>
          <w:t>§ 28 Teil A, 1.</w:t>
        </w:r>
      </w:hyperlink>
      <w:r w:rsidRPr="00414533">
        <w:t xml:space="preserve"> bleiben unberührt.</w:t>
      </w:r>
    </w:p>
    <w:p w:rsidR="00BE1EFE" w:rsidRDefault="00BE1EFE">
      <w:pPr>
        <w:pStyle w:val="StandardWeb"/>
      </w:pPr>
    </w:p>
    <w:p w:rsidR="00BE1EFE" w:rsidRDefault="00BE1EFE">
      <w:pPr>
        <w:pStyle w:val="StandardWeb"/>
      </w:pPr>
      <w:r>
        <w:t>(2) Für die Höhe des Urlaubsanspruchs bei befristeten Arbeitsverhältnissen gelten die Bestimmungen für die entsprechenden arbeitsvertraglich beschäftigten Lehrkräfte des Frei</w:t>
      </w:r>
      <w:r>
        <w:softHyphen/>
        <w:t>staates Bayern.</w:t>
      </w:r>
    </w:p>
    <w:p w:rsidR="00BE1EFE" w:rsidRDefault="00BE1EFE">
      <w:pPr>
        <w:pStyle w:val="StandardWeb"/>
      </w:pPr>
    </w:p>
    <w:p w:rsidR="00BE1EFE" w:rsidRDefault="00BE1EFE">
      <w:pPr>
        <w:pStyle w:val="StandardWeb"/>
      </w:pPr>
      <w:r>
        <w:t>(3) </w:t>
      </w:r>
      <w:r>
        <w:rPr>
          <w:rStyle w:val="kleinschrift"/>
        </w:rPr>
        <w:t>1</w:t>
      </w:r>
      <w:r>
        <w:t xml:space="preserve">Wird die Lehrkraft während der Schulferien durch Unfall oder Krankheit arbeitsunfähig, so hat sie dies unverzüglich anzuzeigen. </w:t>
      </w:r>
      <w:r>
        <w:rPr>
          <w:rStyle w:val="kleinschrift"/>
        </w:rPr>
        <w:t>2</w:t>
      </w:r>
      <w:r>
        <w:t xml:space="preserve">Die Fristen des </w:t>
      </w:r>
      <w:hyperlink r:id="rId979" w:history="1">
        <w:r w:rsidRPr="002D1F1D">
          <w:rPr>
            <w:rStyle w:val="Hyperlink"/>
          </w:rPr>
          <w:t>§ 22 Absatz 1, 3 Teil A, 1.</w:t>
        </w:r>
      </w:hyperlink>
      <w:r>
        <w:t xml:space="preserve"> beginnen mit dem Tag der Arbeitsunfähigkeit.</w:t>
      </w:r>
    </w:p>
    <w:p w:rsidR="00BE1EFE" w:rsidRDefault="00BE1EFE">
      <w:pPr>
        <w:pStyle w:val="StandardWeb"/>
      </w:pPr>
    </w:p>
    <w:p w:rsidR="00BE1EFE" w:rsidRDefault="00BE1EFE">
      <w:pPr>
        <w:pStyle w:val="StandardWeb"/>
      </w:pPr>
      <w:r>
        <w:t>(4) Die Lehrkraft hat sich nach Ende der Schulferien oder, wenn die Arbeitsunfähigkeit länger dauert, nach Wiederherstellung der Arbeitsfähigkeit zur Arbeitsleistung zur Verfügung zu stellen.</w:t>
      </w:r>
    </w:p>
    <w:p w:rsidR="00BE1EFE" w:rsidRDefault="00BE1EFE">
      <w:pPr>
        <w:pStyle w:val="StandardWeb"/>
      </w:pPr>
    </w:p>
    <w:p w:rsidR="00BE1EFE" w:rsidRDefault="00BE1EFE" w:rsidP="00781266">
      <w:pPr>
        <w:pStyle w:val="StandardWeb"/>
      </w:pPr>
      <w:r>
        <w:t>(5) Für Beginn- und Enddatum von Arbeitsverhältnissen, die auf das Schuljahr befristet sind, gelten die Bestimmungen für die entsprechenden arbeitsvertraglich beschäftigten Lehrkräfte des Freistaates Bayern.</w:t>
      </w:r>
    </w:p>
    <w:p w:rsidR="00BE1EFE" w:rsidRDefault="00BE1EFE" w:rsidP="00781266">
      <w:pPr>
        <w:pStyle w:val="StandardWeb"/>
      </w:pPr>
      <w:r>
        <w:br w:type="page"/>
      </w:r>
    </w:p>
    <w:p w:rsidR="00BE1EFE" w:rsidRDefault="00BE1EFE" w:rsidP="0054275E">
      <w:pPr>
        <w:pStyle w:val="StandardWeb"/>
        <w:autoSpaceDE w:val="0"/>
        <w:jc w:val="center"/>
        <w:rPr>
          <w:b/>
          <w:bCs/>
        </w:rPr>
      </w:pPr>
      <w:r>
        <w:rPr>
          <w:rStyle w:val="Fett"/>
          <w:bCs/>
        </w:rPr>
        <w:lastRenderedPageBreak/>
        <w:t>Zum 5. Abschnitt</w:t>
      </w:r>
    </w:p>
    <w:p w:rsidR="00BE1EFE" w:rsidRDefault="00BE1EFE" w:rsidP="0054275E">
      <w:pPr>
        <w:pStyle w:val="StandardWeb"/>
        <w:autoSpaceDE w:val="0"/>
        <w:jc w:val="center"/>
      </w:pPr>
      <w:r>
        <w:rPr>
          <w:rStyle w:val="Fett"/>
          <w:bCs/>
        </w:rPr>
        <w:t>Befristung und Beendigung des Arbeitsverhältnisses</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11</w:t>
      </w:r>
    </w:p>
    <w:p w:rsidR="00BE1EFE" w:rsidRDefault="00BE1EFE" w:rsidP="0054275E">
      <w:pPr>
        <w:pStyle w:val="StandardWeb"/>
        <w:autoSpaceDE w:val="0"/>
        <w:jc w:val="center"/>
      </w:pPr>
      <w:r>
        <w:rPr>
          <w:rStyle w:val="Fett"/>
          <w:bCs/>
        </w:rPr>
        <w:t xml:space="preserve">Zu </w:t>
      </w:r>
      <w:hyperlink r:id="rId980" w:history="1">
        <w:r w:rsidRPr="002D1F1D">
          <w:rPr>
            <w:rStyle w:val="Hyperlink"/>
          </w:rPr>
          <w:t>§§ 31</w:t>
        </w:r>
      </w:hyperlink>
      <w:r>
        <w:rPr>
          <w:rStyle w:val="Fett"/>
          <w:bCs/>
        </w:rPr>
        <w:t xml:space="preserve"> und </w:t>
      </w:r>
      <w:hyperlink r:id="rId981" w:history="1">
        <w:r w:rsidRPr="002D1F1D">
          <w:rPr>
            <w:rStyle w:val="Hyperlink"/>
          </w:rPr>
          <w:t>32 Teil A, 1.</w:t>
        </w:r>
      </w:hyperlink>
      <w:r>
        <w:rPr>
          <w:rStyle w:val="Fett"/>
          <w:bCs/>
        </w:rPr>
        <w:t xml:space="preserve"> - Führung auf Probe, Führung auf Zeit -</w:t>
      </w:r>
    </w:p>
    <w:p w:rsidR="00BE1EFE" w:rsidRDefault="00BE1EFE">
      <w:pPr>
        <w:pStyle w:val="StandardWeb"/>
        <w:jc w:val="center"/>
      </w:pPr>
    </w:p>
    <w:p w:rsidR="00BE1EFE" w:rsidRDefault="00BE1EFE">
      <w:pPr>
        <w:pStyle w:val="StandardWeb"/>
      </w:pPr>
      <w:r>
        <w:t>(1) Führungspositionen sind die Tätigkeiten als Schulleiterin oder Schulleiter.</w:t>
      </w:r>
    </w:p>
    <w:p w:rsidR="00BE1EFE" w:rsidRDefault="00BE1EFE">
      <w:pPr>
        <w:pStyle w:val="StandardWeb"/>
      </w:pPr>
    </w:p>
    <w:p w:rsidR="00BE1EFE" w:rsidRDefault="00BE1EFE">
      <w:pPr>
        <w:pStyle w:val="StandardWeb"/>
      </w:pPr>
      <w:r>
        <w:t>(2) Die Lehrkraft erhält spätestens zwei Jahre nach der Übertragung für die Dauer der Tätigkeit das der Tätigkeit entsprechende Entgelt.</w:t>
      </w:r>
    </w:p>
    <w:p w:rsidR="00BE1EFE" w:rsidRDefault="00BE1EFE">
      <w:pPr>
        <w:pStyle w:val="StandardWeb"/>
      </w:pPr>
    </w:p>
    <w:p w:rsidR="00BE1EFE" w:rsidRDefault="00BE1EFE" w:rsidP="0054275E">
      <w:pPr>
        <w:pStyle w:val="StandardWeb"/>
        <w:autoSpaceDE w:val="0"/>
        <w:jc w:val="center"/>
        <w:rPr>
          <w:b/>
          <w:bCs/>
        </w:rPr>
      </w:pPr>
      <w:r>
        <w:rPr>
          <w:rStyle w:val="Fett"/>
          <w:bCs/>
        </w:rPr>
        <w:t>Nr. 12</w:t>
      </w:r>
    </w:p>
    <w:p w:rsidR="00BE1EFE" w:rsidRDefault="00BE1EFE" w:rsidP="0054275E">
      <w:pPr>
        <w:pStyle w:val="StandardWeb"/>
        <w:autoSpaceDE w:val="0"/>
        <w:jc w:val="center"/>
      </w:pPr>
      <w:r>
        <w:rPr>
          <w:rStyle w:val="Fett"/>
          <w:bCs/>
        </w:rPr>
        <w:t xml:space="preserve">Zu </w:t>
      </w:r>
      <w:hyperlink r:id="rId982" w:history="1">
        <w:r w:rsidRPr="002D1F1D">
          <w:rPr>
            <w:rStyle w:val="Hyperlink"/>
          </w:rPr>
          <w:t>§ 33 Teil A, 1.</w:t>
        </w:r>
      </w:hyperlink>
      <w:r>
        <w:rPr>
          <w:rStyle w:val="Fett"/>
          <w:bCs/>
        </w:rPr>
        <w:t xml:space="preserve"> - Beendigung des Arbeitsverhältnisses ohne Kündigung -</w:t>
      </w:r>
    </w:p>
    <w:p w:rsidR="00BE1EFE" w:rsidRDefault="00BE1EFE">
      <w:pPr>
        <w:pStyle w:val="StandardWeb"/>
        <w:jc w:val="center"/>
      </w:pPr>
    </w:p>
    <w:p w:rsidR="00BE1EFE" w:rsidRDefault="00BE1EFE">
      <w:pPr>
        <w:pStyle w:val="StandardWeb"/>
      </w:pPr>
      <w:r>
        <w:rPr>
          <w:rStyle w:val="kleinschrift"/>
        </w:rPr>
        <w:t>1</w:t>
      </w:r>
      <w:r>
        <w:t xml:space="preserve">Das Arbeitsverhältnis endet, ohne dass es einer Kündigung bedarf, mit Ablauf des Schulhalbjahres (31. Januar beziehungsweise 31. Juli), in dem die Lehrkraft das gesetzlich festgelegte Alter zum Erreichen einer abschlagsfreien Regelaltersrente vollendet hat. </w:t>
      </w:r>
      <w:r>
        <w:rPr>
          <w:rStyle w:val="kleinschrift"/>
        </w:rPr>
        <w:t>2</w:t>
      </w:r>
      <w:r>
        <w:t>Wird mit einer Lehrkraft, deren Arbeitsverhältnis gemäß Satz 1 geendet hat, ein neuer Arbeits</w:t>
      </w:r>
      <w:r>
        <w:softHyphen/>
        <w:t>vertrag geschlossen, richtet sich das Entgelt nach der Besoldungsordnung A; die Eingrup</w:t>
      </w:r>
      <w:r>
        <w:softHyphen/>
        <w:t>pierung unterliegt der freien Vereinbarung.</w:t>
      </w:r>
    </w:p>
    <w:p w:rsidR="00BE1EFE" w:rsidRDefault="00BE1EFE">
      <w:pPr>
        <w:pStyle w:val="StandardWeb"/>
      </w:pPr>
    </w:p>
    <w:p w:rsidR="00BE1EFE" w:rsidRDefault="00BE1EFE" w:rsidP="0054275E">
      <w:pPr>
        <w:pStyle w:val="StandardWeb"/>
        <w:autoSpaceDE w:val="0"/>
        <w:jc w:val="center"/>
        <w:rPr>
          <w:b/>
          <w:bCs/>
        </w:rPr>
      </w:pPr>
      <w:r>
        <w:rPr>
          <w:rStyle w:val="Fett"/>
          <w:bCs/>
        </w:rPr>
        <w:t>Nr. 13</w:t>
      </w:r>
    </w:p>
    <w:p w:rsidR="00BE1EFE" w:rsidRDefault="00BE1EFE" w:rsidP="0054275E">
      <w:pPr>
        <w:pStyle w:val="StandardWeb"/>
        <w:autoSpaceDE w:val="0"/>
        <w:jc w:val="center"/>
      </w:pPr>
      <w:r>
        <w:rPr>
          <w:rStyle w:val="Fett"/>
          <w:bCs/>
        </w:rPr>
        <w:t xml:space="preserve">Zu </w:t>
      </w:r>
      <w:hyperlink r:id="rId983" w:history="1">
        <w:r w:rsidRPr="002D1F1D">
          <w:rPr>
            <w:rStyle w:val="Hyperlink"/>
          </w:rPr>
          <w:t>§ 34 Teil A, 1.</w:t>
        </w:r>
      </w:hyperlink>
      <w:r>
        <w:rPr>
          <w:rStyle w:val="Fett"/>
          <w:bCs/>
        </w:rPr>
        <w:t xml:space="preserve"> - Kündigung des Arbeitsverhältnisses -</w:t>
      </w:r>
    </w:p>
    <w:p w:rsidR="00BE1EFE" w:rsidRDefault="00BE1EFE">
      <w:pPr>
        <w:pStyle w:val="StandardWeb"/>
        <w:jc w:val="center"/>
      </w:pPr>
    </w:p>
    <w:p w:rsidR="00BE1EFE" w:rsidRDefault="00BE1EFE">
      <w:pPr>
        <w:pStyle w:val="StandardWeb"/>
      </w:pPr>
      <w:r>
        <w:t>(1) </w:t>
      </w:r>
      <w:r>
        <w:rPr>
          <w:rStyle w:val="kleinschrift"/>
        </w:rPr>
        <w:t>1</w:t>
      </w:r>
      <w:r>
        <w:t xml:space="preserve">Das Arbeitsverhältnis kann zur Erprobung der Lehrkraft bis zu einem Jahr befristet werden. </w:t>
      </w:r>
      <w:r>
        <w:rPr>
          <w:rStyle w:val="kleinschrift"/>
        </w:rPr>
        <w:t>2</w:t>
      </w:r>
      <w:r>
        <w:t xml:space="preserve">Abweichend von </w:t>
      </w:r>
      <w:hyperlink r:id="rId984" w:history="1">
        <w:r w:rsidRPr="002D1F1D">
          <w:rPr>
            <w:rStyle w:val="Hyperlink"/>
          </w:rPr>
          <w:t>§ 30 Absatz 5 Satz 1 Teil A, 1.</w:t>
        </w:r>
      </w:hyperlink>
      <w:r>
        <w:t xml:space="preserve"> ist die ordentliche Kündigung zulässig.</w:t>
      </w:r>
    </w:p>
    <w:p w:rsidR="00BE1EFE" w:rsidRDefault="00BE1EFE">
      <w:pPr>
        <w:pStyle w:val="StandardWeb"/>
      </w:pPr>
    </w:p>
    <w:p w:rsidR="00BE1EFE" w:rsidRDefault="00BE1EFE">
      <w:pPr>
        <w:pStyle w:val="StandardWeb"/>
      </w:pPr>
      <w:r>
        <w:t>(2) </w:t>
      </w:r>
      <w:r>
        <w:rPr>
          <w:rStyle w:val="kleinschrift"/>
        </w:rPr>
        <w:t>1</w:t>
      </w:r>
      <w:r>
        <w:t xml:space="preserve">Mit der für den 30. Juni geltenden Frist kann auch zum 31. Juli gekündigt werden. </w:t>
      </w:r>
      <w:r>
        <w:rPr>
          <w:rStyle w:val="kleinschrift"/>
        </w:rPr>
        <w:t>2</w:t>
      </w:r>
      <w:r>
        <w:t>Eine Kündigung zum 30. September ist ausgeschlossen.</w:t>
      </w:r>
    </w:p>
    <w:p w:rsidR="00BE1EFE" w:rsidRDefault="00BE1EFE">
      <w:pPr>
        <w:pStyle w:val="StandardWeb"/>
      </w:pPr>
    </w:p>
    <w:p w:rsidR="00BE1EFE" w:rsidRDefault="00BE1EFE">
      <w:pPr>
        <w:pStyle w:val="StandardWeb"/>
      </w:pPr>
      <w:r>
        <w:t xml:space="preserve">(3) Von Lehrkräften, die nach Abschluss des Arbeitsvertrags die Tätigkeit unberechtigt nicht aufnehmen oder ohne Einhaltung der Kündigungsfristen des </w:t>
      </w:r>
      <w:hyperlink r:id="rId985" w:history="1">
        <w:r w:rsidRPr="002D1F1D">
          <w:rPr>
            <w:rStyle w:val="Hyperlink"/>
          </w:rPr>
          <w:t>§ 34 Teil A, 1.</w:t>
        </w:r>
      </w:hyperlink>
      <w:r>
        <w:t> oder bei auf bestimmte Dauer abgeschlossenen Arbeitsverhältnissen vor deren vereinbartem Ende beendigen, kann eine Vertragsstrafe bis zur Höhe des Entgelts für die Zeit der Mindestkündigungsfrist verlangt werden.</w:t>
      </w:r>
    </w:p>
    <w:p w:rsidR="00BE1EFE" w:rsidRDefault="00BE1EFE">
      <w:pPr>
        <w:pStyle w:val="StandardWeb"/>
      </w:pPr>
      <w:r>
        <w:br w:type="page"/>
      </w:r>
    </w:p>
    <w:p w:rsidR="00BE1EFE" w:rsidRDefault="00BE1EFE">
      <w:pPr>
        <w:pStyle w:val="StandardWeb"/>
        <w:jc w:val="center"/>
      </w:pPr>
    </w:p>
    <w:p w:rsidR="00BE1EFE" w:rsidRDefault="00BE1EFE" w:rsidP="0054275E">
      <w:pPr>
        <w:pStyle w:val="StandardWeb"/>
        <w:autoSpaceDE w:val="0"/>
        <w:jc w:val="center"/>
        <w:rPr>
          <w:b/>
          <w:bCs/>
        </w:rPr>
      </w:pPr>
      <w:r>
        <w:rPr>
          <w:rStyle w:val="Fett"/>
          <w:bCs/>
        </w:rPr>
        <w:t>Zum 6. Abschnitt</w:t>
      </w:r>
    </w:p>
    <w:p w:rsidR="00BE1EFE" w:rsidRDefault="00BE1EFE" w:rsidP="0054275E">
      <w:pPr>
        <w:pStyle w:val="StandardWeb"/>
        <w:autoSpaceDE w:val="0"/>
        <w:jc w:val="center"/>
      </w:pPr>
      <w:r>
        <w:rPr>
          <w:rStyle w:val="Fett"/>
          <w:bCs/>
        </w:rPr>
        <w:t>Sonstige Vorschriften</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14</w:t>
      </w:r>
    </w:p>
    <w:p w:rsidR="00BE1EFE" w:rsidRDefault="00BE1EFE" w:rsidP="0054275E">
      <w:pPr>
        <w:pStyle w:val="StandardWeb"/>
        <w:autoSpaceDE w:val="0"/>
        <w:jc w:val="center"/>
        <w:rPr>
          <w:b/>
          <w:bCs/>
        </w:rPr>
      </w:pPr>
      <w:r>
        <w:rPr>
          <w:rStyle w:val="Fett"/>
          <w:bCs/>
        </w:rPr>
        <w:t xml:space="preserve">Zu </w:t>
      </w:r>
      <w:hyperlink r:id="rId986" w:history="1">
        <w:r w:rsidRPr="002D1F1D">
          <w:rPr>
            <w:rStyle w:val="Hyperlink"/>
          </w:rPr>
          <w:t>§ 36 Teil A, 1.</w:t>
        </w:r>
      </w:hyperlink>
      <w:r>
        <w:rPr>
          <w:rStyle w:val="Fett"/>
          <w:bCs/>
        </w:rPr>
        <w:t xml:space="preserve"> - Beihilfen bei Krankheits-, Pflege-, Geburts- und Todesfällen,</w:t>
      </w:r>
    </w:p>
    <w:p w:rsidR="00BE1EFE" w:rsidRDefault="00BE1EFE" w:rsidP="0054275E">
      <w:pPr>
        <w:pStyle w:val="StandardWeb"/>
        <w:autoSpaceDE w:val="0"/>
        <w:jc w:val="center"/>
      </w:pPr>
      <w:r>
        <w:rPr>
          <w:rStyle w:val="Fett"/>
          <w:bCs/>
        </w:rPr>
        <w:t>Unterstützungen -</w:t>
      </w:r>
    </w:p>
    <w:p w:rsidR="00BE1EFE" w:rsidRDefault="00BE1EFE">
      <w:pPr>
        <w:pStyle w:val="StandardWeb"/>
        <w:jc w:val="center"/>
      </w:pPr>
    </w:p>
    <w:p w:rsidR="00BE1EFE" w:rsidRDefault="00BE1EFE" w:rsidP="00371609">
      <w:pPr>
        <w:pStyle w:val="StandardWeb"/>
      </w:pPr>
      <w:r>
        <w:t>Lehrkräfte in einem unbefristeten Arbeitsverhältnis erhalten Beihilfe zumindest für die Dauer der Beschäftigung, auch im Falle der Elternzeit oder des Sonderurlaubs aus familien</w:t>
      </w:r>
      <w:r>
        <w:softHyphen/>
        <w:t>politischen Gründen.</w:t>
      </w:r>
      <w:r>
        <w:rPr>
          <w:vertAlign w:val="superscript"/>
        </w:rPr>
        <w:t xml:space="preserve">1 </w:t>
      </w:r>
      <w:r>
        <w:rPr>
          <w:rStyle w:val="kleinschrift"/>
        </w:rPr>
        <w:t>2</w:t>
      </w:r>
      <w:r w:rsidRPr="00D55797">
        <w:rPr>
          <w:rStyle w:val="kleinschrift"/>
          <w:sz w:val="16"/>
          <w:szCs w:val="16"/>
        </w:rPr>
        <w:t>L</w:t>
      </w:r>
      <w:r w:rsidRPr="00D55797">
        <w:t xml:space="preserve">ehrkräfte, bei denen der Schulträger gemäß </w:t>
      </w:r>
      <w:r>
        <w:t>Nr. 6 Absatz 6 die Arbeitnehmer</w:t>
      </w:r>
      <w:r w:rsidRPr="00D55797">
        <w:t xml:space="preserve">beiträge zur gesetzlichen Rentenversicherung gemäß </w:t>
      </w:r>
      <w:hyperlink r:id="rId987" w:history="1">
        <w:r w:rsidRPr="00E840D8">
          <w:rPr>
            <w:rStyle w:val="Hyperlink"/>
          </w:rPr>
          <w:t>§ 168 SGB VI</w:t>
        </w:r>
      </w:hyperlink>
      <w:r w:rsidRPr="00D55797">
        <w:t xml:space="preserve"> übernimmt, erhalten Beihilfe auch im Falle der Beendigung des Arbeitsverhältnisses wegen Bezuges einer Rente wegen verminderter Erwerbsfähigkeit oder wegen Alters. </w:t>
      </w:r>
      <w:r w:rsidRPr="00D55797">
        <w:rPr>
          <w:sz w:val="12"/>
          <w:szCs w:val="12"/>
        </w:rPr>
        <w:t>3</w:t>
      </w:r>
      <w:r w:rsidRPr="00D55797">
        <w:t>Für Institute des geweihten Lebens oder Gesellschaften des apostolischen Lebens gilt Satz 2 ab 01.01.2019</w:t>
      </w:r>
    </w:p>
    <w:p w:rsidR="00BE1EFE" w:rsidRPr="00D55797" w:rsidRDefault="00BE1EFE" w:rsidP="00371609">
      <w:pPr>
        <w:pStyle w:val="StandardWeb"/>
      </w:pPr>
    </w:p>
    <w:p w:rsidR="00BE1EFE" w:rsidRDefault="00BE1EFE" w:rsidP="00371609">
      <w:pPr>
        <w:pStyle w:val="StandardWeb"/>
        <w:rPr>
          <w:rStyle w:val="kleinschrift1"/>
        </w:rPr>
      </w:pPr>
      <w:r>
        <w:rPr>
          <w:sz w:val="12"/>
          <w:szCs w:val="12"/>
          <w:vertAlign w:val="superscript"/>
        </w:rPr>
        <w:t>1</w:t>
      </w:r>
      <w:r w:rsidRPr="009C6551">
        <w:rPr>
          <w:rStyle w:val="kleinschrift1"/>
        </w:rPr>
        <w:t xml:space="preserve"> Gesetzlich Krankenversicherte erhalten derzeit Beihilfe im Tarif </w:t>
      </w:r>
      <w:r>
        <w:rPr>
          <w:rStyle w:val="kleinschrift1"/>
        </w:rPr>
        <w:t xml:space="preserve">814 und Tarif </w:t>
      </w:r>
      <w:r w:rsidRPr="009C6551">
        <w:rPr>
          <w:rStyle w:val="kleinschrift1"/>
        </w:rPr>
        <w:t>820 K</w:t>
      </w:r>
      <w:r>
        <w:rPr>
          <w:rStyle w:val="kleinschrift1"/>
        </w:rPr>
        <w:t xml:space="preserve"> Plus</w:t>
      </w:r>
      <w:r w:rsidRPr="009C6551">
        <w:rPr>
          <w:rStyle w:val="kleinschrift1"/>
        </w:rPr>
        <w:t>.</w:t>
      </w:r>
    </w:p>
    <w:p w:rsidR="00BE1EFE" w:rsidRDefault="00BE1EFE">
      <w:pPr>
        <w:pStyle w:val="StandardWeb"/>
      </w:pPr>
      <w:r>
        <w:rPr>
          <w:sz w:val="12"/>
          <w:szCs w:val="12"/>
        </w:rPr>
        <w:br w:type="page"/>
      </w:r>
    </w:p>
    <w:p w:rsidR="00BE1EFE" w:rsidRDefault="00BE1EFE" w:rsidP="0054275E">
      <w:pPr>
        <w:pStyle w:val="StandardWeb"/>
        <w:autoSpaceDE w:val="0"/>
        <w:jc w:val="center"/>
      </w:pPr>
      <w:r>
        <w:rPr>
          <w:rStyle w:val="Fett"/>
          <w:bCs/>
        </w:rPr>
        <w:lastRenderedPageBreak/>
        <w:t>Auffangklausel</w:t>
      </w:r>
    </w:p>
    <w:p w:rsidR="00BE1EFE" w:rsidRDefault="00BE1EFE">
      <w:pPr>
        <w:pStyle w:val="StandardWeb"/>
        <w:jc w:val="center"/>
      </w:pPr>
    </w:p>
    <w:p w:rsidR="00BE1EFE" w:rsidRDefault="00BE1EFE" w:rsidP="0054275E">
      <w:pPr>
        <w:pStyle w:val="StandardWeb"/>
        <w:autoSpaceDE w:val="0"/>
        <w:jc w:val="center"/>
      </w:pPr>
      <w:r>
        <w:rPr>
          <w:rStyle w:val="Fett"/>
          <w:bCs/>
        </w:rPr>
        <w:t>Nr. 15</w:t>
      </w:r>
    </w:p>
    <w:p w:rsidR="00BE1EFE" w:rsidRDefault="00BE1EFE">
      <w:pPr>
        <w:pStyle w:val="StandardWeb"/>
        <w:jc w:val="center"/>
      </w:pPr>
    </w:p>
    <w:p w:rsidR="00BE1EFE" w:rsidRDefault="00BE1EFE">
      <w:pPr>
        <w:pStyle w:val="StandardWeb"/>
      </w:pPr>
      <w:r>
        <w:rPr>
          <w:rStyle w:val="kleinschrift"/>
        </w:rPr>
        <w:t>1</w:t>
      </w:r>
      <w:r>
        <w:t xml:space="preserve">Die </w:t>
      </w:r>
      <w:hyperlink r:id="rId988" w:history="1">
        <w:r w:rsidRPr="002D1F1D">
          <w:rPr>
            <w:rStyle w:val="Hyperlink"/>
          </w:rPr>
          <w:t>§§ 3 Absatz 3</w:t>
        </w:r>
      </w:hyperlink>
      <w:r>
        <w:t xml:space="preserve">, </w:t>
      </w:r>
      <w:hyperlink r:id="rId989" w:history="1">
        <w:r w:rsidRPr="002D1F1D">
          <w:rPr>
            <w:rStyle w:val="Hyperlink"/>
          </w:rPr>
          <w:t>23 Absatz 2</w:t>
        </w:r>
      </w:hyperlink>
      <w:r>
        <w:t xml:space="preserve">, </w:t>
      </w:r>
      <w:hyperlink r:id="rId990" w:history="1">
        <w:r w:rsidRPr="002D1F1D">
          <w:rPr>
            <w:rStyle w:val="Hyperlink"/>
          </w:rPr>
          <w:t>29 Absatz 1 Buchstabe d</w:t>
        </w:r>
      </w:hyperlink>
      <w:r>
        <w:t xml:space="preserve">, </w:t>
      </w:r>
      <w:hyperlink r:id="rId991" w:history="1">
        <w:r w:rsidRPr="002D1F1D">
          <w:rPr>
            <w:rStyle w:val="Hyperlink"/>
          </w:rPr>
          <w:t>39</w:t>
        </w:r>
      </w:hyperlink>
      <w:r>
        <w:t xml:space="preserve">, </w:t>
      </w:r>
      <w:hyperlink r:id="rId992" w:history="1">
        <w:r w:rsidRPr="002D1F1D">
          <w:rPr>
            <w:rStyle w:val="Hyperlink"/>
          </w:rPr>
          <w:t>40</w:t>
        </w:r>
      </w:hyperlink>
      <w:r>
        <w:t xml:space="preserve"> und </w:t>
      </w:r>
      <w:hyperlink r:id="rId993" w:history="1">
        <w:r w:rsidRPr="002D1F1D">
          <w:rPr>
            <w:rStyle w:val="Hyperlink"/>
          </w:rPr>
          <w:t>41 Teil A, 1.</w:t>
        </w:r>
      </w:hyperlink>
      <w:r>
        <w:t xml:space="preserve"> finden keine Anwendung. </w:t>
      </w:r>
      <w:r>
        <w:rPr>
          <w:rStyle w:val="kleinschrift"/>
        </w:rPr>
        <w:t>2</w:t>
      </w:r>
      <w:r>
        <w:t>Es gelten anstelle dieser Bestimmungen die jeweiligen Bestimmungen für die entsprechenden Beamten des Katholischen Schulwerks in Bayern.</w:t>
      </w:r>
    </w:p>
    <w:p w:rsidR="00BE1EFE" w:rsidRDefault="00BE1EFE">
      <w:pPr>
        <w:pStyle w:val="StandardWeb"/>
      </w:pPr>
    </w:p>
    <w:p w:rsidR="00BE1EFE" w:rsidRDefault="00BE1EFE" w:rsidP="00585FBA">
      <w:pPr>
        <w:pStyle w:val="h7"/>
      </w:pPr>
      <w:bookmarkStart w:id="727" w:name="_Toc523926259"/>
      <w:r>
        <w:t>Kapitel 2 - Sonderregelungen zu Teil B, 3.</w:t>
      </w:r>
      <w:bookmarkEnd w:id="727"/>
    </w:p>
    <w:p w:rsidR="00BE1EFE" w:rsidRPr="00B76821" w:rsidRDefault="00BE1EFE" w:rsidP="00B76821">
      <w:pPr>
        <w:pStyle w:val="h8"/>
        <w:keepNext w:val="0"/>
        <w:spacing w:before="0" w:after="0"/>
        <w:outlineLvl w:val="5"/>
        <w:rPr>
          <w:rStyle w:val="Fett"/>
          <w:bCs/>
          <w:sz w:val="2"/>
        </w:rPr>
      </w:pPr>
    </w:p>
    <w:p w:rsidR="00BE1EFE" w:rsidRPr="00F163CB" w:rsidRDefault="00BE1EFE" w:rsidP="0054275E">
      <w:pPr>
        <w:pStyle w:val="StandardWeb"/>
        <w:autoSpaceDE w:val="0"/>
        <w:jc w:val="center"/>
        <w:rPr>
          <w:sz w:val="18"/>
          <w:szCs w:val="18"/>
        </w:rPr>
      </w:pPr>
      <w:r w:rsidRPr="00F163CB">
        <w:rPr>
          <w:rStyle w:val="Fett"/>
          <w:bCs/>
          <w:sz w:val="18"/>
          <w:szCs w:val="18"/>
        </w:rPr>
        <w:t>Beschäftigte, die die Altersgrenze erreicht haben</w:t>
      </w:r>
    </w:p>
    <w:p w:rsidR="00BE1EFE" w:rsidRDefault="00BE1EFE">
      <w:pPr>
        <w:pStyle w:val="StandardWeb"/>
        <w:jc w:val="center"/>
        <w:rPr>
          <w:i/>
          <w:iCs/>
        </w:rPr>
      </w:pPr>
    </w:p>
    <w:p w:rsidR="00BE1EFE" w:rsidRDefault="00BE1EFE" w:rsidP="00D4437C">
      <w:pPr>
        <w:pStyle w:val="StandardWeb"/>
        <w:autoSpaceDE w:val="0"/>
        <w:jc w:val="left"/>
      </w:pPr>
      <w:r>
        <w:rPr>
          <w:rStyle w:val="Fett"/>
          <w:b w:val="0"/>
          <w:i/>
          <w:iCs/>
        </w:rPr>
        <w:t>(aufgehoben durch Beschluss vom 16.07.2009 mit Inkraftsetzung zum 01.01.2010)</w:t>
      </w:r>
    </w:p>
    <w:p w:rsidR="00BE1EFE" w:rsidRDefault="00BE1EFE">
      <w:pPr>
        <w:pStyle w:val="StandardWeb"/>
        <w:jc w:val="center"/>
      </w:pPr>
    </w:p>
    <w:p w:rsidR="00BE1EFE" w:rsidRDefault="00BE1EFE" w:rsidP="00585FBA">
      <w:pPr>
        <w:pStyle w:val="h7"/>
      </w:pPr>
      <w:bookmarkStart w:id="728" w:name="_Toc523926260"/>
      <w:r>
        <w:t>Kapitel 3 - Sonderregelungen zu Teil D, 5.</w:t>
      </w:r>
      <w:bookmarkEnd w:id="728"/>
    </w:p>
    <w:p w:rsidR="00BE1EFE" w:rsidRPr="00B76821" w:rsidRDefault="00BE1EFE" w:rsidP="00B76821">
      <w:pPr>
        <w:pStyle w:val="h8"/>
        <w:keepNext w:val="0"/>
        <w:spacing w:before="0" w:after="0"/>
        <w:outlineLvl w:val="5"/>
        <w:rPr>
          <w:rStyle w:val="Fett"/>
          <w:bCs/>
          <w:sz w:val="2"/>
        </w:rPr>
      </w:pPr>
    </w:p>
    <w:p w:rsidR="00BE1EFE" w:rsidRPr="00F163CB" w:rsidRDefault="00BE1EFE" w:rsidP="0054275E">
      <w:pPr>
        <w:pStyle w:val="StandardWeb"/>
        <w:autoSpaceDE w:val="0"/>
        <w:jc w:val="center"/>
        <w:rPr>
          <w:sz w:val="18"/>
          <w:szCs w:val="18"/>
        </w:rPr>
      </w:pPr>
      <w:r w:rsidRPr="00F163CB">
        <w:rPr>
          <w:rStyle w:val="Fett"/>
          <w:bCs/>
          <w:sz w:val="18"/>
          <w:szCs w:val="18"/>
        </w:rPr>
        <w:t>Sabbatjahrregelung</w:t>
      </w:r>
    </w:p>
    <w:p w:rsidR="00BE1EFE" w:rsidRDefault="00BE1EFE">
      <w:pPr>
        <w:pStyle w:val="StandardWeb"/>
        <w:jc w:val="center"/>
      </w:pPr>
    </w:p>
    <w:p w:rsidR="00BE1EFE" w:rsidRDefault="00BE1EFE" w:rsidP="0054275E">
      <w:pPr>
        <w:pStyle w:val="StandardWeb"/>
        <w:autoSpaceDE w:val="0"/>
        <w:jc w:val="center"/>
        <w:rPr>
          <w:b/>
          <w:bCs/>
        </w:rPr>
      </w:pPr>
      <w:r>
        <w:rPr>
          <w:rStyle w:val="Fett"/>
          <w:bCs/>
        </w:rPr>
        <w:t>Nr. 17</w:t>
      </w:r>
    </w:p>
    <w:p w:rsidR="00BE1EFE" w:rsidRDefault="00BE1EFE" w:rsidP="0054275E">
      <w:pPr>
        <w:pStyle w:val="StandardWeb"/>
        <w:autoSpaceDE w:val="0"/>
        <w:jc w:val="center"/>
      </w:pPr>
      <w:r>
        <w:rPr>
          <w:rStyle w:val="Fett"/>
          <w:bCs/>
        </w:rPr>
        <w:t xml:space="preserve">Zu </w:t>
      </w:r>
      <w:hyperlink r:id="rId994" w:history="1">
        <w:r w:rsidRPr="002D1F1D">
          <w:rPr>
            <w:rStyle w:val="Hyperlink"/>
          </w:rPr>
          <w:t>§ 1 Teil D, 5.</w:t>
        </w:r>
      </w:hyperlink>
      <w:r>
        <w:rPr>
          <w:rStyle w:val="Fett"/>
          <w:bCs/>
        </w:rPr>
        <w:t xml:space="preserve"> - Geltungsbereich -</w:t>
      </w:r>
    </w:p>
    <w:p w:rsidR="00BE1EFE" w:rsidRDefault="00BE1EFE">
      <w:pPr>
        <w:pStyle w:val="StandardWeb"/>
        <w:jc w:val="center"/>
      </w:pPr>
    </w:p>
    <w:p w:rsidR="00BE1EFE" w:rsidRDefault="00BE1EFE">
      <w:pPr>
        <w:pStyle w:val="StandardWeb"/>
      </w:pPr>
      <w:r>
        <w:rPr>
          <w:rStyle w:val="kleinschrift"/>
        </w:rPr>
        <w:t>1</w:t>
      </w:r>
      <w:hyperlink r:id="rId995" w:history="1">
        <w:r w:rsidRPr="002D1F1D">
          <w:rPr>
            <w:rStyle w:val="Hyperlink"/>
          </w:rPr>
          <w:t>Teil D, 5 „Sabbatjahrregelung“</w:t>
        </w:r>
      </w:hyperlink>
      <w:r>
        <w:t xml:space="preserve"> findet keine Anwendung. </w:t>
      </w:r>
      <w:r>
        <w:rPr>
          <w:rStyle w:val="kleinschrift"/>
        </w:rPr>
        <w:t>2</w:t>
      </w:r>
      <w:r>
        <w:t>Es gelten anstelle dieser Regelung die Bestimmungen für die entsprechenden arbeitsvertraglich beschäftigten Lehrkräfte des Freistaates Bayern.</w:t>
      </w:r>
    </w:p>
    <w:p w:rsidR="00BE1EFE" w:rsidRDefault="00BE1EFE" w:rsidP="001B1FC9">
      <w:pPr>
        <w:pStyle w:val="h7"/>
      </w:pPr>
      <w:bookmarkStart w:id="729" w:name="_Toc523926261"/>
      <w:r>
        <w:t xml:space="preserve">Nr. 18 - </w:t>
      </w:r>
      <w:r w:rsidRPr="001B1FC9">
        <w:rPr>
          <w:rStyle w:val="Fett"/>
          <w:b/>
          <w:bCs/>
        </w:rPr>
        <w:t>Geltung</w:t>
      </w:r>
      <w:bookmarkEnd w:id="729"/>
      <w:r>
        <w:rPr>
          <w:rStyle w:val="Fett"/>
          <w:bCs/>
        </w:rPr>
        <w:t xml:space="preserve"> </w:t>
      </w:r>
    </w:p>
    <w:p w:rsidR="00BE1EFE" w:rsidRPr="00B76821" w:rsidRDefault="00BE1EFE" w:rsidP="00B76821">
      <w:pPr>
        <w:pStyle w:val="h8"/>
        <w:keepNext w:val="0"/>
        <w:spacing w:before="0" w:after="0"/>
        <w:outlineLvl w:val="5"/>
        <w:rPr>
          <w:sz w:val="2"/>
        </w:rPr>
      </w:pPr>
    </w:p>
    <w:p w:rsidR="00BE1EFE" w:rsidRDefault="00BE1EFE">
      <w:pPr>
        <w:pStyle w:val="StandardWeb"/>
      </w:pPr>
      <w:r>
        <w:t xml:space="preserve">Für am 31.12.2001 bestehende Arbeitsverhältnisse gilt im Verhältnis zu kollektivrechtlichen Regelungen das Günstigkeitsprinzip in entsprechender Anwendung von </w:t>
      </w:r>
      <w:hyperlink r:id="rId996" w:tgtFrame="_blank" w:history="1">
        <w:r>
          <w:rPr>
            <w:rStyle w:val="Hyperlink"/>
          </w:rPr>
          <w:t>§ 4 Absatz 3 des Tarifvertragsgesetzes</w:t>
        </w:r>
      </w:hyperlink>
      <w:r>
        <w:t>.</w:t>
      </w:r>
      <w:r>
        <w:br w:type="page"/>
      </w:r>
    </w:p>
    <w:p w:rsidR="00BE1EFE" w:rsidRDefault="00BE1EFE" w:rsidP="00782A3A">
      <w:pPr>
        <w:pStyle w:val="berschrift6"/>
        <w:spacing w:before="0"/>
      </w:pPr>
      <w:bookmarkStart w:id="730" w:name="_Toc453677883"/>
      <w:bookmarkStart w:id="731" w:name="_Toc523926262"/>
      <w:r>
        <w:lastRenderedPageBreak/>
        <w:t>Anlage A</w:t>
      </w:r>
      <w:bookmarkEnd w:id="730"/>
      <w:bookmarkEnd w:id="731"/>
    </w:p>
    <w:p w:rsidR="00BE1EFE" w:rsidRPr="00B76821" w:rsidRDefault="00BE1EFE" w:rsidP="00B76821">
      <w:pPr>
        <w:pStyle w:val="h7"/>
        <w:keepNext w:val="0"/>
        <w:spacing w:before="0" w:after="0"/>
        <w:jc w:val="left"/>
        <w:outlineLvl w:val="5"/>
        <w:rPr>
          <w:rStyle w:val="Fett"/>
          <w:bCs/>
          <w:sz w:val="2"/>
        </w:rPr>
      </w:pPr>
    </w:p>
    <w:p w:rsidR="00BE1EFE" w:rsidRDefault="00BE1EFE" w:rsidP="003F0206">
      <w:pPr>
        <w:pStyle w:val="h7"/>
        <w:spacing w:before="0" w:after="0"/>
        <w:jc w:val="left"/>
        <w:outlineLvl w:val="5"/>
        <w:rPr>
          <w:rStyle w:val="Fett"/>
          <w:bCs/>
          <w:sz w:val="2"/>
        </w:rPr>
      </w:pPr>
    </w:p>
    <w:p w:rsidR="00BE1EFE" w:rsidRPr="00B76821" w:rsidRDefault="00BE1EFE" w:rsidP="00B76821">
      <w:pPr>
        <w:pStyle w:val="h8"/>
        <w:keepNext w:val="0"/>
        <w:spacing w:before="0" w:after="0"/>
        <w:outlineLvl w:val="5"/>
        <w:rPr>
          <w:rStyle w:val="Fett"/>
          <w:bCs/>
          <w:sz w:val="2"/>
        </w:rPr>
      </w:pPr>
    </w:p>
    <w:p w:rsidR="00BE1EFE" w:rsidRDefault="00BE1EFE" w:rsidP="003F0206">
      <w:pPr>
        <w:pStyle w:val="h7"/>
        <w:spacing w:before="0" w:after="0"/>
        <w:rPr>
          <w:rStyle w:val="Fett"/>
          <w:bCs/>
          <w:sz w:val="2"/>
        </w:rPr>
      </w:pPr>
    </w:p>
    <w:p w:rsidR="00BE1EFE" w:rsidRPr="00B76821" w:rsidRDefault="00BE1EFE" w:rsidP="00B76821">
      <w:pPr>
        <w:pStyle w:val="h8"/>
        <w:keepNext w:val="0"/>
        <w:spacing w:before="0" w:after="0"/>
        <w:outlineLvl w:val="5"/>
        <w:rPr>
          <w:rStyle w:val="Fett"/>
          <w:rFonts w:ascii="ZWAdobeF" w:hAnsi="ZWAdobeF"/>
          <w:b/>
          <w:bCs/>
          <w:sz w:val="2"/>
          <w:szCs w:val="2"/>
        </w:rPr>
      </w:pPr>
    </w:p>
    <w:p w:rsidR="00BE1EFE" w:rsidRDefault="00BE1EFE" w:rsidP="003F0206">
      <w:pPr>
        <w:pStyle w:val="h8"/>
        <w:spacing w:before="0" w:after="0"/>
        <w:outlineLvl w:val="5"/>
        <w:rPr>
          <w:rStyle w:val="Fett"/>
          <w:rFonts w:ascii="ZWAdobeF" w:hAnsi="ZWAdobeF"/>
          <w:b/>
          <w:bCs/>
          <w:sz w:val="2"/>
          <w:szCs w:val="2"/>
        </w:rPr>
      </w:pPr>
    </w:p>
    <w:p w:rsidR="00BE1EFE" w:rsidRPr="00B76821" w:rsidRDefault="00BE1EFE" w:rsidP="00B76821">
      <w:pPr>
        <w:pStyle w:val="h9"/>
        <w:keepNext w:val="0"/>
        <w:spacing w:before="0" w:after="0"/>
        <w:outlineLvl w:val="5"/>
        <w:rPr>
          <w:rStyle w:val="Fett"/>
          <w:b/>
          <w:sz w:val="2"/>
        </w:rPr>
      </w:pPr>
    </w:p>
    <w:p w:rsidR="00BE1EFE" w:rsidRPr="00984E43" w:rsidRDefault="00BE1EFE" w:rsidP="00984E43">
      <w:pPr>
        <w:pStyle w:val="h7"/>
        <w:jc w:val="left"/>
        <w:rPr>
          <w:b w:val="0"/>
        </w:rPr>
      </w:pPr>
      <w:bookmarkStart w:id="732" w:name="_Toc523926263"/>
      <w:r w:rsidRPr="00984E43">
        <w:rPr>
          <w:rStyle w:val="Fett"/>
          <w:b/>
        </w:rPr>
        <w:t>I. Eingruppierungsrichtlinien für Lehrkräfte an Volksschulen</w:t>
      </w:r>
      <w:bookmarkEnd w:id="732"/>
    </w:p>
    <w:p w:rsidR="00BE1EFE" w:rsidRPr="00B76821" w:rsidRDefault="00BE1EFE" w:rsidP="00B76821">
      <w:pPr>
        <w:pStyle w:val="h8"/>
        <w:keepNext w:val="0"/>
        <w:spacing w:before="0" w:after="0"/>
        <w:outlineLvl w:val="5"/>
        <w:rPr>
          <w:rStyle w:val="Fett"/>
          <w:bCs/>
          <w:sz w:val="2"/>
        </w:rPr>
      </w:pPr>
    </w:p>
    <w:p w:rsidR="00BE1EFE" w:rsidRDefault="00BE1EFE" w:rsidP="003F0206">
      <w:pPr>
        <w:pStyle w:val="StandardWeb"/>
        <w:autoSpaceDE w:val="0"/>
      </w:pPr>
      <w:r>
        <w:rPr>
          <w:rStyle w:val="Fett"/>
          <w:bCs/>
        </w:rPr>
        <w:t>Lehrkräfte, bei denen die fachlichen und/oder pädagogischen Voraussetzungen für die Übernahme in das Beamtenverhältnis nicht erfüllt sind</w:t>
      </w:r>
    </w:p>
    <w:p w:rsidR="00BE1EFE" w:rsidRPr="000B1AF8"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 die aufgrund ihres Studiums die Fähigkeit zum Unterrichten in mindestens zwei Fächern, haben (z. B. Erste Staatsprüfung für das Lehramt an Grund- oder Hauptschulen, Erste Prüfung für das Lehramt an Volksschulen)</w:t>
      </w:r>
    </w:p>
    <w:p w:rsidR="00BE1EFE" w:rsidRDefault="00BE1EFE">
      <w:pPr>
        <w:pStyle w:val="StandardWeb"/>
      </w:pPr>
      <w:r>
        <w:t>und die überwiegend Unterricht in mindestens einem ihrem Studium entsprechendem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die den Fallgruppen 6 bis 10 zugeordnet werden können.)</w:t>
      </w:r>
    </w:p>
    <w:p w:rsidR="00BE1EFE" w:rsidRDefault="00BE1EFE">
      <w:pPr>
        <w:pStyle w:val="StandardWeb"/>
      </w:pPr>
    </w:p>
    <w:p w:rsidR="00BE1EFE" w:rsidRDefault="00BE1EFE" w:rsidP="0054275E">
      <w:pPr>
        <w:pStyle w:val="StandardWeb"/>
        <w:autoSpaceDE w:val="0"/>
        <w:rPr>
          <w:b/>
          <w:bCs/>
        </w:rPr>
      </w:pPr>
      <w:r>
        <w:rPr>
          <w:rStyle w:val="Fett"/>
          <w:bCs/>
        </w:rPr>
        <w:t>Fallgruppe 3</w:t>
      </w:r>
    </w:p>
    <w:p w:rsidR="00BE1EFE" w:rsidRDefault="00BE1EFE">
      <w:pPr>
        <w:pStyle w:val="StandardWeb"/>
      </w:pPr>
      <w:r>
        <w:t>Lehrkräfte in der Tätigkeit von Lehrern an Grund- oder Hauptschulen,</w:t>
      </w:r>
    </w:p>
    <w:p w:rsidR="00BE1EFE" w:rsidRDefault="00BE1EFE">
      <w:pPr>
        <w:pStyle w:val="StandardWeb"/>
      </w:pPr>
      <w:r>
        <w:t>die überwiegend Unterricht in mindestens einem wissenschaftlichen Fach erteilen, ohne Ausbildung nach Fallgruppe 1 oder Fallgruppe 2</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nicht für Lehrkräfte, die den Fallgruppen 6 bis 10 zugeordnet werden können.)</w:t>
      </w:r>
    </w:p>
    <w:p w:rsidR="00BE1EFE" w:rsidRDefault="00BE1EFE">
      <w:pPr>
        <w:pStyle w:val="StandardWeb"/>
      </w:pPr>
    </w:p>
    <w:p w:rsidR="00BE1EFE" w:rsidRDefault="00BE1EFE" w:rsidP="0054275E">
      <w:pPr>
        <w:pStyle w:val="StandardWeb"/>
        <w:autoSpaceDE w:val="0"/>
        <w:rPr>
          <w:b/>
          <w:bCs/>
        </w:rPr>
      </w:pPr>
      <w:r>
        <w:rPr>
          <w:rStyle w:val="Fett"/>
          <w:bCs/>
        </w:rPr>
        <w:t>Fallgruppe 4</w:t>
      </w:r>
    </w:p>
    <w:p w:rsidR="00BE1EFE" w:rsidRDefault="00BE1EFE">
      <w:pPr>
        <w:pStyle w:val="StandardWeb"/>
      </w:pPr>
      <w:r>
        <w:t>Ausländische Lehrkräfte an Grund- oder Hauptschulen</w:t>
      </w:r>
    </w:p>
    <w:p w:rsidR="00BE1EFE" w:rsidRDefault="00BE1EFE">
      <w:pPr>
        <w:pStyle w:val="StandardWeb"/>
      </w:pPr>
      <w:r>
        <w:t>mit abgeschlossener Ausbildung an einer wissenschaftlichen Hochschule und voller Lehrbefähigung ihres Heimatlandes, die ausländischen Schülern muttersprachlichen Unterricht im Sinne der Vereinbarung der Ständigen Konferenz der Kultusminister der Länder in der Bundesrepublik Deutschland (KMK) über den Unterricht der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lastRenderedPageBreak/>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Ausländische Lehrkräfte an Grund- oder Hauptschulen</w:t>
      </w:r>
    </w:p>
    <w:p w:rsidR="00BE1EFE" w:rsidRDefault="00BE1EFE">
      <w:pPr>
        <w:pStyle w:val="StandardWeb"/>
      </w:pPr>
      <w:r>
        <w:t>ohne Ausbildung nach Fallgruppe 4 mit sonstiger Lehrerausbildung (z. B. an Lehrerbildungs</w:t>
      </w:r>
      <w:r>
        <w:softHyphen/>
        <w:t>instituten) und voller Lehrbefähigung ihres Heimatlandes, die ausländischen Schülern muttersprachlichen Unterricht im Sinne der Vereinbarung der KMK über den Unterricht der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den Englischunterricht und den französischen Wahlunterricht</w:t>
      </w:r>
    </w:p>
    <w:p w:rsidR="00BE1EFE" w:rsidRDefault="00BE1EFE">
      <w:pPr>
        <w:pStyle w:val="StandardWeb"/>
      </w:pPr>
    </w:p>
    <w:p w:rsidR="00BE1EFE" w:rsidRDefault="00BE1EFE" w:rsidP="0054275E">
      <w:pPr>
        <w:pStyle w:val="StandardWeb"/>
        <w:autoSpaceDE w:val="0"/>
      </w:pPr>
      <w:r>
        <w:rPr>
          <w:rStyle w:val="Fett"/>
          <w:bCs/>
        </w:rPr>
        <w:t>Fallgruppe 6.1</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w:t>
      </w:r>
    </w:p>
    <w:p w:rsidR="00BE1EFE" w:rsidRDefault="00BE1EFE">
      <w:pPr>
        <w:pStyle w:val="StandardWeb"/>
      </w:pPr>
      <w:r>
        <w:t>als Sprachlehrer in einem ihrem Studium entsprechenden Fach</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6.2</w:t>
      </w:r>
    </w:p>
    <w:p w:rsidR="00BE1EFE" w:rsidRDefault="00BE1EFE">
      <w:pPr>
        <w:pStyle w:val="StandardWeb"/>
      </w:pPr>
      <w:r>
        <w:t xml:space="preserve">Fachlehrer für Englisch an Volksschulen mit Abschlussprüfung nach der VO vom 14.05.1970 (Bayerisches Gesetz- und Verordnungsblatt S. 192) </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6.3</w:t>
      </w:r>
    </w:p>
    <w:p w:rsidR="00BE1EFE" w:rsidRDefault="00BE1EFE">
      <w:pPr>
        <w:pStyle w:val="StandardWeb"/>
      </w:pPr>
      <w:r>
        <w:t>mit dem akademischen Grad eines „Master of Arts“ (GB, USA) oder eines „Bachelor of Arts“ (nur GB)</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6.4</w:t>
      </w:r>
    </w:p>
    <w:p w:rsidR="00BE1EFE" w:rsidRDefault="00BE1EFE">
      <w:pPr>
        <w:pStyle w:val="StandardWeb"/>
      </w:pPr>
      <w:r>
        <w:t>Lehrkräfte für den französischen Wahlunterricht, die über ein mindestens sechssemestriges abgeschlossenes Studium in Französisch an einer Universität verfügen bzw. die Befähigung für die Unterrichtserteilung an französischen Schulen nachweisen können,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lastRenderedPageBreak/>
        <w:t>Lehrkräfte für den Sportunterricht</w:t>
      </w:r>
    </w:p>
    <w:p w:rsidR="00BE1EFE" w:rsidRDefault="00BE1EFE">
      <w:pPr>
        <w:pStyle w:val="StandardWeb"/>
      </w:pPr>
    </w:p>
    <w:p w:rsidR="00BE1EFE" w:rsidRDefault="00BE1EFE" w:rsidP="0054275E">
      <w:pPr>
        <w:pStyle w:val="StandardWeb"/>
        <w:autoSpaceDE w:val="0"/>
      </w:pPr>
      <w:r>
        <w:rPr>
          <w:rStyle w:val="Fett"/>
          <w:bCs/>
        </w:rPr>
        <w:t>Fallgruppe 7.1</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7.2</w:t>
      </w:r>
    </w:p>
    <w:p w:rsidR="00BE1EFE" w:rsidRDefault="00BE1EFE">
      <w:pPr>
        <w:pStyle w:val="StandardWeb"/>
      </w:pPr>
      <w:r>
        <w:t>Sportlehrer</w:t>
      </w:r>
    </w:p>
    <w:p w:rsidR="00BE1EFE" w:rsidRDefault="00BE1EFE">
      <w:pPr>
        <w:pStyle w:val="StandardWeb"/>
      </w:pPr>
      <w:r>
        <w:t>mit mindestens sechssemestrigem Hochschulstudium und Abschlussprüfung, jedoch ohne Diplom</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rsidP="0054275E">
      <w:pPr>
        <w:pStyle w:val="StandardWeb"/>
        <w:autoSpaceDE w:val="0"/>
      </w:pPr>
      <w:r>
        <w:rPr>
          <w:rStyle w:val="Fett"/>
          <w:bCs/>
        </w:rPr>
        <w:t>Fallgruppe 7.3</w:t>
      </w:r>
    </w:p>
    <w:p w:rsidR="00BE1EFE" w:rsidRDefault="00BE1EFE">
      <w:pPr>
        <w:pStyle w:val="StandardWeb"/>
      </w:pPr>
      <w:r>
        <w:t>Turn-, Sport- und Gymnastiklehrer</w:t>
      </w:r>
    </w:p>
    <w:p w:rsidR="00BE1EFE" w:rsidRDefault="00BE1EFE">
      <w:pPr>
        <w:pStyle w:val="StandardWeb"/>
      </w:pPr>
      <w:r>
        <w:t>mit staatlicher oder staatlich anerkannter Turn-, Sport- oder Gymnastiklehrerprüfung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(Dieses Merkmal gilt nur für Turn-, Sport- oder Gymnastiklehrer, die ein mindestens vier</w:t>
      </w:r>
      <w:r>
        <w:softHyphen/>
        <w:t>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rPr>
          <w:b/>
          <w:bCs/>
        </w:rPr>
      </w:pPr>
      <w:r>
        <w:rPr>
          <w:rStyle w:val="Fett"/>
          <w:bCs/>
        </w:rPr>
        <w:t>Fallgruppe 7.4</w:t>
      </w:r>
    </w:p>
    <w:p w:rsidR="00BE1EFE" w:rsidRDefault="00BE1EFE">
      <w:pPr>
        <w:pStyle w:val="StandardWeb"/>
      </w:pPr>
      <w:r>
        <w:t>Sport- und Gymnastiklehrer</w:t>
      </w:r>
    </w:p>
    <w:p w:rsidR="00BE1EFE" w:rsidRDefault="00BE1EFE">
      <w:pPr>
        <w:pStyle w:val="StandardWeb"/>
      </w:pPr>
      <w:r>
        <w:t>(ohne Ausbildung nach Nr. 7.3, z. B. 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Lehrkräfte für Kunsterziehung</w:t>
      </w:r>
    </w:p>
    <w:p w:rsidR="00BE1EFE" w:rsidRDefault="00BE1EFE">
      <w:pPr>
        <w:pStyle w:val="StandardWeb"/>
      </w:pPr>
    </w:p>
    <w:p w:rsidR="00BE1EFE" w:rsidRDefault="00BE1EFE" w:rsidP="0054275E">
      <w:pPr>
        <w:pStyle w:val="StandardWeb"/>
        <w:autoSpaceDE w:val="0"/>
      </w:pPr>
      <w:r>
        <w:rPr>
          <w:rStyle w:val="Fett"/>
          <w:bCs/>
        </w:rPr>
        <w:t>Fallgruppe 8.1</w:t>
      </w:r>
    </w:p>
    <w:p w:rsidR="00BE1EFE" w:rsidRDefault="00BE1EFE">
      <w:pPr>
        <w:pStyle w:val="StandardWeb"/>
      </w:pPr>
      <w:r>
        <w:t>Lehrkräfte,</w:t>
      </w:r>
    </w:p>
    <w:p w:rsidR="00BE1EFE" w:rsidRDefault="00BE1EFE">
      <w:pPr>
        <w:pStyle w:val="StandardWeb"/>
      </w:pPr>
      <w:r>
        <w:t>– die nach einem mindestens achtsemestrigem Studium an einer Kunsthochschule der Kunstakademie zum Meisterschüler ernannt worden sind oder</w:t>
      </w:r>
    </w:p>
    <w:p w:rsidR="00BE1EFE" w:rsidRDefault="00BE1EFE">
      <w:pPr>
        <w:pStyle w:val="StandardWeb"/>
      </w:pPr>
      <w:r>
        <w:t>– nach einem mindestens sechssemestrigem Studium an einer Kunsthochschule oder Kunstakademie den künstlerischen Teil der Künstlerischen Prüfung für das Lehramt am Gymnasium abgelegt haben,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8.2</w:t>
      </w:r>
    </w:p>
    <w:p w:rsidR="00BE1EFE" w:rsidRDefault="00BE1EFE">
      <w:pPr>
        <w:pStyle w:val="StandardWeb"/>
      </w:pPr>
      <w:r>
        <w:lastRenderedPageBreak/>
        <w:t>Sonstige Lehrkräfte für Kunsterziehung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rPr>
          <w:b/>
          <w:bCs/>
        </w:rPr>
      </w:pPr>
      <w:r>
        <w:rPr>
          <w:rStyle w:val="Fett"/>
          <w:bCs/>
        </w:rPr>
        <w:t>Fallgruppe 9</w:t>
      </w:r>
    </w:p>
    <w:p w:rsidR="00BE1EFE" w:rsidRDefault="00BE1EFE">
      <w:pPr>
        <w:pStyle w:val="StandardWeb"/>
      </w:pPr>
      <w:r>
        <w:t>Lehrkräfte für Musik</w:t>
      </w:r>
    </w:p>
    <w:p w:rsidR="00BE1EFE" w:rsidRDefault="00BE1EFE">
      <w:pPr>
        <w:pStyle w:val="StandardWeb"/>
      </w:pPr>
    </w:p>
    <w:p w:rsidR="00BE1EFE" w:rsidRDefault="00BE1EFE" w:rsidP="0054275E">
      <w:pPr>
        <w:pStyle w:val="StandardWeb"/>
        <w:autoSpaceDE w:val="0"/>
        <w:rPr>
          <w:b/>
          <w:bCs/>
        </w:rPr>
      </w:pPr>
      <w:r>
        <w:rPr>
          <w:rStyle w:val="Fett"/>
          <w:bCs/>
        </w:rPr>
        <w:t>Fallgruppe 9.1</w:t>
      </w:r>
    </w:p>
    <w:p w:rsidR="00BE1EFE" w:rsidRDefault="00BE1EFE">
      <w:pPr>
        <w:pStyle w:val="StandardWeb"/>
      </w:pPr>
      <w:r>
        <w:t>Lehrkräfte,</w:t>
      </w:r>
    </w:p>
    <w:p w:rsidR="00BE1EFE" w:rsidRDefault="00BE1EFE">
      <w:pPr>
        <w:pStyle w:val="StandardWeb"/>
      </w:pPr>
      <w:r>
        <w:t>– die nach einem mindestens achtsemestrigem Studium die Diplommusiklehrerprüfung, die Diplommusikerprüfung oder nach den früher geltenden Prüfungs- und Studienordnungen die Künstlerische Staatsprüfung an einer Hochschule für Musik in Bayern abgelegt haben, oder</w:t>
      </w:r>
    </w:p>
    <w:p w:rsidR="00BE1EFE" w:rsidRDefault="00BE1EFE">
      <w:pPr>
        <w:pStyle w:val="StandardWeb"/>
      </w:pPr>
      <w:r>
        <w:t>– die nach einem mindestens achtsemestrigem Studium an einer Musikhochschule oder Musikakademie die künstlerische Reifeprüfung bzw. die Künstlerische Abschlussprüfung bzw. die A-Prüfung für Kirchenmusik abgelegt haben, oder</w:t>
      </w:r>
    </w:p>
    <w:p w:rsidR="00BE1EFE" w:rsidRDefault="00BE1EFE">
      <w:pPr>
        <w:pStyle w:val="StandardWeb"/>
      </w:pPr>
      <w:r>
        <w:t>– die nach einem mindestens sechssemestrigem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9.2</w:t>
      </w:r>
    </w:p>
    <w:p w:rsidR="00BE1EFE" w:rsidRDefault="00BE1EFE">
      <w:pPr>
        <w:pStyle w:val="StandardWeb"/>
      </w:pPr>
      <w:r>
        <w:t>Sonstige Lehrkräfte für Musik</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Lehrkräfte für sonstige musisch-technische Fächer (Kurzschrift/Maschinenschreiben /Werken/ Technisches Zeichnen) und für Handarbeit und Hauswirtschaft</w:t>
      </w:r>
    </w:p>
    <w:p w:rsidR="00BE1EFE" w:rsidRDefault="00BE1EFE">
      <w:pPr>
        <w:pStyle w:val="StandardWeb"/>
      </w:pPr>
    </w:p>
    <w:p w:rsidR="00BE1EFE" w:rsidRDefault="00BE1EFE" w:rsidP="0054275E">
      <w:pPr>
        <w:pStyle w:val="StandardWeb"/>
        <w:autoSpaceDE w:val="0"/>
      </w:pPr>
      <w:r>
        <w:rPr>
          <w:rStyle w:val="Fett"/>
          <w:bCs/>
        </w:rPr>
        <w:t>Fallgruppe 10.1</w:t>
      </w:r>
    </w:p>
    <w:p w:rsidR="00BE1EFE" w:rsidRDefault="00BE1EFE">
      <w:pPr>
        <w:pStyle w:val="StandardWeb"/>
      </w:pPr>
      <w:r>
        <w:t>in der Tätigkeit in mindestens zwei Fächern</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10.2</w:t>
      </w:r>
    </w:p>
    <w:p w:rsidR="00BE1EFE" w:rsidRDefault="00BE1EFE">
      <w:pPr>
        <w:pStyle w:val="StandardWeb"/>
      </w:pPr>
      <w:r>
        <w:t>in der Tätigkeit in einem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Pr="00BB2B13" w:rsidRDefault="00BE1EFE" w:rsidP="004B5349">
      <w:pPr>
        <w:pStyle w:val="StandardWeb"/>
        <w:autoSpaceDE w:val="0"/>
        <w:jc w:val="left"/>
        <w:rPr>
          <w:rStyle w:val="Fett"/>
          <w:b w:val="0"/>
        </w:rPr>
      </w:pPr>
      <w:r>
        <w:rPr>
          <w:rStyle w:val="Hervorhebung"/>
          <w:iCs/>
        </w:rPr>
        <w:t>Besoldungsgruppe A 8</w:t>
      </w:r>
      <w:r>
        <w:br w:type="page"/>
      </w:r>
    </w:p>
    <w:p w:rsidR="00BE1EFE" w:rsidRPr="00984E43" w:rsidRDefault="00BE1EFE" w:rsidP="00BB2B13">
      <w:pPr>
        <w:pStyle w:val="h7"/>
        <w:spacing w:before="0"/>
        <w:jc w:val="left"/>
        <w:rPr>
          <w:b w:val="0"/>
        </w:rPr>
      </w:pPr>
      <w:bookmarkStart w:id="733" w:name="_Toc523926264"/>
      <w:r w:rsidRPr="00984E43">
        <w:rPr>
          <w:rStyle w:val="Fett"/>
          <w:b/>
          <w:bCs/>
        </w:rPr>
        <w:lastRenderedPageBreak/>
        <w:t>II. Eingruppierungsrichtlinien für Lehrkräfte an beruflichen Schulen</w:t>
      </w:r>
      <w:bookmarkEnd w:id="733"/>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pädagogischen und/oder die fachlichen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(Regelstudienzeit mindestens acht Semester), die aufgrund ihres Studiums die Fähigkeit zum Unterrichten in mindestens einer beruflichen Fachrichtung oder in mindestens zwei Fächern haben und überwiegend Unterricht in mindestens einem ihrem Studium entsprechenden Fach erteilen (z. B. Erste Staatsprüfung für das Lehramt an beruflichen Schulen)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auch für Diplom-Mathematiker, Diplom-Physiker und Diplom-Chemiker; es gilt nicht für Diplom-Dolmetscher und Diplom-Übersetzer.)</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Lehrkräfte in der Tätigkeit von Studienräten</w:t>
      </w:r>
    </w:p>
    <w:p w:rsidR="00BE1EFE" w:rsidRDefault="00BE1EFE">
      <w:pPr>
        <w:pStyle w:val="StandardWeb"/>
      </w:pPr>
      <w:r>
        <w:t>– mit abgeschlossenem Studium (ohne Lehramtsstudium) an einer wissenschaftlichen Hochschule (Regelstudienzeit mindestens sechs Semester), die überwiegend Unterricht in einem ihrem Studium entsprechenden wissenschaftlichen Fach erteilen,</w:t>
      </w:r>
    </w:p>
    <w:p w:rsidR="00BE1EFE" w:rsidRDefault="00BE1EFE">
      <w:pPr>
        <w:pStyle w:val="StandardWeb"/>
      </w:pPr>
      <w:r>
        <w:t>– mit Erster Staatsprüfung für das Lehramt an Realschulen,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mit abgeschlossenem Studium an einer wissenschaftlichen Hochschule, die überwiegend Unterricht in mindestens einem wissenschaftlichen Fach erteilen, </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5 - 15)</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in der Tätigkeit von Fachlehrern,</w:t>
      </w:r>
    </w:p>
    <w:p w:rsidR="00BE1EFE" w:rsidRDefault="00BE1EFE">
      <w:pPr>
        <w:pStyle w:val="StandardWeb"/>
      </w:pPr>
      <w:r>
        <w:t>für die eine Laufbahn eingerichtet ist, werden nachstehend entsprechend dem Eingangsamt vergleichbarer beamteter Lehrkräfte eingruppiert, wenn sie die für den Eintritt in den Vorbereitungsdienst, oder, sofern ein solcher nicht eingerichtet ist, die für die Einstellung in die Laufbahn erforderlichen Voraussetzungen aufzuweisen haben.</w:t>
      </w:r>
    </w:p>
    <w:p w:rsidR="00BE1EFE" w:rsidRDefault="00BE1EFE" w:rsidP="0054275E">
      <w:pPr>
        <w:pStyle w:val="StandardWeb"/>
        <w:autoSpaceDE w:val="0"/>
        <w:rPr>
          <w:i/>
          <w:iCs/>
        </w:rPr>
      </w:pPr>
      <w:r>
        <w:rPr>
          <w:rStyle w:val="Hervorhebung"/>
          <w:iCs/>
        </w:rPr>
        <w:t>Eingangsamt: Besoldungsgruppe A 10      Besoldungsgruppe A 9</w:t>
      </w:r>
    </w:p>
    <w:p w:rsidR="00BE1EFE" w:rsidRDefault="00BE1EFE" w:rsidP="0054275E">
      <w:pPr>
        <w:pStyle w:val="StandardWeb"/>
        <w:autoSpaceDE w:val="0"/>
      </w:pPr>
      <w:r>
        <w:rPr>
          <w:rStyle w:val="Hervorhebung"/>
          <w:iCs/>
        </w:rPr>
        <w:t>Eingangsamt: Besoldungsgruppe A 11      Besoldungsgruppe A 10</w:t>
      </w:r>
    </w:p>
    <w:p w:rsidR="00BE1EFE" w:rsidRDefault="00BE1EFE">
      <w:pPr>
        <w:pStyle w:val="StandardWeb"/>
      </w:pPr>
      <w:r>
        <w:t>nach mindestens sechsjähriger Bewährung in der jeweiligen Tätigkeit und der entsprechenden Besoldungsgruppe</w:t>
      </w:r>
    </w:p>
    <w:p w:rsidR="00BE1EFE" w:rsidRDefault="00BE1EFE" w:rsidP="0054275E">
      <w:pPr>
        <w:pStyle w:val="StandardWeb"/>
        <w:autoSpaceDE w:val="0"/>
        <w:rPr>
          <w:i/>
          <w:iCs/>
        </w:rPr>
      </w:pPr>
      <w:r>
        <w:rPr>
          <w:rStyle w:val="Hervorhebung"/>
          <w:iCs/>
        </w:rPr>
        <w:lastRenderedPageBreak/>
        <w:t>Besoldungsgruppe A 10 bzw. A 11</w:t>
      </w:r>
    </w:p>
    <w:p w:rsidR="00BE1EFE" w:rsidRDefault="00BE1EFE">
      <w:pPr>
        <w:pStyle w:val="StandardWeb"/>
      </w:pPr>
      <w:r>
        <w:t>Können die fachlichen Voraussetzungen für den Zugang zur Laufbahn aus zwingenden Gründen nicht erbracht werden (z. B. weil keine Meisterprüfung eingerichtet ist), so werden die Lehrkräfte in die nächst niedrigere Besoldungsgruppe eingruppiert.</w:t>
      </w:r>
    </w:p>
    <w:p w:rsidR="00BE1EFE" w:rsidRDefault="00BE1EFE">
      <w:pPr>
        <w:pStyle w:val="StandardWeb"/>
      </w:pPr>
      <w:r>
        <w:t>(Dieses Merkmal gilt nicht für Lehrkräfte der Fallgruppen 5 - 15.)</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Religionsunterricht</w:t>
      </w:r>
    </w:p>
    <w:p w:rsidR="00BE1EFE" w:rsidRDefault="00BE1EFE">
      <w:pPr>
        <w:pStyle w:val="StandardWeb"/>
      </w:pPr>
      <w:r>
        <w:t>mit abgeschlossenem theologischem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Religionsunterricht</w:t>
      </w:r>
    </w:p>
    <w:p w:rsidR="00BE1EFE" w:rsidRDefault="00BE1EFE">
      <w:pPr>
        <w:pStyle w:val="StandardWeb"/>
      </w:pPr>
      <w:r>
        <w:t>mit abgeschlossener Ausbildung an einer kirchlichen Fachhochschule oder einer vergleichbaren Ausbildung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FB6E9A">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7</w:t>
      </w:r>
    </w:p>
    <w:p w:rsidR="00BE1EFE" w:rsidRDefault="00BE1EFE">
      <w:pPr>
        <w:pStyle w:val="StandardWeb"/>
      </w:pPr>
      <w:r>
        <w:t>Diplom-Sportlehrer</w:t>
      </w:r>
    </w:p>
    <w:p w:rsidR="00BE1EFE" w:rsidRDefault="00BE1EFE">
      <w:pPr>
        <w:pStyle w:val="StandardWeb"/>
      </w:pPr>
      <w:r>
        <w:t xml:space="preserve">mit mindestens sechssemestrigem Hochschulstudium und Abschlussprüfung </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Sport- und Gymnastiklehrer</w:t>
      </w:r>
    </w:p>
    <w:p w:rsidR="00BE1EFE" w:rsidRDefault="00BE1EFE">
      <w:pPr>
        <w:pStyle w:val="StandardWeb"/>
      </w:pPr>
      <w:r>
        <w:t>– mit mindestens viersemestriger Ausbildung an einem staatlichen oder staatlich anerkannten Ausbildungsinstitut und staatlicher oder staatlich anerkannter Turn-, Sport- oder Gymnastiklehrerprüfung,</w:t>
      </w:r>
    </w:p>
    <w:p w:rsidR="00BE1EFE" w:rsidRDefault="00BE1EFE">
      <w:pPr>
        <w:pStyle w:val="StandardWeb"/>
      </w:pPr>
      <w:r>
        <w:t>– mit Zeugnis über die frühere Ausbildung zum Fachlehrer an Volksschulen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 xml:space="preserve">Turn- und Sportlehrer </w:t>
      </w:r>
    </w:p>
    <w:p w:rsidR="00BE1EFE" w:rsidRDefault="00BE1EFE">
      <w:pPr>
        <w:pStyle w:val="StandardWeb"/>
      </w:pPr>
      <w:r>
        <w:t>mit anderweitiger Ausbildung für diese Tätigkeit</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4B5349" w:rsidRDefault="004B5349">
      <w:pPr>
        <w:pStyle w:val="StandardWeb"/>
      </w:pPr>
    </w:p>
    <w:p w:rsidR="00BE1EFE" w:rsidRDefault="00BE1EFE" w:rsidP="0054275E">
      <w:pPr>
        <w:pStyle w:val="StandardWeb"/>
        <w:autoSpaceDE w:val="0"/>
        <w:rPr>
          <w:b/>
          <w:bCs/>
        </w:rPr>
      </w:pPr>
      <w:r>
        <w:rPr>
          <w:rStyle w:val="Fett"/>
          <w:bCs/>
        </w:rPr>
        <w:t>Fallgruppe 10</w:t>
      </w:r>
    </w:p>
    <w:p w:rsidR="00BE1EFE" w:rsidRDefault="00BE1EFE">
      <w:pPr>
        <w:pStyle w:val="StandardWeb"/>
      </w:pPr>
      <w:r>
        <w:t>Kunsterzieher,</w:t>
      </w:r>
    </w:p>
    <w:p w:rsidR="00BE1EFE" w:rsidRDefault="00BE1EFE">
      <w:pPr>
        <w:pStyle w:val="StandardWeb"/>
      </w:pPr>
      <w:r>
        <w:lastRenderedPageBreak/>
        <w:t>– die nach einem mindestens achtsemestrigen Studium an einer Kunsthochschule oder Kunstakademie zum Meisterschüler ernannt worden sind,</w:t>
      </w:r>
    </w:p>
    <w:p w:rsidR="00BE1EFE" w:rsidRDefault="00BE1EFE">
      <w:pPr>
        <w:pStyle w:val="StandardWeb"/>
      </w:pPr>
      <w:r>
        <w:t>– die nach einem mindestens sechssemestrigen Studium an einer Kunsthochschule oder Kunstakademie den künstlerischen Teil der künstlerischen 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11</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Musikerzieher,</w:t>
      </w:r>
    </w:p>
    <w:p w:rsidR="00BE1EFE" w:rsidRDefault="00BE1EFE">
      <w:pPr>
        <w:pStyle w:val="StandardWeb"/>
      </w:pPr>
      <w:r>
        <w:t>die nach einem mindestens achtsemestrigen Studium an einer Fachakademie für Musik/Kon</w:t>
      </w:r>
      <w:r>
        <w:softHyphen/>
        <w:t>servatorium (früher: Konservatorium, Kirchenmusikschule) die Staatliche Musiklehrerprüfung (früher: Staatliche Musiklehrerprüfung II) bzw. die Staatliche Musikreifeprüfung bzw. die B-Prüfung für Kirchenmusik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Musikerzieher</w:t>
      </w:r>
    </w:p>
    <w:p w:rsidR="00BE1EFE" w:rsidRDefault="00BE1EFE">
      <w:pPr>
        <w:pStyle w:val="StandardWeb"/>
      </w:pPr>
      <w:r>
        <w:t>ohne Ausbildung nach Fallgruppe 11 oder Fallgruppe 12,</w:t>
      </w:r>
    </w:p>
    <w:p w:rsidR="00BE1EFE" w:rsidRDefault="00BE1EFE">
      <w:pPr>
        <w:pStyle w:val="StandardWeb"/>
      </w:pPr>
      <w:r>
        <w:t>– die nach den früher geltenden Prüfungs- und Studienordnungen nach einem mindestens sechssemestrigen Studium an einer Fachakademie für Musik (früher: Konservatorium, Kirchenmusikschule) die Staatliche Musiklehrerprüfung I bzw. die Prüfung für Fachlehrer für Musik an Volksschulen und Realschulen bzw. die Staatliche Prüfung für Privatmusiklehrer abgelegt haben oder</w:t>
      </w:r>
    </w:p>
    <w:p w:rsidR="00BE1EFE" w:rsidRDefault="00BE1EFE">
      <w:pPr>
        <w:pStyle w:val="StandardWeb"/>
      </w:pPr>
      <w:r>
        <w:t xml:space="preserve">– eine andere gleichwertige Ausbildung abgeschlossen haben, </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4B5349" w:rsidRDefault="004B5349">
      <w:pPr>
        <w:pStyle w:val="StandardWeb"/>
      </w:pPr>
    </w:p>
    <w:p w:rsidR="00BE1EFE" w:rsidRDefault="00BE1EFE" w:rsidP="0054275E">
      <w:pPr>
        <w:pStyle w:val="StandardWeb"/>
        <w:autoSpaceDE w:val="0"/>
        <w:rPr>
          <w:b/>
          <w:bCs/>
        </w:rPr>
      </w:pPr>
      <w:r>
        <w:rPr>
          <w:rStyle w:val="Fett"/>
          <w:bCs/>
        </w:rPr>
        <w:t>Fallgruppe 14</w:t>
      </w:r>
    </w:p>
    <w:p w:rsidR="00BE1EFE" w:rsidRDefault="00BE1EFE">
      <w:pPr>
        <w:pStyle w:val="StandardWeb"/>
      </w:pPr>
      <w:r>
        <w:t>Kunsterzieher oder Musikerzieher</w:t>
      </w:r>
    </w:p>
    <w:p w:rsidR="00BE1EFE" w:rsidRDefault="00BE1EFE">
      <w:pPr>
        <w:pStyle w:val="StandardWeb"/>
      </w:pPr>
      <w:r>
        <w:lastRenderedPageBreak/>
        <w:t>ohne Ausbildung nach den Fallgruppen 11 bis 13</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Sozialpädagogen</w:t>
      </w:r>
    </w:p>
    <w:p w:rsidR="00BE1EFE" w:rsidRDefault="00BE1EFE">
      <w:pPr>
        <w:pStyle w:val="StandardWeb"/>
      </w:pPr>
      <w:r>
        <w:t>mit abgeschlossener Fachhochschulausbildung</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 xml:space="preserve">nach mindestens sechsjähriger Bewährung in dieser Tätigkeit und Besoldungsgruppe </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Lehrkräfte für Kurzschrift und Maschinenschreiben/Textverarbeitung</w:t>
      </w:r>
    </w:p>
    <w:p w:rsidR="00BE1EFE" w:rsidRDefault="00BE1EFE">
      <w:pPr>
        <w:pStyle w:val="StandardWeb"/>
      </w:pPr>
      <w:r>
        <w:t>mit der staatlichen Prüfung als Lehrer für Kurzschrift und als Lehrer für Maschinen</w:t>
      </w:r>
      <w:r>
        <w:softHyphen/>
        <w:t>schreiben/Textverarbeitung, die mindestens in einem Fach unterrichten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r>
        <w:t> </w:t>
      </w:r>
    </w:p>
    <w:p w:rsidR="00BE1EFE" w:rsidRDefault="00BE1EFE">
      <w:pPr>
        <w:pStyle w:val="StandardWeb"/>
      </w:pPr>
    </w:p>
    <w:p w:rsidR="00BE1EFE" w:rsidRDefault="00BE1EFE" w:rsidP="0054275E">
      <w:pPr>
        <w:pStyle w:val="StandardWeb"/>
        <w:autoSpaceDE w:val="0"/>
      </w:pPr>
      <w:r>
        <w:rPr>
          <w:rStyle w:val="Fett"/>
          <w:bCs/>
        </w:rPr>
        <w:t>Fallgruppe 17</w:t>
      </w:r>
    </w:p>
    <w:p w:rsidR="00BE1EFE" w:rsidRDefault="00BE1EFE">
      <w:pPr>
        <w:pStyle w:val="StandardWeb"/>
      </w:pPr>
      <w:r>
        <w:t>Lehrkräfte für Kurzschrift oder für Maschinenschreiben/Textverarbeitung</w:t>
      </w:r>
    </w:p>
    <w:p w:rsidR="00BE1EFE" w:rsidRDefault="00BE1EFE">
      <w:pPr>
        <w:pStyle w:val="StandardWeb"/>
      </w:pPr>
      <w:r>
        <w:t>mit der staatlichen Prüfung als Lehrer für Kurzschrift oder als Lehrer für Maschinen</w:t>
      </w:r>
      <w:r>
        <w:softHyphen/>
        <w:t>schreiben/Textverarbeitung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rStyle w:val="Hervorhebung"/>
          <w:iCs/>
        </w:rPr>
      </w:pPr>
      <w:r>
        <w:rPr>
          <w:rStyle w:val="Hervorhebung"/>
          <w:iCs/>
        </w:rPr>
        <w:t xml:space="preserve">Besoldungsgruppe A 9 </w:t>
      </w:r>
    </w:p>
    <w:p w:rsidR="00BE1EFE" w:rsidRDefault="00BE1EFE" w:rsidP="0054275E">
      <w:pPr>
        <w:pStyle w:val="StandardWeb"/>
        <w:autoSpaceDE w:val="0"/>
      </w:pPr>
      <w:r>
        <w:rPr>
          <w:rStyle w:val="Hervorhebung"/>
          <w:iCs/>
        </w:rPr>
        <w:br w:type="page"/>
      </w:r>
    </w:p>
    <w:p w:rsidR="00BE1EFE" w:rsidRDefault="00BE1EFE">
      <w:pPr>
        <w:pStyle w:val="StandardWeb"/>
      </w:pPr>
    </w:p>
    <w:p w:rsidR="00BE1EFE" w:rsidRPr="00984E43" w:rsidRDefault="00BE1EFE" w:rsidP="00BB2B13">
      <w:pPr>
        <w:pStyle w:val="h7"/>
        <w:spacing w:before="0"/>
        <w:jc w:val="left"/>
        <w:rPr>
          <w:b w:val="0"/>
        </w:rPr>
      </w:pPr>
      <w:bookmarkStart w:id="734" w:name="_Toc523926265"/>
      <w:r w:rsidRPr="00984E43">
        <w:rPr>
          <w:rStyle w:val="Fett"/>
          <w:b/>
          <w:bCs/>
        </w:rPr>
        <w:t>III. Eingruppierungsrichtlinien für Lehrkräfte an Realschulen</w:t>
      </w:r>
      <w:bookmarkEnd w:id="734"/>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pädagogischen und/oder die fachlichen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Realschullehrern</w:t>
      </w:r>
    </w:p>
    <w:p w:rsidR="00BE1EFE" w:rsidRDefault="00BE1EFE">
      <w:pPr>
        <w:pStyle w:val="StandardWeb"/>
      </w:pPr>
      <w:r>
        <w:t>mit abgeschlossenem Studium an einer wissenschaftlichen Hochschule (z. B. Erste Staatsprüfung für das Lehramt an Realschulen), die aufgrund ihres Studiums die Fähigkeit zum Unterrichten in mindestens zwei Fächern haben und die überwiegend Unterricht in mindestens einem ihrem Studium entsprechendem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r>
        <w:t> </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Realschullehrern</w:t>
      </w:r>
    </w:p>
    <w:p w:rsidR="00BE1EFE" w:rsidRDefault="00BE1EFE">
      <w:pPr>
        <w:pStyle w:val="StandardWeb"/>
      </w:pPr>
      <w:r>
        <w:t>– mit abgeschlossenem Studium an einer wissenschaftlichen Hochschule, die überwiegend Unterricht in einem ihrem Studium entsprechenden wissenschaftlichen Fach erteilen,</w:t>
      </w:r>
    </w:p>
    <w:p w:rsidR="00BE1EFE" w:rsidRDefault="00BE1EFE">
      <w:pPr>
        <w:pStyle w:val="StandardWeb"/>
      </w:pPr>
      <w:r>
        <w:t>– mit Erster Staatsprüfung für das Lehramt an Volksschulen bzw. an Grund- oder Hauptschulen,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Realschullehrern</w:t>
      </w:r>
    </w:p>
    <w:p w:rsidR="00BE1EFE" w:rsidRDefault="00BE1EFE">
      <w:pPr>
        <w:pStyle w:val="StandardWeb"/>
      </w:pPr>
      <w:r>
        <w:t>ohne Ausbildung nach Fallgruppe 1 oder Fallgruppe 2 mit anderweitiger abgeschlossener Hochschulausbildung, die überwiegend Unterricht in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der Fallgruppen 7 bis 15.)</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für katholischen Religionsunterricht</w:t>
      </w:r>
    </w:p>
    <w:p w:rsidR="00BE1EFE" w:rsidRDefault="00BE1EFE">
      <w:pPr>
        <w:pStyle w:val="StandardWeb"/>
      </w:pPr>
      <w:r>
        <w:t>mit theologischer Abschlussprüfung (früher: Synodalprüfung) bzw. theologischer Diplom</w:t>
      </w:r>
      <w:r>
        <w:softHyphen/>
        <w:t>prüfung an einer wissenschaftlichen Hochschule (jeweils ohne Pfarrkonkurs bzw. Zweite Dienstprüfung)</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evangelischen Religionsunterricht</w:t>
      </w:r>
    </w:p>
    <w:p w:rsidR="00BE1EFE" w:rsidRDefault="00BE1EFE">
      <w:pPr>
        <w:pStyle w:val="StandardWeb"/>
      </w:pPr>
      <w:r>
        <w:t>mit theologischer Aufnahmeprüfung (ohne theologische Anstellungsprüfung)</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Lehrkräfte für evangelischen Religionsunterricht</w:t>
      </w:r>
    </w:p>
    <w:p w:rsidR="00BE1EFE" w:rsidRDefault="00BE1EFE">
      <w:pPr>
        <w:pStyle w:val="StandardWeb"/>
      </w:pPr>
      <w:r>
        <w:t>(Dipl. Theologen) – außenbayerischer Studiengang, dessen Abschluss von der Evang. Landeskirche nicht der theologischen Aufnahmeprüfung gleichgestellt wird,</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 xml:space="preserve">Diplom-Sportlehrer </w:t>
      </w:r>
    </w:p>
    <w:p w:rsidR="00BE1EFE" w:rsidRDefault="00BE1EFE">
      <w:pPr>
        <w:pStyle w:val="StandardWeb"/>
      </w:pPr>
      <w:r>
        <w:t xml:space="preserve">mit mindestens sechssemestrigem Hochschulstudium und Abschlussprüfung </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Sport- und Gymnastiklehrer</w:t>
      </w:r>
    </w:p>
    <w:p w:rsidR="00BE1EFE" w:rsidRDefault="00BE1EFE">
      <w:pPr>
        <w:pStyle w:val="StandardWeb"/>
      </w:pPr>
      <w:r>
        <w:t>– mit mindestens viersemestriger Ausbildung an einem staatlichen oder einem staatlich anerkannten Ausbildungsinstitut und staatlicher oder staatlich anerkannter Turn-, Sport- oder Gymnastiklehrerprüfung</w:t>
      </w:r>
    </w:p>
    <w:p w:rsidR="00BE1EFE" w:rsidRDefault="00BE1EFE">
      <w:pPr>
        <w:pStyle w:val="StandardWeb"/>
      </w:pPr>
      <w:r>
        <w:t>– mit Zeugnis über die frühere Ausbildung zum Fachlehrer an Volks-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Turn- und Sportlehrer</w:t>
      </w:r>
    </w:p>
    <w:p w:rsidR="00BE1EFE" w:rsidRDefault="00BE1EFE">
      <w:pPr>
        <w:pStyle w:val="StandardWeb"/>
      </w:pPr>
      <w:r>
        <w:t>ohne Ausbildung nach Fallgruppe 7 oder Fallgruppe 8 (z. B. staatlich geprüfte Vereinsturn</w:t>
      </w:r>
      <w:r>
        <w:softHyphen/>
        <w:t>lehrer oder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lastRenderedPageBreak/>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11</w:t>
      </w:r>
    </w:p>
    <w:p w:rsidR="00BE1EFE" w:rsidRDefault="00BE1EFE">
      <w:pPr>
        <w:pStyle w:val="StandardWeb"/>
      </w:pPr>
      <w:r>
        <w:t>Musiklehrer</w:t>
      </w:r>
    </w:p>
    <w:p w:rsidR="00BE1EFE" w:rsidRDefault="00BE1EFE">
      <w:pPr>
        <w:pStyle w:val="StandardWeb"/>
      </w:pPr>
      <w:r>
        <w:t>mit der Prüfung für das Fach Musik an Realschulen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Musiklehrer oder Zeichenlehrer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Werklehrer</w:t>
      </w:r>
    </w:p>
    <w:p w:rsidR="00BE1EFE" w:rsidRDefault="00BE1EFE">
      <w:pPr>
        <w:pStyle w:val="StandardWeb"/>
      </w:pPr>
      <w:r>
        <w:t>a) mit Lehrbefähigung für Werkarbeit an Grund-, Haupt-, Real- und höheren Schulen, wenn die Ausbildung den Abschluss einer Realschule und ein mindestens viersemestriges Studium an einen staatlich oder einem staatlich anerkannten Ausbildungsinstitut voraussetzt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pPr>
        <w:pStyle w:val="StandardWeb"/>
      </w:pPr>
      <w:r>
        <w:t>b) mit Lehrbefähigung für Werkarbeit an Grund-, Haupt-, Real- und höheren Schulen</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Lehrkräfte</w:t>
      </w:r>
    </w:p>
    <w:p w:rsidR="00BE1EFE" w:rsidRDefault="00BE1EFE">
      <w:pPr>
        <w:pStyle w:val="StandardWeb"/>
      </w:pPr>
      <w:r>
        <w:t>a) für Kurzschrift und Maschinenschreiben</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pPr>
        <w:pStyle w:val="StandardWeb"/>
      </w:pPr>
      <w:r>
        <w:t>b) für Kurzschrift oder Maschinenschreiben</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Sonstige Lehrkräfte für musisch-technische Fächer</w:t>
      </w:r>
    </w:p>
    <w:p w:rsidR="00BE1EFE" w:rsidRDefault="00BE1EFE">
      <w:pPr>
        <w:pStyle w:val="StandardWeb"/>
      </w:pPr>
      <w:r>
        <w:t>a) mit Lehrbefähigung oder mit Unterrichtserlaubnis für mindestens zwei Fächer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lastRenderedPageBreak/>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pPr>
        <w:pStyle w:val="StandardWeb"/>
      </w:pPr>
      <w:r>
        <w:t>b) mit Lehrbefähigung oder Unterrichtserlaubnis für mindestens ein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r>
        <w:br w:type="page"/>
      </w:r>
    </w:p>
    <w:p w:rsidR="00BE1EFE" w:rsidRPr="00984E43" w:rsidRDefault="00BE1EFE" w:rsidP="00984E43">
      <w:pPr>
        <w:pStyle w:val="h7"/>
        <w:jc w:val="left"/>
        <w:rPr>
          <w:b w:val="0"/>
        </w:rPr>
      </w:pPr>
      <w:bookmarkStart w:id="735" w:name="_Toc523926266"/>
      <w:r w:rsidRPr="00984E43">
        <w:rPr>
          <w:rStyle w:val="Fett"/>
          <w:b/>
          <w:bCs/>
        </w:rPr>
        <w:lastRenderedPageBreak/>
        <w:t>IV. Eingruppierungsrichtlinien für Lehrkräfte an Gymnasien</w:t>
      </w:r>
      <w:bookmarkEnd w:id="735"/>
    </w:p>
    <w:p w:rsidR="00BE1EFE" w:rsidRPr="00B76821" w:rsidRDefault="00BE1EFE" w:rsidP="00B76821">
      <w:pPr>
        <w:pStyle w:val="h8"/>
        <w:keepNext w:val="0"/>
        <w:spacing w:before="0" w:after="0"/>
        <w:outlineLvl w:val="5"/>
        <w:rPr>
          <w:rStyle w:val="Fett"/>
          <w:bCs/>
          <w:sz w:val="2"/>
        </w:rPr>
      </w:pPr>
    </w:p>
    <w:p w:rsidR="00BE1EFE" w:rsidRDefault="00BE1EFE" w:rsidP="0054275E">
      <w:pPr>
        <w:pStyle w:val="StandardWeb"/>
        <w:autoSpaceDE w:val="0"/>
      </w:pPr>
      <w:r>
        <w:rPr>
          <w:rStyle w:val="Fett"/>
          <w:bCs/>
        </w:rPr>
        <w:t>Lehrkräfte, bei denen die fachlichen und/oder pädagogischen Voraussetzungen für die Übernahme in das Beamtenverhältnis nicht erfüllt sind</w:t>
      </w: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(z. B. Erste Staatsprüfung für das Lehramt an Gymnasien),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auch für Diplom-Mathematiker und Diplom-Physiker; es gilt nicht für Diplom-Dolmetscher und Diplom-Übersetzer.)</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Lehrkräfte in der Tätigkeit von Studienräten</w:t>
      </w:r>
    </w:p>
    <w:p w:rsidR="00BE1EFE" w:rsidRDefault="00BE1EFE">
      <w:pPr>
        <w:pStyle w:val="StandardWeb"/>
      </w:pPr>
      <w:r>
        <w:t>– mit abgeschlossenem Studium an einer wissenschaftlichen Hochschule, die überwiegend Unterricht in einem ihrem Studium entsprechenden wissenschaftlichen Fach erteilen,</w:t>
      </w:r>
    </w:p>
    <w:p w:rsidR="00BE1EFE" w:rsidRDefault="00BE1EFE">
      <w:pPr>
        <w:pStyle w:val="StandardWeb"/>
      </w:pPr>
      <w:r>
        <w:t>– mit Akademischer Abschlussprüfung (Magisterprüfung) einer Philosophischen Fakultät im Bundesgebiet, die überwiegend Unterricht in einem ihrem Studium entsprechenden Fach erteilen,</w:t>
      </w:r>
    </w:p>
    <w:p w:rsidR="00BE1EFE" w:rsidRDefault="00BE1EFE">
      <w:pPr>
        <w:pStyle w:val="StandardWeb"/>
      </w:pPr>
      <w:r>
        <w:t>– mit Erster Staatsprüfung für das Lehramt an Realschulen,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 mit abgeschlossenem Studium an einer Hochschule nach § 1 Hochschulrahmengesetz (HRG), die überwiegend Unterricht in mindestens einem wissenschaftlichen Fach erteilen, </w:t>
      </w:r>
    </w:p>
    <w:p w:rsidR="00BE1EFE" w:rsidRDefault="00BE1EFE">
      <w:pPr>
        <w:pStyle w:val="StandardWeb"/>
      </w:pPr>
      <w:r>
        <w:t>– mit Erster Staatsprüfung für das Lehramt an Volksschulen bzw. an Grund- oder Hauptschulen,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6 – 16.)</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Lehrkräfte für katholischen bzw. evangelischen Religionsunterricht</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lastRenderedPageBreak/>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Lehrkräfte für katholischen bzw. evangelischen Religionsunterricht</w:t>
      </w:r>
    </w:p>
    <w:p w:rsidR="00BE1EFE" w:rsidRDefault="00BE1EFE">
      <w:pPr>
        <w:pStyle w:val="StandardWeb"/>
      </w:pPr>
      <w:r>
        <w:t>mit theologischer Abschlussprüfung (früher: Synodalprüfung) bzw. theologischer Aufnahme</w:t>
      </w:r>
      <w:r>
        <w:softHyphen/>
        <w:t>prüfung</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 xml:space="preserve">nach sechsjähriger Bewährung in dieser Tätigkeit und in dieser Besoldungsgruppe </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 xml:space="preserve">mit entsprechender Tätigkeit </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Turn-, Sport- und Gymnastiklehrer</w:t>
      </w:r>
    </w:p>
    <w:p w:rsidR="00BE1EFE" w:rsidRDefault="00BE1EFE">
      <w:pPr>
        <w:pStyle w:val="StandardWeb"/>
      </w:pPr>
      <w:r>
        <w:t>– mit mindestens viersemestriger Ausbildung an einem staatlichen oder einem staatlich anerkannten Ausbildungsinstitut und staatlicher oder staatlich anerkannter Turn-, Sport- oder Gymnastiklehrerprüfung,</w:t>
      </w:r>
    </w:p>
    <w:p w:rsidR="00BE1EFE" w:rsidRDefault="00BE1EFE">
      <w:pPr>
        <w:pStyle w:val="StandardWeb"/>
      </w:pPr>
      <w:r>
        <w:t>– mit Zeugnis über die frühere Ausbildung zum Fachlehrer an Volks- und Realschulen im Fach Leibeserziehung,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Turn- und Sportlehrer</w:t>
      </w:r>
    </w:p>
    <w:p w:rsidR="00BE1EFE" w:rsidRDefault="00BE1EFE">
      <w:pPr>
        <w:pStyle w:val="StandardWeb"/>
      </w:pPr>
      <w:r>
        <w:t>ohne Ausbildung nach Fallgruppe 6 oder Fallgruppe 7</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Kunsterzieher</w:t>
      </w:r>
    </w:p>
    <w:p w:rsidR="00BE1EFE" w:rsidRDefault="00BE1EFE">
      <w:pPr>
        <w:pStyle w:val="StandardWeb"/>
      </w:pPr>
      <w:r>
        <w:t>mit mindestens achtsemestrigem Studium an einer Kunsthochschule oder Kunstakademie und Künstlerischer Prüfung für das Lehramt an Gymnasien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w:t>
      </w:r>
    </w:p>
    <w:p w:rsidR="00BE1EFE" w:rsidRDefault="00BE1EFE">
      <w:pPr>
        <w:pStyle w:val="StandardWeb"/>
      </w:pPr>
      <w:r>
        <w:lastRenderedPageBreak/>
        <w:t>– die nach einem mindestens sechssemestrigen Studium an einer Kunsthochschule oder Kunstakademie den künstlerischen Teil der Künstlerischen 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11</w:t>
      </w:r>
    </w:p>
    <w:p w:rsidR="00BE1EFE" w:rsidRDefault="00BE1EFE">
      <w:pPr>
        <w:pStyle w:val="StandardWeb"/>
      </w:pPr>
      <w:r>
        <w:t>Musikerzieher</w:t>
      </w:r>
    </w:p>
    <w:p w:rsidR="00BE1EFE" w:rsidRDefault="00BE1EFE">
      <w:pPr>
        <w:pStyle w:val="StandardWeb"/>
      </w:pPr>
      <w:r>
        <w:t>mit mindestens achtsemestrigem Studium an einer Musikhochschule und Künstlerischer Prüfung für das Lehramt an Gymnasien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pPr>
      <w:r>
        <w:rPr>
          <w:rStyle w:val="Hervorhebung"/>
          <w:iCs/>
        </w:rPr>
        <w:t>Besoldungsgruppe A 14</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Musikerzieher,</w:t>
      </w:r>
    </w:p>
    <w:p w:rsidR="00BE1EFE" w:rsidRDefault="00BE1EFE">
      <w:pPr>
        <w:pStyle w:val="StandardWeb"/>
      </w:pPr>
      <w:r>
        <w:t>– die nach einem mindestens achtsemestrigen Studium die Diplommusiklehrerprüfung, die Diplommusikerprüfung oder nach den früher geltenden Prüfungs- und Studienordnungen die Künstlerische Staatsprüfung an einer Hochschule für Musik in Bayern abgelegt haben,</w:t>
      </w:r>
    </w:p>
    <w:p w:rsidR="00BE1EFE" w:rsidRDefault="00BE1EFE">
      <w:pPr>
        <w:pStyle w:val="StandardWeb"/>
      </w:pPr>
      <w:r>
        <w:t>– die nach einem mindestens achtsemestrigen Studium an einer Musikhochschule oder Musikakademie die künstlerische Reifeprüfung bzw. die A-Prüfung für Kirchenmusik abgelegt bzw. in Baden-Württemberg den Diplomgrad „Diplom-Musiklehrer“ erworben haben,</w:t>
      </w:r>
    </w:p>
    <w:p w:rsidR="00BE1EFE" w:rsidRDefault="00BE1EFE">
      <w:pPr>
        <w:pStyle w:val="StandardWeb"/>
      </w:pPr>
      <w:r>
        <w:t>– die nach einem mindestens sechssemestrigen Studium an einer Musikhochschule oder Musikakademie den künstlerischen Teil der Künstlerischen Prüfung für das Lehramt an Gymnasien bzw. die Teilprüfung Musik in der Ersten Staatsprüfung für das Lehramt an Gymnasien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rPr>
          <w:b/>
          <w:bCs/>
        </w:rPr>
      </w:pPr>
      <w:r>
        <w:rPr>
          <w:rStyle w:val="Fett"/>
          <w:bCs/>
        </w:rPr>
        <w:t>Fallgruppe 13</w:t>
      </w:r>
    </w:p>
    <w:p w:rsidR="00BE1EFE" w:rsidRDefault="00BE1EFE">
      <w:pPr>
        <w:pStyle w:val="StandardWeb"/>
      </w:pPr>
      <w:r>
        <w:t>Musikerzieher,</w:t>
      </w:r>
    </w:p>
    <w:p w:rsidR="00BE1EFE" w:rsidRDefault="00BE1EFE">
      <w:pPr>
        <w:pStyle w:val="StandardWeb"/>
      </w:pPr>
      <w:r>
        <w:t>die nach einem mindestens achtsemestrigen Studium an einer Fachakademie für Musik/Konservatorium (früher: Konservatorium, Kirchenmusikschule) die Staatliche Musik</w:t>
      </w:r>
      <w:r>
        <w:softHyphen/>
        <w:t>lehrerprüfung (früher: Staatliche Musiklehrerprüfung II) bzw. die Staatliche Musikreifeprüfung bzw. die B-Prüfung für Kirchenmusik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FB6E9A">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Musikerzieher</w:t>
      </w:r>
    </w:p>
    <w:p w:rsidR="00BE1EFE" w:rsidRDefault="00BE1EFE">
      <w:pPr>
        <w:pStyle w:val="StandardWeb"/>
      </w:pPr>
      <w:r>
        <w:t>– ohne Ausbildung nach Fallgruppe 11, Fallgruppe 12 oder Fallgruppe 13 mit anderweitiger abgeschlossener Ausbildung</w:t>
      </w:r>
    </w:p>
    <w:p w:rsidR="00BE1EFE" w:rsidRDefault="00BE1EFE">
      <w:pPr>
        <w:pStyle w:val="StandardWeb"/>
      </w:pPr>
      <w:r>
        <w:t>– die nach den früher geltenden Prüfungs- und Studienordnungen nach einem mindestens sechssemestrigen Studium an einer Fachakademie für Musik (früher: Konservatorium, Kirchenmusikschule) die Staatliche Musiklehrerprüfung I bzw. die Prüfung für Fachlehrer für Musik an Volksschulen und Realschulen bzw. die Staatliche Prüfung für Privatmusiklehrer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lastRenderedPageBreak/>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rPr>
          <w:b/>
          <w:bCs/>
        </w:rPr>
      </w:pPr>
      <w:r>
        <w:rPr>
          <w:rStyle w:val="Fett"/>
          <w:bCs/>
        </w:rPr>
        <w:t>Fallgruppe 15</w:t>
      </w:r>
    </w:p>
    <w:p w:rsidR="00BE1EFE" w:rsidRDefault="00BE1EFE">
      <w:pPr>
        <w:pStyle w:val="StandardWeb"/>
      </w:pPr>
      <w:r>
        <w:t>Kunsterzieher oder Musikerzieher</w:t>
      </w:r>
    </w:p>
    <w:p w:rsidR="00BE1EFE" w:rsidRDefault="00BE1EFE">
      <w:pPr>
        <w:pStyle w:val="StandardWeb"/>
      </w:pPr>
      <w:r>
        <w:t>ohne abgeschlossene fachliche Ausbildung</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 xml:space="preserve">Lehrkräfte für Handarbeit und Hauswirtschaft </w:t>
      </w:r>
    </w:p>
    <w:p w:rsidR="00BE1EFE" w:rsidRDefault="00BE1EFE">
      <w:pPr>
        <w:pStyle w:val="StandardWeb"/>
      </w:pPr>
      <w:r>
        <w:t>mit nur Erster Lehramtsprüfung der Fachlehrer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rPr>
          <w:rStyle w:val="Hervorhebung"/>
          <w:iCs/>
        </w:rPr>
      </w:pPr>
      <w:r>
        <w:rPr>
          <w:rStyle w:val="Hervorhebung"/>
          <w:iCs/>
        </w:rPr>
        <w:t>Besoldungsgruppe A 9</w:t>
      </w:r>
    </w:p>
    <w:p w:rsidR="00BE1EFE" w:rsidRDefault="00BE1EFE" w:rsidP="0054275E">
      <w:pPr>
        <w:pStyle w:val="StandardWeb"/>
        <w:autoSpaceDE w:val="0"/>
      </w:pPr>
    </w:p>
    <w:p w:rsidR="00BE1EFE" w:rsidRDefault="00BE1EFE" w:rsidP="00F433D3">
      <w:pPr>
        <w:pStyle w:val="StandardWeb"/>
      </w:pPr>
      <w:r>
        <w:br w:type="page"/>
      </w:r>
    </w:p>
    <w:p w:rsidR="00BE1EFE" w:rsidRPr="00F433D3" w:rsidRDefault="00BE1EFE" w:rsidP="00F433D3">
      <w:pPr>
        <w:pStyle w:val="StandardWeb"/>
        <w:rPr>
          <w:rStyle w:val="Fett"/>
          <w:b w:val="0"/>
          <w:sz w:val="2"/>
          <w:szCs w:val="2"/>
        </w:rPr>
      </w:pPr>
    </w:p>
    <w:p w:rsidR="00BE1EFE" w:rsidRPr="00984E43" w:rsidRDefault="00BE1EFE" w:rsidP="00F433D3">
      <w:pPr>
        <w:pStyle w:val="h7"/>
        <w:spacing w:before="120"/>
        <w:jc w:val="left"/>
        <w:rPr>
          <w:b w:val="0"/>
        </w:rPr>
      </w:pPr>
      <w:bookmarkStart w:id="736" w:name="_Toc523926267"/>
      <w:r w:rsidRPr="00984E43">
        <w:rPr>
          <w:rStyle w:val="Fett"/>
          <w:b/>
          <w:bCs/>
        </w:rPr>
        <w:t>V. Anmerkungen:</w:t>
      </w:r>
      <w:bookmarkEnd w:id="736"/>
    </w:p>
    <w:p w:rsidR="00BE1EFE" w:rsidRPr="00B76821" w:rsidRDefault="00BE1EFE" w:rsidP="00B76821">
      <w:pPr>
        <w:pStyle w:val="h8"/>
        <w:keepNext w:val="0"/>
        <w:spacing w:before="0" w:after="0"/>
        <w:outlineLvl w:val="5"/>
        <w:rPr>
          <w:sz w:val="2"/>
        </w:rPr>
      </w:pPr>
    </w:p>
    <w:p w:rsidR="00BE1EFE" w:rsidRDefault="00BE1EFE" w:rsidP="0054275E">
      <w:pPr>
        <w:pStyle w:val="StandardWeb"/>
        <w:autoSpaceDE w:val="0"/>
      </w:pPr>
    </w:p>
    <w:p w:rsidR="00BE1EFE" w:rsidRDefault="00BE1EFE" w:rsidP="0054275E">
      <w:pPr>
        <w:pStyle w:val="StandardWeb"/>
        <w:autoSpaceDE w:val="0"/>
        <w:rPr>
          <w:i/>
          <w:iCs/>
        </w:rPr>
      </w:pPr>
      <w:r>
        <w:rPr>
          <w:rStyle w:val="Hervorhebung"/>
          <w:iCs/>
        </w:rPr>
        <w:t>1 Die übrigen Lehrkräfte, deren Eingruppierung in den vorstehenden Richtlinien nicht geregelt ist, werden nach den Richtlinien der Anlage B eingruppiert.</w:t>
      </w:r>
    </w:p>
    <w:p w:rsidR="00BE1EFE" w:rsidRDefault="00BE1EFE" w:rsidP="0054275E">
      <w:pPr>
        <w:pStyle w:val="StandardWeb"/>
        <w:autoSpaceDE w:val="0"/>
        <w:rPr>
          <w:i/>
          <w:iCs/>
        </w:rPr>
      </w:pPr>
      <w:r>
        <w:rPr>
          <w:rStyle w:val="Hervorhebung"/>
          <w:iCs/>
        </w:rPr>
        <w:t xml:space="preserve">Soweit in Anlage A und B nicht geregelt, werden Lehrkräfte entsprechend den </w:t>
      </w:r>
      <w:r w:rsidRPr="002817D9">
        <w:rPr>
          <w:rStyle w:val="Hervorhebung"/>
          <w:iCs/>
        </w:rPr>
        <w:t>Bestimmungen des Tarifvertrags über die Eingruppierung und die Entgeltordnung für die Lehrkräfte der Länder (TV EntgO-L) vom 28. März 2015</w:t>
      </w:r>
      <w:r>
        <w:rPr>
          <w:rStyle w:val="Hervorhebung"/>
          <w:iCs/>
        </w:rPr>
        <w:t xml:space="preserve"> in der jeweils geltenden Fassung der entsprechenden Besoldungsgruppe zugeordnet.</w:t>
      </w:r>
    </w:p>
    <w:p w:rsidR="00BE1EFE" w:rsidRDefault="00BE1EFE" w:rsidP="0054275E">
      <w:pPr>
        <w:pStyle w:val="StandardWeb"/>
        <w:autoSpaceDE w:val="0"/>
      </w:pPr>
      <w:r>
        <w:rPr>
          <w:rStyle w:val="Hervorhebung"/>
          <w:iCs/>
        </w:rPr>
        <w:t>2 Für die Auslegung des Begriffs „abgeschlossenes Studium an einer wissenschaftlichen Hochschule" gilt Nr. 1 in Verbindung mit Nr. 2:</w:t>
      </w:r>
    </w:p>
    <w:p w:rsidR="00BE1EFE" w:rsidRDefault="00BE1EFE">
      <w:pPr>
        <w:pStyle w:val="StandardWeb"/>
      </w:pPr>
    </w:p>
    <w:p w:rsidR="00BE1EFE" w:rsidRDefault="00BE1EFE" w:rsidP="0054275E">
      <w:pPr>
        <w:pStyle w:val="StandardWeb"/>
        <w:autoSpaceDE w:val="0"/>
        <w:rPr>
          <w:i/>
          <w:iCs/>
        </w:rPr>
      </w:pPr>
      <w:r>
        <w:rPr>
          <w:rStyle w:val="Hervorhebung"/>
          <w:iCs/>
        </w:rPr>
        <w:t>Nr. 1:</w:t>
      </w:r>
    </w:p>
    <w:p w:rsidR="00BE1EFE" w:rsidRDefault="00BE1EFE" w:rsidP="0054275E">
      <w:pPr>
        <w:pStyle w:val="StandardWeb"/>
        <w:autoSpaceDE w:val="0"/>
        <w:rPr>
          <w:i/>
          <w:iCs/>
        </w:rPr>
      </w:pPr>
      <w:r>
        <w:rPr>
          <w:rStyle w:val="Hervorhebung"/>
          <w:iCs/>
        </w:rPr>
        <w:t>Wissenschaftliche Hochschulen sind Universitäten, Technische Hochschulen sowie andere Hochschulen, die nach Landesrecht als wissenschaftliche Hochschulen anerkannten sind.</w:t>
      </w:r>
    </w:p>
    <w:p w:rsidR="00BE1EFE" w:rsidRDefault="00BE1EFE" w:rsidP="0054275E">
      <w:pPr>
        <w:pStyle w:val="StandardWeb"/>
        <w:autoSpaceDE w:val="0"/>
        <w:rPr>
          <w:i/>
          <w:iCs/>
        </w:rPr>
      </w:pPr>
      <w:r>
        <w:rPr>
          <w:rStyle w:val="Hervorhebung"/>
          <w:iCs/>
        </w:rPr>
        <w:t>Abgeschlossene wissenschaftliche Hochschulbildung liegt vor, wenn das Studium mit einer ersten Staatsprüfung oder mit einer Diplomprüfung beendet worden ist. Der Ersten Staatsprüfung oder der Diplomprüfung steht eine Promotion oder die Akademische Abschlussprüfung (Magisterprüfung) einer Philosophischen Fakultät nur in den Fällen gleich, in denen die Ablegung einer ersten Staatsprüfung oder einer Diplomprüfung nach den einschlägigen Ausbildungsvorschriften nicht vorgesehen ist.</w:t>
      </w:r>
    </w:p>
    <w:p w:rsidR="00BE1EFE" w:rsidRDefault="00BE1EFE" w:rsidP="0054275E">
      <w:pPr>
        <w:pStyle w:val="StandardWeb"/>
        <w:autoSpaceDE w:val="0"/>
        <w:rPr>
          <w:i/>
          <w:iCs/>
        </w:rPr>
      </w:pPr>
      <w:r>
        <w:rPr>
          <w:rStyle w:val="Hervorhebung"/>
          <w:iCs/>
        </w:rPr>
        <w:t>Eine abgeschlossene wissenschaftliche Hochschulbildung setzt voraus, dass die Abschlussprüfung in einem Studiengang abgelegt wird, der seinerseits mindestens das Zeugnis der Hochschulreife (allgemeine Hochschulreife oder einschlägige fachgebundene Hochschulreife) als Zugangsvoraussetzung erfordert, und für den Abschluss eine Mindeststudienzeit von mehr als sechs Semestern – ohne etwaige Praxissemester, Prüfungssemester o. ä. – vorgeschrieben ist.</w:t>
      </w:r>
    </w:p>
    <w:p w:rsidR="00BE1EFE" w:rsidRDefault="00BE1EFE" w:rsidP="0054275E">
      <w:pPr>
        <w:pStyle w:val="StandardWeb"/>
        <w:autoSpaceDE w:val="0"/>
        <w:rPr>
          <w:i/>
          <w:iCs/>
        </w:rPr>
      </w:pPr>
      <w:r>
        <w:rPr>
          <w:rStyle w:val="Hervorhebung"/>
          <w:iCs/>
        </w:rPr>
        <w:t>Nr. 2:</w:t>
      </w:r>
    </w:p>
    <w:p w:rsidR="00BE1EFE" w:rsidRDefault="00BE1EFE" w:rsidP="0054275E">
      <w:pPr>
        <w:pStyle w:val="StandardWeb"/>
        <w:autoSpaceDE w:val="0"/>
        <w:rPr>
          <w:i/>
          <w:iCs/>
        </w:rPr>
      </w:pPr>
      <w:r>
        <w:rPr>
          <w:rStyle w:val="Hervorhebung"/>
          <w:iCs/>
        </w:rPr>
        <w:t>Für die Auslegung des Begriffs „abgeschlossenes Studium an einer wissenschaftlichen Hoch</w:t>
      </w:r>
      <w:r w:rsidR="004B5349">
        <w:rPr>
          <w:rStyle w:val="Hervorhebung"/>
          <w:iCs/>
        </w:rPr>
        <w:softHyphen/>
      </w:r>
      <w:r>
        <w:rPr>
          <w:rStyle w:val="Hervorhebung"/>
          <w:iCs/>
        </w:rPr>
        <w:t>schule" gilt Nr. 1. Als abgeschlossenes Studium an einer wissenschaftlichen Hochschule gilt auch ein abgeschlossenes Studium an einer ausländischen wissenschaftlichen Hochschule, das der zuständige Landesminister als gleichwertig anerkannt hat.</w:t>
      </w:r>
    </w:p>
    <w:p w:rsidR="00BE1EFE" w:rsidRDefault="00BE1EFE" w:rsidP="0054275E">
      <w:pPr>
        <w:pStyle w:val="StandardWeb"/>
        <w:autoSpaceDE w:val="0"/>
      </w:pPr>
      <w:r>
        <w:rPr>
          <w:rStyle w:val="Hervorhebung"/>
          <w:iCs/>
        </w:rPr>
        <w:t>Abweichend von Unterabsatz 1 Satz 1 gilt bei der Anwendung der Tätigkeitsmerkmale für Lehrkräfte an Volksschulen Fallgruppe 1 und der Tätigkeitsmerkmale für Lehrkräfte an Realschulen Fallgruppen 1 und 2 die Erste Staatsprüfung für das betreffende Lehramt (Erste Lehramtsprüfung) an einer wissenschaftlichen oder einer pädagogischen Hochschule als Nachweis des abgeschlossenen Studiums an einer wissenschaftlichen Hochschule. Entsprechendes gilt für die Erste Staatsprüfung für das Lehramt an der Realschule bei der Anwendung des Tätigkeitsmerkmals für Lehrkräfte an Gymnasien Fallgruppe 2.</w:t>
      </w:r>
    </w:p>
    <w:p w:rsidR="00BE1EFE" w:rsidRDefault="00BE1EFE">
      <w:pPr>
        <w:pStyle w:val="StandardWeb"/>
      </w:pPr>
      <w:r>
        <w:br w:type="page"/>
      </w:r>
    </w:p>
    <w:p w:rsidR="00BE1EFE" w:rsidRPr="00B76821" w:rsidRDefault="00BE1EFE" w:rsidP="00B76821">
      <w:pPr>
        <w:pStyle w:val="h8"/>
        <w:keepNext w:val="0"/>
        <w:spacing w:before="0" w:after="0"/>
        <w:outlineLvl w:val="5"/>
        <w:rPr>
          <w:sz w:val="2"/>
        </w:rPr>
      </w:pPr>
    </w:p>
    <w:p w:rsidR="00BE1EFE" w:rsidRDefault="00BE1EFE" w:rsidP="00F433D3">
      <w:pPr>
        <w:pStyle w:val="berschrift6"/>
        <w:spacing w:before="0"/>
      </w:pPr>
      <w:bookmarkStart w:id="737" w:name="_Toc523926268"/>
      <w:r>
        <w:t>Anlage B</w:t>
      </w:r>
      <w:bookmarkEnd w:id="737"/>
    </w:p>
    <w:p w:rsidR="00BE1EFE" w:rsidRPr="00B76821" w:rsidRDefault="00BE1EFE" w:rsidP="00B76821">
      <w:pPr>
        <w:pStyle w:val="h7"/>
        <w:keepNext w:val="0"/>
        <w:spacing w:before="0" w:after="0"/>
        <w:jc w:val="left"/>
        <w:outlineLvl w:val="5"/>
        <w:rPr>
          <w:rStyle w:val="Fett"/>
          <w:b/>
          <w:bCs/>
          <w:sz w:val="2"/>
        </w:rPr>
      </w:pPr>
    </w:p>
    <w:p w:rsidR="00BE1EFE" w:rsidRPr="0068324E" w:rsidRDefault="00BE1EFE" w:rsidP="0068324E">
      <w:pPr>
        <w:pStyle w:val="h7"/>
        <w:jc w:val="left"/>
        <w:rPr>
          <w:b w:val="0"/>
        </w:rPr>
      </w:pPr>
      <w:bookmarkStart w:id="738" w:name="_Toc523926269"/>
      <w:r w:rsidRPr="0068324E">
        <w:rPr>
          <w:rStyle w:val="Fett"/>
          <w:b/>
          <w:bCs/>
        </w:rPr>
        <w:t>I. Eingruppierungsrichtlinien für Lehrkräfte an Volksschulen</w:t>
      </w:r>
      <w:bookmarkEnd w:id="738"/>
    </w:p>
    <w:p w:rsidR="00BE1EFE" w:rsidRPr="00B76821" w:rsidRDefault="00BE1EFE" w:rsidP="00B76821">
      <w:pPr>
        <w:pStyle w:val="h8"/>
        <w:keepNext w:val="0"/>
        <w:spacing w:before="0" w:after="0"/>
        <w:outlineLvl w:val="5"/>
        <w:rPr>
          <w:sz w:val="2"/>
        </w:rPr>
      </w:pPr>
    </w:p>
    <w:p w:rsidR="00BE1EFE" w:rsidRPr="000B1AF8" w:rsidRDefault="00BE1EFE">
      <w:pPr>
        <w:pStyle w:val="StandardWeb"/>
      </w:pPr>
    </w:p>
    <w:p w:rsidR="00BE1EFE" w:rsidRDefault="00BE1EFE" w:rsidP="0054275E">
      <w:pPr>
        <w:pStyle w:val="StandardWeb"/>
        <w:autoSpaceDE w:val="0"/>
        <w:rPr>
          <w:b/>
          <w:bCs/>
        </w:rPr>
      </w:pPr>
      <w:r>
        <w:rPr>
          <w:rStyle w:val="Fett"/>
          <w:bCs/>
        </w:rPr>
        <w:t>Fallgruppe 1</w:t>
      </w:r>
    </w:p>
    <w:p w:rsidR="00BE1EFE" w:rsidRDefault="00BE1EFE">
      <w:pPr>
        <w:pStyle w:val="StandardWeb"/>
      </w:pPr>
      <w:r>
        <w:t>Lehrkräfte in der Tätigkeit von Lehrern an Grund- oder Hauptschulen</w:t>
      </w:r>
    </w:p>
    <w:p w:rsidR="00BE1EFE" w:rsidRDefault="00BE1EFE">
      <w:pPr>
        <w:pStyle w:val="StandardWeb"/>
      </w:pPr>
      <w:r>
        <w:t>mit abgeschlossenem Studium an einer wissenschaftlichen Hochschule,</w:t>
      </w:r>
    </w:p>
    <w:p w:rsidR="00BE1EFE" w:rsidRDefault="00BE1EFE">
      <w:pPr>
        <w:pStyle w:val="StandardWeb"/>
      </w:pPr>
      <w:r>
        <w:t>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2</w:t>
      </w:r>
    </w:p>
    <w:p w:rsidR="00BE1EFE" w:rsidRDefault="00BE1EFE">
      <w:pPr>
        <w:pStyle w:val="StandardWeb"/>
      </w:pPr>
      <w:r>
        <w:t>Ausländische Lehrkräfte an Grund- oder Hauptschulen</w:t>
      </w:r>
    </w:p>
    <w:p w:rsidR="00BE1EFE" w:rsidRDefault="00BE1EFE">
      <w:pPr>
        <w:pStyle w:val="StandardWeb"/>
      </w:pPr>
      <w:r>
        <w:t>mit abgeschlossener Ausbildung an einer wissenschaftlichen Hochschule und voller Lehrbefähigung ihres Heimatlandes, die ausländischen Schülern muttersprachlichen Ergänzungsunterricht im Sinne der Vereinbarung der Ständigen Konferenz der Kultusminister der Länder in der Bundesrepublik Deutschland (KMK) über den Unterricht für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r>
        <w:t>(Auf die Bewährungszeit können Zeiten einer Tätigkeit im Schuldienst des Heimatlandes angerechnet werden.)</w:t>
      </w:r>
    </w:p>
    <w:p w:rsidR="00BE1EFE" w:rsidRDefault="00BE1EFE">
      <w:pPr>
        <w:pStyle w:val="StandardWeb"/>
      </w:pPr>
    </w:p>
    <w:p w:rsidR="00BE1EFE" w:rsidRDefault="00BE1EFE" w:rsidP="0054275E">
      <w:pPr>
        <w:pStyle w:val="StandardWeb"/>
        <w:autoSpaceDE w:val="0"/>
      </w:pPr>
      <w:r>
        <w:rPr>
          <w:rStyle w:val="Fett"/>
          <w:bCs/>
        </w:rPr>
        <w:t>Fallgruppe 2 a</w:t>
      </w:r>
    </w:p>
    <w:p w:rsidR="00BE1EFE" w:rsidRDefault="00BE1EFE">
      <w:pPr>
        <w:pStyle w:val="StandardWeb"/>
      </w:pPr>
      <w:r>
        <w:t>Ausländische Lehrkräfte an Grund- oder Hauptschulen</w:t>
      </w:r>
    </w:p>
    <w:p w:rsidR="00BE1EFE" w:rsidRDefault="00BE1EFE">
      <w:pPr>
        <w:pStyle w:val="StandardWeb"/>
      </w:pPr>
      <w:r>
        <w:t>ohne Ausbildung nach Fallgruppe 2 mit sonstiger Lehrerausbildung (z. B. in Lehrerbildungs</w:t>
      </w:r>
      <w:r>
        <w:softHyphen/>
        <w:t>instituten) und voller Lehrbefähigung ihres Heimatlandes, die ausländischen Schülern muttersprachlichen Ergänzungsunterricht im Sinne der Vereinbarung der KMK über den Unterricht für Kinder ausländischer Arbeitnehmer vom 8. April 1976 in der jeweiligen Fassung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r>
        <w:t>(Auf die Bewährungszeit können Zeiten einer Tätigkeit im Schuldienst des Heimatlandes angerechnet werden.)</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Lehrern an Grund- oder Hauptschulen</w:t>
      </w:r>
    </w:p>
    <w:p w:rsidR="00BE1EFE" w:rsidRDefault="00BE1EFE">
      <w:pPr>
        <w:pStyle w:val="StandardWeb"/>
      </w:pPr>
      <w:r>
        <w:t xml:space="preserve">mit abgeschlossenem Studium an einer Hochschule nach </w:t>
      </w:r>
      <w:hyperlink r:id="rId997" w:history="1">
        <w:r w:rsidRPr="00E840D8">
          <w:rPr>
            <w:rStyle w:val="Hyperlink"/>
          </w:rPr>
          <w:t>§ 1 Hochschulrahmengesetz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lastRenderedPageBreak/>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nicht für Lehrkräfte der Fallgruppen 5 bis 19.)</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rPr>
          <w:b/>
          <w:bCs/>
        </w:rPr>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 als Sprachlehrer</w:t>
      </w:r>
    </w:p>
    <w:p w:rsidR="00BE1EFE" w:rsidRDefault="00BE1EFE">
      <w:pPr>
        <w:pStyle w:val="StandardWeb"/>
      </w:pPr>
      <w:r>
        <w:t>in einem Fach</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 mit entsprechender Tätigkeit</w:t>
      </w:r>
    </w:p>
    <w:p w:rsidR="00BE1EFE" w:rsidRDefault="00BE1EFE" w:rsidP="0054275E">
      <w:pPr>
        <w:pStyle w:val="StandardWeb"/>
        <w:autoSpaceDE w:val="0"/>
        <w:rPr>
          <w:i/>
          <w:iCs/>
        </w:rPr>
      </w:pPr>
      <w:r>
        <w:rPr>
          <w:rStyle w:val="Hervorhebung"/>
          <w:iCs/>
        </w:rPr>
        <w:t>Besoldungsgruppe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8</w:t>
      </w:r>
    </w:p>
    <w:p w:rsidR="00BE1EFE" w:rsidRDefault="00BE1EFE">
      <w:pPr>
        <w:pStyle w:val="StandardWeb"/>
      </w:pPr>
      <w:r>
        <w:t>Musikerzieher,</w:t>
      </w:r>
    </w:p>
    <w:p w:rsidR="00BE1EFE" w:rsidRDefault="00BE1EFE">
      <w:pPr>
        <w:pStyle w:val="StandardWeb"/>
      </w:pPr>
      <w:r>
        <w:t xml:space="preserve">– die nach einem mindestens achtsemestrigen Studium an einer Musikhochschule oder Musikakademie die künstlerische Reifeprüfung bzw. die künstlerische Abschlussprüfung bzw. </w:t>
      </w:r>
      <w:r>
        <w:lastRenderedPageBreak/>
        <w:t>die A-Prüfung für Kirchenmusik abgelegt bzw. den Diplomgrad „Diplom-Musiklehrer“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Technische Lehrkräfte,</w:t>
      </w:r>
    </w:p>
    <w:p w:rsidR="00BE1EFE" w:rsidRDefault="00BE1EFE">
      <w:pPr>
        <w:pStyle w:val="StandardWeb"/>
      </w:pPr>
      <w:r>
        <w:t xml:space="preserve">die in einem Land die fachlichen und pädagogischen Voraussetzungen für die Übernahme in das Beamtenverhältnis für ein Amt mindestens der Besoldungsgruppe A 9 erworben haben, </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Technische Lehrkräfte</w:t>
      </w:r>
    </w:p>
    <w:p w:rsidR="00BE1EFE" w:rsidRDefault="00BE1EFE">
      <w:pPr>
        <w:pStyle w:val="StandardWeb"/>
      </w:pPr>
      <w:r>
        <w:t>mit Lehrbefähigung oder mit Unterrichtserlaubnis für mindestens zwei Fächer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rPr>
          <w:b/>
          <w:bCs/>
        </w:rPr>
      </w:pPr>
      <w:r>
        <w:rPr>
          <w:rStyle w:val="Fett"/>
          <w:bCs/>
        </w:rPr>
        <w:t>Fallgruppe 11</w:t>
      </w:r>
    </w:p>
    <w:p w:rsidR="00BE1EFE" w:rsidRDefault="00BE1EFE">
      <w:pPr>
        <w:pStyle w:val="StandardWeb"/>
      </w:pPr>
      <w:r>
        <w:t>Technische Lehrkräfte</w:t>
      </w:r>
    </w:p>
    <w:p w:rsidR="00BE1EFE" w:rsidRDefault="00BE1EFE">
      <w:pPr>
        <w:pStyle w:val="StandardWeb"/>
      </w:pPr>
      <w:r>
        <w:t>mit Lehrbefähigung oder mit Unterrichtserlaubnis für mindestens ein Fach</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rPr>
          <w:b/>
          <w:bCs/>
        </w:rPr>
      </w:pPr>
      <w:r>
        <w:rPr>
          <w:rStyle w:val="Fett"/>
          <w:bCs/>
        </w:rPr>
        <w:t>Fallgruppe 12</w:t>
      </w:r>
    </w:p>
    <w:p w:rsidR="00BE1EFE" w:rsidRDefault="00BE1EFE">
      <w:pPr>
        <w:pStyle w:val="StandardWeb"/>
      </w:pPr>
      <w:r>
        <w:t>Turn-, Sport- und Gymnastiklehrer</w:t>
      </w:r>
    </w:p>
    <w:p w:rsidR="00BE1EFE" w:rsidRDefault="00BE1EFE">
      <w:pPr>
        <w:pStyle w:val="StandardWeb"/>
      </w:pPr>
      <w:r>
        <w:t>mit staatlicher oder staatlich anerkannter Turn-, Sport- oder Gymnastiklehrerprüfung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(Dieses Merkmal gilt nur für Turn-, Sport- und Gymnastiklehrer, deren Ausbildung in der Regel den Abschluss einer Realschule oder eine gleichwertige Schulausbildung voraussetzt und die ein mindestens viersemestriges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pPr>
      <w:r>
        <w:rPr>
          <w:rStyle w:val="Fett"/>
          <w:bCs/>
        </w:rPr>
        <w:t>Fallgruppe 13</w:t>
      </w:r>
    </w:p>
    <w:p w:rsidR="00BE1EFE" w:rsidRDefault="00BE1EFE">
      <w:pPr>
        <w:pStyle w:val="StandardWeb"/>
      </w:pPr>
      <w:r>
        <w:t>Turn-, Sport- und Gymnastiklehrer</w:t>
      </w:r>
    </w:p>
    <w:p w:rsidR="00BE1EFE" w:rsidRDefault="00BE1EFE">
      <w:pPr>
        <w:pStyle w:val="StandardWeb"/>
      </w:pPr>
      <w:r>
        <w:t>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lastRenderedPageBreak/>
        <w:t>Besoldungsgruppe A 8</w:t>
      </w:r>
    </w:p>
    <w:p w:rsidR="00BE1EFE" w:rsidRDefault="00BE1EFE">
      <w:pPr>
        <w:pStyle w:val="StandardWeb"/>
      </w:pPr>
    </w:p>
    <w:p w:rsidR="00BE1EFE" w:rsidRDefault="00BE1EFE" w:rsidP="0054275E">
      <w:pPr>
        <w:pStyle w:val="StandardWeb"/>
        <w:autoSpaceDE w:val="0"/>
      </w:pPr>
      <w:r>
        <w:rPr>
          <w:rStyle w:val="Fett"/>
          <w:bCs/>
        </w:rPr>
        <w:t>Fallgruppe 14</w:t>
      </w:r>
    </w:p>
    <w:p w:rsidR="00BE1EFE" w:rsidRDefault="00BE1EFE">
      <w:pPr>
        <w:pStyle w:val="StandardWeb"/>
      </w:pPr>
      <w:r>
        <w:t>Werklehrer</w:t>
      </w:r>
    </w:p>
    <w:p w:rsidR="00BE1EFE" w:rsidRDefault="00BE1EFE">
      <w:pPr>
        <w:pStyle w:val="StandardWeb"/>
      </w:pPr>
      <w:r>
        <w:t>mit Lehrbefähigung für Werkarbeit an Grund-, Haupt-, Real- und höheren Schulen, wenn die Ausbildung den Abschluss einer Realschule und ein mindestens viersemestriges Studium an einem staatlichen oder einem staatlich anerkannten Ausbildungsinstitut voraussetzt,</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15</w:t>
      </w:r>
    </w:p>
    <w:p w:rsidR="00BE1EFE" w:rsidRDefault="00BE1EFE">
      <w:pPr>
        <w:pStyle w:val="StandardWeb"/>
      </w:pPr>
      <w:r>
        <w:t>Werklehrer</w:t>
      </w:r>
    </w:p>
    <w:p w:rsidR="00BE1EFE" w:rsidRDefault="00BE1EFE">
      <w:pPr>
        <w:pStyle w:val="StandardWeb"/>
      </w:pPr>
      <w:r>
        <w:t>mit Lehrbefähigung für Werkarbeit an Grund-, Haupt-, Real- und höheren Schulen</w:t>
      </w:r>
    </w:p>
    <w:p w:rsidR="00BE1EFE" w:rsidRDefault="00BE1EFE" w:rsidP="0054275E">
      <w:pPr>
        <w:pStyle w:val="StandardWeb"/>
        <w:autoSpaceDE w:val="0"/>
        <w:rPr>
          <w:i/>
          <w:iCs/>
        </w:rPr>
      </w:pPr>
      <w:r>
        <w:rPr>
          <w:rStyle w:val="Hervorhebung"/>
          <w:iCs/>
        </w:rPr>
        <w:t>Besoldungsgruppe A 6</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pPr>
        <w:pStyle w:val="StandardWeb"/>
      </w:pPr>
    </w:p>
    <w:p w:rsidR="00BE1EFE" w:rsidRDefault="00BE1EFE" w:rsidP="0054275E">
      <w:pPr>
        <w:pStyle w:val="StandardWeb"/>
        <w:autoSpaceDE w:val="0"/>
      </w:pPr>
      <w:r>
        <w:rPr>
          <w:rStyle w:val="Fett"/>
          <w:bCs/>
        </w:rPr>
        <w:t>Fallgruppe 16</w:t>
      </w:r>
    </w:p>
    <w:p w:rsidR="00BE1EFE" w:rsidRDefault="00BE1EFE">
      <w:pPr>
        <w:pStyle w:val="StandardWeb"/>
      </w:pPr>
      <w:r>
        <w:t>Musiklehrer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17</w:t>
      </w:r>
    </w:p>
    <w:p w:rsidR="00BE1EFE" w:rsidRDefault="00BE1EFE">
      <w:pPr>
        <w:pStyle w:val="StandardWeb"/>
      </w:pPr>
      <w:r>
        <w:t>Zeichenlehrer</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18</w:t>
      </w:r>
    </w:p>
    <w:p w:rsidR="00BE1EFE" w:rsidRDefault="00BE1EFE">
      <w:pPr>
        <w:pStyle w:val="StandardWeb"/>
      </w:pPr>
      <w:r>
        <w:t>Lehrkräfte für Kurzschrift und Textverarbeitung</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Fallgruppe 19</w:t>
      </w:r>
    </w:p>
    <w:p w:rsidR="00BE1EFE" w:rsidRDefault="00BE1EFE">
      <w:pPr>
        <w:pStyle w:val="StandardWeb"/>
      </w:pPr>
      <w:r>
        <w:t>Lehrkräfte für Kurzschrift oder Textverarbeitung</w:t>
      </w:r>
    </w:p>
    <w:p w:rsidR="00BE1EFE" w:rsidRDefault="00BE1EFE" w:rsidP="0054275E">
      <w:pPr>
        <w:pStyle w:val="StandardWeb"/>
        <w:autoSpaceDE w:val="0"/>
        <w:rPr>
          <w:i/>
          <w:iCs/>
        </w:rPr>
      </w:pPr>
      <w:r>
        <w:rPr>
          <w:rStyle w:val="Hervorhebung"/>
          <w:iCs/>
        </w:rPr>
        <w:t>Besoldungsgruppe A 7</w:t>
      </w:r>
    </w:p>
    <w:p w:rsidR="00BE1EFE" w:rsidRDefault="00BE1EFE">
      <w:pPr>
        <w:pStyle w:val="StandardWeb"/>
      </w:pPr>
      <w:r>
        <w:t>nach mindestens fünfjähriger Bewährung in dieser Tätigkeit und in dieser Besoldungsgruppe</w:t>
      </w:r>
    </w:p>
    <w:p w:rsidR="00BE1EFE" w:rsidRDefault="00BE1EFE" w:rsidP="0054275E">
      <w:pPr>
        <w:pStyle w:val="StandardWeb"/>
        <w:autoSpaceDE w:val="0"/>
      </w:pPr>
      <w:r>
        <w:rPr>
          <w:rStyle w:val="Hervorhebung"/>
          <w:iCs/>
        </w:rPr>
        <w:t>Besoldungsgruppe A 8</w:t>
      </w:r>
    </w:p>
    <w:p w:rsidR="00BE1EFE" w:rsidRDefault="00BE1EFE" w:rsidP="0054275E">
      <w:pPr>
        <w:pStyle w:val="StandardWeb"/>
        <w:autoSpaceDE w:val="0"/>
        <w:rPr>
          <w:rStyle w:val="Fett"/>
          <w:bCs/>
        </w:rPr>
      </w:pPr>
      <w:r>
        <w:br w:type="page"/>
      </w:r>
    </w:p>
    <w:p w:rsidR="00BE1EFE" w:rsidRPr="0068324E" w:rsidRDefault="00BE1EFE" w:rsidP="00F433D3">
      <w:pPr>
        <w:pStyle w:val="h7"/>
        <w:spacing w:before="0"/>
        <w:jc w:val="left"/>
        <w:rPr>
          <w:b w:val="0"/>
        </w:rPr>
      </w:pPr>
      <w:bookmarkStart w:id="739" w:name="_Toc523926270"/>
      <w:r w:rsidRPr="0068324E">
        <w:rPr>
          <w:rStyle w:val="Fett"/>
          <w:b/>
          <w:bCs/>
        </w:rPr>
        <w:lastRenderedPageBreak/>
        <w:t>II. Eingruppierungsrichtlinien* für Lehrkräfte an Realschulen</w:t>
      </w:r>
      <w:bookmarkEnd w:id="739"/>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Realschullehrern</w:t>
      </w:r>
    </w:p>
    <w:p w:rsidR="00BE1EFE" w:rsidRDefault="00BE1EFE">
      <w:pPr>
        <w:pStyle w:val="StandardWeb"/>
      </w:pPr>
      <w:r>
        <w:t xml:space="preserve">mit abgeschlossenem Studium an einer Hochschule nach </w:t>
      </w:r>
      <w:hyperlink r:id="rId998" w:history="1">
        <w:r w:rsidRPr="00E840D8">
          <w:rPr>
            <w:rStyle w:val="Hyperlink"/>
          </w:rPr>
          <w:t>§ 1 HRG</w:t>
        </w:r>
      </w:hyperlink>
      <w:r>
        <w:t>,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(Dieses Merkmal gilt nicht für Diplom-Dolmetscher und Diplom-Übersetzer.)</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Realschullehrern</w:t>
      </w:r>
    </w:p>
    <w:p w:rsidR="00BE1EFE" w:rsidRDefault="00BE1EFE">
      <w:pPr>
        <w:pStyle w:val="StandardWeb"/>
      </w:pPr>
      <w:r>
        <w:t>mit abgeschlossenem Studium an einer wissenschaftlichen Hochschule, die überwiegend Unterricht in mindestens einem ihrem Studium entsprechenden wissenschaftlichen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Realschullehrern</w:t>
      </w:r>
    </w:p>
    <w:p w:rsidR="00BE1EFE" w:rsidRDefault="00BE1EFE">
      <w:pPr>
        <w:pStyle w:val="StandardWeb"/>
      </w:pPr>
      <w:r>
        <w:t xml:space="preserve">mit abgeschlossenem Studium an einer Hochschule nach </w:t>
      </w:r>
      <w:hyperlink r:id="rId999" w:history="1">
        <w:r w:rsidRPr="00E840D8">
          <w:rPr>
            <w:rStyle w:val="Hyperlink"/>
          </w:rPr>
          <w:t>§ 1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(Dieses Merkmal gilt nicht für Lehrkräfte der Fallgruppen 5 bis 10.)</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 als Sprachlehrer</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lastRenderedPageBreak/>
        <w:t>Besoldungsgruppe A 12</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rPr>
          <w:b/>
          <w:bCs/>
        </w:rPr>
      </w:pPr>
      <w:r>
        <w:rPr>
          <w:rStyle w:val="Fett"/>
          <w:bCs/>
        </w:rPr>
        <w:t>Fallgruppe 8</w:t>
      </w:r>
    </w:p>
    <w:p w:rsidR="00BE1EFE" w:rsidRDefault="00BE1EFE">
      <w:pPr>
        <w:pStyle w:val="StandardWeb"/>
      </w:pPr>
      <w:r>
        <w:t>Musikerzieher,</w:t>
      </w:r>
    </w:p>
    <w:p w:rsidR="00BE1EFE" w:rsidRDefault="00BE1EFE">
      <w:pPr>
        <w:pStyle w:val="StandardWeb"/>
      </w:pPr>
      <w:r>
        <w:t>– die nach einem mindestens achtsemestrigen Studium an einer Musikhochschule oder Musikakademie die künstlerische Reifeprüfung bzw. die künstlerische Abschlussprüfung bzw. die A-Prüfung für Kirchenmusik abgelegt bzw. den Diplomgrad „Diplom-Musiker“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12</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Musiklehrer</w:t>
      </w:r>
    </w:p>
    <w:p w:rsidR="00BE1EFE" w:rsidRDefault="00BE1EFE">
      <w:pPr>
        <w:pStyle w:val="StandardWeb"/>
      </w:pPr>
      <w:r>
        <w:t>mit Prüfung für das Fach Musik an Realschulen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pPr>
      <w:r>
        <w:rPr>
          <w:rStyle w:val="Fett"/>
          <w:bCs/>
        </w:rPr>
        <w:t>Fallgruppe 10</w:t>
      </w:r>
    </w:p>
    <w:p w:rsidR="00BE1EFE" w:rsidRDefault="00BE1EFE">
      <w:pPr>
        <w:pStyle w:val="StandardWeb"/>
      </w:pPr>
      <w:r>
        <w:t>Musiklehrer oder Zeichenlehrer</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lastRenderedPageBreak/>
        <w:t>Besoldungsgruppe A 10</w:t>
      </w:r>
    </w:p>
    <w:p w:rsidR="00BE1EFE" w:rsidRDefault="00BE1EFE">
      <w:pPr>
        <w:pStyle w:val="StandardWeb"/>
      </w:pPr>
    </w:p>
    <w:p w:rsidR="00BE1EFE" w:rsidRDefault="00BE1EFE" w:rsidP="0054275E">
      <w:pPr>
        <w:pStyle w:val="StandardWeb"/>
        <w:autoSpaceDE w:val="0"/>
      </w:pPr>
      <w:r>
        <w:rPr>
          <w:rStyle w:val="Fett"/>
          <w:bCs/>
        </w:rPr>
        <w:t>* Die übrigen Lehrkräfte werden wie die entsprechenden Lehrkräfte an Volksschulen (vgl. Unterabschnitt I Fallgruppen 2, 2 a, 9 bis 13) eingruppiert.</w:t>
      </w:r>
    </w:p>
    <w:p w:rsidR="00BE1EFE" w:rsidRPr="00F433D3" w:rsidRDefault="00BE1EFE" w:rsidP="00F433D3">
      <w:pPr>
        <w:pStyle w:val="StandardWeb"/>
        <w:rPr>
          <w:rStyle w:val="Fett"/>
          <w:b w:val="0"/>
        </w:rPr>
      </w:pPr>
      <w:r>
        <w:br w:type="page"/>
      </w:r>
    </w:p>
    <w:p w:rsidR="00BE1EFE" w:rsidRPr="0068324E" w:rsidRDefault="00BE1EFE" w:rsidP="00F433D3">
      <w:pPr>
        <w:pStyle w:val="h7"/>
        <w:spacing w:before="0"/>
        <w:jc w:val="left"/>
        <w:rPr>
          <w:b w:val="0"/>
        </w:rPr>
      </w:pPr>
      <w:bookmarkStart w:id="740" w:name="_Toc523926271"/>
      <w:r w:rsidRPr="0068324E">
        <w:rPr>
          <w:rStyle w:val="Fett"/>
          <w:b/>
          <w:bCs/>
        </w:rPr>
        <w:lastRenderedPageBreak/>
        <w:t>III. Eingruppierungsrichtlinien* für Lehrkräfte an Gymnasien</w:t>
      </w:r>
      <w:bookmarkEnd w:id="740"/>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rsidP="0054275E">
      <w:pPr>
        <w:pStyle w:val="StandardWeb"/>
        <w:autoSpaceDE w:val="0"/>
      </w:pPr>
      <w:r>
        <w:rPr>
          <w:rStyle w:val="Fett"/>
          <w:bCs/>
        </w:rPr>
        <w:t>Fallgruppe 1</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die aufgrund ihres Studiums die Fähigkeit zum Unterrichten in mindestens zwei Fächern haben und die überwiegend Unterricht in mindestens einem ihrem Studium entsprechenden Fach erteilen,</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sechszehnjähriger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(Dieses Merkmal gilt nicht für Diplom-Dolmetscher und Diplom-Übersetzer. Soweit beim Freistaat Bayern vorübergehend das abgeschlossene Studium in einem wissenschaftlichen Fach [z. B. in Mathematik oder in Physik] als Voraussetzung für die Übernahme in den Vorbereitungsdienst für das Lehramt des höheren Dienstes an Gymnasien genügt, kann auf die Fähigkeit zum Unterrichten in einem zweiten Fach verzichtet werden.)</w:t>
      </w:r>
    </w:p>
    <w:p w:rsidR="00BE1EFE" w:rsidRDefault="00BE1EFE">
      <w:pPr>
        <w:pStyle w:val="StandardWeb"/>
      </w:pPr>
    </w:p>
    <w:p w:rsidR="00BE1EFE" w:rsidRDefault="00BE1EFE" w:rsidP="0054275E">
      <w:pPr>
        <w:pStyle w:val="StandardWeb"/>
        <w:autoSpaceDE w:val="0"/>
        <w:rPr>
          <w:b/>
          <w:bCs/>
        </w:rPr>
      </w:pPr>
      <w:r>
        <w:rPr>
          <w:rStyle w:val="Fett"/>
          <w:bCs/>
        </w:rPr>
        <w:t>Fallgruppe 2</w:t>
      </w:r>
    </w:p>
    <w:p w:rsidR="00BE1EFE" w:rsidRDefault="00BE1EFE">
      <w:pPr>
        <w:pStyle w:val="StandardWeb"/>
      </w:pPr>
      <w:r>
        <w:t>Lehrkräfte in der Tätigkeit von Studienräten</w:t>
      </w:r>
    </w:p>
    <w:p w:rsidR="00BE1EFE" w:rsidRDefault="00BE1EFE">
      <w:pPr>
        <w:pStyle w:val="StandardWeb"/>
      </w:pPr>
      <w:r>
        <w:t>mit abgeschlossenem Studium an einer wissenschaftlichen Hochschule, die überwiegend Unterricht in einem ihrem Studium entsprechenden Fach erteilen,</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3</w:t>
      </w:r>
    </w:p>
    <w:p w:rsidR="00BE1EFE" w:rsidRDefault="00BE1EFE">
      <w:pPr>
        <w:pStyle w:val="StandardWeb"/>
      </w:pPr>
      <w:r>
        <w:t>Lehrkräfte in der Tätigkeit von Studienräten</w:t>
      </w:r>
    </w:p>
    <w:p w:rsidR="00BE1EFE" w:rsidRDefault="00BE1EFE">
      <w:pPr>
        <w:pStyle w:val="StandardWeb"/>
      </w:pPr>
      <w:r>
        <w:t xml:space="preserve">mit abgeschlossenem Studium an einer Hochschule nach </w:t>
      </w:r>
      <w:hyperlink r:id="rId1000" w:history="1">
        <w:r w:rsidRPr="00E840D8">
          <w:rPr>
            <w:rStyle w:val="Hyperlink"/>
          </w:rPr>
          <w:t>§ 1 HRG</w:t>
        </w:r>
      </w:hyperlink>
      <w:r>
        <w:t>, die überwiegend Unterricht in mindestens einem wissenschaftlichen Fach erteilen,</w:t>
      </w:r>
    </w:p>
    <w:p w:rsidR="00BE1EFE" w:rsidRDefault="00BE1EFE" w:rsidP="0054275E">
      <w:pPr>
        <w:pStyle w:val="StandardWeb"/>
        <w:autoSpaceDE w:val="0"/>
        <w:rPr>
          <w:i/>
          <w:iCs/>
        </w:rPr>
      </w:pPr>
      <w:r>
        <w:rPr>
          <w:rStyle w:val="Hervorhebung"/>
          <w:iCs/>
        </w:rPr>
        <w:t>Besoldungsgruppe A 11</w:t>
      </w:r>
    </w:p>
    <w:p w:rsidR="00BE1EFE" w:rsidRDefault="00BE1EFE">
      <w:pPr>
        <w:pStyle w:val="StandardWeb"/>
      </w:pPr>
      <w:r>
        <w:t>nach mindestens sechsjähriger Bewährung in dieser Tätigkeit und in dieser Besoldungsgruppe</w:t>
      </w:r>
    </w:p>
    <w:p w:rsidR="00BE1EFE" w:rsidRDefault="00BE1EFE" w:rsidP="0054275E">
      <w:pPr>
        <w:pStyle w:val="StandardWeb"/>
        <w:autoSpaceDE w:val="0"/>
        <w:rPr>
          <w:i/>
          <w:iCs/>
        </w:rPr>
      </w:pPr>
      <w:r>
        <w:rPr>
          <w:rStyle w:val="Hervorhebung"/>
          <w:iCs/>
        </w:rPr>
        <w:t>Besoldungsgruppe A 12</w:t>
      </w:r>
    </w:p>
    <w:p w:rsidR="00BE1EFE" w:rsidRDefault="00BE1EFE">
      <w:pPr>
        <w:pStyle w:val="StandardWeb"/>
      </w:pPr>
      <w:r>
        <w:t>(Dieses Merkmal gilt nicht für Lehrkräfte der Fallgruppen 5 bis 13.)</w:t>
      </w:r>
    </w:p>
    <w:p w:rsidR="00BE1EFE" w:rsidRDefault="00BE1EFE">
      <w:pPr>
        <w:pStyle w:val="StandardWeb"/>
      </w:pPr>
    </w:p>
    <w:p w:rsidR="00BE1EFE" w:rsidRDefault="00BE1EFE" w:rsidP="0054275E">
      <w:pPr>
        <w:pStyle w:val="StandardWeb"/>
        <w:autoSpaceDE w:val="0"/>
      </w:pPr>
      <w:r>
        <w:rPr>
          <w:rStyle w:val="Fett"/>
          <w:bCs/>
        </w:rPr>
        <w:t>Fallgruppe 4</w:t>
      </w:r>
    </w:p>
    <w:p w:rsidR="00BE1EFE" w:rsidRDefault="00BE1EFE">
      <w:pPr>
        <w:pStyle w:val="StandardWeb"/>
      </w:pPr>
      <w:r>
        <w:t>Religionslehrer</w:t>
      </w:r>
    </w:p>
    <w:p w:rsidR="00BE1EFE" w:rsidRDefault="00BE1EFE">
      <w:pPr>
        <w:pStyle w:val="StandardWeb"/>
      </w:pPr>
      <w:r>
        <w:t>mit abgeschlossenem theologischen Studium an einer wissenschaftlichen Hochschule</w:t>
      </w:r>
    </w:p>
    <w:p w:rsidR="00BE1EFE" w:rsidRDefault="00BE1EFE" w:rsidP="0054275E">
      <w:pPr>
        <w:pStyle w:val="StandardWeb"/>
        <w:autoSpaceDE w:val="0"/>
        <w:rPr>
          <w:i/>
          <w:iCs/>
        </w:rPr>
      </w:pPr>
      <w:r>
        <w:rPr>
          <w:rStyle w:val="Hervorhebung"/>
          <w:iCs/>
        </w:rPr>
        <w:t>Besoldungsgruppe A 13</w:t>
      </w:r>
    </w:p>
    <w:p w:rsidR="00BE1EFE" w:rsidRDefault="00BE1EFE">
      <w:pPr>
        <w:pStyle w:val="StandardWeb"/>
      </w:pPr>
      <w:r>
        <w:t>nach mindestens sechzehnjähriger Bewährung in dieser Tätigkeit und in dieser Besoldungs</w:t>
      </w:r>
      <w:r>
        <w:softHyphen/>
        <w:t>gruppe</w:t>
      </w:r>
    </w:p>
    <w:p w:rsidR="00BE1EFE" w:rsidRDefault="00BE1EFE" w:rsidP="0054275E">
      <w:pPr>
        <w:pStyle w:val="StandardWeb"/>
        <w:autoSpaceDE w:val="0"/>
        <w:rPr>
          <w:i/>
          <w:iCs/>
        </w:rPr>
      </w:pPr>
      <w:r>
        <w:rPr>
          <w:rStyle w:val="Hervorhebung"/>
          <w:iCs/>
        </w:rPr>
        <w:t>Besoldungsgruppe A 14</w:t>
      </w:r>
    </w:p>
    <w:p w:rsidR="00BE1EFE" w:rsidRDefault="00BE1EFE">
      <w:pPr>
        <w:pStyle w:val="StandardWeb"/>
      </w:pPr>
      <w:r>
        <w:t>(Liegt ein abgeschlossenes theologisches Studium an einer wissenschaftlichen Hochschule nicht vor, legt die kirchliche Oberbehörde unter Berücksichtigung der durch die anderweitige Ausbildung vermittelten Befähigung und dieser Richtlinien die Eingruppierung in einer niedrigeren Besoldungsgruppe fest.)</w:t>
      </w:r>
    </w:p>
    <w:p w:rsidR="00BE1EFE" w:rsidRDefault="00BE1EFE">
      <w:pPr>
        <w:pStyle w:val="StandardWeb"/>
      </w:pPr>
    </w:p>
    <w:p w:rsidR="00BE1EFE" w:rsidRDefault="00BE1EFE" w:rsidP="0054275E">
      <w:pPr>
        <w:pStyle w:val="StandardWeb"/>
        <w:autoSpaceDE w:val="0"/>
      </w:pPr>
      <w:r>
        <w:rPr>
          <w:rStyle w:val="Fett"/>
          <w:bCs/>
        </w:rPr>
        <w:t>Fallgruppe 5</w:t>
      </w:r>
    </w:p>
    <w:p w:rsidR="00BE1EFE" w:rsidRDefault="00BE1EFE">
      <w:pPr>
        <w:pStyle w:val="StandardWeb"/>
      </w:pPr>
      <w:r>
        <w:t>Diplom-Dolmetscher und Diplom-Übersetzer</w:t>
      </w:r>
    </w:p>
    <w:p w:rsidR="00BE1EFE" w:rsidRDefault="00BE1EFE">
      <w:pPr>
        <w:pStyle w:val="StandardWeb"/>
      </w:pPr>
      <w:r>
        <w:t>mit mindestens sechssemestrigem Hochschulstudium und Abschlussprüfung</w:t>
      </w:r>
    </w:p>
    <w:p w:rsidR="00BE1EFE" w:rsidRDefault="00BE1EFE">
      <w:pPr>
        <w:pStyle w:val="StandardWeb"/>
      </w:pPr>
      <w:r>
        <w:lastRenderedPageBreak/>
        <w:t>als Sprachlehrer</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6</w:t>
      </w:r>
    </w:p>
    <w:p w:rsidR="00BE1EFE" w:rsidRDefault="00BE1EFE">
      <w:pPr>
        <w:pStyle w:val="StandardWeb"/>
      </w:pPr>
      <w:r>
        <w:t>Diplom-Sportlehrer</w:t>
      </w:r>
    </w:p>
    <w:p w:rsidR="00BE1EFE" w:rsidRDefault="00BE1EFE">
      <w:pPr>
        <w:pStyle w:val="StandardWeb"/>
      </w:pPr>
      <w:r>
        <w:t>mit mindestens sechssemestrigem Hochschulstudium und Abschlussprüfung</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rPr>
          <w:b/>
          <w:bCs/>
        </w:rPr>
      </w:pPr>
      <w:r>
        <w:rPr>
          <w:rStyle w:val="Fett"/>
          <w:bCs/>
        </w:rPr>
        <w:t>Fallgruppe 7</w:t>
      </w:r>
    </w:p>
    <w:p w:rsidR="00BE1EFE" w:rsidRDefault="00BE1EFE">
      <w:pPr>
        <w:pStyle w:val="StandardWeb"/>
      </w:pPr>
      <w:r>
        <w:t>Kunsterzieher,</w:t>
      </w:r>
    </w:p>
    <w:p w:rsidR="00BE1EFE" w:rsidRDefault="00BE1EFE">
      <w:pPr>
        <w:pStyle w:val="StandardWeb"/>
      </w:pPr>
      <w:r>
        <w:t>– die nach einem mindestens achtsemestrigen Studium an einer Kunsthochschule oder Kunstakademie zum Meisterschüler ernannt worden sind oder</w:t>
      </w:r>
    </w:p>
    <w:p w:rsidR="00BE1EFE" w:rsidRDefault="00BE1EFE">
      <w:pPr>
        <w:pStyle w:val="StandardWeb"/>
      </w:pPr>
      <w:r>
        <w:t>– die nach einem mindestens sechssemestrigen Studium an einer Kunsthochschule oder Kunstakademie den künstlerischen Teil der Künstlerischen 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8</w:t>
      </w:r>
    </w:p>
    <w:p w:rsidR="00BE1EFE" w:rsidRDefault="00BE1EFE">
      <w:pPr>
        <w:pStyle w:val="StandardWeb"/>
      </w:pPr>
      <w:r>
        <w:t>Musikerzieher,</w:t>
      </w:r>
    </w:p>
    <w:p w:rsidR="00BE1EFE" w:rsidRDefault="00BE1EFE">
      <w:pPr>
        <w:pStyle w:val="StandardWeb"/>
      </w:pPr>
      <w:r>
        <w:t>– die nach einem mindestens achtsemestrigen Studium an einer Musikhochschule oder Musikakademie die künstlerische Reifeprüfung bzw. die künstlerische Abschlussprüfung bzw. die A-Prüfung für Kirchenmusik abgelegt bzw. den Diplomgrad „Diplom-Musiklehrer“ erworben haben oder</w:t>
      </w:r>
    </w:p>
    <w:p w:rsidR="00BE1EFE" w:rsidRDefault="00BE1EFE">
      <w:pPr>
        <w:pStyle w:val="StandardWeb"/>
      </w:pPr>
      <w:r>
        <w:t>– die nach einem mindestens sechssemestrigen Studium an einer Musikhochschule oder Musikakademie den künstlerischen Teil der Künstlerischen Prüfung für das Lehramt am Gymnasium bzw. die Teilprüfung Musik in der Ersten Staatsprüfung für das Lehramt am Gymnasium abgelegt haben,</w:t>
      </w:r>
    </w:p>
    <w:p w:rsidR="00BE1EFE" w:rsidRDefault="00BE1EFE">
      <w:pPr>
        <w:pStyle w:val="StandardWeb"/>
      </w:pPr>
      <w:r>
        <w:t>mit entsprechender Tätigkeit</w:t>
      </w:r>
    </w:p>
    <w:p w:rsidR="00BE1EFE" w:rsidRDefault="00BE1EFE" w:rsidP="0054275E">
      <w:pPr>
        <w:pStyle w:val="StandardWeb"/>
        <w:autoSpaceDE w:val="0"/>
      </w:pPr>
      <w:r>
        <w:rPr>
          <w:rStyle w:val="Hervorhebung"/>
          <w:iCs/>
        </w:rPr>
        <w:t>Besoldungsgruppe A 13</w:t>
      </w:r>
    </w:p>
    <w:p w:rsidR="00BE1EFE" w:rsidRDefault="00BE1EFE">
      <w:pPr>
        <w:pStyle w:val="StandardWeb"/>
      </w:pPr>
    </w:p>
    <w:p w:rsidR="00BE1EFE" w:rsidRDefault="00BE1EFE" w:rsidP="0054275E">
      <w:pPr>
        <w:pStyle w:val="StandardWeb"/>
        <w:autoSpaceDE w:val="0"/>
      </w:pPr>
      <w:r>
        <w:rPr>
          <w:rStyle w:val="Fett"/>
          <w:bCs/>
        </w:rPr>
        <w:t>Fallgruppe 9</w:t>
      </w:r>
    </w:p>
    <w:p w:rsidR="00BE1EFE" w:rsidRDefault="00BE1EFE">
      <w:pPr>
        <w:pStyle w:val="StandardWeb"/>
      </w:pPr>
      <w:r>
        <w:t>Musikerzieher</w:t>
      </w:r>
    </w:p>
    <w:p w:rsidR="00BE1EFE" w:rsidRDefault="00BE1EFE">
      <w:pPr>
        <w:pStyle w:val="StandardWeb"/>
      </w:pPr>
      <w:r>
        <w:t>mit achtsemestrigem Studium an einem Seminar für Musikerziehung einer Hochschule für Musik und staatlicher Prüfung für Musiklehrer und Zweiter Prüfung im Fach Jugend- und Volksmusik</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BE1EFE" w:rsidRDefault="00BE1EFE" w:rsidP="0054275E">
      <w:pPr>
        <w:pStyle w:val="StandardWeb"/>
        <w:autoSpaceDE w:val="0"/>
        <w:rPr>
          <w:b/>
          <w:bCs/>
        </w:rPr>
      </w:pPr>
      <w:r>
        <w:rPr>
          <w:rStyle w:val="Fett"/>
          <w:bCs/>
        </w:rPr>
        <w:t>Fallgruppe 10</w:t>
      </w:r>
    </w:p>
    <w:p w:rsidR="00BE1EFE" w:rsidRDefault="00BE1EFE">
      <w:pPr>
        <w:pStyle w:val="StandardWeb"/>
      </w:pPr>
      <w:r>
        <w:t>Kunsterzieher oder Musikerzieher</w:t>
      </w:r>
    </w:p>
    <w:p w:rsidR="00BE1EFE" w:rsidRDefault="00BE1EFE">
      <w:pPr>
        <w:pStyle w:val="StandardWeb"/>
      </w:pPr>
      <w:r>
        <w:t>ohne Ausbildung nach Fallgruppe 7, Fallgruppe 8 oder Fallgruppe 9 mit anderweitiger Ausbildung und besonderen künstlerischen Fähigkeiten und Erfahrungen</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11</w:t>
      </w:r>
    </w:p>
    <w:p w:rsidR="00BE1EFE" w:rsidRDefault="00BE1EFE">
      <w:pPr>
        <w:pStyle w:val="StandardWeb"/>
      </w:pPr>
    </w:p>
    <w:p w:rsidR="004B5349" w:rsidRDefault="004B5349">
      <w:pPr>
        <w:pStyle w:val="StandardWeb"/>
      </w:pPr>
    </w:p>
    <w:p w:rsidR="00BE1EFE" w:rsidRDefault="00BE1EFE" w:rsidP="0054275E">
      <w:pPr>
        <w:pStyle w:val="StandardWeb"/>
        <w:autoSpaceDE w:val="0"/>
      </w:pPr>
      <w:r>
        <w:rPr>
          <w:rStyle w:val="Fett"/>
          <w:bCs/>
        </w:rPr>
        <w:t>Fallgruppe 11</w:t>
      </w:r>
    </w:p>
    <w:p w:rsidR="00BE1EFE" w:rsidRDefault="00BE1EFE">
      <w:pPr>
        <w:pStyle w:val="StandardWeb"/>
      </w:pPr>
      <w:r>
        <w:lastRenderedPageBreak/>
        <w:t>Kunsterzieher oder Musikerzieher, die nicht unter die Fallgruppen 7 bis 10 fallen,</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mindestens sechsjähriger Bewährung in dieser Tätigkeit und in dieser Besoldungs</w:t>
      </w:r>
      <w:r>
        <w:softHyphen/>
        <w:t>gruppe</w:t>
      </w:r>
    </w:p>
    <w:p w:rsidR="00BE1EFE" w:rsidRDefault="00BE1EFE" w:rsidP="0054275E">
      <w:pPr>
        <w:pStyle w:val="StandardWeb"/>
        <w:autoSpaceDE w:val="0"/>
      </w:pPr>
      <w:r>
        <w:rPr>
          <w:rStyle w:val="Hervorhebung"/>
          <w:iCs/>
        </w:rPr>
        <w:t>Besoldungsgruppe A 10</w:t>
      </w:r>
    </w:p>
    <w:p w:rsidR="00BE1EFE" w:rsidRDefault="00BE1EFE">
      <w:pPr>
        <w:pStyle w:val="StandardWeb"/>
      </w:pPr>
    </w:p>
    <w:p w:rsidR="00BE1EFE" w:rsidRDefault="00BE1EFE" w:rsidP="0054275E">
      <w:pPr>
        <w:pStyle w:val="StandardWeb"/>
        <w:autoSpaceDE w:val="0"/>
      </w:pPr>
      <w:r>
        <w:rPr>
          <w:rStyle w:val="Fett"/>
          <w:bCs/>
        </w:rPr>
        <w:t>Fallgruppe 12</w:t>
      </w:r>
    </w:p>
    <w:p w:rsidR="00BE1EFE" w:rsidRDefault="00BE1EFE">
      <w:pPr>
        <w:pStyle w:val="StandardWeb"/>
      </w:pPr>
      <w:r>
        <w:t>Turn-, Sport- und Gymnastiklehrer</w:t>
      </w:r>
    </w:p>
    <w:p w:rsidR="00BE1EFE" w:rsidRDefault="00BE1EFE">
      <w:pPr>
        <w:pStyle w:val="StandardWeb"/>
      </w:pPr>
      <w:r>
        <w:t>mit staatlicher oder staatlich anerkannter Turn-, Sport- und Gymnastiklehrerprüfung</w:t>
      </w:r>
    </w:p>
    <w:p w:rsidR="00BE1EFE" w:rsidRDefault="00BE1EFE" w:rsidP="0054275E">
      <w:pPr>
        <w:pStyle w:val="StandardWeb"/>
        <w:autoSpaceDE w:val="0"/>
        <w:rPr>
          <w:i/>
          <w:iCs/>
        </w:rPr>
      </w:pPr>
      <w:r>
        <w:rPr>
          <w:rStyle w:val="Hervorhebung"/>
          <w:iCs/>
        </w:rPr>
        <w:t>Besoldungsgruppe A 9</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rPr>
          <w:i/>
          <w:iCs/>
        </w:rPr>
      </w:pPr>
      <w:r>
        <w:rPr>
          <w:rStyle w:val="Hervorhebung"/>
          <w:iCs/>
        </w:rPr>
        <w:t>Besoldungsgruppe A 10</w:t>
      </w:r>
    </w:p>
    <w:p w:rsidR="00BE1EFE" w:rsidRDefault="00BE1EFE">
      <w:pPr>
        <w:pStyle w:val="StandardWeb"/>
      </w:pPr>
      <w:r>
        <w:t>(Dieses Merkmal gilt nur für Turn-, Sport- und Gymnastiklehrer, deren Ausbildung in der Regel in den Abschluss einer Realschule oder eine gleichwertige Schulausbildung voraussetzt und die ein mindestens viersemestriges Studium an einem staatlichen oder einem staatlich anerkannten Ausbildungsinstitut durchlaufen haben.)</w:t>
      </w:r>
    </w:p>
    <w:p w:rsidR="00BE1EFE" w:rsidRDefault="00BE1EFE">
      <w:pPr>
        <w:pStyle w:val="StandardWeb"/>
      </w:pPr>
    </w:p>
    <w:p w:rsidR="00BE1EFE" w:rsidRDefault="00BE1EFE" w:rsidP="0054275E">
      <w:pPr>
        <w:pStyle w:val="StandardWeb"/>
        <w:autoSpaceDE w:val="0"/>
        <w:rPr>
          <w:b/>
          <w:bCs/>
        </w:rPr>
      </w:pPr>
      <w:r>
        <w:rPr>
          <w:rStyle w:val="Fett"/>
          <w:bCs/>
        </w:rPr>
        <w:t>Fallgruppe 13</w:t>
      </w:r>
    </w:p>
    <w:p w:rsidR="00BE1EFE" w:rsidRDefault="00BE1EFE">
      <w:pPr>
        <w:pStyle w:val="StandardWeb"/>
      </w:pPr>
      <w:r>
        <w:t>Turn-, Sport- und Gymnastiklehrer</w:t>
      </w:r>
    </w:p>
    <w:p w:rsidR="00BE1EFE" w:rsidRDefault="00BE1EFE">
      <w:pPr>
        <w:pStyle w:val="StandardWeb"/>
      </w:pPr>
      <w:r>
        <w:t>mit der Ausbildung als staatlich geprüfte Vereinsturnlehrer oder als staatlich anerkannte Sportlehrer mit der Befähigung für Freizeitpflege</w:t>
      </w:r>
    </w:p>
    <w:p w:rsidR="00BE1EFE" w:rsidRDefault="00BE1EFE" w:rsidP="0054275E">
      <w:pPr>
        <w:pStyle w:val="StandardWeb"/>
        <w:autoSpaceDE w:val="0"/>
        <w:rPr>
          <w:i/>
          <w:iCs/>
        </w:rPr>
      </w:pPr>
      <w:r>
        <w:rPr>
          <w:rStyle w:val="Hervorhebung"/>
          <w:iCs/>
        </w:rPr>
        <w:t>Besoldungsgruppe A 8</w:t>
      </w:r>
    </w:p>
    <w:p w:rsidR="00BE1EFE" w:rsidRDefault="00BE1EFE">
      <w:pPr>
        <w:pStyle w:val="StandardWeb"/>
      </w:pPr>
      <w:r>
        <w:t>nach langjähriger (d. h. mindestens dreijähriger) Bewährung in dieser Tätigkeit und in dieser Besoldungsgruppe</w:t>
      </w:r>
    </w:p>
    <w:p w:rsidR="00BE1EFE" w:rsidRDefault="00BE1EFE" w:rsidP="0054275E">
      <w:pPr>
        <w:pStyle w:val="StandardWeb"/>
        <w:autoSpaceDE w:val="0"/>
      </w:pPr>
      <w:r>
        <w:rPr>
          <w:rStyle w:val="Hervorhebung"/>
          <w:iCs/>
        </w:rPr>
        <w:t>Besoldungsgruppe A 9</w:t>
      </w:r>
    </w:p>
    <w:p w:rsidR="00BE1EFE" w:rsidRDefault="00BE1EFE">
      <w:pPr>
        <w:pStyle w:val="StandardWeb"/>
      </w:pPr>
    </w:p>
    <w:p w:rsidR="00BE1EFE" w:rsidRDefault="00BE1EFE" w:rsidP="0054275E">
      <w:pPr>
        <w:pStyle w:val="StandardWeb"/>
        <w:autoSpaceDE w:val="0"/>
      </w:pPr>
      <w:r>
        <w:rPr>
          <w:rStyle w:val="Fett"/>
          <w:bCs/>
        </w:rPr>
        <w:t>*Die übrigen Lehrkräfte werden wie die entsprechenden Lehrkräfte an Volksschulen eingruppiert.</w:t>
      </w:r>
    </w:p>
    <w:p w:rsidR="00BE1EFE" w:rsidRDefault="00BE1EFE">
      <w:pPr>
        <w:pStyle w:val="StandardWeb"/>
      </w:pPr>
      <w:r>
        <w:br w:type="page"/>
      </w:r>
    </w:p>
    <w:p w:rsidR="00BE1EFE" w:rsidRPr="0068324E" w:rsidRDefault="00BE1EFE" w:rsidP="00F433D3">
      <w:pPr>
        <w:pStyle w:val="h7"/>
        <w:spacing w:before="0"/>
        <w:jc w:val="left"/>
        <w:rPr>
          <w:b w:val="0"/>
        </w:rPr>
      </w:pPr>
      <w:bookmarkStart w:id="741" w:name="_Toc523926272"/>
      <w:r w:rsidRPr="0068324E">
        <w:rPr>
          <w:rStyle w:val="Fett"/>
          <w:b/>
          <w:bCs/>
        </w:rPr>
        <w:lastRenderedPageBreak/>
        <w:t>IV. Eingruppierungsrichtlinien für Lehrkräfte an berufsbildenden Schulen</w:t>
      </w:r>
      <w:bookmarkEnd w:id="741"/>
    </w:p>
    <w:p w:rsidR="00BE1EFE" w:rsidRPr="00B76821" w:rsidRDefault="00BE1EFE" w:rsidP="00B76821">
      <w:pPr>
        <w:pStyle w:val="h8"/>
        <w:keepNext w:val="0"/>
        <w:spacing w:before="0" w:after="0"/>
        <w:outlineLvl w:val="5"/>
        <w:rPr>
          <w:sz w:val="2"/>
        </w:rPr>
      </w:pPr>
    </w:p>
    <w:p w:rsidR="00BE1EFE" w:rsidRDefault="00BE1EFE">
      <w:pPr>
        <w:pStyle w:val="StandardWeb"/>
      </w:pPr>
    </w:p>
    <w:p w:rsidR="00BE1EFE" w:rsidRDefault="00BE1EFE">
      <w:pPr>
        <w:pStyle w:val="StandardWeb"/>
      </w:pPr>
      <w:r>
        <w:t>Lehrkräfte in der Tätigkeit von Fachlehrern, Fachoberlehrern, Fachschullehrern, Fachoberschullehrern, technischen Lehrern, Werkstattlehrern oder Werkmeistern, wenn der entsprechende Beamte im Eingangsamt in die Besoldungsgruppe</w:t>
      </w:r>
    </w:p>
    <w:p w:rsidR="00BE1EFE" w:rsidRDefault="00BE1EFE">
      <w:pPr>
        <w:pStyle w:val="StandardWeb"/>
      </w:pPr>
    </w:p>
    <w:p w:rsidR="00BE1EFE" w:rsidRDefault="00BE1EFE">
      <w:pPr>
        <w:pStyle w:val="StandardWeb"/>
      </w:pPr>
      <w:r>
        <w:t>A 13 eingestuft ist A 12</w:t>
      </w:r>
    </w:p>
    <w:p w:rsidR="00BE1EFE" w:rsidRDefault="00BE1EFE">
      <w:pPr>
        <w:pStyle w:val="StandardWeb"/>
      </w:pPr>
      <w:r>
        <w:t>A 12 eingestuft ist A 11</w:t>
      </w:r>
    </w:p>
    <w:p w:rsidR="00BE1EFE" w:rsidRDefault="00BE1EFE">
      <w:pPr>
        <w:pStyle w:val="StandardWeb"/>
      </w:pPr>
      <w:r>
        <w:t>A 11 eingestuft ist A 10</w:t>
      </w:r>
    </w:p>
    <w:p w:rsidR="00BE1EFE" w:rsidRDefault="00BE1EFE">
      <w:pPr>
        <w:pStyle w:val="StandardWeb"/>
      </w:pPr>
      <w:r>
        <w:t>A 10 eingestuft ist A 9</w:t>
      </w:r>
    </w:p>
    <w:p w:rsidR="00BE1EFE" w:rsidRDefault="00BE1EFE">
      <w:pPr>
        <w:pStyle w:val="StandardWeb"/>
      </w:pPr>
      <w:r>
        <w:t>A 9 eingestuft ist   A 8</w:t>
      </w:r>
    </w:p>
    <w:p w:rsidR="00BE1EFE" w:rsidRDefault="00BE1EFE">
      <w:pPr>
        <w:pStyle w:val="StandardWeb"/>
      </w:pPr>
      <w:r>
        <w:t>A 8 eingestuft ist   A 7</w:t>
      </w:r>
    </w:p>
    <w:p w:rsidR="00BE1EFE" w:rsidRDefault="00BE1EFE">
      <w:pPr>
        <w:pStyle w:val="StandardWeb"/>
      </w:pPr>
    </w:p>
    <w:p w:rsidR="00BE1EFE" w:rsidRDefault="00BE1EFE">
      <w:pPr>
        <w:pStyle w:val="StandardWeb"/>
      </w:pPr>
      <w:r>
        <w:t>Diese Lehrer können nach sechsjähriger Bewährung in dieser Tätigkeit und in dieser Besoldungsgruppe um eine Besoldungsgruppe höher gruppiert werden.</w:t>
      </w:r>
    </w:p>
    <w:p w:rsidR="00BE1EFE" w:rsidRDefault="00BE1EFE">
      <w:pPr>
        <w:pStyle w:val="StandardWeb"/>
      </w:pPr>
    </w:p>
    <w:p w:rsidR="00BE1EFE" w:rsidRDefault="00BE1EFE">
      <w:pPr>
        <w:pStyle w:val="StandardWeb"/>
        <w:rPr>
          <w:rStyle w:val="kleinschrift1"/>
        </w:rPr>
      </w:pPr>
      <w:r w:rsidRPr="009C6551">
        <w:rPr>
          <w:rStyle w:val="kleinschrift1"/>
        </w:rPr>
        <w:t>Die übrigen Lehrkräfte werden wie die entsprechenden Lehrkräfte an Gymnasien eingruppiert.</w:t>
      </w:r>
    </w:p>
    <w:p w:rsidR="00BE1EFE" w:rsidRDefault="00BE1EFE">
      <w:pPr>
        <w:pStyle w:val="StandardWeb"/>
      </w:pPr>
      <w:r>
        <w:rPr>
          <w:rStyle w:val="kleinschrift1"/>
        </w:rPr>
        <w:br w:type="page"/>
      </w:r>
    </w:p>
    <w:p w:rsidR="00BE1EFE" w:rsidRPr="0068324E" w:rsidRDefault="00BE1EFE" w:rsidP="00E87479">
      <w:pPr>
        <w:pStyle w:val="h7"/>
        <w:spacing w:before="0"/>
        <w:jc w:val="left"/>
        <w:rPr>
          <w:b w:val="0"/>
        </w:rPr>
      </w:pPr>
      <w:bookmarkStart w:id="742" w:name="_Toc523926273"/>
      <w:r w:rsidRPr="0068324E">
        <w:rPr>
          <w:rStyle w:val="Fett"/>
          <w:b/>
          <w:bCs/>
        </w:rPr>
        <w:lastRenderedPageBreak/>
        <w:t>V. Anmerkungen:</w:t>
      </w:r>
      <w:bookmarkEnd w:id="742"/>
    </w:p>
    <w:p w:rsidR="00BE1EFE" w:rsidRPr="00B76821" w:rsidRDefault="00BE1EFE" w:rsidP="00B76821">
      <w:pPr>
        <w:pStyle w:val="h8"/>
        <w:keepNext w:val="0"/>
        <w:spacing w:before="0" w:after="0"/>
        <w:outlineLvl w:val="5"/>
        <w:rPr>
          <w:rStyle w:val="Hervorhebung"/>
          <w:iCs/>
          <w:sz w:val="2"/>
        </w:rPr>
      </w:pPr>
    </w:p>
    <w:p w:rsidR="00BE1EFE" w:rsidRDefault="00BE1EFE" w:rsidP="0054275E">
      <w:pPr>
        <w:pStyle w:val="StandardWeb"/>
        <w:autoSpaceDE w:val="0"/>
        <w:rPr>
          <w:i/>
          <w:iCs/>
        </w:rPr>
      </w:pPr>
      <w:r>
        <w:rPr>
          <w:rStyle w:val="Hervorhebung"/>
          <w:iCs/>
        </w:rPr>
        <w:t>1 Für die Auslegung des Begriffs „abgeschlossenes Studium an einer wissenschaftlichen Hochschule“ gilt Nr. 1. Als abgeschlossenes Studium an einer wissenschaftlichen Hochschule gilt auch ein abgeschlossenes Studium an einer ausländischen wissenschaftlichen Hochschule, das der zuständige Landesminister als gleichwertig anerkannt hat.</w:t>
      </w:r>
    </w:p>
    <w:p w:rsidR="00BE1EFE" w:rsidRDefault="00BE1EFE" w:rsidP="0054275E">
      <w:pPr>
        <w:pStyle w:val="StandardWeb"/>
        <w:autoSpaceDE w:val="0"/>
      </w:pPr>
      <w:r>
        <w:rPr>
          <w:rStyle w:val="Hervorhebung"/>
          <w:iCs/>
        </w:rPr>
        <w:t>Abweichend von Unterabsatz 1 Satz 1 gilt bei der Anwendung der Tätigkeitsmerkmale für Lehrkräfte an Volksschulen Fallgruppe 1 und für Lehrkräfte an Realschulen Fallgruppen 1 und 2 die erste Staatsprüfung für das betreffende Lehramt (Erste Lehramtsprüfung) an einer wissenschaftlichen oder einer pädagogischen Hochschule als Nachweis des abgeschlossenen Studiums an einer wissenschaftlichen Hochschule. Entsprechendes gilt für die Erste Staatsprüfung für das Lehramt an der Realschule bei der Anwendung des Tätigkeitsmerkmals für Lehrkräfte an Gymnasien Fallgruppe 2.</w:t>
      </w:r>
    </w:p>
    <w:p w:rsidR="00BE1EFE" w:rsidRDefault="00BE1EFE">
      <w:pPr>
        <w:pStyle w:val="StandardWeb"/>
      </w:pPr>
    </w:p>
    <w:p w:rsidR="00BE1EFE" w:rsidRDefault="00BE1EFE" w:rsidP="0054275E">
      <w:pPr>
        <w:pStyle w:val="StandardWeb"/>
        <w:autoSpaceDE w:val="0"/>
        <w:rPr>
          <w:i/>
          <w:iCs/>
        </w:rPr>
      </w:pPr>
      <w:r>
        <w:rPr>
          <w:rStyle w:val="Hervorhebung"/>
          <w:iCs/>
        </w:rPr>
        <w:t>Nr. 1:</w:t>
      </w:r>
    </w:p>
    <w:p w:rsidR="00BE1EFE" w:rsidRDefault="00BE1EFE" w:rsidP="0054275E">
      <w:pPr>
        <w:pStyle w:val="StandardWeb"/>
        <w:autoSpaceDE w:val="0"/>
        <w:rPr>
          <w:i/>
          <w:iCs/>
        </w:rPr>
      </w:pPr>
      <w:r>
        <w:rPr>
          <w:rStyle w:val="Hervorhebung"/>
          <w:iCs/>
        </w:rPr>
        <w:t>Wissenschaftliche Hochschulen sind Universitäten, Technische Hochschulen sowie andere Hochschulen, die nach Landesrecht als wissenschaftliche Hochschulen anerkannt sind.</w:t>
      </w:r>
    </w:p>
    <w:p w:rsidR="00BE1EFE" w:rsidRDefault="00BE1EFE" w:rsidP="0054275E">
      <w:pPr>
        <w:pStyle w:val="StandardWeb"/>
        <w:autoSpaceDE w:val="0"/>
        <w:rPr>
          <w:i/>
          <w:iCs/>
        </w:rPr>
      </w:pPr>
      <w:r>
        <w:rPr>
          <w:rStyle w:val="Hervorhebung"/>
          <w:iCs/>
        </w:rPr>
        <w:t>Abgeschlossene wissenschaftliche Hochschulbildung liegt vor, wenn das Studium mit einer Ersten Staatsprüfung oder mit einer Diplomprüfung beendet worden ist. Der Ersten Staatsprüfung oder der Diplomprüfung steht eine Promotion oder die Akademische Abschluss</w:t>
      </w:r>
      <w:r>
        <w:rPr>
          <w:rStyle w:val="Hervorhebung"/>
          <w:iCs/>
        </w:rPr>
        <w:softHyphen/>
        <w:t>prüfung (Magisterprüfung) einer Philosophischen Fakultät nur in den Fällen gleich, in denen die Ablegung einer ersten Staatsprüfung oder einer Diplomprüfung nach den einschlägigen Ausbildungsvorschriften nicht vorgesehen ist.</w:t>
      </w:r>
    </w:p>
    <w:p w:rsidR="00BE1EFE" w:rsidRPr="00D4437C" w:rsidRDefault="00BE1EFE" w:rsidP="0054275E">
      <w:pPr>
        <w:pStyle w:val="StandardWeb"/>
        <w:autoSpaceDE w:val="0"/>
        <w:rPr>
          <w:i/>
          <w:iCs/>
        </w:rPr>
      </w:pPr>
      <w:r>
        <w:rPr>
          <w:rStyle w:val="Hervorhebung"/>
          <w:iCs/>
        </w:rPr>
        <w:t>Eine abgeschlossene wissenschaftliche Hochschulbildung setzt voraus, dass die Abschlussprüfung in einem Studiengang abgelegt wird, der seinerseits mindestens das Zeugnis der Hochschulreife (allgemeine Hochschulreife oder einschlägige fachgebundene Hochschulreife) als Zugangsvoraussetzung erfordert, und für den Abschluss eine Mindeststudienzeit von mehr als sechs Semestern - ohne etwaige Praxissemester, Prüfungssemester o. ä. - vorgeschrieben ist.</w:t>
      </w:r>
    </w:p>
    <w:p w:rsidR="00BE1EFE" w:rsidRDefault="00BE1EFE">
      <w:pPr>
        <w:pStyle w:val="StandardWeb"/>
      </w:pPr>
    </w:p>
    <w:p w:rsidR="00BE1EFE" w:rsidRDefault="00BE1EFE" w:rsidP="0054275E">
      <w:pPr>
        <w:pStyle w:val="StandardWeb"/>
        <w:autoSpaceDE w:val="0"/>
        <w:rPr>
          <w:i/>
          <w:iCs/>
        </w:rPr>
      </w:pPr>
      <w:r>
        <w:rPr>
          <w:rStyle w:val="Hervorhebung"/>
          <w:iCs/>
        </w:rPr>
        <w:t xml:space="preserve">2 Soweit Tätigkeitsmerkmale einen Aufstieg (z. B. Bewährungsaufstieg, Tätigkeitsaufstieg) enthalten, gilt § 23a Abschnitt B. ABD Teil A, 1. in der bis zum 30.09.2005 geltenden Fassung entsprechend. </w:t>
      </w:r>
    </w:p>
    <w:p w:rsidR="00BE1EFE" w:rsidRDefault="00BE1EFE" w:rsidP="0054275E">
      <w:pPr>
        <w:pStyle w:val="StandardWeb"/>
        <w:autoSpaceDE w:val="0"/>
      </w:pPr>
      <w:r>
        <w:rPr>
          <w:rStyle w:val="Hervorhebung"/>
          <w:iCs/>
        </w:rPr>
        <w:t>Auf die Bewährungszeit können Zeiten einer entsprechenden Unterrichtstätigkeit im sonstigen anerkannten Schuldienst oder im kirchlichen Dienst nach Maßgabe des Satzes 1 angerechnet werden.</w:t>
      </w:r>
    </w:p>
    <w:p w:rsidR="00BE1EFE" w:rsidRDefault="00BE1EFE">
      <w:pPr>
        <w:pStyle w:val="StandardWeb"/>
      </w:pPr>
    </w:p>
    <w:p w:rsidR="00BE1EFE" w:rsidRDefault="00BE1EFE" w:rsidP="0054275E">
      <w:pPr>
        <w:pStyle w:val="StandardWeb"/>
        <w:autoSpaceDE w:val="0"/>
        <w:rPr>
          <w:rStyle w:val="Hervorhebung"/>
          <w:iCs/>
        </w:rPr>
      </w:pPr>
      <w:r>
        <w:rPr>
          <w:rStyle w:val="Hervorhebung"/>
          <w:iCs/>
        </w:rPr>
        <w:t>3 Erhalten Lehrkräfte im Beamtenverhältnis für Tätigkeiten in einer bestimmten Schulform (Schulart) Amts- oder Stellenzulagen, wird arbeitsvertraglich beschäftigten Lehrkräften, die gemäß dieser Anlage eingruppiert werden, unter den gleichen Voraussetzungen und in der gleichen Höhe eine persönliche Zulage gezahlt, es sei denn, dass die Heraushebung der Tätigkeit bei der Lehrkraft durch die Eingruppierung berücksichtigt ist. Die persönliche Zulage ist zusatzversorgungspflichtig, soweit die Stellenzulagen ruhegehaltfähig sind.</w:t>
      </w:r>
    </w:p>
    <w:p w:rsidR="00BE1EFE" w:rsidRDefault="00BE1EFE" w:rsidP="00E87479">
      <w:pPr>
        <w:pStyle w:val="StandardWeb"/>
        <w:autoSpaceDE w:val="0"/>
      </w:pPr>
      <w:r>
        <w:rPr>
          <w:rStyle w:val="Hervorhebung"/>
          <w:iCs/>
        </w:rPr>
        <w:br w:type="page"/>
      </w:r>
    </w:p>
    <w:p w:rsidR="00BE1EFE" w:rsidRPr="0068324E" w:rsidRDefault="00BE1EFE" w:rsidP="00DC3FA2">
      <w:pPr>
        <w:pStyle w:val="h7"/>
        <w:spacing w:after="0"/>
        <w:jc w:val="left"/>
        <w:rPr>
          <w:sz w:val="2"/>
          <w:szCs w:val="2"/>
        </w:rPr>
      </w:pPr>
    </w:p>
    <w:p w:rsidR="00BE1EFE" w:rsidRPr="00B76821" w:rsidRDefault="00BE1EFE" w:rsidP="00B76821">
      <w:pPr>
        <w:pStyle w:val="h8"/>
        <w:keepNext w:val="0"/>
        <w:spacing w:before="0" w:after="0"/>
        <w:outlineLvl w:val="5"/>
        <w:rPr>
          <w:sz w:val="2"/>
        </w:rPr>
      </w:pPr>
    </w:p>
    <w:p w:rsidR="00BE1EFE" w:rsidRDefault="00BE1EFE" w:rsidP="00DC3FA2">
      <w:pPr>
        <w:pStyle w:val="berschrift6"/>
        <w:spacing w:before="0"/>
      </w:pPr>
      <w:bookmarkStart w:id="743" w:name="_Toc523926274"/>
      <w:r>
        <w:t>Anlage C</w:t>
      </w:r>
      <w:bookmarkEnd w:id="743"/>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center"/>
      </w:pPr>
      <w:r>
        <w:rPr>
          <w:rStyle w:val="Fett"/>
          <w:bCs/>
        </w:rPr>
        <w:t xml:space="preserve">Bewährungsaufstieg </w:t>
      </w:r>
    </w:p>
    <w:p w:rsidR="00BE1EFE" w:rsidRDefault="00BE1EFE">
      <w:pPr>
        <w:pStyle w:val="StandardWeb"/>
      </w:pPr>
    </w:p>
    <w:p w:rsidR="00BE1EFE" w:rsidRDefault="00BE1EFE">
      <w:pPr>
        <w:pStyle w:val="StandardWeb"/>
      </w:pPr>
      <w:r>
        <w:t xml:space="preserve">Lehrkräfte gemäß Nr. 5 Absatz 3 </w:t>
      </w:r>
      <w:hyperlink r:id="rId1001" w:history="1">
        <w:r w:rsidRPr="002D1F1D">
          <w:rPr>
            <w:rStyle w:val="Hyperlink"/>
          </w:rPr>
          <w:t>Teil B 4.1.1.</w:t>
        </w:r>
      </w:hyperlink>
      <w:r>
        <w:t xml:space="preserve">, </w:t>
      </w:r>
      <w:hyperlink r:id="rId1002" w:history="1">
        <w:r w:rsidRPr="002D1F1D">
          <w:rPr>
            <w:rStyle w:val="Hyperlink"/>
          </w:rPr>
          <w:t>4.1.2.</w:t>
        </w:r>
      </w:hyperlink>
      <w:r>
        <w:t xml:space="preserve"> und </w:t>
      </w:r>
      <w:hyperlink r:id="rId1003" w:history="1">
        <w:r w:rsidRPr="002D1F1D">
          <w:rPr>
            <w:rStyle w:val="Hyperlink"/>
          </w:rPr>
          <w:t>4.1.3.</w:t>
        </w:r>
      </w:hyperlink>
      <w:r>
        <w:t xml:space="preserve">, die die Voraussetzungen für einen Bewährungsaufstieg gemäß </w:t>
      </w:r>
      <w:hyperlink r:id="rId1004" w:history="1">
        <w:r w:rsidRPr="002D1F1D">
          <w:rPr>
            <w:rStyle w:val="Hyperlink"/>
          </w:rPr>
          <w:t>Anlage A</w:t>
        </w:r>
      </w:hyperlink>
      <w:r>
        <w:t xml:space="preserve"> oder </w:t>
      </w:r>
      <w:hyperlink r:id="rId1005" w:history="1">
        <w:r w:rsidRPr="002D1F1D">
          <w:rPr>
            <w:rStyle w:val="Hyperlink"/>
          </w:rPr>
          <w:t>B</w:t>
        </w:r>
      </w:hyperlink>
      <w:r>
        <w:t xml:space="preserve"> erfüllen, sind nach Erfüllung der vorgeschriebenen Bewährungszeit höher zu gruppieren.</w:t>
      </w:r>
    </w:p>
    <w:p w:rsidR="00BE1EFE" w:rsidRDefault="00BE1EFE">
      <w:pPr>
        <w:pStyle w:val="StandardWeb"/>
      </w:pPr>
      <w:r>
        <w:t>Für die Erfüllung der Bewährungszeit gilt Folgendes:</w:t>
      </w:r>
    </w:p>
    <w:p w:rsidR="00BE1EFE" w:rsidRDefault="00BE1EFE">
      <w:pPr>
        <w:pStyle w:val="StandardWeb"/>
      </w:pPr>
    </w:p>
    <w:p w:rsidR="00BE1EFE" w:rsidRDefault="00BE1EFE">
      <w:pPr>
        <w:pStyle w:val="StandardWeb"/>
      </w:pPr>
      <w:r>
        <w:t>1. Das Erfordernis der Bewährung ist erfüllt, wenn die Lehrkraft während der vorgeschrie</w:t>
      </w:r>
      <w:r>
        <w:softHyphen/>
        <w:t>benen Bewährungszeit sich den in der ihr übertragenen Tätigkeit auftretenden Anforderungen gewachsen gezeigt hat. Das ist der Fall, wenn die dienstliche Beurteilung zum Ende der Bewährungszeit mindestens die Bewertungsstufe „Leistung, die den Anforderungen voll entspricht - VE“ ergibt. Die dienstliche Beurteilung kann eine vereinfachte Beurteilung sein.</w:t>
      </w:r>
    </w:p>
    <w:p w:rsidR="00BE1EFE" w:rsidRDefault="00BE1EFE">
      <w:pPr>
        <w:pStyle w:val="StandardWeb"/>
      </w:pPr>
    </w:p>
    <w:p w:rsidR="00BE1EFE" w:rsidRDefault="00BE1EFE">
      <w:pPr>
        <w:pStyle w:val="StandardWeb"/>
      </w:pPr>
      <w:r>
        <w:t>2. Die vorgeschriebene Bewährungszeit braucht nicht bei demselben Arbeitgeber zurückge</w:t>
      </w:r>
      <w:r>
        <w:softHyphen/>
        <w:t>legt zu sein. Sie kann auch zurückgelegt sein bei</w:t>
      </w:r>
    </w:p>
    <w:p w:rsidR="00BE1EFE" w:rsidRDefault="00BE1EFE">
      <w:pPr>
        <w:pStyle w:val="StandardWeb"/>
      </w:pPr>
      <w:r>
        <w:t>a) anderen Arbeitgebern, die vom ABD erfasst werden,</w:t>
      </w:r>
    </w:p>
    <w:p w:rsidR="00BE1EFE" w:rsidRDefault="00BE1EFE">
      <w:pPr>
        <w:pStyle w:val="StandardWeb"/>
      </w:pPr>
      <w:r>
        <w:t xml:space="preserve">b) anderen Arbeitgebern, die vom </w:t>
      </w:r>
      <w:hyperlink r:id="rId1006" w:tgtFrame="_blank" w:history="1">
        <w:r>
          <w:rPr>
            <w:rStyle w:val="Hyperlink"/>
          </w:rPr>
          <w:t>BAT/BAT-O</w:t>
        </w:r>
      </w:hyperlink>
      <w:r>
        <w:t xml:space="preserve"> erfasst worden sind,</w:t>
      </w:r>
    </w:p>
    <w:p w:rsidR="00BE1EFE" w:rsidRDefault="00BE1EFE">
      <w:pPr>
        <w:pStyle w:val="StandardWeb"/>
      </w:pPr>
      <w:r>
        <w:t>c) Körperschaften, Anstalten oder Stiftungen des öffentlichen Rechts, die ein Arbeitsvertrags</w:t>
      </w:r>
      <w:r>
        <w:softHyphen/>
        <w:t>werk wesentlich gleichen Inhalts anwenden,</w:t>
      </w:r>
    </w:p>
    <w:p w:rsidR="00BE1EFE" w:rsidRDefault="00BE1EFE">
      <w:pPr>
        <w:pStyle w:val="StandardWeb"/>
      </w:pPr>
      <w:r>
        <w:t>d) einem Arbeitgeber im Bereich der Katholischen Kirche oder einer der Kirchen oder kirch</w:t>
      </w:r>
      <w:r>
        <w:softHyphen/>
        <w:t>lichen Gemeinschaften, die Mitglied in der Arbeitsgemeinschaft christlicher Kirchen in der Bundesrepublik Deutschland (ACK) sind,</w:t>
      </w:r>
    </w:p>
    <w:p w:rsidR="00BE1EFE" w:rsidRDefault="00BE1EFE">
      <w:pPr>
        <w:pStyle w:val="StandardWeb"/>
      </w:pPr>
      <w:r>
        <w:t>e) einem Mitglied der Arbeitgeberverbände, der der Vereinigung der kommunalen Arbeitgeber</w:t>
      </w:r>
      <w:r>
        <w:softHyphen/>
        <w:t>verbände angehört.</w:t>
      </w:r>
    </w:p>
    <w:p w:rsidR="00BE1EFE" w:rsidRDefault="00BE1EFE">
      <w:pPr>
        <w:pStyle w:val="StandardWeb"/>
      </w:pPr>
    </w:p>
    <w:p w:rsidR="00BE1EFE" w:rsidRDefault="00BE1EFE">
      <w:pPr>
        <w:pStyle w:val="StandardWeb"/>
      </w:pPr>
      <w:r>
        <w:t>Maßgebend dafür, ob die in Buchstaben a bis e genannten Arbeitgeber vom ABD erfasst werden oder ein Arbeitsvertragswerk wesentlich gleichen Inhalts anwenden, ist der Einstellungstag der Lehrkraft.</w:t>
      </w:r>
    </w:p>
    <w:p w:rsidR="00BE1EFE" w:rsidRDefault="00BE1EFE">
      <w:pPr>
        <w:pStyle w:val="StandardWeb"/>
      </w:pPr>
    </w:p>
    <w:p w:rsidR="00BE1EFE" w:rsidRDefault="00BE1EFE">
      <w:pPr>
        <w:pStyle w:val="StandardWeb"/>
      </w:pPr>
      <w:r>
        <w:t>3. Die Bewährungszeit muss ununterbrochen zurückgelegt sein. Unterbrechungen von jeweils bis zu sechs Monaten sind unschädlich; unabhängig davon sind ferner unschädliche Unter</w:t>
      </w:r>
      <w:r>
        <w:softHyphen/>
        <w:t>brechungen wegen</w:t>
      </w:r>
    </w:p>
    <w:p w:rsidR="00BE1EFE" w:rsidRDefault="00BE1EFE">
      <w:pPr>
        <w:pStyle w:val="StandardWeb"/>
      </w:pPr>
      <w:r>
        <w:t xml:space="preserve">a) Arbeitsunfähigkeit im Sinne des </w:t>
      </w:r>
      <w:hyperlink r:id="rId1007" w:history="1">
        <w:r w:rsidRPr="002D1F1D">
          <w:rPr>
            <w:rStyle w:val="Hyperlink"/>
          </w:rPr>
          <w:t>§ 22 Absatz 1 Teil A, 1.</w:t>
        </w:r>
      </w:hyperlink>
      <w:r>
        <w:t xml:space="preserve">, </w:t>
      </w:r>
    </w:p>
    <w:p w:rsidR="00BE1EFE" w:rsidRDefault="00BE1EFE">
      <w:pPr>
        <w:pStyle w:val="StandardWeb"/>
      </w:pPr>
      <w:r>
        <w:t xml:space="preserve">b) der Schutzfristen und des Mutterschaftsurlaubs nach dem Mutterschutzgesetz, </w:t>
      </w:r>
    </w:p>
    <w:p w:rsidR="00BE1EFE" w:rsidRDefault="00BE1EFE">
      <w:pPr>
        <w:pStyle w:val="StandardWeb"/>
      </w:pPr>
      <w:r>
        <w:t>c) Elternzeit nach dem Bundeselterngeld- und Elternzeitgesetz und sonstiger Beurlaubung zur Kinderbetreuung oder wegen der tatsächlichen Pflege oder Betreuung eines nach ärztlichem Gutachten sonstigen pflegebedürftigen Angehörigen, mit dem die Lehrkraft in häuslicher Gemeinschaft lebt, bis zu insgesamt fünf Jahren.</w:t>
      </w:r>
    </w:p>
    <w:p w:rsidR="00BE1EFE" w:rsidRDefault="00BE1EFE">
      <w:pPr>
        <w:pStyle w:val="StandardWeb"/>
      </w:pPr>
    </w:p>
    <w:p w:rsidR="00BE1EFE" w:rsidRDefault="00BE1EFE">
      <w:pPr>
        <w:pStyle w:val="StandardWeb"/>
      </w:pPr>
      <w:r>
        <w:t>4. Die Zeiten der Unterbrechung mit Ausnahme</w:t>
      </w:r>
    </w:p>
    <w:p w:rsidR="00BE1EFE" w:rsidRDefault="00BE1EFE">
      <w:pPr>
        <w:pStyle w:val="StandardWeb"/>
      </w:pPr>
      <w:r>
        <w:t xml:space="preserve">a) eines Urlaubs nach Nr. 10 </w:t>
      </w:r>
      <w:hyperlink r:id="rId1008" w:history="1">
        <w:r w:rsidRPr="002D1F1D">
          <w:rPr>
            <w:rStyle w:val="Hyperlink"/>
          </w:rPr>
          <w:t>Teil B, 4.1.1</w:t>
        </w:r>
      </w:hyperlink>
      <w:r>
        <w:t xml:space="preserve">, </w:t>
      </w:r>
      <w:hyperlink r:id="rId1009" w:history="1">
        <w:r w:rsidRPr="002D1F1D">
          <w:rPr>
            <w:rStyle w:val="Hyperlink"/>
          </w:rPr>
          <w:t>4.1.2</w:t>
        </w:r>
      </w:hyperlink>
      <w:r>
        <w:t xml:space="preserve"> und </w:t>
      </w:r>
      <w:hyperlink r:id="rId1010" w:history="1">
        <w:r w:rsidRPr="002D1F1D">
          <w:rPr>
            <w:rStyle w:val="Hyperlink"/>
          </w:rPr>
          <w:t>4.1.3</w:t>
        </w:r>
      </w:hyperlink>
      <w:r>
        <w:t xml:space="preserve"> und nach dem </w:t>
      </w:r>
      <w:hyperlink r:id="rId1011" w:tgtFrame="_blank" w:history="1">
        <w:r>
          <w:rPr>
            <w:rStyle w:val="Hyperlink"/>
          </w:rPr>
          <w:t>SGB IX</w:t>
        </w:r>
      </w:hyperlink>
      <w:r>
        <w:t xml:space="preserve">, </w:t>
      </w:r>
    </w:p>
    <w:p w:rsidR="00BE1EFE" w:rsidRDefault="00BE1EFE">
      <w:pPr>
        <w:pStyle w:val="StandardWeb"/>
      </w:pPr>
      <w:r>
        <w:t xml:space="preserve">b) einer Arbeitsbefreiung nach </w:t>
      </w:r>
      <w:hyperlink r:id="rId1012" w:history="1">
        <w:r w:rsidRPr="002D1F1D">
          <w:rPr>
            <w:rStyle w:val="Hyperlink"/>
          </w:rPr>
          <w:t>§ 29 Teil A, 1</w:t>
        </w:r>
      </w:hyperlink>
      <w:r>
        <w:t xml:space="preserve">, </w:t>
      </w:r>
    </w:p>
    <w:p w:rsidR="00BE1EFE" w:rsidRDefault="00BE1EFE">
      <w:pPr>
        <w:pStyle w:val="StandardWeb"/>
      </w:pPr>
      <w:r>
        <w:t xml:space="preserve">c) einer Arbeitsunfähigkeit im Sinne des </w:t>
      </w:r>
      <w:hyperlink r:id="rId1013" w:history="1">
        <w:r w:rsidRPr="002D1F1D">
          <w:rPr>
            <w:rStyle w:val="Hyperlink"/>
          </w:rPr>
          <w:t>§ 22 Absatz 1 Teil A, 1.</w:t>
        </w:r>
      </w:hyperlink>
      <w:r>
        <w:t xml:space="preserve"> bzw. Nr. 8 </w:t>
      </w:r>
      <w:hyperlink r:id="rId1014" w:history="1">
        <w:r w:rsidRPr="002D1F1D">
          <w:rPr>
            <w:rStyle w:val="Hyperlink"/>
          </w:rPr>
          <w:t>Teil B, 4.1.1.</w:t>
        </w:r>
      </w:hyperlink>
      <w:r>
        <w:t xml:space="preserve">, </w:t>
      </w:r>
      <w:hyperlink r:id="rId1015" w:history="1">
        <w:r w:rsidRPr="002D1F1D">
          <w:rPr>
            <w:rStyle w:val="Hyperlink"/>
          </w:rPr>
          <w:t>4.1.2.</w:t>
        </w:r>
      </w:hyperlink>
      <w:r>
        <w:t xml:space="preserve"> und </w:t>
      </w:r>
      <w:hyperlink r:id="rId1016" w:history="1">
        <w:r w:rsidRPr="002D1F1D">
          <w:rPr>
            <w:rStyle w:val="Hyperlink"/>
          </w:rPr>
          <w:t>4.1.3.</w:t>
        </w:r>
      </w:hyperlink>
      <w:r>
        <w:t xml:space="preserve"> in Verbindung mit § 71 Absatz 1 Teil A, 1. in der bis 30.09.2005 geltenden Fassung bis zu 26 Wochen, in den Fällen der Nr. 8 </w:t>
      </w:r>
      <w:hyperlink r:id="rId1017" w:history="1">
        <w:r w:rsidRPr="002D1F1D">
          <w:rPr>
            <w:rStyle w:val="Hyperlink"/>
          </w:rPr>
          <w:t>Teil B, 4.1.1.</w:t>
        </w:r>
      </w:hyperlink>
      <w:r>
        <w:t xml:space="preserve">, </w:t>
      </w:r>
      <w:hyperlink r:id="rId1018" w:history="1">
        <w:r w:rsidRPr="002D1F1D">
          <w:rPr>
            <w:rStyle w:val="Hyperlink"/>
          </w:rPr>
          <w:t>4.1.2.</w:t>
        </w:r>
      </w:hyperlink>
      <w:r>
        <w:t xml:space="preserve"> und </w:t>
      </w:r>
      <w:hyperlink r:id="rId1019" w:history="1">
        <w:r w:rsidRPr="002D1F1D">
          <w:rPr>
            <w:rStyle w:val="Hyperlink"/>
          </w:rPr>
          <w:t>4.1.3.</w:t>
        </w:r>
      </w:hyperlink>
      <w:r>
        <w:t xml:space="preserve"> in Verbin</w:t>
      </w:r>
      <w:r>
        <w:softHyphen/>
        <w:t xml:space="preserve">dung mit § 71 Absatz 2 Unterabsatz 3 Teil A, 1. in der bis 30.09.2005 geltenden Fassung bis zu 28 Wochen, </w:t>
      </w:r>
    </w:p>
    <w:p w:rsidR="00BE1EFE" w:rsidRDefault="00BE1EFE">
      <w:pPr>
        <w:pStyle w:val="StandardWeb"/>
      </w:pPr>
      <w:r>
        <w:t xml:space="preserve">d) der Schutzfristen nach dem </w:t>
      </w:r>
      <w:hyperlink r:id="rId1020" w:anchor="BJNR122810017BJNE000700000" w:history="1">
        <w:r w:rsidRPr="00022355">
          <w:rPr>
            <w:rStyle w:val="Hyperlink"/>
          </w:rPr>
          <w:t>Mutterschutzgesetz</w:t>
        </w:r>
      </w:hyperlink>
    </w:p>
    <w:p w:rsidR="00BE1EFE" w:rsidRDefault="00BE1EFE">
      <w:pPr>
        <w:pStyle w:val="StandardWeb"/>
      </w:pPr>
      <w:r>
        <w:t>werden auf die Bewährungszeit jedoch nicht angerechnet.</w:t>
      </w:r>
    </w:p>
    <w:p w:rsidR="00BE1EFE" w:rsidRDefault="00BE1EFE">
      <w:pPr>
        <w:pStyle w:val="StandardWeb"/>
      </w:pPr>
    </w:p>
    <w:p w:rsidR="00BE1EFE" w:rsidRDefault="00BE1EFE">
      <w:pPr>
        <w:pStyle w:val="StandardWeb"/>
      </w:pPr>
      <w:r>
        <w:lastRenderedPageBreak/>
        <w:t>5. Bewährungszeiten, in denen die Lehrkraft mit einer kürzeren als der regelmäßigen wöchentlichen Unterrichtspflichtzeit einer entsprechenden vollzeitbeschäftigten Lehrkraft beschäftigt war, werden voll angerechnet.</w:t>
      </w:r>
      <w:r>
        <w:rPr>
          <w:vertAlign w:val="superscript"/>
        </w:rPr>
        <w:t>1</w:t>
      </w:r>
      <w:r>
        <w:t xml:space="preserve"> Zeiten im Sinne des </w:t>
      </w:r>
      <w:hyperlink r:id="rId1021" w:tgtFrame="_blank" w:history="1">
        <w:r>
          <w:rPr>
            <w:rStyle w:val="Hyperlink"/>
          </w:rPr>
          <w:t>§ 8 Absatz 1 Nr. 2 SGB IV</w:t>
        </w:r>
      </w:hyperlink>
      <w:r>
        <w:t xml:space="preserve"> – ohne Berücksichtigung des </w:t>
      </w:r>
      <w:hyperlink r:id="rId1022" w:tgtFrame="_blank" w:history="1">
        <w:r>
          <w:rPr>
            <w:rStyle w:val="Hyperlink"/>
          </w:rPr>
          <w:t>§ 8 Absatz 2 Satz 1 SGB IV</w:t>
        </w:r>
      </w:hyperlink>
      <w:r>
        <w:t xml:space="preserve"> – bleiben unberücksichtigt.</w:t>
      </w:r>
    </w:p>
    <w:p w:rsidR="00BE1EFE" w:rsidRDefault="00BE1EFE">
      <w:pPr>
        <w:pStyle w:val="StandardWeb"/>
      </w:pPr>
      <w:r>
        <w:rPr>
          <w:sz w:val="12"/>
          <w:szCs w:val="12"/>
          <w:vertAlign w:val="superscript"/>
        </w:rPr>
        <w:t>1</w:t>
      </w:r>
      <w:r w:rsidRPr="009C6551">
        <w:rPr>
          <w:rStyle w:val="kleinschrift1"/>
        </w:rPr>
        <w:t xml:space="preserve">Übergangsvorschrift: Zeiten im Sinne des </w:t>
      </w:r>
      <w:hyperlink r:id="rId1023" w:tgtFrame="_blank" w:history="1">
        <w:r>
          <w:rPr>
            <w:rStyle w:val="Hyperlink"/>
            <w:sz w:val="12"/>
            <w:szCs w:val="12"/>
          </w:rPr>
          <w:t>§ 8 Absatz 1 Nr. 1 SGB IV</w:t>
        </w:r>
      </w:hyperlink>
      <w:r w:rsidRPr="009C6551">
        <w:rPr>
          <w:rStyle w:val="kleinschrift1"/>
        </w:rPr>
        <w:t xml:space="preserve"> </w:t>
      </w:r>
      <w:r>
        <w:rPr>
          <w:rStyle w:val="kleinschrift1"/>
        </w:rPr>
        <w:t>–</w:t>
      </w:r>
      <w:r w:rsidRPr="009C6551">
        <w:rPr>
          <w:rStyle w:val="kleinschrift1"/>
        </w:rPr>
        <w:t xml:space="preserve"> ohne Berücksichtigung des </w:t>
      </w:r>
      <w:hyperlink r:id="rId1024" w:tgtFrame="_blank" w:history="1">
        <w:r>
          <w:rPr>
            <w:rStyle w:val="Hyperlink"/>
            <w:sz w:val="12"/>
            <w:szCs w:val="12"/>
          </w:rPr>
          <w:t>§ 8 Absatz 2 Satz 1 SGB IV</w:t>
        </w:r>
      </w:hyperlink>
      <w:r w:rsidRPr="009C6551">
        <w:rPr>
          <w:rStyle w:val="kleinschrift1"/>
        </w:rPr>
        <w:t xml:space="preserve"> </w:t>
      </w:r>
      <w:r>
        <w:rPr>
          <w:rStyle w:val="kleinschrift1"/>
        </w:rPr>
        <w:t>–</w:t>
      </w:r>
      <w:r w:rsidRPr="009C6551">
        <w:rPr>
          <w:rStyle w:val="kleinschrift1"/>
        </w:rPr>
        <w:t xml:space="preserve"> werden bei der Berechnung der Bewährungszeit nur berücksichtigt, soweit sie nach dem 31. Dezember 2000 zurückgelegt worden sind.</w:t>
      </w:r>
    </w:p>
    <w:p w:rsidR="00BE1EFE" w:rsidRDefault="00BE1EFE">
      <w:pPr>
        <w:pStyle w:val="StandardWeb"/>
      </w:pPr>
    </w:p>
    <w:p w:rsidR="00BE1EFE" w:rsidRDefault="00BE1EFE" w:rsidP="009920B7">
      <w:pPr>
        <w:pStyle w:val="berschrift6"/>
      </w:pPr>
      <w:r>
        <w:br w:type="page"/>
      </w:r>
      <w:bookmarkStart w:id="744" w:name="_Toc453677886"/>
      <w:bookmarkStart w:id="745" w:name="_Toc523926275"/>
      <w:r>
        <w:lastRenderedPageBreak/>
        <w:t>Anlage D: Dienstliche Beurteilung und Leistungsfeststellung der Lehrkräfte, Schulleiterinnen und Schulleiter an katholischen Schulen</w:t>
      </w:r>
      <w:bookmarkEnd w:id="744"/>
      <w:bookmarkEnd w:id="745"/>
    </w:p>
    <w:p w:rsidR="00BE1EFE" w:rsidRDefault="00BE1EFE" w:rsidP="009920B7">
      <w:pPr>
        <w:pStyle w:val="h7"/>
        <w:jc w:val="both"/>
      </w:pPr>
      <w:bookmarkStart w:id="746" w:name="_Toc453677887"/>
      <w:bookmarkStart w:id="747" w:name="_Toc523926276"/>
      <w:r>
        <w:t>Abschnitt A: Dienstliche Beurteilung und Leistungsfeststellung der Lehrkräfte an katholischen Schulen</w:t>
      </w:r>
      <w:bookmarkEnd w:id="746"/>
      <w:bookmarkEnd w:id="747"/>
    </w:p>
    <w:p w:rsidR="00BE1EFE" w:rsidRDefault="00BE1EFE" w:rsidP="009920B7">
      <w:pPr>
        <w:pStyle w:val="h8"/>
      </w:pPr>
      <w:bookmarkStart w:id="748" w:name="_Toc453677888"/>
      <w:bookmarkStart w:id="749" w:name="_Toc523926277"/>
      <w:r>
        <w:t>1. Allgemeines</w:t>
      </w:r>
      <w:bookmarkEnd w:id="748"/>
      <w:bookmarkEnd w:id="749"/>
    </w:p>
    <w:p w:rsidR="00BE1EFE" w:rsidRPr="00B76821" w:rsidRDefault="00BE1EFE" w:rsidP="00B76821">
      <w:pPr>
        <w:pStyle w:val="h9"/>
        <w:keepNext w:val="0"/>
        <w:spacing w:before="0" w:after="0"/>
        <w:outlineLvl w:val="5"/>
        <w:rPr>
          <w:rStyle w:val="Fett"/>
          <w:bCs/>
          <w:sz w:val="2"/>
        </w:rPr>
      </w:pPr>
    </w:p>
    <w:p w:rsidR="00BE1EFE" w:rsidRDefault="00BE1EFE" w:rsidP="009920B7">
      <w:pPr>
        <w:pStyle w:val="h9"/>
        <w:spacing w:before="0" w:after="0"/>
        <w:outlineLvl w:val="5"/>
        <w:rPr>
          <w:rStyle w:val="Fett"/>
          <w:bCs/>
          <w:sz w:val="2"/>
        </w:rPr>
      </w:pPr>
    </w:p>
    <w:p w:rsidR="00BE1EFE" w:rsidRDefault="00BE1EFE" w:rsidP="009920B7">
      <w:pPr>
        <w:pStyle w:val="h9"/>
        <w:spacing w:before="0" w:after="0"/>
        <w:outlineLvl w:val="5"/>
        <w:rPr>
          <w:rStyle w:val="Fett"/>
          <w:bCs/>
          <w:sz w:val="2"/>
        </w:rPr>
      </w:pPr>
    </w:p>
    <w:p w:rsidR="00BE1EFE" w:rsidRDefault="00BE1EFE" w:rsidP="00BA634E">
      <w:pPr>
        <w:pStyle w:val="StandardWeb"/>
        <w:numPr>
          <w:ilvl w:val="1"/>
          <w:numId w:val="11"/>
        </w:numPr>
        <w:autoSpaceDE w:val="0"/>
      </w:pPr>
      <w:r>
        <w:rPr>
          <w:rStyle w:val="Fett"/>
          <w:bCs/>
        </w:rPr>
        <w:t>Dienstliche Beurteilungen erfüllen im Wesentlichen folgende Zwecke:</w:t>
      </w:r>
    </w:p>
    <w:p w:rsidR="00BE1EFE" w:rsidRPr="009920B7" w:rsidRDefault="00BE1EFE" w:rsidP="009920B7">
      <w:pPr>
        <w:pStyle w:val="StandardWeb"/>
      </w:pPr>
    </w:p>
    <w:p w:rsidR="00BE1EFE" w:rsidRDefault="00BE1EFE">
      <w:pPr>
        <w:pStyle w:val="StandardWeb"/>
        <w:spacing w:after="240"/>
      </w:pPr>
      <w:r>
        <w:t>1.1.1 Dienstliche Beurteilungen haben zum Ersten die Aufgabe, der einzelnen Lehrkraft zu zeigen, welches Leistungs-, Befähigungs- und Eignungsbild die Vorgesetzten innerhalb des Beurteilungszeitraums von ihr gewonnen haben. Die dienstliche Beurteilung ist somit ein Instrument der Personalführung und der Qualitätssicherung des Unterrichts.</w:t>
      </w:r>
    </w:p>
    <w:p w:rsidR="00BE1EFE" w:rsidRDefault="00BE1EFE" w:rsidP="00DC3FA2">
      <w:pPr>
        <w:pStyle w:val="StandardWeb"/>
      </w:pPr>
      <w:r>
        <w:t>1.1.2 Zum Zweiten soll durch die dienstlichen Beurteilungen regelmäßig ein vergleichender Überblick über das Leistungspotenzial der Lehrkräfte einschließlich ihres Beitrags zum kirch</w:t>
      </w:r>
      <w:r>
        <w:softHyphen/>
        <w:t>lichen Profil der Schule ermöglicht werden. Die dienstliche Beurteilung ist somit ein unentbehrliches Instrument der Personalplanung, das eine wesentliche Grundlage der Auswahlentscheidungen über die dienstliche Verwendung und das berufliche Fortkommen der Lehrkräfte unter Verwirklichung des im Grundgesetz und in der Bayerischen Verfassung niedergelegten Leistungsgrundsatzes darstellt.</w:t>
      </w:r>
    </w:p>
    <w:p w:rsidR="00BE1EFE" w:rsidRDefault="00BE1EFE" w:rsidP="00DC3FA2">
      <w:pPr>
        <w:pStyle w:val="StandardWeb"/>
      </w:pPr>
    </w:p>
    <w:p w:rsidR="00BE1EFE" w:rsidRDefault="00BE1EFE">
      <w:pPr>
        <w:pStyle w:val="StandardWeb"/>
        <w:spacing w:after="240"/>
      </w:pPr>
      <w:r>
        <w:t xml:space="preserve">1.1.3 Die dienstliche Beurteilung ist zum Dritten eine maßgebliche Grundlage für Entscheidungen über Leistungsfeststellungen entsprechend </w:t>
      </w:r>
      <w:hyperlink r:id="rId1025" w:history="1">
        <w:r w:rsidRPr="00022355">
          <w:rPr>
            <w:rStyle w:val="Hyperlink"/>
          </w:rPr>
          <w:t>Art. 30 Abs. 3 Sätze 1 und 3</w:t>
        </w:r>
      </w:hyperlink>
      <w:r>
        <w:t xml:space="preserve"> und </w:t>
      </w:r>
      <w:hyperlink r:id="rId1026" w:history="1">
        <w:r w:rsidRPr="00022355">
          <w:rPr>
            <w:rStyle w:val="Hyperlink"/>
          </w:rPr>
          <w:t>Art. 66 Abs. 2 des Bayerischen Besoldungsgesetzes (BayBesG)</w:t>
        </w:r>
      </w:hyperlink>
      <w:r>
        <w:t>.</w:t>
      </w:r>
    </w:p>
    <w:p w:rsidR="00BE1EFE" w:rsidRDefault="00BE1EFE" w:rsidP="0054275E">
      <w:pPr>
        <w:pStyle w:val="StandardWeb"/>
        <w:autoSpaceDE w:val="0"/>
      </w:pPr>
      <w:r>
        <w:rPr>
          <w:rStyle w:val="Fett"/>
          <w:bCs/>
        </w:rPr>
        <w:t>1.2 Grundsätze der Beurteilung</w:t>
      </w:r>
    </w:p>
    <w:p w:rsidR="00BE1EFE" w:rsidRDefault="00BE1EFE">
      <w:pPr>
        <w:pStyle w:val="StandardWeb"/>
      </w:pPr>
    </w:p>
    <w:p w:rsidR="00BE1EFE" w:rsidRDefault="00BE1EFE">
      <w:pPr>
        <w:pStyle w:val="StandardWeb"/>
      </w:pPr>
      <w:r>
        <w:t>1.2.1 Beurteilen heißt, Beobachtetes unter bestimmten Gesichtspunkten zu bewerten. Ein fundiertes Urteil über eine Lehrkraft kann nur aufgrund mehrfacher, sich über den gesamten Beurteilungszeitraum erstreckender Beobachtungen abgegeben werden. Die Einzelbeobach</w:t>
      </w:r>
      <w:r>
        <w:softHyphen/>
        <w:t>tungen müssen jeweils nach ihrer Bedeutung eingeordnet und gewichtet werden.</w:t>
      </w:r>
    </w:p>
    <w:p w:rsidR="00BE1EFE" w:rsidRDefault="00BE1EFE">
      <w:pPr>
        <w:pStyle w:val="StandardWeb"/>
      </w:pPr>
    </w:p>
    <w:p w:rsidR="00F525B2" w:rsidRDefault="00BE1EFE">
      <w:pPr>
        <w:pStyle w:val="StandardWeb"/>
      </w:pPr>
      <w:r>
        <w:t>1.2.2 Dienstliche Beurteilungen erfüllen ihren Zweck nur, wenn sie nach objektiven Gesichtspunkten, d. h. nach den Geboten der Gleichmäßigkeit, Gerechtigkeit und Sachlich</w:t>
      </w:r>
      <w:r>
        <w:softHyphen/>
        <w:t>keit, erstellt werden. Dazu gehört auch eine Vergleichbarkeit der Beurteilungsergebnisse auf Ebene der bayerischen Diözesen. Die Beurteilungen müssen ein möglichst zutreffendes, umfassendes und ausgewogenes Bild von den Leistungen und Fähigkeiten der Lehrkräfte geben. Dementsprechend müssen in den Beurteilungen sowohl Stärken als auch Schwächen, soweit diese für die dienstliche Verwendbarkeit von Bedeutung sind oder sein können, zum Ausdruck kommen. Dabei ist zu vermeiden, dass erstmals zum Ende des Beurteilungszeit</w:t>
      </w:r>
      <w:r>
        <w:softHyphen/>
        <w:t>raums Mängel angesprochen werden. Sie sind gegebenenfalls rechtzeitig anzusprechen und Möglichkeiten zur Abhilfe aufzuzeigen, damit die Mängel abgestellt werden können. Das diesbezüglich Veranlasste ist zu dokumentieren.</w:t>
      </w:r>
    </w:p>
    <w:p w:rsidR="00BE1EFE" w:rsidRDefault="00F525B2">
      <w:pPr>
        <w:pStyle w:val="StandardWeb"/>
      </w:pPr>
      <w:r>
        <w:br w:type="page"/>
      </w:r>
    </w:p>
    <w:p w:rsidR="00BE1EFE" w:rsidRDefault="00BE1EFE" w:rsidP="00F525B2">
      <w:pPr>
        <w:pStyle w:val="h8"/>
        <w:spacing w:before="0"/>
      </w:pPr>
      <w:bookmarkStart w:id="750" w:name="_Toc523926278"/>
      <w:r>
        <w:lastRenderedPageBreak/>
        <w:t>2. Inhalt der Beurteilungen, Beurteilungsmaßstab und Bewertung</w:t>
      </w:r>
      <w:bookmarkEnd w:id="750"/>
    </w:p>
    <w:p w:rsidR="00BE1EFE" w:rsidRPr="00B76821" w:rsidRDefault="00BE1EFE" w:rsidP="00B76821">
      <w:pPr>
        <w:pStyle w:val="h9"/>
        <w:keepNext w:val="0"/>
        <w:spacing w:before="0" w:after="0"/>
        <w:outlineLvl w:val="5"/>
        <w:rPr>
          <w:sz w:val="2"/>
        </w:rPr>
      </w:pPr>
    </w:p>
    <w:p w:rsidR="00BE1EFE" w:rsidRDefault="00BE1EFE">
      <w:pPr>
        <w:pStyle w:val="StandardWeb"/>
        <w:rPr>
          <w:b/>
          <w:bCs/>
        </w:rPr>
      </w:pPr>
      <w:r>
        <w:t>Dienstliche Beurteilungen sind die periodische Beurteilung, die Zwischenbeurteilung und die Anlassbeurteilung, bei Beamtinnen und Beamten des Katholischen Schulwerks auch die Einschätzung während der Probezeit und die Probezeitbeurteilung (</w:t>
      </w:r>
      <w:hyperlink r:id="rId1027" w:history="1">
        <w:r w:rsidRPr="00022355">
          <w:rPr>
            <w:rStyle w:val="Hyperlink"/>
          </w:rPr>
          <w:t>Art. 54 Abs. 1 LlbG</w:t>
        </w:r>
      </w:hyperlink>
      <w:r>
        <w:t xml:space="preserve"> entsprechend). Im Einzelnen wird hierzu Folgendes bestimmt:</w:t>
      </w:r>
    </w:p>
    <w:p w:rsidR="00BE1EFE" w:rsidRDefault="00BE1EFE">
      <w:pPr>
        <w:pStyle w:val="StandardWeb"/>
        <w:rPr>
          <w:b/>
          <w:bCs/>
        </w:rPr>
      </w:pPr>
    </w:p>
    <w:p w:rsidR="00BE1EFE" w:rsidRDefault="00BE1EFE" w:rsidP="0054275E">
      <w:pPr>
        <w:pStyle w:val="StandardWeb"/>
        <w:autoSpaceDE w:val="0"/>
      </w:pPr>
      <w:r>
        <w:rPr>
          <w:rStyle w:val="Fett"/>
          <w:bCs/>
        </w:rPr>
        <w:t>2.1 Aufgabenbeschreibung</w:t>
      </w:r>
    </w:p>
    <w:p w:rsidR="00BE1EFE" w:rsidRDefault="00BE1EFE">
      <w:pPr>
        <w:pStyle w:val="StandardWeb"/>
      </w:pPr>
    </w:p>
    <w:p w:rsidR="00BE1EFE" w:rsidRDefault="00BE1EFE">
      <w:pPr>
        <w:pStyle w:val="StandardWeb"/>
        <w:rPr>
          <w:b/>
          <w:bCs/>
        </w:rPr>
      </w:pPr>
      <w:r>
        <w:t>Der dienstlichen Beurteilung ist eine Beschreibung der dienstlichen Aufgaben, die die Lehrkraft im Beurteilungszeitraum wahrgenommen hat, voran zustellen (</w:t>
      </w:r>
      <w:hyperlink r:id="rId1028" w:history="1">
        <w:r w:rsidRPr="00022355">
          <w:rPr>
            <w:rStyle w:val="Hyperlink"/>
          </w:rPr>
          <w:t>Art. 58 Abs. 1 LlbG</w:t>
        </w:r>
      </w:hyperlink>
      <w:r>
        <w:t xml:space="preserve"> entsprechend). Sie soll erkennen lassen, in welchen Jahrgangsstufen die Lehrkraft überwie</w:t>
      </w:r>
      <w:r>
        <w:softHyphen/>
        <w:t>gend eingesetzt war und welche Funktionen sowie dem kirchlichen Profil zuzuordnenden und anderen besonderen dienstlichen Aufgaben ihr gegebenenfalls übertragen waren. Bei Teilzeitbeschäftigung sind deren zeitlicher Umfang und deren Dauer anzugeben. Die Beschreibung ist auf das Wesentliche zu beschränken.</w:t>
      </w:r>
    </w:p>
    <w:p w:rsidR="00BE1EFE" w:rsidRDefault="00BE1EFE">
      <w:pPr>
        <w:pStyle w:val="StandardWeb"/>
        <w:rPr>
          <w:b/>
          <w:bCs/>
        </w:rPr>
      </w:pPr>
    </w:p>
    <w:p w:rsidR="00BE1EFE" w:rsidRDefault="00BE1EFE" w:rsidP="0054275E">
      <w:pPr>
        <w:pStyle w:val="StandardWeb"/>
        <w:autoSpaceDE w:val="0"/>
      </w:pPr>
      <w:r>
        <w:rPr>
          <w:rStyle w:val="Fett"/>
          <w:bCs/>
        </w:rPr>
        <w:t>2.2 Beurteilungsmerkmale</w:t>
      </w:r>
    </w:p>
    <w:p w:rsidR="00BE1EFE" w:rsidRDefault="00BE1EFE">
      <w:pPr>
        <w:pStyle w:val="StandardWeb"/>
      </w:pPr>
    </w:p>
    <w:p w:rsidR="00BE1EFE" w:rsidRDefault="00BE1EFE">
      <w:pPr>
        <w:pStyle w:val="StandardWeb"/>
        <w:rPr>
          <w:b/>
          <w:bCs/>
        </w:rPr>
      </w:pPr>
      <w:r>
        <w:t xml:space="preserve">Die dienstliche Beurteilung hat sich entsprechend </w:t>
      </w:r>
      <w:hyperlink r:id="rId1029" w:history="1">
        <w:r w:rsidRPr="00022355">
          <w:rPr>
            <w:rStyle w:val="Hyperlink"/>
          </w:rPr>
          <w:t>Art. 58 Abs. 2 LlbG</w:t>
        </w:r>
      </w:hyperlink>
      <w:r>
        <w:t xml:space="preserve"> auf die Beurteilungs</w:t>
      </w:r>
      <w:r>
        <w:softHyphen/>
        <w:t>merkmale der fachlichen Leistung sowie der Eignung und Befähigung der Lehrkraft zu erstrecken. Die Einzelmerkmale, die der Erfassung von Leistung, Eignung und Befähigung dienen und auf die jeweils einzugehen ist, werden im Folgenden aufgeführt. Ergänzt werden die staatlichen Beurteilungsmerkmale durch Leistungsbeschreibungen und -anforderungen, wie sie für katholische Schulen maßgeblich und z. B. in den „Qualitätskriterien für Katholische Schulen“ (2009) grundgelegt sind. Die Erläuterungen der einzelnen Merkmale sind nicht abschließend; die Beurteilenden können gegebenenfalls auf weitere Gesichtspunkte eingehen. Zu bedenken ist, dass die der Erfassung der Beurteilungsmerkmale dienenden Gesichtspunkte nicht streng voneinander getrennt, sondern eng miteinander verknüpft sind und sich teilweise überschneiden.</w:t>
      </w:r>
    </w:p>
    <w:p w:rsidR="00BE1EFE" w:rsidRDefault="00BE1EFE">
      <w:pPr>
        <w:pStyle w:val="StandardWeb"/>
        <w:rPr>
          <w:b/>
          <w:bCs/>
        </w:rPr>
      </w:pPr>
    </w:p>
    <w:p w:rsidR="00BE1EFE" w:rsidRDefault="00BE1EFE" w:rsidP="0054275E">
      <w:pPr>
        <w:pStyle w:val="StandardWeb"/>
        <w:autoSpaceDE w:val="0"/>
      </w:pPr>
      <w:r>
        <w:rPr>
          <w:rStyle w:val="Fett"/>
          <w:bCs/>
        </w:rPr>
        <w:t>2.2.1 Beurteilung der fachlichen Leistung</w:t>
      </w:r>
    </w:p>
    <w:p w:rsidR="00BE1EFE" w:rsidRDefault="00BE1EFE">
      <w:pPr>
        <w:pStyle w:val="StandardWeb"/>
      </w:pPr>
    </w:p>
    <w:p w:rsidR="00BE1EFE" w:rsidRDefault="00BE1EFE" w:rsidP="0054275E">
      <w:pPr>
        <w:pStyle w:val="StandardWeb"/>
        <w:autoSpaceDE w:val="0"/>
      </w:pPr>
      <w:r>
        <w:rPr>
          <w:rStyle w:val="Hervorhebung"/>
          <w:iCs/>
        </w:rPr>
        <w:t>1. Unterrichtsplanung und Unterrichtsgestaltung</w:t>
      </w:r>
    </w:p>
    <w:p w:rsidR="00BE1EFE" w:rsidRDefault="00BE1EFE">
      <w:pPr>
        <w:pStyle w:val="StandardWeb"/>
      </w:pPr>
    </w:p>
    <w:p w:rsidR="00BE1EFE" w:rsidRDefault="00BE1EFE">
      <w:pPr>
        <w:pStyle w:val="StandardWeb"/>
      </w:pPr>
      <w:r>
        <w:t>Bei der Beurteilung der Unterrichtsqualität sind folgende Kriterien entscheidend:</w:t>
      </w:r>
    </w:p>
    <w:p w:rsidR="00BE1EFE" w:rsidRDefault="00BE1EFE">
      <w:pPr>
        <w:pStyle w:val="StandardWeb"/>
      </w:pPr>
    </w:p>
    <w:p w:rsidR="00BE1EFE" w:rsidRDefault="00BE1EFE">
      <w:pPr>
        <w:pStyle w:val="StandardWeb"/>
      </w:pPr>
      <w:r>
        <w:t>– die Planung des Schuljahres durch eine sinnvolle Verteilung der Lehrplaninhalte,</w:t>
      </w:r>
    </w:p>
    <w:p w:rsidR="00BE1EFE" w:rsidRDefault="00BE1EFE">
      <w:pPr>
        <w:pStyle w:val="StandardWeb"/>
      </w:pPr>
      <w:r>
        <w:t>– die Umsetzung schuleigener Curricula oder Bildungsstandards sowie die Einbeziehung der Schwerpunkte des kirchlichen Profils,</w:t>
      </w:r>
    </w:p>
    <w:p w:rsidR="00BE1EFE" w:rsidRDefault="00BE1EFE">
      <w:pPr>
        <w:pStyle w:val="StandardWeb"/>
      </w:pPr>
      <w:r>
        <w:t>– die Vorbereitung des Unterrichts, die neben Lehrplänen und kirchlichem Profil das individuelle Begabungspotenzial und Leistungsvermögen der Schülerinnen und Schüler sowie unterschiedliche Dimensionen des Wissens und Könnens berücksichtigt,</w:t>
      </w:r>
    </w:p>
    <w:p w:rsidR="00BE1EFE" w:rsidRDefault="00BE1EFE">
      <w:pPr>
        <w:pStyle w:val="StandardWeb"/>
      </w:pPr>
      <w:r>
        <w:t>– die Evaluation des eigenen Unterrichts unter Einbeziehung eigener differenzierter Beobachtungen sowie der Rückmeldungen der Schülerinnen und Schüler, der Eltern und Kolleginnen und Kollegen,</w:t>
      </w:r>
    </w:p>
    <w:p w:rsidR="00BE1EFE" w:rsidRDefault="00BE1EFE">
      <w:pPr>
        <w:pStyle w:val="StandardWeb"/>
      </w:pPr>
      <w:r>
        <w:t>– die Erschließung der Lerninhalte und das Erreichen der Lernziele,</w:t>
      </w:r>
    </w:p>
    <w:p w:rsidR="00BE1EFE" w:rsidRDefault="00BE1EFE">
      <w:pPr>
        <w:pStyle w:val="StandardWeb"/>
      </w:pPr>
      <w:r>
        <w:t>– die Entwicklung von Fach-, Sozial- und Methodenkompetenzen,</w:t>
      </w:r>
    </w:p>
    <w:p w:rsidR="00BE1EFE" w:rsidRDefault="00BE1EFE">
      <w:pPr>
        <w:pStyle w:val="StandardWeb"/>
      </w:pPr>
      <w:r>
        <w:lastRenderedPageBreak/>
        <w:t>– die Durchführung wertorientierten Unterrichts, der die christliche Sicht auf die Inhalte herausstellt und die Schülerinnen und Schüler zur Entwicklung eigener (religiöser) Werthaltungen einlädt (s. Qualitätskriterien für katholische Schulen [2009] 2.1.2),</w:t>
      </w:r>
    </w:p>
    <w:p w:rsidR="00BE1EFE" w:rsidRDefault="00BE1EFE">
      <w:pPr>
        <w:pStyle w:val="StandardWeb"/>
      </w:pPr>
      <w:r>
        <w:t>– die Beachtung der fachspezifischen Sicherheitsbestimmungen,</w:t>
      </w:r>
    </w:p>
    <w:p w:rsidR="00BE1EFE" w:rsidRDefault="00BE1EFE">
      <w:pPr>
        <w:pStyle w:val="StandardWeb"/>
      </w:pPr>
      <w:r>
        <w:t>– die Schaffung einer freundlichen Atmosphäre, eines offenen Lernklimas und einer effizienten Führung der Klasse im Unterricht,</w:t>
      </w:r>
    </w:p>
    <w:p w:rsidR="00BE1EFE" w:rsidRDefault="00BE1EFE">
      <w:pPr>
        <w:pStyle w:val="StandardWeb"/>
      </w:pPr>
      <w:r>
        <w:t>– die Beachtung vielfältiger Unterrichtsinhalte und Bildungsangebote, die die Individualität der Schülerinnen und Schüler berücksichtigt und Gelegenheit bietet, unterschiedliche Neigungen und Begabungen zu entdecken und zu entwickeln,</w:t>
      </w:r>
    </w:p>
    <w:p w:rsidR="00BE1EFE" w:rsidRDefault="00BE1EFE">
      <w:pPr>
        <w:pStyle w:val="StandardWeb"/>
      </w:pPr>
      <w:r>
        <w:t>– die Förderung der Kultur einer geistigen Auseinandersetzung, die zu Selbstständigkeit im eigenen Denken sowie einer Auseinandersetzung mit christlichen Werten führt und Entscheidungen in Freiheit ermöglicht,</w:t>
      </w:r>
    </w:p>
    <w:p w:rsidR="00BE1EFE" w:rsidRDefault="00BE1EFE">
      <w:pPr>
        <w:pStyle w:val="StandardWeb"/>
      </w:pPr>
      <w:r>
        <w:t>– die Bestätigung der Schülerinnen und Schüler durch die Anerkennung ihres Bemühens und ihrer Leistungen im fachlichen und sozialen Bereich.</w:t>
      </w:r>
    </w:p>
    <w:p w:rsidR="00BE1EFE" w:rsidRDefault="00BE1EFE">
      <w:pPr>
        <w:pStyle w:val="StandardWeb"/>
      </w:pPr>
    </w:p>
    <w:p w:rsidR="00BE1EFE" w:rsidRDefault="00BE1EFE">
      <w:pPr>
        <w:pStyle w:val="StandardWeb"/>
      </w:pPr>
      <w:r>
        <w:rPr>
          <w:u w:val="single"/>
        </w:rPr>
        <w:t>Didaktik</w:t>
      </w:r>
      <w:r>
        <w:t>:</w:t>
      </w:r>
    </w:p>
    <w:p w:rsidR="00BE1EFE" w:rsidRDefault="00BE1EFE">
      <w:pPr>
        <w:pStyle w:val="StandardWeb"/>
      </w:pPr>
    </w:p>
    <w:p w:rsidR="00BE1EFE" w:rsidRDefault="00BE1EFE">
      <w:pPr>
        <w:pStyle w:val="StandardWeb"/>
      </w:pPr>
      <w:r>
        <w:t>– Berücksichtigung des jeweiligen fachdidaktischen Diskussionsstands bei der Gestaltung des Unterrichts,</w:t>
      </w:r>
    </w:p>
    <w:p w:rsidR="00BE1EFE" w:rsidRDefault="00BE1EFE">
      <w:pPr>
        <w:pStyle w:val="StandardWeb"/>
      </w:pPr>
      <w:r>
        <w:t>– altersgemäße didaktische Reduktion der Inhalte,</w:t>
      </w:r>
    </w:p>
    <w:p w:rsidR="00BE1EFE" w:rsidRDefault="00BE1EFE">
      <w:pPr>
        <w:pStyle w:val="StandardWeb"/>
      </w:pPr>
      <w:r>
        <w:t>– Orientierung der individuellen Lernplanung an den Ausgangslagen der unterschiedlichen Lern- und Entwicklungsbedürfnisse auch im Sinne eines lernzieldifferenten Unterrichts mit Anregungen für die Ausschöpfung der individuellen Lern- und Leistungsmöglichkeiten,</w:t>
      </w:r>
    </w:p>
    <w:p w:rsidR="00BE1EFE" w:rsidRDefault="00BE1EFE">
      <w:pPr>
        <w:pStyle w:val="StandardWeb"/>
      </w:pPr>
      <w:r>
        <w:t>– Einbettung der Unterrichtsstunde in eine Unterrichtssequenz,</w:t>
      </w:r>
    </w:p>
    <w:p w:rsidR="00BE1EFE" w:rsidRDefault="00BE1EFE">
      <w:pPr>
        <w:pStyle w:val="StandardWeb"/>
      </w:pPr>
      <w:r>
        <w:t>– Berücksichtigung von Lebens- und Anwendungsbezug,</w:t>
      </w:r>
    </w:p>
    <w:p w:rsidR="00BE1EFE" w:rsidRDefault="00BE1EFE">
      <w:pPr>
        <w:pStyle w:val="StandardWeb"/>
      </w:pPr>
      <w:r>
        <w:t>– Betonung des aufbauenden und nachhaltigen Lernens,</w:t>
      </w:r>
    </w:p>
    <w:p w:rsidR="00BE1EFE" w:rsidRDefault="00BE1EFE">
      <w:pPr>
        <w:pStyle w:val="StandardWeb"/>
      </w:pPr>
      <w:r>
        <w:t>– handlungsorientierter und fächerübergreifender Unterricht,</w:t>
      </w:r>
    </w:p>
    <w:p w:rsidR="00BE1EFE" w:rsidRDefault="00BE1EFE">
      <w:pPr>
        <w:pStyle w:val="StandardWeb"/>
      </w:pPr>
      <w:r>
        <w:t>– Aufgabenstellungen, mit denen die Entwicklung von Fach-, Sozial- und Methodenkompe</w:t>
      </w:r>
      <w:r>
        <w:softHyphen/>
        <w:t>tenzen gefördert werden,</w:t>
      </w:r>
    </w:p>
    <w:p w:rsidR="00BE1EFE" w:rsidRDefault="00BE1EFE">
      <w:pPr>
        <w:pStyle w:val="StandardWeb"/>
      </w:pPr>
      <w:r>
        <w:t>– expliziter Bezug der jeweiligen Unterrichtsinhalte auf christliche Wertvorstellungen und damit verbundene Glaubensfragen, wo immer möglich.</w:t>
      </w:r>
    </w:p>
    <w:p w:rsidR="00BE1EFE" w:rsidRDefault="00BE1EFE">
      <w:pPr>
        <w:pStyle w:val="StandardWeb"/>
      </w:pPr>
    </w:p>
    <w:p w:rsidR="00BE1EFE" w:rsidRDefault="00BE1EFE">
      <w:pPr>
        <w:pStyle w:val="StandardWeb"/>
      </w:pPr>
      <w:r>
        <w:rPr>
          <w:u w:val="single"/>
        </w:rPr>
        <w:t>Methodik</w:t>
      </w:r>
      <w:r>
        <w:t>:</w:t>
      </w:r>
    </w:p>
    <w:p w:rsidR="00BE1EFE" w:rsidRDefault="00BE1EFE">
      <w:pPr>
        <w:pStyle w:val="StandardWeb"/>
      </w:pPr>
    </w:p>
    <w:p w:rsidR="00BE1EFE" w:rsidRDefault="00BE1EFE">
      <w:pPr>
        <w:pStyle w:val="StandardWeb"/>
      </w:pPr>
      <w:r>
        <w:t>– Methodenvielfalt,</w:t>
      </w:r>
    </w:p>
    <w:p w:rsidR="00BE1EFE" w:rsidRDefault="00BE1EFE">
      <w:pPr>
        <w:pStyle w:val="StandardWeb"/>
      </w:pPr>
      <w:r>
        <w:t>– angemessener Einsatz situations- und adressatenbezogener, unterrichtlicher und erzieherischer Maßnahmen,</w:t>
      </w:r>
    </w:p>
    <w:p w:rsidR="00BE1EFE" w:rsidRDefault="00BE1EFE">
      <w:pPr>
        <w:pStyle w:val="StandardWeb"/>
      </w:pPr>
      <w:r>
        <w:t>– Einsatz von Unterrichtsmethoden und Lernarrangements, die Schülerinnen und Schüler aktivieren, die Lern- und Leistungsbereitschaft fördern und selbst gesteuertes, selbsttätiges und selbstständiges Lernen unterstützen,</w:t>
      </w:r>
    </w:p>
    <w:p w:rsidR="00BE1EFE" w:rsidRDefault="00BE1EFE">
      <w:pPr>
        <w:pStyle w:val="StandardWeb"/>
      </w:pPr>
      <w:r>
        <w:t>– kompetenter und effizienter Einsatz von Medien,</w:t>
      </w:r>
    </w:p>
    <w:p w:rsidR="00BE1EFE" w:rsidRDefault="00BE1EFE">
      <w:pPr>
        <w:pStyle w:val="StandardWeb"/>
      </w:pPr>
      <w:r>
        <w:t>– innere Differenzierung, die es den Schülerinnen und Schülern erlaubt, dem eigenen Lern</w:t>
      </w:r>
      <w:r>
        <w:softHyphen/>
        <w:t>rhythmus zu folgen und es sowohl schwächeren als auch besonders begabten Schülerinnen und Schülern ermöglicht, sich aktiv und erfolgreich einzubringen,</w:t>
      </w:r>
    </w:p>
    <w:p w:rsidR="00BE1EFE" w:rsidRDefault="00BE1EFE">
      <w:pPr>
        <w:pStyle w:val="StandardWeb"/>
      </w:pPr>
      <w:r>
        <w:t>– Einsatz von Formen offenen Unterrichts (bspw. Projektarbeit, Stationenarbeit, Werkstatt</w:t>
      </w:r>
      <w:r>
        <w:softHyphen/>
        <w:t>unterricht, Wochenplanarbeit, fächerverbindender Unterricht usw.),</w:t>
      </w:r>
    </w:p>
    <w:p w:rsidR="00BE1EFE" w:rsidRDefault="00BE1EFE">
      <w:pPr>
        <w:pStyle w:val="StandardWeb"/>
      </w:pPr>
      <w:r>
        <w:t>– planvolle Einbeziehung außerschulischer Lernorte sowie Kooperation mit Betrieben, mit kommunalen, kirchlichen, karitativen und anderen Einrichtungen,</w:t>
      </w:r>
    </w:p>
    <w:p w:rsidR="00BE1EFE" w:rsidRDefault="00BE1EFE">
      <w:pPr>
        <w:pStyle w:val="StandardWeb"/>
      </w:pPr>
      <w:r>
        <w:t xml:space="preserve">– altersentsprechende Orientierung der Schülerinnen und Schüler in der Berufswelt und die Vorbereitung auf den Übergang an weiterführende Schulen und Hochschulen durch Initiativen </w:t>
      </w:r>
      <w:r>
        <w:lastRenderedPageBreak/>
        <w:t>(z. B. Besuch von Informationsveranstaltungen, Berufsberatungen, Vorstellung von Berufen – auch von Eltern, Unternehmensbesuche, Betriebspraktika).</w:t>
      </w:r>
    </w:p>
    <w:p w:rsidR="00BE1EFE" w:rsidRDefault="00BE1EFE">
      <w:pPr>
        <w:pStyle w:val="StandardWeb"/>
      </w:pPr>
    </w:p>
    <w:p w:rsidR="00BE1EFE" w:rsidRDefault="00BE1EFE">
      <w:pPr>
        <w:pStyle w:val="StandardWeb"/>
      </w:pPr>
      <w:r>
        <w:rPr>
          <w:u w:val="single"/>
        </w:rPr>
        <w:t>Sicherung des Unterrichtsziels</w:t>
      </w:r>
      <w:r>
        <w:t>:</w:t>
      </w:r>
    </w:p>
    <w:p w:rsidR="00BE1EFE" w:rsidRDefault="00BE1EFE">
      <w:pPr>
        <w:pStyle w:val="StandardWeb"/>
      </w:pPr>
    </w:p>
    <w:p w:rsidR="00BE1EFE" w:rsidRDefault="00BE1EFE">
      <w:pPr>
        <w:pStyle w:val="StandardWeb"/>
      </w:pPr>
      <w:r>
        <w:t>– Aufgaben, die jahrgangsstufengerecht über reine Reproduktion hinausgehen und Transfer</w:t>
      </w:r>
      <w:r>
        <w:softHyphen/>
        <w:t>leistungen erfordern,</w:t>
      </w:r>
    </w:p>
    <w:p w:rsidR="00BE1EFE" w:rsidRDefault="00BE1EFE">
      <w:pPr>
        <w:pStyle w:val="StandardWeb"/>
      </w:pPr>
      <w:r>
        <w:t>– Überprüfung der Schülerleistung mit gezielter Hilfestellung, auch bei der Korrektur der Hausaufgaben,</w:t>
      </w:r>
    </w:p>
    <w:p w:rsidR="00BE1EFE" w:rsidRDefault="00BE1EFE">
      <w:pPr>
        <w:pStyle w:val="StandardWeb"/>
      </w:pPr>
      <w:r>
        <w:t>– eindeutige Angaben bei den Hausaufgaben und deren Überwachung.</w:t>
      </w:r>
    </w:p>
    <w:p w:rsidR="00BE1EFE" w:rsidRDefault="00BE1EFE">
      <w:pPr>
        <w:pStyle w:val="StandardWeb"/>
      </w:pPr>
    </w:p>
    <w:p w:rsidR="00BE1EFE" w:rsidRDefault="00BE1EFE">
      <w:pPr>
        <w:pStyle w:val="StandardWeb"/>
      </w:pPr>
      <w:r>
        <w:rPr>
          <w:u w:val="single"/>
        </w:rPr>
        <w:t>Leistungsnachweise/Leistungsbeurteilung</w:t>
      </w:r>
      <w:r>
        <w:t>:</w:t>
      </w:r>
    </w:p>
    <w:p w:rsidR="00BE1EFE" w:rsidRDefault="00BE1EFE">
      <w:pPr>
        <w:pStyle w:val="StandardWeb"/>
      </w:pPr>
    </w:p>
    <w:p w:rsidR="00BE1EFE" w:rsidRDefault="00BE1EFE">
      <w:pPr>
        <w:pStyle w:val="StandardWeb"/>
      </w:pPr>
      <w:r>
        <w:t>– sinnvolle Verteilung über das Schuljahr,</w:t>
      </w:r>
    </w:p>
    <w:p w:rsidR="00BE1EFE" w:rsidRDefault="00BE1EFE">
      <w:pPr>
        <w:pStyle w:val="StandardWeb"/>
      </w:pPr>
      <w:r>
        <w:t>– Beachtung von Lehrplan- und Unterrichtsbezug, Grundwissen und Grundfertigkeiten bei der Aufgabenstellung,</w:t>
      </w:r>
    </w:p>
    <w:p w:rsidR="00BE1EFE" w:rsidRDefault="00BE1EFE">
      <w:pPr>
        <w:pStyle w:val="StandardWeb"/>
      </w:pPr>
      <w:r>
        <w:t>– Vielfalt der Aufgabenstellung mit unterschiedlichen Anforderungsstufen,</w:t>
      </w:r>
    </w:p>
    <w:p w:rsidR="00BE1EFE" w:rsidRDefault="00BE1EFE">
      <w:pPr>
        <w:pStyle w:val="StandardWeb"/>
      </w:pPr>
      <w:r>
        <w:t>– sorgfältige, transparente und zeitnahe Korrektur, die auch individuelle Stärken und Schwächen sowie die persönliche Entwicklung der fachlichen Kompetenzen aufzeigt,</w:t>
      </w:r>
    </w:p>
    <w:p w:rsidR="00BE1EFE" w:rsidRDefault="00BE1EFE">
      <w:pPr>
        <w:pStyle w:val="StandardWeb"/>
      </w:pPr>
      <w:r>
        <w:t>– Besprechung mit gezielter Hilfestellung für die Schülerinnen und Schüler auch bezüglich der Möglichkeiten einer positiven Gestaltung des weiteren individuellen Lernprozesses,</w:t>
      </w:r>
    </w:p>
    <w:p w:rsidR="00BE1EFE" w:rsidRDefault="00BE1EFE">
      <w:pPr>
        <w:pStyle w:val="StandardWeb"/>
      </w:pPr>
      <w:r>
        <w:t>– Rückmeldungen, die über die Auswertung von Lernprodukten hinausgehen und auch die kommunikativ-sozialen Fähigkeiten und die persönliche Entwicklung mit einbeziehen,</w:t>
      </w:r>
    </w:p>
    <w:p w:rsidR="00BE1EFE" w:rsidRDefault="00BE1EFE">
      <w:pPr>
        <w:pStyle w:val="StandardWeb"/>
      </w:pPr>
      <w:r>
        <w:t>– Rückmeldungen zu Lernen und Leisten auf der Grundlage gemeinsam erarbeiteter Kriterien, die so angelegt sind, dass sie als konstruktive Hilfe und nicht als Diskriminierung oder Bloßstellung erfahren werden,</w:t>
      </w:r>
    </w:p>
    <w:p w:rsidR="00BE1EFE" w:rsidRDefault="00BE1EFE">
      <w:pPr>
        <w:pStyle w:val="StandardWeb"/>
        <w:rPr>
          <w:i/>
          <w:iCs/>
        </w:rPr>
      </w:pPr>
      <w:r>
        <w:t>– Reflexion der Kriterien, die zur Leistungsbeurteilung herangezogen werden.</w:t>
      </w:r>
    </w:p>
    <w:p w:rsidR="00BE1EFE" w:rsidRDefault="00BE1EFE">
      <w:pPr>
        <w:pStyle w:val="StandardWeb"/>
        <w:rPr>
          <w:i/>
          <w:iCs/>
        </w:rPr>
      </w:pPr>
    </w:p>
    <w:p w:rsidR="00BE1EFE" w:rsidRDefault="00BE1EFE" w:rsidP="0054275E">
      <w:pPr>
        <w:pStyle w:val="StandardWeb"/>
        <w:autoSpaceDE w:val="0"/>
      </w:pPr>
      <w:r>
        <w:rPr>
          <w:rStyle w:val="Hervorhebung"/>
          <w:iCs/>
        </w:rPr>
        <w:t>2. Unterrichtserfolg</w:t>
      </w:r>
    </w:p>
    <w:p w:rsidR="00BE1EFE" w:rsidRDefault="00BE1EFE">
      <w:pPr>
        <w:pStyle w:val="StandardWeb"/>
      </w:pPr>
    </w:p>
    <w:p w:rsidR="00BE1EFE" w:rsidRDefault="00BE1EFE">
      <w:pPr>
        <w:pStyle w:val="StandardWeb"/>
      </w:pPr>
      <w:r>
        <w:t>Beim Unterrichtserfolg sind vor allem folgende Gesichtspunkte zu beurteilen:</w:t>
      </w:r>
    </w:p>
    <w:p w:rsidR="00BE1EFE" w:rsidRDefault="00BE1EFE">
      <w:pPr>
        <w:pStyle w:val="StandardWeb"/>
      </w:pPr>
    </w:p>
    <w:p w:rsidR="00BE1EFE" w:rsidRDefault="00BE1EFE">
      <w:pPr>
        <w:pStyle w:val="StandardWeb"/>
      </w:pPr>
      <w:r>
        <w:t>– das Erreichen vorgegebener Lern- und Bildungsziele,</w:t>
      </w:r>
    </w:p>
    <w:p w:rsidR="00BE1EFE" w:rsidRDefault="00BE1EFE">
      <w:pPr>
        <w:pStyle w:val="StandardWeb"/>
      </w:pPr>
      <w:r>
        <w:t>– die gezielte Hilfestellung beim Erwerb von Wissen und fachlichen Kompetenzen,</w:t>
      </w:r>
    </w:p>
    <w:p w:rsidR="00BE1EFE" w:rsidRDefault="00BE1EFE">
      <w:pPr>
        <w:pStyle w:val="StandardWeb"/>
      </w:pPr>
      <w:r>
        <w:t>– das Erkennen des individuellen Förderbedarfs der Schülerinnen und Schüler und Ergreifen geeigneter Maßnahmen,</w:t>
      </w:r>
    </w:p>
    <w:p w:rsidR="00BE1EFE" w:rsidRDefault="00BE1EFE">
      <w:pPr>
        <w:pStyle w:val="StandardWeb"/>
      </w:pPr>
      <w:r>
        <w:t>– das Erkennen und Fördern besonderer Begabungen im intellektuellen und kreativen Bereich,</w:t>
      </w:r>
    </w:p>
    <w:p w:rsidR="00BE1EFE" w:rsidRDefault="00BE1EFE">
      <w:pPr>
        <w:pStyle w:val="StandardWeb"/>
        <w:rPr>
          <w:i/>
          <w:iCs/>
        </w:rPr>
      </w:pPr>
      <w:r>
        <w:t>– die Transparenz der Leistungsmessung.</w:t>
      </w:r>
    </w:p>
    <w:p w:rsidR="00BE1EFE" w:rsidRDefault="00BE1EFE">
      <w:pPr>
        <w:pStyle w:val="StandardWeb"/>
        <w:rPr>
          <w:i/>
          <w:iCs/>
        </w:rPr>
      </w:pPr>
    </w:p>
    <w:p w:rsidR="00BE1EFE" w:rsidRDefault="00BE1EFE" w:rsidP="0054275E">
      <w:pPr>
        <w:pStyle w:val="StandardWeb"/>
        <w:autoSpaceDE w:val="0"/>
      </w:pPr>
      <w:r>
        <w:rPr>
          <w:rStyle w:val="Hervorhebung"/>
          <w:iCs/>
        </w:rPr>
        <w:t>3. Erzieherisches Wirken</w:t>
      </w:r>
    </w:p>
    <w:p w:rsidR="00BE1EFE" w:rsidRDefault="00BE1EFE">
      <w:pPr>
        <w:pStyle w:val="StandardWeb"/>
      </w:pPr>
    </w:p>
    <w:p w:rsidR="00BE1EFE" w:rsidRDefault="00BE1EFE">
      <w:pPr>
        <w:pStyle w:val="StandardWeb"/>
      </w:pPr>
      <w:r>
        <w:t>Grundlage für das Erziehungskonzept der Schule ist die christliche Sicht von Mensch und Welt, wie sie im Evangelium zum Ausdruck kommt. Die Lehrkräfte sind Vorbild durch ihr dienstliches Verhalten und ihre Lebensführung und verstehen ihr Handeln als Dienst am Mitmenschen.</w:t>
      </w:r>
    </w:p>
    <w:p w:rsidR="00BE1EFE" w:rsidRDefault="00BE1EFE">
      <w:pPr>
        <w:pStyle w:val="StandardWeb"/>
      </w:pPr>
      <w:r>
        <w:t>Bei der Beurteilung des erzieherischen Wirkens geht es um folgende persönliche Bereiche:</w:t>
      </w:r>
    </w:p>
    <w:p w:rsidR="00BE1EFE" w:rsidRDefault="00BE1EFE">
      <w:pPr>
        <w:pStyle w:val="StandardWeb"/>
      </w:pPr>
    </w:p>
    <w:p w:rsidR="00BE1EFE" w:rsidRDefault="00BE1EFE">
      <w:pPr>
        <w:pStyle w:val="StandardWeb"/>
      </w:pPr>
      <w:r>
        <w:t>– die Bejahung der christlichen Werte und Erziehungsziele sowie des Erziehungs- und Bildungsauftrags der Kirche,</w:t>
      </w:r>
    </w:p>
    <w:p w:rsidR="00BE1EFE" w:rsidRDefault="00BE1EFE">
      <w:pPr>
        <w:pStyle w:val="StandardWeb"/>
      </w:pPr>
      <w:r>
        <w:lastRenderedPageBreak/>
        <w:t>– die Umsetzung des Erziehungskonzeptes der Schule in allen Unterrichtsfächern und bei allen außerunterrichtlichen Angeboten,</w:t>
      </w:r>
    </w:p>
    <w:p w:rsidR="00BE1EFE" w:rsidRDefault="00BE1EFE">
      <w:pPr>
        <w:pStyle w:val="StandardWeb"/>
      </w:pPr>
      <w:r>
        <w:t>– spürbare Achtung vor der Person der Schülerinnen und Schüler,</w:t>
      </w:r>
    </w:p>
    <w:p w:rsidR="00BE1EFE" w:rsidRDefault="00BE1EFE">
      <w:pPr>
        <w:pStyle w:val="StandardWeb"/>
      </w:pPr>
      <w:r>
        <w:t>– begründetes Einbringen der eigenen Positionen im Schulalltag, Selbstreflexion im Wissen um die eigenen Stärken und Schwächen,</w:t>
      </w:r>
    </w:p>
    <w:p w:rsidR="00BE1EFE" w:rsidRDefault="00BE1EFE">
      <w:pPr>
        <w:pStyle w:val="StandardWeb"/>
      </w:pPr>
      <w:r>
        <w:t>– offener und vertrauensvoller Umgang mit den Schülerinnen und Schülern,</w:t>
      </w:r>
    </w:p>
    <w:p w:rsidR="00BE1EFE" w:rsidRDefault="00BE1EFE">
      <w:pPr>
        <w:pStyle w:val="StandardWeb"/>
      </w:pPr>
      <w:r>
        <w:t>– Bereitschaft den einzelnen Schülerinnen und Schülern als Ansprechpartnerin bzw. als Ansprechpartner zur Verfügung zu stehen, um sie in persönlicher und fachlicher Hinsicht zu fördern und in ihrer Entwicklung unter Wahrung der dabei notwendigen persönlichen Distanz begleiten zu können,</w:t>
      </w:r>
    </w:p>
    <w:p w:rsidR="00BE1EFE" w:rsidRDefault="00BE1EFE">
      <w:pPr>
        <w:pStyle w:val="StandardWeb"/>
      </w:pPr>
      <w:r>
        <w:t>– Aufmerksamkeit für die Ängste und Sorgen der Schülerinnen und Schüler,</w:t>
      </w:r>
    </w:p>
    <w:p w:rsidR="00BE1EFE" w:rsidRDefault="00BE1EFE">
      <w:pPr>
        <w:pStyle w:val="StandardWeb"/>
      </w:pPr>
      <w:r>
        <w:t>– aktive Beteiligung an der pastoralen Gestaltung des Schullebens und die Beachtung schulpastoraler Anliegen im Unterricht,</w:t>
      </w:r>
    </w:p>
    <w:p w:rsidR="00BE1EFE" w:rsidRDefault="00BE1EFE">
      <w:pPr>
        <w:pStyle w:val="StandardWeb"/>
      </w:pPr>
      <w:r>
        <w:t>– Anregung der Schülerinnen und Schüler zum persönlichen und gemeinschaftlichen Gebet, zur Meditation, zur Mitfeier des Gottesdienstes und zu anderen Ausdrucksformen des religiösen Lebens,</w:t>
      </w:r>
    </w:p>
    <w:p w:rsidR="00BE1EFE" w:rsidRDefault="00BE1EFE">
      <w:pPr>
        <w:pStyle w:val="StandardWeb"/>
      </w:pPr>
      <w:r>
        <w:t>– Anregung zur kritischen Auseinandersetzung mit Werten, Normen und Einstellungen,</w:t>
      </w:r>
    </w:p>
    <w:p w:rsidR="00BE1EFE" w:rsidRDefault="00BE1EFE">
      <w:pPr>
        <w:pStyle w:val="StandardWeb"/>
      </w:pPr>
      <w:r>
        <w:t>– Unterstützung der Schülerinnen und Schüler bei deren Persönlichkeitsentwicklung, beim Reflektieren des eigenen Tuns und darin, Verantwortung für sich selbst sowie für andere in Familie, Kirche und Gesellschaft zu übernehmen,</w:t>
      </w:r>
    </w:p>
    <w:p w:rsidR="00BE1EFE" w:rsidRDefault="00BE1EFE">
      <w:pPr>
        <w:pStyle w:val="StandardWeb"/>
      </w:pPr>
      <w:r>
        <w:t>– Befähigung zu verantwortungsbewusstem Handeln im Sinne der Ehrfurcht vor Gott sowie der Achtung vor der unveräußerlichen Würde eines jeden Menschen, vor allem Leben und vor der gesamten Schöpfung,</w:t>
      </w:r>
    </w:p>
    <w:p w:rsidR="00BE1EFE" w:rsidRDefault="00BE1EFE">
      <w:pPr>
        <w:pStyle w:val="StandardWeb"/>
      </w:pPr>
      <w:r>
        <w:t>– Erziehung zur Wertschätzung der Verschiedenartigkeit aller Menschen, ungeachtet der sozialen, kulturell-ethnischen und religiösen Herkunft, in einer Atmosphäre der Offenheit und des Dialogs zwischen Konfessionen, Religionen und Weltanschauungen,</w:t>
      </w:r>
    </w:p>
    <w:p w:rsidR="00BE1EFE" w:rsidRDefault="00BE1EFE">
      <w:pPr>
        <w:pStyle w:val="StandardWeb"/>
      </w:pPr>
      <w:r>
        <w:t xml:space="preserve">– Förderung des wertschätzenden und verantwortungsvollen Umgangs der Schülerinnen und Schüler mit dem eigenen Körper und dem Körper der anderen, </w:t>
      </w:r>
    </w:p>
    <w:p w:rsidR="00BE1EFE" w:rsidRDefault="00BE1EFE">
      <w:pPr>
        <w:pStyle w:val="StandardWeb"/>
      </w:pPr>
      <w:r>
        <w:t>– altersangemessene fachliche und persönliche Unterstützung der Schülerinnen und Schüler bei der Entwicklung von Fach-, Sozial- und Methodenkompetenzen sowie beim Erkennen, Ausschöpfen und Kultivieren der innewohnenden Potentiale,</w:t>
      </w:r>
    </w:p>
    <w:p w:rsidR="00BE1EFE" w:rsidRDefault="00BE1EFE">
      <w:pPr>
        <w:pStyle w:val="StandardWeb"/>
      </w:pPr>
      <w:r>
        <w:t>– Förderung sozialer Tugenden, wie Kooperationsbereitschaft, Beziehungs- und Gemein</w:t>
      </w:r>
      <w:r>
        <w:softHyphen/>
        <w:t>schaftsfähigkeit, Konfliktfähigkeit, Höflichkeit, Freundlichkeit und Rücksichtnahme,</w:t>
      </w:r>
    </w:p>
    <w:p w:rsidR="00BE1EFE" w:rsidRDefault="00BE1EFE">
      <w:pPr>
        <w:pStyle w:val="StandardWeb"/>
      </w:pPr>
      <w:r>
        <w:t>– Unterstützung der Schülerinnen und Schüler, ihre Begabungen und Fähigkeiten im Schul</w:t>
      </w:r>
      <w:r>
        <w:softHyphen/>
        <w:t>leben einzubringen,</w:t>
      </w:r>
    </w:p>
    <w:p w:rsidR="00BE1EFE" w:rsidRDefault="00BE1EFE">
      <w:pPr>
        <w:pStyle w:val="StandardWeb"/>
      </w:pPr>
      <w:r>
        <w:t>– Förderung von Solidarität und Hilfe für Schwächere, z. B. das eigenverantwortliche Engage</w:t>
      </w:r>
      <w:r>
        <w:softHyphen/>
        <w:t>ment von Schülerinnen und Schülern in der Schulgemeinschaft (z. B. Tutorinnen und Tutoren, Streitschlichterinnen und Streitschlichter) und das Engagement in „Compassion“-Projekten,</w:t>
      </w:r>
    </w:p>
    <w:p w:rsidR="00BE1EFE" w:rsidRDefault="00BE1EFE">
      <w:pPr>
        <w:pStyle w:val="StandardWeb"/>
      </w:pPr>
      <w:r>
        <w:t>– Lösen/Bewältigen von schwierigen Situationen und Konflikten, insbesondere bei Kindern und Jugendlichen in individuellen und/oder sozialen Schwierigkeiten sowie bei Leid, Tod und Trauer,</w:t>
      </w:r>
    </w:p>
    <w:p w:rsidR="00BE1EFE" w:rsidRDefault="00BE1EFE">
      <w:pPr>
        <w:pStyle w:val="StandardWeb"/>
      </w:pPr>
      <w:r>
        <w:t>– Eintreten für Schwächere; achten darauf, dass Andersdenkende nicht verletzt werden und sachbezogene Meinungsäußerungen respektiert werden,</w:t>
      </w:r>
    </w:p>
    <w:p w:rsidR="00BE1EFE" w:rsidRDefault="00BE1EFE">
      <w:pPr>
        <w:pStyle w:val="StandardWeb"/>
      </w:pPr>
      <w:r>
        <w:t>– aktive und fördernde Mitarbeit an Inklusionsmaßnahmen, soweit diese an der Schule bestehen,</w:t>
      </w:r>
    </w:p>
    <w:p w:rsidR="00BE1EFE" w:rsidRDefault="00BE1EFE">
      <w:pPr>
        <w:pStyle w:val="StandardWeb"/>
      </w:pPr>
      <w:r>
        <w:t>– Einsatz für einen ggf. gemeinsamen Unterricht von Schülerinnen und Schülern mit und ohne sonderpädagogischem Förderbedarf,</w:t>
      </w:r>
    </w:p>
    <w:p w:rsidR="00BE1EFE" w:rsidRDefault="00BE1EFE">
      <w:pPr>
        <w:pStyle w:val="StandardWeb"/>
        <w:rPr>
          <w:i/>
          <w:iCs/>
        </w:rPr>
      </w:pPr>
      <w:r>
        <w:t>– Führung und Betreuung von Klassen und Unterrichtsgruppen, auch bei außerunterricht</w:t>
      </w:r>
      <w:r>
        <w:softHyphen/>
        <w:t>lichen Veranstaltungen wie z. B. Gottesdiensten, Festen, Feiern, Wanderungen, Fahrten, Theater, Musik und Kunstausstellungen.</w:t>
      </w:r>
    </w:p>
    <w:p w:rsidR="00BE1EFE" w:rsidRDefault="00BE1EFE" w:rsidP="0054275E">
      <w:pPr>
        <w:pStyle w:val="StandardWeb"/>
        <w:autoSpaceDE w:val="0"/>
        <w:rPr>
          <w:rStyle w:val="Hervorhebung"/>
          <w:iCs/>
        </w:rPr>
      </w:pPr>
    </w:p>
    <w:p w:rsidR="00BE1EFE" w:rsidRDefault="00BE1EFE" w:rsidP="0054275E">
      <w:pPr>
        <w:pStyle w:val="StandardWeb"/>
        <w:autoSpaceDE w:val="0"/>
      </w:pPr>
      <w:r>
        <w:rPr>
          <w:rStyle w:val="Hervorhebung"/>
          <w:iCs/>
        </w:rPr>
        <w:lastRenderedPageBreak/>
        <w:t>4. Zusammenarbeit</w:t>
      </w:r>
    </w:p>
    <w:p w:rsidR="00BE1EFE" w:rsidRDefault="00BE1EFE">
      <w:pPr>
        <w:pStyle w:val="StandardWeb"/>
      </w:pPr>
    </w:p>
    <w:p w:rsidR="00BE1EFE" w:rsidRDefault="00BE1EFE">
      <w:pPr>
        <w:pStyle w:val="StandardWeb"/>
      </w:pPr>
      <w:r>
        <w:t>Zu beurteilen sind:</w:t>
      </w:r>
    </w:p>
    <w:p w:rsidR="00BE1EFE" w:rsidRDefault="00BE1EFE">
      <w:pPr>
        <w:pStyle w:val="StandardWeb"/>
      </w:pPr>
    </w:p>
    <w:p w:rsidR="00BE1EFE" w:rsidRDefault="00BE1EFE">
      <w:pPr>
        <w:pStyle w:val="StandardWeb"/>
      </w:pPr>
      <w:r>
        <w:t>– die Fähigkeit und Bereitschaft zur unterstützenden Zusammenarbeit und zum respektvollen und wertschätzenden Umgang mit der Schulleitung, dem Kollegium und den Erziehungs</w:t>
      </w:r>
      <w:r>
        <w:softHyphen/>
        <w:t>berechtigten und den nicht unterrichtenden Mitarbeiterinnen und Mitarbeitern in gegenseitiger Achtung vor der jeweiligen Profession bzw. Rolle,</w:t>
      </w:r>
    </w:p>
    <w:p w:rsidR="00BE1EFE" w:rsidRDefault="00BE1EFE">
      <w:pPr>
        <w:pStyle w:val="StandardWeb"/>
      </w:pPr>
      <w:r>
        <w:t>– die für die Erziehungsarbeit nötige rege Kommunikation und Zusammenarbeit mit den Familien der Schülerinnen und Schüler, Vorbereitung und Einsatz für Elterngespräche und Elternversammlungen,</w:t>
      </w:r>
    </w:p>
    <w:p w:rsidR="00BE1EFE" w:rsidRDefault="00BE1EFE">
      <w:pPr>
        <w:pStyle w:val="StandardWeb"/>
      </w:pPr>
      <w:r>
        <w:t>– die intensive Zusammenarbeit im Kollegium, gegenseitige Unterstützung und Hilfe,</w:t>
      </w:r>
    </w:p>
    <w:p w:rsidR="00BE1EFE" w:rsidRDefault="00BE1EFE">
      <w:pPr>
        <w:pStyle w:val="StandardWeb"/>
      </w:pPr>
      <w:r>
        <w:t>– die Unterstützung neuer Kolleginnen und Kollegen bei der Eingliederung in das Kollegium und die Offenheit, von ihnen ausgehende Impulse anzunehmen,</w:t>
      </w:r>
    </w:p>
    <w:p w:rsidR="00BE1EFE" w:rsidRDefault="00BE1EFE">
      <w:pPr>
        <w:pStyle w:val="StandardWeb"/>
      </w:pPr>
      <w:r>
        <w:t>– die Pflege der Gemeinschaft durch z. B. Gottesdienste für das Kollegium, Feste, Feiern, gemeinsame Unternehmungen und Veranstaltungen, Treffen mit ehemaligen Mitarbeiterinnen und Mitarbeitern,</w:t>
      </w:r>
    </w:p>
    <w:p w:rsidR="00BE1EFE" w:rsidRDefault="00BE1EFE">
      <w:pPr>
        <w:pStyle w:val="StandardWeb"/>
      </w:pPr>
      <w:r>
        <w:t>– die Zusammenarbeit und Vernetzung mit Einrichtungen, Verbänden und Vereinen der Jugendarbeit im kirchlichen, musisch-kulturellen, sportlichen und gesellschaftspolitisch-bürgerschaftlichen Bereich sowie mit anderen schulischen und außerschulischen Stellen (z. B. Kindertageseinrichtungen, anderen Schularten, Schulberatung, Jugendämtern, Ausbildungs</w:t>
      </w:r>
      <w:r>
        <w:softHyphen/>
        <w:t>betrieben, Unternehmen, Hochschulen, anderweitigen Institutionen, die die schulische und unterrichtliche Arbeit bereichern und sie besonders in der Gewalt- und Suchtprävention unterstützen können),</w:t>
      </w:r>
    </w:p>
    <w:p w:rsidR="00BE1EFE" w:rsidRDefault="00BE1EFE">
      <w:pPr>
        <w:pStyle w:val="StandardWeb"/>
        <w:rPr>
          <w:i/>
          <w:iCs/>
        </w:rPr>
      </w:pPr>
      <w:r>
        <w:t xml:space="preserve">– die Zusammenarbeit mit Pfarrgemeinden, </w:t>
      </w:r>
      <w:r w:rsidRPr="002817D9">
        <w:t>Missionarinnen und Missionaren, Entwicklungs</w:t>
      </w:r>
      <w:r>
        <w:softHyphen/>
        <w:t>helferinnen und Entwicklungshel</w:t>
      </w:r>
      <w:r w:rsidRPr="002817D9">
        <w:t xml:space="preserve">fern </w:t>
      </w:r>
      <w:r>
        <w:t>und deren Unterstützung.</w:t>
      </w:r>
    </w:p>
    <w:p w:rsidR="00BE1EFE" w:rsidRDefault="00BE1EFE">
      <w:pPr>
        <w:pStyle w:val="StandardWeb"/>
        <w:rPr>
          <w:i/>
          <w:iCs/>
        </w:rPr>
      </w:pPr>
    </w:p>
    <w:p w:rsidR="00BE1EFE" w:rsidRDefault="00BE1EFE" w:rsidP="0054275E">
      <w:pPr>
        <w:pStyle w:val="StandardWeb"/>
        <w:autoSpaceDE w:val="0"/>
      </w:pPr>
      <w:r>
        <w:rPr>
          <w:rStyle w:val="Hervorhebung"/>
          <w:iCs/>
        </w:rPr>
        <w:t>5. Sonstige dienstliche Tätigkeiten</w:t>
      </w:r>
    </w:p>
    <w:p w:rsidR="00BE1EFE" w:rsidRDefault="00BE1EFE">
      <w:pPr>
        <w:pStyle w:val="StandardWeb"/>
      </w:pPr>
    </w:p>
    <w:p w:rsidR="00BE1EFE" w:rsidRDefault="00BE1EFE">
      <w:pPr>
        <w:pStyle w:val="StandardWeb"/>
      </w:pPr>
      <w:r>
        <w:t>Zu beurteilen sind Arbeitserfolg und Arbeitsweise der Lehrkraft bei sonstigen außerunter</w:t>
      </w:r>
      <w:r>
        <w:softHyphen/>
        <w:t>richtlichen Tätigkeiten, wie z. B.:</w:t>
      </w:r>
    </w:p>
    <w:p w:rsidR="00BE1EFE" w:rsidRDefault="00BE1EFE">
      <w:pPr>
        <w:pStyle w:val="StandardWeb"/>
      </w:pPr>
    </w:p>
    <w:p w:rsidR="00BE1EFE" w:rsidRDefault="00BE1EFE">
      <w:pPr>
        <w:pStyle w:val="StandardWeb"/>
      </w:pPr>
      <w:r>
        <w:t>– Initiativen, regelmäßige Beratungen und Beiträge zur inneren Schulentwicklung über den Unterricht hinaus,</w:t>
      </w:r>
    </w:p>
    <w:p w:rsidR="00BE1EFE" w:rsidRDefault="00BE1EFE">
      <w:pPr>
        <w:pStyle w:val="StandardWeb"/>
      </w:pPr>
      <w:r>
        <w:t>– Beratungen über die persönliche und soziale Entwicklung der Schülerinnen und Schüler einer Klasse,</w:t>
      </w:r>
    </w:p>
    <w:p w:rsidR="00BE1EFE" w:rsidRDefault="00BE1EFE">
      <w:pPr>
        <w:pStyle w:val="StandardWeb"/>
      </w:pPr>
      <w:r>
        <w:t>– Mitwirkung in Jahrgangs- oder Fächer-Teams, in denen auch Unterricht gemeinsam vorbereitet werden kann,</w:t>
      </w:r>
    </w:p>
    <w:p w:rsidR="00BE1EFE" w:rsidRDefault="00BE1EFE">
      <w:pPr>
        <w:pStyle w:val="StandardWeb"/>
      </w:pPr>
      <w:r>
        <w:t>– Aktivitäten in der Lehrerfortbildung,</w:t>
      </w:r>
    </w:p>
    <w:p w:rsidR="00BE1EFE" w:rsidRDefault="00BE1EFE">
      <w:pPr>
        <w:pStyle w:val="StandardWeb"/>
      </w:pPr>
      <w:r>
        <w:t>– Organisation und Durchführung schulischer Veranstaltungen, insbesondere auch auf religiösem Gebiet (z. B. Schulgottesdienste, Andachten, Besinnungstage),</w:t>
      </w:r>
    </w:p>
    <w:p w:rsidR="00BE1EFE" w:rsidRDefault="00BE1EFE">
      <w:pPr>
        <w:pStyle w:val="StandardWeb"/>
      </w:pPr>
      <w:r>
        <w:t>– Tätigkeit als Verbindungslehrkraft oder Ansprechpartnerin bzw. Ansprechpartner für die Schülerinnen und Schüler,</w:t>
      </w:r>
    </w:p>
    <w:p w:rsidR="00BE1EFE" w:rsidRDefault="00BE1EFE">
      <w:pPr>
        <w:pStyle w:val="StandardWeb"/>
      </w:pPr>
      <w:r>
        <w:t>– Mitarbeit im Schulforum und in sonstigen schulischen Gremien, wie zum Beispiel dem Disziplinarausschuss,</w:t>
      </w:r>
    </w:p>
    <w:p w:rsidR="00BE1EFE" w:rsidRDefault="00BE1EFE">
      <w:pPr>
        <w:pStyle w:val="StandardWeb"/>
      </w:pPr>
      <w:r>
        <w:t>– Erarbeitung des Stundenplans,</w:t>
      </w:r>
    </w:p>
    <w:p w:rsidR="00BE1EFE" w:rsidRDefault="00BE1EFE">
      <w:pPr>
        <w:pStyle w:val="StandardWeb"/>
      </w:pPr>
      <w:r>
        <w:t>– Mitwirkung bei der offenen und gebundenen Ganztagsschule,</w:t>
      </w:r>
    </w:p>
    <w:p w:rsidR="00BE1EFE" w:rsidRDefault="00BE1EFE">
      <w:pPr>
        <w:pStyle w:val="StandardWeb"/>
      </w:pPr>
      <w:r>
        <w:t>– Mitarbeit bei der Organisation des Unterrichtsbetriebs (z. B. Schülerbücherei, EDV-Räume),</w:t>
      </w:r>
    </w:p>
    <w:p w:rsidR="00BE1EFE" w:rsidRDefault="00BE1EFE">
      <w:pPr>
        <w:pStyle w:val="StandardWeb"/>
        <w:rPr>
          <w:i/>
          <w:iCs/>
        </w:rPr>
      </w:pPr>
      <w:r>
        <w:t>– Mitarbeit bei sonstigen übertragenen Aufgaben.</w:t>
      </w:r>
    </w:p>
    <w:p w:rsidR="00BE1EFE" w:rsidRDefault="00BE1EFE">
      <w:pPr>
        <w:pStyle w:val="StandardWeb"/>
        <w:rPr>
          <w:i/>
          <w:iCs/>
        </w:rPr>
      </w:pPr>
    </w:p>
    <w:p w:rsidR="00BE1EFE" w:rsidRDefault="00BE1EFE">
      <w:pPr>
        <w:pStyle w:val="StandardWeb"/>
        <w:rPr>
          <w:i/>
          <w:iCs/>
        </w:rPr>
      </w:pPr>
    </w:p>
    <w:p w:rsidR="00BE1EFE" w:rsidRDefault="00BE1EFE" w:rsidP="0054275E">
      <w:pPr>
        <w:pStyle w:val="StandardWeb"/>
        <w:autoSpaceDE w:val="0"/>
      </w:pPr>
      <w:r>
        <w:rPr>
          <w:rStyle w:val="Hervorhebung"/>
          <w:iCs/>
        </w:rPr>
        <w:lastRenderedPageBreak/>
        <w:t>6. Wahrnehmung von übertragenen schulischen Funktionen</w:t>
      </w:r>
    </w:p>
    <w:p w:rsidR="00BE1EFE" w:rsidRDefault="00BE1EFE">
      <w:pPr>
        <w:pStyle w:val="StandardWeb"/>
      </w:pPr>
    </w:p>
    <w:p w:rsidR="00BE1EFE" w:rsidRDefault="00BE1EFE">
      <w:pPr>
        <w:pStyle w:val="StandardWeb"/>
      </w:pPr>
      <w:r>
        <w:t>(Nur bei endgültiger oder kommissarischer Übertragung von beförderungsrelevanten Funktionen im Sinne des schulartspezifischen Funktionenkatalogs)</w:t>
      </w:r>
    </w:p>
    <w:p w:rsidR="00BE1EFE" w:rsidRDefault="00BE1EFE">
      <w:pPr>
        <w:pStyle w:val="StandardWeb"/>
      </w:pPr>
    </w:p>
    <w:p w:rsidR="00BE1EFE" w:rsidRDefault="00BE1EFE">
      <w:pPr>
        <w:pStyle w:val="StandardWeb"/>
      </w:pPr>
      <w:r>
        <w:t>Die Wahrnehmung von Funktionen ist unter folgenden Gesichtspunkten zu bewerten:</w:t>
      </w:r>
    </w:p>
    <w:p w:rsidR="00BE1EFE" w:rsidRDefault="00BE1EFE">
      <w:pPr>
        <w:pStyle w:val="StandardWeb"/>
      </w:pPr>
    </w:p>
    <w:p w:rsidR="00BE1EFE" w:rsidRDefault="00BE1EFE">
      <w:pPr>
        <w:pStyle w:val="StandardWeb"/>
      </w:pPr>
      <w:r>
        <w:t>– Sachkompetenz bezüglich der jeweils wahrgenommenen Funktion,</w:t>
      </w:r>
    </w:p>
    <w:p w:rsidR="00BE1EFE" w:rsidRDefault="00BE1EFE">
      <w:pPr>
        <w:pStyle w:val="StandardWeb"/>
      </w:pPr>
      <w:r>
        <w:t>– Sozialkompetenz (Beratung der anvertrauten Personen und der Vorgesetzten, Zusammen</w:t>
      </w:r>
      <w:r>
        <w:softHyphen/>
        <w:t>arbeit und Teamverhalten),</w:t>
      </w:r>
    </w:p>
    <w:p w:rsidR="00BE1EFE" w:rsidRDefault="00BE1EFE">
      <w:pPr>
        <w:pStyle w:val="StandardWeb"/>
      </w:pPr>
      <w:r>
        <w:t>– Handlungskompetenz (Organisationsvermögen, Effizienz, Innovationsvermögen, Kreativität, Impulse zur Profilbildung der Schule),</w:t>
      </w:r>
    </w:p>
    <w:p w:rsidR="00BE1EFE" w:rsidRDefault="00BE1EFE">
      <w:pPr>
        <w:pStyle w:val="StandardWeb"/>
      </w:pPr>
      <w:r>
        <w:t>– Einsatzbereitschaft und Engagement.</w:t>
      </w:r>
    </w:p>
    <w:p w:rsidR="00BE1EFE" w:rsidRDefault="00BE1EFE">
      <w:pPr>
        <w:pStyle w:val="StandardWeb"/>
      </w:pPr>
    </w:p>
    <w:p w:rsidR="00BE1EFE" w:rsidRDefault="00BE1EFE">
      <w:pPr>
        <w:pStyle w:val="StandardWeb"/>
        <w:rPr>
          <w:i/>
          <w:iCs/>
        </w:rPr>
      </w:pPr>
      <w:r>
        <w:t>Bei Lehrkräften, die auch als Schulpsychologinnen bzw. Schulpsychologen oder Beratungs</w:t>
      </w:r>
      <w:r>
        <w:softHyphen/>
        <w:t>lehrkräfte tätig sind, werden die damit in Zusammenhang stehenden Leistungen, z. B. Planung und Gestaltung der Beratungstätigkeit, Erfolg der Beratungstätigkeit, Zusammenarbeit, beurteilt.</w:t>
      </w:r>
    </w:p>
    <w:p w:rsidR="00BE1EFE" w:rsidRDefault="00BE1EFE">
      <w:pPr>
        <w:pStyle w:val="StandardWeb"/>
        <w:rPr>
          <w:i/>
          <w:iCs/>
        </w:rPr>
      </w:pPr>
    </w:p>
    <w:p w:rsidR="00BE1EFE" w:rsidRDefault="00BE1EFE" w:rsidP="0054275E">
      <w:pPr>
        <w:pStyle w:val="StandardWeb"/>
        <w:autoSpaceDE w:val="0"/>
      </w:pPr>
      <w:r>
        <w:rPr>
          <w:rStyle w:val="Hervorhebung"/>
          <w:iCs/>
        </w:rPr>
        <w:t>7. Führungsverhalten (nur bei Lehrkräften, die bereits Vorgesetzte sind)</w:t>
      </w:r>
    </w:p>
    <w:p w:rsidR="00BE1EFE" w:rsidRDefault="00BE1EFE">
      <w:pPr>
        <w:pStyle w:val="StandardWeb"/>
      </w:pPr>
    </w:p>
    <w:p w:rsidR="00BE1EFE" w:rsidRDefault="00BE1EFE">
      <w:pPr>
        <w:pStyle w:val="StandardWeb"/>
      </w:pPr>
      <w:r>
        <w:t>Bei der Bewertung der Qualität des Führungsverhaltens sind folgende Aspekte zu berück</w:t>
      </w:r>
      <w:r>
        <w:softHyphen/>
        <w:t>sichtigen:</w:t>
      </w:r>
    </w:p>
    <w:p w:rsidR="00BE1EFE" w:rsidRDefault="00BE1EFE">
      <w:pPr>
        <w:pStyle w:val="StandardWeb"/>
      </w:pPr>
    </w:p>
    <w:p w:rsidR="00BE1EFE" w:rsidRDefault="00BE1EFE">
      <w:pPr>
        <w:pStyle w:val="StandardWeb"/>
      </w:pPr>
      <w:r>
        <w:t>– Vorbildwirkung durch persönliche, soziale, fachliche und methodische Kompetenz,</w:t>
      </w:r>
    </w:p>
    <w:p w:rsidR="00BE1EFE" w:rsidRDefault="00BE1EFE">
      <w:pPr>
        <w:pStyle w:val="StandardWeb"/>
      </w:pPr>
      <w:r>
        <w:t>– Setzen innovativer Impulse,</w:t>
      </w:r>
    </w:p>
    <w:p w:rsidR="00BE1EFE" w:rsidRDefault="00BE1EFE">
      <w:pPr>
        <w:pStyle w:val="StandardWeb"/>
      </w:pPr>
      <w:r>
        <w:t>– Festlegung von Zielen und Prioritäten, die nicht nur auf messbare Arbeitsergebnisse abstellen, sondern auch Arbeitsumfeld und Zusammenarbeit einbeziehen,</w:t>
      </w:r>
    </w:p>
    <w:p w:rsidR="00BE1EFE" w:rsidRDefault="00BE1EFE">
      <w:pPr>
        <w:pStyle w:val="StandardWeb"/>
      </w:pPr>
      <w:r>
        <w:t>– sinnvolle und zweckmäßige Gestaltung der Arbeits- und Kommunikationsabläufe,</w:t>
      </w:r>
    </w:p>
    <w:p w:rsidR="00BE1EFE" w:rsidRDefault="00BE1EFE">
      <w:pPr>
        <w:pStyle w:val="StandardWeb"/>
      </w:pPr>
      <w:r>
        <w:t>– sachgerechte Delegation von Aufgaben und Verantwortung,</w:t>
      </w:r>
    </w:p>
    <w:p w:rsidR="00BE1EFE" w:rsidRDefault="00BE1EFE">
      <w:pPr>
        <w:pStyle w:val="StandardWeb"/>
      </w:pPr>
      <w:r>
        <w:t>– Bereitstellung von Orientierungshilfen,</w:t>
      </w:r>
    </w:p>
    <w:p w:rsidR="00BE1EFE" w:rsidRDefault="00BE1EFE">
      <w:pPr>
        <w:pStyle w:val="StandardWeb"/>
      </w:pPr>
      <w:r>
        <w:t>– Förderung der Motivation und Einsatzbereitschaft der Lehrkräfte,</w:t>
      </w:r>
    </w:p>
    <w:p w:rsidR="00BE1EFE" w:rsidRDefault="00BE1EFE">
      <w:pPr>
        <w:pStyle w:val="StandardWeb"/>
      </w:pPr>
      <w:r>
        <w:t>– Förderung der einzelnen Lehrkraft durch Mitarbeitergespräche und Zielvereinbarungen,</w:t>
      </w:r>
    </w:p>
    <w:p w:rsidR="00BE1EFE" w:rsidRDefault="00BE1EFE">
      <w:pPr>
        <w:pStyle w:val="StandardWeb"/>
        <w:rPr>
          <w:b/>
          <w:bCs/>
        </w:rPr>
      </w:pPr>
      <w:r>
        <w:t>– Einsatz für die Umsetzung des kirchlichen Profils der Schule.</w:t>
      </w:r>
    </w:p>
    <w:p w:rsidR="00BE1EFE" w:rsidRDefault="00BE1EFE">
      <w:pPr>
        <w:pStyle w:val="StandardWeb"/>
        <w:rPr>
          <w:b/>
          <w:bCs/>
        </w:rPr>
      </w:pPr>
    </w:p>
    <w:p w:rsidR="00BE1EFE" w:rsidRDefault="00BE1EFE" w:rsidP="0054275E">
      <w:pPr>
        <w:pStyle w:val="StandardWeb"/>
        <w:autoSpaceDE w:val="0"/>
      </w:pPr>
      <w:r>
        <w:rPr>
          <w:rStyle w:val="Fett"/>
          <w:bCs/>
        </w:rPr>
        <w:t>2.2.2 Beurteilung der Eignung und Befähigung</w:t>
      </w:r>
    </w:p>
    <w:p w:rsidR="00BE1EFE" w:rsidRDefault="00BE1EFE">
      <w:pPr>
        <w:pStyle w:val="StandardWeb"/>
      </w:pPr>
    </w:p>
    <w:p w:rsidR="00BE1EFE" w:rsidRDefault="00BE1EFE" w:rsidP="0054275E">
      <w:pPr>
        <w:pStyle w:val="StandardWeb"/>
        <w:autoSpaceDE w:val="0"/>
      </w:pPr>
      <w:r>
        <w:rPr>
          <w:rStyle w:val="Hervorhebung"/>
          <w:iCs/>
        </w:rPr>
        <w:t>1. Entscheidungsvermögen</w:t>
      </w:r>
    </w:p>
    <w:p w:rsidR="00BE1EFE" w:rsidRDefault="00BE1EFE">
      <w:pPr>
        <w:pStyle w:val="StandardWeb"/>
      </w:pPr>
    </w:p>
    <w:p w:rsidR="00BE1EFE" w:rsidRDefault="00BE1EFE">
      <w:pPr>
        <w:pStyle w:val="StandardWeb"/>
      </w:pPr>
      <w:r>
        <w:t>– Urteilsvermögen,</w:t>
      </w:r>
    </w:p>
    <w:p w:rsidR="00BE1EFE" w:rsidRDefault="00BE1EFE">
      <w:pPr>
        <w:pStyle w:val="StandardWeb"/>
      </w:pPr>
      <w:r>
        <w:t>– Entschlusskraft, Entscheidungsfreude, Eigeninitiative, Verantwortungsbereitschaft,</w:t>
      </w:r>
    </w:p>
    <w:p w:rsidR="00BE1EFE" w:rsidRDefault="00BE1EFE">
      <w:pPr>
        <w:pStyle w:val="StandardWeb"/>
      </w:pPr>
      <w:r>
        <w:t>– Kreativität, Aufgeschlossenheit für neue Aufgaben.</w:t>
      </w:r>
    </w:p>
    <w:p w:rsidR="00BE1EFE" w:rsidRDefault="00BE1EFE">
      <w:pPr>
        <w:pStyle w:val="StandardWeb"/>
      </w:pPr>
    </w:p>
    <w:p w:rsidR="00BE1EFE" w:rsidRDefault="00BE1EFE" w:rsidP="0054275E">
      <w:pPr>
        <w:pStyle w:val="StandardWeb"/>
        <w:autoSpaceDE w:val="0"/>
      </w:pPr>
      <w:r>
        <w:rPr>
          <w:rStyle w:val="Hervorhebung"/>
          <w:iCs/>
        </w:rPr>
        <w:t>2. Einsatzbereitschaft</w:t>
      </w:r>
    </w:p>
    <w:p w:rsidR="00BE1EFE" w:rsidRDefault="00BE1EFE">
      <w:pPr>
        <w:pStyle w:val="StandardWeb"/>
      </w:pPr>
    </w:p>
    <w:p w:rsidR="00BE1EFE" w:rsidRDefault="00BE1EFE">
      <w:pPr>
        <w:pStyle w:val="StandardWeb"/>
      </w:pPr>
      <w:r>
        <w:t>– Engagement bei der Übernahme und Erledigung dienstlicher sowie auch zusätzlicher Aufgaben, auch im Zusammenhang mit der Umsetzung des kirchlichen Profils.</w:t>
      </w:r>
    </w:p>
    <w:p w:rsidR="00BE1EFE" w:rsidRDefault="00BE1EFE">
      <w:pPr>
        <w:pStyle w:val="StandardWeb"/>
      </w:pPr>
    </w:p>
    <w:p w:rsidR="00BE1EFE" w:rsidRDefault="00BE1EFE" w:rsidP="0054275E">
      <w:pPr>
        <w:pStyle w:val="StandardWeb"/>
        <w:autoSpaceDE w:val="0"/>
      </w:pPr>
      <w:r>
        <w:rPr>
          <w:rStyle w:val="Hervorhebung"/>
          <w:iCs/>
        </w:rPr>
        <w:t>3. Berufskenntnisse und ihre Erweiterung</w:t>
      </w:r>
    </w:p>
    <w:p w:rsidR="00BE1EFE" w:rsidRDefault="00BE1EFE">
      <w:pPr>
        <w:pStyle w:val="StandardWeb"/>
      </w:pPr>
    </w:p>
    <w:p w:rsidR="00BE1EFE" w:rsidRDefault="00BE1EFE">
      <w:pPr>
        <w:pStyle w:val="StandardWeb"/>
      </w:pPr>
      <w:r>
        <w:t>– in den Fächern der Lehramtsbefähigung,</w:t>
      </w:r>
    </w:p>
    <w:p w:rsidR="00BE1EFE" w:rsidRDefault="00BE1EFE">
      <w:pPr>
        <w:pStyle w:val="StandardWeb"/>
      </w:pPr>
      <w:r>
        <w:lastRenderedPageBreak/>
        <w:t>– sonstiges für die Berufstätigkeit förderliches Können und Wissen,</w:t>
      </w:r>
    </w:p>
    <w:p w:rsidR="00BE1EFE" w:rsidRDefault="00BE1EFE">
      <w:pPr>
        <w:pStyle w:val="StandardWeb"/>
      </w:pPr>
      <w:r>
        <w:t>– Kenntnisse des Schul- und Dienstrechts,</w:t>
      </w:r>
    </w:p>
    <w:p w:rsidR="00BE1EFE" w:rsidRDefault="00BE1EFE">
      <w:pPr>
        <w:pStyle w:val="StandardWeb"/>
      </w:pPr>
      <w:r>
        <w:t>– Bereitschaft zur regelmäßigen Teilnahme an externen und internen Fortbildungsangeboten und zur Weitergabe der gewonnenen Erkenntnisse in Schule und Unterricht,</w:t>
      </w:r>
    </w:p>
    <w:p w:rsidR="00BE1EFE" w:rsidRDefault="00BE1EFE">
      <w:pPr>
        <w:pStyle w:val="StandardWeb"/>
      </w:pPr>
      <w:r>
        <w:t>– Erweiterung der zur Umsetzung des kirchlichen Profils nötigen Kenntnisse und Fähigkeiten durch die Teilnahme an religiösen und spirituellen Fortbildungen, Einkehr- und Besinnungs</w:t>
      </w:r>
      <w:r>
        <w:softHyphen/>
        <w:t>tagen, um sich z. B. Grundwissen über das Christentum, die katholische Lehre und über die Möglichkeiten einer Lebensgestaltung auf der Basis des Glaubens anzueignen und/oder eine spirituelle Weiterentwicklung sowie eine religiöse Bildung zu erfahren,</w:t>
      </w:r>
    </w:p>
    <w:p w:rsidR="00BE1EFE" w:rsidRDefault="00BE1EFE">
      <w:pPr>
        <w:pStyle w:val="StandardWeb"/>
      </w:pPr>
      <w:r>
        <w:t>– Wahrnehmung von Fortbildungen und Supervisionen,</w:t>
      </w:r>
    </w:p>
    <w:p w:rsidR="00BE1EFE" w:rsidRDefault="00BE1EFE">
      <w:pPr>
        <w:pStyle w:val="StandardWeb"/>
        <w:rPr>
          <w:b/>
          <w:bCs/>
        </w:rPr>
      </w:pPr>
      <w:r>
        <w:t>– regelmäßige Beschäftigung im Rahmen schulinterner Fortbildungen mit pädagogisch-psychologischen, fachwissenschaftlichen und fachdidaktischen sowie religiös-theologischen Fragestellungen.</w:t>
      </w:r>
    </w:p>
    <w:p w:rsidR="00BE1EFE" w:rsidRDefault="00BE1EFE">
      <w:pPr>
        <w:pStyle w:val="StandardWeb"/>
        <w:rPr>
          <w:b/>
          <w:bCs/>
        </w:rPr>
      </w:pPr>
    </w:p>
    <w:p w:rsidR="00BE1EFE" w:rsidRDefault="00BE1EFE" w:rsidP="0054275E">
      <w:pPr>
        <w:pStyle w:val="StandardWeb"/>
        <w:autoSpaceDE w:val="0"/>
      </w:pPr>
      <w:r>
        <w:rPr>
          <w:rStyle w:val="Fett"/>
          <w:bCs/>
        </w:rPr>
        <w:t>2.2.3 Ergänzende Bemerkungen</w:t>
      </w:r>
    </w:p>
    <w:p w:rsidR="00BE1EFE" w:rsidRDefault="00BE1EFE">
      <w:pPr>
        <w:pStyle w:val="StandardWeb"/>
      </w:pPr>
    </w:p>
    <w:p w:rsidR="00BE1EFE" w:rsidRDefault="00BE1EFE">
      <w:pPr>
        <w:pStyle w:val="StandardWeb"/>
      </w:pPr>
      <w:r>
        <w:t>Hier kann das durch die Bewertung der einzelnen Beurteilungsmerkmale von der Lehrkraft gezeichnete Bild durch ergänzende Bemerkungen, insbesondere zur Einschätzung ihrer Persönlichkeit, die in den beiden Blöcken „fachliche Leistung” und „Eignung/Befähigung” noch nicht ausreichenden Niederschlag gefunden haben, aber in die Gesamturteilsbildung einbezogen werden sollen, abgerundet werden. Hierzu zählt auch der Fall, dass eine Schwerbehinderte bzw. ein Schwerbehinderter trotz der mit der Behinderung verbundenen Erschwernis gute oder gar herausragende Leistungen erbringt (</w:t>
      </w:r>
      <w:r w:rsidRPr="00975DC0">
        <w:t>vgl. Nr. 9.1 Satz 3 der Teilhaberichtlinien; Bekanntmachung des Bayerischen Staatsministeriums der Finanzen vom 19. Dezember 2012 (FMBl 2012 S. 605)</w:t>
      </w:r>
      <w:r>
        <w:t>).</w:t>
      </w:r>
    </w:p>
    <w:p w:rsidR="00BE1EFE" w:rsidRDefault="00BE1EFE">
      <w:pPr>
        <w:pStyle w:val="StandardWeb"/>
      </w:pPr>
      <w:r w:rsidRPr="00975DC0">
        <w:t>Hat die Behinderung eine Minderung der Arbeits- bzw. der Verwendungsfähigkeit zur Folge, ist in den ergänzenden Bemerkungen ein Hinweis aufzunehmen, dass die Minderung der Arbeits- bzw. Verwendungsfähigkeit infolge der Behinderung berücksichtigt wurde (vgl. Nr. 9.3 Abs. 2 S</w:t>
      </w:r>
      <w:r>
        <w:t>atz 1 der Teilhaberichtlinien).</w:t>
      </w:r>
    </w:p>
    <w:p w:rsidR="00BE1EFE" w:rsidRDefault="00BE1EFE">
      <w:pPr>
        <w:pStyle w:val="StandardWeb"/>
      </w:pPr>
      <w:r>
        <w:t xml:space="preserve">Soweit die oder der zu Beurteilende nicht widerspricht, ist auch die Tätigkeit als Mitglied einer Mitarbeitervertretung, der Kommission für das Arbeitsvertragsrecht der bayerischen Diözesen, einer </w:t>
      </w:r>
      <w:r w:rsidRPr="00975DC0">
        <w:t>Diözesanen Arbe</w:t>
      </w:r>
      <w:r>
        <w:t>itsgemeinschaft der Mitarbeiter</w:t>
      </w:r>
      <w:r w:rsidRPr="00975DC0">
        <w:t>vertretungen</w:t>
      </w:r>
      <w:r>
        <w:t>, einer Schwerbehinderten</w:t>
      </w:r>
      <w:r>
        <w:softHyphen/>
        <w:t>vertretung oder eines vergleichbaren Gremiums anzugeben.</w:t>
      </w:r>
    </w:p>
    <w:p w:rsidR="00BE1EFE" w:rsidRDefault="00BE1EFE">
      <w:pPr>
        <w:pStyle w:val="StandardWeb"/>
      </w:pPr>
      <w:r>
        <w:t>Desgleichen sollen besondere Leistungen der Lehrkraft im Beurteilungszeitraum vermerkt werden. Dabei kann auch auf wissenschaftliche, schriftstellerische oder künstlerische Leistungen eingegangen werden. Tätigkeiten im kirchlichen Bereich (z. B. Pfarrgemeinde, Verbände, Jugendarbeit) sind zu erwähnen. Ebenso können Tätigkeiten im öffentlichen Leben – vor allem auch ehrenamtliche Tätigkeiten –, wie z. B. die Mitarbeit in Jugendpflege, Erwachsenenbildung, Berufsbildungsausschüssen, im Büchereiwesen sowie im sportlichen, politischen und kulturellen Bereich erwähnt werden.</w:t>
      </w:r>
    </w:p>
    <w:p w:rsidR="00BE1EFE" w:rsidRDefault="00BE1EFE">
      <w:pPr>
        <w:pStyle w:val="StandardWeb"/>
      </w:pPr>
      <w:r>
        <w:t>Wenn und soweit sich beurteilungsrelevante Einzelmerkmale wie Teamverhalten, Führungsverhalten, Organisationsfähigkeit, Eigeninitiative und Verantwortungsbereitschaft, die beispielsweise bei der Betreuung und Pflege von Kindern, Kranken oder alten Menschen sowie bei der Ausübung eines Ehrenamtes erworben bzw. vertieft werden können, erkennbar im dienstlichen Verhalten äußern, finden sie ihren Niederschlag in einer entsprechenden Bewertung der einzelnen Beurteilungskriterien.</w:t>
      </w:r>
    </w:p>
    <w:p w:rsidR="00BE1EFE" w:rsidRDefault="00BE1EFE">
      <w:pPr>
        <w:pStyle w:val="StandardWeb"/>
      </w:pPr>
      <w:r>
        <w:t xml:space="preserve">Abmahnungen bzw. Disziplinarmaßnahmen oder missbilligende Äußerungen einer oder eines Dienstvorgesetzten sowie Hinweise auf Strafen oder Geldbußen, die im Strafverfahren oder Bußgeldverfahren verhängt wurden, sind nicht in der Beurteilung zu vermerken. Die Nichtaufnahme bedeutet nicht, dass ein Verhalten, das zu einer Abmahnung bzw. zur Verhängung einer Disziplinarmaßnahme oder einer dienstaufsichtlichen Maßnahme oder </w:t>
      </w:r>
      <w:r>
        <w:lastRenderedPageBreak/>
        <w:t>Ähnlichem geführt hat, bei der Würdigung des Gesamtbildes in der Beurteilung unbeachtet bleibt.</w:t>
      </w:r>
    </w:p>
    <w:p w:rsidR="00BE1EFE" w:rsidRDefault="00BE1EFE">
      <w:pPr>
        <w:pStyle w:val="StandardWeb"/>
      </w:pPr>
      <w:r>
        <w:t xml:space="preserve">Soweit Veranlassung besteht, sollte hier auch angegeben werden, ob Umstände vorliegen, welche die Beurteilung erschwert haben und den Wert der Beurteilung einschränken können (z. B. längere Krankheiten, schlechter Gesundheitszustand der bzw. des zu Beurteilenden, häufige Versetzung oder häufiger Wechsel des Arbeitsplatzes im Berichtszeitraum). Auf einen Abfall oder eine Steigerung der Leistungen in der Berichtszeit und gegebenenfalls – soweit bekannt – deren Ursachen ist einzugehen. </w:t>
      </w:r>
    </w:p>
    <w:p w:rsidR="00BE1EFE" w:rsidRDefault="00BE1EFE">
      <w:pPr>
        <w:pStyle w:val="StandardWeb"/>
      </w:pPr>
      <w:r w:rsidRPr="00975DC0">
        <w:t>Haben sich die Leistungen einer oder eines Schwerbehinderten in einem Beurteilungszeit</w:t>
      </w:r>
      <w:r>
        <w:softHyphen/>
      </w:r>
      <w:r w:rsidRPr="00975DC0">
        <w:t>raum gegenüber einer früheren Beurteilung wesentlich verschlechtert, so ist zu vermerken, ob und inwieweit die nachlas</w:t>
      </w:r>
      <w:r>
        <w:t>sende Arbeits- bzw. Verwendungs</w:t>
      </w:r>
      <w:r w:rsidRPr="00975DC0">
        <w:t>fähigkeit ggf. auf die Behinderung zurückzuführen ist.</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2.3 Beurteilungsmaßstab und Bewertung</w:t>
      </w:r>
    </w:p>
    <w:p w:rsidR="00BE1EFE" w:rsidRDefault="00BE1EFE">
      <w:pPr>
        <w:pStyle w:val="StandardWeb"/>
      </w:pPr>
    </w:p>
    <w:p w:rsidR="00BE1EFE" w:rsidRDefault="00BE1EFE">
      <w:pPr>
        <w:pStyle w:val="StandardWeb"/>
        <w:rPr>
          <w:b/>
          <w:bCs/>
        </w:rPr>
      </w:pPr>
      <w:r>
        <w:t>2.3.1 Die dienstliche Beurteilung soll die Leistung der Lehrkraft in Bezug auf ihre Funktion und im Vergleich zu anderen Lehrkräften derselben Besoldungsgruppe objektiv darstellen (</w:t>
      </w:r>
      <w:hyperlink r:id="rId1030" w:history="1">
        <w:r w:rsidRPr="00113710">
          <w:rPr>
            <w:rStyle w:val="Hyperlink"/>
          </w:rPr>
          <w:t>Art. 58 Abs. 2 Satz 1 LlbG</w:t>
        </w:r>
      </w:hyperlink>
      <w:r>
        <w:t xml:space="preserve"> entsprechend). Nach </w:t>
      </w:r>
      <w:r w:rsidRPr="00975DC0">
        <w:t xml:space="preserve">der Einräumung des Rechts zum Führen einer höheren Berufsbezeichnung, nach einem Bewährungsaufstieg oder nach </w:t>
      </w:r>
      <w:r>
        <w:t>einer Beförderung ist daher Vergleichsmaßstab für die Beurteilung das von einer Lehrkraft der neuen Besoldungsgruppe zu fordernde Leistungsniveau.</w:t>
      </w:r>
    </w:p>
    <w:p w:rsidR="00BE1EFE" w:rsidRDefault="00BE1EFE">
      <w:pPr>
        <w:pStyle w:val="StandardWeb"/>
        <w:rPr>
          <w:b/>
          <w:bCs/>
        </w:rPr>
      </w:pPr>
    </w:p>
    <w:p w:rsidR="00BE1EFE" w:rsidRDefault="00BE1EFE" w:rsidP="0054275E">
      <w:pPr>
        <w:pStyle w:val="StandardWeb"/>
        <w:autoSpaceDE w:val="0"/>
      </w:pPr>
      <w:r>
        <w:rPr>
          <w:rStyle w:val="Fett"/>
          <w:bCs/>
        </w:rPr>
        <w:t>2.3.2 Bewertung</w:t>
      </w:r>
    </w:p>
    <w:p w:rsidR="00BE1EFE" w:rsidRDefault="00BE1EFE">
      <w:pPr>
        <w:pStyle w:val="StandardWeb"/>
      </w:pPr>
    </w:p>
    <w:p w:rsidR="00BE1EFE" w:rsidRDefault="00BE1EFE">
      <w:pPr>
        <w:pStyle w:val="StandardWeb"/>
      </w:pPr>
      <w:r>
        <w:t xml:space="preserve">2.3.2.1 Die Bewertung erfolgt nach einem System mit sieben Bewertungsstufen. Bei den Einzelmerkmalen sind die Abkürzungen für die jeweilige Bewertungsstufe, wie sie für das Gesamtergebnis vorgesehen sind, anzugeben (vgl. Nr. 2.3.2.2). Die bei dem jeweiligen Einzelmerkmal zugrunde zu legenden Kriterien sind beispielhaft im Formblatt angegeben. Eine verbale Beschreibung der Leistungs- und Persönlichkeitsmerkmale ist vorzunehmen. Je differenzierter das Leistungsgefüge des zu beurteilenden Personenkreises in der dienstlichen Beurteilung zum Ausdruck kommt, umso größere Bedeutung kann der Beurteilung im Rahmen von Beförderungen, </w:t>
      </w:r>
      <w:r w:rsidRPr="00C244EF">
        <w:t>Bewährungsaufstiegen oder bei der Einräumung des Rechts zu</w:t>
      </w:r>
      <w:r>
        <w:t>m Führen einer höheren Berufsbe</w:t>
      </w:r>
      <w:r w:rsidRPr="00C244EF">
        <w:t xml:space="preserve">zeichnung sowie bei </w:t>
      </w:r>
      <w:r>
        <w:t>anderen Personalentscheidungen zukommen. Dies ist nur möglich, wenn der Bewertungsrahmen ausgeschöpft wird.</w:t>
      </w:r>
    </w:p>
    <w:p w:rsidR="00BE1EFE" w:rsidRDefault="00BE1EFE">
      <w:pPr>
        <w:pStyle w:val="StandardWeb"/>
      </w:pPr>
    </w:p>
    <w:p w:rsidR="00BE1EFE" w:rsidRDefault="00BE1EFE">
      <w:pPr>
        <w:pStyle w:val="StandardWeb"/>
      </w:pPr>
      <w:r>
        <w:t>2.3.2.2 Das Gesamtergebnis der periodischen Beurteilung ist in einer der folgenden Bewertungsstufen auszudrücken:</w:t>
      </w:r>
    </w:p>
    <w:p w:rsidR="00BE1EFE" w:rsidRDefault="00BE1EFE">
      <w:pPr>
        <w:pStyle w:val="StandardWeb"/>
      </w:pPr>
    </w:p>
    <w:p w:rsidR="00BE1EFE" w:rsidRDefault="00BE1EFE">
      <w:pPr>
        <w:pStyle w:val="StandardWeb"/>
      </w:pPr>
      <w:r>
        <w:t>Leistung, die in allen Belangen von herausragender Qualität ist (HQ)</w:t>
      </w:r>
    </w:p>
    <w:p w:rsidR="00BE1EFE" w:rsidRDefault="00BE1EFE">
      <w:pPr>
        <w:pStyle w:val="StandardWeb"/>
      </w:pPr>
      <w:r>
        <w:t>Leistung, die die Anforderungen besonders gut erfüllt (BG)</w:t>
      </w:r>
    </w:p>
    <w:p w:rsidR="00BE1EFE" w:rsidRDefault="00BE1EFE">
      <w:pPr>
        <w:pStyle w:val="StandardWeb"/>
      </w:pPr>
      <w:r>
        <w:t>Leistung, die die Anforderungen übersteigt (UB)</w:t>
      </w:r>
    </w:p>
    <w:p w:rsidR="00BE1EFE" w:rsidRDefault="00BE1EFE">
      <w:pPr>
        <w:pStyle w:val="StandardWeb"/>
      </w:pPr>
      <w:r>
        <w:t>Leistung, die den Anforderungen voll entspricht (VE)</w:t>
      </w:r>
    </w:p>
    <w:p w:rsidR="00BE1EFE" w:rsidRDefault="00BE1EFE">
      <w:pPr>
        <w:pStyle w:val="StandardWeb"/>
      </w:pPr>
      <w:r>
        <w:t>Leistung, die den Anforderungen in hohem Maße gerecht wird (HM)</w:t>
      </w:r>
    </w:p>
    <w:p w:rsidR="00BE1EFE" w:rsidRDefault="00BE1EFE">
      <w:pPr>
        <w:pStyle w:val="StandardWeb"/>
      </w:pPr>
      <w:r>
        <w:t>Leistung, die Mängel aufweist (MA)</w:t>
      </w:r>
    </w:p>
    <w:p w:rsidR="00BE1EFE" w:rsidRDefault="00BE1EFE">
      <w:pPr>
        <w:pStyle w:val="StandardWeb"/>
      </w:pPr>
      <w:r>
        <w:t>Leistung, die insgesamt unzureichend ist (IU)</w:t>
      </w:r>
    </w:p>
    <w:p w:rsidR="00BE1EFE" w:rsidRDefault="00BE1EFE">
      <w:pPr>
        <w:pStyle w:val="StandardWeb"/>
      </w:pPr>
      <w:r>
        <w:t>Zwischenstufen und Zusätze sind nicht zulässig.</w:t>
      </w:r>
    </w:p>
    <w:p w:rsidR="00BE1EFE" w:rsidRDefault="00BE1EFE">
      <w:pPr>
        <w:pStyle w:val="StandardWeb"/>
      </w:pPr>
    </w:p>
    <w:p w:rsidR="00BE1EFE" w:rsidRDefault="00BE1EFE">
      <w:pPr>
        <w:pStyle w:val="StandardWeb"/>
      </w:pPr>
      <w:r>
        <w:t>Erläuterung der Bewertungsstufen:</w:t>
      </w:r>
    </w:p>
    <w:p w:rsidR="00BE1EFE" w:rsidRDefault="00BE1EFE">
      <w:pPr>
        <w:pStyle w:val="StandardWeb"/>
      </w:pPr>
    </w:p>
    <w:p w:rsidR="00BE1EFE" w:rsidRDefault="00BE1EFE">
      <w:pPr>
        <w:pStyle w:val="StandardWeb"/>
      </w:pPr>
      <w:r>
        <w:lastRenderedPageBreak/>
        <w:t>(Die Umschreibungen schöpfen die Bewertungsstufen naturgemäß nicht in jeder Hinsicht aus; sie sind vielmehr als Hilfen für die Beurteilenden aufzufassen. Positive Eigenschaften, die in der Umschreibung einer Bewertungsstufe genannt sind, werden in den Umschreibungen der besseren Bewertungsstufen vorausgesetzt).</w:t>
      </w:r>
    </w:p>
    <w:p w:rsidR="00BE1EFE" w:rsidRDefault="00BE1EFE">
      <w:pPr>
        <w:pStyle w:val="StandardWeb"/>
      </w:pPr>
    </w:p>
    <w:p w:rsidR="00BE1EFE" w:rsidRDefault="00BE1EFE">
      <w:pPr>
        <w:pStyle w:val="StandardWeb"/>
      </w:pPr>
      <w:r>
        <w:t>Leistung, die in allen Belangen von herausragender Qualität ist (HQ):</w:t>
      </w:r>
    </w:p>
    <w:p w:rsidR="00BE1EFE" w:rsidRDefault="00BE1EFE">
      <w:pPr>
        <w:pStyle w:val="StandardWeb"/>
      </w:pPr>
      <w:r>
        <w:t>Dieses Gesamturteil ist der Lehrkraft zu erteilen, die nach Leistung, Eignung und Befähigung die Anforderungen in außergewöhnlicher Weise übertrifft, die normaler- und billigerweise an Lehrkräfte ihrer Besoldungsgruppe gestellt werden. Es handelt sich also um eine Lehrkraft, die aufgrund eines herausragenden Fachwissens und außerordentlicher pädagogischer Fähigkeiten stets Spitzenleistungen erbringt, prägenden Einfluss auf das Schulleben hat und die durch ihr Engagement, ihre personale Kompetenz und ihr organisatorisches Geschick die Eignung zeigt, im Schul- und Bildungswesen an leitender Stelle tätig zu sein.</w:t>
      </w:r>
    </w:p>
    <w:p w:rsidR="00BE1EFE" w:rsidRDefault="00BE1EFE">
      <w:pPr>
        <w:pStyle w:val="StandardWeb"/>
      </w:pPr>
      <w:r>
        <w:t>Die Lehrkraft wirkt in jeder Hinsicht herausragend für das kirchliche Profil der Schule.</w:t>
      </w:r>
    </w:p>
    <w:p w:rsidR="00BE1EFE" w:rsidRDefault="00BE1EFE">
      <w:pPr>
        <w:pStyle w:val="StandardWeb"/>
      </w:pPr>
    </w:p>
    <w:p w:rsidR="00BE1EFE" w:rsidRDefault="00BE1EFE">
      <w:pPr>
        <w:pStyle w:val="StandardWeb"/>
      </w:pPr>
      <w:r>
        <w:t>Leistung, die die Anforderungen besonders gut erfüllt (BG):</w:t>
      </w:r>
    </w:p>
    <w:p w:rsidR="00BE1EFE" w:rsidRDefault="00BE1EFE">
      <w:pPr>
        <w:pStyle w:val="StandardWeb"/>
      </w:pPr>
      <w:r>
        <w:t>Dieses Gesamturteil ist der Lehrkraft zu erteilen, die nach Leistung, Eignung und Befähigung die Anforderungen ganz besonders gut erfüllt, die normaler- und billigerweise an Lehrkräfte ihrer Besoldungsgruppe gestellt werden. Es handelt sich also um eine Lehrkraft, die Engagement und Einsatzbereitschaft zeigt und die sich durch vorzügliche pädagogische und organisatorische, praktische, wissenschaftliche bzw. künstlerische Fähigkeiten auszeichnet und, auch über den Bereich der einzelnen Schule hinaus, verwendbar ist.</w:t>
      </w:r>
    </w:p>
    <w:p w:rsidR="00BE1EFE" w:rsidRDefault="00BE1EFE">
      <w:pPr>
        <w:pStyle w:val="StandardWeb"/>
      </w:pPr>
      <w:r>
        <w:t>Die Lehrkraft wirkt ganz besonders gut für das kirchliche Profil der Schule.</w:t>
      </w:r>
    </w:p>
    <w:p w:rsidR="00BE1EFE" w:rsidRDefault="00BE1EFE">
      <w:pPr>
        <w:pStyle w:val="StandardWeb"/>
      </w:pPr>
    </w:p>
    <w:p w:rsidR="00BE1EFE" w:rsidRDefault="00BE1EFE">
      <w:pPr>
        <w:pStyle w:val="StandardWeb"/>
      </w:pPr>
      <w:r>
        <w:t>Leistung, die die Anforderungen übersteigt (UB):</w:t>
      </w:r>
    </w:p>
    <w:p w:rsidR="00BE1EFE" w:rsidRDefault="00BE1EFE">
      <w:pPr>
        <w:pStyle w:val="StandardWeb"/>
      </w:pPr>
      <w:r>
        <w:t>Dieses Gesamturteil ist der Lehrkraft zu erteilen, die nach Leistung, Eignung und Befähigung die Anforderungen übertrifft, die normaler- und billigerweise an Lehrkräfte ihrer Besoldungs</w:t>
      </w:r>
      <w:r>
        <w:softHyphen/>
        <w:t>gruppe gestellt werden. Es handelt sich also um eine Lehrkraft, die über ein umfassendes Fachwissen verfügt, sich in jeder Hinsicht bewährt und kontaktfreudig, selbstkritisch und urteilssicher, einwandfreie Leistungen erbringt, die auch besonders schwierige schulische Situationen meistert und das Schulleben verantwortungsbewusst mitgestaltet.</w:t>
      </w:r>
    </w:p>
    <w:p w:rsidR="00BE1EFE" w:rsidRDefault="00BE1EFE">
      <w:pPr>
        <w:pStyle w:val="StandardWeb"/>
      </w:pPr>
      <w:r>
        <w:t>Die Lehrkraft wirkt überdurchschnittlich für das kirchliche Profil der Schule.</w:t>
      </w:r>
    </w:p>
    <w:p w:rsidR="00BE1EFE" w:rsidRDefault="00BE1EFE">
      <w:pPr>
        <w:pStyle w:val="StandardWeb"/>
      </w:pPr>
    </w:p>
    <w:p w:rsidR="00BE1EFE" w:rsidRDefault="00BE1EFE">
      <w:pPr>
        <w:pStyle w:val="StandardWeb"/>
      </w:pPr>
      <w:r>
        <w:t>Leistung, die den Anforderungen voll entspricht (VE):</w:t>
      </w:r>
    </w:p>
    <w:p w:rsidR="00BE1EFE" w:rsidRDefault="00BE1EFE">
      <w:pPr>
        <w:pStyle w:val="StandardWeb"/>
      </w:pPr>
      <w:r>
        <w:t>Dieses Gesamturteil ist der Lehrkraft zu erteilen, die nach Leistung, Eignung und Befähigung den Anforderungen voll gerecht wird, die normaler- und billigerweise an Lehrkräfte ihrer Besoldungsgruppe gestellt werden. Es handelt sich also um eine Lehrkraft, die über ein reiches Fachwissen verfügt, sicheres pädagogisches Einfühlungsvermögen besitzt und schwierige Aufgaben verlässlich und zielstrebig erfüllt. Unerlässlich ist es, dass die Lehrkraft bei den Gesichtspunkten der Unterrichtsgestaltung, des erzieherischen Wirkens und des Unterrichtserfolgs die Anforderungen zuverlässig erfüllt.</w:t>
      </w:r>
    </w:p>
    <w:p w:rsidR="00BE1EFE" w:rsidRDefault="00BE1EFE">
      <w:pPr>
        <w:pStyle w:val="StandardWeb"/>
      </w:pPr>
      <w:r>
        <w:t>Die Lehrkraft wirkt deutlich für das kirchliche Profil der Schule.</w:t>
      </w:r>
    </w:p>
    <w:p w:rsidR="00BE1EFE" w:rsidRDefault="00BE1EFE">
      <w:pPr>
        <w:pStyle w:val="StandardWeb"/>
      </w:pPr>
    </w:p>
    <w:p w:rsidR="00BE1EFE" w:rsidRDefault="00BE1EFE">
      <w:pPr>
        <w:pStyle w:val="StandardWeb"/>
      </w:pPr>
      <w:r>
        <w:t>Leistung, die den Anforderungen in hohem Maße gerecht wird (HM):</w:t>
      </w:r>
    </w:p>
    <w:p w:rsidR="00BE1EFE" w:rsidRDefault="00BE1EFE">
      <w:pPr>
        <w:pStyle w:val="StandardWeb"/>
      </w:pPr>
      <w:r>
        <w:t xml:space="preserve">Dieses Gesamturteil ist der Lehrkraft zu erteilen, die nach Leistung, Eignung und Befähigung die Anforderungen erfüllt, die normaler- und billigerweise an Lehrkräfte ihrer Besoldungsgruppe gestellt werden. Es handelt sich also um eine Lehrkraft, die bei angemessenem Einsatz ihrer Kräfte ihre Aufgaben in der Regel ordnungsgemäß erledigt und die ihr in der Schule üblicherweise begegnenden Probleme aufgrund solider Berufskenntnisse im Wesentlichen löst. Unerlässlich ist es, dass die Lehrkraft den Unterricht fachgerecht </w:t>
      </w:r>
      <w:r>
        <w:lastRenderedPageBreak/>
        <w:t>gestaltet, die Schülerinnen und Schüler zu führen versteht und sichtbare Unterrichtserfolge erzielt.</w:t>
      </w:r>
    </w:p>
    <w:p w:rsidR="00BE1EFE" w:rsidRDefault="00BE1EFE">
      <w:pPr>
        <w:pStyle w:val="StandardWeb"/>
      </w:pPr>
      <w:r>
        <w:t>Die Lehrkraft wirkt in ausreichendem Maß für das kirchliche Profil der Schule.</w:t>
      </w:r>
    </w:p>
    <w:p w:rsidR="00BE1EFE" w:rsidRDefault="00BE1EFE">
      <w:pPr>
        <w:pStyle w:val="StandardWeb"/>
      </w:pPr>
    </w:p>
    <w:p w:rsidR="00BE1EFE" w:rsidRDefault="00BE1EFE">
      <w:pPr>
        <w:pStyle w:val="StandardWeb"/>
      </w:pPr>
      <w:r>
        <w:t>Leistung, die Mängel aufweist (MA):</w:t>
      </w:r>
    </w:p>
    <w:p w:rsidR="00BE1EFE" w:rsidRDefault="00BE1EFE">
      <w:pPr>
        <w:pStyle w:val="StandardWeb"/>
      </w:pPr>
      <w:r>
        <w:t>Dieses Gesamturteil ist der Lehrkraft zu erteilen, die nach Leistung, Eignung und Befähigung die Anforderungen nicht voll erfüllt, die normaler- und billigerweise an Lehrkräfte ihrer Besoldungsgruppe gestellt werden. Es handelt sich also um eine Lehrkraft, die sich bemüht, den ihr gestellten fachlichen und pädagogischen Aufgaben gerecht zu werden, deren Leistungen und Kenntnisse aber Mängel aufweisen, die durch Vorzüge auf anderen Gebieten nicht mehr ausgeglichen werden können, und deren Einsatzmöglichkeiten deshalb Beschränkungen unterworfen sind.</w:t>
      </w:r>
    </w:p>
    <w:p w:rsidR="00BE1EFE" w:rsidRDefault="00BE1EFE">
      <w:pPr>
        <w:pStyle w:val="StandardWeb"/>
      </w:pPr>
      <w:r>
        <w:t>Die Lehrkraft wirkt nur eingeschränkt für das kirchliche Profil der Schule.</w:t>
      </w:r>
    </w:p>
    <w:p w:rsidR="00BE1EFE" w:rsidRDefault="00BE1EFE">
      <w:pPr>
        <w:pStyle w:val="StandardWeb"/>
      </w:pPr>
    </w:p>
    <w:p w:rsidR="00BE1EFE" w:rsidRDefault="00BE1EFE">
      <w:pPr>
        <w:pStyle w:val="StandardWeb"/>
      </w:pPr>
      <w:r>
        <w:t>Leistung, die insgesamt unzureichend ist (IU):</w:t>
      </w:r>
    </w:p>
    <w:p w:rsidR="00BE1EFE" w:rsidRDefault="00BE1EFE">
      <w:pPr>
        <w:pStyle w:val="StandardWeb"/>
      </w:pPr>
      <w:r>
        <w:t>Dieses Gesamturteil ist der Lehrkraft zu erteilen, deren Leistungen den unerlässlichen Anforderungen nicht mehr genügen, die normaler- und billigerweise an Lehrkräfte ihrer Besoldungsgruppe gestellt werden. Es handelt sich also um eine Lehrkraft, die den ihr gestellten fachlichen und pädagogischen Aufgaben nicht gerecht wird.</w:t>
      </w:r>
    </w:p>
    <w:p w:rsidR="00BE1EFE" w:rsidRDefault="00BE1EFE">
      <w:pPr>
        <w:pStyle w:val="StandardWeb"/>
      </w:pPr>
      <w:r>
        <w:t>Die Lehrkraft wirkt kaum für das kirchliche Profil der Schule.</w:t>
      </w:r>
    </w:p>
    <w:p w:rsidR="00BE1EFE" w:rsidRDefault="00BE1EFE">
      <w:pPr>
        <w:pStyle w:val="StandardWeb"/>
      </w:pPr>
    </w:p>
    <w:p w:rsidR="00BE1EFE" w:rsidRDefault="00BE1EFE">
      <w:pPr>
        <w:pStyle w:val="StandardWeb"/>
      </w:pPr>
      <w:r>
        <w:t>2.3.3 Die bei den einzelnen Beurteilungsmerkmalen vergebenen Bewertungsstufen müssen das Gesamtergebnis tragen. Die für die Bildung des Gesamturteils wesentlichen Gründe sind darzulegen. Macht erst die Gewichtung bestimmter Einzelmerkmale die Vergabe einer bestimmten Bewertungsstufe plausibel und ist diese nicht schon in anderer Weise transparent gemacht, so ist diese Gewichtung darzustellen und zu begründen.</w:t>
      </w:r>
    </w:p>
    <w:p w:rsidR="00BE1EFE" w:rsidRDefault="00BE1EFE">
      <w:pPr>
        <w:pStyle w:val="StandardWeb"/>
      </w:pPr>
      <w:r>
        <w:t>Unterricht und Erziehung sind die Hauptaufgaben einer Lehrkraft und haben deshalb bei der Bildung des Gesamturteils zentrale Bedeutung. Ausgangspunkt der Bildung des Gesamturteils sollen daher hauptsächlich die Einzelwertungen der Merkmale „Unterrichtsplanung und Unterrichtsgestaltung“, „Unterrichtserfolg“ und „Erzieherisches Wirken“ sein; hiervon kann insbesondere abgewichen werden, wenn ein wesentlicher Teil der dienstlichen Aufgaben nicht unterrichtlicher Art ist.</w:t>
      </w:r>
    </w:p>
    <w:p w:rsidR="00BE1EFE" w:rsidRDefault="00BE1EFE">
      <w:pPr>
        <w:pStyle w:val="StandardWeb"/>
      </w:pPr>
    </w:p>
    <w:p w:rsidR="00BE1EFE" w:rsidRDefault="00BE1EFE">
      <w:pPr>
        <w:pStyle w:val="StandardWeb"/>
      </w:pPr>
      <w:r>
        <w:t>2.3.4 Teilzeitbeschäftigung oder Beurlaubung dürfen sich nicht nachteilig auf die Beurteilung auswirken. Dies gilt auch für die Tätigkeit als Mitglied der Mitarbeiter- oder der Schwerbehin</w:t>
      </w:r>
      <w:r>
        <w:softHyphen/>
        <w:t xml:space="preserve">dertenvertretung, </w:t>
      </w:r>
      <w:r w:rsidRPr="00C244EF">
        <w:t>der Diözesanen Arbeitsgemeinschaft oder</w:t>
      </w:r>
      <w:r>
        <w:t xml:space="preserve"> der Kommission für das Arbeits</w:t>
      </w:r>
      <w:r w:rsidRPr="00C244EF">
        <w:t>vertragsrecht der bayerischen Diözesen</w:t>
      </w:r>
      <w:r>
        <w:t>. Die aus wichtigem Grund (z. B. Kinder</w:t>
      </w:r>
      <w:r>
        <w:softHyphen/>
        <w:t xml:space="preserve">betreuung, </w:t>
      </w:r>
      <w:r w:rsidRPr="00C244EF">
        <w:t>Betreuung einer bzw. eines pflegebedürftigen Angehörigen</w:t>
      </w:r>
      <w:r>
        <w:t>) vorübergehend eingeschränkte Bereitschaft zur Übernahme einer Funktion darf nicht nachteilig gewertet werden.</w:t>
      </w:r>
    </w:p>
    <w:p w:rsidR="00BE1EFE" w:rsidRDefault="00BE1EFE">
      <w:pPr>
        <w:pStyle w:val="StandardWeb"/>
      </w:pPr>
    </w:p>
    <w:p w:rsidR="00BE1EFE" w:rsidRDefault="00BE1EFE">
      <w:pPr>
        <w:pStyle w:val="StandardWeb"/>
      </w:pPr>
      <w:r>
        <w:t xml:space="preserve">2.3.5 Im Beurteilungsbogen ist auch eine Aussage zur Schwerbehinderung (unter Angabe des Grades der Behinderung) zu treffen. </w:t>
      </w:r>
      <w:r w:rsidRPr="00C244EF">
        <w:t xml:space="preserve">Zu den schwerbehinderten Menschen gehört insoweit der Personenkreis nach </w:t>
      </w:r>
      <w:hyperlink r:id="rId1031" w:history="1">
        <w:r>
          <w:rPr>
            <w:rStyle w:val="Hyperlink"/>
          </w:rPr>
          <w:t>§ 2</w:t>
        </w:r>
        <w:r w:rsidRPr="00C244EF">
          <w:rPr>
            <w:rStyle w:val="Hyperlink"/>
          </w:rPr>
          <w:t xml:space="preserve"> Abs. 2 SGB IX</w:t>
        </w:r>
      </w:hyperlink>
      <w:r w:rsidRPr="00C244EF">
        <w:t xml:space="preserve"> (schwerbehinderte Menschen) und nach </w:t>
      </w:r>
      <w:hyperlink r:id="rId1032" w:history="1">
        <w:r w:rsidRPr="00022355">
          <w:rPr>
            <w:rStyle w:val="Hyperlink"/>
          </w:rPr>
          <w:t>§ 2 Abs. 3 SGB IX</w:t>
        </w:r>
      </w:hyperlink>
      <w:r w:rsidRPr="00C244EF">
        <w:t xml:space="preserve"> (gleich</w:t>
      </w:r>
      <w:r>
        <w:t xml:space="preserve">gestellte behinderte Menschen). </w:t>
      </w:r>
      <w:r w:rsidRPr="00C244EF">
        <w:t>Bei der Beurteilung der Leistung Schwerbehinderter ist eine evtl. Minderung der Arbeits- und/oder der Verwendungsfähigkeit durch ihre Behinderung zu berücksichtigen (</w:t>
      </w:r>
      <w:hyperlink r:id="rId1033" w:history="1">
        <w:r w:rsidRPr="00C244EF">
          <w:rPr>
            <w:rStyle w:val="Hyperlink"/>
          </w:rPr>
          <w:t>Art. 21 Abs. 2 LlbG</w:t>
        </w:r>
      </w:hyperlink>
      <w:r w:rsidRPr="00C244EF">
        <w:t xml:space="preserve"> in Verbindung mit </w:t>
      </w:r>
      <w:hyperlink r:id="rId1034" w:history="1">
        <w:r w:rsidRPr="003D527F">
          <w:rPr>
            <w:rStyle w:val="Hyperlink"/>
          </w:rPr>
          <w:t>Nr. 9.2 der Teilhaberichtlinien</w:t>
        </w:r>
      </w:hyperlink>
      <w:r w:rsidRPr="00C244EF">
        <w:t>).</w:t>
      </w:r>
      <w:r>
        <w:t xml:space="preserve"> </w:t>
      </w:r>
      <w:r w:rsidR="00F525B2">
        <w:br w:type="page"/>
      </w:r>
    </w:p>
    <w:p w:rsidR="00BE1EFE" w:rsidRDefault="00BE1EFE" w:rsidP="00F525B2">
      <w:pPr>
        <w:pStyle w:val="h8"/>
        <w:spacing w:before="0"/>
      </w:pPr>
      <w:bookmarkStart w:id="751" w:name="_Toc523926279"/>
      <w:r>
        <w:lastRenderedPageBreak/>
        <w:t>3. Verwendungseignung</w:t>
      </w:r>
      <w:bookmarkEnd w:id="751"/>
    </w:p>
    <w:p w:rsidR="00BE1EFE" w:rsidRPr="00B76821" w:rsidRDefault="00BE1EFE" w:rsidP="00B76821">
      <w:pPr>
        <w:pStyle w:val="h9"/>
        <w:keepNext w:val="0"/>
        <w:spacing w:before="0" w:after="0"/>
        <w:outlineLvl w:val="5"/>
        <w:rPr>
          <w:sz w:val="2"/>
        </w:rPr>
      </w:pPr>
    </w:p>
    <w:p w:rsidR="00BE1EFE" w:rsidRDefault="00BE1EFE">
      <w:pPr>
        <w:pStyle w:val="StandardWeb"/>
      </w:pPr>
      <w:r>
        <w:t>3.1 Sind Angaben dazu möglich, für welche dienstlichen Aufgaben und beförderungsrelevan-ten Funktionen die beurteilte Lehrkraft in Betracht kommt, so sind diese bei dem Beurteilungs</w:t>
      </w:r>
      <w:r>
        <w:softHyphen/>
        <w:t>merkmal „Verwendungseignung“ zu vermerken. Die Beurteilungsaussagen müssen die Feststellung über die dienstliche Verwendungseignung tragen. Maßgebend ist jeweils die Eignung einer Lehrkraft, nicht z. B. die organisatorische Situation an der einzelnen Schule. Aussagen zur Verwendungseignung werden nicht gesondert bewertet.</w:t>
      </w:r>
    </w:p>
    <w:p w:rsidR="00BE1EFE" w:rsidRDefault="00BE1EFE">
      <w:pPr>
        <w:pStyle w:val="StandardWeb"/>
      </w:pPr>
    </w:p>
    <w:p w:rsidR="00BE1EFE" w:rsidRDefault="00BE1EFE">
      <w:pPr>
        <w:pStyle w:val="StandardWeb"/>
      </w:pPr>
      <w:r>
        <w:t>3.2 Sofern für die oder den Beurteilten eine Verwendung in Führungspositionen (z. B. Schulleiterin, Schulleiter, Mitarbeiterinnen und Mitarbeiter im Direktorat, Lehrkraft mit Führungsaufgaben) in Betracht kommt, ist eine differenzierte Aussage zur Führungs</w:t>
      </w:r>
      <w:r>
        <w:softHyphen/>
        <w:t>qualifikation (Führungspotenzial) zu treffen.</w:t>
      </w:r>
    </w:p>
    <w:p w:rsidR="00BE1EFE" w:rsidRDefault="00BE1EFE">
      <w:pPr>
        <w:pStyle w:val="StandardWeb"/>
      </w:pPr>
    </w:p>
    <w:p w:rsidR="00BE1EFE" w:rsidRDefault="00BE1EFE">
      <w:pPr>
        <w:pStyle w:val="StandardWeb"/>
      </w:pPr>
      <w:r>
        <w:t>3.3 Bei in Betracht gezogener Verwendung in herausgehobenen Funktionen sind folgende Kriterien zu berücksichtigen:</w:t>
      </w:r>
    </w:p>
    <w:p w:rsidR="00BE1EFE" w:rsidRDefault="00BE1EFE">
      <w:pPr>
        <w:pStyle w:val="StandardWeb"/>
      </w:pPr>
    </w:p>
    <w:p w:rsidR="00BE1EFE" w:rsidRDefault="00BE1EFE">
      <w:pPr>
        <w:pStyle w:val="StandardWeb"/>
      </w:pPr>
      <w:r>
        <w:t>– Auftreten, persönliche Wirkung,</w:t>
      </w:r>
    </w:p>
    <w:p w:rsidR="00BE1EFE" w:rsidRDefault="00BE1EFE">
      <w:pPr>
        <w:pStyle w:val="StandardWeb"/>
      </w:pPr>
      <w:r>
        <w:t>– Kontaktfähigkeit,</w:t>
      </w:r>
    </w:p>
    <w:p w:rsidR="00BE1EFE" w:rsidRDefault="00BE1EFE">
      <w:pPr>
        <w:pStyle w:val="StandardWeb"/>
      </w:pPr>
      <w:r>
        <w:t>– Zuhören,</w:t>
      </w:r>
    </w:p>
    <w:p w:rsidR="00BE1EFE" w:rsidRDefault="00BE1EFE">
      <w:pPr>
        <w:pStyle w:val="StandardWeb"/>
      </w:pPr>
      <w:r>
        <w:t>– Ausdrucksfähigkeit,</w:t>
      </w:r>
    </w:p>
    <w:p w:rsidR="00BE1EFE" w:rsidRDefault="00BE1EFE">
      <w:pPr>
        <w:pStyle w:val="StandardWeb"/>
      </w:pPr>
      <w:r>
        <w:t>– Argumentation,</w:t>
      </w:r>
    </w:p>
    <w:p w:rsidR="00BE1EFE" w:rsidRDefault="00BE1EFE">
      <w:pPr>
        <w:pStyle w:val="StandardWeb"/>
      </w:pPr>
      <w:r>
        <w:t>– Überzeugungskraft,</w:t>
      </w:r>
    </w:p>
    <w:p w:rsidR="00BE1EFE" w:rsidRDefault="00BE1EFE">
      <w:pPr>
        <w:pStyle w:val="StandardWeb"/>
      </w:pPr>
      <w:r>
        <w:t>– Durchsetzungsvermögen,</w:t>
      </w:r>
    </w:p>
    <w:p w:rsidR="00BE1EFE" w:rsidRDefault="00BE1EFE">
      <w:pPr>
        <w:pStyle w:val="StandardWeb"/>
      </w:pPr>
      <w:r>
        <w:t>– Motivationsfähigkeit,</w:t>
      </w:r>
    </w:p>
    <w:p w:rsidR="00BE1EFE" w:rsidRDefault="00BE1EFE">
      <w:pPr>
        <w:pStyle w:val="StandardWeb"/>
      </w:pPr>
      <w:r>
        <w:t>– Gesprächsführung,</w:t>
      </w:r>
    </w:p>
    <w:p w:rsidR="00BE1EFE" w:rsidRDefault="00BE1EFE">
      <w:pPr>
        <w:pStyle w:val="StandardWeb"/>
      </w:pPr>
      <w:r>
        <w:t>– Lösen/Bewältigen von schwierigen Situationen und Konflikten,</w:t>
      </w:r>
    </w:p>
    <w:p w:rsidR="00BE1EFE" w:rsidRDefault="00BE1EFE">
      <w:pPr>
        <w:pStyle w:val="StandardWeb"/>
      </w:pPr>
      <w:r>
        <w:t>– Zeitmanagement,</w:t>
      </w:r>
    </w:p>
    <w:p w:rsidR="00BE1EFE" w:rsidRDefault="00BE1EFE">
      <w:pPr>
        <w:pStyle w:val="StandardWeb"/>
      </w:pPr>
      <w:r>
        <w:t>– Informationsverhalten,</w:t>
      </w:r>
    </w:p>
    <w:p w:rsidR="00BE1EFE" w:rsidRDefault="00BE1EFE">
      <w:pPr>
        <w:pStyle w:val="StandardWeb"/>
      </w:pPr>
      <w:r>
        <w:t>– Organisationsgeschick,</w:t>
      </w:r>
    </w:p>
    <w:p w:rsidR="00BE1EFE" w:rsidRDefault="00BE1EFE">
      <w:pPr>
        <w:pStyle w:val="StandardWeb"/>
      </w:pPr>
      <w:r>
        <w:t>– Aufgeschlossenheit gegenüber Gesamtinteressen/Sensibilität für Umweltbedingungen,</w:t>
      </w:r>
    </w:p>
    <w:p w:rsidR="00BE1EFE" w:rsidRDefault="00BE1EFE">
      <w:pPr>
        <w:pStyle w:val="StandardWeb"/>
      </w:pPr>
      <w:r>
        <w:t>– Strategisches Denken,</w:t>
      </w:r>
    </w:p>
    <w:p w:rsidR="00BE1EFE" w:rsidRDefault="00BE1EFE">
      <w:pPr>
        <w:pStyle w:val="StandardWeb"/>
      </w:pPr>
      <w:r>
        <w:t>– Diagnosefähigkeit/Urteilsvermögen,</w:t>
      </w:r>
    </w:p>
    <w:p w:rsidR="00BE1EFE" w:rsidRDefault="00BE1EFE">
      <w:pPr>
        <w:pStyle w:val="StandardWeb"/>
      </w:pPr>
      <w:r>
        <w:t>– Kreatives Denken,</w:t>
      </w:r>
    </w:p>
    <w:p w:rsidR="00BE1EFE" w:rsidRDefault="00BE1EFE">
      <w:pPr>
        <w:pStyle w:val="StandardWeb"/>
      </w:pPr>
      <w:r>
        <w:t>– Innovatives Denken,</w:t>
      </w:r>
    </w:p>
    <w:p w:rsidR="00BE1EFE" w:rsidRDefault="00BE1EFE">
      <w:pPr>
        <w:pStyle w:val="StandardWeb"/>
      </w:pPr>
      <w:r>
        <w:t>– Identifikation mit dem kirchlichen Profil,</w:t>
      </w:r>
    </w:p>
    <w:p w:rsidR="00BE1EFE" w:rsidRDefault="00BE1EFE">
      <w:pPr>
        <w:pStyle w:val="StandardWeb"/>
      </w:pPr>
      <w:r>
        <w:t>– Einsatz für die Umsetzung des kirchlichen Profils.</w:t>
      </w:r>
    </w:p>
    <w:p w:rsidR="00BE1EFE" w:rsidRDefault="00BE1EFE">
      <w:pPr>
        <w:pStyle w:val="StandardWeb"/>
      </w:pPr>
    </w:p>
    <w:p w:rsidR="00BE1EFE" w:rsidRDefault="00BE1EFE">
      <w:pPr>
        <w:pStyle w:val="StandardWeb"/>
      </w:pPr>
      <w:r>
        <w:t>3.4 Auf eine Aussage zur Verwendungseignung wird verzichtet,</w:t>
      </w:r>
    </w:p>
    <w:p w:rsidR="00BE1EFE" w:rsidRDefault="00BE1EFE">
      <w:pPr>
        <w:pStyle w:val="StandardWeb"/>
      </w:pPr>
    </w:p>
    <w:p w:rsidR="00BE1EFE" w:rsidRDefault="00BE1EFE">
      <w:pPr>
        <w:pStyle w:val="StandardWeb"/>
      </w:pPr>
      <w:r>
        <w:t>a) wenn der Lehrkraft die Funktion, für die sie geeignet erscheint, bereits übertragen ist, es sei denn, die Funktion ist in verschiedenen Besoldungsgruppen ausgewiesen,</w:t>
      </w:r>
    </w:p>
    <w:p w:rsidR="00BE1EFE" w:rsidRDefault="00BE1EFE">
      <w:pPr>
        <w:pStyle w:val="StandardWeb"/>
      </w:pPr>
      <w:r>
        <w:t>b) wenn keine entsprechende Eignungsaussage vorgesehen ist.</w:t>
      </w:r>
    </w:p>
    <w:p w:rsidR="00BE1EFE" w:rsidRDefault="00BE1EFE">
      <w:pPr>
        <w:pStyle w:val="StandardWeb"/>
      </w:pPr>
      <w:r>
        <w:br w:type="page"/>
      </w:r>
    </w:p>
    <w:p w:rsidR="00BE1EFE" w:rsidRDefault="00BE1EFE" w:rsidP="00E87479">
      <w:pPr>
        <w:pStyle w:val="h8"/>
        <w:spacing w:before="0"/>
      </w:pPr>
      <w:bookmarkStart w:id="752" w:name="_Toc523926280"/>
      <w:r>
        <w:lastRenderedPageBreak/>
        <w:t>4. Beurteilungsverfahren</w:t>
      </w:r>
      <w:bookmarkEnd w:id="752"/>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4.1 Allgemeines</w:t>
      </w:r>
    </w:p>
    <w:p w:rsidR="00BE1EFE" w:rsidRDefault="00BE1EFE">
      <w:pPr>
        <w:pStyle w:val="StandardWeb"/>
      </w:pPr>
    </w:p>
    <w:p w:rsidR="00BE1EFE" w:rsidRDefault="00BE1EFE">
      <w:pPr>
        <w:pStyle w:val="StandardWeb"/>
      </w:pPr>
      <w:r>
        <w:t>4.1.1 Die bzw. der Beurteilende hat der dienstlichen Beurteilung Tatsachen aus dem gesam</w:t>
      </w:r>
      <w:r>
        <w:softHyphen/>
        <w:t>ten Beurteilungszeitraum und aus dem gesamten Aufgabenbereich der zu beurteilenden Lehrkraft zugrunde zu legen. Dabei sind Beobachtungen heranzuziehen, die innerhalb und außerhalb des Unterrichts gemacht werden. Als Hilfen dienen dabei vor allem Unterrichts</w:t>
      </w:r>
      <w:r>
        <w:softHyphen/>
        <w:t>besuche, daneben die Überprüfung der Aufgabenstellung, der Korrektur und Bewertung von Schülerinnen- und Schülerarbeiten, die persönliche Aussprache sowie die Stellungnahme von weiteren am Beurteilungsverfahren beteiligten Personen. Der Leistungsfortschritt der Klasse ist ein wichtiger Indikator.</w:t>
      </w:r>
    </w:p>
    <w:p w:rsidR="00BE1EFE" w:rsidRDefault="00BE1EFE">
      <w:pPr>
        <w:pStyle w:val="StandardWeb"/>
      </w:pPr>
    </w:p>
    <w:p w:rsidR="00BE1EFE" w:rsidRDefault="00BE1EFE">
      <w:pPr>
        <w:pStyle w:val="StandardWeb"/>
      </w:pPr>
      <w:r>
        <w:t>4.1.2 Unterrichtsbesuche sollen mehrmals – über den Beurteilungszeitraum verteilt – erfolgen.</w:t>
      </w:r>
    </w:p>
    <w:p w:rsidR="00BE1EFE" w:rsidRDefault="00BE1EFE">
      <w:pPr>
        <w:pStyle w:val="StandardWeb"/>
      </w:pPr>
      <w:r>
        <w:t xml:space="preserve">Bei Realschulen, Gymnasien und beruflichen Schulen einschließlich den entsprechenden Schulen zur sonderpädagogischen Förderung ist darauf zu achten, dass Unterrichtsbesuche in allen Fächern, in denen die Lehrkraft die Lehramtsbefähigung besitzt und Unterricht gibt –verteilt auf verschiedene Jahrgangsstufen – durchgeführt werden. </w:t>
      </w:r>
      <w:r w:rsidRPr="000814DA">
        <w:t xml:space="preserve">Besitzt die Lehrkraft keine Lehramtsbefähigung, sind insoweit maßgeblich die Fächer, in </w:t>
      </w:r>
      <w:r>
        <w:t>denen die Lehrkraft stundenplan</w:t>
      </w:r>
      <w:r w:rsidRPr="000814DA">
        <w:t>mäßigen Unterricht erteilt.</w:t>
      </w:r>
    </w:p>
    <w:p w:rsidR="00BE1EFE" w:rsidRDefault="00BE1EFE">
      <w:pPr>
        <w:pStyle w:val="StandardWeb"/>
      </w:pPr>
      <w:r>
        <w:t>Bei Grund- und Mittelschulen, Grund- und Mittelschulen zur sonderpädagogischen Förderung und Schulen für Kranke sollen Unterrichtsbesuche in verschiedenen Jahrgangsstufen und Unterrichtsfächern erfolgen.</w:t>
      </w:r>
    </w:p>
    <w:p w:rsidR="00BE1EFE" w:rsidRDefault="00BE1EFE">
      <w:pPr>
        <w:pStyle w:val="StandardWeb"/>
      </w:pPr>
      <w:r>
        <w:t>Unterrichtsbesuche finden im Allgemeinen ohne Benachrichtigung der Lehrkraft statt. Bei der Ansetzung von Unterrichtsbesuchen wird auf ungünstige Umstände Rücksicht genommen (z. B. nach Erkrankungen der Lehrkraft). Die erfolgten Unterrichtsbesuche sind zeitnah mit der Lehrkraft zu besprechen. Dieses Gespräch ist von besonderer Bedeutung,</w:t>
      </w:r>
    </w:p>
    <w:p w:rsidR="00BE1EFE" w:rsidRDefault="00BE1EFE">
      <w:pPr>
        <w:pStyle w:val="StandardWeb"/>
      </w:pPr>
      <w:r>
        <w:t>– weil es der Lehrkraft die Möglichkeit gibt, ihre Arbeit zu begründen und ihr Verhalten zu interpretieren,</w:t>
      </w:r>
    </w:p>
    <w:p w:rsidR="00BE1EFE" w:rsidRDefault="00BE1EFE">
      <w:pPr>
        <w:pStyle w:val="StandardWeb"/>
      </w:pPr>
      <w:r>
        <w:t>– weil es für die oder den Beurteilenden Anlass sein kann, das Urteil zu korrigieren oder zu festigen,</w:t>
      </w:r>
    </w:p>
    <w:p w:rsidR="00BE1EFE" w:rsidRDefault="00BE1EFE">
      <w:pPr>
        <w:pStyle w:val="StandardWeb"/>
      </w:pPr>
      <w:r>
        <w:t>– weil es in der Begegnung zwischen Lehrkraft und der oder dem Beurteilenden eine Situation schafft, die über den unmittelbaren Anlass hinaus förderlich sein und zum gegenseitigen Vertrauensverhältnis beitragen kann.</w:t>
      </w:r>
    </w:p>
    <w:p w:rsidR="00BE1EFE" w:rsidRDefault="00BE1EFE">
      <w:pPr>
        <w:pStyle w:val="StandardWeb"/>
      </w:pPr>
    </w:p>
    <w:p w:rsidR="00BE1EFE" w:rsidRDefault="00BE1EFE">
      <w:pPr>
        <w:pStyle w:val="StandardWeb"/>
      </w:pPr>
      <w:r>
        <w:t>Der wesentliche Gesprächsinhalt ist zu dokumentieren.</w:t>
      </w:r>
    </w:p>
    <w:p w:rsidR="00BE1EFE" w:rsidRDefault="00BE1EFE">
      <w:pPr>
        <w:pStyle w:val="StandardWeb"/>
      </w:pPr>
    </w:p>
    <w:p w:rsidR="00BE1EFE" w:rsidRDefault="00BE1EFE">
      <w:pPr>
        <w:pStyle w:val="StandardWeb"/>
      </w:pPr>
      <w:r>
        <w:t>4.1.3 Die dienstlichen Beurteilungen sollen nicht ausschließlich aufgrund eigener Wahr</w:t>
      </w:r>
      <w:r>
        <w:softHyphen/>
        <w:t>nehmungen der bzw. des Beurteilenden angefertigt werden. Die letzte Verantwortung für die dienstliche Beurteilung bleibt aber stets bei ihr bzw. ihm.</w:t>
      </w:r>
    </w:p>
    <w:p w:rsidR="00BE1EFE" w:rsidRDefault="00BE1EFE">
      <w:pPr>
        <w:pStyle w:val="StandardWeb"/>
      </w:pPr>
      <w:r>
        <w:t>Beurteilende Schulleiterinnen oder Schulleiter können Beobachtungen ihrer Stellvertreterinnen bzw. Stellvertreter (einschließlich Außenstellen</w:t>
      </w:r>
      <w:r w:rsidRPr="000814DA">
        <w:t>leiterinnen bzw. Außenstellenleiter beruflicher Schulen</w:t>
      </w:r>
      <w:r>
        <w:t>), der Lehrkräfte mit Führungsaufgaben und der Fachbetreuerinnen bzw. Fach</w:t>
      </w:r>
      <w:r>
        <w:softHyphen/>
        <w:t>betreuer als Beurteilungsgrundlagen heranziehen und diese Lehrkräfte an Unterrichts</w:t>
      </w:r>
      <w:r>
        <w:softHyphen/>
        <w:t>besuchen beteiligen. Während Fachbetreuerinnen bzw. Fachbetreuer die Schulleiterinnen bzw. Schulleiter sowie die Stellvertreterinnen bzw. Stellvertreter bei den Unterrichtsbesuchen begleiten, können die Stellvertreterinnen bzw. Stellvertreter und die Lehrkräfte der mit Führungsaufgaben von der Schulleiterin bzw. dem Schulleiter mit der Durchführung eigen</w:t>
      </w:r>
      <w:r>
        <w:softHyphen/>
        <w:t>ständiger Unterrichtsbesuche betraut werden.</w:t>
      </w:r>
    </w:p>
    <w:p w:rsidR="00BE1EFE" w:rsidRDefault="00BE1EFE">
      <w:pPr>
        <w:pStyle w:val="StandardWeb"/>
      </w:pPr>
      <w:r>
        <w:lastRenderedPageBreak/>
        <w:t>Die von der Schulleiterin oder dem Schulleiter beauftragten Stellvertreterinnen bzw. Stellver</w:t>
      </w:r>
      <w:r>
        <w:softHyphen/>
        <w:t>treter, Lehrkräfte der mit Führungsaufgaben, Fachbetreuerinnen bzw. Fachbetreuer sowie Fachberaterinnen bzw. Fachberater sind zur Übernahme dieser Aufgaben verpflichtet. Bei der dienstlichen Beurteilung von Fachlehrerinnen und Fachlehrern im Bereich der beruflichen Schulen soll die oder der Beurteilende aufgrund der besonderen Struktur des fachpraktischen Unterrichts fachkundige Lehrkräfte beteiligen.</w:t>
      </w:r>
    </w:p>
    <w:p w:rsidR="00BE1EFE" w:rsidRDefault="00BE1EFE" w:rsidP="0007475B">
      <w:pPr>
        <w:pStyle w:val="StandardWeb"/>
      </w:pPr>
      <w:r>
        <w:t>Die eigenständig Unterrichtsbesuche durchführenden Personen sowie die Fachbetreuerinnen und Fachbetreuer haben auf Anforderung der Schulleiterin bzw. des Schulleiters Beiträge zur Beurteilung zu erstellen.</w:t>
      </w:r>
    </w:p>
    <w:p w:rsidR="00BE1EFE" w:rsidRDefault="00BE1EFE" w:rsidP="0007475B">
      <w:pPr>
        <w:pStyle w:val="StandardWeb"/>
      </w:pPr>
      <w:r>
        <w:t>Sofern die beurteilende Person im Rahmen dieser Beurteilungsrichtlinien allgemeinverbind</w:t>
      </w:r>
      <w:r>
        <w:softHyphen/>
        <w:t>liche Vorgaben hinsichtlich der verfahrensgemäßen Durchführung der Unterrichtsbesuche und/oder der Erstellung der Beurteilungsbeiträge beabsichtigt, bedarf es der Mitbestimmung der örtlichen Mitarbeitervertretung gemäß § 36 Abs. 1 Nr. 6 MAVO.</w:t>
      </w:r>
    </w:p>
    <w:p w:rsidR="00BE1EFE" w:rsidRDefault="00BE1EFE" w:rsidP="0007475B">
      <w:pPr>
        <w:pStyle w:val="StandardWeb"/>
      </w:pPr>
      <w:r>
        <w:t>Die Lehrkraft hat ein Recht auf Einsichtnahme in die sie betreffenden, der beurteilenden Person zugeleiteten Beurteilungsbeiträge.</w:t>
      </w:r>
    </w:p>
    <w:p w:rsidR="00BE1EFE" w:rsidRDefault="00BE1EFE">
      <w:pPr>
        <w:pStyle w:val="StandardWeb"/>
      </w:pPr>
    </w:p>
    <w:p w:rsidR="00BE1EFE" w:rsidRDefault="00BE1EFE">
      <w:pPr>
        <w:pStyle w:val="StandardWeb"/>
      </w:pPr>
      <w:r>
        <w:t>4.1.4 Schriftlich festgelegte und zum Personalakt genommene Zielvereinbarungen, die zur Erfüllung der Dienstaufgaben getroffen wurden, sind Gegenstand der dienstlichen Beurteilung.</w:t>
      </w:r>
    </w:p>
    <w:p w:rsidR="00BE1EFE" w:rsidRDefault="00BE1EFE">
      <w:pPr>
        <w:pStyle w:val="StandardWeb"/>
      </w:pPr>
    </w:p>
    <w:p w:rsidR="00BE1EFE" w:rsidRDefault="00BE1EFE">
      <w:pPr>
        <w:pStyle w:val="StandardWeb"/>
      </w:pPr>
      <w:r>
        <w:t>4.1.5 Bei Teilzeitbeschäftigung gelten die gleichen Grundsätze für die Beurteilung wie bei Vollbeschäftigung. Der verminderte Umfang der Unterrichtspflichtzeit ist entsprechend § 8 Abs. 1 Satz 4 KLDO zu beachten.</w:t>
      </w:r>
    </w:p>
    <w:p w:rsidR="00BE1EFE" w:rsidRDefault="00BE1EFE">
      <w:pPr>
        <w:pStyle w:val="StandardWeb"/>
      </w:pPr>
    </w:p>
    <w:p w:rsidR="00BE1EFE" w:rsidRDefault="00BE1EFE">
      <w:pPr>
        <w:pStyle w:val="StandardWeb"/>
        <w:rPr>
          <w:b/>
          <w:bCs/>
        </w:rPr>
      </w:pPr>
      <w:r>
        <w:t>4.1.6 Der Beurteilungsbogen kann nach Maßgabe des Schulträgers gemäß anliegendem Muster vereinfacht sein.</w:t>
      </w:r>
    </w:p>
    <w:p w:rsidR="00BE1EFE" w:rsidRDefault="00BE1EFE">
      <w:pPr>
        <w:pStyle w:val="StandardWeb"/>
        <w:rPr>
          <w:b/>
          <w:bCs/>
        </w:rPr>
      </w:pPr>
    </w:p>
    <w:p w:rsidR="00BE1EFE" w:rsidRDefault="00BE1EFE" w:rsidP="0054275E">
      <w:pPr>
        <w:pStyle w:val="StandardWeb"/>
        <w:autoSpaceDE w:val="0"/>
      </w:pPr>
      <w:r>
        <w:rPr>
          <w:rStyle w:val="Fett"/>
          <w:bCs/>
        </w:rPr>
        <w:t>4.2</w:t>
      </w:r>
      <w:r>
        <w:t xml:space="preserve"> </w:t>
      </w:r>
      <w:r>
        <w:rPr>
          <w:rStyle w:val="Fett"/>
          <w:bCs/>
        </w:rPr>
        <w:t>Periodische Beurteilungen*</w:t>
      </w:r>
    </w:p>
    <w:p w:rsidR="00BE1EFE" w:rsidRPr="0007475B" w:rsidRDefault="00BE1EFE">
      <w:pPr>
        <w:pStyle w:val="StandardWeb"/>
        <w:rPr>
          <w:sz w:val="12"/>
          <w:szCs w:val="12"/>
        </w:rPr>
      </w:pPr>
      <w:r w:rsidRPr="0007475B">
        <w:rPr>
          <w:sz w:val="12"/>
          <w:szCs w:val="12"/>
        </w:rPr>
        <w:t>*Periodische Beurteilungen im Sinne dieser Anlage sind die Beurteilungen der unbefristet arbeitsvertraglich beschäftigten Lehrkräfte nach Teil B, 4.3. sowie die periodischen Beurteilungen der Beamtinnen und Beamten des Katholischen Schulwerks in Bayern.</w:t>
      </w:r>
    </w:p>
    <w:p w:rsidR="00BE1EFE" w:rsidRDefault="00BE1EFE">
      <w:pPr>
        <w:pStyle w:val="StandardWeb"/>
      </w:pPr>
    </w:p>
    <w:p w:rsidR="00BE1EFE" w:rsidRDefault="00BE1EFE" w:rsidP="0054275E">
      <w:pPr>
        <w:pStyle w:val="StandardWeb"/>
        <w:autoSpaceDE w:val="0"/>
      </w:pPr>
      <w:r>
        <w:rPr>
          <w:rStyle w:val="Fett"/>
          <w:bCs/>
        </w:rPr>
        <w:t>4.2.1. Beurteilungszeitraum</w:t>
      </w:r>
    </w:p>
    <w:p w:rsidR="00BE1EFE" w:rsidRDefault="00BE1EFE">
      <w:pPr>
        <w:pStyle w:val="StandardWeb"/>
      </w:pPr>
    </w:p>
    <w:p w:rsidR="00BE1EFE" w:rsidRDefault="00BE1EFE" w:rsidP="00113710">
      <w:pPr>
        <w:pStyle w:val="StandardWeb"/>
      </w:pPr>
      <w:r>
        <w:t>a) Der Beurteilungszeitraum umfasst bei Beamtinnen und Beamten des Katholischen Schulwerks grundsätzlich vier Kalenderjahre, bei arbeitsvertraglich beschäftigten Lehrkräften drei bzw. fünf Jahre gemäß ABD Teil B, 4.3. Ordnung für Berufsbezeichnungen (OfB); er schließt an den Zeitraum der vorangegangenen periodischen Beurteilung an. Die Beurteilung ist unmittelbar nach dem Ende des Beurteilungszeitraums zu erstellen. Der Beurteilungs</w:t>
      </w:r>
      <w:r>
        <w:softHyphen/>
        <w:t xml:space="preserve">zeitraum ist, abgesehen von begründeten Sonderfällen, auszuschöpfen. Ein begründeter Ausnahmefall liegt insbesondere vor, wenn die Schulleiterin bzw. der Schulleiter zum Ende des im letzten Jahr des Beurteilungszeitraums liegenden Schuljahres die Schule wechselt, in die Freistellungsphase der Altersteilzeit, </w:t>
      </w:r>
      <w:r w:rsidRPr="0007475B">
        <w:t>in ein Freistellungsjahr vor dem Ruhestand</w:t>
      </w:r>
      <w:r>
        <w:t xml:space="preserve"> oder in den Ruhestand tritt. In diesen Fällen hat sie bzw. er die dienstlichen Beurteilungen vorher rechtzeitig abzuschließen und zu eröffnen, soweit keine zwingenden Gründe entgegenstehen.</w:t>
      </w:r>
    </w:p>
    <w:p w:rsidR="00BE1EFE" w:rsidRDefault="00BE1EFE">
      <w:pPr>
        <w:pStyle w:val="StandardWeb"/>
      </w:pPr>
    </w:p>
    <w:p w:rsidR="00BE1EFE" w:rsidRDefault="00BE1EFE">
      <w:pPr>
        <w:pStyle w:val="StandardWeb"/>
      </w:pPr>
      <w:r>
        <w:t xml:space="preserve">b) Die Beurteilungszeiträume werden bei Beamtinnen und Beamten des Katholischen Schulwerks durch das Katholische Schulwerk in Bayern gemäß den Beurteilungsrichtlinien des Staatsministeriums festgelegt. </w:t>
      </w:r>
    </w:p>
    <w:p w:rsidR="00BE1EFE" w:rsidRDefault="00BE1EFE">
      <w:pPr>
        <w:pStyle w:val="StandardWeb"/>
      </w:pPr>
      <w:r>
        <w:t xml:space="preserve">Die Beurteilungszeiträume für arbeitsvertraglich beschäftigte Lehrkräfte sind gemäß Teil B, 4.3. individuell und umfassen entweder drei oder fünf Jahre. </w:t>
      </w:r>
    </w:p>
    <w:p w:rsidR="00BE1EFE" w:rsidRDefault="00BE1EFE">
      <w:pPr>
        <w:pStyle w:val="StandardWeb"/>
      </w:pPr>
    </w:p>
    <w:p w:rsidR="00BE1EFE" w:rsidRDefault="00BE1EFE" w:rsidP="003A4FC5">
      <w:pPr>
        <w:pStyle w:val="StandardWeb"/>
      </w:pPr>
      <w:r>
        <w:lastRenderedPageBreak/>
        <w:t xml:space="preserve">c) Für Beamtinnen und Beamte des Katholischen Schulwerks, die jeweils länger als sechs Monate beurlaubt oder an eine nicht mit unterrichtlichen Aufgaben befasste Stelle abgeordnet oder versetzt waren und im Lauf des letzten Jahres des Beurteilungszeitraums in den Schuldienst zurückkehren, sind zum Ablauf eines Jahres nach der Rückkehr Beurteilungen zu erstellen. Gleiches gilt sinngemäß für länger als sechs Monate beurlaubte, abgeordnete oder versetzte Lehrkräfte, die im Lauf des ersten oder zweiten Jahres eines Beurteilungs-zeitraumes den Schuldienst wieder antreten und im Rahmen der regulären periodischen Beurteilung nicht beurteilt wurden. </w:t>
      </w:r>
    </w:p>
    <w:p w:rsidR="00BE1EFE" w:rsidRDefault="00BE1EFE" w:rsidP="003A4FC5">
      <w:pPr>
        <w:pStyle w:val="StandardWeb"/>
      </w:pPr>
      <w:r>
        <w:t>Für arbeitsvertraglich beschäftigte Lehrkräfte, die jeweils länger als sechs Monate beurlaubt oder an eine nicht mit unterrichtlichen Aufgaben befasste Stelle abgeordnet oder versetzt waren und im Lauf des letzten Jahres des Beurteilungszeitraums in den Schuldienst zurückkehren, sind Beurteilungen zum Ablauf eines Jahres nach der Rückkehr zu erstellen. Vorstehendes gilt sinngemäß für abgeordnete oder versetzte bzw. beurlaubte Lehrkräfte, die im Lauf des ersten oder zweiten Jahres eines Beurteilungszeitraums den Schuldienst wieder antreten.</w:t>
      </w:r>
    </w:p>
    <w:p w:rsidR="00BE1EFE" w:rsidRDefault="00BE1EFE">
      <w:pPr>
        <w:pStyle w:val="StandardWeb"/>
      </w:pPr>
    </w:p>
    <w:p w:rsidR="00BE1EFE" w:rsidRDefault="00BE1EFE">
      <w:pPr>
        <w:pStyle w:val="StandardWeb"/>
        <w:rPr>
          <w:b/>
          <w:bCs/>
        </w:rPr>
      </w:pPr>
      <w:r>
        <w:t>d) Eine Beurteilung kann zurückgestellt werden, wenn gegen eine Lehrkraft ein Disziplinar</w:t>
      </w:r>
      <w:r>
        <w:softHyphen/>
        <w:t>verfahren eingeleitet oder ein gerichtliches Strafverfahren anhängig ist oder Vorermittlungen eingeleitet sind oder ein sonstiger in der Person der Lehrkraft liegender wichtiger Grund vorliegt. Nach rechtskräftigem Abschluss des Verfahrens, der Einstellung der Ermittlungen oder dem Wegfall des sonstigen wichtigen Grundes ist die Beurteilung nachzuholen.</w:t>
      </w:r>
      <w:r>
        <w:br/>
      </w:r>
    </w:p>
    <w:p w:rsidR="00BE1EFE" w:rsidRDefault="00BE1EFE" w:rsidP="003A4FC5">
      <w:pPr>
        <w:pStyle w:val="Leerzeile"/>
      </w:pPr>
      <w:r>
        <w:rPr>
          <w:rStyle w:val="Fett"/>
          <w:bCs/>
        </w:rPr>
        <w:t>4.2.2 Zu beurteilender Personenkreis</w:t>
      </w:r>
    </w:p>
    <w:p w:rsidR="00BE1EFE" w:rsidRDefault="00BE1EFE">
      <w:pPr>
        <w:pStyle w:val="StandardWeb"/>
      </w:pPr>
    </w:p>
    <w:p w:rsidR="00BE1EFE" w:rsidRDefault="00BE1EFE" w:rsidP="00113710">
      <w:pPr>
        <w:pStyle w:val="StandardWeb"/>
      </w:pPr>
      <w:r>
        <w:t xml:space="preserve">a) Periodisch zu beurteilen sind alle auf Lebenszeit verbeamteten Lehrkräfte des Katholischen Schulwerks und alle unbefristet arbeitsvertraglich beschäftigten Lehrkräfte. </w:t>
      </w:r>
      <w:r w:rsidRPr="003A4FC5">
        <w:t>Nicht beurteilt werden arbeitsvertraglich beschäftigte Lehrkräfte mit einer Unterrichtsverpf</w:t>
      </w:r>
      <w:r>
        <w:t>lichtung von bis zu acht Wochen</w:t>
      </w:r>
      <w:r w:rsidRPr="003A4FC5">
        <w:t>stunden, die aus einer weiteren hauptberuflichen Tätigkeit Beiträge zur gesetzlichen Rentenversicherung oder einem berufsständischen Versorgungswerk zahlen bzw. Leistungen erhalten bzw. Ansprüche aus der Künstlersozialversicherung haben.</w:t>
      </w:r>
    </w:p>
    <w:p w:rsidR="00BE1EFE" w:rsidRDefault="00BE1EFE">
      <w:pPr>
        <w:pStyle w:val="StandardWeb"/>
      </w:pPr>
    </w:p>
    <w:p w:rsidR="00BE1EFE" w:rsidRDefault="00BE1EFE">
      <w:pPr>
        <w:pStyle w:val="StandardWeb"/>
      </w:pPr>
      <w:r>
        <w:t>b) Nicht mehr beurteilt wird, wer im Laufe des Kalenderjahres, das an das Ende des Beurteilungszeitraums anschließt, in den Ruhestand oder in die Freistellungsphase der Altersteilzeit tritt. Dies gilt nicht, wenn die Lehrkraft noch nicht die Endstufe (</w:t>
      </w:r>
      <w:hyperlink r:id="rId1035" w:history="1">
        <w:r w:rsidRPr="00C20771">
          <w:rPr>
            <w:rStyle w:val="Hyperlink"/>
          </w:rPr>
          <w:t>Art. 30 Abs. 2 Satz 1 BayBesG</w:t>
        </w:r>
      </w:hyperlink>
      <w:r>
        <w:t xml:space="preserve"> entsprechend) in ihrer Besoldungsgruppe erreicht hat.</w:t>
      </w:r>
    </w:p>
    <w:p w:rsidR="00BE1EFE" w:rsidRDefault="00BE1EFE">
      <w:pPr>
        <w:pStyle w:val="StandardWeb"/>
      </w:pPr>
      <w:r>
        <w:t xml:space="preserve">Nicht mehr beurteilt wird außerdem, wer </w:t>
      </w:r>
      <w:r w:rsidRPr="00064EFA">
        <w:t>wirksam nach N</w:t>
      </w:r>
      <w:r>
        <w:t>r. 5 Absatz 5 Sätze 2 bis 6 Teil B, </w:t>
      </w:r>
      <w:r w:rsidRPr="00064EFA">
        <w:t>4.1</w:t>
      </w:r>
      <w:r>
        <w:t>.</w:t>
      </w:r>
      <w:r w:rsidRPr="00064EFA">
        <w:t xml:space="preserve"> auf die Beurteilung verzich</w:t>
      </w:r>
      <w:r>
        <w:t>tet hat. Dies gilt nicht, wenn das Katholische Schulwerk oder der Schulträger eine Beurteilung fordert.</w:t>
      </w:r>
    </w:p>
    <w:p w:rsidR="00BE1EFE" w:rsidRDefault="00BE1EFE">
      <w:pPr>
        <w:pStyle w:val="StandardWeb"/>
      </w:pPr>
    </w:p>
    <w:p w:rsidR="00BE1EFE" w:rsidRDefault="00BE1EFE">
      <w:pPr>
        <w:pStyle w:val="StandardWeb"/>
        <w:rPr>
          <w:b/>
          <w:bCs/>
        </w:rPr>
      </w:pPr>
      <w:r>
        <w:t>c) Bei Lehrkräften, die im letzten Jahr des Beurteilungszeitraums in ein Beamtenverhältnis auf Lebenszeit berufen werden, entfällt die periodische Beurteilung.</w:t>
      </w:r>
    </w:p>
    <w:p w:rsidR="00BE1EFE" w:rsidRDefault="00BE1EFE">
      <w:pPr>
        <w:pStyle w:val="StandardWeb"/>
        <w:rPr>
          <w:b/>
          <w:bCs/>
        </w:rPr>
      </w:pPr>
    </w:p>
    <w:p w:rsidR="00BE1EFE" w:rsidRDefault="00BE1EFE" w:rsidP="0054275E">
      <w:pPr>
        <w:pStyle w:val="StandardWeb"/>
        <w:autoSpaceDE w:val="0"/>
      </w:pPr>
      <w:r>
        <w:rPr>
          <w:rStyle w:val="Fett"/>
          <w:bCs/>
        </w:rPr>
        <w:t>4.3. Zwischenbeurteilung</w:t>
      </w:r>
    </w:p>
    <w:p w:rsidR="00BE1EFE" w:rsidRDefault="00BE1EFE">
      <w:pPr>
        <w:pStyle w:val="StandardWeb"/>
      </w:pPr>
    </w:p>
    <w:p w:rsidR="00BE1EFE" w:rsidRDefault="00BE1EFE">
      <w:pPr>
        <w:pStyle w:val="StandardWeb"/>
      </w:pPr>
      <w:r>
        <w:t>Die Zwischenbeurteilung soll nur sicherstellen, dass die während eines nicht unerheblichen Zeitraums gezeigte Leistung, Eignung und Befähigung der Lehrkraft bei der nächsten periodischen Beurteilung berücksichtigt werden kann.</w:t>
      </w:r>
    </w:p>
    <w:p w:rsidR="00BE1EFE" w:rsidRDefault="00BE1EFE">
      <w:pPr>
        <w:pStyle w:val="StandardWeb"/>
      </w:pPr>
      <w:r>
        <w:t>Wechselt eine Lehrkraft an eine andere Schule oder an eine nicht mit unterrichtlichen Aufgaben befasste Stelle, erstellt die oder der bisher zuständige Beurteilende eine Zwischen</w:t>
      </w:r>
      <w:r>
        <w:softHyphen/>
        <w:t xml:space="preserve">beurteilung, wenn die Lehrkraft mindestens sechs Monate an der Schule tätig war und im letzten Schulhalbjahr ihrer Tätigkeit nicht dienstlich beurteilt worden ist. Ist die aufnehmende </w:t>
      </w:r>
      <w:r>
        <w:lastRenderedPageBreak/>
        <w:t>Stelle eine andere Schule im Anwendungsbereich des ABD, erhält diese – sowie bei einem Wechsel des Schulträgers im Anwendungsbereich des ABD auch der aufnehmende Schulträger – einen Abdruck der Zwischenbeurteilung, gegebenenfalls mit einer Abschrift dagegen erhobener schriftlicher Einwendungen; führt die Überprüfung der Zwischenbeurteilung zu deren Abänderung, so wird die aufnehmende Schule hiervon verständigt.</w:t>
      </w:r>
    </w:p>
    <w:p w:rsidR="00BE1EFE" w:rsidRDefault="00BE1EFE">
      <w:pPr>
        <w:pStyle w:val="StandardWeb"/>
      </w:pPr>
      <w:r>
        <w:t>Im Fall einer Beurlaubung oder Freistellung vom Dienst ist eine Zwischenbeurteilung nur dann zu erstellen, wenn zum Beginn der Beurlaubung oder Freistellung mindestens ein Schulhalbjahr seit dem Ende des der letzten dienstlichen Beurteilung zugrunde liegenden Zeitraums (oder bei Lehrkräften als Beamtinnen und Beamte des Katholischen Schulwerks seit dem Ende der Probezeit vergangen ist [</w:t>
      </w:r>
      <w:hyperlink r:id="rId1036" w:history="1">
        <w:r w:rsidRPr="00C20771">
          <w:rPr>
            <w:rStyle w:val="Hyperlink"/>
          </w:rPr>
          <w:t>Art. 57 LlbG</w:t>
        </w:r>
      </w:hyperlink>
      <w:r>
        <w:t xml:space="preserve"> entsprechend]) und die Lehrkraft bei der (nächsten) periodischen Beurteilung aufgrund der Dauer der Beurlaubung oder Frei</w:t>
      </w:r>
      <w:r>
        <w:softHyphen/>
        <w:t>stellung nicht beurteilt wird oder die (nächste) periodische Beurteilung hinausgeschoben wird.</w:t>
      </w:r>
    </w:p>
    <w:p w:rsidR="00BE1EFE" w:rsidRDefault="00BE1EFE">
      <w:pPr>
        <w:pStyle w:val="StandardWeb"/>
      </w:pPr>
      <w:r>
        <w:t>Zwischenbeurteilungen sind ohne Gesamturteil, im Übrigen aber – soweit möglich – in derselben Form wie eine periodische Beurteilung zu erstellen. Im Gegensatz dazu sind Zwischenbeurteilungen während der Probezeit ebenfalls ohne Gesamturteil, aber in derselben Form wie eine Probezeitbeurteilung zu erstellen.</w:t>
      </w:r>
    </w:p>
    <w:p w:rsidR="00BE1EFE" w:rsidRDefault="00BE1EFE">
      <w:pPr>
        <w:pStyle w:val="StandardWeb"/>
      </w:pPr>
      <w:r>
        <w:t>Sofern eine Lehrkraft in der gleichen Besoldungsgruppe und auf dem gleichen Dienstposten zuletzt periodisch oder gemäß Nr. 4.2.1 Buchst. C beurteilt worden ist, genügt es für die Zwischenbeurteilung, wenn auf einem besonderen Blatt ergänzend zu der letzten periodi</w:t>
      </w:r>
      <w:r>
        <w:softHyphen/>
        <w:t>schen Beurteilung vermerkt wird, ob und in welcher Hinsicht sich in der Zwischenzeit die für die Beurteilung der Lehrkraft maßgeblichen Gesichtspunkte geändert haben.</w:t>
      </w:r>
    </w:p>
    <w:p w:rsidR="00BE1EFE" w:rsidRDefault="00BE1EFE">
      <w:pPr>
        <w:pStyle w:val="StandardWeb"/>
        <w:rPr>
          <w:b/>
          <w:bCs/>
        </w:rPr>
      </w:pPr>
      <w:r>
        <w:t>Ist wegen Unterschreitung der vorstehend genannten Zeiträume keine Zwischenbeurteilung zu erstellen, soll auf einem besonderen Blatt ergänzend zu der letzten periodischen Beurteilung vermerkt werden, ob und in welcher Hinsicht sich in dieser Zeit die für die Beurteilung der Lehrkraft maßgeblichen Gesichtspunkte geändert haben.</w:t>
      </w:r>
    </w:p>
    <w:p w:rsidR="00BE1EFE" w:rsidRDefault="00BE1EFE">
      <w:pPr>
        <w:pStyle w:val="StandardWeb"/>
        <w:rPr>
          <w:b/>
          <w:bCs/>
        </w:rPr>
      </w:pPr>
    </w:p>
    <w:p w:rsidR="00BE1EFE" w:rsidRDefault="00BE1EFE" w:rsidP="0054275E">
      <w:pPr>
        <w:pStyle w:val="StandardWeb"/>
        <w:autoSpaceDE w:val="0"/>
      </w:pPr>
      <w:r>
        <w:rPr>
          <w:rStyle w:val="Fett"/>
          <w:bCs/>
        </w:rPr>
        <w:t>4.4 Einschätzung während der Probezeit und Probezeitbeurteilung (nur für Beamtinnen und Beamte des Katholischen Schulwerks)</w:t>
      </w:r>
    </w:p>
    <w:p w:rsidR="00BE1EFE" w:rsidRDefault="00BE1EFE">
      <w:pPr>
        <w:pStyle w:val="StandardWeb"/>
      </w:pPr>
    </w:p>
    <w:p w:rsidR="00BE1EFE" w:rsidRDefault="00BE1EFE">
      <w:pPr>
        <w:pStyle w:val="StandardWeb"/>
      </w:pPr>
      <w:r>
        <w:t>a) Nach der Hälfte der regelmäßigen Probezeit ist unter Verwendung des Formulars „Einschätzung während der Probezeit“ eine Einschätzung der Eignung, Befähigung und fachlichen Leistung vorzunehmen. Dies gilt nicht für Lehrkräfte, die für eine Verkürzung der Probezeit in Betracht kommen. Sofern an dem erfolgreichen Abschluss der Probezeit Zweifel bestehen, sind diese, ihre Ursachen und die Möglichkeiten der Abhilfe deutlich herauszustellen.</w:t>
      </w:r>
    </w:p>
    <w:p w:rsidR="00BE1EFE" w:rsidRDefault="00BE1EFE">
      <w:pPr>
        <w:pStyle w:val="StandardWeb"/>
      </w:pPr>
      <w:r>
        <w:t>b) Lehrkräfte im Beamtenverhältnis auf Probe sind gegen Ende der Probezeit unter Verwendung des Formulars „Probezeitbeurteilung“ zu beurteilen. Probezeitbeurteilungen dienen primär der Feststellung, ob die betreffenden Lehrkräfte nach Eignung, Befähigung und fachlicher Leistung für die Übernahme in das Beamtenverhältnis auf Lebenszeit geeignet sind. Sie sind eine verbale, im Rahmen der Beurteilungsmerkmale abzugebende Stellungnahme, ob sich die Lehrkraft während der Probezeit bewährt hat und ihre Eignung für eine Übernahme in das Beamtenverhältnis auf Lebenszeit gegeben ist. Probezeitbeurteilungen sind mit den Bewertungsstufen „Geeignet“, „Noch nicht geeignet“ oder „Nicht geeignet“ abzuschließen. Eine Äußerung über die dienstliche Verwendbarkeit entfällt.</w:t>
      </w:r>
    </w:p>
    <w:p w:rsidR="00BE1EFE" w:rsidRPr="00163D69" w:rsidRDefault="00BE1EFE">
      <w:pPr>
        <w:pStyle w:val="StandardWeb"/>
      </w:pPr>
      <w:r>
        <w:t>Kommt die Lehrkraft für eine Abkürzung der Probezeit infrage, ist außerdem zu würdigen, ob ihre Leistungen – gemessen an denen der übrigen Lehrkräfte ihrer Besoldungsgruppe im Beamtenverhältnis auf Probe – erheblich über dem Durchschnitt liegen. In diesem Fall ist die Probezeitbeurteilung rechtzeitig vorzunehmen.</w:t>
      </w:r>
    </w:p>
    <w:p w:rsidR="00BE1EFE" w:rsidRDefault="00BE1EFE">
      <w:pPr>
        <w:pStyle w:val="StandardWeb"/>
        <w:rPr>
          <w:b/>
          <w:bCs/>
        </w:rPr>
      </w:pPr>
    </w:p>
    <w:p w:rsidR="00BE1EFE" w:rsidRDefault="00BE1EFE" w:rsidP="0054275E">
      <w:pPr>
        <w:pStyle w:val="StandardWeb"/>
        <w:autoSpaceDE w:val="0"/>
        <w:rPr>
          <w:rStyle w:val="Fett"/>
          <w:bCs/>
        </w:rPr>
      </w:pPr>
      <w:r>
        <w:rPr>
          <w:rStyle w:val="Fett"/>
          <w:bCs/>
        </w:rPr>
        <w:t>4.5. Anlassbeurteilung und Bewährungsfeststellung</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4.5.1. Anlassbeurteilung</w:t>
      </w:r>
    </w:p>
    <w:p w:rsidR="00BE1EFE" w:rsidRDefault="00BE1EFE">
      <w:pPr>
        <w:pStyle w:val="StandardWeb"/>
      </w:pPr>
    </w:p>
    <w:p w:rsidR="00BE1EFE" w:rsidRDefault="00BE1EFE">
      <w:pPr>
        <w:pStyle w:val="StandardWeb"/>
      </w:pPr>
      <w:r>
        <w:t>Für eine Lehrkraft, die sich für eine Funktion bewirbt, ist unter Verwendung des Formulars „Anlassbeurteilung“ eine Anlassbeurteilung zu erstellen (</w:t>
      </w:r>
      <w:hyperlink r:id="rId1037" w:history="1">
        <w:r w:rsidRPr="004F548A">
          <w:rPr>
            <w:rStyle w:val="Hyperlink"/>
          </w:rPr>
          <w:t>Art. 54 Abs. 1 Satz 2 LlbG</w:t>
        </w:r>
      </w:hyperlink>
      <w:r>
        <w:t xml:space="preserve"> entsprechend), wenn</w:t>
      </w:r>
    </w:p>
    <w:p w:rsidR="00BE1EFE" w:rsidRDefault="00BE1EFE">
      <w:pPr>
        <w:pStyle w:val="StandardWeb"/>
      </w:pPr>
    </w:p>
    <w:p w:rsidR="00BE1EFE" w:rsidRDefault="00BE1EFE">
      <w:pPr>
        <w:pStyle w:val="StandardWeb"/>
      </w:pPr>
      <w:r>
        <w:t>1. noch keine periodische Beurteilung der Bewerberin bzw. des Bewerbers erfolgt ist,</w:t>
      </w:r>
    </w:p>
    <w:p w:rsidR="00BE1EFE" w:rsidRDefault="00BE1EFE">
      <w:pPr>
        <w:pStyle w:val="StandardWeb"/>
      </w:pPr>
      <w:r>
        <w:t>2. die letzte dienstliche Beurteilung der Bewerberin bzw. des Bewerbers länger als vier Jahre zurückliegt,</w:t>
      </w:r>
    </w:p>
    <w:p w:rsidR="00BE1EFE" w:rsidRDefault="00BE1EFE">
      <w:pPr>
        <w:pStyle w:val="StandardWeb"/>
      </w:pPr>
      <w:r>
        <w:t>3. </w:t>
      </w:r>
      <w:r w:rsidRPr="003A4FC5">
        <w:t>der Bewerberin bzw. dem Bewerber seit der letzten dienstlichen Beurteilung das Recht zum Führen einer höheren Berufsbezeichnung eingeräumt wurde oder wenn sie bzw. er befördert wurde und sie bzw. er in der höheren Besoldungsgruppe mindestens sechs Monate tätig war,</w:t>
      </w:r>
    </w:p>
    <w:p w:rsidR="00BE1EFE" w:rsidRDefault="00BE1EFE">
      <w:pPr>
        <w:pStyle w:val="StandardWeb"/>
      </w:pPr>
      <w:r>
        <w:t xml:space="preserve">4. die Bewerberin bzw. der Bewerber mit einer Funktionstätigkeit, insbesondere mit der Wahrnehmung amtsprägender Funktionen betraut wurde, deren Ausübung im Rahmen der letzten dienstlichen Beurteilung noch nicht gewürdigt werden konnte, </w:t>
      </w:r>
      <w:r w:rsidRPr="003A4FC5">
        <w:t>und diese Funktions</w:t>
      </w:r>
      <w:r>
        <w:softHyphen/>
      </w:r>
      <w:r w:rsidRPr="003A4FC5">
        <w:t>tätigkeit über einen Zeitraum von mindestens sechs Monaten ausgeübt hat</w:t>
      </w:r>
      <w:r>
        <w:t>,</w:t>
      </w:r>
    </w:p>
    <w:p w:rsidR="00BE1EFE" w:rsidRDefault="00BE1EFE">
      <w:pPr>
        <w:pStyle w:val="StandardWeb"/>
      </w:pPr>
      <w:r>
        <w:t>5. sich die Leistungen der Bewerberin bzw. des Bewerbers im Vergleich zur letzten dienst</w:t>
      </w:r>
      <w:r>
        <w:softHyphen/>
        <w:t xml:space="preserve">lichen Beurteilung im Hinblick auf die angestrebte Funktion </w:t>
      </w:r>
      <w:r w:rsidRPr="003A4FC5">
        <w:t xml:space="preserve">über einen Zeitraum von mindestens sechs Monaten </w:t>
      </w:r>
      <w:r>
        <w:t>wesentlich verändert haben.</w:t>
      </w:r>
    </w:p>
    <w:p w:rsidR="00BE1EFE" w:rsidRDefault="00BE1EFE">
      <w:pPr>
        <w:pStyle w:val="StandardWeb"/>
      </w:pPr>
    </w:p>
    <w:p w:rsidR="00BE1EFE" w:rsidRDefault="00BE1EFE">
      <w:pPr>
        <w:pStyle w:val="StandardWeb"/>
        <w:rPr>
          <w:b/>
          <w:bCs/>
        </w:rPr>
      </w:pPr>
      <w:r>
        <w:t>Anlassbeurteilungen sind zudem auf Anforderung der überprüfenden Stelle zu erstellen.</w:t>
      </w:r>
    </w:p>
    <w:p w:rsidR="00BE1EFE" w:rsidRDefault="00BE1EFE">
      <w:pPr>
        <w:pStyle w:val="StandardWeb"/>
        <w:rPr>
          <w:b/>
          <w:bCs/>
        </w:rPr>
      </w:pPr>
    </w:p>
    <w:p w:rsidR="00BE1EFE" w:rsidRDefault="00BE1EFE" w:rsidP="0019145B">
      <w:pPr>
        <w:pStyle w:val="StandardWeb"/>
        <w:autoSpaceDE w:val="0"/>
        <w:rPr>
          <w:rStyle w:val="Fett"/>
          <w:bCs/>
        </w:rPr>
      </w:pPr>
      <w:r w:rsidRPr="0019145B">
        <w:rPr>
          <w:rStyle w:val="Fett"/>
          <w:bCs/>
        </w:rPr>
        <w:t>4.5.2 Bewährungsfeststellung</w:t>
      </w:r>
    </w:p>
    <w:p w:rsidR="00BE1EFE" w:rsidRPr="0019145B" w:rsidRDefault="00BE1EFE" w:rsidP="0019145B">
      <w:pPr>
        <w:pStyle w:val="StandardWeb"/>
        <w:autoSpaceDE w:val="0"/>
        <w:rPr>
          <w:rStyle w:val="Fett"/>
          <w:bCs/>
        </w:rPr>
      </w:pPr>
    </w:p>
    <w:p w:rsidR="00BE1EFE" w:rsidRPr="0019145B" w:rsidRDefault="00BE1EFE" w:rsidP="0019145B">
      <w:pPr>
        <w:pStyle w:val="StandardWeb"/>
        <w:autoSpaceDE w:val="0"/>
        <w:rPr>
          <w:rStyle w:val="Fett"/>
          <w:b w:val="0"/>
          <w:bCs/>
        </w:rPr>
      </w:pPr>
      <w:r w:rsidRPr="0019145B">
        <w:rPr>
          <w:rStyle w:val="Fett"/>
          <w:b w:val="0"/>
          <w:bCs/>
        </w:rPr>
        <w:t xml:space="preserve">Bei Lehrkräften, denen nach </w:t>
      </w:r>
      <w:hyperlink r:id="rId1038" w:history="1">
        <w:r w:rsidRPr="004F548A">
          <w:rPr>
            <w:rStyle w:val="Hyperlink"/>
          </w:rPr>
          <w:t>Nr. 5 a Absatz 1 Satz 1 ABD Teil B, 4.1.1.</w:t>
        </w:r>
      </w:hyperlink>
      <w:r>
        <w:rPr>
          <w:rStyle w:val="Fett"/>
          <w:b w:val="0"/>
          <w:bCs/>
        </w:rPr>
        <w:t xml:space="preserve"> und </w:t>
      </w:r>
      <w:hyperlink r:id="rId1039" w:history="1">
        <w:r w:rsidRPr="004F548A">
          <w:rPr>
            <w:rStyle w:val="Hyperlink"/>
          </w:rPr>
          <w:t>4.1.2.</w:t>
        </w:r>
      </w:hyperlink>
      <w:r>
        <w:rPr>
          <w:rStyle w:val="Fett"/>
          <w:b w:val="0"/>
          <w:bCs/>
        </w:rPr>
        <w:t xml:space="preserve"> </w:t>
      </w:r>
      <w:r w:rsidRPr="0019145B">
        <w:rPr>
          <w:rStyle w:val="Fett"/>
          <w:b w:val="0"/>
          <w:bCs/>
        </w:rPr>
        <w:t>Führungs</w:t>
      </w:r>
      <w:r>
        <w:rPr>
          <w:rStyle w:val="Fett"/>
          <w:b w:val="0"/>
          <w:bCs/>
        </w:rPr>
        <w:softHyphen/>
      </w:r>
      <w:r w:rsidRPr="0019145B">
        <w:rPr>
          <w:rStyle w:val="Fett"/>
          <w:b w:val="0"/>
          <w:bCs/>
        </w:rPr>
        <w:t xml:space="preserve">aufgaben mit Weisungsbefugnis befristet übertragen wurden und bei Lehrkräften als Systembetreuer, Beratungslehrkräfte oder Schulpsychologen nach </w:t>
      </w:r>
      <w:hyperlink r:id="rId1040" w:history="1">
        <w:r w:rsidRPr="00664ED3">
          <w:rPr>
            <w:rStyle w:val="Hyperlink"/>
          </w:rPr>
          <w:t>Nr. 5 b ABD Teil B, 4.1.1</w:t>
        </w:r>
      </w:hyperlink>
      <w:r w:rsidRPr="00664ED3">
        <w:t>.</w:t>
      </w:r>
      <w:r w:rsidRPr="0019145B">
        <w:rPr>
          <w:rStyle w:val="Fett"/>
          <w:b w:val="0"/>
          <w:bCs/>
        </w:rPr>
        <w:t xml:space="preserve"> und </w:t>
      </w:r>
      <w:hyperlink r:id="rId1041" w:history="1">
        <w:r w:rsidRPr="004F548A">
          <w:rPr>
            <w:rStyle w:val="Hyperlink"/>
          </w:rPr>
          <w:t>4.1.3.</w:t>
        </w:r>
      </w:hyperlink>
      <w:r w:rsidRPr="0019145B">
        <w:rPr>
          <w:rStyle w:val="Fett"/>
          <w:b w:val="0"/>
          <w:bCs/>
        </w:rPr>
        <w:t xml:space="preserve"> wird die Bewährung zum Ende der Bewährungszeit durch eine Bewährungs</w:t>
      </w:r>
      <w:r>
        <w:rPr>
          <w:rStyle w:val="Fett"/>
          <w:b w:val="0"/>
          <w:bCs/>
        </w:rPr>
        <w:softHyphen/>
      </w:r>
      <w:r w:rsidRPr="0019145B">
        <w:rPr>
          <w:rStyle w:val="Fett"/>
          <w:b w:val="0"/>
          <w:bCs/>
        </w:rPr>
        <w:t xml:space="preserve">feststellung überprüft. Die Überprüfung und Bewertung erfolgt ausschließlich hinsichtlich der fachlichen Leistung nach Nr. 2.2.1 Ziffer 6, bei Lehrkräften mit Führungsaufgaben zusätzlich hinsichtlich der fachlichen Leistung nach Nr. 2.2.1 Ziffer 7. </w:t>
      </w:r>
    </w:p>
    <w:p w:rsidR="00BE1EFE" w:rsidRDefault="00BE1EFE" w:rsidP="0019145B">
      <w:pPr>
        <w:pStyle w:val="StandardWeb"/>
        <w:autoSpaceDE w:val="0"/>
        <w:rPr>
          <w:rStyle w:val="Fett"/>
          <w:b w:val="0"/>
          <w:bCs/>
        </w:rPr>
      </w:pPr>
      <w:r w:rsidRPr="0019145B">
        <w:rPr>
          <w:rStyle w:val="Fett"/>
          <w:b w:val="0"/>
          <w:bCs/>
        </w:rPr>
        <w:t>Ist gleichzeitig mit dem Ende der Bewährungszeit eine periodische Beurteilung fällig, so entfällt die Bewährungsfeststellung.</w:t>
      </w:r>
      <w:r>
        <w:rPr>
          <w:rStyle w:val="Fett"/>
          <w:b w:val="0"/>
          <w:bCs/>
        </w:rPr>
        <w:t xml:space="preserve"> Die Bewährung in der übertrage</w:t>
      </w:r>
      <w:r w:rsidRPr="0019145B">
        <w:rPr>
          <w:rStyle w:val="Fett"/>
          <w:b w:val="0"/>
          <w:bCs/>
        </w:rPr>
        <w:t xml:space="preserve">nen Aufgabe ist dann anhand der in Nr. 2.2.1 Ziffer 6, bei Lehrkräften mit Führungsaufgaben zusätzlich anhand der in Nr. 2.2.1 Ziffer 7 erzielten </w:t>
      </w:r>
      <w:r>
        <w:rPr>
          <w:rStyle w:val="Fett"/>
          <w:b w:val="0"/>
          <w:bCs/>
        </w:rPr>
        <w:t>Bewertungsstufe festzustellen.</w:t>
      </w:r>
    </w:p>
    <w:p w:rsidR="00BE1EFE" w:rsidRPr="0019145B" w:rsidRDefault="00BE1EFE" w:rsidP="0019145B">
      <w:pPr>
        <w:pStyle w:val="StandardWeb"/>
        <w:autoSpaceDE w:val="0"/>
        <w:rPr>
          <w:rStyle w:val="Fett"/>
          <w:b w:val="0"/>
          <w:bCs/>
        </w:rPr>
      </w:pPr>
    </w:p>
    <w:p w:rsidR="00BE1EFE" w:rsidRDefault="00BE1EFE" w:rsidP="0054275E">
      <w:pPr>
        <w:pStyle w:val="StandardWeb"/>
        <w:autoSpaceDE w:val="0"/>
      </w:pPr>
      <w:r>
        <w:rPr>
          <w:rStyle w:val="Fett"/>
          <w:bCs/>
        </w:rPr>
        <w:t>4.6 Zuständigkeit</w:t>
      </w:r>
    </w:p>
    <w:p w:rsidR="00BE1EFE" w:rsidRDefault="00BE1EFE">
      <w:pPr>
        <w:pStyle w:val="StandardWeb"/>
      </w:pPr>
    </w:p>
    <w:p w:rsidR="00BE1EFE" w:rsidRDefault="00BE1EFE">
      <w:pPr>
        <w:pStyle w:val="StandardWeb"/>
      </w:pPr>
      <w:r>
        <w:t xml:space="preserve">a) Die dienstlichen Beurteilungen der Lehrkräfte erstellt und unterzeichnet die Schulleiterin oder der Schulleiter. Treten Schulleiterinnen oder Schulleiter in den Ruhestand, in die Freistellungsphase der Altersteilzeit, </w:t>
      </w:r>
      <w:r w:rsidRPr="000D1391">
        <w:t>in ein Freistellungsjahr vor dem Ruhestand</w:t>
      </w:r>
      <w:r>
        <w:t>, oder werden sie versetzt, haben sie der Nachfolgerin bzw. dem Nachfolger aussagekräftige Unterlagen zu übergeben, welche die Erstellung einer ordnungsgemäßen dienstlichen Beurteilung ermöglichen.</w:t>
      </w:r>
    </w:p>
    <w:p w:rsidR="00BE1EFE" w:rsidRDefault="00BE1EFE">
      <w:pPr>
        <w:pStyle w:val="StandardWeb"/>
      </w:pPr>
      <w:r>
        <w:t>b) Vom Staat zugewiesene bzw. beurlaubte Lehrkräfte werden von der Schulleiterin oder dem Schulleiter der Stammschule im Benehmen mit der Schulleiterin oder dem Schulleiter der aufnehmenden Schule beurteilt. War die Lehrkraft während des Beurteilungszeitraums länger als sechs Monate mit mehr als der Hälfte der Unterrichtspflichtzeit beurlaubt bzw. zugewiesen, hat die oder der Beurteilende bei der Schulleitung der aufnehmenden Schule einen Beurteilungsbeitrag einzuholen.</w:t>
      </w:r>
    </w:p>
    <w:p w:rsidR="00BE1EFE" w:rsidRDefault="00BE1EFE">
      <w:pPr>
        <w:pStyle w:val="StandardWeb"/>
      </w:pPr>
      <w:r>
        <w:lastRenderedPageBreak/>
        <w:t>c) Vor der Erstellung der dienstlichen Beurteilung von hauptamtlichen Lehrkräften mit der Lehramtsbefähigung für das Fach „Katholische Religionslehre“ hat sich die Schulleiterin oder der Schulleiter mit dem örtlich zuständigen Ordinariat (Schulreferat), vor der Erstellung von dienstlichen Beurteilungen von hauptamtlichen Lehrkräften mit der Lehramtsbefähigung für das „Fach Evangelische Religionslehre“ mit dem örtlich zuständigen Dekanat in Verbindung zu setzen mit der Bitte um Mitteilung, ob von dort Gesichtspunkte zur dienstlichen Beurteilung vorgetragen werden. Die kirchlichen Behörden können eine Vertreterin bzw. einen Vertreter zum Unterrichtsbesuch entsenden. Die Beobachtungen und Erkenntnisse der kirchlichen Stellen können der oder dem Beurteilenden als Material für die Beurteilung zur Verfügung gestellt werden. Die Verantwortung für die dienstliche Beurteilung trägt auch in diesen Fällen allein die Schulleiterin bzw. der Schulleiter.</w:t>
      </w:r>
    </w:p>
    <w:p w:rsidR="00BE1EFE" w:rsidRDefault="00BE1EFE">
      <w:pPr>
        <w:pStyle w:val="StandardWeb"/>
      </w:pPr>
    </w:p>
    <w:p w:rsidR="00BE1EFE" w:rsidRDefault="00BE1EFE">
      <w:pPr>
        <w:pStyle w:val="StandardWeb"/>
      </w:pPr>
      <w:r>
        <w:t>Der Beurteilung ist der Satz „Die kirchliche Oberbehörde wurde gehört“ hinzuzufügen.</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 xml:space="preserve">4.7 Beteiligung der </w:t>
      </w:r>
      <w:r w:rsidRPr="000D1391">
        <w:rPr>
          <w:rStyle w:val="Fett"/>
          <w:bCs/>
        </w:rPr>
        <w:t>Schwerbehindertenvertretung</w:t>
      </w:r>
      <w:r>
        <w:rPr>
          <w:rStyle w:val="Fett"/>
          <w:bCs/>
        </w:rPr>
        <w:t xml:space="preserve"> und der Mitarbeitervertretung</w:t>
      </w:r>
    </w:p>
    <w:p w:rsidR="00BE1EFE" w:rsidRDefault="00BE1EFE">
      <w:pPr>
        <w:pStyle w:val="StandardWeb"/>
      </w:pPr>
    </w:p>
    <w:p w:rsidR="00BE1EFE" w:rsidRDefault="00BE1EFE">
      <w:pPr>
        <w:pStyle w:val="StandardWeb"/>
      </w:pPr>
      <w:r w:rsidRPr="000D1391">
        <w:t xml:space="preserve">Zu den Besonderheiten im Beurteilungsverfahren wird auf </w:t>
      </w:r>
      <w:hyperlink r:id="rId1042" w:history="1">
        <w:r w:rsidRPr="000D1391">
          <w:rPr>
            <w:rStyle w:val="Hyperlink"/>
          </w:rPr>
          <w:t>Nr. 9 der Teilhaberichtlinien</w:t>
        </w:r>
      </w:hyperlink>
      <w:r w:rsidRPr="000D1391">
        <w:t xml:space="preserve"> hingewiesen; insbesondere auf die Frage der rechtzeitigen Beteiligung der Schwerbehindertenvertretung, wenn dies die oder der Schwerbehinderte nach vorherigem schriftlichen Hinweis nicht ablehnt, wird aufmerksam gemacht (vgl. dazu </w:t>
      </w:r>
      <w:hyperlink r:id="rId1043" w:history="1">
        <w:r w:rsidRPr="000D1391">
          <w:rPr>
            <w:rStyle w:val="Hyperlink"/>
          </w:rPr>
          <w:t>Nr. 9.6 der Teilhaberichtlinien</w:t>
        </w:r>
      </w:hyperlink>
      <w:r w:rsidRPr="000D1391">
        <w:t>).</w:t>
      </w:r>
    </w:p>
    <w:p w:rsidR="00BE1EFE" w:rsidRDefault="00BE1EFE">
      <w:pPr>
        <w:pStyle w:val="StandardWeb"/>
        <w:rPr>
          <w:b/>
          <w:bCs/>
        </w:rPr>
      </w:pPr>
      <w:r>
        <w:t xml:space="preserve">Eine Beteiligung der Mitarbeitervertretung bei der Erstellung der Beurteilung der Lehrkräfte ist weder vorgesehen noch zulässig. </w:t>
      </w:r>
      <w:r w:rsidRPr="000D1391">
        <w:t xml:space="preserve">Über die Tatsache der anstehenden Beurteilung kann generell die Mitarbeitervertretung nach § 27 Abs. </w:t>
      </w:r>
      <w:r>
        <w:t>1 Satz 1 MAVO informiert werden. Das Beschwerderecht der Mitarbeiterinnen und Mitarbeiter nach § 26 Abs. 3 Nr. 2 MAVO bleibt unberührt.</w:t>
      </w:r>
    </w:p>
    <w:p w:rsidR="00BE1EFE" w:rsidRDefault="00BE1EFE">
      <w:pPr>
        <w:pStyle w:val="StandardWeb"/>
        <w:rPr>
          <w:b/>
          <w:bCs/>
        </w:rPr>
      </w:pPr>
    </w:p>
    <w:p w:rsidR="00BE1EFE" w:rsidRDefault="00BE1EFE" w:rsidP="0054275E">
      <w:pPr>
        <w:pStyle w:val="StandardWeb"/>
        <w:autoSpaceDE w:val="0"/>
      </w:pPr>
      <w:r>
        <w:rPr>
          <w:rStyle w:val="Fett"/>
          <w:bCs/>
        </w:rPr>
        <w:t>4.8 Eröffnung der dienstlichen Beurteilung</w:t>
      </w:r>
    </w:p>
    <w:p w:rsidR="00BE1EFE" w:rsidRDefault="00BE1EFE">
      <w:pPr>
        <w:pStyle w:val="StandardWeb"/>
      </w:pPr>
    </w:p>
    <w:p w:rsidR="00BE1EFE" w:rsidRDefault="00BE1EFE">
      <w:pPr>
        <w:pStyle w:val="StandardWeb"/>
        <w:rPr>
          <w:b/>
          <w:bCs/>
        </w:rPr>
      </w:pPr>
      <w:r>
        <w:t xml:space="preserve">Der für die Lehrkraft vorgesehene Abdruck der Beurteilung ist dieser eine Woche vor Eröffnung der Beurteilung zuzuleiten. </w:t>
      </w:r>
      <w:r w:rsidRPr="000D1391">
        <w:t>Bei der Anlassbeurteilung genügt der Zugang am Tag vor der Eröffnung.</w:t>
      </w:r>
      <w:r>
        <w:t xml:space="preserve"> Die dienstliche Beurteilung wird der Lehrkraft von der oder dem Beurteilenden eröffnet. Die Eröffnung der dienstlichen Beurteilung beurlaubter bzw. zugewie</w:t>
      </w:r>
      <w:r>
        <w:softHyphen/>
        <w:t>sener Lehrkräfte und Fachlehrkräfte kann auf die Schulleiterin bzw. den Schulleiter, die bzw. der den Beurteilungsvorschlag erstellt hat, delegiert werden. Die dienstliche Beurteilung ist mit der Lehrkraft zu besprechen. Bei diesem Beurteilungsgespräch soll auf den wesentlichen Inhalt der Beurteilung eingegangen werden. Dadurch können Missverständnisse ausgeräumt und der Lehrkraft Hilfen gegeben werden, wie sie etwa aufgetretene Schwächen beseitigen kann.</w:t>
      </w:r>
    </w:p>
    <w:p w:rsidR="00BE1EFE" w:rsidRDefault="00BE1EFE">
      <w:pPr>
        <w:pStyle w:val="StandardWeb"/>
        <w:rPr>
          <w:b/>
          <w:bCs/>
        </w:rPr>
      </w:pPr>
    </w:p>
    <w:p w:rsidR="00BE1EFE" w:rsidRDefault="00BE1EFE" w:rsidP="0054275E">
      <w:pPr>
        <w:pStyle w:val="StandardWeb"/>
        <w:autoSpaceDE w:val="0"/>
      </w:pPr>
      <w:r>
        <w:rPr>
          <w:rStyle w:val="Fett"/>
          <w:bCs/>
        </w:rPr>
        <w:t>4.9 Einwendungen gegen die dienstliche Beurteilung</w:t>
      </w:r>
    </w:p>
    <w:p w:rsidR="00BE1EFE" w:rsidRDefault="00BE1EFE">
      <w:pPr>
        <w:pStyle w:val="StandardWeb"/>
      </w:pPr>
    </w:p>
    <w:p w:rsidR="00BE1EFE" w:rsidRDefault="00BE1EFE">
      <w:pPr>
        <w:pStyle w:val="StandardWeb"/>
      </w:pPr>
      <w:r>
        <w:t>Der Lehrkraft wird für etwaige Einwendungen eine Überlegungsfrist von drei Wochen nach der Eröffnung eingeräumt. Die Lehrkraft soll etwaige Einwendungen innerhalb dieses Zeitraums erheben, damit deren Berücksichtigung im Überprüfungsverfahren sichergestellt ist. Nach Ablauf dieser Frist wird die Beurteilung der überprüfenden Stelle vorgelegt.</w:t>
      </w:r>
    </w:p>
    <w:p w:rsidR="00BE1EFE" w:rsidRDefault="00BE1EFE">
      <w:pPr>
        <w:pStyle w:val="StandardWeb"/>
      </w:pPr>
      <w:r w:rsidRPr="000D1391">
        <w:t>Diese ist bei Beamtinnen und Beamten des Katholischen Schulwerks das Katholische Schulwerk in Bayern bei arbeitsvertraglich beschäftigt</w:t>
      </w:r>
      <w:r>
        <w:t>en Lehrkräften der Schulträger.</w:t>
      </w:r>
    </w:p>
    <w:p w:rsidR="00BE1EFE" w:rsidRDefault="00BE1EFE">
      <w:pPr>
        <w:pStyle w:val="StandardWeb"/>
      </w:pPr>
      <w:r>
        <w:t xml:space="preserve">Die Einwendungen der Lehrkraft sind der überprüfenden Stelle mit einer Stellungnahme der oder des Beurteilenden vorzulegen. Diese Stellungnahme soll sich mit den erhobenen </w:t>
      </w:r>
      <w:r>
        <w:lastRenderedPageBreak/>
        <w:t>Einwendungen auseinandersetzen und keine Ergänzung der dienstlichen Beurteilung dar</w:t>
      </w:r>
      <w:r>
        <w:softHyphen/>
        <w:t>stellen. Bei Einwendungen gegen eine Zwischenbeurteilung sind gleichzeitig Kopien der Zwischenbeurteilung und der Stellungnahme der oder des Beurteilenden der aufnehmenden Schule bzw. dem aufnehmenden Schulträger zur Kenntnis zuzuleiten.</w:t>
      </w:r>
    </w:p>
    <w:p w:rsidR="00BE1EFE" w:rsidRDefault="00BE1EFE">
      <w:pPr>
        <w:pStyle w:val="StandardWeb"/>
        <w:rPr>
          <w:b/>
          <w:bCs/>
        </w:rPr>
      </w:pPr>
      <w:r>
        <w:t>Nach Ablauf der Drei-Wochen-Frist erhobene Einwendungen der Lehrkraft sind der überprüfenden Stelle nachzureichen und zu berücksichtigen, soweit dies noch möglich ist.</w:t>
      </w:r>
    </w:p>
    <w:p w:rsidR="00BE1EFE" w:rsidRDefault="00BE1EFE">
      <w:pPr>
        <w:pStyle w:val="StandardWeb"/>
        <w:rPr>
          <w:b/>
          <w:bCs/>
        </w:rPr>
      </w:pPr>
    </w:p>
    <w:p w:rsidR="00BE1EFE" w:rsidRDefault="00BE1EFE" w:rsidP="0054275E">
      <w:pPr>
        <w:pStyle w:val="StandardWeb"/>
        <w:autoSpaceDE w:val="0"/>
      </w:pPr>
      <w:r>
        <w:rPr>
          <w:rStyle w:val="Fett"/>
          <w:bCs/>
        </w:rPr>
        <w:t>4.10 Überprüfung der dienstlichen Beurteilung</w:t>
      </w:r>
    </w:p>
    <w:p w:rsidR="00BE1EFE" w:rsidRDefault="00BE1EFE">
      <w:pPr>
        <w:pStyle w:val="StandardWeb"/>
      </w:pPr>
    </w:p>
    <w:p w:rsidR="00BE1EFE" w:rsidRDefault="00BE1EFE">
      <w:pPr>
        <w:pStyle w:val="StandardWeb"/>
      </w:pPr>
      <w:r>
        <w:t xml:space="preserve">a) Die Überprüfung der dienstlichen Beurteilungen dient der Einhaltung des Gebots einer gleichmäßigen Handhabung der Beurteilungsgrundsätze. </w:t>
      </w:r>
      <w:r w:rsidRPr="000D1391">
        <w:t>Sie soll spätestens nach einer Frist von sechs Monaten nach der ersten Eröffnung abgeschlossen sein.</w:t>
      </w:r>
    </w:p>
    <w:p w:rsidR="00BE1EFE" w:rsidRDefault="00BE1EFE">
      <w:pPr>
        <w:pStyle w:val="StandardWeb"/>
      </w:pPr>
      <w:r>
        <w:t xml:space="preserve">b) Eine abgeänderte dienstliche Beurteilung ist spätestens drei Monate nach der Überprüfung der Lehrkraft nochmals zu eröffnen (vgl. </w:t>
      </w:r>
      <w:hyperlink r:id="rId1044" w:history="1">
        <w:r w:rsidRPr="00664ED3">
          <w:rPr>
            <w:rStyle w:val="Hyperlink"/>
          </w:rPr>
          <w:t>Art. 61 Abs. 1 Satz 5 LlbG</w:t>
        </w:r>
      </w:hyperlink>
      <w:r>
        <w:t xml:space="preserve"> entsprechend); der überprüfenden Stelle ist hierüber zu berichten. Die Lehrkraft bestätigt durch ihre Unterschrift die Eröffnung der geänderten Beurteilung. Der Lehrkraft ist ein Abdruck der geänderten Beurteilung auszuhändigen.</w:t>
      </w:r>
    </w:p>
    <w:p w:rsidR="00BE1EFE" w:rsidRDefault="00BE1EFE">
      <w:pPr>
        <w:pStyle w:val="StandardWeb"/>
      </w:pPr>
      <w:r>
        <w:t>Wird den Einwendungen nicht entsprochen, so ist die Lehrkraft vom Ergebnis der Überprüfung ihrer Einwendungen zu verständigen. In diesem Fall oder bei der nochmaligen Eröffnung ist der Lehrkraft die zu ihren Einwendungen erfolgte schriftliche Stellungnahme der oder des Beurteilenden bekannt zu geben. Diese Stellungnahme ist der Lehrkraft in Kopie auszuhändigen.</w:t>
      </w:r>
    </w:p>
    <w:p w:rsidR="00BE1EFE" w:rsidRDefault="00BE1EFE">
      <w:pPr>
        <w:pStyle w:val="StandardWeb"/>
      </w:pPr>
      <w:r>
        <w:t>Die Beurteilung ist mit dem Vermerk über ihre Eröffnung zu den Personalakten zu nehmen.</w:t>
      </w:r>
    </w:p>
    <w:p w:rsidR="00BE1EFE" w:rsidRDefault="00BE1EFE">
      <w:pPr>
        <w:pStyle w:val="StandardWeb"/>
      </w:pPr>
      <w:r>
        <w:br w:type="page"/>
      </w:r>
    </w:p>
    <w:p w:rsidR="00BE1EFE" w:rsidRDefault="00BE1EFE" w:rsidP="00E87479">
      <w:pPr>
        <w:pStyle w:val="h8"/>
        <w:spacing w:before="0"/>
      </w:pPr>
      <w:bookmarkStart w:id="753" w:name="_Toc523926281"/>
      <w:r>
        <w:lastRenderedPageBreak/>
        <w:t>5. Leistungsfeststellung</w:t>
      </w:r>
      <w:bookmarkEnd w:id="753"/>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5.1 Fallgestaltungen</w:t>
      </w:r>
    </w:p>
    <w:p w:rsidR="00BE1EFE" w:rsidRDefault="00BE1EFE">
      <w:pPr>
        <w:pStyle w:val="StandardWeb"/>
      </w:pPr>
    </w:p>
    <w:p w:rsidR="00BE1EFE" w:rsidRDefault="00BE1EFE">
      <w:pPr>
        <w:pStyle w:val="StandardWeb"/>
      </w:pPr>
      <w:r>
        <w:t xml:space="preserve">In entsprechender Anwendung des </w:t>
      </w:r>
      <w:hyperlink r:id="rId1045" w:history="1">
        <w:r w:rsidRPr="00664ED3">
          <w:rPr>
            <w:rStyle w:val="Hyperlink"/>
          </w:rPr>
          <w:t>Art. 62 Abs. 1 Satz 1 LlbG</w:t>
        </w:r>
      </w:hyperlink>
      <w:r>
        <w:t xml:space="preserve"> sollen Leistungsfeststellungen, die für die Entscheidungen entsprechend Art. 30 Abs. 3 Sätze 1 und 3 BayBesG sowie entsprechend Art. 66 Abs. 2 BayBesG erforderlich sind, soweit möglich, mit der periodischen Beurteilung verbunden werden. Es handelt sich dabei um folgende Konstellationen:</w:t>
      </w:r>
    </w:p>
    <w:p w:rsidR="00BE1EFE" w:rsidRDefault="00BE1EFE">
      <w:pPr>
        <w:pStyle w:val="StandardWeb"/>
      </w:pPr>
    </w:p>
    <w:p w:rsidR="00BE1EFE" w:rsidRDefault="00BE1EFE">
      <w:pPr>
        <w:pStyle w:val="StandardWeb"/>
      </w:pPr>
      <w:r>
        <w:t>a) Regelmäßiger Stufenaufstieg bzw. Stufenstopp: Feststellung, ob die mit dem Amt verbun</w:t>
      </w:r>
      <w:r>
        <w:softHyphen/>
        <w:t>denen Mindestanforderungen erfüllt bzw. nicht erfüllt sind (</w:t>
      </w:r>
      <w:hyperlink r:id="rId1046" w:history="1">
        <w:r w:rsidRPr="00664ED3">
          <w:rPr>
            <w:rStyle w:val="Hyperlink"/>
          </w:rPr>
          <w:t>Art. 62 Abs. 3 LlbG</w:t>
        </w:r>
      </w:hyperlink>
      <w:r>
        <w:t xml:space="preserve">, </w:t>
      </w:r>
      <w:hyperlink r:id="rId1047" w:history="1">
        <w:r w:rsidRPr="008C3310">
          <w:rPr>
            <w:rStyle w:val="Hyperlink"/>
          </w:rPr>
          <w:t>Art. 30 Abs. 3 Sätze 1 und 3 BayBesG</w:t>
        </w:r>
      </w:hyperlink>
      <w:r>
        <w:t xml:space="preserve"> entsprechend),</w:t>
      </w:r>
    </w:p>
    <w:p w:rsidR="00BE1EFE" w:rsidRDefault="00BE1EFE">
      <w:pPr>
        <w:pStyle w:val="StandardWeb"/>
      </w:pPr>
      <w:r>
        <w:t>b) Leistungsstufe: Feststellung, ob dauerhaft herausragende Leistungen vorliegen (</w:t>
      </w:r>
      <w:hyperlink r:id="rId1048" w:history="1">
        <w:r w:rsidRPr="008C3310">
          <w:rPr>
            <w:rStyle w:val="Hyperlink"/>
          </w:rPr>
          <w:t>Art. 62 Abs. 2 LlbG, Art. 66 Abs. 2 BayBesG</w:t>
        </w:r>
      </w:hyperlink>
      <w:r>
        <w:t xml:space="preserve"> entsprechend).</w:t>
      </w:r>
    </w:p>
    <w:p w:rsidR="00BE1EFE" w:rsidRDefault="00BE1EFE">
      <w:pPr>
        <w:pStyle w:val="StandardWeb"/>
      </w:pPr>
    </w:p>
    <w:p w:rsidR="00BE1EFE" w:rsidRDefault="00BE1EFE">
      <w:pPr>
        <w:pStyle w:val="StandardWeb"/>
        <w:rPr>
          <w:b/>
          <w:bCs/>
        </w:rPr>
      </w:pPr>
      <w:r>
        <w:t>Für die Leistungsfeststellung im Rahmen der Beurteilung ist der entsprechende Vordruck zu verwenden. Für die gesonderte Leistungsfeststellung ist der entsprechende Vordruck zu verwenden.</w:t>
      </w:r>
    </w:p>
    <w:p w:rsidR="00BE1EFE" w:rsidRDefault="00BE1EFE">
      <w:pPr>
        <w:pStyle w:val="StandardWeb"/>
        <w:rPr>
          <w:b/>
          <w:bCs/>
        </w:rPr>
      </w:pPr>
    </w:p>
    <w:p w:rsidR="00BE1EFE" w:rsidRDefault="00BE1EFE" w:rsidP="0054275E">
      <w:pPr>
        <w:pStyle w:val="StandardWeb"/>
        <w:autoSpaceDE w:val="0"/>
      </w:pPr>
      <w:r>
        <w:rPr>
          <w:rStyle w:val="Fett"/>
          <w:bCs/>
        </w:rPr>
        <w:t>5.2 Gegenstand der Leistungsfeststellung</w:t>
      </w:r>
    </w:p>
    <w:p w:rsidR="00BE1EFE" w:rsidRDefault="00BE1EFE">
      <w:pPr>
        <w:pStyle w:val="StandardWeb"/>
      </w:pPr>
    </w:p>
    <w:p w:rsidR="00BE1EFE" w:rsidRDefault="00BE1EFE">
      <w:pPr>
        <w:pStyle w:val="StandardWeb"/>
      </w:pPr>
      <w:r>
        <w:t>Gegenstand der Feststellung sind die Kriterien der fachlichen Leistung gemäß Nr. 2.2.1.</w:t>
      </w:r>
    </w:p>
    <w:p w:rsidR="00BE1EFE" w:rsidRDefault="00BE1EFE">
      <w:pPr>
        <w:pStyle w:val="StandardWeb"/>
      </w:pPr>
    </w:p>
    <w:p w:rsidR="00BE1EFE" w:rsidRDefault="00BE1EFE" w:rsidP="00113710">
      <w:pPr>
        <w:pStyle w:val="StandardWeb"/>
      </w:pPr>
      <w:r>
        <w:t>a) Regelmäßiger Stufenaufstieg</w:t>
      </w:r>
    </w:p>
    <w:p w:rsidR="00BE1EFE" w:rsidRDefault="00BE1EFE">
      <w:pPr>
        <w:pStyle w:val="StandardWeb"/>
      </w:pPr>
      <w:r>
        <w:t xml:space="preserve">Entsprechend </w:t>
      </w:r>
      <w:hyperlink r:id="rId1049" w:history="1">
        <w:r w:rsidRPr="008C3310">
          <w:rPr>
            <w:rStyle w:val="Hyperlink"/>
          </w:rPr>
          <w:t>Art. 30 Abs. 2 BayBesG</w:t>
        </w:r>
      </w:hyperlink>
      <w:r>
        <w:t xml:space="preserve"> steigt das Grundgehalt in regelmäßigen Zeitabständen (bis zum Erreichen der Endstufe) an, wenn die Lehrkraft die mit dem Amt verbundenen Mindestanforderungen erfüllt. Bezugspunkt für die entsprechend </w:t>
      </w:r>
      <w:hyperlink r:id="rId1050" w:history="1">
        <w:r w:rsidRPr="008C3310">
          <w:rPr>
            <w:rStyle w:val="Hyperlink"/>
          </w:rPr>
          <w:t>Art. 30 Abs. 3 Satz 1 BayBesG</w:t>
        </w:r>
      </w:hyperlink>
      <w:r>
        <w:t xml:space="preserve"> erforderliche Leistungsfeststellung ist grundsätzlich das jeweilige Amt im statusrechtlichen Sinn, das die Lehrkraft am Beurteilungsstichtag bzw. dem Stichtag der gesonderten Leistungsfeststellung innehat. Die Mindestanforderungen gelten regelmäßig als erfüllt, wenn die Lehrkraft in allen Einzelmerkmalen der fachlichen Leistung gemäß Nr. 2.2.1 mindestens die Bewertungsstufe „Leistung, die Mängel aufweist – MA“ erzielt hat. Bei der Entscheidung sind sämtliche zurechenbaren Umstände des Einzelfalls zu berücksichtigen. Es handelt sich dabei insbesondere darum,</w:t>
      </w:r>
    </w:p>
    <w:p w:rsidR="00BE1EFE" w:rsidRDefault="00BE1EFE">
      <w:pPr>
        <w:pStyle w:val="StandardWeb"/>
      </w:pPr>
    </w:p>
    <w:p w:rsidR="00BE1EFE" w:rsidRDefault="00BE1EFE">
      <w:pPr>
        <w:pStyle w:val="StandardWeb"/>
      </w:pPr>
      <w:r>
        <w:t>– ob Leistungsmängel der Lehrkraft zugerechnet werden können; dies ist insbesondere nicht der Fall, wenn sie auf eine Krankheit oder auf eine Schwerbehinderung zurückzuführen sind,</w:t>
      </w:r>
    </w:p>
    <w:p w:rsidR="00BE1EFE" w:rsidRDefault="00BE1EFE">
      <w:pPr>
        <w:pStyle w:val="StandardWeb"/>
      </w:pPr>
    </w:p>
    <w:p w:rsidR="00BE1EFE" w:rsidRDefault="00BE1EFE">
      <w:pPr>
        <w:pStyle w:val="StandardWeb"/>
      </w:pPr>
      <w:r>
        <w:t>– inwieweit die gezeigten Leistungen von dem allgemeinen Durchschnitt abweichen,</w:t>
      </w:r>
    </w:p>
    <w:p w:rsidR="00BE1EFE" w:rsidRDefault="00BE1EFE">
      <w:pPr>
        <w:pStyle w:val="StandardWeb"/>
      </w:pPr>
    </w:p>
    <w:p w:rsidR="00BE1EFE" w:rsidRDefault="00BE1EFE">
      <w:pPr>
        <w:pStyle w:val="StandardWeb"/>
      </w:pPr>
      <w:r>
        <w:t>– wie lange Leistungsmängel während des Beurteilungszeitraums bestanden haben,</w:t>
      </w:r>
    </w:p>
    <w:p w:rsidR="00BE1EFE" w:rsidRDefault="00BE1EFE">
      <w:pPr>
        <w:pStyle w:val="StandardWeb"/>
      </w:pPr>
    </w:p>
    <w:p w:rsidR="00BE1EFE" w:rsidRDefault="00BE1EFE">
      <w:pPr>
        <w:pStyle w:val="StandardWeb"/>
      </w:pPr>
      <w:r>
        <w:t>– ob zu erwarten ist, dass Leistungsmängel auch ohne Maßnahmen durch die Dienstvorge</w:t>
      </w:r>
      <w:r>
        <w:softHyphen/>
        <w:t>setzte oder den Dienstvorgesetzten behoben werden.</w:t>
      </w:r>
    </w:p>
    <w:p w:rsidR="00BE1EFE" w:rsidRDefault="00BE1EFE">
      <w:pPr>
        <w:pStyle w:val="StandardWeb"/>
      </w:pPr>
    </w:p>
    <w:p w:rsidR="00BE1EFE" w:rsidRDefault="00BE1EFE">
      <w:pPr>
        <w:pStyle w:val="StandardWeb"/>
      </w:pPr>
      <w:r>
        <w:t>Die Grundsätze der „Teilhaberichtlinien“ (</w:t>
      </w:r>
      <w:r w:rsidRPr="00B3037A">
        <w:t>dort vor allem Nr. 9.3 Abs. 3</w:t>
      </w:r>
      <w:r>
        <w:t>) sind zu beachten.</w:t>
      </w:r>
    </w:p>
    <w:p w:rsidR="00BE1EFE" w:rsidRDefault="00BE1EFE">
      <w:pPr>
        <w:pStyle w:val="StandardWeb"/>
      </w:pPr>
    </w:p>
    <w:p w:rsidR="00BE1EFE" w:rsidRDefault="00BE1EFE">
      <w:pPr>
        <w:pStyle w:val="StandardWeb"/>
      </w:pPr>
      <w:r>
        <w:t>Eine gesonderte Berücksichtigung der oben genannten Umstände bei der Leistungsfest</w:t>
      </w:r>
      <w:r>
        <w:softHyphen/>
        <w:t xml:space="preserve">stellung ist nur insoweit möglich, als diese nicht bereits Eingang bei der Bewertung der entsprechend </w:t>
      </w:r>
      <w:hyperlink r:id="rId1051" w:history="1">
        <w:r w:rsidRPr="00664ED3">
          <w:rPr>
            <w:rStyle w:val="Hyperlink"/>
          </w:rPr>
          <w:t>Art. 58 Abs. 3 Nr. 1, Abs. 6 Satz 2 LlbG</w:t>
        </w:r>
      </w:hyperlink>
      <w:r>
        <w:t xml:space="preserve"> maßgeblichen Beurteilungskriterien </w:t>
      </w:r>
      <w:r>
        <w:lastRenderedPageBreak/>
        <w:t>gefunden haben (vgl. Nr. 2.3.5; keine doppelte Berücksichtigung). Durch die Berücksichtigung aller Umstände des Einzelfalls ist gewährleistet, dass unberechtigte Benachteiligungen verhindert werden, und auf die Besonderheiten von Einzelfällen eingegangen werden kann.</w:t>
      </w:r>
    </w:p>
    <w:p w:rsidR="00BE1EFE" w:rsidRDefault="00BE1EFE">
      <w:pPr>
        <w:pStyle w:val="StandardWeb"/>
      </w:pPr>
    </w:p>
    <w:p w:rsidR="00BE1EFE" w:rsidRDefault="00BE1EFE">
      <w:pPr>
        <w:pStyle w:val="StandardWeb"/>
      </w:pPr>
      <w:r>
        <w:t>b) Stufenstopp</w:t>
      </w:r>
    </w:p>
    <w:p w:rsidR="00BE1EFE" w:rsidRDefault="00BE1EFE">
      <w:pPr>
        <w:pStyle w:val="StandardWeb"/>
      </w:pPr>
      <w:r>
        <w:t xml:space="preserve">Kann nicht festgestellt werden, dass die Mindestanforderungen erfüllt sind, weil die Lehrkraft nicht in allen Einzelmerkmalen der fachlichen Leistung gemäß 2.2.1 mindestens die Bewertungsstufe „Leistung, die Mängel aufweist – MA“ erreicht hat, ist Folge des </w:t>
      </w:r>
      <w:hyperlink r:id="rId1052" w:history="1">
        <w:r w:rsidRPr="00F443DD">
          <w:rPr>
            <w:rStyle w:val="Hyperlink"/>
          </w:rPr>
          <w:t>Art. 30 Absatz 3 BayBesG</w:t>
        </w:r>
      </w:hyperlink>
      <w:r>
        <w:t xml:space="preserve"> in entsprechender Anwendung das Verbleiben in der bisherigen Stufe. </w:t>
      </w:r>
    </w:p>
    <w:p w:rsidR="00BE1EFE" w:rsidRDefault="00BE1EFE">
      <w:pPr>
        <w:pStyle w:val="StandardWeb"/>
      </w:pPr>
      <w:r>
        <w:t>Der regelmäßige Stufenaufstieg darf einer Lehrkraft nur versagt werden, wenn sie rechtzeitig vorher auf die Leistungsmängel ausdrücklich hingewiesen worden ist (</w:t>
      </w:r>
      <w:hyperlink r:id="rId1053" w:history="1">
        <w:r w:rsidRPr="00664ED3">
          <w:rPr>
            <w:rStyle w:val="Hyperlink"/>
          </w:rPr>
          <w:t>Art. 62 Abs. 4 Satz 2 LlbG</w:t>
        </w:r>
      </w:hyperlink>
      <w:r>
        <w:t xml:space="preserve"> entsprechend). Dies soll der betroffenen Lehrkraft die Chance geben, Leistungsmängel rechtzeitig zu beheben und gleichzeitig aufzeigen, dass finanzielle Einbußen hingenommen werden müssen, wenn die Leistungen nicht gesteigert werden. Inhalt und Zeitpunkt des Hinweises sind im Personalakt zu vermerken.</w:t>
      </w:r>
    </w:p>
    <w:p w:rsidR="00BE1EFE" w:rsidRDefault="00BE1EFE">
      <w:pPr>
        <w:pStyle w:val="StandardWeb"/>
      </w:pPr>
      <w:r>
        <w:t xml:space="preserve">Unterbleibt eine positive Feststellung entsprechend </w:t>
      </w:r>
      <w:hyperlink r:id="rId1054" w:history="1">
        <w:r w:rsidRPr="00664ED3">
          <w:rPr>
            <w:rStyle w:val="Hyperlink"/>
          </w:rPr>
          <w:t>Art. 62 Abs. 3 LlbG</w:t>
        </w:r>
      </w:hyperlink>
      <w:r>
        <w:t xml:space="preserve">, ist dies der Lehrkraft gegenüber – in entsprechender Anwendung des </w:t>
      </w:r>
      <w:hyperlink r:id="rId1055" w:history="1">
        <w:r w:rsidRPr="00F443DD">
          <w:rPr>
            <w:rStyle w:val="Hyperlink"/>
          </w:rPr>
          <w:t>Art. 39 Abs. 1 Satz 2 BayVwVfG</w:t>
        </w:r>
      </w:hyperlink>
      <w:r>
        <w:t xml:space="preserve"> – zu begründen. Eine Abschrift der Mitteilung der Gründe ist in den Personalakt aufzunehmen.</w:t>
      </w:r>
    </w:p>
    <w:p w:rsidR="00BE1EFE" w:rsidRDefault="00BE1EFE">
      <w:pPr>
        <w:pStyle w:val="StandardWeb"/>
      </w:pPr>
      <w:r>
        <w:t xml:space="preserve">Entsprechend </w:t>
      </w:r>
      <w:hyperlink r:id="rId1056" w:history="1">
        <w:r w:rsidRPr="00664ED3">
          <w:rPr>
            <w:rStyle w:val="Hyperlink"/>
          </w:rPr>
          <w:t>Art. 62 Abs. 5 LlbG</w:t>
        </w:r>
      </w:hyperlink>
      <w:r>
        <w:t xml:space="preserve"> wird regelmäßig überprüft, ob nunmehr die Mindestan</w:t>
      </w:r>
      <w:r>
        <w:softHyphen/>
        <w:t xml:space="preserve">forderungen entsprechend </w:t>
      </w:r>
      <w:hyperlink r:id="rId1057" w:history="1">
        <w:r w:rsidRPr="00F443DD">
          <w:rPr>
            <w:rStyle w:val="Hyperlink"/>
          </w:rPr>
          <w:t>Art. 30 Abs. 3 Satz 1 BayBesG</w:t>
        </w:r>
      </w:hyperlink>
      <w:r>
        <w:t xml:space="preserve"> vorliegen.</w:t>
      </w:r>
    </w:p>
    <w:p w:rsidR="00BE1EFE" w:rsidRDefault="00BE1EFE">
      <w:pPr>
        <w:pStyle w:val="StandardWeb"/>
      </w:pPr>
      <w:r>
        <w:t>Dies ermöglicht dem Dienstherrn flexibel auf die Leistungen der Lehrkraft nach einem Anhalten in der Stufe zu reagieren und gibt der betroffenen Lehrkraft die Chance und den Anreiz schnell die Leistungen zu steigern.</w:t>
      </w:r>
    </w:p>
    <w:p w:rsidR="00BE1EFE" w:rsidRDefault="00BE1EFE">
      <w:pPr>
        <w:pStyle w:val="StandardWeb"/>
      </w:pPr>
      <w:r>
        <w:t>Wird festgestellt, dass die Mindestanforderungen nicht erfüllt sind (Stufenstopp), sind die Leistungen im Rahmen einer gesonderten Leistungsfeststellung in Abständen von jeweils einem Jahr nach Beginn des Stufenstopps erneut zu überprüfen (</w:t>
      </w:r>
      <w:hyperlink r:id="rId1058" w:history="1">
        <w:r w:rsidRPr="00664ED3">
          <w:rPr>
            <w:rStyle w:val="Hyperlink"/>
          </w:rPr>
          <w:t>Art. 62 Abs. 5 Satz 1 LlbG</w:t>
        </w:r>
      </w:hyperlink>
      <w:r>
        <w:t xml:space="preserve"> entsprechend). Sofern zu diesem Zeitpunkt zugleich eine periodische Beurteilung erstellt wird, wird die Überprüfungsfeststellung mit dieser verbunden (</w:t>
      </w:r>
      <w:hyperlink r:id="rId1059" w:history="1">
        <w:r w:rsidRPr="00664ED3">
          <w:rPr>
            <w:rStyle w:val="Hyperlink"/>
          </w:rPr>
          <w:t>Art. 62 Abs. 5 Satz 4 LlbG</w:t>
        </w:r>
      </w:hyperlink>
      <w:r>
        <w:t xml:space="preserve"> entsprechend). Einer gesonderten Leistungsfeststellung bedarf es auch dann, wenn eine Leistungsfeststellung für die Entscheidungen entsprechend </w:t>
      </w:r>
      <w:hyperlink r:id="rId1060" w:history="1">
        <w:r w:rsidRPr="00F443DD">
          <w:rPr>
            <w:rStyle w:val="Hyperlink"/>
          </w:rPr>
          <w:t>Art. 30 Abs. 3 Sätze 1 und 3 BayBesG</w:t>
        </w:r>
      </w:hyperlink>
      <w:r>
        <w:t xml:space="preserve"> sowie entsprechend </w:t>
      </w:r>
      <w:hyperlink r:id="rId1061" w:history="1">
        <w:r w:rsidRPr="00F443DD">
          <w:rPr>
            <w:rStyle w:val="Hyperlink"/>
          </w:rPr>
          <w:t>Art. 66 Abs. 2 BayBesG</w:t>
        </w:r>
      </w:hyperlink>
      <w:r>
        <w:t xml:space="preserve"> erforderlich ist, eine periodische Beurteilung jedoch nicht vorgeschrieben ist.</w:t>
      </w:r>
    </w:p>
    <w:p w:rsidR="00BE1EFE" w:rsidRDefault="00BE1EFE">
      <w:pPr>
        <w:pStyle w:val="StandardWeb"/>
      </w:pPr>
    </w:p>
    <w:p w:rsidR="00BE1EFE" w:rsidRDefault="00BE1EFE">
      <w:pPr>
        <w:pStyle w:val="StandardWeb"/>
      </w:pPr>
      <w:r>
        <w:t>c) Leistungsstufe</w:t>
      </w:r>
    </w:p>
    <w:p w:rsidR="00BE1EFE" w:rsidRDefault="00BE1EFE">
      <w:pPr>
        <w:pStyle w:val="StandardWeb"/>
      </w:pPr>
      <w:r>
        <w:t xml:space="preserve">Entsprechend </w:t>
      </w:r>
      <w:hyperlink r:id="rId1062" w:history="1">
        <w:r w:rsidRPr="00664ED3">
          <w:rPr>
            <w:rStyle w:val="Hyperlink"/>
          </w:rPr>
          <w:t>Art. 62 Abs. 2 LlbG</w:t>
        </w:r>
      </w:hyperlink>
      <w:r>
        <w:t xml:space="preserve"> kommen für die Vergabe einer Leistungsstufe entsprechend </w:t>
      </w:r>
      <w:hyperlink r:id="rId1063" w:history="1">
        <w:r w:rsidRPr="00F443DD">
          <w:rPr>
            <w:rStyle w:val="Hyperlink"/>
          </w:rPr>
          <w:t>Art. 66 Abs. 1 BayBesG</w:t>
        </w:r>
      </w:hyperlink>
      <w:r>
        <w:t xml:space="preserve"> nur diejenigen Lehrkräfte in Betracht, die in den Kriterien der fachlichen Leistung gemäß Nr. 2.2.1 die jeweils in der Vergleichsgruppe höchst vergebenen Bewertungen erhalten haben.</w:t>
      </w:r>
    </w:p>
    <w:p w:rsidR="00BE1EFE" w:rsidRDefault="00BE1EFE">
      <w:pPr>
        <w:pStyle w:val="StandardWeb"/>
      </w:pPr>
      <w:r>
        <w:t xml:space="preserve">Für die Probezeitbeamtinnen und Probezeitbeamten gilt </w:t>
      </w:r>
      <w:hyperlink r:id="rId1064" w:history="1">
        <w:r w:rsidRPr="008C3310">
          <w:rPr>
            <w:rStyle w:val="Hyperlink"/>
          </w:rPr>
          <w:t>Art. 62 Abs. 2 Satz 2 in Verbindung mit Abs. 1 Satz 5 LlbG</w:t>
        </w:r>
      </w:hyperlink>
      <w:r>
        <w:t xml:space="preserve"> entsprechend.</w:t>
      </w:r>
    </w:p>
    <w:p w:rsidR="00BE1EFE" w:rsidRDefault="00BE1EFE">
      <w:pPr>
        <w:pStyle w:val="StandardWeb"/>
      </w:pPr>
      <w:r>
        <w:t>Von einer Festlegung genau bestimmter Kriterien wurde abgesehen, um die Entscheidung der oder des Dienstvorgesetzten nicht zu beschränken. Dies garantiert das notwendige Maß an Gerechtigkeit im Einzelfall.</w:t>
      </w:r>
    </w:p>
    <w:p w:rsidR="00BE1EFE" w:rsidRDefault="00BE1EFE">
      <w:pPr>
        <w:pStyle w:val="StandardWeb"/>
        <w:rPr>
          <w:b/>
          <w:bCs/>
        </w:rPr>
      </w:pPr>
      <w:r>
        <w:t xml:space="preserve">In entsprechender Anwendung des </w:t>
      </w:r>
      <w:hyperlink r:id="rId1065" w:history="1">
        <w:r w:rsidRPr="00F443DD">
          <w:rPr>
            <w:rStyle w:val="Hyperlink"/>
          </w:rPr>
          <w:t>Art. 66 Abs. 2 Satz 2 BayBesG</w:t>
        </w:r>
      </w:hyperlink>
      <w:r>
        <w:t xml:space="preserve"> entscheidet die zuständige Stelle auf der Grundlage der Leistungsfeststellung im Rahmen einer weiteren Auswahl</w:t>
      </w:r>
      <w:r>
        <w:softHyphen/>
        <w:t xml:space="preserve">entscheidung (Vergabeentscheidung) über die tatsächliche Vergabe einer Leistungsstufe und deren Dauer. Der Beginn der Leistungsstufe kann bei jeder Lehrkraft individuell bestimmt werden. Letzteres ist nicht Gegenstand der Leistungsfeststellung. Auf </w:t>
      </w:r>
      <w:hyperlink r:id="rId1066" w:history="1">
        <w:r w:rsidRPr="008C3310">
          <w:rPr>
            <w:rStyle w:val="Hyperlink"/>
          </w:rPr>
          <w:t>Art. 62 Abs. 2 Sätze 3 und 4 LlbG</w:t>
        </w:r>
      </w:hyperlink>
      <w:r>
        <w:t xml:space="preserve"> wird verwiesen.</w:t>
      </w:r>
    </w:p>
    <w:p w:rsidR="00BE1EFE" w:rsidRDefault="00BE1EFE">
      <w:pPr>
        <w:pStyle w:val="StandardWeb"/>
        <w:rPr>
          <w:b/>
          <w:bCs/>
        </w:rPr>
      </w:pPr>
    </w:p>
    <w:p w:rsidR="00BE1EFE" w:rsidRDefault="00BE1EFE" w:rsidP="0054275E">
      <w:pPr>
        <w:pStyle w:val="StandardWeb"/>
        <w:autoSpaceDE w:val="0"/>
      </w:pPr>
      <w:r>
        <w:rPr>
          <w:rStyle w:val="Fett"/>
          <w:bCs/>
        </w:rPr>
        <w:t>5.3 Leistungsfeststellungen während der Probezeit</w:t>
      </w:r>
    </w:p>
    <w:p w:rsidR="00BE1EFE" w:rsidRDefault="00BE1EFE">
      <w:pPr>
        <w:pStyle w:val="StandardWeb"/>
      </w:pPr>
    </w:p>
    <w:p w:rsidR="00BE1EFE" w:rsidRDefault="00BE1EFE">
      <w:pPr>
        <w:pStyle w:val="StandardWeb"/>
      </w:pPr>
      <w:r>
        <w:t xml:space="preserve">Sofern während der Probezeit Leistungsfeststellungen entsprechend </w:t>
      </w:r>
      <w:hyperlink r:id="rId1067" w:history="1">
        <w:r w:rsidRPr="00F443DD">
          <w:rPr>
            <w:rStyle w:val="Hyperlink"/>
          </w:rPr>
          <w:t>Art. 30 Abs. 3</w:t>
        </w:r>
      </w:hyperlink>
      <w:r>
        <w:t xml:space="preserve">, </w:t>
      </w:r>
      <w:hyperlink r:id="rId1068" w:history="1">
        <w:r w:rsidRPr="00F443DD">
          <w:rPr>
            <w:rStyle w:val="Hyperlink"/>
          </w:rPr>
          <w:t>Art. 66 Abs. 2 BayBesG</w:t>
        </w:r>
      </w:hyperlink>
      <w:r>
        <w:t xml:space="preserve"> erforderlich werden, können diese mit der Einschätzung bzw. der Probe</w:t>
      </w:r>
      <w:r>
        <w:softHyphen/>
        <w:t>zeitbeurteilung verbunden werden (</w:t>
      </w:r>
      <w:hyperlink r:id="rId1069" w:history="1">
        <w:r w:rsidRPr="008C3310">
          <w:rPr>
            <w:rStyle w:val="Hyperlink"/>
          </w:rPr>
          <w:t>Art. 62 Abs. 1 Satz 4 LlbG</w:t>
        </w:r>
      </w:hyperlink>
      <w:r>
        <w:t xml:space="preserve"> entsprechend).</w:t>
      </w:r>
    </w:p>
    <w:p w:rsidR="00BE1EFE" w:rsidRDefault="00BE1EFE">
      <w:pPr>
        <w:pStyle w:val="StandardWeb"/>
      </w:pPr>
      <w:r>
        <w:t>Für Leistungsfeststellungen während der Probezeit gelten abweichend die für die Einschätzung bzw. die Probezeitbeurteilung maßgebenden Bewertungsmaßstäbe (</w:t>
      </w:r>
      <w:hyperlink r:id="rId1070" w:history="1">
        <w:r w:rsidRPr="008C3310">
          <w:rPr>
            <w:rStyle w:val="Hyperlink"/>
          </w:rPr>
          <w:t>Art. 62 Abs. 1 Satz 5 in Verbindung mit Art. 55 Abs. 1 Satz 1 bzw. Art. 55 Abs. 2 Satz 2 LlbG</w:t>
        </w:r>
      </w:hyperlink>
      <w:r>
        <w:t xml:space="preserve"> entsprechend).</w:t>
      </w:r>
    </w:p>
    <w:p w:rsidR="00BE1EFE" w:rsidRDefault="00BE1EFE">
      <w:pPr>
        <w:pStyle w:val="StandardWeb"/>
      </w:pPr>
    </w:p>
    <w:p w:rsidR="00BE1EFE" w:rsidRDefault="00BE1EFE" w:rsidP="0054275E">
      <w:pPr>
        <w:pStyle w:val="StandardWeb"/>
        <w:autoSpaceDE w:val="0"/>
      </w:pPr>
      <w:r>
        <w:rPr>
          <w:rStyle w:val="Fett"/>
          <w:bCs/>
        </w:rPr>
        <w:t>5.4 Zusammentreffen von Zeiten aktiver Dienstleistung und von berücksichti</w:t>
      </w:r>
      <w:r>
        <w:rPr>
          <w:rStyle w:val="Fett"/>
          <w:bCs/>
        </w:rPr>
        <w:softHyphen/>
        <w:t xml:space="preserve">gungsfähigen Zeiten </w:t>
      </w:r>
    </w:p>
    <w:p w:rsidR="00BE1EFE" w:rsidRDefault="00BE1EFE">
      <w:pPr>
        <w:pStyle w:val="StandardWeb"/>
      </w:pPr>
    </w:p>
    <w:p w:rsidR="00BE1EFE" w:rsidRDefault="00BE1EFE">
      <w:pPr>
        <w:pStyle w:val="StandardWeb"/>
        <w:rPr>
          <w:b/>
          <w:bCs/>
        </w:rPr>
      </w:pPr>
      <w:r>
        <w:t xml:space="preserve">Treffen in einem Beurteilungszeitraum Zeiten aktiver Dienstleistung mit Zeiten entsprechend </w:t>
      </w:r>
      <w:hyperlink r:id="rId1071" w:history="1">
        <w:r w:rsidRPr="00FC4E27">
          <w:rPr>
            <w:rStyle w:val="Hyperlink"/>
          </w:rPr>
          <w:t>Art. 31 Abs. 3 BayBesG</w:t>
        </w:r>
      </w:hyperlink>
      <w:r>
        <w:t xml:space="preserve"> zusammen, während der entsprechend </w:t>
      </w:r>
      <w:hyperlink r:id="rId1072" w:history="1">
        <w:r w:rsidRPr="00FC4E27">
          <w:rPr>
            <w:rStyle w:val="Hyperlink"/>
          </w:rPr>
          <w:t>Art. 30 Abs. 3 Satz 5 BayBesG</w:t>
        </w:r>
      </w:hyperlink>
      <w:r>
        <w:t xml:space="preserve"> die mit dem Amt verbundenen Mindestanforderungen als erfüllt gelten, ist im Wege einer Gesamtwürdigung des Beurteilungszeitraums zu entscheiden, ob insgesamt davon ausgegangen werden kann, dass die mit dem Amt verbundenen Mindestanforderungen erfüllt sind.</w:t>
      </w:r>
    </w:p>
    <w:p w:rsidR="00BE1EFE" w:rsidRDefault="00BE1EFE">
      <w:pPr>
        <w:pStyle w:val="StandardWeb"/>
        <w:rPr>
          <w:b/>
          <w:bCs/>
        </w:rPr>
      </w:pPr>
    </w:p>
    <w:p w:rsidR="00BE1EFE" w:rsidRDefault="00BE1EFE" w:rsidP="0054275E">
      <w:pPr>
        <w:pStyle w:val="StandardWeb"/>
        <w:autoSpaceDE w:val="0"/>
      </w:pPr>
      <w:r>
        <w:rPr>
          <w:rStyle w:val="Fett"/>
          <w:bCs/>
        </w:rPr>
        <w:t>5.5 Zuständigkeit und Verfahren</w:t>
      </w:r>
    </w:p>
    <w:p w:rsidR="00BE1EFE" w:rsidRDefault="00BE1EFE">
      <w:pPr>
        <w:pStyle w:val="StandardWeb"/>
      </w:pPr>
    </w:p>
    <w:p w:rsidR="00BE1EFE" w:rsidRDefault="00BE1EFE">
      <w:pPr>
        <w:pStyle w:val="StandardWeb"/>
        <w:rPr>
          <w:b/>
          <w:bCs/>
        </w:rPr>
      </w:pPr>
      <w:r>
        <w:t>Die Zuständigkeiten richten sich in allen in Nrn. 5.1 und 5.2 genannten Fällen nach Nr. 4.6. Hinsichtlich des Verfahrens finden die in Nr. 4 für die dienstliche Beurteilung getroffenen Regelungen entsprechende Anwendung.</w:t>
      </w: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pPr>
      <w:r>
        <w:rPr>
          <w:rStyle w:val="Fett"/>
          <w:bCs/>
        </w:rPr>
        <w:t>5.6 Maßstab</w:t>
      </w:r>
    </w:p>
    <w:p w:rsidR="00BE1EFE" w:rsidRDefault="00BE1EFE">
      <w:pPr>
        <w:pStyle w:val="StandardWeb"/>
      </w:pPr>
    </w:p>
    <w:p w:rsidR="00BE1EFE" w:rsidRDefault="00BE1EFE">
      <w:pPr>
        <w:pStyle w:val="StandardWeb"/>
        <w:rPr>
          <w:b/>
          <w:bCs/>
        </w:rPr>
      </w:pPr>
      <w:r>
        <w:t>Leistungsfeststellungen können ihrer Funktion nur gerecht werden, wenn sie nach objektiven Gesichtspunkten erstellt werden und ein möglichst zutreffendes, ausgewogenes und umfassendes Bild von den Leistungen der Lehrkräfte geben. Die Nr. 2.2.1 findet entsprechende Anwendung, soweit es um die Feststellung der fachlichen Leistung geht.</w:t>
      </w:r>
    </w:p>
    <w:p w:rsidR="00BE1EFE" w:rsidRDefault="00BE1EFE">
      <w:pPr>
        <w:pStyle w:val="StandardWeb"/>
        <w:rPr>
          <w:b/>
          <w:bCs/>
        </w:rPr>
      </w:pPr>
    </w:p>
    <w:p w:rsidR="00BE1EFE" w:rsidRDefault="00BE1EFE" w:rsidP="0054275E">
      <w:pPr>
        <w:pStyle w:val="StandardWeb"/>
        <w:autoSpaceDE w:val="0"/>
      </w:pPr>
      <w:r>
        <w:rPr>
          <w:rStyle w:val="Fett"/>
          <w:bCs/>
        </w:rPr>
        <w:t>5.7 Wirksamkeit</w:t>
      </w:r>
    </w:p>
    <w:p w:rsidR="00BE1EFE" w:rsidRDefault="00BE1EFE">
      <w:pPr>
        <w:pStyle w:val="StandardWeb"/>
      </w:pPr>
    </w:p>
    <w:p w:rsidR="00BE1EFE" w:rsidRDefault="00BE1EFE">
      <w:pPr>
        <w:pStyle w:val="StandardWeb"/>
      </w:pPr>
      <w:r>
        <w:t>Bezüglich des Beginns der Wirksamkeit einer Leistungsfeststellung ist auf den Beginn des Monats abzustellen, der auf den Monat, in dem die Leistungsfeststellung eröffnet worden ist, folgt. Sofern die Leistungsfeststellung mit der periodischen Beurteilung verbunden ist, ist maßgeblich der Monat der Eröffnung der periodischen Beurteilung. Eine Leistungsfeststellung, die mit einer periodischen Beurteilung verbunden ist, gilt bis zur nächsten periodischen Beurteilung. Eine gesonderte Leistungsfeststellung ist wirksam bis zur ersten oder nächsten periodischen Beurteilung, bzw., wenn eine solche nicht erfolgt, bis zur nächsten gesonderten Leistungsfeststellung.</w:t>
      </w:r>
    </w:p>
    <w:p w:rsidR="00BE1EFE" w:rsidRDefault="00BE1EFE">
      <w:pPr>
        <w:pStyle w:val="StandardWeb"/>
        <w:rPr>
          <w:b/>
          <w:bCs/>
        </w:rPr>
      </w:pPr>
      <w:r>
        <w:t xml:space="preserve">Unterbleibt eine positive Leistungsfeststellung (Stufenstopp), so treten die Rechtsfolgen entsprechend </w:t>
      </w:r>
      <w:hyperlink r:id="rId1073" w:history="1">
        <w:r w:rsidRPr="00FC4E27">
          <w:rPr>
            <w:rStyle w:val="Hyperlink"/>
          </w:rPr>
          <w:t>Art. 30 Abs. 3 Satz 3 BayBesG</w:t>
        </w:r>
      </w:hyperlink>
      <w:r>
        <w:t xml:space="preserve"> mit dem Beginn des Monats ein, der auf den Monat folgt, in dem die periodische Beurteilung bzw. die gesonderte Leistungsfeststellung eröffnet worden ist. Jeweils nach einem Jahr ab Eintritt der Rechtsfolgen entsprechend </w:t>
      </w:r>
      <w:hyperlink r:id="rId1074" w:history="1">
        <w:r w:rsidRPr="00FC4E27">
          <w:rPr>
            <w:rStyle w:val="Hyperlink"/>
          </w:rPr>
          <w:t>Art. 30 Abs. 3 Satz 3 BayBesG</w:t>
        </w:r>
      </w:hyperlink>
      <w:r>
        <w:t xml:space="preserve"> wird erneut überprüft, ob die Lehrkraft nunmehr die Mindestan</w:t>
      </w:r>
      <w:r>
        <w:softHyphen/>
        <w:t>forderungen erfüllt. Wenn dies der Fall ist, erfolgt eine positive Leistungsfeststellung; andernfalls wird festgehalten, dass die Leistung nach wie vor nicht den Mindestanforderungen entspricht.</w:t>
      </w:r>
    </w:p>
    <w:p w:rsidR="00BE1EFE" w:rsidRDefault="00BE1EFE">
      <w:pPr>
        <w:pStyle w:val="StandardWeb"/>
        <w:rPr>
          <w:b/>
          <w:bCs/>
        </w:rPr>
      </w:pPr>
    </w:p>
    <w:p w:rsidR="00BE1EFE" w:rsidRDefault="00BE1EFE" w:rsidP="0054275E">
      <w:pPr>
        <w:pStyle w:val="StandardWeb"/>
        <w:autoSpaceDE w:val="0"/>
      </w:pPr>
      <w:r>
        <w:rPr>
          <w:rStyle w:val="Fett"/>
          <w:bCs/>
        </w:rPr>
        <w:t>5.8 Einwendungen gegen die Leistungsfeststellung</w:t>
      </w:r>
    </w:p>
    <w:p w:rsidR="00BE1EFE" w:rsidRDefault="00BE1EFE">
      <w:pPr>
        <w:pStyle w:val="StandardWeb"/>
      </w:pPr>
    </w:p>
    <w:p w:rsidR="00BE1EFE" w:rsidRDefault="00BE1EFE">
      <w:pPr>
        <w:pStyle w:val="StandardWeb"/>
      </w:pPr>
      <w:r>
        <w:t>Für das Verfahren bei Einwendungen gegen die Leistungsfeststellung findet Nr. 4.9 entsprechende Anwendung.</w:t>
      </w:r>
    </w:p>
    <w:p w:rsidR="00BE1EFE" w:rsidRPr="00E5625F" w:rsidRDefault="00BE1EFE" w:rsidP="00514E60">
      <w:pPr>
        <w:pStyle w:val="StandardWeb"/>
        <w:rPr>
          <w:sz w:val="2"/>
          <w:szCs w:val="2"/>
        </w:rPr>
      </w:pPr>
      <w:r>
        <w:br w:type="page"/>
      </w:r>
    </w:p>
    <w:p w:rsidR="00BE1EFE" w:rsidRDefault="00BE1EFE" w:rsidP="00E5625F">
      <w:pPr>
        <w:pStyle w:val="h7"/>
        <w:spacing w:before="0"/>
        <w:jc w:val="left"/>
      </w:pPr>
      <w:bookmarkStart w:id="754" w:name="_Toc523926282"/>
      <w:r>
        <w:lastRenderedPageBreak/>
        <w:t>Abschnitt B: Dienstliche Beurteilung und Leistungsfeststellung der Schulleiterinnen und Schulleiter an katholischen Schulen</w:t>
      </w:r>
      <w:bookmarkEnd w:id="754"/>
    </w:p>
    <w:p w:rsidR="00BE1EFE" w:rsidRDefault="00BE1EFE">
      <w:pPr>
        <w:pStyle w:val="h8"/>
      </w:pPr>
      <w:bookmarkStart w:id="755" w:name="_Toc523926283"/>
      <w:r>
        <w:t>1. Allgemeines</w:t>
      </w:r>
      <w:bookmarkEnd w:id="755"/>
    </w:p>
    <w:p w:rsidR="00BE1EFE" w:rsidRPr="00B76821" w:rsidRDefault="00BE1EFE" w:rsidP="00B76821">
      <w:pPr>
        <w:pStyle w:val="h9"/>
        <w:keepNext w:val="0"/>
        <w:spacing w:before="0" w:after="0"/>
        <w:outlineLvl w:val="5"/>
        <w:rPr>
          <w:sz w:val="2"/>
        </w:rPr>
      </w:pPr>
    </w:p>
    <w:p w:rsidR="00BE1EFE" w:rsidRDefault="00BE1EFE">
      <w:pPr>
        <w:pStyle w:val="StandardWeb"/>
        <w:rPr>
          <w:b/>
          <w:bCs/>
        </w:rPr>
      </w:pPr>
      <w:r>
        <w:t xml:space="preserve">1.1 Die Schulleiterinnen und Schulleiter haben ein breiteres Aufgabenspektrum als Lehrkräfte. Diesem Umstand müssen die Beurteilungsrichtlinien Rechnung tragen. Die Grundsätze und Regelungen im Abschnitt A dieser Beurteilungsrichtlinien gelten, insoweit als auf sie Bezug genommen wird. </w:t>
      </w:r>
      <w:r w:rsidRPr="00B3037A">
        <w:t xml:space="preserve">Auch die Maßgaben der Teilhaberichtlinien zu Verfahren und Inhalt der Beurteilung von Schwerbehinderten (schwerbehinderte und gleichgestellte behinderte Menschen im Sinn von </w:t>
      </w:r>
      <w:hyperlink r:id="rId1075" w:history="1">
        <w:r w:rsidRPr="00FC4E27">
          <w:rPr>
            <w:rStyle w:val="Hyperlink"/>
          </w:rPr>
          <w:t>§ 2 Abs. 2 und 3 SGB IX</w:t>
        </w:r>
      </w:hyperlink>
      <w:r w:rsidRPr="00B3037A">
        <w:t>) finden Anwendung.</w:t>
      </w:r>
    </w:p>
    <w:p w:rsidR="00BE1EFE" w:rsidRDefault="00BE1EFE">
      <w:pPr>
        <w:pStyle w:val="StandardWeb"/>
        <w:rPr>
          <w:b/>
          <w:bCs/>
        </w:rPr>
      </w:pPr>
    </w:p>
    <w:p w:rsidR="00BE1EFE" w:rsidRDefault="00BE1EFE" w:rsidP="0054275E">
      <w:pPr>
        <w:pStyle w:val="StandardWeb"/>
        <w:autoSpaceDE w:val="0"/>
      </w:pPr>
      <w:r>
        <w:rPr>
          <w:rStyle w:val="Fett"/>
          <w:bCs/>
        </w:rPr>
        <w:t>1.2 Dienstliche Beurteilungen erfüllen im Wesentlichen folgende Zwecke:</w:t>
      </w:r>
    </w:p>
    <w:p w:rsidR="00BE1EFE" w:rsidRDefault="00BE1EFE">
      <w:pPr>
        <w:pStyle w:val="StandardWeb"/>
      </w:pPr>
    </w:p>
    <w:p w:rsidR="00BE1EFE" w:rsidRDefault="00BE1EFE">
      <w:pPr>
        <w:pStyle w:val="StandardWeb"/>
      </w:pPr>
      <w:r>
        <w:t>1.2.1 Dienstliche Beurteilungen haben zum Ersten die Aufgabe, der Schulleiterin bzw. dem Schulleiter zu zeigen, welches Bild ihrer Leistung, Eignung und Befähigung das Katholische Schulwerk in Bayern/der Schulträger innerhalb des Beurteilungszeitraums von ihr bzw. ihm gewonnen hat. Die dienstliche Beurteilung ist somit ein Instrument der Personalführung und der Qualitätssicherung.</w:t>
      </w:r>
    </w:p>
    <w:p w:rsidR="00BE1EFE" w:rsidRDefault="00BE1EFE">
      <w:pPr>
        <w:pStyle w:val="StandardWeb"/>
      </w:pPr>
    </w:p>
    <w:p w:rsidR="00BE1EFE" w:rsidRDefault="00BE1EFE">
      <w:pPr>
        <w:pStyle w:val="StandardWeb"/>
      </w:pPr>
      <w:r>
        <w:t>1.2.2 Zum Zweiten soll durch die dienstlichen Beurteilungen regelmäßig ein vergleichender Überblick über das Leistungspotenzial der Schulleiterinnen bzw. der Schulleiter ermöglicht werden, der die Grundlage für Auswahlentscheidungen über die weitere dienstliche Verwendung und das berufliche Fortkommen der Schulleiterinnen und Schulleiter darstellt.</w:t>
      </w:r>
    </w:p>
    <w:p w:rsidR="00BE1EFE" w:rsidRDefault="00BE1EFE">
      <w:pPr>
        <w:pStyle w:val="StandardWeb"/>
      </w:pPr>
    </w:p>
    <w:p w:rsidR="00BE1EFE" w:rsidRDefault="00BE1EFE">
      <w:pPr>
        <w:pStyle w:val="StandardWeb"/>
        <w:rPr>
          <w:b/>
          <w:bCs/>
        </w:rPr>
      </w:pPr>
      <w:r>
        <w:t xml:space="preserve">1.2.3 Die dienstliche Beurteilung ist zum Dritten eine maßgebliche Grundlage für die für Entscheidungen entsprechend </w:t>
      </w:r>
      <w:hyperlink r:id="rId1076" w:history="1">
        <w:r w:rsidRPr="00FC4E27">
          <w:rPr>
            <w:rStyle w:val="Hyperlink"/>
          </w:rPr>
          <w:t>Art. 30 Abs. 3 Sätze 1 und 3</w:t>
        </w:r>
      </w:hyperlink>
      <w:r>
        <w:t xml:space="preserve"> und </w:t>
      </w:r>
      <w:hyperlink r:id="rId1077" w:history="1">
        <w:r w:rsidRPr="00FC4E27">
          <w:rPr>
            <w:rStyle w:val="Hyperlink"/>
          </w:rPr>
          <w:t>Art. 66 Abs. 2 des Bayerischen Besoldungsgesetzes (BayBesG)</w:t>
        </w:r>
      </w:hyperlink>
      <w:r>
        <w:t xml:space="preserve"> notwendige Leistungsfeststellung.</w:t>
      </w:r>
    </w:p>
    <w:p w:rsidR="00BE1EFE" w:rsidRDefault="00BE1EFE">
      <w:pPr>
        <w:pStyle w:val="StandardWeb"/>
        <w:rPr>
          <w:b/>
          <w:bCs/>
        </w:rPr>
      </w:pPr>
    </w:p>
    <w:p w:rsidR="00BE1EFE" w:rsidRDefault="00BE1EFE" w:rsidP="0054275E">
      <w:pPr>
        <w:pStyle w:val="StandardWeb"/>
        <w:autoSpaceDE w:val="0"/>
      </w:pPr>
      <w:r>
        <w:rPr>
          <w:rStyle w:val="Fett"/>
          <w:bCs/>
        </w:rPr>
        <w:t>1.3 Grundsätze der Beurteilung</w:t>
      </w:r>
    </w:p>
    <w:p w:rsidR="00BE1EFE" w:rsidRDefault="00BE1EFE">
      <w:pPr>
        <w:pStyle w:val="StandardWeb"/>
      </w:pPr>
    </w:p>
    <w:p w:rsidR="00BE1EFE" w:rsidRDefault="00BE1EFE">
      <w:pPr>
        <w:pStyle w:val="StandardWeb"/>
      </w:pPr>
      <w:r>
        <w:t>1.3.1 Beurteilen heißt, Beobachtungen und Erkenntnisse unter bestimmten Gesichtspunkten zu bewerten. Um eine fundierte Einschätzung der Leistung einer Schulleiterin bzw. eines Schulleiters zu ermöglichen, sollen sich die in Nr. 4.4 genannten, an der Beurteilung maßgeblich beteiligten Personen ein Bild vor Ort machen. Die Einzelbeobachtungen müssen jeweils nach ihrer Bedeutung eingeordnet und gewichtet werden.</w:t>
      </w:r>
    </w:p>
    <w:p w:rsidR="00BE1EFE" w:rsidRDefault="00BE1EFE">
      <w:pPr>
        <w:pStyle w:val="StandardWeb"/>
      </w:pPr>
    </w:p>
    <w:p w:rsidR="00F525B2" w:rsidRDefault="00BE1EFE">
      <w:pPr>
        <w:pStyle w:val="StandardWeb"/>
      </w:pPr>
      <w:r>
        <w:t>1.3.2 Dienstliche Beurteilungen erfüllen ihren Zweck nur, wenn sie nach objektiven Gesichts</w:t>
      </w:r>
      <w:r>
        <w:softHyphen/>
        <w:t>punkten, d. h. nach den Geboten der Gleichmäßigkeit, Gerechtigkeit und Sachlichkeit erstellt werden. Dazu gehört auch eine Vergleichbarkeit der Beurteilungsergebnisse auf Ebene der bayerischen Diözesen. Die Beurteilungen müssen ein möglichst zutreffendes, umfassendes und ausgewogenes Bild von den Leistungen und Fähigkeiten der Schulleiterinnen bzw. Schulleiter geben. Dementsprechend müssen in den Beurteilungen sowohl Stärken als auch Schwächen, soweit diese für die dienstliche Verwendbarkeit von Bedeutung sind oder sein können, zum Ausdruck kommen. Dabei ist zu vermeiden, dass erstmals zum Ende des Beurteilungszeitraums Mängel angesprochen werden. Sie sind rechtzeitig anzusprechen und Möglichkeiten zur Abhilfe aufzuzeigen, damit die Mängel abgestellt werden können. Das diesbezüglich Veranlasste ist zu dokumentieren.</w:t>
      </w:r>
    </w:p>
    <w:p w:rsidR="00BE1EFE" w:rsidRDefault="00F525B2">
      <w:pPr>
        <w:pStyle w:val="StandardWeb"/>
      </w:pPr>
      <w:r>
        <w:br w:type="page"/>
      </w:r>
    </w:p>
    <w:p w:rsidR="00BE1EFE" w:rsidRDefault="00BE1EFE" w:rsidP="00F525B2">
      <w:pPr>
        <w:pStyle w:val="h8"/>
        <w:spacing w:before="0"/>
      </w:pPr>
      <w:bookmarkStart w:id="756" w:name="_Toc523926284"/>
      <w:r>
        <w:lastRenderedPageBreak/>
        <w:t>2. Inhalt der Beurteilungen, Beurteilungsmaßstab und Bewertung</w:t>
      </w:r>
      <w:bookmarkEnd w:id="756"/>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2.1 Beurteilungsmerkmale</w:t>
      </w:r>
    </w:p>
    <w:p w:rsidR="00BE1EFE" w:rsidRDefault="00BE1EFE">
      <w:pPr>
        <w:pStyle w:val="StandardWeb"/>
      </w:pPr>
    </w:p>
    <w:p w:rsidR="00BE1EFE" w:rsidRDefault="00BE1EFE" w:rsidP="0068324E">
      <w:pPr>
        <w:pStyle w:val="StandardWeb"/>
      </w:pPr>
      <w:r>
        <w:t xml:space="preserve">Die dienstliche Beurteilung hat sich entsprechend </w:t>
      </w:r>
      <w:hyperlink r:id="rId1078" w:history="1">
        <w:r w:rsidRPr="000F1577">
          <w:rPr>
            <w:rStyle w:val="Hyperlink"/>
          </w:rPr>
          <w:t>Art. 58 Abs. 2 LlbG</w:t>
        </w:r>
      </w:hyperlink>
      <w:r>
        <w:t xml:space="preserve"> auf die Beurtei-lungsmerkmale der fachlichen Leistung sowie der Eignung und Befähigung der Schulleiterin bzw. des Schulleiters zu erstrecken. Die Einzelmerkmale, die der Erfassung von Leistung, Eignung und Befähigung dienen und auf die jeweils einzugehen ist, werden im Folgenden aufgeführt. Ergänzt werden die staatlichen Beurteilungsmerkmale durch Leistungsbeschrei</w:t>
      </w:r>
      <w:r>
        <w:softHyphen/>
        <w:t>bungen und -anforderungen, die in den „Qualitätskriterien für Katholische Schulen“ (2009) grundgelegt sind. Die Erläuterungen der einzelnen Merkmale sind nicht abschließend; die Beurteilenden können gegebenenfalls auf weitere Gesichtspunkte eingehen. Zu bedenken ist, dass die der Erfassung der Beurteilungsmerkmale dienenden Gesichtspunkte nicht streng voneinander getrennt, sondern eng miteinander verknüpft sind und sich teilweise überschneiden.</w:t>
      </w:r>
    </w:p>
    <w:p w:rsidR="00BE1EFE" w:rsidRDefault="00BE1EFE">
      <w:pPr>
        <w:pStyle w:val="StandardWeb"/>
        <w:rPr>
          <w:b/>
          <w:bCs/>
        </w:rPr>
      </w:pPr>
    </w:p>
    <w:p w:rsidR="00BE1EFE" w:rsidRPr="00514E60" w:rsidRDefault="00BE1EFE" w:rsidP="00514E60">
      <w:pPr>
        <w:pStyle w:val="StandardWeb"/>
        <w:rPr>
          <w:b/>
          <w:bCs/>
        </w:rPr>
      </w:pPr>
      <w:r>
        <w:rPr>
          <w:rStyle w:val="Fett"/>
          <w:bCs/>
        </w:rPr>
        <w:t>2.1.1 Beurteilung der fachlichen Leistung</w:t>
      </w:r>
    </w:p>
    <w:p w:rsidR="00BE1EFE" w:rsidRDefault="00BE1EFE">
      <w:pPr>
        <w:pStyle w:val="StandardWeb"/>
      </w:pPr>
    </w:p>
    <w:p w:rsidR="00BE1EFE" w:rsidRDefault="00BE1EFE" w:rsidP="0054275E">
      <w:pPr>
        <w:pStyle w:val="StandardWeb"/>
        <w:autoSpaceDE w:val="0"/>
      </w:pPr>
      <w:r>
        <w:rPr>
          <w:rStyle w:val="Fett"/>
          <w:bCs/>
        </w:rPr>
        <w:t>2.1.1.1 Arbeitserfolg</w:t>
      </w:r>
    </w:p>
    <w:p w:rsidR="00BE1EFE" w:rsidRDefault="00BE1EFE">
      <w:pPr>
        <w:pStyle w:val="StandardWeb"/>
      </w:pPr>
    </w:p>
    <w:p w:rsidR="00BE1EFE" w:rsidRDefault="00BE1EFE">
      <w:pPr>
        <w:pStyle w:val="StandardWeb"/>
      </w:pPr>
      <w:r>
        <w:t>2.1.1.1.1 Arbeitsqualität</w:t>
      </w:r>
    </w:p>
    <w:p w:rsidR="00BE1EFE" w:rsidRDefault="00BE1EFE">
      <w:pPr>
        <w:pStyle w:val="StandardWeb"/>
      </w:pPr>
    </w:p>
    <w:p w:rsidR="00BE1EFE" w:rsidRDefault="00BE1EFE">
      <w:pPr>
        <w:pStyle w:val="StandardWeb"/>
      </w:pPr>
      <w:r>
        <w:t>a) Bildung des katholischen Schulprofils</w:t>
      </w:r>
    </w:p>
    <w:p w:rsidR="00BE1EFE" w:rsidRDefault="00BE1EFE">
      <w:pPr>
        <w:pStyle w:val="StandardWeb"/>
      </w:pPr>
      <w:r>
        <w:t>– Nutzung des Gestaltungsspielraums einer Schule in freier Trägerschaft,</w:t>
      </w:r>
    </w:p>
    <w:p w:rsidR="00BE1EFE" w:rsidRDefault="00BE1EFE">
      <w:pPr>
        <w:pStyle w:val="StandardWeb"/>
      </w:pPr>
      <w:r>
        <w:t>– Förderung und Unterstützung des katholischen Profils, der Schulpastoral und des christ</w:t>
      </w:r>
      <w:r>
        <w:softHyphen/>
        <w:t>lichen Lebens in Zusammenarbeit und Abstimmung mit der gesamten Schulfamilie (litur</w:t>
      </w:r>
      <w:r>
        <w:softHyphen/>
        <w:t>gische, spirituelle und ähnliche Angebote; soziales Engagement),</w:t>
      </w:r>
    </w:p>
    <w:p w:rsidR="00BE1EFE" w:rsidRDefault="00BE1EFE" w:rsidP="00E5625F">
      <w:pPr>
        <w:pStyle w:val="StandardWeb"/>
      </w:pPr>
      <w:r>
        <w:t>– Förderung des Besuchs kirchlicher Veranstaltungen,</w:t>
      </w:r>
    </w:p>
    <w:p w:rsidR="00BE1EFE" w:rsidRDefault="00BE1EFE">
      <w:pPr>
        <w:pStyle w:val="StandardWeb"/>
      </w:pPr>
      <w:r>
        <w:t>– Präsenz bei Schulgottesdiensten und ähnlichen Feiern,</w:t>
      </w:r>
    </w:p>
    <w:p w:rsidR="00BE1EFE" w:rsidRDefault="00BE1EFE">
      <w:pPr>
        <w:pStyle w:val="StandardWeb"/>
      </w:pPr>
      <w:r>
        <w:t>– Integration und Inklusion von Menschen mit Behinderung,</w:t>
      </w:r>
    </w:p>
    <w:p w:rsidR="00BE1EFE" w:rsidRDefault="00BE1EFE">
      <w:pPr>
        <w:pStyle w:val="StandardWeb"/>
      </w:pPr>
      <w:r>
        <w:t>– Förderung eines guten Schulklimas, einer Kultur der individuellen Anerkennung und Wert</w:t>
      </w:r>
      <w:r>
        <w:softHyphen/>
        <w:t>schätzung sowie guter Kommunikation,</w:t>
      </w:r>
    </w:p>
    <w:p w:rsidR="00BE1EFE" w:rsidRDefault="00BE1EFE">
      <w:pPr>
        <w:pStyle w:val="StandardWeb"/>
      </w:pPr>
      <w:r>
        <w:t>– Steigerung der pädagogischen Wirksamkeit durch Angebote zum Gespräch und Gedanken</w:t>
      </w:r>
      <w:r>
        <w:softHyphen/>
        <w:t>austausch bei pädagogischen, didaktischen, psychologischen, sozialen sowie juristischen Fragen und persönlichen Anliegen für alle Mitglieder der Schulfamilie.</w:t>
      </w:r>
    </w:p>
    <w:p w:rsidR="00BE1EFE" w:rsidRDefault="00BE1EFE">
      <w:pPr>
        <w:pStyle w:val="StandardWeb"/>
      </w:pPr>
    </w:p>
    <w:p w:rsidR="00BE1EFE" w:rsidRDefault="00BE1EFE">
      <w:pPr>
        <w:pStyle w:val="StandardWeb"/>
      </w:pPr>
      <w:r>
        <w:t>b) Schulentwicklungsmaßnahmen</w:t>
      </w:r>
    </w:p>
    <w:p w:rsidR="00BE1EFE" w:rsidRDefault="00BE1EFE">
      <w:pPr>
        <w:pStyle w:val="StandardWeb"/>
      </w:pPr>
      <w:r>
        <w:t>– Initiierung und Anregungen im Bereich der Schul- und Unterrichtsentwicklung, Teilnahme an Modellprojekten,</w:t>
      </w:r>
    </w:p>
    <w:p w:rsidR="00BE1EFE" w:rsidRDefault="00BE1EFE">
      <w:pPr>
        <w:pStyle w:val="StandardWeb"/>
      </w:pPr>
      <w:r>
        <w:t>– Koordination und Kontrolle im Streben um eine hohe Qualität der Bildungs- und Erziehungs</w:t>
      </w:r>
      <w:r>
        <w:softHyphen/>
        <w:t>arbeit.</w:t>
      </w:r>
    </w:p>
    <w:p w:rsidR="00BE1EFE" w:rsidRDefault="00BE1EFE">
      <w:pPr>
        <w:pStyle w:val="StandardWeb"/>
      </w:pPr>
    </w:p>
    <w:p w:rsidR="00BE1EFE" w:rsidRDefault="00BE1EFE">
      <w:pPr>
        <w:pStyle w:val="StandardWeb"/>
      </w:pPr>
      <w:r>
        <w:t>2.1.1.1.2 Beachtung von inhaltlichen und formalen Vorgaben</w:t>
      </w:r>
    </w:p>
    <w:p w:rsidR="00BE1EFE" w:rsidRDefault="00BE1EFE">
      <w:pPr>
        <w:pStyle w:val="StandardWeb"/>
      </w:pPr>
      <w:r>
        <w:t>– Kompetenzen im Bereich Verwaltung, Recht, Personalplanung sowie Haushaltsplanung und Etatverwaltung unter Berücksichtigung wirtschaftlicher Aspekte sowie der Privatschulfreiheit,</w:t>
      </w:r>
    </w:p>
    <w:p w:rsidR="00BE1EFE" w:rsidRDefault="00BE1EFE">
      <w:pPr>
        <w:pStyle w:val="StandardWeb"/>
      </w:pPr>
      <w:r>
        <w:t>– Einhaltung der rechtlichen Vorgaben (insbesondere bei dienstlichen Beurteilungen und im arbeitsrechtlichen Bereich)</w:t>
      </w:r>
    </w:p>
    <w:p w:rsidR="00BE1EFE" w:rsidRDefault="00BE1EFE">
      <w:pPr>
        <w:pStyle w:val="StandardWeb"/>
      </w:pPr>
    </w:p>
    <w:p w:rsidR="00BE1EFE" w:rsidRDefault="00BE1EFE">
      <w:pPr>
        <w:pStyle w:val="StandardWeb"/>
      </w:pPr>
      <w:r>
        <w:t>2.1.1.1.3 Unterrichtliche Tätigkeit (entsprechend dem ausgeübten Umfang)</w:t>
      </w:r>
    </w:p>
    <w:p w:rsidR="00BE1EFE" w:rsidRDefault="00BE1EFE">
      <w:pPr>
        <w:pStyle w:val="StandardWeb"/>
      </w:pPr>
      <w:r>
        <w:t>– Unterrichtsplanung und Unterrichtsgestaltung</w:t>
      </w:r>
    </w:p>
    <w:p w:rsidR="00BE1EFE" w:rsidRDefault="00BE1EFE">
      <w:pPr>
        <w:pStyle w:val="StandardWeb"/>
      </w:pPr>
      <w:r>
        <w:lastRenderedPageBreak/>
        <w:t>– Unterrichtserfolg</w:t>
      </w:r>
    </w:p>
    <w:p w:rsidR="00BE1EFE" w:rsidRDefault="00BE1EFE">
      <w:pPr>
        <w:pStyle w:val="StandardWeb"/>
      </w:pPr>
      <w:r>
        <w:t>– Erzieherisches Wirken</w:t>
      </w:r>
    </w:p>
    <w:p w:rsidR="00BE1EFE" w:rsidRDefault="00BE1EFE">
      <w:pPr>
        <w:pStyle w:val="StandardWeb"/>
      </w:pPr>
    </w:p>
    <w:p w:rsidR="00BE1EFE" w:rsidRDefault="00BE1EFE">
      <w:pPr>
        <w:pStyle w:val="StandardWeb"/>
        <w:rPr>
          <w:b/>
          <w:bCs/>
        </w:rPr>
      </w:pPr>
      <w:r>
        <w:t>Die Kriterien für die Beurteilung der unterrichtlichen Leistungen entsprechen den Beurteilungs</w:t>
      </w:r>
      <w:r>
        <w:softHyphen/>
        <w:t>richtlinien in Abschnitt A Nr. 2.2.1 dort Nrn. 1 bis 3 genannten.</w:t>
      </w:r>
    </w:p>
    <w:p w:rsidR="00BE1EFE" w:rsidRDefault="00BE1EFE">
      <w:pPr>
        <w:pStyle w:val="StandardWeb"/>
        <w:rPr>
          <w:b/>
          <w:bCs/>
        </w:rPr>
      </w:pPr>
    </w:p>
    <w:p w:rsidR="00BE1EFE" w:rsidRDefault="00BE1EFE" w:rsidP="0054275E">
      <w:pPr>
        <w:pStyle w:val="StandardWeb"/>
        <w:autoSpaceDE w:val="0"/>
      </w:pPr>
      <w:r>
        <w:rPr>
          <w:rStyle w:val="Fett"/>
          <w:bCs/>
        </w:rPr>
        <w:t>2.1.1.2 Führungs- und Vorgesetztenverhalten</w:t>
      </w:r>
    </w:p>
    <w:p w:rsidR="00BE1EFE" w:rsidRDefault="00BE1EFE">
      <w:pPr>
        <w:pStyle w:val="StandardWeb"/>
      </w:pPr>
    </w:p>
    <w:p w:rsidR="00BE1EFE" w:rsidRDefault="00BE1EFE">
      <w:pPr>
        <w:pStyle w:val="StandardWeb"/>
      </w:pPr>
      <w:r>
        <w:t>a) Prioritätensetzung und klare Zielvorgaben an alle Beteiligten, Koordination und Kontrolle im Streben um eine hohe Qualität der Bildungs- und Erziehungsarbeit (z. B. zielgerichtete Konferenzen und Besprechungen, pädagogische Konferenzen und Tage, schulinterne Fortbildungen)</w:t>
      </w:r>
    </w:p>
    <w:p w:rsidR="00BE1EFE" w:rsidRDefault="00BE1EFE">
      <w:pPr>
        <w:pStyle w:val="StandardWeb"/>
      </w:pPr>
    </w:p>
    <w:p w:rsidR="00BE1EFE" w:rsidRDefault="00BE1EFE">
      <w:pPr>
        <w:pStyle w:val="StandardWeb"/>
      </w:pPr>
      <w:r>
        <w:t>b) Organisations- und Planungsvermögen</w:t>
      </w:r>
    </w:p>
    <w:p w:rsidR="00BE1EFE" w:rsidRDefault="00BE1EFE">
      <w:pPr>
        <w:pStyle w:val="StandardWeb"/>
      </w:pPr>
      <w:r>
        <w:t>– Planung des Schuljahres,</w:t>
      </w:r>
    </w:p>
    <w:p w:rsidR="00BE1EFE" w:rsidRDefault="00BE1EFE">
      <w:pPr>
        <w:pStyle w:val="StandardWeb"/>
      </w:pPr>
      <w:r>
        <w:t>– Effizienz der Arbeitsorganisation (z. B. geregelte Zuständigkeiten, verbindlich geregelte Arbeitsabläufe, etablierte Richtlinien für die Weitergabe von Informationen),</w:t>
      </w:r>
    </w:p>
    <w:p w:rsidR="00BE1EFE" w:rsidRDefault="00BE1EFE">
      <w:pPr>
        <w:pStyle w:val="StandardWeb"/>
      </w:pPr>
      <w:r>
        <w:t>– Einbindung der Funktionsträger und der Lehrkräfte mit Führungsaufgaben (Delegierungs</w:t>
      </w:r>
      <w:r>
        <w:softHyphen/>
        <w:t>grad) und der nicht unterrichtenden Mitarbeiterinnen und Mitarbeiter,</w:t>
      </w:r>
    </w:p>
    <w:p w:rsidR="00BE1EFE" w:rsidRDefault="00BE1EFE">
      <w:pPr>
        <w:pStyle w:val="StandardWeb"/>
      </w:pPr>
      <w:r>
        <w:t>– Unterstützung der Lehrkräfte mit deren besonderen Fähigkeiten und Fertigkeiten bei der Verwirklichung des pädagogischen Konzeptes der Schule,</w:t>
      </w:r>
    </w:p>
    <w:p w:rsidR="00BE1EFE" w:rsidRDefault="00BE1EFE">
      <w:pPr>
        <w:pStyle w:val="StandardWeb"/>
      </w:pPr>
      <w:r>
        <w:t xml:space="preserve">– Personalentwicklung (z. B. mit Mitarbeitergesprächen, Zielvereinbarungen, Beurteilungen, </w:t>
      </w:r>
      <w:r w:rsidRPr="00B3037A">
        <w:t>Einräumung des Rechts zum Führen einer höheren Berufsbezeichnung, Bewährungsaufstie-ge</w:t>
      </w:r>
      <w:r>
        <w:t>, Beförderungen, Veranlassung von Fortbildungen),</w:t>
      </w:r>
    </w:p>
    <w:p w:rsidR="00BE1EFE" w:rsidRDefault="00BE1EFE">
      <w:pPr>
        <w:pStyle w:val="StandardWeb"/>
      </w:pPr>
      <w:r>
        <w:t>– Kompetenz- und Entwicklungsförderung der Lehrkräfte,</w:t>
      </w:r>
    </w:p>
    <w:p w:rsidR="00BE1EFE" w:rsidRDefault="00BE1EFE">
      <w:pPr>
        <w:pStyle w:val="StandardWeb"/>
      </w:pPr>
      <w:r>
        <w:t>– Förderung der Zusammenarbeit innerhalb des Kollegiums und Schaffung kooperativer Arbeitsstrukturen auch mit dem nicht unterrichtenden Personal,</w:t>
      </w:r>
    </w:p>
    <w:p w:rsidR="00BE1EFE" w:rsidRDefault="00BE1EFE">
      <w:pPr>
        <w:pStyle w:val="StandardWeb"/>
      </w:pPr>
      <w:r>
        <w:t>– Sorge um die Räumlichkeiten.</w:t>
      </w:r>
    </w:p>
    <w:p w:rsidR="00BE1EFE" w:rsidRDefault="00BE1EFE">
      <w:pPr>
        <w:pStyle w:val="StandardWeb"/>
      </w:pPr>
    </w:p>
    <w:p w:rsidR="00BE1EFE" w:rsidRDefault="00BE1EFE">
      <w:pPr>
        <w:pStyle w:val="StandardWeb"/>
      </w:pPr>
      <w:r>
        <w:t>c) Motivation und Förderung der Mitarbeiterinnen und Mitarbeiter</w:t>
      </w:r>
    </w:p>
    <w:p w:rsidR="00BE1EFE" w:rsidRDefault="00BE1EFE">
      <w:pPr>
        <w:pStyle w:val="StandardWeb"/>
      </w:pPr>
      <w:r>
        <w:t>– Verantwortung für das Schulklima durch die Förderung einer Kultur der individuellen Anerkennung und Wertschätzung, durch Maßnahmen bei der Integration der (neuen) Lehrkräfte in das Kollegium, durch die Förderung des interdisziplinären Dialogs und der guten Kommunikation aller am Schulleben Beteiligten,</w:t>
      </w:r>
    </w:p>
    <w:p w:rsidR="00BE1EFE" w:rsidRDefault="00BE1EFE">
      <w:pPr>
        <w:pStyle w:val="StandardWeb"/>
      </w:pPr>
      <w:r>
        <w:t>– Integration und Förderung von Mitarbeiterinnen und Mitarbeitern mit Behinderung und/oder Migrationshintergrund,</w:t>
      </w:r>
    </w:p>
    <w:p w:rsidR="00BE1EFE" w:rsidRDefault="00BE1EFE">
      <w:pPr>
        <w:pStyle w:val="StandardWeb"/>
      </w:pPr>
      <w:r>
        <w:t>– Unterstützung der Mitarbeiterinnen und Mitarbeiter, Familie und Beruf zu vereinbaren,</w:t>
      </w:r>
    </w:p>
    <w:p w:rsidR="00BE1EFE" w:rsidRDefault="00BE1EFE">
      <w:pPr>
        <w:pStyle w:val="StandardWeb"/>
      </w:pPr>
      <w:r>
        <w:t>– Unterstützung der Lehrkräfte, ihre besonderen Fähigkeiten und Fertigkeiten in die Schule einzubringen,</w:t>
      </w:r>
    </w:p>
    <w:p w:rsidR="00BE1EFE" w:rsidRDefault="00BE1EFE">
      <w:pPr>
        <w:pStyle w:val="StandardWeb"/>
      </w:pPr>
      <w:r>
        <w:t>– Förderung und Entwicklung der Kompetenzen der Lehrkräfte,</w:t>
      </w:r>
    </w:p>
    <w:p w:rsidR="00BE1EFE" w:rsidRDefault="00BE1EFE">
      <w:pPr>
        <w:pStyle w:val="StandardWeb"/>
      </w:pPr>
      <w:r>
        <w:t>– Kollegiale Beratung und/oder Supervision,</w:t>
      </w:r>
    </w:p>
    <w:p w:rsidR="00BE1EFE" w:rsidRDefault="00BE1EFE">
      <w:pPr>
        <w:pStyle w:val="StandardWeb"/>
      </w:pPr>
      <w:r>
        <w:t>– Unterstützung und Förderung von Maßnahmen zur Arbeitsmotivation der Lehrkräfte,</w:t>
      </w:r>
    </w:p>
    <w:p w:rsidR="00BE1EFE" w:rsidRDefault="00BE1EFE">
      <w:pPr>
        <w:pStyle w:val="StandardWeb"/>
      </w:pPr>
      <w:r>
        <w:t>– Unterstützung und Förderung der Gesundheit der Mitarbeiterinnen und Mitarbeiter.</w:t>
      </w:r>
    </w:p>
    <w:p w:rsidR="00BE1EFE" w:rsidRDefault="00BE1EFE">
      <w:pPr>
        <w:pStyle w:val="StandardWeb"/>
      </w:pPr>
    </w:p>
    <w:p w:rsidR="00BE1EFE" w:rsidRDefault="00BE1EFE">
      <w:pPr>
        <w:pStyle w:val="StandardWeb"/>
      </w:pPr>
      <w:r>
        <w:t>d) Kooperationsverhalten</w:t>
      </w:r>
    </w:p>
    <w:p w:rsidR="00BE1EFE" w:rsidRDefault="00BE1EFE">
      <w:pPr>
        <w:pStyle w:val="StandardWeb"/>
      </w:pPr>
      <w:r>
        <w:t>– Vertrauensvolle Zusammenarbeit mit allen Mitgliedern der Schulfamilie,</w:t>
      </w:r>
    </w:p>
    <w:p w:rsidR="00BE1EFE" w:rsidRDefault="00BE1EFE">
      <w:pPr>
        <w:pStyle w:val="StandardWeb"/>
      </w:pPr>
      <w:r>
        <w:t>– Enge Zusammenarbeit mit der Mitarbeiter- und Schwerbehindertenvertretung,</w:t>
      </w:r>
    </w:p>
    <w:p w:rsidR="00BE1EFE" w:rsidRDefault="00BE1EFE">
      <w:pPr>
        <w:pStyle w:val="StandardWeb"/>
      </w:pPr>
      <w:r>
        <w:t>– Regelmäßige Gesprächstermine mit allen Lehrkräften,</w:t>
      </w:r>
    </w:p>
    <w:p w:rsidR="00BE1EFE" w:rsidRDefault="00BE1EFE">
      <w:pPr>
        <w:pStyle w:val="StandardWeb"/>
      </w:pPr>
      <w:r>
        <w:t>– Partnerschaftliche Zusammenarbeit zwischen Elternvertretung und Schulleitung,</w:t>
      </w:r>
    </w:p>
    <w:p w:rsidR="00BE1EFE" w:rsidRDefault="00BE1EFE">
      <w:pPr>
        <w:pStyle w:val="StandardWeb"/>
      </w:pPr>
      <w:r>
        <w:t>– Gute Erreichbarkeit und Kommunikationspolitik,</w:t>
      </w:r>
    </w:p>
    <w:p w:rsidR="00BE1EFE" w:rsidRDefault="00BE1EFE">
      <w:pPr>
        <w:pStyle w:val="StandardWeb"/>
      </w:pPr>
      <w:r>
        <w:lastRenderedPageBreak/>
        <w:t>– Information des Kollegiums über grundlegende Angelegenheiten der Schulverwaltung und -organisation,</w:t>
      </w:r>
    </w:p>
    <w:p w:rsidR="00BE1EFE" w:rsidRDefault="00BE1EFE">
      <w:pPr>
        <w:pStyle w:val="StandardWeb"/>
      </w:pPr>
      <w:r>
        <w:t>– Informationsverhalten gegenüber dem Katholischen Schulwerk und dem Schulträger,</w:t>
      </w:r>
    </w:p>
    <w:p w:rsidR="00BE1EFE" w:rsidRDefault="00BE1EFE">
      <w:pPr>
        <w:pStyle w:val="StandardWeb"/>
      </w:pPr>
      <w:r>
        <w:t>– Unterstützung der Beratungs- und Verbindungslehrkräfte,</w:t>
      </w:r>
    </w:p>
    <w:p w:rsidR="00BE1EFE" w:rsidRDefault="00BE1EFE">
      <w:pPr>
        <w:pStyle w:val="StandardWeb"/>
      </w:pPr>
      <w:r>
        <w:t>– Zusammenarbeit mit außerschulischen Kooperationspartnern,</w:t>
      </w:r>
    </w:p>
    <w:p w:rsidR="00BE1EFE" w:rsidRDefault="00BE1EFE">
      <w:pPr>
        <w:pStyle w:val="StandardWeb"/>
      </w:pPr>
      <w:r>
        <w:t>– Kontakte zu anderen Schulen/Kindertageseinrichtungen, auch zu aufnehmenden und abge</w:t>
      </w:r>
      <w:r>
        <w:softHyphen/>
        <w:t>benden Schulen,</w:t>
      </w:r>
    </w:p>
    <w:p w:rsidR="00BE1EFE" w:rsidRDefault="00BE1EFE">
      <w:pPr>
        <w:pStyle w:val="StandardWeb"/>
      </w:pPr>
      <w:r>
        <w:t>– Partnerschaften mit anderen Schulen, auch ausländischen, insbesondere katholischen,</w:t>
      </w:r>
    </w:p>
    <w:p w:rsidR="00BE1EFE" w:rsidRDefault="00BE1EFE">
      <w:pPr>
        <w:pStyle w:val="StandardWeb"/>
      </w:pPr>
      <w:r>
        <w:t>– Kontakte zur Pfarrgemeinde, zum Bistum, zu Einrichtungen kirchlicher Jugendarbeit,</w:t>
      </w:r>
    </w:p>
    <w:p w:rsidR="00BE1EFE" w:rsidRDefault="00BE1EFE">
      <w:pPr>
        <w:pStyle w:val="StandardWeb"/>
      </w:pPr>
      <w:r>
        <w:t>– Zusammenarbeit mit Schulen anderer christlicher Konfessionen,</w:t>
      </w:r>
    </w:p>
    <w:p w:rsidR="00BE1EFE" w:rsidRDefault="00BE1EFE">
      <w:pPr>
        <w:pStyle w:val="StandardWeb"/>
      </w:pPr>
      <w:r>
        <w:t>– Kooperation mit Schulaufsicht und sonstigen Behörden und Ämtern,</w:t>
      </w:r>
    </w:p>
    <w:p w:rsidR="00BE1EFE" w:rsidRDefault="00BE1EFE">
      <w:pPr>
        <w:pStyle w:val="StandardWeb"/>
      </w:pPr>
      <w:r>
        <w:t>– Präsenz bei schulischen Veranstaltungen.</w:t>
      </w:r>
    </w:p>
    <w:p w:rsidR="00BE1EFE" w:rsidRDefault="00BE1EFE">
      <w:pPr>
        <w:pStyle w:val="StandardWeb"/>
      </w:pPr>
    </w:p>
    <w:p w:rsidR="00BE1EFE" w:rsidRDefault="00BE1EFE">
      <w:pPr>
        <w:pStyle w:val="StandardWeb"/>
      </w:pPr>
      <w:r>
        <w:t>e) Qualitätssicherung</w:t>
      </w:r>
    </w:p>
    <w:p w:rsidR="00BE1EFE" w:rsidRDefault="00BE1EFE">
      <w:pPr>
        <w:pStyle w:val="StandardWeb"/>
      </w:pPr>
      <w:r>
        <w:t>– Evaluationen (z. B. Interne/Externe Evaluation, Unterrichtsfeedback durch Schülerinnen und Schüler, kollegiale Unterrichtsbesuche),</w:t>
      </w:r>
    </w:p>
    <w:p w:rsidR="00BE1EFE" w:rsidRDefault="00BE1EFE">
      <w:pPr>
        <w:pStyle w:val="StandardWeb"/>
      </w:pPr>
      <w:r>
        <w:t>– Personalauswahl,</w:t>
      </w:r>
    </w:p>
    <w:p w:rsidR="00BE1EFE" w:rsidRDefault="00BE1EFE">
      <w:pPr>
        <w:pStyle w:val="StandardWeb"/>
      </w:pPr>
      <w:r>
        <w:t>– Fortbildungen (Konzepte zur Auswahl von Fortbildungen, zur Weitergabe von Wissen und Erfahrungen und zur Bereitstellung von Unterlagen/Dokumentationen).</w:t>
      </w:r>
    </w:p>
    <w:p w:rsidR="00BE1EFE" w:rsidRDefault="00BE1EFE">
      <w:pPr>
        <w:pStyle w:val="StandardWeb"/>
      </w:pPr>
    </w:p>
    <w:p w:rsidR="00BE1EFE" w:rsidRDefault="00BE1EFE">
      <w:pPr>
        <w:pStyle w:val="StandardWeb"/>
      </w:pPr>
      <w:r>
        <w:t>f) Lösen/Bewältigen von schwierigen Situationen und Konflikten</w:t>
      </w:r>
    </w:p>
    <w:p w:rsidR="00BE1EFE" w:rsidRDefault="00BE1EFE">
      <w:pPr>
        <w:pStyle w:val="StandardWeb"/>
      </w:pPr>
      <w:r>
        <w:t>– Konfliktlösungskompetenz im Umgang mit allen Mitgliedern der Schulfamilie,</w:t>
      </w:r>
    </w:p>
    <w:p w:rsidR="00BE1EFE" w:rsidRDefault="00BE1EFE">
      <w:pPr>
        <w:pStyle w:val="StandardWeb"/>
      </w:pPr>
      <w:r>
        <w:t>– Zusammenarbeit mit Beratungs- und Verbindungslehrkräften,</w:t>
      </w:r>
    </w:p>
    <w:p w:rsidR="00BE1EFE" w:rsidRDefault="00BE1EFE">
      <w:pPr>
        <w:pStyle w:val="StandardWeb"/>
      </w:pPr>
      <w:r>
        <w:t>– Partnerschaftliche Zusammenarbeit zwischen Erziehungsberechtigten sowie Elternvertre</w:t>
      </w:r>
      <w:r>
        <w:softHyphen/>
        <w:t>tung und Schulleitung,</w:t>
      </w:r>
    </w:p>
    <w:p w:rsidR="00BE1EFE" w:rsidRDefault="00BE1EFE">
      <w:pPr>
        <w:pStyle w:val="StandardWeb"/>
      </w:pPr>
      <w:r>
        <w:t>– Zusammenarbeit mit Stellen zur Prävention und Krisenbewältigung,</w:t>
      </w:r>
    </w:p>
    <w:p w:rsidR="00BE1EFE" w:rsidRDefault="00BE1EFE">
      <w:pPr>
        <w:pStyle w:val="StandardWeb"/>
      </w:pPr>
      <w:r>
        <w:t>– Erstellung von Krisen- und Notfallplänen,</w:t>
      </w:r>
    </w:p>
    <w:p w:rsidR="00BE1EFE" w:rsidRDefault="00BE1EFE">
      <w:pPr>
        <w:pStyle w:val="StandardWeb"/>
      </w:pPr>
      <w:r>
        <w:t>– Erreichbarkeit und Verfügbarkeit in Notfällen.</w:t>
      </w:r>
    </w:p>
    <w:p w:rsidR="00BE1EFE" w:rsidRDefault="00BE1EFE">
      <w:pPr>
        <w:pStyle w:val="StandardWeb"/>
      </w:pPr>
    </w:p>
    <w:p w:rsidR="00BE1EFE" w:rsidRDefault="00BE1EFE">
      <w:pPr>
        <w:pStyle w:val="StandardWeb"/>
      </w:pPr>
      <w:r>
        <w:t>g) Vertretung der Schule nach außen</w:t>
      </w:r>
    </w:p>
    <w:p w:rsidR="00BE1EFE" w:rsidRDefault="00BE1EFE">
      <w:pPr>
        <w:pStyle w:val="StandardWeb"/>
      </w:pPr>
      <w:r>
        <w:t>– Wahrnehmung von Repräsentationsaufgaben,</w:t>
      </w:r>
    </w:p>
    <w:p w:rsidR="00BE1EFE" w:rsidRDefault="00BE1EFE">
      <w:pPr>
        <w:pStyle w:val="StandardWeb"/>
      </w:pPr>
      <w:r>
        <w:t>– Vertretung des katholischen Profils der Schule nach außen,</w:t>
      </w:r>
    </w:p>
    <w:p w:rsidR="00BE1EFE" w:rsidRDefault="00BE1EFE">
      <w:pPr>
        <w:pStyle w:val="StandardWeb"/>
      </w:pPr>
      <w:r>
        <w:t>– Organisation einer systematischen Öffentlichkeitsarbeit.</w:t>
      </w:r>
    </w:p>
    <w:p w:rsidR="00BE1EFE" w:rsidRDefault="00BE1EFE">
      <w:pPr>
        <w:pStyle w:val="StandardWeb"/>
      </w:pPr>
    </w:p>
    <w:p w:rsidR="00BE1EFE" w:rsidRDefault="00BE1EFE">
      <w:pPr>
        <w:pStyle w:val="StandardWeb"/>
        <w:rPr>
          <w:b/>
          <w:bCs/>
        </w:rPr>
      </w:pPr>
      <w:r>
        <w:t>h) Präsenz an der Schule (vgl. auch KLDO)</w:t>
      </w:r>
    </w:p>
    <w:p w:rsidR="00BE1EFE" w:rsidRDefault="00BE1EFE">
      <w:pPr>
        <w:pStyle w:val="StandardWeb"/>
        <w:rPr>
          <w:b/>
          <w:bCs/>
        </w:rPr>
      </w:pPr>
    </w:p>
    <w:p w:rsidR="00BE1EFE" w:rsidRDefault="00BE1EFE" w:rsidP="0054275E">
      <w:pPr>
        <w:pStyle w:val="StandardWeb"/>
        <w:autoSpaceDE w:val="0"/>
        <w:rPr>
          <w:b/>
          <w:bCs/>
        </w:rPr>
      </w:pPr>
      <w:r>
        <w:rPr>
          <w:rStyle w:val="Fett"/>
          <w:bCs/>
        </w:rPr>
        <w:t>2.1.2 Eignung und Befähigung</w:t>
      </w:r>
    </w:p>
    <w:p w:rsidR="00BE1EFE" w:rsidRDefault="00BE1EFE">
      <w:pPr>
        <w:pStyle w:val="StandardWeb"/>
      </w:pPr>
      <w:r>
        <w:t>– Fleiß,</w:t>
      </w:r>
    </w:p>
    <w:p w:rsidR="00BE1EFE" w:rsidRDefault="00BE1EFE">
      <w:pPr>
        <w:pStyle w:val="StandardWeb"/>
      </w:pPr>
      <w:r>
        <w:t>– Entscheidungsfreude,</w:t>
      </w:r>
    </w:p>
    <w:p w:rsidR="00BE1EFE" w:rsidRDefault="00BE1EFE">
      <w:pPr>
        <w:pStyle w:val="StandardWeb"/>
      </w:pPr>
      <w:r>
        <w:t>– Verantwortungsbereitschaft,</w:t>
      </w:r>
    </w:p>
    <w:p w:rsidR="00BE1EFE" w:rsidRDefault="00BE1EFE">
      <w:pPr>
        <w:pStyle w:val="StandardWeb"/>
      </w:pPr>
      <w:r>
        <w:t>– Kommunikationsfähigkeit,</w:t>
      </w:r>
    </w:p>
    <w:p w:rsidR="00BE1EFE" w:rsidRDefault="00BE1EFE">
      <w:pPr>
        <w:pStyle w:val="StandardWeb"/>
      </w:pPr>
      <w:r>
        <w:t>– Aufgeschlossenheit für neue Aufgaben,</w:t>
      </w:r>
    </w:p>
    <w:p w:rsidR="00BE1EFE" w:rsidRDefault="00BE1EFE">
      <w:pPr>
        <w:pStyle w:val="StandardWeb"/>
        <w:rPr>
          <w:b/>
          <w:bCs/>
        </w:rPr>
      </w:pPr>
      <w:r>
        <w:t>– Bereitschaft zur Fortbildung.</w:t>
      </w:r>
    </w:p>
    <w:p w:rsidR="00BE1EFE" w:rsidRDefault="00BE1EFE">
      <w:pPr>
        <w:pStyle w:val="StandardWeb"/>
        <w:rPr>
          <w:b/>
          <w:bCs/>
        </w:rPr>
      </w:pPr>
    </w:p>
    <w:p w:rsidR="00BE1EFE" w:rsidRDefault="00BE1EFE" w:rsidP="0054275E">
      <w:pPr>
        <w:pStyle w:val="StandardWeb"/>
        <w:autoSpaceDE w:val="0"/>
      </w:pPr>
      <w:r>
        <w:rPr>
          <w:rStyle w:val="Fett"/>
          <w:bCs/>
        </w:rPr>
        <w:t>2.1.3 Ergänzende Bemerkungen</w:t>
      </w:r>
    </w:p>
    <w:p w:rsidR="00BE1EFE" w:rsidRDefault="00BE1EFE">
      <w:pPr>
        <w:pStyle w:val="StandardWeb"/>
      </w:pPr>
    </w:p>
    <w:p w:rsidR="00BE1EFE" w:rsidRDefault="00BE1EFE">
      <w:pPr>
        <w:pStyle w:val="StandardWeb"/>
      </w:pPr>
      <w:r>
        <w:t xml:space="preserve">Hier kann das durch die Bewertung der einzelnen Beurteilungsmerkmale von der beurteilten Schulleiterin bzw. dem beurteilten Schulleiter gezeichnete Bild durch ergänzende Bemerkungen, insbesondere zur Einschätzung der Persönlichkeit, die in den beiden Blöcken „fachliche Leistung” und „Eignung/Befähigung” noch nicht ausreichenden Niederschlag gefunden haben, aber in die Gesamtwürdigung einbezogen werden sollen, abgerundet </w:t>
      </w:r>
      <w:r>
        <w:lastRenderedPageBreak/>
        <w:t>werden. Hierzu zählt auch der Fall, dass eine Schwerbehinderte bzw. ein Schwerbehinderter trotz der mit der Behinderung verbundenen Erschwernis gute oder gar herausragende Leistungen erbringt (</w:t>
      </w:r>
      <w:r w:rsidRPr="00750AC4">
        <w:t>vgl</w:t>
      </w:r>
      <w:r w:rsidRPr="00B669D7">
        <w:t xml:space="preserve">. </w:t>
      </w:r>
      <w:hyperlink r:id="rId1079" w:history="1">
        <w:r w:rsidRPr="00B669D7">
          <w:rPr>
            <w:rStyle w:val="Hyperlink"/>
          </w:rPr>
          <w:t>Nr. 9.1 Satz 3 der Teilhaberichtlinien</w:t>
        </w:r>
      </w:hyperlink>
      <w:r>
        <w:t xml:space="preserve">). </w:t>
      </w:r>
    </w:p>
    <w:p w:rsidR="00BE1EFE" w:rsidRDefault="00BE1EFE">
      <w:pPr>
        <w:pStyle w:val="StandardWeb"/>
      </w:pPr>
    </w:p>
    <w:p w:rsidR="00BE1EFE" w:rsidRDefault="00BE1EFE">
      <w:pPr>
        <w:pStyle w:val="StandardWeb"/>
      </w:pPr>
      <w:r w:rsidRPr="009A4050">
        <w:t xml:space="preserve">Hat die Behinderung eine Minderung der Arbeits- bzw. Verwendungsfähigkeit zur Folge, ist in den ergänzenden Bemerkungen ein Hinweis aufzunehmen, dass die Minderung der Arbeits- bzw. Verwendungsfähigkeit infolge der Behinderung berücksichtigt wurde (vgl. </w:t>
      </w:r>
      <w:hyperlink r:id="rId1080" w:history="1">
        <w:r w:rsidRPr="00750AC4">
          <w:rPr>
            <w:rStyle w:val="Hyperlink"/>
          </w:rPr>
          <w:t xml:space="preserve">Nr. 9.1 </w:t>
        </w:r>
        <w:r>
          <w:rPr>
            <w:rStyle w:val="Hyperlink"/>
          </w:rPr>
          <w:t>Abs. 2 Satz 1</w:t>
        </w:r>
        <w:r w:rsidRPr="00750AC4">
          <w:rPr>
            <w:rStyle w:val="Hyperlink"/>
          </w:rPr>
          <w:t xml:space="preserve"> der Teilhaberichtlinien</w:t>
        </w:r>
      </w:hyperlink>
      <w:r w:rsidRPr="009A4050">
        <w:t>).</w:t>
      </w:r>
    </w:p>
    <w:p w:rsidR="00BE1EFE" w:rsidRDefault="00BE1EFE">
      <w:pPr>
        <w:pStyle w:val="StandardWeb"/>
      </w:pPr>
    </w:p>
    <w:p w:rsidR="00BE1EFE" w:rsidRDefault="00BE1EFE">
      <w:pPr>
        <w:pStyle w:val="StandardWeb"/>
      </w:pPr>
      <w:r>
        <w:t>Desgleichen sollen besondere Leistungen der Schulleiterin bzw. des Schulleiters im Beurteilungszeitraum vermerkt werden. Dabei kann auch auf wissenschaftliche, schrift</w:t>
      </w:r>
      <w:r>
        <w:softHyphen/>
        <w:t>stellerische oder künstlerische Leistungen eingegangen werden. Tätigkeiten im kirchlichen Bereich (z. B. Pfarrgemeinde, Verbände, Jugendarbeit) sind zu erwähnen. Ebenso können Tätigkeiten im öffentlichen Leben, vor allem auch ehrenamtliche, erwähnt werden.</w:t>
      </w:r>
    </w:p>
    <w:p w:rsidR="00BE1EFE" w:rsidRDefault="00BE1EFE">
      <w:pPr>
        <w:pStyle w:val="StandardWeb"/>
      </w:pPr>
    </w:p>
    <w:p w:rsidR="00BE1EFE" w:rsidRDefault="00BE1EFE">
      <w:pPr>
        <w:pStyle w:val="StandardWeb"/>
      </w:pPr>
      <w:r>
        <w:t>Wenn und soweit sich beurteilungsrelevante Einzelmerkmale wie Teamverhalten, Führungsverhalten, Organisationsfähigkeit, Einsatz und Verantwortungsbereitschaft, die auch bei der Betreuung und Pflege von Kindern, Kranken oder alten Menschen sowie bei der Ausübung eines Ehrenamtes erworben bzw. vertieft werden können, erkennbar im dienstlichen Verhalten äußern, finden sie ihren Niederschlag in einer entsprechenden Bewertung der einzelnen Beurteilungskriterien.</w:t>
      </w:r>
    </w:p>
    <w:p w:rsidR="00BE1EFE" w:rsidRDefault="00BE1EFE">
      <w:pPr>
        <w:pStyle w:val="StandardWeb"/>
      </w:pPr>
    </w:p>
    <w:p w:rsidR="00BE1EFE" w:rsidRDefault="00BE1EFE">
      <w:pPr>
        <w:pStyle w:val="StandardWeb"/>
      </w:pPr>
      <w:r>
        <w:t>Abmahnungen bzw. Disziplinarmaßnahmen oder missbilligende Äußerungen einer bzw. eines Dienstvorgesetzten oder Vorgesetzten sowie Hinweise auf Strafen oder Geldbußen, die im Strafverfahren oder Bußgeldverfahren verhängt wurden, sind nicht in der Beurteilung zu vermerken. Die Nichtaufnahme bedeutet nicht, dass ein Verhalten, das zur Verhängung einer Abmahnung bzw. Disziplinarmaßnahme oder einer dienstaufsichtlichen Maßnahme oder Ähnlichem geführt hat, bei der Würdigung des Gesamtbildes in der Beurteilung unbeachtet bleibt.</w:t>
      </w:r>
    </w:p>
    <w:p w:rsidR="00BE1EFE" w:rsidRDefault="00BE1EFE">
      <w:pPr>
        <w:pStyle w:val="StandardWeb"/>
      </w:pPr>
      <w:r>
        <w:t>Soweit Veranlassung besteht, sollte hier auch angegeben werden, ob Umstände vorliegen, welche die Beurteilung erschwert haben und den Wert der Beurteilung einschränken können (z. B. längere Krankheiten, schlechter Gesundheitszustand der bzw. des zu Beurteilenden). Auf einen Abfall oder eine Steigerung der Leistungen in der Berichtszeit und ggf. – soweit bekannt – deren Ursachen ist ein zugehen.</w:t>
      </w:r>
    </w:p>
    <w:p w:rsidR="00BE1EFE" w:rsidRDefault="00BE1EFE">
      <w:pPr>
        <w:pStyle w:val="StandardWeb"/>
      </w:pPr>
    </w:p>
    <w:p w:rsidR="00BE1EFE" w:rsidRPr="00750AC4" w:rsidRDefault="00BE1EFE">
      <w:pPr>
        <w:pStyle w:val="StandardWeb"/>
        <w:rPr>
          <w:bCs/>
        </w:rPr>
      </w:pPr>
      <w:r w:rsidRPr="00750AC4">
        <w:rPr>
          <w:bCs/>
        </w:rPr>
        <w:t>Haben sich die Leistungen einer oder eines Schwerbehinderten in einem Beurteilungs</w:t>
      </w:r>
      <w:r>
        <w:rPr>
          <w:bCs/>
        </w:rPr>
        <w:softHyphen/>
      </w:r>
      <w:r w:rsidRPr="00750AC4">
        <w:rPr>
          <w:bCs/>
        </w:rPr>
        <w:t>zeitraum gegenüber einer früheren Beurteilung wesentlich verschlechtert, so ist zu vermerken, ob und inwieweit die nachlas</w:t>
      </w:r>
      <w:r>
        <w:rPr>
          <w:bCs/>
        </w:rPr>
        <w:t>sende Arbeits- bzw. Verwendungs</w:t>
      </w:r>
      <w:r w:rsidRPr="00750AC4">
        <w:rPr>
          <w:bCs/>
        </w:rPr>
        <w:t>fähigkeit ggf. auf die Behinderung zurückzuführen ist.</w:t>
      </w:r>
    </w:p>
    <w:p w:rsidR="00BE1EFE" w:rsidRDefault="00BE1EFE">
      <w:pPr>
        <w:pStyle w:val="StandardWeb"/>
        <w:rPr>
          <w:b/>
          <w:bCs/>
        </w:rPr>
      </w:pPr>
    </w:p>
    <w:p w:rsidR="00BE1EFE" w:rsidRDefault="00BE1EFE" w:rsidP="0054275E">
      <w:pPr>
        <w:pStyle w:val="StandardWeb"/>
        <w:autoSpaceDE w:val="0"/>
      </w:pPr>
      <w:r>
        <w:rPr>
          <w:rStyle w:val="Fett"/>
          <w:bCs/>
        </w:rPr>
        <w:t>2.2 Beurteilungsmaßstab und Bewertung</w:t>
      </w:r>
    </w:p>
    <w:p w:rsidR="00BE1EFE" w:rsidRDefault="00BE1EFE">
      <w:pPr>
        <w:pStyle w:val="StandardWeb"/>
      </w:pPr>
    </w:p>
    <w:p w:rsidR="00BE1EFE" w:rsidRDefault="00BE1EFE">
      <w:pPr>
        <w:pStyle w:val="StandardWeb"/>
        <w:rPr>
          <w:b/>
          <w:bCs/>
        </w:rPr>
      </w:pPr>
      <w:r>
        <w:t>2.2.1 Die dienstliche Beurteilung soll die Leistung der Schulleiterin bzw. des Schulleiters in Bezug auf ihre Funktion und im Vergleich zu anderen Schulleiterinnen und Schulleitern derselben Besoldungsgruppe objektiv darstellen.</w:t>
      </w:r>
    </w:p>
    <w:p w:rsidR="00BE1EFE" w:rsidRDefault="00BE1EFE">
      <w:pPr>
        <w:pStyle w:val="StandardWeb"/>
        <w:rPr>
          <w:b/>
          <w:bCs/>
        </w:rPr>
      </w:pPr>
    </w:p>
    <w:p w:rsidR="00BE1EFE" w:rsidRDefault="00BE1EFE" w:rsidP="0054275E">
      <w:pPr>
        <w:pStyle w:val="StandardWeb"/>
        <w:autoSpaceDE w:val="0"/>
      </w:pPr>
      <w:r>
        <w:rPr>
          <w:rStyle w:val="Fett"/>
          <w:bCs/>
        </w:rPr>
        <w:t>2.2.2 Bewertung</w:t>
      </w:r>
    </w:p>
    <w:p w:rsidR="00BE1EFE" w:rsidRDefault="00BE1EFE">
      <w:pPr>
        <w:pStyle w:val="StandardWeb"/>
      </w:pPr>
    </w:p>
    <w:p w:rsidR="00BE1EFE" w:rsidRDefault="00BE1EFE">
      <w:pPr>
        <w:pStyle w:val="StandardWeb"/>
      </w:pPr>
      <w:r>
        <w:t>2.2.2.1 Die Bewertung erfasst die Einzelmerkmale. Besonders gute sowie verbesserungs</w:t>
      </w:r>
      <w:r>
        <w:softHyphen/>
        <w:t>bedürftige Merkmale werden gegebenenfalls gekennzeichnet und unter Punkt 5 „Hinweise zu den angekreuzten Merkmalen“ des Beurteilungsformulars wertend beschrieben.</w:t>
      </w:r>
    </w:p>
    <w:p w:rsidR="00BE1EFE" w:rsidRDefault="00BE1EFE">
      <w:pPr>
        <w:pStyle w:val="StandardWeb"/>
      </w:pPr>
    </w:p>
    <w:p w:rsidR="00BE1EFE" w:rsidRDefault="00BE1EFE">
      <w:pPr>
        <w:pStyle w:val="StandardWeb"/>
      </w:pPr>
      <w:r>
        <w:t xml:space="preserve">2.2.2.2 Grundsätzlich wird davon ausgegangen, dass die Schulleiterin bzw. der Schulleiter die an die Leiterin bzw. den Leiter einer katholischen Schule gestellten Anforderungen erfüllt. Eine entsprechende Anwendung von </w:t>
      </w:r>
      <w:hyperlink r:id="rId1081" w:history="1">
        <w:r w:rsidRPr="00B669D7">
          <w:rPr>
            <w:rStyle w:val="Hyperlink"/>
          </w:rPr>
          <w:t>Art. 30 Abs. 3 BayBesG</w:t>
        </w:r>
      </w:hyperlink>
      <w:r>
        <w:t xml:space="preserve"> erfolgt, wenn die Schulleiterin bzw. der Schulleiter die an die Leiterin bzw. den Leiter einer katholischen Schule gestellten Mindestanforderungen nicht erfüllt. Bei Feststellung von dauerhaft herausragenden Leistungen kann eine Leistungsstufe gewährt werden (Vgl. dazu Punkt 5 dieser Beurteilungsrichtlinien).</w:t>
      </w:r>
    </w:p>
    <w:p w:rsidR="00BE1EFE" w:rsidRDefault="00BE1EFE">
      <w:pPr>
        <w:pStyle w:val="StandardWeb"/>
      </w:pPr>
    </w:p>
    <w:p w:rsidR="00BE1EFE" w:rsidRDefault="00BE1EFE">
      <w:pPr>
        <w:pStyle w:val="StandardWeb"/>
      </w:pPr>
      <w:r>
        <w:t>2.2.3 Im Beurteilungsbogen ist auch eine Aussage zur Schwerbehinderung (unter Angabe des Grades der Behinderung) zu treffen. Im Übrigen wird auf Abschnitt A Nr. 2.3.5 Bezug genommen.</w:t>
      </w:r>
    </w:p>
    <w:p w:rsidR="00BE1EFE" w:rsidRDefault="00BE1EFE">
      <w:pPr>
        <w:pStyle w:val="h8"/>
      </w:pPr>
      <w:bookmarkStart w:id="757" w:name="_Toc523926285"/>
      <w:r>
        <w:t>3. Verwendungseignung</w:t>
      </w:r>
      <w:bookmarkEnd w:id="757"/>
    </w:p>
    <w:p w:rsidR="00BE1EFE" w:rsidRPr="00B76821" w:rsidRDefault="00BE1EFE" w:rsidP="00B76821">
      <w:pPr>
        <w:pStyle w:val="h9"/>
        <w:keepNext w:val="0"/>
        <w:spacing w:before="0" w:after="0"/>
        <w:outlineLvl w:val="5"/>
        <w:rPr>
          <w:sz w:val="2"/>
        </w:rPr>
      </w:pPr>
    </w:p>
    <w:p w:rsidR="00BE1EFE" w:rsidRDefault="00BE1EFE">
      <w:pPr>
        <w:pStyle w:val="StandardWeb"/>
      </w:pPr>
      <w:r>
        <w:t>Sind Angaben dazu möglich, für welche weiteren dienstlichen Aufgaben und Funktionen die bzw. der beurteilte Schulleiterin bzw. Schulleiter in Betracht kommen (z. B. im Bereich der diözesanen Schulabteilungen oder des Katholischen Schulwerks), so sind diese bei dem Beurteilungsmerkmal „Verwendungseignung“ zu vermerken.</w:t>
      </w:r>
    </w:p>
    <w:p w:rsidR="00BE1EFE" w:rsidRDefault="00BE1EFE">
      <w:pPr>
        <w:pStyle w:val="StandardWeb"/>
      </w:pPr>
    </w:p>
    <w:p w:rsidR="00BE1EFE" w:rsidRDefault="00BE1EFE">
      <w:pPr>
        <w:pStyle w:val="StandardWeb"/>
      </w:pPr>
      <w:r>
        <w:t>Die Beurteilungsaussagen müssen die Feststellung über die dienstliche Verwendungseignung tragen.</w:t>
      </w:r>
    </w:p>
    <w:p w:rsidR="00BE1EFE" w:rsidRDefault="00BE1EFE">
      <w:pPr>
        <w:pStyle w:val="StandardWeb"/>
      </w:pPr>
      <w:r>
        <w:br w:type="page"/>
      </w:r>
    </w:p>
    <w:p w:rsidR="00BE1EFE" w:rsidRDefault="00BE1EFE" w:rsidP="00E87479">
      <w:pPr>
        <w:pStyle w:val="h8"/>
        <w:spacing w:before="0"/>
      </w:pPr>
      <w:bookmarkStart w:id="758" w:name="_Toc523926286"/>
      <w:r>
        <w:lastRenderedPageBreak/>
        <w:t>4. Periodische Beurteilungen</w:t>
      </w:r>
      <w:bookmarkEnd w:id="758"/>
    </w:p>
    <w:p w:rsidR="00BE1EFE" w:rsidRPr="00B76821" w:rsidRDefault="00BE1EFE" w:rsidP="00B76821">
      <w:pPr>
        <w:pStyle w:val="h9"/>
        <w:keepNext w:val="0"/>
        <w:spacing w:before="0" w:after="0"/>
        <w:outlineLvl w:val="5"/>
        <w:rPr>
          <w:rStyle w:val="Fett"/>
          <w:bCs/>
          <w:sz w:val="2"/>
        </w:rPr>
      </w:pPr>
    </w:p>
    <w:p w:rsidR="00BE1EFE" w:rsidRDefault="00BE1EFE" w:rsidP="0054275E">
      <w:pPr>
        <w:pStyle w:val="StandardWeb"/>
        <w:autoSpaceDE w:val="0"/>
      </w:pPr>
      <w:r>
        <w:rPr>
          <w:rStyle w:val="Fett"/>
          <w:bCs/>
        </w:rPr>
        <w:t>4.1 Beurteilungszeitraum</w:t>
      </w:r>
    </w:p>
    <w:p w:rsidR="00BE1EFE" w:rsidRDefault="00BE1EFE">
      <w:pPr>
        <w:pStyle w:val="StandardWeb"/>
      </w:pPr>
    </w:p>
    <w:p w:rsidR="00BE1EFE" w:rsidRDefault="00BE1EFE">
      <w:pPr>
        <w:pStyle w:val="StandardWeb"/>
      </w:pPr>
      <w:r>
        <w:t>a) Der Beurteilungszeitraum umfasst bei Beamtinnen und Beamten des Katholischen Schulwerks sowie bei arbeitsvertraglich beschäftigten Schulleiterinnen und Schulleitern grundsätzlich vier Kalenderjahre; er schließt an den Zeitraum der vorangegangenen Beurteilung an. Die Beurteilung ist unmittelbar nach dem Ende des Beurteilungszeitraums zu erstellen. Der Beurteilungszeitraum ist, abgesehen von begründeten Sonderfällen, auszuschöpfen.</w:t>
      </w:r>
    </w:p>
    <w:p w:rsidR="00BE1EFE" w:rsidRDefault="00BE1EFE">
      <w:pPr>
        <w:pStyle w:val="StandardWeb"/>
      </w:pPr>
    </w:p>
    <w:p w:rsidR="00BE1EFE" w:rsidRDefault="00BE1EFE">
      <w:pPr>
        <w:pStyle w:val="StandardWeb"/>
      </w:pPr>
      <w:r>
        <w:t>b) Der erste Beurteilungszeitraum, der diesen Beurteilungsrichtlinien unterliegt, beginnt am 1. Januar 2011 und endet am 31. Dezember 2014.</w:t>
      </w:r>
    </w:p>
    <w:p w:rsidR="00BE1EFE" w:rsidRDefault="00BE1EFE">
      <w:pPr>
        <w:pStyle w:val="StandardWeb"/>
      </w:pPr>
    </w:p>
    <w:p w:rsidR="00BE1EFE" w:rsidRDefault="00BE1EFE">
      <w:pPr>
        <w:pStyle w:val="StandardWeb"/>
      </w:pPr>
      <w:r>
        <w:t>c) </w:t>
      </w:r>
      <w:r w:rsidRPr="00750AC4">
        <w:t xml:space="preserve">Für Schulleiterinnen und Schulleiter, die jeweils länger als sechs Monate beurlaubt oder an eine nicht mit unterrichtlichen Aufgaben befasste Stelle abgeordnet oder versetzt waren und im Lauf des </w:t>
      </w:r>
      <w:r>
        <w:t>letzten Jahres des Beurteilungs</w:t>
      </w:r>
      <w:r w:rsidRPr="00750AC4">
        <w:t>zeitraums in den Schuldienst zurückkehren, sind zum Ablauf eines Jahres nach der Rückkehr Beurteilungen zu erstellen. Gleiches gilt sinngemäß für länger als sechs Monate beurlaubte, abgeordnete oder versetzte Schulleiterinnen und Schulleiter, die im Lauf des ersten oder zweiten Jahres eines Beurteilungszeitraumes den Schuldienst wieder antreten und im Rahmen der regulären periodischen Beurteilung nicht beurteilt wurden.</w:t>
      </w:r>
    </w:p>
    <w:p w:rsidR="00BE1EFE" w:rsidRDefault="00BE1EFE">
      <w:pPr>
        <w:pStyle w:val="StandardWeb"/>
      </w:pPr>
    </w:p>
    <w:p w:rsidR="00BE1EFE" w:rsidRDefault="00BE1EFE">
      <w:pPr>
        <w:pStyle w:val="StandardWeb"/>
        <w:rPr>
          <w:b/>
          <w:bCs/>
        </w:rPr>
      </w:pPr>
      <w:r>
        <w:t>d) Eine Beurteilung kann zurückgestellt werden, wenn gegen eine Schulleiterin bzw. einen Schulleiter ein Disziplinarverfahren eingeleitet oder ein gerichtliches Strafverfahren anhängig ist oder Vorermittlungen eingeleitet sind oder ein sonstiger in der Person der Schulleiterin bzw. des Schulleiters liegender wichtiger Grund vorliegt. Nach rechtskräftigem Abschluss des Verfahrens, der Einstellung der Ermittlungen oder dem Wegfall des sonstigen wichtigen Grundes ist die Beurteilung nachzuholen.</w:t>
      </w:r>
    </w:p>
    <w:p w:rsidR="00BE1EFE" w:rsidRDefault="00BE1EFE">
      <w:pPr>
        <w:pStyle w:val="StandardWeb"/>
        <w:rPr>
          <w:b/>
          <w:bCs/>
        </w:rPr>
      </w:pPr>
    </w:p>
    <w:p w:rsidR="00BE1EFE" w:rsidRDefault="00BE1EFE" w:rsidP="0054275E">
      <w:pPr>
        <w:pStyle w:val="StandardWeb"/>
        <w:autoSpaceDE w:val="0"/>
      </w:pPr>
      <w:r>
        <w:rPr>
          <w:rStyle w:val="Fett"/>
          <w:bCs/>
        </w:rPr>
        <w:t>4.1.1 Zu beurteilender Personenkreis</w:t>
      </w:r>
    </w:p>
    <w:p w:rsidR="00BE1EFE" w:rsidRDefault="00BE1EFE">
      <w:pPr>
        <w:pStyle w:val="StandardWeb"/>
      </w:pPr>
    </w:p>
    <w:p w:rsidR="00BE1EFE" w:rsidRDefault="00BE1EFE">
      <w:pPr>
        <w:pStyle w:val="StandardWeb"/>
      </w:pPr>
      <w:r>
        <w:t>a) Zu beurteilen sind alle Schulleiterinnen und Schulleiter bis einschließlich der Besoldungs</w:t>
      </w:r>
      <w:r>
        <w:softHyphen/>
        <w:t>gruppe A 16 + AZ.</w:t>
      </w:r>
    </w:p>
    <w:p w:rsidR="00BE1EFE" w:rsidRDefault="00BE1EFE">
      <w:pPr>
        <w:pStyle w:val="StandardWeb"/>
      </w:pPr>
    </w:p>
    <w:p w:rsidR="00BE1EFE" w:rsidRDefault="00BE1EFE">
      <w:pPr>
        <w:pStyle w:val="StandardWeb"/>
        <w:rPr>
          <w:b/>
          <w:bCs/>
        </w:rPr>
      </w:pPr>
      <w:r>
        <w:t>b) Nicht mehr beurteilt wird, wer im Laufe des Kalenderjahres, das an das Ende des Beurteilungszeitraums anschließt, in den Ruhestand oder in die Freistellungsphase der Altersteilzeit tritt. Dies gilt nicht, wenn die Schulleiterin bzw. der Schulleiter noch nicht die Endstufe (</w:t>
      </w:r>
      <w:hyperlink r:id="rId1082" w:history="1">
        <w:r w:rsidRPr="00B669D7">
          <w:rPr>
            <w:rStyle w:val="Hyperlink"/>
          </w:rPr>
          <w:t>Art. 30 Abs. 2 Satz 1 BayBesG</w:t>
        </w:r>
      </w:hyperlink>
      <w:r>
        <w:t>) ihrer bzw. seiner Besoldungsgruppe erreicht hat.</w:t>
      </w:r>
    </w:p>
    <w:p w:rsidR="00BE1EFE" w:rsidRDefault="00BE1EFE">
      <w:pPr>
        <w:pStyle w:val="StandardWeb"/>
        <w:rPr>
          <w:b/>
          <w:bCs/>
        </w:rPr>
      </w:pPr>
    </w:p>
    <w:p w:rsidR="00BE1EFE" w:rsidRDefault="00BE1EFE" w:rsidP="0054275E">
      <w:pPr>
        <w:pStyle w:val="StandardWeb"/>
        <w:autoSpaceDE w:val="0"/>
      </w:pPr>
      <w:r>
        <w:rPr>
          <w:rStyle w:val="Fett"/>
          <w:bCs/>
        </w:rPr>
        <w:t>4.2 Zwischenbeurteilung</w:t>
      </w:r>
    </w:p>
    <w:p w:rsidR="00BE1EFE" w:rsidRDefault="00BE1EFE">
      <w:pPr>
        <w:pStyle w:val="StandardWeb"/>
      </w:pPr>
    </w:p>
    <w:p w:rsidR="00BE1EFE" w:rsidRDefault="00BE1EFE">
      <w:pPr>
        <w:pStyle w:val="StandardWeb"/>
      </w:pPr>
      <w:r>
        <w:t>Die Zwischenbeurteilung soll nur sicherstellen, dass die während eines nicht unerheblichen Zeitraums gezeigte Leistung, Eignung und Befähigung der Schulleiterin bzw. des Schulleiters bei der nächsten periodischen Beurteilung berücksichtigt werden kann.</w:t>
      </w:r>
    </w:p>
    <w:p w:rsidR="00BE1EFE" w:rsidRDefault="00BE1EFE">
      <w:pPr>
        <w:pStyle w:val="StandardWeb"/>
      </w:pPr>
    </w:p>
    <w:p w:rsidR="00BE1EFE" w:rsidRDefault="00BE1EFE">
      <w:pPr>
        <w:pStyle w:val="StandardWeb"/>
      </w:pPr>
      <w:r>
        <w:t>Wird eine Schulleiterin bzw. ein Schulleiter an eine andere Schule versetzt, erstellt die oder der bisher zuständige Beurteilende eine Zwischenbeurteilung, wenn die Schulleiterin bzw. der Schulleiter mindestens sechs Monate an der Schule tätig war und im letzten Jahr der Tätigkeit dort nicht dienstlich beurteilt worden ist.</w:t>
      </w:r>
    </w:p>
    <w:p w:rsidR="00BE1EFE" w:rsidRDefault="00BE1EFE">
      <w:pPr>
        <w:pStyle w:val="StandardWeb"/>
      </w:pPr>
    </w:p>
    <w:p w:rsidR="00BE1EFE" w:rsidRDefault="00BE1EFE">
      <w:pPr>
        <w:pStyle w:val="StandardWeb"/>
      </w:pPr>
      <w:r>
        <w:t xml:space="preserve">Im Fall einer Beurlaubung oder Freistellung vom Dienst ist eine Zwischenbeurteilung nur dann zu erstellen, wenn zum Beginn der Beurlaubung oder Freistellung mindestens ein Jahr seit dem Ende des der letzten dienstlichen Beurteilung zugrunde liegenden Zeitraums oder seit dem Ende der Probezeit vergangen ist (entsprechend </w:t>
      </w:r>
      <w:hyperlink r:id="rId1083" w:history="1">
        <w:r w:rsidRPr="00627946">
          <w:rPr>
            <w:rStyle w:val="Hyperlink"/>
          </w:rPr>
          <w:t>Art. 57 LlbG</w:t>
        </w:r>
      </w:hyperlink>
      <w:r>
        <w:t>) und die Schulleiterin bzw. der Schulleiter bei der (nächsten) periodischen Beurteilung aufgrund der Dauer der Beurlaubung oder Freistellung nicht beurteilt wird oder die (nächste) periodische Beurteilung hinausgeschoben wird.</w:t>
      </w:r>
    </w:p>
    <w:p w:rsidR="00BE1EFE" w:rsidRDefault="00BE1EFE">
      <w:pPr>
        <w:pStyle w:val="StandardWeb"/>
      </w:pPr>
      <w:r>
        <w:t>Zwischenbeurteilungen sind ohne Gesamturteil, im Übrigen aber – soweit möglich – in derselben Form wie eine periodische Beurteilung zu erstellen.</w:t>
      </w:r>
    </w:p>
    <w:p w:rsidR="00BE1EFE" w:rsidRDefault="00BE1EFE">
      <w:pPr>
        <w:pStyle w:val="StandardWeb"/>
        <w:rPr>
          <w:b/>
          <w:bCs/>
        </w:rPr>
      </w:pPr>
      <w:r>
        <w:t>Sofern eine Schulleiterin bzw. ein Schulleiter in der gleichen Besoldungsgruppe und in der gleichen Tätigkeit an derselben Schule zuletzt periodisch oder gemäß Nr. 4.1 Buchst. c beurteilt worden ist, genügt es für die Zwischenbeurteilung, wenn auf einem besonderen Blatt ergänzend zu der letzten periodischen Beurteilung vermerkt wird, ob und in welcher Hinsicht sich in der Zwischenzeit die für die Beurteilung der Schulleiterin bzw. des Schulleiters maßgeblichen Gesichtspunkte geändert haben.</w:t>
      </w:r>
    </w:p>
    <w:p w:rsidR="00BE1EFE" w:rsidRDefault="00BE1EFE">
      <w:pPr>
        <w:pStyle w:val="StandardWeb"/>
        <w:rPr>
          <w:b/>
          <w:bCs/>
        </w:rPr>
      </w:pPr>
    </w:p>
    <w:p w:rsidR="00BE1EFE" w:rsidRDefault="00BE1EFE" w:rsidP="0054275E">
      <w:pPr>
        <w:pStyle w:val="StandardWeb"/>
        <w:autoSpaceDE w:val="0"/>
      </w:pPr>
      <w:r>
        <w:rPr>
          <w:rStyle w:val="Fett"/>
          <w:bCs/>
        </w:rPr>
        <w:t>4.3 Anlassbeurteilung</w:t>
      </w:r>
    </w:p>
    <w:p w:rsidR="00BE1EFE" w:rsidRDefault="00BE1EFE">
      <w:pPr>
        <w:pStyle w:val="StandardWeb"/>
      </w:pPr>
    </w:p>
    <w:p w:rsidR="00BE1EFE" w:rsidRDefault="00BE1EFE">
      <w:pPr>
        <w:pStyle w:val="StandardWeb"/>
      </w:pPr>
      <w:r>
        <w:t xml:space="preserve">Für Schulleiterinnen und Schulleiter, die sich für eine Funktion bewerben, ist eine Anlassbeurteilung zu erstellen (entsprechend </w:t>
      </w:r>
      <w:hyperlink r:id="rId1084" w:history="1">
        <w:r w:rsidRPr="00627946">
          <w:rPr>
            <w:rStyle w:val="Hyperlink"/>
          </w:rPr>
          <w:t>Art. 54 Abs. 1 Satz 2 LlbG</w:t>
        </w:r>
      </w:hyperlink>
      <w:r>
        <w:t>), wenn</w:t>
      </w:r>
    </w:p>
    <w:p w:rsidR="00BE1EFE" w:rsidRDefault="00BE1EFE">
      <w:pPr>
        <w:pStyle w:val="StandardWeb"/>
      </w:pPr>
    </w:p>
    <w:p w:rsidR="00BE1EFE" w:rsidRDefault="00BE1EFE">
      <w:pPr>
        <w:pStyle w:val="StandardWeb"/>
      </w:pPr>
      <w:r>
        <w:t>1. die letzte dienstliche Beurteilung der Bewerberin bzw. des Bewerbers länger als vier Jahre zurückliegt,</w:t>
      </w:r>
    </w:p>
    <w:p w:rsidR="00BE1EFE" w:rsidRDefault="00BE1EFE">
      <w:pPr>
        <w:pStyle w:val="StandardWeb"/>
      </w:pPr>
    </w:p>
    <w:p w:rsidR="00BE1EFE" w:rsidRDefault="00BE1EFE">
      <w:pPr>
        <w:pStyle w:val="StandardWeb"/>
      </w:pPr>
      <w:r>
        <w:t>2. </w:t>
      </w:r>
      <w:r w:rsidRPr="00750AC4">
        <w:t>der Bewerberin bzw. dem Bewerber seit der letzten dienstlichen Beurteilung das Recht zum Führen einer höheren Berufsbezeichnung eingeräumt wurde oder wenn sie bzw. er befördert wurde, und wenn sie bzw. er in der höheren Besoldungsgruppe mindestens sechs Monate tätig war,</w:t>
      </w:r>
    </w:p>
    <w:p w:rsidR="00BE1EFE" w:rsidRDefault="00BE1EFE">
      <w:pPr>
        <w:pStyle w:val="StandardWeb"/>
      </w:pPr>
    </w:p>
    <w:p w:rsidR="00BE1EFE" w:rsidRDefault="00BE1EFE">
      <w:pPr>
        <w:pStyle w:val="StandardWeb"/>
      </w:pPr>
      <w:r>
        <w:t xml:space="preserve">3. die Bewerberin bzw. der Bewerber mit einer Funktionstätigkeit, insbesondere mit der Wahrnehmung amtsprägender Funktionen, betraut wurde, deren Ausübung im Rahmen der letzten dienstlichen Beurteilung noch nicht gewürdigt werden konnte </w:t>
      </w:r>
      <w:r w:rsidRPr="00750AC4">
        <w:t>und diese Funktionstätigkeit über einen Zeitraum von mindestens sechs Monaten ausgeübt hat</w:t>
      </w:r>
      <w:r>
        <w:t>,</w:t>
      </w:r>
    </w:p>
    <w:p w:rsidR="00BE1EFE" w:rsidRDefault="00BE1EFE">
      <w:pPr>
        <w:pStyle w:val="StandardWeb"/>
      </w:pPr>
    </w:p>
    <w:p w:rsidR="00BE1EFE" w:rsidRDefault="00BE1EFE">
      <w:pPr>
        <w:pStyle w:val="StandardWeb"/>
      </w:pPr>
      <w:r>
        <w:t xml:space="preserve">4. sich die Leistungen der Bewerberin bzw. des Bewerbers im Vergleich zur letzten dienstlichen Beurteilung im Hinblick auf die angestrebte Funktion </w:t>
      </w:r>
      <w:r w:rsidRPr="00750AC4">
        <w:t xml:space="preserve">über einen Zeitraum von mindestens sechs Monaten </w:t>
      </w:r>
      <w:r>
        <w:t>wesentlich verändert haben.</w:t>
      </w:r>
    </w:p>
    <w:p w:rsidR="00BE1EFE" w:rsidRDefault="00BE1EFE">
      <w:pPr>
        <w:pStyle w:val="StandardWeb"/>
      </w:pPr>
    </w:p>
    <w:p w:rsidR="00BE1EFE" w:rsidRDefault="00BE1EFE">
      <w:pPr>
        <w:pStyle w:val="StandardWeb"/>
        <w:rPr>
          <w:b/>
          <w:bCs/>
        </w:rPr>
      </w:pPr>
      <w:r>
        <w:t>Anlassbeurteilungen können zudem erstellt werden, wenn dies aus besonderen dienstlichen Gründen erforderlich scheint.</w:t>
      </w:r>
    </w:p>
    <w:p w:rsidR="00BE1EFE" w:rsidRDefault="00BE1EFE">
      <w:pPr>
        <w:pStyle w:val="StandardWeb"/>
        <w:rPr>
          <w:b/>
          <w:bCs/>
        </w:rPr>
      </w:pPr>
    </w:p>
    <w:p w:rsidR="00BE1EFE" w:rsidRDefault="00BE1EFE" w:rsidP="0054275E">
      <w:pPr>
        <w:pStyle w:val="StandardWeb"/>
        <w:autoSpaceDE w:val="0"/>
      </w:pPr>
      <w:r>
        <w:rPr>
          <w:rStyle w:val="Fett"/>
          <w:bCs/>
        </w:rPr>
        <w:t>4.4 Zuständigkeit</w:t>
      </w:r>
    </w:p>
    <w:p w:rsidR="00BE1EFE" w:rsidRDefault="00BE1EFE">
      <w:pPr>
        <w:pStyle w:val="StandardWeb"/>
      </w:pPr>
    </w:p>
    <w:p w:rsidR="00BE1EFE" w:rsidRDefault="00BE1EFE">
      <w:pPr>
        <w:pStyle w:val="StandardWeb"/>
      </w:pPr>
      <w:r>
        <w:t>4.4.1</w:t>
      </w:r>
    </w:p>
    <w:p w:rsidR="00BE1EFE" w:rsidRPr="00730B99" w:rsidRDefault="00BE1EFE">
      <w:pPr>
        <w:pStyle w:val="StandardWeb"/>
        <w:rPr>
          <w:sz w:val="14"/>
          <w:szCs w:val="14"/>
        </w:rPr>
      </w:pPr>
    </w:p>
    <w:p w:rsidR="00BE1EFE" w:rsidRDefault="00BE1EFE">
      <w:pPr>
        <w:pStyle w:val="StandardWeb"/>
      </w:pPr>
      <w:r>
        <w:t>a) Für Schulleiterinnen und Schulleiter als Beamte des Katholischen Schulwerks in Bayern erfolgt die Beurteilung durch das Katholische Schulwerk in Bayern.</w:t>
      </w:r>
    </w:p>
    <w:p w:rsidR="00BE1EFE" w:rsidRPr="00730B99" w:rsidRDefault="00BE1EFE">
      <w:pPr>
        <w:pStyle w:val="StandardWeb"/>
        <w:rPr>
          <w:sz w:val="14"/>
          <w:szCs w:val="14"/>
        </w:rPr>
      </w:pPr>
    </w:p>
    <w:p w:rsidR="00BE1EFE" w:rsidRDefault="00BE1EFE">
      <w:pPr>
        <w:pStyle w:val="StandardWeb"/>
      </w:pPr>
      <w:r>
        <w:t>b) Für arbeitsvertraglich beschäftigte Schulleiterinnen und Schulleiter erfolgt die Beurteilung durch den Schulträger.</w:t>
      </w:r>
    </w:p>
    <w:p w:rsidR="00BE1EFE" w:rsidRPr="00730B99" w:rsidRDefault="00BE1EFE">
      <w:pPr>
        <w:pStyle w:val="StandardWeb"/>
        <w:rPr>
          <w:sz w:val="14"/>
          <w:szCs w:val="14"/>
        </w:rPr>
      </w:pPr>
    </w:p>
    <w:p w:rsidR="00BE1EFE" w:rsidRDefault="00BE1EFE">
      <w:pPr>
        <w:pStyle w:val="StandardWeb"/>
        <w:rPr>
          <w:b/>
          <w:bCs/>
        </w:rPr>
      </w:pPr>
      <w:r>
        <w:t>4.4.2 Treten am Beurteilungsverfahren beteiligte Personen in den Ruhestand, in die Freistellungsphase der Altersteilzeit oder werden sie versetzt, haben sie der Nachfolgerin bzw. dem Nachfolger aussagekräftige Unterlagen zu übergeben, welche die Erstellung einer ordnungsgemäßen dienstlichen Beurteilung ermöglichen.</w:t>
      </w:r>
    </w:p>
    <w:p w:rsidR="00BE1EFE" w:rsidRPr="00730B99" w:rsidRDefault="00BE1EFE">
      <w:pPr>
        <w:pStyle w:val="StandardWeb"/>
        <w:rPr>
          <w:b/>
          <w:bCs/>
          <w:sz w:val="14"/>
          <w:szCs w:val="14"/>
        </w:rPr>
      </w:pPr>
    </w:p>
    <w:p w:rsidR="00BE1EFE" w:rsidRDefault="00BE1EFE" w:rsidP="0054275E">
      <w:pPr>
        <w:pStyle w:val="StandardWeb"/>
        <w:autoSpaceDE w:val="0"/>
      </w:pPr>
      <w:r>
        <w:rPr>
          <w:rStyle w:val="Fett"/>
          <w:bCs/>
        </w:rPr>
        <w:t xml:space="preserve">4.5 </w:t>
      </w:r>
      <w:r w:rsidRPr="00E44B25">
        <w:rPr>
          <w:rStyle w:val="Fett"/>
          <w:bCs/>
        </w:rPr>
        <w:t>Beteiligung der Schwerbehinderte</w:t>
      </w:r>
      <w:r>
        <w:rPr>
          <w:rStyle w:val="Fett"/>
          <w:bCs/>
        </w:rPr>
        <w:t>nvertretung und der Mitarbeiter</w:t>
      </w:r>
      <w:r w:rsidRPr="00E44B25">
        <w:rPr>
          <w:rStyle w:val="Fett"/>
          <w:bCs/>
        </w:rPr>
        <w:t>vertretung</w:t>
      </w:r>
      <w:r>
        <w:rPr>
          <w:rStyle w:val="Fett"/>
          <w:bCs/>
        </w:rPr>
        <w:t xml:space="preserve"> </w:t>
      </w:r>
    </w:p>
    <w:p w:rsidR="00BE1EFE" w:rsidRPr="00730B99" w:rsidRDefault="00BE1EFE">
      <w:pPr>
        <w:pStyle w:val="StandardWeb"/>
        <w:rPr>
          <w:sz w:val="14"/>
          <w:szCs w:val="14"/>
        </w:rPr>
      </w:pPr>
    </w:p>
    <w:p w:rsidR="00BE1EFE" w:rsidRDefault="00BE1EFE">
      <w:pPr>
        <w:pStyle w:val="StandardWeb"/>
      </w:pPr>
      <w:r w:rsidRPr="00E44B25">
        <w:t>Zu den Besonderheiten im Beurteilungsverfahren wird auf Nr. 9 der Teilhaberichtlinien hingewiesen; insbesondere auf die Frage der rechtzeitigen Beteiligung der Schwerbehindertenvertretung, wenn dies die oder der Schwerbehinderte nach vorherigem schriftlichen Hinweis nicht ablehnt, wird aufmerksam gemacht (vgl. dazu Nr. 9.6 der Teilhaberichtlinien).</w:t>
      </w:r>
    </w:p>
    <w:p w:rsidR="00BE1EFE" w:rsidRDefault="00BE1EFE">
      <w:pPr>
        <w:pStyle w:val="StandardWeb"/>
        <w:rPr>
          <w:b/>
          <w:bCs/>
        </w:rPr>
      </w:pPr>
      <w:r>
        <w:t>Eine Beteiligung der Mitarbeitervertretung bei der Erstellung der Beurteilung der Schulleiterinnen und Schulleiter ist weder vorgesehen noch zulässig.</w:t>
      </w:r>
    </w:p>
    <w:p w:rsidR="00BE1EFE" w:rsidRPr="00730B99" w:rsidRDefault="00BE1EFE">
      <w:pPr>
        <w:pStyle w:val="StandardWeb"/>
        <w:rPr>
          <w:b/>
          <w:bCs/>
          <w:sz w:val="14"/>
          <w:szCs w:val="14"/>
        </w:rPr>
      </w:pPr>
    </w:p>
    <w:p w:rsidR="00BE1EFE" w:rsidRDefault="00BE1EFE" w:rsidP="0054275E">
      <w:pPr>
        <w:pStyle w:val="StandardWeb"/>
        <w:autoSpaceDE w:val="0"/>
      </w:pPr>
      <w:r>
        <w:rPr>
          <w:rStyle w:val="Fett"/>
          <w:bCs/>
        </w:rPr>
        <w:t>4.6 Eröffnung der dienstlichen Beurteilung</w:t>
      </w:r>
    </w:p>
    <w:p w:rsidR="00BE1EFE" w:rsidRDefault="00BE1EFE">
      <w:pPr>
        <w:pStyle w:val="StandardWeb"/>
      </w:pPr>
    </w:p>
    <w:p w:rsidR="00BE1EFE" w:rsidRDefault="00BE1EFE">
      <w:pPr>
        <w:pStyle w:val="StandardWeb"/>
      </w:pPr>
      <w:r>
        <w:t>Die dienstliche Beurteilung wird der Schulleiterin bzw. dem Schulleiter persönlich sowie mit dem Vermerk „vertraulich“ gegen Empfangsbestätigung zugeleitet und hierdurch bekannt gegeben. In der Regel wird ein Beurteilungsgespräch geführt.</w:t>
      </w:r>
    </w:p>
    <w:p w:rsidR="00BE1EFE" w:rsidRDefault="00BE1EFE">
      <w:pPr>
        <w:pStyle w:val="StandardWeb"/>
        <w:rPr>
          <w:b/>
          <w:bCs/>
        </w:rPr>
      </w:pPr>
    </w:p>
    <w:p w:rsidR="00BE1EFE" w:rsidRDefault="00BE1EFE" w:rsidP="0054275E">
      <w:pPr>
        <w:pStyle w:val="StandardWeb"/>
        <w:autoSpaceDE w:val="0"/>
      </w:pPr>
      <w:r>
        <w:rPr>
          <w:rStyle w:val="Fett"/>
          <w:bCs/>
        </w:rPr>
        <w:t>4.7 Einwendungen gegen die dienstliche Beurteilung</w:t>
      </w:r>
    </w:p>
    <w:p w:rsidR="00BE1EFE" w:rsidRDefault="00BE1EFE">
      <w:pPr>
        <w:pStyle w:val="StandardWeb"/>
      </w:pPr>
    </w:p>
    <w:p w:rsidR="00BE1EFE" w:rsidRDefault="00BE1EFE">
      <w:pPr>
        <w:pStyle w:val="StandardWeb"/>
      </w:pPr>
      <w:r>
        <w:t>4.7.1 Der Schulleiterin bzw. dem Schulleiter wird für etwaige Einwendungen eine Überlegungsfrist von drei Wochen eingeräumt. Die Schulleiterin bzw. der Schulleiter soll etwaige Einwendungen innerhalb dieses Zeitraums erheben, damit deren Berücksichtigung im Überprüfungsverfahren sichergestellt ist.</w:t>
      </w:r>
    </w:p>
    <w:p w:rsidR="00BE1EFE" w:rsidRDefault="00BE1EFE">
      <w:pPr>
        <w:pStyle w:val="StandardWeb"/>
      </w:pPr>
    </w:p>
    <w:p w:rsidR="00BE1EFE" w:rsidRDefault="00BE1EFE">
      <w:pPr>
        <w:pStyle w:val="StandardWeb"/>
      </w:pPr>
      <w:r>
        <w:t>a) Für Schulleiterinnen und Schulleiter als Beamte des Katholischen Schulwerks in Bayern gilt:</w:t>
      </w:r>
    </w:p>
    <w:p w:rsidR="00BE1EFE" w:rsidRDefault="00BE1EFE">
      <w:pPr>
        <w:pStyle w:val="StandardWeb"/>
      </w:pPr>
    </w:p>
    <w:p w:rsidR="00BE1EFE" w:rsidRDefault="00BE1EFE">
      <w:pPr>
        <w:pStyle w:val="StandardWeb"/>
      </w:pPr>
      <w:r>
        <w:t>Die Einwendungen sind an das Katholische Schulwerk in Bayern zu richten.</w:t>
      </w:r>
    </w:p>
    <w:p w:rsidR="00BE1EFE" w:rsidRDefault="00BE1EFE">
      <w:pPr>
        <w:pStyle w:val="StandardWeb"/>
      </w:pPr>
    </w:p>
    <w:p w:rsidR="00BE1EFE" w:rsidRDefault="00BE1EFE">
      <w:pPr>
        <w:pStyle w:val="StandardWeb"/>
      </w:pPr>
      <w:r>
        <w:t>b) Für arbeitsvertraglich beschäftigte Schulleiterinnen und Schulleiter an katholischen Schulen gilt:</w:t>
      </w:r>
    </w:p>
    <w:p w:rsidR="00BE1EFE" w:rsidRDefault="00BE1EFE">
      <w:pPr>
        <w:pStyle w:val="StandardWeb"/>
      </w:pPr>
    </w:p>
    <w:p w:rsidR="00BE1EFE" w:rsidRDefault="00BE1EFE">
      <w:pPr>
        <w:pStyle w:val="StandardWeb"/>
      </w:pPr>
      <w:r>
        <w:t>Die Einwendungen sind an den jeweiligen Schulträger zu richten.</w:t>
      </w:r>
    </w:p>
    <w:p w:rsidR="00BE1EFE" w:rsidRDefault="00BE1EFE">
      <w:pPr>
        <w:pStyle w:val="StandardWeb"/>
      </w:pPr>
    </w:p>
    <w:p w:rsidR="00BE1EFE" w:rsidRDefault="00BE1EFE">
      <w:pPr>
        <w:pStyle w:val="StandardWeb"/>
      </w:pPr>
      <w:r>
        <w:t>4.7.2 Nach Ablauf der Drei-Wochen-Frist erhobene Einwendungen sind zu berücksichtigen, soweit dies noch möglich ist.</w:t>
      </w:r>
    </w:p>
    <w:p w:rsidR="00BE1EFE" w:rsidRDefault="00BE1EFE">
      <w:pPr>
        <w:pStyle w:val="StandardWeb"/>
      </w:pPr>
    </w:p>
    <w:p w:rsidR="00BE1EFE" w:rsidRDefault="00BE1EFE">
      <w:pPr>
        <w:pStyle w:val="StandardWeb"/>
      </w:pPr>
      <w:r>
        <w:t>4.7.3 Das vorgenannte Verfahren gilt auch für Zwischenbeurteilungen und Anlassbeur</w:t>
      </w:r>
      <w:r>
        <w:softHyphen/>
        <w:t>teilungen.</w:t>
      </w:r>
    </w:p>
    <w:p w:rsidR="00BE1EFE" w:rsidRDefault="00BE1EFE">
      <w:pPr>
        <w:pStyle w:val="StandardWeb"/>
      </w:pPr>
      <w:r>
        <w:br w:type="page"/>
      </w:r>
    </w:p>
    <w:p w:rsidR="00BE1EFE" w:rsidRDefault="00BE1EFE" w:rsidP="00E87479">
      <w:pPr>
        <w:pStyle w:val="h8"/>
        <w:spacing w:before="0"/>
      </w:pPr>
      <w:bookmarkStart w:id="759" w:name="_Toc523926287"/>
      <w:r>
        <w:lastRenderedPageBreak/>
        <w:t>5. Leistungsfeststellung</w:t>
      </w:r>
      <w:bookmarkEnd w:id="759"/>
    </w:p>
    <w:p w:rsidR="00BE1EFE" w:rsidRPr="00B76821" w:rsidRDefault="00BE1EFE" w:rsidP="00B76821">
      <w:pPr>
        <w:pStyle w:val="h9"/>
        <w:keepNext w:val="0"/>
        <w:spacing w:before="0" w:after="0"/>
        <w:outlineLvl w:val="5"/>
        <w:rPr>
          <w:sz w:val="2"/>
        </w:rPr>
      </w:pPr>
    </w:p>
    <w:p w:rsidR="00BE1EFE" w:rsidRDefault="00BE1EFE">
      <w:pPr>
        <w:pStyle w:val="StandardWeb"/>
      </w:pPr>
      <w:r>
        <w:t>Die Ausführungen zur Leistungsfeststellung bei den Lehrkräften in Abschnitt A Nrn. 5.1 und 5.2 finden auf die Leistungsfeststellungen bei den Schulleiterinnen und Schulleitern entsprechende Anwendung mit folgenden Maßgaben:</w:t>
      </w:r>
    </w:p>
    <w:p w:rsidR="00BE1EFE" w:rsidRDefault="00BE1EFE">
      <w:pPr>
        <w:pStyle w:val="StandardWeb"/>
      </w:pPr>
    </w:p>
    <w:p w:rsidR="00BE1EFE" w:rsidRDefault="00BE1EFE">
      <w:pPr>
        <w:pStyle w:val="StandardWeb"/>
      </w:pPr>
      <w:r>
        <w:t xml:space="preserve">Die Anforderungen für einen Stufenaufstieg entsprechend </w:t>
      </w:r>
      <w:hyperlink r:id="rId1085" w:history="1">
        <w:r w:rsidRPr="00D974F7">
          <w:rPr>
            <w:rStyle w:val="Hyperlink"/>
          </w:rPr>
          <w:t>Art. 30 Abs. 2 BayBesG</w:t>
        </w:r>
      </w:hyperlink>
      <w:r>
        <w:t xml:space="preserve"> gelten bei Schulleiterinnen bzw. Schulleitern allgemein als erfüllt.</w:t>
      </w:r>
    </w:p>
    <w:p w:rsidR="00BE1EFE" w:rsidRDefault="00BE1EFE">
      <w:pPr>
        <w:pStyle w:val="StandardWeb"/>
      </w:pPr>
    </w:p>
    <w:p w:rsidR="00BE1EFE" w:rsidRDefault="00BE1EFE">
      <w:pPr>
        <w:pStyle w:val="StandardWeb"/>
      </w:pPr>
      <w:r>
        <w:t xml:space="preserve">Bei dauerhaft herausragenden Leistungen hinsichtlich der Arbeitsqualität gemäß 2.1.1.1.1 kann eine Leistungsstufe entsprechend </w:t>
      </w:r>
      <w:hyperlink r:id="rId1086" w:history="1">
        <w:r w:rsidRPr="00D974F7">
          <w:rPr>
            <w:rStyle w:val="Hyperlink"/>
          </w:rPr>
          <w:t>Art. 66 BayBesG</w:t>
        </w:r>
      </w:hyperlink>
      <w:r>
        <w:t xml:space="preserve"> gewährt werden.</w:t>
      </w:r>
    </w:p>
    <w:p w:rsidR="00BE1EFE" w:rsidRDefault="00BE1EFE">
      <w:pPr>
        <w:pStyle w:val="StandardWeb"/>
      </w:pPr>
    </w:p>
    <w:p w:rsidR="00BE1EFE" w:rsidRDefault="00BE1EFE">
      <w:pPr>
        <w:pStyle w:val="StandardWeb"/>
      </w:pPr>
      <w:r>
        <w:t xml:space="preserve">Bei schwerwiegenden Mängeln hinsichtlich der fachlichen Leistung (vgl. 2.1.1) sind die mit dem Amt verbundenen Mindestanforderungen nicht erfüllt und es erfolgt ein Stufenstopp entsprechend </w:t>
      </w:r>
      <w:hyperlink r:id="rId1087" w:history="1">
        <w:r w:rsidRPr="00D974F7">
          <w:rPr>
            <w:rStyle w:val="Hyperlink"/>
          </w:rPr>
          <w:t>Art. 30 Abs. 3 Satz 3 BayBesG</w:t>
        </w:r>
      </w:hyperlink>
      <w:r>
        <w:t>.</w:t>
      </w:r>
    </w:p>
    <w:p w:rsidR="00BE1EFE" w:rsidRDefault="00BE1EFE">
      <w:pPr>
        <w:pStyle w:val="StandardWeb"/>
      </w:pPr>
    </w:p>
    <w:p w:rsidR="00BE1EFE" w:rsidRDefault="00BE1EFE">
      <w:pPr>
        <w:pStyle w:val="StandardWeb"/>
      </w:pPr>
      <w:r>
        <w:t xml:space="preserve">Zuständigkeit und Verfahren bestimmen sich im Übrigen in allen in Abschnitt A Nrn. 5.1 und 5.2 genannten Fällen entsprechend </w:t>
      </w:r>
      <w:hyperlink r:id="rId1088" w:history="1">
        <w:r w:rsidRPr="00D974F7">
          <w:rPr>
            <w:rStyle w:val="Hyperlink"/>
          </w:rPr>
          <w:t>Art. 60 und 61 LlbG</w:t>
        </w:r>
      </w:hyperlink>
      <w:r>
        <w:t>. Die Zuständigkeitsregelungen in Nr. 4.4 finden entsprechende Anwendung.</w:t>
      </w:r>
    </w:p>
    <w:p w:rsidR="00BE1EFE" w:rsidRDefault="00BE1EFE">
      <w:pPr>
        <w:pStyle w:val="StandardWeb"/>
      </w:pPr>
    </w:p>
    <w:p w:rsidR="00BE1EFE" w:rsidRDefault="00BE1EFE">
      <w:pPr>
        <w:pStyle w:val="StandardWeb"/>
      </w:pPr>
      <w:r>
        <w:t>Des Weiteren finden entsprechende Anwendung die Regelungen in Abschnitt A Nrn. 5.4, 5.6 und 5.7.</w:t>
      </w:r>
    </w:p>
    <w:p w:rsidR="00BE1EFE" w:rsidRDefault="00BE1EFE">
      <w:pPr>
        <w:pStyle w:val="StandardWeb"/>
      </w:pPr>
    </w:p>
    <w:p w:rsidR="00BE1EFE" w:rsidRDefault="00BE1EFE">
      <w:pPr>
        <w:pStyle w:val="StandardWeb"/>
      </w:pPr>
    </w:p>
    <w:p w:rsidR="00BE1EFE" w:rsidRDefault="00BE1EFE" w:rsidP="004B24AF">
      <w:pPr>
        <w:pStyle w:val="h8"/>
      </w:pPr>
      <w:bookmarkStart w:id="760" w:name="_Toc523926288"/>
      <w:r>
        <w:t>6. Einwendungen gegen die Leistungsfeststellung</w:t>
      </w:r>
      <w:bookmarkEnd w:id="760"/>
    </w:p>
    <w:p w:rsidR="00BE1EFE" w:rsidRPr="00B76821" w:rsidRDefault="00BE1EFE" w:rsidP="00B76821">
      <w:pPr>
        <w:pStyle w:val="h9"/>
        <w:keepNext w:val="0"/>
        <w:spacing w:before="0" w:after="0"/>
        <w:outlineLvl w:val="5"/>
        <w:rPr>
          <w:sz w:val="2"/>
        </w:rPr>
      </w:pPr>
    </w:p>
    <w:p w:rsidR="00BE1EFE" w:rsidRDefault="00BE1EFE">
      <w:pPr>
        <w:pStyle w:val="StandardWeb"/>
      </w:pPr>
      <w:r>
        <w:t>Für das Verfahren bei Einwendungen gegen die Leistungsfeststellung findet Nr. 4.7 entsprechende Anwendung.</w:t>
      </w:r>
    </w:p>
    <w:p w:rsidR="00BE1EFE" w:rsidRDefault="00BE1EFE">
      <w:pPr>
        <w:pStyle w:val="StandardWeb"/>
      </w:pPr>
      <w:r>
        <w:br w:type="page"/>
      </w:r>
    </w:p>
    <w:p w:rsidR="00BE1EFE" w:rsidRDefault="00BE1EFE" w:rsidP="00E87479">
      <w:pPr>
        <w:pStyle w:val="berschrift5"/>
        <w:spacing w:before="0"/>
      </w:pPr>
      <w:bookmarkStart w:id="761" w:name="_Toc523926289"/>
      <w:r>
        <w:lastRenderedPageBreak/>
        <w:t>B, 4.2. Regelung zur Überleitung von Lehrkräften an Schulen in kirchlicher Trägerschaft (RÜ-L)</w:t>
      </w:r>
      <w:bookmarkEnd w:id="761"/>
    </w:p>
    <w:p w:rsidR="00BE1EFE" w:rsidRDefault="00BE1EFE" w:rsidP="009920B7">
      <w:pPr>
        <w:pStyle w:val="berschrift6"/>
      </w:pPr>
      <w:bookmarkStart w:id="762" w:name="_Toc453677901"/>
      <w:bookmarkStart w:id="763" w:name="_Toc523926290"/>
      <w:r>
        <w:t>§ 1 Geltungsbereich</w:t>
      </w:r>
      <w:bookmarkEnd w:id="762"/>
      <w:bookmarkEnd w:id="763"/>
    </w:p>
    <w:p w:rsidR="00BE1EFE" w:rsidRDefault="00BE1EFE" w:rsidP="009920B7">
      <w:pPr>
        <w:pStyle w:val="h7"/>
        <w:spacing w:before="0" w:after="0"/>
        <w:rPr>
          <w:sz w:val="2"/>
        </w:rPr>
      </w:pPr>
    </w:p>
    <w:p w:rsidR="00BE1EFE" w:rsidRDefault="00BE1EFE" w:rsidP="009920B7">
      <w:pPr>
        <w:pStyle w:val="h8"/>
        <w:spacing w:before="0" w:after="0"/>
        <w:outlineLvl w:val="5"/>
        <w:rPr>
          <w:sz w:val="2"/>
        </w:rPr>
      </w:pPr>
    </w:p>
    <w:p w:rsidR="00BE1EFE" w:rsidRPr="00B76821" w:rsidRDefault="00BE1EFE" w:rsidP="00B76821">
      <w:pPr>
        <w:pStyle w:val="h9"/>
        <w:keepNext w:val="0"/>
        <w:spacing w:before="0" w:after="0"/>
        <w:outlineLvl w:val="5"/>
        <w:rPr>
          <w:sz w:val="2"/>
        </w:rPr>
      </w:pPr>
    </w:p>
    <w:p w:rsidR="00BE1EFE" w:rsidRPr="000B1AF8" w:rsidRDefault="00BE1EFE" w:rsidP="009920B7">
      <w:pPr>
        <w:pStyle w:val="StandardWeb"/>
      </w:pPr>
      <w:r>
        <w:t>(1) Diese Regelung gilt für Lehrkräfte an Schulen in kirchlicher Trägerschaft, deren Arbeitsverhältnis zu einem Arbeitgeber im Geltungsbereich des ABD über den 31. Oktober 2006 hinaus fortbesteht, und die am 1. November 2006 unter den Geltungsbereich des ABD fallen, für die Dauer des ununterbrochen fortbestehenden Arbeitsverhältnisses.</w:t>
      </w:r>
    </w:p>
    <w:p w:rsidR="00BE1EFE" w:rsidRPr="000B1AF8" w:rsidRDefault="00BE1EFE">
      <w:pPr>
        <w:pStyle w:val="StandardWeb"/>
      </w:pPr>
    </w:p>
    <w:p w:rsidR="00BE1EFE" w:rsidRDefault="00BE1EFE">
      <w:pPr>
        <w:pStyle w:val="StandardWeb"/>
      </w:pPr>
      <w:r>
        <w:t>(2) Abweichend von Absatz 1 gilt diese Regelung auch für Lehrkräfte, deren Arbeitsverhältnis zu einem Arbeitgeber im Geltungsbereich des ABD über den 31. Oktober 2006 hinaus fortbesteht, aber erst nach dem 1. November 2006 unter den Geltungsbereich des ABD fällt, wenn das in dieser Regelung vorgesehen ist.</w:t>
      </w:r>
    </w:p>
    <w:p w:rsidR="00BE1EFE" w:rsidRDefault="00BE1EFE">
      <w:pPr>
        <w:pStyle w:val="StandardWeb"/>
      </w:pPr>
    </w:p>
    <w:p w:rsidR="00BE1EFE" w:rsidRDefault="00BE1EFE">
      <w:pPr>
        <w:pStyle w:val="StandardWeb"/>
      </w:pPr>
      <w:r>
        <w:t xml:space="preserve">(3) Die Regelung des </w:t>
      </w:r>
      <w:hyperlink r:id="rId1089" w:history="1">
        <w:r w:rsidRPr="002D1F1D">
          <w:rPr>
            <w:rStyle w:val="Hyperlink"/>
          </w:rPr>
          <w:t>ABD Teil A, 3.</w:t>
        </w:r>
      </w:hyperlink>
      <w:r>
        <w:t xml:space="preserve"> ist nur anzuwenden, wenn dies nachfolgend ausdrücklich bestimmt wird.</w:t>
      </w:r>
    </w:p>
    <w:p w:rsidR="00BE1EFE" w:rsidRDefault="00BE1EFE">
      <w:pPr>
        <w:pStyle w:val="berschrift6"/>
      </w:pPr>
      <w:bookmarkStart w:id="764" w:name="_Toc523926291"/>
      <w:r>
        <w:t>§ 2 Entgelt in der Zeit vom 01.10.2005 bis 31.10.2006</w:t>
      </w:r>
      <w:bookmarkEnd w:id="7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Für Lehrkräfte im Sinne von Nr. 5 Absatz 2 ABD Teil B, 4.1., 4.2. und 4.3., die in der Zeit vom 01.10.2005 bis 31.10.2006 Entgelt nach der für Beamte des Freistaates Bayern gemäß dem Bayerischen Besoldungsgesetz geltenden Besoldungsordnung A (im Folgenden nur „Besoldungsordnung A“) erhalten, findet Nr. 8 der Anlage 5 zu § 23 ABD Teil A, 3. keine Anwendung.</w:t>
      </w:r>
    </w:p>
    <w:p w:rsidR="00BE1EFE" w:rsidRPr="000B1AF8" w:rsidRDefault="00BE1EFE">
      <w:pPr>
        <w:pStyle w:val="StandardWeb"/>
      </w:pPr>
    </w:p>
    <w:p w:rsidR="00BE1EFE" w:rsidRDefault="00BE1EFE">
      <w:pPr>
        <w:pStyle w:val="StandardWeb"/>
      </w:pPr>
      <w:r>
        <w:t>(2) </w:t>
      </w:r>
      <w:r>
        <w:rPr>
          <w:rStyle w:val="kleinschrift"/>
        </w:rPr>
        <w:t>1</w:t>
      </w:r>
      <w:r>
        <w:t>Für Lehrkräfte im Sinne von Nr. 5 Absatz 3 ABD Teil B, 4.1., 4.2. und 4.3., die Entgelt nach der Besoldungsordnung A erhalten, ist das Entgelt für die Zeit zwischen dem 01.10.2005 und 31.10.2006 unter Berücksichtigung bis zum 31.</w:t>
      </w:r>
      <w:r w:rsidR="00D974F7">
        <w:t>10.2006 angefallener Bewährungs</w:t>
      </w:r>
      <w:r>
        <w:t xml:space="preserve">aufstiege neu zu berechnen. </w:t>
      </w:r>
      <w:r>
        <w:rPr>
          <w:rStyle w:val="kleinschrift"/>
        </w:rPr>
        <w:t>2</w:t>
      </w:r>
      <w:r>
        <w:t xml:space="preserve">Differenzbeträge zwischen dem ab 01.10.2005 geleisteten und dem nach Satz 1 errechneten Entgelt sind bis zum 31.12.2007 nachzuzahlen. </w:t>
      </w:r>
      <w:r>
        <w:rPr>
          <w:rStyle w:val="kleinschrift"/>
        </w:rPr>
        <w:t>3</w:t>
      </w:r>
      <w:r>
        <w:t>Nr. 8 der Anlage 5 zu § 23 ABD Teil A, 3. findet keine Anwendung.</w:t>
      </w:r>
    </w:p>
    <w:p w:rsidR="00BE1EFE" w:rsidRDefault="00BE1EFE">
      <w:pPr>
        <w:pStyle w:val="StandardWeb"/>
      </w:pPr>
    </w:p>
    <w:p w:rsidR="00BE1EFE" w:rsidRDefault="00BE1EFE">
      <w:pPr>
        <w:pStyle w:val="StandardWeb"/>
      </w:pPr>
      <w:r>
        <w:t>(3) </w:t>
      </w:r>
      <w:r>
        <w:rPr>
          <w:rStyle w:val="kleinschrift"/>
        </w:rPr>
        <w:t>1</w:t>
      </w:r>
      <w:r>
        <w:t xml:space="preserve">Für Lehrkräfte, die bisher kein Entgelt nach der Besoldungsordnung A erhalten haben, ist das Entgelt für die Zeit zwischen dem 01.10.2005 und 31.10.2006 nach den Bestimmungen des ABD in der bis zum 30.09.2005 geltenden Fassung zu errechnen. </w:t>
      </w:r>
      <w:r>
        <w:rPr>
          <w:rStyle w:val="kleinschrift"/>
        </w:rPr>
        <w:t>2</w:t>
      </w:r>
      <w:r>
        <w:t xml:space="preserve">Die Lehrkräfte haben dabei einen Anspruch auf die Stufen 2 und folgende des Ortszuschlags nur in der Höhe, die sich ergeben hätte, wenn beim Ehegatten die in der Zeit nach dem 30.09.2005 wegen kollektivrechtlicher Änderungen weggefallenen Anspruchsgrundlagen auf die Stufen 2 und folgende des Ortszuschlags bis zum 31.10.2006 weiter gegolten hätten. </w:t>
      </w:r>
      <w:r>
        <w:rPr>
          <w:rStyle w:val="kleinschrift"/>
        </w:rPr>
        <w:t>3</w:t>
      </w:r>
      <w:r>
        <w:t>Differenzbeträge zwischen dem ab 01.10.2005 geleisteten und dem nach den Sätzen 1 und 2 errechneten Entgelt sind bis zum 31.12.2007 nachzuzahlen.</w:t>
      </w:r>
    </w:p>
    <w:p w:rsidR="00BE1EFE" w:rsidRDefault="00BE1EFE">
      <w:pPr>
        <w:pStyle w:val="berschrift6"/>
      </w:pPr>
      <w:bookmarkStart w:id="765" w:name="_Toc523926292"/>
      <w:r>
        <w:t>§ 3 Überleitung in das Entgelt gemäß Besoldungsordnung A</w:t>
      </w:r>
      <w:bookmarkEnd w:id="765"/>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(1) Lehrkräfte im Sinne von </w:t>
      </w:r>
      <w:hyperlink r:id="rId1090" w:history="1">
        <w:r w:rsidRPr="002D1F1D">
          <w:rPr>
            <w:rStyle w:val="Hyperlink"/>
          </w:rPr>
          <w:t xml:space="preserve">§ 2 </w:t>
        </w:r>
        <w:r>
          <w:rPr>
            <w:rStyle w:val="Hyperlink"/>
          </w:rPr>
          <w:t>Absatz</w:t>
        </w:r>
        <w:r w:rsidRPr="002D1F1D">
          <w:rPr>
            <w:rStyle w:val="Hyperlink"/>
          </w:rPr>
          <w:t xml:space="preserve"> 3</w:t>
        </w:r>
      </w:hyperlink>
      <w:r>
        <w:t xml:space="preserve"> werden mit Wirkung vom 01.11.2006 gemäß der nachfolgenden Tabelle in ein Entgelt gemäß Besoldungsordnung A übergeleitet und der entsprechenden Besoldungsgruppe der Besoldungsordnung A zugeordnet.</w:t>
      </w:r>
    </w:p>
    <w:p w:rsidR="00BE1EFE" w:rsidRPr="000B1AF8" w:rsidRDefault="00BE1EFE">
      <w:pPr>
        <w:pStyle w:val="StandardWeb"/>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1"/>
        <w:gridCol w:w="1410"/>
      </w:tblGrid>
      <w:tr w:rsidR="00BE1EFE">
        <w:trPr>
          <w:tblCellSpacing w:w="15" w:type="dxa"/>
        </w:trPr>
        <w:tc>
          <w:tcPr>
            <w:tcW w:w="0" w:type="auto"/>
            <w:vAlign w:val="center"/>
            <w:hideMark/>
          </w:tcPr>
          <w:p w:rsidR="00BE1EFE" w:rsidRDefault="00BE1EFE">
            <w:pPr>
              <w:rPr>
                <w:sz w:val="24"/>
              </w:rPr>
            </w:pPr>
            <w:r>
              <w:t>Vergütungsgrupppe</w:t>
            </w:r>
          </w:p>
        </w:tc>
        <w:tc>
          <w:tcPr>
            <w:tcW w:w="0" w:type="auto"/>
            <w:vAlign w:val="center"/>
            <w:hideMark/>
          </w:tcPr>
          <w:p w:rsidR="00BE1EFE" w:rsidRDefault="00BE1EFE">
            <w:pPr>
              <w:rPr>
                <w:sz w:val="24"/>
              </w:rPr>
            </w:pPr>
            <w:r>
              <w:t>Besoldungsgruppe</w:t>
            </w:r>
          </w:p>
        </w:tc>
      </w:tr>
      <w:tr w:rsidR="00BE1EFE">
        <w:trPr>
          <w:tblCellSpacing w:w="15" w:type="dxa"/>
        </w:trPr>
        <w:tc>
          <w:tcPr>
            <w:tcW w:w="0" w:type="auto"/>
            <w:vAlign w:val="center"/>
            <w:hideMark/>
          </w:tcPr>
          <w:p w:rsidR="00BE1EFE" w:rsidRDefault="00BE1EFE">
            <w:pPr>
              <w:rPr>
                <w:sz w:val="24"/>
              </w:rPr>
            </w:pPr>
            <w:r>
              <w:lastRenderedPageBreak/>
              <w:t>VI b</w:t>
            </w:r>
          </w:p>
        </w:tc>
        <w:tc>
          <w:tcPr>
            <w:tcW w:w="0" w:type="auto"/>
            <w:vAlign w:val="center"/>
            <w:hideMark/>
          </w:tcPr>
          <w:p w:rsidR="00BE1EFE" w:rsidRDefault="00BE1EFE">
            <w:pPr>
              <w:jc w:val="center"/>
              <w:rPr>
                <w:sz w:val="24"/>
              </w:rPr>
            </w:pPr>
            <w:r>
              <w:t>A 7</w:t>
            </w:r>
          </w:p>
        </w:tc>
      </w:tr>
      <w:tr w:rsidR="00BE1EFE">
        <w:trPr>
          <w:tblCellSpacing w:w="15" w:type="dxa"/>
        </w:trPr>
        <w:tc>
          <w:tcPr>
            <w:tcW w:w="0" w:type="auto"/>
            <w:vAlign w:val="center"/>
            <w:hideMark/>
          </w:tcPr>
          <w:p w:rsidR="00BE1EFE" w:rsidRDefault="00BE1EFE">
            <w:pPr>
              <w:rPr>
                <w:sz w:val="24"/>
              </w:rPr>
            </w:pPr>
            <w:r>
              <w:t>V c</w:t>
            </w:r>
          </w:p>
        </w:tc>
        <w:tc>
          <w:tcPr>
            <w:tcW w:w="0" w:type="auto"/>
            <w:vAlign w:val="center"/>
            <w:hideMark/>
          </w:tcPr>
          <w:p w:rsidR="00BE1EFE" w:rsidRDefault="00BE1EFE">
            <w:pPr>
              <w:jc w:val="center"/>
              <w:rPr>
                <w:sz w:val="24"/>
              </w:rPr>
            </w:pPr>
            <w:r>
              <w:t>A 8</w:t>
            </w:r>
          </w:p>
        </w:tc>
      </w:tr>
      <w:tr w:rsidR="00BE1EFE">
        <w:trPr>
          <w:tblCellSpacing w:w="15" w:type="dxa"/>
        </w:trPr>
        <w:tc>
          <w:tcPr>
            <w:tcW w:w="0" w:type="auto"/>
            <w:vAlign w:val="center"/>
            <w:hideMark/>
          </w:tcPr>
          <w:p w:rsidR="00BE1EFE" w:rsidRDefault="00BE1EFE">
            <w:pPr>
              <w:rPr>
                <w:sz w:val="24"/>
              </w:rPr>
            </w:pPr>
            <w:r>
              <w:t>V b</w:t>
            </w:r>
          </w:p>
        </w:tc>
        <w:tc>
          <w:tcPr>
            <w:tcW w:w="0" w:type="auto"/>
            <w:vAlign w:val="center"/>
            <w:hideMark/>
          </w:tcPr>
          <w:p w:rsidR="00BE1EFE" w:rsidRDefault="00BE1EFE">
            <w:pPr>
              <w:jc w:val="center"/>
              <w:rPr>
                <w:sz w:val="24"/>
              </w:rPr>
            </w:pPr>
            <w:r>
              <w:t>A 9</w:t>
            </w:r>
          </w:p>
        </w:tc>
      </w:tr>
      <w:tr w:rsidR="00BE1EFE">
        <w:trPr>
          <w:tblCellSpacing w:w="15" w:type="dxa"/>
        </w:trPr>
        <w:tc>
          <w:tcPr>
            <w:tcW w:w="0" w:type="auto"/>
            <w:vAlign w:val="center"/>
            <w:hideMark/>
          </w:tcPr>
          <w:p w:rsidR="00BE1EFE" w:rsidRDefault="00BE1EFE">
            <w:pPr>
              <w:rPr>
                <w:sz w:val="24"/>
              </w:rPr>
            </w:pPr>
            <w:r>
              <w:t>IV b</w:t>
            </w:r>
          </w:p>
        </w:tc>
        <w:tc>
          <w:tcPr>
            <w:tcW w:w="0" w:type="auto"/>
            <w:vAlign w:val="center"/>
            <w:hideMark/>
          </w:tcPr>
          <w:p w:rsidR="00BE1EFE" w:rsidRDefault="00BE1EFE">
            <w:pPr>
              <w:jc w:val="center"/>
              <w:rPr>
                <w:sz w:val="24"/>
              </w:rPr>
            </w:pPr>
            <w:r>
              <w:t>A 10</w:t>
            </w:r>
          </w:p>
        </w:tc>
      </w:tr>
      <w:tr w:rsidR="00BE1EFE">
        <w:trPr>
          <w:tblCellSpacing w:w="15" w:type="dxa"/>
        </w:trPr>
        <w:tc>
          <w:tcPr>
            <w:tcW w:w="0" w:type="auto"/>
            <w:vAlign w:val="center"/>
            <w:hideMark/>
          </w:tcPr>
          <w:p w:rsidR="00BE1EFE" w:rsidRDefault="00BE1EFE">
            <w:pPr>
              <w:rPr>
                <w:sz w:val="24"/>
              </w:rPr>
            </w:pPr>
            <w:r>
              <w:t>IV a</w:t>
            </w:r>
          </w:p>
        </w:tc>
        <w:tc>
          <w:tcPr>
            <w:tcW w:w="0" w:type="auto"/>
            <w:vAlign w:val="center"/>
            <w:hideMark/>
          </w:tcPr>
          <w:p w:rsidR="00BE1EFE" w:rsidRDefault="00BE1EFE">
            <w:pPr>
              <w:jc w:val="center"/>
              <w:rPr>
                <w:sz w:val="24"/>
              </w:rPr>
            </w:pPr>
            <w:r>
              <w:t>A 11</w:t>
            </w:r>
          </w:p>
        </w:tc>
      </w:tr>
      <w:tr w:rsidR="00BE1EFE">
        <w:trPr>
          <w:tblCellSpacing w:w="15" w:type="dxa"/>
        </w:trPr>
        <w:tc>
          <w:tcPr>
            <w:tcW w:w="0" w:type="auto"/>
            <w:vAlign w:val="center"/>
            <w:hideMark/>
          </w:tcPr>
          <w:p w:rsidR="00BE1EFE" w:rsidRDefault="00BE1EFE">
            <w:pPr>
              <w:rPr>
                <w:sz w:val="24"/>
              </w:rPr>
            </w:pPr>
            <w:r>
              <w:t>III</w:t>
            </w:r>
          </w:p>
        </w:tc>
        <w:tc>
          <w:tcPr>
            <w:tcW w:w="0" w:type="auto"/>
            <w:vAlign w:val="center"/>
            <w:hideMark/>
          </w:tcPr>
          <w:p w:rsidR="00BE1EFE" w:rsidRDefault="00BE1EFE">
            <w:pPr>
              <w:jc w:val="center"/>
              <w:rPr>
                <w:sz w:val="24"/>
              </w:rPr>
            </w:pPr>
            <w:r>
              <w:t>A 12</w:t>
            </w:r>
          </w:p>
        </w:tc>
      </w:tr>
      <w:tr w:rsidR="00BE1EFE">
        <w:trPr>
          <w:tblCellSpacing w:w="15" w:type="dxa"/>
        </w:trPr>
        <w:tc>
          <w:tcPr>
            <w:tcW w:w="0" w:type="auto"/>
            <w:vAlign w:val="center"/>
            <w:hideMark/>
          </w:tcPr>
          <w:p w:rsidR="00BE1EFE" w:rsidRDefault="00BE1EFE">
            <w:pPr>
              <w:rPr>
                <w:sz w:val="24"/>
              </w:rPr>
            </w:pPr>
            <w:r>
              <w:t>II b und II a</w:t>
            </w:r>
          </w:p>
        </w:tc>
        <w:tc>
          <w:tcPr>
            <w:tcW w:w="0" w:type="auto"/>
            <w:vAlign w:val="center"/>
            <w:hideMark/>
          </w:tcPr>
          <w:p w:rsidR="00BE1EFE" w:rsidRDefault="00BE1EFE">
            <w:pPr>
              <w:jc w:val="center"/>
              <w:rPr>
                <w:sz w:val="24"/>
              </w:rPr>
            </w:pPr>
            <w:r>
              <w:t>A 13</w:t>
            </w:r>
          </w:p>
        </w:tc>
      </w:tr>
      <w:tr w:rsidR="00BE1EFE">
        <w:trPr>
          <w:tblCellSpacing w:w="15" w:type="dxa"/>
        </w:trPr>
        <w:tc>
          <w:tcPr>
            <w:tcW w:w="0" w:type="auto"/>
            <w:vAlign w:val="center"/>
            <w:hideMark/>
          </w:tcPr>
          <w:p w:rsidR="00BE1EFE" w:rsidRDefault="00BE1EFE">
            <w:pPr>
              <w:rPr>
                <w:sz w:val="24"/>
              </w:rPr>
            </w:pPr>
            <w:r>
              <w:t>I b</w:t>
            </w:r>
          </w:p>
        </w:tc>
        <w:tc>
          <w:tcPr>
            <w:tcW w:w="0" w:type="auto"/>
            <w:vAlign w:val="center"/>
            <w:hideMark/>
          </w:tcPr>
          <w:p w:rsidR="00BE1EFE" w:rsidRDefault="00BE1EFE">
            <w:pPr>
              <w:jc w:val="center"/>
              <w:rPr>
                <w:sz w:val="24"/>
              </w:rPr>
            </w:pPr>
            <w:r>
              <w:t>A 14</w:t>
            </w:r>
          </w:p>
        </w:tc>
      </w:tr>
      <w:tr w:rsidR="00BE1EFE">
        <w:trPr>
          <w:tblCellSpacing w:w="15" w:type="dxa"/>
        </w:trPr>
        <w:tc>
          <w:tcPr>
            <w:tcW w:w="0" w:type="auto"/>
            <w:vAlign w:val="center"/>
            <w:hideMark/>
          </w:tcPr>
          <w:p w:rsidR="00BE1EFE" w:rsidRDefault="00BE1EFE">
            <w:pPr>
              <w:rPr>
                <w:sz w:val="24"/>
              </w:rPr>
            </w:pPr>
            <w:r>
              <w:t>I a</w:t>
            </w:r>
          </w:p>
        </w:tc>
        <w:tc>
          <w:tcPr>
            <w:tcW w:w="0" w:type="auto"/>
            <w:vAlign w:val="center"/>
            <w:hideMark/>
          </w:tcPr>
          <w:p w:rsidR="00BE1EFE" w:rsidRDefault="00BE1EFE">
            <w:pPr>
              <w:jc w:val="center"/>
              <w:rPr>
                <w:sz w:val="24"/>
              </w:rPr>
            </w:pPr>
            <w:r>
              <w:t>A 15</w:t>
            </w:r>
          </w:p>
        </w:tc>
      </w:tr>
      <w:tr w:rsidR="00BE1EFE">
        <w:trPr>
          <w:tblCellSpacing w:w="15" w:type="dxa"/>
        </w:trPr>
        <w:tc>
          <w:tcPr>
            <w:tcW w:w="0" w:type="auto"/>
            <w:vAlign w:val="center"/>
            <w:hideMark/>
          </w:tcPr>
          <w:p w:rsidR="00BE1EFE" w:rsidRDefault="00BE1EFE">
            <w:pPr>
              <w:rPr>
                <w:sz w:val="24"/>
              </w:rPr>
            </w:pPr>
            <w:r>
              <w:t>I</w:t>
            </w:r>
          </w:p>
        </w:tc>
        <w:tc>
          <w:tcPr>
            <w:tcW w:w="0" w:type="auto"/>
            <w:vAlign w:val="center"/>
            <w:hideMark/>
          </w:tcPr>
          <w:p w:rsidR="00BE1EFE" w:rsidRDefault="00BE1EFE">
            <w:pPr>
              <w:jc w:val="center"/>
              <w:rPr>
                <w:sz w:val="24"/>
              </w:rPr>
            </w:pPr>
            <w:r>
              <w:t>A 16</w:t>
            </w:r>
          </w:p>
        </w:tc>
      </w:tr>
    </w:tbl>
    <w:p w:rsidR="00BE1EFE" w:rsidRDefault="00BE1EFE">
      <w:pPr>
        <w:pStyle w:val="StandardWeb"/>
      </w:pPr>
    </w:p>
    <w:p w:rsidR="00BE1EFE" w:rsidRPr="000B1AF8" w:rsidRDefault="00BE1EFE">
      <w:pPr>
        <w:pStyle w:val="StandardWeb"/>
      </w:pPr>
      <w:r>
        <w:t>(2) </w:t>
      </w:r>
      <w:r>
        <w:rPr>
          <w:rStyle w:val="kleinschrift"/>
        </w:rPr>
        <w:t>1</w:t>
      </w:r>
      <w:r>
        <w:t xml:space="preserve">Der Schulträger setzt das Besoldungsdienstalter der Lehrkräfte gemäß den für Beamte des Katholischen Schulwerks in Bayern geltenden besoldungsrechtlichen Bestimmungen zum Zeitpunkt 31.10.2006 fest. </w:t>
      </w:r>
      <w:r>
        <w:rPr>
          <w:rStyle w:val="kleinschrift"/>
        </w:rPr>
        <w:t>2</w:t>
      </w:r>
      <w:r>
        <w:t>Die Lehrkräfte werden derjenigen Stufe ihrer Besoldungsgruppe zugeordnet, die sich durch die Berechnung ihres Dienstalters ergibt.</w:t>
      </w:r>
    </w:p>
    <w:p w:rsidR="00BE1EFE" w:rsidRPr="000B1AF8" w:rsidRDefault="00BE1EFE">
      <w:pPr>
        <w:pStyle w:val="StandardWeb"/>
      </w:pPr>
    </w:p>
    <w:p w:rsidR="00BE1EFE" w:rsidRDefault="00BE1EFE">
      <w:pPr>
        <w:pStyle w:val="StandardWeb"/>
        <w:rPr>
          <w:sz w:val="12"/>
          <w:szCs w:val="12"/>
        </w:rPr>
      </w:pPr>
      <w:r w:rsidRPr="009C6551">
        <w:rPr>
          <w:rStyle w:val="kleinschrift1"/>
        </w:rPr>
        <w:t>Niederschriftserklärung zu § 3:</w:t>
      </w:r>
    </w:p>
    <w:p w:rsidR="00BE1EFE" w:rsidRDefault="00BE1EFE">
      <w:pPr>
        <w:pStyle w:val="StandardWeb"/>
      </w:pPr>
      <w:r w:rsidRPr="009C6551">
        <w:rPr>
          <w:rStyle w:val="kleinschrift1"/>
        </w:rPr>
        <w:t xml:space="preserve">Die Lehrerkommission in der Bayerischen Regional-KODA ist sich einig, dass damit die Niederschriftserklärung zu </w:t>
      </w:r>
      <w:r w:rsidRPr="00DC2FE8">
        <w:rPr>
          <w:rStyle w:val="structdoc-small"/>
          <w:szCs w:val="12"/>
        </w:rPr>
        <w:t>Nr. 8 der Anlage 5 zu § 23 ABD Teil A, 3.</w:t>
      </w:r>
      <w:r w:rsidRPr="009C6551">
        <w:rPr>
          <w:rStyle w:val="kleinschrift1"/>
        </w:rPr>
        <w:t xml:space="preserve"> erledigt ist.</w:t>
      </w:r>
    </w:p>
    <w:p w:rsidR="00BE1EFE" w:rsidRDefault="00BE1EFE">
      <w:pPr>
        <w:pStyle w:val="berschrift6"/>
      </w:pPr>
      <w:bookmarkStart w:id="766" w:name="_Toc523926293"/>
      <w:r>
        <w:t>§ 4 Besitzstandsregelung</w:t>
      </w:r>
      <w:bookmarkEnd w:id="766"/>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Ist das aufgrund der Zuordnung nach </w:t>
      </w:r>
      <w:hyperlink r:id="rId1091" w:history="1">
        <w:r w:rsidRPr="002D1F1D">
          <w:rPr>
            <w:rStyle w:val="Hyperlink"/>
          </w:rPr>
          <w:t>§ 3</w:t>
        </w:r>
      </w:hyperlink>
      <w:r>
        <w:t xml:space="preserve"> entsprechend dem jeweiligen Beschäftigungs</w:t>
      </w:r>
      <w:r>
        <w:softHyphen/>
        <w:t xml:space="preserve">umfang zustehende Entgelt geringer als das nach </w:t>
      </w:r>
      <w:hyperlink r:id="rId1092" w:history="1">
        <w:r w:rsidRPr="002D1F1D">
          <w:rPr>
            <w:rStyle w:val="Hyperlink"/>
          </w:rPr>
          <w:t xml:space="preserve">§ 2 </w:t>
        </w:r>
        <w:r>
          <w:rPr>
            <w:rStyle w:val="Hyperlink"/>
          </w:rPr>
          <w:t>Absatz</w:t>
        </w:r>
        <w:r w:rsidRPr="002D1F1D">
          <w:rPr>
            <w:rStyle w:val="Hyperlink"/>
          </w:rPr>
          <w:t xml:space="preserve"> 3</w:t>
        </w:r>
      </w:hyperlink>
      <w:r>
        <w:t xml:space="preserve"> für den Monat Oktober 2006 ermittelte Entgelt (Bestandsschutzentgelt), erhält die Lehrkraft eine Aufzahlung in Höhe der Differenz des Bestandsschutzentgelts zu dem zustehenden Entgelt. </w:t>
      </w:r>
      <w:r>
        <w:rPr>
          <w:rStyle w:val="kleinschrift"/>
        </w:rPr>
        <w:t>2</w:t>
      </w:r>
      <w:r>
        <w:t xml:space="preserve">Erhöhungen des nach </w:t>
      </w:r>
      <w:hyperlink r:id="rId1093" w:history="1">
        <w:r>
          <w:rPr>
            <w:rStyle w:val="Hyperlink"/>
          </w:rPr>
          <w:t>§ </w:t>
        </w:r>
        <w:r w:rsidRPr="002D1F1D">
          <w:rPr>
            <w:rStyle w:val="Hyperlink"/>
          </w:rPr>
          <w:t>3</w:t>
        </w:r>
      </w:hyperlink>
      <w:r>
        <w:t xml:space="preserve"> zustehenden Entgelts werden auf die Aufzahlung voll angerechnet.</w:t>
      </w:r>
    </w:p>
    <w:p w:rsidR="00BE1EFE" w:rsidRDefault="00BE1EFE">
      <w:pPr>
        <w:pStyle w:val="StandardWeb"/>
        <w:rPr>
          <w:sz w:val="12"/>
          <w:szCs w:val="12"/>
        </w:rPr>
      </w:pPr>
      <w:r w:rsidRPr="009C6551">
        <w:rPr>
          <w:rStyle w:val="kleinschrift1"/>
        </w:rPr>
        <w:t>Protokollnotiz zu Absatz 1:</w:t>
      </w:r>
    </w:p>
    <w:p w:rsidR="00BE1EFE" w:rsidRPr="000B1AF8" w:rsidRDefault="00BE1EFE">
      <w:pPr>
        <w:pStyle w:val="StandardWeb"/>
      </w:pPr>
      <w:r w:rsidRPr="009C6551">
        <w:rPr>
          <w:rStyle w:val="kleinschrift1"/>
        </w:rPr>
        <w:t>Das Entgelt nach Satz 1 umfasst nicht die vom Arbeitgeber übernommenen Sozialversicherungsbeiträge der Lehrkräfte.</w:t>
      </w:r>
    </w:p>
    <w:p w:rsidR="00BE1EFE" w:rsidRPr="000B1AF8" w:rsidRDefault="00BE1EFE">
      <w:pPr>
        <w:pStyle w:val="StandardWeb"/>
      </w:pPr>
    </w:p>
    <w:p w:rsidR="00BE1EFE" w:rsidRDefault="00BE1EFE">
      <w:pPr>
        <w:pStyle w:val="StandardWeb"/>
      </w:pPr>
      <w:r>
        <w:t>(2) Verändert sich nach dem 31.10.2006 der Beschäftigungsumfang, ist die Differenz zwischen dem zeitanteilig angepassten zustehenden Entgelt und dem zeitanteilig angepassten Bestandsschutzentgelt neu zu berechnen.</w:t>
      </w:r>
    </w:p>
    <w:p w:rsidR="00BE1EFE" w:rsidRDefault="00BE1EFE">
      <w:pPr>
        <w:pStyle w:val="StandardWeb"/>
      </w:pPr>
    </w:p>
    <w:p w:rsidR="00BE1EFE" w:rsidRDefault="00BE1EFE">
      <w:pPr>
        <w:pStyle w:val="StandardWeb"/>
      </w:pPr>
      <w:r>
        <w:t>(3) Für Lehrkräfte, die nicht für alle Tage im Oktober 2006 oder für keinen Tag dieses Monats Entgelt erhalten, wird das Bestandsschutzentgelt so bestimmt, als hätten sie für alle Tage dieses Monats Entgelt erhalten.</w:t>
      </w:r>
    </w:p>
    <w:p w:rsidR="00BE1EFE" w:rsidRDefault="00BE1EFE">
      <w:pPr>
        <w:pStyle w:val="StandardWeb"/>
      </w:pPr>
    </w:p>
    <w:p w:rsidR="00BE1EFE" w:rsidRDefault="00BE1EFE">
      <w:pPr>
        <w:pStyle w:val="StandardWeb"/>
      </w:pPr>
      <w:r>
        <w:t xml:space="preserve">(4) Für Lehrkräfte gemäß ABD Teil B, </w:t>
      </w:r>
      <w:hyperlink r:id="rId1094" w:history="1">
        <w:r w:rsidRPr="002D1F1D">
          <w:rPr>
            <w:rStyle w:val="Hyperlink"/>
          </w:rPr>
          <w:t>4.1.2.,</w:t>
        </w:r>
      </w:hyperlink>
      <w:r>
        <w:t xml:space="preserve"> </w:t>
      </w:r>
      <w:hyperlink r:id="rId1095" w:history="1">
        <w:r>
          <w:rPr>
            <w:rStyle w:val="Hyperlink"/>
          </w:rPr>
          <w:t>4.1.3</w:t>
        </w:r>
      </w:hyperlink>
      <w:r>
        <w:t xml:space="preserve">., denen bislang die Arbeitnehmerbeiträge zur gesetzlichen Rentenversicherung nicht erstattet worden sind, übernimmt der Arbeitgeber nach der Überleitung gemäß </w:t>
      </w:r>
      <w:hyperlink r:id="rId1096" w:history="1">
        <w:r>
          <w:rPr>
            <w:rStyle w:val="Hyperlink"/>
          </w:rPr>
          <w:t>§ </w:t>
        </w:r>
        <w:r w:rsidRPr="002D1F1D">
          <w:rPr>
            <w:rStyle w:val="Hyperlink"/>
          </w:rPr>
          <w:t>3</w:t>
        </w:r>
      </w:hyperlink>
      <w:r>
        <w:t xml:space="preserve"> die Arbeitnehmerbeiträge zur gesetzlichen Rentenversicherung, soweit die Voraussetzungen der </w:t>
      </w:r>
      <w:hyperlink r:id="rId1097" w:history="1">
        <w:r w:rsidRPr="002D1F1D">
          <w:rPr>
            <w:rStyle w:val="Hyperlink"/>
          </w:rPr>
          <w:t xml:space="preserve">Nr. 6 </w:t>
        </w:r>
        <w:r>
          <w:rPr>
            <w:rStyle w:val="Hyperlink"/>
          </w:rPr>
          <w:t>Absatz</w:t>
        </w:r>
        <w:r w:rsidRPr="002D1F1D">
          <w:rPr>
            <w:rStyle w:val="Hyperlink"/>
          </w:rPr>
          <w:t xml:space="preserve"> 5 ABD Teil B, 4.1.</w:t>
        </w:r>
      </w:hyperlink>
      <w:r>
        <w:t xml:space="preserve">2., </w:t>
      </w:r>
      <w:hyperlink r:id="rId1098" w:history="1">
        <w:r w:rsidRPr="002D1F1D">
          <w:rPr>
            <w:rStyle w:val="Hyperlink"/>
          </w:rPr>
          <w:t>4.1.3.</w:t>
        </w:r>
      </w:hyperlink>
      <w:r>
        <w:t xml:space="preserve"> zum 31.10.2006 erfüllt waren.</w:t>
      </w:r>
    </w:p>
    <w:p w:rsidR="00BE1EFE" w:rsidRDefault="00BE1EFE">
      <w:pPr>
        <w:pStyle w:val="berschrift6"/>
      </w:pPr>
      <w:bookmarkStart w:id="767" w:name="_Toc523926294"/>
      <w:r>
        <w:t>§ 5 Beschäftigungszeit</w:t>
      </w:r>
      <w:bookmarkEnd w:id="7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Für die Dauer des über den 31. Oktober 2006 hinaus fortbestehenden Arbeitsverhältnisses werden die vor dem 1. November 2006 nach Maßgabe der einschlägigen Vorschriften anerkannten Beschäftigungszeiten als Beschäftigungszeit im Sinne des </w:t>
      </w:r>
      <w:hyperlink r:id="rId1099" w:history="1">
        <w:r w:rsidRPr="002D1F1D">
          <w:rPr>
            <w:rStyle w:val="Hyperlink"/>
          </w:rPr>
          <w:t xml:space="preserve">§ 34 </w:t>
        </w:r>
        <w:r>
          <w:rPr>
            <w:rStyle w:val="Hyperlink"/>
          </w:rPr>
          <w:t>Absatz</w:t>
        </w:r>
        <w:r w:rsidRPr="002D1F1D">
          <w:rPr>
            <w:rStyle w:val="Hyperlink"/>
          </w:rPr>
          <w:t xml:space="preserve"> 3 des ABD Teil A, 1.</w:t>
        </w:r>
      </w:hyperlink>
      <w:r>
        <w:t xml:space="preserve"> in der ab dem 01.10.2005 geltenden Fassung berücksichtigt.</w:t>
      </w:r>
    </w:p>
    <w:p w:rsidR="00BE1EFE" w:rsidRDefault="00BE1EFE">
      <w:pPr>
        <w:pStyle w:val="berschrift6"/>
      </w:pPr>
      <w:bookmarkStart w:id="768" w:name="_Toc523926295"/>
      <w:r>
        <w:lastRenderedPageBreak/>
        <w:t>§ 6 Lehrkräfte die nicht dem ABD unterliegen</w:t>
      </w:r>
      <w:bookmarkEnd w:id="76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Lehrkräfte, deren Arbeitsverhältnis nicht dem ABD unterliegt und über den 31.10.2006 fortbesteht, können bis zum 31.10.2007 durch schriftliche Erklärung verlangen, dass der Schulträger einen Änderungsvertrag auf der Grundlage des ABD schließt.</w:t>
      </w:r>
      <w:r>
        <w:rPr>
          <w:rStyle w:val="kleinschrift"/>
        </w:rPr>
        <w:t xml:space="preserve"> 2</w:t>
      </w:r>
      <w:r>
        <w:t xml:space="preserve">In diesem Fall wird ihr Entgelt rückwirkend ab 01.11.2006 nach der Besoldungsordnung A unter Berücksichtigung der Bestimmung des </w:t>
      </w:r>
      <w:r w:rsidRPr="00DC2FE8">
        <w:t xml:space="preserve">Absatzes 3 der jeweiligen </w:t>
      </w:r>
      <w:hyperlink r:id="rId1100" w:history="1">
        <w:r w:rsidRPr="00DC2FE8">
          <w:rPr>
            <w:rStyle w:val="Hyperlink"/>
          </w:rPr>
          <w:t>Nr. 5 ABD Teil B, 4.1.1</w:t>
        </w:r>
      </w:hyperlink>
      <w:r w:rsidRPr="00DC2FE8">
        <w:t>., </w:t>
      </w:r>
      <w:hyperlink r:id="rId1101" w:history="1">
        <w:r w:rsidRPr="00DC2FE8">
          <w:rPr>
            <w:rStyle w:val="Hyperlink"/>
          </w:rPr>
          <w:t>4.1.2.</w:t>
        </w:r>
      </w:hyperlink>
      <w:r w:rsidRPr="00DC2FE8">
        <w:t xml:space="preserve"> und </w:t>
      </w:r>
      <w:hyperlink r:id="rId1102" w:history="1">
        <w:r w:rsidRPr="00DC2FE8">
          <w:rPr>
            <w:rStyle w:val="Hyperlink"/>
          </w:rPr>
          <w:t>4.1.3.</w:t>
        </w:r>
      </w:hyperlink>
      <w:r>
        <w:t xml:space="preserve"> ermittelt, soweit nicht bereits am 31.10.2006 Entgelt gemäß Besoldungsordnung A bezogen wurde. </w:t>
      </w:r>
      <w:r>
        <w:rPr>
          <w:rStyle w:val="kleinschrift"/>
        </w:rPr>
        <w:t>3</w:t>
      </w:r>
      <w:hyperlink r:id="rId1103" w:history="1">
        <w:r w:rsidRPr="002D1F1D">
          <w:rPr>
            <w:rStyle w:val="Hyperlink"/>
          </w:rPr>
          <w:t>§§ 3</w:t>
        </w:r>
      </w:hyperlink>
      <w:r>
        <w:t xml:space="preserve"> und </w:t>
      </w:r>
      <w:hyperlink r:id="rId1104" w:history="1">
        <w:r w:rsidRPr="002D1F1D">
          <w:rPr>
            <w:rStyle w:val="Hyperlink"/>
          </w:rPr>
          <w:t>4</w:t>
        </w:r>
      </w:hyperlink>
      <w:r>
        <w:t xml:space="preserve"> sind entsprechend anzuwenden.</w:t>
      </w:r>
    </w:p>
    <w:p w:rsidR="00BE1EFE" w:rsidRPr="000B1AF8" w:rsidRDefault="00BE1EFE">
      <w:pPr>
        <w:pStyle w:val="StandardWeb"/>
      </w:pPr>
      <w:r>
        <w:br w:type="page"/>
      </w:r>
    </w:p>
    <w:p w:rsidR="00BE1EFE" w:rsidRPr="00A01195" w:rsidRDefault="00BE1EFE" w:rsidP="00E87479">
      <w:pPr>
        <w:pStyle w:val="berschrift5"/>
        <w:spacing w:before="0"/>
      </w:pPr>
      <w:bookmarkStart w:id="769" w:name="_Toc453677907"/>
      <w:bookmarkStart w:id="770" w:name="_Toc523926296"/>
      <w:r>
        <w:lastRenderedPageBreak/>
        <w:t>B, 4.3. Ordnung für Berufsbezeichnungen von arbeitsvertraglich beschäftigten Lehrkräften an Schulen in kirchlicher Trägerschaft</w:t>
      </w:r>
      <w:bookmarkEnd w:id="769"/>
      <w:bookmarkEnd w:id="770"/>
    </w:p>
    <w:p w:rsidR="00BE1EFE" w:rsidRPr="008647BB" w:rsidRDefault="00BE1EFE" w:rsidP="006805FF">
      <w:pPr>
        <w:pStyle w:val="berschrift6"/>
      </w:pPr>
      <w:bookmarkStart w:id="771" w:name="_Toc523926297"/>
      <w:r w:rsidRPr="008647BB">
        <w:t>§ 1 Berufsbezeichnungen</w:t>
      </w:r>
      <w:bookmarkEnd w:id="771"/>
    </w:p>
    <w:p w:rsidR="00BE1EFE" w:rsidRPr="00B76821" w:rsidRDefault="00BE1EFE" w:rsidP="00B76821">
      <w:pPr>
        <w:pStyle w:val="berschrift6"/>
        <w:keepNext w:val="0"/>
        <w:spacing w:before="0" w:after="0"/>
        <w:rPr>
          <w:sz w:val="2"/>
        </w:rPr>
      </w:pPr>
    </w:p>
    <w:p w:rsidR="00BE1EFE" w:rsidRDefault="00BE1EFE" w:rsidP="008647BB">
      <w:pPr>
        <w:pStyle w:val="StandardWeb"/>
      </w:pPr>
      <w:r>
        <w:t>(1) </w:t>
      </w:r>
      <w:r w:rsidRPr="008647BB">
        <w:rPr>
          <w:sz w:val="12"/>
          <w:szCs w:val="12"/>
        </w:rPr>
        <w:t>1</w:t>
      </w:r>
      <w:r>
        <w:t xml:space="preserve">Lehrkräften, die hauptberuflich an staatlich anerkannten oder nicht nur vorläufig genehmigten Ersatzschulen beschäftigt sind und die fachlichen und pädagogischen Voraussetzungen für die Übernahme in das Beamtenverhältnis erfüllen, räumt der Schulträger für die Dauer ihrer Tätigkeit an der Schule das Recht ein, die Berufsbezeichnung zu führen, die der Amtsbezeichnung von vergleichbaren verbeamteten Lehrkräften des Freistaates Bayern entspricht. </w:t>
      </w:r>
      <w:r w:rsidRPr="008647BB">
        <w:rPr>
          <w:sz w:val="12"/>
          <w:szCs w:val="12"/>
        </w:rPr>
        <w:t>2</w:t>
      </w:r>
      <w:r>
        <w:t>Lehrkräfte an Realschulen mit der Befähigung für das Lehramt an Gymnasien oder beruflichen Schulen führen die Berufsbezeichnungen entsprechend Lehrkräften an Realschulen.</w:t>
      </w:r>
    </w:p>
    <w:p w:rsidR="00BE1EFE" w:rsidRDefault="00BE1EFE" w:rsidP="008647BB">
      <w:pPr>
        <w:pStyle w:val="StandardWeb"/>
      </w:pPr>
    </w:p>
    <w:p w:rsidR="00BE1EFE" w:rsidRDefault="00BE1EFE" w:rsidP="008647BB">
      <w:pPr>
        <w:pStyle w:val="StandardWeb"/>
      </w:pPr>
      <w:r>
        <w:t>(2) Lehrkräfte, die keine der Amtsbezeichnung einer vergleichbaren verbeamteten Lehrkraft des Freistaates Bayern entsprechende Berufsbezeichnung erhalten können oder erhalten, führen die Berufsbezeichnung "Lehrerin/Lehrer", der die jeweilige Schulart voran- oder nachgestellt wird, z. B. "Gymnasiallehrerin/-lehrer" oder „Lehrerin/Lehrer am Gymnasium“.</w:t>
      </w:r>
    </w:p>
    <w:p w:rsidR="00BE1EFE" w:rsidRDefault="00BE1EFE" w:rsidP="008647BB">
      <w:pPr>
        <w:pStyle w:val="StandardWeb"/>
      </w:pPr>
    </w:p>
    <w:p w:rsidR="00BE1EFE" w:rsidRDefault="00BE1EFE" w:rsidP="008647BB">
      <w:pPr>
        <w:pStyle w:val="StandardWeb"/>
      </w:pPr>
      <w:r>
        <w:t>(3) Die Berufsbezeichnung ist mit dem Zusatz „im Kirchendienst“ („i. K.“) zu führen.</w:t>
      </w:r>
    </w:p>
    <w:p w:rsidR="00BE1EFE" w:rsidRDefault="00BE1EFE" w:rsidP="008647BB">
      <w:pPr>
        <w:pStyle w:val="StandardWeb"/>
      </w:pPr>
    </w:p>
    <w:p w:rsidR="00BE1EFE" w:rsidRDefault="00BE1EFE" w:rsidP="008647BB">
      <w:pPr>
        <w:pStyle w:val="StandardWeb"/>
      </w:pPr>
      <w:r>
        <w:t>(4) Lehrkräfte, denen Führungsaufgaben mit Weisungsbefugnis auf Zeit oder auf Dauer übertragen wurden, führen die Berufsbezeichnung mit dem Zusatz „mit Führungsaufgaben im Kirchendienst“ („mF i. K.“).</w:t>
      </w:r>
    </w:p>
    <w:p w:rsidR="00BE1EFE" w:rsidRDefault="00BE1EFE" w:rsidP="008647BB">
      <w:pPr>
        <w:pStyle w:val="StandardWeb"/>
      </w:pPr>
    </w:p>
    <w:p w:rsidR="00BE1EFE" w:rsidRDefault="00BE1EFE" w:rsidP="008647BB">
      <w:pPr>
        <w:pStyle w:val="StandardWeb"/>
      </w:pPr>
      <w:r>
        <w:t>(5) </w:t>
      </w:r>
      <w:r w:rsidRPr="008647BB">
        <w:rPr>
          <w:sz w:val="12"/>
          <w:szCs w:val="12"/>
        </w:rPr>
        <w:t>1</w:t>
      </w:r>
      <w:r>
        <w:t xml:space="preserve">Die Berufsbezeichnungen gelten für die Dauer der Tätigkeit an der Schule. </w:t>
      </w:r>
      <w:r w:rsidRPr="008647BB">
        <w:rPr>
          <w:sz w:val="12"/>
          <w:szCs w:val="12"/>
        </w:rPr>
        <w:t>2</w:t>
      </w:r>
      <w:r>
        <w:t xml:space="preserve">Bei einem Wechsel an eine Schule im Geltungsbereich dieser Ordnung kann das Recht, die bisherige Berufsbezeichnung weiter zu führen, nach Maßgabe des Arbeitsvertrags eingeräumt werden. </w:t>
      </w:r>
      <w:r w:rsidRPr="008647BB">
        <w:rPr>
          <w:sz w:val="12"/>
          <w:szCs w:val="12"/>
        </w:rPr>
        <w:t>3</w:t>
      </w:r>
      <w:r>
        <w:t>Entsprechendes gilt bei einem Wechsel aus einem Beamtenverhältnis.</w:t>
      </w:r>
    </w:p>
    <w:p w:rsidR="00BE1EFE" w:rsidRPr="00A01195" w:rsidRDefault="00BE1EFE" w:rsidP="00A01195">
      <w:pPr>
        <w:pStyle w:val="berschrift6"/>
        <w:rPr>
          <w:lang w:eastAsia="x-none"/>
        </w:rPr>
      </w:pPr>
      <w:bookmarkStart w:id="772" w:name="_Toc523926298"/>
      <w:r>
        <w:t>§ 2 Beurteilungsturnus nach Aufnahme der Tätigkeit</w:t>
      </w:r>
      <w:bookmarkEnd w:id="772"/>
    </w:p>
    <w:p w:rsidR="00BE1EFE" w:rsidRDefault="00BE1EFE" w:rsidP="008647BB">
      <w:pPr>
        <w:pStyle w:val="StandardWeb"/>
      </w:pPr>
      <w:r>
        <w:t>Lehrkräfte werden zum Ende des dritten Beschäftigungsjahres erstmals beurteilt (erste Beurteilung), ein zweites Mal zum Ende des sechsten Beschäftigungsjahres (zweite Beurteilung), danach im Turnus von fünf Jahren (weitere Beurteilungen).</w:t>
      </w:r>
    </w:p>
    <w:p w:rsidR="00BE1EFE" w:rsidRPr="00A01195" w:rsidRDefault="00BE1EFE" w:rsidP="00A01195">
      <w:pPr>
        <w:pStyle w:val="berschrift6"/>
        <w:rPr>
          <w:lang w:eastAsia="x-none"/>
        </w:rPr>
      </w:pPr>
      <w:bookmarkStart w:id="773" w:name="_Toc523926299"/>
      <w:r>
        <w:t>§ 3 Höhere Berufsbezeichnung</w:t>
      </w:r>
      <w:bookmarkEnd w:id="773"/>
    </w:p>
    <w:p w:rsidR="00BE1EFE" w:rsidRDefault="00BE1EFE" w:rsidP="008647BB">
      <w:pPr>
        <w:pStyle w:val="StandardWeb"/>
      </w:pPr>
      <w:r>
        <w:t>(1) </w:t>
      </w:r>
      <w:r w:rsidRPr="00ED479B">
        <w:rPr>
          <w:sz w:val="12"/>
          <w:szCs w:val="12"/>
        </w:rPr>
        <w:t>1</w:t>
      </w:r>
      <w:r>
        <w:t xml:space="preserve">Die Einräumung des Rechts zum Führen einer Berufsbezeichnung, die als Amtsbezeichnung bei verbeamteten Lehrkräften eine Beförderung voraussetzt (im Folgenden: höhere Berufsbezeichnung), hängt von einer Beurteilung ab, die nicht länger als fünf Jahre zurückliegen darf. </w:t>
      </w:r>
      <w:r w:rsidRPr="00ED479B">
        <w:rPr>
          <w:sz w:val="12"/>
          <w:szCs w:val="12"/>
        </w:rPr>
        <w:t>2</w:t>
      </w:r>
      <w:r>
        <w:t xml:space="preserve">Diese Beurteilung erfolgt nach </w:t>
      </w:r>
      <w:hyperlink r:id="rId1105" w:history="1">
        <w:r w:rsidRPr="00ED479B">
          <w:rPr>
            <w:rStyle w:val="Hyperlink"/>
          </w:rPr>
          <w:t>ABD Teil B, 4.1. Anlage D</w:t>
        </w:r>
      </w:hyperlink>
      <w:r>
        <w:t xml:space="preserve"> (Dienstliche Beurteilung und Leistungsfeststellung der Lehrkräfte, Schulleiterinnen und Schulleiter an katholischen Schulen).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Mindestwartezeit für eine höhere Berufsbezeichnung ist eine Beschäftigungszeit von drei Jahren. </w:t>
      </w:r>
      <w:r w:rsidRPr="00ED479B">
        <w:rPr>
          <w:sz w:val="12"/>
          <w:szCs w:val="12"/>
        </w:rPr>
        <w:t>2</w:t>
      </w:r>
      <w:r>
        <w:t>Die für die Erfüllung der Mindestwartezeit und sonstiger Wartezeiten erforderliche Beschäftigungszeit wird entsprechend der für eine Beförderung erforderlichen Dienstzeit bei Beamtinnen/Beamten des Katholischen Schulwerks in Bayern berechnet.</w:t>
      </w:r>
    </w:p>
    <w:p w:rsidR="00BE1EFE" w:rsidRDefault="00BE1EFE" w:rsidP="008647BB">
      <w:pPr>
        <w:pStyle w:val="StandardWeb"/>
      </w:pPr>
    </w:p>
    <w:p w:rsidR="00BE1EFE" w:rsidRDefault="00BE1EFE" w:rsidP="008647BB">
      <w:pPr>
        <w:pStyle w:val="StandardWeb"/>
      </w:pPr>
      <w:r>
        <w:lastRenderedPageBreak/>
        <w:t>(3) Das Recht, eine höhere Berufsbezeichnung zu führen, wird unverzüglich nach Erfüllung der Voraussetzungen und Erreichen der Wartezeit eingeräumt.</w:t>
      </w:r>
    </w:p>
    <w:p w:rsidR="00BE1EFE" w:rsidRDefault="00BE1EFE" w:rsidP="008647BB">
      <w:pPr>
        <w:pStyle w:val="StandardWeb"/>
      </w:pPr>
    </w:p>
    <w:p w:rsidR="00BE1EFE" w:rsidRDefault="00BE1EFE" w:rsidP="008647BB">
      <w:pPr>
        <w:pStyle w:val="StandardWeb"/>
      </w:pPr>
      <w:r>
        <w:t xml:space="preserve">(4) Lehrkräften, die in Altersteilzeit im Blockmodell beschäftigt sind, kann das Recht zum Führen einer höheren Berufsbezeichnung nur eingeräumt werden, wenn bei entsprechenden Beamtinnen/Beamten des Katholischen Schulwerks in Bayern eine Beförderung möglich ist. </w:t>
      </w:r>
    </w:p>
    <w:p w:rsidR="00BE1EFE" w:rsidRDefault="00BE1EFE" w:rsidP="008647BB">
      <w:pPr>
        <w:pStyle w:val="StandardWeb"/>
      </w:pPr>
    </w:p>
    <w:p w:rsidR="00BE1EFE" w:rsidRDefault="00BE1EFE" w:rsidP="008647BB">
      <w:pPr>
        <w:pStyle w:val="StandardWeb"/>
      </w:pPr>
      <w:r>
        <w:t xml:space="preserve">(5) Lehrkräften nach § 1 Absatz 2 kann das Recht zum Führen einer höheren Berufsbezeichnung nicht eingeräumt werden. </w:t>
      </w:r>
    </w:p>
    <w:p w:rsidR="00BE1EFE" w:rsidRPr="00A01195" w:rsidRDefault="00BE1EFE" w:rsidP="00A01195">
      <w:pPr>
        <w:pStyle w:val="berschrift6"/>
      </w:pPr>
      <w:bookmarkStart w:id="774" w:name="_Toc523926300"/>
      <w:r>
        <w:t>§ 4 Einräumung des Rechts zum Führen der Berufsbezeichnungen „Oberstudienrätin/Oberstudienrat“ und</w:t>
      </w:r>
      <w:r>
        <w:rPr>
          <w:lang w:eastAsia="x-none"/>
        </w:rPr>
        <w:t xml:space="preserve"> </w:t>
      </w:r>
      <w:r>
        <w:t>„Fachoberlehrerin/Fachoberlehrer“</w:t>
      </w:r>
      <w:bookmarkEnd w:id="774"/>
    </w:p>
    <w:p w:rsidR="00BE1EFE" w:rsidRDefault="00BE1EFE" w:rsidP="008647BB">
      <w:pPr>
        <w:pStyle w:val="StandardWeb"/>
      </w:pPr>
      <w:r>
        <w:t>(1) </w:t>
      </w:r>
      <w:r w:rsidRPr="00ED479B">
        <w:rPr>
          <w:sz w:val="12"/>
          <w:szCs w:val="12"/>
        </w:rPr>
        <w:t>1</w:t>
      </w:r>
      <w:r>
        <w:t xml:space="preserve">Die Wartezeit für die Berufsbezeichnungen „Oberstudienrätin/Oberstudienrat“ und „Fachoberlehrerin/Fachoberlehrer“ beträgt bei der Bewertungsstufe „Leistung, die in allen Belangen von herausragender Qualität ist – HQ“ drei Jahre, bei der Bewertungsstufe „Leistung, die die Anforderungen besonders gut erfüllt – BG“ sechs Jahre, bei der Bewertungsstufe „Leistung, die die Anforderungen übersteigt – UB“ neun Jahre und bei der Bewertungsstufe „Leistung, die den Anforderungen voll entspricht – VE“ vierzehn Jahre. </w:t>
      </w:r>
      <w:r w:rsidRPr="00ED479B">
        <w:rPr>
          <w:sz w:val="12"/>
          <w:szCs w:val="12"/>
        </w:rPr>
        <w:t>2</w:t>
      </w:r>
      <w:r>
        <w:t xml:space="preserve">Bei der Bewertungsstufe „Leistung, die den Anforderungen in hohem Maße gerecht wird – HM“ oder schlechter wird das Recht, eine höhere Berufsbezeichnung zu führen, nicht eingeräumt.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Maßgeblich für die Bestimmung der Wartezeit ist die letzte Beurteilung. </w:t>
      </w:r>
      <w:r w:rsidRPr="00ED479B">
        <w:rPr>
          <w:sz w:val="12"/>
          <w:szCs w:val="12"/>
        </w:rPr>
        <w:t>2</w:t>
      </w:r>
      <w:r>
        <w:t xml:space="preserve">Die Wartezeit beginnt mit der Aufnahme der Tätigkeit an der Schule bzw. an einer anderen Schule derselben Schulart bei demselben Schulträger. </w:t>
      </w:r>
      <w:r w:rsidRPr="00ED479B">
        <w:rPr>
          <w:sz w:val="12"/>
          <w:szCs w:val="12"/>
        </w:rPr>
        <w:t>3</w:t>
      </w:r>
      <w:r>
        <w:t>Wenn die Bewertungsstufe eine Wartezeit ergibt, die kürzer als die bereits verstrichene Beschäftigungszeit ist, wird das Recht, die höhere Berufsbezeichnung zu führen, unverzüglich eingeräumt.</w:t>
      </w:r>
    </w:p>
    <w:p w:rsidR="00BE1EFE" w:rsidRDefault="00BE1EFE" w:rsidP="008647BB">
      <w:pPr>
        <w:pStyle w:val="StandardWeb"/>
      </w:pPr>
    </w:p>
    <w:p w:rsidR="00BE1EFE" w:rsidRDefault="00BE1EFE" w:rsidP="008647BB">
      <w:pPr>
        <w:pStyle w:val="StandardWeb"/>
      </w:pPr>
      <w:r>
        <w:t>(3) </w:t>
      </w:r>
      <w:r w:rsidRPr="00ED479B">
        <w:rPr>
          <w:sz w:val="12"/>
          <w:szCs w:val="12"/>
        </w:rPr>
        <w:t>1</w:t>
      </w:r>
      <w:r>
        <w:t xml:space="preserve">Die an einer anderen Schulart desselben Schulträgers zurückgelegte Beschäftigungszeit wird voll angerechnet, wenn die Lehrkraft auch an dieser Schulart die fachlichen und pädagogischen Voraussetzungen für die Übernahme in das Beamtenverhältnis erfüllt hat. </w:t>
      </w:r>
      <w:r w:rsidRPr="00ED479B">
        <w:rPr>
          <w:sz w:val="12"/>
          <w:szCs w:val="12"/>
        </w:rPr>
        <w:t>2</w:t>
      </w:r>
      <w:r>
        <w:t>Die an einer Realschule desselben Schulträgers zurückgelegte Beschäftigungszeit von Lehr</w:t>
      </w:r>
      <w:r>
        <w:softHyphen/>
        <w:t xml:space="preserve">kräften mit der Befähigung für das Lehramt an Gymnasien wird zu drei Vierteln angerechnet. </w:t>
      </w:r>
    </w:p>
    <w:p w:rsidR="00BE1EFE" w:rsidRPr="00A01195" w:rsidRDefault="00BE1EFE" w:rsidP="00A01195">
      <w:pPr>
        <w:pStyle w:val="berschrift6"/>
      </w:pPr>
      <w:bookmarkStart w:id="775" w:name="_Toc523926301"/>
      <w:r>
        <w:t>§ 5 Einräumung des Rechts zum Führen der Berufsbezeichnung „Studiendirektorin/Studiendirektor“</w:t>
      </w:r>
      <w:bookmarkEnd w:id="775"/>
    </w:p>
    <w:p w:rsidR="00BE1EFE" w:rsidRDefault="00BE1EFE" w:rsidP="008647BB">
      <w:pPr>
        <w:pStyle w:val="StandardWeb"/>
      </w:pPr>
      <w:r>
        <w:t xml:space="preserve">(1) Lehrkräfte mit der Berufsbezeichnung „Oberstudienrätin/Oberstudienrat“ werden zum Ende des dritten, sechsten und neunten Jahres nach der Einräumung des Rechts zum Führen der Berufsbezeichnung „Oberstudienrätin/Oberstudienrat“, danach im Turnus von fünf Jahren beurteilt.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Das Recht zum Führen der Berufsbezeichnung „Studiendirektorin/Studiendirektor“ wird bei der Bewertungsstufe „Leistung, die die Anforderungen besonders gut erfüllt – BG“ in zwei Beurteilungen nach Absatz 1 eingeräumt. </w:t>
      </w:r>
      <w:r w:rsidRPr="00ED479B">
        <w:rPr>
          <w:sz w:val="12"/>
          <w:szCs w:val="12"/>
        </w:rPr>
        <w:t>2</w:t>
      </w:r>
      <w:r>
        <w:t xml:space="preserve">Das Recht zum Führen der Berufsbezeichnung „Studiendirektorin/Studiendirektor“ wird auch bei Übertragung einer nach den staatlichen Funktionenkatalogen beförderungswirksamen Funktion eingeräumt, wenn die Lehrkraft zum Zeitpunkt der Funktionsübertragung in drei aufeinanderfolgenden Beurteilungen nach Absatz 1 die Bewertungsstufe „Leistung, die die Anforderungen übersteigt – UB“ oder besser erreicht hat. </w:t>
      </w:r>
      <w:r w:rsidRPr="00ED479B">
        <w:rPr>
          <w:sz w:val="12"/>
          <w:szCs w:val="12"/>
        </w:rPr>
        <w:t>3</w:t>
      </w:r>
      <w:r>
        <w:t xml:space="preserve">Werden die nach Satz 2 erforderlichen drei aufeinanderfolgenden Beurteilungen mit der entsprechenden Bewertungsstufe erst nach Übertragung der Funktion erreicht, wird das Recht </w:t>
      </w:r>
      <w:r>
        <w:lastRenderedPageBreak/>
        <w:t>zum Führen der Berufsbezeichnung „Studiendirektorin/Studiendirektor“ nach der dritten Beurteilung eingeräumt.</w:t>
      </w:r>
    </w:p>
    <w:p w:rsidR="00BE1EFE" w:rsidRPr="00A01195" w:rsidRDefault="00BE1EFE" w:rsidP="00A01195">
      <w:pPr>
        <w:pStyle w:val="berschrift6"/>
      </w:pPr>
      <w:bookmarkStart w:id="776" w:name="_Toc523926302"/>
      <w:r>
        <w:t>§ 6 Einräumung des Rechts zum Führen von Berufsbezeichnungen bei der Wahrnehmung von Leitungsaufgaben und anderen herausgehobenen Aufgaben</w:t>
      </w:r>
      <w:bookmarkEnd w:id="776"/>
    </w:p>
    <w:p w:rsidR="00BE1EFE" w:rsidRDefault="00BE1EFE" w:rsidP="008647BB">
      <w:pPr>
        <w:pStyle w:val="StandardWeb"/>
      </w:pPr>
      <w:r>
        <w:t xml:space="preserve">(1) Lehrkräften, denen die Aufgabe der Schulleitung, der stellvertretenden Schulleitung oder einer Beratungsrektorin/eines Beratungsrektors übertragen worden ist, wird das Recht zur Führung der entsprechenden Berufsbezeichnung nach der Mindestwartezeit nach § 3 Absatz 2 eingeräumt. </w:t>
      </w:r>
    </w:p>
    <w:p w:rsidR="00BE1EFE" w:rsidRDefault="00BE1EFE" w:rsidP="008647BB">
      <w:pPr>
        <w:pStyle w:val="StandardWeb"/>
      </w:pPr>
    </w:p>
    <w:p w:rsidR="00BE1EFE" w:rsidRDefault="00BE1EFE" w:rsidP="008647BB">
      <w:pPr>
        <w:pStyle w:val="StandardWeb"/>
      </w:pPr>
      <w:r>
        <w:t>(2) </w:t>
      </w:r>
      <w:r w:rsidRPr="00ED479B">
        <w:rPr>
          <w:sz w:val="12"/>
          <w:szCs w:val="12"/>
        </w:rPr>
        <w:t>1</w:t>
      </w:r>
      <w:r>
        <w:t xml:space="preserve">Lehrkräften mit der Berufsbezeichnung „Studienrätin/Studienrat an der Realschule“, denen nach </w:t>
      </w:r>
      <w:hyperlink r:id="rId1106" w:history="1">
        <w:r w:rsidRPr="008647BB">
          <w:rPr>
            <w:rStyle w:val="Hyperlink"/>
          </w:rPr>
          <w:t>Nr. 5 a ABD Teil B, 4.1.1.</w:t>
        </w:r>
      </w:hyperlink>
      <w:r>
        <w:t xml:space="preserve"> Führungsaufgaben mit Weisungsbefugnis auf Dauer übertragen wurden, wird das Recht zum Führen der Berufsbezeichnung „Beratungsrektorin/ Beratungsrektor“ nach einer Wartezeit von drei Jahren, wenn in den beiden letzten Beurteilungen mindestens die Bewertungsstufe „Leistung, die die Anforderungen besonders gut erfüllt – BG“ erreicht wurde, oder nach einer Wartezeit von neun Jahren, wenn in allen Beurteilungen seit Übertragung der Führungsaufgaben auf Dauer mindestens die Bewertungsstufe „Leistung, die die Anforderungen übersteigt – UB“ erreicht wurde, einge</w:t>
      </w:r>
      <w:r>
        <w:softHyphen/>
        <w:t xml:space="preserve">räumt. </w:t>
      </w:r>
      <w:r w:rsidRPr="00ED479B">
        <w:rPr>
          <w:sz w:val="12"/>
          <w:szCs w:val="12"/>
        </w:rPr>
        <w:t>2</w:t>
      </w:r>
      <w:r>
        <w:t xml:space="preserve">Die Wartezeit beginnt mit der Übertragung der Führungsaufgaben auf Dauer. </w:t>
      </w:r>
      <w:r w:rsidRPr="00ED479B">
        <w:rPr>
          <w:sz w:val="12"/>
          <w:szCs w:val="12"/>
        </w:rPr>
        <w:t>3</w:t>
      </w:r>
      <w:r>
        <w:t>Wenn die Bewertungsstufe eine Wartezeit ergibt, die kürzer als die bereits verstrichene Zeit mit Führungsaufgaben auf Dauer ist, wird das Recht, die höhere Berufsbezeichnung zu führen, unverzüglich eingeräumt.</w:t>
      </w:r>
    </w:p>
    <w:p w:rsidR="00BE1EFE" w:rsidRDefault="00BE1EFE" w:rsidP="008647BB">
      <w:pPr>
        <w:pStyle w:val="StandardWeb"/>
      </w:pPr>
    </w:p>
    <w:p w:rsidR="00BE1EFE" w:rsidRDefault="00BE1EFE" w:rsidP="008647BB">
      <w:pPr>
        <w:pStyle w:val="StandardWeb"/>
      </w:pPr>
      <w:r>
        <w:t>(3) </w:t>
      </w:r>
      <w:r w:rsidRPr="00ED479B">
        <w:rPr>
          <w:sz w:val="12"/>
          <w:szCs w:val="12"/>
        </w:rPr>
        <w:t>1</w:t>
      </w:r>
      <w:r>
        <w:t xml:space="preserve">Die Berufsbezeichnung „Beratungsrektorin/Beratungsrektor“ als Systembetreuerin/ Systembetreuer setzt an Realschulen voraus, dass die Zahl der Schülerinnen und Schüler an der Schule bzw. an den Schulen bei insgesamt über 720 liegt. </w:t>
      </w:r>
      <w:r w:rsidRPr="00ED479B">
        <w:rPr>
          <w:sz w:val="12"/>
          <w:szCs w:val="12"/>
        </w:rPr>
        <w:t>2</w:t>
      </w:r>
      <w:r>
        <w:t xml:space="preserve">Lehrkräfte, denen das Recht zum Führen der Berufsbezeichnung „Beratungsrektorin/Beratungsrektor“ als Systembetreuerin /Systembetreuer bis zum 31.07.2012 aufgrund der Betreuung von mindestens 60 Computerarbeitsplätzen eingeräumt worden war, führen für die Dauer ihrer Tätigkeit als Systembetreuerin/Systembetreuer weiterhin diese Berufsbezeichnung. </w:t>
      </w:r>
      <w:r w:rsidRPr="00ED479B">
        <w:rPr>
          <w:sz w:val="12"/>
          <w:szCs w:val="12"/>
        </w:rPr>
        <w:t>3</w:t>
      </w:r>
      <w:r>
        <w:t>Die Berufsbezeich</w:t>
      </w:r>
      <w:r>
        <w:softHyphen/>
        <w:t xml:space="preserve">nung „Beratungsrektorin/Beratungsrektor“ als qualifizierte Beratungslehrerin/qualifizierter Beratungslehrer an Realschulen setzt voraus, dass die Lehrkraft die Erweiterungsprüfung als Beratungslehrkraft gemäß </w:t>
      </w:r>
      <w:hyperlink r:id="rId1107" w:history="1">
        <w:r w:rsidRPr="00ED479B">
          <w:rPr>
            <w:rStyle w:val="Hyperlink"/>
          </w:rPr>
          <w:t>§ 111 LPO I</w:t>
        </w:r>
      </w:hyperlink>
      <w:r>
        <w:t xml:space="preserve"> bestanden hat und dass sie die Tätigkeit als Beratungslehrkraft an einer Schule oder mehreren Schule mit insgesamt über 720 Schülerinnen und Schülern ausübt.</w:t>
      </w:r>
    </w:p>
    <w:p w:rsidR="00BE1EFE" w:rsidRPr="00A01195" w:rsidRDefault="00BE1EFE" w:rsidP="00A01195">
      <w:pPr>
        <w:pStyle w:val="berschrift6"/>
      </w:pPr>
      <w:bookmarkStart w:id="777" w:name="_Toc523926303"/>
      <w:r>
        <w:t>§ 7 Beurteilungsturnus von Lehrkräften mit der Berufsbezeichnung „Studiendirektorin/Studiendirektor“ und „Beratungsrektorin/Beratungsrektor“</w:t>
      </w:r>
      <w:bookmarkEnd w:id="777"/>
    </w:p>
    <w:p w:rsidR="00BE1EFE" w:rsidRDefault="00BE1EFE" w:rsidP="008647BB">
      <w:pPr>
        <w:pStyle w:val="StandardWeb"/>
      </w:pPr>
      <w:r>
        <w:t>Lehrkräfte mit der Berufsbezeichnung „Studiendirektorin/Studiendirektor“ oder „Beratungs</w:t>
      </w:r>
      <w:r>
        <w:softHyphen/>
        <w:t>rektorin/Beratungsrektor“ werden im Turnus von fünf Jahren ab der Einräumung des Rechts zum Führen dieser Berufsbezeichnungen beurteilt.</w:t>
      </w:r>
    </w:p>
    <w:p w:rsidR="00BE1EFE" w:rsidRPr="00A01195" w:rsidRDefault="00BE1EFE" w:rsidP="00A01195">
      <w:pPr>
        <w:pStyle w:val="berschrift6"/>
        <w:rPr>
          <w:lang w:eastAsia="x-none"/>
        </w:rPr>
      </w:pPr>
      <w:bookmarkStart w:id="778" w:name="_Toc523926304"/>
      <w:r>
        <w:t>§ 8 Beurteilungsturnus von Schulleiterinnen und Schulleitern</w:t>
      </w:r>
      <w:bookmarkEnd w:id="778"/>
    </w:p>
    <w:p w:rsidR="00BE1EFE" w:rsidRDefault="00BE1EFE" w:rsidP="008647BB">
      <w:pPr>
        <w:pStyle w:val="StandardWeb"/>
      </w:pPr>
      <w:r>
        <w:t>Schulleiterinnen und Schulleiter werden alle vier Jahre, beginnend mit dem Jahr 2014, beurteilt; liegt eine Beurteilung aus den Jahren 2012 oder 2013 vor, erfolgt die nächste Beurteilung im Jahr 2018.</w:t>
      </w:r>
    </w:p>
    <w:p w:rsidR="00BE1EFE" w:rsidRPr="00A01195" w:rsidRDefault="00BE1EFE" w:rsidP="00A01195">
      <w:pPr>
        <w:pStyle w:val="berschrift6"/>
      </w:pPr>
      <w:bookmarkStart w:id="779" w:name="_Toc523926305"/>
      <w:r>
        <w:lastRenderedPageBreak/>
        <w:t>§ 9 Beurteilungsturnus von Lehrkräften, die die fachlichen und/oder pädagogischen Voraussetzungen für die Übernahme in ein Beamtenverhältnis nicht erfüllen</w:t>
      </w:r>
      <w:bookmarkEnd w:id="779"/>
    </w:p>
    <w:p w:rsidR="00BE1EFE" w:rsidRDefault="00BE1EFE" w:rsidP="008647BB">
      <w:pPr>
        <w:pStyle w:val="StandardWeb"/>
      </w:pPr>
      <w:r w:rsidRPr="00ED479B">
        <w:rPr>
          <w:sz w:val="12"/>
          <w:szCs w:val="12"/>
        </w:rPr>
        <w:t>1</w:t>
      </w:r>
      <w:r>
        <w:t xml:space="preserve">Für die Beurteilung von Lehrkräften, die die fachlichen und/oder pädagogischen Voraussetzungen für die Übernahme in ein Beamtenverhältnis nicht erfüllen, gilt § 2. </w:t>
      </w:r>
      <w:r w:rsidRPr="00ED479B">
        <w:rPr>
          <w:sz w:val="12"/>
          <w:szCs w:val="12"/>
        </w:rPr>
        <w:t>2</w:t>
      </w:r>
      <w:r>
        <w:t xml:space="preserve">Ab der Höhergruppierung werden sie im Turnus von fünf Jahren beurteilt. </w:t>
      </w:r>
      <w:r w:rsidRPr="00ED479B">
        <w:rPr>
          <w:sz w:val="12"/>
          <w:szCs w:val="12"/>
        </w:rPr>
        <w:t>3</w:t>
      </w:r>
      <w:r>
        <w:t>Bei Lehrkräften, die vor dem 01.01.2018 höhergruppiert wurden, bleibt es bei dem sich aus § 12 Absatz 1 i. V. m. § 2 ergebenden Beurteilungsturnus.</w:t>
      </w:r>
    </w:p>
    <w:p w:rsidR="00BE1EFE" w:rsidRPr="00A01195" w:rsidRDefault="00BE1EFE" w:rsidP="00A01195">
      <w:pPr>
        <w:pStyle w:val="berschrift6"/>
      </w:pPr>
      <w:bookmarkStart w:id="780" w:name="_Toc523926306"/>
      <w:r>
        <w:t>§ 10 Entzug des Rechts zum Führen der Berufsbezeichnung</w:t>
      </w:r>
      <w:bookmarkEnd w:id="780"/>
    </w:p>
    <w:p w:rsidR="00BE1EFE" w:rsidRDefault="00BE1EFE" w:rsidP="008647BB">
      <w:pPr>
        <w:pStyle w:val="StandardWeb"/>
      </w:pPr>
      <w:r w:rsidRPr="00ED479B">
        <w:rPr>
          <w:sz w:val="12"/>
          <w:szCs w:val="12"/>
        </w:rPr>
        <w:t>1</w:t>
      </w:r>
      <w:r>
        <w:t xml:space="preserve">Lehrkräften, die bei der Beurteilung die Bewertungsstufe „Leistung, die Mängel aufweist – MA“ oder eine schlechtere erhalten, kann vom Schulträger das Recht zum Führen der Berufsbezeichnung entzogen werden. </w:t>
      </w:r>
      <w:r w:rsidRPr="00ED479B">
        <w:rPr>
          <w:sz w:val="12"/>
          <w:szCs w:val="12"/>
        </w:rPr>
        <w:t>2</w:t>
      </w:r>
      <w:r>
        <w:t xml:space="preserve">Diesen Lehrkräften wird das Recht eingeräumt, die Berufsbezeichnung nach § 1 Absatz 2 zu führen. </w:t>
      </w:r>
      <w:r w:rsidRPr="00ED479B">
        <w:rPr>
          <w:sz w:val="12"/>
          <w:szCs w:val="12"/>
        </w:rPr>
        <w:t>3</w:t>
      </w:r>
      <w:r>
        <w:t xml:space="preserve">Lehrkräften mit der Berufsbezeichnung „Fachoberlehrerin/Fachoberlehrer“, „Oberstudienrätin/Oberstudienrat“, „Studiendirektorin/ Studiendirektor“ oder „Beratungsrektorin/Beratungsrektor“, deren Bewertungsstufe um zwei oder mehr Bewertungsstufen gegenüber der letzten Beurteilung absinkt, kann das Recht, diese Berufsbezeichnung zu führen, entzogen werden. </w:t>
      </w:r>
      <w:r w:rsidRPr="00ED479B">
        <w:rPr>
          <w:sz w:val="12"/>
          <w:szCs w:val="12"/>
        </w:rPr>
        <w:t>4</w:t>
      </w:r>
      <w:r>
        <w:t>Diesen Lehrkräften wird das Recht eingeräumt, die entsprechend niederere Berufsbezeichnung zu führen.</w:t>
      </w:r>
    </w:p>
    <w:p w:rsidR="00BE1EFE" w:rsidRPr="00A01195" w:rsidRDefault="00BE1EFE" w:rsidP="00A01195">
      <w:pPr>
        <w:pStyle w:val="berschrift6"/>
      </w:pPr>
      <w:bookmarkStart w:id="781" w:name="_Toc523926307"/>
      <w:r>
        <w:t>§ 11 Widerruf des Rechts zum Führen einer Berufsbezeichnung</w:t>
      </w:r>
      <w:bookmarkEnd w:id="781"/>
    </w:p>
    <w:p w:rsidR="00BE1EFE" w:rsidRDefault="00BE1EFE" w:rsidP="008647BB">
      <w:pPr>
        <w:pStyle w:val="StandardWeb"/>
      </w:pPr>
      <w:r w:rsidRPr="00ED479B">
        <w:rPr>
          <w:sz w:val="12"/>
          <w:szCs w:val="12"/>
        </w:rPr>
        <w:t>1</w:t>
      </w:r>
      <w:r>
        <w:t xml:space="preserve">Das Recht zum Führen einer Berufsbezeichnung kann aus wichtigem Grund widerrufen werden. </w:t>
      </w:r>
      <w:r w:rsidRPr="00ED479B">
        <w:rPr>
          <w:sz w:val="12"/>
          <w:szCs w:val="12"/>
        </w:rPr>
        <w:t>2</w:t>
      </w:r>
      <w:r>
        <w:t xml:space="preserve">Der Widerruf muss erfolgen, wenn die Lehrkraft rechtskräftig zu einer Freiheitsstrafe von mindestens einem Jahr verurteilt wird. </w:t>
      </w:r>
      <w:r w:rsidRPr="00ED479B">
        <w:rPr>
          <w:sz w:val="12"/>
          <w:szCs w:val="12"/>
        </w:rPr>
        <w:t>3</w:t>
      </w:r>
      <w:r>
        <w:t>§ 10 bleibt unberührt.</w:t>
      </w:r>
    </w:p>
    <w:p w:rsidR="00BE1EFE" w:rsidRPr="00A01195" w:rsidRDefault="00BE1EFE" w:rsidP="00A01195">
      <w:pPr>
        <w:pStyle w:val="berschrift6"/>
        <w:rPr>
          <w:lang w:eastAsia="x-none"/>
        </w:rPr>
      </w:pPr>
      <w:bookmarkStart w:id="782" w:name="_Toc523926308"/>
      <w:r>
        <w:t>§ 12 Übergangsregelungen</w:t>
      </w:r>
      <w:bookmarkEnd w:id="782"/>
    </w:p>
    <w:p w:rsidR="00BE1EFE" w:rsidRDefault="00BE1EFE" w:rsidP="008647BB">
      <w:pPr>
        <w:pStyle w:val="StandardWeb"/>
      </w:pPr>
      <w:r>
        <w:t>(1) </w:t>
      </w:r>
      <w:r w:rsidRPr="00ED479B">
        <w:rPr>
          <w:sz w:val="12"/>
          <w:szCs w:val="12"/>
        </w:rPr>
        <w:t>1</w:t>
      </w:r>
      <w:r>
        <w:t xml:space="preserve">Bei Lehrkräften, die keine der Amtsbezeichnung einer vergleichbaren Lehrkraft des Freistaates Bayern entsprechende Berufsbezeichnung erhalten können oder erhalten und die im Jahr 2014 beurteilt wurden, gilt diese Beurteilung als erste, zweite oder weitere Beurteilung im Sinne von § 2. </w:t>
      </w:r>
      <w:r w:rsidRPr="00A76166">
        <w:rPr>
          <w:sz w:val="12"/>
          <w:szCs w:val="12"/>
        </w:rPr>
        <w:t>2</w:t>
      </w:r>
      <w:r>
        <w:t>Wurden sie nach Nr. 16 Satz 3 und 4 der bis zum 31.12.2017 geltenden Fassung dieser Ordnung zum 31.12.2015 beurteilt, gilt diese Beurteilung als erste, zweite oder weitere Beurteilung im Sinne von § 2.</w:t>
      </w:r>
    </w:p>
    <w:p w:rsidR="00BE1EFE" w:rsidRDefault="00BE1EFE" w:rsidP="008647BB">
      <w:pPr>
        <w:pStyle w:val="StandardWeb"/>
      </w:pPr>
      <w:r>
        <w:t>(2) </w:t>
      </w:r>
      <w:r w:rsidRPr="00A76166">
        <w:rPr>
          <w:sz w:val="12"/>
          <w:szCs w:val="12"/>
        </w:rPr>
        <w:t>1</w:t>
      </w:r>
      <w:r>
        <w:t xml:space="preserve">Liegt bei Lehrkräften, die am 01.01.2018 die Berufsbezeichnung „Oberstudien-rätin/Oberstudienrat“ führen, lediglich eine erste oder zweite Beurteilung nach Nr. 7 der bis zum 31.12.2017 geltenden Fassung dieser Ordnung vor, erfolgt die nächste Beurteilung zum Ende des dritten Jahres nach der ersten bzw. zweiten Beurteilung. </w:t>
      </w:r>
      <w:r w:rsidRPr="00A76166">
        <w:rPr>
          <w:sz w:val="12"/>
          <w:szCs w:val="12"/>
        </w:rPr>
        <w:t>2</w:t>
      </w:r>
      <w:r>
        <w:t xml:space="preserve">Sie gilt als zweite bzw. dritte Beurteilung im Sinne von § 5. </w:t>
      </w:r>
      <w:r w:rsidRPr="00A76166">
        <w:rPr>
          <w:sz w:val="12"/>
          <w:szCs w:val="12"/>
        </w:rPr>
        <w:t>3</w:t>
      </w:r>
      <w:r>
        <w:t xml:space="preserve">Liegt eine zweite Beurteilung nach Nr. 7 der bis zum 31.12.2017 geltenden Fassung dieser Ordnung aus den Jahren 2013, 2014 oder 2015 vor, erfolgt die dritte Beurteilung spätestens zum 31.12.2018. </w:t>
      </w:r>
    </w:p>
    <w:p w:rsidR="00BE1EFE" w:rsidRDefault="00BE1EFE" w:rsidP="008647BB">
      <w:pPr>
        <w:pStyle w:val="StandardWeb"/>
      </w:pPr>
      <w:r>
        <w:t>(3) Bei Lehrkräften, die am 01.01.2018 die Berufsbezeichnung „Studiendirektorin/ Studiendirektor“ oder „Beratungsrektorin/Beratungsrektor“ führen, erfolgt die nächste Beurtei</w:t>
      </w:r>
      <w:r>
        <w:softHyphen/>
        <w:t>lung fünf Jahre nach der letzten Beurteilung, danach im Turnus von fünf Jahren.</w:t>
      </w:r>
    </w:p>
    <w:p w:rsidR="00BE1EFE" w:rsidRDefault="00BE1EFE" w:rsidP="008647BB">
      <w:pPr>
        <w:pStyle w:val="StandardWeb"/>
      </w:pPr>
      <w:r>
        <w:t>(4) </w:t>
      </w:r>
      <w:r w:rsidRPr="00A76166">
        <w:rPr>
          <w:sz w:val="12"/>
          <w:szCs w:val="12"/>
        </w:rPr>
        <w:t>1</w:t>
      </w:r>
      <w:r>
        <w:t xml:space="preserve">Lehrkräften mit der Berufsbezeichnung „Oberstudienrätin/Oberstudienrat“ oder Lehrkräften mit der Berufsbezeichnung „Studienrätin/Studienrat an der Realschule“, denen nach </w:t>
      </w:r>
      <w:hyperlink r:id="rId1108" w:history="1">
        <w:r w:rsidRPr="00A76166">
          <w:rPr>
            <w:rStyle w:val="Hyperlink"/>
          </w:rPr>
          <w:t>Nr. 5 a ABD Teil B, 4.1.1.</w:t>
        </w:r>
      </w:hyperlink>
      <w:r>
        <w:t xml:space="preserve"> Führungsaufgaben mit Weisungsbefugnis auf Dauer übertragen werden, und die sich am 01.01.2018 in der dreijährigen Wartezeit nach Nr. 8 Satz 4 oder Satz 6 oder nach Nr. 8a in Verbindung mit Nr. 8 Satz 4 oder Satz 6 der bis zum </w:t>
      </w:r>
      <w:r>
        <w:lastRenderedPageBreak/>
        <w:t xml:space="preserve">31.12.2017 geltenden Fassung dieser Ordnung befinden, wird das Recht zum Führen der höheren Berufsbezeichnung nach den bis zum 31.12.2017 geltenden Regelungen eingeräumt. </w:t>
      </w:r>
      <w:r w:rsidRPr="00A76166">
        <w:rPr>
          <w:sz w:val="12"/>
          <w:szCs w:val="12"/>
        </w:rPr>
        <w:t>2</w:t>
      </w:r>
      <w:r>
        <w:t xml:space="preserve">Mit der Bewertungsstufe „Leistung, die den Anforderungen voll entspricht – VE“ oder schlechter kann die höhere Berufsbezeichnung nicht erreicht werden. </w:t>
      </w:r>
      <w:r w:rsidRPr="00A76166">
        <w:rPr>
          <w:sz w:val="12"/>
          <w:szCs w:val="12"/>
        </w:rPr>
        <w:t>3</w:t>
      </w:r>
      <w:r>
        <w:t>Die Protokollnotiz zu der bis zum 31.12.2017 geltenden Fassung dieser Ordnung findet keine Anwendung.</w:t>
      </w:r>
    </w:p>
    <w:p w:rsidR="00BE1EFE" w:rsidRDefault="00BE1EFE" w:rsidP="00970228">
      <w:pPr>
        <w:pStyle w:val="StandardWeb"/>
      </w:pPr>
    </w:p>
    <w:p w:rsidR="00BE1EFE" w:rsidRDefault="00BE1EFE">
      <w:pPr>
        <w:pStyle w:val="StandardWeb"/>
      </w:pPr>
      <w:r>
        <w:br w:type="page"/>
      </w:r>
    </w:p>
    <w:p w:rsidR="00BE1EFE" w:rsidRDefault="00BE1EFE" w:rsidP="00CF00B3">
      <w:pPr>
        <w:pStyle w:val="berschrift4"/>
        <w:spacing w:before="0"/>
      </w:pPr>
      <w:bookmarkStart w:id="783" w:name="_Toc523926309"/>
      <w:r>
        <w:lastRenderedPageBreak/>
        <w:t>B, 5. Regelung für die Kraftfahrer und Kraftfahrerinnen</w:t>
      </w:r>
      <w:bookmarkEnd w:id="783"/>
    </w:p>
    <w:p w:rsidR="00BE1EFE" w:rsidRDefault="00BE1EFE">
      <w:pPr>
        <w:pStyle w:val="berschrift5"/>
      </w:pPr>
      <w:bookmarkStart w:id="784" w:name="_Toc523926310"/>
      <w:r>
        <w:t>§ 1 Geltungsbereich</w:t>
      </w:r>
      <w:bookmarkEnd w:id="784"/>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gilt für die unter das ABD fallenden als Kraftfahrer/Kraftfahrerin von Personen- und Lastkraftwagen sowie von Omnibussen beschäftigten Arbeitnehmer mit Ausnahme der Kraftfahrer/Kraftfahrerinnen, die nicht oder nur gelegentlich über die regelmäßige Arbeitszeit (§ 6 Absatz 1 Teil A, 1.) hinaus beschäftigt werden.</w:t>
      </w:r>
    </w:p>
    <w:p w:rsidR="00BE1EFE" w:rsidRPr="000B1AF8"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1Ein Kraftfahrer/eine Kraftfahrerin ist dann nicht nur gelegentlich über die regelmäßige Arbeitszeit hinaus beschäftigt, wenn er/sie im vorangegangenen Kalenderhalbjahr in einem Kalendermonat mindestens 15 Überstunden geleistet hat. 2Er/Sie bleibt in der Pauschalgruppe, wenn er/sie im Durchschnitt des laufenden Kalenderhalbjahres die für die jeweilige Pauschalgruppe mindestens erforderliche monatliche Arbeitszeit erfüllt. 3Ist der Kraftfahrer/die Kraftfahrerin im vorangegangenen Kalenderhalbjahr infolge Erkrankung oder Unfalls mindestens 3 Monate arbeitsunfähig gewesen, sind auch die Überstunden zu berücksichtigen, die er/sie ohne Arbeitsunfähigkeit geleistet hätte.</w:t>
      </w:r>
    </w:p>
    <w:p w:rsidR="00BE1EFE" w:rsidRDefault="00BE1EFE">
      <w:pPr>
        <w:pStyle w:val="berschrift5"/>
      </w:pPr>
      <w:bookmarkStart w:id="785" w:name="_Toc523926311"/>
      <w:r>
        <w:t>§ 2 Arbeitszeit, höchstzulässige Arbeitszeit</w:t>
      </w:r>
      <w:bookmarkEnd w:id="78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Arbeitszeit umfasst reinen Dienst am Steuer, Vor- und Abschlussarbeiten, Wartezeiten, Wagenpflege, Wartungsarbeiten und sonstige Arbeit. </w:t>
      </w:r>
      <w:r>
        <w:rPr>
          <w:rStyle w:val="kleinschrift"/>
        </w:rPr>
        <w:t>2</w:t>
      </w:r>
      <w:r>
        <w:t>Die höchstzulässige Arbeitszeit richtet sich grundsätzlich nach den Vorschriften des Arbeitszeitgesetzes (</w:t>
      </w:r>
      <w:hyperlink r:id="rId1109" w:tgtFrame="_blank" w:history="1">
        <w:r>
          <w:rPr>
            <w:rStyle w:val="Hyperlink"/>
          </w:rPr>
          <w:t>ArbZG</w:t>
        </w:r>
      </w:hyperlink>
      <w:r>
        <w:t>).</w:t>
      </w:r>
    </w:p>
    <w:p w:rsidR="00BE1EFE" w:rsidRPr="000B1AF8" w:rsidRDefault="00BE1EFE">
      <w:pPr>
        <w:pStyle w:val="StandardWeb"/>
      </w:pPr>
    </w:p>
    <w:p w:rsidR="00BE1EFE" w:rsidRDefault="00BE1EFE">
      <w:pPr>
        <w:pStyle w:val="StandardWeb"/>
      </w:pPr>
      <w:r>
        <w:t>(2) </w:t>
      </w:r>
      <w:r>
        <w:rPr>
          <w:rStyle w:val="kleinschrift"/>
        </w:rPr>
        <w:t>1</w:t>
      </w:r>
      <w:r>
        <w:t>Wenn der Kraftfahrer/die Kraftfahrerin schriftlich einwilligt und geeignete Maßnahmen zur Gewährleistung des Gesundheitsschutzes getroffen sind, wie insbesondere das Recht des Kraftfahrers/der Kraftfahrerin zu einer jährlichen, für den Beschäftigten kostenfreien arbeits</w:t>
      </w:r>
      <w:r>
        <w:softHyphen/>
        <w:t xml:space="preserve">medizinischen Untersuchung bei einem vom Arbeitgeber bestimmten Arzt (unbeschadet der Pflichten aus anderen Rechtsvorschriften) und/oder die Gewährung eines Freizeitausgleichs möglichst durch ganze Tage oder durch zusammenhängende arbeitsfreie Tage zur Regenerationsförderung, kann die höchstzulässige Arbeitszeit im Hinblick auf die in ihr enthaltenen Wartezeiten auf bis zu 15 Stunden täglich ohne Ausgleich verlängert werden </w:t>
      </w:r>
      <w:hyperlink r:id="rId1110" w:tgtFrame="_blank" w:history="1">
        <w:r>
          <w:rPr>
            <w:rStyle w:val="Hyperlink"/>
          </w:rPr>
          <w:t>(§ 7 Absatz 2a ArbZG</w:t>
        </w:r>
      </w:hyperlink>
      <w:r>
        <w:t xml:space="preserve">); sie darf 268 Stunden im Kalendermonat ohne Ausgleich nicht übersteigen. </w:t>
      </w:r>
      <w:r>
        <w:rPr>
          <w:rStyle w:val="kleinschrift"/>
        </w:rPr>
        <w:t>2</w:t>
      </w:r>
      <w:r>
        <w:t xml:space="preserve">Gemäß </w:t>
      </w:r>
      <w:hyperlink r:id="rId1111" w:history="1">
        <w:r w:rsidRPr="002D1F1D">
          <w:rPr>
            <w:rStyle w:val="Hyperlink"/>
          </w:rPr>
          <w:t>§ 7 Absatz 1 Nr. 3</w:t>
        </w:r>
      </w:hyperlink>
      <w:r>
        <w:t xml:space="preserve"> in Verbindung mit </w:t>
      </w:r>
      <w:hyperlink r:id="rId1112" w:tgtFrame="_blank" w:history="1">
        <w:r>
          <w:rPr>
            <w:rStyle w:val="Hyperlink"/>
          </w:rPr>
          <w:t xml:space="preserve">Absatz 2a ArbZG </w:t>
        </w:r>
      </w:hyperlink>
      <w:r>
        <w:t xml:space="preserve">wird zugleich die Ruhezeit auf bis zu 9 Stunden verkürzt, wenn die ordnungsgemäße Durchführung des betreffenden Fahrdienstes dies erfordert. </w:t>
      </w:r>
      <w:r>
        <w:rPr>
          <w:rStyle w:val="kleinschrift"/>
        </w:rPr>
        <w:t>3</w:t>
      </w:r>
      <w:r>
        <w:t>Die Kürzung der Ruhezeit ist grundsätzlich bis zum Ende der folgenden Woche auszugleichen.</w:t>
      </w:r>
    </w:p>
    <w:p w:rsidR="00BE1EFE" w:rsidRDefault="00BE1EFE">
      <w:pPr>
        <w:pStyle w:val="StandardWeb"/>
      </w:pPr>
    </w:p>
    <w:p w:rsidR="00BE1EFE" w:rsidRDefault="00BE1EFE">
      <w:pPr>
        <w:pStyle w:val="StandardWeb"/>
      </w:pPr>
      <w:r>
        <w:t>(3) </w:t>
      </w:r>
      <w:r>
        <w:rPr>
          <w:rStyle w:val="kleinschrift"/>
        </w:rPr>
        <w:t>1</w:t>
      </w:r>
      <w:r>
        <w:t xml:space="preserve">Muss die höchstzulässige monatliche Arbeitszeit nach Absatz 2 Satz 1 aus zwingenden dienstlichen oder betrieblichen Gründen ausnahmsweise überschritten werden, so sind die über 268 Stunden hinausgehenden Stunden im Laufe des kommenden oder des darauf folgenden Monats durch Erteilung entsprechender Freizeit auszugleichen, ferner ist der Zeitzuschlag für Überstunden nach </w:t>
      </w:r>
      <w:hyperlink r:id="rId1113" w:history="1">
        <w:r w:rsidRPr="002D1F1D">
          <w:rPr>
            <w:rStyle w:val="Hyperlink"/>
          </w:rPr>
          <w:t>§ 8 Absatz 1 Buchst. a Teil A, 1.</w:t>
        </w:r>
      </w:hyperlink>
      <w:r>
        <w:t xml:space="preserve"> zu zahlen. </w:t>
      </w:r>
      <w:r>
        <w:rPr>
          <w:rStyle w:val="kleinschrift"/>
        </w:rPr>
        <w:t>2</w:t>
      </w:r>
      <w:r>
        <w:t>Die Zahlung einer geldlichen Entschädigung anstelle der Erteilung entsprechender Freizeit ist aus Gründen des Gesundheitsschutzes (Absatz 2 Satz 1) unzulässig.</w:t>
      </w:r>
    </w:p>
    <w:p w:rsidR="00BE1EFE" w:rsidRDefault="00BE1EFE">
      <w:pPr>
        <w:pStyle w:val="StandardWeb"/>
      </w:pPr>
    </w:p>
    <w:p w:rsidR="00BE1EFE" w:rsidRDefault="00BE1EFE">
      <w:pPr>
        <w:pStyle w:val="StandardWeb"/>
      </w:pPr>
      <w:r>
        <w:t xml:space="preserve">(4) Bei der Prüfung, ob die höchstzulässige monatliche Arbeitszeit nach Absatz 2 Satz 1 erreicht ist, sind Ausfallzeiten sowie Zeiten eines Freizeitausgleichs nach </w:t>
      </w:r>
      <w:hyperlink r:id="rId1114" w:history="1">
        <w:r w:rsidRPr="002D1F1D">
          <w:rPr>
            <w:rStyle w:val="Hyperlink"/>
          </w:rPr>
          <w:t>§ 3 Absatz 3</w:t>
        </w:r>
      </w:hyperlink>
      <w:r>
        <w:t xml:space="preserve"> einzurechnen; für einen Ausfalltag sind höchstens 10 Stunden anzusetzen.</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pPr>
      <w:r w:rsidRPr="009C6551">
        <w:rPr>
          <w:rStyle w:val="kleinschrift1"/>
        </w:rPr>
        <w:t xml:space="preserve">1Die regelmäßige Arbeitszeit des Fahrers/der Fahrerin nach </w:t>
      </w:r>
      <w:hyperlink r:id="rId1115" w:history="1">
        <w:r w:rsidRPr="002D1F1D">
          <w:rPr>
            <w:rStyle w:val="Hyperlink"/>
            <w:sz w:val="12"/>
          </w:rPr>
          <w:t>§ 6 Absatz. 1 Teil A, 1.</w:t>
        </w:r>
      </w:hyperlink>
      <w:r w:rsidRPr="009C6551">
        <w:rPr>
          <w:rStyle w:val="kleinschrift1"/>
        </w:rPr>
        <w:t xml:space="preserve"> bleibt unberührt. 2Soweit die höchstzulässige Arbeitszeit nach Absatz 2 Satz 1 zweiter Halbsatz nicht überschritten wird, ist </w:t>
      </w:r>
      <w:hyperlink r:id="rId1116" w:history="1">
        <w:r w:rsidRPr="002D1F1D">
          <w:rPr>
            <w:rStyle w:val="Hyperlink"/>
            <w:sz w:val="12"/>
          </w:rPr>
          <w:t>§ 6 Absatz 2 Teil A, 1.</w:t>
        </w:r>
      </w:hyperlink>
      <w:r w:rsidRPr="009C6551">
        <w:rPr>
          <w:rStyle w:val="kleinschrift1"/>
        </w:rPr>
        <w:t xml:space="preserve"> mit der </w:t>
      </w:r>
      <w:r w:rsidRPr="009C6551">
        <w:rPr>
          <w:rStyle w:val="kleinschrift1"/>
        </w:rPr>
        <w:lastRenderedPageBreak/>
        <w:t>Maßgabe anwendbar, dass bei der Berechnung auf das jeweilige Kalenderhalbjahr abzustellen ist. 3</w:t>
      </w:r>
      <w:hyperlink r:id="rId1117" w:history="1">
        <w:r w:rsidRPr="002D1F1D">
          <w:rPr>
            <w:rStyle w:val="Hyperlink"/>
            <w:sz w:val="12"/>
            <w:szCs w:val="12"/>
          </w:rPr>
          <w:t>§ 9 ABD Teil A, 1.</w:t>
        </w:r>
      </w:hyperlink>
      <w:r w:rsidRPr="009C6551">
        <w:rPr>
          <w:rStyle w:val="kleinschrift1"/>
        </w:rPr>
        <w:t xml:space="preserve"> bleibt unberührt.</w:t>
      </w:r>
    </w:p>
    <w:p w:rsidR="00BE1EFE" w:rsidRDefault="00BE1EFE">
      <w:pPr>
        <w:pStyle w:val="berschrift5"/>
      </w:pPr>
      <w:bookmarkStart w:id="786" w:name="_Toc523926312"/>
      <w:r>
        <w:t>§ 3 Monatsarbeitszeit</w:t>
      </w:r>
      <w:bookmarkEnd w:id="786"/>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Die in einem Kalendermonat im Rahmen von </w:t>
      </w:r>
      <w:hyperlink r:id="rId1118" w:history="1">
        <w:r w:rsidRPr="002D1F1D">
          <w:rPr>
            <w:rStyle w:val="Hyperlink"/>
          </w:rPr>
          <w:t>§ 2</w:t>
        </w:r>
      </w:hyperlink>
      <w:r>
        <w:t xml:space="preserve"> geleistete Arbeitszeit ist die Monats</w:t>
      </w:r>
      <w:r>
        <w:softHyphen/>
        <w:t>arbeitszeit.</w:t>
      </w:r>
    </w:p>
    <w:p w:rsidR="00BE1EFE" w:rsidRPr="000B1AF8" w:rsidRDefault="00BE1EFE">
      <w:pPr>
        <w:pStyle w:val="StandardWeb"/>
      </w:pPr>
    </w:p>
    <w:p w:rsidR="00BE1EFE" w:rsidRDefault="00BE1EFE">
      <w:pPr>
        <w:pStyle w:val="StandardWeb"/>
      </w:pPr>
      <w:r>
        <w:t>(2) </w:t>
      </w:r>
      <w:r>
        <w:rPr>
          <w:rStyle w:val="kleinschrift"/>
        </w:rPr>
        <w:t>1</w:t>
      </w:r>
      <w:r>
        <w:t>Für die Ermittlung der Monatsarbeitszeit gilt als tägliche Arbeitszeit die Zeit vom Arbeits</w:t>
      </w:r>
      <w:r>
        <w:softHyphen/>
        <w:t xml:space="preserve">beginn bis zur Beendigung der Arbeit, gekürzt um die dienstplanmäßigen Pausen. </w:t>
      </w:r>
      <w:r>
        <w:rPr>
          <w:rStyle w:val="kleinschrift"/>
        </w:rPr>
        <w:t>2</w:t>
      </w:r>
      <w:r>
        <w:t>Bei ununterbrochener dienstlicher Abwesenheit des Fahrers/der Fahrerin von der Dienststelle zwischen 12 und 14 Uhr oder bei einer Dienstreise zwischen 6 und 12 Stunden findet keine Kürzung statt, bei einer eintägigen Dienstreise über 12 Stunden wird einheitlich eine Kürzung von 30 Minuten vorgenommen.</w:t>
      </w:r>
    </w:p>
    <w:p w:rsidR="00BE1EFE" w:rsidRDefault="00BE1EFE">
      <w:pPr>
        <w:pStyle w:val="StandardWeb"/>
      </w:pPr>
    </w:p>
    <w:p w:rsidR="00BE1EFE" w:rsidRDefault="00BE1EFE">
      <w:pPr>
        <w:pStyle w:val="StandardWeb"/>
      </w:pPr>
      <w:r>
        <w:t>(3) Im Falle einer/eines</w:t>
      </w:r>
    </w:p>
    <w:p w:rsidR="00BE1EFE" w:rsidRDefault="00BE1EFE">
      <w:pPr>
        <w:pStyle w:val="StandardWeb"/>
      </w:pPr>
      <w:r>
        <w:t>– Beurlaubung (</w:t>
      </w:r>
      <w:hyperlink r:id="rId1119" w:history="1">
        <w:r w:rsidRPr="002D1F1D">
          <w:rPr>
            <w:rStyle w:val="Hyperlink"/>
          </w:rPr>
          <w:t>§§ 26, 27 Teil A, 1.</w:t>
        </w:r>
      </w:hyperlink>
      <w:r>
        <w:t>),</w:t>
      </w:r>
    </w:p>
    <w:p w:rsidR="00BE1EFE" w:rsidRDefault="00BE1EFE">
      <w:pPr>
        <w:pStyle w:val="StandardWeb"/>
      </w:pPr>
      <w:r>
        <w:t>– Arbeitsunfähigkeit infolge Erkrankung oder Unfalls,</w:t>
      </w:r>
    </w:p>
    <w:p w:rsidR="00BE1EFE" w:rsidRDefault="00BE1EFE">
      <w:pPr>
        <w:pStyle w:val="StandardWeb"/>
      </w:pPr>
      <w:r>
        <w:t>– Freistellung von der Arbeit unter Entgeltfortzahlung (</w:t>
      </w:r>
      <w:hyperlink r:id="rId1120" w:history="1">
        <w:r w:rsidRPr="002D1F1D">
          <w:rPr>
            <w:rStyle w:val="Hyperlink"/>
          </w:rPr>
          <w:t>§ 29 Teil A, 1.</w:t>
        </w:r>
      </w:hyperlink>
      <w:r>
        <w:t>),</w:t>
      </w:r>
    </w:p>
    <w:p w:rsidR="00BE1EFE" w:rsidRDefault="00BE1EFE">
      <w:pPr>
        <w:pStyle w:val="StandardWeb"/>
      </w:pPr>
      <w:r>
        <w:t>– Qualifizierung in überwiegend dienstlichem oder betrieblichen Interesse unter Zahlung des Entgelts,</w:t>
      </w:r>
    </w:p>
    <w:p w:rsidR="00BE1EFE" w:rsidRDefault="00BE1EFE">
      <w:pPr>
        <w:pStyle w:val="StandardWeb"/>
      </w:pPr>
      <w:r>
        <w:t xml:space="preserve">– Freizeitausgleichs nach </w:t>
      </w:r>
      <w:hyperlink r:id="rId1121" w:history="1">
        <w:r w:rsidRPr="002D1F1D">
          <w:rPr>
            <w:rStyle w:val="Hyperlink"/>
          </w:rPr>
          <w:t>§ 2 Absatz 3 Satz 1</w:t>
        </w:r>
      </w:hyperlink>
      <w:r>
        <w:t>,</w:t>
      </w:r>
    </w:p>
    <w:p w:rsidR="00BE1EFE" w:rsidRDefault="00BE1EFE">
      <w:pPr>
        <w:pStyle w:val="StandardWeb"/>
      </w:pPr>
      <w:r>
        <w:t>– ganz oder teilweisen Ausfalls wegen der Tätigkeit als Mitglied einer Mitarbeitervertretung oder in einer paritätisch besetzten Kommission im Sinne des Art. 7 Grundordnung,</w:t>
      </w:r>
    </w:p>
    <w:p w:rsidR="00BE1EFE" w:rsidRDefault="00BE1EFE">
      <w:pPr>
        <w:pStyle w:val="StandardWeb"/>
      </w:pPr>
      <w:r>
        <w:t>– ganz oder teilweisen Ausfalls infolge eines Wochenfeiertages,</w:t>
      </w:r>
    </w:p>
    <w:p w:rsidR="00BE1EFE" w:rsidRDefault="00BE1EFE">
      <w:pPr>
        <w:pStyle w:val="StandardWeb"/>
      </w:pPr>
      <w:r>
        <w:t>sind für jeden Arbeitstag folgende Stunden pauschal anzusetzen:</w:t>
      </w:r>
    </w:p>
    <w:p w:rsidR="00BE1EFE" w:rsidRDefault="00BE1EFE">
      <w:pPr>
        <w:pStyle w:val="StandardWeb"/>
      </w:pPr>
      <w:r>
        <w:t>a) bei ständiger Verteilung der regelmäßigen wöchentlichen Arbeitszeit auf 5 Werktage oder wechselnd auf 5 Werktage in je drei Wochen je Kalendermonat und im Übrigen auf 6 Werktage für:</w:t>
      </w:r>
    </w:p>
    <w:p w:rsidR="00BE1EFE" w:rsidRDefault="00BE1EFE">
      <w:pPr>
        <w:pStyle w:val="StandardWeb"/>
      </w:pPr>
      <w:r>
        <w:t>Fahrer/Fahrerinnen der Pauschalgruppen I 8,65 Stunden,</w:t>
      </w:r>
    </w:p>
    <w:p w:rsidR="00BE1EFE" w:rsidRDefault="00BE1EFE">
      <w:pPr>
        <w:pStyle w:val="StandardWeb"/>
      </w:pPr>
      <w:r>
        <w:t>Fahrer/Fahrerinnen der Pauschalgruppen II 9,65 Stunden,</w:t>
      </w:r>
    </w:p>
    <w:p w:rsidR="00BE1EFE" w:rsidRDefault="00BE1EFE">
      <w:pPr>
        <w:pStyle w:val="StandardWeb"/>
      </w:pPr>
      <w:r>
        <w:t>Fahrer/Fahrerinnen der Pauschalgruppen III 10,65 Stunden,</w:t>
      </w:r>
    </w:p>
    <w:p w:rsidR="00BE1EFE" w:rsidRDefault="00BE1EFE">
      <w:pPr>
        <w:pStyle w:val="StandardWeb"/>
      </w:pPr>
      <w:r>
        <w:t>Fahrer/Fahrerinnen der Pauschalgruppen IV 11,65 Stunden,</w:t>
      </w:r>
    </w:p>
    <w:p w:rsidR="00BE1EFE" w:rsidRDefault="00BE1EFE">
      <w:pPr>
        <w:pStyle w:val="StandardWeb"/>
      </w:pPr>
      <w:r>
        <w:t>Chefkraftfahrer/Chefkraftfahrerinnen 11,65 Stunden,</w:t>
      </w:r>
    </w:p>
    <w:p w:rsidR="00BE1EFE" w:rsidRDefault="00BE1EFE">
      <w:pPr>
        <w:pStyle w:val="StandardWeb"/>
      </w:pPr>
      <w:r>
        <w:t>b) bei ständiger Verteilung der regelmäßigen wöchentlichen Arbeitszeit auf 6 Werktage oder ständig wechselnd auf 6 bzw. 5 Werktage für:</w:t>
      </w:r>
    </w:p>
    <w:p w:rsidR="00BE1EFE" w:rsidRDefault="00BE1EFE">
      <w:pPr>
        <w:pStyle w:val="StandardWeb"/>
      </w:pPr>
      <w:r>
        <w:t>Fahrer/Fahrerinnen der Pauschalgruppen I 7,65 Stunden,</w:t>
      </w:r>
    </w:p>
    <w:p w:rsidR="00BE1EFE" w:rsidRDefault="00BE1EFE">
      <w:pPr>
        <w:pStyle w:val="StandardWeb"/>
      </w:pPr>
      <w:r>
        <w:t>Fahrer/Fahrerinnen der Pauschalgruppen II 8,65 Stunden,</w:t>
      </w:r>
    </w:p>
    <w:p w:rsidR="00BE1EFE" w:rsidRDefault="00BE1EFE">
      <w:pPr>
        <w:pStyle w:val="StandardWeb"/>
      </w:pPr>
      <w:r>
        <w:t>Fahrer/Fahrerinnen der Pauschalgruppen III 9,65 Stunden,</w:t>
      </w:r>
    </w:p>
    <w:p w:rsidR="00BE1EFE" w:rsidRDefault="00BE1EFE">
      <w:pPr>
        <w:pStyle w:val="StandardWeb"/>
      </w:pPr>
      <w:r>
        <w:t>Fahrer/Fahrerinnen der Pauschalgruppen IV 10,65 Stunden,</w:t>
      </w:r>
    </w:p>
    <w:p w:rsidR="00BE1EFE" w:rsidRDefault="00BE1EFE">
      <w:pPr>
        <w:pStyle w:val="StandardWeb"/>
      </w:pPr>
      <w:r>
        <w:t>Chefkraftfahrer/Chefkraftfahrerinnen 10,65 Stunden.</w:t>
      </w:r>
    </w:p>
    <w:p w:rsidR="00BE1EFE" w:rsidRDefault="00BE1EFE">
      <w:pPr>
        <w:pStyle w:val="StandardWeb"/>
      </w:pPr>
    </w:p>
    <w:p w:rsidR="00BE1EFE" w:rsidRDefault="00BE1EFE">
      <w:pPr>
        <w:pStyle w:val="StandardWeb"/>
      </w:pPr>
      <w:r>
        <w:t>(4) </w:t>
      </w:r>
      <w:r>
        <w:rPr>
          <w:rStyle w:val="kleinschrift"/>
        </w:rPr>
        <w:t>1</w:t>
      </w:r>
      <w:r>
        <w:t xml:space="preserve">Jeder Tag einer mehrtägigen Dienstreise ist mit 12 Stunden anzusetzen. </w:t>
      </w:r>
      <w:r>
        <w:rPr>
          <w:rStyle w:val="kleinschrift"/>
        </w:rPr>
        <w:t>2</w:t>
      </w:r>
      <w:r>
        <w:t>Für die Berech</w:t>
      </w:r>
      <w:r>
        <w:softHyphen/>
        <w:t>nung der Zeitzuschläge nach § 4 Absatz 4 ist bei mehrtägigen Dienstreisen wie folgt zu verfahren:</w:t>
      </w:r>
    </w:p>
    <w:p w:rsidR="00BE1EFE" w:rsidRDefault="00BE1EFE">
      <w:pPr>
        <w:pStyle w:val="StandardWeb"/>
      </w:pPr>
      <w:r>
        <w:rPr>
          <w:rStyle w:val="kleinschrift"/>
        </w:rPr>
        <w:t>3</w:t>
      </w:r>
      <w:r>
        <w:t>Beginnt die mehrtägige Dienstreise nach 12.00 Uhr, ist für diesen Tag die Zeit von 12.00 bis 24.00 Uhr, endet die mehrtägige Dienstreise vor 12.00 Uhr, ist für diesen Tag die Zeit von 0.00 bis 12.00 Uhr, für alle übrigen Tage die Zeit von 8.00 bis 20.00 Uhr anzusetzen.</w:t>
      </w:r>
    </w:p>
    <w:p w:rsidR="00BE1EFE" w:rsidRDefault="00BE1EFE">
      <w:pPr>
        <w:pStyle w:val="StandardWeb"/>
      </w:pPr>
    </w:p>
    <w:p w:rsidR="00BE1EFE" w:rsidRDefault="00BE1EFE">
      <w:pPr>
        <w:pStyle w:val="StandardWeb"/>
      </w:pPr>
      <w:r>
        <w:t>(5) Bei Arbeitsbefreiung (</w:t>
      </w:r>
      <w:hyperlink r:id="rId1122" w:history="1">
        <w:r w:rsidRPr="002D1F1D">
          <w:rPr>
            <w:rStyle w:val="Hyperlink"/>
          </w:rPr>
          <w:t>§ 29 Teil A, 1.</w:t>
        </w:r>
      </w:hyperlink>
      <w:r>
        <w:t>) oder Beurlaubung (</w:t>
      </w:r>
      <w:hyperlink r:id="rId1123" w:history="1">
        <w:r w:rsidRPr="002D1F1D">
          <w:rPr>
            <w:rStyle w:val="Hyperlink"/>
          </w:rPr>
          <w:t>§ 28 Teil A, 1.</w:t>
        </w:r>
      </w:hyperlink>
      <w:r>
        <w:t>) ohne Entgelt</w:t>
      </w:r>
      <w:r>
        <w:softHyphen/>
        <w:t>fortzahlung werden die Stunden angesetzt, die der Fahrer/die Fahrerin ohne diese Ausfallsgründe innerhalb der regelmäßigen Arbeitszeit (</w:t>
      </w:r>
      <w:hyperlink r:id="rId1124" w:history="1">
        <w:r w:rsidRPr="002D1F1D">
          <w:rPr>
            <w:rStyle w:val="Hyperlink"/>
          </w:rPr>
          <w:t>§ 6 Absatz 1 Teil A, 1.</w:t>
        </w:r>
      </w:hyperlink>
      <w:r>
        <w:t>) geleistet hätte.</w:t>
      </w:r>
    </w:p>
    <w:p w:rsidR="00BE1EFE" w:rsidRDefault="00BE1EFE">
      <w:pPr>
        <w:pStyle w:val="StandardWeb"/>
      </w:pPr>
    </w:p>
    <w:p w:rsidR="00BE1EFE" w:rsidRDefault="00BE1EFE">
      <w:pPr>
        <w:pStyle w:val="StandardWeb"/>
        <w:rPr>
          <w:sz w:val="12"/>
          <w:szCs w:val="12"/>
        </w:rPr>
      </w:pPr>
      <w:r w:rsidRPr="009C6551">
        <w:rPr>
          <w:rStyle w:val="kleinschrift1"/>
        </w:rPr>
        <w:t>Anmerkung zu den Absätzen 3 und 4:</w:t>
      </w:r>
    </w:p>
    <w:p w:rsidR="00BE1EFE" w:rsidRDefault="00BE1EFE">
      <w:pPr>
        <w:pStyle w:val="StandardWeb"/>
        <w:rPr>
          <w:sz w:val="12"/>
          <w:szCs w:val="12"/>
        </w:rPr>
      </w:pPr>
      <w:r w:rsidRPr="009C6551">
        <w:rPr>
          <w:rStyle w:val="kleinschrift1"/>
        </w:rPr>
        <w:t>1. Zur Tätigkeit als Mitglied einer Mitarbeitervertretung oder einer paritätisch besetzten Kommission im Sinne des Art. 7 Grundordnung gemäß Absatz 3 gehören auch mehrtägige Reisen, die zur Erfüllung deren Aufgaben notwendig sind.</w:t>
      </w:r>
    </w:p>
    <w:p w:rsidR="00BE1EFE" w:rsidRDefault="00BE1EFE">
      <w:pPr>
        <w:pStyle w:val="StandardWeb"/>
      </w:pPr>
      <w:r w:rsidRPr="009C6551">
        <w:rPr>
          <w:rStyle w:val="kleinschrift1"/>
        </w:rPr>
        <w:t>2. 1Eine mehrtägige Dienstreise gemäß Absatz 4 liegt vor, wenn sie nach Ablauf des Kalendertages endet, an dem sie begonnen hat. 2Der Pauschalansatz von 12 Stunden gilt auch für den Kalendertag, an dem eine mehrtägige Dienstreise beginnt oder endet und an dem weitere Arbeit geleistet wird bzw. eine weitere Dienstreise geendet hat oder beginnt.</w:t>
      </w:r>
    </w:p>
    <w:p w:rsidR="00BE1EFE" w:rsidRDefault="00BE1EFE">
      <w:pPr>
        <w:pStyle w:val="berschrift5"/>
      </w:pPr>
      <w:bookmarkStart w:id="787" w:name="_Toc523926313"/>
      <w:r>
        <w:t>§ 4 Pauschalentgelt</w:t>
      </w:r>
      <w:bookmarkEnd w:id="787"/>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Für die Kraftfahrer/Kraftfahrerinnen wird ein Pauschalentgelt festgesetzt, mit dem das Tabellenentgelt </w:t>
      </w:r>
      <w:hyperlink r:id="rId1125" w:history="1">
        <w:r w:rsidRPr="002D1F1D">
          <w:rPr>
            <w:rStyle w:val="Hyperlink"/>
          </w:rPr>
          <w:t>(§ 15 Absatz 1 Teil A, 1.)</w:t>
        </w:r>
      </w:hyperlink>
      <w:r>
        <w:t xml:space="preserve"> sowie das Entgelt für Überstunden und Zeitzuschläge für Überstunden </w:t>
      </w:r>
      <w:hyperlink r:id="rId1126" w:history="1">
        <w:r w:rsidRPr="002D1F1D">
          <w:rPr>
            <w:rStyle w:val="Hyperlink"/>
          </w:rPr>
          <w:t>(§ 8 Absatz 1 Satz 1 Buchstabe a Teil A, 1.)</w:t>
        </w:r>
      </w:hyperlink>
      <w:r>
        <w:t xml:space="preserve"> abgegolten sind.</w:t>
      </w:r>
    </w:p>
    <w:p w:rsidR="00BE1EFE" w:rsidRPr="000B1AF8" w:rsidRDefault="00BE1EFE">
      <w:pPr>
        <w:pStyle w:val="StandardWeb"/>
      </w:pPr>
    </w:p>
    <w:p w:rsidR="00BE1EFE" w:rsidRDefault="00BE1EFE">
      <w:pPr>
        <w:pStyle w:val="StandardWeb"/>
      </w:pPr>
      <w:r>
        <w:t>(2) </w:t>
      </w:r>
      <w:r>
        <w:rPr>
          <w:rStyle w:val="kleinschrift"/>
        </w:rPr>
        <w:t>1</w:t>
      </w:r>
      <w:r>
        <w:t>Die Höhe des Pauschalentgelts bemisst sich nach der durchschnittlichen Monatsarbeits</w:t>
      </w:r>
      <w:r>
        <w:softHyphen/>
        <w:t xml:space="preserve">zeit </w:t>
      </w:r>
      <w:hyperlink r:id="rId1127" w:history="1">
        <w:r w:rsidRPr="002D1F1D">
          <w:rPr>
            <w:rStyle w:val="Hyperlink"/>
          </w:rPr>
          <w:t>(§ 3</w:t>
        </w:r>
      </w:hyperlink>
      <w:r>
        <w:t xml:space="preserve">) im vorangegangenen Kalenderhalbjahr in der jeweiligen Pauschalgruppe </w:t>
      </w:r>
      <w:hyperlink r:id="rId1128" w:history="1">
        <w:r w:rsidRPr="002D1F1D">
          <w:rPr>
            <w:rStyle w:val="Hyperlink"/>
          </w:rPr>
          <w:t>(§ 5)</w:t>
        </w:r>
      </w:hyperlink>
      <w:r>
        <w:t xml:space="preserve"> der Entgeltgruppe. </w:t>
      </w:r>
      <w:r>
        <w:rPr>
          <w:rStyle w:val="kleinschrift"/>
        </w:rPr>
        <w:t>2</w:t>
      </w:r>
      <w:r>
        <w:t xml:space="preserve">Bei Fahrern/Fahrerinnen, die zu einer anderen Dienststelle versetzt werden, richtet sich die Höhe des Pauschalentgelts bis zum Schluss des laufenden Kalenderhalbjahres nach der Monatsarbeitszeit </w:t>
      </w:r>
      <w:hyperlink r:id="rId1129" w:history="1">
        <w:r w:rsidRPr="002D1F1D">
          <w:rPr>
            <w:rStyle w:val="Hyperlink"/>
          </w:rPr>
          <w:t>(§ 3</w:t>
        </w:r>
      </w:hyperlink>
      <w:r>
        <w:t>) im jeweiligen Kalendermonat bei der neuen Dienststelle.</w:t>
      </w:r>
    </w:p>
    <w:p w:rsidR="00BE1EFE" w:rsidRDefault="00BE1EFE">
      <w:pPr>
        <w:pStyle w:val="StandardWeb"/>
      </w:pPr>
    </w:p>
    <w:p w:rsidR="00BE1EFE" w:rsidRDefault="00BE1EFE">
      <w:pPr>
        <w:pStyle w:val="StandardWeb"/>
      </w:pPr>
      <w:r>
        <w:t xml:space="preserve">(3) Die Beträge des Pauschalentgelts ergeben sich aus der </w:t>
      </w:r>
      <w:r w:rsidRPr="00A113EE">
        <w:t>Anlage 1</w:t>
      </w:r>
      <w:r>
        <w:t xml:space="preserve"> zu dieser Regelung.</w:t>
      </w:r>
    </w:p>
    <w:p w:rsidR="00BE1EFE" w:rsidRDefault="00BE1EFE">
      <w:pPr>
        <w:pStyle w:val="StandardWeb"/>
      </w:pPr>
    </w:p>
    <w:p w:rsidR="00BE1EFE" w:rsidRDefault="00BE1EFE">
      <w:pPr>
        <w:pStyle w:val="StandardWeb"/>
      </w:pPr>
      <w:r>
        <w:t xml:space="preserve">(4) Neben dem Pauschalentgelt werden für die Inanspruchnahme an Sonntagen, gesetzlichen Wochenfeiertagen, Vorfesttagen, in der Nacht und an Samstagen Zeitzuschläge nach Maßgabe des </w:t>
      </w:r>
      <w:hyperlink r:id="rId1130" w:history="1">
        <w:r w:rsidRPr="002D1F1D">
          <w:rPr>
            <w:rStyle w:val="Hyperlink"/>
          </w:rPr>
          <w:t>§ 8 Absatz 1 Teil A, 1.</w:t>
        </w:r>
      </w:hyperlink>
      <w:r>
        <w:t xml:space="preserve"> gezahlt.</w:t>
      </w:r>
    </w:p>
    <w:p w:rsidR="00BE1EFE" w:rsidRDefault="00BE1EFE">
      <w:pPr>
        <w:pStyle w:val="StandardWeb"/>
      </w:pPr>
    </w:p>
    <w:p w:rsidR="00BE1EFE" w:rsidRDefault="00BE1EFE">
      <w:pPr>
        <w:pStyle w:val="StandardWeb"/>
      </w:pPr>
      <w:r>
        <w:t>(5) Die Pauschalentgelte verändern sich um denselben Vomhundertsatz, um den sich die Pauschalentgelte bei einer allgemeinen Entgelterhöhung nach Maßgabe eines den Tarifvertrag für die Kraftfahrer und Kraftfahrerinnen des Bundes (KraftfahrerTV Bund) oder eines ergänzenden Tarifvertrags ändern.</w:t>
      </w:r>
    </w:p>
    <w:p w:rsidR="00BE1EFE" w:rsidRDefault="00BE1EFE">
      <w:pPr>
        <w:pStyle w:val="StandardWeb"/>
      </w:pPr>
    </w:p>
    <w:p w:rsidR="00BE1EFE" w:rsidRDefault="00BE1EFE">
      <w:pPr>
        <w:pStyle w:val="StandardWeb"/>
        <w:rPr>
          <w:sz w:val="12"/>
          <w:szCs w:val="12"/>
        </w:rPr>
      </w:pPr>
      <w:r w:rsidRPr="009C6551">
        <w:rPr>
          <w:rStyle w:val="kleinschrift1"/>
        </w:rPr>
        <w:t>Hinweis zu § 4:</w:t>
      </w:r>
    </w:p>
    <w:p w:rsidR="00BE1EFE" w:rsidRDefault="00BE1EFE">
      <w:pPr>
        <w:pStyle w:val="StandardWeb"/>
      </w:pPr>
      <w:r w:rsidRPr="009C6551">
        <w:rPr>
          <w:rStyle w:val="kleinschrift1"/>
        </w:rPr>
        <w:t>Die Festlegung der Beträge für die Pauschalgruppe der Entgeltgruppe 4 ist auf der Grundlage der Zuordnung der Fahrer mit Tätigkeiten der derzeitigen Lohngruppe 4 mit Aufstieg nach Lohngruppe 4a und die der Beträge der Pauschalgruppe der Entgeltgruppe 5 auf der Grundlage der Zuordnung der Fahrer mit Tätigkeiten der derzeitigen Lohngruppe 5 mit Aufstieg nach Lohngruppe 5a erfolgt.</w:t>
      </w:r>
    </w:p>
    <w:p w:rsidR="00BE1EFE" w:rsidRDefault="00BE1EFE">
      <w:pPr>
        <w:pStyle w:val="berschrift5"/>
      </w:pPr>
      <w:bookmarkStart w:id="788" w:name="_Toc523926314"/>
      <w:r>
        <w:t>§ 5 Pauschalgruppen</w:t>
      </w:r>
      <w:bookmarkEnd w:id="788"/>
    </w:p>
    <w:p w:rsidR="00BE1EFE" w:rsidRPr="00B76821" w:rsidRDefault="00BE1EFE" w:rsidP="00B76821">
      <w:pPr>
        <w:pStyle w:val="berschrift6"/>
        <w:keepNext w:val="0"/>
        <w:spacing w:before="0" w:after="0"/>
        <w:rPr>
          <w:sz w:val="2"/>
        </w:rPr>
      </w:pPr>
    </w:p>
    <w:p w:rsidR="00BE1EFE" w:rsidRDefault="00BE1EFE">
      <w:pPr>
        <w:pStyle w:val="StandardWeb"/>
      </w:pPr>
      <w:r>
        <w:t>(1) Entsprechend ihrer Monatsarbeitszeit (§ 3) sind die Kraftfahrer/Kraftfahrerinnen folgenden Pauschalgruppen zugeordnet:</w:t>
      </w:r>
    </w:p>
    <w:p w:rsidR="00BE1EFE" w:rsidRDefault="00BE1EFE">
      <w:pPr>
        <w:pStyle w:val="StandardWeb"/>
      </w:pPr>
      <w:r>
        <w:t>– Pauschalgruppe I</w:t>
      </w:r>
    </w:p>
    <w:p w:rsidR="00BE1EFE" w:rsidRDefault="00BE1EFE">
      <w:pPr>
        <w:pStyle w:val="StandardWeb"/>
      </w:pPr>
      <w:r>
        <w:t>bei einer Monatsarbeitszeit ab 185 bis 196 Stunden,</w:t>
      </w:r>
    </w:p>
    <w:p w:rsidR="00BE1EFE" w:rsidRDefault="00BE1EFE">
      <w:pPr>
        <w:pStyle w:val="StandardWeb"/>
      </w:pPr>
      <w:r>
        <w:t>– Pauschalgruppe II</w:t>
      </w:r>
    </w:p>
    <w:p w:rsidR="00BE1EFE" w:rsidRDefault="00BE1EFE">
      <w:pPr>
        <w:pStyle w:val="StandardWeb"/>
      </w:pPr>
      <w:r>
        <w:t>bei einer Monatsarbeitszeit über 196 bis 221 Stunden,</w:t>
      </w:r>
    </w:p>
    <w:p w:rsidR="00BE1EFE" w:rsidRDefault="00BE1EFE">
      <w:pPr>
        <w:pStyle w:val="StandardWeb"/>
      </w:pPr>
      <w:r>
        <w:t>– Pauschalgruppe III</w:t>
      </w:r>
    </w:p>
    <w:p w:rsidR="00BE1EFE" w:rsidRDefault="00BE1EFE">
      <w:pPr>
        <w:pStyle w:val="StandardWeb"/>
      </w:pPr>
      <w:r>
        <w:t>bei einer Monatsarbeitszeit über 221 bis 244 Stunden,</w:t>
      </w:r>
    </w:p>
    <w:p w:rsidR="00BE1EFE" w:rsidRDefault="00BE1EFE">
      <w:pPr>
        <w:pStyle w:val="StandardWeb"/>
      </w:pPr>
      <w:r>
        <w:t>– Pauschalgruppe IV</w:t>
      </w:r>
    </w:p>
    <w:p w:rsidR="00BE1EFE" w:rsidRDefault="00BE1EFE">
      <w:pPr>
        <w:pStyle w:val="StandardWeb"/>
      </w:pPr>
      <w:r>
        <w:t>bei einer Monatsarbeitszeit über 244 bis 268 Stunden,</w:t>
      </w:r>
    </w:p>
    <w:p w:rsidR="00BE1EFE" w:rsidRDefault="00BE1EFE">
      <w:pPr>
        <w:pStyle w:val="StandardWeb"/>
      </w:pPr>
      <w:r>
        <w:t>– Chefkraftfahrer/Chefkraftfahrerinnen</w:t>
      </w:r>
    </w:p>
    <w:p w:rsidR="00BE1EFE" w:rsidRPr="000B1AF8" w:rsidRDefault="00BE1EFE">
      <w:pPr>
        <w:pStyle w:val="StandardWeb"/>
      </w:pPr>
      <w:r>
        <w:t>bei einer Monatsarbeitszeit bis 288 Stunden.</w:t>
      </w:r>
    </w:p>
    <w:p w:rsidR="00BE1EFE" w:rsidRPr="000B1AF8" w:rsidRDefault="00BE1EFE">
      <w:pPr>
        <w:pStyle w:val="StandardWeb"/>
      </w:pPr>
    </w:p>
    <w:p w:rsidR="00BE1EFE" w:rsidRDefault="00BE1EFE">
      <w:pPr>
        <w:pStyle w:val="StandardWeb"/>
      </w:pPr>
      <w:r>
        <w:lastRenderedPageBreak/>
        <w:t>(2) Chefkraftfahrer/Chefkraftfahrerin ist ausschließlich der/die persönliche Kraftfahrer/Kraft</w:t>
      </w:r>
      <w:r>
        <w:softHyphen/>
        <w:t>fahrerin:</w:t>
      </w:r>
    </w:p>
    <w:p w:rsidR="00BE1EFE" w:rsidRDefault="00BE1EFE">
      <w:pPr>
        <w:pStyle w:val="StandardWeb"/>
      </w:pPr>
      <w:r>
        <w:t>a) des Bischofs,</w:t>
      </w:r>
    </w:p>
    <w:p w:rsidR="00BE1EFE" w:rsidRDefault="00BE1EFE">
      <w:pPr>
        <w:pStyle w:val="StandardWeb"/>
      </w:pPr>
      <w:r>
        <w:t>b) des Weihbischofs,</w:t>
      </w:r>
    </w:p>
    <w:p w:rsidR="00BE1EFE" w:rsidRDefault="00BE1EFE">
      <w:pPr>
        <w:pStyle w:val="StandardWeb"/>
      </w:pPr>
      <w:r>
        <w:t>c) des Generalvikars,</w:t>
      </w:r>
    </w:p>
    <w:p w:rsidR="00BE1EFE" w:rsidRDefault="00BE1EFE">
      <w:pPr>
        <w:pStyle w:val="StandardWeb"/>
      </w:pPr>
      <w:r>
        <w:t>d) des Bischofvikars.</w:t>
      </w:r>
    </w:p>
    <w:p w:rsidR="00BE1EFE" w:rsidRDefault="00BE1EFE">
      <w:pPr>
        <w:pStyle w:val="StandardWeb"/>
      </w:pPr>
    </w:p>
    <w:p w:rsidR="00BE1EFE" w:rsidRDefault="00BE1EFE">
      <w:pPr>
        <w:pStyle w:val="StandardWeb"/>
      </w:pPr>
      <w:r>
        <w:t>(3) </w:t>
      </w:r>
      <w:r>
        <w:rPr>
          <w:rStyle w:val="kleinschrift"/>
        </w:rPr>
        <w:t>1</w:t>
      </w:r>
      <w:r>
        <w:t xml:space="preserve">Die höchstzulässige Arbeitszeit der Chefkraftfahrer/Chefkraftfahrerinnen soll 288 Stunden im Monat nicht überschreiten. </w:t>
      </w:r>
      <w:r>
        <w:rPr>
          <w:rStyle w:val="kleinschrift"/>
        </w:rPr>
        <w:t>2</w:t>
      </w:r>
      <w:r>
        <w:t xml:space="preserve">§ 2 Absatz 2 und 3 gilt entsprechend. </w:t>
      </w:r>
      <w:r>
        <w:rPr>
          <w:rStyle w:val="kleinschrift"/>
        </w:rPr>
        <w:t>3</w:t>
      </w:r>
      <w:r>
        <w:t xml:space="preserve">§ 2 Absatz 4 gilt mit der Maßgabe, dass die Stundensätze der Pauschalgruppe IV zugrunde zu legen sind. </w:t>
      </w:r>
      <w:r>
        <w:rPr>
          <w:rStyle w:val="kleinschrift"/>
        </w:rPr>
        <w:t>4</w:t>
      </w:r>
      <w:r>
        <w:t>Das Pauschalentgelt der Chefkraftfahrer/Chefkraftfahrerinnen wird nur für die Zeit der tatsächl</w:t>
      </w:r>
      <w:r>
        <w:softHyphen/>
        <w:t>ichen Dienstleistung als Chefkraftfahrer/Chefkraftfahrerin gewährt.</w:t>
      </w:r>
    </w:p>
    <w:p w:rsidR="00BE1EFE" w:rsidRDefault="00BE1EFE">
      <w:pPr>
        <w:pStyle w:val="StandardWeb"/>
      </w:pPr>
    </w:p>
    <w:p w:rsidR="00BE1EFE" w:rsidRDefault="00BE1EFE">
      <w:pPr>
        <w:pStyle w:val="StandardWeb"/>
      </w:pPr>
      <w:r>
        <w:t>(4) </w:t>
      </w:r>
      <w:r>
        <w:rPr>
          <w:rStyle w:val="kleinschrift"/>
        </w:rPr>
        <w:t>1</w:t>
      </w:r>
      <w:r>
        <w:t>Für den Fahrer/Fahrerin, der einen Chefkraftfahrer/eine Chefkraftfahrerin für mindestens einen vollen Arbeitstag vertritt, erhöht sich sein/ihr Pauschalentgelt für die Dauer der Vertre</w:t>
      </w:r>
      <w:r>
        <w:softHyphen/>
        <w:t xml:space="preserve">tung um den Unterschiedsbetrag zwischen dem Pauschalentgelt, das er/sie als Fahrer/ Fahrerin der Pauschalgruppe IV, und dem Pauschalentgelt, das er/sie als Chefkraftfahrer/ Chefkraftfahrerin erhalten würde. </w:t>
      </w:r>
      <w:r>
        <w:rPr>
          <w:rStyle w:val="kleinschrift"/>
        </w:rPr>
        <w:t>2</w:t>
      </w:r>
      <w:r>
        <w:t xml:space="preserve">§ 6 gilt entsprechend. </w:t>
      </w:r>
      <w:r>
        <w:rPr>
          <w:rStyle w:val="kleinschrift"/>
        </w:rPr>
        <w:t>3</w:t>
      </w:r>
      <w:r>
        <w:t xml:space="preserve">Bei Vertretung für die Zeit eines vollen Kalendermonats gilt Absatz 3 Sätze 1 und 2 entsprechend. </w:t>
      </w:r>
      <w:r>
        <w:rPr>
          <w:rStyle w:val="kleinschrift"/>
        </w:rPr>
        <w:t>4</w:t>
      </w:r>
      <w:r>
        <w:t>Bei Vertretung für einzelne Arbeitstage erhöht sich die höchstzulässige Arbeitszeit des Kalendermonats (§ 2 Absatz 2) für jeden Arbeitstag um eine Stunde, höchstens jedoch auf 288 Stunden im Kalendermonat; § 2 Absatz 2 und 3 gilt entsprechend.</w:t>
      </w:r>
    </w:p>
    <w:p w:rsidR="00BE1EFE" w:rsidRDefault="00BE1EFE">
      <w:pPr>
        <w:pStyle w:val="berschrift5"/>
      </w:pPr>
      <w:bookmarkStart w:id="789" w:name="_Toc523926315"/>
      <w:r>
        <w:t>§ 6 Anteiliges Pauschalentgelt</w:t>
      </w:r>
      <w:bookmarkEnd w:id="789"/>
    </w:p>
    <w:p w:rsidR="00BE1EFE" w:rsidRPr="00B76821" w:rsidRDefault="00BE1EFE" w:rsidP="00B76821">
      <w:pPr>
        <w:pStyle w:val="berschrift6"/>
        <w:keepNext w:val="0"/>
        <w:spacing w:before="0" w:after="0"/>
        <w:rPr>
          <w:sz w:val="2"/>
        </w:rPr>
      </w:pPr>
    </w:p>
    <w:p w:rsidR="00BE1EFE" w:rsidRPr="000B1AF8" w:rsidRDefault="00BE1EFE">
      <w:pPr>
        <w:pStyle w:val="StandardWeb"/>
      </w:pPr>
      <w:r>
        <w:t>Endet das Arbeitsverhältnis im Laufe eines Kalendermonats oder steht das Pauschalentgelt aus einem sonstigen Grunde nicht für den ganzen Kalendermonat zu, wird nur der Teil des Pauschalentgelts gezahlt, der auf den Anspruchszeitraum entfällt.</w:t>
      </w:r>
    </w:p>
    <w:p w:rsidR="00BE1EFE" w:rsidRDefault="00BE1EFE">
      <w:pPr>
        <w:pStyle w:val="berschrift5"/>
      </w:pPr>
      <w:bookmarkStart w:id="790" w:name="_Toc523926316"/>
      <w:r>
        <w:t>§ 7 Sicherung des Pauschalentgelts</w:t>
      </w:r>
      <w:bookmarkEnd w:id="79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Kraftfahrer/Kraftfahrerinnen mit mindestens fünfjähriger ununterbrochener Beschäftigung nach dieser Regelung und/oder der Regelung über die </w:t>
      </w:r>
      <w:r w:rsidR="001959E7">
        <w:t>Arbeitsbedingungen der Personen</w:t>
      </w:r>
      <w:r>
        <w:t>kraftwagenfahrer in der bis zum 30.09.2005 geltenden Fassung, die infolge eines Unfalles, welcher nach In-Kraft-Treten dieser Regelung in Ausübung oder infolge der Arbeit ohne Vorsatz oder grobe Fahrlässigkeit erlitten wurde, nicht mehr als Kraftfahrer/Kraftfahrerin weiterbeschäftigt werden, erhalten eine persönliche Zulage.</w:t>
      </w:r>
    </w:p>
    <w:p w:rsidR="00BE1EFE" w:rsidRPr="000B1AF8" w:rsidRDefault="00BE1EFE">
      <w:pPr>
        <w:pStyle w:val="StandardWeb"/>
      </w:pPr>
    </w:p>
    <w:p w:rsidR="00BE1EFE" w:rsidRDefault="00BE1EFE">
      <w:pPr>
        <w:pStyle w:val="StandardWeb"/>
      </w:pPr>
      <w:r>
        <w:t>(2) </w:t>
      </w:r>
      <w:r>
        <w:rPr>
          <w:rStyle w:val="kleinschrift"/>
        </w:rPr>
        <w:t>1</w:t>
      </w:r>
      <w:r>
        <w:t xml:space="preserve">Die Zulage wird in Höhe der Differenz zwischen dem Pauschalentgelt aus der nächst niedrigeren Pauschalgruppe als der, der der Kraftfahrer/die Kraftfahrerin zuletzt in der bisherigen Tätigkeit angehört hat, und dem durchschnittlichen Tabellenentgelt der ersten drei vollen Kalendermonate in der neuen Tätigkeit einschließlich bezahlte Überstunden gewährt, sofern dieses geringer ist. </w:t>
      </w:r>
      <w:r>
        <w:rPr>
          <w:rStyle w:val="kleinschrift"/>
        </w:rPr>
        <w:t>2</w:t>
      </w:r>
      <w:r>
        <w:t>Gehörte der Kraftfahrer/die Kraftfahrerin in den letzten zwei Jahren in der bisherigen Tätigkeit mehr als ein halbes Jahr einer niedrigeren Pauschalgruppe an, tritt an die Stelle der nächst niedrigeren die unmittelbar unter der nächst niedrigeren liegende Pauschalgruppe.</w:t>
      </w:r>
    </w:p>
    <w:p w:rsidR="00BE1EFE" w:rsidRDefault="00BE1EFE">
      <w:pPr>
        <w:pStyle w:val="StandardWeb"/>
      </w:pPr>
    </w:p>
    <w:p w:rsidR="00BE1EFE" w:rsidRDefault="00BE1EFE">
      <w:pPr>
        <w:pStyle w:val="StandardWeb"/>
      </w:pPr>
      <w:r>
        <w:t>(3) </w:t>
      </w:r>
      <w:r>
        <w:rPr>
          <w:rStyle w:val="kleinschrift"/>
        </w:rPr>
        <w:t>1</w:t>
      </w:r>
      <w:r>
        <w:t xml:space="preserve">Die Zulage vermindert sich nach Ablauf von jeweils einem Jahr um ein Drittel der ursprünglichen Höhe. </w:t>
      </w:r>
      <w:r>
        <w:rPr>
          <w:rStyle w:val="kleinschrift"/>
        </w:rPr>
        <w:t>2</w:t>
      </w:r>
      <w:r>
        <w:t xml:space="preserve">War der Kraftfahrer/die Kraftfahrerin mehr als zehn Jahre ununterbrochen als Kraftfahrer/Kraftfahrerin im Sinne dieser Regelung und/oder der Regelung </w:t>
      </w:r>
      <w:r>
        <w:lastRenderedPageBreak/>
        <w:t xml:space="preserve">über die Arbeitsbedingungen der Personenkraftwagenfahrer in der bis zum 30.09.2005 geltenden Fassung beschäftigt, vermindert sich die Zulage um 15 v.H. </w:t>
      </w:r>
      <w:r>
        <w:rPr>
          <w:rStyle w:val="kleinschrift"/>
        </w:rPr>
        <w:t>3</w:t>
      </w:r>
      <w:r>
        <w:t xml:space="preserve">War er/sie mehr als 20 Jahre ununterbrochen als Kraftfahrer/Kraftfahrerin im Sinne dieser Regelung, der Regelung über die Arbeitsbedingungen der Personenkraftwagenfahrer in der bis zum 30.09.2005 geltenden Fassung beschäftigt, wird ein Restbetrag von 30 v.H. des Ausgangsbetrages der Zulage nicht abgebaut. </w:t>
      </w:r>
      <w:r>
        <w:rPr>
          <w:rStyle w:val="kleinschrift"/>
        </w:rPr>
        <w:t>4</w:t>
      </w:r>
      <w:r>
        <w:t>Steht zu einem späteren Zeitpunkt erneut ein Pauschalentgelt nach dieser Regelung zu, werden die Mehrbeträge auf die Zulage angerechnet.</w:t>
      </w:r>
    </w:p>
    <w:p w:rsidR="00BE1EFE" w:rsidRDefault="00BE1EFE">
      <w:pPr>
        <w:pStyle w:val="StandardWeb"/>
      </w:pPr>
    </w:p>
    <w:p w:rsidR="00BE1EFE" w:rsidRDefault="00BE1EFE">
      <w:pPr>
        <w:pStyle w:val="StandardWeb"/>
      </w:pPr>
      <w:r>
        <w:t>(4) Die Absätze 1 bis 3 gelten entsprechend</w:t>
      </w:r>
    </w:p>
    <w:p w:rsidR="00BE1EFE" w:rsidRDefault="00BE1EFE">
      <w:pPr>
        <w:pStyle w:val="StandardWeb"/>
      </w:pPr>
      <w:r>
        <w:t xml:space="preserve">a) für Fahrer/Fahrerinnen nach zehnjähriger ununterbrochener Beschäftigung als Fahrer/ Fahrerin bei demselben Arbeitgeber, davon die letzten fünf Jahre als Fahrer/Fahrerin im Sinne dieser Regelung und/oder der Regelung über die </w:t>
      </w:r>
      <w:r w:rsidR="001959E7">
        <w:t>Arbeitsbedingungen der Personen</w:t>
      </w:r>
      <w:r w:rsidR="001959E7">
        <w:softHyphen/>
      </w:r>
      <w:r>
        <w:t>kraftwagenfahrer in der bis zum 30.09.2005 geltenden Fassung, wenn die Leistungs</w:t>
      </w:r>
      <w:r>
        <w:softHyphen/>
        <w:t>minderung durch eine Gesundheitsschädigung hervorgerufen wurde, die durch fortwirkende schädliche Einflüsse der Arbeit eingetreten ist,</w:t>
      </w:r>
    </w:p>
    <w:p w:rsidR="00BE1EFE" w:rsidRDefault="00BE1EFE">
      <w:pPr>
        <w:pStyle w:val="StandardWeb"/>
      </w:pPr>
      <w:r>
        <w:t>b) für mindestens 55 Jahre alte Fahrer/Fahrerinnen nach fünfzehnjähriger ununterbrochener Beschäftigung als Fahrer/Fahrerin bei demselben Arbeitgeber, davon die letzten fünf Jahre als Fahrer/Fahrerin im Sinne dieser Regelung und/oder der Regelung über die Arbeitsbe</w:t>
      </w:r>
      <w:r>
        <w:softHyphen/>
        <w:t>dingungen der Personenkraftwagenfahrer in der bis zum 30.09.2005 geltenden Fassung, wenn die Leistungsminderung der Abnahme der körperlichen Kräfte und Fähigkeiten infolge langjähriger Arbeit verursacht wurde,</w:t>
      </w:r>
    </w:p>
    <w:p w:rsidR="00BE1EFE" w:rsidRDefault="00BE1EFE">
      <w:pPr>
        <w:pStyle w:val="StandardWeb"/>
      </w:pPr>
      <w:r>
        <w:t>c) für Fahrer/Fahrerinnen nach fünfundzwanzigjähriger ununterbrochener Beschäftigung als Fahrer/Fahrerin bei demselben Arbeitgeber, davon die letzten fünf Jahre als Fahrer/Fahrerin im Sinne dieser Regelung und/oder der Regelung über die Arbeitsbedingungen der Personenkraftwagenfahrer in der bis zum 30.09.2005 geltenden Fassung, wenn die Leistungsminderung durch Abnahme der körperlichen Kräfte und Fähigkeiten infolge langjähriger Arbeit verursacht wurde.</w:t>
      </w:r>
    </w:p>
    <w:p w:rsidR="00BE1EFE" w:rsidRDefault="00BE1EFE">
      <w:pPr>
        <w:pStyle w:val="berschrift5"/>
      </w:pPr>
      <w:bookmarkStart w:id="791" w:name="_Toc523926317"/>
      <w:r>
        <w:t>§ 8 Übergangsvorschrift für am 30. September 2005/1. Oktober 2005 vorhandene Kraftfahrer/Kraftfahrerinnen</w:t>
      </w:r>
      <w:bookmarkEnd w:id="791"/>
    </w:p>
    <w:p w:rsidR="00BE1EFE" w:rsidRPr="00B76821" w:rsidRDefault="00BE1EFE" w:rsidP="00B76821">
      <w:pPr>
        <w:pStyle w:val="berschrift6"/>
        <w:keepNext w:val="0"/>
        <w:spacing w:before="0" w:after="0"/>
        <w:rPr>
          <w:sz w:val="2"/>
        </w:rPr>
      </w:pPr>
    </w:p>
    <w:p w:rsidR="00BE1EFE" w:rsidRPr="000B1AF8" w:rsidRDefault="00BE1EFE">
      <w:pPr>
        <w:pStyle w:val="StandardWeb"/>
      </w:pPr>
      <w:r>
        <w:t>(1) Für die am 30. September 2005 vorhandenen Kraftfahrer/Kraftfahrerinnen, deren Arbeits</w:t>
      </w:r>
      <w:r>
        <w:softHyphen/>
        <w:t>verhältnisse zum selben Arbeitgeber über den 30. September 2005 hinaus fortbestehen und die am 1. Oktober 2005 unter den Geltungsbereich des ABD fallen, gelten die nachfolgenden besonderen Regelungen.</w:t>
      </w:r>
    </w:p>
    <w:p w:rsidR="00BE1EFE" w:rsidRPr="000B1AF8" w:rsidRDefault="00BE1EFE">
      <w:pPr>
        <w:pStyle w:val="StandardWeb"/>
      </w:pPr>
    </w:p>
    <w:p w:rsidR="00BE1EFE" w:rsidRDefault="00BE1EFE">
      <w:pPr>
        <w:pStyle w:val="StandardWeb"/>
      </w:pPr>
      <w:r>
        <w:t>(2) </w:t>
      </w:r>
      <w:r>
        <w:rPr>
          <w:rStyle w:val="kleinschrift"/>
        </w:rPr>
        <w:t>1</w:t>
      </w:r>
      <w:r>
        <w:t xml:space="preserve">Ein Kraftfahrer/eine Kraftfahrerin ist dann nicht nur – im Sinne des </w:t>
      </w:r>
      <w:hyperlink r:id="rId1131" w:history="1">
        <w:r w:rsidRPr="002D1F1D">
          <w:rPr>
            <w:rStyle w:val="Hyperlink"/>
          </w:rPr>
          <w:t>§ 1</w:t>
        </w:r>
      </w:hyperlink>
      <w:r>
        <w:t xml:space="preserve"> – gelegentlich über die regelmäßige Arbeitszeit hinaus beschäftigt, wenn er/sie im vorangegangenen Kalender</w:t>
      </w:r>
      <w:r>
        <w:softHyphen/>
        <w:t xml:space="preserve">halbjahr in mehr als 6 Wochen Überstunden geleistet hat. </w:t>
      </w:r>
      <w:r>
        <w:rPr>
          <w:rStyle w:val="kleinschrift"/>
        </w:rPr>
        <w:t>2</w:t>
      </w:r>
      <w:r>
        <w:t>Ist der Kraftfahrer/die Kraftfahrerin im vorangegangenen Kalenderhalbjahr infolge Erkrankung oder Unfalls mindestens 3 Monate arbeitsunfähig gewesen, sind auch die Überstunden zu berücksichtigen, die er/sie ohne Arbeitsunfähigkeit geleistet hätte.</w:t>
      </w:r>
    </w:p>
    <w:p w:rsidR="00BE1EFE" w:rsidRDefault="00BE1EFE">
      <w:pPr>
        <w:pStyle w:val="StandardWeb"/>
      </w:pPr>
    </w:p>
    <w:p w:rsidR="00BE1EFE" w:rsidRDefault="00BE1EFE">
      <w:pPr>
        <w:pStyle w:val="StandardWeb"/>
      </w:pPr>
      <w:r>
        <w:t>(3) </w:t>
      </w:r>
      <w:r>
        <w:rPr>
          <w:rStyle w:val="kleinschrift"/>
        </w:rPr>
        <w:t>1</w:t>
      </w:r>
      <w:r>
        <w:t xml:space="preserve">Die Beträge des Pauschalentgelts ergeben sich aus der </w:t>
      </w:r>
      <w:r w:rsidRPr="001959E7">
        <w:t>Anlage 2</w:t>
      </w:r>
      <w:r>
        <w:t xml:space="preserve"> zu dieser Regelung. </w:t>
      </w:r>
      <w:r>
        <w:rPr>
          <w:rStyle w:val="kleinschrift"/>
        </w:rPr>
        <w:t>2</w:t>
      </w:r>
      <w:r>
        <w:t xml:space="preserve">Sie verändern sich um denselben Vomhundertsatz, um den sich die Tabellenentgelte bei einer allgemeinen Entgelterhöhung nach Maßgabe des </w:t>
      </w:r>
      <w:hyperlink r:id="rId1132" w:history="1">
        <w:r w:rsidRPr="002D1F1D">
          <w:rPr>
            <w:rStyle w:val="Hyperlink"/>
          </w:rPr>
          <w:t>§ 20 a ABD Teil A, 1</w:t>
        </w:r>
      </w:hyperlink>
      <w:r>
        <w:t>. verändern.</w:t>
      </w:r>
    </w:p>
    <w:p w:rsidR="00BE1EFE" w:rsidRDefault="00BE1EFE">
      <w:pPr>
        <w:pStyle w:val="StandardWeb"/>
      </w:pPr>
    </w:p>
    <w:p w:rsidR="00BE1EFE" w:rsidRDefault="00BE1EFE">
      <w:pPr>
        <w:pStyle w:val="StandardWeb"/>
      </w:pPr>
      <w:r>
        <w:t xml:space="preserve">(4) Abweichend von </w:t>
      </w:r>
      <w:hyperlink r:id="rId1133" w:history="1">
        <w:r w:rsidRPr="002D1F1D">
          <w:rPr>
            <w:rStyle w:val="Hyperlink"/>
          </w:rPr>
          <w:t>§ 5 Absatz 1</w:t>
        </w:r>
      </w:hyperlink>
      <w:r>
        <w:t xml:space="preserve"> beläuft sich die Monatsarbeitszeit </w:t>
      </w:r>
      <w:hyperlink r:id="rId1134" w:history="1">
        <w:r w:rsidRPr="002D1F1D">
          <w:rPr>
            <w:rStyle w:val="Hyperlink"/>
          </w:rPr>
          <w:t>(§ 3)</w:t>
        </w:r>
      </w:hyperlink>
      <w:r>
        <w:t xml:space="preserve"> bei Pauschalgruppe I ab 170 bis 196 Stunden.</w:t>
      </w:r>
    </w:p>
    <w:p w:rsidR="00BE1EFE" w:rsidRDefault="00BE1EFE">
      <w:pPr>
        <w:pStyle w:val="StandardWeb"/>
      </w:pPr>
    </w:p>
    <w:p w:rsidR="00BE1EFE" w:rsidRDefault="00BE1EFE">
      <w:pPr>
        <w:pStyle w:val="berschrift5"/>
      </w:pPr>
      <w:bookmarkStart w:id="792" w:name="_Toc523926318"/>
      <w:r>
        <w:lastRenderedPageBreak/>
        <w:t>§ 9 Überleitungs- und Besitzstandsregelung</w:t>
      </w:r>
      <w:bookmarkEnd w:id="792"/>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Die Überleitung der Kraftfahrer/Kraftfahrerinnen, die unter den Geltungsbereich der Regelung zur Überleitung der Beschäftigten und des Übergangsrechts (</w:t>
      </w:r>
      <w:hyperlink r:id="rId1135" w:history="1">
        <w:r w:rsidRPr="002D1F1D">
          <w:rPr>
            <w:rStyle w:val="Hyperlink"/>
          </w:rPr>
          <w:t>ABD Teil A, 3.</w:t>
        </w:r>
      </w:hyperlink>
      <w:r>
        <w:t xml:space="preserve">) fallen, am 1. Oktober 2005 bestimmt sich nach der vorgenannten Regelung. </w:t>
      </w:r>
      <w:r>
        <w:rPr>
          <w:rStyle w:val="kleinschrift"/>
        </w:rPr>
        <w:t>2</w:t>
      </w:r>
      <w:r>
        <w:t xml:space="preserve">Die dem Pauschallohn zu Grunde liegende Lohngruppe bildet die Grundlage für die Zuordnung nach den </w:t>
      </w:r>
      <w:hyperlink r:id="rId1136" w:history="1">
        <w:r w:rsidRPr="002D1F1D">
          <w:rPr>
            <w:rStyle w:val="Hyperlink"/>
          </w:rPr>
          <w:t>§§ 4 ff. Teil A, 3</w:t>
        </w:r>
      </w:hyperlink>
      <w:r>
        <w:t>.</w:t>
      </w:r>
    </w:p>
    <w:p w:rsidR="00BE1EFE" w:rsidRPr="000B1AF8" w:rsidRDefault="00BE1EFE">
      <w:pPr>
        <w:pStyle w:val="StandardWeb"/>
      </w:pPr>
    </w:p>
    <w:p w:rsidR="00BE1EFE" w:rsidRDefault="00BE1EFE">
      <w:pPr>
        <w:pStyle w:val="StandardWeb"/>
      </w:pPr>
      <w:r>
        <w:t>(2) In die Pauschalentgelttabelle (</w:t>
      </w:r>
      <w:hyperlink r:id="rId1137" w:history="1">
        <w:r w:rsidRPr="002D1F1D">
          <w:rPr>
            <w:rStyle w:val="Hyperlink"/>
          </w:rPr>
          <w:t>§ 8 Absatz 3</w:t>
        </w:r>
      </w:hyperlink>
      <w:r>
        <w:t>) werden sie am 1. Oktober 2005 auf der Grundlage der am 30. September 2005 zustehenden Lohngruppe und der erreichten Jahre in den Lohnstufen der Anlage 3 zur Regelung über die Arbeitsbedingungen der Personenkraftwagenfahrer in der bis zum 30.09.2005 geltenden Fassung übergeleitet.</w:t>
      </w:r>
    </w:p>
    <w:p w:rsidR="00BE1EFE" w:rsidRDefault="00BE1EFE" w:rsidP="00C84A68">
      <w:pPr>
        <w:pStyle w:val="StandardWeb"/>
      </w:pPr>
      <w:r>
        <w:br w:type="page"/>
      </w:r>
    </w:p>
    <w:p w:rsidR="00BE1EFE" w:rsidRPr="00A973FC" w:rsidRDefault="00BE1EFE" w:rsidP="00C84A68">
      <w:pPr>
        <w:pStyle w:val="berschrift5"/>
        <w:spacing w:before="0"/>
      </w:pPr>
      <w:bookmarkStart w:id="793" w:name="_Toc523926319"/>
      <w:r w:rsidRPr="00A973FC">
        <w:lastRenderedPageBreak/>
        <w:t>Anlage 1 Pauschalentgelt für ab 1. Oktober 2005 neu eingestellte Kraftfahrer/Kraftfahrerinnen</w:t>
      </w:r>
      <w:bookmarkEnd w:id="793"/>
    </w:p>
    <w:tbl>
      <w:tblPr>
        <w:tblW w:w="6237" w:type="dxa"/>
        <w:jc w:val="center"/>
        <w:tblCellMar>
          <w:left w:w="0" w:type="dxa"/>
          <w:right w:w="0" w:type="dxa"/>
        </w:tblCellMar>
        <w:tblLook w:val="04A0" w:firstRow="1" w:lastRow="0" w:firstColumn="1" w:lastColumn="0" w:noHBand="0" w:noVBand="1"/>
      </w:tblPr>
      <w:tblGrid>
        <w:gridCol w:w="2893"/>
        <w:gridCol w:w="1506"/>
        <w:gridCol w:w="919"/>
        <w:gridCol w:w="919"/>
      </w:tblGrid>
      <w:tr w:rsidR="00BE1EFE" w:rsidTr="00E87479">
        <w:trPr>
          <w:trHeight w:val="720"/>
          <w:jc w:val="center"/>
        </w:trPr>
        <w:tc>
          <w:tcPr>
            <w:tcW w:w="5520" w:type="dxa"/>
            <w:gridSpan w:val="4"/>
            <w:tcMar>
              <w:top w:w="0" w:type="dxa"/>
              <w:left w:w="70" w:type="dxa"/>
              <w:bottom w:w="0" w:type="dxa"/>
              <w:right w:w="70" w:type="dxa"/>
            </w:tcMar>
            <w:vAlign w:val="center"/>
            <w:hideMark/>
          </w:tcPr>
          <w:p w:rsidR="00BE1EFE" w:rsidRPr="00B76821" w:rsidRDefault="00BE1EFE" w:rsidP="00394846">
            <w:pPr>
              <w:pStyle w:val="berschrift6"/>
              <w:keepNext w:val="0"/>
              <w:spacing w:before="0" w:after="0"/>
              <w:rPr>
                <w:rStyle w:val="Fett"/>
                <w:rFonts w:cs="Arial"/>
                <w:bCs w:val="0"/>
                <w:color w:val="000000"/>
                <w:sz w:val="2"/>
                <w:szCs w:val="20"/>
              </w:rPr>
            </w:pPr>
          </w:p>
          <w:p w:rsidR="00BE1EFE" w:rsidRPr="00551DE9" w:rsidRDefault="00BE1EFE" w:rsidP="00394846">
            <w:pPr>
              <w:pStyle w:val="StandardWeb"/>
              <w:autoSpaceDE w:val="0"/>
              <w:jc w:val="center"/>
              <w:rPr>
                <w:rStyle w:val="Fett"/>
                <w:rFonts w:cs="Arial"/>
                <w:bCs/>
                <w:color w:val="000000"/>
                <w:sz w:val="20"/>
                <w:szCs w:val="20"/>
              </w:rPr>
            </w:pPr>
            <w:r w:rsidRPr="00551DE9">
              <w:rPr>
                <w:rStyle w:val="Fett"/>
                <w:rFonts w:cs="Arial"/>
                <w:bCs/>
                <w:color w:val="000000"/>
                <w:sz w:val="20"/>
                <w:szCs w:val="20"/>
              </w:rPr>
              <w:t>Pauschalentgelt für ab dem 1. Oktober 2005</w:t>
            </w:r>
          </w:p>
          <w:p w:rsidR="00BE1EFE" w:rsidRPr="00F163CB" w:rsidRDefault="00BE1EFE" w:rsidP="00394846">
            <w:pPr>
              <w:pStyle w:val="StandardWeb"/>
              <w:autoSpaceDE w:val="0"/>
              <w:spacing w:after="120"/>
              <w:jc w:val="center"/>
              <w:rPr>
                <w:sz w:val="24"/>
              </w:rPr>
            </w:pPr>
            <w:r w:rsidRPr="00551DE9">
              <w:rPr>
                <w:rStyle w:val="Fett"/>
                <w:rFonts w:cs="Arial"/>
                <w:bCs/>
                <w:color w:val="000000"/>
                <w:sz w:val="20"/>
                <w:szCs w:val="20"/>
              </w:rPr>
              <w:t>neu eingestellte Kraftfahrer/Kraftfahrerinnen</w:t>
            </w:r>
          </w:p>
        </w:tc>
      </w:tr>
      <w:tr w:rsidR="00BE1EFE" w:rsidTr="00E87479">
        <w:trPr>
          <w:trHeight w:val="300"/>
          <w:jc w:val="center"/>
        </w:trPr>
        <w:tc>
          <w:tcPr>
            <w:tcW w:w="5520" w:type="dxa"/>
            <w:gridSpan w:val="4"/>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 xml:space="preserve">gültig vom </w:t>
            </w:r>
            <w:r w:rsidRPr="00B7121D">
              <w:rPr>
                <w:rStyle w:val="Fett"/>
                <w:rFonts w:cs="Arial"/>
                <w:bCs/>
                <w:color w:val="000000"/>
              </w:rPr>
              <w:t>1. März 2018 bis 31. März 2019</w:t>
            </w:r>
          </w:p>
        </w:tc>
      </w:tr>
      <w:tr w:rsidR="00BE1EFE" w:rsidTr="00E87479">
        <w:trPr>
          <w:trHeight w:val="315"/>
          <w:jc w:val="center"/>
        </w:trPr>
        <w:tc>
          <w:tcPr>
            <w:tcW w:w="5520" w:type="dxa"/>
            <w:gridSpan w:val="4"/>
            <w:tcBorders>
              <w:top w:val="nil"/>
              <w:left w:val="nil"/>
              <w:bottom w:val="single" w:sz="8" w:space="0" w:color="auto"/>
              <w:right w:val="nil"/>
            </w:tcBorders>
            <w:tcMar>
              <w:top w:w="0" w:type="dxa"/>
              <w:left w:w="70" w:type="dxa"/>
              <w:bottom w:w="0" w:type="dxa"/>
              <w:right w:w="70" w:type="dxa"/>
            </w:tcMar>
            <w:vAlign w:val="center"/>
            <w:hideMark/>
          </w:tcPr>
          <w:p w:rsidR="00BE1EFE" w:rsidRDefault="00BE1EFE" w:rsidP="00394846">
            <w:pPr>
              <w:pStyle w:val="StandardWeb"/>
              <w:jc w:val="center"/>
              <w:rPr>
                <w:rFonts w:cs="Arial"/>
                <w:color w:val="000000"/>
              </w:rPr>
            </w:pPr>
            <w:r>
              <w:rPr>
                <w:rFonts w:cs="Arial"/>
                <w:color w:val="000000"/>
              </w:rPr>
              <w:t>(monatlich in Euro)</w:t>
            </w:r>
          </w:p>
          <w:p w:rsidR="00BE1EFE" w:rsidRPr="000B1AF8" w:rsidRDefault="00BE1EFE" w:rsidP="00394846">
            <w:pPr>
              <w:pStyle w:val="StandardWeb"/>
              <w:jc w:val="center"/>
            </w:pPr>
          </w:p>
        </w:tc>
      </w:tr>
      <w:tr w:rsidR="00BE1EFE" w:rsidTr="00E87479">
        <w:trPr>
          <w:trHeight w:val="315"/>
          <w:jc w:val="center"/>
        </w:trPr>
        <w:tc>
          <w:tcPr>
            <w:tcW w:w="2561" w:type="dxa"/>
            <w:vMerge w:val="restart"/>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Pauschalgruppe I</w:t>
            </w: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 xml:space="preserve">Stufen </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9F5443" w:rsidRDefault="00BE1EFE" w:rsidP="00394846">
            <w:pPr>
              <w:jc w:val="center"/>
              <w:rPr>
                <w:b/>
              </w:rPr>
            </w:pPr>
            <w:r w:rsidRPr="009F5443">
              <w:rPr>
                <w:b/>
              </w:rPr>
              <w:t>E 4</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9F5443" w:rsidRDefault="00BE1EFE" w:rsidP="00394846">
            <w:pPr>
              <w:jc w:val="center"/>
              <w:rPr>
                <w:b/>
              </w:rPr>
            </w:pPr>
            <w:r w:rsidRPr="009F5443">
              <w:rPr>
                <w:b/>
              </w:rPr>
              <w:t>E 5</w:t>
            </w:r>
          </w:p>
        </w:tc>
      </w:tr>
      <w:tr w:rsidR="00BE1EFE" w:rsidTr="00E87479">
        <w:trPr>
          <w:trHeight w:val="315"/>
          <w:jc w:val="center"/>
        </w:trPr>
        <w:tc>
          <w:tcPr>
            <w:tcW w:w="0" w:type="auto"/>
            <w:vMerge/>
            <w:tcBorders>
              <w:top w:val="nil"/>
              <w:left w:val="single" w:sz="8" w:space="0" w:color="auto"/>
              <w:bottom w:val="nil"/>
              <w:right w:val="single" w:sz="8" w:space="0" w:color="auto"/>
            </w:tcBorders>
            <w:vAlign w:val="center"/>
            <w:hideMark/>
          </w:tcPr>
          <w:p w:rsidR="00BE1EFE" w:rsidRPr="000B1AF8" w:rsidRDefault="00BE1EFE" w:rsidP="00394846">
            <w:pPr>
              <w:rPr>
                <w:sz w:val="24"/>
              </w:rPr>
            </w:pP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 - 10.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2.821,85</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2.936,88</w:t>
            </w:r>
          </w:p>
        </w:tc>
      </w:tr>
      <w:tr w:rsidR="00BE1EFE" w:rsidTr="00E87479">
        <w:trPr>
          <w:trHeight w:val="315"/>
          <w:jc w:val="center"/>
        </w:trPr>
        <w:tc>
          <w:tcPr>
            <w:tcW w:w="2561" w:type="dxa"/>
            <w:tcBorders>
              <w:top w:val="nil"/>
              <w:left w:val="single" w:sz="8" w:space="0" w:color="auto"/>
              <w:bottom w:val="nil"/>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Monatliche Arbeitszeit</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11. - 15.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3.016,11</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3.143,91</w:t>
            </w:r>
          </w:p>
        </w:tc>
      </w:tr>
      <w:tr w:rsidR="00BE1EFE" w:rsidTr="00E87479">
        <w:trPr>
          <w:trHeight w:val="315"/>
          <w:jc w:val="center"/>
        </w:trPr>
        <w:tc>
          <w:tcPr>
            <w:tcW w:w="2561"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ab 185 bis 196 Stunden</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ab 16.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3.099,19</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3.230,85</w:t>
            </w:r>
          </w:p>
        </w:tc>
      </w:tr>
      <w:tr w:rsidR="00BE1EFE" w:rsidTr="00E87479">
        <w:trPr>
          <w:trHeight w:val="315"/>
          <w:jc w:val="center"/>
        </w:trPr>
        <w:tc>
          <w:tcPr>
            <w:tcW w:w="2561" w:type="dxa"/>
            <w:vMerge w:val="restart"/>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Pauschalgruppe II</w:t>
            </w: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Stufen</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E87479" w:rsidRDefault="00BE1EFE" w:rsidP="00394846">
            <w:pPr>
              <w:jc w:val="center"/>
              <w:rPr>
                <w:b/>
              </w:rPr>
            </w:pPr>
            <w:r w:rsidRPr="00E87479">
              <w:rPr>
                <w:b/>
              </w:rPr>
              <w:t>E 4</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E87479" w:rsidRDefault="00BE1EFE" w:rsidP="00394846">
            <w:pPr>
              <w:jc w:val="center"/>
              <w:rPr>
                <w:b/>
              </w:rPr>
            </w:pPr>
            <w:r w:rsidRPr="00E87479">
              <w:rPr>
                <w:b/>
              </w:rPr>
              <w:t>E 5</w:t>
            </w:r>
          </w:p>
        </w:tc>
      </w:tr>
      <w:tr w:rsidR="00BE1EFE" w:rsidTr="00E87479">
        <w:trPr>
          <w:trHeight w:val="315"/>
          <w:jc w:val="center"/>
        </w:trPr>
        <w:tc>
          <w:tcPr>
            <w:tcW w:w="0" w:type="auto"/>
            <w:vMerge/>
            <w:tcBorders>
              <w:top w:val="nil"/>
              <w:left w:val="single" w:sz="8" w:space="0" w:color="auto"/>
              <w:bottom w:val="nil"/>
              <w:right w:val="single" w:sz="8" w:space="0" w:color="auto"/>
            </w:tcBorders>
            <w:vAlign w:val="center"/>
            <w:hideMark/>
          </w:tcPr>
          <w:p w:rsidR="00BE1EFE" w:rsidRPr="000B1AF8" w:rsidRDefault="00BE1EFE" w:rsidP="00394846">
            <w:pPr>
              <w:rPr>
                <w:sz w:val="24"/>
              </w:rPr>
            </w:pP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 - 10.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3.090,23</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3.205,27</w:t>
            </w:r>
          </w:p>
        </w:tc>
      </w:tr>
      <w:tr w:rsidR="00BE1EFE" w:rsidTr="00E87479">
        <w:trPr>
          <w:trHeight w:val="315"/>
          <w:jc w:val="center"/>
        </w:trPr>
        <w:tc>
          <w:tcPr>
            <w:tcW w:w="2561" w:type="dxa"/>
            <w:tcBorders>
              <w:top w:val="nil"/>
              <w:left w:val="single" w:sz="8" w:space="0" w:color="auto"/>
              <w:bottom w:val="nil"/>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Monatliche Arbeitszeit</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11. - 15.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3.293,44</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3.431,78</w:t>
            </w:r>
          </w:p>
        </w:tc>
      </w:tr>
      <w:tr w:rsidR="00BE1EFE" w:rsidTr="00E87479">
        <w:trPr>
          <w:trHeight w:val="315"/>
          <w:jc w:val="center"/>
        </w:trPr>
        <w:tc>
          <w:tcPr>
            <w:tcW w:w="2561"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über 196 bis 221 Stunden</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ab 16.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3.376,51</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3.521,27</w:t>
            </w:r>
          </w:p>
        </w:tc>
      </w:tr>
      <w:tr w:rsidR="00BE1EFE" w:rsidTr="00E87479">
        <w:trPr>
          <w:trHeight w:val="315"/>
          <w:jc w:val="center"/>
        </w:trPr>
        <w:tc>
          <w:tcPr>
            <w:tcW w:w="2561" w:type="dxa"/>
            <w:vMerge w:val="restart"/>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Pauschalgruppe III</w:t>
            </w: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Stufen</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B7121D" w:rsidRDefault="00BE1EFE" w:rsidP="00394846">
            <w:pPr>
              <w:jc w:val="center"/>
              <w:rPr>
                <w:b/>
              </w:rPr>
            </w:pPr>
            <w:r w:rsidRPr="00B7121D">
              <w:rPr>
                <w:b/>
              </w:rPr>
              <w:t>E 4</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B7121D" w:rsidRDefault="00BE1EFE" w:rsidP="00394846">
            <w:pPr>
              <w:jc w:val="center"/>
              <w:rPr>
                <w:b/>
              </w:rPr>
            </w:pPr>
            <w:r w:rsidRPr="00B7121D">
              <w:rPr>
                <w:b/>
              </w:rPr>
              <w:t>E 5</w:t>
            </w:r>
          </w:p>
        </w:tc>
      </w:tr>
      <w:tr w:rsidR="00BE1EFE" w:rsidTr="00E87479">
        <w:trPr>
          <w:trHeight w:val="315"/>
          <w:jc w:val="center"/>
        </w:trPr>
        <w:tc>
          <w:tcPr>
            <w:tcW w:w="0" w:type="auto"/>
            <w:vMerge/>
            <w:tcBorders>
              <w:top w:val="nil"/>
              <w:left w:val="single" w:sz="8" w:space="0" w:color="auto"/>
              <w:bottom w:val="nil"/>
              <w:right w:val="single" w:sz="8" w:space="0" w:color="auto"/>
            </w:tcBorders>
            <w:vAlign w:val="center"/>
            <w:hideMark/>
          </w:tcPr>
          <w:p w:rsidR="00BE1EFE" w:rsidRPr="000B1AF8" w:rsidRDefault="00BE1EFE" w:rsidP="00394846">
            <w:pPr>
              <w:rPr>
                <w:sz w:val="24"/>
              </w:rPr>
            </w:pP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 - 10.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3.384,19</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3.514,68</w:t>
            </w:r>
          </w:p>
        </w:tc>
      </w:tr>
      <w:tr w:rsidR="00BE1EFE" w:rsidTr="00E87479">
        <w:trPr>
          <w:trHeight w:val="315"/>
          <w:jc w:val="center"/>
        </w:trPr>
        <w:tc>
          <w:tcPr>
            <w:tcW w:w="2561" w:type="dxa"/>
            <w:tcBorders>
              <w:top w:val="nil"/>
              <w:left w:val="single" w:sz="8" w:space="0" w:color="auto"/>
              <w:bottom w:val="nil"/>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Monatliche Arbeitszeit</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11. - 15.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3.608,13</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3.764,79</w:t>
            </w:r>
          </w:p>
        </w:tc>
      </w:tr>
      <w:tr w:rsidR="00BE1EFE" w:rsidTr="00E87479">
        <w:trPr>
          <w:trHeight w:val="315"/>
          <w:jc w:val="center"/>
        </w:trPr>
        <w:tc>
          <w:tcPr>
            <w:tcW w:w="2561"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über 221 bis 244 Stunden</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ab 16.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3.693,73</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3.852,99</w:t>
            </w:r>
          </w:p>
        </w:tc>
      </w:tr>
      <w:tr w:rsidR="00BE1EFE" w:rsidTr="00E87479">
        <w:trPr>
          <w:trHeight w:val="315"/>
          <w:jc w:val="center"/>
        </w:trPr>
        <w:tc>
          <w:tcPr>
            <w:tcW w:w="2561" w:type="dxa"/>
            <w:vMerge w:val="restart"/>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Pauschalgruppe IV</w:t>
            </w: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Stufen</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B7121D" w:rsidRDefault="00BE1EFE" w:rsidP="00394846">
            <w:pPr>
              <w:jc w:val="center"/>
              <w:rPr>
                <w:b/>
              </w:rPr>
            </w:pPr>
            <w:r w:rsidRPr="00B7121D">
              <w:rPr>
                <w:b/>
              </w:rPr>
              <w:t>E 4</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B7121D" w:rsidRDefault="00BE1EFE" w:rsidP="00394846">
            <w:pPr>
              <w:jc w:val="center"/>
              <w:rPr>
                <w:b/>
              </w:rPr>
            </w:pPr>
            <w:r w:rsidRPr="00B7121D">
              <w:rPr>
                <w:b/>
              </w:rPr>
              <w:t>E 5</w:t>
            </w:r>
          </w:p>
        </w:tc>
      </w:tr>
      <w:tr w:rsidR="00BE1EFE" w:rsidTr="00E87479">
        <w:trPr>
          <w:trHeight w:val="315"/>
          <w:jc w:val="center"/>
        </w:trPr>
        <w:tc>
          <w:tcPr>
            <w:tcW w:w="0" w:type="auto"/>
            <w:vMerge/>
            <w:tcBorders>
              <w:top w:val="nil"/>
              <w:left w:val="single" w:sz="8" w:space="0" w:color="auto"/>
              <w:bottom w:val="nil"/>
              <w:right w:val="single" w:sz="8" w:space="0" w:color="auto"/>
            </w:tcBorders>
            <w:vAlign w:val="center"/>
            <w:hideMark/>
          </w:tcPr>
          <w:p w:rsidR="00BE1EFE" w:rsidRPr="000B1AF8" w:rsidRDefault="00BE1EFE" w:rsidP="00394846">
            <w:pPr>
              <w:rPr>
                <w:sz w:val="24"/>
              </w:rPr>
            </w:pP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 - 10.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3.791,12</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3.935,92</w:t>
            </w:r>
          </w:p>
        </w:tc>
      </w:tr>
      <w:tr w:rsidR="00BE1EFE" w:rsidTr="00E87479">
        <w:trPr>
          <w:trHeight w:val="315"/>
          <w:jc w:val="center"/>
        </w:trPr>
        <w:tc>
          <w:tcPr>
            <w:tcW w:w="2561" w:type="dxa"/>
            <w:tcBorders>
              <w:top w:val="nil"/>
              <w:left w:val="single" w:sz="8" w:space="0" w:color="auto"/>
              <w:bottom w:val="nil"/>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Monatliche Arbeitszeit</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11. - 15.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4.026,76</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4.200,50</w:t>
            </w:r>
          </w:p>
        </w:tc>
      </w:tr>
      <w:tr w:rsidR="00BE1EFE" w:rsidTr="00E87479">
        <w:trPr>
          <w:trHeight w:val="315"/>
          <w:jc w:val="center"/>
        </w:trPr>
        <w:tc>
          <w:tcPr>
            <w:tcW w:w="2561"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über 244 bis 268 Stunden</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ab 16.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4.112,30</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4.290,02</w:t>
            </w:r>
          </w:p>
        </w:tc>
      </w:tr>
      <w:tr w:rsidR="00BE1EFE" w:rsidTr="00E87479">
        <w:trPr>
          <w:trHeight w:val="315"/>
          <w:jc w:val="center"/>
        </w:trPr>
        <w:tc>
          <w:tcPr>
            <w:tcW w:w="2561" w:type="dxa"/>
            <w:vMerge w:val="restart"/>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Chefkraftfahrer</w:t>
            </w: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autoSpaceDE w:val="0"/>
              <w:jc w:val="center"/>
            </w:pPr>
            <w:r>
              <w:rPr>
                <w:rStyle w:val="Fett"/>
                <w:rFonts w:cs="Arial"/>
                <w:bCs/>
                <w:color w:val="000000"/>
              </w:rPr>
              <w:t>Stufen</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B7121D" w:rsidRDefault="00BE1EFE" w:rsidP="00394846">
            <w:pPr>
              <w:jc w:val="center"/>
              <w:rPr>
                <w:b/>
              </w:rPr>
            </w:pPr>
            <w:r w:rsidRPr="00B7121D">
              <w:rPr>
                <w:b/>
              </w:rPr>
              <w:t>E 4</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B7121D" w:rsidRDefault="00BE1EFE" w:rsidP="00394846">
            <w:pPr>
              <w:jc w:val="center"/>
              <w:rPr>
                <w:b/>
              </w:rPr>
            </w:pPr>
            <w:r w:rsidRPr="00B7121D">
              <w:rPr>
                <w:b/>
              </w:rPr>
              <w:t>E 5</w:t>
            </w:r>
          </w:p>
        </w:tc>
      </w:tr>
      <w:tr w:rsidR="00BE1EFE" w:rsidTr="00E87479">
        <w:trPr>
          <w:trHeight w:val="315"/>
          <w:jc w:val="center"/>
        </w:trPr>
        <w:tc>
          <w:tcPr>
            <w:tcW w:w="0" w:type="auto"/>
            <w:vMerge/>
            <w:tcBorders>
              <w:top w:val="nil"/>
              <w:left w:val="single" w:sz="8" w:space="0" w:color="auto"/>
              <w:bottom w:val="nil"/>
              <w:right w:val="single" w:sz="8" w:space="0" w:color="auto"/>
            </w:tcBorders>
            <w:vAlign w:val="center"/>
            <w:hideMark/>
          </w:tcPr>
          <w:p w:rsidR="00BE1EFE" w:rsidRPr="000B1AF8" w:rsidRDefault="00BE1EFE" w:rsidP="00394846">
            <w:pPr>
              <w:rPr>
                <w:sz w:val="24"/>
              </w:rPr>
            </w:pPr>
          </w:p>
        </w:tc>
        <w:tc>
          <w:tcPr>
            <w:tcW w:w="1333" w:type="dxa"/>
            <w:tcBorders>
              <w:top w:val="nil"/>
              <w:left w:val="nil"/>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 - 10.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4.304,49</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4.488,81</w:t>
            </w:r>
          </w:p>
        </w:tc>
      </w:tr>
      <w:tr w:rsidR="00BE1EFE" w:rsidTr="00E87479">
        <w:trPr>
          <w:trHeight w:val="315"/>
          <w:jc w:val="center"/>
        </w:trPr>
        <w:tc>
          <w:tcPr>
            <w:tcW w:w="2561" w:type="dxa"/>
            <w:tcBorders>
              <w:top w:val="nil"/>
              <w:left w:val="single" w:sz="8" w:space="0" w:color="auto"/>
              <w:bottom w:val="nil"/>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Monatliche Arbeitszeit</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11. - 15.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4.563,83</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4.761,27</w:t>
            </w:r>
          </w:p>
        </w:tc>
      </w:tr>
      <w:tr w:rsidR="00BE1EFE" w:rsidTr="00E87479">
        <w:trPr>
          <w:trHeight w:val="315"/>
          <w:jc w:val="center"/>
        </w:trPr>
        <w:tc>
          <w:tcPr>
            <w:tcW w:w="2561"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bis 288 Stunden</w:t>
            </w:r>
          </w:p>
        </w:tc>
        <w:tc>
          <w:tcPr>
            <w:tcW w:w="1333" w:type="dxa"/>
            <w:tcBorders>
              <w:top w:val="nil"/>
              <w:left w:val="single" w:sz="8" w:space="0" w:color="auto"/>
              <w:bottom w:val="single" w:sz="8" w:space="0" w:color="auto"/>
              <w:right w:val="nil"/>
            </w:tcBorders>
            <w:noWrap/>
            <w:tcMar>
              <w:top w:w="0" w:type="dxa"/>
              <w:left w:w="70" w:type="dxa"/>
              <w:bottom w:w="0" w:type="dxa"/>
              <w:right w:w="70" w:type="dxa"/>
            </w:tcMar>
            <w:vAlign w:val="center"/>
            <w:hideMark/>
          </w:tcPr>
          <w:p w:rsidR="00BE1EFE" w:rsidRPr="000B1AF8" w:rsidRDefault="00BE1EFE" w:rsidP="00394846">
            <w:pPr>
              <w:pStyle w:val="StandardWeb"/>
              <w:jc w:val="center"/>
            </w:pPr>
            <w:r>
              <w:rPr>
                <w:rFonts w:cs="Arial"/>
                <w:color w:val="000000"/>
              </w:rPr>
              <w:t>ab 16. Jahr</w:t>
            </w:r>
          </w:p>
        </w:tc>
        <w:tc>
          <w:tcPr>
            <w:tcW w:w="81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23D58" w:rsidRDefault="00BE1EFE" w:rsidP="00394846">
            <w:pPr>
              <w:jc w:val="center"/>
            </w:pPr>
            <w:r w:rsidRPr="00523D58">
              <w:t>4.649,40</w:t>
            </w:r>
          </w:p>
        </w:tc>
        <w:tc>
          <w:tcPr>
            <w:tcW w:w="813"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Default="00BE1EFE" w:rsidP="00394846">
            <w:pPr>
              <w:jc w:val="center"/>
            </w:pPr>
            <w:r w:rsidRPr="00523D58">
              <w:t>4.850,79</w:t>
            </w:r>
          </w:p>
        </w:tc>
      </w:tr>
    </w:tbl>
    <w:p w:rsidR="00BE1EFE" w:rsidRDefault="00BE1EFE">
      <w:pPr>
        <w:pStyle w:val="berschrift5"/>
      </w:pPr>
      <w:bookmarkStart w:id="794" w:name="_Toc523926320"/>
      <w:r>
        <w:t>Anlage 2 Pauschalentgelt für am 1. Oktober 2005 vorhandene Kraftfahrer/Kraftfahrerinnen (EURO)</w:t>
      </w:r>
      <w:bookmarkEnd w:id="794"/>
    </w:p>
    <w:p w:rsidR="00BE1EFE" w:rsidRPr="00B76821" w:rsidRDefault="00BE1EFE" w:rsidP="00B76821">
      <w:pPr>
        <w:pStyle w:val="berschrift6"/>
        <w:keepNext w:val="0"/>
        <w:spacing w:before="0" w:after="0"/>
        <w:rPr>
          <w:rStyle w:val="Fett"/>
          <w:rFonts w:cs="Arial"/>
          <w:bCs w:val="0"/>
          <w:color w:val="000000"/>
          <w:sz w:val="2"/>
          <w:szCs w:val="20"/>
        </w:rPr>
      </w:pPr>
    </w:p>
    <w:p w:rsidR="00BE1EFE" w:rsidRPr="00551DE9" w:rsidRDefault="00BE1EFE" w:rsidP="0054275E">
      <w:pPr>
        <w:pStyle w:val="StandardWeb"/>
        <w:autoSpaceDE w:val="0"/>
        <w:jc w:val="center"/>
        <w:rPr>
          <w:rFonts w:cs="Arial"/>
          <w:b/>
          <w:bCs/>
          <w:color w:val="000000"/>
          <w:sz w:val="20"/>
          <w:szCs w:val="20"/>
        </w:rPr>
      </w:pPr>
      <w:r w:rsidRPr="00551DE9">
        <w:rPr>
          <w:rStyle w:val="Fett"/>
          <w:rFonts w:cs="Arial"/>
          <w:bCs/>
          <w:color w:val="000000"/>
          <w:sz w:val="20"/>
          <w:szCs w:val="20"/>
        </w:rPr>
        <w:lastRenderedPageBreak/>
        <w:t>Pauschalentgelt für am 1. Oktober 2005</w:t>
      </w:r>
    </w:p>
    <w:p w:rsidR="00BE1EFE" w:rsidRPr="00551DE9" w:rsidRDefault="00BE1EFE" w:rsidP="0054275E">
      <w:pPr>
        <w:pStyle w:val="StandardWeb"/>
        <w:autoSpaceDE w:val="0"/>
        <w:jc w:val="center"/>
        <w:rPr>
          <w:rFonts w:cs="Arial"/>
          <w:b/>
          <w:bCs/>
          <w:color w:val="000000"/>
          <w:sz w:val="20"/>
          <w:szCs w:val="20"/>
        </w:rPr>
      </w:pPr>
      <w:r w:rsidRPr="00551DE9">
        <w:rPr>
          <w:rStyle w:val="Fett"/>
          <w:rFonts w:cs="Arial"/>
          <w:bCs/>
          <w:color w:val="000000"/>
          <w:sz w:val="20"/>
          <w:szCs w:val="20"/>
        </w:rPr>
        <w:t>vorhandene Kraftfahrer/Kraftfahrerinnen*</w:t>
      </w:r>
    </w:p>
    <w:p w:rsidR="00BE1EFE" w:rsidRDefault="00BE1EFE" w:rsidP="0054275E">
      <w:pPr>
        <w:pStyle w:val="StandardWeb"/>
        <w:autoSpaceDE w:val="0"/>
        <w:jc w:val="center"/>
        <w:rPr>
          <w:rStyle w:val="Fett"/>
          <w:rFonts w:cs="Arial"/>
          <w:bCs/>
          <w:color w:val="000000"/>
          <w:szCs w:val="16"/>
        </w:rPr>
      </w:pPr>
      <w:r>
        <w:rPr>
          <w:rStyle w:val="Fett"/>
          <w:rFonts w:cs="Arial"/>
          <w:bCs/>
          <w:color w:val="000000"/>
          <w:szCs w:val="16"/>
        </w:rPr>
        <w:t xml:space="preserve">gültig </w:t>
      </w:r>
      <w:r>
        <w:rPr>
          <w:rStyle w:val="Fett"/>
          <w:rFonts w:cs="Arial"/>
          <w:bCs/>
          <w:color w:val="000000"/>
        </w:rPr>
        <w:t xml:space="preserve">vom </w:t>
      </w:r>
      <w:r w:rsidRPr="009E4723">
        <w:rPr>
          <w:rStyle w:val="Fett"/>
          <w:rFonts w:cs="Arial"/>
          <w:bCs/>
          <w:color w:val="000000"/>
        </w:rPr>
        <w:t>1. März 2018 bis 31. März 2019</w:t>
      </w:r>
    </w:p>
    <w:p w:rsidR="00BE1EFE" w:rsidRPr="002E7C4B" w:rsidRDefault="00BE1EFE" w:rsidP="0054275E">
      <w:pPr>
        <w:pStyle w:val="StandardWeb"/>
        <w:autoSpaceDE w:val="0"/>
        <w:jc w:val="center"/>
        <w:rPr>
          <w:rFonts w:cs="Arial"/>
          <w:b/>
          <w:bCs/>
          <w:color w:val="000000"/>
          <w:szCs w:val="16"/>
        </w:rPr>
      </w:pPr>
    </w:p>
    <w:p w:rsidR="00BE1EFE" w:rsidRDefault="00BE1EFE">
      <w:pPr>
        <w:pStyle w:val="StandardWeb"/>
        <w:jc w:val="center"/>
        <w:rPr>
          <w:rFonts w:cs="Arial"/>
          <w:color w:val="000000"/>
          <w:szCs w:val="16"/>
        </w:rPr>
      </w:pPr>
      <w:r>
        <w:rPr>
          <w:rFonts w:cs="Arial"/>
          <w:color w:val="000000"/>
          <w:szCs w:val="16"/>
        </w:rPr>
        <w:t>(monatlich in Euro)</w:t>
      </w:r>
    </w:p>
    <w:p w:rsidR="00BE1EFE" w:rsidRPr="000B1AF8" w:rsidRDefault="00BE1EFE">
      <w:pPr>
        <w:pStyle w:val="StandardWeb"/>
        <w:jc w:val="center"/>
      </w:pPr>
    </w:p>
    <w:tbl>
      <w:tblPr>
        <w:tblW w:w="6237" w:type="dxa"/>
        <w:jc w:val="center"/>
        <w:tblCellMar>
          <w:left w:w="0" w:type="dxa"/>
          <w:right w:w="0" w:type="dxa"/>
        </w:tblCellMar>
        <w:tblLook w:val="04A0" w:firstRow="1" w:lastRow="0" w:firstColumn="1" w:lastColumn="0" w:noHBand="0" w:noVBand="1"/>
      </w:tblPr>
      <w:tblGrid>
        <w:gridCol w:w="2834"/>
        <w:gridCol w:w="1481"/>
        <w:gridCol w:w="961"/>
        <w:gridCol w:w="961"/>
      </w:tblGrid>
      <w:tr w:rsidR="00BE1EFE" w:rsidTr="00E87479">
        <w:trPr>
          <w:trHeight w:val="227"/>
          <w:jc w:val="center"/>
        </w:trPr>
        <w:tc>
          <w:tcPr>
            <w:tcW w:w="2712" w:type="dxa"/>
            <w:vMerge w:val="restart"/>
            <w:tcBorders>
              <w:top w:val="single" w:sz="8" w:space="0" w:color="auto"/>
              <w:left w:val="single" w:sz="8" w:space="0" w:color="auto"/>
              <w:right w:val="single" w:sz="8" w:space="0" w:color="auto"/>
            </w:tcBorders>
            <w:noWrap/>
            <w:tcMar>
              <w:top w:w="0" w:type="dxa"/>
              <w:left w:w="70" w:type="dxa"/>
              <w:bottom w:w="0" w:type="dxa"/>
              <w:right w:w="70" w:type="dxa"/>
            </w:tcMar>
            <w:vAlign w:val="center"/>
            <w:hideMark/>
          </w:tcPr>
          <w:p w:rsidR="00BE1EFE" w:rsidRDefault="00BE1EFE" w:rsidP="00394846">
            <w:pPr>
              <w:jc w:val="center"/>
              <w:rPr>
                <w:rStyle w:val="Fett"/>
                <w:rFonts w:cs="Arial"/>
                <w:bCs/>
                <w:color w:val="000000"/>
                <w:szCs w:val="16"/>
              </w:rPr>
            </w:pPr>
          </w:p>
          <w:p w:rsidR="00BE1EFE" w:rsidRDefault="00BE1EFE" w:rsidP="00394846">
            <w:pPr>
              <w:jc w:val="center"/>
              <w:rPr>
                <w:sz w:val="24"/>
              </w:rPr>
            </w:pPr>
            <w:r>
              <w:rPr>
                <w:rStyle w:val="Fett"/>
                <w:rFonts w:cs="Arial"/>
                <w:bCs/>
                <w:color w:val="000000"/>
                <w:szCs w:val="16"/>
              </w:rPr>
              <w:t>Pauschalgruppe I</w:t>
            </w:r>
          </w:p>
        </w:tc>
        <w:tc>
          <w:tcPr>
            <w:tcW w:w="1418" w:type="dxa"/>
            <w:tcBorders>
              <w:top w:val="single" w:sz="8" w:space="0" w:color="auto"/>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autoSpaceDE w:val="0"/>
              <w:spacing w:line="227" w:lineRule="atLeast"/>
              <w:jc w:val="center"/>
              <w:rPr>
                <w:sz w:val="24"/>
              </w:rPr>
            </w:pPr>
            <w:r>
              <w:rPr>
                <w:rStyle w:val="Fett"/>
                <w:rFonts w:cs="Arial"/>
                <w:bCs/>
                <w:color w:val="000000"/>
                <w:szCs w:val="16"/>
              </w:rPr>
              <w:t>Stufen</w:t>
            </w:r>
          </w:p>
        </w:tc>
        <w:tc>
          <w:tcPr>
            <w:tcW w:w="9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9F5443" w:rsidRDefault="00BE1EFE" w:rsidP="00394846">
            <w:pPr>
              <w:jc w:val="center"/>
              <w:rPr>
                <w:b/>
              </w:rPr>
            </w:pPr>
            <w:r w:rsidRPr="009F5443">
              <w:rPr>
                <w:b/>
              </w:rPr>
              <w:t>E 4</w:t>
            </w:r>
          </w:p>
        </w:tc>
        <w:tc>
          <w:tcPr>
            <w:tcW w:w="9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E1EFE" w:rsidRPr="009F5443" w:rsidRDefault="00BE1EFE" w:rsidP="00394846">
            <w:pPr>
              <w:jc w:val="center"/>
              <w:rPr>
                <w:b/>
              </w:rPr>
            </w:pPr>
            <w:r w:rsidRPr="009F5443">
              <w:rPr>
                <w:b/>
              </w:rPr>
              <w:t>E 5</w:t>
            </w:r>
          </w:p>
        </w:tc>
      </w:tr>
      <w:tr w:rsidR="00BE1EFE" w:rsidTr="00E87479">
        <w:trPr>
          <w:trHeight w:val="227"/>
          <w:jc w:val="center"/>
        </w:trPr>
        <w:tc>
          <w:tcPr>
            <w:tcW w:w="2712" w:type="dxa"/>
            <w:vMerge/>
            <w:tcBorders>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jc w:val="center"/>
              <w:rPr>
                <w:sz w:val="22"/>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1. - 4.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2.880,66</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3.002,04</w:t>
            </w:r>
          </w:p>
        </w:tc>
      </w:tr>
      <w:tr w:rsidR="00BE1EFE" w:rsidTr="00E87479">
        <w:trPr>
          <w:trHeight w:val="227"/>
          <w:jc w:val="center"/>
        </w:trPr>
        <w:tc>
          <w:tcPr>
            <w:tcW w:w="2712"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jc w:val="center"/>
              <w:rPr>
                <w:sz w:val="24"/>
              </w:rPr>
            </w:pPr>
            <w:r>
              <w:rPr>
                <w:rFonts w:cs="Arial"/>
                <w:color w:val="000000"/>
                <w:szCs w:val="16"/>
              </w:rPr>
              <w:t>Monatliche Arbeitszeit</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5. - 8.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2.935,61</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3.059,58</w:t>
            </w:r>
          </w:p>
        </w:tc>
      </w:tr>
      <w:tr w:rsidR="00BE1EFE" w:rsidTr="00E87479">
        <w:trPr>
          <w:trHeight w:val="227"/>
          <w:jc w:val="center"/>
        </w:trPr>
        <w:tc>
          <w:tcPr>
            <w:tcW w:w="2712"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Default="00BE1EFE" w:rsidP="00394846">
            <w:pPr>
              <w:jc w:val="center"/>
              <w:rPr>
                <w:sz w:val="24"/>
              </w:rPr>
            </w:pPr>
            <w:r>
              <w:rPr>
                <w:rFonts w:cs="Arial"/>
                <w:color w:val="000000"/>
                <w:szCs w:val="16"/>
              </w:rPr>
              <w:t>ab 170 bis 196 Stunden</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9. - 12.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3.016,11</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3.143,91</w:t>
            </w:r>
          </w:p>
        </w:tc>
      </w:tr>
      <w:tr w:rsidR="00BE1EFE" w:rsidTr="00E87479">
        <w:trPr>
          <w:trHeight w:val="227"/>
          <w:jc w:val="center"/>
        </w:trPr>
        <w:tc>
          <w:tcPr>
            <w:tcW w:w="0" w:type="auto"/>
            <w:vMerge/>
            <w:tcBorders>
              <w:top w:val="nil"/>
              <w:left w:val="single" w:sz="8" w:space="0" w:color="auto"/>
              <w:bottom w:val="single" w:sz="8" w:space="0" w:color="auto"/>
              <w:right w:val="single" w:sz="8" w:space="0" w:color="auto"/>
            </w:tcBorders>
            <w:vAlign w:val="center"/>
            <w:hideMark/>
          </w:tcPr>
          <w:p w:rsidR="00BE1EFE" w:rsidRDefault="00BE1EFE" w:rsidP="00394846">
            <w:pPr>
              <w:rPr>
                <w:sz w:val="24"/>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ab 13.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3.099,19</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3.230,85</w:t>
            </w:r>
          </w:p>
        </w:tc>
      </w:tr>
      <w:tr w:rsidR="00BE1EFE" w:rsidTr="00E87479">
        <w:trPr>
          <w:trHeight w:val="227"/>
          <w:jc w:val="center"/>
        </w:trPr>
        <w:tc>
          <w:tcPr>
            <w:tcW w:w="2712"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BE1EFE" w:rsidRDefault="00BE1EFE" w:rsidP="00394846">
            <w:pPr>
              <w:autoSpaceDE w:val="0"/>
              <w:jc w:val="center"/>
              <w:rPr>
                <w:sz w:val="24"/>
              </w:rPr>
            </w:pPr>
            <w:r>
              <w:rPr>
                <w:rStyle w:val="Fett"/>
                <w:rFonts w:cs="Arial"/>
                <w:bCs/>
                <w:color w:val="000000"/>
                <w:szCs w:val="16"/>
              </w:rPr>
              <w:t>Pauschalgruppe II</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autoSpaceDE w:val="0"/>
              <w:spacing w:line="227" w:lineRule="atLeast"/>
              <w:jc w:val="center"/>
              <w:rPr>
                <w:sz w:val="24"/>
              </w:rPr>
            </w:pPr>
            <w:r>
              <w:rPr>
                <w:rStyle w:val="Fett"/>
                <w:rFonts w:cs="Arial"/>
                <w:bCs/>
                <w:color w:val="000000"/>
                <w:szCs w:val="16"/>
              </w:rPr>
              <w:t>Stufen</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9E4723" w:rsidRDefault="00BE1EFE" w:rsidP="00394846">
            <w:pPr>
              <w:jc w:val="center"/>
              <w:rPr>
                <w:b/>
              </w:rPr>
            </w:pPr>
            <w:r w:rsidRPr="009E4723">
              <w:rPr>
                <w:b/>
              </w:rPr>
              <w:t>E 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9E4723" w:rsidRDefault="00BE1EFE" w:rsidP="00394846">
            <w:pPr>
              <w:jc w:val="center"/>
              <w:rPr>
                <w:b/>
              </w:rPr>
            </w:pPr>
            <w:r w:rsidRPr="009E4723">
              <w:rPr>
                <w:b/>
              </w:rPr>
              <w:t>E 5</w:t>
            </w:r>
          </w:p>
        </w:tc>
      </w:tr>
      <w:tr w:rsidR="00BE1EFE" w:rsidTr="00E87479">
        <w:trPr>
          <w:trHeight w:val="227"/>
          <w:jc w:val="center"/>
        </w:trPr>
        <w:tc>
          <w:tcPr>
            <w:tcW w:w="2712" w:type="dxa"/>
            <w:vMerge/>
            <w:tcBorders>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rPr>
                <w:sz w:val="22"/>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1. - 4.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3.157,99</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3.290,89</w:t>
            </w:r>
          </w:p>
        </w:tc>
      </w:tr>
      <w:tr w:rsidR="00BE1EFE" w:rsidTr="00E87479">
        <w:trPr>
          <w:trHeight w:val="227"/>
          <w:jc w:val="center"/>
        </w:trPr>
        <w:tc>
          <w:tcPr>
            <w:tcW w:w="2712"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jc w:val="center"/>
              <w:rPr>
                <w:sz w:val="24"/>
              </w:rPr>
            </w:pPr>
            <w:r>
              <w:rPr>
                <w:rFonts w:cs="Arial"/>
                <w:color w:val="000000"/>
                <w:szCs w:val="16"/>
              </w:rPr>
              <w:t>Monatliche Arbeitszeit</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5. - 8.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3.212,93</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3.348,38</w:t>
            </w:r>
          </w:p>
        </w:tc>
      </w:tr>
      <w:tr w:rsidR="00BE1EFE" w:rsidTr="00E87479">
        <w:trPr>
          <w:trHeight w:val="227"/>
          <w:jc w:val="center"/>
        </w:trPr>
        <w:tc>
          <w:tcPr>
            <w:tcW w:w="2712"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Default="00BE1EFE" w:rsidP="00394846">
            <w:pPr>
              <w:jc w:val="center"/>
              <w:rPr>
                <w:sz w:val="24"/>
              </w:rPr>
            </w:pPr>
            <w:r>
              <w:rPr>
                <w:rFonts w:cs="Arial"/>
                <w:color w:val="000000"/>
                <w:szCs w:val="16"/>
              </w:rPr>
              <w:t>über 196 bis 221 Stunden</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9. - 12.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3.293,44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3.431,78</w:t>
            </w:r>
          </w:p>
        </w:tc>
      </w:tr>
      <w:tr w:rsidR="00BE1EFE" w:rsidTr="00E87479">
        <w:trPr>
          <w:trHeight w:val="227"/>
          <w:jc w:val="center"/>
        </w:trPr>
        <w:tc>
          <w:tcPr>
            <w:tcW w:w="0" w:type="auto"/>
            <w:vMerge/>
            <w:tcBorders>
              <w:top w:val="nil"/>
              <w:left w:val="single" w:sz="8" w:space="0" w:color="auto"/>
              <w:bottom w:val="single" w:sz="8" w:space="0" w:color="auto"/>
              <w:right w:val="single" w:sz="8" w:space="0" w:color="auto"/>
            </w:tcBorders>
            <w:vAlign w:val="center"/>
            <w:hideMark/>
          </w:tcPr>
          <w:p w:rsidR="00BE1EFE" w:rsidRDefault="00BE1EFE" w:rsidP="00394846">
            <w:pPr>
              <w:rPr>
                <w:sz w:val="24"/>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ab 13.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3.376,51</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3.521,27</w:t>
            </w:r>
          </w:p>
        </w:tc>
      </w:tr>
      <w:tr w:rsidR="00BE1EFE" w:rsidTr="00E87479">
        <w:trPr>
          <w:trHeight w:val="227"/>
          <w:jc w:val="center"/>
        </w:trPr>
        <w:tc>
          <w:tcPr>
            <w:tcW w:w="2712"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BE1EFE" w:rsidRDefault="00BE1EFE" w:rsidP="00394846">
            <w:pPr>
              <w:autoSpaceDE w:val="0"/>
              <w:jc w:val="center"/>
              <w:rPr>
                <w:sz w:val="24"/>
              </w:rPr>
            </w:pPr>
            <w:r>
              <w:rPr>
                <w:rStyle w:val="Fett"/>
                <w:rFonts w:cs="Arial"/>
                <w:bCs/>
                <w:color w:val="000000"/>
                <w:szCs w:val="16"/>
              </w:rPr>
              <w:t>Pauschalgruppe III</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autoSpaceDE w:val="0"/>
              <w:spacing w:line="227" w:lineRule="atLeast"/>
              <w:jc w:val="center"/>
              <w:rPr>
                <w:sz w:val="24"/>
              </w:rPr>
            </w:pPr>
            <w:r>
              <w:rPr>
                <w:rStyle w:val="Fett"/>
                <w:rFonts w:cs="Arial"/>
                <w:bCs/>
                <w:color w:val="000000"/>
                <w:szCs w:val="16"/>
              </w:rPr>
              <w:t>Stufen</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9E4723" w:rsidRDefault="00BE1EFE" w:rsidP="00394846">
            <w:pPr>
              <w:jc w:val="center"/>
              <w:rPr>
                <w:b/>
              </w:rPr>
            </w:pPr>
            <w:r w:rsidRPr="009E4723">
              <w:rPr>
                <w:b/>
              </w:rPr>
              <w:t>E 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9E4723" w:rsidRDefault="00BE1EFE" w:rsidP="00394846">
            <w:pPr>
              <w:jc w:val="center"/>
              <w:rPr>
                <w:b/>
              </w:rPr>
            </w:pPr>
            <w:r w:rsidRPr="009E4723">
              <w:rPr>
                <w:b/>
              </w:rPr>
              <w:t>E 5</w:t>
            </w:r>
          </w:p>
        </w:tc>
      </w:tr>
      <w:tr w:rsidR="00BE1EFE" w:rsidTr="00E87479">
        <w:trPr>
          <w:trHeight w:val="227"/>
          <w:jc w:val="center"/>
        </w:trPr>
        <w:tc>
          <w:tcPr>
            <w:tcW w:w="2712" w:type="dxa"/>
            <w:vMerge/>
            <w:tcBorders>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rPr>
                <w:sz w:val="22"/>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1. - 4.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3.468,62</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3.618,68</w:t>
            </w:r>
          </w:p>
        </w:tc>
      </w:tr>
      <w:tr w:rsidR="00BE1EFE" w:rsidTr="00E87479">
        <w:trPr>
          <w:trHeight w:val="227"/>
          <w:jc w:val="center"/>
        </w:trPr>
        <w:tc>
          <w:tcPr>
            <w:tcW w:w="2712"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jc w:val="center"/>
              <w:rPr>
                <w:sz w:val="24"/>
              </w:rPr>
            </w:pPr>
            <w:r>
              <w:rPr>
                <w:rFonts w:cs="Arial"/>
                <w:color w:val="000000"/>
                <w:szCs w:val="16"/>
              </w:rPr>
              <w:t>Monatliche Arbeitszeit</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5. - 8.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3.525,22</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3.677,93</w:t>
            </w:r>
          </w:p>
        </w:tc>
      </w:tr>
      <w:tr w:rsidR="00BE1EFE" w:rsidTr="00E87479">
        <w:trPr>
          <w:trHeight w:val="227"/>
          <w:jc w:val="center"/>
        </w:trPr>
        <w:tc>
          <w:tcPr>
            <w:tcW w:w="2712"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Default="00BE1EFE" w:rsidP="00394846">
            <w:pPr>
              <w:jc w:val="center"/>
              <w:rPr>
                <w:sz w:val="24"/>
              </w:rPr>
            </w:pPr>
            <w:r>
              <w:rPr>
                <w:rFonts w:cs="Arial"/>
                <w:color w:val="000000"/>
                <w:szCs w:val="16"/>
              </w:rPr>
              <w:t>über 221 bis 244 Stunden</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9. - 12.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3.608,13</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3.764,79</w:t>
            </w:r>
          </w:p>
        </w:tc>
      </w:tr>
      <w:tr w:rsidR="00BE1EFE" w:rsidTr="00E87479">
        <w:trPr>
          <w:trHeight w:val="227"/>
          <w:jc w:val="center"/>
        </w:trPr>
        <w:tc>
          <w:tcPr>
            <w:tcW w:w="0" w:type="auto"/>
            <w:vMerge/>
            <w:tcBorders>
              <w:top w:val="nil"/>
              <w:left w:val="single" w:sz="8" w:space="0" w:color="auto"/>
              <w:bottom w:val="single" w:sz="8" w:space="0" w:color="auto"/>
              <w:right w:val="single" w:sz="8" w:space="0" w:color="auto"/>
            </w:tcBorders>
            <w:vAlign w:val="center"/>
            <w:hideMark/>
          </w:tcPr>
          <w:p w:rsidR="00BE1EFE" w:rsidRDefault="00BE1EFE" w:rsidP="00394846">
            <w:pPr>
              <w:rPr>
                <w:sz w:val="24"/>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ab 13.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3.693,73</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3.852,99</w:t>
            </w:r>
          </w:p>
        </w:tc>
      </w:tr>
      <w:tr w:rsidR="00BE1EFE" w:rsidTr="00E87479">
        <w:trPr>
          <w:trHeight w:val="227"/>
          <w:jc w:val="center"/>
        </w:trPr>
        <w:tc>
          <w:tcPr>
            <w:tcW w:w="2712"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BE1EFE" w:rsidRDefault="00BE1EFE" w:rsidP="00394846">
            <w:pPr>
              <w:autoSpaceDE w:val="0"/>
              <w:jc w:val="center"/>
              <w:rPr>
                <w:sz w:val="24"/>
              </w:rPr>
            </w:pPr>
            <w:r>
              <w:rPr>
                <w:rStyle w:val="Fett"/>
                <w:rFonts w:cs="Arial"/>
                <w:bCs/>
                <w:color w:val="000000"/>
                <w:szCs w:val="16"/>
              </w:rPr>
              <w:t>Pauschalgruppe IV</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autoSpaceDE w:val="0"/>
              <w:spacing w:line="227" w:lineRule="atLeast"/>
              <w:jc w:val="center"/>
              <w:rPr>
                <w:sz w:val="24"/>
              </w:rPr>
            </w:pPr>
            <w:r>
              <w:rPr>
                <w:rStyle w:val="Fett"/>
                <w:rFonts w:cs="Arial"/>
                <w:bCs/>
                <w:color w:val="000000"/>
                <w:szCs w:val="16"/>
              </w:rPr>
              <w:t>Stufen</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E 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E 5</w:t>
            </w:r>
          </w:p>
        </w:tc>
      </w:tr>
      <w:tr w:rsidR="00BE1EFE" w:rsidTr="00E87479">
        <w:trPr>
          <w:trHeight w:val="227"/>
          <w:jc w:val="center"/>
        </w:trPr>
        <w:tc>
          <w:tcPr>
            <w:tcW w:w="2712" w:type="dxa"/>
            <w:vMerge/>
            <w:tcBorders>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rPr>
                <w:sz w:val="22"/>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1. - 4.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3.887,20</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4.054,38</w:t>
            </w:r>
          </w:p>
        </w:tc>
      </w:tr>
      <w:tr w:rsidR="00BE1EFE" w:rsidTr="00E87479">
        <w:trPr>
          <w:trHeight w:val="227"/>
          <w:jc w:val="center"/>
        </w:trPr>
        <w:tc>
          <w:tcPr>
            <w:tcW w:w="2712"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jc w:val="center"/>
              <w:rPr>
                <w:sz w:val="24"/>
              </w:rPr>
            </w:pPr>
            <w:r>
              <w:rPr>
                <w:rFonts w:cs="Arial"/>
                <w:color w:val="000000"/>
                <w:szCs w:val="16"/>
              </w:rPr>
              <w:t>Monatliche Arbeitszeit</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5. - 8.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3.943,82</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4.113,64</w:t>
            </w:r>
          </w:p>
        </w:tc>
      </w:tr>
      <w:tr w:rsidR="00BE1EFE" w:rsidTr="00E87479">
        <w:trPr>
          <w:trHeight w:val="227"/>
          <w:jc w:val="center"/>
        </w:trPr>
        <w:tc>
          <w:tcPr>
            <w:tcW w:w="2712" w:type="dxa"/>
            <w:vMerge w:val="restart"/>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Default="00BE1EFE" w:rsidP="00394846">
            <w:pPr>
              <w:jc w:val="center"/>
              <w:rPr>
                <w:sz w:val="24"/>
              </w:rPr>
            </w:pPr>
            <w:r>
              <w:rPr>
                <w:rFonts w:cs="Arial"/>
                <w:color w:val="000000"/>
                <w:szCs w:val="16"/>
              </w:rPr>
              <w:t>über 244 bis 268 Stunden</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9. - 12.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4.026,76</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4.200,50</w:t>
            </w:r>
          </w:p>
        </w:tc>
      </w:tr>
      <w:tr w:rsidR="00BE1EFE" w:rsidTr="00E87479">
        <w:trPr>
          <w:trHeight w:val="227"/>
          <w:jc w:val="center"/>
        </w:trPr>
        <w:tc>
          <w:tcPr>
            <w:tcW w:w="0" w:type="auto"/>
            <w:vMerge/>
            <w:tcBorders>
              <w:top w:val="nil"/>
              <w:left w:val="single" w:sz="8" w:space="0" w:color="auto"/>
              <w:bottom w:val="single" w:sz="8" w:space="0" w:color="auto"/>
              <w:right w:val="single" w:sz="8" w:space="0" w:color="auto"/>
            </w:tcBorders>
            <w:vAlign w:val="center"/>
            <w:hideMark/>
          </w:tcPr>
          <w:p w:rsidR="00BE1EFE" w:rsidRDefault="00BE1EFE" w:rsidP="00394846">
            <w:pPr>
              <w:rPr>
                <w:sz w:val="24"/>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ab 13.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4.112,30</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4.290,02</w:t>
            </w:r>
          </w:p>
        </w:tc>
      </w:tr>
      <w:tr w:rsidR="00BE1EFE" w:rsidTr="00E87479">
        <w:trPr>
          <w:trHeight w:val="227"/>
          <w:jc w:val="center"/>
        </w:trPr>
        <w:tc>
          <w:tcPr>
            <w:tcW w:w="2712" w:type="dxa"/>
            <w:vMerge w:val="restart"/>
            <w:tcBorders>
              <w:top w:val="nil"/>
              <w:left w:val="single" w:sz="8" w:space="0" w:color="auto"/>
              <w:right w:val="single" w:sz="8" w:space="0" w:color="auto"/>
            </w:tcBorders>
            <w:noWrap/>
            <w:tcMar>
              <w:top w:w="0" w:type="dxa"/>
              <w:left w:w="70" w:type="dxa"/>
              <w:bottom w:w="0" w:type="dxa"/>
              <w:right w:w="70" w:type="dxa"/>
            </w:tcMar>
            <w:vAlign w:val="center"/>
            <w:hideMark/>
          </w:tcPr>
          <w:p w:rsidR="00BE1EFE" w:rsidRDefault="00BE1EFE" w:rsidP="00394846">
            <w:pPr>
              <w:autoSpaceDE w:val="0"/>
              <w:jc w:val="center"/>
              <w:rPr>
                <w:sz w:val="24"/>
              </w:rPr>
            </w:pPr>
            <w:r>
              <w:rPr>
                <w:rStyle w:val="Fett"/>
                <w:rFonts w:cs="Arial"/>
                <w:bCs/>
                <w:color w:val="000000"/>
                <w:szCs w:val="16"/>
              </w:rPr>
              <w:t>Chefkraftfahrer</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autoSpaceDE w:val="0"/>
              <w:spacing w:line="227" w:lineRule="atLeast"/>
              <w:jc w:val="center"/>
              <w:rPr>
                <w:sz w:val="24"/>
              </w:rPr>
            </w:pPr>
            <w:r>
              <w:rPr>
                <w:rStyle w:val="Fett"/>
                <w:rFonts w:cs="Arial"/>
                <w:bCs/>
                <w:color w:val="000000"/>
                <w:szCs w:val="16"/>
              </w:rPr>
              <w:t>Stufen</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9E4723" w:rsidRDefault="00BE1EFE" w:rsidP="00394846">
            <w:pPr>
              <w:jc w:val="center"/>
              <w:rPr>
                <w:b/>
              </w:rPr>
            </w:pPr>
            <w:r w:rsidRPr="009E4723">
              <w:rPr>
                <w:b/>
              </w:rPr>
              <w:t>E 4</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9E4723" w:rsidRDefault="00BE1EFE" w:rsidP="00394846">
            <w:pPr>
              <w:jc w:val="center"/>
              <w:rPr>
                <w:b/>
              </w:rPr>
            </w:pPr>
            <w:r w:rsidRPr="009E4723">
              <w:rPr>
                <w:b/>
              </w:rPr>
              <w:t>E 5</w:t>
            </w:r>
          </w:p>
        </w:tc>
      </w:tr>
      <w:tr w:rsidR="00BE1EFE" w:rsidTr="00E87479">
        <w:trPr>
          <w:trHeight w:val="227"/>
          <w:jc w:val="center"/>
        </w:trPr>
        <w:tc>
          <w:tcPr>
            <w:tcW w:w="2712" w:type="dxa"/>
            <w:vMerge/>
            <w:tcBorders>
              <w:left w:val="single" w:sz="8" w:space="0" w:color="auto"/>
              <w:bottom w:val="nil"/>
              <w:right w:val="single" w:sz="8" w:space="0" w:color="auto"/>
            </w:tcBorders>
            <w:tcMar>
              <w:top w:w="0" w:type="dxa"/>
              <w:left w:w="70" w:type="dxa"/>
              <w:bottom w:w="0" w:type="dxa"/>
              <w:right w:w="70" w:type="dxa"/>
            </w:tcMar>
            <w:vAlign w:val="center"/>
            <w:hideMark/>
          </w:tcPr>
          <w:p w:rsidR="00BE1EFE" w:rsidRDefault="00BE1EFE" w:rsidP="00394846">
            <w:pPr>
              <w:rPr>
                <w:sz w:val="22"/>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1. - 4.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4.424,29</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4.615,17</w:t>
            </w:r>
          </w:p>
        </w:tc>
      </w:tr>
      <w:tr w:rsidR="00BE1EFE" w:rsidTr="00E87479">
        <w:trPr>
          <w:trHeight w:val="227"/>
          <w:jc w:val="center"/>
        </w:trPr>
        <w:tc>
          <w:tcPr>
            <w:tcW w:w="2712"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Pr="00626C61" w:rsidRDefault="00BE1EFE" w:rsidP="00394846">
            <w:pPr>
              <w:jc w:val="center"/>
              <w:rPr>
                <w:rFonts w:cs="Arial"/>
                <w:color w:val="000000"/>
                <w:szCs w:val="16"/>
              </w:rPr>
            </w:pPr>
            <w:r>
              <w:rPr>
                <w:rFonts w:cs="Arial"/>
                <w:color w:val="000000"/>
                <w:szCs w:val="16"/>
              </w:rPr>
              <w:t>Monatliche Arbeitszeit</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5. - 8.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4.480,90</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4.674,40</w:t>
            </w:r>
          </w:p>
        </w:tc>
      </w:tr>
      <w:tr w:rsidR="00BE1EFE" w:rsidTr="00E87479">
        <w:trPr>
          <w:trHeight w:val="227"/>
          <w:jc w:val="center"/>
        </w:trPr>
        <w:tc>
          <w:tcPr>
            <w:tcW w:w="2712" w:type="dxa"/>
            <w:tcBorders>
              <w:top w:val="nil"/>
              <w:left w:val="single" w:sz="8" w:space="0" w:color="auto"/>
              <w:bottom w:val="nil"/>
              <w:right w:val="single" w:sz="8" w:space="0" w:color="auto"/>
            </w:tcBorders>
            <w:tcMar>
              <w:top w:w="0" w:type="dxa"/>
              <w:left w:w="70" w:type="dxa"/>
              <w:bottom w:w="0" w:type="dxa"/>
              <w:right w:w="70" w:type="dxa"/>
            </w:tcMar>
            <w:vAlign w:val="center"/>
            <w:hideMark/>
          </w:tcPr>
          <w:p w:rsidR="00BE1EFE" w:rsidRPr="00626C61" w:rsidRDefault="00BE1EFE" w:rsidP="00394846">
            <w:pPr>
              <w:jc w:val="center"/>
              <w:rPr>
                <w:szCs w:val="16"/>
              </w:rPr>
            </w:pPr>
            <w:r>
              <w:rPr>
                <w:rFonts w:cs="Arial"/>
                <w:color w:val="000000"/>
                <w:szCs w:val="16"/>
              </w:rPr>
              <w:t>bis 288 Stunden</w:t>
            </w: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9. - 12.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4.563,83</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4.761,27</w:t>
            </w:r>
          </w:p>
        </w:tc>
      </w:tr>
      <w:tr w:rsidR="00BE1EFE" w:rsidTr="00E87479">
        <w:trPr>
          <w:trHeight w:val="227"/>
          <w:jc w:val="center"/>
        </w:trPr>
        <w:tc>
          <w:tcPr>
            <w:tcW w:w="2712"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626C61" w:rsidRDefault="00BE1EFE" w:rsidP="00394846">
            <w:pPr>
              <w:rPr>
                <w:szCs w:val="16"/>
              </w:rPr>
            </w:pPr>
          </w:p>
        </w:tc>
        <w:tc>
          <w:tcPr>
            <w:tcW w:w="1418" w:type="dxa"/>
            <w:tcBorders>
              <w:top w:val="nil"/>
              <w:left w:val="nil"/>
              <w:bottom w:val="single" w:sz="8" w:space="0" w:color="auto"/>
              <w:right w:val="nil"/>
            </w:tcBorders>
            <w:noWrap/>
            <w:tcMar>
              <w:top w:w="0" w:type="dxa"/>
              <w:left w:w="70" w:type="dxa"/>
              <w:bottom w:w="0" w:type="dxa"/>
              <w:right w:w="70" w:type="dxa"/>
            </w:tcMar>
            <w:vAlign w:val="center"/>
            <w:hideMark/>
          </w:tcPr>
          <w:p w:rsidR="00BE1EFE" w:rsidRDefault="00BE1EFE" w:rsidP="00394846">
            <w:pPr>
              <w:spacing w:line="227" w:lineRule="atLeast"/>
              <w:jc w:val="center"/>
              <w:rPr>
                <w:sz w:val="24"/>
              </w:rPr>
            </w:pPr>
            <w:r>
              <w:rPr>
                <w:rFonts w:cs="Arial"/>
                <w:color w:val="000000"/>
                <w:szCs w:val="16"/>
              </w:rPr>
              <w:t>ab 13. Jahr</w:t>
            </w:r>
          </w:p>
        </w:tc>
        <w:tc>
          <w:tcPr>
            <w:tcW w:w="9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5F6E03" w:rsidRDefault="00BE1EFE" w:rsidP="00394846">
            <w:pPr>
              <w:jc w:val="center"/>
            </w:pPr>
            <w:r w:rsidRPr="005F6E03">
              <w:t>4.649,40</w:t>
            </w:r>
          </w:p>
        </w:tc>
        <w:tc>
          <w:tcPr>
            <w:tcW w:w="92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Default="00BE1EFE" w:rsidP="00394846">
            <w:pPr>
              <w:jc w:val="center"/>
            </w:pPr>
            <w:r w:rsidRPr="005F6E03">
              <w:t>4.850,79</w:t>
            </w:r>
          </w:p>
        </w:tc>
      </w:tr>
    </w:tbl>
    <w:p w:rsidR="00BE1EFE" w:rsidRDefault="00BE1EFE">
      <w:pPr>
        <w:pStyle w:val="StandardWeb"/>
        <w:rPr>
          <w:rFonts w:cs="Arial"/>
          <w:color w:val="000000"/>
          <w:sz w:val="12"/>
          <w:szCs w:val="12"/>
        </w:rPr>
      </w:pPr>
    </w:p>
    <w:p w:rsidR="00BE1EFE" w:rsidRDefault="00BE1EFE">
      <w:pPr>
        <w:pStyle w:val="StandardWeb"/>
        <w:rPr>
          <w:rFonts w:cs="Arial"/>
          <w:color w:val="000000"/>
          <w:sz w:val="12"/>
          <w:szCs w:val="12"/>
        </w:rPr>
      </w:pPr>
      <w:r>
        <w:rPr>
          <w:rFonts w:cs="Arial"/>
          <w:color w:val="000000"/>
          <w:sz w:val="12"/>
          <w:szCs w:val="12"/>
        </w:rPr>
        <w:t>* Für die am 30. September 2005 vorhandenen Kraftfahrer/Kraftfahrerinnen, deren Arbeitsverhältnis im Geltungsbereich des ABD über den 30. September 2005 hinaus fortbesteht und die am 1. Oktober 2005 unter den Geltungsbereich des ABD fallen.</w:t>
      </w:r>
    </w:p>
    <w:p w:rsidR="00A303D9" w:rsidRDefault="00A303D9">
      <w:pPr>
        <w:pStyle w:val="StandardWeb"/>
        <w:rPr>
          <w:rFonts w:cs="Arial"/>
          <w:color w:val="000000"/>
          <w:sz w:val="12"/>
          <w:szCs w:val="12"/>
        </w:rPr>
      </w:pPr>
    </w:p>
    <w:p w:rsidR="00A303D9" w:rsidRDefault="00A303D9">
      <w:pPr>
        <w:pStyle w:val="StandardWeb"/>
        <w:rPr>
          <w:rFonts w:cs="Arial"/>
          <w:color w:val="000000"/>
          <w:sz w:val="12"/>
          <w:szCs w:val="12"/>
        </w:rPr>
      </w:pPr>
    </w:p>
    <w:p w:rsidR="00A303D9" w:rsidRDefault="00A303D9">
      <w:pPr>
        <w:pStyle w:val="StandardWeb"/>
        <w:rPr>
          <w:rFonts w:cs="Arial"/>
          <w:color w:val="000000"/>
          <w:sz w:val="12"/>
          <w:szCs w:val="12"/>
        </w:rPr>
      </w:pPr>
    </w:p>
    <w:p w:rsidR="00A303D9" w:rsidRDefault="00A303D9">
      <w:pPr>
        <w:pStyle w:val="StandardWeb"/>
        <w:rPr>
          <w:rFonts w:cs="Arial"/>
          <w:color w:val="000000"/>
          <w:sz w:val="12"/>
          <w:szCs w:val="12"/>
        </w:rPr>
      </w:pPr>
    </w:p>
    <w:p w:rsidR="00A303D9" w:rsidRDefault="00A303D9">
      <w:pPr>
        <w:pStyle w:val="StandardWeb"/>
        <w:rPr>
          <w:rFonts w:cs="Arial"/>
          <w:color w:val="000000"/>
          <w:sz w:val="12"/>
          <w:szCs w:val="12"/>
        </w:rPr>
      </w:pPr>
    </w:p>
    <w:p w:rsidR="00A303D9" w:rsidRDefault="00A303D9">
      <w:pPr>
        <w:pStyle w:val="StandardWeb"/>
        <w:rPr>
          <w:rFonts w:cs="Arial"/>
          <w:color w:val="000000"/>
          <w:sz w:val="12"/>
          <w:szCs w:val="12"/>
        </w:rPr>
      </w:pPr>
    </w:p>
    <w:p w:rsidR="00A303D9" w:rsidRDefault="00A303D9">
      <w:pPr>
        <w:pStyle w:val="StandardWeb"/>
        <w:rPr>
          <w:rFonts w:cs="Arial"/>
          <w:color w:val="000000"/>
          <w:sz w:val="12"/>
          <w:szCs w:val="12"/>
        </w:rPr>
      </w:pPr>
    </w:p>
    <w:p w:rsidR="00A303D9" w:rsidRDefault="00A303D9">
      <w:pPr>
        <w:pStyle w:val="StandardWeb"/>
        <w:rPr>
          <w:rFonts w:cs="Arial"/>
          <w:color w:val="000000"/>
          <w:sz w:val="12"/>
          <w:szCs w:val="12"/>
        </w:rPr>
      </w:pPr>
    </w:p>
    <w:p w:rsidR="00A303D9" w:rsidRDefault="00A303D9">
      <w:pPr>
        <w:pStyle w:val="StandardWeb"/>
        <w:rPr>
          <w:rFonts w:cs="Arial"/>
          <w:color w:val="000000"/>
          <w:sz w:val="12"/>
          <w:szCs w:val="12"/>
        </w:rPr>
      </w:pPr>
    </w:p>
    <w:p w:rsidR="00A303D9" w:rsidRPr="000B1AF8" w:rsidRDefault="00A303D9">
      <w:pPr>
        <w:pStyle w:val="StandardWeb"/>
      </w:pPr>
    </w:p>
    <w:p w:rsidR="00BE1EFE" w:rsidRDefault="00BE1EFE">
      <w:pPr>
        <w:pStyle w:val="StandardWeb"/>
        <w:rPr>
          <w:i/>
          <w:sz w:val="12"/>
          <w:szCs w:val="12"/>
        </w:rPr>
      </w:pPr>
      <w:r>
        <w:rPr>
          <w:i/>
          <w:sz w:val="12"/>
          <w:szCs w:val="12"/>
        </w:rPr>
        <w:br w:type="page"/>
      </w:r>
    </w:p>
    <w:p w:rsidR="00BE1EFE" w:rsidRPr="000B1AF8" w:rsidRDefault="00BE1EFE" w:rsidP="00E87479">
      <w:pPr>
        <w:pStyle w:val="berschrift3"/>
        <w:spacing w:before="0"/>
        <w:jc w:val="both"/>
      </w:pPr>
      <w:bookmarkStart w:id="795" w:name="_Toc523926321"/>
      <w:r>
        <w:lastRenderedPageBreak/>
        <w:t>Teil C: Dienstordnungen für kirchenspezifische Berufe</w:t>
      </w:r>
      <w:bookmarkEnd w:id="795"/>
    </w:p>
    <w:p w:rsidR="00BE1EFE" w:rsidRDefault="00BE1EFE" w:rsidP="00551DE9">
      <w:pPr>
        <w:pStyle w:val="berschrift4"/>
      </w:pPr>
      <w:bookmarkStart w:id="796" w:name="_Toc523926322"/>
      <w:r>
        <w:t>C, 1. Dienstordnung für Pastoralassistentinnen/Pastoralassistenten und Pastoral</w:t>
      </w:r>
      <w:r>
        <w:rPr>
          <w:lang w:eastAsia="x-none"/>
        </w:rPr>
        <w:softHyphen/>
      </w:r>
      <w:r>
        <w:t>referentinnen/Pastoralreferenten</w:t>
      </w:r>
      <w:bookmarkEnd w:id="796"/>
    </w:p>
    <w:p w:rsidR="00BE1EFE" w:rsidRPr="00B76821" w:rsidRDefault="00BE1EFE" w:rsidP="00B76821">
      <w:pPr>
        <w:pStyle w:val="berschrift5"/>
        <w:keepNext w:val="0"/>
        <w:spacing w:before="0" w:after="0"/>
        <w:rPr>
          <w:sz w:val="2"/>
        </w:rPr>
      </w:pPr>
    </w:p>
    <w:p w:rsidR="00BE1EFE" w:rsidRPr="000B1AF8" w:rsidRDefault="00BE1EFE">
      <w:pPr>
        <w:pStyle w:val="StandardWeb"/>
      </w:pPr>
      <w:r>
        <w:t>(siehe Anhang II Nummer 10)</w:t>
      </w:r>
    </w:p>
    <w:p w:rsidR="00BE1EFE" w:rsidRDefault="00BE1EFE">
      <w:pPr>
        <w:pStyle w:val="berschrift5"/>
      </w:pPr>
      <w:bookmarkStart w:id="797" w:name="_Toc523926323"/>
      <w:r>
        <w:t>II. Arbeitsrechtlicher Teil</w:t>
      </w:r>
      <w:bookmarkEnd w:id="797"/>
    </w:p>
    <w:p w:rsidR="00BE1EFE" w:rsidRDefault="00BE1EFE">
      <w:pPr>
        <w:pStyle w:val="berschrift6"/>
      </w:pPr>
      <w:bookmarkStart w:id="798" w:name="_Toc523926324"/>
      <w:r>
        <w:t>§ 1 Geltungsbereich</w:t>
      </w:r>
      <w:bookmarkEnd w:id="79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Diese Dienstordnung Teil II gilt für Pastoralreferentinnen/Pastoralreferenten – nachfolgend Beschäftigte genannt –, die von den diözesanen Ordnungen für Pastoralreferenten in den bayerischen Diözesen erfasst sind; für Pastoralassistentinnen/Pastoralassistenten gilt sie sinngemäß. </w:t>
      </w:r>
      <w:r>
        <w:rPr>
          <w:rStyle w:val="kleinschrift"/>
        </w:rPr>
        <w:t>2</w:t>
      </w:r>
      <w:r>
        <w:t>Beschäftigungsverhältnisse vor Einstellung als Pastoralassistentin/ Pastoralassistent sind nicht Gegenstand dieser Ordnung.</w:t>
      </w:r>
    </w:p>
    <w:p w:rsidR="00BE1EFE" w:rsidRDefault="00BE1EFE">
      <w:pPr>
        <w:pStyle w:val="berschrift6"/>
      </w:pPr>
      <w:bookmarkStart w:id="799" w:name="_Toc523926325"/>
      <w:r>
        <w:t>§ 2 Arbeitgeber, Stellenzuweisung, Dienstanweisung</w:t>
      </w:r>
      <w:bookmarkEnd w:id="79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Arbeitgeber ist die Diözese.</w:t>
      </w:r>
    </w:p>
    <w:p w:rsidR="00BE1EFE" w:rsidRPr="000B1AF8" w:rsidRDefault="00BE1EFE">
      <w:pPr>
        <w:pStyle w:val="StandardWeb"/>
      </w:pPr>
    </w:p>
    <w:p w:rsidR="00BE1EFE" w:rsidRDefault="00BE1EFE">
      <w:pPr>
        <w:pStyle w:val="StandardWeb"/>
      </w:pPr>
      <w:r>
        <w:t>(2) </w:t>
      </w:r>
      <w:r>
        <w:rPr>
          <w:rStyle w:val="kleinschrift"/>
        </w:rPr>
        <w:t>1</w:t>
      </w:r>
      <w:r>
        <w:t xml:space="preserve">Die jeweilige Einsatzstelle der Beschäftigten wird durch eine schriftliche Stellenzuweisung bestimmt. </w:t>
      </w:r>
      <w:r>
        <w:rPr>
          <w:rStyle w:val="kleinschrift"/>
        </w:rPr>
        <w:t>2</w:t>
      </w:r>
      <w:r>
        <w:t>In der Stellenzuweisung werden der Dienstort, der unmittelbare Dienstvorgesetzte sowie besondere Beauftragungen genannt.</w:t>
      </w:r>
    </w:p>
    <w:p w:rsidR="00BE1EFE" w:rsidRDefault="00BE1EFE">
      <w:pPr>
        <w:pStyle w:val="StandardWeb"/>
      </w:pPr>
    </w:p>
    <w:p w:rsidR="00BE1EFE" w:rsidRDefault="00BE1EFE">
      <w:pPr>
        <w:pStyle w:val="StandardWeb"/>
      </w:pPr>
      <w:r>
        <w:t>(3) Außer dem Diözesanbischof und dem Generalvikar sind auch die vom Diözesanbischof Beauftragten und der unmittelbare Dienstvorgesetzte zu Dienstanweisungen berechtigt.</w:t>
      </w:r>
    </w:p>
    <w:p w:rsidR="00BE1EFE" w:rsidRDefault="00BE1EFE">
      <w:pPr>
        <w:pStyle w:val="berschrift6"/>
      </w:pPr>
      <w:bookmarkStart w:id="800" w:name="_Toc523926326"/>
      <w:r>
        <w:t>§ 3 Räumliche Mittel und Sachmittel, Dienstwohnung</w:t>
      </w:r>
      <w:bookmarkEnd w:id="8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Vor Dienstantritt ist sicher zu stellen, dass der für die Tätigkeit notwendige Arbeitsplatz sowie die sonstigen notwendigen räumlichen Mittel und Sachmittel zur Verfügung gestellt werden.</w:t>
      </w:r>
    </w:p>
    <w:p w:rsidR="00BE1EFE" w:rsidRPr="000B1AF8" w:rsidRDefault="00BE1EFE">
      <w:pPr>
        <w:pStyle w:val="StandardWeb"/>
      </w:pPr>
    </w:p>
    <w:p w:rsidR="00BE1EFE" w:rsidRPr="003059A3" w:rsidRDefault="00BE1EFE">
      <w:pPr>
        <w:pStyle w:val="StandardWeb"/>
      </w:pPr>
      <w:r>
        <w:t>(2) </w:t>
      </w:r>
      <w:r>
        <w:rPr>
          <w:rStyle w:val="kleinschrift"/>
        </w:rPr>
        <w:t>1</w:t>
      </w:r>
      <w:r>
        <w:t>Der/dem Beschäftigten kann eine Dienstwohnung zugewiesen werden, wenn die dienst</w:t>
      </w:r>
      <w:r>
        <w:softHyphen/>
        <w:t xml:space="preserve">lichen Belange es erfordern. </w:t>
      </w:r>
      <w:r>
        <w:rPr>
          <w:rStyle w:val="kleinschrift"/>
        </w:rPr>
        <w:t>2</w:t>
      </w:r>
      <w:r>
        <w:t xml:space="preserve">Auf Antrag der/des Beschäftigten kann von der Zuweisung einer Dienstwohnung abgesehen werden oder sie/er von der Bezugspflicht entbunden werden, wenn die Verpflichtung zum Bezug der Dienstwohnung eine besondere Härte bedeutet und die Beeinträchtigung dienstlicher Belange bei Abwägung mit den besonderen persönlichen Verhältnissen der/des Beschäftigten hingenommen werden kann. </w:t>
      </w:r>
      <w:r>
        <w:rPr>
          <w:rStyle w:val="kleinschrift"/>
        </w:rPr>
        <w:t>3</w:t>
      </w:r>
      <w:r>
        <w:t xml:space="preserve">Sofern mit einer Stelle die Verpflichtung verbunden ist, eine Dienstwohnung zu beziehen, ist in der Stellenausschreibung bzw. im Rahmen eines Anhörungsgespräches nach </w:t>
      </w:r>
      <w:hyperlink r:id="rId1138" w:history="1">
        <w:r w:rsidRPr="002D1F1D">
          <w:rPr>
            <w:rStyle w:val="Hyperlink"/>
          </w:rPr>
          <w:t>§ 6 Absatz 1</w:t>
        </w:r>
      </w:hyperlink>
      <w:r>
        <w:t xml:space="preserve"> darauf hinzuweisen.</w:t>
      </w:r>
    </w:p>
    <w:p w:rsidR="00BE1EFE" w:rsidRDefault="00BE1EFE">
      <w:pPr>
        <w:pStyle w:val="StandardWeb"/>
        <w:rPr>
          <w:sz w:val="12"/>
          <w:szCs w:val="12"/>
        </w:rPr>
      </w:pPr>
    </w:p>
    <w:p w:rsidR="00BE1EFE" w:rsidRDefault="00BE1EFE">
      <w:pPr>
        <w:pStyle w:val="StandardWeb"/>
      </w:pPr>
      <w:r>
        <w:rPr>
          <w:sz w:val="12"/>
          <w:szCs w:val="12"/>
        </w:rPr>
        <w:t>Protokollnotiz zu Absatz 2 Satz 1:</w:t>
      </w:r>
    </w:p>
    <w:p w:rsidR="00BE1EFE" w:rsidRDefault="00BE1EFE">
      <w:pPr>
        <w:pStyle w:val="StandardWeb"/>
      </w:pPr>
      <w:r>
        <w:rPr>
          <w:sz w:val="12"/>
          <w:szCs w:val="12"/>
        </w:rPr>
        <w:t xml:space="preserve">1Diese Voraussetzung liegt nicht vor, wenn die ständige Einsatzbereitschaft der/des Beschäftigten außerhalb der Arbeitszeit auch auf andere Weise gewährleistet werden kann. 2Die dienstlichen Verhältnisse erfordern die Zuweisung einer </w:t>
      </w:r>
      <w:r>
        <w:rPr>
          <w:sz w:val="12"/>
          <w:szCs w:val="12"/>
        </w:rPr>
        <w:lastRenderedPageBreak/>
        <w:t>Dienstwohnung, wenn die Anwesenheit der/des Beschäftigten an der Einsatzstelle/Dienststätte auch außerhalb der Arbeitszeit aus dienstlichen Gründen sichergestellt sein muss und sie/er daher im Gebäude, in dem sich die Dienststätte befindet, oder in seiner unmittelbaren Nähe wohnen muss.</w:t>
      </w:r>
    </w:p>
    <w:p w:rsidR="00BE1EFE" w:rsidRDefault="00BE1EFE">
      <w:pPr>
        <w:pStyle w:val="berschrift6"/>
      </w:pPr>
      <w:bookmarkStart w:id="801" w:name="_Toc523926327"/>
      <w:r>
        <w:t>§ 4 Berufseinführung als Pastoralassistent/Pastoralassistentin</w:t>
      </w:r>
      <w:bookmarkEnd w:id="80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Aufnahme in die Berufseinführung und die Durchführung der Berufseinführung erfolgen nach den jeweiligen diözesanen Bestimmungen. </w:t>
      </w:r>
      <w:r>
        <w:rPr>
          <w:rStyle w:val="kleinschrift"/>
        </w:rPr>
        <w:t>2</w:t>
      </w:r>
      <w:r>
        <w:t xml:space="preserve">Für die Dauer der Berufseinführung wird ein befristeter Arbeitsvertrag abgeschlossen. </w:t>
      </w:r>
      <w:r>
        <w:rPr>
          <w:rStyle w:val="kleinschrift"/>
        </w:rPr>
        <w:t>3</w:t>
      </w:r>
      <w:r>
        <w:t>Während der Berufseinführung führen die Beschäftigten die Berufsbezeichnung Pastoralassistentin/Pastoralassistent.</w:t>
      </w:r>
    </w:p>
    <w:p w:rsidR="00BE1EFE" w:rsidRPr="000B1AF8" w:rsidRDefault="00BE1EFE">
      <w:pPr>
        <w:pStyle w:val="StandardWeb"/>
      </w:pPr>
    </w:p>
    <w:p w:rsidR="00BE1EFE" w:rsidRDefault="00BE1EFE">
      <w:pPr>
        <w:pStyle w:val="StandardWeb"/>
      </w:pPr>
      <w:r>
        <w:t>(2) Das befristete Arbeitsverhältnis nach Absatz 1 endet mit Ablauf des auf die Bekanntgabe des Ergebnisses der Zweiten Dienstprüfung folgenden 31. August.</w:t>
      </w:r>
    </w:p>
    <w:p w:rsidR="00BE1EFE" w:rsidRDefault="00BE1EFE">
      <w:pPr>
        <w:pStyle w:val="berschrift6"/>
      </w:pPr>
      <w:bookmarkStart w:id="802" w:name="_Toc523926328"/>
      <w:r>
        <w:t>§ 5 Einstellung als Pastoralreferentin/Pastoralreferent</w:t>
      </w:r>
      <w:bookmarkEnd w:id="80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Ein Anspruch auf Einstellung als Pastoralreferentin/Pastoralreferent nach erfolgreichem Abschluss der Zweiten Dienstprüfung besteht nicht. </w:t>
      </w:r>
      <w:r>
        <w:rPr>
          <w:rStyle w:val="kleinschrift"/>
        </w:rPr>
        <w:t>2</w:t>
      </w:r>
      <w:r>
        <w:t>Die Einstellung als Pastoralreferen</w:t>
      </w:r>
      <w:r>
        <w:softHyphen/>
        <w:t>tin/Pastoralreferent setzt eine Bewerbung voraus.</w:t>
      </w:r>
    </w:p>
    <w:p w:rsidR="00BE1EFE" w:rsidRDefault="00BE1EFE">
      <w:pPr>
        <w:pStyle w:val="berschrift6"/>
      </w:pPr>
      <w:bookmarkStart w:id="803" w:name="_Toc523926329"/>
      <w:r>
        <w:t>§ 6 Stellenwechsel</w:t>
      </w:r>
      <w:bookmarkEnd w:id="80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Beschäftigten sind vor einem vom Arbeitgeber beabsichtigten Stellenwechsel zu hören. </w:t>
      </w:r>
      <w:r>
        <w:rPr>
          <w:rStyle w:val="kleinschrift"/>
        </w:rPr>
        <w:t>2</w:t>
      </w:r>
      <w:r>
        <w:t>Persönliche und familiäre Belange werden dabei nach Möglichkeit berücksichtigt.</w:t>
      </w:r>
    </w:p>
    <w:p w:rsidR="00BE1EFE" w:rsidRPr="000B1AF8" w:rsidRDefault="00BE1EFE">
      <w:pPr>
        <w:pStyle w:val="StandardWeb"/>
      </w:pPr>
    </w:p>
    <w:p w:rsidR="00BE1EFE" w:rsidRDefault="00BE1EFE">
      <w:pPr>
        <w:pStyle w:val="StandardWeb"/>
      </w:pPr>
      <w:r>
        <w:t>(2) Ein Stellenwechsel kann auch von den Beschäftigten selbst beantragt werden.</w:t>
      </w:r>
    </w:p>
    <w:p w:rsidR="00BE1EFE" w:rsidRDefault="00BE1EFE">
      <w:pPr>
        <w:pStyle w:val="StandardWeb"/>
      </w:pPr>
    </w:p>
    <w:p w:rsidR="00BE1EFE" w:rsidRDefault="00BE1EFE">
      <w:pPr>
        <w:pStyle w:val="StandardWeb"/>
      </w:pPr>
      <w:r>
        <w:t>(3) Bei einem dienstlich veranlassten Stellenwechsel erstattet der Arbeitgeber die Umzugs</w:t>
      </w:r>
      <w:r>
        <w:softHyphen/>
        <w:t>kosten nach den diözesanen Regelungen und ist nach Möglichkeit bei der Wohnungssuche behilflich.</w:t>
      </w:r>
    </w:p>
    <w:p w:rsidR="00BE1EFE" w:rsidRDefault="00BE1EFE">
      <w:pPr>
        <w:pStyle w:val="berschrift6"/>
      </w:pPr>
      <w:bookmarkStart w:id="804" w:name="_Toc523926330"/>
      <w:r>
        <w:t>§ 7 Arbeitszeit</w:t>
      </w:r>
      <w:bookmarkEnd w:id="8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durchschnittliche regelmäßige wöchentliche Arbeitszeit verteilt sich in der Regel auf sechs Tage pro Woche.</w:t>
      </w:r>
    </w:p>
    <w:p w:rsidR="00BE1EFE" w:rsidRPr="000B1AF8" w:rsidRDefault="00BE1EFE">
      <w:pPr>
        <w:pStyle w:val="StandardWeb"/>
      </w:pPr>
    </w:p>
    <w:p w:rsidR="00BE1EFE" w:rsidRDefault="00BE1EFE">
      <w:pPr>
        <w:pStyle w:val="StandardWeb"/>
      </w:pPr>
      <w:r>
        <w:t>(2) </w:t>
      </w:r>
      <w:r>
        <w:rPr>
          <w:rStyle w:val="kleinschrift"/>
        </w:rPr>
        <w:t>1</w:t>
      </w:r>
      <w:r>
        <w:t xml:space="preserve">Die Arbeitszeit lässt sich wegen des besonderen Dienstes der Beschäftigten nicht nach gleich bleibenden Dienstplänen festlegen. </w:t>
      </w:r>
      <w:r>
        <w:rPr>
          <w:rStyle w:val="kleinschrift"/>
        </w:rPr>
        <w:t>2</w:t>
      </w:r>
      <w:r>
        <w:t xml:space="preserve">Schwerpunkte des Einsatzes ergeben sich auch an Abenden, Sonn- und Feiertagen. </w:t>
      </w:r>
      <w:r>
        <w:rPr>
          <w:rStyle w:val="kleinschrift"/>
        </w:rPr>
        <w:t>3</w:t>
      </w:r>
      <w:r>
        <w:t xml:space="preserve">Die Verteilung der mit ihnen vereinbarten regelmäßigen Arbeitszeit erfolgt durch den unmittelbaren Dienstvorgesetzten nach vorheriger Absprache mit den Beschäftigten. </w:t>
      </w:r>
      <w:r>
        <w:rPr>
          <w:rStyle w:val="kleinschrift"/>
        </w:rPr>
        <w:t>4</w:t>
      </w:r>
      <w:r>
        <w:t xml:space="preserve">Bei Teilzeitbeschäftigten sind die Tage der Woche festzulegen, an denen die vereinbarte Arbeit erbracht wird; von der festgelegten Verteilung kann einvernehmlich abgewichen werden. </w:t>
      </w:r>
      <w:r>
        <w:rPr>
          <w:rStyle w:val="kleinschrift"/>
        </w:rPr>
        <w:t>5</w:t>
      </w:r>
      <w:r>
        <w:t>Bei der Verteilung der Arbeitszeit muss auf die pastoralen Erfordernisse im Einsatzbereich und im Rahmen des Möglichen auf die persönlichen und familiären Belange der Beschäftigten Rücksicht genommen werden.</w:t>
      </w:r>
    </w:p>
    <w:p w:rsidR="00BE1EFE" w:rsidRDefault="00BE1EFE">
      <w:pPr>
        <w:pStyle w:val="StandardWeb"/>
      </w:pPr>
    </w:p>
    <w:p w:rsidR="00BE1EFE" w:rsidRDefault="00BE1EFE">
      <w:pPr>
        <w:pStyle w:val="StandardWeb"/>
      </w:pPr>
      <w:r>
        <w:t>(3) Werden die Beschäftigten aufgrund einer schriftlichen Anweisung durch den Arbeitgeber über das Maß der mit ihm vereinbarten regelmäßigen Arbeitszeit hinaus zur Erfüllung zusätzlicher Aufgaben herangezogen, erfolgt ein Ausgleich durch entsprechende Arbeitsbefreiung, durch Zeitgutschrift auf ein Arbeitszeitkonto (</w:t>
      </w:r>
      <w:hyperlink r:id="rId1139" w:history="1">
        <w:r w:rsidRPr="002D1F1D">
          <w:rPr>
            <w:rStyle w:val="Hyperlink"/>
          </w:rPr>
          <w:t>§ 6 Absatz 5 AZKR</w:t>
        </w:r>
      </w:hyperlink>
      <w:r>
        <w:t>) oder über das Entgelt.</w:t>
      </w:r>
    </w:p>
    <w:p w:rsidR="00BE1EFE" w:rsidRDefault="00BE1EFE">
      <w:pPr>
        <w:pStyle w:val="StandardWeb"/>
      </w:pPr>
    </w:p>
    <w:p w:rsidR="00BE1EFE" w:rsidRPr="003059A3" w:rsidRDefault="00BE1EFE">
      <w:pPr>
        <w:pStyle w:val="StandardWeb"/>
      </w:pPr>
      <w:r>
        <w:t>(4) Die Beschäftigten haben Anspruch auf einen arbeitsfreien zusammenhängenden Samstag und Sonntag im Monat.</w:t>
      </w:r>
    </w:p>
    <w:p w:rsidR="00BE1EFE" w:rsidRDefault="00BE1EFE">
      <w:pPr>
        <w:pStyle w:val="berschrift6"/>
      </w:pPr>
      <w:bookmarkStart w:id="805" w:name="_Toc523926331"/>
      <w:r>
        <w:rPr>
          <w:lang w:eastAsia="x-none"/>
        </w:rPr>
        <w:t>§</w:t>
      </w:r>
      <w:r>
        <w:t xml:space="preserve"> 8 Arbeitsunfähigkeit</w:t>
      </w:r>
      <w:bookmarkEnd w:id="805"/>
    </w:p>
    <w:p w:rsidR="00BE1EFE" w:rsidRPr="00B76821" w:rsidRDefault="00BE1EFE" w:rsidP="00B76821">
      <w:pPr>
        <w:pStyle w:val="h7"/>
        <w:keepNext w:val="0"/>
        <w:spacing w:before="0" w:after="0"/>
        <w:jc w:val="left"/>
        <w:outlineLvl w:val="5"/>
        <w:rPr>
          <w:rStyle w:val="kleinschrift"/>
          <w:sz w:val="2"/>
        </w:rPr>
      </w:pPr>
    </w:p>
    <w:p w:rsidR="00BE1EFE" w:rsidRPr="003059A3" w:rsidRDefault="00BE1EFE">
      <w:pPr>
        <w:pStyle w:val="StandardWeb"/>
      </w:pPr>
      <w:r>
        <w:rPr>
          <w:rStyle w:val="kleinschrift"/>
        </w:rPr>
        <w:t>1</w:t>
      </w:r>
      <w:r>
        <w:t xml:space="preserve">Die/der Beschäftigte hat eine Arbeitsunfähigkeit und deren voraussichtliche Dauer dem Arbeitgeber und den von der Verhinderung betroffenen Einsatzstellen (z. B. Schule) unverzüglich mitzuteilen. </w:t>
      </w:r>
      <w:r>
        <w:rPr>
          <w:rStyle w:val="kleinschrift"/>
        </w:rPr>
        <w:t>2</w:t>
      </w:r>
      <w:r>
        <w:t xml:space="preserve">Dauert die Arbeitsunfähigkeit länger als drei Kalendertage, hat die/der Beschäftigte spätestens am darauf folgenden allgemeinen Arbeitstag dem Arbeitgeber eine ärztliche Bescheinigung über das Bestehen der Arbeitsunfähigkeit sowie deren voraussichtliche Dauer vorzulegen. </w:t>
      </w:r>
      <w:r>
        <w:rPr>
          <w:rStyle w:val="kleinschrift"/>
        </w:rPr>
        <w:t>3</w:t>
      </w:r>
      <w:r>
        <w:t>Dauert die Arbeitsunfähigkeit länger als in der Bescheinigung angegeben, ist dem Arbeitgeber unverzüglich eine neue ärztliche Bescheinigung vorzulegen; dies gilt für die gesamte Dauer der Arbeitsunfähigkeit.</w:t>
      </w:r>
    </w:p>
    <w:p w:rsidR="00BE1EFE" w:rsidRDefault="00BE1EFE">
      <w:pPr>
        <w:pStyle w:val="berschrift6"/>
      </w:pPr>
      <w:bookmarkStart w:id="806" w:name="_Toc523926332"/>
      <w:r>
        <w:t>§ 9 Erholungsurlaub</w:t>
      </w:r>
      <w:bookmarkEnd w:id="806"/>
    </w:p>
    <w:p w:rsidR="00BE1EFE" w:rsidRPr="00B76821" w:rsidRDefault="00BE1EFE" w:rsidP="00B76821">
      <w:pPr>
        <w:pStyle w:val="h7"/>
        <w:keepNext w:val="0"/>
        <w:spacing w:before="0" w:after="0"/>
        <w:jc w:val="left"/>
        <w:outlineLvl w:val="5"/>
        <w:rPr>
          <w:sz w:val="2"/>
        </w:rPr>
      </w:pPr>
    </w:p>
    <w:p w:rsidR="00BE1EFE" w:rsidRPr="009B3A35" w:rsidRDefault="00BE1EFE">
      <w:pPr>
        <w:pStyle w:val="StandardWeb"/>
      </w:pPr>
      <w:r>
        <w:t>Beschäftigte, die Religionsunterricht erteilen, können Erholungsurlaub in der Regel nur in der unterrichtsfreien Zeit einbringen.</w:t>
      </w:r>
    </w:p>
    <w:p w:rsidR="00BE1EFE" w:rsidRDefault="00BE1EFE">
      <w:pPr>
        <w:pStyle w:val="berschrift6"/>
      </w:pPr>
      <w:bookmarkStart w:id="807" w:name="_Toc523926333"/>
      <w:r>
        <w:t>§ 10 Religionsunterricht</w:t>
      </w:r>
      <w:bookmarkEnd w:id="8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erteilen Religionsunterricht im angewiesenen Umfang an den ihnen zugewiesenen Schulen.</w:t>
      </w:r>
    </w:p>
    <w:p w:rsidR="00BE1EFE" w:rsidRPr="000B1AF8" w:rsidRDefault="00BE1EFE">
      <w:pPr>
        <w:pStyle w:val="StandardWeb"/>
      </w:pPr>
    </w:p>
    <w:p w:rsidR="00BE1EFE" w:rsidRDefault="00BE1EFE">
      <w:pPr>
        <w:pStyle w:val="StandardWeb"/>
      </w:pPr>
      <w:r>
        <w:t>(2) Der Einsatz im schulischen Religionsunterricht erfolgt unter Beachtung der einschlägigen Vorschriften über die Erteilung des Religionsunterrichts durch kirchliche Lehrkräfte auf der Grundlage der Dienstordnung für Religionslehrerinnen und Religionslehrer im Kirchendienst.</w:t>
      </w:r>
    </w:p>
    <w:p w:rsidR="00BE1EFE" w:rsidRDefault="00BE1EFE">
      <w:pPr>
        <w:pStyle w:val="StandardWeb"/>
      </w:pPr>
    </w:p>
    <w:p w:rsidR="00BE1EFE" w:rsidRPr="009B3A35" w:rsidRDefault="00BE1EFE">
      <w:pPr>
        <w:pStyle w:val="StandardWeb"/>
      </w:pPr>
      <w:r>
        <w:t>(3) Bei Erteilung von Religionsunterricht wird eine Unterrichtsstunde gemäß dem in der Dienstordnung für Religionslehrer jeweils geltenden Stundenfaktor gewertet.</w:t>
      </w:r>
    </w:p>
    <w:p w:rsidR="00BE1EFE" w:rsidRDefault="00BE1EFE">
      <w:pPr>
        <w:pStyle w:val="berschrift6"/>
      </w:pPr>
      <w:bookmarkStart w:id="808" w:name="_Toc523926334"/>
      <w:r>
        <w:t>§ 11 Qualifizierung</w:t>
      </w:r>
      <w:bookmarkEnd w:id="8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sind verpflichtet, sich beruflich fortzubilden.</w:t>
      </w:r>
    </w:p>
    <w:p w:rsidR="00BE1EFE" w:rsidRPr="000B1AF8" w:rsidRDefault="00BE1EFE">
      <w:pPr>
        <w:pStyle w:val="StandardWeb"/>
      </w:pPr>
    </w:p>
    <w:p w:rsidR="00BE1EFE" w:rsidRDefault="00BE1EFE">
      <w:pPr>
        <w:pStyle w:val="StandardWeb"/>
      </w:pPr>
      <w:r>
        <w:t>(2) </w:t>
      </w:r>
      <w:r>
        <w:rPr>
          <w:rStyle w:val="kleinschrift"/>
        </w:rPr>
        <w:t>1</w:t>
      </w:r>
      <w:r>
        <w:t xml:space="preserve">An dienstlich angeordneten Qualifizierungsmaßnahmen besteht Teilnahmepflicht. </w:t>
      </w:r>
      <w:r>
        <w:rPr>
          <w:rStyle w:val="kleinschrift"/>
        </w:rPr>
        <w:t>2</w:t>
      </w:r>
      <w:r>
        <w:t>Die Kosten dafür trägt der Arbeitgeber.</w:t>
      </w:r>
    </w:p>
    <w:p w:rsidR="00BE1EFE" w:rsidRDefault="00BE1EFE">
      <w:pPr>
        <w:pStyle w:val="StandardWeb"/>
      </w:pPr>
      <w:r>
        <w:t>(3) </w:t>
      </w:r>
      <w:r>
        <w:rPr>
          <w:rStyle w:val="kleinschrift"/>
        </w:rPr>
        <w:t>1</w:t>
      </w:r>
      <w:r>
        <w:t xml:space="preserve">Abweichend von </w:t>
      </w:r>
      <w:hyperlink r:id="rId1140" w:history="1">
        <w:r w:rsidRPr="002D1F1D">
          <w:rPr>
            <w:rStyle w:val="Hyperlink"/>
          </w:rPr>
          <w:t>§ 5a Absatz 1 Teil A, 1.</w:t>
        </w:r>
      </w:hyperlink>
      <w:r>
        <w:t xml:space="preserve"> und </w:t>
      </w:r>
      <w:hyperlink r:id="rId1141" w:history="1">
        <w:r w:rsidRPr="002D1F1D">
          <w:rPr>
            <w:rStyle w:val="Hyperlink"/>
          </w:rPr>
          <w:t>§ 29 Absatz 1a Buchstabe d, Doppelbuchstabe aa Teil A, 1.</w:t>
        </w:r>
      </w:hyperlink>
      <w:r>
        <w:t xml:space="preserve"> stehen für freiwillige Qualifizierungsmaßnahmen und für Exerzitien, Einkehrtage bzw. Wallfahrten den Beschäftigten insgesamt zwölf Arbeitstage pro Jahr zur Verfügung. </w:t>
      </w:r>
      <w:r>
        <w:rPr>
          <w:rStyle w:val="kleinschrift"/>
        </w:rPr>
        <w:t>2</w:t>
      </w:r>
      <w:r>
        <w:t>Die Einzelheiten werden von den Diözesen geregelt.</w:t>
      </w:r>
    </w:p>
    <w:p w:rsidR="00BE1EFE" w:rsidRDefault="00BE1EFE" w:rsidP="008354D8">
      <w:pPr>
        <w:pStyle w:val="StandardWeb"/>
        <w:rPr>
          <w:sz w:val="12"/>
          <w:szCs w:val="12"/>
          <w:lang w:eastAsia="ar-SA"/>
        </w:rPr>
      </w:pPr>
    </w:p>
    <w:p w:rsidR="00BE1EFE" w:rsidRPr="008354D8" w:rsidRDefault="00BE1EFE" w:rsidP="008354D8">
      <w:pPr>
        <w:pStyle w:val="StandardWeb"/>
        <w:rPr>
          <w:sz w:val="12"/>
          <w:szCs w:val="12"/>
          <w:lang w:eastAsia="ar-SA"/>
        </w:rPr>
      </w:pPr>
      <w:r w:rsidRPr="008354D8">
        <w:rPr>
          <w:sz w:val="12"/>
          <w:szCs w:val="12"/>
          <w:lang w:eastAsia="ar-SA"/>
        </w:rPr>
        <w:t>Protokollnotiz zu § 11 Absatz 3:</w:t>
      </w:r>
    </w:p>
    <w:p w:rsidR="00BE1EFE" w:rsidRPr="008354D8" w:rsidRDefault="00BE1EFE" w:rsidP="008354D8">
      <w:pPr>
        <w:pStyle w:val="StandardWeb"/>
        <w:rPr>
          <w:rFonts w:cs="Arial"/>
          <w:sz w:val="12"/>
          <w:szCs w:val="12"/>
        </w:rPr>
      </w:pPr>
      <w:r w:rsidRPr="008354D8">
        <w:rPr>
          <w:rFonts w:cs="Arial"/>
          <w:sz w:val="12"/>
          <w:szCs w:val="12"/>
        </w:rPr>
        <w:t>Bei Verteilung der wöchentlichen Arbeitszeit auf sechs Tage in der Kalenderwoche beträgt der Anspruch auf Qualifizierung in jedem Kalenderjahr zwölf Arbeitstage.</w:t>
      </w:r>
      <w:r w:rsidRPr="008354D8">
        <w:rPr>
          <w:rStyle w:val="kleinschrift1"/>
          <w:rFonts w:cs="Arial"/>
          <w:szCs w:val="12"/>
        </w:rPr>
        <w:t xml:space="preserve"> </w:t>
      </w:r>
      <w:r w:rsidRPr="008354D8">
        <w:rPr>
          <w:rFonts w:cs="Arial"/>
          <w:sz w:val="12"/>
          <w:szCs w:val="12"/>
        </w:rPr>
        <w:t xml:space="preserve">Bei einer anderen Verteilung der wöchentlichen Arbeitszeit vermindert sich der Anspruch entsprechend. Beschäftigte haben bei </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Ein-Tage-Woche Anspruch auf Arbeitsbefreiung für zwei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Zwei-Tage-Woche Anspruch auf Arbeitsbefreiung für vier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Drei-Tage-Woche Anspruch auf Arbeitsbefreiung für sechs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Vier-Tage-Woche Anspruch auf Arbeitsbefreiung für acht Arbeitstage,</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Fünf-Tage-Woche Anspruch auf Arbeitsbefreiung für zehn Arbeitstage, </w:t>
      </w:r>
    </w:p>
    <w:p w:rsidR="00BE1EFE" w:rsidRPr="008354D8" w:rsidRDefault="00BE1EFE" w:rsidP="008354D8">
      <w:pPr>
        <w:pStyle w:val="StandardWeb"/>
        <w:rPr>
          <w:rFonts w:cs="Arial"/>
          <w:sz w:val="12"/>
          <w:szCs w:val="12"/>
        </w:rPr>
      </w:pPr>
      <w:r>
        <w:rPr>
          <w:rFonts w:cs="Arial"/>
          <w:sz w:val="12"/>
          <w:szCs w:val="12"/>
        </w:rPr>
        <w:t>–</w:t>
      </w:r>
      <w:r w:rsidRPr="008354D8">
        <w:rPr>
          <w:rFonts w:cs="Arial"/>
          <w:sz w:val="12"/>
          <w:szCs w:val="12"/>
        </w:rPr>
        <w:t xml:space="preserve"> einer Sechs-Tage-Woche Anspruch auf Arbeitsbefreiung für zwölf Arbeitstage.</w:t>
      </w:r>
    </w:p>
    <w:p w:rsidR="00BE1EFE" w:rsidRDefault="00BE1EFE">
      <w:pPr>
        <w:pStyle w:val="StandardWeb"/>
      </w:pPr>
    </w:p>
    <w:p w:rsidR="00BE1EFE" w:rsidRDefault="00BE1EFE">
      <w:pPr>
        <w:pStyle w:val="StandardWeb"/>
      </w:pPr>
      <w:r>
        <w:t>(4) Darüber hinaus gehende diözesane Regelungen bleiben unberührt. </w:t>
      </w:r>
    </w:p>
    <w:p w:rsidR="00BE1EFE" w:rsidRDefault="00BE1EFE" w:rsidP="00626C61">
      <w:pPr>
        <w:pStyle w:val="berschrift4"/>
        <w:spacing w:before="0"/>
      </w:pPr>
      <w:r>
        <w:br w:type="page"/>
      </w:r>
      <w:bookmarkStart w:id="809" w:name="_Toc523926335"/>
      <w:r>
        <w:lastRenderedPageBreak/>
        <w:t>C, 2. Dienstordnung für Gemeindereferentinnen und Gemeinde</w:t>
      </w:r>
      <w:r>
        <w:rPr>
          <w:lang w:eastAsia="x-none"/>
        </w:rPr>
        <w:softHyphen/>
      </w:r>
      <w:r>
        <w:t>referenten in den bayerischen</w:t>
      </w:r>
      <w:r>
        <w:rPr>
          <w:lang w:eastAsia="x-none"/>
        </w:rPr>
        <w:t xml:space="preserve"> </w:t>
      </w:r>
      <w:r>
        <w:t>Diözesen</w:t>
      </w:r>
      <w:bookmarkEnd w:id="809"/>
    </w:p>
    <w:p w:rsidR="00BE1EFE" w:rsidRDefault="00BE1EFE">
      <w:pPr>
        <w:pStyle w:val="berschrift5"/>
      </w:pPr>
      <w:bookmarkStart w:id="810" w:name="_Toc523926336"/>
      <w:r>
        <w:t>I. Allgemeiner Teil</w:t>
      </w:r>
      <w:bookmarkEnd w:id="810"/>
    </w:p>
    <w:p w:rsidR="00BE1EFE" w:rsidRPr="00B76821" w:rsidRDefault="00BE1EFE" w:rsidP="00B76821">
      <w:pPr>
        <w:pStyle w:val="berschrift6"/>
        <w:keepNext w:val="0"/>
        <w:spacing w:before="0" w:after="0"/>
        <w:rPr>
          <w:sz w:val="2"/>
        </w:rPr>
      </w:pPr>
    </w:p>
    <w:p w:rsidR="00BE1EFE" w:rsidRPr="000B1AF8" w:rsidRDefault="00BE1EFE">
      <w:pPr>
        <w:pStyle w:val="StandardWeb"/>
      </w:pPr>
      <w:r>
        <w:t>(siehe Anhang II)</w:t>
      </w:r>
    </w:p>
    <w:p w:rsidR="00BE1EFE" w:rsidRDefault="00BE1EFE">
      <w:pPr>
        <w:pStyle w:val="berschrift5"/>
      </w:pPr>
      <w:bookmarkStart w:id="811" w:name="_Toc523926337"/>
      <w:r>
        <w:t>II. Arbeitsrechtlicher Teil</w:t>
      </w:r>
      <w:bookmarkEnd w:id="811"/>
    </w:p>
    <w:p w:rsidR="00BE1EFE" w:rsidRPr="00B76821" w:rsidRDefault="00BE1EFE" w:rsidP="00B76821">
      <w:pPr>
        <w:pStyle w:val="berschrift6"/>
        <w:keepNext w:val="0"/>
        <w:spacing w:before="0" w:after="0"/>
        <w:rPr>
          <w:rStyle w:val="Hervorhebung"/>
          <w:iCs/>
          <w:sz w:val="2"/>
        </w:rPr>
      </w:pPr>
    </w:p>
    <w:p w:rsidR="00BE1EFE" w:rsidRPr="000B1AF8" w:rsidRDefault="00BE1EFE" w:rsidP="003059A3">
      <w:pPr>
        <w:pStyle w:val="StandardWeb"/>
        <w:autoSpaceDE w:val="0"/>
      </w:pPr>
      <w:r>
        <w:rPr>
          <w:rStyle w:val="Hervorhebung"/>
          <w:iCs/>
        </w:rPr>
        <w:t>(zuletzt geändert am 13.07.2017 zum 01.08.2017)</w:t>
      </w:r>
    </w:p>
    <w:p w:rsidR="00BE1EFE" w:rsidRDefault="00BE1EFE">
      <w:pPr>
        <w:pStyle w:val="berschrift6"/>
      </w:pPr>
      <w:bookmarkStart w:id="812" w:name="_Toc523926338"/>
      <w:r>
        <w:t>§ 1 Geltungsbereich</w:t>
      </w:r>
      <w:bookmarkEnd w:id="81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Diese Dienstordnung Teil II gilt für die Gemeindereferentinnen/Gemeindereferenten – nachfolgend Beschäftigte genannt –, die von der von der Freisinger Bischofskonferenz am 19. 09. 2001 beschlossenen Dienstordnung Teil I (siehe Anhang II) erfasst sind; für Gemeindeassistentinnen/Gemeindeassistenten gilt sie sinngemäß.</w:t>
      </w:r>
    </w:p>
    <w:p w:rsidR="00BE1EFE" w:rsidRDefault="00BE1EFE">
      <w:pPr>
        <w:pStyle w:val="berschrift6"/>
      </w:pPr>
      <w:bookmarkStart w:id="813" w:name="_Toc523926339"/>
      <w:r>
        <w:t>§ 2 Anstellungsträger und Vorgesetzte</w:t>
      </w:r>
      <w:bookmarkEnd w:id="813"/>
    </w:p>
    <w:p w:rsidR="00BE1EFE" w:rsidRPr="00B76821" w:rsidRDefault="00BE1EFE" w:rsidP="00B76821">
      <w:pPr>
        <w:pStyle w:val="h7"/>
        <w:keepNext w:val="0"/>
        <w:spacing w:before="0" w:after="0"/>
        <w:jc w:val="left"/>
        <w:outlineLvl w:val="5"/>
        <w:rPr>
          <w:sz w:val="2"/>
        </w:rPr>
      </w:pPr>
    </w:p>
    <w:p w:rsidR="00BE1EFE" w:rsidRDefault="00BE1EFE">
      <w:pPr>
        <w:jc w:val="both"/>
      </w:pPr>
      <w:r>
        <w:t>(1) Anstellungsträger ist die Diözese.</w:t>
      </w:r>
    </w:p>
    <w:p w:rsidR="00BE1EFE" w:rsidRDefault="00BE1EFE">
      <w:pPr>
        <w:jc w:val="both"/>
      </w:pPr>
    </w:p>
    <w:p w:rsidR="00BE1EFE" w:rsidRPr="000B1AF8" w:rsidRDefault="00BE1EFE">
      <w:pPr>
        <w:pStyle w:val="StandardWeb"/>
      </w:pPr>
      <w:r>
        <w:t>(2) Weisungsberechtigte Vorgesetzte sind der Bischof und die von ihm Beauftragten.</w:t>
      </w:r>
    </w:p>
    <w:p w:rsidR="00BE1EFE" w:rsidRPr="000B1AF8" w:rsidRDefault="00BE1EFE">
      <w:pPr>
        <w:pStyle w:val="StandardWeb"/>
      </w:pPr>
    </w:p>
    <w:p w:rsidR="00BE1EFE" w:rsidRDefault="00BE1EFE">
      <w:pPr>
        <w:pStyle w:val="StandardWeb"/>
      </w:pPr>
      <w:r>
        <w:t>(3) </w:t>
      </w:r>
      <w:r>
        <w:rPr>
          <w:rStyle w:val="kleinschrift"/>
        </w:rPr>
        <w:t>1</w:t>
      </w:r>
      <w:r>
        <w:t>Die Stellenzuweisung erfolgt durch den Generalvikar bzw. den Zuständigen des Bischöf</w:t>
      </w:r>
      <w:r>
        <w:softHyphen/>
        <w:t xml:space="preserve">lichen Ordinariates. </w:t>
      </w:r>
      <w:r>
        <w:rPr>
          <w:rStyle w:val="kleinschrift"/>
        </w:rPr>
        <w:t>2</w:t>
      </w:r>
      <w:r>
        <w:t>In der Anweisung werden der Dienstsitz, der unmittelbare Dienstvorge</w:t>
      </w:r>
      <w:r>
        <w:softHyphen/>
        <w:t>setzte sowie besondere Beauftragungen genannt.</w:t>
      </w:r>
    </w:p>
    <w:p w:rsidR="00BE1EFE" w:rsidRDefault="00BE1EFE">
      <w:pPr>
        <w:pStyle w:val="StandardWeb"/>
      </w:pPr>
    </w:p>
    <w:p w:rsidR="00BE1EFE" w:rsidRDefault="00BE1EFE">
      <w:pPr>
        <w:pStyle w:val="StandardWeb"/>
      </w:pPr>
      <w:r>
        <w:t>(4) Mit der Stellenzuweisung ist zu klären, dass der für die Tätigkeit notwendige Arbeitsplatz sowie die sonstigen notwendigen räumlichen Mittel und Sachmittel zur Verfügung gestellt werden.</w:t>
      </w:r>
    </w:p>
    <w:p w:rsidR="00BE1EFE" w:rsidRDefault="00BE1EFE">
      <w:pPr>
        <w:pStyle w:val="berschrift6"/>
      </w:pPr>
      <w:bookmarkStart w:id="814" w:name="_Toc523926340"/>
      <w:r>
        <w:t>§ 3 Arbeitsvertrag</w:t>
      </w:r>
      <w:bookmarkEnd w:id="81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Für die Dauer der Berufseinführung wird ein befristeter Arbeitsvertrag abgeschlossen. </w:t>
      </w:r>
      <w:r>
        <w:rPr>
          <w:rStyle w:val="kleinschrift"/>
        </w:rPr>
        <w:t>2</w:t>
      </w:r>
      <w:r>
        <w:t>Die Berufseinführung dauert in der Regel bei Vollzeitbeschäftigung zwei Jahre; bei Teilzeitbeschäftigung verlängert sie sich entsprechend.</w:t>
      </w:r>
    </w:p>
    <w:p w:rsidR="00BE1EFE" w:rsidRDefault="00BE1EFE">
      <w:pPr>
        <w:pStyle w:val="StandardWeb"/>
      </w:pPr>
      <w:r>
        <w:rPr>
          <w:sz w:val="12"/>
          <w:szCs w:val="12"/>
        </w:rPr>
        <w:t>Protokollnotiz zu § 3 Absatz 1:</w:t>
      </w:r>
    </w:p>
    <w:p w:rsidR="00BE1EFE" w:rsidRPr="000B1AF8" w:rsidRDefault="00BE1EFE">
      <w:pPr>
        <w:pStyle w:val="StandardWeb"/>
      </w:pPr>
      <w:r>
        <w:rPr>
          <w:sz w:val="12"/>
          <w:szCs w:val="12"/>
        </w:rPr>
        <w:t>Für die Erzdiözese München und Freising kann die Dauer der Berufseinführung in einer diözesanen Ordnung (zur Berufseinführung; Zweiten Dienstprüfung) auf maximal drei Jahre bei Vollzeitbeschäftigung festgelegt werden.</w:t>
      </w:r>
    </w:p>
    <w:p w:rsidR="00BE1EFE" w:rsidRPr="000B1AF8" w:rsidRDefault="00BE1EFE">
      <w:pPr>
        <w:pStyle w:val="StandardWeb"/>
      </w:pPr>
    </w:p>
    <w:p w:rsidR="00BE1EFE" w:rsidRDefault="00BE1EFE">
      <w:pPr>
        <w:pStyle w:val="StandardWeb"/>
      </w:pPr>
      <w:r>
        <w:t>(2) In dem Jahr, in dem die Zweite Dienstprüfung abgelegt wird, endet das Arbeitsverhältnis zum 31. August.</w:t>
      </w:r>
    </w:p>
    <w:p w:rsidR="00BE1EFE" w:rsidRDefault="00BE1EFE">
      <w:pPr>
        <w:pStyle w:val="StandardWeb"/>
      </w:pPr>
    </w:p>
    <w:p w:rsidR="00BE1EFE" w:rsidRDefault="00BE1EFE">
      <w:pPr>
        <w:pStyle w:val="StandardWeb"/>
      </w:pPr>
      <w:r>
        <w:t>(3) </w:t>
      </w:r>
      <w:r>
        <w:rPr>
          <w:rStyle w:val="kleinschrift"/>
        </w:rPr>
        <w:t>1</w:t>
      </w:r>
      <w:r>
        <w:t xml:space="preserve">Bei der Anstellung wird ein in der Regel unbefristeter Arbeitsvertrag abgeschlossen. </w:t>
      </w:r>
      <w:r>
        <w:rPr>
          <w:rStyle w:val="kleinschrift"/>
        </w:rPr>
        <w:t>2</w:t>
      </w:r>
      <w:r>
        <w:t xml:space="preserve">Die Anstellung setzt eine Bewerbung voraus. </w:t>
      </w:r>
      <w:r>
        <w:rPr>
          <w:rStyle w:val="kleinschrift"/>
        </w:rPr>
        <w:t>3</w:t>
      </w:r>
      <w:r>
        <w:t>Ein Anspruch auf Anstellung nach erfolgreichem Abschluss der Zweiten Dienstprüfung besteht nicht.</w:t>
      </w:r>
    </w:p>
    <w:p w:rsidR="00BE1EFE" w:rsidRDefault="00BE1EFE">
      <w:pPr>
        <w:pStyle w:val="berschrift6"/>
      </w:pPr>
      <w:bookmarkStart w:id="815" w:name="_Toc523926341"/>
      <w:r>
        <w:lastRenderedPageBreak/>
        <w:t>§ 4 Versetzung, Abordnung, Zuweisung</w:t>
      </w:r>
      <w:bookmarkEnd w:id="81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Beschäftigten sind vor einer vom Arbeitgeber beabsichtigten Versetzung oder Abordnung zu hören. </w:t>
      </w:r>
      <w:r>
        <w:rPr>
          <w:rStyle w:val="kleinschrift"/>
        </w:rPr>
        <w:t>2</w:t>
      </w:r>
      <w:r>
        <w:t>Persönliche und familiäre Belange werden dabei nach Möglichkeit berücksichtigt.</w:t>
      </w:r>
    </w:p>
    <w:p w:rsidR="00BE1EFE" w:rsidRPr="000B1AF8" w:rsidRDefault="00BE1EFE">
      <w:pPr>
        <w:pStyle w:val="StandardWeb"/>
      </w:pPr>
    </w:p>
    <w:p w:rsidR="00BE1EFE" w:rsidRDefault="00BE1EFE">
      <w:pPr>
        <w:pStyle w:val="StandardWeb"/>
      </w:pPr>
      <w:r>
        <w:t>(2) Eine Versetzung kann auch von den Beschäftigten selbst beantragt werden.</w:t>
      </w:r>
    </w:p>
    <w:p w:rsidR="00BE1EFE" w:rsidRDefault="00BE1EFE">
      <w:pPr>
        <w:pStyle w:val="StandardWeb"/>
      </w:pPr>
    </w:p>
    <w:p w:rsidR="00BE1EFE" w:rsidRDefault="00BE1EFE">
      <w:pPr>
        <w:pStyle w:val="StandardWeb"/>
      </w:pPr>
      <w:r>
        <w:t>(3) Bei dienstlich veranlassten Versetzungen erstattet der Arbeitgeber die Umzugskosten nach den diözesanen Regelungen und ist nach Möglichkeit bei der Wohnungssuche behilflich.</w:t>
      </w:r>
    </w:p>
    <w:p w:rsidR="00BE1EFE" w:rsidRDefault="00BE1EFE">
      <w:pPr>
        <w:pStyle w:val="StandardWeb"/>
      </w:pPr>
    </w:p>
    <w:p w:rsidR="00BE1EFE" w:rsidRDefault="00BE1EFE">
      <w:pPr>
        <w:pStyle w:val="StandardWeb"/>
      </w:pPr>
      <w:r>
        <w:t>(4) Eine mit der Versetzung angewiesene Dienstwohnung ist zu beziehen.</w:t>
      </w:r>
    </w:p>
    <w:p w:rsidR="00BE1EFE" w:rsidRDefault="00BE1EFE">
      <w:pPr>
        <w:pStyle w:val="berschrift6"/>
      </w:pPr>
      <w:bookmarkStart w:id="816" w:name="_Toc523926342"/>
      <w:r>
        <w:t>§ 5 Arbeitszeit</w:t>
      </w:r>
      <w:bookmarkEnd w:id="81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durchschnittliche wöchentliche Arbeitszeit verteilt sich in der Regel auf sechs Tage pro Woche.</w:t>
      </w:r>
    </w:p>
    <w:p w:rsidR="00BE1EFE" w:rsidRPr="000B1AF8" w:rsidRDefault="00BE1EFE">
      <w:pPr>
        <w:pStyle w:val="StandardWeb"/>
      </w:pPr>
    </w:p>
    <w:p w:rsidR="00BE1EFE" w:rsidRDefault="00BE1EFE">
      <w:pPr>
        <w:pStyle w:val="StandardWeb"/>
      </w:pPr>
      <w:r>
        <w:t>(2) </w:t>
      </w:r>
      <w:r>
        <w:rPr>
          <w:rStyle w:val="kleinschrift"/>
        </w:rPr>
        <w:t>1</w:t>
      </w:r>
      <w:r>
        <w:t xml:space="preserve">Die Arbeitszeit lässt sich wegen des besonderen Dienstes der Beschäftigten nicht nach gleichbleibenden Dienstplänen festlegen. </w:t>
      </w:r>
      <w:r>
        <w:rPr>
          <w:rStyle w:val="kleinschrift"/>
        </w:rPr>
        <w:t>2</w:t>
      </w:r>
      <w:r>
        <w:t xml:space="preserve">Schwerpunkte des Einsatzes ergeben sich auch an Abenden, Sonn- und Feiertagen. </w:t>
      </w:r>
      <w:r>
        <w:rPr>
          <w:rStyle w:val="kleinschrift"/>
        </w:rPr>
        <w:t>3</w:t>
      </w:r>
      <w:r>
        <w:t xml:space="preserve">Die Verteilung der mit ihnen vereinbarten regelmäßigen Arbeitszeit erfolgt durch den unmittelbaren Dienstvorgesetzten nach vorheriger Absprache mit den Beschäftigten; bei Teilzeitbeschäftigten sind die Tage der Woche festzulegen, an denen die vereinbarte Arbeit erbracht wird. </w:t>
      </w:r>
      <w:r>
        <w:rPr>
          <w:rStyle w:val="kleinschrift"/>
        </w:rPr>
        <w:t>4</w:t>
      </w:r>
      <w:r>
        <w:t>Bei der Verteilung der Arbeitszeit muss auf die pastoralen Erfordernisse im Einsatzbereich und im Rahmen des Möglichen auf die persönlichen und familiären Belange der Beschäftigten Rücksicht genommen werden.</w:t>
      </w:r>
    </w:p>
    <w:p w:rsidR="00BE1EFE" w:rsidRDefault="00BE1EFE">
      <w:pPr>
        <w:pStyle w:val="StandardWeb"/>
      </w:pPr>
    </w:p>
    <w:p w:rsidR="00BE1EFE" w:rsidRDefault="00BE1EFE">
      <w:pPr>
        <w:pStyle w:val="StandardWeb"/>
      </w:pPr>
      <w:r>
        <w:t>(3) Werden die Beschäftigten aufgrund einer schriftlichen Anweisung durch den Arbeitgeber über das Maß der mit ihnen vereinbarten regelmäßigen Arbeitszeit hinaus zur Erfüllung zusätzlicher Aufgaben herangezogen, erfolgt ein Ausgleich durch entsprechende Arbeitsbefreiung, durch Zeitgutschrift auf ein Arbeitszeitkonto (</w:t>
      </w:r>
      <w:hyperlink r:id="rId1142" w:history="1">
        <w:r w:rsidRPr="002D1F1D">
          <w:rPr>
            <w:rStyle w:val="Hyperlink"/>
          </w:rPr>
          <w:t>§ 6 Absatz 5 AZKR</w:t>
        </w:r>
      </w:hyperlink>
      <w:r>
        <w:t>) oder über die Bezüge.</w:t>
      </w:r>
    </w:p>
    <w:p w:rsidR="00BE1EFE" w:rsidRDefault="00BE1EFE">
      <w:pPr>
        <w:pStyle w:val="StandardWeb"/>
      </w:pPr>
    </w:p>
    <w:p w:rsidR="00BE1EFE" w:rsidRDefault="00BE1EFE">
      <w:pPr>
        <w:pStyle w:val="StandardWeb"/>
      </w:pPr>
      <w:r>
        <w:t>(4) Die Beschäftigten haben Anspruch auf einen arbeitsfreien zusammenhängenden Samstag und Sonntag im Monat.</w:t>
      </w:r>
    </w:p>
    <w:p w:rsidR="00BE1EFE" w:rsidRDefault="00BE1EFE">
      <w:pPr>
        <w:pStyle w:val="berschrift6"/>
      </w:pPr>
      <w:bookmarkStart w:id="817" w:name="_Toc523926343"/>
      <w:r>
        <w:t>§ 6 Arbeitsunfähigkeit</w:t>
      </w:r>
      <w:bookmarkEnd w:id="8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Eine Arbeitsunfähigkeit und deren voraussichtliche Dauer ist dem Arbeitgeber, dem unmittelbaren Dienstvorgesetzten sowie den von der Verhinderung betroffenen Einsatzstellen (z. B. Schule) unverzüglich mitzuteilen.</w:t>
      </w:r>
    </w:p>
    <w:p w:rsidR="00BE1EFE" w:rsidRDefault="00BE1EFE">
      <w:pPr>
        <w:pStyle w:val="berschrift6"/>
      </w:pPr>
      <w:bookmarkStart w:id="818" w:name="_Toc523926344"/>
      <w:r>
        <w:t>§ 7 Erholungsurlaub</w:t>
      </w:r>
      <w:bookmarkEnd w:id="81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Erholungsurlaub kann in der Regel nur in der unterrichtsfreien Zeit eingebracht werden.</w:t>
      </w:r>
    </w:p>
    <w:p w:rsidR="00BE1EFE" w:rsidRDefault="00BE1EFE" w:rsidP="002824F2">
      <w:pPr>
        <w:pStyle w:val="Leerzeile"/>
      </w:pPr>
    </w:p>
    <w:p w:rsidR="00BE1EFE" w:rsidRPr="002824F2" w:rsidRDefault="00BE1EFE" w:rsidP="002824F2">
      <w:pPr>
        <w:pStyle w:val="Leerzeile"/>
      </w:pPr>
    </w:p>
    <w:p w:rsidR="00BE1EFE" w:rsidRDefault="00BE1EFE">
      <w:pPr>
        <w:pStyle w:val="berschrift6"/>
      </w:pPr>
      <w:bookmarkStart w:id="819" w:name="_Toc523926345"/>
      <w:r>
        <w:lastRenderedPageBreak/>
        <w:t>§ 8 Religionsunterricht</w:t>
      </w:r>
      <w:bookmarkEnd w:id="8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w:t>
      </w:r>
      <w:r>
        <w:rPr>
          <w:rStyle w:val="kleinschrift"/>
        </w:rPr>
        <w:t> 1</w:t>
      </w:r>
      <w:r>
        <w:t xml:space="preserve">Die Beschäftigten erteilen Religionsunterricht im angewiesenen Umfang an den ihnen zugewiesenen Schulen. </w:t>
      </w:r>
      <w:r>
        <w:rPr>
          <w:rStyle w:val="kleinschrift"/>
        </w:rPr>
        <w:t>2</w:t>
      </w:r>
      <w:r>
        <w:t>Der Umfang des in der Regel zu erteilenden Religionsunterrichts wird von der Diözese festgelegt.</w:t>
      </w:r>
    </w:p>
    <w:p w:rsidR="00BE1EFE" w:rsidRPr="000B1AF8" w:rsidRDefault="00BE1EFE">
      <w:pPr>
        <w:pStyle w:val="StandardWeb"/>
      </w:pPr>
    </w:p>
    <w:p w:rsidR="00BE1EFE" w:rsidRDefault="00BE1EFE">
      <w:pPr>
        <w:pStyle w:val="StandardWeb"/>
      </w:pPr>
      <w:r>
        <w:t>(2) Der Einsatz im schulischen Religionsunterricht erfolgt unter Beachtung der einschlägigen Vorschriften über die Erteilung des Religionsunterrichtes durch kirchliche Lehrkräfte auf der Grundlage der Dienstordnung für Religionslehrerinnen und Religionslehrer im Kirchendienst.</w:t>
      </w:r>
    </w:p>
    <w:p w:rsidR="00BE1EFE" w:rsidRDefault="00BE1EFE">
      <w:pPr>
        <w:pStyle w:val="StandardWeb"/>
      </w:pPr>
    </w:p>
    <w:p w:rsidR="00BE1EFE" w:rsidRDefault="00BE1EFE">
      <w:pPr>
        <w:pStyle w:val="StandardWeb"/>
      </w:pPr>
      <w:r>
        <w:t>(3) Bei der Erteilung von Religionsunterricht wird eine Unterrichtsstunde gemäß dem in der Dienstordnung für Religionslehrerinnen und Religionslehrer im Kirchendienst jeweils geltenden Stundenfaktor gewertet.</w:t>
      </w:r>
    </w:p>
    <w:p w:rsidR="00BE1EFE" w:rsidRPr="009F5443" w:rsidRDefault="00BE1EFE">
      <w:pPr>
        <w:pStyle w:val="berschrift6"/>
        <w:rPr>
          <w:lang w:eastAsia="x-none"/>
        </w:rPr>
      </w:pPr>
      <w:bookmarkStart w:id="820" w:name="_Toc523926346"/>
      <w:r>
        <w:t xml:space="preserve">§ 9 </w:t>
      </w:r>
      <w:r>
        <w:rPr>
          <w:lang w:eastAsia="x-none"/>
        </w:rPr>
        <w:t>Qualifizierung</w:t>
      </w:r>
      <w:bookmarkEnd w:id="8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Beschäftigten sind verpflichtet, sich beruflich fortzubilden.</w:t>
      </w:r>
    </w:p>
    <w:p w:rsidR="00BE1EFE" w:rsidRPr="000B1AF8" w:rsidRDefault="00BE1EFE">
      <w:pPr>
        <w:pStyle w:val="StandardWeb"/>
      </w:pPr>
    </w:p>
    <w:p w:rsidR="00BE1EFE" w:rsidRDefault="00BE1EFE">
      <w:pPr>
        <w:pStyle w:val="StandardWeb"/>
      </w:pPr>
      <w:r>
        <w:t>(2) </w:t>
      </w:r>
      <w:r>
        <w:rPr>
          <w:rStyle w:val="kleinschrift"/>
        </w:rPr>
        <w:t>1</w:t>
      </w:r>
      <w:r>
        <w:t xml:space="preserve">An dienstlich angeordneten Fortbildungsveranstaltungen besteht Teilnahmepflicht. </w:t>
      </w:r>
      <w:r>
        <w:rPr>
          <w:rStyle w:val="kleinschrift"/>
        </w:rPr>
        <w:t>2</w:t>
      </w:r>
      <w:r>
        <w:t>Die Kosten dafür trägt der Dienstgeber.</w:t>
      </w:r>
    </w:p>
    <w:p w:rsidR="00BE1EFE" w:rsidRDefault="00BE1EFE">
      <w:pPr>
        <w:pStyle w:val="StandardWeb"/>
      </w:pPr>
    </w:p>
    <w:p w:rsidR="00BE1EFE" w:rsidRDefault="00BE1EFE">
      <w:pPr>
        <w:pStyle w:val="StandardWeb"/>
      </w:pPr>
      <w:r>
        <w:t>(3) </w:t>
      </w:r>
      <w:r>
        <w:rPr>
          <w:rStyle w:val="kleinschrift"/>
        </w:rPr>
        <w:t>1</w:t>
      </w:r>
      <w:r>
        <w:t xml:space="preserve">Abweichend von </w:t>
      </w:r>
      <w:hyperlink r:id="rId1143" w:history="1">
        <w:r w:rsidRPr="002D1F1D">
          <w:rPr>
            <w:rStyle w:val="Hyperlink"/>
          </w:rPr>
          <w:t>§ 29 Absatz 1 a Buchstabe d, Doppelbuchstabe aa Teil A, 1.</w:t>
        </w:r>
      </w:hyperlink>
      <w:r>
        <w:t xml:space="preserve"> und </w:t>
      </w:r>
      <w:hyperlink r:id="rId1144" w:history="1">
        <w:r w:rsidRPr="002D1F1D">
          <w:rPr>
            <w:rStyle w:val="Hyperlink"/>
          </w:rPr>
          <w:t>§ 5 a Absatz 1 Teil A, 1.</w:t>
        </w:r>
      </w:hyperlink>
      <w:r>
        <w:t xml:space="preserve"> stehen für freiwillige Qualifizierungsmaßnahmen und für Exerzitien, Einkehrtage bzw. Wallfahrten den Beschäftigten insgesamt zwölf Arbeitstage pro Jahr zur Verfügung. </w:t>
      </w:r>
      <w:r>
        <w:rPr>
          <w:rStyle w:val="kleinschrift"/>
        </w:rPr>
        <w:t>2</w:t>
      </w:r>
      <w:r>
        <w:t>Die Einzelheiten werden von den Diözesen geregelt.</w:t>
      </w:r>
    </w:p>
    <w:p w:rsidR="00BE1EFE" w:rsidRPr="008354D8" w:rsidRDefault="00BE1EFE" w:rsidP="008354D8">
      <w:pPr>
        <w:pStyle w:val="StandardWeb"/>
        <w:rPr>
          <w:sz w:val="12"/>
          <w:szCs w:val="12"/>
          <w:lang w:eastAsia="ar-SA"/>
        </w:rPr>
      </w:pPr>
      <w:bookmarkStart w:id="821" w:name="_Toc469484556"/>
      <w:r w:rsidRPr="008354D8">
        <w:rPr>
          <w:sz w:val="12"/>
          <w:szCs w:val="12"/>
          <w:lang w:eastAsia="ar-SA"/>
        </w:rPr>
        <w:t>Protokollnotiz zu § 9 Absatz 3:</w:t>
      </w:r>
      <w:bookmarkEnd w:id="821"/>
    </w:p>
    <w:p w:rsidR="00BE1EFE" w:rsidRPr="008354D8" w:rsidRDefault="00BE1EFE" w:rsidP="008354D8">
      <w:pPr>
        <w:pStyle w:val="StandardWeb"/>
        <w:rPr>
          <w:sz w:val="12"/>
          <w:szCs w:val="12"/>
        </w:rPr>
      </w:pPr>
      <w:r w:rsidRPr="008354D8">
        <w:rPr>
          <w:sz w:val="12"/>
          <w:szCs w:val="12"/>
        </w:rPr>
        <w:t>Bei Verteilung der wöchentlichen Arbeitszeit auf sechs Tage in der Kalenderwoche beträgt der Anspruch auf Qualifizierung in jedem Kalenderjahr zwölf Arbeitstage.</w:t>
      </w:r>
      <w:r w:rsidRPr="008354D8">
        <w:rPr>
          <w:rStyle w:val="kleinschrift1"/>
          <w:rFonts w:cs="Arial"/>
          <w:szCs w:val="12"/>
        </w:rPr>
        <w:t xml:space="preserve"> </w:t>
      </w:r>
      <w:r w:rsidRPr="008354D8">
        <w:rPr>
          <w:sz w:val="12"/>
          <w:szCs w:val="12"/>
        </w:rPr>
        <w:t xml:space="preserve">Bei einer anderen Verteilung der wöchentlichen Arbeitszeit vermindert sich der Anspruch entsprechend. Beschäftigte haben bei </w:t>
      </w:r>
    </w:p>
    <w:p w:rsidR="00BE1EFE" w:rsidRPr="008354D8" w:rsidRDefault="00BE1EFE" w:rsidP="008354D8">
      <w:pPr>
        <w:pStyle w:val="StandardWeb"/>
        <w:rPr>
          <w:sz w:val="12"/>
          <w:szCs w:val="12"/>
        </w:rPr>
      </w:pPr>
      <w:r>
        <w:rPr>
          <w:sz w:val="12"/>
          <w:szCs w:val="12"/>
        </w:rPr>
        <w:t>–</w:t>
      </w:r>
      <w:r w:rsidRPr="008354D8">
        <w:rPr>
          <w:sz w:val="12"/>
          <w:szCs w:val="12"/>
        </w:rPr>
        <w:t xml:space="preserve"> einer Ein-Tage-Woche Anspruch auf Arbeitsbefreiung für zwei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Zwei-Tage-Woche Anspruch auf Arbeitsbefreiung für vier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Drei-Tage-Woche Anspruch auf Arbeitsbefreiung für sechs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Vier-Tage-Woche Anspruch auf Arbeitsbefreiung für acht Arbeitstage,</w:t>
      </w:r>
    </w:p>
    <w:p w:rsidR="00BE1EFE" w:rsidRPr="008354D8" w:rsidRDefault="00BE1EFE" w:rsidP="008354D8">
      <w:pPr>
        <w:pStyle w:val="StandardWeb"/>
        <w:rPr>
          <w:sz w:val="12"/>
          <w:szCs w:val="12"/>
        </w:rPr>
      </w:pPr>
      <w:r>
        <w:rPr>
          <w:sz w:val="12"/>
          <w:szCs w:val="12"/>
        </w:rPr>
        <w:t>–</w:t>
      </w:r>
      <w:r w:rsidRPr="008354D8">
        <w:rPr>
          <w:sz w:val="12"/>
          <w:szCs w:val="12"/>
        </w:rPr>
        <w:t xml:space="preserve"> einer Fünf-Tage-Woche Anspruch auf Arbeitsbefreiung für zehn Arbeitstage, </w:t>
      </w:r>
    </w:p>
    <w:p w:rsidR="00BE1EFE" w:rsidRPr="008354D8" w:rsidRDefault="00BE1EFE" w:rsidP="008354D8">
      <w:pPr>
        <w:pStyle w:val="StandardWeb"/>
        <w:rPr>
          <w:sz w:val="12"/>
          <w:szCs w:val="12"/>
        </w:rPr>
      </w:pPr>
      <w:r>
        <w:rPr>
          <w:sz w:val="12"/>
          <w:szCs w:val="12"/>
        </w:rPr>
        <w:t>–</w:t>
      </w:r>
      <w:r w:rsidRPr="008354D8">
        <w:rPr>
          <w:sz w:val="12"/>
          <w:szCs w:val="12"/>
        </w:rPr>
        <w:t xml:space="preserve"> einer Sechs-Tage-Woche Anspruch auf Arbeitsbefreiung für zwölf Arbeitstage.</w:t>
      </w:r>
    </w:p>
    <w:p w:rsidR="00BE1EFE" w:rsidRDefault="00BE1EFE">
      <w:pPr>
        <w:pStyle w:val="StandardWeb"/>
      </w:pPr>
    </w:p>
    <w:p w:rsidR="00BE1EFE" w:rsidRDefault="00BE1EFE">
      <w:pPr>
        <w:pStyle w:val="StandardWeb"/>
      </w:pPr>
      <w:r>
        <w:t>(4) Darüber hinaus gehende diözesane Fortbildungsregelungen bleiben unberührt.</w:t>
      </w:r>
    </w:p>
    <w:p w:rsidR="00BE1EFE" w:rsidRDefault="00BE1EFE">
      <w:pPr>
        <w:pStyle w:val="berschrift6"/>
      </w:pPr>
      <w:bookmarkStart w:id="822" w:name="_Toc523926347"/>
      <w:r>
        <w:t>§ 10 In-Kraft-Treten</w:t>
      </w:r>
      <w:bookmarkEnd w:id="822"/>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Regelung tritt am 01.01.2002 in Kraft. </w:t>
      </w:r>
      <w:r>
        <w:rPr>
          <w:rStyle w:val="kleinschrift"/>
        </w:rPr>
        <w:t>2</w:t>
      </w:r>
      <w:r>
        <w:t>Gleichzeitig treten die bisherigen Regelungen außer Kraft.</w:t>
      </w:r>
    </w:p>
    <w:p w:rsidR="00BE1EFE" w:rsidRPr="00F72865" w:rsidRDefault="00BE1EFE">
      <w:pPr>
        <w:pStyle w:val="StandardWeb"/>
        <w:rPr>
          <w:sz w:val="2"/>
          <w:szCs w:val="2"/>
        </w:rPr>
      </w:pPr>
      <w:r>
        <w:br w:type="page"/>
      </w:r>
    </w:p>
    <w:p w:rsidR="00BE1EFE" w:rsidRDefault="00BE1EFE" w:rsidP="00F72865">
      <w:pPr>
        <w:pStyle w:val="berschrift4"/>
        <w:spacing w:before="0"/>
      </w:pPr>
      <w:bookmarkStart w:id="823" w:name="_Toc523926348"/>
      <w:r>
        <w:lastRenderedPageBreak/>
        <w:t>C, 3. Dienstordnung für Religionslehrerinnen und Religions</w:t>
      </w:r>
      <w:r>
        <w:rPr>
          <w:lang w:eastAsia="x-none"/>
        </w:rPr>
        <w:softHyphen/>
      </w:r>
      <w:r>
        <w:t>lehrer im Kirchendienst</w:t>
      </w:r>
      <w:bookmarkEnd w:id="823"/>
    </w:p>
    <w:p w:rsidR="00BE1EFE" w:rsidRDefault="00BE1EFE" w:rsidP="006B3B90">
      <w:pPr>
        <w:pStyle w:val="berschrift5"/>
      </w:pPr>
      <w:bookmarkStart w:id="824" w:name="_Toc453677949"/>
      <w:bookmarkStart w:id="825" w:name="_Toc523926349"/>
      <w:r>
        <w:t>§ 1 Begriff</w:t>
      </w:r>
      <w:bookmarkEnd w:id="824"/>
      <w:bookmarkEnd w:id="825"/>
    </w:p>
    <w:p w:rsidR="00BE1EFE" w:rsidRDefault="00BE1EFE" w:rsidP="006B3B90">
      <w:pPr>
        <w:pStyle w:val="berschrift6"/>
        <w:spacing w:before="0" w:after="0"/>
        <w:rPr>
          <w:sz w:val="2"/>
        </w:rPr>
      </w:pPr>
    </w:p>
    <w:p w:rsidR="00BE1EFE" w:rsidRDefault="00BE1EFE" w:rsidP="006B3B90">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pPr>
        <w:pStyle w:val="StandardWeb"/>
      </w:pPr>
      <w:r>
        <w:t>(1) Religionslehrerinnen/Religionslehrer im Kirchendienst (RL i. K.) – nachfolgend Religions</w:t>
      </w:r>
      <w:r>
        <w:softHyphen/>
        <w:t>lehrkräfte genannt – im Sinne dieser Ordnung sind alle Beschäftigten, die katholischen Religionsunterricht an Grund- und Mittelschulen sowie Förderschulen im Bereich der Diözesen erteilen, soweit sich die Unterrichtsverpflichtung nicht aus anderen Regelungen ergibt.</w:t>
      </w:r>
    </w:p>
    <w:p w:rsidR="00BE1EFE" w:rsidRDefault="00BE1EFE">
      <w:pPr>
        <w:pStyle w:val="StandardWeb"/>
      </w:pPr>
      <w:r>
        <w:rPr>
          <w:rStyle w:val="kleinschrift"/>
        </w:rPr>
        <w:t xml:space="preserve">Anmerkung: </w:t>
      </w:r>
    </w:p>
    <w:p w:rsidR="00BE1EFE" w:rsidRDefault="00BE1EFE">
      <w:pPr>
        <w:pStyle w:val="StandardWeb"/>
      </w:pPr>
      <w:r>
        <w:rPr>
          <w:rStyle w:val="kleinschrift"/>
        </w:rPr>
        <w:t xml:space="preserve">Die Regelungen gelten weiterhin auch für </w:t>
      </w:r>
      <w:r w:rsidRPr="00966203">
        <w:rPr>
          <w:rStyle w:val="kleinschrift"/>
        </w:rPr>
        <w:t>Religionslehrkräfte</w:t>
      </w:r>
      <w:r>
        <w:rPr>
          <w:rStyle w:val="kleinschrift"/>
        </w:rPr>
        <w:t>, die an Schulen eingesetzt sind, die gem. Art. 127a BayEUG ab 1. August 2012 die bisherige Bezeichnung „Volksschule“ bzw. „Hauptschule" weiter verwenden bzw. als solche fortgeführt werden.</w:t>
      </w:r>
    </w:p>
    <w:p w:rsidR="00BE1EFE" w:rsidRDefault="00BE1EFE">
      <w:pPr>
        <w:pStyle w:val="StandardWeb"/>
      </w:pPr>
    </w:p>
    <w:p w:rsidR="00BE1EFE" w:rsidRDefault="00BE1EFE">
      <w:pPr>
        <w:pStyle w:val="StandardWeb"/>
      </w:pPr>
      <w:r>
        <w:t>(2) </w:t>
      </w:r>
      <w:r w:rsidRPr="00EF6F0F">
        <w:rPr>
          <w:rFonts w:cs="Arial"/>
          <w:kern w:val="1"/>
          <w:lang w:eastAsia="ar-SA"/>
        </w:rPr>
        <w:t>Religionslehrkräfte</w:t>
      </w:r>
      <w:r>
        <w:t xml:space="preserve"> im Sinne dieser Ordnung sind auch alle Beschäftigten, die katholischen Religionsunterricht an anderen als den in Absatz 1 genannten Schularten erteilen, soweit sich die Unterrichtsverpflichtung nicht aus anderen Regelungen ergibt.</w:t>
      </w:r>
    </w:p>
    <w:p w:rsidR="00BE1EFE" w:rsidRDefault="00BE1EFE">
      <w:pPr>
        <w:pStyle w:val="StandardWeb"/>
      </w:pPr>
    </w:p>
    <w:p w:rsidR="00BE1EFE" w:rsidRDefault="00BE1EFE">
      <w:pPr>
        <w:pStyle w:val="StandardWeb"/>
      </w:pPr>
      <w:r>
        <w:t>(3) Die Berechtigung zum Führen der Berufsbezeichnung „Religionslehrerin im Kirchendienst“ bzw. „Religionslehrer im Kirchendienst“ wird vom Diözesanbischof oder von seiner/seinem Beauftragten verliehen.</w:t>
      </w:r>
    </w:p>
    <w:p w:rsidR="00BE1EFE" w:rsidRDefault="00BE1EFE">
      <w:pPr>
        <w:pStyle w:val="berschrift5"/>
      </w:pPr>
      <w:bookmarkStart w:id="826" w:name="_Toc523926350"/>
      <w:r>
        <w:t>§ 2 Einstellungsvoraussetzungen</w:t>
      </w:r>
      <w:bookmarkEnd w:id="826"/>
    </w:p>
    <w:p w:rsidR="00BE1EFE" w:rsidRPr="00B76821" w:rsidRDefault="00BE1EFE" w:rsidP="00B76821">
      <w:pPr>
        <w:pStyle w:val="berschrift6"/>
        <w:keepNext w:val="0"/>
        <w:spacing w:before="0" w:after="0"/>
        <w:rPr>
          <w:rStyle w:val="kleinschrift"/>
          <w:bCs w:val="0"/>
          <w:sz w:val="2"/>
          <w:szCs w:val="16"/>
        </w:rPr>
      </w:pPr>
    </w:p>
    <w:p w:rsidR="00BE1EFE" w:rsidRPr="00DF7857" w:rsidRDefault="00BE1EFE" w:rsidP="00DF7857">
      <w:pPr>
        <w:pStyle w:val="StandardWeb"/>
        <w:rPr>
          <w:rStyle w:val="kleinschrift"/>
          <w:bCs/>
          <w:sz w:val="16"/>
          <w:szCs w:val="16"/>
        </w:rPr>
      </w:pPr>
      <w:r w:rsidRPr="00DF7857">
        <w:rPr>
          <w:rStyle w:val="kleinschrift"/>
          <w:bCs/>
          <w:sz w:val="16"/>
          <w:szCs w:val="16"/>
        </w:rPr>
        <w:t>Fachliche Einstellungsvoraussetzungen sind:</w:t>
      </w:r>
    </w:p>
    <w:p w:rsidR="00BE1EFE" w:rsidRPr="00DF7857" w:rsidRDefault="00BE1EFE" w:rsidP="00DF7857">
      <w:pPr>
        <w:pStyle w:val="StandardWeb"/>
        <w:rPr>
          <w:rStyle w:val="kleinschrift"/>
          <w:bCs/>
          <w:sz w:val="16"/>
          <w:szCs w:val="16"/>
        </w:rPr>
      </w:pPr>
      <w:r w:rsidRPr="00DF7857">
        <w:rPr>
          <w:rStyle w:val="kleinschrift"/>
          <w:bCs/>
          <w:sz w:val="16"/>
          <w:szCs w:val="16"/>
        </w:rPr>
        <w:t xml:space="preserve">a) Für Religionslehrkräfte nach </w:t>
      </w:r>
      <w:hyperlink r:id="rId1145" w:history="1">
        <w:r w:rsidRPr="00DF7857">
          <w:rPr>
            <w:rStyle w:val="Hyperlink"/>
            <w:bCs/>
            <w:szCs w:val="16"/>
          </w:rPr>
          <w:t>§ 1 Absatz 1</w:t>
        </w:r>
      </w:hyperlink>
      <w:r w:rsidRPr="00DF7857">
        <w:rPr>
          <w:rStyle w:val="kleinschrift"/>
          <w:bCs/>
          <w:sz w:val="16"/>
          <w:szCs w:val="16"/>
        </w:rPr>
        <w:t xml:space="preserve"> abgeschlossenes Studium der Religionspädago</w:t>
      </w:r>
      <w:r w:rsidRPr="00DF7857">
        <w:rPr>
          <w:rStyle w:val="kleinschrift"/>
          <w:bCs/>
          <w:sz w:val="16"/>
          <w:szCs w:val="16"/>
        </w:rPr>
        <w:softHyphen/>
        <w:t>gik (katholisch) an einer Hochschule (Bachelor); darüber hinaus können auch ein sonstiges abgeschlossenes religionspädagogisches Studium bzw. eine sonstige gleichwertige oder als gleichwertig anerkannte abgeschlossene Ausbildung mit der Befähigung zum Lehramt im Fach katholische Religionslehre an der jeweiligen Schulart sowie ein abgeschlossenes Studium der katholischen Theologie an einer wissenschaftlichen Hochschule (Magister Artium) anerkannt werden.</w:t>
      </w:r>
    </w:p>
    <w:p w:rsidR="00BE1EFE" w:rsidRPr="00DF7857" w:rsidRDefault="00BE1EFE" w:rsidP="00DF7857">
      <w:pPr>
        <w:pStyle w:val="StandardWeb"/>
        <w:rPr>
          <w:rStyle w:val="kleinschrift"/>
          <w:bCs/>
          <w:sz w:val="16"/>
          <w:szCs w:val="16"/>
        </w:rPr>
      </w:pPr>
      <w:r w:rsidRPr="00DF7857">
        <w:rPr>
          <w:rStyle w:val="kleinschrift"/>
          <w:bCs/>
          <w:sz w:val="16"/>
          <w:szCs w:val="16"/>
        </w:rPr>
        <w:t xml:space="preserve">b) Für Religionslehrkräfte nach </w:t>
      </w:r>
      <w:hyperlink r:id="rId1146" w:history="1">
        <w:r w:rsidRPr="00DF7857">
          <w:rPr>
            <w:rStyle w:val="Hyperlink"/>
            <w:bCs/>
            <w:szCs w:val="16"/>
          </w:rPr>
          <w:t>§ 1 Absatz 2</w:t>
        </w:r>
      </w:hyperlink>
      <w:r w:rsidRPr="00DF7857">
        <w:rPr>
          <w:rStyle w:val="kleinschrift"/>
          <w:bCs/>
          <w:sz w:val="16"/>
          <w:szCs w:val="16"/>
        </w:rPr>
        <w:t xml:space="preserve"> abgeschlossenes Studium der katholischen Theologie an einer wissenschaftlichen Hochschule (Magister Artium); darüber hinaus kann eine als gleichwertig anerkannte Ausbildung/ein als gleichwertig anerkanntes Studium mit der Befähigung zum Lehramt im Fach katholische Religionslehre an der jeweiligen Schulart sowie ein unter Nummer 1 Halbsatz 1 genannter Abschluss (sofern eine staatliche Genehmigung vorliegt) anerkannt werden.</w:t>
      </w:r>
    </w:p>
    <w:p w:rsidR="00BE1EFE" w:rsidRDefault="00BE1EFE" w:rsidP="00966203">
      <w:pPr>
        <w:pStyle w:val="berschrift5"/>
      </w:pPr>
      <w:bookmarkStart w:id="827" w:name="_Toc523926351"/>
      <w:r>
        <w:t>§ 3 Missio Canonica</w:t>
      </w:r>
      <w:bookmarkEnd w:id="827"/>
    </w:p>
    <w:p w:rsidR="00BE1EFE" w:rsidRPr="00B76821" w:rsidRDefault="00BE1EFE" w:rsidP="00B76821">
      <w:pPr>
        <w:pStyle w:val="berschrift6"/>
        <w:keepNext w:val="0"/>
        <w:spacing w:before="0" w:after="0"/>
        <w:rPr>
          <w:sz w:val="2"/>
        </w:rPr>
      </w:pPr>
    </w:p>
    <w:p w:rsidR="00BE1EFE" w:rsidRDefault="00BE1EFE">
      <w:pPr>
        <w:pStyle w:val="StandardWeb"/>
      </w:pPr>
      <w:r>
        <w:t>Die Ausübung der Tätigkeit setzt die „Missio Canonica“ bzw. die „Vorläufige kirchliche Unterrichtserlaubnis“ voraus.</w:t>
      </w:r>
    </w:p>
    <w:p w:rsidR="00BE1EFE" w:rsidRDefault="00BE1EFE">
      <w:pPr>
        <w:pStyle w:val="StandardWeb"/>
      </w:pPr>
    </w:p>
    <w:p w:rsidR="00BE1EFE" w:rsidRPr="000B1AF8" w:rsidRDefault="00BE1EFE">
      <w:pPr>
        <w:pStyle w:val="StandardWeb"/>
      </w:pPr>
    </w:p>
    <w:p w:rsidR="00BE1EFE" w:rsidRDefault="00BE1EFE">
      <w:pPr>
        <w:pStyle w:val="berschrift5"/>
      </w:pPr>
      <w:bookmarkStart w:id="828" w:name="_Toc523926352"/>
      <w:r>
        <w:lastRenderedPageBreak/>
        <w:t>§ 4 Kirchlicher Vorbereitungsdienst und zweite Dienstprüfung</w:t>
      </w:r>
      <w:bookmarkEnd w:id="82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Einer unbefristeten Einstellung geht ein Vorbereitungsdienst voraus. </w:t>
      </w:r>
      <w:r>
        <w:rPr>
          <w:rStyle w:val="kleinschrift"/>
        </w:rPr>
        <w:t>2</w:t>
      </w:r>
      <w:r>
        <w:t>Die Diözese ent</w:t>
      </w:r>
      <w:r>
        <w:softHyphen/>
        <w:t>scheidet gemäß den diözesanen Vorgaben über eine Aufnahme der Bewerberin/des Be</w:t>
      </w:r>
      <w:r>
        <w:softHyphen/>
        <w:t xml:space="preserve">werbers in den Vorbereitungsdienst. </w:t>
      </w:r>
      <w:r>
        <w:rPr>
          <w:rStyle w:val="kleinschrift"/>
        </w:rPr>
        <w:t>3</w:t>
      </w:r>
      <w:r>
        <w:t>Während des Vorbereitungsdienstes lautet die Bezeich</w:t>
      </w:r>
      <w:r>
        <w:softHyphen/>
        <w:t xml:space="preserve">nung „Religionslehrerin/Religionslehrer im kirchlichen Vorbereitungsdienst (RL i. k. V.)“. </w:t>
      </w:r>
      <w:r>
        <w:rPr>
          <w:rStyle w:val="kleinschrift"/>
        </w:rPr>
        <w:t>4</w:t>
      </w:r>
      <w:r>
        <w:t xml:space="preserve">Religionslehrkräfte ohne Vorbereitungsdienst führen die Bezeichnung „Religionslehrerin/ Religionslehrer zur Vertretung (RL z. V.)“. </w:t>
      </w:r>
      <w:r>
        <w:rPr>
          <w:rStyle w:val="kleinschrift"/>
        </w:rPr>
        <w:t>5</w:t>
      </w:r>
      <w:r>
        <w:t>Für die Religionslehrkräfte im kirchlichen Vorbereitungsdienst und für Religionslehrkräfte zur Vertretung gelten die Bestimmungen dieser Ordnung entsprechend.</w:t>
      </w:r>
    </w:p>
    <w:p w:rsidR="00BE1EFE" w:rsidRPr="000B1AF8" w:rsidRDefault="00BE1EFE">
      <w:pPr>
        <w:pStyle w:val="StandardWeb"/>
      </w:pPr>
    </w:p>
    <w:p w:rsidR="00BE1EFE" w:rsidRDefault="00BE1EFE">
      <w:pPr>
        <w:pStyle w:val="StandardWeb"/>
      </w:pPr>
      <w:r>
        <w:t>(2) </w:t>
      </w:r>
      <w:r>
        <w:rPr>
          <w:rStyle w:val="kleinschrift"/>
        </w:rPr>
        <w:t>1</w:t>
      </w:r>
      <w:r>
        <w:t xml:space="preserve">Für die Dauer des Vorbereitungsdienstes wird ein befristetes Arbeitsverhältnis zum Zwecke der Ausbildung begründet. </w:t>
      </w:r>
      <w:r>
        <w:rPr>
          <w:rStyle w:val="kleinschrift"/>
        </w:rPr>
        <w:t>2</w:t>
      </w:r>
      <w:r>
        <w:t xml:space="preserve">Dieses endet mit dem 31. August des Jahres, in dem die Zweite Dienstprüfung abgelegt wird. </w:t>
      </w:r>
      <w:r>
        <w:rPr>
          <w:rStyle w:val="kleinschrift"/>
        </w:rPr>
        <w:t>3</w:t>
      </w:r>
      <w:r>
        <w:t xml:space="preserve">Die Zulassung zur Zweiten Dienstprüfung wird in der jeweiligen diözesanen Ordnung geregelt. </w:t>
      </w:r>
      <w:r>
        <w:rPr>
          <w:rStyle w:val="kleinschrift"/>
        </w:rPr>
        <w:t>4</w:t>
      </w:r>
      <w:r>
        <w:t xml:space="preserve">Eine Übernahme in ein in der Regel unbefristetes Arbeitsverhältnis nach erfolgreich abgelegter Zweiter Dienstprüfung setzt einen Antrag bzw. eine Bewerbung voraus. </w:t>
      </w:r>
      <w:r>
        <w:rPr>
          <w:rStyle w:val="kleinschrift"/>
        </w:rPr>
        <w:t>5</w:t>
      </w:r>
      <w:r>
        <w:t>Ein Anspruch auf Übernahme besteht nicht.</w:t>
      </w:r>
    </w:p>
    <w:p w:rsidR="00BE1EFE" w:rsidRDefault="00BE1EFE">
      <w:pPr>
        <w:pStyle w:val="berschrift5"/>
      </w:pPr>
      <w:bookmarkStart w:id="829" w:name="_Toc523926353"/>
      <w:r>
        <w:t>§ 5 Einsatz</w:t>
      </w:r>
      <w:bookmarkEnd w:id="829"/>
    </w:p>
    <w:p w:rsidR="00BE1EFE" w:rsidRPr="00B76821" w:rsidRDefault="00BE1EFE" w:rsidP="00B76821">
      <w:pPr>
        <w:pStyle w:val="berschrift6"/>
        <w:keepNext w:val="0"/>
        <w:spacing w:before="0" w:after="0"/>
        <w:rPr>
          <w:sz w:val="2"/>
        </w:rPr>
      </w:pPr>
    </w:p>
    <w:p w:rsidR="00BE1EFE" w:rsidRPr="000B1AF8" w:rsidRDefault="00BE1EFE">
      <w:pPr>
        <w:pStyle w:val="StandardWeb"/>
      </w:pPr>
      <w:r>
        <w:t>(1) Religionslehrkräfte werden an Grund- und Mittelschulen sowie Förderschulen eingesetzt.</w:t>
      </w:r>
    </w:p>
    <w:p w:rsidR="00BE1EFE" w:rsidRPr="000B1AF8" w:rsidRDefault="00BE1EFE">
      <w:pPr>
        <w:pStyle w:val="StandardWeb"/>
      </w:pPr>
    </w:p>
    <w:p w:rsidR="00BE1EFE" w:rsidRDefault="00BE1EFE">
      <w:pPr>
        <w:pStyle w:val="StandardWeb"/>
      </w:pPr>
      <w:r>
        <w:t>(2) </w:t>
      </w:r>
      <w:r>
        <w:rPr>
          <w:rStyle w:val="kleinschrift"/>
        </w:rPr>
        <w:t>1</w:t>
      </w:r>
      <w:r>
        <w:t xml:space="preserve">Religionslehrkräfte können befristet oder unbefristet an anderen als den in </w:t>
      </w:r>
      <w:hyperlink r:id="rId1147" w:history="1">
        <w:r w:rsidRPr="002D1F1D">
          <w:rPr>
            <w:rStyle w:val="Hyperlink"/>
          </w:rPr>
          <w:t>§ 1 Absatz 1</w:t>
        </w:r>
      </w:hyperlink>
      <w:r>
        <w:t xml:space="preserve"> genannten Schularten eingesetzt werden. </w:t>
      </w:r>
      <w:r>
        <w:rPr>
          <w:rStyle w:val="kleinschrift"/>
        </w:rPr>
        <w:t>2</w:t>
      </w:r>
      <w:r>
        <w:t>Endet der Einsatz gemäß Satz 1 durch Kündigung oder Fristablauf einer Abstellung, erfolgt ein Einsatz als Religionslehrkraft an Grund- und Mittelschulen sowie Förderschulen.</w:t>
      </w:r>
    </w:p>
    <w:p w:rsidR="00BE1EFE" w:rsidRDefault="00BE1EFE">
      <w:pPr>
        <w:pStyle w:val="StandardWeb"/>
      </w:pPr>
      <w:r>
        <w:rPr>
          <w:rStyle w:val="kleinschrift"/>
        </w:rPr>
        <w:t xml:space="preserve">Protokollnotiz zu § 5 Absatz 2: </w:t>
      </w:r>
    </w:p>
    <w:p w:rsidR="00BE1EFE" w:rsidRDefault="00BE1EFE">
      <w:pPr>
        <w:pStyle w:val="StandardWeb"/>
      </w:pPr>
      <w:r>
        <w:rPr>
          <w:rStyle w:val="kleinschrift"/>
        </w:rPr>
        <w:t>1Religionslehrkräfte, die seit 30.09.2005 ununterbrochen katholischen Religionsunterricht ausschließlich an beruflichen Schulen, Realschulen, Gymnasien, Fachoberschulen oder Waldorfschulen erteilen, sollen in der gleichen oder einer entsprechenden Schulart weiter beschäftigt werden, soweit eine entsprechende Einsatzmöglichkeit besteht. 2Satz 1 gilt auch für Religionslehrkräfte, die seit dem 30.09.2005 ununterbrochen katholischen Religionsunterricht an Grund-, Mittel- oder Förderschulen und an beruflichen Schulen, Realschulen, Gymnasien, Fachoberschulen oder Waldorfschulen erteilen, und bei denen der Anteil des Religionsunterrichts an Grund-, Mittel- oder Förderschulen weniger als 13 Wochenstunden beträgt. 3Satz 1 gilt nicht, wenn einzelvertraglich bis 31.12.2008 etwas anderes vereinbart worden ist oder sich die Unterrichtsverpflichtung aus anderen Regelungen ergibt.</w:t>
      </w:r>
      <w:r w:rsidRPr="009C6551">
        <w:rPr>
          <w:rStyle w:val="kleinschrift1"/>
        </w:rPr>
        <w:t xml:space="preserve"> </w:t>
      </w:r>
    </w:p>
    <w:p w:rsidR="00BE1EFE" w:rsidRDefault="00BE1EFE">
      <w:pPr>
        <w:pStyle w:val="StandardWeb"/>
      </w:pPr>
    </w:p>
    <w:p w:rsidR="00BE1EFE" w:rsidRDefault="00BE1EFE">
      <w:pPr>
        <w:pStyle w:val="StandardWeb"/>
      </w:pPr>
      <w:r>
        <w:t>(3) Werden Religionslehrkräfte zum Zwecke einer befristeten Abstellung im Sinne des Absatzes 2 eingestellt, wird für die Dauer des Abstellungsverhältnisses ein befristetes Arbeitsverhältnis begründet.</w:t>
      </w:r>
    </w:p>
    <w:p w:rsidR="00BE1EFE" w:rsidRDefault="00BE1EFE">
      <w:pPr>
        <w:pStyle w:val="berschrift5"/>
      </w:pPr>
      <w:bookmarkStart w:id="830" w:name="_Toc523926354"/>
      <w:r>
        <w:t>§ 6 Arbeitgeber und kirchliche Vorgesetzte</w:t>
      </w:r>
      <w:bookmarkEnd w:id="830"/>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Arbeitgeber ist die Diözese. </w:t>
      </w:r>
      <w:r>
        <w:rPr>
          <w:rStyle w:val="kleinschrift"/>
        </w:rPr>
        <w:t>2</w:t>
      </w:r>
      <w:r>
        <w:t>Weisungsberechtigte Vorgesetzte sind der Diözesanbischof und die von ihm Beauftragten.</w:t>
      </w:r>
    </w:p>
    <w:p w:rsidR="00BE1EFE" w:rsidRDefault="00BE1EFE">
      <w:pPr>
        <w:pStyle w:val="berschrift5"/>
      </w:pPr>
      <w:bookmarkStart w:id="831" w:name="_Toc523926355"/>
      <w:r>
        <w:t>§ 7 Pflichten</w:t>
      </w:r>
      <w:bookmarkEnd w:id="831"/>
    </w:p>
    <w:p w:rsidR="00BE1EFE" w:rsidRPr="00B76821" w:rsidRDefault="00BE1EFE" w:rsidP="00B76821">
      <w:pPr>
        <w:pStyle w:val="berschrift6"/>
        <w:keepNext w:val="0"/>
        <w:spacing w:before="0" w:after="0"/>
        <w:rPr>
          <w:sz w:val="2"/>
        </w:rPr>
      </w:pPr>
    </w:p>
    <w:p w:rsidR="00BE1EFE" w:rsidRDefault="00BE1EFE">
      <w:pPr>
        <w:pStyle w:val="StandardWeb"/>
      </w:pPr>
      <w:r>
        <w:t>(1) </w:t>
      </w:r>
      <w:r w:rsidRPr="00DF7C8B">
        <w:rPr>
          <w:sz w:val="12"/>
          <w:szCs w:val="12"/>
        </w:rPr>
        <w:t>1</w:t>
      </w:r>
      <w:r>
        <w:t>Pflichten der Religionslehrkräfte sind:</w:t>
      </w:r>
    </w:p>
    <w:p w:rsidR="00BE1EFE" w:rsidRDefault="00BE1EFE">
      <w:pPr>
        <w:pStyle w:val="StandardWeb"/>
      </w:pPr>
      <w:r>
        <w:lastRenderedPageBreak/>
        <w:t>1. Erteilung des katholischen Religionsunterrichtes unter Berücksichtigung der didaktisch-methodischen Kenntnisse, wie sie sich aus der Situation des von der katholischen Kirche verantworteten Religionsunterrichtes als ordentlichem Lehrfach an der Schule ergeben,</w:t>
      </w:r>
    </w:p>
    <w:p w:rsidR="00BE1EFE" w:rsidRDefault="00BE1EFE">
      <w:pPr>
        <w:pStyle w:val="StandardWeb"/>
      </w:pPr>
      <w:r>
        <w:t>2. Zusammenarbeit mit den anderen Lehrkräften der jeweiligen Schule, den Eltern, den Geistlichen und den Beschäftigten im pastoralen Dienst und den für die Schule vom Diözesanbischof Beauftragten,</w:t>
      </w:r>
    </w:p>
    <w:p w:rsidR="00BE1EFE" w:rsidRDefault="00BE1EFE">
      <w:pPr>
        <w:pStyle w:val="StandardWeb"/>
      </w:pPr>
      <w:r>
        <w:t>3. Vorbereitung und Mitgestaltung von Schulgottesdiensten und weiteren religiösen Angeboten an den Schulen,</w:t>
      </w:r>
    </w:p>
    <w:p w:rsidR="00BE1EFE" w:rsidRDefault="00BE1EFE">
      <w:pPr>
        <w:pStyle w:val="StandardWeb"/>
      </w:pPr>
      <w:r>
        <w:t>4. </w:t>
      </w:r>
      <w:r w:rsidRPr="00826122">
        <w:rPr>
          <w:sz w:val="12"/>
          <w:szCs w:val="12"/>
        </w:rPr>
        <w:t>1</w:t>
      </w:r>
      <w:r w:rsidRPr="00DF7C8B">
        <w:t xml:space="preserve">Zusammenarbeit mit den Pfarreien insbesondere bei der gemeindekatechetischen Hinführung der jungen Menschen zu Erstbeichte, zu Erstkommunion und Firmung (Verzahnung von Religionsunterricht und Gemeindekatechese). </w:t>
      </w:r>
      <w:r w:rsidRPr="00826122">
        <w:rPr>
          <w:sz w:val="12"/>
          <w:szCs w:val="12"/>
        </w:rPr>
        <w:t>2</w:t>
      </w:r>
      <w:r w:rsidRPr="00DF7C8B">
        <w:t>Deren Ausgestaltung ist in regelmäßigen Dienstgesprächen mit dem jeweils zuständigen Geistlichen oder dem sonst hierfür Verantwortlichen zu vereinbaren.</w:t>
      </w:r>
    </w:p>
    <w:p w:rsidR="00BE1EFE" w:rsidRDefault="00BE1EFE">
      <w:pPr>
        <w:pStyle w:val="StandardWeb"/>
      </w:pPr>
      <w:r w:rsidRPr="00DF7C8B">
        <w:rPr>
          <w:sz w:val="12"/>
          <w:szCs w:val="12"/>
        </w:rPr>
        <w:t>2</w:t>
      </w:r>
      <w:r w:rsidRPr="00DF7C8B">
        <w:t>Neben den oben genannten Dienstpflichten nach Satz 1 wird die aktive Teilnahme am kirchlichen Gemeindeleben, nach Möglichkeit am Dienstort, ansonsten in der Wohngemeinde, erwartet.</w:t>
      </w:r>
    </w:p>
    <w:p w:rsidR="00BE1EFE" w:rsidRPr="000B1AF8" w:rsidRDefault="00BE1EFE">
      <w:pPr>
        <w:pStyle w:val="StandardWeb"/>
      </w:pPr>
    </w:p>
    <w:p w:rsidR="00BE1EFE" w:rsidRDefault="00BE1EFE">
      <w:pPr>
        <w:pStyle w:val="StandardWeb"/>
      </w:pPr>
      <w:r>
        <w:t>(2) Weitere Pflichten ergeben sich aus der staatlichen Lehrerdienstordnung (LDO) bzw. der Kirchlichen Lehrerdienstordnung (KLDO) und aus weiteren staatlichen Vorgaben, soweit sie einschlägig sind.</w:t>
      </w:r>
    </w:p>
    <w:p w:rsidR="00BE1EFE" w:rsidRDefault="00BE1EFE">
      <w:pPr>
        <w:pStyle w:val="StandardWeb"/>
      </w:pPr>
    </w:p>
    <w:p w:rsidR="00BE1EFE" w:rsidRDefault="00BE1EFE">
      <w:pPr>
        <w:pStyle w:val="StandardWeb"/>
      </w:pPr>
      <w:r>
        <w:t>(3) </w:t>
      </w:r>
      <w:r w:rsidRPr="00112027">
        <w:t>Verpflichtend ist auch die Teilnahme an den vom Schulreferat bzw. der für Schulen zuständigen Hauptabteilung des Bischöflichen Ordinariats angeordneten Fortbildungsveran</w:t>
      </w:r>
      <w:r>
        <w:softHyphen/>
      </w:r>
      <w:r w:rsidRPr="00112027">
        <w:t>staltungen.</w:t>
      </w:r>
    </w:p>
    <w:p w:rsidR="00BE1EFE" w:rsidRDefault="00BE1EFE">
      <w:pPr>
        <w:pStyle w:val="berschrift5"/>
      </w:pPr>
      <w:bookmarkStart w:id="832" w:name="_Toc523926356"/>
      <w:r>
        <w:t xml:space="preserve">§ 8 </w:t>
      </w:r>
      <w:r>
        <w:rPr>
          <w:lang w:eastAsia="x-none"/>
        </w:rPr>
        <w:t xml:space="preserve">Arbeitszeit, </w:t>
      </w:r>
      <w:r>
        <w:t>Unterrichtspflichtzeit</w:t>
      </w:r>
      <w:bookmarkEnd w:id="832"/>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rsidRPr="008461EF">
        <w:rPr>
          <w:rStyle w:val="kleinschrift"/>
          <w:sz w:val="16"/>
          <w:szCs w:val="16"/>
        </w:rPr>
        <w:t xml:space="preserve">Die Arbeitszeit richtet sich nach </w:t>
      </w:r>
      <w:hyperlink r:id="rId1148" w:history="1">
        <w:r w:rsidRPr="008461EF">
          <w:rPr>
            <w:rStyle w:val="Hyperlink"/>
            <w:szCs w:val="16"/>
          </w:rPr>
          <w:t>§ 6 Absatz 1 Teil A, 1.</w:t>
        </w:r>
      </w:hyperlink>
      <w:r w:rsidRPr="008461EF">
        <w:rPr>
          <w:rStyle w:val="kleinschrift"/>
          <w:sz w:val="16"/>
          <w:szCs w:val="16"/>
        </w:rPr>
        <w:t xml:space="preserve"> </w:t>
      </w:r>
      <w:r>
        <w:rPr>
          <w:rStyle w:val="kleinschrift"/>
        </w:rPr>
        <w:t>2</w:t>
      </w:r>
      <w:r>
        <w:t xml:space="preserve">Die Unterrichtspflichtzeit bezeichnet die Zahl der Unterrichtsstunden, die Vollbeschäftigte wöchentlich regelmäßig zu erteilen haben; sie ist Teil der Arbeitszeit. </w:t>
      </w:r>
      <w:r>
        <w:rPr>
          <w:rStyle w:val="kleinschrift"/>
        </w:rPr>
        <w:t>3</w:t>
      </w:r>
      <w:r>
        <w:t xml:space="preserve">Die Unterrichtspflichtzeit verringert sich bei Religionslehrkräften, denen aufgrund der nachfolgenden Bestimmungen eine Ermäßigung gewährt wird. </w:t>
      </w:r>
      <w:r>
        <w:rPr>
          <w:rStyle w:val="kleinschrift"/>
        </w:rPr>
        <w:t>4</w:t>
      </w:r>
      <w:r>
        <w:t xml:space="preserve">Anrechnungen hingegen werden in die Unterrichtspflichtzeit einbezogen. </w:t>
      </w:r>
      <w:r w:rsidRPr="008461EF">
        <w:rPr>
          <w:sz w:val="12"/>
          <w:szCs w:val="12"/>
        </w:rPr>
        <w:t>5</w:t>
      </w:r>
      <w:r w:rsidRPr="008461EF">
        <w:t>Für Ermäßigungen wegen Alters oder Schwerbehinderung gelten die jeweiligen Regelungen für Lehrkräfte an öffentlichen Grund- und Mittelschulen in Bayern entsprechend.</w:t>
      </w:r>
    </w:p>
    <w:p w:rsidR="00BE1EFE" w:rsidRDefault="00BE1EFE" w:rsidP="001127BD">
      <w:pPr>
        <w:pStyle w:val="StandardWeb"/>
      </w:pPr>
      <w:r>
        <w:rPr>
          <w:sz w:val="12"/>
          <w:szCs w:val="12"/>
        </w:rPr>
        <w:t>Protokollnotiz zu § 8 Absatz 1 Satz 5:</w:t>
      </w:r>
    </w:p>
    <w:p w:rsidR="00BE1EFE" w:rsidRDefault="00BE1EFE" w:rsidP="001127BD">
      <w:pPr>
        <w:pStyle w:val="StandardWeb"/>
        <w:rPr>
          <w:sz w:val="12"/>
          <w:szCs w:val="12"/>
        </w:rPr>
      </w:pPr>
      <w:r>
        <w:rPr>
          <w:sz w:val="12"/>
          <w:szCs w:val="12"/>
        </w:rPr>
        <w:t>1. Stundenermäßigungen für Religionslehrkräfte an Grund-, Mittel- und Förderschulen richten sich nach Anlage 1. Bei gleichzeitigem Einsatz an verschiedenen Schularten (Mischeinsatz) ist diejenige Tabelle zugrunde zu legen, die für die Schulart gilt, in der die meisten Wochenstunden erteilt werden.</w:t>
      </w:r>
    </w:p>
    <w:p w:rsidR="00BE1EFE" w:rsidRDefault="00BE1EFE" w:rsidP="001127BD">
      <w:pPr>
        <w:pStyle w:val="StandardWeb"/>
      </w:pPr>
      <w:r>
        <w:rPr>
          <w:sz w:val="12"/>
          <w:szCs w:val="12"/>
        </w:rPr>
        <w:t>2. Fälligkeit der Altersermäßigung:</w:t>
      </w:r>
    </w:p>
    <w:p w:rsidR="00BE1EFE" w:rsidRDefault="00BE1EFE" w:rsidP="001127BD">
      <w:pPr>
        <w:pStyle w:val="StandardWeb"/>
      </w:pPr>
      <w:r>
        <w:rPr>
          <w:sz w:val="12"/>
          <w:szCs w:val="12"/>
        </w:rPr>
        <w:t>– Religionslehrkräfte, die in der Zeit vom 1. August bis 31. Januar das 58., 60. oder 62. Lebensjahr vollenden, erhalten vom Beginn des laufenden Schuljahres die jeweilige Altersermäßigung.</w:t>
      </w:r>
    </w:p>
    <w:p w:rsidR="00BE1EFE" w:rsidRDefault="00BE1EFE" w:rsidP="001127BD">
      <w:pPr>
        <w:pStyle w:val="StandardWeb"/>
        <w:rPr>
          <w:sz w:val="12"/>
          <w:szCs w:val="12"/>
        </w:rPr>
      </w:pPr>
      <w:r>
        <w:rPr>
          <w:sz w:val="12"/>
          <w:szCs w:val="12"/>
        </w:rPr>
        <w:t>– Religionslehrkräfte, die in der Zeit vom 1. Februar bis 31. Juli das 58., 60. oder 62. Lebensjahr vollenden, erhalten die jeweilige Altersermäßigung zum Beginn des folgenden Schuljahres.</w:t>
      </w:r>
    </w:p>
    <w:p w:rsidR="00BE1EFE" w:rsidRDefault="00BE1EFE" w:rsidP="001127BD">
      <w:pPr>
        <w:pStyle w:val="StandardWeb"/>
        <w:rPr>
          <w:sz w:val="12"/>
          <w:szCs w:val="12"/>
        </w:rPr>
      </w:pPr>
      <w:r>
        <w:rPr>
          <w:sz w:val="12"/>
          <w:szCs w:val="12"/>
        </w:rPr>
        <w:t>3. Religionslehrkräfte in Altersteilzeit erhalten die ihrer tatsächlichen Beschäftigung entsprechende Altersermäßigung.</w:t>
      </w:r>
    </w:p>
    <w:p w:rsidR="00BE1EFE" w:rsidRDefault="00BE1EFE" w:rsidP="001127BD">
      <w:pPr>
        <w:pStyle w:val="StandardWeb"/>
      </w:pPr>
      <w:r>
        <w:rPr>
          <w:sz w:val="12"/>
          <w:szCs w:val="12"/>
        </w:rPr>
        <w:t>4. 1Ermäßigungen wegen Schwerbehinderung sind zum nächstmöglichen Zeitpunkt nach Vorlage des Bescheides über die Anerkennung als Schwerbehinderter zu gewähren. 2Die Ermäßigungen enden mit dem Ablauf des Monats, in dem die Schwerbehinderteneigenschaft selbst endet.</w:t>
      </w:r>
    </w:p>
    <w:p w:rsidR="00BE1EFE" w:rsidRDefault="00BE1EFE">
      <w:pPr>
        <w:pStyle w:val="StandardWeb"/>
        <w:rPr>
          <w:sz w:val="12"/>
          <w:szCs w:val="12"/>
        </w:rPr>
      </w:pPr>
    </w:p>
    <w:p w:rsidR="00BE1EFE" w:rsidRDefault="00BE1EFE">
      <w:pPr>
        <w:pStyle w:val="StandardWeb"/>
      </w:pPr>
      <w:r>
        <w:rPr>
          <w:sz w:val="12"/>
          <w:szCs w:val="12"/>
        </w:rPr>
        <w:t>Protokollnotiz zu § 8 Absatz 1:</w:t>
      </w:r>
    </w:p>
    <w:p w:rsidR="00BE1EFE" w:rsidRPr="000B1AF8" w:rsidRDefault="00BE1EFE">
      <w:pPr>
        <w:pStyle w:val="StandardWeb"/>
      </w:pPr>
      <w:r>
        <w:rPr>
          <w:sz w:val="12"/>
          <w:szCs w:val="12"/>
        </w:rPr>
        <w:t xml:space="preserve">1Zum Zwecke der Entgeltberechnung werden Ermäßigungsstunden wie Anrechnungsstunden behandelt. </w:t>
      </w:r>
      <w:r w:rsidRPr="001127BD">
        <w:rPr>
          <w:sz w:val="12"/>
          <w:szCs w:val="12"/>
        </w:rPr>
        <w:t>2Bei der Berech</w:t>
      </w:r>
      <w:r>
        <w:rPr>
          <w:sz w:val="12"/>
          <w:szCs w:val="12"/>
        </w:rPr>
        <w:softHyphen/>
      </w:r>
      <w:r w:rsidRPr="001127BD">
        <w:rPr>
          <w:sz w:val="12"/>
          <w:szCs w:val="12"/>
        </w:rPr>
        <w:t xml:space="preserve">nung der Ermäßigungsstunden wegen Alters oder Schwerbehinderung ist die Arbeitszeit für den Einsatz in der Gemeindearbeit gemäß </w:t>
      </w:r>
      <w:hyperlink r:id="rId1149" w:history="1">
        <w:r w:rsidRPr="001127BD">
          <w:rPr>
            <w:rStyle w:val="Hyperlink"/>
            <w:sz w:val="12"/>
            <w:szCs w:val="12"/>
          </w:rPr>
          <w:t>§ 10 Absatz 2 Satz 1</w:t>
        </w:r>
      </w:hyperlink>
      <w:r w:rsidRPr="001127BD">
        <w:rPr>
          <w:sz w:val="12"/>
          <w:szCs w:val="12"/>
        </w:rPr>
        <w:t xml:space="preserve"> wie entsprechende Unterrichtsstunden zu bewerten. 3Dies gilt nicht in den Diözesen Eichstätt und Passau, wenn im Arbeitsvertrag sowohl die Tätigkeit als Religionslehrkraft als auch als Gemeindereferentin/Gemeindereferent vereinbart ist.</w:t>
      </w:r>
    </w:p>
    <w:p w:rsidR="00BE1EFE" w:rsidRPr="000B1AF8" w:rsidRDefault="00BE1EFE">
      <w:pPr>
        <w:pStyle w:val="StandardWeb"/>
      </w:pPr>
    </w:p>
    <w:p w:rsidR="00BE1EFE" w:rsidRDefault="00BE1EFE">
      <w:pPr>
        <w:pStyle w:val="StandardWeb"/>
        <w:rPr>
          <w:sz w:val="12"/>
          <w:szCs w:val="12"/>
        </w:rPr>
      </w:pPr>
      <w:r>
        <w:lastRenderedPageBreak/>
        <w:t>(2) </w:t>
      </w:r>
      <w:r>
        <w:rPr>
          <w:rStyle w:val="kleinschrift"/>
        </w:rPr>
        <w:t>1</w:t>
      </w:r>
      <w:r>
        <w:t xml:space="preserve">Die Unterrichtspflichtzeit von Religionslehrkräften gemäß § 1 Absatz 1 beträgt bei Vollbeschäftigten derzeit 25 Wochenstunden. </w:t>
      </w:r>
      <w:r w:rsidRPr="001127BD">
        <w:rPr>
          <w:rStyle w:val="kleinschrift"/>
        </w:rPr>
        <w:t>2</w:t>
      </w:r>
      <w:r w:rsidRPr="001127BD">
        <w:rPr>
          <w:rStyle w:val="kleinschrift"/>
          <w:sz w:val="16"/>
          <w:szCs w:val="16"/>
        </w:rPr>
        <w:t xml:space="preserve">Bei dieser Festsetzung sind insbesondere die in </w:t>
      </w:r>
      <w:hyperlink r:id="rId1150" w:history="1">
        <w:r w:rsidRPr="001127BD">
          <w:rPr>
            <w:rStyle w:val="Hyperlink"/>
            <w:szCs w:val="16"/>
          </w:rPr>
          <w:t>§ 7 Absatz 1 Nummer 4</w:t>
        </w:r>
      </w:hyperlink>
      <w:r w:rsidRPr="001127BD">
        <w:rPr>
          <w:rStyle w:val="kleinschrift"/>
          <w:sz w:val="16"/>
          <w:szCs w:val="16"/>
        </w:rPr>
        <w:t xml:space="preserve"> genannten Pflichten berücksichtigt.</w:t>
      </w:r>
    </w:p>
    <w:p w:rsidR="00BE1EFE" w:rsidRDefault="00BE1EFE">
      <w:pPr>
        <w:pStyle w:val="StandardWeb"/>
        <w:rPr>
          <w:sz w:val="12"/>
          <w:szCs w:val="12"/>
        </w:rPr>
      </w:pPr>
    </w:p>
    <w:p w:rsidR="00BE1EFE" w:rsidRDefault="00BE1EFE">
      <w:pPr>
        <w:pStyle w:val="StandardWeb"/>
      </w:pPr>
      <w:r>
        <w:rPr>
          <w:sz w:val="12"/>
          <w:szCs w:val="12"/>
        </w:rPr>
        <w:t>Protokollnotiz zu § 8 Absatz 2 Satz 1:</w:t>
      </w:r>
    </w:p>
    <w:p w:rsidR="00BE1EFE" w:rsidRDefault="00BE1EFE">
      <w:pPr>
        <w:pStyle w:val="StandardWeb"/>
      </w:pPr>
      <w:r>
        <w:rPr>
          <w:sz w:val="12"/>
          <w:szCs w:val="12"/>
        </w:rPr>
        <w:t>1. Aus gesundheitlichen Gründen kann nach Vorlage einer ärztlichen Bescheinigung eine Reduzierung der Unterrichts</w:t>
      </w:r>
      <w:r>
        <w:rPr>
          <w:sz w:val="12"/>
          <w:szCs w:val="12"/>
        </w:rPr>
        <w:softHyphen/>
        <w:t>pflichtzeit vorgenommen werden.</w:t>
      </w:r>
    </w:p>
    <w:p w:rsidR="00BE1EFE" w:rsidRDefault="00BE1EFE">
      <w:pPr>
        <w:pStyle w:val="StandardWeb"/>
      </w:pPr>
      <w:r>
        <w:rPr>
          <w:sz w:val="12"/>
          <w:szCs w:val="12"/>
        </w:rPr>
        <w:t xml:space="preserve">2. </w:t>
      </w:r>
      <w:hyperlink r:id="rId1151" w:history="1">
        <w:r w:rsidRPr="00151465">
          <w:rPr>
            <w:rStyle w:val="Hyperlink"/>
            <w:sz w:val="12"/>
            <w:szCs w:val="12"/>
          </w:rPr>
          <w:t>§§ 7 bis 9 Teil A, 1</w:t>
        </w:r>
      </w:hyperlink>
      <w:r w:rsidRPr="00151465">
        <w:rPr>
          <w:sz w:val="12"/>
          <w:szCs w:val="12"/>
        </w:rPr>
        <w:t>.</w:t>
      </w:r>
      <w:r>
        <w:rPr>
          <w:sz w:val="12"/>
          <w:szCs w:val="12"/>
        </w:rPr>
        <w:t xml:space="preserve"> finden keine Anwendung.</w:t>
      </w:r>
    </w:p>
    <w:p w:rsidR="00BE1EFE" w:rsidRDefault="00BE1EFE">
      <w:pPr>
        <w:pStyle w:val="StandardWeb"/>
      </w:pPr>
    </w:p>
    <w:p w:rsidR="00BE1EFE" w:rsidRDefault="00BE1EFE">
      <w:pPr>
        <w:pStyle w:val="StandardWeb"/>
      </w:pPr>
      <w:r>
        <w:rPr>
          <w:sz w:val="12"/>
          <w:szCs w:val="12"/>
        </w:rPr>
        <w:t xml:space="preserve">Erläuterung zu § 8 Absatz 2 Satz 1: </w:t>
      </w:r>
    </w:p>
    <w:p w:rsidR="00BE1EFE" w:rsidRDefault="00BE1EFE">
      <w:pPr>
        <w:pStyle w:val="StandardWeb"/>
      </w:pPr>
      <w:r>
        <w:rPr>
          <w:sz w:val="12"/>
          <w:szCs w:val="12"/>
        </w:rPr>
        <w:t xml:space="preserve">Mit dem Begriff „derzeit“ wird klargestellt, dass das von der Bayerischen Regional-KODA bei allen Beschlüssen zur Festlegung der Unterrichtspflichtzeit gewahrte „Abstandsgebot“ zum Stundendeputat für entsprechende Lehrer des Freistaates Bayern nach oben oder unten eingehalten wird. </w:t>
      </w:r>
    </w:p>
    <w:p w:rsidR="00BE1EFE" w:rsidRDefault="00BE1EFE">
      <w:pPr>
        <w:pStyle w:val="StandardWeb"/>
      </w:pPr>
    </w:p>
    <w:p w:rsidR="00BE1EFE" w:rsidRDefault="00BE1EFE">
      <w:pPr>
        <w:pStyle w:val="StandardWeb"/>
      </w:pPr>
      <w:r>
        <w:t>(3) </w:t>
      </w:r>
      <w:r>
        <w:rPr>
          <w:rStyle w:val="kleinschrift"/>
        </w:rPr>
        <w:t>1</w:t>
      </w:r>
      <w:r>
        <w:t xml:space="preserve">Die Unterrichtspflichtzeit von Beschäftigten im Sinne des § 1 Absatz 2 richtet sich nach der jeweiligen staatlichen Unterrichtspflichtzeit. </w:t>
      </w:r>
      <w:r>
        <w:rPr>
          <w:rStyle w:val="kleinschrift"/>
        </w:rPr>
        <w:t>2</w:t>
      </w:r>
      <w:r>
        <w:t>Für Ermäßigungen wegen Alters und Schwer</w:t>
      </w:r>
      <w:r>
        <w:softHyphen/>
        <w:t>behinderung gelten die jeweiligen Regelungen für die öffentlichen Schulen entsprechend; dabei ist jeweils diejenige Tabelle zugrunde zu legen, die für die Schulart gilt, in der die meisten Wochenstunden erteilt werden.</w:t>
      </w:r>
    </w:p>
    <w:p w:rsidR="00BE1EFE" w:rsidRDefault="00BE1EFE">
      <w:pPr>
        <w:pStyle w:val="StandardWeb"/>
      </w:pPr>
      <w:r>
        <w:rPr>
          <w:sz w:val="12"/>
          <w:szCs w:val="12"/>
        </w:rPr>
        <w:t>Protokollnotiz zu § 8 Absatz 3:</w:t>
      </w:r>
    </w:p>
    <w:p w:rsidR="00BE1EFE" w:rsidRDefault="00BE1EFE">
      <w:pPr>
        <w:pStyle w:val="StandardWeb"/>
      </w:pPr>
      <w:r>
        <w:rPr>
          <w:sz w:val="12"/>
          <w:szCs w:val="12"/>
        </w:rPr>
        <w:t>1. Beschäftige in Altersteilzeit erhalten die ihrer tatsächlichen Beschäftigung entsprechende Altersermäßigung.</w:t>
      </w:r>
    </w:p>
    <w:p w:rsidR="00BE1EFE" w:rsidRDefault="00BE1EFE">
      <w:pPr>
        <w:pStyle w:val="StandardWeb"/>
      </w:pPr>
      <w:r>
        <w:rPr>
          <w:sz w:val="12"/>
          <w:szCs w:val="12"/>
        </w:rPr>
        <w:t>2. An Waldorfschulen und an ihnen gleichgestellten Schulen gilt die Unterrichtspflichtzeit von § 8 Absatz 2.</w:t>
      </w:r>
    </w:p>
    <w:p w:rsidR="00BE1EFE" w:rsidRDefault="00BE1EFE">
      <w:pPr>
        <w:pStyle w:val="StandardWeb"/>
      </w:pPr>
      <w:r>
        <w:rPr>
          <w:sz w:val="12"/>
          <w:szCs w:val="12"/>
        </w:rPr>
        <w:t>3. Die Abgeltung von halben Stunden bzw. von Stundenbruchteilen soll vorrangig über ein Arbeitszeitkonto gem. § 6 Absatz 4 Teil D, 4. erfolgen.</w:t>
      </w:r>
    </w:p>
    <w:p w:rsidR="00BE1EFE" w:rsidRDefault="00BE1EFE">
      <w:pPr>
        <w:pStyle w:val="StandardWeb"/>
      </w:pPr>
    </w:p>
    <w:p w:rsidR="00BE1EFE" w:rsidRDefault="00BE1EFE">
      <w:pPr>
        <w:pStyle w:val="StandardWeb"/>
      </w:pPr>
      <w:r>
        <w:rPr>
          <w:sz w:val="12"/>
          <w:szCs w:val="12"/>
        </w:rPr>
        <w:t>Hinweis zu § 8 Absatz 3:</w:t>
      </w:r>
    </w:p>
    <w:p w:rsidR="00BE1EFE" w:rsidRDefault="00BE1EFE">
      <w:pPr>
        <w:pStyle w:val="StandardWeb"/>
      </w:pPr>
      <w:r>
        <w:rPr>
          <w:sz w:val="12"/>
          <w:szCs w:val="12"/>
        </w:rPr>
        <w:t xml:space="preserve">Die staatliche Unterrichtspflichtzeit wird jeweils in der Anlage 2 bekannt gemacht. </w:t>
      </w:r>
    </w:p>
    <w:p w:rsidR="00BE1EFE" w:rsidRDefault="00BE1EFE">
      <w:pPr>
        <w:pStyle w:val="StandardWeb"/>
      </w:pPr>
    </w:p>
    <w:p w:rsidR="00BE1EFE" w:rsidRDefault="00BE1EFE">
      <w:pPr>
        <w:pStyle w:val="StandardWeb"/>
      </w:pPr>
      <w:r>
        <w:t>(4) Bei Einsatz an mehreren Schularten ist die für die jeweilige Schulart festgelegte Unter</w:t>
      </w:r>
      <w:r>
        <w:softHyphen/>
        <w:t>richtspflichtzeit maßgeblich.</w:t>
      </w:r>
    </w:p>
    <w:p w:rsidR="00BE1EFE" w:rsidRDefault="00BE1EFE">
      <w:pPr>
        <w:pStyle w:val="StandardWeb"/>
      </w:pPr>
      <w:r>
        <w:t>(5) Im ersten Jahr des Vorbereitungsdienstes werden fünf, im zweiten Jahr drei Anrechnungs</w:t>
      </w:r>
      <w:r>
        <w:softHyphen/>
        <w:t>stunden gewährt.</w:t>
      </w:r>
    </w:p>
    <w:p w:rsidR="00BE1EFE" w:rsidRDefault="00BE1EFE">
      <w:pPr>
        <w:pStyle w:val="StandardWeb"/>
      </w:pPr>
      <w:r>
        <w:rPr>
          <w:sz w:val="12"/>
          <w:szCs w:val="12"/>
        </w:rPr>
        <w:t>Protokollnotiz zu § 8 Absatz 5:</w:t>
      </w:r>
    </w:p>
    <w:p w:rsidR="00BE1EFE" w:rsidRDefault="00BE1EFE">
      <w:pPr>
        <w:pStyle w:val="StandardWeb"/>
      </w:pPr>
      <w:r>
        <w:rPr>
          <w:sz w:val="12"/>
          <w:szCs w:val="12"/>
        </w:rPr>
        <w:t>Ist für die Erzdiözese München und Freising in einer diözesanen Ordnung ein dreijähriger Vorbereitungsdienst/eine dreijährige Berufseinführung festgelegt, ist im ersten Jahr des Vorbereitungsdienstes kein eigenverantwortlicher Unterricht zu erteilen; im zweiten Jahr des Vorbereitungsdienstes werden mindestens fünf und im dritten Jahr mindestens drei Anrechnungsstunden gewährt. In einer diözesanen Ordnung (zum Vorbereitungsdienst für RL i.K.) können weitergehende Regelungen zur Gewährung von Anrechnungsstunden festgelegt werden.</w:t>
      </w:r>
    </w:p>
    <w:p w:rsidR="00BE1EFE" w:rsidRDefault="00BE1EFE">
      <w:pPr>
        <w:pStyle w:val="StandardWeb"/>
      </w:pPr>
    </w:p>
    <w:p w:rsidR="00BE1EFE" w:rsidRDefault="00BE1EFE">
      <w:pPr>
        <w:pStyle w:val="StandardWeb"/>
      </w:pPr>
      <w:r>
        <w:t>(6) Bei Einsatz an drei oder mehr örtlich getrennten Schulen bzw. Teilen von Schulen (Mindestentfernung jeweils einfach 2,0 km) wird eine Anrechnungsstunde gewährt.</w:t>
      </w:r>
    </w:p>
    <w:p w:rsidR="00BE1EFE" w:rsidRDefault="00BE1EFE">
      <w:pPr>
        <w:pStyle w:val="StandardWeb"/>
      </w:pPr>
    </w:p>
    <w:p w:rsidR="00BE1EFE" w:rsidRDefault="00BE1EFE">
      <w:pPr>
        <w:pStyle w:val="StandardWeb"/>
      </w:pPr>
      <w:r>
        <w:t>(7) Für zusätzliche Aufgaben können weitere Anrechnungsstunden gewährt werden.</w:t>
      </w:r>
    </w:p>
    <w:p w:rsidR="00BE1EFE" w:rsidRDefault="00BE1EFE">
      <w:pPr>
        <w:pStyle w:val="StandardWeb"/>
      </w:pPr>
      <w:r>
        <w:rPr>
          <w:sz w:val="12"/>
          <w:szCs w:val="12"/>
        </w:rPr>
        <w:t xml:space="preserve">Protokollnotiz zu § 8 Absatz 7: </w:t>
      </w:r>
    </w:p>
    <w:p w:rsidR="00BE1EFE" w:rsidRDefault="00BE1EFE">
      <w:pPr>
        <w:pStyle w:val="StandardWeb"/>
      </w:pPr>
      <w:r>
        <w:rPr>
          <w:sz w:val="12"/>
          <w:szCs w:val="12"/>
        </w:rPr>
        <w:t>Anrechnungsstunden werden der entsprechenden Schulart zugeordnet.</w:t>
      </w:r>
    </w:p>
    <w:p w:rsidR="00BE1EFE" w:rsidRDefault="00BE1EFE">
      <w:pPr>
        <w:pStyle w:val="StandardWeb"/>
      </w:pPr>
    </w:p>
    <w:p w:rsidR="00BE1EFE" w:rsidRDefault="00BE1EFE">
      <w:pPr>
        <w:pStyle w:val="StandardWeb"/>
      </w:pPr>
      <w:r>
        <w:t>(8) </w:t>
      </w:r>
      <w:r>
        <w:rPr>
          <w:rStyle w:val="kleinschrift"/>
        </w:rPr>
        <w:t>1</w:t>
      </w:r>
      <w:r>
        <w:t>Über die Unterrichtspflichtzeit hinaus sollen in der Regel nicht mehr als drei Wochen</w:t>
      </w:r>
      <w:r>
        <w:softHyphen/>
        <w:t xml:space="preserve">stunden erteilt werden. </w:t>
      </w:r>
      <w:r>
        <w:rPr>
          <w:rStyle w:val="kleinschrift"/>
        </w:rPr>
        <w:t>2</w:t>
      </w:r>
      <w:r>
        <w:t>Dies muss für jedes Schuljahr angeordnet oder genehmigt werden.</w:t>
      </w:r>
    </w:p>
    <w:p w:rsidR="00BE1EFE" w:rsidRDefault="00BE1EFE">
      <w:pPr>
        <w:pStyle w:val="StandardWeb"/>
      </w:pPr>
    </w:p>
    <w:p w:rsidR="00BE1EFE" w:rsidRDefault="00BE1EFE">
      <w:pPr>
        <w:pStyle w:val="StandardWeb"/>
      </w:pPr>
      <w:r>
        <w:t xml:space="preserve">(9) </w:t>
      </w:r>
      <w:hyperlink r:id="rId1152" w:history="1">
        <w:r w:rsidRPr="002D1F1D">
          <w:rPr>
            <w:rStyle w:val="Hyperlink"/>
          </w:rPr>
          <w:t>§ 7 Absatz 7 Teil A, 1.</w:t>
        </w:r>
      </w:hyperlink>
      <w:r>
        <w:t xml:space="preserve"> findet keine Anwendung.</w:t>
      </w:r>
    </w:p>
    <w:p w:rsidR="00BE1EFE" w:rsidRDefault="00BE1EFE">
      <w:pPr>
        <w:pStyle w:val="berschrift5"/>
      </w:pPr>
      <w:bookmarkStart w:id="833" w:name="_Toc523926357"/>
      <w:r>
        <w:t>§ 9 Beendigung des Arbeitsverhältnisses ohne Kündigung</w:t>
      </w:r>
      <w:bookmarkEnd w:id="83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Das Arbeitsverhältnis endet, ohne dass es einer Kündigung bedarf, abweichend von </w:t>
      </w:r>
      <w:hyperlink r:id="rId1153" w:history="1">
        <w:r w:rsidRPr="002D1F1D">
          <w:rPr>
            <w:rStyle w:val="Hyperlink"/>
          </w:rPr>
          <w:t>§ 33 Absatz 1 Buchstabe a Teil A, 1.</w:t>
        </w:r>
      </w:hyperlink>
      <w:r>
        <w:t xml:space="preserve"> mit Ablauf des Schulhalbjahres (31. Januar bzw. 31. Juli), in dem die Religionslehrkraft das für den Erhalt einer abschlagsfreien Regelaltersrente maßgebliche Lebensjahr vollendet hat. </w:t>
      </w:r>
      <w:r>
        <w:rPr>
          <w:rStyle w:val="kleinschrift"/>
        </w:rPr>
        <w:t>2</w:t>
      </w:r>
      <w:hyperlink r:id="rId1154" w:history="1">
        <w:r w:rsidRPr="002D1F1D">
          <w:rPr>
            <w:rStyle w:val="Hyperlink"/>
          </w:rPr>
          <w:t>§ 33 Absatz 1 Buchsta</w:t>
        </w:r>
        <w:r>
          <w:rPr>
            <w:rStyle w:val="Hyperlink"/>
          </w:rPr>
          <w:t>be b und Absatz 2 bis 5 Teil A, </w:t>
        </w:r>
        <w:r w:rsidRPr="002D1F1D">
          <w:rPr>
            <w:rStyle w:val="Hyperlink"/>
          </w:rPr>
          <w:t>1.</w:t>
        </w:r>
      </w:hyperlink>
      <w:r>
        <w:t xml:space="preserve"> bleiben unberührt.</w:t>
      </w:r>
    </w:p>
    <w:p w:rsidR="00BE1EFE" w:rsidRDefault="00BE1EFE">
      <w:pPr>
        <w:pStyle w:val="berschrift5"/>
      </w:pPr>
      <w:bookmarkStart w:id="834" w:name="_Toc523926358"/>
      <w:r>
        <w:lastRenderedPageBreak/>
        <w:t>§ 10 Gemeindearbeit</w:t>
      </w:r>
      <w:bookmarkEnd w:id="834"/>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Religionslehrkräfte, die das vertraglich vereinbarte Wochenstundenmaß im Einzelfall nicht erreichen, können bei entsprechender Qualifikation jeweils für ein Schuljahr zur Mitarbeit in der Gemeinde abgeordnet werden. </w:t>
      </w:r>
      <w:r>
        <w:rPr>
          <w:rStyle w:val="kleinschrift"/>
        </w:rPr>
        <w:t>2</w:t>
      </w:r>
      <w:r>
        <w:t>Als Richtmaß für eine Wochenstunde gelten 1,5 Stunden (= 90 Minuten) Mitarbeit in der Gemeinde.</w:t>
      </w:r>
    </w:p>
    <w:p w:rsidR="00BE1EFE" w:rsidRPr="000B1AF8" w:rsidRDefault="00BE1EFE">
      <w:pPr>
        <w:pStyle w:val="StandardWeb"/>
      </w:pPr>
    </w:p>
    <w:p w:rsidR="00BE1EFE" w:rsidRDefault="00BE1EFE" w:rsidP="001127BD">
      <w:pPr>
        <w:pStyle w:val="StandardWeb"/>
      </w:pPr>
      <w:r>
        <w:t>(2) </w:t>
      </w:r>
      <w:r>
        <w:rPr>
          <w:rStyle w:val="kleinschrift"/>
        </w:rPr>
        <w:t>1</w:t>
      </w:r>
      <w:r>
        <w:t xml:space="preserve">Im Rahmen der pastoralen Erfordernisse können Religionslehrkräfte unabhängig von Absatz 1 bei entsprechender Qualifikation mit bis zu 25 % der vereinbarten regelmäßigen wöchentlichen Arbeitszeit zur Mitarbeit in der Gemeinde für jeweils ein Jahr abgeordnet werden (gemäß </w:t>
      </w:r>
      <w:hyperlink r:id="rId1155" w:history="1">
        <w:r w:rsidRPr="0028275C">
          <w:rPr>
            <w:rStyle w:val="Hyperlink"/>
          </w:rPr>
          <w:t>§ 4 Teil A, 1.</w:t>
        </w:r>
      </w:hyperlink>
      <w:r>
        <w:t xml:space="preserve">). </w:t>
      </w:r>
      <w:r w:rsidRPr="001127BD">
        <w:rPr>
          <w:sz w:val="12"/>
          <w:szCs w:val="12"/>
        </w:rPr>
        <w:t>2</w:t>
      </w:r>
      <w:r>
        <w:t xml:space="preserve">Arbeitsvertraglich kann eine höhere Anzahl von Stunden für die Gemeindearbeit vereinbart werden. </w:t>
      </w:r>
      <w:r w:rsidRPr="001127BD">
        <w:rPr>
          <w:sz w:val="12"/>
          <w:szCs w:val="12"/>
        </w:rPr>
        <w:t>3</w:t>
      </w:r>
      <w:r>
        <w:t>Absatz 1 Satz 2 gilt entsprechend.</w:t>
      </w:r>
    </w:p>
    <w:p w:rsidR="00BE1EFE" w:rsidRPr="001127BD" w:rsidRDefault="00BE1EFE" w:rsidP="001127BD">
      <w:pPr>
        <w:pStyle w:val="StandardWeb"/>
        <w:rPr>
          <w:sz w:val="12"/>
          <w:szCs w:val="12"/>
        </w:rPr>
      </w:pPr>
      <w:r w:rsidRPr="001127BD">
        <w:rPr>
          <w:sz w:val="12"/>
          <w:szCs w:val="12"/>
        </w:rPr>
        <w:t>Protokollnotiz zu § 10 Absatz 2:</w:t>
      </w:r>
    </w:p>
    <w:p w:rsidR="00BE1EFE" w:rsidRDefault="00BE1EFE" w:rsidP="001127BD">
      <w:pPr>
        <w:pStyle w:val="StandardWeb"/>
        <w:rPr>
          <w:sz w:val="12"/>
          <w:szCs w:val="12"/>
        </w:rPr>
      </w:pPr>
      <w:r w:rsidRPr="001127BD">
        <w:rPr>
          <w:sz w:val="12"/>
          <w:szCs w:val="12"/>
        </w:rPr>
        <w:t xml:space="preserve">1Wird die Religionslehrkraft gemäß Absatz 2 an eine Seelsorgeeinheit abgeordnet, findet </w:t>
      </w:r>
      <w:hyperlink r:id="rId1156" w:history="1">
        <w:r w:rsidRPr="00BE165D">
          <w:rPr>
            <w:rStyle w:val="Hyperlink"/>
            <w:sz w:val="12"/>
            <w:szCs w:val="12"/>
          </w:rPr>
          <w:t>§ 8 Absatz 6</w:t>
        </w:r>
      </w:hyperlink>
      <w:r w:rsidRPr="001127BD">
        <w:rPr>
          <w:sz w:val="12"/>
          <w:szCs w:val="12"/>
        </w:rPr>
        <w:t xml:space="preserve"> auf die Abordnung an die Gemeinde entsprechende Anwendung. 2Dies gilt nicht, wenn sich eine der Schulen bzw. ein Teil einer Schule, an denen die Religionslehrkraft eingesetzt ist, im Gebiet der Seelsorgeeinheit befindet.</w:t>
      </w:r>
    </w:p>
    <w:p w:rsidR="00BE1EFE" w:rsidRDefault="00BE1EFE" w:rsidP="00BE165D">
      <w:pPr>
        <w:pStyle w:val="StandardWeb"/>
        <w:rPr>
          <w:sz w:val="12"/>
          <w:szCs w:val="12"/>
        </w:rPr>
      </w:pPr>
    </w:p>
    <w:p w:rsidR="00BE1EFE" w:rsidRPr="00BE165D" w:rsidRDefault="00BE1EFE" w:rsidP="00BE165D">
      <w:pPr>
        <w:pStyle w:val="StandardWeb"/>
        <w:rPr>
          <w:sz w:val="12"/>
          <w:szCs w:val="12"/>
        </w:rPr>
      </w:pPr>
      <w:r>
        <w:rPr>
          <w:sz w:val="12"/>
          <w:szCs w:val="12"/>
        </w:rPr>
        <w:t>Protokollnotiz zu § 10 Absatz</w:t>
      </w:r>
      <w:r w:rsidRPr="00BE165D">
        <w:rPr>
          <w:sz w:val="12"/>
          <w:szCs w:val="12"/>
        </w:rPr>
        <w:t xml:space="preserve"> 1 und 2:</w:t>
      </w:r>
    </w:p>
    <w:p w:rsidR="00BE1EFE" w:rsidRDefault="00BE1EFE" w:rsidP="00BE165D">
      <w:pPr>
        <w:pStyle w:val="StandardWeb"/>
        <w:rPr>
          <w:sz w:val="12"/>
          <w:szCs w:val="12"/>
        </w:rPr>
      </w:pPr>
      <w:r w:rsidRPr="00BE165D">
        <w:rPr>
          <w:sz w:val="12"/>
          <w:szCs w:val="12"/>
        </w:rPr>
        <w:t>Absatz 1 und 2 finden in den Diözesen Eichstätt und Passau keine Anwendung, wenn im Arbeitsvertrag sowohl die Tätigkeit als Religionslehrkraft als auch als Gemeindereferentin/Gemeindereferent vereinbart ist.</w:t>
      </w:r>
    </w:p>
    <w:p w:rsidR="00BE1EFE" w:rsidRPr="001127BD" w:rsidRDefault="00BE1EFE" w:rsidP="00BE165D">
      <w:pPr>
        <w:pStyle w:val="StandardWeb"/>
        <w:rPr>
          <w:sz w:val="12"/>
          <w:szCs w:val="12"/>
        </w:rPr>
      </w:pPr>
    </w:p>
    <w:p w:rsidR="00BE1EFE" w:rsidRDefault="00BE1EFE">
      <w:pPr>
        <w:pStyle w:val="StandardWeb"/>
      </w:pPr>
      <w:r>
        <w:t>(3) Soweit Religionslehrkräfte auch in der Gemeindearbeit eingesetzt sind, gilt für diese Beschäftigung die „Dienstordnung für Gemeindereferentinnen und Gemeindereferenten in den bayerischen (Erz-)Diözesen“ entsprechend.</w:t>
      </w:r>
    </w:p>
    <w:p w:rsidR="00BE1EFE" w:rsidRDefault="00BE1EFE">
      <w:pPr>
        <w:pStyle w:val="berschrift5"/>
      </w:pPr>
      <w:bookmarkStart w:id="835" w:name="_Toc523926359"/>
      <w:r>
        <w:t>§ 11 Arbeitsunfähigkeit</w:t>
      </w:r>
      <w:bookmarkEnd w:id="83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Religionslehrkräfte haben eine Arbeitsunfähigkeit und deren voraussichtliche Dauer dem Schulreferat bzw. der für Schulen zuständigen Hauptabteilung des Bischöflichen Ordinariats und der Schulleitung unverzüglich mitzuteilen. </w:t>
      </w:r>
      <w:r>
        <w:rPr>
          <w:rStyle w:val="kleinschrift"/>
        </w:rPr>
        <w:t>2</w:t>
      </w:r>
      <w:r>
        <w:t>Dauert die Arbeitsunfähigkeit länger als drei Kalendertage, haben Religionslehrkräfte spätestens am darauf folgenden allgemeinen Arbeitstag dem Schulreferat bzw. der für Schulen zuständigen Hauptabteilung des Bischöflichen Ordinariats eine ärztliche Bescheinigung über das Bestehen der Arbeitsunfähig</w:t>
      </w:r>
      <w:r>
        <w:softHyphen/>
        <w:t xml:space="preserve">keit sowie deren voraussichtliche Dauer vorzulegen. </w:t>
      </w:r>
      <w:r w:rsidRPr="00BE165D">
        <w:rPr>
          <w:sz w:val="12"/>
          <w:szCs w:val="12"/>
        </w:rPr>
        <w:t>3</w:t>
      </w:r>
      <w:r>
        <w:t xml:space="preserve">Die Vorlage </w:t>
      </w:r>
      <w:r w:rsidRPr="00BE165D">
        <w:t>der ärztlichen Beschei</w:t>
      </w:r>
      <w:r>
        <w:softHyphen/>
      </w:r>
      <w:r w:rsidRPr="00BE165D">
        <w:t>nigung kann früher verlangt werden.</w:t>
      </w:r>
      <w:r>
        <w:t xml:space="preserve"> </w:t>
      </w:r>
      <w:r>
        <w:rPr>
          <w:rStyle w:val="kleinschrift"/>
        </w:rPr>
        <w:t>4</w:t>
      </w:r>
      <w:r>
        <w:t>Die Religionslehrkräfte haben die Schulleitung über die Fortdauer der Arbeitsunfähigkeit sowie deren voraussichtliche Dauer unverzüglich zu informieren.</w:t>
      </w:r>
    </w:p>
    <w:p w:rsidR="00BE1EFE" w:rsidRPr="000B1AF8" w:rsidRDefault="00BE1EFE">
      <w:pPr>
        <w:pStyle w:val="StandardWeb"/>
      </w:pPr>
    </w:p>
    <w:p w:rsidR="00BE1EFE" w:rsidRDefault="00BE1EFE">
      <w:pPr>
        <w:pStyle w:val="StandardWeb"/>
      </w:pPr>
      <w:r>
        <w:t>(2) </w:t>
      </w:r>
      <w:r>
        <w:rPr>
          <w:rStyle w:val="kleinschrift"/>
        </w:rPr>
        <w:t>1</w:t>
      </w:r>
      <w:r>
        <w:t xml:space="preserve">Dauert die Arbeitsunfähigkeit länger als in der ärztlichen Bescheinigung angegeben, haben Religionslehrkräfte dem Schulreferat bzw. der für Schulen zuständigen Hauptabteilung des Bischöflichen Ordinariats unverzüglich eine neue ärztliche Bescheinigung vorzulegen; dies gilt für die gesamte Dauer der Arbeitsunfähigkeit. </w:t>
      </w:r>
      <w:r>
        <w:rPr>
          <w:rStyle w:val="kleinschrift"/>
        </w:rPr>
        <w:t>2</w:t>
      </w:r>
      <w:r>
        <w:t>Absatz 1 Satz 3 gilt entsprechend.</w:t>
      </w:r>
    </w:p>
    <w:p w:rsidR="00BE1EFE" w:rsidRDefault="00BE1EFE">
      <w:pPr>
        <w:pStyle w:val="StandardWeb"/>
      </w:pPr>
    </w:p>
    <w:p w:rsidR="00BE1EFE" w:rsidRDefault="00BE1EFE">
      <w:pPr>
        <w:pStyle w:val="StandardWeb"/>
      </w:pPr>
      <w:r>
        <w:t>(3) </w:t>
      </w:r>
      <w:r>
        <w:rPr>
          <w:rStyle w:val="kleinschrift"/>
        </w:rPr>
        <w:t>1</w:t>
      </w:r>
      <w:r>
        <w:t>Werden Religionslehrkräfte während der Schulferien durch Unfall oder Krankheit arbeitsunfähig, so haben sie dies dem Schulreferat bzw. der für Schulen zuständigen Haupt</w:t>
      </w:r>
      <w:r>
        <w:softHyphen/>
        <w:t xml:space="preserve">abteilung des Bischöflichen Ordinariats unverzüglich mitzuteilen. </w:t>
      </w:r>
      <w:r>
        <w:rPr>
          <w:rStyle w:val="kleinschrift"/>
        </w:rPr>
        <w:t>2</w:t>
      </w:r>
      <w:r>
        <w:t xml:space="preserve">Die Fristen des </w:t>
      </w:r>
      <w:hyperlink r:id="rId1157" w:history="1">
        <w:r w:rsidRPr="002D1F1D">
          <w:rPr>
            <w:rStyle w:val="Hyperlink"/>
          </w:rPr>
          <w:t>§ 22 Absatz 1 und 2 Teil A, 1.</w:t>
        </w:r>
      </w:hyperlink>
      <w:r>
        <w:t xml:space="preserve"> beginnen mit dem Tag der Arbeitsunfähigkeit zu laufen. </w:t>
      </w:r>
      <w:r>
        <w:rPr>
          <w:rStyle w:val="kleinschrift"/>
        </w:rPr>
        <w:t>3</w:t>
      </w:r>
      <w:r>
        <w:t>Die Religionslehr</w:t>
      </w:r>
      <w:r>
        <w:softHyphen/>
        <w:t>kräfte haben sich nach Wiederherstellung der Arbeitsfähigkeit zur Arbeitsleistung zur Verfügung zu stellen.</w:t>
      </w:r>
    </w:p>
    <w:p w:rsidR="00BE1EFE" w:rsidRDefault="00BE1EFE">
      <w:pPr>
        <w:pStyle w:val="StandardWeb"/>
      </w:pPr>
    </w:p>
    <w:p w:rsidR="00BE1EFE" w:rsidRDefault="00BE1EFE">
      <w:pPr>
        <w:pStyle w:val="berschrift5"/>
      </w:pPr>
      <w:bookmarkStart w:id="836" w:name="_Toc523926360"/>
      <w:r>
        <w:lastRenderedPageBreak/>
        <w:t>§ 12 Erholungsurlaub</w:t>
      </w:r>
      <w:bookmarkEnd w:id="83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Dauer des Erholungsurlaubs bemisst sich nach </w:t>
      </w:r>
      <w:hyperlink r:id="rId1158" w:history="1">
        <w:r w:rsidRPr="002D1F1D">
          <w:rPr>
            <w:rStyle w:val="Hyperlink"/>
          </w:rPr>
          <w:t>§ 26 Teil A, 1</w:t>
        </w:r>
      </w:hyperlink>
      <w:r>
        <w:t xml:space="preserve">. </w:t>
      </w:r>
      <w:r>
        <w:rPr>
          <w:rStyle w:val="kleinschrift"/>
        </w:rPr>
        <w:t>2</w:t>
      </w:r>
      <w:r>
        <w:t>Der Urlaubsanspruch der Religionslehrkräfte ist durch die in der staatlichen Ferienordnung für die öffentlichen Schulen im Freistaat Bayern festgelegten Ferien abgegolten.</w:t>
      </w:r>
    </w:p>
    <w:p w:rsidR="00BE1EFE" w:rsidRPr="000B1AF8" w:rsidRDefault="00BE1EFE">
      <w:pPr>
        <w:pStyle w:val="StandardWeb"/>
      </w:pPr>
    </w:p>
    <w:p w:rsidR="00BE1EFE" w:rsidRDefault="00BE1EFE">
      <w:pPr>
        <w:pStyle w:val="StandardWeb"/>
      </w:pPr>
      <w:r>
        <w:t xml:space="preserve">(2) Fallen in die Zeit der Beschäftigung keine Schulferien oder übersteigt der Urlaubsanspruch die Zahl der Schulferientage in der Zeit der Beschäftigung, so wird der Resturlaub gem. </w:t>
      </w:r>
      <w:hyperlink r:id="rId1159" w:history="1">
        <w:r w:rsidRPr="002D1F1D">
          <w:rPr>
            <w:rStyle w:val="Hyperlink"/>
          </w:rPr>
          <w:t>§ 26 Teil A, 1.</w:t>
        </w:r>
      </w:hyperlink>
      <w:r>
        <w:t xml:space="preserve"> gewährt.</w:t>
      </w:r>
    </w:p>
    <w:p w:rsidR="00BE1EFE" w:rsidRDefault="00BE1EFE">
      <w:pPr>
        <w:pStyle w:val="StandardWeb"/>
      </w:pPr>
    </w:p>
    <w:p w:rsidR="00BE1EFE" w:rsidRDefault="00BE1EFE">
      <w:pPr>
        <w:pStyle w:val="StandardWeb"/>
      </w:pPr>
      <w:r>
        <w:t>(3) Religionslehrkräfte die auch im Gemeindedienst tätig sind, haben grundsätzlich den Erholungsurlaub nach Absatz 1 Satz 1 in der unterrichtsfreien Zeit einzubringen.</w:t>
      </w:r>
    </w:p>
    <w:p w:rsidR="00BE1EFE" w:rsidRDefault="00BE1EFE">
      <w:pPr>
        <w:pStyle w:val="berschrift5"/>
      </w:pPr>
      <w:bookmarkStart w:id="837" w:name="_Toc523926361"/>
      <w:r>
        <w:t>§ 13 Arbeitsbefreiung</w:t>
      </w:r>
      <w:bookmarkEnd w:id="837"/>
    </w:p>
    <w:p w:rsidR="00BE1EFE" w:rsidRPr="00B76821" w:rsidRDefault="00BE1EFE" w:rsidP="00B76821">
      <w:pPr>
        <w:pStyle w:val="berschrift6"/>
        <w:keepNext w:val="0"/>
        <w:spacing w:before="0" w:after="0"/>
        <w:rPr>
          <w:sz w:val="2"/>
        </w:rPr>
      </w:pPr>
    </w:p>
    <w:p w:rsidR="00BE1EFE" w:rsidRDefault="00BE1EFE">
      <w:pPr>
        <w:pStyle w:val="StandardWeb"/>
      </w:pPr>
      <w:r>
        <w:t>Bei Arbeitsbefreiung ist auch die staatliche Lehrerdienstordnung (LDO) bzw. die Kirchliche Lehrerdienstordnung (KLDO) in der jeweiligen Fassung zu berücksichtigen.</w:t>
      </w:r>
    </w:p>
    <w:p w:rsidR="00BE1EFE" w:rsidRDefault="00BE1EFE">
      <w:pPr>
        <w:pStyle w:val="StandardWeb"/>
      </w:pPr>
      <w:r>
        <w:rPr>
          <w:sz w:val="12"/>
          <w:szCs w:val="12"/>
        </w:rPr>
        <w:t>Protokollnotiz zu § 13:</w:t>
      </w:r>
    </w:p>
    <w:p w:rsidR="00BE1EFE" w:rsidRPr="000B1AF8" w:rsidRDefault="00BE1EFE">
      <w:pPr>
        <w:pStyle w:val="StandardWeb"/>
      </w:pPr>
      <w:r>
        <w:rPr>
          <w:sz w:val="12"/>
          <w:szCs w:val="12"/>
        </w:rPr>
        <w:t xml:space="preserve">Wegen der Rückbindung an die staatlichen Vorgaben (Lehrerdienstordnung) können Religionslehrkräfte nach </w:t>
      </w:r>
      <w:hyperlink r:id="rId1160" w:history="1">
        <w:r w:rsidRPr="002D1F1D">
          <w:rPr>
            <w:rStyle w:val="Hyperlink"/>
            <w:sz w:val="12"/>
            <w:szCs w:val="12"/>
          </w:rPr>
          <w:t>§ 1 Absatz 1</w:t>
        </w:r>
      </w:hyperlink>
      <w:r>
        <w:rPr>
          <w:sz w:val="12"/>
          <w:szCs w:val="12"/>
        </w:rPr>
        <w:t xml:space="preserve"> in der Regel an freiwilligen beruflichen Fortbildungen (vgl. </w:t>
      </w:r>
      <w:hyperlink r:id="rId1161" w:history="1">
        <w:r w:rsidRPr="002D1F1D">
          <w:rPr>
            <w:rStyle w:val="Hyperlink"/>
            <w:sz w:val="12"/>
            <w:szCs w:val="12"/>
          </w:rPr>
          <w:t>§ 5a Absatz 1 Teil A, 1.</w:t>
        </w:r>
      </w:hyperlink>
      <w:r>
        <w:rPr>
          <w:sz w:val="12"/>
          <w:szCs w:val="12"/>
        </w:rPr>
        <w:t>) nur teilnehmen, wenn dadurch kein Religionsunterricht ausfällt.</w:t>
      </w:r>
    </w:p>
    <w:p w:rsidR="00BE1EFE" w:rsidRDefault="00BE1EFE">
      <w:pPr>
        <w:pStyle w:val="berschrift5"/>
      </w:pPr>
      <w:bookmarkStart w:id="838" w:name="_Toc523926362"/>
      <w:r>
        <w:t>§ 14 Versetzung</w:t>
      </w:r>
      <w:bookmarkEnd w:id="838"/>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Bei einer Versetzung nach </w:t>
      </w:r>
      <w:hyperlink r:id="rId1162" w:history="1">
        <w:r w:rsidRPr="002D1F1D">
          <w:rPr>
            <w:rStyle w:val="Hyperlink"/>
          </w:rPr>
          <w:t>§ 4 Teil A, 1.</w:t>
        </w:r>
      </w:hyperlink>
      <w:r>
        <w:t xml:space="preserve"> ist das Schulreferat bzw. die für Schulen zuständige Hauptabteilung des Bischöflichen Ordinariats bestrebt, Härten zu vermeiden. </w:t>
      </w:r>
      <w:r>
        <w:rPr>
          <w:rStyle w:val="kleinschrift"/>
        </w:rPr>
        <w:t>2</w:t>
      </w:r>
      <w:r>
        <w:t xml:space="preserve">Eine Versetzung kann auch von den Beschäftigten selbst beantragt werden. </w:t>
      </w:r>
      <w:r>
        <w:rPr>
          <w:rStyle w:val="kleinschrift"/>
        </w:rPr>
        <w:t>3</w:t>
      </w:r>
      <w:r>
        <w:t>Bei aus dienstlichen Gründen angeordneten Versetzungen erstattet der Arbeitgeber die Umzugskosten nach den diözesanen Regelungen und ist bei der Wohnungssuche behilflich.</w:t>
      </w:r>
    </w:p>
    <w:p w:rsidR="00BE1EFE" w:rsidRDefault="00BE1EFE">
      <w:pPr>
        <w:pStyle w:val="StandardWeb"/>
      </w:pPr>
      <w:r>
        <w:rPr>
          <w:sz w:val="12"/>
          <w:szCs w:val="12"/>
        </w:rPr>
        <w:t>Protokollnotiz zu § 14:</w:t>
      </w:r>
    </w:p>
    <w:p w:rsidR="00BE1EFE" w:rsidRPr="000B1AF8" w:rsidRDefault="00BE1EFE">
      <w:pPr>
        <w:pStyle w:val="StandardWeb"/>
      </w:pPr>
      <w:r>
        <w:rPr>
          <w:sz w:val="12"/>
          <w:szCs w:val="12"/>
        </w:rPr>
        <w:t>Bei einem Stellenwechsel ist wie bei einer Versetzung zu verfahren.</w:t>
      </w:r>
    </w:p>
    <w:p w:rsidR="00BE1EFE" w:rsidRDefault="00BE1EFE">
      <w:pPr>
        <w:pStyle w:val="berschrift5"/>
      </w:pPr>
      <w:bookmarkStart w:id="839" w:name="_Toc523926363"/>
      <w:r>
        <w:t>§ 15 Inkrafttreten</w:t>
      </w:r>
      <w:bookmarkEnd w:id="839"/>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Diese Dienstordnung tritt am 1. September 2009 in Kraft. </w:t>
      </w:r>
      <w:r>
        <w:rPr>
          <w:rStyle w:val="kleinschrift"/>
        </w:rPr>
        <w:t>2</w:t>
      </w:r>
      <w:r>
        <w:t>Gleichzeitig treten die Dienstordnung für Religionslehrer im Kirchendienst (Religionslehrer i. K.) an Volks- und Förderschulen in den bayerischen (Erz-)Diözesen vom 01.09.1996 (ABD Teil C, 3.) und die Sonderregelung für Religionslehrer, die nicht unter die Dienstordnung für Religionslehrer im Kirchendienst fallen vom 01.09.1998 (ABD Teil C, 4.) außer Kraft.</w:t>
      </w:r>
    </w:p>
    <w:p w:rsidR="00BE1EFE" w:rsidRPr="000B1AF8" w:rsidRDefault="00BE1EFE">
      <w:pPr>
        <w:pStyle w:val="StandardWeb"/>
      </w:pPr>
      <w:r>
        <w:br w:type="page"/>
      </w:r>
    </w:p>
    <w:p w:rsidR="00BE1EFE" w:rsidRDefault="00BE1EFE" w:rsidP="00A045C0">
      <w:pPr>
        <w:pStyle w:val="berschrift5"/>
        <w:spacing w:before="0"/>
      </w:pPr>
      <w:bookmarkStart w:id="840" w:name="_Toc523926364"/>
      <w:r>
        <w:lastRenderedPageBreak/>
        <w:t>Anlagen</w:t>
      </w:r>
      <w:bookmarkEnd w:id="840"/>
    </w:p>
    <w:p w:rsidR="00BE1EFE" w:rsidRDefault="00BE1EFE">
      <w:pPr>
        <w:pStyle w:val="berschrift6"/>
      </w:pPr>
      <w:bookmarkStart w:id="841" w:name="_Toc523926365"/>
      <w:r>
        <w:t>Anlage 1</w:t>
      </w:r>
      <w:bookmarkEnd w:id="841"/>
    </w:p>
    <w:p w:rsidR="00BE1EFE" w:rsidRPr="00B76821" w:rsidRDefault="00BE1EFE" w:rsidP="00B76821">
      <w:pPr>
        <w:pStyle w:val="h7"/>
        <w:keepNext w:val="0"/>
        <w:spacing w:before="0" w:after="0"/>
        <w:jc w:val="left"/>
        <w:outlineLvl w:val="5"/>
        <w:rPr>
          <w:sz w:val="2"/>
        </w:rPr>
      </w:pPr>
    </w:p>
    <w:p w:rsidR="00BE1EFE" w:rsidRPr="00514E60" w:rsidRDefault="00BE1EFE">
      <w:pPr>
        <w:pStyle w:val="StandardWeb"/>
        <w:rPr>
          <w:szCs w:val="16"/>
        </w:rPr>
      </w:pPr>
      <w:r w:rsidRPr="00514E60">
        <w:rPr>
          <w:rFonts w:cs="Arial"/>
          <w:szCs w:val="16"/>
        </w:rPr>
        <w:t>In den</w:t>
      </w:r>
      <w:r>
        <w:rPr>
          <w:rFonts w:cs="Arial"/>
          <w:szCs w:val="16"/>
        </w:rPr>
        <w:t xml:space="preserve"> bayerischen </w:t>
      </w:r>
      <w:r w:rsidRPr="00514E60">
        <w:rPr>
          <w:rFonts w:cs="Arial"/>
          <w:szCs w:val="16"/>
        </w:rPr>
        <w:t>Diözesen gilt in Umsetzung des Beschlusses der Bayerischen Regional-KODA vom 16. Juli 2009 zur Dienstordnung für Religionslehrerinnen und Religionslehrer im Kirchendienst ab dem Schuljahr 2013/2014 folgende Tabelle der Stundenermäßigung bei Teilzeit:</w:t>
      </w:r>
    </w:p>
    <w:p w:rsidR="00BE1EFE" w:rsidRDefault="00BE1EFE">
      <w:pPr>
        <w:pStyle w:val="StandardWeb"/>
      </w:pPr>
    </w:p>
    <w:p w:rsidR="00BE1EFE" w:rsidRPr="00B83893" w:rsidRDefault="00F82168" w:rsidP="00A045C0">
      <w:pPr>
        <w:pStyle w:val="h7"/>
        <w:spacing w:before="0"/>
        <w:jc w:val="left"/>
        <w:rPr>
          <w:rStyle w:val="Fett"/>
          <w:b/>
          <w:bCs/>
        </w:rPr>
      </w:pPr>
      <w:bookmarkStart w:id="842" w:name="_Toc523926366"/>
      <w:r w:rsidRPr="00514E60">
        <w:rPr>
          <w:szCs w:val="16"/>
        </w:rPr>
        <w:t>Stundenermäßigung bei Teilzeit</w:t>
      </w:r>
      <w:r w:rsidRPr="00B83893">
        <w:rPr>
          <w:rStyle w:val="Fett"/>
          <w:b/>
          <w:bCs/>
        </w:rPr>
        <w:t xml:space="preserve"> </w:t>
      </w:r>
      <w:r>
        <w:rPr>
          <w:rStyle w:val="Fett"/>
          <w:b/>
          <w:bCs/>
        </w:rPr>
        <w:t>w</w:t>
      </w:r>
      <w:r w:rsidR="00BE1EFE" w:rsidRPr="00B83893">
        <w:rPr>
          <w:rStyle w:val="Fett"/>
          <w:b/>
          <w:bCs/>
        </w:rPr>
        <w:t>egen Alters</w:t>
      </w:r>
      <w:bookmarkEnd w:id="842"/>
    </w:p>
    <w:p w:rsidR="00BE1EFE" w:rsidRPr="004B3401" w:rsidRDefault="00BE1EFE" w:rsidP="004B3401">
      <w:pPr>
        <w:pStyle w:val="StandardWeb"/>
        <w:rPr>
          <w:rStyle w:val="Fett"/>
          <w:bCs/>
          <w:sz w:val="6"/>
          <w:szCs w:val="6"/>
        </w:rPr>
      </w:pPr>
    </w:p>
    <w:p w:rsidR="00BE1EFE" w:rsidRPr="004B3401" w:rsidRDefault="00BE1EFE" w:rsidP="004B3401">
      <w:pPr>
        <w:pStyle w:val="StandardWeb"/>
        <w:rPr>
          <w:sz w:val="2"/>
          <w:szCs w:val="2"/>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1"/>
        <w:gridCol w:w="2303"/>
        <w:gridCol w:w="2303"/>
      </w:tblGrid>
      <w:tr w:rsidR="00BE1EFE">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UZ/27*1 = </w:t>
            </w:r>
            <w:r>
              <w:rPr>
                <w:rStyle w:val="Fett"/>
                <w:bCs/>
                <w:sz w:val="18"/>
                <w:szCs w:val="18"/>
              </w:rPr>
              <w:t>ab vollen-detem 58. Lebensjahr</w:t>
            </w:r>
          </w:p>
          <w:p w:rsidR="00BE1EFE" w:rsidRPr="009B3A35" w:rsidRDefault="00BE1EFE">
            <w:pPr>
              <w:pStyle w:val="StandardWeb"/>
              <w:rPr>
                <w:sz w:val="12"/>
                <w:szCs w:val="12"/>
              </w:rPr>
            </w:pPr>
          </w:p>
          <w:p w:rsidR="00BE1EFE" w:rsidRDefault="00BE1EFE">
            <w:pPr>
              <w:pStyle w:val="StandardWeb"/>
            </w:pPr>
            <w:r>
              <w:t>25 = 0,93 = 1</w:t>
            </w:r>
          </w:p>
          <w:p w:rsidR="00BE1EFE" w:rsidRPr="00B41585" w:rsidRDefault="00BE1EFE">
            <w:pPr>
              <w:pStyle w:val="StandardWeb"/>
              <w:rPr>
                <w:sz w:val="6"/>
                <w:szCs w:val="6"/>
              </w:rPr>
            </w:pPr>
          </w:p>
          <w:p w:rsidR="00BE1EFE" w:rsidRDefault="00BE1EFE">
            <w:pPr>
              <w:pStyle w:val="StandardWeb"/>
            </w:pPr>
            <w:r>
              <w:t>24 = 0,89 = 1</w:t>
            </w:r>
          </w:p>
          <w:p w:rsidR="00BE1EFE" w:rsidRPr="00B41585" w:rsidRDefault="00BE1EFE">
            <w:pPr>
              <w:pStyle w:val="StandardWeb"/>
              <w:rPr>
                <w:sz w:val="6"/>
                <w:szCs w:val="6"/>
              </w:rPr>
            </w:pPr>
          </w:p>
          <w:p w:rsidR="00BE1EFE" w:rsidRDefault="00BE1EFE">
            <w:pPr>
              <w:pStyle w:val="StandardWeb"/>
            </w:pPr>
            <w:r>
              <w:t>23 = 0,85 = 1</w:t>
            </w:r>
          </w:p>
          <w:p w:rsidR="00BE1EFE" w:rsidRPr="00B41585" w:rsidRDefault="00BE1EFE">
            <w:pPr>
              <w:pStyle w:val="StandardWeb"/>
              <w:rPr>
                <w:sz w:val="6"/>
                <w:szCs w:val="6"/>
              </w:rPr>
            </w:pPr>
          </w:p>
          <w:p w:rsidR="00BE1EFE" w:rsidRDefault="00BE1EFE">
            <w:pPr>
              <w:pStyle w:val="StandardWeb"/>
            </w:pPr>
            <w:r>
              <w:t>22 = 0,81 = 1</w:t>
            </w:r>
          </w:p>
          <w:p w:rsidR="00BE1EFE" w:rsidRPr="00B41585" w:rsidRDefault="00BE1EFE">
            <w:pPr>
              <w:pStyle w:val="StandardWeb"/>
              <w:rPr>
                <w:sz w:val="6"/>
                <w:szCs w:val="6"/>
              </w:rPr>
            </w:pPr>
          </w:p>
          <w:p w:rsidR="00BE1EFE" w:rsidRDefault="00BE1EFE">
            <w:pPr>
              <w:pStyle w:val="StandardWeb"/>
            </w:pPr>
            <w:r>
              <w:t>21 = 0,78 = 1</w:t>
            </w:r>
          </w:p>
          <w:p w:rsidR="00BE1EFE" w:rsidRPr="00B41585" w:rsidRDefault="00BE1EFE">
            <w:pPr>
              <w:pStyle w:val="StandardWeb"/>
              <w:rPr>
                <w:sz w:val="6"/>
                <w:szCs w:val="6"/>
              </w:rPr>
            </w:pPr>
          </w:p>
          <w:p w:rsidR="00BE1EFE" w:rsidRDefault="00BE1EFE">
            <w:pPr>
              <w:pStyle w:val="StandardWeb"/>
            </w:pPr>
            <w:r>
              <w:t>20 = 0,74 = 1</w:t>
            </w:r>
          </w:p>
          <w:p w:rsidR="00BE1EFE" w:rsidRPr="00B41585" w:rsidRDefault="00BE1EFE">
            <w:pPr>
              <w:pStyle w:val="StandardWeb"/>
              <w:rPr>
                <w:sz w:val="6"/>
                <w:szCs w:val="6"/>
              </w:rPr>
            </w:pPr>
          </w:p>
          <w:p w:rsidR="00BE1EFE" w:rsidRDefault="00BE1EFE">
            <w:pPr>
              <w:pStyle w:val="StandardWeb"/>
            </w:pPr>
            <w:r>
              <w:t>19 = 0,70 = 1</w:t>
            </w:r>
          </w:p>
          <w:p w:rsidR="00BE1EFE" w:rsidRPr="00B41585" w:rsidRDefault="00BE1EFE">
            <w:pPr>
              <w:pStyle w:val="StandardWeb"/>
              <w:rPr>
                <w:sz w:val="6"/>
                <w:szCs w:val="6"/>
              </w:rPr>
            </w:pPr>
          </w:p>
          <w:p w:rsidR="00BE1EFE" w:rsidRDefault="00BE1EFE">
            <w:pPr>
              <w:pStyle w:val="StandardWeb"/>
            </w:pPr>
            <w:r>
              <w:t>18 = 0,67 = 1</w:t>
            </w:r>
          </w:p>
          <w:p w:rsidR="00BE1EFE" w:rsidRPr="004B3401" w:rsidRDefault="00BE1EFE">
            <w:pPr>
              <w:pStyle w:val="StandardWeb"/>
              <w:rPr>
                <w:sz w:val="6"/>
                <w:szCs w:val="6"/>
              </w:rPr>
            </w:pPr>
          </w:p>
          <w:p w:rsidR="00BE1EFE" w:rsidRDefault="00BE1EFE">
            <w:pPr>
              <w:pStyle w:val="StandardWeb"/>
            </w:pPr>
            <w:r>
              <w:t>17 = 0,63 = 1</w:t>
            </w:r>
          </w:p>
          <w:p w:rsidR="00BE1EFE" w:rsidRPr="004B3401" w:rsidRDefault="00BE1EFE">
            <w:pPr>
              <w:pStyle w:val="StandardWeb"/>
              <w:rPr>
                <w:sz w:val="6"/>
                <w:szCs w:val="6"/>
              </w:rPr>
            </w:pPr>
          </w:p>
          <w:p w:rsidR="00BE1EFE" w:rsidRDefault="00BE1EFE">
            <w:pPr>
              <w:pStyle w:val="StandardWeb"/>
            </w:pPr>
            <w:r>
              <w:t>16 = 0,59 = 1</w:t>
            </w:r>
          </w:p>
          <w:p w:rsidR="00BE1EFE" w:rsidRPr="004B3401" w:rsidRDefault="00BE1EFE">
            <w:pPr>
              <w:pStyle w:val="StandardWeb"/>
              <w:rPr>
                <w:sz w:val="6"/>
                <w:szCs w:val="6"/>
              </w:rPr>
            </w:pPr>
          </w:p>
          <w:p w:rsidR="00BE1EFE" w:rsidRDefault="00BE1EFE">
            <w:pPr>
              <w:pStyle w:val="StandardWeb"/>
            </w:pPr>
            <w:r>
              <w:t>15 = 0,56 = 1</w:t>
            </w:r>
          </w:p>
          <w:p w:rsidR="00BE1EFE" w:rsidRPr="004B3401" w:rsidRDefault="00BE1EFE">
            <w:pPr>
              <w:pStyle w:val="StandardWeb"/>
              <w:rPr>
                <w:sz w:val="6"/>
                <w:szCs w:val="6"/>
              </w:rPr>
            </w:pPr>
          </w:p>
          <w:p w:rsidR="00BE1EFE" w:rsidRDefault="00BE1EFE">
            <w:pPr>
              <w:pStyle w:val="StandardWeb"/>
            </w:pPr>
            <w:r>
              <w:t>14 = 0,52 = 1</w:t>
            </w:r>
          </w:p>
          <w:p w:rsidR="00BE1EFE" w:rsidRPr="004B3401" w:rsidRDefault="00BE1EFE">
            <w:pPr>
              <w:pStyle w:val="StandardWeb"/>
              <w:rPr>
                <w:sz w:val="6"/>
                <w:szCs w:val="6"/>
              </w:rPr>
            </w:pPr>
          </w:p>
          <w:p w:rsidR="00BE1EFE" w:rsidRDefault="00BE1EFE">
            <w:pPr>
              <w:pStyle w:val="StandardWeb"/>
            </w:pPr>
            <w:r>
              <w:t>13 = 0,48 = 0</w:t>
            </w:r>
          </w:p>
          <w:p w:rsidR="00BE1EFE" w:rsidRPr="004B3401" w:rsidRDefault="00BE1EFE">
            <w:pPr>
              <w:pStyle w:val="StandardWeb"/>
              <w:rPr>
                <w:sz w:val="6"/>
                <w:szCs w:val="6"/>
              </w:rPr>
            </w:pPr>
          </w:p>
          <w:p w:rsidR="00BE1EFE" w:rsidRDefault="00BE1EFE">
            <w:pPr>
              <w:pStyle w:val="StandardWeb"/>
            </w:pPr>
            <w:r>
              <w:t>12 = 0,44 = 0</w:t>
            </w:r>
          </w:p>
          <w:p w:rsidR="00BE1EFE" w:rsidRPr="004B3401" w:rsidRDefault="00BE1EFE">
            <w:pPr>
              <w:pStyle w:val="StandardWeb"/>
              <w:rPr>
                <w:sz w:val="6"/>
                <w:szCs w:val="6"/>
              </w:rPr>
            </w:pPr>
          </w:p>
          <w:p w:rsidR="00BE1EFE" w:rsidRDefault="00BE1EFE">
            <w:pPr>
              <w:pStyle w:val="StandardWeb"/>
            </w:pPr>
            <w:r>
              <w:t>11 = 0,41 = 0</w:t>
            </w:r>
          </w:p>
          <w:p w:rsidR="00BE1EFE" w:rsidRPr="004B3401" w:rsidRDefault="00BE1EFE">
            <w:pPr>
              <w:pStyle w:val="StandardWeb"/>
              <w:rPr>
                <w:sz w:val="6"/>
                <w:szCs w:val="6"/>
              </w:rPr>
            </w:pPr>
          </w:p>
          <w:p w:rsidR="00BE1EFE" w:rsidRDefault="00BE1EFE">
            <w:pPr>
              <w:pStyle w:val="StandardWeb"/>
            </w:pPr>
            <w:r>
              <w:t>10 = 0,37 = 0</w:t>
            </w:r>
          </w:p>
          <w:p w:rsidR="00BE1EFE" w:rsidRPr="004B3401" w:rsidRDefault="00BE1EFE">
            <w:pPr>
              <w:pStyle w:val="StandardWeb"/>
              <w:rPr>
                <w:sz w:val="6"/>
                <w:szCs w:val="6"/>
              </w:rPr>
            </w:pPr>
          </w:p>
          <w:p w:rsidR="00BE1EFE" w:rsidRDefault="00BE1EFE">
            <w:pPr>
              <w:pStyle w:val="StandardWeb"/>
            </w:pPr>
            <w:r>
              <w:t>  9 = 0,33 = 0</w:t>
            </w:r>
          </w:p>
          <w:p w:rsidR="00BE1EFE" w:rsidRPr="004B3401" w:rsidRDefault="00BE1EFE">
            <w:pPr>
              <w:pStyle w:val="StandardWeb"/>
              <w:rPr>
                <w:sz w:val="6"/>
                <w:szCs w:val="6"/>
              </w:rPr>
            </w:pPr>
          </w:p>
          <w:p w:rsidR="00BE1EFE" w:rsidRDefault="00BE1EFE">
            <w:pPr>
              <w:pStyle w:val="StandardWeb"/>
            </w:pPr>
            <w:r>
              <w:t>  8 = 0,30 = 0</w:t>
            </w:r>
          </w:p>
          <w:p w:rsidR="00BE1EFE" w:rsidRPr="004B3401" w:rsidRDefault="00BE1EFE">
            <w:pPr>
              <w:pStyle w:val="StandardWeb"/>
              <w:rPr>
                <w:sz w:val="6"/>
                <w:szCs w:val="6"/>
              </w:rPr>
            </w:pPr>
          </w:p>
          <w:p w:rsidR="00BE1EFE" w:rsidRDefault="00BE1EFE">
            <w:pPr>
              <w:pStyle w:val="StandardWeb"/>
            </w:pPr>
            <w:r>
              <w:t>  7 = 0,26 = 0</w:t>
            </w:r>
          </w:p>
          <w:p w:rsidR="00BE1EFE" w:rsidRPr="004B3401" w:rsidRDefault="00BE1EFE">
            <w:pPr>
              <w:pStyle w:val="StandardWeb"/>
              <w:rPr>
                <w:sz w:val="6"/>
                <w:szCs w:val="6"/>
              </w:rPr>
            </w:pPr>
          </w:p>
          <w:p w:rsidR="00BE1EFE" w:rsidRDefault="00BE1EFE">
            <w:pPr>
              <w:pStyle w:val="StandardWeb"/>
            </w:pPr>
            <w:r>
              <w:t>  6 = 0,22 = 0</w:t>
            </w:r>
          </w:p>
          <w:p w:rsidR="00BE1EFE" w:rsidRPr="004B3401" w:rsidRDefault="00BE1EFE">
            <w:pPr>
              <w:pStyle w:val="StandardWeb"/>
              <w:rPr>
                <w:sz w:val="6"/>
                <w:szCs w:val="6"/>
              </w:rPr>
            </w:pPr>
          </w:p>
          <w:p w:rsidR="00BE1EFE" w:rsidRDefault="00BE1EFE">
            <w:pPr>
              <w:pStyle w:val="StandardWeb"/>
            </w:pPr>
            <w:r>
              <w:t>  5 = 0,19 = 0</w:t>
            </w:r>
          </w:p>
          <w:p w:rsidR="00BE1EFE" w:rsidRPr="004B3401" w:rsidRDefault="00BE1EFE">
            <w:pPr>
              <w:pStyle w:val="StandardWeb"/>
              <w:rPr>
                <w:sz w:val="6"/>
                <w:szCs w:val="6"/>
              </w:rPr>
            </w:pPr>
          </w:p>
          <w:p w:rsidR="00BE1EFE" w:rsidRDefault="00BE1EFE">
            <w:pPr>
              <w:pStyle w:val="StandardWeb"/>
            </w:pPr>
            <w:r>
              <w:t>  4 = 0,15 = 0</w:t>
            </w:r>
          </w:p>
          <w:p w:rsidR="00BE1EFE" w:rsidRPr="004B3401" w:rsidRDefault="00BE1EFE">
            <w:pPr>
              <w:pStyle w:val="StandardWeb"/>
              <w:rPr>
                <w:sz w:val="6"/>
                <w:szCs w:val="6"/>
              </w:rPr>
            </w:pPr>
          </w:p>
          <w:p w:rsidR="00BE1EFE" w:rsidRDefault="00BE1EFE">
            <w:pPr>
              <w:pStyle w:val="StandardWeb"/>
            </w:pPr>
            <w:r>
              <w:t>  3 = 0,11 = 0</w:t>
            </w:r>
          </w:p>
          <w:p w:rsidR="00BE1EFE" w:rsidRPr="004B3401" w:rsidRDefault="00BE1EFE">
            <w:pPr>
              <w:pStyle w:val="StandardWeb"/>
              <w:rPr>
                <w:sz w:val="6"/>
                <w:szCs w:val="6"/>
              </w:rPr>
            </w:pPr>
          </w:p>
          <w:p w:rsidR="00BE1EFE" w:rsidRDefault="00BE1EFE">
            <w:pPr>
              <w:pStyle w:val="StandardWeb"/>
            </w:pPr>
            <w:r>
              <w:t>  2 = 0,07 = 0</w:t>
            </w:r>
          </w:p>
          <w:p w:rsidR="00BE1EFE" w:rsidRPr="004B3401" w:rsidRDefault="00BE1EFE">
            <w:pPr>
              <w:pStyle w:val="StandardWeb"/>
              <w:rPr>
                <w:sz w:val="6"/>
                <w:szCs w:val="6"/>
              </w:rPr>
            </w:pPr>
          </w:p>
          <w:p w:rsidR="00BE1EFE" w:rsidRPr="000B1AF8" w:rsidRDefault="00BE1EFE">
            <w:pPr>
              <w:pStyle w:val="StandardWeb"/>
            </w:pPr>
            <w:r>
              <w:t>  1 = 0,04 = 0</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UZ/27*2 = </w:t>
            </w:r>
            <w:r>
              <w:rPr>
                <w:rStyle w:val="Fett"/>
                <w:bCs/>
                <w:sz w:val="18"/>
                <w:szCs w:val="18"/>
              </w:rPr>
              <w:t>ab vollen-detem 60. Lebensjahr</w:t>
            </w:r>
          </w:p>
          <w:p w:rsidR="00BE1EFE" w:rsidRPr="009B3A35" w:rsidRDefault="00BE1EFE">
            <w:pPr>
              <w:pStyle w:val="StandardWeb"/>
              <w:rPr>
                <w:sz w:val="12"/>
                <w:szCs w:val="12"/>
              </w:rPr>
            </w:pPr>
          </w:p>
          <w:p w:rsidR="00BE1EFE" w:rsidRDefault="00BE1EFE">
            <w:pPr>
              <w:pStyle w:val="StandardWeb"/>
            </w:pPr>
            <w:r>
              <w:t>25 = 1,85 = 2</w:t>
            </w:r>
          </w:p>
          <w:p w:rsidR="00BE1EFE" w:rsidRPr="00B41585" w:rsidRDefault="00BE1EFE">
            <w:pPr>
              <w:pStyle w:val="StandardWeb"/>
              <w:rPr>
                <w:sz w:val="6"/>
                <w:szCs w:val="6"/>
              </w:rPr>
            </w:pPr>
          </w:p>
          <w:p w:rsidR="00BE1EFE" w:rsidRDefault="00BE1EFE">
            <w:pPr>
              <w:pStyle w:val="StandardWeb"/>
            </w:pPr>
            <w:r>
              <w:t>24 = 1,78 = 2</w:t>
            </w:r>
          </w:p>
          <w:p w:rsidR="00BE1EFE" w:rsidRPr="00B41585" w:rsidRDefault="00BE1EFE">
            <w:pPr>
              <w:pStyle w:val="StandardWeb"/>
              <w:rPr>
                <w:sz w:val="6"/>
                <w:szCs w:val="6"/>
              </w:rPr>
            </w:pPr>
          </w:p>
          <w:p w:rsidR="00BE1EFE" w:rsidRDefault="00BE1EFE">
            <w:pPr>
              <w:pStyle w:val="StandardWeb"/>
            </w:pPr>
            <w:r>
              <w:t>23 = 1,70 = 2</w:t>
            </w:r>
          </w:p>
          <w:p w:rsidR="00BE1EFE" w:rsidRPr="00B41585" w:rsidRDefault="00BE1EFE">
            <w:pPr>
              <w:pStyle w:val="StandardWeb"/>
              <w:rPr>
                <w:sz w:val="6"/>
                <w:szCs w:val="6"/>
              </w:rPr>
            </w:pPr>
          </w:p>
          <w:p w:rsidR="00BE1EFE" w:rsidRDefault="00BE1EFE">
            <w:pPr>
              <w:pStyle w:val="StandardWeb"/>
            </w:pPr>
            <w:r>
              <w:t>22 = 1,63 = 2</w:t>
            </w:r>
          </w:p>
          <w:p w:rsidR="00BE1EFE" w:rsidRPr="00B41585" w:rsidRDefault="00BE1EFE">
            <w:pPr>
              <w:pStyle w:val="StandardWeb"/>
              <w:rPr>
                <w:sz w:val="6"/>
                <w:szCs w:val="6"/>
              </w:rPr>
            </w:pPr>
          </w:p>
          <w:p w:rsidR="00BE1EFE" w:rsidRDefault="00BE1EFE">
            <w:pPr>
              <w:pStyle w:val="StandardWeb"/>
            </w:pPr>
            <w:r>
              <w:t>21 = 1,56 = 2</w:t>
            </w:r>
          </w:p>
          <w:p w:rsidR="00BE1EFE" w:rsidRPr="00B41585" w:rsidRDefault="00BE1EFE">
            <w:pPr>
              <w:pStyle w:val="StandardWeb"/>
              <w:rPr>
                <w:sz w:val="6"/>
                <w:szCs w:val="6"/>
              </w:rPr>
            </w:pPr>
          </w:p>
          <w:p w:rsidR="00BE1EFE" w:rsidRDefault="00BE1EFE">
            <w:pPr>
              <w:pStyle w:val="StandardWeb"/>
            </w:pPr>
            <w:r>
              <w:t>20 = 1,48 = 1</w:t>
            </w:r>
          </w:p>
          <w:p w:rsidR="00BE1EFE" w:rsidRPr="00B41585" w:rsidRDefault="00BE1EFE">
            <w:pPr>
              <w:pStyle w:val="StandardWeb"/>
              <w:rPr>
                <w:sz w:val="6"/>
                <w:szCs w:val="6"/>
              </w:rPr>
            </w:pPr>
          </w:p>
          <w:p w:rsidR="00BE1EFE" w:rsidRDefault="00BE1EFE">
            <w:pPr>
              <w:pStyle w:val="StandardWeb"/>
            </w:pPr>
            <w:r>
              <w:t>19 = 1,41 = 1</w:t>
            </w:r>
          </w:p>
          <w:p w:rsidR="00BE1EFE" w:rsidRPr="004B3401" w:rsidRDefault="00BE1EFE">
            <w:pPr>
              <w:pStyle w:val="StandardWeb"/>
              <w:rPr>
                <w:sz w:val="6"/>
                <w:szCs w:val="6"/>
              </w:rPr>
            </w:pPr>
          </w:p>
          <w:p w:rsidR="00BE1EFE" w:rsidRDefault="00BE1EFE">
            <w:pPr>
              <w:pStyle w:val="StandardWeb"/>
            </w:pPr>
            <w:r>
              <w:t>18 = 1,33 = 1</w:t>
            </w:r>
          </w:p>
          <w:p w:rsidR="00BE1EFE" w:rsidRPr="004B3401" w:rsidRDefault="00BE1EFE">
            <w:pPr>
              <w:pStyle w:val="StandardWeb"/>
              <w:rPr>
                <w:sz w:val="6"/>
                <w:szCs w:val="6"/>
              </w:rPr>
            </w:pPr>
          </w:p>
          <w:p w:rsidR="00BE1EFE" w:rsidRDefault="00BE1EFE">
            <w:pPr>
              <w:pStyle w:val="StandardWeb"/>
            </w:pPr>
            <w:r>
              <w:t>17 = 1,26 = 1</w:t>
            </w:r>
          </w:p>
          <w:p w:rsidR="00BE1EFE" w:rsidRPr="004B3401" w:rsidRDefault="00BE1EFE">
            <w:pPr>
              <w:pStyle w:val="StandardWeb"/>
              <w:rPr>
                <w:sz w:val="6"/>
                <w:szCs w:val="6"/>
              </w:rPr>
            </w:pPr>
          </w:p>
          <w:p w:rsidR="00BE1EFE" w:rsidRDefault="00BE1EFE">
            <w:pPr>
              <w:pStyle w:val="StandardWeb"/>
            </w:pPr>
            <w:r>
              <w:t>16 = 1,19 = 1</w:t>
            </w:r>
          </w:p>
          <w:p w:rsidR="00BE1EFE" w:rsidRPr="004B3401" w:rsidRDefault="00BE1EFE">
            <w:pPr>
              <w:pStyle w:val="StandardWeb"/>
              <w:rPr>
                <w:sz w:val="6"/>
                <w:szCs w:val="6"/>
              </w:rPr>
            </w:pPr>
          </w:p>
          <w:p w:rsidR="00BE1EFE" w:rsidRDefault="00BE1EFE">
            <w:pPr>
              <w:pStyle w:val="StandardWeb"/>
            </w:pPr>
            <w:r>
              <w:t>15 = 1,11 = 1</w:t>
            </w:r>
          </w:p>
          <w:p w:rsidR="00BE1EFE" w:rsidRPr="004B3401" w:rsidRDefault="00BE1EFE">
            <w:pPr>
              <w:pStyle w:val="StandardWeb"/>
              <w:rPr>
                <w:sz w:val="6"/>
                <w:szCs w:val="6"/>
              </w:rPr>
            </w:pPr>
          </w:p>
          <w:p w:rsidR="00BE1EFE" w:rsidRDefault="00BE1EFE">
            <w:pPr>
              <w:pStyle w:val="StandardWeb"/>
            </w:pPr>
            <w:r>
              <w:t>14 = 1,04 = 1</w:t>
            </w:r>
          </w:p>
          <w:p w:rsidR="00BE1EFE" w:rsidRPr="004B3401" w:rsidRDefault="00BE1EFE">
            <w:pPr>
              <w:pStyle w:val="StandardWeb"/>
              <w:rPr>
                <w:sz w:val="6"/>
                <w:szCs w:val="6"/>
              </w:rPr>
            </w:pPr>
          </w:p>
          <w:p w:rsidR="00BE1EFE" w:rsidRDefault="00BE1EFE">
            <w:pPr>
              <w:pStyle w:val="StandardWeb"/>
            </w:pPr>
            <w:r>
              <w:t>13 = 0,96 = 1</w:t>
            </w:r>
          </w:p>
          <w:p w:rsidR="00BE1EFE" w:rsidRPr="004B3401" w:rsidRDefault="00BE1EFE">
            <w:pPr>
              <w:pStyle w:val="StandardWeb"/>
              <w:rPr>
                <w:sz w:val="6"/>
                <w:szCs w:val="6"/>
              </w:rPr>
            </w:pPr>
          </w:p>
          <w:p w:rsidR="00BE1EFE" w:rsidRDefault="00BE1EFE">
            <w:pPr>
              <w:pStyle w:val="StandardWeb"/>
            </w:pPr>
            <w:r>
              <w:t>12 = 0,89 = 1</w:t>
            </w:r>
          </w:p>
          <w:p w:rsidR="00BE1EFE" w:rsidRPr="004B3401" w:rsidRDefault="00BE1EFE">
            <w:pPr>
              <w:pStyle w:val="StandardWeb"/>
              <w:rPr>
                <w:sz w:val="6"/>
                <w:szCs w:val="6"/>
              </w:rPr>
            </w:pPr>
          </w:p>
          <w:p w:rsidR="00BE1EFE" w:rsidRDefault="00BE1EFE">
            <w:pPr>
              <w:pStyle w:val="StandardWeb"/>
            </w:pPr>
            <w:r>
              <w:t>11 = 0,81 = 1</w:t>
            </w:r>
          </w:p>
          <w:p w:rsidR="00BE1EFE" w:rsidRPr="004B3401" w:rsidRDefault="00BE1EFE">
            <w:pPr>
              <w:pStyle w:val="StandardWeb"/>
              <w:rPr>
                <w:sz w:val="6"/>
                <w:szCs w:val="6"/>
              </w:rPr>
            </w:pPr>
          </w:p>
          <w:p w:rsidR="00BE1EFE" w:rsidRDefault="00BE1EFE">
            <w:pPr>
              <w:pStyle w:val="StandardWeb"/>
            </w:pPr>
            <w:r>
              <w:t>10 = 0,74 = 1</w:t>
            </w:r>
          </w:p>
          <w:p w:rsidR="00BE1EFE" w:rsidRPr="004B3401" w:rsidRDefault="00BE1EFE">
            <w:pPr>
              <w:pStyle w:val="StandardWeb"/>
              <w:rPr>
                <w:sz w:val="6"/>
                <w:szCs w:val="6"/>
              </w:rPr>
            </w:pPr>
          </w:p>
          <w:p w:rsidR="00BE1EFE" w:rsidRDefault="00BE1EFE">
            <w:pPr>
              <w:pStyle w:val="StandardWeb"/>
            </w:pPr>
            <w:r>
              <w:t>  9 = 0,67 = 1</w:t>
            </w:r>
          </w:p>
          <w:p w:rsidR="00BE1EFE" w:rsidRPr="004B3401" w:rsidRDefault="00BE1EFE">
            <w:pPr>
              <w:pStyle w:val="StandardWeb"/>
              <w:rPr>
                <w:sz w:val="6"/>
                <w:szCs w:val="6"/>
              </w:rPr>
            </w:pPr>
          </w:p>
          <w:p w:rsidR="00BE1EFE" w:rsidRDefault="00BE1EFE">
            <w:pPr>
              <w:pStyle w:val="StandardWeb"/>
            </w:pPr>
            <w:r>
              <w:t>  8 = 0,59 = 1</w:t>
            </w:r>
          </w:p>
          <w:p w:rsidR="00BE1EFE" w:rsidRPr="004B3401" w:rsidRDefault="00BE1EFE">
            <w:pPr>
              <w:pStyle w:val="StandardWeb"/>
              <w:rPr>
                <w:sz w:val="6"/>
                <w:szCs w:val="6"/>
              </w:rPr>
            </w:pPr>
          </w:p>
          <w:p w:rsidR="00BE1EFE" w:rsidRDefault="00BE1EFE">
            <w:pPr>
              <w:pStyle w:val="StandardWeb"/>
            </w:pPr>
            <w:r>
              <w:t>  7 = 0,52 = 1</w:t>
            </w:r>
          </w:p>
          <w:p w:rsidR="00BE1EFE" w:rsidRPr="004B3401" w:rsidRDefault="00BE1EFE">
            <w:pPr>
              <w:pStyle w:val="StandardWeb"/>
              <w:rPr>
                <w:sz w:val="6"/>
                <w:szCs w:val="6"/>
              </w:rPr>
            </w:pPr>
          </w:p>
          <w:p w:rsidR="00BE1EFE" w:rsidRDefault="00BE1EFE">
            <w:pPr>
              <w:pStyle w:val="StandardWeb"/>
            </w:pPr>
            <w:r>
              <w:t>  6 = 0,44 = 0</w:t>
            </w:r>
          </w:p>
          <w:p w:rsidR="00BE1EFE" w:rsidRPr="004B3401" w:rsidRDefault="00BE1EFE">
            <w:pPr>
              <w:pStyle w:val="StandardWeb"/>
              <w:rPr>
                <w:sz w:val="6"/>
                <w:szCs w:val="6"/>
              </w:rPr>
            </w:pPr>
          </w:p>
          <w:p w:rsidR="00BE1EFE" w:rsidRDefault="00BE1EFE">
            <w:pPr>
              <w:pStyle w:val="StandardWeb"/>
            </w:pPr>
            <w:r>
              <w:t>  5 = 0,37 = 0</w:t>
            </w:r>
          </w:p>
          <w:p w:rsidR="00BE1EFE" w:rsidRPr="004B3401" w:rsidRDefault="00BE1EFE">
            <w:pPr>
              <w:pStyle w:val="StandardWeb"/>
              <w:rPr>
                <w:sz w:val="6"/>
                <w:szCs w:val="6"/>
              </w:rPr>
            </w:pPr>
          </w:p>
          <w:p w:rsidR="00BE1EFE" w:rsidRDefault="00BE1EFE">
            <w:pPr>
              <w:pStyle w:val="StandardWeb"/>
            </w:pPr>
            <w:r>
              <w:t>  4 = 0,30 = 0</w:t>
            </w:r>
          </w:p>
          <w:p w:rsidR="00BE1EFE" w:rsidRPr="004B3401" w:rsidRDefault="00BE1EFE">
            <w:pPr>
              <w:pStyle w:val="StandardWeb"/>
              <w:rPr>
                <w:sz w:val="6"/>
                <w:szCs w:val="6"/>
              </w:rPr>
            </w:pPr>
          </w:p>
          <w:p w:rsidR="00BE1EFE" w:rsidRDefault="00BE1EFE">
            <w:pPr>
              <w:pStyle w:val="StandardWeb"/>
            </w:pPr>
            <w:r>
              <w:t>  3 = 0,22 = 0</w:t>
            </w:r>
          </w:p>
          <w:p w:rsidR="00BE1EFE" w:rsidRPr="004B3401" w:rsidRDefault="00BE1EFE">
            <w:pPr>
              <w:pStyle w:val="StandardWeb"/>
              <w:rPr>
                <w:sz w:val="6"/>
                <w:szCs w:val="6"/>
              </w:rPr>
            </w:pPr>
          </w:p>
          <w:p w:rsidR="00BE1EFE" w:rsidRDefault="00BE1EFE">
            <w:pPr>
              <w:pStyle w:val="StandardWeb"/>
            </w:pPr>
            <w:r>
              <w:t>  2 = 0,15 = 0</w:t>
            </w:r>
          </w:p>
          <w:p w:rsidR="00BE1EFE" w:rsidRPr="004B3401" w:rsidRDefault="00BE1EFE">
            <w:pPr>
              <w:pStyle w:val="StandardWeb"/>
              <w:rPr>
                <w:sz w:val="6"/>
                <w:szCs w:val="6"/>
              </w:rPr>
            </w:pPr>
          </w:p>
          <w:p w:rsidR="00BE1EFE" w:rsidRPr="000B1AF8" w:rsidRDefault="00BE1EFE">
            <w:pPr>
              <w:pStyle w:val="StandardWeb"/>
            </w:pPr>
            <w:r>
              <w:t>  1 = 0,07 = 0</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UZ/27*3 = </w:t>
            </w:r>
            <w:r>
              <w:rPr>
                <w:rStyle w:val="Fett"/>
                <w:bCs/>
                <w:sz w:val="18"/>
                <w:szCs w:val="18"/>
              </w:rPr>
              <w:t>ab vollen-detem 62. Lebensjahr</w:t>
            </w:r>
          </w:p>
          <w:p w:rsidR="00BE1EFE" w:rsidRPr="009B3A35" w:rsidRDefault="00BE1EFE">
            <w:pPr>
              <w:pStyle w:val="StandardWeb"/>
              <w:rPr>
                <w:sz w:val="12"/>
                <w:szCs w:val="12"/>
              </w:rPr>
            </w:pPr>
          </w:p>
          <w:p w:rsidR="00BE1EFE" w:rsidRDefault="00BE1EFE">
            <w:pPr>
              <w:pStyle w:val="StandardWeb"/>
            </w:pPr>
            <w:r>
              <w:t>25 = 2,78 = 3</w:t>
            </w:r>
          </w:p>
          <w:p w:rsidR="00BE1EFE" w:rsidRPr="004B3401" w:rsidRDefault="00BE1EFE">
            <w:pPr>
              <w:pStyle w:val="StandardWeb"/>
              <w:rPr>
                <w:sz w:val="6"/>
                <w:szCs w:val="6"/>
              </w:rPr>
            </w:pPr>
          </w:p>
          <w:p w:rsidR="00BE1EFE" w:rsidRDefault="00BE1EFE">
            <w:pPr>
              <w:pStyle w:val="StandardWeb"/>
            </w:pPr>
            <w:r>
              <w:t>24 = 2,67 = 3</w:t>
            </w:r>
          </w:p>
          <w:p w:rsidR="00BE1EFE" w:rsidRPr="004B3401" w:rsidRDefault="00BE1EFE">
            <w:pPr>
              <w:pStyle w:val="StandardWeb"/>
              <w:rPr>
                <w:sz w:val="6"/>
                <w:szCs w:val="6"/>
              </w:rPr>
            </w:pPr>
          </w:p>
          <w:p w:rsidR="00BE1EFE" w:rsidRDefault="00BE1EFE">
            <w:pPr>
              <w:pStyle w:val="StandardWeb"/>
            </w:pPr>
            <w:r>
              <w:t>23 = 2,56 = 3</w:t>
            </w:r>
          </w:p>
          <w:p w:rsidR="00BE1EFE" w:rsidRPr="004B3401" w:rsidRDefault="00BE1EFE">
            <w:pPr>
              <w:pStyle w:val="StandardWeb"/>
              <w:rPr>
                <w:sz w:val="6"/>
                <w:szCs w:val="6"/>
              </w:rPr>
            </w:pPr>
          </w:p>
          <w:p w:rsidR="00BE1EFE" w:rsidRDefault="00BE1EFE">
            <w:pPr>
              <w:pStyle w:val="StandardWeb"/>
            </w:pPr>
            <w:r>
              <w:t>22 = 2,44 = 2</w:t>
            </w:r>
          </w:p>
          <w:p w:rsidR="00BE1EFE" w:rsidRPr="004B3401" w:rsidRDefault="00BE1EFE">
            <w:pPr>
              <w:pStyle w:val="StandardWeb"/>
              <w:rPr>
                <w:sz w:val="6"/>
                <w:szCs w:val="6"/>
              </w:rPr>
            </w:pPr>
          </w:p>
          <w:p w:rsidR="00BE1EFE" w:rsidRDefault="00BE1EFE">
            <w:pPr>
              <w:pStyle w:val="StandardWeb"/>
            </w:pPr>
            <w:r>
              <w:t>21 = 2,33 = 2</w:t>
            </w:r>
          </w:p>
          <w:p w:rsidR="00BE1EFE" w:rsidRPr="004B3401" w:rsidRDefault="00BE1EFE">
            <w:pPr>
              <w:pStyle w:val="StandardWeb"/>
              <w:rPr>
                <w:sz w:val="6"/>
                <w:szCs w:val="6"/>
              </w:rPr>
            </w:pPr>
          </w:p>
          <w:p w:rsidR="00BE1EFE" w:rsidRDefault="00BE1EFE">
            <w:pPr>
              <w:pStyle w:val="StandardWeb"/>
            </w:pPr>
            <w:r>
              <w:t>20 = 2,22 = 2</w:t>
            </w:r>
          </w:p>
          <w:p w:rsidR="00BE1EFE" w:rsidRPr="004B3401" w:rsidRDefault="00BE1EFE">
            <w:pPr>
              <w:pStyle w:val="StandardWeb"/>
              <w:rPr>
                <w:sz w:val="6"/>
                <w:szCs w:val="6"/>
              </w:rPr>
            </w:pPr>
          </w:p>
          <w:p w:rsidR="00BE1EFE" w:rsidRDefault="00BE1EFE">
            <w:pPr>
              <w:pStyle w:val="StandardWeb"/>
            </w:pPr>
            <w:r>
              <w:t>19 = 2,11 = 2</w:t>
            </w:r>
          </w:p>
          <w:p w:rsidR="00BE1EFE" w:rsidRPr="004B3401" w:rsidRDefault="00BE1EFE">
            <w:pPr>
              <w:pStyle w:val="StandardWeb"/>
              <w:rPr>
                <w:sz w:val="6"/>
                <w:szCs w:val="6"/>
              </w:rPr>
            </w:pPr>
          </w:p>
          <w:p w:rsidR="00BE1EFE" w:rsidRDefault="00BE1EFE">
            <w:pPr>
              <w:pStyle w:val="StandardWeb"/>
            </w:pPr>
            <w:r>
              <w:t>18 = 2,00 = 2</w:t>
            </w:r>
          </w:p>
          <w:p w:rsidR="00BE1EFE" w:rsidRPr="004B3401" w:rsidRDefault="00BE1EFE">
            <w:pPr>
              <w:pStyle w:val="StandardWeb"/>
              <w:rPr>
                <w:sz w:val="6"/>
                <w:szCs w:val="6"/>
              </w:rPr>
            </w:pPr>
          </w:p>
          <w:p w:rsidR="00BE1EFE" w:rsidRDefault="00BE1EFE">
            <w:pPr>
              <w:pStyle w:val="StandardWeb"/>
            </w:pPr>
            <w:r>
              <w:t>17 = 1,89 = 2</w:t>
            </w:r>
          </w:p>
          <w:p w:rsidR="00BE1EFE" w:rsidRPr="004B3401" w:rsidRDefault="00BE1EFE">
            <w:pPr>
              <w:pStyle w:val="StandardWeb"/>
              <w:rPr>
                <w:sz w:val="6"/>
                <w:szCs w:val="6"/>
              </w:rPr>
            </w:pPr>
          </w:p>
          <w:p w:rsidR="00BE1EFE" w:rsidRDefault="00BE1EFE">
            <w:pPr>
              <w:pStyle w:val="StandardWeb"/>
            </w:pPr>
            <w:r>
              <w:t>16 = 1,78 = 2</w:t>
            </w:r>
          </w:p>
          <w:p w:rsidR="00BE1EFE" w:rsidRPr="004B3401" w:rsidRDefault="00BE1EFE">
            <w:pPr>
              <w:pStyle w:val="StandardWeb"/>
              <w:rPr>
                <w:sz w:val="6"/>
                <w:szCs w:val="6"/>
              </w:rPr>
            </w:pPr>
          </w:p>
          <w:p w:rsidR="00BE1EFE" w:rsidRDefault="00BE1EFE">
            <w:pPr>
              <w:pStyle w:val="StandardWeb"/>
            </w:pPr>
            <w:r>
              <w:t>15 = 1,67 = 2</w:t>
            </w:r>
          </w:p>
          <w:p w:rsidR="00BE1EFE" w:rsidRPr="004B3401" w:rsidRDefault="00BE1EFE">
            <w:pPr>
              <w:pStyle w:val="StandardWeb"/>
              <w:rPr>
                <w:sz w:val="6"/>
                <w:szCs w:val="6"/>
              </w:rPr>
            </w:pPr>
          </w:p>
          <w:p w:rsidR="00BE1EFE" w:rsidRDefault="00BE1EFE">
            <w:pPr>
              <w:pStyle w:val="StandardWeb"/>
            </w:pPr>
            <w:r>
              <w:t>14 = 1,56 = 2</w:t>
            </w:r>
          </w:p>
          <w:p w:rsidR="00BE1EFE" w:rsidRPr="004B3401" w:rsidRDefault="00BE1EFE">
            <w:pPr>
              <w:pStyle w:val="StandardWeb"/>
              <w:rPr>
                <w:sz w:val="6"/>
                <w:szCs w:val="6"/>
              </w:rPr>
            </w:pPr>
          </w:p>
          <w:p w:rsidR="00BE1EFE" w:rsidRDefault="00BE1EFE">
            <w:pPr>
              <w:pStyle w:val="StandardWeb"/>
            </w:pPr>
            <w:r>
              <w:t>13 = 1,44 = 1</w:t>
            </w:r>
          </w:p>
          <w:p w:rsidR="00BE1EFE" w:rsidRPr="004B3401" w:rsidRDefault="00BE1EFE">
            <w:pPr>
              <w:pStyle w:val="StandardWeb"/>
              <w:rPr>
                <w:sz w:val="6"/>
                <w:szCs w:val="6"/>
              </w:rPr>
            </w:pPr>
          </w:p>
          <w:p w:rsidR="00BE1EFE" w:rsidRDefault="00BE1EFE">
            <w:pPr>
              <w:pStyle w:val="StandardWeb"/>
            </w:pPr>
            <w:r>
              <w:t>12 = 1,33 = 1</w:t>
            </w:r>
          </w:p>
          <w:p w:rsidR="00BE1EFE" w:rsidRPr="004B3401" w:rsidRDefault="00BE1EFE">
            <w:pPr>
              <w:pStyle w:val="StandardWeb"/>
              <w:rPr>
                <w:sz w:val="6"/>
                <w:szCs w:val="6"/>
              </w:rPr>
            </w:pPr>
          </w:p>
          <w:p w:rsidR="00BE1EFE" w:rsidRDefault="00BE1EFE">
            <w:pPr>
              <w:pStyle w:val="StandardWeb"/>
            </w:pPr>
            <w:r>
              <w:t>11 = 1,22 = 1</w:t>
            </w:r>
          </w:p>
          <w:p w:rsidR="00BE1EFE" w:rsidRPr="004B3401" w:rsidRDefault="00BE1EFE">
            <w:pPr>
              <w:pStyle w:val="StandardWeb"/>
              <w:rPr>
                <w:sz w:val="6"/>
                <w:szCs w:val="6"/>
              </w:rPr>
            </w:pPr>
          </w:p>
          <w:p w:rsidR="00BE1EFE" w:rsidRDefault="00BE1EFE">
            <w:pPr>
              <w:pStyle w:val="StandardWeb"/>
            </w:pPr>
            <w:r>
              <w:t>10 = 1,11 = 1</w:t>
            </w:r>
          </w:p>
          <w:p w:rsidR="00BE1EFE" w:rsidRPr="004B3401" w:rsidRDefault="00BE1EFE">
            <w:pPr>
              <w:pStyle w:val="StandardWeb"/>
              <w:rPr>
                <w:sz w:val="6"/>
                <w:szCs w:val="6"/>
              </w:rPr>
            </w:pPr>
          </w:p>
          <w:p w:rsidR="00BE1EFE" w:rsidRDefault="00BE1EFE">
            <w:pPr>
              <w:pStyle w:val="StandardWeb"/>
            </w:pPr>
            <w:r>
              <w:t>  9 = 1,00 = 1</w:t>
            </w:r>
          </w:p>
          <w:p w:rsidR="00BE1EFE" w:rsidRPr="004B3401" w:rsidRDefault="00BE1EFE">
            <w:pPr>
              <w:pStyle w:val="StandardWeb"/>
              <w:rPr>
                <w:sz w:val="6"/>
                <w:szCs w:val="6"/>
              </w:rPr>
            </w:pPr>
          </w:p>
          <w:p w:rsidR="00BE1EFE" w:rsidRDefault="00BE1EFE">
            <w:pPr>
              <w:pStyle w:val="StandardWeb"/>
            </w:pPr>
            <w:r>
              <w:t>  8 = 0,89 = 1</w:t>
            </w:r>
          </w:p>
          <w:p w:rsidR="00BE1EFE" w:rsidRPr="004B3401" w:rsidRDefault="00BE1EFE">
            <w:pPr>
              <w:pStyle w:val="StandardWeb"/>
              <w:rPr>
                <w:sz w:val="6"/>
                <w:szCs w:val="6"/>
              </w:rPr>
            </w:pPr>
          </w:p>
          <w:p w:rsidR="00BE1EFE" w:rsidRDefault="00BE1EFE">
            <w:pPr>
              <w:pStyle w:val="StandardWeb"/>
            </w:pPr>
            <w:r>
              <w:t>  7 = 0,78 = 1</w:t>
            </w:r>
          </w:p>
          <w:p w:rsidR="00BE1EFE" w:rsidRPr="004B3401" w:rsidRDefault="00BE1EFE">
            <w:pPr>
              <w:pStyle w:val="StandardWeb"/>
              <w:rPr>
                <w:sz w:val="6"/>
                <w:szCs w:val="6"/>
              </w:rPr>
            </w:pPr>
          </w:p>
          <w:p w:rsidR="00BE1EFE" w:rsidRDefault="00BE1EFE">
            <w:pPr>
              <w:pStyle w:val="StandardWeb"/>
            </w:pPr>
            <w:r>
              <w:t>  6 = 0,67 = 1</w:t>
            </w:r>
          </w:p>
          <w:p w:rsidR="00BE1EFE" w:rsidRPr="004B3401" w:rsidRDefault="00BE1EFE">
            <w:pPr>
              <w:pStyle w:val="StandardWeb"/>
              <w:rPr>
                <w:sz w:val="6"/>
                <w:szCs w:val="6"/>
              </w:rPr>
            </w:pPr>
          </w:p>
          <w:p w:rsidR="00BE1EFE" w:rsidRDefault="00BE1EFE">
            <w:pPr>
              <w:pStyle w:val="StandardWeb"/>
            </w:pPr>
            <w:r>
              <w:t>  5 = 0,56 = 1</w:t>
            </w:r>
          </w:p>
          <w:p w:rsidR="00BE1EFE" w:rsidRPr="004B3401" w:rsidRDefault="00BE1EFE">
            <w:pPr>
              <w:pStyle w:val="StandardWeb"/>
              <w:rPr>
                <w:sz w:val="6"/>
                <w:szCs w:val="6"/>
              </w:rPr>
            </w:pPr>
          </w:p>
          <w:p w:rsidR="00BE1EFE" w:rsidRDefault="00BE1EFE">
            <w:pPr>
              <w:pStyle w:val="StandardWeb"/>
            </w:pPr>
            <w:r>
              <w:t>  4 = 0,44 = 0</w:t>
            </w:r>
          </w:p>
          <w:p w:rsidR="00BE1EFE" w:rsidRPr="004B3401" w:rsidRDefault="00BE1EFE">
            <w:pPr>
              <w:pStyle w:val="StandardWeb"/>
              <w:rPr>
                <w:sz w:val="6"/>
                <w:szCs w:val="6"/>
              </w:rPr>
            </w:pPr>
          </w:p>
          <w:p w:rsidR="00BE1EFE" w:rsidRDefault="00BE1EFE">
            <w:pPr>
              <w:pStyle w:val="StandardWeb"/>
            </w:pPr>
            <w:r>
              <w:t>  3 = 0,33 = 0</w:t>
            </w:r>
          </w:p>
          <w:p w:rsidR="00BE1EFE" w:rsidRPr="004B3401" w:rsidRDefault="00BE1EFE">
            <w:pPr>
              <w:pStyle w:val="StandardWeb"/>
              <w:rPr>
                <w:sz w:val="6"/>
                <w:szCs w:val="6"/>
              </w:rPr>
            </w:pPr>
          </w:p>
          <w:p w:rsidR="00BE1EFE" w:rsidRDefault="00BE1EFE">
            <w:pPr>
              <w:pStyle w:val="StandardWeb"/>
            </w:pPr>
            <w:r>
              <w:t>  2 = 0,22 = 0</w:t>
            </w:r>
          </w:p>
          <w:p w:rsidR="00BE1EFE" w:rsidRPr="004B3401" w:rsidRDefault="00BE1EFE">
            <w:pPr>
              <w:pStyle w:val="StandardWeb"/>
              <w:rPr>
                <w:sz w:val="6"/>
                <w:szCs w:val="6"/>
              </w:rPr>
            </w:pPr>
          </w:p>
          <w:p w:rsidR="00BE1EFE" w:rsidRPr="000B1AF8" w:rsidRDefault="00BE1EFE">
            <w:pPr>
              <w:pStyle w:val="StandardWeb"/>
            </w:pPr>
            <w:r>
              <w:t>  1 = 0,11 = 0</w:t>
            </w:r>
          </w:p>
        </w:tc>
      </w:tr>
    </w:tbl>
    <w:p w:rsidR="00BE1EFE" w:rsidRDefault="00BE1EFE" w:rsidP="00A045C0">
      <w:pPr>
        <w:pStyle w:val="StandardWeb"/>
        <w:rPr>
          <w:rStyle w:val="Fett"/>
          <w:bCs/>
        </w:rPr>
      </w:pPr>
      <w:r>
        <w:rPr>
          <w:rStyle w:val="Fett"/>
          <w:bCs/>
        </w:rPr>
        <w:br w:type="page"/>
      </w:r>
    </w:p>
    <w:p w:rsidR="00BE1EFE" w:rsidRPr="00B83893" w:rsidRDefault="00F82168" w:rsidP="00A045C0">
      <w:pPr>
        <w:pStyle w:val="h7"/>
        <w:spacing w:before="0"/>
        <w:jc w:val="left"/>
        <w:rPr>
          <w:rStyle w:val="Fett"/>
          <w:b/>
          <w:bCs/>
        </w:rPr>
      </w:pPr>
      <w:bookmarkStart w:id="843" w:name="_Toc523926367"/>
      <w:r w:rsidRPr="00514E60">
        <w:rPr>
          <w:szCs w:val="16"/>
        </w:rPr>
        <w:lastRenderedPageBreak/>
        <w:t>Stundenermäßigung bei Teilzeit</w:t>
      </w:r>
      <w:r w:rsidRPr="00B83893">
        <w:rPr>
          <w:rStyle w:val="Fett"/>
          <w:b/>
          <w:bCs/>
        </w:rPr>
        <w:t xml:space="preserve"> </w:t>
      </w:r>
      <w:r>
        <w:rPr>
          <w:rStyle w:val="Fett"/>
          <w:b/>
          <w:bCs/>
        </w:rPr>
        <w:t>w</w:t>
      </w:r>
      <w:r w:rsidR="00BE1EFE" w:rsidRPr="00B83893">
        <w:rPr>
          <w:rStyle w:val="Fett"/>
          <w:b/>
          <w:bCs/>
        </w:rPr>
        <w:t>egen Schwerbehinderung</w:t>
      </w:r>
      <w:bookmarkEnd w:id="843"/>
    </w:p>
    <w:p w:rsidR="00BE1EFE" w:rsidRPr="004B3401" w:rsidRDefault="00BE1EFE" w:rsidP="0054275E">
      <w:pPr>
        <w:pStyle w:val="StandardWeb"/>
        <w:autoSpaceDE w:val="0"/>
        <w:rPr>
          <w:sz w:val="6"/>
          <w:szCs w:val="6"/>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1"/>
        <w:gridCol w:w="2303"/>
        <w:gridCol w:w="2303"/>
      </w:tblGrid>
      <w:tr w:rsidR="00BE1EFE">
        <w:tc>
          <w:tcPr>
            <w:tcW w:w="3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UZ/27*2 = </w:t>
            </w:r>
            <w:r>
              <w:rPr>
                <w:rStyle w:val="Fett"/>
                <w:bCs/>
                <w:sz w:val="18"/>
                <w:szCs w:val="18"/>
              </w:rPr>
              <w:t>bei mindestens 50 v.H.</w:t>
            </w:r>
          </w:p>
          <w:p w:rsidR="00BE1EFE" w:rsidRPr="000B1AF8" w:rsidRDefault="00BE1EFE">
            <w:pPr>
              <w:pStyle w:val="StandardWeb"/>
            </w:pPr>
          </w:p>
          <w:p w:rsidR="00BE1EFE" w:rsidRDefault="00BE1EFE">
            <w:pPr>
              <w:pStyle w:val="StandardWeb"/>
            </w:pPr>
            <w:r>
              <w:t>25 = 1,85 = 2</w:t>
            </w:r>
          </w:p>
          <w:p w:rsidR="00BE1EFE" w:rsidRPr="004B3401" w:rsidRDefault="00BE1EFE">
            <w:pPr>
              <w:pStyle w:val="StandardWeb"/>
              <w:rPr>
                <w:sz w:val="6"/>
                <w:szCs w:val="6"/>
              </w:rPr>
            </w:pPr>
          </w:p>
          <w:p w:rsidR="00BE1EFE" w:rsidRDefault="00BE1EFE">
            <w:pPr>
              <w:pStyle w:val="StandardWeb"/>
            </w:pPr>
            <w:r>
              <w:t>24 = 1,78 = 2</w:t>
            </w:r>
          </w:p>
          <w:p w:rsidR="00BE1EFE" w:rsidRPr="004B3401" w:rsidRDefault="00BE1EFE">
            <w:pPr>
              <w:pStyle w:val="StandardWeb"/>
              <w:rPr>
                <w:sz w:val="6"/>
                <w:szCs w:val="6"/>
              </w:rPr>
            </w:pPr>
          </w:p>
          <w:p w:rsidR="00BE1EFE" w:rsidRDefault="00BE1EFE">
            <w:pPr>
              <w:pStyle w:val="StandardWeb"/>
            </w:pPr>
            <w:r>
              <w:t>23 = 1,70 = 2</w:t>
            </w:r>
          </w:p>
          <w:p w:rsidR="00BE1EFE" w:rsidRPr="004B3401" w:rsidRDefault="00BE1EFE">
            <w:pPr>
              <w:pStyle w:val="StandardWeb"/>
              <w:rPr>
                <w:sz w:val="6"/>
                <w:szCs w:val="6"/>
              </w:rPr>
            </w:pPr>
          </w:p>
          <w:p w:rsidR="00BE1EFE" w:rsidRDefault="00BE1EFE">
            <w:pPr>
              <w:pStyle w:val="StandardWeb"/>
            </w:pPr>
            <w:r>
              <w:t>22 = 1,63 = 2</w:t>
            </w:r>
          </w:p>
          <w:p w:rsidR="00BE1EFE" w:rsidRPr="004B3401" w:rsidRDefault="00BE1EFE">
            <w:pPr>
              <w:pStyle w:val="StandardWeb"/>
              <w:rPr>
                <w:sz w:val="6"/>
                <w:szCs w:val="6"/>
              </w:rPr>
            </w:pPr>
          </w:p>
          <w:p w:rsidR="00BE1EFE" w:rsidRDefault="00BE1EFE">
            <w:pPr>
              <w:pStyle w:val="StandardWeb"/>
            </w:pPr>
            <w:r>
              <w:t>21 = 1,56 = 2</w:t>
            </w:r>
          </w:p>
          <w:p w:rsidR="00BE1EFE" w:rsidRPr="004B3401" w:rsidRDefault="00BE1EFE">
            <w:pPr>
              <w:pStyle w:val="StandardWeb"/>
              <w:rPr>
                <w:sz w:val="6"/>
                <w:szCs w:val="6"/>
              </w:rPr>
            </w:pPr>
          </w:p>
          <w:p w:rsidR="00BE1EFE" w:rsidRDefault="00BE1EFE">
            <w:pPr>
              <w:pStyle w:val="StandardWeb"/>
            </w:pPr>
            <w:r>
              <w:t>20 = 1,48 = 1</w:t>
            </w:r>
          </w:p>
          <w:p w:rsidR="00BE1EFE" w:rsidRPr="004B3401" w:rsidRDefault="00BE1EFE">
            <w:pPr>
              <w:pStyle w:val="StandardWeb"/>
              <w:rPr>
                <w:sz w:val="6"/>
                <w:szCs w:val="6"/>
              </w:rPr>
            </w:pPr>
          </w:p>
          <w:p w:rsidR="00BE1EFE" w:rsidRDefault="00BE1EFE">
            <w:pPr>
              <w:pStyle w:val="StandardWeb"/>
            </w:pPr>
            <w:r>
              <w:t>19 = 1,41 = 1</w:t>
            </w:r>
          </w:p>
          <w:p w:rsidR="00BE1EFE" w:rsidRPr="004B3401" w:rsidRDefault="00BE1EFE">
            <w:pPr>
              <w:pStyle w:val="StandardWeb"/>
              <w:rPr>
                <w:sz w:val="6"/>
                <w:szCs w:val="6"/>
              </w:rPr>
            </w:pPr>
          </w:p>
          <w:p w:rsidR="00BE1EFE" w:rsidRDefault="00BE1EFE">
            <w:pPr>
              <w:pStyle w:val="StandardWeb"/>
            </w:pPr>
            <w:r>
              <w:t>18 = 1,33 = 1</w:t>
            </w:r>
          </w:p>
          <w:p w:rsidR="00BE1EFE" w:rsidRPr="004B3401" w:rsidRDefault="00BE1EFE">
            <w:pPr>
              <w:pStyle w:val="StandardWeb"/>
              <w:rPr>
                <w:sz w:val="6"/>
                <w:szCs w:val="6"/>
              </w:rPr>
            </w:pPr>
          </w:p>
          <w:p w:rsidR="00BE1EFE" w:rsidRDefault="00BE1EFE">
            <w:pPr>
              <w:pStyle w:val="StandardWeb"/>
            </w:pPr>
            <w:r>
              <w:t>17 = 1,26 = 1</w:t>
            </w:r>
          </w:p>
          <w:p w:rsidR="00BE1EFE" w:rsidRPr="004B3401" w:rsidRDefault="00BE1EFE">
            <w:pPr>
              <w:pStyle w:val="StandardWeb"/>
              <w:rPr>
                <w:sz w:val="6"/>
                <w:szCs w:val="6"/>
              </w:rPr>
            </w:pPr>
          </w:p>
          <w:p w:rsidR="00BE1EFE" w:rsidRDefault="00BE1EFE">
            <w:pPr>
              <w:pStyle w:val="StandardWeb"/>
            </w:pPr>
            <w:r>
              <w:t>16 = 1,19 = 1</w:t>
            </w:r>
          </w:p>
          <w:p w:rsidR="00BE1EFE" w:rsidRPr="004B3401" w:rsidRDefault="00BE1EFE">
            <w:pPr>
              <w:pStyle w:val="StandardWeb"/>
              <w:rPr>
                <w:sz w:val="6"/>
                <w:szCs w:val="6"/>
              </w:rPr>
            </w:pPr>
          </w:p>
          <w:p w:rsidR="00BE1EFE" w:rsidRDefault="00BE1EFE">
            <w:pPr>
              <w:pStyle w:val="StandardWeb"/>
            </w:pPr>
            <w:r>
              <w:t>15 = 1,11 = 1</w:t>
            </w:r>
          </w:p>
          <w:p w:rsidR="00BE1EFE" w:rsidRPr="004B3401" w:rsidRDefault="00BE1EFE">
            <w:pPr>
              <w:pStyle w:val="StandardWeb"/>
              <w:rPr>
                <w:sz w:val="6"/>
                <w:szCs w:val="6"/>
              </w:rPr>
            </w:pPr>
          </w:p>
          <w:p w:rsidR="00BE1EFE" w:rsidRDefault="00BE1EFE">
            <w:pPr>
              <w:pStyle w:val="StandardWeb"/>
            </w:pPr>
            <w:r>
              <w:t>14 = 1,04 = 1</w:t>
            </w:r>
          </w:p>
          <w:p w:rsidR="00BE1EFE" w:rsidRPr="004B3401" w:rsidRDefault="00BE1EFE">
            <w:pPr>
              <w:pStyle w:val="StandardWeb"/>
              <w:rPr>
                <w:sz w:val="6"/>
                <w:szCs w:val="6"/>
              </w:rPr>
            </w:pPr>
          </w:p>
          <w:p w:rsidR="00BE1EFE" w:rsidRDefault="00BE1EFE">
            <w:pPr>
              <w:pStyle w:val="StandardWeb"/>
            </w:pPr>
            <w:r>
              <w:t>13 = 0,96 = 1</w:t>
            </w:r>
          </w:p>
          <w:p w:rsidR="00BE1EFE" w:rsidRPr="004B3401" w:rsidRDefault="00BE1EFE">
            <w:pPr>
              <w:pStyle w:val="StandardWeb"/>
              <w:rPr>
                <w:sz w:val="6"/>
                <w:szCs w:val="6"/>
              </w:rPr>
            </w:pPr>
          </w:p>
          <w:p w:rsidR="00BE1EFE" w:rsidRDefault="00BE1EFE">
            <w:pPr>
              <w:pStyle w:val="StandardWeb"/>
            </w:pPr>
            <w:r>
              <w:t>12 = 0,89 = 1</w:t>
            </w:r>
          </w:p>
          <w:p w:rsidR="00BE1EFE" w:rsidRPr="004B3401" w:rsidRDefault="00BE1EFE">
            <w:pPr>
              <w:pStyle w:val="StandardWeb"/>
              <w:rPr>
                <w:sz w:val="6"/>
                <w:szCs w:val="6"/>
              </w:rPr>
            </w:pPr>
          </w:p>
          <w:p w:rsidR="00BE1EFE" w:rsidRDefault="00BE1EFE">
            <w:pPr>
              <w:pStyle w:val="StandardWeb"/>
            </w:pPr>
            <w:r>
              <w:t>11 = 0,81 = 1</w:t>
            </w:r>
          </w:p>
          <w:p w:rsidR="00BE1EFE" w:rsidRPr="004B3401" w:rsidRDefault="00BE1EFE">
            <w:pPr>
              <w:pStyle w:val="StandardWeb"/>
              <w:rPr>
                <w:sz w:val="6"/>
                <w:szCs w:val="6"/>
              </w:rPr>
            </w:pPr>
          </w:p>
          <w:p w:rsidR="00BE1EFE" w:rsidRDefault="00BE1EFE">
            <w:pPr>
              <w:pStyle w:val="StandardWeb"/>
            </w:pPr>
            <w:r>
              <w:t>10 = 0,74 = 1</w:t>
            </w:r>
          </w:p>
          <w:p w:rsidR="00BE1EFE" w:rsidRPr="004B3401" w:rsidRDefault="00BE1EFE">
            <w:pPr>
              <w:pStyle w:val="StandardWeb"/>
              <w:rPr>
                <w:sz w:val="6"/>
                <w:szCs w:val="6"/>
              </w:rPr>
            </w:pPr>
          </w:p>
          <w:p w:rsidR="00BE1EFE" w:rsidRDefault="00BE1EFE">
            <w:pPr>
              <w:pStyle w:val="StandardWeb"/>
            </w:pPr>
            <w:r>
              <w:t>  9 = 0,67 = 1</w:t>
            </w:r>
          </w:p>
          <w:p w:rsidR="00BE1EFE" w:rsidRPr="004B3401" w:rsidRDefault="00BE1EFE">
            <w:pPr>
              <w:pStyle w:val="StandardWeb"/>
              <w:rPr>
                <w:sz w:val="6"/>
                <w:szCs w:val="6"/>
              </w:rPr>
            </w:pPr>
          </w:p>
          <w:p w:rsidR="00BE1EFE" w:rsidRDefault="00BE1EFE">
            <w:pPr>
              <w:pStyle w:val="StandardWeb"/>
            </w:pPr>
            <w:r>
              <w:t>  8 = 0,59 = 1</w:t>
            </w:r>
          </w:p>
          <w:p w:rsidR="00BE1EFE" w:rsidRPr="004B3401" w:rsidRDefault="00BE1EFE">
            <w:pPr>
              <w:pStyle w:val="StandardWeb"/>
              <w:rPr>
                <w:sz w:val="6"/>
                <w:szCs w:val="6"/>
              </w:rPr>
            </w:pPr>
          </w:p>
          <w:p w:rsidR="00BE1EFE" w:rsidRDefault="00BE1EFE">
            <w:pPr>
              <w:pStyle w:val="StandardWeb"/>
            </w:pPr>
            <w:r>
              <w:t>  7 = 0,52 = 1</w:t>
            </w:r>
          </w:p>
          <w:p w:rsidR="00BE1EFE" w:rsidRPr="004B3401" w:rsidRDefault="00BE1EFE">
            <w:pPr>
              <w:pStyle w:val="StandardWeb"/>
              <w:rPr>
                <w:sz w:val="6"/>
                <w:szCs w:val="6"/>
              </w:rPr>
            </w:pPr>
          </w:p>
          <w:p w:rsidR="00BE1EFE" w:rsidRDefault="00BE1EFE">
            <w:pPr>
              <w:pStyle w:val="StandardWeb"/>
            </w:pPr>
            <w:r>
              <w:t>  6 = 0,44 = 0</w:t>
            </w:r>
          </w:p>
          <w:p w:rsidR="00BE1EFE" w:rsidRPr="004B3401" w:rsidRDefault="00BE1EFE">
            <w:pPr>
              <w:pStyle w:val="StandardWeb"/>
              <w:rPr>
                <w:sz w:val="6"/>
                <w:szCs w:val="6"/>
              </w:rPr>
            </w:pPr>
          </w:p>
          <w:p w:rsidR="00BE1EFE" w:rsidRDefault="00BE1EFE">
            <w:pPr>
              <w:pStyle w:val="StandardWeb"/>
            </w:pPr>
            <w:r>
              <w:t>  5 = 0,37 = 0</w:t>
            </w:r>
          </w:p>
          <w:p w:rsidR="00BE1EFE" w:rsidRPr="004B3401" w:rsidRDefault="00BE1EFE">
            <w:pPr>
              <w:pStyle w:val="StandardWeb"/>
              <w:rPr>
                <w:sz w:val="6"/>
                <w:szCs w:val="6"/>
              </w:rPr>
            </w:pPr>
          </w:p>
          <w:p w:rsidR="00BE1EFE" w:rsidRDefault="00BE1EFE">
            <w:pPr>
              <w:pStyle w:val="StandardWeb"/>
            </w:pPr>
            <w:r>
              <w:t>  4 = 0,30 = 0</w:t>
            </w:r>
          </w:p>
          <w:p w:rsidR="00BE1EFE" w:rsidRPr="004B3401" w:rsidRDefault="00BE1EFE">
            <w:pPr>
              <w:pStyle w:val="StandardWeb"/>
              <w:rPr>
                <w:sz w:val="6"/>
                <w:szCs w:val="6"/>
              </w:rPr>
            </w:pPr>
          </w:p>
          <w:p w:rsidR="00BE1EFE" w:rsidRDefault="00BE1EFE">
            <w:pPr>
              <w:pStyle w:val="StandardWeb"/>
            </w:pPr>
            <w:r>
              <w:t>  3 = 0,22 = 0</w:t>
            </w:r>
          </w:p>
          <w:p w:rsidR="00BE1EFE" w:rsidRPr="004B3401" w:rsidRDefault="00BE1EFE">
            <w:pPr>
              <w:pStyle w:val="StandardWeb"/>
              <w:rPr>
                <w:sz w:val="6"/>
                <w:szCs w:val="6"/>
              </w:rPr>
            </w:pPr>
          </w:p>
          <w:p w:rsidR="00BE1EFE" w:rsidRDefault="00BE1EFE">
            <w:pPr>
              <w:pStyle w:val="StandardWeb"/>
            </w:pPr>
            <w:r>
              <w:t>  2 = 0,15 = 0</w:t>
            </w:r>
          </w:p>
          <w:p w:rsidR="00BE1EFE" w:rsidRPr="004B3401" w:rsidRDefault="00BE1EFE">
            <w:pPr>
              <w:pStyle w:val="StandardWeb"/>
              <w:rPr>
                <w:sz w:val="6"/>
                <w:szCs w:val="6"/>
              </w:rPr>
            </w:pPr>
          </w:p>
          <w:p w:rsidR="00BE1EFE" w:rsidRPr="000B1AF8" w:rsidRDefault="00BE1EFE">
            <w:pPr>
              <w:pStyle w:val="StandardWeb"/>
            </w:pPr>
            <w:r>
              <w:t>  1 = 0,07 = 0</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UZ/27*3 = </w:t>
            </w:r>
            <w:r>
              <w:rPr>
                <w:rStyle w:val="Fett"/>
                <w:bCs/>
                <w:sz w:val="18"/>
                <w:szCs w:val="18"/>
              </w:rPr>
              <w:t>bei mindestens 70 v.H.</w:t>
            </w:r>
          </w:p>
          <w:p w:rsidR="00BE1EFE" w:rsidRPr="000B1AF8" w:rsidRDefault="00BE1EFE">
            <w:pPr>
              <w:pStyle w:val="StandardWeb"/>
            </w:pPr>
          </w:p>
          <w:p w:rsidR="00BE1EFE" w:rsidRDefault="00BE1EFE">
            <w:pPr>
              <w:pStyle w:val="StandardWeb"/>
            </w:pPr>
            <w:r>
              <w:t>25 = 2,78 = 3</w:t>
            </w:r>
          </w:p>
          <w:p w:rsidR="00BE1EFE" w:rsidRPr="004B3401" w:rsidRDefault="00BE1EFE">
            <w:pPr>
              <w:pStyle w:val="StandardWeb"/>
              <w:rPr>
                <w:sz w:val="6"/>
                <w:szCs w:val="6"/>
              </w:rPr>
            </w:pPr>
          </w:p>
          <w:p w:rsidR="00BE1EFE" w:rsidRDefault="00BE1EFE">
            <w:pPr>
              <w:pStyle w:val="StandardWeb"/>
            </w:pPr>
            <w:r>
              <w:t>24 = 2,67 = 3</w:t>
            </w:r>
          </w:p>
          <w:p w:rsidR="00BE1EFE" w:rsidRPr="004B3401" w:rsidRDefault="00BE1EFE">
            <w:pPr>
              <w:pStyle w:val="StandardWeb"/>
              <w:rPr>
                <w:sz w:val="6"/>
                <w:szCs w:val="6"/>
              </w:rPr>
            </w:pPr>
          </w:p>
          <w:p w:rsidR="00BE1EFE" w:rsidRDefault="00BE1EFE">
            <w:pPr>
              <w:pStyle w:val="StandardWeb"/>
            </w:pPr>
            <w:r>
              <w:t>23 = 2,56 = 3</w:t>
            </w:r>
          </w:p>
          <w:p w:rsidR="00BE1EFE" w:rsidRPr="004B3401" w:rsidRDefault="00BE1EFE">
            <w:pPr>
              <w:pStyle w:val="StandardWeb"/>
              <w:rPr>
                <w:sz w:val="6"/>
                <w:szCs w:val="6"/>
              </w:rPr>
            </w:pPr>
          </w:p>
          <w:p w:rsidR="00BE1EFE" w:rsidRDefault="00BE1EFE">
            <w:pPr>
              <w:pStyle w:val="StandardWeb"/>
            </w:pPr>
            <w:r>
              <w:t>22 = 2,44 = 2</w:t>
            </w:r>
          </w:p>
          <w:p w:rsidR="00BE1EFE" w:rsidRPr="004B3401" w:rsidRDefault="00BE1EFE">
            <w:pPr>
              <w:pStyle w:val="StandardWeb"/>
              <w:rPr>
                <w:sz w:val="6"/>
                <w:szCs w:val="6"/>
              </w:rPr>
            </w:pPr>
          </w:p>
          <w:p w:rsidR="00BE1EFE" w:rsidRDefault="00BE1EFE">
            <w:pPr>
              <w:pStyle w:val="StandardWeb"/>
            </w:pPr>
            <w:r>
              <w:t>21 = 2,33 = 2</w:t>
            </w:r>
          </w:p>
          <w:p w:rsidR="00BE1EFE" w:rsidRPr="004B3401" w:rsidRDefault="00BE1EFE">
            <w:pPr>
              <w:pStyle w:val="StandardWeb"/>
              <w:rPr>
                <w:sz w:val="6"/>
                <w:szCs w:val="6"/>
              </w:rPr>
            </w:pPr>
          </w:p>
          <w:p w:rsidR="00BE1EFE" w:rsidRDefault="00BE1EFE">
            <w:pPr>
              <w:pStyle w:val="StandardWeb"/>
            </w:pPr>
            <w:r>
              <w:t>20 = 2,22 = 2</w:t>
            </w:r>
          </w:p>
          <w:p w:rsidR="00BE1EFE" w:rsidRPr="004B3401" w:rsidRDefault="00BE1EFE">
            <w:pPr>
              <w:pStyle w:val="StandardWeb"/>
              <w:rPr>
                <w:sz w:val="6"/>
                <w:szCs w:val="6"/>
              </w:rPr>
            </w:pPr>
          </w:p>
          <w:p w:rsidR="00BE1EFE" w:rsidRDefault="00BE1EFE">
            <w:pPr>
              <w:pStyle w:val="StandardWeb"/>
            </w:pPr>
            <w:r>
              <w:t>19 = 2,11 = 2</w:t>
            </w:r>
          </w:p>
          <w:p w:rsidR="00BE1EFE" w:rsidRPr="004B3401" w:rsidRDefault="00BE1EFE">
            <w:pPr>
              <w:pStyle w:val="StandardWeb"/>
              <w:rPr>
                <w:sz w:val="6"/>
                <w:szCs w:val="6"/>
              </w:rPr>
            </w:pPr>
          </w:p>
          <w:p w:rsidR="00BE1EFE" w:rsidRDefault="00BE1EFE">
            <w:pPr>
              <w:pStyle w:val="StandardWeb"/>
            </w:pPr>
            <w:r>
              <w:t>18 = 2,00 = 2</w:t>
            </w:r>
          </w:p>
          <w:p w:rsidR="00BE1EFE" w:rsidRPr="004B3401" w:rsidRDefault="00BE1EFE">
            <w:pPr>
              <w:pStyle w:val="StandardWeb"/>
              <w:rPr>
                <w:sz w:val="6"/>
                <w:szCs w:val="6"/>
              </w:rPr>
            </w:pPr>
          </w:p>
          <w:p w:rsidR="00BE1EFE" w:rsidRDefault="00BE1EFE">
            <w:pPr>
              <w:pStyle w:val="StandardWeb"/>
            </w:pPr>
            <w:r>
              <w:t>17 = 1,89 = 2</w:t>
            </w:r>
          </w:p>
          <w:p w:rsidR="00BE1EFE" w:rsidRPr="004B3401" w:rsidRDefault="00BE1EFE">
            <w:pPr>
              <w:pStyle w:val="StandardWeb"/>
              <w:rPr>
                <w:sz w:val="6"/>
                <w:szCs w:val="6"/>
              </w:rPr>
            </w:pPr>
          </w:p>
          <w:p w:rsidR="00BE1EFE" w:rsidRDefault="00BE1EFE">
            <w:pPr>
              <w:pStyle w:val="StandardWeb"/>
            </w:pPr>
            <w:r>
              <w:t>16 = 1,78 = 2</w:t>
            </w:r>
          </w:p>
          <w:p w:rsidR="00BE1EFE" w:rsidRPr="004B3401" w:rsidRDefault="00BE1EFE">
            <w:pPr>
              <w:pStyle w:val="StandardWeb"/>
              <w:rPr>
                <w:sz w:val="6"/>
                <w:szCs w:val="6"/>
              </w:rPr>
            </w:pPr>
          </w:p>
          <w:p w:rsidR="00BE1EFE" w:rsidRDefault="00BE1EFE">
            <w:pPr>
              <w:pStyle w:val="StandardWeb"/>
            </w:pPr>
            <w:r>
              <w:t>15 = 1,67 = 2</w:t>
            </w:r>
          </w:p>
          <w:p w:rsidR="00BE1EFE" w:rsidRPr="004B3401" w:rsidRDefault="00BE1EFE">
            <w:pPr>
              <w:pStyle w:val="StandardWeb"/>
              <w:rPr>
                <w:sz w:val="6"/>
                <w:szCs w:val="6"/>
              </w:rPr>
            </w:pPr>
          </w:p>
          <w:p w:rsidR="00BE1EFE" w:rsidRDefault="00BE1EFE">
            <w:pPr>
              <w:pStyle w:val="StandardWeb"/>
            </w:pPr>
            <w:r>
              <w:t>14= 1,56 = 2</w:t>
            </w:r>
          </w:p>
          <w:p w:rsidR="00BE1EFE" w:rsidRPr="004B3401" w:rsidRDefault="00BE1EFE">
            <w:pPr>
              <w:pStyle w:val="StandardWeb"/>
              <w:rPr>
                <w:sz w:val="6"/>
                <w:szCs w:val="6"/>
              </w:rPr>
            </w:pPr>
          </w:p>
          <w:p w:rsidR="00BE1EFE" w:rsidRDefault="00BE1EFE">
            <w:pPr>
              <w:pStyle w:val="StandardWeb"/>
            </w:pPr>
            <w:r>
              <w:t>13 = 1,44 = 1</w:t>
            </w:r>
          </w:p>
          <w:p w:rsidR="00BE1EFE" w:rsidRPr="004B3401" w:rsidRDefault="00BE1EFE">
            <w:pPr>
              <w:pStyle w:val="StandardWeb"/>
              <w:rPr>
                <w:sz w:val="6"/>
                <w:szCs w:val="6"/>
              </w:rPr>
            </w:pPr>
          </w:p>
          <w:p w:rsidR="00BE1EFE" w:rsidRDefault="00BE1EFE">
            <w:pPr>
              <w:pStyle w:val="StandardWeb"/>
            </w:pPr>
            <w:r>
              <w:t>12 = 1,33 = 1</w:t>
            </w:r>
          </w:p>
          <w:p w:rsidR="00BE1EFE" w:rsidRPr="004B3401" w:rsidRDefault="00BE1EFE">
            <w:pPr>
              <w:pStyle w:val="StandardWeb"/>
              <w:rPr>
                <w:sz w:val="6"/>
                <w:szCs w:val="6"/>
              </w:rPr>
            </w:pPr>
          </w:p>
          <w:p w:rsidR="00BE1EFE" w:rsidRDefault="00BE1EFE">
            <w:pPr>
              <w:pStyle w:val="StandardWeb"/>
            </w:pPr>
            <w:r>
              <w:t>11 = 1,22 = 1</w:t>
            </w:r>
          </w:p>
          <w:p w:rsidR="00BE1EFE" w:rsidRPr="004B3401" w:rsidRDefault="00BE1EFE">
            <w:pPr>
              <w:pStyle w:val="StandardWeb"/>
              <w:rPr>
                <w:sz w:val="6"/>
                <w:szCs w:val="6"/>
              </w:rPr>
            </w:pPr>
          </w:p>
          <w:p w:rsidR="00BE1EFE" w:rsidRDefault="00BE1EFE">
            <w:pPr>
              <w:pStyle w:val="StandardWeb"/>
            </w:pPr>
            <w:r>
              <w:t>10 = 1,11 = 1</w:t>
            </w:r>
          </w:p>
          <w:p w:rsidR="00BE1EFE" w:rsidRPr="004B3401" w:rsidRDefault="00BE1EFE">
            <w:pPr>
              <w:pStyle w:val="StandardWeb"/>
              <w:rPr>
                <w:sz w:val="6"/>
                <w:szCs w:val="6"/>
              </w:rPr>
            </w:pPr>
          </w:p>
          <w:p w:rsidR="00BE1EFE" w:rsidRDefault="00BE1EFE">
            <w:pPr>
              <w:pStyle w:val="StandardWeb"/>
            </w:pPr>
            <w:r>
              <w:t>  9 = 1,00 = 1</w:t>
            </w:r>
          </w:p>
          <w:p w:rsidR="00BE1EFE" w:rsidRPr="004B3401" w:rsidRDefault="00BE1EFE">
            <w:pPr>
              <w:pStyle w:val="StandardWeb"/>
              <w:rPr>
                <w:sz w:val="6"/>
                <w:szCs w:val="6"/>
              </w:rPr>
            </w:pPr>
          </w:p>
          <w:p w:rsidR="00BE1EFE" w:rsidRDefault="00BE1EFE">
            <w:pPr>
              <w:pStyle w:val="StandardWeb"/>
            </w:pPr>
            <w:r>
              <w:t>  8 = 0,89 = 1</w:t>
            </w:r>
          </w:p>
          <w:p w:rsidR="00BE1EFE" w:rsidRPr="004B3401" w:rsidRDefault="00BE1EFE">
            <w:pPr>
              <w:pStyle w:val="StandardWeb"/>
              <w:rPr>
                <w:sz w:val="6"/>
                <w:szCs w:val="6"/>
              </w:rPr>
            </w:pPr>
          </w:p>
          <w:p w:rsidR="00BE1EFE" w:rsidRDefault="00BE1EFE">
            <w:pPr>
              <w:pStyle w:val="StandardWeb"/>
            </w:pPr>
            <w:r>
              <w:t>  7 = 0,78 = 1</w:t>
            </w:r>
          </w:p>
          <w:p w:rsidR="00BE1EFE" w:rsidRPr="004B3401" w:rsidRDefault="00BE1EFE">
            <w:pPr>
              <w:pStyle w:val="StandardWeb"/>
              <w:rPr>
                <w:sz w:val="6"/>
                <w:szCs w:val="6"/>
              </w:rPr>
            </w:pPr>
          </w:p>
          <w:p w:rsidR="00BE1EFE" w:rsidRDefault="00BE1EFE">
            <w:pPr>
              <w:pStyle w:val="StandardWeb"/>
            </w:pPr>
            <w:r>
              <w:t>  6 = 0,67 = 1</w:t>
            </w:r>
          </w:p>
          <w:p w:rsidR="00BE1EFE" w:rsidRPr="004B3401" w:rsidRDefault="00BE1EFE">
            <w:pPr>
              <w:pStyle w:val="StandardWeb"/>
              <w:rPr>
                <w:sz w:val="6"/>
                <w:szCs w:val="6"/>
              </w:rPr>
            </w:pPr>
          </w:p>
          <w:p w:rsidR="00BE1EFE" w:rsidRDefault="00BE1EFE">
            <w:pPr>
              <w:pStyle w:val="StandardWeb"/>
            </w:pPr>
            <w:r>
              <w:t>  5 = 0,56 = 1</w:t>
            </w:r>
          </w:p>
          <w:p w:rsidR="00BE1EFE" w:rsidRPr="004B3401" w:rsidRDefault="00BE1EFE">
            <w:pPr>
              <w:pStyle w:val="StandardWeb"/>
              <w:rPr>
                <w:sz w:val="6"/>
                <w:szCs w:val="6"/>
              </w:rPr>
            </w:pPr>
          </w:p>
          <w:p w:rsidR="00BE1EFE" w:rsidRDefault="00BE1EFE">
            <w:pPr>
              <w:pStyle w:val="StandardWeb"/>
            </w:pPr>
            <w:r>
              <w:t>  4 = 0,44 = 0</w:t>
            </w:r>
          </w:p>
          <w:p w:rsidR="00BE1EFE" w:rsidRPr="004B3401" w:rsidRDefault="00BE1EFE">
            <w:pPr>
              <w:pStyle w:val="StandardWeb"/>
              <w:rPr>
                <w:sz w:val="6"/>
                <w:szCs w:val="6"/>
              </w:rPr>
            </w:pPr>
          </w:p>
          <w:p w:rsidR="00BE1EFE" w:rsidRDefault="00BE1EFE">
            <w:pPr>
              <w:pStyle w:val="StandardWeb"/>
            </w:pPr>
            <w:r>
              <w:t>  3 = 0,33 = 0</w:t>
            </w:r>
          </w:p>
          <w:p w:rsidR="00BE1EFE" w:rsidRPr="004B3401" w:rsidRDefault="00BE1EFE">
            <w:pPr>
              <w:pStyle w:val="StandardWeb"/>
              <w:rPr>
                <w:sz w:val="6"/>
                <w:szCs w:val="6"/>
              </w:rPr>
            </w:pPr>
          </w:p>
          <w:p w:rsidR="00BE1EFE" w:rsidRDefault="00BE1EFE">
            <w:pPr>
              <w:pStyle w:val="StandardWeb"/>
            </w:pPr>
            <w:r>
              <w:t>  2 = 0,22 = 0</w:t>
            </w:r>
          </w:p>
          <w:p w:rsidR="00BE1EFE" w:rsidRPr="004B3401" w:rsidRDefault="00BE1EFE">
            <w:pPr>
              <w:pStyle w:val="StandardWeb"/>
              <w:rPr>
                <w:sz w:val="6"/>
                <w:szCs w:val="6"/>
              </w:rPr>
            </w:pPr>
          </w:p>
          <w:p w:rsidR="00BE1EFE" w:rsidRPr="000B1AF8" w:rsidRDefault="00BE1EFE">
            <w:pPr>
              <w:pStyle w:val="StandardWeb"/>
            </w:pPr>
            <w:r>
              <w:t>  1 = 0,11 = 0</w:t>
            </w:r>
          </w:p>
        </w:tc>
        <w:tc>
          <w:tcPr>
            <w:tcW w:w="3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1EFE" w:rsidRPr="000B1AF8" w:rsidRDefault="00BE1EFE" w:rsidP="0054275E">
            <w:pPr>
              <w:pStyle w:val="StandardWeb"/>
              <w:autoSpaceDE w:val="0"/>
              <w:jc w:val="left"/>
            </w:pPr>
            <w:r>
              <w:rPr>
                <w:rStyle w:val="Fett"/>
                <w:bCs/>
                <w:color w:val="000000"/>
                <w:sz w:val="18"/>
                <w:szCs w:val="18"/>
              </w:rPr>
              <w:t xml:space="preserve">UZ/27*4 = </w:t>
            </w:r>
            <w:r>
              <w:rPr>
                <w:rStyle w:val="Fett"/>
                <w:bCs/>
                <w:sz w:val="18"/>
                <w:szCs w:val="18"/>
              </w:rPr>
              <w:t xml:space="preserve">bei mindestens 90 v.H. </w:t>
            </w:r>
          </w:p>
          <w:p w:rsidR="00BE1EFE" w:rsidRPr="000B1AF8" w:rsidRDefault="00BE1EFE">
            <w:pPr>
              <w:pStyle w:val="StandardWeb"/>
            </w:pPr>
          </w:p>
          <w:p w:rsidR="00BE1EFE" w:rsidRDefault="00BE1EFE">
            <w:pPr>
              <w:pStyle w:val="StandardWeb"/>
            </w:pPr>
            <w:r>
              <w:t>25 = 3,70 = 4</w:t>
            </w:r>
          </w:p>
          <w:p w:rsidR="00BE1EFE" w:rsidRPr="004B3401" w:rsidRDefault="00BE1EFE">
            <w:pPr>
              <w:pStyle w:val="StandardWeb"/>
              <w:rPr>
                <w:sz w:val="6"/>
                <w:szCs w:val="6"/>
              </w:rPr>
            </w:pPr>
          </w:p>
          <w:p w:rsidR="00BE1EFE" w:rsidRDefault="00BE1EFE">
            <w:pPr>
              <w:pStyle w:val="StandardWeb"/>
            </w:pPr>
            <w:r>
              <w:t>24 = 3,56 = 4</w:t>
            </w:r>
          </w:p>
          <w:p w:rsidR="00BE1EFE" w:rsidRPr="004B3401" w:rsidRDefault="00BE1EFE">
            <w:pPr>
              <w:pStyle w:val="StandardWeb"/>
              <w:rPr>
                <w:sz w:val="6"/>
                <w:szCs w:val="6"/>
              </w:rPr>
            </w:pPr>
          </w:p>
          <w:p w:rsidR="00BE1EFE" w:rsidRDefault="00BE1EFE">
            <w:pPr>
              <w:pStyle w:val="StandardWeb"/>
            </w:pPr>
            <w:r>
              <w:t>23 = 3,41 = 3</w:t>
            </w:r>
          </w:p>
          <w:p w:rsidR="00BE1EFE" w:rsidRPr="004B3401" w:rsidRDefault="00BE1EFE">
            <w:pPr>
              <w:pStyle w:val="StandardWeb"/>
              <w:rPr>
                <w:sz w:val="6"/>
                <w:szCs w:val="6"/>
              </w:rPr>
            </w:pPr>
          </w:p>
          <w:p w:rsidR="00BE1EFE" w:rsidRDefault="00BE1EFE">
            <w:pPr>
              <w:pStyle w:val="StandardWeb"/>
            </w:pPr>
            <w:r>
              <w:t>22 = 3,26 = 3</w:t>
            </w:r>
          </w:p>
          <w:p w:rsidR="00BE1EFE" w:rsidRPr="004B3401" w:rsidRDefault="00BE1EFE">
            <w:pPr>
              <w:pStyle w:val="StandardWeb"/>
              <w:rPr>
                <w:sz w:val="6"/>
                <w:szCs w:val="6"/>
              </w:rPr>
            </w:pPr>
          </w:p>
          <w:p w:rsidR="00BE1EFE" w:rsidRDefault="00BE1EFE">
            <w:pPr>
              <w:pStyle w:val="StandardWeb"/>
            </w:pPr>
            <w:r>
              <w:t>21 = 3,11 = 3</w:t>
            </w:r>
          </w:p>
          <w:p w:rsidR="00BE1EFE" w:rsidRPr="004B3401" w:rsidRDefault="00BE1EFE">
            <w:pPr>
              <w:pStyle w:val="StandardWeb"/>
              <w:rPr>
                <w:sz w:val="6"/>
                <w:szCs w:val="6"/>
              </w:rPr>
            </w:pPr>
          </w:p>
          <w:p w:rsidR="00BE1EFE" w:rsidRDefault="00BE1EFE">
            <w:pPr>
              <w:pStyle w:val="StandardWeb"/>
            </w:pPr>
            <w:r>
              <w:t>20 = 2,96 = 3</w:t>
            </w:r>
          </w:p>
          <w:p w:rsidR="00BE1EFE" w:rsidRPr="004B3401" w:rsidRDefault="00BE1EFE">
            <w:pPr>
              <w:pStyle w:val="StandardWeb"/>
              <w:rPr>
                <w:sz w:val="6"/>
                <w:szCs w:val="6"/>
              </w:rPr>
            </w:pPr>
          </w:p>
          <w:p w:rsidR="00BE1EFE" w:rsidRDefault="00BE1EFE">
            <w:pPr>
              <w:pStyle w:val="StandardWeb"/>
            </w:pPr>
            <w:r>
              <w:t>19 = 2,81 = 3</w:t>
            </w:r>
          </w:p>
          <w:p w:rsidR="00BE1EFE" w:rsidRPr="004B3401" w:rsidRDefault="00BE1EFE">
            <w:pPr>
              <w:pStyle w:val="StandardWeb"/>
              <w:rPr>
                <w:sz w:val="6"/>
                <w:szCs w:val="6"/>
              </w:rPr>
            </w:pPr>
          </w:p>
          <w:p w:rsidR="00BE1EFE" w:rsidRDefault="00BE1EFE">
            <w:pPr>
              <w:pStyle w:val="StandardWeb"/>
            </w:pPr>
            <w:r>
              <w:t>18 = 2,67 = 3</w:t>
            </w:r>
          </w:p>
          <w:p w:rsidR="00BE1EFE" w:rsidRPr="004B3401" w:rsidRDefault="00BE1EFE">
            <w:pPr>
              <w:pStyle w:val="StandardWeb"/>
              <w:rPr>
                <w:sz w:val="6"/>
                <w:szCs w:val="6"/>
              </w:rPr>
            </w:pPr>
          </w:p>
          <w:p w:rsidR="00BE1EFE" w:rsidRDefault="00BE1EFE">
            <w:pPr>
              <w:pStyle w:val="StandardWeb"/>
            </w:pPr>
            <w:r>
              <w:t>17 = 2,52 = 3</w:t>
            </w:r>
          </w:p>
          <w:p w:rsidR="00BE1EFE" w:rsidRPr="004B3401" w:rsidRDefault="00BE1EFE">
            <w:pPr>
              <w:pStyle w:val="StandardWeb"/>
              <w:rPr>
                <w:sz w:val="6"/>
                <w:szCs w:val="6"/>
              </w:rPr>
            </w:pPr>
          </w:p>
          <w:p w:rsidR="00BE1EFE" w:rsidRDefault="00BE1EFE">
            <w:pPr>
              <w:pStyle w:val="StandardWeb"/>
            </w:pPr>
            <w:r>
              <w:t>16 = 2,37 = 2</w:t>
            </w:r>
          </w:p>
          <w:p w:rsidR="00BE1EFE" w:rsidRPr="004B3401" w:rsidRDefault="00BE1EFE">
            <w:pPr>
              <w:pStyle w:val="StandardWeb"/>
              <w:rPr>
                <w:sz w:val="6"/>
                <w:szCs w:val="6"/>
              </w:rPr>
            </w:pPr>
          </w:p>
          <w:p w:rsidR="00BE1EFE" w:rsidRDefault="00BE1EFE">
            <w:pPr>
              <w:pStyle w:val="StandardWeb"/>
            </w:pPr>
            <w:r>
              <w:t>15 = 2,22 = 2</w:t>
            </w:r>
          </w:p>
          <w:p w:rsidR="00BE1EFE" w:rsidRPr="004B3401" w:rsidRDefault="00BE1EFE">
            <w:pPr>
              <w:pStyle w:val="StandardWeb"/>
              <w:rPr>
                <w:sz w:val="6"/>
                <w:szCs w:val="6"/>
              </w:rPr>
            </w:pPr>
          </w:p>
          <w:p w:rsidR="00BE1EFE" w:rsidRDefault="00BE1EFE">
            <w:pPr>
              <w:pStyle w:val="StandardWeb"/>
            </w:pPr>
            <w:r>
              <w:t>14 = 2,07 = 2</w:t>
            </w:r>
          </w:p>
          <w:p w:rsidR="00BE1EFE" w:rsidRPr="004B3401" w:rsidRDefault="00BE1EFE">
            <w:pPr>
              <w:pStyle w:val="StandardWeb"/>
              <w:rPr>
                <w:sz w:val="6"/>
                <w:szCs w:val="6"/>
              </w:rPr>
            </w:pPr>
          </w:p>
          <w:p w:rsidR="00BE1EFE" w:rsidRDefault="00BE1EFE">
            <w:pPr>
              <w:pStyle w:val="StandardWeb"/>
            </w:pPr>
            <w:r>
              <w:t>13 = 1,93 = 2</w:t>
            </w:r>
          </w:p>
          <w:p w:rsidR="00BE1EFE" w:rsidRPr="004B3401" w:rsidRDefault="00BE1EFE">
            <w:pPr>
              <w:pStyle w:val="StandardWeb"/>
              <w:rPr>
                <w:sz w:val="6"/>
                <w:szCs w:val="6"/>
              </w:rPr>
            </w:pPr>
          </w:p>
          <w:p w:rsidR="00BE1EFE" w:rsidRDefault="00BE1EFE">
            <w:pPr>
              <w:pStyle w:val="StandardWeb"/>
            </w:pPr>
            <w:r>
              <w:t>12 = 1,78 = 2</w:t>
            </w:r>
          </w:p>
          <w:p w:rsidR="00BE1EFE" w:rsidRPr="004B3401" w:rsidRDefault="00BE1EFE">
            <w:pPr>
              <w:pStyle w:val="StandardWeb"/>
              <w:rPr>
                <w:sz w:val="6"/>
                <w:szCs w:val="6"/>
              </w:rPr>
            </w:pPr>
          </w:p>
          <w:p w:rsidR="00BE1EFE" w:rsidRDefault="00BE1EFE">
            <w:pPr>
              <w:pStyle w:val="StandardWeb"/>
            </w:pPr>
            <w:r>
              <w:t>11 = 1,63 = 2</w:t>
            </w:r>
          </w:p>
          <w:p w:rsidR="00BE1EFE" w:rsidRPr="004B3401" w:rsidRDefault="00BE1EFE">
            <w:pPr>
              <w:pStyle w:val="StandardWeb"/>
              <w:rPr>
                <w:sz w:val="6"/>
                <w:szCs w:val="6"/>
              </w:rPr>
            </w:pPr>
          </w:p>
          <w:p w:rsidR="00BE1EFE" w:rsidRDefault="00BE1EFE">
            <w:pPr>
              <w:pStyle w:val="StandardWeb"/>
            </w:pPr>
            <w:r>
              <w:t>10 = 1,48 = 1</w:t>
            </w:r>
          </w:p>
          <w:p w:rsidR="00BE1EFE" w:rsidRPr="004B3401" w:rsidRDefault="00BE1EFE">
            <w:pPr>
              <w:pStyle w:val="StandardWeb"/>
              <w:rPr>
                <w:sz w:val="6"/>
                <w:szCs w:val="6"/>
              </w:rPr>
            </w:pPr>
          </w:p>
          <w:p w:rsidR="00BE1EFE" w:rsidRDefault="00BE1EFE">
            <w:pPr>
              <w:pStyle w:val="StandardWeb"/>
            </w:pPr>
            <w:r>
              <w:t>  9 = 1,33 = 1</w:t>
            </w:r>
          </w:p>
          <w:p w:rsidR="00BE1EFE" w:rsidRPr="004B3401" w:rsidRDefault="00BE1EFE">
            <w:pPr>
              <w:pStyle w:val="StandardWeb"/>
              <w:rPr>
                <w:sz w:val="6"/>
                <w:szCs w:val="6"/>
              </w:rPr>
            </w:pPr>
          </w:p>
          <w:p w:rsidR="00BE1EFE" w:rsidRDefault="00BE1EFE">
            <w:pPr>
              <w:pStyle w:val="StandardWeb"/>
            </w:pPr>
            <w:r>
              <w:t>  8 = 1,19 = 1</w:t>
            </w:r>
          </w:p>
          <w:p w:rsidR="00BE1EFE" w:rsidRPr="004B3401" w:rsidRDefault="00BE1EFE">
            <w:pPr>
              <w:pStyle w:val="StandardWeb"/>
              <w:rPr>
                <w:sz w:val="6"/>
                <w:szCs w:val="6"/>
              </w:rPr>
            </w:pPr>
          </w:p>
          <w:p w:rsidR="00BE1EFE" w:rsidRDefault="00BE1EFE">
            <w:pPr>
              <w:pStyle w:val="StandardWeb"/>
            </w:pPr>
            <w:r>
              <w:t>  7 = 1,04 = 1</w:t>
            </w:r>
          </w:p>
          <w:p w:rsidR="00BE1EFE" w:rsidRPr="004B3401" w:rsidRDefault="00BE1EFE">
            <w:pPr>
              <w:pStyle w:val="StandardWeb"/>
              <w:rPr>
                <w:sz w:val="6"/>
                <w:szCs w:val="6"/>
              </w:rPr>
            </w:pPr>
          </w:p>
          <w:p w:rsidR="00BE1EFE" w:rsidRDefault="00BE1EFE">
            <w:pPr>
              <w:pStyle w:val="StandardWeb"/>
            </w:pPr>
            <w:r>
              <w:t>  6 = 0,89 = 1</w:t>
            </w:r>
          </w:p>
          <w:p w:rsidR="00BE1EFE" w:rsidRPr="004B3401" w:rsidRDefault="00BE1EFE">
            <w:pPr>
              <w:pStyle w:val="StandardWeb"/>
              <w:rPr>
                <w:sz w:val="6"/>
                <w:szCs w:val="6"/>
              </w:rPr>
            </w:pPr>
          </w:p>
          <w:p w:rsidR="00BE1EFE" w:rsidRDefault="00BE1EFE">
            <w:pPr>
              <w:pStyle w:val="StandardWeb"/>
            </w:pPr>
            <w:r>
              <w:t>  5 = 0,74 = 1</w:t>
            </w:r>
          </w:p>
          <w:p w:rsidR="00BE1EFE" w:rsidRPr="004B3401" w:rsidRDefault="00BE1EFE">
            <w:pPr>
              <w:pStyle w:val="StandardWeb"/>
              <w:rPr>
                <w:sz w:val="6"/>
                <w:szCs w:val="6"/>
              </w:rPr>
            </w:pPr>
          </w:p>
          <w:p w:rsidR="00BE1EFE" w:rsidRDefault="00BE1EFE">
            <w:pPr>
              <w:pStyle w:val="StandardWeb"/>
            </w:pPr>
            <w:r>
              <w:t>  4 = 0,59 = 1</w:t>
            </w:r>
          </w:p>
          <w:p w:rsidR="00BE1EFE" w:rsidRPr="004B3401" w:rsidRDefault="00BE1EFE">
            <w:pPr>
              <w:pStyle w:val="StandardWeb"/>
              <w:rPr>
                <w:sz w:val="6"/>
                <w:szCs w:val="6"/>
              </w:rPr>
            </w:pPr>
          </w:p>
          <w:p w:rsidR="00BE1EFE" w:rsidRDefault="00BE1EFE">
            <w:pPr>
              <w:pStyle w:val="StandardWeb"/>
            </w:pPr>
            <w:r>
              <w:t>  3 = 0,44 = 0</w:t>
            </w:r>
          </w:p>
          <w:p w:rsidR="00BE1EFE" w:rsidRPr="004B3401" w:rsidRDefault="00BE1EFE">
            <w:pPr>
              <w:pStyle w:val="StandardWeb"/>
              <w:rPr>
                <w:sz w:val="6"/>
                <w:szCs w:val="6"/>
              </w:rPr>
            </w:pPr>
          </w:p>
          <w:p w:rsidR="00BE1EFE" w:rsidRDefault="00BE1EFE">
            <w:pPr>
              <w:pStyle w:val="StandardWeb"/>
            </w:pPr>
            <w:r>
              <w:t>  2 = 0,30 = 0</w:t>
            </w:r>
          </w:p>
          <w:p w:rsidR="00BE1EFE" w:rsidRPr="004B3401" w:rsidRDefault="00BE1EFE">
            <w:pPr>
              <w:pStyle w:val="StandardWeb"/>
              <w:rPr>
                <w:sz w:val="6"/>
                <w:szCs w:val="6"/>
              </w:rPr>
            </w:pPr>
          </w:p>
          <w:p w:rsidR="00BE1EFE" w:rsidRPr="000B1AF8" w:rsidRDefault="00BE1EFE">
            <w:pPr>
              <w:pStyle w:val="StandardWeb"/>
            </w:pPr>
            <w:r>
              <w:t>  1 = 0,15 = 0</w:t>
            </w:r>
          </w:p>
        </w:tc>
      </w:tr>
    </w:tbl>
    <w:p w:rsidR="00BE1EFE" w:rsidRDefault="00BE1EFE" w:rsidP="002019A9">
      <w:pPr>
        <w:pStyle w:val="StandardWeb"/>
      </w:pPr>
      <w:r>
        <w:br w:type="page"/>
      </w:r>
    </w:p>
    <w:p w:rsidR="00BE1EFE" w:rsidRDefault="00BE1EFE" w:rsidP="00A045C0">
      <w:pPr>
        <w:pStyle w:val="berschrift6"/>
        <w:spacing w:before="0"/>
      </w:pPr>
      <w:bookmarkStart w:id="844" w:name="_Toc523926368"/>
      <w:r>
        <w:lastRenderedPageBreak/>
        <w:t>Anlage 2</w:t>
      </w:r>
      <w:bookmarkEnd w:id="84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Bekanntmachung der Unterrichtspflichtzeiten von Religionslehrkräften an staatlichen Schulen (Stand: August 2013)</w:t>
      </w:r>
    </w:p>
    <w:p w:rsidR="00BE1EFE" w:rsidRPr="000B1AF8" w:rsidRDefault="00BE1EFE">
      <w:pPr>
        <w:pStyle w:val="StandardWeb"/>
      </w:pPr>
    </w:p>
    <w:p w:rsidR="00BE1EFE" w:rsidRDefault="00BE1EFE">
      <w:pPr>
        <w:pStyle w:val="StandardWeb"/>
        <w:jc w:val="center"/>
      </w:pPr>
      <w:r>
        <w:t> </w:t>
      </w:r>
    </w:p>
    <w:tbl>
      <w:tblPr>
        <w:tblW w:w="6060" w:type="dxa"/>
        <w:tblLayout w:type="fixed"/>
        <w:tblCellMar>
          <w:left w:w="0" w:type="dxa"/>
          <w:right w:w="0" w:type="dxa"/>
        </w:tblCellMar>
        <w:tblLook w:val="04A0" w:firstRow="1" w:lastRow="0" w:firstColumn="1" w:lastColumn="0" w:noHBand="0" w:noVBand="1"/>
      </w:tblPr>
      <w:tblGrid>
        <w:gridCol w:w="1630"/>
        <w:gridCol w:w="1134"/>
        <w:gridCol w:w="1036"/>
        <w:gridCol w:w="1200"/>
        <w:gridCol w:w="1060"/>
      </w:tblGrid>
      <w:tr w:rsidR="00BE1EFE" w:rsidTr="007359CF">
        <w:trPr>
          <w:trHeight w:val="315"/>
        </w:trPr>
        <w:tc>
          <w:tcPr>
            <w:tcW w:w="1630" w:type="dxa"/>
            <w:tcBorders>
              <w:top w:val="single" w:sz="8" w:space="0" w:color="auto"/>
              <w:left w:val="single" w:sz="8" w:space="0" w:color="auto"/>
              <w:bottom w:val="nil"/>
              <w:right w:val="single" w:sz="8" w:space="0" w:color="auto"/>
            </w:tcBorders>
            <w:noWrap/>
            <w:tcMar>
              <w:top w:w="0" w:type="dxa"/>
              <w:left w:w="70" w:type="dxa"/>
              <w:bottom w:w="0" w:type="dxa"/>
              <w:right w:w="70" w:type="dxa"/>
            </w:tcMar>
            <w:vAlign w:val="center"/>
            <w:hideMark/>
          </w:tcPr>
          <w:p w:rsidR="00BE1EFE" w:rsidRDefault="00BE1EFE">
            <w:pPr>
              <w:rPr>
                <w:sz w:val="24"/>
              </w:rPr>
            </w:pPr>
            <w:r>
              <w:t> </w:t>
            </w:r>
          </w:p>
        </w:tc>
        <w:tc>
          <w:tcPr>
            <w:tcW w:w="1134" w:type="dxa"/>
            <w:tcBorders>
              <w:top w:val="single" w:sz="8" w:space="0" w:color="auto"/>
              <w:left w:val="nil"/>
              <w:bottom w:val="nil"/>
              <w:right w:val="single" w:sz="8" w:space="0" w:color="000000"/>
            </w:tcBorders>
            <w:tcMar>
              <w:top w:w="0" w:type="dxa"/>
              <w:left w:w="70" w:type="dxa"/>
              <w:bottom w:w="0" w:type="dxa"/>
              <w:right w:w="70" w:type="dxa"/>
            </w:tcMar>
            <w:vAlign w:val="center"/>
            <w:hideMark/>
          </w:tcPr>
          <w:p w:rsidR="00BE1EFE" w:rsidRDefault="00BE1EFE">
            <w:pPr>
              <w:rPr>
                <w:sz w:val="24"/>
              </w:rPr>
            </w:pPr>
            <w:r>
              <w:t> </w:t>
            </w:r>
          </w:p>
        </w:tc>
        <w:tc>
          <w:tcPr>
            <w:tcW w:w="1036" w:type="dxa"/>
            <w:vMerge w:val="restart"/>
            <w:tcBorders>
              <w:top w:val="single" w:sz="8" w:space="0" w:color="auto"/>
              <w:left w:val="nil"/>
              <w:bottom w:val="single" w:sz="8" w:space="0" w:color="000000"/>
              <w:right w:val="single" w:sz="8" w:space="0" w:color="000000"/>
            </w:tcBorders>
            <w:tcMar>
              <w:top w:w="0" w:type="dxa"/>
              <w:left w:w="70" w:type="dxa"/>
              <w:bottom w:w="0" w:type="dxa"/>
              <w:right w:w="70" w:type="dxa"/>
            </w:tcMar>
            <w:vAlign w:val="center"/>
            <w:hideMark/>
          </w:tcPr>
          <w:p w:rsidR="00BE1EFE" w:rsidRDefault="00BE1EFE">
            <w:pPr>
              <w:pStyle w:val="StandardWeb"/>
              <w:jc w:val="center"/>
              <w:rPr>
                <w:color w:val="000000"/>
              </w:rPr>
            </w:pPr>
            <w:r>
              <w:rPr>
                <w:color w:val="000000"/>
              </w:rPr>
              <w:t>Gymnasien</w:t>
            </w:r>
          </w:p>
          <w:p w:rsidR="00BE1EFE" w:rsidRPr="000B1AF8" w:rsidRDefault="00BE1EFE">
            <w:pPr>
              <w:pStyle w:val="StandardWeb"/>
              <w:jc w:val="center"/>
            </w:pPr>
          </w:p>
        </w:tc>
        <w:tc>
          <w:tcPr>
            <w:tcW w:w="120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c>
          <w:tcPr>
            <w:tcW w:w="1060" w:type="dxa"/>
            <w:vMerge w:val="restart"/>
            <w:tcBorders>
              <w:top w:val="single" w:sz="8" w:space="0" w:color="auto"/>
              <w:left w:val="nil"/>
              <w:bottom w:val="single" w:sz="8" w:space="0" w:color="000000"/>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color w:val="000000"/>
              </w:rPr>
              <w:t>Waldorf-schulen</w:t>
            </w:r>
          </w:p>
        </w:tc>
      </w:tr>
      <w:tr w:rsidR="00BE1EFE" w:rsidTr="007359CF">
        <w:trPr>
          <w:trHeight w:val="1200"/>
        </w:trPr>
        <w:tc>
          <w:tcPr>
            <w:tcW w:w="1630" w:type="dxa"/>
            <w:tcBorders>
              <w:top w:val="nil"/>
              <w:left w:val="single" w:sz="8" w:space="0" w:color="auto"/>
              <w:bottom w:val="nil"/>
              <w:right w:val="single" w:sz="8" w:space="0" w:color="auto"/>
            </w:tcBorders>
            <w:noWrap/>
            <w:tcMar>
              <w:top w:w="0" w:type="dxa"/>
              <w:left w:w="70" w:type="dxa"/>
              <w:bottom w:w="0" w:type="dxa"/>
              <w:right w:w="70" w:type="dxa"/>
            </w:tcMar>
            <w:vAlign w:val="center"/>
            <w:hideMark/>
          </w:tcPr>
          <w:p w:rsidR="00BE1EFE" w:rsidRPr="000B1AF8" w:rsidRDefault="00BE1EFE">
            <w:pPr>
              <w:pStyle w:val="StandardWeb"/>
            </w:pPr>
            <w:r>
              <w:rPr>
                <w:color w:val="000000"/>
              </w:rPr>
              <w:t>Schulart</w:t>
            </w:r>
          </w:p>
        </w:tc>
        <w:tc>
          <w:tcPr>
            <w:tcW w:w="1134" w:type="dxa"/>
            <w:tcBorders>
              <w:top w:val="nil"/>
              <w:left w:val="nil"/>
              <w:bottom w:val="nil"/>
              <w:right w:val="single" w:sz="8" w:space="0" w:color="000000"/>
            </w:tcBorders>
            <w:tcMar>
              <w:top w:w="0" w:type="dxa"/>
              <w:left w:w="70" w:type="dxa"/>
              <w:bottom w:w="0" w:type="dxa"/>
              <w:right w:w="70" w:type="dxa"/>
            </w:tcMar>
            <w:vAlign w:val="center"/>
            <w:hideMark/>
          </w:tcPr>
          <w:p w:rsidR="00BE1EFE" w:rsidRPr="000B1AF8" w:rsidRDefault="00BE1EFE">
            <w:pPr>
              <w:pStyle w:val="StandardWeb"/>
            </w:pPr>
            <w:r>
              <w:rPr>
                <w:color w:val="000000"/>
              </w:rPr>
              <w:t>Realschulen/ sonstige berufliche Schulen</w:t>
            </w:r>
          </w:p>
        </w:tc>
        <w:tc>
          <w:tcPr>
            <w:tcW w:w="1036" w:type="dxa"/>
            <w:vMerge/>
            <w:tcBorders>
              <w:top w:val="single" w:sz="8" w:space="0" w:color="auto"/>
              <w:left w:val="nil"/>
              <w:bottom w:val="single" w:sz="8" w:space="0" w:color="000000"/>
              <w:right w:val="single" w:sz="8" w:space="0" w:color="000000"/>
            </w:tcBorders>
            <w:vAlign w:val="center"/>
            <w:hideMark/>
          </w:tcPr>
          <w:p w:rsidR="00BE1EFE" w:rsidRPr="000B1AF8" w:rsidRDefault="00BE1EFE">
            <w:pPr>
              <w:rPr>
                <w:sz w:val="24"/>
              </w:rPr>
            </w:pPr>
          </w:p>
        </w:tc>
        <w:tc>
          <w:tcPr>
            <w:tcW w:w="1200"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color w:val="000000"/>
              </w:rPr>
              <w:t>Berufsober-schulen/ Fachober-schulen</w:t>
            </w:r>
          </w:p>
        </w:tc>
        <w:tc>
          <w:tcPr>
            <w:tcW w:w="1060" w:type="dxa"/>
            <w:vMerge/>
            <w:tcBorders>
              <w:top w:val="single" w:sz="8" w:space="0" w:color="auto"/>
              <w:left w:val="nil"/>
              <w:bottom w:val="single" w:sz="8" w:space="0" w:color="000000"/>
              <w:right w:val="single" w:sz="8" w:space="0" w:color="auto"/>
            </w:tcBorders>
            <w:vAlign w:val="center"/>
            <w:hideMark/>
          </w:tcPr>
          <w:p w:rsidR="00BE1EFE" w:rsidRPr="000B1AF8" w:rsidRDefault="00BE1EFE">
            <w:pPr>
              <w:rPr>
                <w:sz w:val="24"/>
              </w:rPr>
            </w:pPr>
          </w:p>
        </w:tc>
      </w:tr>
      <w:tr w:rsidR="00BE1EFE" w:rsidTr="007359CF">
        <w:trPr>
          <w:trHeight w:val="15"/>
        </w:trPr>
        <w:tc>
          <w:tcPr>
            <w:tcW w:w="16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Default="00BE1EFE">
            <w:pPr>
              <w:spacing w:line="15" w:lineRule="atLeast"/>
              <w:rPr>
                <w:sz w:val="24"/>
              </w:rPr>
            </w:pPr>
            <w:r>
              <w:t> </w:t>
            </w:r>
          </w:p>
        </w:tc>
        <w:tc>
          <w:tcPr>
            <w:tcW w:w="1134"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BE1EFE" w:rsidRDefault="00BE1EFE">
            <w:pPr>
              <w:spacing w:line="15" w:lineRule="atLeast"/>
              <w:rPr>
                <w:sz w:val="24"/>
              </w:rPr>
            </w:pPr>
            <w:r>
              <w:t> </w:t>
            </w:r>
          </w:p>
        </w:tc>
        <w:tc>
          <w:tcPr>
            <w:tcW w:w="1036" w:type="dxa"/>
            <w:vMerge/>
            <w:tcBorders>
              <w:top w:val="single" w:sz="8" w:space="0" w:color="auto"/>
              <w:left w:val="nil"/>
              <w:bottom w:val="single" w:sz="8" w:space="0" w:color="000000"/>
              <w:right w:val="single" w:sz="8" w:space="0" w:color="000000"/>
            </w:tcBorders>
            <w:vAlign w:val="center"/>
            <w:hideMark/>
          </w:tcPr>
          <w:p w:rsidR="00BE1EFE" w:rsidRPr="000B1AF8" w:rsidRDefault="00BE1EFE">
            <w:pPr>
              <w:rPr>
                <w:sz w:val="24"/>
              </w:rPr>
            </w:pPr>
          </w:p>
        </w:tc>
        <w:tc>
          <w:tcPr>
            <w:tcW w:w="120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spacing w:line="15" w:lineRule="atLeast"/>
              <w:rPr>
                <w:sz w:val="24"/>
              </w:rPr>
            </w:pPr>
            <w:r>
              <w:t> </w:t>
            </w:r>
          </w:p>
        </w:tc>
        <w:tc>
          <w:tcPr>
            <w:tcW w:w="1060" w:type="dxa"/>
            <w:vMerge/>
            <w:tcBorders>
              <w:top w:val="single" w:sz="8" w:space="0" w:color="auto"/>
              <w:left w:val="nil"/>
              <w:bottom w:val="single" w:sz="8" w:space="0" w:color="000000"/>
              <w:right w:val="single" w:sz="8" w:space="0" w:color="auto"/>
            </w:tcBorders>
            <w:vAlign w:val="center"/>
            <w:hideMark/>
          </w:tcPr>
          <w:p w:rsidR="00BE1EFE" w:rsidRPr="000B1AF8" w:rsidRDefault="00BE1EFE">
            <w:pPr>
              <w:rPr>
                <w:sz w:val="24"/>
              </w:rPr>
            </w:pPr>
          </w:p>
        </w:tc>
      </w:tr>
      <w:tr w:rsidR="00BE1EFE" w:rsidTr="007359CF">
        <w:trPr>
          <w:trHeight w:val="315"/>
        </w:trPr>
        <w:tc>
          <w:tcPr>
            <w:tcW w:w="163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pPr>
            <w:r>
              <w:rPr>
                <w:color w:val="000000"/>
              </w:rPr>
              <w:t> UPZ</w:t>
            </w:r>
          </w:p>
        </w:tc>
        <w:tc>
          <w:tcPr>
            <w:tcW w:w="1134" w:type="dxa"/>
            <w:tcBorders>
              <w:top w:val="nil"/>
              <w:left w:val="nil"/>
              <w:bottom w:val="single" w:sz="8" w:space="0" w:color="000000"/>
              <w:right w:val="single" w:sz="8" w:space="0" w:color="000000"/>
            </w:tcBorders>
            <w:noWrap/>
            <w:tcMar>
              <w:top w:w="0" w:type="dxa"/>
              <w:left w:w="70" w:type="dxa"/>
              <w:bottom w:w="0" w:type="dxa"/>
              <w:right w:w="70" w:type="dxa"/>
            </w:tcMar>
            <w:vAlign w:val="center"/>
            <w:hideMark/>
          </w:tcPr>
          <w:p w:rsidR="00BE1EFE" w:rsidRPr="000B1AF8" w:rsidRDefault="00BE1EFE">
            <w:pPr>
              <w:pStyle w:val="StandardWeb"/>
              <w:jc w:val="center"/>
            </w:pPr>
            <w:r>
              <w:rPr>
                <w:color w:val="000000"/>
              </w:rPr>
              <w:t> 24</w:t>
            </w:r>
          </w:p>
        </w:tc>
        <w:tc>
          <w:tcPr>
            <w:tcW w:w="1036" w:type="dxa"/>
            <w:tcBorders>
              <w:top w:val="nil"/>
              <w:left w:val="nil"/>
              <w:bottom w:val="single" w:sz="8" w:space="0" w:color="auto"/>
              <w:right w:val="single" w:sz="8" w:space="0" w:color="000000"/>
            </w:tcBorders>
            <w:noWrap/>
            <w:tcMar>
              <w:top w:w="0" w:type="dxa"/>
              <w:left w:w="70" w:type="dxa"/>
              <w:bottom w:w="0" w:type="dxa"/>
              <w:right w:w="70" w:type="dxa"/>
            </w:tcMar>
            <w:vAlign w:val="center"/>
            <w:hideMark/>
          </w:tcPr>
          <w:p w:rsidR="00BE1EFE" w:rsidRPr="000B1AF8" w:rsidRDefault="00BE1EFE">
            <w:pPr>
              <w:pStyle w:val="StandardWeb"/>
              <w:jc w:val="center"/>
            </w:pPr>
            <w:r>
              <w:rPr>
                <w:color w:val="000000"/>
              </w:rPr>
              <w:t>23</w:t>
            </w:r>
          </w:p>
        </w:tc>
        <w:tc>
          <w:tcPr>
            <w:tcW w:w="120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rPr>
                <w:color w:val="000000"/>
              </w:rPr>
              <w:t>23</w:t>
            </w:r>
          </w:p>
        </w:tc>
        <w:tc>
          <w:tcPr>
            <w:tcW w:w="1060" w:type="dxa"/>
            <w:tcBorders>
              <w:top w:val="nil"/>
              <w:left w:val="nil"/>
              <w:bottom w:val="single" w:sz="8" w:space="0" w:color="000000"/>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rPr>
                <w:color w:val="000000"/>
              </w:rPr>
              <w:t>25</w:t>
            </w:r>
          </w:p>
        </w:tc>
      </w:tr>
      <w:tr w:rsidR="00BE1EFE" w:rsidTr="007359CF">
        <w:trPr>
          <w:trHeight w:val="315"/>
        </w:trPr>
        <w:tc>
          <w:tcPr>
            <w:tcW w:w="1630" w:type="dxa"/>
            <w:tcBorders>
              <w:top w:val="nil"/>
              <w:left w:val="single" w:sz="8" w:space="0" w:color="auto"/>
              <w:bottom w:val="nil"/>
              <w:right w:val="single" w:sz="8" w:space="0" w:color="000000"/>
            </w:tcBorders>
            <w:noWrap/>
            <w:tcMar>
              <w:top w:w="0" w:type="dxa"/>
              <w:left w:w="70" w:type="dxa"/>
              <w:bottom w:w="0" w:type="dxa"/>
              <w:right w:w="70" w:type="dxa"/>
            </w:tcMar>
            <w:vAlign w:val="center"/>
            <w:hideMark/>
          </w:tcPr>
          <w:p w:rsidR="00BE1EFE" w:rsidRDefault="00BE1EFE">
            <w:pPr>
              <w:rPr>
                <w:sz w:val="24"/>
              </w:rPr>
            </w:pPr>
            <w:r>
              <w:t> </w:t>
            </w:r>
          </w:p>
        </w:tc>
        <w:tc>
          <w:tcPr>
            <w:tcW w:w="3370" w:type="dxa"/>
            <w:gridSpan w:val="3"/>
            <w:tcBorders>
              <w:top w:val="nil"/>
              <w:left w:val="nil"/>
              <w:bottom w:val="nil"/>
              <w:right w:val="single" w:sz="8" w:space="0" w:color="000000"/>
            </w:tcBorders>
            <w:tcMar>
              <w:top w:w="0" w:type="dxa"/>
              <w:left w:w="70" w:type="dxa"/>
              <w:bottom w:w="0" w:type="dxa"/>
              <w:right w:w="70" w:type="dxa"/>
            </w:tcMar>
            <w:vAlign w:val="center"/>
            <w:hideMark/>
          </w:tcPr>
          <w:p w:rsidR="00BE1EFE" w:rsidRDefault="00BE1EFE">
            <w:pPr>
              <w:rPr>
                <w:sz w:val="24"/>
              </w:rPr>
            </w:pPr>
            <w:r>
              <w:t> </w:t>
            </w:r>
          </w:p>
        </w:tc>
        <w:tc>
          <w:tcPr>
            <w:tcW w:w="1060"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824A1B">
        <w:trPr>
          <w:trHeight w:val="900"/>
        </w:trPr>
        <w:tc>
          <w:tcPr>
            <w:tcW w:w="1630" w:type="dxa"/>
            <w:vMerge w:val="restart"/>
            <w:tcBorders>
              <w:top w:val="nil"/>
              <w:left w:val="single" w:sz="8" w:space="0" w:color="auto"/>
              <w:bottom w:val="nil"/>
              <w:right w:val="single" w:sz="8" w:space="0" w:color="000000"/>
            </w:tcBorders>
            <w:noWrap/>
            <w:tcMar>
              <w:top w:w="0" w:type="dxa"/>
              <w:left w:w="70" w:type="dxa"/>
              <w:bottom w:w="0" w:type="dxa"/>
              <w:right w:w="70" w:type="dxa"/>
            </w:tcMar>
            <w:vAlign w:val="center"/>
            <w:hideMark/>
          </w:tcPr>
          <w:p w:rsidR="00BE1EFE" w:rsidRPr="000B1AF8" w:rsidRDefault="00BE1EFE">
            <w:pPr>
              <w:pStyle w:val="StandardWeb"/>
            </w:pPr>
            <w:r>
              <w:rPr>
                <w:color w:val="000000"/>
              </w:rPr>
              <w:t>Altersermäßigung</w:t>
            </w:r>
          </w:p>
          <w:p w:rsidR="00BE1EFE" w:rsidRDefault="00BE1EFE">
            <w:pPr>
              <w:rPr>
                <w:sz w:val="24"/>
              </w:rPr>
            </w:pPr>
            <w:r>
              <w:t> </w:t>
            </w:r>
          </w:p>
          <w:p w:rsidR="00BE1EFE" w:rsidRPr="000B1AF8" w:rsidRDefault="00BE1EFE" w:rsidP="00824A1B">
            <w:r>
              <w:t> </w:t>
            </w:r>
          </w:p>
        </w:tc>
        <w:tc>
          <w:tcPr>
            <w:tcW w:w="3370" w:type="dxa"/>
            <w:gridSpan w:val="3"/>
            <w:vMerge w:val="restart"/>
            <w:tcBorders>
              <w:top w:val="nil"/>
              <w:left w:val="nil"/>
              <w:bottom w:val="nil"/>
              <w:right w:val="single" w:sz="8" w:space="0" w:color="000000"/>
            </w:tcBorders>
            <w:tcMar>
              <w:top w:w="0" w:type="dxa"/>
              <w:left w:w="70" w:type="dxa"/>
              <w:bottom w:w="0" w:type="dxa"/>
              <w:right w:w="70" w:type="dxa"/>
            </w:tcMar>
            <w:vAlign w:val="center"/>
            <w:hideMark/>
          </w:tcPr>
          <w:p w:rsidR="00BE1EFE" w:rsidRPr="000B1AF8" w:rsidRDefault="00BE1EFE" w:rsidP="007F4262">
            <w:pPr>
              <w:pStyle w:val="StandardWeb"/>
              <w:spacing w:after="120"/>
              <w:jc w:val="center"/>
            </w:pPr>
            <w:r>
              <w:rPr>
                <w:color w:val="000000"/>
              </w:rPr>
              <w:t>ab 58. Lbj.:</w:t>
            </w:r>
            <w:r>
              <w:rPr>
                <w:color w:val="000000"/>
              </w:rPr>
              <w:tab/>
              <w:t>1 Untst.</w:t>
            </w:r>
          </w:p>
          <w:p w:rsidR="00BE1EFE" w:rsidRPr="000B1AF8" w:rsidRDefault="00BE1EFE" w:rsidP="007F4262">
            <w:pPr>
              <w:pStyle w:val="StandardWeb"/>
              <w:spacing w:after="120"/>
              <w:jc w:val="center"/>
            </w:pPr>
            <w:r>
              <w:rPr>
                <w:color w:val="000000"/>
              </w:rPr>
              <w:t>ab 60. Lbj.:</w:t>
            </w:r>
            <w:r>
              <w:rPr>
                <w:color w:val="000000"/>
              </w:rPr>
              <w:tab/>
              <w:t>2 Untst.</w:t>
            </w:r>
          </w:p>
          <w:p w:rsidR="00BE1EFE" w:rsidRPr="000B1AF8" w:rsidRDefault="00BE1EFE" w:rsidP="00824A1B">
            <w:pPr>
              <w:pStyle w:val="StandardWeb"/>
              <w:jc w:val="center"/>
            </w:pPr>
            <w:r>
              <w:rPr>
                <w:color w:val="000000"/>
              </w:rPr>
              <w:t>ab 62. Lbj.:</w:t>
            </w:r>
            <w:r>
              <w:rPr>
                <w:color w:val="000000"/>
              </w:rPr>
              <w:tab/>
              <w:t>3 Untst.</w:t>
            </w:r>
          </w:p>
        </w:tc>
        <w:tc>
          <w:tcPr>
            <w:tcW w:w="1060"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pStyle w:val="StandardWeb"/>
              <w:jc w:val="center"/>
              <w:rPr>
                <w:color w:val="000000"/>
              </w:rPr>
            </w:pPr>
          </w:p>
          <w:p w:rsidR="00BE1EFE" w:rsidRPr="000B1AF8" w:rsidRDefault="00BE1EFE">
            <w:pPr>
              <w:pStyle w:val="StandardWeb"/>
              <w:jc w:val="center"/>
            </w:pPr>
            <w:r>
              <w:rPr>
                <w:color w:val="000000"/>
              </w:rPr>
              <w:t>Siehe Anlage 1</w:t>
            </w:r>
          </w:p>
          <w:p w:rsidR="00BE1EFE" w:rsidRPr="000B1AF8" w:rsidRDefault="00BE1EFE" w:rsidP="00824A1B">
            <w:r>
              <w:t> </w:t>
            </w:r>
          </w:p>
        </w:tc>
      </w:tr>
      <w:tr w:rsidR="00BE1EFE" w:rsidTr="00824A1B">
        <w:trPr>
          <w:trHeight w:val="300"/>
        </w:trPr>
        <w:tc>
          <w:tcPr>
            <w:tcW w:w="1630" w:type="dxa"/>
            <w:vMerge/>
            <w:tcBorders>
              <w:left w:val="single" w:sz="8" w:space="0" w:color="auto"/>
              <w:bottom w:val="nil"/>
              <w:right w:val="single" w:sz="8" w:space="0" w:color="000000"/>
            </w:tcBorders>
            <w:noWrap/>
            <w:tcMar>
              <w:top w:w="0" w:type="dxa"/>
              <w:left w:w="70" w:type="dxa"/>
              <w:bottom w:w="0" w:type="dxa"/>
              <w:right w:w="70" w:type="dxa"/>
            </w:tcMar>
            <w:vAlign w:val="center"/>
            <w:hideMark/>
          </w:tcPr>
          <w:p w:rsidR="00BE1EFE" w:rsidRDefault="00BE1EFE">
            <w:pPr>
              <w:rPr>
                <w:sz w:val="24"/>
              </w:rPr>
            </w:pPr>
          </w:p>
        </w:tc>
        <w:tc>
          <w:tcPr>
            <w:tcW w:w="3370" w:type="dxa"/>
            <w:gridSpan w:val="3"/>
            <w:vMerge/>
            <w:tcBorders>
              <w:left w:val="nil"/>
              <w:bottom w:val="nil"/>
              <w:right w:val="single" w:sz="8" w:space="0" w:color="000000"/>
            </w:tcBorders>
            <w:tcMar>
              <w:top w:w="0" w:type="dxa"/>
              <w:left w:w="70" w:type="dxa"/>
              <w:bottom w:w="0" w:type="dxa"/>
              <w:right w:w="70" w:type="dxa"/>
            </w:tcMar>
            <w:vAlign w:val="center"/>
            <w:hideMark/>
          </w:tcPr>
          <w:p w:rsidR="00BE1EFE" w:rsidRPr="000B1AF8" w:rsidRDefault="00BE1EFE">
            <w:pPr>
              <w:pStyle w:val="StandardWeb"/>
              <w:jc w:val="center"/>
            </w:pPr>
          </w:p>
        </w:tc>
        <w:tc>
          <w:tcPr>
            <w:tcW w:w="1060" w:type="dxa"/>
            <w:tcBorders>
              <w:top w:val="nil"/>
              <w:left w:val="nil"/>
              <w:bottom w:val="nil"/>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7359CF">
        <w:trPr>
          <w:trHeight w:val="330"/>
        </w:trPr>
        <w:tc>
          <w:tcPr>
            <w:tcW w:w="1630"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BE1EFE" w:rsidRDefault="00BE1EFE">
            <w:pPr>
              <w:rPr>
                <w:sz w:val="24"/>
              </w:rPr>
            </w:pPr>
            <w:r>
              <w:t> </w:t>
            </w:r>
          </w:p>
        </w:tc>
        <w:tc>
          <w:tcPr>
            <w:tcW w:w="3370" w:type="dxa"/>
            <w:gridSpan w:val="3"/>
            <w:tcBorders>
              <w:top w:val="nil"/>
              <w:left w:val="nil"/>
              <w:bottom w:val="single" w:sz="8" w:space="0" w:color="auto"/>
              <w:right w:val="single" w:sz="8" w:space="0" w:color="000000"/>
            </w:tcBorders>
            <w:tcMar>
              <w:top w:w="0" w:type="dxa"/>
              <w:left w:w="70" w:type="dxa"/>
              <w:bottom w:w="0" w:type="dxa"/>
              <w:right w:w="70" w:type="dxa"/>
            </w:tcMar>
            <w:vAlign w:val="center"/>
            <w:hideMark/>
          </w:tcPr>
          <w:p w:rsidR="00BE1EFE" w:rsidRDefault="00BE1EFE">
            <w:pPr>
              <w:rPr>
                <w:sz w:val="24"/>
              </w:rPr>
            </w:pPr>
            <w:r>
              <w:t> </w:t>
            </w:r>
          </w:p>
        </w:tc>
        <w:tc>
          <w:tcPr>
            <w:tcW w:w="10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t> </w:t>
            </w:r>
          </w:p>
        </w:tc>
      </w:tr>
      <w:tr w:rsidR="00BE1EFE" w:rsidTr="007359CF">
        <w:trPr>
          <w:trHeight w:val="315"/>
        </w:trPr>
        <w:tc>
          <w:tcPr>
            <w:tcW w:w="1630" w:type="dxa"/>
            <w:tcBorders>
              <w:top w:val="nil"/>
              <w:left w:val="single" w:sz="8" w:space="0" w:color="auto"/>
              <w:bottom w:val="nil"/>
              <w:right w:val="single" w:sz="8" w:space="0" w:color="000000"/>
            </w:tcBorders>
            <w:noWrap/>
            <w:tcMar>
              <w:top w:w="0" w:type="dxa"/>
              <w:left w:w="70" w:type="dxa"/>
              <w:bottom w:w="0" w:type="dxa"/>
              <w:right w:w="70" w:type="dxa"/>
            </w:tcMar>
            <w:vAlign w:val="center"/>
            <w:hideMark/>
          </w:tcPr>
          <w:p w:rsidR="00BE1EFE" w:rsidRDefault="00BE1EFE">
            <w:pPr>
              <w:rPr>
                <w:sz w:val="24"/>
              </w:rPr>
            </w:pPr>
            <w:r>
              <w:t> </w:t>
            </w:r>
          </w:p>
        </w:tc>
        <w:tc>
          <w:tcPr>
            <w:tcW w:w="4430" w:type="dxa"/>
            <w:gridSpan w:val="4"/>
            <w:tcBorders>
              <w:top w:val="nil"/>
              <w:left w:val="nil"/>
              <w:bottom w:val="nil"/>
              <w:right w:val="single" w:sz="8" w:space="0" w:color="auto"/>
            </w:tcBorders>
            <w:noWrap/>
            <w:tcMar>
              <w:top w:w="0" w:type="dxa"/>
              <w:left w:w="70" w:type="dxa"/>
              <w:bottom w:w="0" w:type="dxa"/>
              <w:right w:w="70" w:type="dxa"/>
            </w:tcMar>
            <w:vAlign w:val="center"/>
            <w:hideMark/>
          </w:tcPr>
          <w:p w:rsidR="00BE1EFE" w:rsidRDefault="00BE1EFE">
            <w:pPr>
              <w:rPr>
                <w:sz w:val="24"/>
              </w:rPr>
            </w:pPr>
            <w:r>
              <w:t> </w:t>
            </w:r>
          </w:p>
        </w:tc>
      </w:tr>
      <w:tr w:rsidR="00BE1EFE" w:rsidTr="00824A1B">
        <w:trPr>
          <w:trHeight w:val="1500"/>
        </w:trPr>
        <w:tc>
          <w:tcPr>
            <w:tcW w:w="1630" w:type="dxa"/>
            <w:tcBorders>
              <w:top w:val="nil"/>
              <w:left w:val="single" w:sz="8" w:space="0" w:color="auto"/>
              <w:bottom w:val="nil"/>
              <w:right w:val="single" w:sz="8" w:space="0" w:color="000000"/>
            </w:tcBorders>
            <w:tcMar>
              <w:top w:w="0" w:type="dxa"/>
              <w:left w:w="70" w:type="dxa"/>
              <w:bottom w:w="0" w:type="dxa"/>
              <w:right w:w="70" w:type="dxa"/>
            </w:tcMar>
            <w:vAlign w:val="center"/>
            <w:hideMark/>
          </w:tcPr>
          <w:p w:rsidR="00BE1EFE" w:rsidRDefault="00BE1EFE">
            <w:pPr>
              <w:pStyle w:val="StandardWeb"/>
              <w:rPr>
                <w:color w:val="000000"/>
              </w:rPr>
            </w:pPr>
          </w:p>
          <w:p w:rsidR="00BE1EFE" w:rsidRDefault="00BE1EFE">
            <w:pPr>
              <w:pStyle w:val="StandardWeb"/>
              <w:rPr>
                <w:color w:val="000000"/>
              </w:rPr>
            </w:pPr>
          </w:p>
          <w:p w:rsidR="00BE1EFE" w:rsidRDefault="00BE1EFE">
            <w:pPr>
              <w:pStyle w:val="StandardWeb"/>
              <w:rPr>
                <w:color w:val="000000"/>
              </w:rPr>
            </w:pPr>
            <w:r>
              <w:rPr>
                <w:color w:val="000000"/>
              </w:rPr>
              <w:t>Ermäßigungs-</w:t>
            </w:r>
          </w:p>
          <w:p w:rsidR="00BE1EFE" w:rsidRDefault="00BE1EFE">
            <w:pPr>
              <w:pStyle w:val="StandardWeb"/>
              <w:rPr>
                <w:color w:val="000000"/>
              </w:rPr>
            </w:pPr>
            <w:r>
              <w:rPr>
                <w:color w:val="000000"/>
              </w:rPr>
              <w:t>stunden wegen</w:t>
            </w:r>
          </w:p>
          <w:p w:rsidR="00BE1EFE" w:rsidRPr="000B1AF8" w:rsidRDefault="00BE1EFE">
            <w:pPr>
              <w:pStyle w:val="StandardWeb"/>
            </w:pPr>
            <w:r>
              <w:rPr>
                <w:color w:val="000000"/>
              </w:rPr>
              <w:t>Schwerbehinderung</w:t>
            </w:r>
          </w:p>
          <w:p w:rsidR="00BE1EFE" w:rsidRPr="000B1AF8" w:rsidRDefault="00BE1EFE" w:rsidP="00824A1B">
            <w:r>
              <w:t> </w:t>
            </w:r>
          </w:p>
        </w:tc>
        <w:tc>
          <w:tcPr>
            <w:tcW w:w="4430" w:type="dxa"/>
            <w:gridSpan w:val="4"/>
            <w:vMerge w:val="restart"/>
            <w:tcBorders>
              <w:top w:val="nil"/>
              <w:left w:val="nil"/>
              <w:bottom w:val="nil"/>
              <w:right w:val="single" w:sz="8" w:space="0" w:color="auto"/>
            </w:tcBorders>
            <w:noWrap/>
            <w:tcMar>
              <w:top w:w="0" w:type="dxa"/>
              <w:left w:w="70" w:type="dxa"/>
              <w:bottom w:w="0" w:type="dxa"/>
              <w:right w:w="70" w:type="dxa"/>
            </w:tcMar>
            <w:vAlign w:val="center"/>
            <w:hideMark/>
          </w:tcPr>
          <w:p w:rsidR="00BE1EFE" w:rsidRPr="000B1AF8" w:rsidRDefault="00BE1EFE" w:rsidP="007F4262">
            <w:pPr>
              <w:pStyle w:val="StandardWeb"/>
              <w:spacing w:after="120"/>
              <w:jc w:val="center"/>
            </w:pPr>
            <w:r>
              <w:rPr>
                <w:color w:val="000000"/>
              </w:rPr>
              <w:t>bei einem Grad der Behinderung</w:t>
            </w:r>
          </w:p>
          <w:p w:rsidR="00BE1EFE" w:rsidRPr="000B1AF8" w:rsidRDefault="00BE1EFE" w:rsidP="007F4262">
            <w:pPr>
              <w:pStyle w:val="StandardWeb"/>
              <w:spacing w:after="120"/>
              <w:jc w:val="center"/>
            </w:pPr>
            <w:r>
              <w:rPr>
                <w:color w:val="000000"/>
              </w:rPr>
              <w:t>ab 50:</w:t>
            </w:r>
            <w:r>
              <w:rPr>
                <w:color w:val="000000"/>
              </w:rPr>
              <w:tab/>
            </w:r>
            <w:r>
              <w:rPr>
                <w:color w:val="000000"/>
              </w:rPr>
              <w:tab/>
              <w:t>2 Untst.</w:t>
            </w:r>
          </w:p>
          <w:p w:rsidR="00BE1EFE" w:rsidRPr="000B1AF8" w:rsidRDefault="00BE1EFE" w:rsidP="007F4262">
            <w:pPr>
              <w:pStyle w:val="StandardWeb"/>
              <w:spacing w:after="120"/>
              <w:jc w:val="center"/>
            </w:pPr>
            <w:r>
              <w:rPr>
                <w:color w:val="000000"/>
              </w:rPr>
              <w:t>ab 70:</w:t>
            </w:r>
            <w:r>
              <w:rPr>
                <w:color w:val="000000"/>
              </w:rPr>
              <w:tab/>
            </w:r>
            <w:r>
              <w:rPr>
                <w:color w:val="000000"/>
              </w:rPr>
              <w:tab/>
              <w:t>3 Untst.</w:t>
            </w:r>
          </w:p>
          <w:p w:rsidR="00BE1EFE" w:rsidRPr="000B1AF8" w:rsidRDefault="00BE1EFE" w:rsidP="007E5BD9">
            <w:pPr>
              <w:pStyle w:val="StandardWeb"/>
              <w:jc w:val="center"/>
            </w:pPr>
            <w:r>
              <w:rPr>
                <w:color w:val="000000"/>
              </w:rPr>
              <w:t>ab 90:</w:t>
            </w:r>
            <w:r>
              <w:rPr>
                <w:color w:val="000000"/>
              </w:rPr>
              <w:tab/>
            </w:r>
            <w:r>
              <w:rPr>
                <w:color w:val="000000"/>
              </w:rPr>
              <w:tab/>
              <w:t>4 Untst.</w:t>
            </w:r>
          </w:p>
        </w:tc>
      </w:tr>
      <w:tr w:rsidR="00BE1EFE" w:rsidTr="00824A1B">
        <w:trPr>
          <w:trHeight w:val="300"/>
        </w:trPr>
        <w:tc>
          <w:tcPr>
            <w:tcW w:w="1630" w:type="dxa"/>
            <w:tcBorders>
              <w:top w:val="nil"/>
              <w:left w:val="single" w:sz="8" w:space="0" w:color="auto"/>
              <w:bottom w:val="nil"/>
              <w:right w:val="single" w:sz="8" w:space="0" w:color="000000"/>
            </w:tcBorders>
            <w:noWrap/>
            <w:tcMar>
              <w:top w:w="0" w:type="dxa"/>
              <w:left w:w="70" w:type="dxa"/>
              <w:bottom w:w="0" w:type="dxa"/>
              <w:right w:w="70" w:type="dxa"/>
            </w:tcMar>
            <w:vAlign w:val="center"/>
            <w:hideMark/>
          </w:tcPr>
          <w:p w:rsidR="00BE1EFE" w:rsidRDefault="00BE1EFE">
            <w:pPr>
              <w:rPr>
                <w:sz w:val="24"/>
              </w:rPr>
            </w:pPr>
          </w:p>
        </w:tc>
        <w:tc>
          <w:tcPr>
            <w:tcW w:w="4430" w:type="dxa"/>
            <w:gridSpan w:val="4"/>
            <w:vMerge/>
            <w:tcBorders>
              <w:left w:val="nil"/>
              <w:bottom w:val="nil"/>
              <w:right w:val="single" w:sz="8" w:space="0" w:color="auto"/>
            </w:tcBorders>
            <w:noWrap/>
            <w:tcMar>
              <w:top w:w="0" w:type="dxa"/>
              <w:left w:w="70" w:type="dxa"/>
              <w:bottom w:w="0" w:type="dxa"/>
              <w:right w:w="70" w:type="dxa"/>
            </w:tcMar>
            <w:vAlign w:val="center"/>
            <w:hideMark/>
          </w:tcPr>
          <w:p w:rsidR="00BE1EFE" w:rsidRPr="000B1AF8" w:rsidRDefault="00BE1EFE" w:rsidP="007E5BD9">
            <w:pPr>
              <w:pStyle w:val="StandardWeb"/>
              <w:jc w:val="center"/>
            </w:pPr>
          </w:p>
        </w:tc>
      </w:tr>
      <w:tr w:rsidR="00BE1EFE" w:rsidTr="007359CF">
        <w:trPr>
          <w:trHeight w:val="315"/>
        </w:trPr>
        <w:tc>
          <w:tcPr>
            <w:tcW w:w="1630" w:type="dxa"/>
            <w:tcBorders>
              <w:top w:val="nil"/>
              <w:left w:val="single" w:sz="8" w:space="0" w:color="auto"/>
              <w:bottom w:val="single" w:sz="8" w:space="0" w:color="auto"/>
              <w:right w:val="single" w:sz="8" w:space="0" w:color="000000"/>
            </w:tcBorders>
            <w:noWrap/>
            <w:tcMar>
              <w:top w:w="0" w:type="dxa"/>
              <w:left w:w="70" w:type="dxa"/>
              <w:bottom w:w="0" w:type="dxa"/>
              <w:right w:w="70" w:type="dxa"/>
            </w:tcMar>
            <w:vAlign w:val="center"/>
            <w:hideMark/>
          </w:tcPr>
          <w:p w:rsidR="00BE1EFE" w:rsidRDefault="00BE1EFE">
            <w:pPr>
              <w:rPr>
                <w:sz w:val="24"/>
              </w:rPr>
            </w:pPr>
          </w:p>
        </w:tc>
        <w:tc>
          <w:tcPr>
            <w:tcW w:w="4430" w:type="dxa"/>
            <w:gridSpan w:val="4"/>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Default="00BE1EFE">
            <w:pPr>
              <w:rPr>
                <w:sz w:val="24"/>
              </w:rPr>
            </w:pPr>
          </w:p>
        </w:tc>
      </w:tr>
    </w:tbl>
    <w:p w:rsidR="00BE1EFE" w:rsidRPr="000B1AF8" w:rsidRDefault="00BE1EFE">
      <w:pPr>
        <w:pStyle w:val="StandardWeb"/>
        <w:jc w:val="center"/>
      </w:pPr>
      <w:r>
        <w:t> </w:t>
      </w:r>
    </w:p>
    <w:p w:rsidR="00BE1EFE" w:rsidRPr="000B1AF8" w:rsidRDefault="00BE1EFE">
      <w:pPr>
        <w:pStyle w:val="StandardWeb"/>
        <w:jc w:val="center"/>
      </w:pPr>
    </w:p>
    <w:p w:rsidR="00BE1EFE" w:rsidRDefault="00BE1EFE" w:rsidP="00514E60">
      <w:pPr>
        <w:pStyle w:val="StandardWeb"/>
      </w:pPr>
      <w:r>
        <w:t xml:space="preserve">Abkürzungen: UPZ: Unterrichtspflichtzeit(en) pro Woche; Lbj.: Lebensjahr; </w:t>
      </w:r>
    </w:p>
    <w:p w:rsidR="00BE1EFE" w:rsidRDefault="00BE1EFE" w:rsidP="00514E60">
      <w:pPr>
        <w:pStyle w:val="StandardWeb"/>
      </w:pPr>
      <w:r>
        <w:t>Untst.: Unterrichtsstunde pro Woche (Dauer: 45 Minuten).</w:t>
      </w:r>
    </w:p>
    <w:p w:rsidR="00BE1EFE" w:rsidRPr="00514E60" w:rsidRDefault="00BE1EFE" w:rsidP="00514E60">
      <w:pPr>
        <w:pStyle w:val="StandardWeb"/>
      </w:pPr>
      <w:r>
        <w:br w:type="page"/>
      </w:r>
    </w:p>
    <w:p w:rsidR="00BE1EFE" w:rsidRDefault="00BE1EFE" w:rsidP="00A045C0">
      <w:pPr>
        <w:pStyle w:val="berschrift4"/>
        <w:spacing w:before="0"/>
      </w:pPr>
      <w:bookmarkStart w:id="845" w:name="_Toc453677967"/>
      <w:bookmarkStart w:id="846" w:name="_Toc523926369"/>
      <w:r>
        <w:lastRenderedPageBreak/>
        <w:t>C, 4. Sonderregelung für Religionslehrer, die nicht unter die Dienstordnung für Religionslehrer im Kirchendienst fallen</w:t>
      </w:r>
      <w:bookmarkEnd w:id="845"/>
      <w:bookmarkEnd w:id="846"/>
    </w:p>
    <w:p w:rsidR="00BE1EFE" w:rsidRDefault="00BE1EFE" w:rsidP="006B3B90">
      <w:pPr>
        <w:pStyle w:val="berschrift5"/>
        <w:spacing w:before="0" w:after="0"/>
        <w:rPr>
          <w:sz w:val="2"/>
          <w:vertAlign w:val="superscript"/>
        </w:rPr>
      </w:pPr>
    </w:p>
    <w:p w:rsidR="00BE1EFE" w:rsidRDefault="00BE1EFE" w:rsidP="006B3B90">
      <w:pPr>
        <w:pStyle w:val="berschrift6"/>
        <w:spacing w:before="0" w:after="0"/>
        <w:rPr>
          <w:sz w:val="2"/>
          <w:vertAlign w:val="superscript"/>
        </w:rPr>
      </w:pPr>
    </w:p>
    <w:p w:rsidR="00BE1EFE" w:rsidRPr="00B76821" w:rsidRDefault="00BE1EFE" w:rsidP="00B76821">
      <w:pPr>
        <w:pStyle w:val="h7"/>
        <w:keepNext w:val="0"/>
        <w:spacing w:before="0" w:after="0"/>
        <w:jc w:val="left"/>
        <w:outlineLvl w:val="5"/>
        <w:rPr>
          <w:sz w:val="2"/>
          <w:vertAlign w:val="superscript"/>
        </w:rPr>
      </w:pPr>
    </w:p>
    <w:p w:rsidR="00BE1EFE" w:rsidRPr="000B1AF8" w:rsidRDefault="00BE1EFE" w:rsidP="006B3B90">
      <w:pPr>
        <w:pStyle w:val="StandardWeb"/>
      </w:pPr>
      <w:r>
        <w:rPr>
          <w:vertAlign w:val="superscript"/>
        </w:rPr>
        <w:t>1</w:t>
      </w:r>
      <w:r>
        <w:t>Außer Kraft getreten durch Beschluss der Bayerischen Regional-KODA vom 16. Juli 2009, mit Wirkung vom 1. September 2009, und ersetzt durch die „Dienstordnung für Religions</w:t>
      </w:r>
      <w:r>
        <w:softHyphen/>
        <w:t>lehrerinnen und Religionslehrer im Kirchendienst“ veröffentlicht in der Anlage zu den Amtsblättern der bayerischen (Erz-)Diözesen „Änderungen und Ergänzungen zum Arbeitsvertragsrecht der bayerischen (Erz-)Diözesen – ABD – Nr. 89“</w:t>
      </w:r>
    </w:p>
    <w:p w:rsidR="00BE1EFE" w:rsidRDefault="00BE1EFE" w:rsidP="005B409E">
      <w:pPr>
        <w:pStyle w:val="StandardWeb"/>
      </w:pPr>
      <w:r>
        <w:br w:type="page"/>
      </w:r>
    </w:p>
    <w:p w:rsidR="00BE1EFE" w:rsidRDefault="00BE1EFE" w:rsidP="00A045C0">
      <w:pPr>
        <w:pStyle w:val="berschrift4"/>
        <w:spacing w:before="0"/>
      </w:pPr>
      <w:bookmarkStart w:id="847" w:name="_Toc523926370"/>
      <w:r>
        <w:lastRenderedPageBreak/>
        <w:t>C, 5. Dienstordnung für Mesnerinnen und Mesner</w:t>
      </w:r>
      <w:bookmarkEnd w:id="847"/>
    </w:p>
    <w:p w:rsidR="00BE1EFE" w:rsidRPr="00B76821" w:rsidRDefault="00BE1EFE" w:rsidP="00B76821">
      <w:pPr>
        <w:pStyle w:val="berschrift5"/>
        <w:keepNext w:val="0"/>
        <w:spacing w:before="0" w:after="0"/>
        <w:rPr>
          <w:rStyle w:val="Hervorhebung"/>
          <w:iCs/>
          <w:sz w:val="2"/>
        </w:rPr>
      </w:pPr>
    </w:p>
    <w:p w:rsidR="00BE1EFE" w:rsidRPr="000B1AF8" w:rsidRDefault="00BE1EFE" w:rsidP="0054275E">
      <w:pPr>
        <w:pStyle w:val="StandardWeb"/>
        <w:autoSpaceDE w:val="0"/>
      </w:pPr>
      <w:r>
        <w:rPr>
          <w:rStyle w:val="Hervorhebung"/>
          <w:iCs/>
        </w:rPr>
        <w:t>(zuletzt geändert am 13.07.2017 zum 01.08.2017)</w:t>
      </w:r>
    </w:p>
    <w:p w:rsidR="00BE1EFE" w:rsidRDefault="00BE1EFE">
      <w:pPr>
        <w:pStyle w:val="berschrift5"/>
      </w:pPr>
      <w:bookmarkStart w:id="848" w:name="_Toc523926371"/>
      <w:r>
        <w:t>Präambel</w:t>
      </w:r>
      <w:bookmarkEnd w:id="848"/>
    </w:p>
    <w:p w:rsidR="00BE1EFE" w:rsidRPr="00B76821" w:rsidRDefault="00BE1EFE" w:rsidP="00B76821">
      <w:pPr>
        <w:pStyle w:val="berschrift6"/>
        <w:keepNext w:val="0"/>
        <w:spacing w:before="0" w:after="0"/>
        <w:rPr>
          <w:rStyle w:val="Hervorhebung"/>
          <w:iCs/>
          <w:sz w:val="2"/>
        </w:rPr>
      </w:pPr>
    </w:p>
    <w:p w:rsidR="00BE1EFE" w:rsidRPr="000B1AF8" w:rsidRDefault="00BE1EFE" w:rsidP="0054275E">
      <w:pPr>
        <w:pStyle w:val="StandardWeb"/>
        <w:autoSpaceDE w:val="0"/>
      </w:pPr>
      <w:r>
        <w:rPr>
          <w:rStyle w:val="Hervorhebung"/>
          <w:iCs/>
        </w:rPr>
        <w:t>(aufgehoben zum 01.01.2007)</w:t>
      </w:r>
    </w:p>
    <w:p w:rsidR="00BE1EFE" w:rsidRPr="000B1AF8" w:rsidRDefault="00BE1EFE">
      <w:pPr>
        <w:pStyle w:val="StandardWeb"/>
      </w:pPr>
    </w:p>
    <w:p w:rsidR="00BE1EFE" w:rsidRDefault="00BE1EFE">
      <w:pPr>
        <w:pStyle w:val="berschrift5"/>
      </w:pPr>
      <w:bookmarkStart w:id="849" w:name="_Toc523926372"/>
      <w:r>
        <w:t>§ 1 Allgemeines</w:t>
      </w:r>
      <w:bookmarkEnd w:id="849"/>
    </w:p>
    <w:p w:rsidR="00BE1EFE" w:rsidRPr="00B76821" w:rsidRDefault="00BE1EFE" w:rsidP="00B76821">
      <w:pPr>
        <w:pStyle w:val="berschrift6"/>
        <w:keepNext w:val="0"/>
        <w:spacing w:before="0" w:after="0"/>
        <w:rPr>
          <w:sz w:val="2"/>
        </w:rPr>
      </w:pPr>
    </w:p>
    <w:p w:rsidR="00BE1EFE" w:rsidRPr="000B1AF8" w:rsidRDefault="00BE1EFE">
      <w:pPr>
        <w:pStyle w:val="StandardWeb"/>
      </w:pPr>
      <w:r>
        <w:t>Der Dienst der Mesnerinnen/Mesner – nachfolgend Beschäftigte genannt – besteht in der Hilfe bei liturgischen Handlungen und in der Pflege und Sicherung des Kirchengebäudes und seines Inventars.</w:t>
      </w:r>
    </w:p>
    <w:p w:rsidR="00BE1EFE" w:rsidRDefault="00BE1EFE">
      <w:pPr>
        <w:pStyle w:val="berschrift5"/>
      </w:pPr>
      <w:bookmarkStart w:id="850" w:name="_Toc523926373"/>
      <w:r>
        <w:t>§ 2 Anstellungsvoraussetzungen</w:t>
      </w:r>
      <w:bookmarkEnd w:id="850"/>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Beschäftigten müssen die ihrem Dienst entsprechende Eignung besitzen. </w:t>
      </w:r>
      <w:r>
        <w:rPr>
          <w:rStyle w:val="kleinschrift"/>
        </w:rPr>
        <w:t>2</w:t>
      </w:r>
      <w:r>
        <w:t xml:space="preserve">Sie sollen eine abgeschlossene Berufsausbildung, möglichst in einem handwerklichen Beruf, nachweisen. </w:t>
      </w:r>
      <w:r>
        <w:rPr>
          <w:rStyle w:val="kleinschrift"/>
        </w:rPr>
        <w:t>3</w:t>
      </w:r>
      <w:r>
        <w:t xml:space="preserve">Vor Dienstantritt ist eine ehrenamtliche Tätigkeit im kirchlichen Dienst erwünscht. </w:t>
      </w:r>
      <w:r>
        <w:rPr>
          <w:rStyle w:val="kleinschrift"/>
        </w:rPr>
        <w:t>4</w:t>
      </w:r>
      <w:r>
        <w:t>Die Beschäftigten sollen einen Grundkurs der überdiözesanen Mesnerschule in Freising besuchen.</w:t>
      </w:r>
    </w:p>
    <w:p w:rsidR="00BE1EFE" w:rsidRDefault="00BE1EFE">
      <w:pPr>
        <w:pStyle w:val="berschrift5"/>
      </w:pPr>
      <w:bookmarkStart w:id="851" w:name="_Toc523926374"/>
      <w:r>
        <w:t>§ 3 Aufgaben</w:t>
      </w:r>
      <w:bookmarkEnd w:id="851"/>
    </w:p>
    <w:p w:rsidR="00BE1EFE" w:rsidRPr="00B76821" w:rsidRDefault="00BE1EFE" w:rsidP="00B76821">
      <w:pPr>
        <w:pStyle w:val="berschrift6"/>
        <w:keepNext w:val="0"/>
        <w:spacing w:before="0" w:after="0"/>
        <w:rPr>
          <w:sz w:val="2"/>
        </w:rPr>
      </w:pPr>
    </w:p>
    <w:p w:rsidR="00BE1EFE" w:rsidRDefault="00BE1EFE">
      <w:pPr>
        <w:pStyle w:val="StandardWeb"/>
      </w:pPr>
      <w:r>
        <w:t>Die Aufgaben der Beschäftigten bestehen unbeschadet der arbeitsvertraglichen Stellenbe</w:t>
      </w:r>
      <w:r>
        <w:softHyphen/>
        <w:t>schreibung</w:t>
      </w:r>
    </w:p>
    <w:p w:rsidR="00BE1EFE" w:rsidRDefault="00BE1EFE">
      <w:pPr>
        <w:pStyle w:val="StandardWeb"/>
      </w:pPr>
      <w:r>
        <w:t>1. in der Vorbereitung und Hilfe für alle gottesdienstlichen Handlungen, insbesondere</w:t>
      </w:r>
    </w:p>
    <w:p w:rsidR="00BE1EFE" w:rsidRDefault="00BE1EFE">
      <w:pPr>
        <w:pStyle w:val="StandardWeb"/>
      </w:pPr>
      <w:r>
        <w:t>a) in der Bereitstellung der zum Gottesdienst benötigten Paramente und Gegenstände, in der Hilfe beim An- und Ablegen der liturgischen Gewänder,</w:t>
      </w:r>
    </w:p>
    <w:p w:rsidR="00BE1EFE" w:rsidRDefault="00BE1EFE">
      <w:pPr>
        <w:pStyle w:val="StandardWeb"/>
      </w:pPr>
      <w:r>
        <w:t>b) im Anleiten und Beaufsichtigen der Ministrantinnen/Ministranten,</w:t>
      </w:r>
    </w:p>
    <w:p w:rsidR="00BE1EFE" w:rsidRDefault="00BE1EFE">
      <w:pPr>
        <w:pStyle w:val="StandardWeb"/>
      </w:pPr>
      <w:r>
        <w:t>2. in der Pflege, im Aufbewahren und Sichern der Paramente, der kirchlichen Geräte und des sonstigen Inventars der Sakristei und der Kirche,</w:t>
      </w:r>
    </w:p>
    <w:p w:rsidR="00BE1EFE" w:rsidRDefault="00BE1EFE">
      <w:pPr>
        <w:pStyle w:val="StandardWeb"/>
      </w:pPr>
      <w:r>
        <w:t>3. in der Sorge für das ewige Licht, das Weihwasser, den Schmuck des Altars und der Kirche, das Aufstellen der Krippe, das Schmücken des Heiligen Grabes, das Betreuen des Schriftenstandes, der Schaukästen, des Opferkerzenständers etc., je nach ortsüblicher Gegebenheit,</w:t>
      </w:r>
    </w:p>
    <w:p w:rsidR="00BE1EFE" w:rsidRDefault="00BE1EFE">
      <w:pPr>
        <w:pStyle w:val="StandardWeb"/>
      </w:pPr>
      <w:r>
        <w:t>4. im Öffnen und Schließen der Kirche und ihrer Nebenräume,</w:t>
      </w:r>
    </w:p>
    <w:p w:rsidR="00BE1EFE" w:rsidRDefault="00BE1EFE">
      <w:pPr>
        <w:pStyle w:val="StandardWeb"/>
      </w:pPr>
      <w:r>
        <w:t>5. im Beobachten des baulichen Zustandes der Kirche, im Bedienen und Warten der technischen Anlagen (Heizung, Beleuchtung, Uhr- und Läutwerk, Lautsprecheranlagen, Alarmanlagen etc.),</w:t>
      </w:r>
    </w:p>
    <w:p w:rsidR="00BE1EFE" w:rsidRDefault="00BE1EFE">
      <w:pPr>
        <w:pStyle w:val="StandardWeb"/>
      </w:pPr>
      <w:r>
        <w:t>6. in der Sorge für Ordnung und Sauberkeit in der Kirche und den Nebenräumen,</w:t>
      </w:r>
    </w:p>
    <w:p w:rsidR="00BE1EFE" w:rsidRPr="000B1AF8" w:rsidRDefault="00BE1EFE">
      <w:pPr>
        <w:pStyle w:val="StandardWeb"/>
      </w:pPr>
      <w:r>
        <w:t>7. im Reinigen, Räumen und Streuen der zur Kirche gehörenden Wege und Straßen sowie der Zugänge zur Kirche gemäß den ortspolizeilichen Vorschriften und in der Pflege der Außenanlagen.</w:t>
      </w:r>
    </w:p>
    <w:p w:rsidR="00BE1EFE" w:rsidRDefault="00BE1EFE">
      <w:pPr>
        <w:pStyle w:val="berschrift5"/>
      </w:pPr>
      <w:bookmarkStart w:id="852" w:name="_Toc523926375"/>
      <w:r>
        <w:lastRenderedPageBreak/>
        <w:t>§ 4 Anstellungsträger</w:t>
      </w:r>
      <w:bookmarkEnd w:id="852"/>
    </w:p>
    <w:p w:rsidR="00BE1EFE" w:rsidRPr="00B76821" w:rsidRDefault="00BE1EFE" w:rsidP="00B76821">
      <w:pPr>
        <w:pStyle w:val="berschrift6"/>
        <w:keepNext w:val="0"/>
        <w:spacing w:before="0" w:after="0"/>
        <w:rPr>
          <w:sz w:val="2"/>
        </w:rPr>
      </w:pPr>
    </w:p>
    <w:p w:rsidR="00BE1EFE" w:rsidRDefault="00BE1EFE">
      <w:pPr>
        <w:pStyle w:val="StandardWeb"/>
      </w:pPr>
      <w:r>
        <w:t>(1) Anstellungsträger der Beschäftigten ist eine kirchliche Stiftung oder die Diözese oder ein sonstiger kirchlicher Rechtsträger.</w:t>
      </w:r>
    </w:p>
    <w:p w:rsidR="00BE1EFE" w:rsidRPr="000B1AF8" w:rsidRDefault="00BE1EFE">
      <w:pPr>
        <w:pStyle w:val="StandardWeb"/>
      </w:pPr>
      <w:r>
        <w:t>(2) </w:t>
      </w:r>
      <w:r>
        <w:rPr>
          <w:rStyle w:val="kleinschrift"/>
        </w:rPr>
        <w:t>1</w:t>
      </w:r>
      <w:r>
        <w:t>Der „</w:t>
      </w:r>
      <w:r w:rsidRPr="008A3D6A">
        <w:t>Anhang zu §§ 3 und 6 der Dienstordnung für Mesnerinnen/Mesner – Berechnung der Arbeitszeit</w:t>
      </w:r>
      <w:r>
        <w:t xml:space="preserve">“ ist Bestandteil des Arbeitsvertrags. </w:t>
      </w:r>
      <w:r>
        <w:rPr>
          <w:rStyle w:val="kleinschrift"/>
        </w:rPr>
        <w:t>2</w:t>
      </w:r>
      <w:r>
        <w:t xml:space="preserve">Der Arbeitsvertrag mit einer kirchlichen Stiftung bedarf zu seiner Wirksamkeit der stiftungsaufsichtlichen Genehmigung. </w:t>
      </w:r>
      <w:r>
        <w:rPr>
          <w:rStyle w:val="kleinschrift"/>
        </w:rPr>
        <w:t>3</w:t>
      </w:r>
      <w:r>
        <w:t>Ein entsprechender Vermerk ist im Arbeitsvertrag aufzunehmen.</w:t>
      </w:r>
    </w:p>
    <w:p w:rsidR="00BE1EFE" w:rsidRDefault="00BE1EFE">
      <w:pPr>
        <w:pStyle w:val="berschrift5"/>
      </w:pPr>
      <w:bookmarkStart w:id="853" w:name="_Toc523926376"/>
      <w:r>
        <w:t>§ 5 Vorgesetzter</w:t>
      </w:r>
      <w:bookmarkEnd w:id="853"/>
    </w:p>
    <w:p w:rsidR="00BE1EFE" w:rsidRPr="00B76821" w:rsidRDefault="00BE1EFE" w:rsidP="00B76821">
      <w:pPr>
        <w:pStyle w:val="berschrift6"/>
        <w:keepNext w:val="0"/>
        <w:spacing w:before="0" w:after="0"/>
        <w:rPr>
          <w:sz w:val="2"/>
        </w:rPr>
      </w:pPr>
    </w:p>
    <w:p w:rsidR="00BE1EFE" w:rsidRPr="000B1AF8" w:rsidRDefault="00BE1EFE">
      <w:pPr>
        <w:pStyle w:val="StandardWeb"/>
      </w:pPr>
      <w:r>
        <w:t>Unmittelbarer Vorgesetzter der Beschäftigten ist der Kirchenverwaltungsvorstand oder ein ihm rechtlich Gleichgestellter, der im Rahmen dieser Dienstordnung Weisungen erteilen kann; wer Dienstvorgesetzter ist, ergibt sich aus dem Arbeitsvertrag.</w:t>
      </w:r>
    </w:p>
    <w:p w:rsidR="00BE1EFE" w:rsidRDefault="00BE1EFE">
      <w:pPr>
        <w:pStyle w:val="berschrift5"/>
      </w:pPr>
      <w:bookmarkStart w:id="854" w:name="_Toc523926377"/>
      <w:r>
        <w:t>§ 6 Arbeitszeit</w:t>
      </w:r>
      <w:bookmarkEnd w:id="854"/>
    </w:p>
    <w:p w:rsidR="00BE1EFE" w:rsidRPr="00B76821" w:rsidRDefault="00BE1EFE" w:rsidP="00B76821">
      <w:pPr>
        <w:pStyle w:val="berschrift6"/>
        <w:keepNext w:val="0"/>
        <w:spacing w:before="0" w:after="0"/>
        <w:rPr>
          <w:sz w:val="2"/>
        </w:rPr>
      </w:pPr>
    </w:p>
    <w:p w:rsidR="00BE1EFE" w:rsidRDefault="00BE1EFE">
      <w:pPr>
        <w:pStyle w:val="StandardWeb"/>
      </w:pPr>
      <w:r>
        <w:t>(1) Die Berechnung der Arbeitszeit der Beschäftigten erfolgt nach „Diensteinheiten“ (eine Diensteinheit = 60 Minuten).</w:t>
      </w:r>
    </w:p>
    <w:p w:rsidR="00BE1EFE" w:rsidRDefault="00BE1EFE">
      <w:pPr>
        <w:pStyle w:val="StandardWeb"/>
      </w:pPr>
      <w:r>
        <w:t>(2) </w:t>
      </w:r>
      <w:r>
        <w:rPr>
          <w:rStyle w:val="kleinschrift"/>
        </w:rPr>
        <w:t>1</w:t>
      </w:r>
      <w:r>
        <w:t xml:space="preserve">Der Dienst der Beschäftigten erfordert grundsätzlich die Ableistung der regelmäßigen Arbeitszeit an sechs Tagen in der Woche. </w:t>
      </w:r>
      <w:r>
        <w:rPr>
          <w:rStyle w:val="kleinschrift"/>
        </w:rPr>
        <w:t>2</w:t>
      </w:r>
      <w:r>
        <w:t>Der Sonntag ist grundsätzlich Arbeitstag.</w:t>
      </w:r>
    </w:p>
    <w:p w:rsidR="00BE1EFE" w:rsidRDefault="00BE1EFE">
      <w:pPr>
        <w:pStyle w:val="StandardWeb"/>
      </w:pPr>
      <w:r>
        <w:t>(3) </w:t>
      </w:r>
      <w:r>
        <w:rPr>
          <w:rStyle w:val="kleinschrift"/>
        </w:rPr>
        <w:t>1</w:t>
      </w:r>
      <w:r>
        <w:t xml:space="preserve">Der wöchentlich arbeitsfreie Tag ist in Absprache mit dem unmittelbaren Vorgesetzten dauerhaft auf einen bestimmten Wochentag festzulegen. </w:t>
      </w:r>
      <w:r>
        <w:rPr>
          <w:rStyle w:val="kleinschrift"/>
        </w:rPr>
        <w:t>2</w:t>
      </w:r>
      <w:r>
        <w:t xml:space="preserve">Wird aus dringenden betrieblichen Gründen ausnahmsweise an diesem Tag Arbeit angeordnet, ist ein anderer arbeitsfreier Tag innerhalb derselben Woche zu gewähren. </w:t>
      </w:r>
      <w:r>
        <w:rPr>
          <w:rStyle w:val="kleinschrift"/>
        </w:rPr>
        <w:t>3</w:t>
      </w:r>
      <w:r>
        <w:t>Der arbeitsfreie Tag darf nicht auf einen gesetzlichen Feiertag gelegt werden.</w:t>
      </w:r>
    </w:p>
    <w:p w:rsidR="00BE1EFE" w:rsidRDefault="00BE1EFE">
      <w:pPr>
        <w:pStyle w:val="StandardWeb"/>
      </w:pPr>
      <w:r>
        <w:t>(4) Die Verteilung der dienstplanmäßigen Arbeitszeit auf die einzelnen Arbeitstage einschließlich der Sonn- und Feiertage erfolgt durch den unmittelbaren Vorgesetzten nach vorheriger Absprache mit den Beschäftigten.</w:t>
      </w:r>
    </w:p>
    <w:p w:rsidR="00BE1EFE" w:rsidRDefault="00BE1EFE">
      <w:pPr>
        <w:pStyle w:val="StandardWeb"/>
      </w:pPr>
      <w:r>
        <w:t>(5) </w:t>
      </w:r>
      <w:r>
        <w:rPr>
          <w:rStyle w:val="kleinschrift"/>
        </w:rPr>
        <w:t>1</w:t>
      </w:r>
      <w:r>
        <w:t xml:space="preserve">Für die Berechnung der durchschnittlichen wöchentlichen Arbeitszeit, die als Anlage dem Arbeitsvertrag beizufügen und jährlich zu überprüfen ist, gelten unter Bezug auf </w:t>
      </w:r>
      <w:r w:rsidRPr="008A3D6A">
        <w:t>§ 3</w:t>
      </w:r>
      <w:r>
        <w:t xml:space="preserve"> (Aufgaben) die Richtlinien des Anhangs.</w:t>
      </w:r>
    </w:p>
    <w:p w:rsidR="00BE1EFE" w:rsidRPr="000B1AF8" w:rsidRDefault="00BE1EFE">
      <w:pPr>
        <w:pStyle w:val="StandardWeb"/>
      </w:pPr>
      <w:r>
        <w:rPr>
          <w:rStyle w:val="kleinschrift"/>
        </w:rPr>
        <w:t>2</w:t>
      </w:r>
      <w:r>
        <w:t xml:space="preserve">Wenn Diensteinheiten auf Dauer hinzukommen bzw. auf Dauer wegfallen, ist eine Anpassung des Arbeitsvertrages vorzunehmen. </w:t>
      </w:r>
      <w:r>
        <w:rPr>
          <w:rStyle w:val="kleinschrift"/>
        </w:rPr>
        <w:t>3</w:t>
      </w:r>
      <w:r>
        <w:t>Ist aufgrund des Wegfalls von Dienstein</w:t>
      </w:r>
      <w:r>
        <w:softHyphen/>
        <w:t>heiten die Vergütung zu kürzen, sind die Kündigungsvorschriften zu beachten.</w:t>
      </w:r>
    </w:p>
    <w:p w:rsidR="00BE1EFE" w:rsidRDefault="00BE1EFE">
      <w:pPr>
        <w:pStyle w:val="berschrift5"/>
      </w:pPr>
      <w:bookmarkStart w:id="855" w:name="_Toc523926378"/>
      <w:r>
        <w:t>§ 7 Erholungsurlaub</w:t>
      </w:r>
      <w:bookmarkEnd w:id="85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Der jährliche Erholungsurlaub ist so zu legen, dass er nicht in die kirchlichen Festzeiten fällt. </w:t>
      </w:r>
      <w:r>
        <w:rPr>
          <w:rStyle w:val="kleinschrift"/>
        </w:rPr>
        <w:t>2</w:t>
      </w:r>
      <w:r>
        <w:t>In begründeten Fällen kann davon einvernehmlich abgewichen werden.</w:t>
      </w:r>
    </w:p>
    <w:p w:rsidR="00BE1EFE" w:rsidRDefault="00BE1EFE">
      <w:pPr>
        <w:pStyle w:val="berschrift5"/>
      </w:pPr>
      <w:bookmarkStart w:id="856" w:name="_Toc523926379"/>
      <w:r>
        <w:t>§ 8 Vertretung</w:t>
      </w:r>
      <w:bookmarkEnd w:id="856"/>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Für die Zeit des Urlaubs, der Erkrankung sowie für jeden sonstigen Tag einschließlich eines Feiertages, an denen Beschäftigte von der Arbeit freigestellt sind, schlagen sie nach </w:t>
      </w:r>
      <w:r>
        <w:lastRenderedPageBreak/>
        <w:t xml:space="preserve">Möglichkeit eine Vertretung vor. </w:t>
      </w:r>
      <w:r>
        <w:rPr>
          <w:rStyle w:val="kleinschrift"/>
        </w:rPr>
        <w:t>2</w:t>
      </w:r>
      <w:r>
        <w:t>Die Bestellung der Vertretung sowie die Übernahme der Kosten für die Vertretung obliegen der jeweiligen Kirchenstiftung.</w:t>
      </w:r>
    </w:p>
    <w:p w:rsidR="00BE1EFE" w:rsidRDefault="00BE1EFE">
      <w:pPr>
        <w:pStyle w:val="berschrift5"/>
      </w:pPr>
      <w:bookmarkStart w:id="857" w:name="_Toc523926380"/>
      <w:r>
        <w:t>§ 9 Freizeitausgleich</w:t>
      </w:r>
      <w:bookmarkEnd w:id="857"/>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Für den am Ostersonntag und Pfingstsonntag geleisteten Dienst wird den Beschäftigten zusätzlich zu ihrem festgelegten freien Tag jeweils ein arbeitsfreier Tag gewährt. </w:t>
      </w:r>
      <w:r>
        <w:rPr>
          <w:rStyle w:val="kleinschrift"/>
        </w:rPr>
        <w:t>2</w:t>
      </w:r>
      <w:r>
        <w:t>Der arbeitsfreie Tag darf nicht auf einen gesetzlichen Feiertag gelegt werden.</w:t>
      </w:r>
    </w:p>
    <w:p w:rsidR="00BE1EFE" w:rsidRDefault="00BE1EFE">
      <w:pPr>
        <w:pStyle w:val="StandardWeb"/>
      </w:pPr>
      <w:r>
        <w:t>(2) </w:t>
      </w:r>
      <w:r>
        <w:rPr>
          <w:rStyle w:val="kleinschrift"/>
        </w:rPr>
        <w:t>1</w:t>
      </w:r>
      <w:r>
        <w:t xml:space="preserve">Die an einem gesetzlichen Feiertag oder an einem betriebsüblich arbeitsfreien Tag geleisteten Arbeitsstunden sind durch eine entsprechende zusammenhängende Freizeit an einem Arbeitstag innerhalb eines Ausgleichszeitraums von acht Wochen auszugleichen. </w:t>
      </w:r>
      <w:r>
        <w:rPr>
          <w:rStyle w:val="kleinschrift"/>
        </w:rPr>
        <w:t>2</w:t>
      </w:r>
      <w:r>
        <w:t>Wenn die jeweils angefallenen Ausgleichsstunden keinen vollen Tag ergeben, ist die wöchentliche Arbeitszeit so zu verteilen, dass die Beschäftigten über einen ganzen freien Tag verfügen können.</w:t>
      </w:r>
    </w:p>
    <w:p w:rsidR="00BE1EFE" w:rsidRDefault="00BE1EFE">
      <w:pPr>
        <w:pStyle w:val="StandardWeb"/>
      </w:pPr>
      <w:r>
        <w:t>(3) Fällt bei einer Tätigkeit bei einer 6-Tage-Woche ein gesetzlicher Feiertag oder ein betriebsüblicher arbeitsfreier Tag auf den festgelegten freien Arbeitstag und werden Beschäftigte zur Arbeit herangezogen, erhalten diese dafür unabhängig von den an diesem Tag geleisteten Arbeitsstunden einen ganzen freien Tag, möglichst innerhalb derselben Woche.</w:t>
      </w:r>
    </w:p>
    <w:p w:rsidR="00BE1EFE" w:rsidRDefault="00BE1EFE">
      <w:pPr>
        <w:pStyle w:val="StandardWeb"/>
      </w:pPr>
      <w:r>
        <w:t>(4) </w:t>
      </w:r>
      <w:r>
        <w:rPr>
          <w:rStyle w:val="kleinschrift"/>
        </w:rPr>
        <w:t>1</w:t>
      </w:r>
      <w:r>
        <w:t xml:space="preserve">Den Beschäftigten ist pro Vierteljahr anstelle eines freien Wochenarbeitstages ein arbeitsfreier Sonntag zu gewähren. </w:t>
      </w:r>
      <w:r>
        <w:rPr>
          <w:rStyle w:val="kleinschrift"/>
        </w:rPr>
        <w:t>2</w:t>
      </w:r>
      <w:r>
        <w:t>Davon kann einvernehmlich abgewichen werden.</w:t>
      </w:r>
    </w:p>
    <w:p w:rsidR="00BE1EFE" w:rsidRPr="000B1AF8" w:rsidRDefault="00BE1EFE">
      <w:pPr>
        <w:pStyle w:val="StandardWeb"/>
      </w:pPr>
      <w:r>
        <w:t>(5) Für Beschäftigte, die arbeitsvertraglich ausschließlich zum Sonn- und Feiertagsdienst herangezogen werden, finden die Absätze 1 bis 4 keine Anwendung.</w:t>
      </w:r>
    </w:p>
    <w:p w:rsidR="00BE1EFE" w:rsidRDefault="00BE1EFE">
      <w:pPr>
        <w:pStyle w:val="berschrift5"/>
      </w:pPr>
      <w:bookmarkStart w:id="858" w:name="_Toc523926381"/>
      <w:r>
        <w:t>§ 10 Inkraftsetzung</w:t>
      </w:r>
      <w:bookmarkEnd w:id="85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Diese Dienstordnung tritt am 01. 01. 2001 in Kraft. </w:t>
      </w:r>
      <w:r>
        <w:rPr>
          <w:rStyle w:val="kleinschrift"/>
        </w:rPr>
        <w:t>2</w:t>
      </w:r>
      <w:r>
        <w:t>Gleichzeitig tritt die Dienst- und Vergütungsordnung vom 01. 01. 1992 außer Kraft.</w:t>
      </w:r>
    </w:p>
    <w:p w:rsidR="00BE1EFE" w:rsidRPr="000B1AF8" w:rsidRDefault="00BE1EFE">
      <w:pPr>
        <w:pStyle w:val="StandardWeb"/>
      </w:pPr>
      <w:r>
        <w:br w:type="page"/>
      </w:r>
    </w:p>
    <w:p w:rsidR="00BE1EFE" w:rsidRDefault="00BE1EFE" w:rsidP="00A045C0">
      <w:pPr>
        <w:pStyle w:val="berschrift5"/>
        <w:spacing w:before="0"/>
      </w:pPr>
      <w:bookmarkStart w:id="859" w:name="_Toc523926382"/>
      <w:r>
        <w:lastRenderedPageBreak/>
        <w:t>Anhang zu §§ 3 und 6 der Dienstordnung für Mesnerinnen und Mesner</w:t>
      </w:r>
      <w:bookmarkEnd w:id="859"/>
    </w:p>
    <w:tbl>
      <w:tblPr>
        <w:tblW w:w="5000" w:type="pct"/>
        <w:tblCellMar>
          <w:left w:w="0" w:type="dxa"/>
          <w:right w:w="0" w:type="dxa"/>
        </w:tblCellMar>
        <w:tblLook w:val="04A0" w:firstRow="1" w:lastRow="0" w:firstColumn="1" w:lastColumn="0" w:noHBand="0" w:noVBand="1"/>
      </w:tblPr>
      <w:tblGrid>
        <w:gridCol w:w="704"/>
        <w:gridCol w:w="89"/>
        <w:gridCol w:w="54"/>
        <w:gridCol w:w="635"/>
        <w:gridCol w:w="229"/>
        <w:gridCol w:w="1527"/>
        <w:gridCol w:w="518"/>
        <w:gridCol w:w="549"/>
        <w:gridCol w:w="146"/>
        <w:gridCol w:w="941"/>
        <w:gridCol w:w="190"/>
        <w:gridCol w:w="1109"/>
      </w:tblGrid>
      <w:tr w:rsidR="00BE1EFE" w:rsidTr="007A081D">
        <w:tc>
          <w:tcPr>
            <w:tcW w:w="1482" w:type="dxa"/>
            <w:gridSpan w:val="4"/>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t>Für die Pfarrei:</w:t>
            </w:r>
          </w:p>
        </w:tc>
        <w:tc>
          <w:tcPr>
            <w:tcW w:w="5209" w:type="dxa"/>
            <w:gridSpan w:val="8"/>
            <w:tcBorders>
              <w:top w:val="nil"/>
              <w:left w:val="nil"/>
              <w:bottom w:val="single" w:sz="8" w:space="0" w:color="auto"/>
              <w:right w:val="nil"/>
            </w:tcBorders>
            <w:hideMark/>
          </w:tcPr>
          <w:p w:rsidR="00BE1EFE" w:rsidRPr="000B1AF8" w:rsidRDefault="00BE1EFE" w:rsidP="0054275E">
            <w:pPr>
              <w:pStyle w:val="StandardWeb"/>
              <w:autoSpaceDE w:val="0"/>
            </w:pPr>
            <w:r>
              <w:rPr>
                <w:rStyle w:val="Fett"/>
                <w:bCs/>
              </w:rPr>
              <w:t> </w:t>
            </w:r>
          </w:p>
        </w:tc>
      </w:tr>
      <w:tr w:rsidR="00BE1EFE" w:rsidTr="007A081D">
        <w:tc>
          <w:tcPr>
            <w:tcW w:w="1482" w:type="dxa"/>
            <w:gridSpan w:val="4"/>
            <w:hideMark/>
          </w:tcPr>
          <w:p w:rsidR="00BE1EFE" w:rsidRPr="000B1AF8" w:rsidRDefault="00BE1EFE">
            <w:pPr>
              <w:pStyle w:val="StandardWeb"/>
            </w:pPr>
            <w:r>
              <w:t>Stelleninhaber:</w:t>
            </w:r>
          </w:p>
        </w:tc>
        <w:tc>
          <w:tcPr>
            <w:tcW w:w="5209" w:type="dxa"/>
            <w:gridSpan w:val="8"/>
            <w:tcBorders>
              <w:top w:val="nil"/>
              <w:left w:val="nil"/>
              <w:bottom w:val="single" w:sz="8" w:space="0" w:color="auto"/>
              <w:right w:val="nil"/>
            </w:tcBorders>
            <w:hideMark/>
          </w:tcPr>
          <w:p w:rsidR="00BE1EFE" w:rsidRDefault="00BE1EFE">
            <w:pPr>
              <w:rPr>
                <w:sz w:val="24"/>
              </w:rPr>
            </w:pPr>
            <w:r>
              <w:t> </w:t>
            </w:r>
          </w:p>
        </w:tc>
      </w:tr>
      <w:tr w:rsidR="00BE1EFE" w:rsidTr="007A081D">
        <w:tc>
          <w:tcPr>
            <w:tcW w:w="1482" w:type="dxa"/>
            <w:gridSpan w:val="4"/>
            <w:hideMark/>
          </w:tcPr>
          <w:p w:rsidR="00BE1EFE" w:rsidRPr="000B1AF8" w:rsidRDefault="00BE1EFE">
            <w:pPr>
              <w:pStyle w:val="StandardWeb"/>
            </w:pPr>
            <w:r>
              <w:t>Herr/Frau</w:t>
            </w:r>
          </w:p>
        </w:tc>
        <w:tc>
          <w:tcPr>
            <w:tcW w:w="5209" w:type="dxa"/>
            <w:gridSpan w:val="8"/>
            <w:tcBorders>
              <w:top w:val="nil"/>
              <w:left w:val="nil"/>
              <w:bottom w:val="single" w:sz="8" w:space="0" w:color="auto"/>
              <w:right w:val="nil"/>
            </w:tcBorders>
            <w:hideMark/>
          </w:tcPr>
          <w:p w:rsidR="00BE1EFE" w:rsidRDefault="00BE1EFE">
            <w:pPr>
              <w:rPr>
                <w:sz w:val="24"/>
              </w:rPr>
            </w:pPr>
            <w:r>
              <w:t> </w:t>
            </w:r>
          </w:p>
        </w:tc>
      </w:tr>
      <w:tr w:rsidR="00BE1EFE" w:rsidTr="007A081D">
        <w:tc>
          <w:tcPr>
            <w:tcW w:w="6691" w:type="dxa"/>
            <w:gridSpan w:val="12"/>
            <w:hideMark/>
          </w:tcPr>
          <w:p w:rsidR="00BE1EFE" w:rsidRDefault="00BE1EFE">
            <w:pPr>
              <w:rPr>
                <w:sz w:val="24"/>
              </w:rPr>
            </w:pPr>
            <w:r>
              <w:t> </w:t>
            </w:r>
          </w:p>
        </w:tc>
      </w:tr>
      <w:tr w:rsidR="00BE1EFE" w:rsidTr="00990FF9">
        <w:tc>
          <w:tcPr>
            <w:tcW w:w="704" w:type="dxa"/>
            <w:hideMark/>
          </w:tcPr>
          <w:p w:rsidR="00BE1EFE" w:rsidRPr="000B1AF8" w:rsidRDefault="00BE1EFE" w:rsidP="0054275E">
            <w:pPr>
              <w:pStyle w:val="StandardWeb"/>
              <w:autoSpaceDE w:val="0"/>
            </w:pPr>
            <w:r>
              <w:rPr>
                <w:rStyle w:val="Fett"/>
                <w:bCs/>
              </w:rPr>
              <w:t xml:space="preserve">1. </w:t>
            </w:r>
          </w:p>
        </w:tc>
        <w:tc>
          <w:tcPr>
            <w:tcW w:w="2534" w:type="dxa"/>
            <w:gridSpan w:val="5"/>
            <w:hideMark/>
          </w:tcPr>
          <w:p w:rsidR="00BE1EFE" w:rsidRPr="000B1AF8" w:rsidRDefault="00BE1EFE" w:rsidP="0054275E">
            <w:pPr>
              <w:pStyle w:val="StandardWeb"/>
              <w:autoSpaceDE w:val="0"/>
            </w:pPr>
            <w:r>
              <w:rPr>
                <w:rStyle w:val="Fett"/>
                <w:bCs/>
              </w:rPr>
              <w:t>Liturgischer 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tcBorders>
              <w:top w:val="nil"/>
              <w:left w:val="nil"/>
              <w:bottom w:val="single" w:sz="8" w:space="0" w:color="auto"/>
              <w:right w:val="nil"/>
            </w:tcBorders>
            <w:hideMark/>
          </w:tcPr>
          <w:p w:rsidR="00BE1EFE" w:rsidRPr="000B1AF8" w:rsidRDefault="00BE1EFE">
            <w:pPr>
              <w:pStyle w:val="StandardWeb"/>
            </w:pPr>
            <w:r>
              <w:t>anrechenbare 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tatsächliche Diensteinheit</w:t>
            </w:r>
          </w:p>
        </w:tc>
      </w:tr>
      <w:tr w:rsidR="00BE1EFE" w:rsidTr="00990FF9">
        <w:tc>
          <w:tcPr>
            <w:tcW w:w="704" w:type="dxa"/>
            <w:hideMark/>
          </w:tcPr>
          <w:p w:rsidR="00BE1EFE" w:rsidRPr="000B1AF8" w:rsidRDefault="00BE1EFE">
            <w:pPr>
              <w:pStyle w:val="StandardWeb"/>
            </w:pPr>
            <w:r>
              <w:t>1.1.</w:t>
            </w:r>
          </w:p>
        </w:tc>
        <w:tc>
          <w:tcPr>
            <w:tcW w:w="2534" w:type="dxa"/>
            <w:gridSpan w:val="5"/>
            <w:hideMark/>
          </w:tcPr>
          <w:p w:rsidR="00BE1EFE" w:rsidRPr="000B1AF8" w:rsidRDefault="00BE1EFE">
            <w:pPr>
              <w:pStyle w:val="StandardWeb"/>
            </w:pPr>
            <w:r>
              <w:t>Regelmäßiger Sonntagsdienst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1.1.1.</w:t>
            </w:r>
          </w:p>
        </w:tc>
        <w:tc>
          <w:tcPr>
            <w:tcW w:w="2534" w:type="dxa"/>
            <w:gridSpan w:val="5"/>
            <w:hideMark/>
          </w:tcPr>
          <w:p w:rsidR="00BE1EFE" w:rsidRPr="000B1AF8" w:rsidRDefault="00BE1EFE" w:rsidP="00990FF9">
            <w:pPr>
              <w:pStyle w:val="StandardWeb"/>
              <w:jc w:val="left"/>
            </w:pPr>
            <w:r>
              <w:t>Eucharistiefeiern Pfarr- oder Hauptgottesdienst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2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1.1.2.</w:t>
            </w:r>
          </w:p>
        </w:tc>
        <w:tc>
          <w:tcPr>
            <w:tcW w:w="2534" w:type="dxa"/>
            <w:gridSpan w:val="5"/>
            <w:hideMark/>
          </w:tcPr>
          <w:p w:rsidR="00BE1EFE" w:rsidRPr="000B1AF8" w:rsidRDefault="00BE1EFE" w:rsidP="00990FF9">
            <w:pPr>
              <w:pStyle w:val="StandardWeb"/>
              <w:jc w:val="left"/>
            </w:pPr>
            <w:r>
              <w:t>weitere Eucharistiefeiern je Gottesdienst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1.1.3.</w:t>
            </w:r>
          </w:p>
        </w:tc>
        <w:tc>
          <w:tcPr>
            <w:tcW w:w="2534" w:type="dxa"/>
            <w:gridSpan w:val="5"/>
            <w:hideMark/>
          </w:tcPr>
          <w:p w:rsidR="00BE1EFE" w:rsidRPr="000B1AF8" w:rsidRDefault="00BE1EFE">
            <w:pPr>
              <w:pStyle w:val="StandardWeb"/>
            </w:pPr>
            <w:r>
              <w:t>Andachten, Rosenkränze etc.</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¾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1.1. Zwischensumme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vAlign w:val="bottom"/>
            <w:hideMark/>
          </w:tcPr>
          <w:p w:rsidR="00BE1EFE" w:rsidRPr="000B1AF8" w:rsidRDefault="00BE1EFE">
            <w:pPr>
              <w:pStyle w:val="StandardWeb"/>
              <w:jc w:val="right"/>
            </w:pPr>
            <w:r>
              <w:t>D</w:t>
            </w:r>
          </w:p>
        </w:tc>
      </w:tr>
      <w:tr w:rsidR="00BE1EFE" w:rsidTr="007A081D">
        <w:tc>
          <w:tcPr>
            <w:tcW w:w="6691" w:type="dxa"/>
            <w:gridSpan w:val="12"/>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1.2.</w:t>
            </w:r>
          </w:p>
        </w:tc>
        <w:tc>
          <w:tcPr>
            <w:tcW w:w="2534" w:type="dxa"/>
            <w:gridSpan w:val="5"/>
            <w:hideMark/>
          </w:tcPr>
          <w:p w:rsidR="00BE1EFE" w:rsidRPr="000B1AF8" w:rsidRDefault="00BE1EFE">
            <w:pPr>
              <w:pStyle w:val="StandardWeb"/>
            </w:pPr>
            <w:r>
              <w:t>Regelmäßiger Werktagsdienst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vAlign w:val="bottom"/>
            <w:hideMark/>
          </w:tcPr>
          <w:p w:rsidR="00BE1EFE" w:rsidRDefault="00BE1EFE">
            <w:pPr>
              <w:rPr>
                <w:sz w:val="24"/>
              </w:rPr>
            </w:pPr>
            <w:r>
              <w:t> </w:t>
            </w:r>
          </w:p>
        </w:tc>
      </w:tr>
      <w:tr w:rsidR="00BE1EFE" w:rsidTr="00990FF9">
        <w:tc>
          <w:tcPr>
            <w:tcW w:w="704" w:type="dxa"/>
            <w:hideMark/>
          </w:tcPr>
          <w:p w:rsidR="00BE1EFE" w:rsidRPr="000B1AF8" w:rsidRDefault="00BE1EFE">
            <w:pPr>
              <w:pStyle w:val="StandardWeb"/>
            </w:pPr>
            <w:r>
              <w:t>1.2.1.</w:t>
            </w:r>
          </w:p>
        </w:tc>
        <w:tc>
          <w:tcPr>
            <w:tcW w:w="2534" w:type="dxa"/>
            <w:gridSpan w:val="5"/>
            <w:hideMark/>
          </w:tcPr>
          <w:p w:rsidR="00BE1EFE" w:rsidRPr="000B1AF8" w:rsidRDefault="00BE1EFE">
            <w:pPr>
              <w:pStyle w:val="StandardWeb"/>
            </w:pPr>
            <w:r>
              <w:t>Eucharistiefeiern, Werktagsmessen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704" w:type="dxa"/>
            <w:hideMark/>
          </w:tcPr>
          <w:p w:rsidR="00BE1EFE" w:rsidRPr="000B1AF8" w:rsidRDefault="00BE1EFE">
            <w:pPr>
              <w:pStyle w:val="StandardWeb"/>
            </w:pPr>
            <w:r>
              <w:t>1.2.2.</w:t>
            </w:r>
          </w:p>
        </w:tc>
        <w:tc>
          <w:tcPr>
            <w:tcW w:w="2534" w:type="dxa"/>
            <w:gridSpan w:val="5"/>
            <w:hideMark/>
          </w:tcPr>
          <w:p w:rsidR="00BE1EFE" w:rsidRPr="000B1AF8" w:rsidRDefault="00BE1EFE">
            <w:pPr>
              <w:pStyle w:val="StandardWeb"/>
            </w:pPr>
            <w:r>
              <w:t>Andachten, Rosenkränze etc.</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je ½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1.2. Zwischensumme: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04" w:type="dxa"/>
            <w:hideMark/>
          </w:tcPr>
          <w:p w:rsidR="00BE1EFE" w:rsidRDefault="00BE1EFE">
            <w:pPr>
              <w:rPr>
                <w:sz w:val="24"/>
              </w:rPr>
            </w:pPr>
            <w:r>
              <w:t> </w:t>
            </w:r>
          </w:p>
        </w:tc>
        <w:tc>
          <w:tcPr>
            <w:tcW w:w="2534" w:type="dxa"/>
            <w:gridSpan w:val="5"/>
            <w:hideMark/>
          </w:tcPr>
          <w:p w:rsidR="00BE1EFE" w:rsidRDefault="00BE1EFE">
            <w:pPr>
              <w:rPr>
                <w:sz w:val="24"/>
              </w:rPr>
            </w:pPr>
            <w:r>
              <w:t> </w:t>
            </w:r>
          </w:p>
        </w:tc>
        <w:tc>
          <w:tcPr>
            <w:tcW w:w="2154" w:type="dxa"/>
            <w:gridSpan w:val="4"/>
            <w:hideMark/>
          </w:tcPr>
          <w:p w:rsidR="00BE1EFE" w:rsidRPr="000B1AF8" w:rsidRDefault="00BE1EFE">
            <w:pPr>
              <w:pStyle w:val="StandardWeb"/>
              <w:jc w:val="right"/>
            </w:pPr>
            <w:r>
              <w:t>1.1. + 1.2.   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 1.1. + 1.2.) : 7 = Tagesdurchschnitt (TD)</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 1.1. + 1.2.) x (52) = Jahressumme I</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1711" w:type="dxa"/>
            <w:gridSpan w:val="5"/>
            <w:hideMark/>
          </w:tcPr>
          <w:p w:rsidR="00BE1EFE" w:rsidRDefault="00BE1EFE">
            <w:pPr>
              <w:rPr>
                <w:sz w:val="24"/>
              </w:rPr>
            </w:pPr>
            <w:r>
              <w:t> </w:t>
            </w:r>
          </w:p>
        </w:tc>
        <w:tc>
          <w:tcPr>
            <w:tcW w:w="1527" w:type="dxa"/>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p>
        </w:tc>
      </w:tr>
      <w:tr w:rsidR="00BE1EFE" w:rsidTr="00990FF9">
        <w:tc>
          <w:tcPr>
            <w:tcW w:w="1711" w:type="dxa"/>
            <w:gridSpan w:val="5"/>
            <w:hideMark/>
          </w:tcPr>
          <w:p w:rsidR="00BE1EFE" w:rsidRPr="000B1AF8" w:rsidRDefault="00BE1EFE" w:rsidP="0054275E">
            <w:pPr>
              <w:pStyle w:val="StandardWeb"/>
              <w:autoSpaceDE w:val="0"/>
            </w:pPr>
            <w:r>
              <w:rPr>
                <w:rStyle w:val="Fett"/>
                <w:bCs/>
              </w:rPr>
              <w:t>Berechnung:</w:t>
            </w:r>
          </w:p>
        </w:tc>
        <w:tc>
          <w:tcPr>
            <w:tcW w:w="1527" w:type="dxa"/>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7A081D">
        <w:tc>
          <w:tcPr>
            <w:tcW w:w="6691" w:type="dxa"/>
            <w:gridSpan w:val="12"/>
            <w:hideMark/>
          </w:tcPr>
          <w:p w:rsidR="00BE1EFE" w:rsidRDefault="00BE1EFE">
            <w:pPr>
              <w:rPr>
                <w:sz w:val="24"/>
              </w:rPr>
            </w:pPr>
            <w:r>
              <w:t> </w:t>
            </w:r>
          </w:p>
        </w:tc>
      </w:tr>
      <w:tr w:rsidR="00BE1EFE" w:rsidTr="00990FF9">
        <w:tc>
          <w:tcPr>
            <w:tcW w:w="5392" w:type="dxa"/>
            <w:gridSpan w:val="10"/>
            <w:hideMark/>
          </w:tcPr>
          <w:p w:rsidR="00BE1EFE" w:rsidRPr="000B1AF8" w:rsidRDefault="00BE1EFE">
            <w:pPr>
              <w:pStyle w:val="StandardWeb"/>
            </w:pPr>
            <w:r>
              <w:t>TD + Zuschlag = Summe der Diensteinheiten (D)</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Zusätzliche Fest- und Feiertagsdienste sind in der Liste anzuführen und eigens zu begründen</w:t>
            </w:r>
          </w:p>
        </w:tc>
      </w:tr>
      <w:tr w:rsidR="00BE1EFE" w:rsidTr="007A081D">
        <w:tc>
          <w:tcPr>
            <w:tcW w:w="6691" w:type="dxa"/>
            <w:gridSpan w:val="12"/>
            <w:hideMark/>
          </w:tcPr>
          <w:p w:rsidR="00BE1EFE" w:rsidRDefault="00BE1EFE">
            <w:pPr>
              <w:rPr>
                <w:sz w:val="24"/>
              </w:rPr>
            </w:pPr>
            <w:r>
              <w:t> </w:t>
            </w:r>
          </w:p>
        </w:tc>
      </w:tr>
      <w:tr w:rsidR="00BE1EFE" w:rsidTr="00990FF9">
        <w:trPr>
          <w:trHeight w:val="398"/>
        </w:trPr>
        <w:tc>
          <w:tcPr>
            <w:tcW w:w="847" w:type="dxa"/>
            <w:gridSpan w:val="3"/>
            <w:tcBorders>
              <w:top w:val="nil"/>
              <w:left w:val="nil"/>
              <w:bottom w:val="single" w:sz="8" w:space="0" w:color="auto"/>
              <w:right w:val="nil"/>
            </w:tcBorders>
            <w:hideMark/>
          </w:tcPr>
          <w:p w:rsidR="00BE1EFE" w:rsidRPr="000B1AF8" w:rsidRDefault="00BE1EFE">
            <w:pPr>
              <w:pStyle w:val="StandardWeb"/>
            </w:pPr>
            <w:r>
              <w:t>1.3.</w:t>
            </w:r>
          </w:p>
        </w:tc>
        <w:tc>
          <w:tcPr>
            <w:tcW w:w="2391" w:type="dxa"/>
            <w:gridSpan w:val="3"/>
            <w:tcBorders>
              <w:top w:val="nil"/>
              <w:left w:val="nil"/>
              <w:bottom w:val="single" w:sz="8" w:space="0" w:color="auto"/>
              <w:right w:val="nil"/>
            </w:tcBorders>
            <w:hideMark/>
          </w:tcPr>
          <w:p w:rsidR="00BE1EFE" w:rsidRPr="000B1AF8" w:rsidRDefault="00BE1EFE">
            <w:pPr>
              <w:pStyle w:val="StandardWeb"/>
            </w:pPr>
            <w:r>
              <w:t>Fest- und Feiertagsdienst</w:t>
            </w:r>
          </w:p>
        </w:tc>
        <w:tc>
          <w:tcPr>
            <w:tcW w:w="518" w:type="dxa"/>
            <w:tcBorders>
              <w:top w:val="nil"/>
              <w:left w:val="nil"/>
              <w:bottom w:val="single" w:sz="8" w:space="0" w:color="auto"/>
              <w:right w:val="nil"/>
            </w:tcBorders>
            <w:hideMark/>
          </w:tcPr>
          <w:p w:rsidR="00BE1EFE" w:rsidRPr="000B1AF8" w:rsidRDefault="00BE1EFE">
            <w:pPr>
              <w:pStyle w:val="StandardWeb"/>
            </w:pPr>
            <w:r>
              <w:t>TD</w:t>
            </w:r>
          </w:p>
        </w:tc>
        <w:tc>
          <w:tcPr>
            <w:tcW w:w="1636" w:type="dxa"/>
            <w:gridSpan w:val="3"/>
            <w:tcBorders>
              <w:top w:val="nil"/>
              <w:left w:val="nil"/>
              <w:bottom w:val="single" w:sz="8" w:space="0" w:color="auto"/>
              <w:right w:val="nil"/>
            </w:tcBorders>
            <w:hideMark/>
          </w:tcPr>
          <w:p w:rsidR="00BE1EFE" w:rsidRPr="000B1AF8" w:rsidRDefault="00BE1EFE">
            <w:pPr>
              <w:pStyle w:val="StandardWeb"/>
            </w:pPr>
            <w:r>
              <w:t>+ Zuschlag</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 Summe der Diensteinh. (D)</w:t>
            </w:r>
          </w:p>
        </w:tc>
      </w:tr>
      <w:tr w:rsidR="00BE1EFE" w:rsidTr="00990FF9">
        <w:tc>
          <w:tcPr>
            <w:tcW w:w="847" w:type="dxa"/>
            <w:gridSpan w:val="3"/>
            <w:hideMark/>
          </w:tcPr>
          <w:p w:rsidR="00BE1EFE" w:rsidRPr="000B1AF8" w:rsidRDefault="00BE1EFE">
            <w:pPr>
              <w:pStyle w:val="StandardWeb"/>
            </w:pPr>
            <w:r>
              <w:t>1.3.1.</w:t>
            </w:r>
          </w:p>
        </w:tc>
        <w:tc>
          <w:tcPr>
            <w:tcW w:w="2391" w:type="dxa"/>
            <w:gridSpan w:val="3"/>
            <w:hideMark/>
          </w:tcPr>
          <w:p w:rsidR="00BE1EFE" w:rsidRPr="000B1AF8" w:rsidRDefault="00BE1EFE">
            <w:pPr>
              <w:pStyle w:val="StandardWeb"/>
            </w:pPr>
            <w:r>
              <w:t>Neujahr</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w:t>
            </w:r>
          </w:p>
        </w:tc>
        <w:tc>
          <w:tcPr>
            <w:tcW w:w="2909" w:type="dxa"/>
            <w:gridSpan w:val="4"/>
            <w:hideMark/>
          </w:tcPr>
          <w:p w:rsidR="00BE1EFE" w:rsidRPr="000B1AF8" w:rsidRDefault="00BE1EFE">
            <w:pPr>
              <w:pStyle w:val="StandardWeb"/>
            </w:pPr>
            <w:r>
              <w:t>Fest d. Erscheinung des Herrn</w:t>
            </w:r>
          </w:p>
        </w:tc>
        <w:tc>
          <w:tcPr>
            <w:tcW w:w="1636" w:type="dxa"/>
            <w:gridSpan w:val="3"/>
            <w:hideMark/>
          </w:tcPr>
          <w:p w:rsidR="00BE1EFE" w:rsidRPr="000B1AF8" w:rsidRDefault="00BE1EFE">
            <w:pPr>
              <w:pStyle w:val="StandardWeb"/>
            </w:pPr>
            <w:r>
              <w:t>+ 3</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1.3.3.</w:t>
            </w:r>
          </w:p>
        </w:tc>
        <w:tc>
          <w:tcPr>
            <w:tcW w:w="2391" w:type="dxa"/>
            <w:gridSpan w:val="3"/>
            <w:hideMark/>
          </w:tcPr>
          <w:p w:rsidR="00BE1EFE" w:rsidRPr="000B1AF8" w:rsidRDefault="00BE1EFE">
            <w:pPr>
              <w:pStyle w:val="StandardWeb"/>
            </w:pPr>
            <w:r>
              <w:t>Lichtmess und Blasius</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1.3.4.</w:t>
            </w:r>
          </w:p>
        </w:tc>
        <w:tc>
          <w:tcPr>
            <w:tcW w:w="2391" w:type="dxa"/>
            <w:gridSpan w:val="3"/>
            <w:hideMark/>
          </w:tcPr>
          <w:p w:rsidR="00BE1EFE" w:rsidRPr="000B1AF8" w:rsidRDefault="00BE1EFE">
            <w:pPr>
              <w:pStyle w:val="StandardWeb"/>
            </w:pPr>
            <w:r>
              <w:t>Aschermittwoch</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1.3.5.</w:t>
            </w:r>
          </w:p>
        </w:tc>
        <w:tc>
          <w:tcPr>
            <w:tcW w:w="2391" w:type="dxa"/>
            <w:gridSpan w:val="3"/>
            <w:hideMark/>
          </w:tcPr>
          <w:p w:rsidR="00BE1EFE" w:rsidRPr="000B1AF8" w:rsidRDefault="00BE1EFE">
            <w:pPr>
              <w:pStyle w:val="StandardWeb"/>
            </w:pPr>
            <w:r>
              <w:t>Palmsonntag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1.3.6.</w:t>
            </w:r>
          </w:p>
        </w:tc>
        <w:tc>
          <w:tcPr>
            <w:tcW w:w="2391" w:type="dxa"/>
            <w:gridSpan w:val="3"/>
            <w:hideMark/>
          </w:tcPr>
          <w:p w:rsidR="00BE1EFE" w:rsidRPr="000B1AF8" w:rsidRDefault="00BE1EFE">
            <w:pPr>
              <w:pStyle w:val="StandardWeb"/>
            </w:pPr>
            <w:r>
              <w:t>Gründonnerstag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1.3.7.</w:t>
            </w:r>
          </w:p>
        </w:tc>
        <w:tc>
          <w:tcPr>
            <w:tcW w:w="2391" w:type="dxa"/>
            <w:gridSpan w:val="3"/>
            <w:hideMark/>
          </w:tcPr>
          <w:p w:rsidR="00BE1EFE" w:rsidRPr="000B1AF8" w:rsidRDefault="00BE1EFE">
            <w:pPr>
              <w:pStyle w:val="StandardWeb"/>
            </w:pPr>
            <w:r>
              <w:t>Karfreitag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1.3.8.</w:t>
            </w:r>
          </w:p>
        </w:tc>
        <w:tc>
          <w:tcPr>
            <w:tcW w:w="2391" w:type="dxa"/>
            <w:gridSpan w:val="3"/>
            <w:hideMark/>
          </w:tcPr>
          <w:p w:rsidR="00BE1EFE" w:rsidRPr="000B1AF8" w:rsidRDefault="00BE1EFE">
            <w:pPr>
              <w:pStyle w:val="StandardWeb"/>
            </w:pPr>
            <w:r>
              <w:t>Karsamstag mit Osternacht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1.3.9.</w:t>
            </w:r>
          </w:p>
        </w:tc>
        <w:tc>
          <w:tcPr>
            <w:tcW w:w="2391" w:type="dxa"/>
            <w:gridSpan w:val="3"/>
            <w:hideMark/>
          </w:tcPr>
          <w:p w:rsidR="00BE1EFE" w:rsidRPr="000B1AF8" w:rsidRDefault="00BE1EFE">
            <w:pPr>
              <w:pStyle w:val="StandardWeb"/>
            </w:pPr>
            <w:r>
              <w:t>Ostermontag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1.3.10.</w:t>
            </w:r>
          </w:p>
        </w:tc>
        <w:tc>
          <w:tcPr>
            <w:tcW w:w="2391" w:type="dxa"/>
            <w:gridSpan w:val="3"/>
            <w:hideMark/>
          </w:tcPr>
          <w:p w:rsidR="00BE1EFE" w:rsidRPr="000B1AF8" w:rsidRDefault="00BE1EFE">
            <w:pPr>
              <w:pStyle w:val="StandardWeb"/>
            </w:pPr>
            <w:r>
              <w:t>Weißer Sonntag (m. Erstkom.)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1.3.11.</w:t>
            </w:r>
          </w:p>
        </w:tc>
        <w:tc>
          <w:tcPr>
            <w:tcW w:w="2391" w:type="dxa"/>
            <w:gridSpan w:val="3"/>
            <w:hideMark/>
          </w:tcPr>
          <w:p w:rsidR="00BE1EFE" w:rsidRPr="000B1AF8" w:rsidRDefault="00BE1EFE">
            <w:pPr>
              <w:pStyle w:val="StandardWeb"/>
            </w:pPr>
            <w:r>
              <w:t>Bittgänge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+ 3</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1.3.12.</w:t>
            </w:r>
          </w:p>
        </w:tc>
        <w:tc>
          <w:tcPr>
            <w:tcW w:w="2391" w:type="dxa"/>
            <w:gridSpan w:val="3"/>
            <w:hideMark/>
          </w:tcPr>
          <w:p w:rsidR="00BE1EFE" w:rsidRPr="000B1AF8" w:rsidRDefault="00BE1EFE">
            <w:pPr>
              <w:pStyle w:val="StandardWeb"/>
            </w:pPr>
            <w:r>
              <w:t>Christi Himmelfahrt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1.3.13.</w:t>
            </w:r>
          </w:p>
        </w:tc>
        <w:tc>
          <w:tcPr>
            <w:tcW w:w="2391" w:type="dxa"/>
            <w:gridSpan w:val="3"/>
            <w:hideMark/>
          </w:tcPr>
          <w:p w:rsidR="00BE1EFE" w:rsidRPr="000B1AF8" w:rsidRDefault="00BE1EFE">
            <w:pPr>
              <w:pStyle w:val="StandardWeb"/>
            </w:pPr>
            <w:r>
              <w:t>Pfingstmontag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1.3.14.</w:t>
            </w:r>
          </w:p>
        </w:tc>
        <w:tc>
          <w:tcPr>
            <w:tcW w:w="2391" w:type="dxa"/>
            <w:gridSpan w:val="3"/>
            <w:hideMark/>
          </w:tcPr>
          <w:p w:rsidR="00BE1EFE" w:rsidRPr="000B1AF8" w:rsidRDefault="00BE1EFE">
            <w:pPr>
              <w:pStyle w:val="StandardWeb"/>
            </w:pPr>
            <w:r>
              <w:t>Fronleichnam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+ 6</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lastRenderedPageBreak/>
              <w:t>1.3.15.</w:t>
            </w:r>
          </w:p>
        </w:tc>
        <w:tc>
          <w:tcPr>
            <w:tcW w:w="2391" w:type="dxa"/>
            <w:gridSpan w:val="3"/>
            <w:hideMark/>
          </w:tcPr>
          <w:p w:rsidR="00BE1EFE" w:rsidRPr="000B1AF8" w:rsidRDefault="00BE1EFE">
            <w:pPr>
              <w:pStyle w:val="StandardWeb"/>
            </w:pPr>
            <w:r>
              <w:t>Mariä Himmelfahrt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1.3.16.</w:t>
            </w:r>
          </w:p>
        </w:tc>
        <w:tc>
          <w:tcPr>
            <w:tcW w:w="2391" w:type="dxa"/>
            <w:gridSpan w:val="3"/>
            <w:hideMark/>
          </w:tcPr>
          <w:p w:rsidR="00BE1EFE" w:rsidRPr="000B1AF8" w:rsidRDefault="00BE1EFE">
            <w:pPr>
              <w:pStyle w:val="StandardWeb"/>
            </w:pPr>
            <w:r>
              <w:t>Kirchweihfest</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1.3.17.</w:t>
            </w:r>
          </w:p>
        </w:tc>
        <w:tc>
          <w:tcPr>
            <w:tcW w:w="2391" w:type="dxa"/>
            <w:gridSpan w:val="3"/>
            <w:hideMark/>
          </w:tcPr>
          <w:p w:rsidR="00BE1EFE" w:rsidRPr="000B1AF8" w:rsidRDefault="00BE1EFE">
            <w:pPr>
              <w:pStyle w:val="StandardWeb"/>
            </w:pPr>
            <w:r>
              <w:t>Allerheiligen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1.3.18.</w:t>
            </w:r>
          </w:p>
        </w:tc>
        <w:tc>
          <w:tcPr>
            <w:tcW w:w="2391" w:type="dxa"/>
            <w:gridSpan w:val="3"/>
            <w:hideMark/>
          </w:tcPr>
          <w:p w:rsidR="00BE1EFE" w:rsidRPr="000B1AF8" w:rsidRDefault="00BE1EFE">
            <w:pPr>
              <w:pStyle w:val="StandardWeb"/>
            </w:pPr>
            <w:r>
              <w:t>Allerheiligen (Friedhofgang)</w:t>
            </w:r>
          </w:p>
        </w:tc>
        <w:tc>
          <w:tcPr>
            <w:tcW w:w="518" w:type="dxa"/>
            <w:hideMark/>
          </w:tcPr>
          <w:p w:rsidR="00BE1EFE" w:rsidRPr="000B1AF8" w:rsidRDefault="00BE1EFE">
            <w:pPr>
              <w:pStyle w:val="StandardWeb"/>
            </w:pPr>
            <w:r>
              <w:t>0,00</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1.3.19.</w:t>
            </w:r>
          </w:p>
        </w:tc>
        <w:tc>
          <w:tcPr>
            <w:tcW w:w="2391" w:type="dxa"/>
            <w:gridSpan w:val="3"/>
            <w:hideMark/>
          </w:tcPr>
          <w:p w:rsidR="00BE1EFE" w:rsidRPr="000B1AF8" w:rsidRDefault="00BE1EFE">
            <w:pPr>
              <w:pStyle w:val="StandardWeb"/>
            </w:pPr>
            <w:r>
              <w:t>Allerseelen (Friedhofgang)</w:t>
            </w:r>
          </w:p>
        </w:tc>
        <w:tc>
          <w:tcPr>
            <w:tcW w:w="518" w:type="dxa"/>
            <w:hideMark/>
          </w:tcPr>
          <w:p w:rsidR="00BE1EFE" w:rsidRPr="000B1AF8" w:rsidRDefault="00BE1EFE">
            <w:pPr>
              <w:pStyle w:val="StandardWeb"/>
            </w:pPr>
            <w:r>
              <w:t>0,00</w:t>
            </w:r>
          </w:p>
        </w:tc>
        <w:tc>
          <w:tcPr>
            <w:tcW w:w="1636" w:type="dxa"/>
            <w:gridSpan w:val="3"/>
            <w:hideMark/>
          </w:tcPr>
          <w:p w:rsidR="00BE1EFE" w:rsidRPr="000B1AF8" w:rsidRDefault="00BE1EFE">
            <w:pPr>
              <w:pStyle w:val="StandardWeb"/>
            </w:pPr>
            <w:r>
              <w:t>+ 2</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1.3.20.</w:t>
            </w:r>
          </w:p>
        </w:tc>
        <w:tc>
          <w:tcPr>
            <w:tcW w:w="2391" w:type="dxa"/>
            <w:gridSpan w:val="3"/>
            <w:hideMark/>
          </w:tcPr>
          <w:p w:rsidR="00BE1EFE" w:rsidRPr="000B1AF8" w:rsidRDefault="00BE1EFE">
            <w:pPr>
              <w:pStyle w:val="StandardWeb"/>
            </w:pPr>
            <w:r>
              <w:t>Kindermette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1.3.21.</w:t>
            </w:r>
          </w:p>
        </w:tc>
        <w:tc>
          <w:tcPr>
            <w:tcW w:w="2391" w:type="dxa"/>
            <w:gridSpan w:val="3"/>
            <w:hideMark/>
          </w:tcPr>
          <w:p w:rsidR="00BE1EFE" w:rsidRPr="000B1AF8" w:rsidRDefault="00BE1EFE">
            <w:pPr>
              <w:pStyle w:val="StandardWeb"/>
            </w:pPr>
            <w:r>
              <w:t>Christmette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1.3.22.</w:t>
            </w:r>
          </w:p>
        </w:tc>
        <w:tc>
          <w:tcPr>
            <w:tcW w:w="2391" w:type="dxa"/>
            <w:gridSpan w:val="3"/>
            <w:hideMark/>
          </w:tcPr>
          <w:p w:rsidR="00BE1EFE" w:rsidRPr="000B1AF8" w:rsidRDefault="00BE1EFE">
            <w:pPr>
              <w:pStyle w:val="StandardWeb"/>
            </w:pPr>
            <w:r>
              <w:t>1. Weihnachtsfeiertag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1.3.23.</w:t>
            </w:r>
          </w:p>
        </w:tc>
        <w:tc>
          <w:tcPr>
            <w:tcW w:w="2391" w:type="dxa"/>
            <w:gridSpan w:val="3"/>
            <w:hideMark/>
          </w:tcPr>
          <w:p w:rsidR="00BE1EFE" w:rsidRPr="000B1AF8" w:rsidRDefault="00BE1EFE">
            <w:pPr>
              <w:pStyle w:val="StandardWeb"/>
            </w:pPr>
            <w:r>
              <w:t>2. Weihnachtsfeiertag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+ 2,5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1.3.24.</w:t>
            </w:r>
          </w:p>
        </w:tc>
        <w:tc>
          <w:tcPr>
            <w:tcW w:w="2391" w:type="dxa"/>
            <w:gridSpan w:val="3"/>
            <w:hideMark/>
          </w:tcPr>
          <w:p w:rsidR="00BE1EFE" w:rsidRPr="000B1AF8" w:rsidRDefault="00BE1EFE">
            <w:pPr>
              <w:pStyle w:val="StandardWeb"/>
            </w:pPr>
            <w:r>
              <w:t>Silvester</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1.3.25.</w:t>
            </w:r>
          </w:p>
        </w:tc>
        <w:tc>
          <w:tcPr>
            <w:tcW w:w="2391" w:type="dxa"/>
            <w:gridSpan w:val="3"/>
            <w:hideMark/>
          </w:tcPr>
          <w:p w:rsidR="00BE1EFE" w:rsidRPr="000B1AF8" w:rsidRDefault="00BE1EFE">
            <w:pPr>
              <w:pStyle w:val="StandardWeb"/>
            </w:pPr>
            <w:r>
              <w:t>Ewige Anbetung</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1.3.26</w:t>
            </w:r>
          </w:p>
        </w:tc>
        <w:tc>
          <w:tcPr>
            <w:tcW w:w="2391" w:type="dxa"/>
            <w:gridSpan w:val="3"/>
            <w:hideMark/>
          </w:tcPr>
          <w:p w:rsidR="00BE1EFE" w:rsidRPr="000B1AF8" w:rsidRDefault="00BE1EFE">
            <w:pPr>
              <w:pStyle w:val="StandardWeb"/>
            </w:pPr>
            <w:r>
              <w:t>Patrozinium</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+ 0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1.3.27.</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1.3.28.</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1.3.29.</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1.3.30.</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Pr="000B1AF8" w:rsidRDefault="00BE1EFE">
            <w:pPr>
              <w:pStyle w:val="StandardWeb"/>
            </w:pPr>
            <w:r>
              <w:t>Gesamtsumme: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Pr="000B1AF8" w:rsidRDefault="00BE1EFE">
            <w:pPr>
              <w:pStyle w:val="StandardWeb"/>
            </w:pPr>
            <w:r>
              <w:t>=</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rPr>
          <w:trHeight w:val="86"/>
        </w:trPr>
        <w:tc>
          <w:tcPr>
            <w:tcW w:w="847" w:type="dxa"/>
            <w:gridSpan w:val="3"/>
            <w:tcBorders>
              <w:top w:val="nil"/>
              <w:left w:val="nil"/>
              <w:bottom w:val="single" w:sz="8" w:space="0" w:color="auto"/>
              <w:right w:val="nil"/>
            </w:tcBorders>
            <w:hideMark/>
          </w:tcPr>
          <w:p w:rsidR="00BE1EFE" w:rsidRDefault="00BE1EFE">
            <w:pPr>
              <w:spacing w:line="86" w:lineRule="atLeast"/>
              <w:rPr>
                <w:sz w:val="24"/>
              </w:rPr>
            </w:pPr>
            <w:r>
              <w:t> </w:t>
            </w:r>
          </w:p>
        </w:tc>
        <w:tc>
          <w:tcPr>
            <w:tcW w:w="4545" w:type="dxa"/>
            <w:gridSpan w:val="7"/>
            <w:tcBorders>
              <w:top w:val="nil"/>
              <w:left w:val="nil"/>
              <w:bottom w:val="single" w:sz="8" w:space="0" w:color="auto"/>
              <w:right w:val="nil"/>
            </w:tcBorders>
            <w:hideMark/>
          </w:tcPr>
          <w:p w:rsidR="00BE1EFE" w:rsidRDefault="00BE1EFE">
            <w:pPr>
              <w:spacing w:line="86" w:lineRule="atLeast"/>
              <w:rPr>
                <w:sz w:val="24"/>
              </w:rPr>
            </w:pPr>
            <w:r>
              <w:t> </w:t>
            </w:r>
          </w:p>
        </w:tc>
        <w:tc>
          <w:tcPr>
            <w:tcW w:w="190" w:type="dxa"/>
            <w:tcBorders>
              <w:top w:val="nil"/>
              <w:left w:val="nil"/>
              <w:bottom w:val="single" w:sz="8" w:space="0" w:color="auto"/>
              <w:right w:val="nil"/>
            </w:tcBorders>
            <w:hideMark/>
          </w:tcPr>
          <w:p w:rsidR="00BE1EFE" w:rsidRDefault="00BE1EFE">
            <w:pPr>
              <w:spacing w:line="86" w:lineRule="atLeast"/>
              <w:rPr>
                <w:sz w:val="24"/>
              </w:rPr>
            </w:pPr>
            <w:r>
              <w:t> </w:t>
            </w:r>
          </w:p>
        </w:tc>
        <w:tc>
          <w:tcPr>
            <w:tcW w:w="1109" w:type="dxa"/>
            <w:tcBorders>
              <w:top w:val="nil"/>
              <w:left w:val="nil"/>
              <w:bottom w:val="single" w:sz="8" w:space="0" w:color="auto"/>
              <w:right w:val="nil"/>
            </w:tcBorders>
            <w:hideMark/>
          </w:tcPr>
          <w:p w:rsidR="00BE1EFE" w:rsidRDefault="00BE1EFE">
            <w:pPr>
              <w:spacing w:line="86" w:lineRule="atLeast"/>
              <w:rPr>
                <w:sz w:val="24"/>
              </w:rPr>
            </w:pPr>
            <w:r>
              <w:t> </w:t>
            </w:r>
          </w:p>
        </w:tc>
      </w:tr>
      <w:tr w:rsidR="00BE1EFE" w:rsidTr="00990FF9">
        <w:tc>
          <w:tcPr>
            <w:tcW w:w="847" w:type="dxa"/>
            <w:gridSpan w:val="3"/>
            <w:hideMark/>
          </w:tcPr>
          <w:p w:rsidR="00BE1EFE" w:rsidRDefault="00BE1EFE">
            <w:pPr>
              <w:rPr>
                <w:sz w:val="24"/>
              </w:rPr>
            </w:pPr>
            <w:r>
              <w:t> </w:t>
            </w:r>
          </w:p>
        </w:tc>
        <w:tc>
          <w:tcPr>
            <w:tcW w:w="4545" w:type="dxa"/>
            <w:gridSpan w:val="7"/>
            <w:hideMark/>
          </w:tcPr>
          <w:p w:rsidR="00BE1EFE" w:rsidRPr="000B1AF8" w:rsidRDefault="00BE1EFE">
            <w:pPr>
              <w:pStyle w:val="StandardWeb"/>
            </w:pPr>
            <w:r>
              <w:t>Summe: 1.3.1. bis 1.3.30. = Jahressumme II</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r>
              <w:t> </w:t>
            </w:r>
          </w:p>
        </w:tc>
      </w:tr>
      <w:tr w:rsidR="00BE1EFE" w:rsidTr="00990FF9">
        <w:tc>
          <w:tcPr>
            <w:tcW w:w="3238" w:type="dxa"/>
            <w:gridSpan w:val="6"/>
            <w:hideMark/>
          </w:tcPr>
          <w:p w:rsidR="00BE1EFE" w:rsidRPr="000B1AF8" w:rsidRDefault="00BE1EFE" w:rsidP="0054275E">
            <w:pPr>
              <w:pStyle w:val="StandardWeb"/>
              <w:autoSpaceDE w:val="0"/>
            </w:pPr>
            <w:r>
              <w:rPr>
                <w:rStyle w:val="Fett"/>
                <w:bCs/>
              </w:rPr>
              <w:t>Berechnung:</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Berechnungsgrundlage in der einzelnen Pfarrei ist der Durchschnitt der vorhergehenden drei Jahre</w:t>
            </w:r>
          </w:p>
        </w:tc>
      </w:tr>
      <w:tr w:rsidR="00BE1EFE" w:rsidTr="00990FF9">
        <w:tc>
          <w:tcPr>
            <w:tcW w:w="6691" w:type="dxa"/>
            <w:gridSpan w:val="12"/>
            <w:hideMark/>
          </w:tcPr>
          <w:p w:rsidR="00BE1EFE" w:rsidRPr="000B1AF8" w:rsidRDefault="00BE1EFE">
            <w:pPr>
              <w:pStyle w:val="StandardWeb"/>
            </w:pPr>
            <w:r>
              <w:t>Anzahl der Sondergottesdienste x anrechenbarer Dienst = tatsächlicher Dienst.</w:t>
            </w:r>
          </w:p>
        </w:tc>
      </w:tr>
      <w:tr w:rsidR="00BE1EFE" w:rsidTr="00990FF9">
        <w:tc>
          <w:tcPr>
            <w:tcW w:w="6691" w:type="dxa"/>
            <w:gridSpan w:val="12"/>
            <w:hideMark/>
          </w:tcPr>
          <w:p w:rsidR="00BE1EFE" w:rsidRPr="000B1AF8" w:rsidRDefault="00BE1EFE">
            <w:pPr>
              <w:pStyle w:val="StandardWeb"/>
            </w:pPr>
            <w:r>
              <w:t>Zusätzliche Sondergottesdienste sind in der Liste anzuführen und eigens zu begründen.</w:t>
            </w:r>
          </w:p>
        </w:tc>
      </w:tr>
      <w:tr w:rsidR="00BE1EFE" w:rsidTr="007A081D">
        <w:trPr>
          <w:trHeight w:val="368"/>
        </w:trPr>
        <w:tc>
          <w:tcPr>
            <w:tcW w:w="6691" w:type="dxa"/>
            <w:gridSpan w:val="12"/>
            <w:hideMark/>
          </w:tcPr>
          <w:p w:rsidR="00BE1EFE" w:rsidRDefault="00BE1EFE">
            <w:pPr>
              <w:rPr>
                <w:sz w:val="24"/>
              </w:rPr>
            </w:pPr>
            <w:r>
              <w:t> </w:t>
            </w:r>
          </w:p>
          <w:p w:rsidR="00BE1EFE" w:rsidRDefault="00BE1EFE" w:rsidP="007A081D">
            <w:pPr>
              <w:rPr>
                <w:sz w:val="24"/>
              </w:rPr>
            </w:pPr>
            <w:r>
              <w:t> </w:t>
            </w:r>
          </w:p>
        </w:tc>
      </w:tr>
      <w:tr w:rsidR="00BE1EFE" w:rsidTr="00990FF9">
        <w:tc>
          <w:tcPr>
            <w:tcW w:w="847" w:type="dxa"/>
            <w:gridSpan w:val="3"/>
            <w:tcBorders>
              <w:top w:val="nil"/>
              <w:left w:val="nil"/>
              <w:bottom w:val="single" w:sz="8" w:space="0" w:color="auto"/>
              <w:right w:val="nil"/>
            </w:tcBorders>
            <w:hideMark/>
          </w:tcPr>
          <w:p w:rsidR="00BE1EFE" w:rsidRPr="000B1AF8" w:rsidRDefault="00BE1EFE">
            <w:pPr>
              <w:pStyle w:val="StandardWeb"/>
            </w:pPr>
            <w:r>
              <w:t>1.4.</w:t>
            </w:r>
          </w:p>
        </w:tc>
        <w:tc>
          <w:tcPr>
            <w:tcW w:w="2391" w:type="dxa"/>
            <w:gridSpan w:val="3"/>
            <w:tcBorders>
              <w:top w:val="nil"/>
              <w:left w:val="nil"/>
              <w:bottom w:val="single" w:sz="8" w:space="0" w:color="auto"/>
              <w:right w:val="nil"/>
            </w:tcBorders>
            <w:hideMark/>
          </w:tcPr>
          <w:p w:rsidR="00BE1EFE" w:rsidRPr="000B1AF8" w:rsidRDefault="00BE1EFE">
            <w:pPr>
              <w:pStyle w:val="StandardWeb"/>
            </w:pPr>
            <w:r>
              <w:t>Sondergottesdienste</w:t>
            </w:r>
          </w:p>
        </w:tc>
        <w:tc>
          <w:tcPr>
            <w:tcW w:w="518" w:type="dxa"/>
            <w:tcBorders>
              <w:top w:val="nil"/>
              <w:left w:val="nil"/>
              <w:bottom w:val="single" w:sz="8" w:space="0" w:color="auto"/>
              <w:right w:val="nil"/>
            </w:tcBorders>
            <w:hideMark/>
          </w:tcPr>
          <w:p w:rsidR="00BE1EFE" w:rsidRDefault="00BE1EFE">
            <w:pPr>
              <w:rPr>
                <w:sz w:val="24"/>
              </w:rPr>
            </w:pPr>
            <w:r>
              <w:t> </w:t>
            </w:r>
          </w:p>
        </w:tc>
        <w:tc>
          <w:tcPr>
            <w:tcW w:w="1636" w:type="dxa"/>
            <w:gridSpan w:val="3"/>
            <w:tcBorders>
              <w:top w:val="nil"/>
              <w:left w:val="nil"/>
              <w:bottom w:val="single" w:sz="8" w:space="0" w:color="auto"/>
              <w:right w:val="nil"/>
            </w:tcBorders>
            <w:hideMark/>
          </w:tcPr>
          <w:p w:rsidR="00BE1EFE" w:rsidRPr="000B1AF8" w:rsidRDefault="00BE1EFE">
            <w:pPr>
              <w:pStyle w:val="StandardWeb"/>
            </w:pPr>
            <w:r>
              <w:t>anrechenbare 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tatsächliche Diensteinheit</w:t>
            </w:r>
          </w:p>
        </w:tc>
      </w:tr>
      <w:tr w:rsidR="00BE1EFE" w:rsidTr="00990FF9">
        <w:tc>
          <w:tcPr>
            <w:tcW w:w="847" w:type="dxa"/>
            <w:gridSpan w:val="3"/>
            <w:hideMark/>
          </w:tcPr>
          <w:p w:rsidR="00BE1EFE" w:rsidRPr="000B1AF8" w:rsidRDefault="00BE1EFE">
            <w:pPr>
              <w:pStyle w:val="StandardWeb"/>
            </w:pPr>
            <w:r>
              <w:t>1.4.1.</w:t>
            </w:r>
          </w:p>
        </w:tc>
        <w:tc>
          <w:tcPr>
            <w:tcW w:w="2391" w:type="dxa"/>
            <w:gridSpan w:val="3"/>
            <w:hideMark/>
          </w:tcPr>
          <w:p w:rsidR="00BE1EFE" w:rsidRPr="000B1AF8" w:rsidRDefault="00BE1EFE">
            <w:pPr>
              <w:pStyle w:val="StandardWeb"/>
            </w:pPr>
            <w:r>
              <w:t>Kreuzwegandachten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1.4.2.</w:t>
            </w:r>
          </w:p>
        </w:tc>
        <w:tc>
          <w:tcPr>
            <w:tcW w:w="2391" w:type="dxa"/>
            <w:gridSpan w:val="3"/>
            <w:hideMark/>
          </w:tcPr>
          <w:p w:rsidR="00BE1EFE" w:rsidRPr="000B1AF8" w:rsidRDefault="00BE1EFE">
            <w:pPr>
              <w:pStyle w:val="StandardWeb"/>
            </w:pPr>
            <w:r>
              <w:t>Maiandachten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1.4.3.</w:t>
            </w:r>
          </w:p>
        </w:tc>
        <w:tc>
          <w:tcPr>
            <w:tcW w:w="2391" w:type="dxa"/>
            <w:gridSpan w:val="3"/>
            <w:hideMark/>
          </w:tcPr>
          <w:p w:rsidR="00BE1EFE" w:rsidRPr="000B1AF8" w:rsidRDefault="00BE1EFE">
            <w:pPr>
              <w:pStyle w:val="StandardWeb"/>
            </w:pPr>
            <w:r>
              <w:t>Oktoberrosenkränze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1.4.4.</w:t>
            </w:r>
          </w:p>
        </w:tc>
        <w:tc>
          <w:tcPr>
            <w:tcW w:w="2391" w:type="dxa"/>
            <w:gridSpan w:val="3"/>
            <w:hideMark/>
          </w:tcPr>
          <w:p w:rsidR="00BE1EFE" w:rsidRPr="000B1AF8" w:rsidRDefault="00BE1EFE">
            <w:pPr>
              <w:pStyle w:val="StandardWeb"/>
            </w:pPr>
            <w:r>
              <w:t>Fatimarosenkränze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1.4.5.</w:t>
            </w:r>
          </w:p>
        </w:tc>
        <w:tc>
          <w:tcPr>
            <w:tcW w:w="2909" w:type="dxa"/>
            <w:gridSpan w:val="4"/>
            <w:hideMark/>
          </w:tcPr>
          <w:p w:rsidR="00BE1EFE" w:rsidRPr="000B1AF8" w:rsidRDefault="00BE1EFE">
            <w:pPr>
              <w:pStyle w:val="StandardWeb"/>
            </w:pPr>
            <w:r>
              <w:t>Hl. Stunde (vor Herz-Jesu-Freitag)</w:t>
            </w:r>
          </w:p>
        </w:tc>
        <w:tc>
          <w:tcPr>
            <w:tcW w:w="1636" w:type="dxa"/>
            <w:gridSpan w:val="3"/>
            <w:hideMark/>
          </w:tcPr>
          <w:p w:rsidR="00BE1EFE" w:rsidRPr="000B1AF8" w:rsidRDefault="00BE1EFE">
            <w:pPr>
              <w:pStyle w:val="StandardWeb"/>
            </w:pPr>
            <w:r>
              <w:t>12 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1.4.6.</w:t>
            </w:r>
          </w:p>
        </w:tc>
        <w:tc>
          <w:tcPr>
            <w:tcW w:w="2391" w:type="dxa"/>
            <w:gridSpan w:val="3"/>
            <w:hideMark/>
          </w:tcPr>
          <w:p w:rsidR="00BE1EFE" w:rsidRPr="000B1AF8" w:rsidRDefault="00BE1EFE">
            <w:pPr>
              <w:pStyle w:val="StandardWeb"/>
            </w:pPr>
            <w:r>
              <w:t>Schulanfangsgottesdienste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1.4.7.</w:t>
            </w:r>
          </w:p>
        </w:tc>
        <w:tc>
          <w:tcPr>
            <w:tcW w:w="2391" w:type="dxa"/>
            <w:gridSpan w:val="3"/>
            <w:hideMark/>
          </w:tcPr>
          <w:p w:rsidR="00BE1EFE" w:rsidRPr="000B1AF8" w:rsidRDefault="00BE1EFE">
            <w:pPr>
              <w:pStyle w:val="StandardWeb"/>
            </w:pPr>
            <w:r>
              <w:t>Schulschlussgottesdienste</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1.4.8.</w:t>
            </w:r>
          </w:p>
        </w:tc>
        <w:tc>
          <w:tcPr>
            <w:tcW w:w="2909" w:type="dxa"/>
            <w:gridSpan w:val="4"/>
            <w:hideMark/>
          </w:tcPr>
          <w:p w:rsidR="00BE1EFE" w:rsidRPr="000B1AF8" w:rsidRDefault="00BE1EFE" w:rsidP="00990FF9">
            <w:pPr>
              <w:pStyle w:val="StandardWeb"/>
              <w:jc w:val="left"/>
            </w:pPr>
            <w:r>
              <w:t>Gottesdienste außerhalb der regelmäßigen Gottesdienstordnung</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1.4.9.</w:t>
            </w:r>
          </w:p>
        </w:tc>
        <w:tc>
          <w:tcPr>
            <w:tcW w:w="2909" w:type="dxa"/>
            <w:gridSpan w:val="4"/>
            <w:hideMark/>
          </w:tcPr>
          <w:p w:rsidR="00BE1EFE" w:rsidRPr="000B1AF8" w:rsidRDefault="00BE1EFE">
            <w:pPr>
              <w:pStyle w:val="StandardWeb"/>
            </w:pPr>
            <w:r>
              <w:t>Hochzeiten m. Eucharistiefeier</w:t>
            </w:r>
          </w:p>
        </w:tc>
        <w:tc>
          <w:tcPr>
            <w:tcW w:w="1636" w:type="dxa"/>
            <w:gridSpan w:val="3"/>
            <w:hideMark/>
          </w:tcPr>
          <w:p w:rsidR="00BE1EFE" w:rsidRPr="000B1AF8" w:rsidRDefault="00BE1EFE">
            <w:pPr>
              <w:pStyle w:val="StandardWeb"/>
            </w:pPr>
            <w:r>
              <w:t>X 1,5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1.4.10.</w:t>
            </w:r>
          </w:p>
        </w:tc>
        <w:tc>
          <w:tcPr>
            <w:tcW w:w="2909" w:type="dxa"/>
            <w:gridSpan w:val="4"/>
            <w:hideMark/>
          </w:tcPr>
          <w:p w:rsidR="00BE1EFE" w:rsidRPr="000B1AF8" w:rsidRDefault="00BE1EFE">
            <w:pPr>
              <w:pStyle w:val="StandardWeb"/>
            </w:pPr>
            <w:r>
              <w:t>Hochzeiten o. Eucharistiefeier</w:t>
            </w:r>
          </w:p>
        </w:tc>
        <w:tc>
          <w:tcPr>
            <w:tcW w:w="1636" w:type="dxa"/>
            <w:gridSpan w:val="3"/>
            <w:hideMark/>
          </w:tcPr>
          <w:p w:rsidR="00BE1EFE" w:rsidRPr="000B1AF8" w:rsidRDefault="00BE1EFE">
            <w:pPr>
              <w:pStyle w:val="StandardWeb"/>
            </w:pPr>
            <w:r>
              <w:t>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1.4.11.</w:t>
            </w:r>
          </w:p>
        </w:tc>
        <w:tc>
          <w:tcPr>
            <w:tcW w:w="2391" w:type="dxa"/>
            <w:gridSpan w:val="3"/>
            <w:hideMark/>
          </w:tcPr>
          <w:p w:rsidR="00BE1EFE" w:rsidRPr="000B1AF8" w:rsidRDefault="00BE1EFE">
            <w:pPr>
              <w:pStyle w:val="StandardWeb"/>
            </w:pPr>
            <w:r>
              <w:t>Tauffeiern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0,5</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1.4.12.</w:t>
            </w:r>
          </w:p>
        </w:tc>
        <w:tc>
          <w:tcPr>
            <w:tcW w:w="2909" w:type="dxa"/>
            <w:gridSpan w:val="4"/>
            <w:hideMark/>
          </w:tcPr>
          <w:p w:rsidR="00BE1EFE" w:rsidRPr="000B1AF8" w:rsidRDefault="00BE1EFE">
            <w:pPr>
              <w:pStyle w:val="StandardWeb"/>
            </w:pPr>
            <w:r>
              <w:t>Beerdigung m. Eucharistiefeier</w:t>
            </w:r>
          </w:p>
        </w:tc>
        <w:tc>
          <w:tcPr>
            <w:tcW w:w="1636" w:type="dxa"/>
            <w:gridSpan w:val="3"/>
            <w:hideMark/>
          </w:tcPr>
          <w:p w:rsidR="00BE1EFE" w:rsidRPr="000B1AF8" w:rsidRDefault="00BE1EFE">
            <w:pPr>
              <w:pStyle w:val="StandardWeb"/>
            </w:pPr>
            <w:r>
              <w:t>X 2,0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1.4.13.</w:t>
            </w:r>
          </w:p>
        </w:tc>
        <w:tc>
          <w:tcPr>
            <w:tcW w:w="2391" w:type="dxa"/>
            <w:gridSpan w:val="3"/>
            <w:hideMark/>
          </w:tcPr>
          <w:p w:rsidR="00BE1EFE" w:rsidRPr="000B1AF8" w:rsidRDefault="00BE1EFE">
            <w:pPr>
              <w:pStyle w:val="StandardWeb"/>
            </w:pPr>
            <w:r>
              <w:t>Beerdigungen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 1,0</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1.4.14.</w:t>
            </w:r>
          </w:p>
        </w:tc>
        <w:tc>
          <w:tcPr>
            <w:tcW w:w="2391" w:type="dxa"/>
            <w:gridSpan w:val="3"/>
            <w:hideMark/>
          </w:tcPr>
          <w:p w:rsidR="00BE1EFE" w:rsidRPr="000B1AF8" w:rsidRDefault="00BE1EFE">
            <w:pPr>
              <w:pStyle w:val="StandardWeb"/>
            </w:pPr>
            <w:r>
              <w:t>Wallfahrten</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1.4.15.</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1.4.16.</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lastRenderedPageBreak/>
              <w:t>1.4.17.</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1.4.18.</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1.4.19.</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1.4.20.</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X</w:t>
            </w:r>
          </w:p>
        </w:tc>
        <w:tc>
          <w:tcPr>
            <w:tcW w:w="190" w:type="dxa"/>
            <w:hideMark/>
          </w:tcPr>
          <w:p w:rsidR="00BE1EFE" w:rsidRPr="000B1AF8" w:rsidRDefault="00BE1EFE">
            <w:pPr>
              <w:pStyle w:val="StandardWeb"/>
            </w:pPr>
            <w:r>
              <w:t>=</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3756" w:type="dxa"/>
            <w:gridSpan w:val="7"/>
            <w:hideMark/>
          </w:tcPr>
          <w:p w:rsidR="00BE1EFE" w:rsidRPr="000B1AF8" w:rsidRDefault="00BE1EFE">
            <w:pPr>
              <w:pStyle w:val="StandardWeb"/>
            </w:pPr>
            <w:r>
              <w:t>Summe: 1.4.1. bis 1.4.20. = Jahressumme III</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hideMark/>
          </w:tcPr>
          <w:p w:rsidR="00BE1EFE" w:rsidRDefault="00BE1EFE">
            <w:pPr>
              <w:rPr>
                <w:sz w:val="24"/>
              </w:rPr>
            </w:pPr>
            <w:r>
              <w:t> </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III:</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847" w:type="dxa"/>
            <w:gridSpan w:val="3"/>
          </w:tcPr>
          <w:p w:rsidR="00BE1EFE" w:rsidRDefault="00BE1EFE"/>
        </w:tc>
        <w:tc>
          <w:tcPr>
            <w:tcW w:w="2391" w:type="dxa"/>
            <w:gridSpan w:val="3"/>
          </w:tcPr>
          <w:p w:rsidR="00BE1EFE" w:rsidRDefault="00BE1EFE"/>
        </w:tc>
        <w:tc>
          <w:tcPr>
            <w:tcW w:w="518" w:type="dxa"/>
          </w:tcPr>
          <w:p w:rsidR="00BE1EFE" w:rsidRDefault="00BE1EFE"/>
        </w:tc>
        <w:tc>
          <w:tcPr>
            <w:tcW w:w="1636" w:type="dxa"/>
            <w:gridSpan w:val="3"/>
          </w:tcPr>
          <w:p w:rsidR="00BE1EFE" w:rsidRDefault="00BE1EFE">
            <w:pPr>
              <w:pStyle w:val="StandardWeb"/>
            </w:pPr>
          </w:p>
        </w:tc>
        <w:tc>
          <w:tcPr>
            <w:tcW w:w="190" w:type="dxa"/>
          </w:tcPr>
          <w:p w:rsidR="00BE1EFE" w:rsidRDefault="00BE1EFE"/>
        </w:tc>
        <w:tc>
          <w:tcPr>
            <w:tcW w:w="1109" w:type="dxa"/>
            <w:tcBorders>
              <w:top w:val="nil"/>
              <w:left w:val="nil"/>
              <w:bottom w:val="double" w:sz="4" w:space="0" w:color="auto"/>
              <w:right w:val="nil"/>
            </w:tcBorders>
          </w:tcPr>
          <w:p w:rsidR="00BE1EFE" w:rsidRDefault="00BE1EFE">
            <w:pPr>
              <w:pStyle w:val="StandardWeb"/>
              <w:jc w:val="right"/>
            </w:pPr>
          </w:p>
        </w:tc>
      </w:tr>
      <w:tr w:rsidR="00BE1EFE" w:rsidTr="00990FF9">
        <w:tc>
          <w:tcPr>
            <w:tcW w:w="847" w:type="dxa"/>
            <w:gridSpan w:val="3"/>
            <w:hideMark/>
          </w:tcPr>
          <w:p w:rsidR="00BE1EFE" w:rsidRPr="000B1AF8" w:rsidRDefault="00BE1EFE" w:rsidP="0054275E">
            <w:pPr>
              <w:pStyle w:val="StandardWeb"/>
              <w:autoSpaceDE w:val="0"/>
            </w:pPr>
            <w:r>
              <w:rPr>
                <w:rStyle w:val="Fett"/>
                <w:bCs/>
              </w:rPr>
              <w:t>2.</w:t>
            </w:r>
          </w:p>
        </w:tc>
        <w:tc>
          <w:tcPr>
            <w:tcW w:w="2391" w:type="dxa"/>
            <w:gridSpan w:val="3"/>
            <w:hideMark/>
          </w:tcPr>
          <w:p w:rsidR="00BE1EFE" w:rsidRPr="000B1AF8" w:rsidRDefault="00BE1EFE" w:rsidP="0054275E">
            <w:pPr>
              <w:pStyle w:val="StandardWeb"/>
              <w:autoSpaceDE w:val="0"/>
            </w:pPr>
            <w:r>
              <w:rPr>
                <w:rStyle w:val="Fett"/>
                <w:bCs/>
              </w:rPr>
              <w:t>Außerliturgischer Dienst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847" w:type="dxa"/>
            <w:gridSpan w:val="3"/>
            <w:tcBorders>
              <w:top w:val="nil"/>
              <w:left w:val="nil"/>
              <w:bottom w:val="single" w:sz="8" w:space="0" w:color="auto"/>
              <w:right w:val="nil"/>
            </w:tcBorders>
            <w:hideMark/>
          </w:tcPr>
          <w:p w:rsidR="00BE1EFE" w:rsidRPr="000B1AF8" w:rsidRDefault="00BE1EFE">
            <w:pPr>
              <w:pStyle w:val="StandardWeb"/>
            </w:pPr>
            <w:r>
              <w:t>2.1.</w:t>
            </w:r>
          </w:p>
        </w:tc>
        <w:tc>
          <w:tcPr>
            <w:tcW w:w="2909" w:type="dxa"/>
            <w:gridSpan w:val="4"/>
            <w:tcBorders>
              <w:top w:val="nil"/>
              <w:left w:val="nil"/>
              <w:bottom w:val="single" w:sz="8" w:space="0" w:color="auto"/>
              <w:right w:val="nil"/>
            </w:tcBorders>
            <w:hideMark/>
          </w:tcPr>
          <w:p w:rsidR="00BE1EFE" w:rsidRPr="000B1AF8" w:rsidRDefault="00BE1EFE" w:rsidP="00990FF9">
            <w:pPr>
              <w:pStyle w:val="StandardWeb"/>
              <w:jc w:val="left"/>
            </w:pPr>
            <w:r>
              <w:t>Regelmäßige Dienste (Das Über-schreiten bzw. Unterschreiten der Mindestdienste ist im Einzelfall zu begründen)</w:t>
            </w:r>
          </w:p>
        </w:tc>
        <w:tc>
          <w:tcPr>
            <w:tcW w:w="1636" w:type="dxa"/>
            <w:gridSpan w:val="3"/>
            <w:tcBorders>
              <w:top w:val="nil"/>
              <w:left w:val="nil"/>
              <w:bottom w:val="single" w:sz="8" w:space="0" w:color="auto"/>
              <w:right w:val="nil"/>
            </w:tcBorders>
            <w:hideMark/>
          </w:tcPr>
          <w:p w:rsidR="00BE1EFE" w:rsidRPr="000B1AF8" w:rsidRDefault="00BE1EFE">
            <w:pPr>
              <w:pStyle w:val="StandardWeb"/>
            </w:pPr>
            <w:r>
              <w:t>wöchentl. Mindestdiensteinheit</w:t>
            </w:r>
          </w:p>
        </w:tc>
        <w:tc>
          <w:tcPr>
            <w:tcW w:w="190" w:type="dxa"/>
            <w:tcBorders>
              <w:top w:val="nil"/>
              <w:left w:val="nil"/>
              <w:bottom w:val="single" w:sz="8" w:space="0" w:color="auto"/>
              <w:right w:val="nil"/>
            </w:tcBorders>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pPr>
            <w:r>
              <w:t>wöchentl. tatsächliche Diensteinheit</w:t>
            </w:r>
          </w:p>
        </w:tc>
      </w:tr>
      <w:tr w:rsidR="00BE1EFE" w:rsidTr="00990FF9">
        <w:tc>
          <w:tcPr>
            <w:tcW w:w="847" w:type="dxa"/>
            <w:gridSpan w:val="3"/>
            <w:hideMark/>
          </w:tcPr>
          <w:p w:rsidR="00BE1EFE" w:rsidRPr="000B1AF8" w:rsidRDefault="00BE1EFE">
            <w:pPr>
              <w:pStyle w:val="StandardWeb"/>
            </w:pPr>
            <w:r>
              <w:t>2.1.1.</w:t>
            </w:r>
          </w:p>
        </w:tc>
        <w:tc>
          <w:tcPr>
            <w:tcW w:w="2909" w:type="dxa"/>
            <w:gridSpan w:val="4"/>
            <w:hideMark/>
          </w:tcPr>
          <w:p w:rsidR="00BE1EFE" w:rsidRPr="000B1AF8" w:rsidRDefault="00BE1EFE" w:rsidP="00990FF9">
            <w:pPr>
              <w:pStyle w:val="StandardWeb"/>
              <w:jc w:val="left"/>
            </w:pPr>
            <w:r>
              <w:t>Anleiten und Beaufsichtigen der Ministrantinnen/ Ministranten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2.1.2.</w:t>
            </w:r>
          </w:p>
        </w:tc>
        <w:tc>
          <w:tcPr>
            <w:tcW w:w="2909" w:type="dxa"/>
            <w:gridSpan w:val="4"/>
            <w:hideMark/>
          </w:tcPr>
          <w:p w:rsidR="00BE1EFE" w:rsidRPr="000B1AF8" w:rsidRDefault="00BE1EFE" w:rsidP="00990FF9">
            <w:pPr>
              <w:pStyle w:val="StandardWeb"/>
              <w:jc w:val="left"/>
            </w:pPr>
            <w:r>
              <w:t>Aufbewahren und Pflege des Inventars, der Kirche und Sakristei, Sicherung der Kostbarkeiten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2.1.3.</w:t>
            </w:r>
          </w:p>
        </w:tc>
        <w:tc>
          <w:tcPr>
            <w:tcW w:w="2909" w:type="dxa"/>
            <w:gridSpan w:val="4"/>
            <w:hideMark/>
          </w:tcPr>
          <w:p w:rsidR="00BE1EFE" w:rsidRPr="000B1AF8" w:rsidRDefault="00BE1EFE" w:rsidP="00990FF9">
            <w:pPr>
              <w:pStyle w:val="StandardWeb"/>
              <w:jc w:val="left"/>
            </w:pPr>
            <w:r>
              <w:t>Sorge für das Ewige Licht, Weihwasser, Schmuck des Altars und der Kirche</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2.1.4.</w:t>
            </w:r>
          </w:p>
        </w:tc>
        <w:tc>
          <w:tcPr>
            <w:tcW w:w="2909" w:type="dxa"/>
            <w:gridSpan w:val="4"/>
            <w:hideMark/>
          </w:tcPr>
          <w:p w:rsidR="00BE1EFE" w:rsidRPr="000B1AF8" w:rsidRDefault="00BE1EFE" w:rsidP="00990FF9">
            <w:pPr>
              <w:pStyle w:val="StandardWeb"/>
              <w:jc w:val="left"/>
            </w:pPr>
            <w:r>
              <w:t>Betreuung des Schriftenstandes, der Schaukästen u. d. Opferkerzenständer</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2.1.5.</w:t>
            </w:r>
          </w:p>
        </w:tc>
        <w:tc>
          <w:tcPr>
            <w:tcW w:w="2909" w:type="dxa"/>
            <w:gridSpan w:val="4"/>
            <w:hideMark/>
          </w:tcPr>
          <w:p w:rsidR="00BE1EFE" w:rsidRPr="000B1AF8" w:rsidRDefault="00BE1EFE" w:rsidP="00990FF9">
            <w:pPr>
              <w:pStyle w:val="StandardWeb"/>
              <w:jc w:val="left"/>
            </w:pPr>
            <w:r>
              <w:t>Öffnen und Schließen der Kirche und der Nebenräume</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2.1.6.</w:t>
            </w:r>
          </w:p>
        </w:tc>
        <w:tc>
          <w:tcPr>
            <w:tcW w:w="2909" w:type="dxa"/>
            <w:gridSpan w:val="4"/>
            <w:hideMark/>
          </w:tcPr>
          <w:p w:rsidR="00BE1EFE" w:rsidRPr="000B1AF8" w:rsidRDefault="00BE1EFE" w:rsidP="00990FF9">
            <w:pPr>
              <w:pStyle w:val="StandardWeb"/>
              <w:jc w:val="left"/>
            </w:pPr>
            <w:r>
              <w:t>Beobachten des baulichen Zustandes der Kirche, Bedienen und Warten technischer Anlagen</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2.1.7.</w:t>
            </w:r>
          </w:p>
        </w:tc>
        <w:tc>
          <w:tcPr>
            <w:tcW w:w="2909" w:type="dxa"/>
            <w:gridSpan w:val="4"/>
            <w:hideMark/>
          </w:tcPr>
          <w:p w:rsidR="00BE1EFE" w:rsidRPr="000B1AF8" w:rsidRDefault="00BE1EFE" w:rsidP="00990FF9">
            <w:pPr>
              <w:pStyle w:val="StandardWeb"/>
              <w:jc w:val="left"/>
            </w:pPr>
            <w:r>
              <w:t>Dienstgänge soweit sie zur Erledigung der Aufgaben notwendig sind</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2.1.8.</w:t>
            </w:r>
          </w:p>
        </w:tc>
        <w:tc>
          <w:tcPr>
            <w:tcW w:w="2909" w:type="dxa"/>
            <w:gridSpan w:val="4"/>
            <w:hideMark/>
          </w:tcPr>
          <w:p w:rsidR="00BE1EFE" w:rsidRPr="000B1AF8" w:rsidRDefault="00BE1EFE" w:rsidP="00990FF9">
            <w:pPr>
              <w:pStyle w:val="StandardWeb"/>
              <w:jc w:val="left"/>
            </w:pPr>
            <w:r>
              <w:t>Sorge für Ordnung und Sauberkeit in der Kirche (Beaufsichtigen des Reinigungspersonals)</w:t>
            </w:r>
          </w:p>
        </w:tc>
        <w:tc>
          <w:tcPr>
            <w:tcW w:w="1636" w:type="dxa"/>
            <w:gridSpan w:val="3"/>
            <w:hideMark/>
          </w:tcPr>
          <w:p w:rsidR="00BE1EFE" w:rsidRPr="000B1AF8" w:rsidRDefault="00BE1EFE">
            <w:pPr>
              <w:pStyle w:val="StandardWeb"/>
              <w:jc w:val="center"/>
            </w:pPr>
            <w:r>
              <w:t>1 D</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vAlign w:val="bottom"/>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2.1.9.</w:t>
            </w:r>
          </w:p>
        </w:tc>
        <w:tc>
          <w:tcPr>
            <w:tcW w:w="2391" w:type="dxa"/>
            <w:gridSpan w:val="3"/>
            <w:hideMark/>
          </w:tcPr>
          <w:p w:rsidR="00BE1EFE" w:rsidRPr="000B1AF8" w:rsidRDefault="00BE1EFE">
            <w:pPr>
              <w:pStyle w:val="StandardWeb"/>
            </w:pPr>
            <w:r>
              <w:t>Kirchenführungen</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2.1.10.</w:t>
            </w:r>
          </w:p>
        </w:tc>
        <w:tc>
          <w:tcPr>
            <w:tcW w:w="2391" w:type="dxa"/>
            <w:gridSpan w:val="3"/>
            <w:hideMark/>
          </w:tcPr>
          <w:p w:rsidR="00BE1EFE" w:rsidRPr="000B1AF8" w:rsidRDefault="00BE1EFE">
            <w:pPr>
              <w:pStyle w:val="StandardWeb"/>
            </w:pPr>
            <w:r>
              <w:t>Sonstiges</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2.1.11.</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2.1.12.</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2.1.13.</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2.1.14.</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Pr="000B1AF8" w:rsidRDefault="00BE1EFE">
            <w:pPr>
              <w:pStyle w:val="StandardWeb"/>
            </w:pPr>
            <w:r>
              <w:t>2.1.15.</w:t>
            </w:r>
          </w:p>
        </w:tc>
        <w:tc>
          <w:tcPr>
            <w:tcW w:w="2391" w:type="dxa"/>
            <w:gridSpan w:val="3"/>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847" w:type="dxa"/>
            <w:gridSpan w:val="3"/>
            <w:hideMark/>
          </w:tcPr>
          <w:p w:rsidR="00BE1EFE" w:rsidRDefault="00BE1EFE">
            <w:pPr>
              <w:rPr>
                <w:sz w:val="24"/>
              </w:rPr>
            </w:pPr>
            <w:r>
              <w:t> </w:t>
            </w:r>
          </w:p>
        </w:tc>
        <w:tc>
          <w:tcPr>
            <w:tcW w:w="4545" w:type="dxa"/>
            <w:gridSpan w:val="7"/>
            <w:hideMark/>
          </w:tcPr>
          <w:p w:rsidR="00BE1EFE" w:rsidRPr="000B1AF8" w:rsidRDefault="00BE1EFE">
            <w:pPr>
              <w:pStyle w:val="StandardWeb"/>
              <w:jc w:val="right"/>
            </w:pPr>
            <w:r>
              <w:t>2.1.1. bis 2.1.15. =   Gesamtsumme</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5392" w:type="dxa"/>
            <w:gridSpan w:val="10"/>
            <w:hideMark/>
          </w:tcPr>
          <w:p w:rsidR="00BE1EFE" w:rsidRPr="000B1AF8" w:rsidRDefault="00BE1EFE">
            <w:pPr>
              <w:pStyle w:val="StandardWeb"/>
            </w:pPr>
            <w:r>
              <w:t>Summe (2.1.) x (52) = Jahressumme IV</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IV:</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tcPr>
          <w:p w:rsidR="00BE1EFE" w:rsidRDefault="00BE1EFE"/>
        </w:tc>
        <w:tc>
          <w:tcPr>
            <w:tcW w:w="2445" w:type="dxa"/>
            <w:gridSpan w:val="4"/>
          </w:tcPr>
          <w:p w:rsidR="00BE1EFE" w:rsidRDefault="00BE1EFE"/>
        </w:tc>
        <w:tc>
          <w:tcPr>
            <w:tcW w:w="518" w:type="dxa"/>
          </w:tcPr>
          <w:p w:rsidR="00BE1EFE" w:rsidRDefault="00BE1EFE"/>
        </w:tc>
        <w:tc>
          <w:tcPr>
            <w:tcW w:w="1636" w:type="dxa"/>
            <w:gridSpan w:val="3"/>
          </w:tcPr>
          <w:p w:rsidR="00BE1EFE" w:rsidRDefault="00BE1EFE">
            <w:pPr>
              <w:pStyle w:val="StandardWeb"/>
            </w:pPr>
          </w:p>
        </w:tc>
        <w:tc>
          <w:tcPr>
            <w:tcW w:w="190" w:type="dxa"/>
          </w:tcPr>
          <w:p w:rsidR="00BE1EFE" w:rsidRDefault="00BE1EFE"/>
        </w:tc>
        <w:tc>
          <w:tcPr>
            <w:tcW w:w="1109" w:type="dxa"/>
            <w:tcBorders>
              <w:top w:val="nil"/>
              <w:left w:val="nil"/>
              <w:bottom w:val="double" w:sz="4" w:space="0" w:color="auto"/>
              <w:right w:val="nil"/>
            </w:tcBorders>
          </w:tcPr>
          <w:p w:rsidR="00BE1EFE" w:rsidRDefault="00BE1EFE">
            <w:pPr>
              <w:pStyle w:val="StandardWeb"/>
              <w:jc w:val="right"/>
            </w:pPr>
          </w:p>
        </w:tc>
      </w:tr>
      <w:tr w:rsidR="00BE1EFE" w:rsidTr="00990FF9">
        <w:tc>
          <w:tcPr>
            <w:tcW w:w="793" w:type="dxa"/>
            <w:gridSpan w:val="2"/>
            <w:hideMark/>
          </w:tcPr>
          <w:p w:rsidR="00BE1EFE" w:rsidRPr="000B1AF8" w:rsidRDefault="00BE1EFE" w:rsidP="0054275E">
            <w:pPr>
              <w:pStyle w:val="StandardWeb"/>
              <w:autoSpaceDE w:val="0"/>
            </w:pPr>
            <w:r>
              <w:rPr>
                <w:rStyle w:val="Fett"/>
                <w:bCs/>
              </w:rPr>
              <w:t>3.</w:t>
            </w:r>
          </w:p>
        </w:tc>
        <w:tc>
          <w:tcPr>
            <w:tcW w:w="2445" w:type="dxa"/>
            <w:gridSpan w:val="4"/>
            <w:hideMark/>
          </w:tcPr>
          <w:p w:rsidR="00BE1EFE" w:rsidRPr="000B1AF8" w:rsidRDefault="00BE1EFE" w:rsidP="0054275E">
            <w:pPr>
              <w:pStyle w:val="StandardWeb"/>
              <w:autoSpaceDE w:val="0"/>
            </w:pPr>
            <w:r>
              <w:rPr>
                <w:rStyle w:val="Fett"/>
                <w:bCs/>
              </w:rPr>
              <w:t>Hausmeisterdienste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5898" w:type="dxa"/>
            <w:gridSpan w:val="10"/>
            <w:hideMark/>
          </w:tcPr>
          <w:p w:rsidR="00BE1EFE" w:rsidRPr="000B1AF8" w:rsidRDefault="00BE1EFE">
            <w:pPr>
              <w:pStyle w:val="StandardWeb"/>
            </w:pPr>
            <w:r>
              <w:t>Der Umfang der Tätigkeit ist im Einzelfall zu ermitteln und zu begründen.</w:t>
            </w:r>
          </w:p>
        </w:tc>
      </w:tr>
      <w:tr w:rsidR="00BE1EFE" w:rsidTr="00990FF9">
        <w:tc>
          <w:tcPr>
            <w:tcW w:w="793" w:type="dxa"/>
            <w:gridSpan w:val="2"/>
            <w:hideMark/>
          </w:tcPr>
          <w:p w:rsidR="00BE1EFE" w:rsidRPr="000B1AF8" w:rsidRDefault="00BE1EFE">
            <w:pPr>
              <w:pStyle w:val="StandardWeb"/>
            </w:pPr>
            <w:r>
              <w:t>3.1.</w:t>
            </w:r>
          </w:p>
        </w:tc>
        <w:tc>
          <w:tcPr>
            <w:tcW w:w="2445" w:type="dxa"/>
            <w:gridSpan w:val="4"/>
            <w:hideMark/>
          </w:tcPr>
          <w:p w:rsidR="00BE1EFE" w:rsidRPr="000B1AF8" w:rsidRDefault="00BE1EFE">
            <w:pPr>
              <w:pStyle w:val="StandardWeb"/>
            </w:pPr>
            <w:r>
              <w:t>Reinigen der Kirche</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Pr="000B1AF8" w:rsidRDefault="00BE1EFE">
            <w:pPr>
              <w:pStyle w:val="StandardWeb"/>
            </w:pPr>
            <w:r>
              <w:t>3.2.</w:t>
            </w:r>
          </w:p>
        </w:tc>
        <w:tc>
          <w:tcPr>
            <w:tcW w:w="5898" w:type="dxa"/>
            <w:gridSpan w:val="10"/>
            <w:hideMark/>
          </w:tcPr>
          <w:p w:rsidR="00BE1EFE" w:rsidRPr="000B1AF8" w:rsidRDefault="00BE1EFE" w:rsidP="00990FF9">
            <w:pPr>
              <w:pStyle w:val="StandardWeb"/>
              <w:jc w:val="left"/>
            </w:pPr>
            <w:r>
              <w:t>Reinigen, Räumen und Streuen der zur Kirche gehörenden Wege und Straßen sowie der Zugänge zur Kirche gemäß den ortspolizeilichen Vorschriften und Pflege der Außenanlagen.</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Pr="000B1AF8" w:rsidRDefault="00BE1EFE">
            <w:pPr>
              <w:pStyle w:val="StandardWeb"/>
            </w:pPr>
            <w:r>
              <w:t>Jahressumme V:</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Pr="000B1AF8" w:rsidRDefault="00BE1EFE" w:rsidP="0054275E">
            <w:pPr>
              <w:pStyle w:val="StandardWeb"/>
              <w:autoSpaceDE w:val="0"/>
            </w:pPr>
            <w:r>
              <w:rPr>
                <w:rStyle w:val="Fett"/>
                <w:bCs/>
              </w:rPr>
              <w:lastRenderedPageBreak/>
              <w:t>4.</w:t>
            </w:r>
          </w:p>
        </w:tc>
        <w:tc>
          <w:tcPr>
            <w:tcW w:w="2445" w:type="dxa"/>
            <w:gridSpan w:val="4"/>
            <w:hideMark/>
          </w:tcPr>
          <w:p w:rsidR="00BE1EFE" w:rsidRPr="000B1AF8" w:rsidRDefault="00BE1EFE" w:rsidP="0054275E">
            <w:pPr>
              <w:pStyle w:val="StandardWeb"/>
              <w:autoSpaceDE w:val="0"/>
              <w:jc w:val="left"/>
            </w:pPr>
            <w:r>
              <w:rPr>
                <w:rStyle w:val="Fett"/>
                <w:bCs/>
              </w:rPr>
              <w:t>Feststellung der Gesamtdienstzeit</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III:</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IV:</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Pr="000B1AF8" w:rsidRDefault="00BE1EFE">
            <w:pPr>
              <w:pStyle w:val="StandardWeb"/>
            </w:pPr>
            <w:r>
              <w:t>Jahressumme V:</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tcBorders>
              <w:top w:val="nil"/>
              <w:left w:val="nil"/>
              <w:bottom w:val="single" w:sz="8"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2154" w:type="dxa"/>
            <w:gridSpan w:val="4"/>
            <w:hideMark/>
          </w:tcPr>
          <w:p w:rsidR="00BE1EFE" w:rsidRPr="000B1AF8" w:rsidRDefault="00BE1EFE">
            <w:pPr>
              <w:pStyle w:val="StandardWeb"/>
            </w:pPr>
            <w:r>
              <w:t>Gesamtjahressumme (JS):</w:t>
            </w:r>
          </w:p>
        </w:tc>
        <w:tc>
          <w:tcPr>
            <w:tcW w:w="190" w:type="dxa"/>
            <w:hideMark/>
          </w:tcPr>
          <w:p w:rsidR="00BE1EFE" w:rsidRDefault="00BE1EFE">
            <w:pPr>
              <w:rPr>
                <w:sz w:val="24"/>
              </w:rPr>
            </w:pPr>
            <w:r>
              <w:t> </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1636" w:type="dxa"/>
            <w:gridSpan w:val="3"/>
            <w:hideMark/>
          </w:tcPr>
          <w:p w:rsidR="00BE1EFE" w:rsidRDefault="00BE1EFE">
            <w:pPr>
              <w:rPr>
                <w:sz w:val="24"/>
              </w:rPr>
            </w:pPr>
            <w:r>
              <w:t> </w:t>
            </w:r>
          </w:p>
        </w:tc>
        <w:tc>
          <w:tcPr>
            <w:tcW w:w="190" w:type="dxa"/>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6691" w:type="dxa"/>
            <w:gridSpan w:val="12"/>
            <w:hideMark/>
          </w:tcPr>
          <w:p w:rsidR="00BE1EFE" w:rsidRPr="000B1AF8" w:rsidRDefault="00BE1EFE">
            <w:pPr>
              <w:pStyle w:val="StandardWeb"/>
            </w:pPr>
            <w:r>
              <w:t>Die gesamte Jahressumme der Diensteinheiten (JS) ist gleich die Jahressumme der Arbeitsstunden</w:t>
            </w:r>
          </w:p>
        </w:tc>
      </w:tr>
      <w:tr w:rsidR="00BE1EFE" w:rsidTr="00990FF9">
        <w:tc>
          <w:tcPr>
            <w:tcW w:w="6691" w:type="dxa"/>
            <w:gridSpan w:val="12"/>
            <w:hideMark/>
          </w:tcPr>
          <w:p w:rsidR="00BE1EFE" w:rsidRPr="000B1AF8" w:rsidRDefault="00BE1EFE">
            <w:pPr>
              <w:pStyle w:val="StandardWeb"/>
            </w:pPr>
            <w:r>
              <w:t>Ermittlung der wöchentlichen Arbeitszeit (WA):</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549" w:type="dxa"/>
            <w:vMerge w:val="restart"/>
            <w:hideMark/>
          </w:tcPr>
          <w:p w:rsidR="00BE1EFE" w:rsidRPr="000B1AF8" w:rsidRDefault="00BE1EFE">
            <w:pPr>
              <w:pStyle w:val="StandardWeb"/>
            </w:pPr>
            <w:r>
              <w:rPr>
                <w:u w:val="single"/>
              </w:rPr>
              <w:t>JS</w:t>
            </w:r>
          </w:p>
          <w:p w:rsidR="00BE1EFE" w:rsidRPr="000B1AF8" w:rsidRDefault="008C2ABA">
            <w:pPr>
              <w:pStyle w:val="StandardWeb"/>
            </w:pPr>
            <w:r>
              <w:t>52</w:t>
            </w:r>
          </w:p>
        </w:tc>
        <w:tc>
          <w:tcPr>
            <w:tcW w:w="1277" w:type="dxa"/>
            <w:gridSpan w:val="3"/>
            <w:vMerge w:val="restart"/>
            <w:vAlign w:val="center"/>
            <w:hideMark/>
          </w:tcPr>
          <w:p w:rsidR="00BE1EFE" w:rsidRPr="000B1AF8" w:rsidRDefault="00BE1EFE">
            <w:pPr>
              <w:pStyle w:val="StandardWeb"/>
            </w:pPr>
            <w:r>
              <w:t>= WA</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0" w:type="auto"/>
            <w:vMerge/>
            <w:vAlign w:val="center"/>
            <w:hideMark/>
          </w:tcPr>
          <w:p w:rsidR="00BE1EFE" w:rsidRPr="000B1AF8" w:rsidRDefault="00BE1EFE">
            <w:pPr>
              <w:rPr>
                <w:sz w:val="24"/>
              </w:rPr>
            </w:pPr>
          </w:p>
        </w:tc>
        <w:tc>
          <w:tcPr>
            <w:tcW w:w="0" w:type="auto"/>
            <w:gridSpan w:val="3"/>
            <w:vMerge/>
            <w:vAlign w:val="center"/>
            <w:hideMark/>
          </w:tcPr>
          <w:p w:rsidR="00BE1EFE" w:rsidRPr="000B1AF8" w:rsidRDefault="00BE1EFE">
            <w:pPr>
              <w:rPr>
                <w:sz w:val="24"/>
              </w:rPr>
            </w:pP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518" w:type="dxa"/>
            <w:hideMark/>
          </w:tcPr>
          <w:p w:rsidR="00BE1EFE" w:rsidRDefault="00BE1EFE">
            <w:pPr>
              <w:rPr>
                <w:sz w:val="24"/>
              </w:rPr>
            </w:pPr>
            <w:r>
              <w:t> </w:t>
            </w:r>
          </w:p>
        </w:tc>
        <w:tc>
          <w:tcPr>
            <w:tcW w:w="695" w:type="dxa"/>
            <w:gridSpan w:val="2"/>
            <w:hideMark/>
          </w:tcPr>
          <w:p w:rsidR="00BE1EFE" w:rsidRDefault="00BE1EFE">
            <w:pPr>
              <w:rPr>
                <w:sz w:val="24"/>
              </w:rPr>
            </w:pPr>
            <w:r>
              <w:t> </w:t>
            </w:r>
          </w:p>
        </w:tc>
        <w:tc>
          <w:tcPr>
            <w:tcW w:w="1131" w:type="dxa"/>
            <w:gridSpan w:val="2"/>
            <w:hideMark/>
          </w:tcPr>
          <w:p w:rsidR="00BE1EFE" w:rsidRDefault="00BE1EFE">
            <w:pPr>
              <w:rPr>
                <w:sz w:val="24"/>
              </w:rPr>
            </w:pPr>
            <w:r>
              <w:t> </w:t>
            </w:r>
          </w:p>
        </w:tc>
        <w:tc>
          <w:tcPr>
            <w:tcW w:w="1109" w:type="dxa"/>
            <w:hideMark/>
          </w:tcPr>
          <w:p w:rsidR="00BE1EFE" w:rsidRDefault="00BE1EFE">
            <w:pPr>
              <w:rPr>
                <w:sz w:val="24"/>
              </w:rPr>
            </w:pPr>
            <w:r>
              <w:t> </w:t>
            </w:r>
          </w:p>
        </w:tc>
      </w:tr>
      <w:tr w:rsidR="00BE1EFE" w:rsidTr="00990FF9">
        <w:tc>
          <w:tcPr>
            <w:tcW w:w="793" w:type="dxa"/>
            <w:gridSpan w:val="2"/>
            <w:hideMark/>
          </w:tcPr>
          <w:p w:rsidR="00BE1EFE" w:rsidRDefault="00BE1EFE">
            <w:pPr>
              <w:rPr>
                <w:sz w:val="24"/>
              </w:rPr>
            </w:pPr>
            <w:r>
              <w:t> </w:t>
            </w:r>
          </w:p>
        </w:tc>
        <w:tc>
          <w:tcPr>
            <w:tcW w:w="2445" w:type="dxa"/>
            <w:gridSpan w:val="4"/>
            <w:hideMark/>
          </w:tcPr>
          <w:p w:rsidR="00BE1EFE" w:rsidRDefault="00BE1EFE">
            <w:pPr>
              <w:rPr>
                <w:sz w:val="24"/>
              </w:rPr>
            </w:pPr>
            <w:r>
              <w:t> </w:t>
            </w:r>
          </w:p>
        </w:tc>
        <w:tc>
          <w:tcPr>
            <w:tcW w:w="2344" w:type="dxa"/>
            <w:gridSpan w:val="5"/>
            <w:hideMark/>
          </w:tcPr>
          <w:p w:rsidR="00BE1EFE" w:rsidRPr="000B1AF8" w:rsidRDefault="00BE1EFE">
            <w:pPr>
              <w:pStyle w:val="StandardWeb"/>
            </w:pPr>
            <w:r>
              <w:t>wöchentliche Arbeitszeit:</w:t>
            </w:r>
          </w:p>
        </w:tc>
        <w:tc>
          <w:tcPr>
            <w:tcW w:w="1109" w:type="dxa"/>
            <w:tcBorders>
              <w:top w:val="nil"/>
              <w:left w:val="nil"/>
              <w:bottom w:val="double" w:sz="4" w:space="0" w:color="auto"/>
              <w:right w:val="nil"/>
            </w:tcBorders>
            <w:hideMark/>
          </w:tcPr>
          <w:p w:rsidR="00BE1EFE" w:rsidRPr="000B1AF8" w:rsidRDefault="00BE1EFE">
            <w:pPr>
              <w:pStyle w:val="StandardWeb"/>
              <w:jc w:val="right"/>
            </w:pPr>
            <w:r>
              <w:t>D</w:t>
            </w:r>
          </w:p>
        </w:tc>
      </w:tr>
    </w:tbl>
    <w:p w:rsidR="00BE1EFE" w:rsidRDefault="00BE1EFE" w:rsidP="00514E60">
      <w:pPr>
        <w:pStyle w:val="StandardWeb"/>
      </w:pPr>
    </w:p>
    <w:p w:rsidR="00BE1EFE" w:rsidRPr="00BF51C4" w:rsidRDefault="00BE1EFE" w:rsidP="00514E60">
      <w:pPr>
        <w:pStyle w:val="StandardWeb"/>
      </w:pPr>
      <w:r>
        <w:br w:type="page"/>
      </w:r>
    </w:p>
    <w:p w:rsidR="00BE1EFE" w:rsidRDefault="00BE1EFE" w:rsidP="00A045C0">
      <w:pPr>
        <w:pStyle w:val="berschrift4"/>
        <w:spacing w:before="0"/>
      </w:pPr>
      <w:bookmarkStart w:id="860" w:name="_Toc523926383"/>
      <w:r>
        <w:lastRenderedPageBreak/>
        <w:t>C, 6. Dienstordnung für Kirchenmusikerinnen und Kirchen</w:t>
      </w:r>
      <w:r>
        <w:rPr>
          <w:lang w:eastAsia="x-none"/>
        </w:rPr>
        <w:softHyphen/>
      </w:r>
      <w:r>
        <w:t>musiker</w:t>
      </w:r>
      <w:bookmarkEnd w:id="860"/>
    </w:p>
    <w:p w:rsidR="00BE1EFE" w:rsidRDefault="00BE1EFE">
      <w:pPr>
        <w:pStyle w:val="berschrift5"/>
      </w:pPr>
      <w:bookmarkStart w:id="861" w:name="_Toc523926384"/>
      <w:r>
        <w:t>§ 1 Grundlagen und Aufgaben</w:t>
      </w:r>
      <w:bookmarkEnd w:id="861"/>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 der Kirchenmusikerin/des Kirchenmusikers – nachfolgend Beschäftigte genannt – ist ein liturgischer Dienst im Auftrag der Kirche. </w:t>
      </w:r>
      <w:r>
        <w:rPr>
          <w:rStyle w:val="kleinschrift"/>
        </w:rPr>
        <w:t>2</w:t>
      </w:r>
      <w:r>
        <w:t>Die Beschäftigten haben diesen Dienst im kirchlichen Geist, nach den kirchenmusikalisch liturgischen Normen und in künstlerischer Verantwortung zu erfüllen.</w:t>
      </w:r>
    </w:p>
    <w:p w:rsidR="00BE1EFE" w:rsidRPr="000B1AF8" w:rsidRDefault="00BE1EFE">
      <w:pPr>
        <w:pStyle w:val="StandardWeb"/>
      </w:pPr>
    </w:p>
    <w:p w:rsidR="00BE1EFE" w:rsidRDefault="00BE1EFE">
      <w:pPr>
        <w:pStyle w:val="StandardWeb"/>
      </w:pPr>
      <w:r>
        <w:t>(2) Die musikalische Gestaltung der Gottesdienste richtet sich nach den Weisungen der Konstitution des II. Vatikanischen Konzils über die heilige Liturgie, nach den einschlägigen Richtlinien der Kongregationen für die Sakramente und den Gottesdienst sowie der deutschen Bischöfe.</w:t>
      </w:r>
    </w:p>
    <w:p w:rsidR="00BE1EFE" w:rsidRDefault="00BE1EFE">
      <w:pPr>
        <w:pStyle w:val="StandardWeb"/>
      </w:pPr>
    </w:p>
    <w:p w:rsidR="00BE1EFE" w:rsidRDefault="00BE1EFE">
      <w:pPr>
        <w:pStyle w:val="StandardWeb"/>
      </w:pPr>
      <w:r>
        <w:t>(3) </w:t>
      </w:r>
      <w:r>
        <w:rPr>
          <w:rStyle w:val="kleinschrift"/>
        </w:rPr>
        <w:t>1</w:t>
      </w:r>
      <w:r>
        <w:t>Den Beschäftigten obliegt nach Weisung des Kirchenrektors oder dessen Vertreter insbesondere</w:t>
      </w:r>
    </w:p>
    <w:p w:rsidR="00BE1EFE" w:rsidRDefault="00BE1EFE">
      <w:pPr>
        <w:pStyle w:val="StandardWeb"/>
      </w:pPr>
    </w:p>
    <w:p w:rsidR="00BE1EFE" w:rsidRDefault="00BE1EFE">
      <w:pPr>
        <w:pStyle w:val="StandardWeb"/>
      </w:pPr>
      <w:r>
        <w:t>1. die musikalische Gestaltung der Liturgie (insbesondere Messfeier, Stundengebet, Sakramentenspendung, Wortgottesdienst, Andacht) und der außerliturgischen Veranstaltungen wie geistliche Abendmusik, Kirchenkonzert, Gregorianischer Gesang, ältere und zeitgenössische lateinische wie deutsche Kirchenmusik sollen gepflegt und gefördert werden,</w:t>
      </w:r>
    </w:p>
    <w:p w:rsidR="00BE1EFE" w:rsidRDefault="00BE1EFE">
      <w:pPr>
        <w:pStyle w:val="StandardWeb"/>
      </w:pPr>
    </w:p>
    <w:p w:rsidR="00BE1EFE" w:rsidRDefault="00BE1EFE">
      <w:pPr>
        <w:pStyle w:val="StandardWeb"/>
      </w:pPr>
      <w:r>
        <w:t>2.</w:t>
      </w:r>
    </w:p>
    <w:p w:rsidR="00BE1EFE" w:rsidRDefault="00BE1EFE">
      <w:pPr>
        <w:pStyle w:val="StandardWeb"/>
      </w:pPr>
      <w:r>
        <w:t>– die Förderung des Gemeindegesangs (Liedbegleitung, Einübung von Liedern mit der Gemeinde und ihren Gruppen),</w:t>
      </w:r>
    </w:p>
    <w:p w:rsidR="00BE1EFE" w:rsidRDefault="00BE1EFE">
      <w:pPr>
        <w:pStyle w:val="StandardWeb"/>
      </w:pPr>
      <w:r>
        <w:t>– die Ausübung des Kantorendienstes und Schulung von Kantorinnen/Kantoren, – die Pflege des einstimmigen und mehrstimmigen Chorgesangs, (Erwachsenenchor, Jugendchor, Kinderchor, Schola),</w:t>
      </w:r>
    </w:p>
    <w:p w:rsidR="00BE1EFE" w:rsidRDefault="00BE1EFE">
      <w:pPr>
        <w:pStyle w:val="StandardWeb"/>
      </w:pPr>
      <w:r>
        <w:t>– die Pflege des gottesdienstlichen Orgelspiels in Improvisation und Musik-Literatur,</w:t>
      </w:r>
    </w:p>
    <w:p w:rsidR="00BE1EFE" w:rsidRDefault="00BE1EFE">
      <w:pPr>
        <w:pStyle w:val="StandardWeb"/>
      </w:pPr>
      <w:r>
        <w:t>– die Förderung der für die Liturgie geeigneten Instrumentalmusik.</w:t>
      </w:r>
    </w:p>
    <w:p w:rsidR="00BE1EFE" w:rsidRDefault="00BE1EFE">
      <w:pPr>
        <w:pStyle w:val="StandardWeb"/>
      </w:pPr>
    </w:p>
    <w:p w:rsidR="00BE1EFE" w:rsidRDefault="00BE1EFE">
      <w:pPr>
        <w:pStyle w:val="StandardWeb"/>
      </w:pPr>
      <w:r>
        <w:rPr>
          <w:rStyle w:val="kleinschrift"/>
        </w:rPr>
        <w:t>2</w:t>
      </w:r>
      <w:r>
        <w:t xml:space="preserve">Bei der Auswahl der liturgischen und geistlichen Musik und ihrer Verwirklichung richten sich die Beschäftigten nach den liturgischen, pastoralen und künstlerischen Erfordernissen. </w:t>
      </w:r>
      <w:r>
        <w:rPr>
          <w:rStyle w:val="kleinschrift"/>
        </w:rPr>
        <w:t>3</w:t>
      </w:r>
      <w:r>
        <w:t>Dabei beachten sie die Leistungsfähigkeit der Ausführenden.</w:t>
      </w:r>
    </w:p>
    <w:p w:rsidR="00BE1EFE" w:rsidRDefault="00BE1EFE">
      <w:pPr>
        <w:pStyle w:val="StandardWeb"/>
      </w:pPr>
    </w:p>
    <w:p w:rsidR="00BE1EFE" w:rsidRDefault="00BE1EFE">
      <w:pPr>
        <w:pStyle w:val="StandardWeb"/>
      </w:pPr>
      <w:r>
        <w:t>3. </w:t>
      </w:r>
      <w:r>
        <w:rPr>
          <w:rStyle w:val="kleinschrift"/>
        </w:rPr>
        <w:t>1</w:t>
      </w:r>
      <w:r>
        <w:t xml:space="preserve">Die Beschäftigten bereiten ihren Dienst sorgfältig vor. </w:t>
      </w:r>
      <w:r>
        <w:rPr>
          <w:rStyle w:val="kleinschrift"/>
        </w:rPr>
        <w:t>2</w:t>
      </w:r>
      <w:r>
        <w:t>Dazu gehören je nach Aufgabenstellung: Übungen im Orgelspiel, Studium der Chorliteratur, methodische Planung der Chorproben. 3Sie sind bemüht, ihr Repertoire an Orgelwerken und ihre Kenntnisse der Vokal- und Instrumentalliteratur ständig zu erweitern.</w:t>
      </w:r>
    </w:p>
    <w:p w:rsidR="00BE1EFE" w:rsidRDefault="00BE1EFE">
      <w:pPr>
        <w:pStyle w:val="StandardWeb"/>
      </w:pPr>
    </w:p>
    <w:p w:rsidR="00BE1EFE" w:rsidRDefault="00BE1EFE">
      <w:pPr>
        <w:pStyle w:val="StandardWeb"/>
      </w:pPr>
      <w:r>
        <w:t>4. </w:t>
      </w:r>
      <w:r w:rsidRPr="00686FE6">
        <w:rPr>
          <w:sz w:val="12"/>
          <w:szCs w:val="12"/>
        </w:rPr>
        <w:t>1</w:t>
      </w:r>
      <w:r>
        <w:t xml:space="preserve">Die Beschäftigten sind verpflichtet, die ihnen anvertrauten Instrumente pfleglich zu behandeln und unter Verschluss zu halten. </w:t>
      </w:r>
      <w:r>
        <w:rPr>
          <w:rStyle w:val="kleinschrift"/>
        </w:rPr>
        <w:t>2</w:t>
      </w:r>
      <w:r>
        <w:t xml:space="preserve">Bei Mängeln ist der Kirchenverwaltungsvorstand zu verständigen. </w:t>
      </w:r>
      <w:r>
        <w:rPr>
          <w:rStyle w:val="kleinschrift"/>
        </w:rPr>
        <w:t>3</w:t>
      </w:r>
      <w:r>
        <w:t>Den Beschäftigten obliegt die sorgsame Pflege und Aufbewahrung des Notenmaterials.</w:t>
      </w:r>
    </w:p>
    <w:p w:rsidR="00BE1EFE" w:rsidRDefault="00BE1EFE">
      <w:pPr>
        <w:pStyle w:val="StandardWeb"/>
      </w:pPr>
    </w:p>
    <w:p w:rsidR="00BE1EFE" w:rsidRDefault="00BE1EFE">
      <w:pPr>
        <w:pStyle w:val="StandardWeb"/>
      </w:pPr>
      <w:r>
        <w:t>5. Die Beschäftigten haben sich um das Vorhandensein, den Bestand des Kirchenchores sowie um seine kontinuierliche und ausreichende Ergänzung durch Nachwuchskräfte intensiv zu bemühen und ebenso um dessen regelmäßige Schulung und Fortbildung.</w:t>
      </w:r>
    </w:p>
    <w:p w:rsidR="00BE1EFE" w:rsidRDefault="00BE1EFE">
      <w:pPr>
        <w:pStyle w:val="StandardWeb"/>
      </w:pPr>
    </w:p>
    <w:p w:rsidR="00BE1EFE" w:rsidRDefault="00BE1EFE">
      <w:pPr>
        <w:pStyle w:val="StandardWeb"/>
      </w:pPr>
      <w:r>
        <w:lastRenderedPageBreak/>
        <w:t>(4) Werden Beschäftigten nur einzelne der in Absatz 3 aufgeführten Aufgaben übertragen, soll dies im Arbeitsvertrag ausdrücklich geregelt werden.</w:t>
      </w:r>
    </w:p>
    <w:p w:rsidR="00BE1EFE" w:rsidRDefault="00BE1EFE">
      <w:pPr>
        <w:pStyle w:val="StandardWeb"/>
      </w:pPr>
    </w:p>
    <w:p w:rsidR="00BE1EFE" w:rsidRDefault="00BE1EFE">
      <w:pPr>
        <w:pStyle w:val="StandardWeb"/>
      </w:pPr>
      <w:r>
        <w:t>(5) </w:t>
      </w:r>
      <w:r>
        <w:rPr>
          <w:rStyle w:val="kleinschrift"/>
        </w:rPr>
        <w:t>1</w:t>
      </w:r>
      <w:r>
        <w:t xml:space="preserve">Zur Erfüllung ihrer Aufgaben stehen den Beschäftigten die kircheneigenen Instrumente zu ihrer Vorbereitung und Weiterbildung uneingeschränkt und kostenlos zur Verfügung. </w:t>
      </w:r>
      <w:r>
        <w:rPr>
          <w:rStyle w:val="kleinschrift"/>
        </w:rPr>
        <w:t>2</w:t>
      </w:r>
      <w:r>
        <w:t xml:space="preserve">Die Erteilung von Unterricht an der Orgel und deren Überlassung zu Übungszwecken an Schüler bedürfen der Genehmigung der Kirchenverwaltung, die auch über eine etwaige Erstattung entstehender Kosten entscheidet. </w:t>
      </w:r>
      <w:r>
        <w:rPr>
          <w:rStyle w:val="kleinschrift"/>
        </w:rPr>
        <w:t>3</w:t>
      </w:r>
      <w:r>
        <w:t xml:space="preserve">Für die Ausbildung von Nachwuchsorganistinnen/ Nachwuchsorganisten soll die Orgel in der Regel kostenlos zur Verfügung stehen. </w:t>
      </w:r>
      <w:r>
        <w:rPr>
          <w:rStyle w:val="kleinschrift"/>
        </w:rPr>
        <w:t>4</w:t>
      </w:r>
      <w:r>
        <w:t xml:space="preserve">Die Benutzung der Orgel durch Dritte kann nur in Absprache mit Pfarrer und Beschäftigten erfolgen. </w:t>
      </w:r>
      <w:r>
        <w:rPr>
          <w:rStyle w:val="kleinschrift"/>
        </w:rPr>
        <w:t>5</w:t>
      </w:r>
      <w:r>
        <w:t>Sollen fremde Organistinnen/Organisten, Chöre oder Instrumentalkreise zu Gottes</w:t>
      </w:r>
      <w:r>
        <w:softHyphen/>
        <w:t>diensten (auch Trauungen) und Veranstaltungen der Pfarrei herangezogen werden, so setzt sich der Pfarrer mit den Beschäftigten ins Benehmen.</w:t>
      </w:r>
    </w:p>
    <w:p w:rsidR="00BE1EFE" w:rsidRDefault="00BE1EFE">
      <w:pPr>
        <w:pStyle w:val="berschrift5"/>
      </w:pPr>
      <w:bookmarkStart w:id="862" w:name="_Toc523926385"/>
      <w:r>
        <w:t>§ 2 Beschäftigte mit besonderen bzw. regionalen Aufgaben</w:t>
      </w:r>
      <w:bookmarkEnd w:id="862"/>
    </w:p>
    <w:p w:rsidR="00BE1EFE" w:rsidRPr="00B76821" w:rsidRDefault="00BE1EFE" w:rsidP="00B76821">
      <w:pPr>
        <w:pStyle w:val="berschrift6"/>
        <w:keepNext w:val="0"/>
        <w:spacing w:before="0" w:after="0"/>
        <w:rPr>
          <w:sz w:val="2"/>
        </w:rPr>
      </w:pPr>
    </w:p>
    <w:p w:rsidR="00BE1EFE" w:rsidRPr="000B1AF8" w:rsidRDefault="00BE1EFE">
      <w:pPr>
        <w:pStyle w:val="StandardWeb"/>
      </w:pPr>
      <w:r>
        <w:t>(1) Im Arbeitsvertrag können Beschäftigten besondere Aufgaben übertragen werden.</w:t>
      </w:r>
    </w:p>
    <w:p w:rsidR="00BE1EFE" w:rsidRPr="000B1AF8" w:rsidRDefault="00BE1EFE">
      <w:pPr>
        <w:pStyle w:val="StandardWeb"/>
      </w:pPr>
    </w:p>
    <w:p w:rsidR="00BE1EFE" w:rsidRDefault="00BE1EFE">
      <w:pPr>
        <w:pStyle w:val="StandardWeb"/>
      </w:pPr>
      <w:r>
        <w:t>(2) </w:t>
      </w:r>
      <w:r>
        <w:rPr>
          <w:rStyle w:val="kleinschrift"/>
        </w:rPr>
        <w:t>1</w:t>
      </w:r>
      <w:r>
        <w:t xml:space="preserve">Beschäftigte mit regionalen Aufgaben (z. B. Regionalkantorinnen/Regionalkantoren, Dekanatskirchenmusikerinnen/Dekanatskirchenmusiker u. a.) werden mit mindestens der Hälfte der regelmäßigen Arbeitszeit der Beschäftigten zur besonderen Förderung und Pflege der Kirchenmusik in einer bestimmten Region der Diözese eingesetzt. </w:t>
      </w:r>
      <w:r>
        <w:rPr>
          <w:rStyle w:val="kleinschrift"/>
        </w:rPr>
        <w:t>2</w:t>
      </w:r>
      <w:r>
        <w:t>Zu ihren Aufgaben zählen in der Regel:</w:t>
      </w:r>
    </w:p>
    <w:p w:rsidR="00BE1EFE" w:rsidRDefault="00BE1EFE">
      <w:pPr>
        <w:pStyle w:val="StandardWeb"/>
      </w:pPr>
    </w:p>
    <w:p w:rsidR="00BE1EFE" w:rsidRDefault="00BE1EFE">
      <w:pPr>
        <w:pStyle w:val="StandardWeb"/>
      </w:pPr>
      <w:r>
        <w:t>a) Aus- und Weiterbildung von Organistinnen/Organisten: Unterricht im Orgelspiel (liturgisch, Literatur), Kurse in Harmonielehre,</w:t>
      </w:r>
    </w:p>
    <w:p w:rsidR="00BE1EFE" w:rsidRDefault="00BE1EFE">
      <w:pPr>
        <w:pStyle w:val="StandardWeb"/>
      </w:pPr>
      <w:r>
        <w:t>b) Aus- und Weiterbildung von Chorleiterinnen/Chorleitern: Unterricht in Partitur-Lesen und -Spielen, Schlagtechnik, chorische Stimmbildung, Chor-Erziehung, Literatur,</w:t>
      </w:r>
    </w:p>
    <w:p w:rsidR="00BE1EFE" w:rsidRDefault="00BE1EFE">
      <w:pPr>
        <w:pStyle w:val="StandardWeb"/>
      </w:pPr>
      <w:r>
        <w:t>c) die Beratung anderer Kirchenmusikerinnen/Kirchenmusiker in ihren kirchenmusikalischen Aufgaben,</w:t>
      </w:r>
    </w:p>
    <w:p w:rsidR="00BE1EFE" w:rsidRDefault="00BE1EFE">
      <w:pPr>
        <w:pStyle w:val="StandardWeb"/>
      </w:pPr>
      <w:r>
        <w:t>d) die Durchführung von Dekanatsmusiktagen,</w:t>
      </w:r>
    </w:p>
    <w:p w:rsidR="00BE1EFE" w:rsidRDefault="00BE1EFE">
      <w:pPr>
        <w:pStyle w:val="StandardWeb"/>
      </w:pPr>
      <w:r>
        <w:t>e) Kantorenschulung, Lektorenschulung,</w:t>
      </w:r>
    </w:p>
    <w:p w:rsidR="00BE1EFE" w:rsidRDefault="00BE1EFE">
      <w:pPr>
        <w:pStyle w:val="StandardWeb"/>
      </w:pPr>
      <w:r>
        <w:t>f) die Vorbereitung anderer Kirchenmusikerinnen/Kirchenmusiker auf die C- oder D-Prüfung,</w:t>
      </w:r>
    </w:p>
    <w:p w:rsidR="00BE1EFE" w:rsidRDefault="00BE1EFE">
      <w:pPr>
        <w:pStyle w:val="StandardWeb"/>
      </w:pPr>
      <w:r>
        <w:t>g) … (z. B. Orgelsachverständige/Orgelsachverständiger).</w:t>
      </w:r>
    </w:p>
    <w:p w:rsidR="00BE1EFE" w:rsidRDefault="00BE1EFE">
      <w:pPr>
        <w:pStyle w:val="berschrift5"/>
      </w:pPr>
      <w:bookmarkStart w:id="863" w:name="_Toc523926386"/>
      <w:r>
        <w:t>§ 3 Arbeitgeber, Vorgesetzter</w:t>
      </w:r>
      <w:bookmarkEnd w:id="863"/>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Arbeitgeber ist eine kirchliche Stiftung oder die Diözese bzw. ein sonstiger kirchlicher Rechtsträger. </w:t>
      </w:r>
      <w:r>
        <w:rPr>
          <w:rStyle w:val="kleinschrift"/>
        </w:rPr>
        <w:t>2</w:t>
      </w:r>
      <w:r>
        <w:t>Der Arbeitsvertrag mit einer kirchlichen Stiftung bedarf zu seiner Wirksamkeit der stiftungsaufsichtlichen Genehmigung.</w:t>
      </w:r>
    </w:p>
    <w:p w:rsidR="00BE1EFE" w:rsidRPr="000B1AF8" w:rsidRDefault="00BE1EFE">
      <w:pPr>
        <w:pStyle w:val="StandardWeb"/>
      </w:pPr>
    </w:p>
    <w:p w:rsidR="00BE1EFE" w:rsidRDefault="00BE1EFE">
      <w:pPr>
        <w:pStyle w:val="StandardWeb"/>
      </w:pPr>
      <w:r>
        <w:t>(2) Unmittelbarer Vorgesetzter ist der Kirchenverwaltungsvorstand oder ein ihm rechtlich Gleichgestellter, für Beschäftigte im Diözesandienst der Generalvikar oder dessen Beauftragter.</w:t>
      </w:r>
    </w:p>
    <w:p w:rsidR="00BE1EFE" w:rsidRDefault="00BE1EFE">
      <w:pPr>
        <w:pStyle w:val="StandardWeb"/>
      </w:pPr>
    </w:p>
    <w:p w:rsidR="00BE1EFE" w:rsidRDefault="00BE1EFE">
      <w:pPr>
        <w:pStyle w:val="StandardWeb"/>
      </w:pPr>
      <w:r>
        <w:t>(3) Den Beschäftigten soll Gelegenheit gegeben werden, in regelmäßigen Besprechungen mit dem Pfarrer die kirchenmusikalische Arbeit in der Pfarrei, insbesondere die Gestaltung der Gottesdienste, auf längere Sicht zu planen und festzulegen.</w:t>
      </w:r>
    </w:p>
    <w:p w:rsidR="00BE1EFE" w:rsidRDefault="00BE1EFE">
      <w:pPr>
        <w:pStyle w:val="StandardWeb"/>
      </w:pPr>
    </w:p>
    <w:p w:rsidR="00BE1EFE" w:rsidRDefault="00BE1EFE">
      <w:pPr>
        <w:pStyle w:val="berschrift5"/>
      </w:pPr>
      <w:bookmarkStart w:id="864" w:name="_Toc523926387"/>
      <w:r>
        <w:lastRenderedPageBreak/>
        <w:t>§ 4 Arbeitszeit</w:t>
      </w:r>
      <w:bookmarkEnd w:id="864"/>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Die Berechnung der Arbeitszeit der Beschäftigten erfolgt nach „Diensteinheiten“ (eine Diensteinheit = 60 Minuten), die in einem Beschäftigungsplan festgelegt sind. </w:t>
      </w:r>
      <w:r>
        <w:rPr>
          <w:rStyle w:val="kleinschrift"/>
        </w:rPr>
        <w:t>2</w:t>
      </w:r>
      <w:r>
        <w:t xml:space="preserve">Davon unberührt bleibt das Direktionsrecht, insbesondere hat der Dienstgeber das Recht, unter Beibehaltung der vereinbarten Arbeitszeit andere Dienste zuzuweisen. </w:t>
      </w:r>
      <w:r>
        <w:rPr>
          <w:rStyle w:val="kleinschrift"/>
        </w:rPr>
        <w:t>3</w:t>
      </w:r>
      <w:r>
        <w:t>Bei der Zuweisung ist insbesondere bei Teilzeitbeschäftigten im Rahmen der dienstlichen Möglichkeiten der persönlichen Situation der/des Beschäftigten Rechnung zu tragen.</w:t>
      </w:r>
    </w:p>
    <w:p w:rsidR="00BE1EFE" w:rsidRPr="000B1AF8" w:rsidRDefault="00BE1EFE">
      <w:pPr>
        <w:pStyle w:val="StandardWeb"/>
      </w:pPr>
    </w:p>
    <w:p w:rsidR="00BE1EFE" w:rsidRDefault="00BE1EFE">
      <w:pPr>
        <w:pStyle w:val="StandardWeb"/>
      </w:pPr>
      <w:r>
        <w:t>(2) </w:t>
      </w:r>
      <w:r>
        <w:rPr>
          <w:rStyle w:val="kleinschrift"/>
        </w:rPr>
        <w:t>1</w:t>
      </w:r>
      <w:r>
        <w:t xml:space="preserve">Der Dienst der Beschäftigten erfordert grundsätzlich die Ableistung der regelmäßigen Arbeitszeit an sechs Tagen in der Woche. </w:t>
      </w:r>
      <w:r>
        <w:rPr>
          <w:rStyle w:val="kleinschrift"/>
        </w:rPr>
        <w:t>2</w:t>
      </w:r>
      <w:r>
        <w:t>Der Sonntag ist grundsätzlich Arbeitstag.</w:t>
      </w:r>
    </w:p>
    <w:p w:rsidR="00BE1EFE" w:rsidRDefault="00BE1EFE">
      <w:pPr>
        <w:pStyle w:val="StandardWeb"/>
      </w:pPr>
    </w:p>
    <w:p w:rsidR="00BE1EFE" w:rsidRDefault="00BE1EFE">
      <w:pPr>
        <w:pStyle w:val="StandardWeb"/>
      </w:pPr>
      <w:r>
        <w:t>(3) </w:t>
      </w:r>
      <w:r>
        <w:rPr>
          <w:rStyle w:val="kleinschrift"/>
        </w:rPr>
        <w:t>1</w:t>
      </w:r>
      <w:r>
        <w:t xml:space="preserve">Der wöchentlich arbeitsfreie Tag ist in Absprache mit dem unmittelbaren Vorgesetzten dauerhaft auf einen bestimmten Wochentag festzulegen. </w:t>
      </w:r>
      <w:r>
        <w:rPr>
          <w:rStyle w:val="kleinschrift"/>
        </w:rPr>
        <w:t>2</w:t>
      </w:r>
      <w:r>
        <w:t xml:space="preserve">Wird aus dringenden betrieblichen Gründen ausnahmsweise an diesem Tag Arbeit angeordnet, ist ein anderer arbeitsfreier Tag innerhalb derselben Woche zu gewähren. </w:t>
      </w:r>
      <w:r>
        <w:rPr>
          <w:rStyle w:val="kleinschrift"/>
        </w:rPr>
        <w:t>3</w:t>
      </w:r>
      <w:r>
        <w:t>Dieser arbeitsfreie Tag darf nicht auf einen gesetzlichen Feiertag gelegt werden.</w:t>
      </w:r>
    </w:p>
    <w:p w:rsidR="00BE1EFE" w:rsidRDefault="00BE1EFE">
      <w:pPr>
        <w:pStyle w:val="StandardWeb"/>
      </w:pPr>
    </w:p>
    <w:p w:rsidR="00BE1EFE" w:rsidRDefault="00BE1EFE">
      <w:pPr>
        <w:pStyle w:val="StandardWeb"/>
      </w:pPr>
      <w:r>
        <w:t>(4) Die Verteilung der dienstplanmäßigen Arbeitszeit auf die einzelnen Arbeitstage einschließ</w:t>
      </w:r>
      <w:r>
        <w:softHyphen/>
        <w:t>lich der Sonn- und Feiertage erfolgt durch den unmittelbaren Vorgesetzten nach vorheriger Absprache mit den Beschäftigten.</w:t>
      </w:r>
    </w:p>
    <w:p w:rsidR="00BE1EFE" w:rsidRDefault="00BE1EFE">
      <w:pPr>
        <w:pStyle w:val="StandardWeb"/>
      </w:pPr>
    </w:p>
    <w:p w:rsidR="00BE1EFE" w:rsidRDefault="00BE1EFE">
      <w:pPr>
        <w:pStyle w:val="StandardWeb"/>
      </w:pPr>
      <w:r>
        <w:t>(5) Bei den Beschäftigten umfasst die wöchentliche Arbeitszeit 7/10 unmittelbare Dienste (Gottesdienste, Proben, Unterricht und kirchenmusikalische Veranstaltungen) und 3/10 mittelbare Dienste (Vorbereitung, Orgelpflege, Besprechung mit dem Pfarrer).</w:t>
      </w:r>
    </w:p>
    <w:p w:rsidR="00BE1EFE" w:rsidRDefault="00BE1EFE">
      <w:pPr>
        <w:pStyle w:val="berschrift5"/>
      </w:pPr>
      <w:bookmarkStart w:id="865" w:name="_Toc523926388"/>
      <w:r>
        <w:t>§ 5 Erholungsurlaub/Freizeitausgleich</w:t>
      </w:r>
      <w:bookmarkEnd w:id="86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jährliche Erholungsurlaub ist so zu legen, dass er nicht in die kirchlichen Festzeiten fällt. </w:t>
      </w:r>
      <w:r>
        <w:rPr>
          <w:rStyle w:val="kleinschrift"/>
        </w:rPr>
        <w:t>2</w:t>
      </w:r>
      <w:r>
        <w:t>In begründeten Fällen kann davon einvernehmlich abgewichen werden.</w:t>
      </w:r>
    </w:p>
    <w:p w:rsidR="00BE1EFE" w:rsidRPr="000B1AF8" w:rsidRDefault="00BE1EFE">
      <w:pPr>
        <w:pStyle w:val="StandardWeb"/>
      </w:pPr>
    </w:p>
    <w:p w:rsidR="00BE1EFE" w:rsidRDefault="00BE1EFE">
      <w:pPr>
        <w:pStyle w:val="StandardWeb"/>
      </w:pPr>
      <w:r>
        <w:t>(2) </w:t>
      </w:r>
      <w:r>
        <w:rPr>
          <w:rStyle w:val="kleinschrift"/>
        </w:rPr>
        <w:t>1</w:t>
      </w:r>
      <w:r>
        <w:t xml:space="preserve">Für den am Ostersonntag und Pfingstsonntag geleisteten Dienst werden wird den Beschäftigten zusätzlich zu ihrem festgelegten freien Tag jeweils ein arbeitsfreier Tag gewährt. </w:t>
      </w:r>
      <w:r>
        <w:rPr>
          <w:rStyle w:val="kleinschrift"/>
        </w:rPr>
        <w:t>2</w:t>
      </w:r>
      <w:r>
        <w:t>Dieser arbeitsfreie Tag darf nicht auf einen gesetzlichen Feiertag gelegt werden.</w:t>
      </w:r>
    </w:p>
    <w:p w:rsidR="00BE1EFE" w:rsidRDefault="00BE1EFE">
      <w:pPr>
        <w:pStyle w:val="StandardWeb"/>
      </w:pPr>
    </w:p>
    <w:p w:rsidR="00BE1EFE" w:rsidRDefault="00BE1EFE">
      <w:pPr>
        <w:pStyle w:val="StandardWeb"/>
      </w:pPr>
      <w:r>
        <w:t>(3) </w:t>
      </w:r>
      <w:r>
        <w:rPr>
          <w:rStyle w:val="kleinschrift"/>
        </w:rPr>
        <w:t>1</w:t>
      </w:r>
      <w:r>
        <w:t xml:space="preserve">Die an einem gesetzlichen Feiertag oder an einem betriebsüblich arbeitsfreien Tag geleisteten Arbeitsstunden sind durch eine entsprechende zusammenhängende Freizeit an einem Arbeitstag innerhalb eines Ausgleichszeitraums von acht Wochen auszugleichen. </w:t>
      </w:r>
      <w:r>
        <w:rPr>
          <w:rStyle w:val="kleinschrift"/>
        </w:rPr>
        <w:t>2</w:t>
      </w:r>
      <w:r>
        <w:t>Wenn die jeweils angefallenen Ausgleichsstunden keinen vollen Tag ergeben, ist die wöchentliche Arbeitszeit so zu verteilen, dass die Beschäftigten über einen ganzen freien Tag verfügen können.</w:t>
      </w:r>
    </w:p>
    <w:p w:rsidR="00BE1EFE" w:rsidRDefault="00BE1EFE">
      <w:pPr>
        <w:pStyle w:val="StandardWeb"/>
      </w:pPr>
    </w:p>
    <w:p w:rsidR="00BE1EFE" w:rsidRDefault="00BE1EFE">
      <w:pPr>
        <w:pStyle w:val="StandardWeb"/>
      </w:pPr>
      <w:r>
        <w:t>(4) Fällt bei einer Tätigkeit bei einer 6-Tage-Woche ein gesetzlicher Feiertag oder ein betriebsüblicher arbeitsfreier Tag auf den festgelegten freien Arbeitstag und werden die Beschäftigten zur Arbeit herangezogen, erhalten diese dafür unabhängig von den an diesem Tag geleisteten Arbeitsstunden einen ganzen freien Tag, möglichst innerhalb derselben Woche.</w:t>
      </w:r>
    </w:p>
    <w:p w:rsidR="00BE1EFE" w:rsidRDefault="00BE1EFE">
      <w:pPr>
        <w:pStyle w:val="StandardWeb"/>
      </w:pPr>
    </w:p>
    <w:p w:rsidR="00BE1EFE" w:rsidRDefault="00BE1EFE">
      <w:pPr>
        <w:pStyle w:val="StandardWeb"/>
      </w:pPr>
      <w:r>
        <w:t>(5) </w:t>
      </w:r>
      <w:r>
        <w:rPr>
          <w:rStyle w:val="kleinschrift"/>
        </w:rPr>
        <w:t>1</w:t>
      </w:r>
      <w:r>
        <w:t xml:space="preserve">Den Beschäftigten ist pro Vierteljahr anstelle eines freien Wochenarbeitstages ein arbeitsfreier Sonntag zu gewähren. </w:t>
      </w:r>
      <w:r>
        <w:rPr>
          <w:rStyle w:val="kleinschrift"/>
        </w:rPr>
        <w:t>2</w:t>
      </w:r>
      <w:r>
        <w:t>Davon kann einvernehmlich abgewichen werden.</w:t>
      </w:r>
    </w:p>
    <w:p w:rsidR="00BE1EFE" w:rsidRDefault="00BE1EFE">
      <w:pPr>
        <w:pStyle w:val="StandardWeb"/>
      </w:pPr>
    </w:p>
    <w:p w:rsidR="00BE1EFE" w:rsidRDefault="00BE1EFE">
      <w:pPr>
        <w:pStyle w:val="StandardWeb"/>
      </w:pPr>
      <w:r>
        <w:lastRenderedPageBreak/>
        <w:t>(6) Für Beschäftigte, die arbeitsvertraglich ausschließlich zum Sonn- und Feiertagsdienst herangezogen werden, finden die Absätze 2 bis 5 keine Anwendung.</w:t>
      </w:r>
    </w:p>
    <w:p w:rsidR="00BE1EFE" w:rsidRDefault="00BE1EFE">
      <w:pPr>
        <w:pStyle w:val="berschrift5"/>
      </w:pPr>
      <w:bookmarkStart w:id="866" w:name="_Toc523926389"/>
      <w:r>
        <w:t>§ 6 Vertretungsfälle</w:t>
      </w:r>
      <w:bookmarkEnd w:id="86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Für die Zeit des Erholungsurlaubs und bei Dienstbefreiung sowie in den Fällen des § 4 Absatz 3 und des § 7 und in sonstigen Vertretungsfällen schlagen die Beschäftigten nach Möglichkeit eine Vertretung vor. </w:t>
      </w:r>
      <w:r>
        <w:rPr>
          <w:rStyle w:val="kleinschrift"/>
        </w:rPr>
        <w:t>2</w:t>
      </w:r>
      <w:r>
        <w:t>Die Bestellung der Vertretung und deren Vergütung sind Angelegenheit des Arbeitgebers.</w:t>
      </w:r>
    </w:p>
    <w:p w:rsidR="00BE1EFE" w:rsidRPr="000B1AF8" w:rsidRDefault="00BE1EFE">
      <w:pPr>
        <w:pStyle w:val="StandardWeb"/>
      </w:pPr>
    </w:p>
    <w:p w:rsidR="00BE1EFE" w:rsidRDefault="00BE1EFE">
      <w:pPr>
        <w:pStyle w:val="StandardWeb"/>
      </w:pPr>
      <w:r>
        <w:t>(2) </w:t>
      </w:r>
      <w:r>
        <w:rPr>
          <w:rStyle w:val="kleinschrift"/>
        </w:rPr>
        <w:t>1</w:t>
      </w:r>
      <w:r>
        <w:t xml:space="preserve">Wird den Beschäftigten auf eigenen Antrag in Ausnahmefällen Dienstbefreiung gewährt für Aufgaben, die nicht zu ihrem Dienst gehören (Vorträge, Orgelmusik, Singleitung, bezahlte Mitwirkung an Fortbildungsveranstaltungen u. Ä.), stellen sie im Einvernehmen mit dem Arbeitgeber eine qualifizierte Vertretung. </w:t>
      </w:r>
      <w:r>
        <w:rPr>
          <w:rStyle w:val="kleinschrift"/>
        </w:rPr>
        <w:t>2</w:t>
      </w:r>
      <w:r>
        <w:t>Die Kosten gehen in diesem Fall zu ihren Lasten.</w:t>
      </w:r>
    </w:p>
    <w:p w:rsidR="00BE1EFE" w:rsidRDefault="00BE1EFE">
      <w:pPr>
        <w:pStyle w:val="berschrift5"/>
      </w:pPr>
      <w:bookmarkStart w:id="867" w:name="_Toc523926390"/>
      <w:r>
        <w:t>§ 7 Fortbildung</w:t>
      </w:r>
      <w:bookmarkEnd w:id="867"/>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Beschäftigten sind zur Fortbildung verpflichtet. </w:t>
      </w:r>
      <w:r>
        <w:rPr>
          <w:rStyle w:val="kleinschrift"/>
        </w:rPr>
        <w:t>2</w:t>
      </w:r>
      <w:r>
        <w:t xml:space="preserve">Sie nehmen nach Möglichkeit an den vom Amt für Kirchenmusik einberufenen Fachtagungen und sonstigen Einrichtungen zur Weiterbildung teil. </w:t>
      </w:r>
      <w:r>
        <w:rPr>
          <w:rStyle w:val="kleinschrift"/>
        </w:rPr>
        <w:t>3</w:t>
      </w:r>
      <w:r>
        <w:t>Im Übrigen gelten die in der Diözese üblichen Fortbildungsrichtlinien.</w:t>
      </w:r>
    </w:p>
    <w:p w:rsidR="00BE1EFE" w:rsidRPr="000B1AF8" w:rsidRDefault="00BE1EFE">
      <w:pPr>
        <w:pStyle w:val="StandardWeb"/>
      </w:pPr>
    </w:p>
    <w:p w:rsidR="00BE1EFE" w:rsidRDefault="00BE1EFE">
      <w:pPr>
        <w:pStyle w:val="berschrift5"/>
      </w:pPr>
      <w:bookmarkStart w:id="868" w:name="_Toc523926391"/>
      <w:r>
        <w:t>Anhang zu §§ 1, 3 und 4 der Dienstordnung für Kirchenmusikerinnen und Kirchenmusiker</w:t>
      </w:r>
      <w:bookmarkEnd w:id="868"/>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Beschäftigungsplan</w:t>
      </w:r>
    </w:p>
    <w:p w:rsidR="00BE1EFE" w:rsidRDefault="00BE1EFE">
      <w:pPr>
        <w:pStyle w:val="StandardWeb"/>
      </w:pPr>
      <w:r>
        <w:t>Die bestehenden diözesanen Beschäftigungspläne gelten weiter.</w:t>
      </w:r>
    </w:p>
    <w:p w:rsidR="00BE1EFE" w:rsidRPr="000B1AF8" w:rsidRDefault="00BE1EFE">
      <w:pPr>
        <w:pStyle w:val="StandardWeb"/>
      </w:pPr>
      <w:r>
        <w:br w:type="page"/>
      </w:r>
    </w:p>
    <w:p w:rsidR="00BE1EFE" w:rsidRDefault="00BE1EFE" w:rsidP="00A045C0">
      <w:pPr>
        <w:pStyle w:val="berschrift4"/>
        <w:spacing w:before="0"/>
      </w:pPr>
      <w:bookmarkStart w:id="869" w:name="_Toc523926392"/>
      <w:r>
        <w:lastRenderedPageBreak/>
        <w:t>C, 7. Dienstordnung für das pädagogische Personal in den katholischen Kindertageseinrichtungen</w:t>
      </w:r>
      <w:bookmarkEnd w:id="869"/>
    </w:p>
    <w:p w:rsidR="00BE1EFE" w:rsidRDefault="00BE1EFE">
      <w:pPr>
        <w:pStyle w:val="berschrift5"/>
      </w:pPr>
      <w:bookmarkStart w:id="870" w:name="_Toc523926393"/>
      <w:r>
        <w:t>Präambel</w:t>
      </w:r>
      <w:bookmarkEnd w:id="870"/>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Die katholischen Kindertageseinrichtungen in den bayerischen Diözesen ergänzen und unterstützen Familien bzw. Eltern in ihrer Erziehungs-, Bildungs- und Betreuungsaufgabe; Eltern im Sinne dieser Ordnung sind die jeweiligen Personensorgeberechtigten. </w:t>
      </w:r>
      <w:r>
        <w:rPr>
          <w:rStyle w:val="kleinschrift"/>
        </w:rPr>
        <w:t>2</w:t>
      </w:r>
      <w:r>
        <w:t xml:space="preserve">Damit erfüllen die Kindertageseinrichtungen einen von Kirche, Staat und Gesellschaft anerkannten Erziehungs-, Bildungs- und Betreuungsauftrag. </w:t>
      </w:r>
      <w:r>
        <w:rPr>
          <w:rStyle w:val="kleinschrift"/>
        </w:rPr>
        <w:t>3</w:t>
      </w:r>
      <w:r>
        <w:t xml:space="preserve">Sie erhalten ihre Eigenprägung durch das im katholischen Glauben gründende Welt- und Menschenbild, </w:t>
      </w:r>
      <w:r w:rsidRPr="00892949">
        <w:t>das die Normalität der Verschiedenheit von Menschen betont, eine Ausgrenzung auf Grund bestimmter Merkmale ablehnt und die Beteiligung ermöglicht</w:t>
      </w:r>
      <w:r>
        <w:t>.</w:t>
      </w:r>
      <w:r w:rsidRPr="00892949">
        <w:t xml:space="preserve"> </w:t>
      </w:r>
      <w:r>
        <w:rPr>
          <w:rStyle w:val="kleinschrift"/>
        </w:rPr>
        <w:t>4</w:t>
      </w:r>
      <w:r w:rsidRPr="00892949">
        <w:t xml:space="preserve">Im Ideal der Inklusion hat die Unterscheidung „behindert und nichtbehindert“ keine Relevanz mehr. </w:t>
      </w:r>
      <w:r w:rsidRPr="00892949">
        <w:rPr>
          <w:sz w:val="12"/>
          <w:szCs w:val="12"/>
        </w:rPr>
        <w:t>5</w:t>
      </w:r>
      <w:r w:rsidRPr="00892949">
        <w:t xml:space="preserve">Alle Kinder lernen ungeachtet ihrer individuellen Voraussetzungen und Fähigkeiten, ihrer Talente, ihrer Herkunft, ihrer Behinderungen und Beeinträchtigungen miteinander, und werden jeweils individuell gefördert. </w:t>
      </w:r>
      <w:r w:rsidRPr="00892949">
        <w:rPr>
          <w:sz w:val="12"/>
          <w:szCs w:val="12"/>
        </w:rPr>
        <w:t>6</w:t>
      </w:r>
      <w:r w:rsidRPr="00892949">
        <w:t>Inklusion beschreibt ein gesellschaftliches Miteinander, dessen wesentliches Prinzip die Wertschätzung und Anerkennung von Unterschiedlichkei</w:t>
      </w:r>
      <w:r>
        <w:t xml:space="preserve">t in Bildung und Erziehung ist. </w:t>
      </w:r>
      <w:r>
        <w:rPr>
          <w:rStyle w:val="kleinschrift"/>
        </w:rPr>
        <w:t>7</w:t>
      </w:r>
      <w:r>
        <w:t xml:space="preserve">Die Beschäftigten sind deshalb aufgefordert, durch ihre eigene christliche Grundhaltung die auf diesem Weltbild aufbauende Erziehung im konkreten Handeln zu verdeutlichen. </w:t>
      </w:r>
      <w:r>
        <w:rPr>
          <w:rStyle w:val="kleinschrift"/>
        </w:rPr>
        <w:t>8</w:t>
      </w:r>
      <w:r>
        <w:t>Die katholischen Kindertageseinrichtungen in den bayerischen Diözesen sind Teil der Gemeinde</w:t>
      </w:r>
      <w:r>
        <w:softHyphen/>
        <w:t xml:space="preserve">pastoral und müssen somit in die kirchliche Gemeindearbeit einbezogen werden. </w:t>
      </w:r>
      <w:r>
        <w:rPr>
          <w:rStyle w:val="kleinschrift"/>
        </w:rPr>
        <w:t>9</w:t>
      </w:r>
      <w:r>
        <w:t xml:space="preserve">Die pädagogische und die religiöse Arbeit in einer katholischen Kindertageseinrichtung verantwortet der Träger. </w:t>
      </w:r>
      <w:r>
        <w:rPr>
          <w:rStyle w:val="kleinschrift"/>
        </w:rPr>
        <w:t>10</w:t>
      </w:r>
      <w:r>
        <w:t>Die durch das Bayerische Kinderbildungs- und -betreuungsgesetz (BayKiBiG) und die ergänzenden Bestimmungen festgelegten Anforderungen an die Erziehungs- und Bildungsziele sind der pädagogischen Arbeit in den katholischen Kindertageseinrichtungen zugrunde zu legen.</w:t>
      </w:r>
    </w:p>
    <w:p w:rsidR="00BE1EFE" w:rsidRDefault="00BE1EFE">
      <w:pPr>
        <w:pStyle w:val="berschrift5"/>
      </w:pPr>
      <w:bookmarkStart w:id="871" w:name="_Toc523926394"/>
      <w:r>
        <w:t>§ 1 Grundlagen des Beschäftigungsverhältnisses</w:t>
      </w:r>
      <w:bookmarkEnd w:id="87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,,Grundordnung des kirchlichen Dienstes im Rahmen kirchlicher Arbeitsverhältnisse" ist Bestandteil des Arbeitsvertrages. </w:t>
      </w:r>
      <w:r>
        <w:rPr>
          <w:rStyle w:val="kleinschrift"/>
        </w:rPr>
        <w:t>2</w:t>
      </w:r>
      <w:r>
        <w:t>Für das Arbeitsverhältnis des pädagogischen Personals in den katholischen Kindertageseinrichtungen gelten die von der Bayerischen Regional-KODA beschlossenen und vom Diözesanbischof für die Diözese in Kraft gesetzten arbeitsvertrags</w:t>
      </w:r>
      <w:r>
        <w:softHyphen/>
        <w:t xml:space="preserve">rechtlichen Regelungen der bayerischen Diözesen in ihrer jeweiligen Fassung. </w:t>
      </w:r>
      <w:r>
        <w:rPr>
          <w:rStyle w:val="kleinschrift"/>
        </w:rPr>
        <w:t>3</w:t>
      </w:r>
      <w:r>
        <w:t>Darüber hinaus gelten das Bayerische Kinderbildungs- und -betreuungsgesetz (BayKiBiG), die Verordnung zur Ausführung des Bayerischen Kinderbildungs- und - betreuungsgesetztes (AVBayKiBiG) sowie die übrigen staatlichen Gesetze, in denen einschlägige Bestimmungen über die Arbeit in Kindertageseinrichtungen getroffen werden.</w:t>
      </w:r>
    </w:p>
    <w:p w:rsidR="00BE1EFE" w:rsidRDefault="00BE1EFE">
      <w:pPr>
        <w:pStyle w:val="berschrift5"/>
      </w:pPr>
      <w:bookmarkStart w:id="872" w:name="_Toc523926395"/>
      <w:r>
        <w:t>§ 2 Aufgaben der Leitung</w:t>
      </w:r>
      <w:bookmarkEnd w:id="872"/>
    </w:p>
    <w:p w:rsidR="00BE1EFE" w:rsidRPr="00B76821" w:rsidRDefault="00BE1EFE" w:rsidP="00B76821">
      <w:pPr>
        <w:pStyle w:val="berschrift6"/>
        <w:keepNext w:val="0"/>
        <w:spacing w:before="0" w:after="0"/>
        <w:rPr>
          <w:sz w:val="2"/>
        </w:rPr>
      </w:pPr>
    </w:p>
    <w:p w:rsidR="00BE1EFE" w:rsidRPr="000B1AF8" w:rsidRDefault="00BE1EFE" w:rsidP="00CC746D">
      <w:pPr>
        <w:jc w:val="both"/>
      </w:pPr>
      <w:r>
        <w:t>(1) </w:t>
      </w:r>
      <w:r>
        <w:rPr>
          <w:vertAlign w:val="subscript"/>
        </w:rPr>
        <w:t>1</w:t>
      </w:r>
      <w:r>
        <w:t>Die Leitung hat die Aufgabe, in Zusammenarbeit mit der vom Träger ausdrücklich bestell</w:t>
      </w:r>
      <w:r>
        <w:softHyphen/>
        <w:t>ten ständigen Vertretung der Leitung, den weiteren pädagogischen Fachkräften, den pädago</w:t>
      </w:r>
      <w:r>
        <w:softHyphen/>
        <w:t xml:space="preserve">gischen Ergänzungskräften und dem Elternbeirat den Träger nach dessen Maßgabe bei der Erstellung und der Fortschreibung einer den Verhältnissen angepassten Konzeption der Erziehungs-, Bildungs- und Betreuungsarbeit zu unterstützen. </w:t>
      </w:r>
      <w:r>
        <w:rPr>
          <w:vertAlign w:val="subscript"/>
        </w:rPr>
        <w:t>2</w:t>
      </w:r>
      <w:r>
        <w:t xml:space="preserve">Sie orientiert sich dabei an der Situation ihrer Einrichtung, den Sozialräumen und am Bildungs- und Erziehungsplan (BEP). </w:t>
      </w:r>
      <w:r>
        <w:rPr>
          <w:vertAlign w:val="subscript"/>
        </w:rPr>
        <w:lastRenderedPageBreak/>
        <w:t>3</w:t>
      </w:r>
      <w:r>
        <w:t>Für die Planung und Durchführung der gesamten Arbeit in der katholischen Kindertages</w:t>
      </w:r>
      <w:r>
        <w:softHyphen/>
        <w:t xml:space="preserve">einrichtung ist sie dem Träger verantwortlich; die vom Träger ausdrücklich bestellte ständige Vertretung der Leitung ist zu informieren. </w:t>
      </w:r>
      <w:r>
        <w:rPr>
          <w:vertAlign w:val="subscript"/>
        </w:rPr>
        <w:t>4</w:t>
      </w:r>
      <w:r>
        <w:t>Die Leitung hat an regelmäßigen Konferenzen für Leitungen bzw. Dienstgesprächen teilzunehmen.</w:t>
      </w:r>
    </w:p>
    <w:p w:rsidR="00BE1EFE" w:rsidRDefault="00BE1EFE" w:rsidP="005E484E">
      <w:pPr>
        <w:spacing w:before="100" w:beforeAutospacing="1" w:after="100" w:afterAutospacing="1"/>
        <w:jc w:val="both"/>
      </w:pPr>
      <w:r>
        <w:t>(2) Die Leitung hat insbesondere folgende Leitungsaufgaben:</w:t>
      </w:r>
    </w:p>
    <w:p w:rsidR="00BE1EFE" w:rsidRDefault="00BE1EFE" w:rsidP="005E484E">
      <w:pPr>
        <w:jc w:val="both"/>
      </w:pPr>
      <w:r>
        <w:rPr>
          <w:rStyle w:val="Fett"/>
          <w:bCs/>
        </w:rPr>
        <w:t>1. Personalführung</w:t>
      </w:r>
    </w:p>
    <w:p w:rsidR="00BE1EFE" w:rsidRDefault="00BE1EFE">
      <w:pPr>
        <w:pStyle w:val="StandardWeb"/>
      </w:pPr>
      <w:r>
        <w:t>In der Wahrnehmung ihrer Aufgaben ist die Leitung weisungs- und delegationsberechtigt insbesondere in folgenden Bereichen:</w:t>
      </w:r>
    </w:p>
    <w:p w:rsidR="00BE1EFE" w:rsidRDefault="00BE1EFE">
      <w:pPr>
        <w:pStyle w:val="StandardWeb"/>
      </w:pPr>
      <w:r>
        <w:t>a. Koordination der pädagogischen Arbeit und religiösen Erziehung durch pädagogisches Personal (Fach- und Ergänzungskräfte),</w:t>
      </w:r>
    </w:p>
    <w:p w:rsidR="00BE1EFE" w:rsidRDefault="00BE1EFE">
      <w:pPr>
        <w:pStyle w:val="StandardWeb"/>
      </w:pPr>
      <w:r>
        <w:t>b. Leitung der regelmäßig durchzuführenden Teambesprechung,</w:t>
      </w:r>
    </w:p>
    <w:p w:rsidR="00BE1EFE" w:rsidRDefault="00BE1EFE">
      <w:pPr>
        <w:pStyle w:val="StandardWeb"/>
      </w:pPr>
      <w:r>
        <w:t>c. fachliche Beratung der Beschäftigten, Einführung von neuem Personal,</w:t>
      </w:r>
    </w:p>
    <w:p w:rsidR="00BE1EFE" w:rsidRDefault="00BE1EFE">
      <w:pPr>
        <w:pStyle w:val="StandardWeb"/>
      </w:pPr>
      <w:r>
        <w:t>d. Qualitätsmanagement im Rahmen der Teamentwicklung,</w:t>
      </w:r>
    </w:p>
    <w:p w:rsidR="00BE1EFE" w:rsidRDefault="00BE1EFE" w:rsidP="008B0E87">
      <w:pPr>
        <w:pStyle w:val="StandardWeb"/>
      </w:pPr>
      <w:r>
        <w:t>e. Förderung der Erziehungspartnerschaft zwischen Eltern und pädagogischem Personal,</w:t>
      </w:r>
    </w:p>
    <w:p w:rsidR="00BE1EFE" w:rsidRDefault="00BE1EFE" w:rsidP="008B0E87">
      <w:pPr>
        <w:pStyle w:val="StandardWeb"/>
        <w:jc w:val="left"/>
      </w:pPr>
      <w:r>
        <w:t>f. Krisenmanagement,</w:t>
      </w:r>
    </w:p>
    <w:p w:rsidR="00BE1EFE" w:rsidRDefault="00BE1EFE" w:rsidP="008B0E87">
      <w:pPr>
        <w:pStyle w:val="StandardWeb"/>
      </w:pPr>
      <w:r>
        <w:t>g. Qualitätssicherung (z. B. Teamfortbildung gemäß § 7 Absatz 4, Qualifizierungsgespräch gemäß § 5 Absatz 4 Teil A, 1.),</w:t>
      </w:r>
    </w:p>
    <w:p w:rsidR="00BE1EFE" w:rsidRDefault="00BE1EFE">
      <w:pPr>
        <w:pStyle w:val="StandardWeb"/>
      </w:pPr>
      <w:r>
        <w:t>h. Information der Beschäftigten über Fort- und Weiterbildungsmöglichkeiten, Mitwirkung bei der Fortbildungsplanung, Absprache der Fortbildungsteilnahme,</w:t>
      </w:r>
    </w:p>
    <w:p w:rsidR="00BE1EFE" w:rsidRDefault="00BE1EFE">
      <w:pPr>
        <w:pStyle w:val="StandardWeb"/>
      </w:pPr>
      <w:r>
        <w:t>i. Information, Weitergabe von Rundschreiben und Informationsmaterial,</w:t>
      </w:r>
    </w:p>
    <w:p w:rsidR="00BE1EFE" w:rsidRDefault="00BE1EFE">
      <w:pPr>
        <w:pStyle w:val="StandardWeb"/>
      </w:pPr>
      <w:r>
        <w:t>j. Verantwortung für die Praktikantenanleitung,</w:t>
      </w:r>
    </w:p>
    <w:p w:rsidR="00BE1EFE" w:rsidRDefault="00BE1EFE">
      <w:pPr>
        <w:pStyle w:val="StandardWeb"/>
      </w:pPr>
      <w:r>
        <w:t>k. Organisation der hauswirtschaftlichen und technischen Dienste.</w:t>
      </w:r>
    </w:p>
    <w:p w:rsidR="00BE1EFE" w:rsidRDefault="00BE1EFE">
      <w:pPr>
        <w:pStyle w:val="StandardWeb"/>
      </w:pPr>
    </w:p>
    <w:p w:rsidR="00BE1EFE" w:rsidRDefault="00BE1EFE" w:rsidP="0054275E">
      <w:pPr>
        <w:pStyle w:val="StandardWeb"/>
        <w:autoSpaceDE w:val="0"/>
        <w:rPr>
          <w:b/>
          <w:bCs/>
        </w:rPr>
      </w:pPr>
      <w:r>
        <w:rPr>
          <w:rStyle w:val="Fett"/>
          <w:bCs/>
        </w:rPr>
        <w:t>2. Betriebsführung</w:t>
      </w:r>
    </w:p>
    <w:p w:rsidR="00BE1EFE" w:rsidRDefault="00BE1EFE">
      <w:pPr>
        <w:pStyle w:val="StandardWeb"/>
      </w:pPr>
      <w:r>
        <w:t>a. Ausübung des Hausrechts,</w:t>
      </w:r>
    </w:p>
    <w:p w:rsidR="00BE1EFE" w:rsidRDefault="00BE1EFE">
      <w:pPr>
        <w:pStyle w:val="StandardWeb"/>
      </w:pPr>
      <w:r>
        <w:t>b. Führung der Aufnahmegespräche mit den Eltern. Die Entscheidung über die Aufnahme eines Kindes trifft die Leitung im Einvernehmen mit dem Träger im Rahmen der festgelegten Aufnahmekriterien,</w:t>
      </w:r>
    </w:p>
    <w:p w:rsidR="00BE1EFE" w:rsidRDefault="00BE1EFE">
      <w:pPr>
        <w:pStyle w:val="StandardWeb"/>
      </w:pPr>
      <w:r>
        <w:t>c. Aufstellung von Dienstplänen für alle Beschäftigten der Einrichtung in Zusammenarbeit mit den Beschäftigten und in Absprache mit dem Träger,</w:t>
      </w:r>
    </w:p>
    <w:p w:rsidR="00BE1EFE" w:rsidRDefault="00BE1EFE">
      <w:pPr>
        <w:pStyle w:val="StandardWeb"/>
      </w:pPr>
      <w:r>
        <w:t>d. Regelung der Vertretung, insbesondere bei Arbeitsunfähigkeit, Urlaub und Fortbildung, und bei Zeitausgleich für Mehrarbeit und Überstunden,</w:t>
      </w:r>
    </w:p>
    <w:p w:rsidR="00BE1EFE" w:rsidRDefault="00BE1EFE">
      <w:pPr>
        <w:pStyle w:val="StandardWeb"/>
      </w:pPr>
      <w:r>
        <w:t xml:space="preserve">e. Erfassung von Mehrarbeit, Überstunden, </w:t>
      </w:r>
    </w:p>
    <w:p w:rsidR="00BE1EFE" w:rsidRDefault="00BE1EFE">
      <w:pPr>
        <w:pStyle w:val="StandardWeb"/>
      </w:pPr>
      <w:r>
        <w:t>Erstellung von Arbeitszeitübersichten und gegebenenfalls Arbeitszeitkonten im Rahmen der Dienstplangestaltung,</w:t>
      </w:r>
    </w:p>
    <w:p w:rsidR="00BE1EFE" w:rsidRDefault="00BE1EFE">
      <w:pPr>
        <w:pStyle w:val="StandardWeb"/>
      </w:pPr>
      <w:r>
        <w:t>f. Beratung des Trägers bei der Aufstellung des Haushaltsplanes unter Berücksichtigung der pädagogischen Konzeption,</w:t>
      </w:r>
    </w:p>
    <w:p w:rsidR="00BE1EFE" w:rsidRDefault="00BE1EFE">
      <w:pPr>
        <w:pStyle w:val="StandardWeb"/>
      </w:pPr>
      <w:r>
        <w:t>g. zweckentsprechende Verwendung, Verwaltung und Abrechnung der vom Träger zur Verfügung gestellten Gelder,</w:t>
      </w:r>
    </w:p>
    <w:p w:rsidR="00BE1EFE" w:rsidRDefault="00BE1EFE">
      <w:pPr>
        <w:pStyle w:val="StandardWeb"/>
      </w:pPr>
      <w:r>
        <w:t>h. Erhebung und Erfassung der Daten nach dem BayKiBiG und Kontrolle der Buchungszeiten,</w:t>
      </w:r>
    </w:p>
    <w:p w:rsidR="00BE1EFE" w:rsidRDefault="00BE1EFE">
      <w:pPr>
        <w:pStyle w:val="StandardWeb"/>
      </w:pPr>
      <w:r>
        <w:t>i. Unterstützung des Trägers bei der Umsetzung gesetzlicher Vorschriften, insbesondere im Hinblick auf Sicherheit, Ordnung, Instandhaltung und Hygiene,</w:t>
      </w:r>
    </w:p>
    <w:p w:rsidR="00BE1EFE" w:rsidRDefault="00BE1EFE">
      <w:pPr>
        <w:pStyle w:val="StandardWeb"/>
      </w:pPr>
      <w:r>
        <w:t>j. Abfassung von Unfallanzeigen für die Unfallversicherung, gesetzliche Unfallversicherung und die Dienststelle für Diözesanhaftpflicht- und Unfallversicherung beim Bischöflichen Ordinariat.</w:t>
      </w:r>
    </w:p>
    <w:p w:rsidR="00BE1EFE" w:rsidRDefault="00BE1EFE">
      <w:pPr>
        <w:pStyle w:val="StandardWeb"/>
      </w:pPr>
    </w:p>
    <w:p w:rsidR="00BE1EFE" w:rsidRDefault="00BE1EFE" w:rsidP="0054275E">
      <w:pPr>
        <w:pStyle w:val="StandardWeb"/>
        <w:autoSpaceDE w:val="0"/>
        <w:rPr>
          <w:b/>
          <w:bCs/>
        </w:rPr>
      </w:pPr>
      <w:r>
        <w:rPr>
          <w:rStyle w:val="Fett"/>
          <w:bCs/>
        </w:rPr>
        <w:t>3. Zusammenarbeit</w:t>
      </w:r>
    </w:p>
    <w:p w:rsidR="00BE1EFE" w:rsidRDefault="00BE1EFE">
      <w:pPr>
        <w:pStyle w:val="StandardWeb"/>
      </w:pPr>
      <w:r>
        <w:t xml:space="preserve">a. mit dem Träger </w:t>
      </w:r>
    </w:p>
    <w:p w:rsidR="00BE1EFE" w:rsidRDefault="00BE1EFE">
      <w:pPr>
        <w:pStyle w:val="StandardWeb"/>
      </w:pPr>
      <w:r>
        <w:t>aa. Absprache der Grundlagen der Erziehungs-, Bildungs- und Betreuungsarbeit, auch im Hinblick auf die Einbeziehung in das pfarrliche Leben (pädagogische Konzeption),</w:t>
      </w:r>
    </w:p>
    <w:p w:rsidR="00BE1EFE" w:rsidRDefault="00BE1EFE">
      <w:pPr>
        <w:pStyle w:val="StandardWeb"/>
      </w:pPr>
      <w:r>
        <w:lastRenderedPageBreak/>
        <w:t>bb. Abgabe von Stellungnahmen und ggf. von Vorschlägen gegenüber dem Träger, insbeson</w:t>
      </w:r>
      <w:r>
        <w:softHyphen/>
        <w:t>dere zu Bedarfsplanung, Baumaßnahmen, Ausstattung, Öffnungs- und Schließzeiten der Kindertageseinrichtung,</w:t>
      </w:r>
    </w:p>
    <w:p w:rsidR="00BE1EFE" w:rsidRDefault="00BE1EFE">
      <w:pPr>
        <w:pStyle w:val="StandardWeb"/>
      </w:pPr>
      <w:r>
        <w:t>cc. gegenseitige Information bei Personalfragen und dienstrechtlich relevanten Sachverhalten, insbesondere bei Einstellungsverfahren und arbeitsrechtlichen Maßnahmen,</w:t>
      </w:r>
    </w:p>
    <w:p w:rsidR="00BE1EFE" w:rsidRDefault="00BE1EFE">
      <w:pPr>
        <w:pStyle w:val="StandardWeb"/>
      </w:pPr>
      <w:r>
        <w:t>dd. rechtzeitige Information über Veränderungen der Buchungszeiten,</w:t>
      </w:r>
    </w:p>
    <w:p w:rsidR="00BE1EFE" w:rsidRDefault="00BE1EFE">
      <w:pPr>
        <w:pStyle w:val="StandardWeb"/>
      </w:pPr>
      <w:r>
        <w:t>ee. Information über die praktische Umsetzung der pädagogischen Konzeption und von Projekten,</w:t>
      </w:r>
    </w:p>
    <w:p w:rsidR="00BE1EFE" w:rsidRDefault="00BE1EFE">
      <w:pPr>
        <w:pStyle w:val="StandardWeb"/>
      </w:pPr>
      <w:r>
        <w:t>ff. Meldung von Schäden und Mängeln an Inventar, Gebäude und Grundstück, besonders auch im Außenbereich sowie Information über erforderliche Instandhaltungsarbeiten; bei Gefahr im Verzug ist die Leitung verpflichtet, eine erforderliche Sofortmaßnahme zur Vermeidung von Gefährdungen einzuleiten und mit dem Träger Absprache zur umgehenden Schadensbehebung zu treffen,</w:t>
      </w:r>
    </w:p>
    <w:p w:rsidR="00BE1EFE" w:rsidRDefault="00BE1EFE">
      <w:pPr>
        <w:pStyle w:val="StandardWeb"/>
      </w:pPr>
      <w:r>
        <w:t>gg. Meldung von Unfällen und Weitergabe der Arbeitsunfähigkeitsbescheinigungen von Beschäftigten an die zuständige Stelle,</w:t>
      </w:r>
    </w:p>
    <w:p w:rsidR="00BE1EFE" w:rsidRDefault="00BE1EFE">
      <w:pPr>
        <w:pStyle w:val="StandardWeb"/>
      </w:pPr>
      <w:r>
        <w:t>hh. Mitarbeit bei der Erstellung und der inhaltlichen Auswertung von Elternbefragungen;</w:t>
      </w:r>
    </w:p>
    <w:p w:rsidR="00BE1EFE" w:rsidRDefault="00BE1EFE">
      <w:pPr>
        <w:pStyle w:val="StandardWeb"/>
      </w:pPr>
    </w:p>
    <w:p w:rsidR="00BE1EFE" w:rsidRDefault="00BE1EFE">
      <w:pPr>
        <w:pStyle w:val="StandardWeb"/>
      </w:pPr>
      <w:r>
        <w:t>b. mit Eltern und Elternbeirat</w:t>
      </w:r>
    </w:p>
    <w:p w:rsidR="00BE1EFE" w:rsidRDefault="00BE1EFE">
      <w:pPr>
        <w:pStyle w:val="StandardWeb"/>
      </w:pPr>
      <w:r>
        <w:t>aa. Vorstellung und Erklärung der pädagogischen Konzeption,</w:t>
      </w:r>
    </w:p>
    <w:p w:rsidR="00BE1EFE" w:rsidRDefault="00BE1EFE">
      <w:pPr>
        <w:pStyle w:val="StandardWeb"/>
      </w:pPr>
      <w:r>
        <w:t>bb. Hinweise auf familienbezogene Beratungs- und Hilfsangebote,</w:t>
      </w:r>
    </w:p>
    <w:p w:rsidR="00BE1EFE" w:rsidRDefault="00BE1EFE">
      <w:pPr>
        <w:pStyle w:val="StandardWeb"/>
      </w:pPr>
      <w:r>
        <w:t>cc. Teilnahme an Elternbeiratssitzungen;</w:t>
      </w:r>
    </w:p>
    <w:p w:rsidR="00BE1EFE" w:rsidRDefault="00BE1EFE">
      <w:pPr>
        <w:pStyle w:val="StandardWeb"/>
      </w:pPr>
    </w:p>
    <w:p w:rsidR="00BE1EFE" w:rsidRDefault="00BE1EFE">
      <w:pPr>
        <w:pStyle w:val="StandardWeb"/>
      </w:pPr>
      <w:r>
        <w:t>c. mit Behörden, Ausschüssen und anderen Institutionen</w:t>
      </w:r>
    </w:p>
    <w:p w:rsidR="00BE1EFE" w:rsidRDefault="00BE1EFE">
      <w:pPr>
        <w:pStyle w:val="StandardWeb"/>
      </w:pPr>
      <w:r>
        <w:t>aa. Aufsichtsbehörden,</w:t>
      </w:r>
    </w:p>
    <w:p w:rsidR="00BE1EFE" w:rsidRDefault="00BE1EFE">
      <w:pPr>
        <w:pStyle w:val="StandardWeb"/>
      </w:pPr>
      <w:r>
        <w:t>bb. Gesundheitsamt,</w:t>
      </w:r>
    </w:p>
    <w:p w:rsidR="00BE1EFE" w:rsidRDefault="00BE1EFE" w:rsidP="008B0E87">
      <w:pPr>
        <w:pStyle w:val="StandardWeb"/>
      </w:pPr>
      <w:r>
        <w:t>cc. Beratungsstellen (z. B. Erziehungs-, Suchtberatungs-, Jugend- und Familienberatungs</w:t>
      </w:r>
      <w:r>
        <w:softHyphen/>
        <w:t>stellen),</w:t>
      </w:r>
    </w:p>
    <w:p w:rsidR="00BE1EFE" w:rsidRDefault="00BE1EFE" w:rsidP="008B0E87">
      <w:pPr>
        <w:pStyle w:val="StandardWeb"/>
      </w:pPr>
      <w:r>
        <w:t>dd. Grundschulen des Einzugsbereiches,</w:t>
      </w:r>
    </w:p>
    <w:p w:rsidR="00BE1EFE" w:rsidRDefault="00BE1EFE" w:rsidP="008B0E87">
      <w:pPr>
        <w:pStyle w:val="StandardWeb"/>
      </w:pPr>
      <w:r>
        <w:t>ee. anderen Einrichtungen und Diensten im Einzugsbereich (z. B. Frühfördereinrichtungen, heilpädagogische Tagesstätten, schulvorbereitende Einrichtungen für Behinderte, Förder</w:t>
      </w:r>
      <w:r>
        <w:softHyphen/>
        <w:t>schulen und sonderpädagogische Förderzentren, Insoweit Erfahrene Fachkraft (Isofak), Koordinierenden Kinderschutzstellen (KoKi));</w:t>
      </w:r>
    </w:p>
    <w:p w:rsidR="00BE1EFE" w:rsidRDefault="00BE1EFE">
      <w:pPr>
        <w:pStyle w:val="StandardWeb"/>
      </w:pPr>
    </w:p>
    <w:p w:rsidR="00BE1EFE" w:rsidRDefault="00BE1EFE">
      <w:pPr>
        <w:pStyle w:val="StandardWeb"/>
      </w:pPr>
      <w:r>
        <w:t>d. mit dem Diözesancaritasverband/Fachberatung Referat Kindertageseinrichtungen und Fortbildungsträgern;</w:t>
      </w:r>
    </w:p>
    <w:p w:rsidR="00BE1EFE" w:rsidRDefault="00BE1EFE">
      <w:pPr>
        <w:pStyle w:val="StandardWeb"/>
      </w:pPr>
    </w:p>
    <w:p w:rsidR="00BE1EFE" w:rsidRDefault="00BE1EFE">
      <w:pPr>
        <w:pStyle w:val="StandardWeb"/>
      </w:pPr>
      <w:r>
        <w:t>e. mit der/dem Beauftragten des Trägers für die in der Kindertageseinrichtung anfallenden Verwaltungsarbeiten</w:t>
      </w:r>
      <w:r w:rsidRPr="00DD1383">
        <w:rPr>
          <w:rStyle w:val="kleinschrift"/>
          <w:vertAlign w:val="superscript"/>
        </w:rPr>
        <w:t>1)</w:t>
      </w:r>
    </w:p>
    <w:p w:rsidR="00BE1EFE" w:rsidRDefault="00BE1EFE">
      <w:pPr>
        <w:pStyle w:val="StandardWeb"/>
      </w:pPr>
    </w:p>
    <w:p w:rsidR="00BE1EFE" w:rsidRDefault="00BE1EFE">
      <w:pPr>
        <w:pStyle w:val="StandardWeb"/>
      </w:pPr>
      <w:r>
        <w:rPr>
          <w:sz w:val="12"/>
          <w:szCs w:val="12"/>
        </w:rPr>
        <w:t>1) Hinweis: Der/dem für die in der Kindertageseinrichtung anfallenden Verwaltungsarbeiten zuständigen Beauftragten sollen diejenigen Verwaltungsaufgaben übertragen werden, die nicht in unmittelbarem Zusammenhang zur pädagogischen Arbeit stehen. Hierzu zählen insbesondere Einzug, Überprüfung und Mahnung von Elternbeiträgen, die Beantragung der kinderbezogenen Zuschüsse, Aufstellung des Haushaltsplanes, Erstellen der Jahresrechnung, Stellenausschreibungen, buchhalterischen Aufgaben, Erstellen von Statistiken und Materialbestellungen.</w:t>
      </w:r>
    </w:p>
    <w:p w:rsidR="00BE1EFE" w:rsidRDefault="00BE1EFE">
      <w:pPr>
        <w:pStyle w:val="berschrift5"/>
      </w:pPr>
      <w:bookmarkStart w:id="873" w:name="_Toc523926396"/>
      <w:r>
        <w:t>§ 3 Ständige Vertretung der Leitung</w:t>
      </w:r>
      <w:bookmarkEnd w:id="873"/>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Die vom Träger ausdrücklich bestellte ständige Vertretung der Leitung hat Aufgaben und Tätigkeiten aus dem Bereich des </w:t>
      </w:r>
      <w:r w:rsidRPr="008A3D6A">
        <w:t>§ 2</w:t>
      </w:r>
      <w:r>
        <w:t>, die ihr vom Träger in Absprache mit der Leitung übertragen werden, wahrzunehmen.</w:t>
      </w:r>
    </w:p>
    <w:p w:rsidR="00BE1EFE" w:rsidRPr="000B1AF8" w:rsidRDefault="00BE1EFE">
      <w:pPr>
        <w:pStyle w:val="StandardWeb"/>
      </w:pPr>
    </w:p>
    <w:p w:rsidR="00BE1EFE" w:rsidRDefault="00BE1EFE">
      <w:pPr>
        <w:pStyle w:val="StandardWeb"/>
      </w:pPr>
      <w:r>
        <w:t>(2) Die vom Träger ausdrücklich bestellte ständige Vertretung der Leitung vertritt die Leitung bei deren Abwesenheit in allen Angelegenheiten.</w:t>
      </w:r>
    </w:p>
    <w:p w:rsidR="00BE1EFE" w:rsidRDefault="00BE1EFE">
      <w:pPr>
        <w:pStyle w:val="berschrift5"/>
      </w:pPr>
      <w:bookmarkStart w:id="874" w:name="_Toc523926397"/>
      <w:r>
        <w:lastRenderedPageBreak/>
        <w:t>§ 4 Aufgaben der pädagogischen Fachkraft</w:t>
      </w:r>
      <w:bookmarkEnd w:id="874"/>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Die pädagogische Fachkraft ist der Leitung und/oder der vom Träger ausdrücklich bestellten ständigen Vertretung der Leitung sowie dem Träger gegenüber für die pädago</w:t>
      </w:r>
      <w:r>
        <w:softHyphen/>
        <w:t>gische Arbeit, die religiöse Erziehung und die organisatorische Arbeit verantwortlich.</w:t>
      </w:r>
    </w:p>
    <w:p w:rsidR="00BE1EFE" w:rsidRPr="000B1AF8" w:rsidRDefault="00BE1EFE">
      <w:pPr>
        <w:pStyle w:val="StandardWeb"/>
      </w:pPr>
      <w:r>
        <w:rPr>
          <w:rStyle w:val="kleinschrift"/>
        </w:rPr>
        <w:t>2</w:t>
      </w:r>
      <w:r>
        <w:t>Die Planung, Vorbereitung und Durchführung der Arbeit müssen der pädagogischen Konzeption der Einrichtung entsprechen.</w:t>
      </w:r>
    </w:p>
    <w:p w:rsidR="00BE1EFE" w:rsidRPr="000B1AF8" w:rsidRDefault="00BE1EFE">
      <w:pPr>
        <w:pStyle w:val="StandardWeb"/>
      </w:pPr>
    </w:p>
    <w:p w:rsidR="00BE1EFE" w:rsidRDefault="00BE1EFE">
      <w:pPr>
        <w:pStyle w:val="StandardWeb"/>
      </w:pPr>
      <w:r>
        <w:t>(2) Zu den Aufgaben der pädagogischen Fachkraft gehören insbesondere:</w:t>
      </w:r>
    </w:p>
    <w:p w:rsidR="00BE1EFE" w:rsidRDefault="00BE1EFE">
      <w:pPr>
        <w:pStyle w:val="StandardWeb"/>
      </w:pPr>
      <w:r>
        <w:t>a. Koordination der pädagogischen und organisatorischen Arbeiten im Team,</w:t>
      </w:r>
    </w:p>
    <w:p w:rsidR="00BE1EFE" w:rsidRDefault="00BE1EFE">
      <w:pPr>
        <w:pStyle w:val="StandardWeb"/>
      </w:pPr>
      <w:r>
        <w:t>b. </w:t>
      </w:r>
      <w:r w:rsidRPr="008B0E87">
        <w:t>Verantwortung für die Planung, Vorbereitung, Durchführung und Nachbereitung der pädagogischen Arbeit un</w:t>
      </w:r>
      <w:r>
        <w:t>d religiösen Erziehung am Kind,</w:t>
      </w:r>
    </w:p>
    <w:p w:rsidR="00BE1EFE" w:rsidRDefault="00BE1EFE">
      <w:pPr>
        <w:pStyle w:val="StandardWeb"/>
      </w:pPr>
      <w:r>
        <w:t>c. Dokumentation der pädagogischen Arbeiten,</w:t>
      </w:r>
    </w:p>
    <w:p w:rsidR="00BE1EFE" w:rsidRDefault="00BE1EFE">
      <w:pPr>
        <w:pStyle w:val="StandardWeb"/>
      </w:pPr>
      <w:r>
        <w:t xml:space="preserve">d. die Leitung einer Gruppe, sofern eine entsprechende Beauftragung erteilt worden ist, und die Anleitung der jeweils zugewiesenen pädagogischen Fach- und Ergänzungskräfte, </w:t>
      </w:r>
    </w:p>
    <w:p w:rsidR="00BE1EFE" w:rsidRDefault="00BE1EFE">
      <w:pPr>
        <w:pStyle w:val="StandardWeb"/>
      </w:pPr>
      <w:r>
        <w:t>e. Beobachtung und Dokumentation der kindlichen Entwicklung,</w:t>
      </w:r>
    </w:p>
    <w:p w:rsidR="00BE1EFE" w:rsidRDefault="00BE1EFE">
      <w:pPr>
        <w:pStyle w:val="StandardWeb"/>
      </w:pPr>
      <w:r>
        <w:t>f. </w:t>
      </w:r>
      <w:r w:rsidRPr="00CA4A9C">
        <w:t>Aufbau und Gestaltung der Erzi</w:t>
      </w:r>
      <w:r>
        <w:t>ehungspartnerschaft mit Eltern,</w:t>
      </w:r>
    </w:p>
    <w:p w:rsidR="00BE1EFE" w:rsidRDefault="00BE1EFE">
      <w:pPr>
        <w:pStyle w:val="StandardWeb"/>
      </w:pPr>
      <w:r>
        <w:t>g. Planung, Durchführung und Nachbereitung von Veranstaltungen für Eltern und/oder Kin-der,</w:t>
      </w:r>
    </w:p>
    <w:p w:rsidR="00BE1EFE" w:rsidRDefault="00BE1EFE">
      <w:pPr>
        <w:pStyle w:val="StandardWeb"/>
      </w:pPr>
      <w:r>
        <w:t>h. verantwortliche Verwendung und Abrechnung der zur Verfügung gestellten Gelder,</w:t>
      </w:r>
    </w:p>
    <w:p w:rsidR="00BE1EFE" w:rsidRDefault="00BE1EFE">
      <w:pPr>
        <w:pStyle w:val="StandardWeb"/>
      </w:pPr>
      <w:r>
        <w:t>i. </w:t>
      </w:r>
      <w:r w:rsidRPr="00CA4A9C">
        <w:t>Überprüfung von wöchentlicher Buchungszeit</w:t>
      </w:r>
      <w:r>
        <w:t xml:space="preserve"> und tatsächlicher Anwesenheit,</w:t>
      </w:r>
    </w:p>
    <w:p w:rsidR="00BE1EFE" w:rsidRDefault="00BE1EFE">
      <w:pPr>
        <w:pStyle w:val="StandardWeb"/>
      </w:pPr>
      <w:r>
        <w:t>j. verantwortliche Anleitung von Praktikantinnen/Praktikanten nach Delegation durch die Leitung,</w:t>
      </w:r>
    </w:p>
    <w:p w:rsidR="00BE1EFE" w:rsidRDefault="00BE1EFE">
      <w:pPr>
        <w:pStyle w:val="StandardWeb"/>
      </w:pPr>
      <w:r>
        <w:t>k. Zusammenarbeit mit den Kooperationspartnern in Absprache mit der Leitung,</w:t>
      </w:r>
    </w:p>
    <w:p w:rsidR="00BE1EFE" w:rsidRDefault="00BE1EFE">
      <w:pPr>
        <w:pStyle w:val="StandardWeb"/>
      </w:pPr>
      <w:r>
        <w:t>l. Information der Leitung über Vorgänge mit Kindern und Eltern.</w:t>
      </w:r>
    </w:p>
    <w:p w:rsidR="00BE1EFE" w:rsidRDefault="00BE1EFE">
      <w:pPr>
        <w:pStyle w:val="berschrift5"/>
      </w:pPr>
      <w:bookmarkStart w:id="875" w:name="_Toc523926398"/>
      <w:r>
        <w:t>§ 5 Aufgaben der pädagogischen Ergänzungskraft</w:t>
      </w:r>
      <w:bookmarkEnd w:id="875"/>
    </w:p>
    <w:p w:rsidR="00BE1EFE" w:rsidRPr="00B76821" w:rsidRDefault="00BE1EFE" w:rsidP="00B76821">
      <w:pPr>
        <w:pStyle w:val="berschrift6"/>
        <w:keepNext w:val="0"/>
        <w:spacing w:before="0" w:after="0"/>
        <w:rPr>
          <w:sz w:val="2"/>
        </w:rPr>
      </w:pPr>
    </w:p>
    <w:p w:rsidR="00BE1EFE" w:rsidRPr="000B1AF8" w:rsidRDefault="00BE1EFE">
      <w:pPr>
        <w:pStyle w:val="StandardWeb"/>
      </w:pPr>
      <w:r>
        <w:t>(1) Die pädagogische Ergänzungskraft trägt unter Anleitung einer pädagogischen Fachkraft Mitverantwortung für die Erziehung, Bildung und Betreuung der Kinder.</w:t>
      </w:r>
    </w:p>
    <w:p w:rsidR="00BE1EFE" w:rsidRPr="000B1AF8" w:rsidRDefault="00BE1EFE">
      <w:pPr>
        <w:pStyle w:val="StandardWeb"/>
      </w:pPr>
    </w:p>
    <w:p w:rsidR="00BE1EFE" w:rsidRDefault="00BE1EFE">
      <w:pPr>
        <w:pStyle w:val="StandardWeb"/>
      </w:pPr>
      <w:r>
        <w:t>(2) Zu den Aufgaben der pädagogischen Ergänzungskraft gehören insbesondere:</w:t>
      </w:r>
    </w:p>
    <w:p w:rsidR="00BE1EFE" w:rsidRDefault="00BE1EFE">
      <w:pPr>
        <w:pStyle w:val="StandardWeb"/>
      </w:pPr>
    </w:p>
    <w:p w:rsidR="00BE1EFE" w:rsidRDefault="00BE1EFE">
      <w:pPr>
        <w:pStyle w:val="StandardWeb"/>
      </w:pPr>
      <w:r>
        <w:t>a. Beteiligung an der Planung, Vorbereitung, Durchführung und Nachbereitung der pädago</w:t>
      </w:r>
      <w:r>
        <w:softHyphen/>
        <w:t>gischen Arbeit und der religiösen Erziehung am Kind,</w:t>
      </w:r>
    </w:p>
    <w:p w:rsidR="00BE1EFE" w:rsidRDefault="00BE1EFE">
      <w:pPr>
        <w:pStyle w:val="StandardWeb"/>
      </w:pPr>
      <w:r>
        <w:t xml:space="preserve">b. aushilfsweise Vertretung einer pädagogischen Fachkraft, </w:t>
      </w:r>
    </w:p>
    <w:p w:rsidR="00BE1EFE" w:rsidRDefault="00BE1EFE">
      <w:pPr>
        <w:pStyle w:val="StandardWeb"/>
      </w:pPr>
      <w:r>
        <w:t>c. Ausführung pflegerischer und hauswirtschaftlicher Arbeiten, die unmittelbar im Zusammen</w:t>
      </w:r>
      <w:r>
        <w:softHyphen/>
        <w:t>hang mit der Pflege und der Erziehung der Kinder stehen,</w:t>
      </w:r>
    </w:p>
    <w:p w:rsidR="00BE1EFE" w:rsidRDefault="00BE1EFE">
      <w:pPr>
        <w:pStyle w:val="StandardWeb"/>
      </w:pPr>
      <w:r>
        <w:t xml:space="preserve">d. Mitwirkung an Veranstaltungen für Eltern und/oder Kinder, </w:t>
      </w:r>
    </w:p>
    <w:p w:rsidR="00BE1EFE" w:rsidRDefault="00BE1EFE">
      <w:pPr>
        <w:pStyle w:val="StandardWeb"/>
      </w:pPr>
      <w:r>
        <w:t xml:space="preserve">e. partnerschaftliche Zusammenarbeit mit den Eltern, </w:t>
      </w:r>
    </w:p>
    <w:p w:rsidR="00BE1EFE" w:rsidRDefault="00BE1EFE" w:rsidP="00D4454E">
      <w:pPr>
        <w:pStyle w:val="StandardWeb"/>
        <w:ind w:left="709" w:hanging="709"/>
      </w:pPr>
      <w:r>
        <w:t>f. Teilnahme an Sitzungen des Elternbeirats soweit angeordnet.</w:t>
      </w:r>
    </w:p>
    <w:p w:rsidR="00BE1EFE" w:rsidRDefault="00BE1EFE">
      <w:pPr>
        <w:pStyle w:val="berschrift5"/>
      </w:pPr>
      <w:bookmarkStart w:id="876" w:name="_Toc523926399"/>
      <w:r>
        <w:t>§ 6 Besondere Dienstpflichten aller Beschäftigter</w:t>
      </w:r>
      <w:bookmarkEnd w:id="876"/>
    </w:p>
    <w:p w:rsidR="00BE1EFE" w:rsidRPr="00B76821" w:rsidRDefault="00BE1EFE" w:rsidP="00B76821">
      <w:pPr>
        <w:pStyle w:val="berschrift6"/>
        <w:keepNext w:val="0"/>
        <w:spacing w:before="0" w:after="0"/>
        <w:rPr>
          <w:sz w:val="2"/>
        </w:rPr>
      </w:pPr>
    </w:p>
    <w:p w:rsidR="00BE1EFE" w:rsidRDefault="00BE1EFE">
      <w:pPr>
        <w:pStyle w:val="StandardWeb"/>
      </w:pPr>
      <w:r>
        <w:t xml:space="preserve">Die Beschäftigten haben insbesondere darauf zu achten, dass </w:t>
      </w:r>
    </w:p>
    <w:p w:rsidR="00BE1EFE" w:rsidRDefault="00BE1EFE">
      <w:pPr>
        <w:pStyle w:val="StandardWeb"/>
      </w:pPr>
      <w:r>
        <w:t>a. Kinder alters- und entwicklungsgemäß beaufsichtigt werden, unter Beachtung der Aus</w:t>
      </w:r>
      <w:r>
        <w:softHyphen/>
        <w:t xml:space="preserve">führungsverordnung </w:t>
      </w:r>
      <w:hyperlink r:id="rId1163" w:history="1">
        <w:r w:rsidRPr="00F9726A">
          <w:rPr>
            <w:rStyle w:val="Hyperlink"/>
          </w:rPr>
          <w:t>(AVBayKiBiG)</w:t>
        </w:r>
      </w:hyperlink>
      <w:r>
        <w:t>,</w:t>
      </w:r>
    </w:p>
    <w:p w:rsidR="00BE1EFE" w:rsidRDefault="00BE1EFE">
      <w:pPr>
        <w:pStyle w:val="StandardWeb"/>
      </w:pPr>
      <w:r>
        <w:t>b. Kinder nur mit schriftlicher Einwilligung der Eltern die Einrichtung allein verlassen dürfen,</w:t>
      </w:r>
    </w:p>
    <w:p w:rsidR="00BE1EFE" w:rsidRDefault="00BE1EFE">
      <w:pPr>
        <w:pStyle w:val="StandardWeb"/>
      </w:pPr>
      <w:r>
        <w:lastRenderedPageBreak/>
        <w:t>c. für die Teilnahme an Ausflügen, Veranstaltungen und Projekten die schriftliche Einwilligung der Eltern vorliegt und genügend Betreuungspersonen anwesend sind,</w:t>
      </w:r>
    </w:p>
    <w:p w:rsidR="00BE1EFE" w:rsidRDefault="00BE1EFE">
      <w:pPr>
        <w:pStyle w:val="StandardWeb"/>
      </w:pPr>
      <w:r>
        <w:t>d. betriebsfremde Personen nur zu vereinbarten Zeiten die Einrichtung betreten,</w:t>
      </w:r>
    </w:p>
    <w:p w:rsidR="00BE1EFE" w:rsidRDefault="00BE1EFE">
      <w:pPr>
        <w:pStyle w:val="StandardWeb"/>
      </w:pPr>
      <w:r>
        <w:t>e. sie nur in Absprache mit der Leitung bzw. dem Träger während der Arbeitszeit von der Kindertageseinrichtung abwesend sein können,</w:t>
      </w:r>
    </w:p>
    <w:p w:rsidR="00BE1EFE" w:rsidRDefault="00BE1EFE" w:rsidP="00CA4A9C">
      <w:pPr>
        <w:pStyle w:val="StandardWeb"/>
      </w:pPr>
      <w:r>
        <w:t xml:space="preserve">f. die Eingangstüre geschlossen ist, </w:t>
      </w:r>
    </w:p>
    <w:p w:rsidR="00BE1EFE" w:rsidRDefault="00BE1EFE" w:rsidP="00CA4A9C">
      <w:pPr>
        <w:pStyle w:val="StandardWeb"/>
      </w:pPr>
      <w:r>
        <w:t>g. die Vorgaben zum Datenschutz beachtet werden,</w:t>
      </w:r>
    </w:p>
    <w:p w:rsidR="00BE1EFE" w:rsidRPr="000B1AF8" w:rsidRDefault="00BE1EFE" w:rsidP="00CA4A9C">
      <w:pPr>
        <w:pStyle w:val="StandardWeb"/>
      </w:pPr>
      <w:r>
        <w:t>h. </w:t>
      </w:r>
      <w:r w:rsidRPr="00CA4A9C">
        <w:t xml:space="preserve">die Vorgaben zum Kinderschutz nach </w:t>
      </w:r>
      <w:hyperlink r:id="rId1164" w:history="1">
        <w:r w:rsidRPr="008A3D6A">
          <w:rPr>
            <w:rStyle w:val="Hyperlink"/>
          </w:rPr>
          <w:t>§ 8a SGB VIII</w:t>
        </w:r>
      </w:hyperlink>
      <w:r>
        <w:t xml:space="preserve"> eingehalten werden</w:t>
      </w:r>
      <w:r w:rsidRPr="00CA4A9C">
        <w:t>.</w:t>
      </w:r>
    </w:p>
    <w:p w:rsidR="00BE1EFE" w:rsidRPr="000B1AF8" w:rsidRDefault="00BE1EFE">
      <w:pPr>
        <w:pStyle w:val="StandardWeb"/>
      </w:pPr>
    </w:p>
    <w:p w:rsidR="00BE1EFE" w:rsidRDefault="00BE1EFE">
      <w:pPr>
        <w:pStyle w:val="berschrift5"/>
      </w:pPr>
      <w:bookmarkStart w:id="877" w:name="_Toc523926400"/>
      <w:r>
        <w:t xml:space="preserve">§ 7 Regelung der Arbeitszeit, </w:t>
      </w:r>
      <w:r>
        <w:rPr>
          <w:lang w:eastAsia="x-none"/>
        </w:rPr>
        <w:t>mittelbare Tätigkeit und</w:t>
      </w:r>
      <w:r>
        <w:t xml:space="preserve"> Fortbildung</w:t>
      </w:r>
      <w:bookmarkEnd w:id="877"/>
      <w:r>
        <w:t xml:space="preserve"> </w:t>
      </w:r>
    </w:p>
    <w:p w:rsidR="00BE1EFE" w:rsidRPr="00B76821" w:rsidRDefault="00BE1EFE" w:rsidP="00B76821">
      <w:pPr>
        <w:pStyle w:val="berschrift6"/>
        <w:keepNext w:val="0"/>
        <w:spacing w:before="0" w:after="0"/>
        <w:rPr>
          <w:sz w:val="2"/>
        </w:rPr>
      </w:pPr>
    </w:p>
    <w:p w:rsidR="00BE1EFE" w:rsidRDefault="00BE1EFE" w:rsidP="002427E7">
      <w:pPr>
        <w:pStyle w:val="StandardWeb"/>
      </w:pPr>
      <w:r>
        <w:t>(1) Die durchschnittliche regelmäßige wöchentliche Arbeitszeit des pädagogischen Personals in der Kindertageseinrichtung verteilt sich auf unmittelbare Tätigkeit (pädagogische und religiöse Arbeit mit den Kindern) und mittelbare Tätigkeit*.</w:t>
      </w:r>
    </w:p>
    <w:p w:rsidR="00BE1EFE" w:rsidRPr="002427E7" w:rsidRDefault="00BE1EFE" w:rsidP="002427E7">
      <w:pPr>
        <w:pStyle w:val="StandardWeb"/>
        <w:rPr>
          <w:sz w:val="12"/>
          <w:szCs w:val="12"/>
        </w:rPr>
      </w:pPr>
      <w:r w:rsidRPr="002427E7">
        <w:rPr>
          <w:sz w:val="12"/>
          <w:szCs w:val="12"/>
        </w:rPr>
        <w:t>*Hinweis: bis 30. August 2013 „Verfügungszeit“.“</w:t>
      </w:r>
    </w:p>
    <w:p w:rsidR="00BE1EFE" w:rsidRDefault="00BE1EFE">
      <w:pPr>
        <w:pStyle w:val="StandardWeb"/>
      </w:pPr>
    </w:p>
    <w:p w:rsidR="00F9726A" w:rsidRDefault="00F9726A">
      <w:pPr>
        <w:pStyle w:val="StandardWeb"/>
      </w:pPr>
      <w:r>
        <w:t>2)</w:t>
      </w:r>
    </w:p>
    <w:p w:rsidR="00BE1EFE" w:rsidRDefault="00BE1EFE">
      <w:pPr>
        <w:pStyle w:val="StandardWeb"/>
      </w:pPr>
      <w:r>
        <w:t>a) </w:t>
      </w:r>
      <w:r>
        <w:rPr>
          <w:rStyle w:val="kleinschrift"/>
        </w:rPr>
        <w:t>1</w:t>
      </w:r>
      <w:r>
        <w:t>Unter mittelbare Tätigkeit für das pädagogische Personal fallen insbesondere Vor- und Nachbereitung der Arbeit, Dienstbesprechungen, Elternarbeit, Netzwerkarbeit/Gemeinwesen</w:t>
      </w:r>
      <w:r>
        <w:softHyphen/>
        <w:t xml:space="preserve">arbeit sowie Leitungsaufgaben. </w:t>
      </w:r>
      <w:r>
        <w:rPr>
          <w:rStyle w:val="kleinschrift"/>
        </w:rPr>
        <w:t>2</w:t>
      </w:r>
      <w:r>
        <w:t>Die mittelbare Tätigkeit ist grundsätzlich in der Einrichtung abzuleisten.</w:t>
      </w:r>
    </w:p>
    <w:p w:rsidR="00BE1EFE" w:rsidRDefault="00BE1EFE">
      <w:pPr>
        <w:pStyle w:val="StandardWeb"/>
      </w:pPr>
      <w:r>
        <w:t>b) </w:t>
      </w:r>
      <w:r>
        <w:rPr>
          <w:rStyle w:val="kleinschrift"/>
        </w:rPr>
        <w:t>1</w:t>
      </w:r>
      <w:r>
        <w:t>Die für die mittelbare Tätigkeit zur Verfügung stehende Arbeitszeit in einer Kindertages</w:t>
      </w:r>
      <w:r>
        <w:softHyphen/>
        <w:t xml:space="preserve">einrichtung darf 15 v. H. der gesamten regelmäßigen wöchentlichen Arbeitszeit des in dieser Kindertageseinrichtung tätigen pädagogischen Personals (Gesamtzeit für mittelbare Tätigkeit) nicht unterschreiten. </w:t>
      </w:r>
      <w:r>
        <w:rPr>
          <w:rStyle w:val="kleinschrift"/>
        </w:rPr>
        <w:t>2</w:t>
      </w:r>
      <w:r>
        <w:t xml:space="preserve">Die Verteilung und die Festlegung der zeitlichen Lage der Arbeitszeit für mittelbare Tätigkeit der einzelnen pädagogischen Beschäftigten erfolgt im Rahmen der Dienstplangestaltung durch die Leitung nach billigem Ermessen. </w:t>
      </w:r>
      <w:r>
        <w:rPr>
          <w:rStyle w:val="kleinschrift"/>
        </w:rPr>
        <w:t>3</w:t>
      </w:r>
      <w:r>
        <w:t>Die Leitung erhält auch über die Gesamtzeit für mittelbare Tätigkeit hinaus im notwendigen Umfang Zeit für Leitungsaufgaben.</w:t>
      </w:r>
    </w:p>
    <w:p w:rsidR="00BE1EFE" w:rsidRDefault="00BE1EFE">
      <w:pPr>
        <w:pStyle w:val="StandardWeb"/>
      </w:pPr>
    </w:p>
    <w:p w:rsidR="00BE1EFE" w:rsidRDefault="00BE1EFE">
      <w:pPr>
        <w:pStyle w:val="StandardWeb"/>
      </w:pPr>
      <w:r>
        <w:t>(3)</w:t>
      </w:r>
    </w:p>
    <w:p w:rsidR="00BE1EFE" w:rsidRDefault="00BE1EFE">
      <w:pPr>
        <w:pStyle w:val="StandardWeb"/>
      </w:pPr>
      <w:r>
        <w:t>a) </w:t>
      </w:r>
      <w:r>
        <w:rPr>
          <w:rStyle w:val="kleinschrift"/>
        </w:rPr>
        <w:t>1</w:t>
      </w:r>
      <w:r>
        <w:t xml:space="preserve">Die Beschäftigten sind verpflichtet, sich beruflich fortzubilden. </w:t>
      </w:r>
      <w:r>
        <w:rPr>
          <w:rStyle w:val="kleinschrift"/>
        </w:rPr>
        <w:t>2</w:t>
      </w:r>
      <w:r>
        <w:t xml:space="preserve">An Fortbildungsmaß-nahmen, zu denen sie vom Träger verpflichtet werden, haben sie teilzunehmen. </w:t>
      </w:r>
      <w:r>
        <w:rPr>
          <w:rStyle w:val="kleinschrift"/>
        </w:rPr>
        <w:t>3</w:t>
      </w:r>
      <w:r>
        <w:t>Die Kosten trägt der Arbeitgeber.</w:t>
      </w:r>
    </w:p>
    <w:p w:rsidR="00BE1EFE" w:rsidRDefault="00BE1EFE">
      <w:pPr>
        <w:pStyle w:val="StandardWeb"/>
      </w:pPr>
      <w:r>
        <w:t>b) </w:t>
      </w:r>
      <w:r>
        <w:rPr>
          <w:rStyle w:val="kleinschrift"/>
        </w:rPr>
        <w:t>1</w:t>
      </w:r>
      <w:r>
        <w:t xml:space="preserve">Die Beschäftigten erhalten, wenn sie im Einverständnis mit dem Arbeitgeber freiwillig an einer fachlichen Veranstaltung teilnehmen, Arbeitsbefreiung bis zu fünf Arbeitstage im Kalenderjahr. </w:t>
      </w:r>
      <w:r>
        <w:rPr>
          <w:rStyle w:val="kleinschrift"/>
        </w:rPr>
        <w:t>2</w:t>
      </w:r>
      <w:r>
        <w:t>50% der Kosten sowie die Fahrkosten entsprechend der Reisekostenordnung der bayerischen Diözesen werden vom Arbeitgeber erstattet.</w:t>
      </w:r>
    </w:p>
    <w:p w:rsidR="00BE1EFE" w:rsidRDefault="00BE1EFE">
      <w:pPr>
        <w:pStyle w:val="StandardWeb"/>
      </w:pPr>
      <w:r>
        <w:t>c) Besinnungstage und Exerzitien, die im Interesse des Arbeitgebers angeboten werden, werden nicht auf die freiwillige Fortbildung angerechnet.</w:t>
      </w:r>
    </w:p>
    <w:p w:rsidR="00BE1EFE" w:rsidRDefault="00BE1EFE">
      <w:pPr>
        <w:pStyle w:val="StandardWeb"/>
      </w:pPr>
      <w:r>
        <w:t>d) Die Teilnahme an Arbeitskreisen und Arbeitskonferenzen, zu denen Beschäftigte vom Träger entsandt werden, stehen dem Dienst gleich.</w:t>
      </w:r>
    </w:p>
    <w:p w:rsidR="00BE1EFE" w:rsidRDefault="00BE1EFE">
      <w:pPr>
        <w:pStyle w:val="StandardWeb"/>
      </w:pPr>
    </w:p>
    <w:p w:rsidR="00BE1EFE" w:rsidRDefault="00BE1EFE">
      <w:pPr>
        <w:pStyle w:val="StandardWeb"/>
      </w:pPr>
      <w:r>
        <w:t>(4) </w:t>
      </w:r>
      <w:r>
        <w:rPr>
          <w:rStyle w:val="kleinschrift"/>
        </w:rPr>
        <w:t>1</w:t>
      </w:r>
      <w:r>
        <w:t>Darüber hinaus stehen innerhalb der Einrichtung für jede pä</w:t>
      </w:r>
      <w:r w:rsidR="008A3D6A">
        <w:t>dagogische Fach- und Ergänzungs</w:t>
      </w:r>
      <w:r>
        <w:t>kraft – soweit gesetzliche Regelungen bestehen, zusätzlich zu diesen gesetz</w:t>
      </w:r>
      <w:r>
        <w:softHyphen/>
        <w:t>lichen Regelungen – im Rahmen der regelmäßigen durchschnittlichen wöchentlichen Arbeits</w:t>
      </w:r>
      <w:r>
        <w:softHyphen/>
        <w:t xml:space="preserve">zeit im Kalenderjahr 19,5 Stunden für Zwecke gemeinsamer zusätzlicher Vorbereitung und Qualifizierung zur Verfügung. </w:t>
      </w:r>
      <w:r>
        <w:rPr>
          <w:rStyle w:val="kleinschrift"/>
        </w:rPr>
        <w:t>2</w:t>
      </w:r>
      <w:r>
        <w:t xml:space="preserve">Bei Teilzeitbeschäftigten gilt Satz 1 entsprechend mit der Maßgabe, dass sich die Stundenzahl nach Satz 1 in dem Umfang, der dem Verhältnis der individuell vereinbarten durchschnittlichen Arbeitszeit zu der regelmäßigen Arbeitszeit vergleichbarer Vollzeitbeschäftigter entspricht, reduziert. </w:t>
      </w:r>
      <w:r>
        <w:rPr>
          <w:rStyle w:val="kleinschrift"/>
        </w:rPr>
        <w:t>3</w:t>
      </w:r>
      <w:r>
        <w:t xml:space="preserve">Die nach den Sätzen 1 und 2 </w:t>
      </w:r>
      <w:r>
        <w:lastRenderedPageBreak/>
        <w:t xml:space="preserve">ermittelten Gesamtstunden werden zu gleichen Zeitanteilen auf die pädagogischen Fach- und Ergänzungskräfte aufgeteilt. </w:t>
      </w:r>
      <w:r>
        <w:rPr>
          <w:rStyle w:val="kleinschrift"/>
        </w:rPr>
        <w:t>4</w:t>
      </w:r>
      <w:r>
        <w:t>Die Leiterin/der Leiter der Kindertageseinrichtung entscheidet im Einvernehmen mit dem Träger, zu welchen Zwecken im Rahmen des Satzes 1 die zur Verfügung stehenden Stunden verwendet werden und mit welchen Arbeits- und Bildungsmethoden die Zwecke erreicht werden sollen.</w:t>
      </w:r>
    </w:p>
    <w:p w:rsidR="00BE1EFE" w:rsidRDefault="00BE1EFE">
      <w:pPr>
        <w:pStyle w:val="StandardWeb"/>
      </w:pPr>
      <w:r>
        <w:br w:type="page"/>
      </w:r>
    </w:p>
    <w:p w:rsidR="00BE1EFE" w:rsidRDefault="00BE1EFE" w:rsidP="00A045C0">
      <w:pPr>
        <w:pStyle w:val="berschrift4"/>
        <w:spacing w:before="0"/>
      </w:pPr>
      <w:bookmarkStart w:id="878" w:name="_Toc523926401"/>
      <w:r>
        <w:lastRenderedPageBreak/>
        <w:t>C, 8. Dienstordnung für Beschäftigte im Pfarrbüro</w:t>
      </w:r>
      <w:bookmarkEnd w:id="878"/>
    </w:p>
    <w:p w:rsidR="00BE1EFE" w:rsidRPr="00B76821" w:rsidRDefault="00BE1EFE" w:rsidP="00B76821">
      <w:pPr>
        <w:pStyle w:val="berschrift5"/>
        <w:keepNext w:val="0"/>
        <w:spacing w:before="0" w:after="0"/>
        <w:rPr>
          <w:rStyle w:val="kleinschrift"/>
          <w:sz w:val="2"/>
        </w:rPr>
      </w:pPr>
    </w:p>
    <w:p w:rsidR="00BE1EFE" w:rsidRDefault="00BE1EFE">
      <w:pPr>
        <w:pStyle w:val="StandardWeb"/>
      </w:pPr>
      <w:r>
        <w:rPr>
          <w:rStyle w:val="kleinschrift"/>
        </w:rPr>
        <w:t>1</w:t>
      </w:r>
      <w:r>
        <w:t>Die Tätigkeit der Beschäftigten im Pfarrbüro</w:t>
      </w:r>
      <w:r>
        <w:rPr>
          <w:vertAlign w:val="superscript"/>
        </w:rPr>
        <w:t>*</w:t>
      </w:r>
      <w:r>
        <w:t xml:space="preserve"> stellt einen Verwaltungsdienst in der Kirche dar, der für die Arbeit der pastoralen Dienste in der Gemeinde von besonderer Bedeutung ist. </w:t>
      </w:r>
      <w:r>
        <w:rPr>
          <w:rStyle w:val="kleinschrift"/>
        </w:rPr>
        <w:t>2</w:t>
      </w:r>
      <w:r>
        <w:t>In vielen Fällen haben die Beschäftigten im Pfarrbüro ersten oder alleinigen Kontakt mit Personen, die das Pfarrbüro aufsuchen und somit hat ihre Tätigkeit auch eine pastorale Zielrichtung.</w:t>
      </w:r>
    </w:p>
    <w:p w:rsidR="00BE1EFE" w:rsidRPr="000B1AF8" w:rsidRDefault="00BE1EFE">
      <w:pPr>
        <w:pStyle w:val="StandardWeb"/>
      </w:pPr>
      <w:r w:rsidRPr="009C6551">
        <w:rPr>
          <w:rStyle w:val="kleinschrift1"/>
        </w:rPr>
        <w:t>*Der Begriff Pfarrbüro umfasst auch Verwaltungsbüros von über eine Pfarrei hinausgehenden Zusammenschlüssen von Pfarreien, Verwaltungsbüros von Dekanaten oder Zusammenschlüssen von Dekanaten</w:t>
      </w:r>
    </w:p>
    <w:p w:rsidR="00BE1EFE" w:rsidRDefault="00BE1EFE">
      <w:pPr>
        <w:pStyle w:val="berschrift5"/>
      </w:pPr>
      <w:bookmarkStart w:id="879" w:name="_Toc523926402"/>
      <w:r>
        <w:t>§ 1 Einstellungsvoraussetzungen</w:t>
      </w:r>
      <w:bookmarkEnd w:id="879"/>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Fachliche Voraussetzungen sind eine abgeschlossene Berufsausbildung im kaufmännischen Bereich bzw. im Verwaltungsbereich oder gleichwertige Fähigkeiten und Erfahrungen. </w:t>
      </w:r>
      <w:r>
        <w:rPr>
          <w:rStyle w:val="kleinschrift"/>
        </w:rPr>
        <w:t>2</w:t>
      </w:r>
      <w:r>
        <w:t>Persönliche Voraussetzungen sind insbesondere die Zugehörigkeit zur Katholischen Kirche, menschliche Reife, Kontaktfähigkeit, Bereitschaft zur Teamarbeit, Zuverlässigkeit, Ehrlichkeit, Einfühlungsvermögen, Taktgefühl und Diskretion.</w:t>
      </w:r>
    </w:p>
    <w:p w:rsidR="00BE1EFE" w:rsidRDefault="00BE1EFE">
      <w:pPr>
        <w:pStyle w:val="berschrift5"/>
      </w:pPr>
      <w:bookmarkStart w:id="880" w:name="_Toc523926403"/>
      <w:r>
        <w:t>§ 2 Allgemeine Bestimmungen</w:t>
      </w:r>
      <w:bookmarkEnd w:id="880"/>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rPr>
          <w:b/>
          <w:bCs/>
        </w:rPr>
      </w:pPr>
      <w:r>
        <w:rPr>
          <w:rStyle w:val="Fett"/>
          <w:bCs/>
        </w:rPr>
        <w:t>1. Zusammenarbeit</w:t>
      </w:r>
    </w:p>
    <w:p w:rsidR="00BE1EFE" w:rsidRDefault="00BE1EFE">
      <w:pPr>
        <w:pStyle w:val="StandardWeb"/>
      </w:pPr>
      <w:r>
        <w:rPr>
          <w:rStyle w:val="kleinschrift"/>
        </w:rPr>
        <w:t>1</w:t>
      </w:r>
      <w:r>
        <w:t xml:space="preserve">Die Beschäftigten im Pfarrbüro tragen mit den anderen Mitarbeiterinnen und Mitarbeitern zu einer guten Zusammenarbeit unter den Mitarbeiterinnen und Mitarbeitern und mit den ehrenamtlich Tätigen der Pfarrei bei. </w:t>
      </w:r>
      <w:r>
        <w:rPr>
          <w:rStyle w:val="kleinschrift"/>
        </w:rPr>
        <w:t>2</w:t>
      </w:r>
      <w:r>
        <w:t xml:space="preserve">Sie haben ein Anrecht auf Information in allen sie betreffenden Fragen. </w:t>
      </w:r>
      <w:r>
        <w:rPr>
          <w:rStyle w:val="kleinschrift"/>
        </w:rPr>
        <w:t>3</w:t>
      </w:r>
      <w:r>
        <w:t xml:space="preserve">Pfarrer, Mitarbeiterinnen und Mitarbeiter und ehrenamtlich Tätige werden von ihnen umfassend informiert. </w:t>
      </w:r>
      <w:r>
        <w:rPr>
          <w:rStyle w:val="kleinschrift"/>
        </w:rPr>
        <w:t>4</w:t>
      </w:r>
      <w:r>
        <w:t>Soweit Fragen aus dem Aufgabenbereich der Beschäftigten im Pfarrbüro in Dienstgesprächen besprochen werden, werden sie hinzugezogen.</w:t>
      </w:r>
    </w:p>
    <w:p w:rsidR="00BE1EFE" w:rsidRDefault="00BE1EFE">
      <w:pPr>
        <w:pStyle w:val="StandardWeb"/>
      </w:pPr>
    </w:p>
    <w:p w:rsidR="00BE1EFE" w:rsidRDefault="00BE1EFE" w:rsidP="0054275E">
      <w:pPr>
        <w:pStyle w:val="StandardWeb"/>
        <w:autoSpaceDE w:val="0"/>
        <w:rPr>
          <w:b/>
          <w:bCs/>
        </w:rPr>
      </w:pPr>
      <w:r>
        <w:rPr>
          <w:rStyle w:val="Fett"/>
          <w:bCs/>
        </w:rPr>
        <w:t>2. Schweigepflicht</w:t>
      </w:r>
    </w:p>
    <w:p w:rsidR="00BE1EFE" w:rsidRDefault="00BE1EFE">
      <w:pPr>
        <w:pStyle w:val="StandardWeb"/>
      </w:pPr>
      <w:r>
        <w:rPr>
          <w:rStyle w:val="kleinschrift"/>
        </w:rPr>
        <w:t>1</w:t>
      </w:r>
      <w:r>
        <w:t xml:space="preserve">Die Beschäftigten im Pfarrbüro haben über Angelegenheiten Verschwiegenheit und Diskretion zu bewahren, von denen sie infolge ihrer Tätigkeit Kenntnis erhalten haben. </w:t>
      </w:r>
      <w:r>
        <w:rPr>
          <w:rStyle w:val="kleinschrift"/>
        </w:rPr>
        <w:t>2</w:t>
      </w:r>
      <w:r>
        <w:t>Diese Verpflichtung besteht auch über die Beendigung des Arbeitsverhältnisses hinaus.</w:t>
      </w:r>
    </w:p>
    <w:p w:rsidR="00BE1EFE" w:rsidRDefault="00BE1EFE">
      <w:pPr>
        <w:pStyle w:val="StandardWeb"/>
      </w:pPr>
    </w:p>
    <w:p w:rsidR="00BE1EFE" w:rsidRDefault="00BE1EFE" w:rsidP="0054275E">
      <w:pPr>
        <w:pStyle w:val="StandardWeb"/>
        <w:autoSpaceDE w:val="0"/>
        <w:rPr>
          <w:b/>
          <w:bCs/>
        </w:rPr>
      </w:pPr>
      <w:r>
        <w:rPr>
          <w:rStyle w:val="Fett"/>
          <w:bCs/>
        </w:rPr>
        <w:t>3. Datenschutz</w:t>
      </w:r>
    </w:p>
    <w:p w:rsidR="00BE1EFE" w:rsidRPr="000B1AF8" w:rsidRDefault="00BE1EFE">
      <w:pPr>
        <w:pStyle w:val="StandardWeb"/>
      </w:pPr>
      <w:r>
        <w:t>Die Beschäftigten im Pfarrbüro sind verpflichtet, die Anordnung über den kirchlichen Datenschutz in der jeweils gültigen Fassung einzuhalten.</w:t>
      </w:r>
    </w:p>
    <w:p w:rsidR="00BE1EFE" w:rsidRDefault="00BE1EFE">
      <w:pPr>
        <w:pStyle w:val="berschrift5"/>
      </w:pPr>
      <w:bookmarkStart w:id="881" w:name="_Toc523926404"/>
      <w:r>
        <w:t>§ 3 Aufgaben</w:t>
      </w:r>
      <w:bookmarkEnd w:id="881"/>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Das Berufsbild der Beschäftigten im Pfarrbüro umfasst die im Pfarrbüro anfallenden Verwaltungsaufgaben, die von einfacheren Arbeiten bis hin zu geschäftsführenden Aufgaben reichen können. </w:t>
      </w:r>
      <w:r>
        <w:rPr>
          <w:rStyle w:val="kleinschrift"/>
        </w:rPr>
        <w:t>2</w:t>
      </w:r>
      <w:r>
        <w:t>Die im Pfarrbüro anfallenden Verwaltungsarbeiten sind insbesondere:</w:t>
      </w:r>
    </w:p>
    <w:p w:rsidR="00BE1EFE" w:rsidRDefault="00BE1EFE">
      <w:pPr>
        <w:pStyle w:val="StandardWeb"/>
        <w:rPr>
          <w:rStyle w:val="Fett"/>
          <w:bCs/>
        </w:rPr>
      </w:pPr>
    </w:p>
    <w:p w:rsidR="00BE1EFE" w:rsidRDefault="00BE1EFE" w:rsidP="0054275E">
      <w:pPr>
        <w:pStyle w:val="StandardWeb"/>
        <w:autoSpaceDE w:val="0"/>
        <w:rPr>
          <w:b/>
          <w:bCs/>
        </w:rPr>
      </w:pPr>
      <w:r>
        <w:rPr>
          <w:rStyle w:val="Fett"/>
          <w:bCs/>
        </w:rPr>
        <w:t>1. Parteiverkehr</w:t>
      </w:r>
    </w:p>
    <w:p w:rsidR="00BE1EFE" w:rsidRDefault="00BE1EFE">
      <w:pPr>
        <w:pStyle w:val="StandardWeb"/>
      </w:pPr>
    </w:p>
    <w:p w:rsidR="00BE1EFE" w:rsidRDefault="00BE1EFE">
      <w:pPr>
        <w:pStyle w:val="StandardWeb"/>
      </w:pPr>
      <w:r>
        <w:t>1.1.    Kontaktaufnahme und Erstkontakt bei seelsorglichen Anliegen,</w:t>
      </w:r>
    </w:p>
    <w:p w:rsidR="00BE1EFE" w:rsidRDefault="00BE1EFE">
      <w:pPr>
        <w:pStyle w:val="StandardWeb"/>
      </w:pPr>
      <w:r>
        <w:t>1.2.    Vermittlung von Besuchern und Hilfe suchenden Personen,</w:t>
      </w:r>
    </w:p>
    <w:p w:rsidR="00BE1EFE" w:rsidRDefault="00BE1EFE">
      <w:pPr>
        <w:pStyle w:val="StandardWeb"/>
      </w:pPr>
      <w:r>
        <w:lastRenderedPageBreak/>
        <w:t>1.3.    Erteilen von Auskünften.</w:t>
      </w:r>
    </w:p>
    <w:p w:rsidR="00BE1EFE" w:rsidRDefault="00BE1EFE">
      <w:pPr>
        <w:pStyle w:val="StandardWeb"/>
      </w:pPr>
    </w:p>
    <w:p w:rsidR="00BE1EFE" w:rsidRDefault="00BE1EFE" w:rsidP="0054275E">
      <w:pPr>
        <w:pStyle w:val="StandardWeb"/>
        <w:autoSpaceDE w:val="0"/>
        <w:rPr>
          <w:b/>
          <w:bCs/>
        </w:rPr>
      </w:pPr>
      <w:r>
        <w:rPr>
          <w:rStyle w:val="Fett"/>
          <w:bCs/>
        </w:rPr>
        <w:t>2. Allgemeine Sekretariatsarbeiten</w:t>
      </w:r>
    </w:p>
    <w:p w:rsidR="00BE1EFE" w:rsidRDefault="00BE1EFE">
      <w:pPr>
        <w:pStyle w:val="StandardWeb"/>
      </w:pPr>
    </w:p>
    <w:p w:rsidR="00BE1EFE" w:rsidRDefault="00BE1EFE">
      <w:pPr>
        <w:pStyle w:val="StandardWeb"/>
      </w:pPr>
      <w:r>
        <w:t>2.1.    Telefondienst,</w:t>
      </w:r>
    </w:p>
    <w:p w:rsidR="00BE1EFE" w:rsidRDefault="00BE1EFE">
      <w:pPr>
        <w:pStyle w:val="StandardWeb"/>
      </w:pPr>
      <w:r>
        <w:t>2.2.    Schriftverkehr,</w:t>
      </w:r>
    </w:p>
    <w:p w:rsidR="00BE1EFE" w:rsidRDefault="00BE1EFE">
      <w:pPr>
        <w:pStyle w:val="StandardWeb"/>
      </w:pPr>
      <w:r>
        <w:t>2.3.    Bearbeiten des Postein- und -ausgangs,</w:t>
      </w:r>
    </w:p>
    <w:p w:rsidR="00BE1EFE" w:rsidRDefault="00BE1EFE">
      <w:pPr>
        <w:pStyle w:val="StandardWeb"/>
      </w:pPr>
      <w:r>
        <w:t>2.4.    Führen des Terminkalenders:</w:t>
      </w:r>
    </w:p>
    <w:p w:rsidR="00BE1EFE" w:rsidRDefault="00BE1EFE">
      <w:pPr>
        <w:pStyle w:val="StandardWeb"/>
      </w:pPr>
      <w:r>
        <w:t>2.4.1. Terminabsprachen und Weitergabe von Terminen,</w:t>
      </w:r>
    </w:p>
    <w:p w:rsidR="00BE1EFE" w:rsidRDefault="00BE1EFE">
      <w:pPr>
        <w:pStyle w:val="StandardWeb"/>
      </w:pPr>
      <w:r>
        <w:t>2.4.2. Erinnerung an Geburtstage und Jubiläen,</w:t>
      </w:r>
    </w:p>
    <w:p w:rsidR="00BE1EFE" w:rsidRDefault="00BE1EFE" w:rsidP="00033230">
      <w:pPr>
        <w:pStyle w:val="StandardWeb"/>
        <w:tabs>
          <w:tab w:val="left" w:pos="482"/>
          <w:tab w:val="left" w:pos="567"/>
        </w:tabs>
      </w:pPr>
      <w:r>
        <w:t>2.5.    Führen der Urlaubs- und Krankheitsdatei und Weiterleitung an die übergeordneten kirchlichen Stellen,</w:t>
      </w:r>
    </w:p>
    <w:p w:rsidR="00BE1EFE" w:rsidRDefault="00BE1EFE" w:rsidP="00033230">
      <w:pPr>
        <w:pStyle w:val="StandardWeb"/>
        <w:tabs>
          <w:tab w:val="left" w:pos="482"/>
        </w:tabs>
      </w:pPr>
      <w:r>
        <w:t>2.6.    Einkaufen von Bürobedarf und Geschenken zu besonderen Anlässen im Rahmen der Bevollmächtigung,</w:t>
      </w:r>
    </w:p>
    <w:p w:rsidR="00BE1EFE" w:rsidRDefault="00BE1EFE">
      <w:pPr>
        <w:pStyle w:val="StandardWeb"/>
      </w:pPr>
      <w:r>
        <w:t>2.7.    Botengänge,</w:t>
      </w:r>
    </w:p>
    <w:p w:rsidR="00BE1EFE" w:rsidRDefault="00BE1EFE" w:rsidP="00033230">
      <w:pPr>
        <w:pStyle w:val="StandardWeb"/>
        <w:tabs>
          <w:tab w:val="left" w:pos="482"/>
        </w:tabs>
      </w:pPr>
      <w:r>
        <w:t>2.8.    Entgegennahme und Weiterleitung von Informationen, auch über pfarrliche Vorgänge und Veranstaltungen,</w:t>
      </w:r>
    </w:p>
    <w:p w:rsidR="00BE1EFE" w:rsidRDefault="00BE1EFE" w:rsidP="00033230">
      <w:pPr>
        <w:pStyle w:val="StandardWeb"/>
        <w:tabs>
          <w:tab w:val="left" w:pos="482"/>
        </w:tabs>
      </w:pPr>
      <w:r>
        <w:t xml:space="preserve">2.9.    Unterstützen der haupt- und ehrenamtlichen Mitarbeiterinnen und Mitarbeitern bei Verwaltungsaufgaben. </w:t>
      </w:r>
    </w:p>
    <w:p w:rsidR="00BE1EFE" w:rsidRDefault="00BE1EFE">
      <w:pPr>
        <w:pStyle w:val="StandardWeb"/>
      </w:pPr>
    </w:p>
    <w:p w:rsidR="00BE1EFE" w:rsidRDefault="00BE1EFE" w:rsidP="0054275E">
      <w:pPr>
        <w:pStyle w:val="StandardWeb"/>
        <w:autoSpaceDE w:val="0"/>
        <w:rPr>
          <w:b/>
          <w:bCs/>
        </w:rPr>
      </w:pPr>
      <w:r>
        <w:rPr>
          <w:rStyle w:val="Fett"/>
          <w:bCs/>
        </w:rPr>
        <w:t>3. Besondere Sekretariatsarbeiten</w:t>
      </w:r>
    </w:p>
    <w:p w:rsidR="00BE1EFE" w:rsidRDefault="00BE1EFE">
      <w:pPr>
        <w:pStyle w:val="StandardWeb"/>
      </w:pPr>
    </w:p>
    <w:p w:rsidR="00BE1EFE" w:rsidRDefault="00BE1EFE">
      <w:pPr>
        <w:pStyle w:val="StandardWeb"/>
      </w:pPr>
      <w:r>
        <w:t>3.1.    Pfarrbücher/Matrikelbücher:</w:t>
      </w:r>
    </w:p>
    <w:p w:rsidR="00BE1EFE" w:rsidRDefault="00BE1EFE" w:rsidP="00033230">
      <w:pPr>
        <w:pStyle w:val="StandardWeb"/>
        <w:tabs>
          <w:tab w:val="left" w:pos="510"/>
        </w:tabs>
      </w:pPr>
      <w:r>
        <w:t>3.1.1. Führen der Pfarrbücher/Matrikelbücher einschließlich des damit verbundenen Schriftverkehrs,</w:t>
      </w:r>
    </w:p>
    <w:p w:rsidR="00BE1EFE" w:rsidRDefault="00BE1EFE">
      <w:pPr>
        <w:pStyle w:val="StandardWeb"/>
      </w:pPr>
      <w:r>
        <w:t xml:space="preserve">3.1.2.  Vorbereiten von Urkunden und Stammbucheintragungen, </w:t>
      </w:r>
    </w:p>
    <w:p w:rsidR="00BE1EFE" w:rsidRDefault="00BE1EFE">
      <w:pPr>
        <w:pStyle w:val="StandardWeb"/>
      </w:pPr>
      <w:r>
        <w:t>3. 2.    Kirchliches Meldewesen:</w:t>
      </w:r>
    </w:p>
    <w:p w:rsidR="00BE1EFE" w:rsidRDefault="00BE1EFE" w:rsidP="00033230">
      <w:pPr>
        <w:pStyle w:val="StandardWeb"/>
        <w:tabs>
          <w:tab w:val="left" w:pos="510"/>
        </w:tabs>
      </w:pPr>
      <w:r>
        <w:t>3.2.1.  Führen und Pflegen der Pfarrkartei/Pfarrdatei im Rahmen des kirchlichen Meldewesens,</w:t>
      </w:r>
    </w:p>
    <w:p w:rsidR="00BE1EFE" w:rsidRDefault="00BE1EFE">
      <w:pPr>
        <w:pStyle w:val="StandardWeb"/>
      </w:pPr>
      <w:r>
        <w:t>3.2.2.  Auswerten der Meldedaten für pfarrliche Zwecke,</w:t>
      </w:r>
    </w:p>
    <w:p w:rsidR="00BE1EFE" w:rsidRDefault="00BE1EFE">
      <w:pPr>
        <w:pStyle w:val="StandardWeb"/>
      </w:pPr>
      <w:r>
        <w:t>3.3.     Registratur:</w:t>
      </w:r>
    </w:p>
    <w:p w:rsidR="00BE1EFE" w:rsidRDefault="00BE1EFE">
      <w:pPr>
        <w:pStyle w:val="StandardWeb"/>
      </w:pPr>
      <w:r>
        <w:t>3.3.1.  Ablage nach vorgegebenem Aktenplan,</w:t>
      </w:r>
    </w:p>
    <w:p w:rsidR="00BE1EFE" w:rsidRDefault="00BE1EFE">
      <w:pPr>
        <w:pStyle w:val="StandardWeb"/>
      </w:pPr>
      <w:r>
        <w:t>3.3.2.  Mitarbeit bei der Archivierung,</w:t>
      </w:r>
    </w:p>
    <w:p w:rsidR="00BE1EFE" w:rsidRDefault="00BE1EFE">
      <w:pPr>
        <w:pStyle w:val="StandardWeb"/>
      </w:pPr>
      <w:r>
        <w:t>3.3.3.  Erstellung von Statistiken,</w:t>
      </w:r>
    </w:p>
    <w:p w:rsidR="00BE1EFE" w:rsidRDefault="00BE1EFE">
      <w:pPr>
        <w:pStyle w:val="StandardWeb"/>
      </w:pPr>
      <w:r>
        <w:t>3.3.4.  Erstellen und Führen der Inventarverzeichnisse,</w:t>
      </w:r>
    </w:p>
    <w:p w:rsidR="00BE1EFE" w:rsidRDefault="00BE1EFE">
      <w:pPr>
        <w:pStyle w:val="StandardWeb"/>
      </w:pPr>
      <w:r>
        <w:t>3.4.     Informationsdienst:</w:t>
      </w:r>
    </w:p>
    <w:p w:rsidR="00BE1EFE" w:rsidRDefault="00BE1EFE">
      <w:pPr>
        <w:pStyle w:val="StandardWeb"/>
      </w:pPr>
      <w:r>
        <w:t>3.4.1.  Mitarbeit beim Erstellen des Kirchenanzeigers,</w:t>
      </w:r>
    </w:p>
    <w:p w:rsidR="00BE1EFE" w:rsidRDefault="00BE1EFE">
      <w:pPr>
        <w:pStyle w:val="StandardWeb"/>
      </w:pPr>
      <w:r>
        <w:t xml:space="preserve">3.4.2.  Mitarbeit bei der Öffentlichkeitsarbeit. </w:t>
      </w:r>
    </w:p>
    <w:p w:rsidR="00BE1EFE" w:rsidRDefault="00BE1EFE">
      <w:pPr>
        <w:pStyle w:val="StandardWeb"/>
      </w:pPr>
    </w:p>
    <w:p w:rsidR="00BE1EFE" w:rsidRDefault="00BE1EFE" w:rsidP="0054275E">
      <w:pPr>
        <w:pStyle w:val="StandardWeb"/>
        <w:autoSpaceDE w:val="0"/>
        <w:rPr>
          <w:b/>
          <w:bCs/>
        </w:rPr>
      </w:pPr>
      <w:r>
        <w:rPr>
          <w:rStyle w:val="Fett"/>
          <w:bCs/>
        </w:rPr>
        <w:t>4. Finanzangelegenheiten nach Maßgabe der Ordnung für kirchliche Stiftungen in den bayerischen (Erz-)Diözesen (KiStiftO) und nach Anordnung der zuständigen Kirchen</w:t>
      </w:r>
      <w:r>
        <w:rPr>
          <w:rStyle w:val="Fett"/>
          <w:bCs/>
        </w:rPr>
        <w:softHyphen/>
        <w:t>verwaltung und unter Aufsicht des Kirchenpflegers</w:t>
      </w:r>
    </w:p>
    <w:p w:rsidR="00BE1EFE" w:rsidRDefault="00BE1EFE">
      <w:pPr>
        <w:pStyle w:val="StandardWeb"/>
        <w:rPr>
          <w:b/>
          <w:bCs/>
        </w:rPr>
      </w:pPr>
    </w:p>
    <w:p w:rsidR="00BE1EFE" w:rsidRDefault="00BE1EFE">
      <w:pPr>
        <w:pStyle w:val="StandardWeb"/>
      </w:pPr>
      <w:r>
        <w:t>4.1.   Kassen- und Rechnungsführung,</w:t>
      </w:r>
    </w:p>
    <w:p w:rsidR="00BE1EFE" w:rsidRDefault="00BE1EFE" w:rsidP="00033230">
      <w:pPr>
        <w:pStyle w:val="StandardWeb"/>
        <w:tabs>
          <w:tab w:val="left" w:pos="482"/>
        </w:tabs>
      </w:pPr>
      <w:r>
        <w:t xml:space="preserve">4.2.   Führen der Buchhaltung der Kirchenstiftung(en) und der Kindertageseinrichtungen einschließlich des Belegwesens, Führen evtl. Sonderrechnungen, Mitarbeit bei der Erstellung und Überwachung des Haushaltsplans sowie der Jahresrechnung, </w:t>
      </w:r>
    </w:p>
    <w:p w:rsidR="00BE1EFE" w:rsidRDefault="00BE1EFE">
      <w:pPr>
        <w:pStyle w:val="StandardWeb"/>
      </w:pPr>
      <w:r>
        <w:t>4.3.   Unterstützung der Zuständigen bei Baumaßnahmen in den Pfarrkirchenstiftungen,</w:t>
      </w:r>
    </w:p>
    <w:p w:rsidR="00BE1EFE" w:rsidRDefault="00BE1EFE" w:rsidP="00033230">
      <w:pPr>
        <w:pStyle w:val="StandardWeb"/>
        <w:tabs>
          <w:tab w:val="left" w:pos="482"/>
        </w:tabs>
      </w:pPr>
      <w:r>
        <w:t>4.4.   Entgegennahme, Verwaltung und Abrechnung von Messstipendien und Stolarien, Kirchgeld, Kollekten, Spenden und Sammlungen.</w:t>
      </w:r>
    </w:p>
    <w:p w:rsidR="00BE1EFE" w:rsidRDefault="00BE1EFE">
      <w:pPr>
        <w:pStyle w:val="StandardWeb"/>
      </w:pPr>
    </w:p>
    <w:p w:rsidR="00BE1EFE" w:rsidRDefault="00BE1EFE">
      <w:pPr>
        <w:pStyle w:val="StandardWeb"/>
      </w:pPr>
    </w:p>
    <w:p w:rsidR="00BE1EFE" w:rsidRDefault="00BE1EFE" w:rsidP="0054275E">
      <w:pPr>
        <w:pStyle w:val="StandardWeb"/>
        <w:autoSpaceDE w:val="0"/>
        <w:rPr>
          <w:b/>
          <w:bCs/>
        </w:rPr>
      </w:pPr>
      <w:r>
        <w:rPr>
          <w:rStyle w:val="Fett"/>
          <w:bCs/>
        </w:rPr>
        <w:t>5. Pfarrliche Einrichtungen und Gremien</w:t>
      </w:r>
    </w:p>
    <w:p w:rsidR="00BE1EFE" w:rsidRDefault="00BE1EFE">
      <w:pPr>
        <w:pStyle w:val="StandardWeb"/>
        <w:rPr>
          <w:b/>
          <w:bCs/>
        </w:rPr>
      </w:pPr>
    </w:p>
    <w:p w:rsidR="00BE1EFE" w:rsidRDefault="00BE1EFE" w:rsidP="00033230">
      <w:pPr>
        <w:pStyle w:val="StandardWeb"/>
        <w:tabs>
          <w:tab w:val="left" w:pos="482"/>
        </w:tabs>
      </w:pPr>
      <w:r>
        <w:t>5.1.   Mitarbeit bei der Verwaltung von Einrichtungen der Kirchenstiftungen: z. B. Pfarrzentrum und Jugendheim (Terminvereinbarung, Belegungsplan, Schlüsselverwaltung und -vergabe, Vergabe von Räumen), Kindertageseinrichtung, Pfarrbücherei und Friedhof,</w:t>
      </w:r>
    </w:p>
    <w:p w:rsidR="00BE1EFE" w:rsidRDefault="00BE1EFE">
      <w:pPr>
        <w:pStyle w:val="StandardWeb"/>
      </w:pPr>
      <w:r>
        <w:t>5.2.    Mitarbeit nach Absprache und soweit notwendig bei</w:t>
      </w:r>
    </w:p>
    <w:p w:rsidR="00BE1EFE" w:rsidRDefault="00BE1EFE">
      <w:pPr>
        <w:pStyle w:val="StandardWeb"/>
      </w:pPr>
      <w:r>
        <w:t>5.2.1. Kirchenverwaltung,</w:t>
      </w:r>
    </w:p>
    <w:p w:rsidR="00BE1EFE" w:rsidRDefault="00BE1EFE">
      <w:pPr>
        <w:pStyle w:val="StandardWeb"/>
      </w:pPr>
      <w:r>
        <w:t>5.2.2. Pfarrgemeinderat,</w:t>
      </w:r>
    </w:p>
    <w:p w:rsidR="00BE1EFE" w:rsidRDefault="00BE1EFE">
      <w:pPr>
        <w:pStyle w:val="StandardWeb"/>
      </w:pPr>
      <w:r>
        <w:t>5.2.3. Veranstaltungen und Aktionen der Pfarrei.</w:t>
      </w:r>
    </w:p>
    <w:p w:rsidR="00BE1EFE" w:rsidRDefault="00BE1EFE">
      <w:pPr>
        <w:pStyle w:val="StandardWeb"/>
      </w:pPr>
    </w:p>
    <w:p w:rsidR="00BE1EFE" w:rsidRDefault="00BE1EFE" w:rsidP="0054275E">
      <w:pPr>
        <w:pStyle w:val="StandardWeb"/>
        <w:autoSpaceDE w:val="0"/>
        <w:rPr>
          <w:b/>
          <w:bCs/>
        </w:rPr>
      </w:pPr>
      <w:r>
        <w:rPr>
          <w:rStyle w:val="Fett"/>
          <w:bCs/>
        </w:rPr>
        <w:t>6. Weitergehende Verwaltungsarbeiten</w:t>
      </w:r>
    </w:p>
    <w:p w:rsidR="00BE1EFE" w:rsidRDefault="00BE1EFE">
      <w:pPr>
        <w:pStyle w:val="StandardWeb"/>
      </w:pPr>
    </w:p>
    <w:p w:rsidR="00BE1EFE" w:rsidRDefault="00BE1EFE">
      <w:pPr>
        <w:pStyle w:val="StandardWeb"/>
      </w:pPr>
      <w:r>
        <w:t>Neben den in den Ziffern 1. bis 5. genannten Aufgaben können weitergehende Verwaltungs</w:t>
      </w:r>
      <w:r>
        <w:softHyphen/>
        <w:t>aufgaben in folgenden Bereichen übertragen werden:</w:t>
      </w:r>
    </w:p>
    <w:p w:rsidR="00BE1EFE" w:rsidRDefault="00BE1EFE">
      <w:pPr>
        <w:pStyle w:val="StandardWeb"/>
      </w:pPr>
      <w:r>
        <w:t>6.1.    Personalwesen,</w:t>
      </w:r>
    </w:p>
    <w:p w:rsidR="00BE1EFE" w:rsidRDefault="00BE1EFE">
      <w:pPr>
        <w:pStyle w:val="StandardWeb"/>
      </w:pPr>
      <w:r>
        <w:t>6.2.    Kindertageseinrichtungen,</w:t>
      </w:r>
    </w:p>
    <w:p w:rsidR="00BE1EFE" w:rsidRDefault="00BE1EFE">
      <w:pPr>
        <w:pStyle w:val="StandardWeb"/>
      </w:pPr>
      <w:r>
        <w:t>6.3.    Organisation von Revisionen und Visitationen,</w:t>
      </w:r>
    </w:p>
    <w:p w:rsidR="00BE1EFE" w:rsidRDefault="00BE1EFE">
      <w:pPr>
        <w:pStyle w:val="StandardWeb"/>
      </w:pPr>
      <w:r>
        <w:t>6.4.    Friedhofsverwaltung,</w:t>
      </w:r>
    </w:p>
    <w:p w:rsidR="00BE1EFE" w:rsidRPr="000B1AF8" w:rsidRDefault="00BE1EFE">
      <w:pPr>
        <w:pStyle w:val="StandardWeb"/>
      </w:pPr>
      <w:r>
        <w:t>6.5.    Liegenschaftsverwaltung.</w:t>
      </w:r>
    </w:p>
    <w:p w:rsidR="00BE1EFE" w:rsidRDefault="00BE1EFE">
      <w:pPr>
        <w:pStyle w:val="berschrift5"/>
      </w:pPr>
      <w:bookmarkStart w:id="882" w:name="_Toc523926405"/>
      <w:r>
        <w:t>§ 4 Arbeitgeber</w:t>
      </w:r>
      <w:bookmarkEnd w:id="882"/>
    </w:p>
    <w:p w:rsidR="00BE1EFE" w:rsidRPr="00B76821" w:rsidRDefault="00BE1EFE" w:rsidP="00B76821">
      <w:pPr>
        <w:pStyle w:val="berschrift6"/>
        <w:keepNext w:val="0"/>
        <w:spacing w:before="0" w:after="0"/>
        <w:rPr>
          <w:sz w:val="2"/>
        </w:rPr>
      </w:pPr>
    </w:p>
    <w:p w:rsidR="00BE1EFE" w:rsidRPr="000B1AF8" w:rsidRDefault="00BE1EFE" w:rsidP="00052F37">
      <w:pPr>
        <w:pStyle w:val="StandardWeb"/>
      </w:pPr>
      <w:r>
        <w:t>(1) Arbeitgeber ist die Kirchenstiftung oder die Diözese oder ein sonstiger kirchlicher Rechtsträger.</w:t>
      </w:r>
    </w:p>
    <w:p w:rsidR="00BE1EFE" w:rsidRDefault="00BE1EFE">
      <w:pPr>
        <w:pStyle w:val="StandardWeb"/>
      </w:pPr>
    </w:p>
    <w:p w:rsidR="00BE1EFE" w:rsidRDefault="00BE1EFE">
      <w:pPr>
        <w:pStyle w:val="StandardWeb"/>
      </w:pPr>
      <w:r>
        <w:t xml:space="preserve">(2) Dienstvorgesetzter mit Weisungsbefugnis ist der Pfarrer, bzw. (Gesamt-) </w:t>
      </w:r>
      <w:r w:rsidRPr="000D32F1">
        <w:t>Kirchenver</w:t>
      </w:r>
      <w:r>
        <w:softHyphen/>
      </w:r>
      <w:r w:rsidRPr="000D32F1">
        <w:t>waltungsvorstand</w:t>
      </w:r>
      <w:r>
        <w:t xml:space="preserve"> oder der stellvertretende Kirchenverwaltungsvorstand oder eine entsprechend beauftragte Person. </w:t>
      </w:r>
    </w:p>
    <w:p w:rsidR="00BE1EFE" w:rsidRDefault="00BE1EFE">
      <w:pPr>
        <w:pStyle w:val="berschrift5"/>
      </w:pPr>
      <w:bookmarkStart w:id="883" w:name="_Toc523926406"/>
      <w:r>
        <w:t>§ 5 Qualifizierung</w:t>
      </w:r>
      <w:bookmarkEnd w:id="88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An den von der Diözese angeordneten Qualifizierungsmaßnahmen ist teilzunehmen. </w:t>
      </w:r>
      <w:r>
        <w:rPr>
          <w:rStyle w:val="kleinschrift"/>
        </w:rPr>
        <w:t>2</w:t>
      </w:r>
      <w:r>
        <w:t>Die Kosten trägt der Arbeitgeber.</w:t>
      </w:r>
    </w:p>
    <w:p w:rsidR="00BE1EFE" w:rsidRDefault="00BE1EFE">
      <w:pPr>
        <w:pStyle w:val="berschrift5"/>
      </w:pPr>
      <w:bookmarkStart w:id="884" w:name="_Toc523926407"/>
      <w:r>
        <w:t>§ 6 Eingruppierung Vergütung</w:t>
      </w:r>
      <w:bookmarkEnd w:id="884"/>
    </w:p>
    <w:p w:rsidR="00BE1EFE" w:rsidRPr="00B76821" w:rsidRDefault="00BE1EFE" w:rsidP="00B76821">
      <w:pPr>
        <w:pStyle w:val="berschrift6"/>
        <w:keepNext w:val="0"/>
        <w:spacing w:before="0" w:after="0"/>
        <w:rPr>
          <w:sz w:val="2"/>
        </w:rPr>
      </w:pPr>
    </w:p>
    <w:p w:rsidR="00BE1EFE" w:rsidRDefault="00BE1EFE">
      <w:pPr>
        <w:pStyle w:val="StandardWeb"/>
      </w:pPr>
      <w:r>
        <w:t>Die Eingruppierung richtet sich nach der vorläufigen Entgeltordnung für Beschäftigte im Pfarrbüro.</w:t>
      </w:r>
    </w:p>
    <w:p w:rsidR="00831D1B" w:rsidRDefault="00831D1B">
      <w:pPr>
        <w:pStyle w:val="StandardWeb"/>
      </w:pPr>
      <w:r>
        <w:br w:type="page"/>
      </w:r>
    </w:p>
    <w:p w:rsidR="00BE1EFE" w:rsidRDefault="00BE1EFE">
      <w:pPr>
        <w:pStyle w:val="StandardWeb"/>
      </w:pPr>
      <w:r>
        <w:lastRenderedPageBreak/>
        <w:br w:type="page"/>
      </w:r>
    </w:p>
    <w:p w:rsidR="00BE1EFE" w:rsidRDefault="00BE1EFE" w:rsidP="00A045C0">
      <w:pPr>
        <w:pStyle w:val="berschrift3"/>
        <w:spacing w:before="0"/>
      </w:pPr>
      <w:bookmarkStart w:id="885" w:name="_Toc523926408"/>
      <w:r>
        <w:lastRenderedPageBreak/>
        <w:t>Teil D: Sonstige Regelungen</w:t>
      </w:r>
      <w:bookmarkEnd w:id="885"/>
    </w:p>
    <w:p w:rsidR="00BE1EFE" w:rsidRDefault="00BE1EFE" w:rsidP="00BB339B">
      <w:pPr>
        <w:pStyle w:val="berschrift4"/>
      </w:pPr>
      <w:bookmarkStart w:id="886" w:name="_Toc523926409"/>
      <w:r>
        <w:t>D, 1. Regelung zur Aufnahme kirchenspezifischer Bestandteile in die Arbeitsverträge in den bayerischen Diözesen</w:t>
      </w:r>
      <w:bookmarkEnd w:id="886"/>
    </w:p>
    <w:p w:rsidR="00BE1EFE" w:rsidRDefault="00BE1EFE" w:rsidP="00BB339B">
      <w:pPr>
        <w:pStyle w:val="berschrift5"/>
        <w:spacing w:before="0" w:after="0"/>
        <w:rPr>
          <w:sz w:val="2"/>
        </w:rPr>
      </w:pPr>
    </w:p>
    <w:p w:rsidR="00BE1EFE" w:rsidRDefault="00BE1EFE" w:rsidP="00BB339B">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BB339B">
      <w:pPr>
        <w:pStyle w:val="StandardWeb"/>
      </w:pPr>
      <w:r>
        <w:t>In die Arbeitsverträge der Beschäftigten in den bayerischen Diözesen sind unter Berück</w:t>
      </w:r>
      <w:r>
        <w:softHyphen/>
        <w:t>sichtigung des Gesetzes über den Nachweis der für ein Arbeitsverhältnis geltenden wesentlichen Bedingungen (</w:t>
      </w:r>
      <w:hyperlink r:id="rId1165" w:tgtFrame="_blank" w:history="1">
        <w:r>
          <w:rPr>
            <w:rStyle w:val="Hyperlink"/>
          </w:rPr>
          <w:t>Nachweisgesetz - NachwG</w:t>
        </w:r>
      </w:hyperlink>
      <w:r>
        <w:t>) folgende zusätzliche kirchen-spezifische Bestandteile aufzunehmen:</w:t>
      </w:r>
    </w:p>
    <w:p w:rsidR="00BE1EFE" w:rsidRPr="000B1AF8" w:rsidRDefault="00BE1EFE">
      <w:pPr>
        <w:pStyle w:val="StandardWeb"/>
      </w:pPr>
    </w:p>
    <w:p w:rsidR="00BE1EFE" w:rsidRDefault="00BE1EFE">
      <w:pPr>
        <w:pStyle w:val="StandardWeb"/>
      </w:pPr>
      <w:r>
        <w:t>1. Bei Kirchenstiftungen als Arbeitgeber: Datum des Kirchenverwaltungsbeschlusses bezüglich der Einstellung,</w:t>
      </w:r>
    </w:p>
    <w:p w:rsidR="00BE1EFE" w:rsidRDefault="00BE1EFE">
      <w:pPr>
        <w:pStyle w:val="StandardWeb"/>
      </w:pPr>
    </w:p>
    <w:p w:rsidR="00BE1EFE" w:rsidRDefault="00BE1EFE">
      <w:pPr>
        <w:pStyle w:val="StandardWeb"/>
      </w:pPr>
      <w:r>
        <w:t xml:space="preserve">2. Umsetzung von </w:t>
      </w:r>
      <w:hyperlink r:id="rId1166" w:history="1">
        <w:r w:rsidRPr="002D1F1D">
          <w:rPr>
            <w:rStyle w:val="Hyperlink"/>
          </w:rPr>
          <w:t>§ 3 Absatz 6 Teil A, 1.</w:t>
        </w:r>
      </w:hyperlink>
      <w:r>
        <w:t>: „Die 'Grundordnung des kirchlichen Dienstes im Rahmen kirchlicher Arbeitsverhältnisse' ist in ihrer jeweiligen Fassung Bestandteil des Arbeitsvertrages“,</w:t>
      </w:r>
    </w:p>
    <w:p w:rsidR="00BE1EFE" w:rsidRDefault="00BE1EFE">
      <w:pPr>
        <w:pStyle w:val="StandardWeb"/>
      </w:pPr>
    </w:p>
    <w:p w:rsidR="00BE1EFE" w:rsidRDefault="00BE1EFE">
      <w:pPr>
        <w:pStyle w:val="StandardWeb"/>
      </w:pPr>
      <w:r>
        <w:t xml:space="preserve">3. Verweis auf die besonderen Loyalitätspflichten gemäß der Grundordnung: „Frau/Herr ... ist sich bewusst, dass im Hinblick auf ihr/sein Arbeitsverhältnis mit dem kirchlichen Arbeitgeber ihre/seine Tätigkeit und auch ihr/sein außerdienstliches Verhalten nicht im Widerspruch zur kirchlichen Grundordnung stehen darf. Bei Verstoß gegen diese Verpflichtung gilt </w:t>
      </w:r>
      <w:hyperlink r:id="rId1167" w:history="1">
        <w:r w:rsidRPr="002D1F1D">
          <w:rPr>
            <w:rStyle w:val="Hyperlink"/>
          </w:rPr>
          <w:t>Artikel 5 GO</w:t>
        </w:r>
      </w:hyperlink>
      <w:r>
        <w:t>.“,</w:t>
      </w:r>
    </w:p>
    <w:p w:rsidR="00BE1EFE" w:rsidRDefault="00BE1EFE">
      <w:pPr>
        <w:pStyle w:val="StandardWeb"/>
      </w:pPr>
    </w:p>
    <w:p w:rsidR="00BE1EFE" w:rsidRDefault="00BE1EFE">
      <w:pPr>
        <w:pStyle w:val="StandardWeb"/>
      </w:pPr>
      <w:r>
        <w:t xml:space="preserve">4. In Umsetzung von </w:t>
      </w:r>
      <w:hyperlink r:id="rId1168" w:history="1">
        <w:r w:rsidRPr="002D1F1D">
          <w:rPr>
            <w:rStyle w:val="Hyperlink"/>
          </w:rPr>
          <w:t>§ 1 Absatz 1 Teil A, 1</w:t>
        </w:r>
      </w:hyperlink>
      <w:r>
        <w:t xml:space="preserve">.: „Für das Arbeitsverhältnis gelten die von der </w:t>
      </w:r>
      <w:r w:rsidRPr="005D089E">
        <w:t>Kommission für das Arbeitsvertragsrecht der bayerischen Diözesen (Bayerische Regional-KODA)</w:t>
      </w:r>
      <w:r>
        <w:t xml:space="preserve"> beschlossenen und vom (Erz-)Bischof für die (Erz-)Diözese in Kraft gesetzten arbeitsvertragsrechtlichen Regelungen der bayerischen Diözesen in ihrer jeweiligen Fassung“,</w:t>
      </w:r>
    </w:p>
    <w:p w:rsidR="00BE1EFE" w:rsidRDefault="00BE1EFE">
      <w:pPr>
        <w:pStyle w:val="StandardWeb"/>
      </w:pPr>
    </w:p>
    <w:p w:rsidR="00BE1EFE" w:rsidRDefault="00BE1EFE">
      <w:pPr>
        <w:pStyle w:val="StandardWeb"/>
      </w:pPr>
      <w:r>
        <w:t>5. Verweis auf Dienst- und/oder Entgeltordnungen</w:t>
      </w:r>
      <w:r>
        <w:rPr>
          <w:vertAlign w:val="superscript"/>
        </w:rPr>
        <w:t>1</w:t>
      </w:r>
      <w:r>
        <w:t> für bestimmte Berufsgruppen, die in ihrer jeweiligen Fassung Bestandteil des Arbeitsvertrages sind,</w:t>
      </w:r>
    </w:p>
    <w:p w:rsidR="00BE1EFE" w:rsidRDefault="00BE1EFE">
      <w:pPr>
        <w:pStyle w:val="StandardWeb"/>
      </w:pPr>
    </w:p>
    <w:p w:rsidR="00BE1EFE" w:rsidRDefault="00BE1EFE">
      <w:pPr>
        <w:pStyle w:val="StandardWeb"/>
      </w:pPr>
      <w:r>
        <w:t>6. Unterschrift des Arbeitgebers oder dessen Beauftragten (bei Kirchenstiftungen gemäß der „Ordnung für kirchliche Stiftungen in den bayerischen (Erz-)Diözesen“, Beidrückung des Siegels oder Amtsstempels) und der/des Beauftragten.</w:t>
      </w:r>
    </w:p>
    <w:p w:rsidR="00BE1EFE" w:rsidRDefault="00BE1EFE">
      <w:pPr>
        <w:pStyle w:val="StandardWeb"/>
      </w:pPr>
    </w:p>
    <w:p w:rsidR="00BE1EFE" w:rsidRDefault="00BE1EFE">
      <w:pPr>
        <w:pStyle w:val="StandardWeb"/>
        <w:rPr>
          <w:rStyle w:val="kleinschrift"/>
        </w:rPr>
      </w:pPr>
      <w:r>
        <w:rPr>
          <w:vertAlign w:val="superscript"/>
        </w:rPr>
        <w:t>1</w:t>
      </w:r>
      <w:r>
        <w:rPr>
          <w:rStyle w:val="kleinschrift"/>
        </w:rPr>
        <w:t>Bis zum In-Kraft-Treten neuer Eingruppierungsvorschriften (mit Entgeltordnung): Eingruppierung in die Vergütungsgruppe des ABD in der bis zum 30.09.2005 geltenden Fassung und Zuordnung zur Entgeltgruppe in der ab 01.10.2005 geltenden Fassung mit Hinweis, dass die Eingruppierung in die Vergütungsgruppe und die Zuordnung zu der Entgeltgruppe vorläufig sind bis zum „In-Kraft-Treten der neuen Eingruppierungsvorschriften“.</w:t>
      </w:r>
    </w:p>
    <w:p w:rsidR="00BE1EFE" w:rsidRDefault="00BE1EFE">
      <w:pPr>
        <w:pStyle w:val="StandardWeb"/>
      </w:pPr>
      <w:r>
        <w:rPr>
          <w:rStyle w:val="kleinschrift"/>
        </w:rPr>
        <w:br w:type="page"/>
      </w:r>
    </w:p>
    <w:p w:rsidR="00BE1EFE" w:rsidRDefault="00BE1EFE" w:rsidP="00A045C0">
      <w:pPr>
        <w:pStyle w:val="berschrift4"/>
        <w:spacing w:before="0"/>
      </w:pPr>
      <w:bookmarkStart w:id="887" w:name="_Toc523926410"/>
      <w:r>
        <w:lastRenderedPageBreak/>
        <w:t>D, 2. Regelung zur Kontrolle der Nutzungsbeschränkung von Internet-Diensten</w:t>
      </w:r>
      <w:bookmarkEnd w:id="887"/>
    </w:p>
    <w:p w:rsidR="00BE1EFE" w:rsidRDefault="00BE1EFE">
      <w:pPr>
        <w:pStyle w:val="berschrift5"/>
      </w:pPr>
      <w:bookmarkStart w:id="888" w:name="_Toc523926411"/>
      <w:r>
        <w:t>§ 1 Geltungsbereich</w:t>
      </w:r>
      <w:bookmarkEnd w:id="888"/>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findet Anwendung für alle Mitarbeiter, die Internet-Dienste nutzen.</w:t>
      </w:r>
    </w:p>
    <w:p w:rsidR="00BE1EFE" w:rsidRPr="00A17055" w:rsidRDefault="00BE1EFE" w:rsidP="00A17055">
      <w:pPr>
        <w:pStyle w:val="berschrift5"/>
      </w:pPr>
      <w:bookmarkStart w:id="889" w:name="_Toc523926412"/>
      <w:r w:rsidRPr="00A17055">
        <w:t>§ 2 Nutzungsbeschränkung</w:t>
      </w:r>
      <w:bookmarkEnd w:id="889"/>
    </w:p>
    <w:p w:rsidR="00BE1EFE" w:rsidRPr="00B76821" w:rsidRDefault="00BE1EFE" w:rsidP="00B76821">
      <w:pPr>
        <w:pStyle w:val="berschrift6"/>
        <w:keepNext w:val="0"/>
        <w:spacing w:before="0" w:after="0"/>
        <w:rPr>
          <w:sz w:val="2"/>
        </w:rPr>
      </w:pPr>
    </w:p>
    <w:p w:rsidR="00BE1EFE" w:rsidRPr="000B1AF8" w:rsidRDefault="00BE1EFE">
      <w:pPr>
        <w:pStyle w:val="StandardWeb"/>
      </w:pPr>
      <w:r>
        <w:t>Die Internet-Dienste dürfen grundsätzlich nur dienstlich genutzt werden. Unzulässig ist jede Nutzung, die objektiv geeignet ist, den Interessen der Katholischen Kirche oder deren Ansehen in der Öffentlichkeit zu schaden oder die gegen geltende Gesetze und/oder Verordnungen verstößt, z. B. das Abrufen oder Anbieten/Versenden</w:t>
      </w:r>
    </w:p>
    <w:p w:rsidR="00BE1EFE" w:rsidRPr="000B1AF8" w:rsidRDefault="00BE1EFE">
      <w:pPr>
        <w:pStyle w:val="StandardWeb"/>
      </w:pPr>
    </w:p>
    <w:p w:rsidR="00BE1EFE" w:rsidRDefault="00BE1EFE">
      <w:pPr>
        <w:pStyle w:val="StandardWeb"/>
      </w:pPr>
      <w:r>
        <w:t>– von Inhalten, die offensichtlich gegen datenschutzrechtliche, persönlichkeitsrechtliche, urheberrechtliche oder strafrechtliche Bestimmungen verstoßen und/oder</w:t>
      </w:r>
    </w:p>
    <w:p w:rsidR="00BE1EFE" w:rsidRDefault="00BE1EFE">
      <w:pPr>
        <w:pStyle w:val="StandardWeb"/>
      </w:pPr>
    </w:p>
    <w:p w:rsidR="00BE1EFE" w:rsidRDefault="00BE1EFE">
      <w:pPr>
        <w:pStyle w:val="StandardWeb"/>
      </w:pPr>
      <w:r>
        <w:t>– von beleidigenden, verleumderischen, verfassungsfeindlichen, rassistischen, sexistischen oder pornografischen Äußerungen oder Abbildungen.</w:t>
      </w:r>
    </w:p>
    <w:p w:rsidR="00BE1EFE" w:rsidRDefault="00BE1EFE">
      <w:pPr>
        <w:pStyle w:val="berschrift5"/>
      </w:pPr>
      <w:bookmarkStart w:id="890" w:name="_Toc523926413"/>
      <w:r>
        <w:t>§ 3 Verpflichtung zum Datenschutz</w:t>
      </w:r>
      <w:bookmarkEnd w:id="890"/>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Der Dienstgeber hat die EDV-Administratoren und die mit der Aufzeichnung und Auswertung von Protokolldaten Beauftragten in besonderer Weise zu Vertraulichkeit und zur Einhaltung der Bestimmungen des kirchlichen Datenschutzes (KDO) zu verpflichten.</w:t>
      </w:r>
      <w:r>
        <w:rPr>
          <w:vertAlign w:val="superscript"/>
        </w:rPr>
        <w:t>1</w:t>
      </w:r>
      <w:r>
        <w:t xml:space="preserve"> </w:t>
      </w:r>
      <w:r>
        <w:rPr>
          <w:rStyle w:val="kleinschrift"/>
        </w:rPr>
        <w:t>2</w:t>
      </w:r>
      <w:r>
        <w:t>Ebenso ist zu verfahren mit Beauftragten, die EDV-technische Störungen beheben.</w:t>
      </w:r>
    </w:p>
    <w:p w:rsidR="00BE1EFE" w:rsidRPr="000B1AF8" w:rsidRDefault="00BE1EFE">
      <w:pPr>
        <w:pStyle w:val="StandardWeb"/>
      </w:pPr>
      <w:r>
        <w:rPr>
          <w:sz w:val="12"/>
          <w:szCs w:val="12"/>
          <w:vertAlign w:val="superscript"/>
        </w:rPr>
        <w:t>1</w:t>
      </w:r>
      <w:r>
        <w:rPr>
          <w:sz w:val="12"/>
          <w:szCs w:val="12"/>
        </w:rPr>
        <w:t xml:space="preserve"> Die EDV-Administratoren und die Beauftragten sind in geeigneter Weise bekannt zu geben.</w:t>
      </w:r>
    </w:p>
    <w:p w:rsidR="00BE1EFE" w:rsidRDefault="00BE1EFE">
      <w:pPr>
        <w:pStyle w:val="berschrift5"/>
      </w:pPr>
      <w:bookmarkStart w:id="891" w:name="_Toc523926414"/>
      <w:r>
        <w:t>§ 4 Protokollierung</w:t>
      </w:r>
      <w:bookmarkEnd w:id="89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Daten jeder Internet-Dienste-Nutzung werden automatisch aufgezeichnet. Die Protokolle des laufenden und der zurückliegenden fünf Monate werden gespeichert. </w:t>
      </w:r>
      <w:r>
        <w:rPr>
          <w:rStyle w:val="kleinschrift"/>
        </w:rPr>
        <w:t>2</w:t>
      </w:r>
      <w:r>
        <w:t>Soweit sie nicht als Beweismittel für aufgetretene Störungen oder Unregelmäßigkeiten benötigt werden, sind sie anschließend zu löschen. Im Protokollsystem ist jeder Benutzer zu führen.</w:t>
      </w:r>
    </w:p>
    <w:p w:rsidR="00BE1EFE" w:rsidRDefault="00BE1EFE">
      <w:pPr>
        <w:pStyle w:val="berschrift5"/>
      </w:pPr>
      <w:bookmarkStart w:id="892" w:name="_Toc523926415"/>
      <w:r>
        <w:t>§ 5 Auswertung der Protokolldaten</w:t>
      </w:r>
      <w:bookmarkEnd w:id="892"/>
    </w:p>
    <w:p w:rsidR="00BE1EFE" w:rsidRPr="00B76821" w:rsidRDefault="00BE1EFE" w:rsidP="00B76821">
      <w:pPr>
        <w:pStyle w:val="berschrift6"/>
        <w:keepNext w:val="0"/>
        <w:spacing w:before="0" w:after="0"/>
        <w:rPr>
          <w:sz w:val="2"/>
        </w:rPr>
      </w:pPr>
    </w:p>
    <w:p w:rsidR="00BE1EFE" w:rsidRPr="000B1AF8" w:rsidRDefault="00BE1EFE">
      <w:pPr>
        <w:pStyle w:val="StandardWeb"/>
      </w:pPr>
      <w:r>
        <w:t>Eine Auswertung von Protokolldaten ist in folgenden Fällen zulässig:</w:t>
      </w:r>
    </w:p>
    <w:p w:rsidR="00BE1EFE" w:rsidRPr="000B1AF8" w:rsidRDefault="00BE1EFE">
      <w:pPr>
        <w:pStyle w:val="StandardWeb"/>
      </w:pPr>
    </w:p>
    <w:p w:rsidR="00BE1EFE" w:rsidRDefault="00BE1EFE">
      <w:pPr>
        <w:pStyle w:val="StandardWeb"/>
      </w:pPr>
      <w:r>
        <w:t>– zur Behebung EDV-technischer Störungen und zur Gewährleistung der Sicherheit,</w:t>
      </w:r>
    </w:p>
    <w:p w:rsidR="00BE1EFE" w:rsidRDefault="00BE1EFE">
      <w:pPr>
        <w:pStyle w:val="StandardWeb"/>
      </w:pPr>
    </w:p>
    <w:p w:rsidR="00BE1EFE" w:rsidRDefault="00BE1EFE">
      <w:pPr>
        <w:pStyle w:val="StandardWeb"/>
      </w:pPr>
      <w:r>
        <w:t>– im Rahmen von Stichproben,</w:t>
      </w:r>
    </w:p>
    <w:p w:rsidR="00BE1EFE" w:rsidRDefault="00BE1EFE">
      <w:pPr>
        <w:pStyle w:val="StandardWeb"/>
      </w:pPr>
    </w:p>
    <w:p w:rsidR="00BE1EFE" w:rsidRDefault="00BE1EFE">
      <w:pPr>
        <w:pStyle w:val="StandardWeb"/>
      </w:pPr>
      <w:r>
        <w:t>– bei einem begründeten Verdacht auf einen Verstoß gegen die Nutzungsbeschränkung.</w:t>
      </w:r>
    </w:p>
    <w:p w:rsidR="00BE1EFE" w:rsidRDefault="00BE1EFE">
      <w:pPr>
        <w:pStyle w:val="StandardWeb"/>
      </w:pPr>
    </w:p>
    <w:p w:rsidR="00BE1EFE" w:rsidRDefault="00BE1EFE">
      <w:pPr>
        <w:pStyle w:val="StandardWeb"/>
      </w:pPr>
      <w:r>
        <w:lastRenderedPageBreak/>
        <w:t>1. </w:t>
      </w:r>
      <w:r>
        <w:rPr>
          <w:rStyle w:val="kleinschrift"/>
        </w:rPr>
        <w:t>1</w:t>
      </w:r>
      <w:r>
        <w:t xml:space="preserve">Zur Behebung EDV-technischer Störungen und zur Gewährleistung der Sicherheit ist den EDV-Administratoren oder den dafür Beauftragten im notwendigen Umfang die Auswertung der Protokolldaten und die Einsicht in die Daten gestattet. </w:t>
      </w:r>
      <w:r>
        <w:rPr>
          <w:rStyle w:val="kleinschrift"/>
        </w:rPr>
        <w:t>2</w:t>
      </w:r>
      <w:r>
        <w:t>Sofern sich bei der Behebung einer EDV-technischen Störung, die infolge der Nutzung von Internet-Diensten aufgetreten ist, ein begründeter Verdacht auf einen Verstoß durch eine konkrete Person gegen die Nutzungsbeschränkung ergibt, erfolgt unter Berücksichtigung des Grundsatzes der Verhältnismäßigkeit eine Mitteilung an den jeweiligen Dienstgeber und ggf. die Stiftungsaufsichtsbehörde.</w:t>
      </w:r>
    </w:p>
    <w:p w:rsidR="00BE1EFE" w:rsidRDefault="00BE1EFE">
      <w:pPr>
        <w:pStyle w:val="StandardWeb"/>
      </w:pPr>
    </w:p>
    <w:p w:rsidR="00BE1EFE" w:rsidRDefault="00BE1EFE">
      <w:pPr>
        <w:pStyle w:val="StandardWeb"/>
      </w:pPr>
      <w:r>
        <w:t>2. </w:t>
      </w:r>
      <w:r>
        <w:rPr>
          <w:rStyle w:val="kleinschrift"/>
        </w:rPr>
        <w:t>1</w:t>
      </w:r>
      <w:r>
        <w:t xml:space="preserve">Der Dienstgeber ist berechtigt, bis zu vier Mal im Jahr Stichproben der Protokolle der Internet-Dienste-Nutzung aus dem laufenden oder dem Vormonat zu veranlassen. </w:t>
      </w:r>
      <w:r>
        <w:rPr>
          <w:rStyle w:val="kleinschrift"/>
        </w:rPr>
        <w:t>2</w:t>
      </w:r>
      <w:r>
        <w:t xml:space="preserve">Diese Stichproben sind auf einen maximalen Mitarbeiterkreis bezogen durchzuführen. </w:t>
      </w:r>
      <w:r>
        <w:rPr>
          <w:rStyle w:val="kleinschrift"/>
        </w:rPr>
        <w:t>3</w:t>
      </w:r>
      <w:r>
        <w:t xml:space="preserve">Das Protokoll wird in anonymisierter Form an den Dienstgeber weitergegeben. </w:t>
      </w:r>
      <w:r>
        <w:rPr>
          <w:rStyle w:val="kleinschrift"/>
        </w:rPr>
        <w:t>4</w:t>
      </w:r>
      <w:r>
        <w:t>Der Dienstgeber prüft das Protokoll der Internet-Dienste-Nutzung im Hinblick auf die Einhaltung der Nutzungs</w:t>
      </w:r>
      <w:r w:rsidR="00803412">
        <w:t>-</w:t>
      </w:r>
      <w:r>
        <w:t xml:space="preserve">beschränkung. </w:t>
      </w:r>
      <w:r>
        <w:rPr>
          <w:rStyle w:val="kleinschrift"/>
        </w:rPr>
        <w:t>5</w:t>
      </w:r>
      <w:r>
        <w:t>Sofern sich bei einer Stichprobe ein Hinweis auf einen Verstoß gegen die Nutzungsbeschränkung ergibt, kann der Dienstgeber - erforderlichenfalls nach Einschaltung der Stiftungsaufsichtsbehörde - die Reidentifizierung durchführen lassen.</w:t>
      </w:r>
    </w:p>
    <w:p w:rsidR="00BE1EFE" w:rsidRDefault="00BE1EFE">
      <w:pPr>
        <w:pStyle w:val="StandardWeb"/>
      </w:pPr>
    </w:p>
    <w:p w:rsidR="00BE1EFE" w:rsidRDefault="00BE1EFE">
      <w:pPr>
        <w:pStyle w:val="StandardWeb"/>
      </w:pPr>
      <w:r>
        <w:t>3. </w:t>
      </w:r>
      <w:r>
        <w:rPr>
          <w:rStyle w:val="kleinschrift"/>
        </w:rPr>
        <w:t>1</w:t>
      </w:r>
      <w:r>
        <w:t xml:space="preserve">Bei einem begründeten Verdacht auf einen Verstoß gegen die Nutzungsbeschränkung durch einen Mitarbeiter ist der Dienstgeber berechtigt, die Protokolle der Internet-Dienste-Nutzung, soweit notwendig, auszuwerten. </w:t>
      </w:r>
      <w:r>
        <w:rPr>
          <w:rStyle w:val="kleinschrift"/>
        </w:rPr>
        <w:t>2</w:t>
      </w:r>
      <w:r>
        <w:t>Voraussetzung ist, dass der Mitarbeiter vorher gehört und der lokale PC überprüft wurde und der Grundsatz der Verhältnismäßigkeit gewahrt wird.</w:t>
      </w:r>
    </w:p>
    <w:p w:rsidR="00BE1EFE" w:rsidRDefault="00BE1EFE">
      <w:pPr>
        <w:pStyle w:val="berschrift5"/>
      </w:pPr>
      <w:bookmarkStart w:id="893" w:name="_Toc523926416"/>
      <w:r>
        <w:t>§ 6 Allgemeine Verfahrensweise</w:t>
      </w:r>
      <w:bookmarkEnd w:id="893"/>
    </w:p>
    <w:p w:rsidR="00BE1EFE" w:rsidRPr="00B76821" w:rsidRDefault="00BE1EFE" w:rsidP="00B76821">
      <w:pPr>
        <w:pStyle w:val="berschrift6"/>
        <w:keepNext w:val="0"/>
        <w:spacing w:before="0" w:after="0"/>
        <w:rPr>
          <w:sz w:val="2"/>
        </w:rPr>
      </w:pPr>
    </w:p>
    <w:p w:rsidR="00BE1EFE" w:rsidRPr="000B1AF8" w:rsidRDefault="00BE1EFE">
      <w:pPr>
        <w:pStyle w:val="StandardWeb"/>
      </w:pPr>
      <w:r>
        <w:t>Nachfolgende Punkte sind einzuhalten:</w:t>
      </w:r>
    </w:p>
    <w:p w:rsidR="00BE1EFE" w:rsidRPr="000B1AF8" w:rsidRDefault="00BE1EFE">
      <w:pPr>
        <w:pStyle w:val="StandardWeb"/>
      </w:pPr>
    </w:p>
    <w:p w:rsidR="00BE1EFE" w:rsidRDefault="00BE1EFE">
      <w:pPr>
        <w:pStyle w:val="StandardWeb"/>
      </w:pPr>
      <w:r>
        <w:t>a) Der Mitarbeiter ist unverzüglich über den Verdacht zu unterrichten, der sich aus der Kontrolle der Einhaltung der Nutzungsbeschränkung ergeben hat, unter Angabe der Protokolldaten der Internet-Dienste-Nutzung.</w:t>
      </w:r>
    </w:p>
    <w:p w:rsidR="00BE1EFE" w:rsidRDefault="00BE1EFE">
      <w:pPr>
        <w:pStyle w:val="StandardWeb"/>
      </w:pPr>
      <w:r>
        <w:t>b) </w:t>
      </w:r>
      <w:r>
        <w:rPr>
          <w:rStyle w:val="kleinschrift"/>
        </w:rPr>
        <w:t>1</w:t>
      </w:r>
      <w:r>
        <w:t xml:space="preserve">Dem Mitarbeiter ist unverzüglich Gelegenheit zur Stellungnahme zu geben. </w:t>
      </w:r>
      <w:r>
        <w:rPr>
          <w:rStyle w:val="kleinschrift"/>
        </w:rPr>
        <w:t>2</w:t>
      </w:r>
      <w:r>
        <w:t>Der Mitarbeiter ist berechtigt, eine Person seines Vertrauens hinzuzuziehen.</w:t>
      </w:r>
    </w:p>
    <w:p w:rsidR="00BE1EFE" w:rsidRDefault="00BE1EFE">
      <w:pPr>
        <w:pStyle w:val="StandardWeb"/>
      </w:pPr>
      <w:r>
        <w:t>c) Der Dienstgeber kann - gegebenenfalls nach Einschaltung der Stiftungsaufsichtsbehörde - Maßnahmen gegen den Mitarbeiter einleiten, wenn sich aufgrund der Auswertung der aufgezeichneten Protokolldaten ein begründeter Verdacht auf missbräuchliche Nutzung erhärtet hat.</w:t>
      </w:r>
    </w:p>
    <w:p w:rsidR="00BE1EFE" w:rsidRDefault="00BE1EFE">
      <w:pPr>
        <w:pStyle w:val="StandardWeb"/>
      </w:pPr>
      <w:r>
        <w:t>d) Der Mitarbeiter ist über Ende und Ergebnis der Maßnahme zu unterrichten.</w:t>
      </w:r>
    </w:p>
    <w:p w:rsidR="00BE1EFE" w:rsidRDefault="00BE1EFE">
      <w:pPr>
        <w:pStyle w:val="StandardWeb"/>
      </w:pPr>
      <w:r>
        <w:br w:type="page"/>
      </w:r>
    </w:p>
    <w:p w:rsidR="00BE1EFE" w:rsidRDefault="00BE1EFE" w:rsidP="00A045C0">
      <w:pPr>
        <w:pStyle w:val="berschrift4"/>
        <w:spacing w:before="0"/>
      </w:pPr>
      <w:bookmarkStart w:id="894" w:name="_Toc523926417"/>
      <w:r>
        <w:lastRenderedPageBreak/>
        <w:t>D, 3. Kirchliche Arbeitszeitordnung (KAZO)</w:t>
      </w:r>
      <w:bookmarkEnd w:id="894"/>
    </w:p>
    <w:p w:rsidR="00BE1EFE" w:rsidRDefault="00BE1EFE">
      <w:pPr>
        <w:pStyle w:val="berschrift5"/>
      </w:pPr>
      <w:bookmarkStart w:id="895" w:name="_Toc523926418"/>
      <w:r>
        <w:t>A. Arbeitszeitregelungen für kirchenspezifische Tätigkeiten</w:t>
      </w:r>
      <w:bookmarkEnd w:id="895"/>
    </w:p>
    <w:p w:rsidR="00BE1EFE" w:rsidRPr="00B76821" w:rsidRDefault="00BE1EFE" w:rsidP="00B76821">
      <w:pPr>
        <w:pStyle w:val="berschrift6"/>
        <w:keepNext w:val="0"/>
        <w:spacing w:before="0" w:after="0"/>
        <w:rPr>
          <w:rStyle w:val="Fett"/>
          <w:bCs w:val="0"/>
          <w:sz w:val="2"/>
        </w:rPr>
      </w:pPr>
    </w:p>
    <w:p w:rsidR="00BE1EFE" w:rsidRPr="000B1AF8" w:rsidRDefault="00BE1EFE" w:rsidP="00A17055">
      <w:pPr>
        <w:pStyle w:val="StandardWeb"/>
        <w:autoSpaceDE w:val="0"/>
      </w:pPr>
      <w:r>
        <w:rPr>
          <w:rStyle w:val="Fett"/>
          <w:bCs/>
        </w:rPr>
        <w:t xml:space="preserve">(in Ausfüllung von § 7 und § 12 Arbeitszeitgesetz - ArbZG 94) </w:t>
      </w:r>
    </w:p>
    <w:p w:rsidR="00BE1EFE" w:rsidRDefault="00BE1EFE">
      <w:pPr>
        <w:pStyle w:val="berschrift6"/>
      </w:pPr>
      <w:bookmarkStart w:id="896" w:name="_Toc523926419"/>
      <w:r>
        <w:t>§ 1 Geltungsbereich</w:t>
      </w:r>
      <w:bookmarkEnd w:id="89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Vorschriften des </w:t>
      </w:r>
      <w:hyperlink r:id="rId1169" w:history="1">
        <w:r w:rsidRPr="00803412">
          <w:rPr>
            <w:rStyle w:val="Hyperlink"/>
          </w:rPr>
          <w:t>Teil A</w:t>
        </w:r>
      </w:hyperlink>
      <w:r>
        <w:t xml:space="preserve"> gelten für Mitarbeiter, die aufgrund eines Arbeitsvertrages in kirchenspezifischen Bereichen tätig sind und deshalb Arbeiten leisten müssen, die zeitlich von den Regelarbeitszeiten des </w:t>
      </w:r>
      <w:hyperlink r:id="rId1170" w:tgtFrame="_blank" w:history="1">
        <w:r>
          <w:rPr>
            <w:rStyle w:val="Hyperlink"/>
          </w:rPr>
          <w:t>ArbZG</w:t>
        </w:r>
      </w:hyperlink>
      <w:r>
        <w:t xml:space="preserve"> abweichen, um dem der Kirche eigenen Sendungsauftrag nachkommen zu können.</w:t>
      </w:r>
    </w:p>
    <w:p w:rsidR="00BE1EFE" w:rsidRDefault="00BE1EFE">
      <w:pPr>
        <w:pStyle w:val="berschrift6"/>
      </w:pPr>
      <w:bookmarkStart w:id="897" w:name="_Toc523926420"/>
      <w:r>
        <w:t>§ 2 Personengruppen</w:t>
      </w:r>
      <w:bookmarkEnd w:id="897"/>
    </w:p>
    <w:p w:rsidR="00BE1EFE" w:rsidRPr="00B76821" w:rsidRDefault="00BE1EFE" w:rsidP="00B76821">
      <w:pPr>
        <w:pStyle w:val="h7"/>
        <w:keepNext w:val="0"/>
        <w:spacing w:before="0" w:after="0"/>
        <w:jc w:val="left"/>
        <w:outlineLvl w:val="5"/>
        <w:rPr>
          <w:sz w:val="2"/>
        </w:rPr>
      </w:pPr>
    </w:p>
    <w:p w:rsidR="00BE1EFE" w:rsidRDefault="00BE1EFE">
      <w:pPr>
        <w:jc w:val="both"/>
      </w:pPr>
      <w:r>
        <w:t>Kirchenspezifische Tätigkeiten werden vorwiegend von folgenden kirchlichen Berufsgruppen geleistet:</w:t>
      </w:r>
    </w:p>
    <w:p w:rsidR="00BE1EFE" w:rsidRDefault="00BE1EFE">
      <w:pPr>
        <w:jc w:val="both"/>
      </w:pPr>
    </w:p>
    <w:p w:rsidR="00BE1EFE" w:rsidRDefault="00BE1EFE">
      <w:pPr>
        <w:jc w:val="both"/>
      </w:pPr>
      <w:r>
        <w:t>a)</w:t>
      </w:r>
    </w:p>
    <w:p w:rsidR="00BE1EFE" w:rsidRDefault="00BE1EFE">
      <w:pPr>
        <w:jc w:val="both"/>
      </w:pPr>
      <w:r>
        <w:t>– Religionslehrerinnen/Religionslehrer im Kirchendienst</w:t>
      </w:r>
    </w:p>
    <w:p w:rsidR="00BE1EFE" w:rsidRDefault="00BE1EFE">
      <w:pPr>
        <w:jc w:val="both"/>
      </w:pPr>
      <w:r>
        <w:t>– Pädagogisches Personal (</w:t>
      </w:r>
      <w:hyperlink r:id="rId1171" w:history="1">
        <w:r w:rsidRPr="00803412">
          <w:rPr>
            <w:rStyle w:val="Hyperlink"/>
          </w:rPr>
          <w:t>§ 16 AVBayKiBiG</w:t>
        </w:r>
      </w:hyperlink>
      <w:r>
        <w:t>) in den katholischen Kindertageseinrichtungen</w:t>
      </w:r>
    </w:p>
    <w:p w:rsidR="00BE1EFE" w:rsidRDefault="00BE1EFE">
      <w:pPr>
        <w:jc w:val="both"/>
      </w:pPr>
      <w:r>
        <w:t>– Mitarbeiter in der kirchlichen Erwachsenenbildung und Verbandsarbeit</w:t>
      </w:r>
    </w:p>
    <w:p w:rsidR="00BE1EFE" w:rsidRDefault="00BE1EFE">
      <w:pPr>
        <w:jc w:val="both"/>
      </w:pPr>
      <w:r>
        <w:t>– Mitarbeiter in der kirchlichen Jugendarbeit</w:t>
      </w:r>
    </w:p>
    <w:p w:rsidR="00BE1EFE" w:rsidRDefault="00BE1EFE">
      <w:pPr>
        <w:jc w:val="both"/>
      </w:pPr>
      <w:r>
        <w:t>– Mitarbeiter in kirchlichen Beratungsstellen</w:t>
      </w:r>
    </w:p>
    <w:p w:rsidR="00BE1EFE" w:rsidRDefault="00BE1EFE">
      <w:pPr>
        <w:jc w:val="both"/>
      </w:pPr>
      <w:r>
        <w:t>– Mitarbeiter an kirchlichen Pressestellen</w:t>
      </w:r>
    </w:p>
    <w:p w:rsidR="00BE1EFE" w:rsidRDefault="00BE1EFE">
      <w:pPr>
        <w:jc w:val="both"/>
      </w:pPr>
    </w:p>
    <w:p w:rsidR="00BE1EFE" w:rsidRDefault="00BE1EFE">
      <w:pPr>
        <w:jc w:val="both"/>
      </w:pPr>
      <w:r>
        <w:t>b)</w:t>
      </w:r>
    </w:p>
    <w:p w:rsidR="00BE1EFE" w:rsidRDefault="00BE1EFE">
      <w:pPr>
        <w:jc w:val="both"/>
      </w:pPr>
      <w:r>
        <w:t>– Gemeindeassistenten und -referenten</w:t>
      </w:r>
    </w:p>
    <w:p w:rsidR="00BE1EFE" w:rsidRDefault="00BE1EFE">
      <w:pPr>
        <w:jc w:val="both"/>
      </w:pPr>
      <w:r>
        <w:t>– Seelsorgshelfer</w:t>
      </w:r>
    </w:p>
    <w:p w:rsidR="00BE1EFE" w:rsidRDefault="00BE1EFE">
      <w:pPr>
        <w:jc w:val="both"/>
      </w:pPr>
      <w:r>
        <w:t>– Kirchenmusiker</w:t>
      </w:r>
    </w:p>
    <w:p w:rsidR="00BE1EFE" w:rsidRDefault="00BE1EFE">
      <w:pPr>
        <w:jc w:val="both"/>
      </w:pPr>
      <w:r>
        <w:t>– Mesner</w:t>
      </w:r>
    </w:p>
    <w:p w:rsidR="00BE1EFE" w:rsidRDefault="00BE1EFE">
      <w:pPr>
        <w:jc w:val="both"/>
      </w:pPr>
      <w:r>
        <w:t>– Pastoralassistenten und -referenten soweit deren Tätigkeit nicht vom Teil B erfasst wird.</w:t>
      </w:r>
    </w:p>
    <w:p w:rsidR="00BE1EFE" w:rsidRDefault="00BE1EFE">
      <w:pPr>
        <w:jc w:val="both"/>
      </w:pPr>
    </w:p>
    <w:p w:rsidR="00BE1EFE" w:rsidRDefault="00BE1EFE">
      <w:pPr>
        <w:jc w:val="both"/>
      </w:pPr>
      <w:r>
        <w:t>c)</w:t>
      </w:r>
    </w:p>
    <w:p w:rsidR="00BE1EFE" w:rsidRDefault="00BE1EFE">
      <w:pPr>
        <w:jc w:val="both"/>
      </w:pPr>
      <w:r>
        <w:t>sonstige Mitarbeiter, denen aufgrund der Weisung des Vorgesetzten kirchenspezifische Tätigkeiten übertragen werden</w:t>
      </w:r>
    </w:p>
    <w:p w:rsidR="00BE1EFE" w:rsidRDefault="00BE1EFE">
      <w:pPr>
        <w:pStyle w:val="berschrift6"/>
      </w:pPr>
      <w:bookmarkStart w:id="898" w:name="_Toc523926421"/>
      <w:r>
        <w:t>§ 3 Werktägliche Arbeitszeit</w:t>
      </w:r>
      <w:bookmarkEnd w:id="89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Arbeitszeit kann auch auf bis zu zehn Stunden täglich verlängert werden, wenn acht Stunden täglich im Durchschnitt eines Ausgleichszeitraums von bis zu einem Jahr nicht überschritten werden.</w:t>
      </w:r>
    </w:p>
    <w:p w:rsidR="00BE1EFE" w:rsidRDefault="00BE1EFE">
      <w:pPr>
        <w:pStyle w:val="berschrift6"/>
      </w:pPr>
      <w:bookmarkStart w:id="899" w:name="_Toc523926422"/>
      <w:r>
        <w:t>§ 4 Zielgruppenorientierte Arbeitszeit</w:t>
      </w:r>
      <w:bookmarkEnd w:id="89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Sofern die Arbeit aufgrund ihrer Eigenart zusammenhängend mehr als einen Tag erfordert (z. B. Seminare, Kurse) und diese zielgruppenbedingt nicht im Rahmen der von </w:t>
      </w:r>
      <w:hyperlink r:id="rId1172" w:history="1">
        <w:r w:rsidRPr="002D1F1D">
          <w:rPr>
            <w:rStyle w:val="Hyperlink"/>
          </w:rPr>
          <w:t>§ 3</w:t>
        </w:r>
      </w:hyperlink>
      <w:r>
        <w:t xml:space="preserve"> vorgegebenen Höchstarbeitszeit erfolgen kann, kann die tägliche Arbeitszeit bis zu zwölf Mal </w:t>
      </w:r>
      <w:r>
        <w:lastRenderedPageBreak/>
        <w:t xml:space="preserve">im Kalenderjahr auf bis zu zwölf Stunden verlängert werden, wenn innerhalb von vier Wochen die das Höchstmaß des </w:t>
      </w:r>
      <w:hyperlink r:id="rId1173" w:history="1">
        <w:r w:rsidRPr="002D1F1D">
          <w:rPr>
            <w:rStyle w:val="Hyperlink"/>
          </w:rPr>
          <w:t>§ 3</w:t>
        </w:r>
      </w:hyperlink>
      <w:r>
        <w:t xml:space="preserve"> übersteigenden Arbeitsstunden ausgeglichen werden; im Übrigen muss ein Ausgleich nach </w:t>
      </w:r>
      <w:hyperlink r:id="rId1174" w:history="1">
        <w:r w:rsidRPr="002D1F1D">
          <w:rPr>
            <w:rStyle w:val="Hyperlink"/>
          </w:rPr>
          <w:t>§ 3</w:t>
        </w:r>
      </w:hyperlink>
      <w:r>
        <w:t xml:space="preserve"> erfolgen. </w:t>
      </w:r>
      <w:r>
        <w:rPr>
          <w:rStyle w:val="kleinschrift"/>
        </w:rPr>
        <w:t>2</w:t>
      </w:r>
      <w:r>
        <w:t>Eine Verlängerung auf zwölf Stunden ist innerhalb einer Kalenderwoche drei Mal und an bis zu drei aufeinander folgenden Tagen zulässig.</w:t>
      </w:r>
    </w:p>
    <w:p w:rsidR="00BE1EFE" w:rsidRDefault="00BE1EFE">
      <w:pPr>
        <w:pStyle w:val="berschrift6"/>
      </w:pPr>
      <w:bookmarkStart w:id="900" w:name="_Toc523926423"/>
      <w:r>
        <w:t>§ 5 Tägliche Arbeitszeit in Sonderfällen</w:t>
      </w:r>
      <w:bookmarkEnd w:id="90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Sofern die Begleitung von Zielgruppen auf längeren Fahrten, Reisen, Freizeiten zu den dienstlichen Aufgaben der in </w:t>
      </w:r>
      <w:hyperlink r:id="rId1175" w:history="1">
        <w:r w:rsidRPr="002D1F1D">
          <w:rPr>
            <w:rStyle w:val="Hyperlink"/>
          </w:rPr>
          <w:t>§ 2</w:t>
        </w:r>
      </w:hyperlink>
      <w:r>
        <w:t xml:space="preserve"> genannten Mitarbeiter gehört, kann die tägliche Arbeitszeit auf bis zu zehn Stunden ohne Zeitausgleich verlängert werden, höchstens jedoch an 60 Tagen im Jahr.</w:t>
      </w:r>
    </w:p>
    <w:p w:rsidR="00BE1EFE" w:rsidRPr="000B1AF8" w:rsidRDefault="00BE1EFE">
      <w:pPr>
        <w:pStyle w:val="StandardWeb"/>
      </w:pPr>
    </w:p>
    <w:p w:rsidR="00BE1EFE" w:rsidRDefault="00BE1EFE">
      <w:pPr>
        <w:pStyle w:val="StandardWeb"/>
      </w:pPr>
      <w:r>
        <w:t>(2) Für die Dauer von solchen Unternehmungen gelten folgende Ruhezeitregelungen:</w:t>
      </w:r>
    </w:p>
    <w:p w:rsidR="00BE1EFE" w:rsidRDefault="00BE1EFE">
      <w:pPr>
        <w:pStyle w:val="StandardWeb"/>
      </w:pPr>
      <w:r>
        <w:t>a) Mitarbeiter müssen nach Beendigung der täglichen Arbeitszeit eine ununterbrochene Ruhezeit von mindestens elf Stunden haben.</w:t>
      </w:r>
    </w:p>
    <w:p w:rsidR="00BE1EFE" w:rsidRDefault="00BE1EFE">
      <w:pPr>
        <w:pStyle w:val="StandardWeb"/>
      </w:pPr>
      <w:r>
        <w:t>b) Die Dauer der Ruhezeit kann um bis zu zwei Stunden verkürzt werden, wenn die Verkürzung innerhalb von vier Wochen durch Verlängerung anderer Ruhezeiten auf mindestens zwölf Stunden ausgeglichen wird.</w:t>
      </w:r>
    </w:p>
    <w:p w:rsidR="00BE1EFE" w:rsidRDefault="00BE1EFE">
      <w:pPr>
        <w:pStyle w:val="StandardWeb"/>
      </w:pPr>
      <w:r>
        <w:t>c) Kürzungen der Ruhezeit durch Inanspruchnahme während der Rufbereitschaft, die nicht mehr als fünf Stunden betragen, können zu anderen Zeiten innerhalb der Frist von vier Wochen ausgeglichen werden.</w:t>
      </w:r>
    </w:p>
    <w:p w:rsidR="00BE1EFE" w:rsidRDefault="00BE1EFE">
      <w:pPr>
        <w:pStyle w:val="berschrift6"/>
      </w:pPr>
      <w:bookmarkStart w:id="901" w:name="_Toc523926424"/>
      <w:r>
        <w:t>§ 6 Ruhepausen</w:t>
      </w:r>
      <w:bookmarkEnd w:id="90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Arbeit ist durch im Voraus feststehende Ruhepausen von mindestens 30 Minuten bei einer Arbeitszeit von mehr als sechs bis neun Stunden und 45 Minuten bei einer Arbeitszeit von mehr als neun Stunden insgesamt zu unterbrechen. </w:t>
      </w:r>
      <w:r>
        <w:rPr>
          <w:rStyle w:val="kleinschrift"/>
        </w:rPr>
        <w:t>2</w:t>
      </w:r>
      <w:r>
        <w:t xml:space="preserve">Die Pausen nach Satz 1 können in Zeitabschnitte von jeweils mindestens 15 Minuten aufgeteilt werden. </w:t>
      </w:r>
      <w:r>
        <w:rPr>
          <w:rStyle w:val="kleinschrift"/>
        </w:rPr>
        <w:t>3</w:t>
      </w:r>
      <w:r>
        <w:t>Länger als sechs Stunden hintereinander dürfen Mitarbeiter nicht ohne Ruhepause beschäftigt werden.</w:t>
      </w:r>
    </w:p>
    <w:p w:rsidR="00BE1EFE" w:rsidRDefault="00BE1EFE">
      <w:pPr>
        <w:pStyle w:val="berschrift6"/>
      </w:pPr>
      <w:bookmarkStart w:id="902" w:name="_Toc523926425"/>
      <w:r>
        <w:t>§ 7 Ruhezeiten</w:t>
      </w:r>
      <w:bookmarkEnd w:id="90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Ruhezeit kann bis zu siebenmal innerhalb eines Kalendermonats oder innerhalb von vier Wochen auf bis zu neun Stunden verkürzt werden, wenn die Art der Arbeit dies erfordert und die Kürzung der Ruhezeit durch entsprechende Verlängerung der Ruhezeit innerhalb von zwei Kalendermonaten oder acht Wochen ausgeglichen wird, insbesondere dann, wenn der Mitarbeiter den Zeitpunkt der dienstlichen Inanspruchnahme nicht selbst bestimmen kann.</w:t>
      </w:r>
    </w:p>
    <w:p w:rsidR="00BE1EFE" w:rsidRPr="000B1AF8" w:rsidRDefault="00BE1EFE">
      <w:pPr>
        <w:pStyle w:val="StandardWeb"/>
      </w:pPr>
    </w:p>
    <w:p w:rsidR="00BE1EFE" w:rsidRDefault="00BE1EFE" w:rsidP="00A17055">
      <w:pPr>
        <w:pStyle w:val="StandardWeb"/>
      </w:pPr>
      <w:r>
        <w:t>(2) Dauer und Lage der Ruhezeiten bei Rufbereitschaft können den dienstlichen Besonder</w:t>
      </w:r>
      <w:r>
        <w:softHyphen/>
        <w:t>heiten angepasst werden, insbesondere sind Kürzungen der Ruhezeit infolge von Inanspruchnahmen während der Rufbereitschaft zu anderen Zeiten auszugleichen.</w:t>
      </w:r>
    </w:p>
    <w:p w:rsidR="00BE1EFE" w:rsidRDefault="00BE1EFE">
      <w:pPr>
        <w:pStyle w:val="berschrift6"/>
      </w:pPr>
      <w:bookmarkStart w:id="903" w:name="_Toc523926426"/>
      <w:r>
        <w:t>§ 8 Ausgleich für Feiertagsbeschäftigung</w:t>
      </w:r>
      <w:bookmarkEnd w:id="90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Werden Mitarbeiter an einem auf einen Werktag fallenden Feiertag beschäftigt, müssen sie einen Ersatzruhetag haben, der innerhalb eines den Beschäftigungstag einschließenden Zeitraumes von acht Wochen zu nehmen ist.</w:t>
      </w:r>
    </w:p>
    <w:p w:rsidR="00BE1EFE" w:rsidRPr="000B1AF8" w:rsidRDefault="00BE1EFE">
      <w:pPr>
        <w:pStyle w:val="StandardWeb"/>
      </w:pPr>
    </w:p>
    <w:p w:rsidR="00BE1EFE" w:rsidRDefault="00BE1EFE">
      <w:pPr>
        <w:pStyle w:val="berschrift6"/>
      </w:pPr>
      <w:bookmarkStart w:id="904" w:name="_Toc523926427"/>
      <w:r>
        <w:lastRenderedPageBreak/>
        <w:t>§ 9 Geltung des Arbeitszeitgesetzes</w:t>
      </w:r>
      <w:bookmarkEnd w:id="9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Im Übrigen gilt das Arbeitszeitgesetz von 1994 in der jeweiligen Fassung.</w:t>
      </w:r>
    </w:p>
    <w:p w:rsidR="00BE1EFE" w:rsidRDefault="00BE1EFE">
      <w:pPr>
        <w:pStyle w:val="berschrift5"/>
      </w:pPr>
      <w:bookmarkStart w:id="905" w:name="_Toc523926428"/>
      <w:r>
        <w:t>B. Arbeitszeitregelungen für Beschäftigte im liturgischen Bereich</w:t>
      </w:r>
      <w:bookmarkEnd w:id="905"/>
    </w:p>
    <w:p w:rsidR="00BE1EFE" w:rsidRDefault="00BE1EFE">
      <w:pPr>
        <w:pStyle w:val="berschrift6"/>
      </w:pPr>
      <w:bookmarkStart w:id="906" w:name="_Toc523926429"/>
      <w:r>
        <w:t>§ 10 Geltungsbereich</w:t>
      </w:r>
      <w:bookmarkEnd w:id="90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Vorschriften des Teil B gelten für Mitarbeiter, soweit sie aufgrund ihres Arbeits</w:t>
      </w:r>
      <w:r>
        <w:softHyphen/>
        <w:t xml:space="preserve">vertrages im liturgischen Bereich beschäftigt sind und damit gem. </w:t>
      </w:r>
      <w:hyperlink r:id="rId1176" w:tgtFrame="_blank" w:history="1">
        <w:r>
          <w:rPr>
            <w:rStyle w:val="Hyperlink"/>
          </w:rPr>
          <w:t>§ 18 Absatz 1 Nr. 4 ArbZG</w:t>
        </w:r>
      </w:hyperlink>
      <w:r>
        <w:t xml:space="preserve"> das Arbeitszeitgesetz auf diese Mitarbeiter nicht anzuwenden ist. </w:t>
      </w:r>
      <w:r>
        <w:rPr>
          <w:rStyle w:val="kleinschrift"/>
        </w:rPr>
        <w:t>2</w:t>
      </w:r>
      <w:r>
        <w:t>In den liturgischen Bereich fallen nur solche Aufgaben, die für die Vorbereitung, Durchführung und Nachbereitung von Gottesdiensten und damit im Zusammenhang stehenden Gründen notwendig sind.</w:t>
      </w:r>
    </w:p>
    <w:p w:rsidR="00BE1EFE" w:rsidRPr="000B1AF8" w:rsidRDefault="00BE1EFE">
      <w:pPr>
        <w:pStyle w:val="StandardWeb"/>
      </w:pPr>
    </w:p>
    <w:p w:rsidR="00BE1EFE" w:rsidRDefault="00BE1EFE">
      <w:pPr>
        <w:pStyle w:val="StandardWeb"/>
      </w:pPr>
      <w:r>
        <w:t xml:space="preserve">(2) Für Mitarbeiter, mit denen bei demselben Arbeitgeber sowohl Tätigkeiten nach Absatz 1 als auch sonstige Tätigkeiten arbeitsvertraglich vereinbart sind, gelten für die Tätigkeit im liturgischen Bereich die Regelungen des </w:t>
      </w:r>
      <w:hyperlink r:id="rId1177" w:history="1">
        <w:r w:rsidRPr="00803412">
          <w:rPr>
            <w:rStyle w:val="Hyperlink"/>
          </w:rPr>
          <w:t>Teil B</w:t>
        </w:r>
      </w:hyperlink>
      <w:r>
        <w:t>.</w:t>
      </w:r>
    </w:p>
    <w:p w:rsidR="00BE1EFE" w:rsidRDefault="00BE1EFE">
      <w:pPr>
        <w:pStyle w:val="berschrift6"/>
      </w:pPr>
      <w:bookmarkStart w:id="907" w:name="_Toc523926430"/>
      <w:r>
        <w:t>§ 11 Arbeitszeit</w:t>
      </w:r>
      <w:bookmarkEnd w:id="9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Arbeitszeit ist dienstplanmäßig auf höchstens sechs Tage pro Woche zu verteilen.</w:t>
      </w:r>
    </w:p>
    <w:p w:rsidR="00BE1EFE" w:rsidRPr="000B1AF8" w:rsidRDefault="00BE1EFE">
      <w:pPr>
        <w:pStyle w:val="StandardWeb"/>
      </w:pPr>
    </w:p>
    <w:p w:rsidR="00BE1EFE" w:rsidRDefault="00BE1EFE">
      <w:pPr>
        <w:pStyle w:val="StandardWeb"/>
      </w:pPr>
      <w:r>
        <w:t>(2) </w:t>
      </w:r>
      <w:r>
        <w:rPr>
          <w:rStyle w:val="kleinschrift"/>
        </w:rPr>
        <w:t>1</w:t>
      </w:r>
      <w:r>
        <w:t xml:space="preserve">Die tägliche Arbeitszeit darf acht Stunden nicht überschreiten. </w:t>
      </w:r>
      <w:r>
        <w:rPr>
          <w:rStyle w:val="kleinschrift"/>
        </w:rPr>
        <w:t>2</w:t>
      </w:r>
      <w:r>
        <w:t>Sie kann auf bis zu zehn Stunden nur verlängert werden, wenn innerhalb eines Zeitraumes von bis zu einem Jahr im Durchschnitt acht Stunden arbeitstäglich nicht überschritten werden.</w:t>
      </w:r>
    </w:p>
    <w:p w:rsidR="00BE1EFE" w:rsidRDefault="00BE1EFE">
      <w:pPr>
        <w:pStyle w:val="StandardWeb"/>
      </w:pPr>
    </w:p>
    <w:p w:rsidR="00BE1EFE" w:rsidRDefault="00BE1EFE">
      <w:pPr>
        <w:pStyle w:val="StandardWeb"/>
      </w:pPr>
      <w:r>
        <w:t>(3) Die tägliche Arbeitszeit kann an Ostern und Weihnachten für höchstens je drei Tage sowie an bis zu acht besonderen Gemeindefesttagen auf höchstens zwölf Stunden verlängert werden, wenn innerhalb von vier Wochen die das Maß des Satzes 2 übersteigenden Arbeitsstunden ausgeglichen werden.</w:t>
      </w:r>
    </w:p>
    <w:p w:rsidR="00BE1EFE" w:rsidRDefault="00BE1EFE">
      <w:pPr>
        <w:pStyle w:val="berschrift6"/>
      </w:pPr>
      <w:bookmarkStart w:id="908" w:name="_Toc523926431"/>
      <w:r>
        <w:t>§ 12 Ruhezeiten</w:t>
      </w:r>
      <w:bookmarkEnd w:id="9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Mitarbeiter müssen nach Beendigung der täglichen Arbeitszeit eine ununterbrochene Ruhezeit von mindestens elf Stunden haben.</w:t>
      </w:r>
    </w:p>
    <w:p w:rsidR="00BE1EFE" w:rsidRPr="000B1AF8" w:rsidRDefault="00BE1EFE">
      <w:pPr>
        <w:pStyle w:val="StandardWeb"/>
      </w:pPr>
    </w:p>
    <w:p w:rsidR="00BE1EFE" w:rsidRDefault="00BE1EFE">
      <w:pPr>
        <w:pStyle w:val="StandardWeb"/>
      </w:pPr>
      <w:r>
        <w:t>(2) </w:t>
      </w:r>
      <w:r>
        <w:rPr>
          <w:rStyle w:val="kleinschrift"/>
        </w:rPr>
        <w:t>1</w:t>
      </w:r>
      <w:r>
        <w:t xml:space="preserve">Die Dauer der Ruhezeit kann bis zu achtmal im Kalenderjahr um bis zu zwei Stunden verkürzt werden, wenn dies wegen der zeitlichen Lage der liturgischen Handlungen, an denen der Mitarbeiter mitwirkt, oder wegen dringender dienstlicher oder betrieblicher Gründe erforderlich ist und wenn diese Verkürzungen innerhalb von vier Wochen durch Verlängerung einer anderen Ruhezeit auf mindestens zwölf Stunden ausgeglichen wird. </w:t>
      </w:r>
      <w:r>
        <w:rPr>
          <w:rStyle w:val="kleinschrift"/>
        </w:rPr>
        <w:t>2</w:t>
      </w:r>
      <w:r>
        <w:t>Die Kürzung der Ruhezeit darf nicht öfter als an zwei aufeinander folgenden Tagen erfolgen.</w:t>
      </w:r>
    </w:p>
    <w:p w:rsidR="00BE1EFE" w:rsidRDefault="00BE1EFE">
      <w:pPr>
        <w:pStyle w:val="StandardWeb"/>
      </w:pPr>
    </w:p>
    <w:p w:rsidR="00BE1EFE" w:rsidRDefault="00BE1EFE">
      <w:pPr>
        <w:pStyle w:val="StandardWeb"/>
      </w:pPr>
      <w:r>
        <w:t>(3) Von Karsamstag auf Ostersonntag und vom 24. Dezember auf 25. Dezember kann aus dienstlichen Gründen von den Ruhezeitregelungen der Absätze 1 und 2 abgewichen werden.</w:t>
      </w:r>
    </w:p>
    <w:p w:rsidR="00BE1EFE" w:rsidRDefault="00BE1EFE">
      <w:pPr>
        <w:pStyle w:val="StandardWeb"/>
      </w:pPr>
    </w:p>
    <w:p w:rsidR="00BE1EFE" w:rsidRDefault="00BE1EFE">
      <w:pPr>
        <w:pStyle w:val="berschrift6"/>
      </w:pPr>
      <w:bookmarkStart w:id="909" w:name="_Toc523926432"/>
      <w:r>
        <w:lastRenderedPageBreak/>
        <w:t>§ 13 Arbeit an Sonn- und Feiertagen</w:t>
      </w:r>
      <w:bookmarkEnd w:id="9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An Sonn- und Feiertagen dürfen Mitarbeiter nur zu Tätigkeiten gemäß </w:t>
      </w:r>
      <w:hyperlink r:id="rId1178" w:history="1">
        <w:r w:rsidRPr="002D1F1D">
          <w:rPr>
            <w:rStyle w:val="Hyperlink"/>
          </w:rPr>
          <w:t>§ 10 Absatz 1</w:t>
        </w:r>
      </w:hyperlink>
      <w:r>
        <w:t xml:space="preserve"> oder aus damit in Zusammenhang stehenden Gründen herangezogen werden.</w:t>
      </w:r>
    </w:p>
    <w:p w:rsidR="00BE1EFE" w:rsidRPr="000B1AF8" w:rsidRDefault="00BE1EFE">
      <w:pPr>
        <w:pStyle w:val="StandardWeb"/>
      </w:pPr>
    </w:p>
    <w:p w:rsidR="00BE1EFE" w:rsidRDefault="00BE1EFE">
      <w:pPr>
        <w:pStyle w:val="StandardWeb"/>
      </w:pPr>
      <w:r>
        <w:t>(2) </w:t>
      </w:r>
      <w:r>
        <w:rPr>
          <w:rStyle w:val="kleinschrift"/>
        </w:rPr>
        <w:t>1</w:t>
      </w:r>
      <w:r>
        <w:t xml:space="preserve">Für den am Ostersonntag und Pfingstsonntag geleisteten Dienst wird dem Mitarbeiter jeweils ein arbeitsfreier Tag gewährt. </w:t>
      </w:r>
      <w:r>
        <w:rPr>
          <w:rStyle w:val="kleinschrift"/>
        </w:rPr>
        <w:t>2</w:t>
      </w:r>
      <w:r>
        <w:t>Der arbeitsfreie Tag darf nicht auf einen gesetzlichen Feiertag gelegt werden.</w:t>
      </w:r>
    </w:p>
    <w:p w:rsidR="00BE1EFE" w:rsidRDefault="00BE1EFE">
      <w:pPr>
        <w:pStyle w:val="StandardWeb"/>
      </w:pPr>
    </w:p>
    <w:p w:rsidR="00BE1EFE" w:rsidRDefault="00BE1EFE">
      <w:pPr>
        <w:pStyle w:val="StandardWeb"/>
      </w:pPr>
      <w:r>
        <w:t>(3) Die geleisteten Arbeitsstunden an einem gesetzlichen Feiertag oder an einem betriebs</w:t>
      </w:r>
      <w:r>
        <w:softHyphen/>
        <w:t>üblich arbeitsfreien Tag sind durch eine entsprechende zusammenhängende Freizeit an einem Arbeitstag innerhalb eines Ausgleichszeitraums von acht Wochen auszugleichen.</w:t>
      </w:r>
    </w:p>
    <w:p w:rsidR="00BE1EFE" w:rsidRDefault="00BE1EFE">
      <w:pPr>
        <w:pStyle w:val="StandardWeb"/>
      </w:pPr>
    </w:p>
    <w:p w:rsidR="00BE1EFE" w:rsidRDefault="00BE1EFE">
      <w:pPr>
        <w:pStyle w:val="StandardWeb"/>
      </w:pPr>
      <w:r>
        <w:t>(4) </w:t>
      </w:r>
      <w:r>
        <w:rPr>
          <w:rStyle w:val="kleinschrift"/>
        </w:rPr>
        <w:t>1</w:t>
      </w:r>
      <w:r>
        <w:t xml:space="preserve">Wenn die angefallenen Ausgleichsstunden keinen vollen Tag ergeben, ist die wöchentliche Arbeitszeit so zu verteilen, dass der Mitarbeiter über einen ganzen freien Tag verfügen kann. </w:t>
      </w:r>
      <w:r>
        <w:rPr>
          <w:rStyle w:val="kleinschrift"/>
        </w:rPr>
        <w:t>2</w:t>
      </w:r>
      <w:r>
        <w:t>Zwei dieser Ausgleichstage können einmal im Kalenderjahr so zusammengefasst werden, dass ein Samstag mit dem darauffolgenden Sonntag arbeitsfrei ist.</w:t>
      </w:r>
    </w:p>
    <w:p w:rsidR="00BE1EFE" w:rsidRDefault="00BE1EFE">
      <w:pPr>
        <w:pStyle w:val="berschrift6"/>
      </w:pPr>
      <w:bookmarkStart w:id="910" w:name="_Toc523926433"/>
      <w:r>
        <w:t>§ 14 In-Kraft-Treten</w:t>
      </w:r>
      <w:bookmarkEnd w:id="910"/>
    </w:p>
    <w:p w:rsidR="00BE1EFE" w:rsidRPr="00B76821" w:rsidRDefault="00BE1EFE" w:rsidP="00B76821">
      <w:pPr>
        <w:pStyle w:val="h7"/>
        <w:keepNext w:val="0"/>
        <w:spacing w:before="0" w:after="0"/>
        <w:jc w:val="left"/>
        <w:outlineLvl w:val="5"/>
        <w:rPr>
          <w:sz w:val="2"/>
        </w:rPr>
      </w:pPr>
    </w:p>
    <w:p w:rsidR="00BE1EFE" w:rsidRDefault="00BE1EFE">
      <w:pPr>
        <w:pStyle w:val="StandardWeb"/>
      </w:pPr>
      <w:r>
        <w:t>Diese Ordnung tritt zum 01.05.1997 in Kraft.</w:t>
      </w:r>
    </w:p>
    <w:p w:rsidR="00BE1EFE" w:rsidRPr="000B1AF8" w:rsidRDefault="00BE1EFE">
      <w:pPr>
        <w:pStyle w:val="StandardWeb"/>
      </w:pPr>
      <w:r>
        <w:br w:type="page"/>
      </w:r>
    </w:p>
    <w:p w:rsidR="00BE1EFE" w:rsidRDefault="00BE1EFE" w:rsidP="00A045C0">
      <w:pPr>
        <w:pStyle w:val="berschrift4"/>
        <w:spacing w:before="0"/>
      </w:pPr>
      <w:bookmarkStart w:id="911" w:name="_Toc523926434"/>
      <w:r>
        <w:lastRenderedPageBreak/>
        <w:t>D, 4. Arbeitszeitkontenregelung</w:t>
      </w:r>
      <w:bookmarkEnd w:id="911"/>
    </w:p>
    <w:p w:rsidR="00BE1EFE" w:rsidRDefault="00BE1EFE" w:rsidP="0023154F">
      <w:pPr>
        <w:pStyle w:val="berschrift5"/>
      </w:pPr>
      <w:bookmarkStart w:id="912" w:name="_Toc453678033"/>
      <w:bookmarkStart w:id="913" w:name="_Toc523926435"/>
      <w:r>
        <w:t>Präambel</w:t>
      </w:r>
      <w:bookmarkEnd w:id="912"/>
      <w:bookmarkEnd w:id="913"/>
    </w:p>
    <w:p w:rsidR="00BE1EFE" w:rsidRPr="00B76821" w:rsidRDefault="00BE1EFE" w:rsidP="00B76821">
      <w:pPr>
        <w:pStyle w:val="berschrift6"/>
        <w:keepNext w:val="0"/>
        <w:spacing w:before="0" w:after="0"/>
        <w:rPr>
          <w:rStyle w:val="kleinschrift"/>
          <w:sz w:val="2"/>
        </w:rPr>
      </w:pPr>
    </w:p>
    <w:p w:rsidR="00BE1EFE" w:rsidRDefault="00BE1EFE" w:rsidP="0023154F">
      <w:pPr>
        <w:pStyle w:val="berschrift6"/>
        <w:spacing w:before="0" w:after="0"/>
        <w:rPr>
          <w:rStyle w:val="kleinschrift"/>
          <w:sz w:val="2"/>
        </w:rPr>
      </w:pPr>
    </w:p>
    <w:p w:rsidR="00BE1EFE" w:rsidRPr="00B76821" w:rsidRDefault="00BE1EFE" w:rsidP="00B76821">
      <w:pPr>
        <w:pStyle w:val="h7"/>
        <w:keepNext w:val="0"/>
        <w:spacing w:before="0" w:after="0"/>
        <w:jc w:val="left"/>
        <w:outlineLvl w:val="5"/>
        <w:rPr>
          <w:rStyle w:val="kleinschrift"/>
          <w:sz w:val="2"/>
        </w:rPr>
      </w:pPr>
    </w:p>
    <w:p w:rsidR="00BE1EFE" w:rsidRDefault="00BE1EFE" w:rsidP="0023154F">
      <w:pPr>
        <w:pStyle w:val="berschrift6"/>
        <w:spacing w:before="0" w:after="0"/>
        <w:rPr>
          <w:rStyle w:val="kleinschrift"/>
          <w:sz w:val="2"/>
        </w:rPr>
      </w:pPr>
    </w:p>
    <w:p w:rsidR="00BE1EFE" w:rsidRPr="00B76821" w:rsidRDefault="00BE1EFE" w:rsidP="00B76821">
      <w:pPr>
        <w:pStyle w:val="h7"/>
        <w:keepNext w:val="0"/>
        <w:spacing w:before="0" w:after="0"/>
        <w:jc w:val="left"/>
        <w:outlineLvl w:val="5"/>
        <w:rPr>
          <w:rStyle w:val="kleinschrift"/>
          <w:sz w:val="2"/>
        </w:rPr>
      </w:pPr>
    </w:p>
    <w:p w:rsidR="00BE1EFE" w:rsidRDefault="00BE1EFE" w:rsidP="0023154F">
      <w:pPr>
        <w:pStyle w:val="h7"/>
        <w:spacing w:before="0" w:after="0"/>
        <w:jc w:val="left"/>
        <w:outlineLvl w:val="5"/>
        <w:rPr>
          <w:rStyle w:val="kleinschrift"/>
          <w:sz w:val="2"/>
        </w:rPr>
      </w:pPr>
    </w:p>
    <w:p w:rsidR="00BE1EFE" w:rsidRPr="00B76821" w:rsidRDefault="00BE1EFE" w:rsidP="00B76821">
      <w:pPr>
        <w:pStyle w:val="h8"/>
        <w:keepNext w:val="0"/>
        <w:spacing w:before="0" w:after="0"/>
        <w:outlineLvl w:val="5"/>
        <w:rPr>
          <w:rStyle w:val="kleinschrift"/>
          <w:sz w:val="2"/>
        </w:rPr>
      </w:pPr>
    </w:p>
    <w:p w:rsidR="00BE1EFE" w:rsidRDefault="00BE1EFE" w:rsidP="0023154F">
      <w:pPr>
        <w:pStyle w:val="StandardWeb"/>
      </w:pPr>
      <w:r>
        <w:rPr>
          <w:rStyle w:val="kleinschrift"/>
        </w:rPr>
        <w:t>1</w:t>
      </w:r>
      <w:r>
        <w:t xml:space="preserve">Bei der Arbeitszeitkontenregelung (AZKR) handelt es sich um eine – unter Berücksichtigung von diözesanen Gleitzeitregelungen – über </w:t>
      </w:r>
      <w:hyperlink r:id="rId1179" w:history="1">
        <w:r w:rsidRPr="002D1F1D">
          <w:rPr>
            <w:rStyle w:val="Hyperlink"/>
          </w:rPr>
          <w:t>§ 6 Teil A, 1.</w:t>
        </w:r>
      </w:hyperlink>
      <w:r>
        <w:t xml:space="preserve"> hinausgehende Regelung zur Flexibilisierung der Arbeitszeit in Form von Zeitgutschriften für erbrachte Arbeitsleistungen.</w:t>
      </w:r>
    </w:p>
    <w:p w:rsidR="00BE1EFE" w:rsidRDefault="00BE1EFE">
      <w:pPr>
        <w:pStyle w:val="StandardWeb"/>
      </w:pPr>
      <w:r>
        <w:rPr>
          <w:rStyle w:val="kleinschrift"/>
        </w:rPr>
        <w:t>2</w:t>
      </w:r>
      <w:r>
        <w:t>Zeitgutschriften können ausschließlich erfolgen</w:t>
      </w:r>
    </w:p>
    <w:p w:rsidR="00BE1EFE" w:rsidRDefault="00BE1EFE" w:rsidP="00033230">
      <w:pPr>
        <w:pStyle w:val="StandardWeb"/>
        <w:tabs>
          <w:tab w:val="left" w:pos="170"/>
          <w:tab w:val="left" w:pos="340"/>
        </w:tabs>
      </w:pPr>
      <w:r>
        <w:t xml:space="preserve">– als Ausgleich für Bereitschaftsdienst und Rufbereitschaft nach </w:t>
      </w:r>
      <w:hyperlink r:id="rId1180" w:history="1">
        <w:r w:rsidRPr="002D1F1D">
          <w:rPr>
            <w:rStyle w:val="Hyperlink"/>
          </w:rPr>
          <w:t>§ 7 Absatz 3</w:t>
        </w:r>
      </w:hyperlink>
      <w:r>
        <w:t xml:space="preserve"> und </w:t>
      </w:r>
      <w:hyperlink r:id="rId1181" w:history="1">
        <w:r w:rsidRPr="002D1F1D">
          <w:rPr>
            <w:rStyle w:val="Hyperlink"/>
          </w:rPr>
          <w:t>4 Teil A, 1.</w:t>
        </w:r>
      </w:hyperlink>
      <w:r>
        <w:t xml:space="preserve">, </w:t>
      </w:r>
      <w:r>
        <w:tab/>
        <w:t>soweit sie nicht in der regelmäßigen wöchentlichen Arbeitszeit berücksichtigt sind,</w:t>
      </w:r>
    </w:p>
    <w:p w:rsidR="00BE1EFE" w:rsidRDefault="00BE1EFE">
      <w:pPr>
        <w:pStyle w:val="StandardWeb"/>
      </w:pPr>
      <w:r>
        <w:t>– als Ausgleich für Mehrarbeit (</w:t>
      </w:r>
      <w:hyperlink r:id="rId1182" w:history="1">
        <w:r w:rsidRPr="002D1F1D">
          <w:rPr>
            <w:rStyle w:val="Hyperlink"/>
          </w:rPr>
          <w:t>§ 7 Absatz 6 Teil A, 1.</w:t>
        </w:r>
      </w:hyperlink>
      <w:r>
        <w:t>),</w:t>
      </w:r>
    </w:p>
    <w:p w:rsidR="00BE1EFE" w:rsidRDefault="00BE1EFE">
      <w:pPr>
        <w:pStyle w:val="StandardWeb"/>
      </w:pPr>
      <w:r>
        <w:t>– als Ausgleich für Überstunden (</w:t>
      </w:r>
      <w:hyperlink r:id="rId1183" w:history="1">
        <w:r w:rsidRPr="002D1F1D">
          <w:rPr>
            <w:rStyle w:val="Hyperlink"/>
          </w:rPr>
          <w:t>§ 7 Absatz 7 Teil A, 1.</w:t>
        </w:r>
      </w:hyperlink>
      <w:r>
        <w:t>),</w:t>
      </w:r>
    </w:p>
    <w:p w:rsidR="00BE1EFE" w:rsidRDefault="00BE1EFE">
      <w:pPr>
        <w:pStyle w:val="StandardWeb"/>
      </w:pPr>
      <w:r>
        <w:t>– als Abgeltung von Zeitzuschlägen (</w:t>
      </w:r>
      <w:hyperlink r:id="rId1184" w:history="1">
        <w:r w:rsidRPr="002D1F1D">
          <w:rPr>
            <w:rStyle w:val="Hyperlink"/>
          </w:rPr>
          <w:t>§ 8 Absatz 1 Teil A, 1.</w:t>
        </w:r>
      </w:hyperlink>
      <w:r>
        <w:t>),</w:t>
      </w:r>
    </w:p>
    <w:p w:rsidR="00BE1EFE" w:rsidRPr="000B1AF8" w:rsidRDefault="00BE1EFE" w:rsidP="00C13D3F">
      <w:pPr>
        <w:pStyle w:val="StandardWeb"/>
        <w:tabs>
          <w:tab w:val="left" w:pos="170"/>
        </w:tabs>
      </w:pPr>
      <w:r>
        <w:t xml:space="preserve">– für Urlaubstage, die den Anspruch nach dem </w:t>
      </w:r>
      <w:hyperlink r:id="rId1185" w:tgtFrame="_blank" w:history="1">
        <w:r>
          <w:rPr>
            <w:rStyle w:val="Hyperlink"/>
          </w:rPr>
          <w:t>Bundesurlaubsgesetz (BUrlG)</w:t>
        </w:r>
      </w:hyperlink>
      <w:r>
        <w:t xml:space="preserve"> übersteigen, </w:t>
      </w:r>
      <w:r>
        <w:tab/>
        <w:t>sofern der Arbeitgeber zustimmt.</w:t>
      </w:r>
    </w:p>
    <w:p w:rsidR="00BE1EFE" w:rsidRDefault="00BE1EFE">
      <w:pPr>
        <w:pStyle w:val="berschrift5"/>
      </w:pPr>
      <w:bookmarkStart w:id="914" w:name="_Toc523926436"/>
      <w:r>
        <w:t>§ 1 Geltungsbereich</w:t>
      </w:r>
      <w:bookmarkEnd w:id="914"/>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gilt für alle Beschäftigten im Geltungsbereich des ABD mit Ausnahme der Beschäftigten im Sinne des § 3 Absatz 2 Mitarbeitervertretungsordnung (MAVO) und der Auszubildenden und der Praktikantinnen/der Praktikanten.</w:t>
      </w:r>
    </w:p>
    <w:p w:rsidR="00BE1EFE" w:rsidRPr="000B1AF8" w:rsidRDefault="00BE1EFE">
      <w:pPr>
        <w:pStyle w:val="StandardWeb"/>
      </w:pPr>
    </w:p>
    <w:p w:rsidR="00BE1EFE" w:rsidRDefault="00BE1EFE">
      <w:pPr>
        <w:pStyle w:val="StandardWeb"/>
      </w:pPr>
      <w:r>
        <w:t xml:space="preserve">(2) Für Beschäftigte im pastoralen Dienst finden </w:t>
      </w:r>
      <w:hyperlink r:id="rId1186" w:history="1">
        <w:r w:rsidRPr="002D1F1D">
          <w:rPr>
            <w:rStyle w:val="Hyperlink"/>
          </w:rPr>
          <w:t>§ 6 Absatz 1, 3 erster Halbsatz</w:t>
        </w:r>
      </w:hyperlink>
      <w:r>
        <w:t xml:space="preserve"> und </w:t>
      </w:r>
      <w:hyperlink r:id="rId1187" w:history="1">
        <w:r w:rsidRPr="002D1F1D">
          <w:rPr>
            <w:rStyle w:val="Hyperlink"/>
          </w:rPr>
          <w:t>§ 7</w:t>
        </w:r>
      </w:hyperlink>
      <w:r>
        <w:t xml:space="preserve">, für Religionslehrerinnen/Religionslehrer im Kirchendienst </w:t>
      </w:r>
      <w:hyperlink r:id="rId1188" w:history="1">
        <w:r w:rsidRPr="002D1F1D">
          <w:rPr>
            <w:rStyle w:val="Hyperlink"/>
          </w:rPr>
          <w:t>§ 6 Absatz 1, 2, 3, 5</w:t>
        </w:r>
      </w:hyperlink>
      <w:r>
        <w:t xml:space="preserve"> und</w:t>
      </w:r>
      <w:hyperlink r:id="rId1189" w:history="1">
        <w:r w:rsidRPr="002D1F1D">
          <w:rPr>
            <w:rStyle w:val="Hyperlink"/>
          </w:rPr>
          <w:t xml:space="preserve"> § 7</w:t>
        </w:r>
      </w:hyperlink>
      <w:r>
        <w:t xml:space="preserve"> keine Anwendung.</w:t>
      </w:r>
    </w:p>
    <w:p w:rsidR="00BE1EFE" w:rsidRDefault="00BE1EFE">
      <w:pPr>
        <w:pStyle w:val="berschrift5"/>
      </w:pPr>
      <w:bookmarkStart w:id="915" w:name="_Toc523926437"/>
      <w:r>
        <w:t>§ 2 Antragstellung</w:t>
      </w:r>
      <w:bookmarkEnd w:id="91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Beschäftigte können ein Arbeitszeitkonto schriftlich beantragen. </w:t>
      </w:r>
      <w:r>
        <w:rPr>
          <w:rStyle w:val="kleinschrift"/>
        </w:rPr>
        <w:t>2</w:t>
      </w:r>
      <w:r>
        <w:t>Der/dem Beschäftigten ist die Einrichtung des Arbeitszeitkontos durch den Arbeitgeber zu gewähren, soweit nicht dringende dienstliche bzw. einrichtungsspezifische Gründe entgegenstehen.</w:t>
      </w:r>
    </w:p>
    <w:p w:rsidR="00BE1EFE" w:rsidRDefault="00BE1EFE">
      <w:pPr>
        <w:pStyle w:val="berschrift5"/>
      </w:pPr>
      <w:bookmarkStart w:id="916" w:name="_Toc523926438"/>
      <w:r>
        <w:t>§ 3 Arbeitszeitnachweis</w:t>
      </w:r>
      <w:bookmarkEnd w:id="916"/>
    </w:p>
    <w:p w:rsidR="00BE1EFE" w:rsidRPr="00B76821" w:rsidRDefault="00BE1EFE" w:rsidP="00B76821">
      <w:pPr>
        <w:pStyle w:val="berschrift6"/>
        <w:keepNext w:val="0"/>
        <w:spacing w:before="0" w:after="0"/>
        <w:rPr>
          <w:sz w:val="2"/>
        </w:rPr>
      </w:pPr>
    </w:p>
    <w:p w:rsidR="00BE1EFE" w:rsidRPr="000B1AF8" w:rsidRDefault="00BE1EFE">
      <w:pPr>
        <w:pStyle w:val="StandardWeb"/>
      </w:pPr>
      <w:r>
        <w:t>Mit der Einrichtung des Arbeitszeitkontos verpflichtet sich die/der Beschäftigte, einen schriftlichen Arbeitszeitnachweis zu führen.</w:t>
      </w:r>
    </w:p>
    <w:p w:rsidR="00BE1EFE" w:rsidRDefault="00BE1EFE">
      <w:pPr>
        <w:pStyle w:val="berschrift5"/>
      </w:pPr>
      <w:bookmarkStart w:id="917" w:name="_Toc523926439"/>
      <w:r>
        <w:t>§ 4 Regelmäßige durchschnittliche wöchentliche Arbeitszeit</w:t>
      </w:r>
      <w:bookmarkEnd w:id="917"/>
    </w:p>
    <w:p w:rsidR="00BE1EFE" w:rsidRPr="00B76821" w:rsidRDefault="00BE1EFE" w:rsidP="00B76821">
      <w:pPr>
        <w:pStyle w:val="berschrift6"/>
        <w:keepNext w:val="0"/>
        <w:spacing w:before="0" w:after="0"/>
        <w:rPr>
          <w:sz w:val="2"/>
        </w:rPr>
      </w:pPr>
    </w:p>
    <w:p w:rsidR="00BE1EFE" w:rsidRPr="000B1AF8" w:rsidRDefault="00BE1EFE">
      <w:pPr>
        <w:pStyle w:val="StandardWeb"/>
      </w:pPr>
      <w:r>
        <w:t>Durch das Arbeitszeitkonto wird die arbeitsvertraglich vereinbarte Arbeitszeit der/des Beschäftigten nicht berührt.</w:t>
      </w:r>
    </w:p>
    <w:p w:rsidR="00BE1EFE" w:rsidRDefault="00BE1EFE">
      <w:pPr>
        <w:pStyle w:val="berschrift5"/>
      </w:pPr>
      <w:bookmarkStart w:id="918" w:name="_Toc523926440"/>
      <w:r>
        <w:lastRenderedPageBreak/>
        <w:t>§ 5 Arbeitszeitkonto</w:t>
      </w:r>
      <w:bookmarkEnd w:id="91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Für die Beschäftigten, die das Arbeitszeitkonto in Anspruch nehmen, wird vom Arbeitgeber ein Konto über den Arbeitszeitausgleich geführt. </w:t>
      </w:r>
      <w:r>
        <w:rPr>
          <w:rStyle w:val="kleinschrift"/>
        </w:rPr>
        <w:t>2</w:t>
      </w:r>
      <w:r>
        <w:t>Beim Aufbau des Arbeitszeitkontos ist das Arbeitszeitgesetz und die Kirchliche Arbeitszeitordnung (KAZO) zu beachten.</w:t>
      </w:r>
    </w:p>
    <w:p w:rsidR="00BE1EFE" w:rsidRDefault="00BE1EFE">
      <w:pPr>
        <w:pStyle w:val="berschrift5"/>
      </w:pPr>
      <w:bookmarkStart w:id="919" w:name="_Toc523926441"/>
      <w:r>
        <w:t>§ 6 Anrechenbare Zeiten</w:t>
      </w:r>
      <w:bookmarkEnd w:id="919"/>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Dem Arbeitszeitkonto einer/eines vollbeschäftigt Beschäftigten werden die geleisteten Überstunden </w:t>
      </w:r>
      <w:hyperlink r:id="rId1190" w:history="1">
        <w:r w:rsidRPr="002D1F1D">
          <w:rPr>
            <w:rStyle w:val="Hyperlink"/>
          </w:rPr>
          <w:t>(§ 7 Absatz 7 Teil A, 1.)</w:t>
        </w:r>
      </w:hyperlink>
      <w:r>
        <w:t xml:space="preserve"> gutgeschrieben, sofern kein Zeitausgleich erfolgt. </w:t>
      </w:r>
      <w:r>
        <w:rPr>
          <w:rStyle w:val="kleinschrift"/>
        </w:rPr>
        <w:t>2</w:t>
      </w:r>
      <w:r>
        <w:t>Zeitzuschläge für geleistete volle Überstunden werden dem Arbeitszeitkonto gutgeschrieben.</w:t>
      </w:r>
    </w:p>
    <w:p w:rsidR="00BE1EFE" w:rsidRPr="000B1AF8" w:rsidRDefault="00BE1EFE">
      <w:pPr>
        <w:pStyle w:val="StandardWeb"/>
      </w:pPr>
      <w:r>
        <w:rPr>
          <w:rStyle w:val="kleinschrift"/>
        </w:rPr>
        <w:t>3</w:t>
      </w:r>
      <w:r>
        <w:t xml:space="preserve">Bei teilzeitbeschäftigt Beschäftigten werden die angeordneten und geleisteten Mehrarbeitsstunden </w:t>
      </w:r>
      <w:hyperlink r:id="rId1191" w:history="1">
        <w:r w:rsidRPr="002D1F1D">
          <w:rPr>
            <w:rStyle w:val="Hyperlink"/>
          </w:rPr>
          <w:t>(§ 7 Absatz 6 Teil A, 1.)</w:t>
        </w:r>
      </w:hyperlink>
      <w:r w:rsidRPr="002D1F1D">
        <w:t xml:space="preserve"> </w:t>
      </w:r>
      <w:r>
        <w:t xml:space="preserve">dem Arbeitszeitkonto gutgeschrieben, sofern kein Zeitausgleich erfolgt. </w:t>
      </w:r>
      <w:r>
        <w:rPr>
          <w:rStyle w:val="kleinschrift"/>
        </w:rPr>
        <w:t>4</w:t>
      </w:r>
      <w:r>
        <w:t xml:space="preserve">Für den Ausgleich ist ein Zeitraum von einem Jahr nach Ableistung der Arbeit zugrunde zu legen. </w:t>
      </w:r>
      <w:r>
        <w:rPr>
          <w:rStyle w:val="kleinschrift"/>
        </w:rPr>
        <w:t>5</w:t>
      </w:r>
      <w:r>
        <w:t>In Einrichtungen bestehende Gleitzeitregelungen werden durch die AZKR grundsätzlich nicht berührt.</w:t>
      </w:r>
    </w:p>
    <w:p w:rsidR="00BE1EFE" w:rsidRPr="000B1AF8" w:rsidRDefault="00BE1EFE">
      <w:pPr>
        <w:pStyle w:val="StandardWeb"/>
      </w:pPr>
    </w:p>
    <w:p w:rsidR="00BE1EFE" w:rsidRDefault="00BE1EFE">
      <w:pPr>
        <w:pStyle w:val="StandardWeb"/>
      </w:pPr>
      <w:r>
        <w:t>(2) </w:t>
      </w:r>
      <w:r>
        <w:rPr>
          <w:rStyle w:val="kleinschrift"/>
        </w:rPr>
        <w:t>1</w:t>
      </w:r>
      <w:r>
        <w:t xml:space="preserve">Dem Arbeitszeitkonto können mit Zustimmung des Arbeitgebers die der/dem Beschäftigten nach </w:t>
      </w:r>
      <w:hyperlink r:id="rId1192" w:history="1">
        <w:r w:rsidRPr="002D1F1D">
          <w:rPr>
            <w:rStyle w:val="Hyperlink"/>
          </w:rPr>
          <w:t>§ 26 Absatz 1 Teil A, 1.</w:t>
        </w:r>
      </w:hyperlink>
      <w:r>
        <w:t xml:space="preserve"> zustehenden Urlaubstage gutgeschrieben werden, soweit sie bis zum letzten in </w:t>
      </w:r>
      <w:hyperlink r:id="rId1193" w:history="1">
        <w:r w:rsidRPr="002D1F1D">
          <w:rPr>
            <w:rStyle w:val="Hyperlink"/>
          </w:rPr>
          <w:t>§ 26 Absatz 2 a Teil A, 1.</w:t>
        </w:r>
      </w:hyperlink>
      <w:r>
        <w:t xml:space="preserve"> genannten Termin nicht in Anspruch genommen werden konnten; dies gilt nicht für Urlaubsansprüche nach dem BUrlG. </w:t>
      </w:r>
      <w:r>
        <w:rPr>
          <w:rStyle w:val="kleinschrift"/>
        </w:rPr>
        <w:t>2</w:t>
      </w:r>
      <w:r>
        <w:t xml:space="preserve">Die Urlaubstage sind dabei in Stunden umzuwandeln. </w:t>
      </w:r>
      <w:r>
        <w:rPr>
          <w:rStyle w:val="kleinschrift"/>
        </w:rPr>
        <w:t>3</w:t>
      </w:r>
      <w:r>
        <w:t>Die urlaubsrechtlichen Verfallsfristen des ABD finden in diesem Fall keine Anwendung.</w:t>
      </w:r>
    </w:p>
    <w:p w:rsidR="00BE1EFE" w:rsidRDefault="00BE1EFE">
      <w:pPr>
        <w:pStyle w:val="StandardWeb"/>
      </w:pPr>
    </w:p>
    <w:p w:rsidR="00BE1EFE" w:rsidRDefault="00BE1EFE">
      <w:pPr>
        <w:pStyle w:val="StandardWeb"/>
      </w:pPr>
      <w:r>
        <w:t xml:space="preserve">(3) Zuschläge für Arbeit zu besonderen Zeiten </w:t>
      </w:r>
      <w:hyperlink r:id="rId1194" w:history="1">
        <w:r w:rsidRPr="002D1F1D">
          <w:rPr>
            <w:rStyle w:val="Hyperlink"/>
          </w:rPr>
          <w:t>(§ 7)</w:t>
        </w:r>
      </w:hyperlink>
      <w:r>
        <w:t xml:space="preserve"> sowie Bereitschaftsdienst und Rufbereitschaft </w:t>
      </w:r>
      <w:hyperlink r:id="rId1195" w:history="1">
        <w:r w:rsidRPr="002D1F1D">
          <w:rPr>
            <w:rStyle w:val="Hyperlink"/>
          </w:rPr>
          <w:t>(§ 8)</w:t>
        </w:r>
      </w:hyperlink>
      <w:r>
        <w:t xml:space="preserve"> werden dem Arbeitszeitkonto gutgeschrieben.</w:t>
      </w:r>
    </w:p>
    <w:p w:rsidR="00BE1EFE" w:rsidRDefault="00BE1EFE">
      <w:pPr>
        <w:pStyle w:val="StandardWeb"/>
      </w:pPr>
    </w:p>
    <w:p w:rsidR="00BE1EFE" w:rsidRDefault="00BE1EFE">
      <w:pPr>
        <w:pStyle w:val="StandardWeb"/>
      </w:pPr>
      <w:r>
        <w:t>(4) </w:t>
      </w:r>
      <w:r>
        <w:rPr>
          <w:rStyle w:val="kleinschrift"/>
        </w:rPr>
        <w:t>1</w:t>
      </w:r>
      <w:r>
        <w:t xml:space="preserve">Für Religionslehrerinnen/Religionslehrer im Kirchendienst können Wochenstunden gem. </w:t>
      </w:r>
      <w:hyperlink r:id="rId1196" w:history="1">
        <w:r w:rsidRPr="002D1F1D">
          <w:rPr>
            <w:rStyle w:val="Hyperlink"/>
          </w:rPr>
          <w:t>§ 7 Absatz 2</w:t>
        </w:r>
      </w:hyperlink>
      <w:r>
        <w:t xml:space="preserve"> der vorläufigen Entgeltordnung für Religionslehrerinnen und Religionslehrer im Kirchendienst, Jahreswochenstunden sowie einzeln anfallende Wochenstunden einem Arbeitszeitkonto gutgeschrieben werden. </w:t>
      </w:r>
      <w:r>
        <w:rPr>
          <w:rStyle w:val="kleinschrift"/>
        </w:rPr>
        <w:t>2</w:t>
      </w:r>
      <w:r>
        <w:t>Aus organisatorischen Gründen kann der Abbau des Arbeitszeitkontos in der Regel nur innerhalb eines ganzen Schuljahres erfolgen (d. h. es müssen mindestens 40 Stunden auf dem Konto vorhanden sein).</w:t>
      </w:r>
    </w:p>
    <w:p w:rsidR="00BE1EFE" w:rsidRDefault="00BE1EFE">
      <w:pPr>
        <w:pStyle w:val="StandardWeb"/>
      </w:pPr>
    </w:p>
    <w:p w:rsidR="00BE1EFE" w:rsidRDefault="00BE1EFE">
      <w:pPr>
        <w:pStyle w:val="StandardWeb"/>
      </w:pPr>
      <w:r>
        <w:t>(5) </w:t>
      </w:r>
      <w:r>
        <w:rPr>
          <w:rStyle w:val="kleinschrift"/>
        </w:rPr>
        <w:t>1</w:t>
      </w:r>
      <w:r>
        <w:t xml:space="preserve">Dem Arbeitszeitkonto für Beschäftigte im pastoralen Dienst werden die Stunden gutgeschrieben, die aufgrund einer ausdrücklichen schriftlichen Anweisung durch den Arbeitgeber über das Maß der mit ihm vereinbarten regelmäßigen Arbeitszeit hinaus zur Erfüllung zusätzlicher Aufgaben geleistet werden und die nicht durch Arbeitsbefreiung ausgeglichen werden können. </w:t>
      </w:r>
      <w:r>
        <w:rPr>
          <w:rStyle w:val="kleinschrift"/>
        </w:rPr>
        <w:t>2</w:t>
      </w:r>
      <w:r>
        <w:t>Die Zeitgutschrift ist pauschal festzulegen.</w:t>
      </w:r>
    </w:p>
    <w:p w:rsidR="00BE1EFE" w:rsidRDefault="00BE1EFE">
      <w:pPr>
        <w:pStyle w:val="berschrift5"/>
      </w:pPr>
      <w:bookmarkStart w:id="920" w:name="_Toc523926442"/>
      <w:r>
        <w:t>§ 7 Ausgleich für Sonderformen der Arbeit</w:t>
      </w:r>
      <w:bookmarkEnd w:id="920"/>
    </w:p>
    <w:p w:rsidR="00BE1EFE" w:rsidRPr="00B76821" w:rsidRDefault="00BE1EFE" w:rsidP="00B76821">
      <w:pPr>
        <w:pStyle w:val="berschrift6"/>
        <w:keepNext w:val="0"/>
        <w:spacing w:before="0" w:after="0"/>
        <w:rPr>
          <w:sz w:val="2"/>
        </w:rPr>
      </w:pPr>
    </w:p>
    <w:p w:rsidR="00BE1EFE" w:rsidRDefault="00BE1EFE">
      <w:pPr>
        <w:pStyle w:val="StandardWeb"/>
      </w:pPr>
      <w:r>
        <w:t xml:space="preserve">Die Zeitgutschriften werden wie folgt berücksichtigt: </w:t>
      </w:r>
    </w:p>
    <w:p w:rsidR="00BE1EFE" w:rsidRDefault="00BE1EFE">
      <w:pPr>
        <w:pStyle w:val="StandardWeb"/>
      </w:pPr>
      <w:r>
        <w:t>für Überstunden</w:t>
      </w:r>
    </w:p>
    <w:p w:rsidR="00BE1EFE" w:rsidRPr="000B1AF8" w:rsidRDefault="00BE1EFE">
      <w:pPr>
        <w:pStyle w:val="StandardWeb"/>
      </w:pPr>
    </w:p>
    <w:tbl>
      <w:tblPr>
        <w:tblW w:w="5000" w:type="pct"/>
        <w:tblCellMar>
          <w:left w:w="0" w:type="dxa"/>
          <w:right w:w="0" w:type="dxa"/>
        </w:tblCellMar>
        <w:tblLook w:val="04A0" w:firstRow="1" w:lastRow="0" w:firstColumn="1" w:lastColumn="0" w:noHBand="0" w:noVBand="1"/>
      </w:tblPr>
      <w:tblGrid>
        <w:gridCol w:w="4049"/>
        <w:gridCol w:w="2858"/>
      </w:tblGrid>
      <w:tr w:rsidR="00BE1EFE">
        <w:tc>
          <w:tcPr>
            <w:tcW w:w="5353" w:type="dxa"/>
            <w:tcMar>
              <w:top w:w="0" w:type="dxa"/>
              <w:left w:w="108" w:type="dxa"/>
              <w:bottom w:w="0" w:type="dxa"/>
              <w:right w:w="108" w:type="dxa"/>
            </w:tcMar>
            <w:hideMark/>
          </w:tcPr>
          <w:p w:rsidR="00BE1EFE" w:rsidRPr="000B1AF8" w:rsidRDefault="00BE1EFE">
            <w:pPr>
              <w:pStyle w:val="StandardWeb"/>
            </w:pPr>
            <w:r>
              <w:t>– in den Entgeltgruppen 1 bis 9:</w:t>
            </w:r>
          </w:p>
        </w:tc>
        <w:tc>
          <w:tcPr>
            <w:tcW w:w="3686" w:type="dxa"/>
            <w:tcMar>
              <w:top w:w="0" w:type="dxa"/>
              <w:left w:w="108" w:type="dxa"/>
              <w:bottom w:w="0" w:type="dxa"/>
              <w:right w:w="108" w:type="dxa"/>
            </w:tcMar>
            <w:hideMark/>
          </w:tcPr>
          <w:p w:rsidR="00BE1EFE" w:rsidRPr="000B1AF8" w:rsidRDefault="00BE1EFE">
            <w:pPr>
              <w:pStyle w:val="StandardWeb"/>
              <w:jc w:val="right"/>
            </w:pPr>
            <w:r>
              <w:t>20 Minuten,</w:t>
            </w:r>
          </w:p>
        </w:tc>
      </w:tr>
      <w:tr w:rsidR="00BE1EFE">
        <w:tc>
          <w:tcPr>
            <w:tcW w:w="5353" w:type="dxa"/>
            <w:tcMar>
              <w:top w:w="0" w:type="dxa"/>
              <w:left w:w="108" w:type="dxa"/>
              <w:bottom w:w="0" w:type="dxa"/>
              <w:right w:w="108" w:type="dxa"/>
            </w:tcMar>
            <w:hideMark/>
          </w:tcPr>
          <w:p w:rsidR="00BE1EFE" w:rsidRPr="000B1AF8" w:rsidRDefault="00BE1EFE" w:rsidP="003235AE">
            <w:pPr>
              <w:pStyle w:val="StandardWeb"/>
            </w:pPr>
            <w:r>
              <w:t>– in den Entgeltgruppen 10 bis 15:</w:t>
            </w:r>
          </w:p>
        </w:tc>
        <w:tc>
          <w:tcPr>
            <w:tcW w:w="3686" w:type="dxa"/>
            <w:tcMar>
              <w:top w:w="0" w:type="dxa"/>
              <w:left w:w="108" w:type="dxa"/>
              <w:bottom w:w="0" w:type="dxa"/>
              <w:right w:w="108" w:type="dxa"/>
            </w:tcMar>
            <w:hideMark/>
          </w:tcPr>
          <w:p w:rsidR="00BE1EFE" w:rsidRPr="000B1AF8" w:rsidRDefault="00BE1EFE">
            <w:pPr>
              <w:pStyle w:val="StandardWeb"/>
              <w:jc w:val="right"/>
            </w:pPr>
            <w:r>
              <w:t>10 Minuten,</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Sonntagen</w:t>
            </w:r>
          </w:p>
        </w:tc>
        <w:tc>
          <w:tcPr>
            <w:tcW w:w="3686" w:type="dxa"/>
            <w:tcMar>
              <w:top w:w="0" w:type="dxa"/>
              <w:left w:w="108" w:type="dxa"/>
              <w:bottom w:w="0" w:type="dxa"/>
              <w:right w:w="108" w:type="dxa"/>
            </w:tcMar>
            <w:hideMark/>
          </w:tcPr>
          <w:p w:rsidR="00BE1EFE" w:rsidRPr="000B1AF8" w:rsidRDefault="00BE1EFE">
            <w:pPr>
              <w:pStyle w:val="StandardWeb"/>
              <w:jc w:val="right"/>
            </w:pPr>
            <w:r>
              <w:t>15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gesetzlichen Feiertagen</w:t>
            </w:r>
          </w:p>
        </w:tc>
        <w:tc>
          <w:tcPr>
            <w:tcW w:w="3686" w:type="dxa"/>
            <w:tcMar>
              <w:top w:w="0" w:type="dxa"/>
              <w:left w:w="108" w:type="dxa"/>
              <w:bottom w:w="0" w:type="dxa"/>
              <w:right w:w="108" w:type="dxa"/>
            </w:tcMar>
            <w:hideMark/>
          </w:tcPr>
          <w:p w:rsidR="00BE1EFE" w:rsidRPr="000B1AF8" w:rsidRDefault="00BE1EFE">
            <w:pPr>
              <w:pStyle w:val="StandardWeb"/>
              <w:jc w:val="right"/>
            </w:pPr>
            <w:r>
              <w:t>20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lastRenderedPageBreak/>
              <w:t>für Nachtarbeit (21.00 Uhr - 06.00 Uhr)</w:t>
            </w:r>
          </w:p>
        </w:tc>
        <w:tc>
          <w:tcPr>
            <w:tcW w:w="3686" w:type="dxa"/>
            <w:tcMar>
              <w:top w:w="0" w:type="dxa"/>
              <w:left w:w="108" w:type="dxa"/>
              <w:bottom w:w="0" w:type="dxa"/>
              <w:right w:w="108" w:type="dxa"/>
            </w:tcMar>
            <w:hideMark/>
          </w:tcPr>
          <w:p w:rsidR="00BE1EFE" w:rsidRPr="000B1AF8" w:rsidRDefault="00BE1EFE">
            <w:pPr>
              <w:pStyle w:val="StandardWeb"/>
              <w:jc w:val="right"/>
            </w:pPr>
            <w:r>
              <w:t>12 Minuten je vollendete Stunde,</w:t>
            </w:r>
          </w:p>
        </w:tc>
      </w:tr>
      <w:tr w:rsidR="00BE1EFE">
        <w:tc>
          <w:tcPr>
            <w:tcW w:w="5353" w:type="dxa"/>
            <w:tcMar>
              <w:top w:w="0" w:type="dxa"/>
              <w:left w:w="108" w:type="dxa"/>
              <w:bottom w:w="0" w:type="dxa"/>
              <w:right w:w="108" w:type="dxa"/>
            </w:tcMar>
            <w:hideMark/>
          </w:tcPr>
          <w:p w:rsidR="00BE1EFE" w:rsidRPr="000B1AF8" w:rsidRDefault="00BE1EFE">
            <w:pPr>
              <w:pStyle w:val="StandardWeb"/>
            </w:pPr>
            <w:r>
              <w:t>für Arbeit an Samstagen (13.00 Uhr - 21.00 Uhr)</w:t>
            </w:r>
          </w:p>
        </w:tc>
        <w:tc>
          <w:tcPr>
            <w:tcW w:w="3686" w:type="dxa"/>
            <w:tcMar>
              <w:top w:w="0" w:type="dxa"/>
              <w:left w:w="108" w:type="dxa"/>
              <w:bottom w:w="0" w:type="dxa"/>
              <w:right w:w="108" w:type="dxa"/>
            </w:tcMar>
            <w:hideMark/>
          </w:tcPr>
          <w:p w:rsidR="00BE1EFE" w:rsidRPr="000B1AF8" w:rsidRDefault="00BE1EFE">
            <w:pPr>
              <w:pStyle w:val="StandardWeb"/>
              <w:jc w:val="right"/>
            </w:pPr>
            <w:r>
              <w:t>12 Minuten je vollendete Stunde.</w:t>
            </w:r>
          </w:p>
        </w:tc>
      </w:tr>
    </w:tbl>
    <w:p w:rsidR="00BE1EFE" w:rsidRDefault="00BE1EFE">
      <w:pPr>
        <w:pStyle w:val="berschrift5"/>
      </w:pPr>
      <w:bookmarkStart w:id="921" w:name="_Toc523926443"/>
      <w:r>
        <w:t>§ 8 Bereitschaftsdienst/Rufbereitschaft</w:t>
      </w:r>
      <w:bookmarkEnd w:id="921"/>
    </w:p>
    <w:p w:rsidR="00BE1EFE" w:rsidRPr="00B76821" w:rsidRDefault="00BE1EFE" w:rsidP="00B76821">
      <w:pPr>
        <w:pStyle w:val="berschrift6"/>
        <w:keepNext w:val="0"/>
        <w:spacing w:before="0" w:after="0"/>
        <w:rPr>
          <w:sz w:val="2"/>
        </w:rPr>
      </w:pPr>
    </w:p>
    <w:p w:rsidR="00BE1EFE" w:rsidRPr="002824F2" w:rsidRDefault="00BE1EFE" w:rsidP="00A17055">
      <w:pPr>
        <w:pStyle w:val="StandardWeb"/>
      </w:pPr>
      <w:r>
        <w:t>Bereitschaftsdienst und Zeiten der Rufbereitschaft werden entsprechend den in Teil A, 1. vorgegebenen Bestimmungen zeitlich berücksichtigt und dem Arbeitszeitkonto der/des Beschäftigten gutgeschrieben.</w:t>
      </w:r>
    </w:p>
    <w:p w:rsidR="00BE1EFE" w:rsidRDefault="00BE1EFE">
      <w:pPr>
        <w:pStyle w:val="berschrift5"/>
      </w:pPr>
      <w:bookmarkStart w:id="922" w:name="_Toc523926444"/>
      <w:r>
        <w:t>§ 9 Inanspruchnahme von Zeitguthaben</w:t>
      </w:r>
      <w:bookmarkEnd w:id="922"/>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Zeitentnahmen aus dem Arbeitszeitkonto müssen beim Arbeitgeber entsprechend den einrichtungsüblichen Urlaubsregelungen beantragt werden. </w:t>
      </w:r>
      <w:r>
        <w:rPr>
          <w:rStyle w:val="kleinschrift"/>
        </w:rPr>
        <w:t>2</w:t>
      </w:r>
      <w:r>
        <w:t xml:space="preserve">Die zeitliche Festlegung der Entnahme von Guthaben aus dem Arbeitszeitkonto hat zwischen der/dem Beschäftigten und dem Arbeitgeber im gegenseitigen Einvernehmen zu erfolgen. </w:t>
      </w:r>
      <w:r>
        <w:rPr>
          <w:rStyle w:val="kleinschrift"/>
        </w:rPr>
        <w:t>3</w:t>
      </w:r>
      <w:r>
        <w:t>Dabei sind die Wünsche der/des Beschäftigten zu berücksichtigen, es sei denn, dass ihrer Berücksichtigung dringende dienstliche Belange bzw. dringende einrichtungsspezifische Gründe oder Wünsche anderer Beschäftigter, die unter sozialen Gesichtspunkten den Vorrang verdienen, entgegenstehen.</w:t>
      </w:r>
    </w:p>
    <w:p w:rsidR="00BE1EFE" w:rsidRPr="000B1AF8" w:rsidRDefault="00BE1EFE">
      <w:pPr>
        <w:pStyle w:val="StandardWeb"/>
      </w:pPr>
      <w:r>
        <w:rPr>
          <w:rStyle w:val="kleinschrift"/>
        </w:rPr>
        <w:t>4</w:t>
      </w:r>
      <w:r>
        <w:t>Aus dringenden betrieblichen Gründen kann der Arbeitgeber den Abbau des Arbeitszeit</w:t>
      </w:r>
      <w:r>
        <w:softHyphen/>
        <w:t xml:space="preserve">kontos verlangen. </w:t>
      </w:r>
      <w:r>
        <w:rPr>
          <w:rStyle w:val="kleinschrift"/>
        </w:rPr>
        <w:t>5</w:t>
      </w:r>
      <w:r>
        <w:t>Der Abbau soll in gegenseitigem Einvernehmen erfolgen.</w:t>
      </w:r>
    </w:p>
    <w:p w:rsidR="00BE1EFE" w:rsidRDefault="00BE1EFE">
      <w:pPr>
        <w:pStyle w:val="berschrift5"/>
      </w:pPr>
      <w:bookmarkStart w:id="923" w:name="_Toc523926445"/>
      <w:r>
        <w:t>§ 10 Vereinbarung zum Arbeitsvertrag</w:t>
      </w:r>
      <w:bookmarkEnd w:id="923"/>
    </w:p>
    <w:p w:rsidR="00BE1EFE" w:rsidRPr="00B76821" w:rsidRDefault="00BE1EFE" w:rsidP="00B76821">
      <w:pPr>
        <w:pStyle w:val="berschrift6"/>
        <w:keepNext w:val="0"/>
        <w:spacing w:before="0" w:after="0"/>
        <w:rPr>
          <w:sz w:val="2"/>
        </w:rPr>
      </w:pPr>
    </w:p>
    <w:p w:rsidR="00BE1EFE" w:rsidRPr="000B1AF8" w:rsidRDefault="00BE1EFE">
      <w:pPr>
        <w:pStyle w:val="StandardWeb"/>
      </w:pPr>
      <w:r>
        <w:t>Beantragt die/der Beschäftigte ein Arbeitszeitkonto nach dieser Regelung für sein Arbeitsverhältnis zu übernehmen, so muss der Arbeitgeber mit ihr/ihm eine Vereinbarung nach beiliegendem Muster (</w:t>
      </w:r>
      <w:hyperlink r:id="rId1197" w:history="1">
        <w:r w:rsidRPr="002D1F1D">
          <w:rPr>
            <w:rStyle w:val="Hyperlink"/>
          </w:rPr>
          <w:t>Anlage</w:t>
        </w:r>
      </w:hyperlink>
      <w:r>
        <w:t>) schriftlich abschließen.</w:t>
      </w:r>
    </w:p>
    <w:p w:rsidR="00BE1EFE" w:rsidRDefault="00BE1EFE">
      <w:pPr>
        <w:pStyle w:val="berschrift5"/>
      </w:pPr>
      <w:bookmarkStart w:id="924" w:name="_Toc523926446"/>
      <w:r>
        <w:t>§ 11 Beschäftigungs-/Einrichtungswechsel/Ausscheiden</w:t>
      </w:r>
      <w:bookmarkEnd w:id="924"/>
    </w:p>
    <w:p w:rsidR="00BE1EFE" w:rsidRPr="00B76821" w:rsidRDefault="00BE1EFE" w:rsidP="00B76821">
      <w:pPr>
        <w:pStyle w:val="berschrift6"/>
        <w:keepNext w:val="0"/>
        <w:spacing w:before="0" w:after="0"/>
        <w:rPr>
          <w:sz w:val="2"/>
        </w:rPr>
      </w:pPr>
    </w:p>
    <w:p w:rsidR="00BE1EFE" w:rsidRPr="000B1AF8" w:rsidRDefault="00BE1EFE">
      <w:pPr>
        <w:pStyle w:val="StandardWeb"/>
      </w:pPr>
      <w:r>
        <w:t>(1) Wechselt eine Beschäftigte/ein Beschäftigter bei demselben Arbeitgeber in eine andere Beschäftigung bzw. Einrichtung und ist ihr/sein Arbeitszeitkonto zum Zeitpunkt des Wechsels noch nicht ausgeglichen, so ist das Zeitguthaben in Freizeit auszugleichen, notfalls abzugel</w:t>
      </w:r>
      <w:r>
        <w:softHyphen/>
        <w:t>ten, sofern nicht durch eine neue arbeitsvertragliche Vereinbarung anderes geregelt ist.</w:t>
      </w:r>
    </w:p>
    <w:p w:rsidR="00BE1EFE" w:rsidRPr="000B1AF8" w:rsidRDefault="00BE1EFE">
      <w:pPr>
        <w:pStyle w:val="StandardWeb"/>
      </w:pPr>
    </w:p>
    <w:p w:rsidR="00BE1EFE" w:rsidRDefault="00BE1EFE">
      <w:pPr>
        <w:pStyle w:val="StandardWeb"/>
      </w:pPr>
      <w:r>
        <w:t>(2) </w:t>
      </w:r>
      <w:r>
        <w:rPr>
          <w:rStyle w:val="kleinschrift"/>
        </w:rPr>
        <w:t>1</w:t>
      </w:r>
      <w:r>
        <w:t>Ab dem Zeitpunkt der Kündigung des Arbeitsverhältnisses muss die/der Beschäftigte nach Absprache mit dem Dienstvorgesetzten möglichst für einen Abbau ihrer/seiner Zeitgut</w:t>
      </w:r>
      <w:r>
        <w:softHyphen/>
        <w:t xml:space="preserve">haben sorgen. </w:t>
      </w:r>
      <w:r>
        <w:rPr>
          <w:rStyle w:val="kleinschrift"/>
        </w:rPr>
        <w:t>2</w:t>
      </w:r>
      <w:r>
        <w:t>Ein Abbau kann durch Anordnung des Arbeitgebers erfolgen.</w:t>
      </w:r>
    </w:p>
    <w:p w:rsidR="00BE1EFE" w:rsidRDefault="00BE1EFE">
      <w:pPr>
        <w:pStyle w:val="StandardWeb"/>
      </w:pPr>
      <w:r>
        <w:rPr>
          <w:rStyle w:val="kleinschrift"/>
        </w:rPr>
        <w:t>3</w:t>
      </w:r>
      <w:r>
        <w:t>Sind zum Zeitpunkt des Ausscheidens noch Zeitguthaben vorhanden, so werden diese abgegolten.</w:t>
      </w:r>
    </w:p>
    <w:p w:rsidR="00BE1EFE" w:rsidRDefault="00BE1EFE">
      <w:pPr>
        <w:pStyle w:val="StandardWeb"/>
      </w:pPr>
    </w:p>
    <w:p w:rsidR="00BE1EFE" w:rsidRDefault="00BE1EFE">
      <w:pPr>
        <w:pStyle w:val="StandardWeb"/>
      </w:pPr>
      <w:r>
        <w:t>(3) Absatz 2 gilt für befristete Arbeitsverhältnisse entsprechend.</w:t>
      </w:r>
    </w:p>
    <w:p w:rsidR="00BE1EFE" w:rsidRDefault="00BE1EFE">
      <w:pPr>
        <w:pStyle w:val="StandardWeb"/>
      </w:pPr>
    </w:p>
    <w:p w:rsidR="00BE1EFE" w:rsidRDefault="00BE1EFE">
      <w:pPr>
        <w:pStyle w:val="StandardWeb"/>
      </w:pPr>
    </w:p>
    <w:p w:rsidR="00BE1EFE" w:rsidRDefault="00BE1EFE">
      <w:pPr>
        <w:pStyle w:val="berschrift5"/>
      </w:pPr>
      <w:bookmarkStart w:id="925" w:name="_Toc523926447"/>
      <w:r>
        <w:lastRenderedPageBreak/>
        <w:t>§ 12 Beendigung/Überführung</w:t>
      </w:r>
      <w:bookmarkEnd w:id="925"/>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Bei Beendigung des Arbeitszeitkontos gemäß </w:t>
      </w:r>
      <w:r w:rsidRPr="00E318B0">
        <w:t>§ 15</w:t>
      </w:r>
      <w:r>
        <w:t xml:space="preserve"> sind die angesparten Zeiten auszugleichen.</w:t>
      </w:r>
    </w:p>
    <w:p w:rsidR="00BE1EFE" w:rsidRPr="000B1AF8" w:rsidRDefault="00BE1EFE">
      <w:pPr>
        <w:pStyle w:val="StandardWeb"/>
      </w:pPr>
    </w:p>
    <w:p w:rsidR="00BE1EFE" w:rsidRDefault="00BE1EFE">
      <w:pPr>
        <w:pStyle w:val="StandardWeb"/>
      </w:pPr>
      <w:r>
        <w:t>(2) </w:t>
      </w:r>
      <w:r>
        <w:rPr>
          <w:rStyle w:val="kleinschrift"/>
        </w:rPr>
        <w:t>1</w:t>
      </w:r>
      <w:r>
        <w:t xml:space="preserve">Wird das Arbeitszeitkonto in Folge des Ablaufs der Befristung bzw. durch Kündigung der Vereinbarung zum Arbeitsvertrag gemäß </w:t>
      </w:r>
      <w:r w:rsidRPr="00E318B0">
        <w:t>§ 10</w:t>
      </w:r>
      <w:r>
        <w:t xml:space="preserve"> geschlossen, so werden die angesparten Zeiten in das ursprüngliche Arbeitsverhältnis übernommen. </w:t>
      </w:r>
      <w:r>
        <w:rPr>
          <w:rStyle w:val="kleinschrift"/>
        </w:rPr>
        <w:t>2</w:t>
      </w:r>
      <w:r>
        <w:t>Dabei soll ein entsprechender Freizeit</w:t>
      </w:r>
      <w:r>
        <w:softHyphen/>
        <w:t>ausgleich innerhalb von zwei Jahren nach Schließung des Arbeitszeitkontos erfolgen.</w:t>
      </w:r>
    </w:p>
    <w:p w:rsidR="00BE1EFE" w:rsidRDefault="00BE1EFE">
      <w:pPr>
        <w:pStyle w:val="berschrift5"/>
      </w:pPr>
      <w:bookmarkStart w:id="926" w:name="_Toc523926448"/>
      <w:r>
        <w:t>§ 13 Todesfall</w:t>
      </w:r>
      <w:bookmarkEnd w:id="926"/>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Beim Tode einer/eines Beschäftigten werden die vorhandenen Zeitguthaben an die Hinterbliebenen abgegolten. </w:t>
      </w:r>
      <w:r>
        <w:rPr>
          <w:rStyle w:val="kleinschrift"/>
        </w:rPr>
        <w:t>2</w:t>
      </w:r>
      <w:r>
        <w:t xml:space="preserve">Die Abgeltung erfolgt an die Hinterbliebenen im Sinne des </w:t>
      </w:r>
      <w:r w:rsidRPr="00E318B0">
        <w:t>§ 23 Absatz 3 Teil A, 1.</w:t>
      </w:r>
    </w:p>
    <w:p w:rsidR="00BE1EFE" w:rsidRDefault="00BE1EFE">
      <w:pPr>
        <w:pStyle w:val="berschrift5"/>
      </w:pPr>
      <w:bookmarkStart w:id="927" w:name="_Toc523926449"/>
      <w:r>
        <w:t>§ 14 Abgeltung von Zeitguthaben</w:t>
      </w:r>
      <w:bookmarkEnd w:id="927"/>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 der Abgeltung findet eine Berechnung auf der Basis der Entgeltfortzahlung </w:t>
      </w:r>
      <w:r w:rsidRPr="00867625">
        <w:t>(§ 21 Teil A, 1.</w:t>
      </w:r>
      <w:r>
        <w:t xml:space="preserve">) statt. </w:t>
      </w:r>
      <w:r>
        <w:rPr>
          <w:rStyle w:val="kleinschrift"/>
        </w:rPr>
        <w:t>2</w:t>
      </w:r>
      <w:r>
        <w:t>Maßgeblich ist hierbei der Durchschnittsverdienst der letzten drei Kalendermonate vor Beendigung des Arbeitszeitkontos.</w:t>
      </w:r>
    </w:p>
    <w:p w:rsidR="00BE1EFE" w:rsidRDefault="00BE1EFE">
      <w:pPr>
        <w:pStyle w:val="berschrift5"/>
      </w:pPr>
      <w:bookmarkStart w:id="928" w:name="_Toc523926450"/>
      <w:r>
        <w:t>§ 15 Kündigung des Arbeitszeitkontos</w:t>
      </w:r>
      <w:bookmarkEnd w:id="928"/>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Beschäftigte können mit einer Frist von drei Monaten zum Monatsende die Führung des Arbeitszeitkontos kündigen, soweit nicht gemäß </w:t>
      </w:r>
      <w:r w:rsidRPr="00867625">
        <w:t>§ 10 Absatz 1 Satz 2 Teil A, 1.</w:t>
      </w:r>
      <w:r>
        <w:t xml:space="preserve"> das Arbeitszeitkonto zwingend einzurichten ist. </w:t>
      </w:r>
      <w:r>
        <w:rPr>
          <w:rStyle w:val="kleinschrift"/>
        </w:rPr>
        <w:t>2</w:t>
      </w:r>
      <w:r>
        <w:t>Arbeitgeber haben das Recht zur Kündigung gemäß Satz 1 nur, sofern dringende dienstliche bzw. einrichtungsspezifische Gründe vorliegen.</w:t>
      </w:r>
    </w:p>
    <w:p w:rsidR="00BE1EFE" w:rsidRPr="000B1AF8" w:rsidRDefault="00BE1EFE">
      <w:pPr>
        <w:pStyle w:val="StandardWeb"/>
      </w:pPr>
    </w:p>
    <w:p w:rsidR="00BE1EFE" w:rsidRDefault="00BE1EFE">
      <w:pPr>
        <w:pStyle w:val="StandardWeb"/>
      </w:pPr>
      <w:r>
        <w:t>(2) Ab dem Zeitpunkt der Kündigung können keine weiteren Zeitguthaben dem Arbeits</w:t>
      </w:r>
      <w:r>
        <w:softHyphen/>
        <w:t>zeitkonto zugeführt werden.</w:t>
      </w:r>
    </w:p>
    <w:p w:rsidR="00BE1EFE" w:rsidRDefault="00BE1EFE">
      <w:pPr>
        <w:pStyle w:val="berschrift5"/>
      </w:pPr>
      <w:bookmarkStart w:id="929" w:name="_Toc523926451"/>
      <w:r>
        <w:t>§ 16 Laufzeit</w:t>
      </w:r>
      <w:bookmarkEnd w:id="929"/>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ist befristet bis zum 31.08.2018.</w:t>
      </w:r>
    </w:p>
    <w:p w:rsidR="00BE1EFE" w:rsidRPr="000B1AF8" w:rsidRDefault="00BE1EFE">
      <w:pPr>
        <w:pStyle w:val="StandardWeb"/>
      </w:pPr>
    </w:p>
    <w:p w:rsidR="00BE1EFE" w:rsidRDefault="00BE1EFE">
      <w:pPr>
        <w:pStyle w:val="StandardWeb"/>
      </w:pPr>
      <w:r>
        <w:t>(2) Die Geltungsdauer verlängert sich um fünf Jahre, sofern nicht bis drei Monate vor Befristungsende die Bayerische Regional-KODA mit der Hälfte der Stimmberechtigten eine Beendigung verlangt.</w:t>
      </w:r>
    </w:p>
    <w:p w:rsidR="00BE1EFE" w:rsidRDefault="00BE1EFE">
      <w:pPr>
        <w:pStyle w:val="StandardWeb"/>
      </w:pPr>
    </w:p>
    <w:p w:rsidR="00BE1EFE" w:rsidRDefault="00BE1EFE">
      <w:pPr>
        <w:pStyle w:val="StandardWeb"/>
      </w:pPr>
      <w:r>
        <w:t>(3) Tritt diese Regelung außer Kraft, finden die Bestimmungen des öffentlichen Dienstes (TVöD-AT/Bund § 10) Anwendung.</w:t>
      </w:r>
    </w:p>
    <w:p w:rsidR="00BE1EFE" w:rsidRDefault="00BE1EFE">
      <w:pPr>
        <w:pStyle w:val="berschrift5"/>
      </w:pPr>
      <w:bookmarkStart w:id="930" w:name="_Toc523926452"/>
      <w:r>
        <w:lastRenderedPageBreak/>
        <w:t>Anlage</w:t>
      </w:r>
      <w:bookmarkEnd w:id="930"/>
    </w:p>
    <w:tbl>
      <w:tblPr>
        <w:tblW w:w="0" w:type="auto"/>
        <w:tblCellMar>
          <w:left w:w="0" w:type="dxa"/>
          <w:right w:w="0" w:type="dxa"/>
        </w:tblCellMar>
        <w:tblLook w:val="04A0" w:firstRow="1" w:lastRow="0" w:firstColumn="1" w:lastColumn="0" w:noHBand="0" w:noVBand="1"/>
      </w:tblPr>
      <w:tblGrid>
        <w:gridCol w:w="901"/>
        <w:gridCol w:w="352"/>
        <w:gridCol w:w="546"/>
        <w:gridCol w:w="760"/>
        <w:gridCol w:w="325"/>
        <w:gridCol w:w="1492"/>
        <w:gridCol w:w="902"/>
        <w:gridCol w:w="1629"/>
      </w:tblGrid>
      <w:tr w:rsidR="00BE1EFE" w:rsidTr="00280188">
        <w:tc>
          <w:tcPr>
            <w:tcW w:w="6907" w:type="dxa"/>
            <w:gridSpan w:val="8"/>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280188" w:rsidRDefault="00BE1EFE" w:rsidP="00E47263">
            <w:pPr>
              <w:pStyle w:val="StandardWeb"/>
              <w:jc w:val="center"/>
              <w:rPr>
                <w:b/>
              </w:rPr>
            </w:pPr>
            <w:r w:rsidRPr="00280188">
              <w:rPr>
                <w:b/>
              </w:rPr>
              <w:t>Ve</w:t>
            </w:r>
            <w:r>
              <w:rPr>
                <w:b/>
              </w:rPr>
              <w:t>reinbarung zum Arbeitsvertrag</w:t>
            </w:r>
          </w:p>
          <w:p w:rsidR="00BE1EFE" w:rsidRPr="00280188" w:rsidRDefault="00BE1EFE" w:rsidP="00E47263">
            <w:pPr>
              <w:pStyle w:val="StandardWeb"/>
              <w:jc w:val="center"/>
              <w:rPr>
                <w:b/>
              </w:rPr>
            </w:pPr>
            <w:r>
              <w:rPr>
                <w:b/>
              </w:rPr>
              <w:t xml:space="preserve">Zur </w:t>
            </w:r>
            <w:r w:rsidRPr="00280188">
              <w:rPr>
                <w:b/>
              </w:rPr>
              <w:t>Inanspruchnahm</w:t>
            </w:r>
            <w:r>
              <w:rPr>
                <w:b/>
              </w:rPr>
              <w:t>e der Arbeitszeitkontenregelung</w:t>
            </w:r>
          </w:p>
          <w:p w:rsidR="00BE1EFE" w:rsidRPr="000B1AF8" w:rsidRDefault="00BE1EFE">
            <w:pPr>
              <w:pStyle w:val="StandardWeb"/>
              <w:jc w:val="center"/>
            </w:pPr>
            <w:r w:rsidRPr="00280188">
              <w:rPr>
                <w:b/>
              </w:rPr>
              <w:t>(§ 10 AZKR)</w:t>
            </w:r>
          </w:p>
        </w:tc>
      </w:tr>
      <w:tr w:rsidR="00BE1EFE" w:rsidTr="00280188">
        <w:tc>
          <w:tcPr>
            <w:tcW w:w="1253" w:type="dxa"/>
            <w:gridSpan w:val="2"/>
            <w:tcMar>
              <w:top w:w="0" w:type="dxa"/>
              <w:left w:w="108" w:type="dxa"/>
              <w:bottom w:w="0" w:type="dxa"/>
              <w:right w:w="108" w:type="dxa"/>
            </w:tcMar>
            <w:hideMark/>
          </w:tcPr>
          <w:p w:rsidR="00BE1EFE" w:rsidRPr="000B1AF8" w:rsidRDefault="00BE1EFE">
            <w:pPr>
              <w:pStyle w:val="StandardWeb"/>
            </w:pPr>
            <w:r>
              <w:t>Zwischen</w:t>
            </w:r>
          </w:p>
        </w:tc>
        <w:tc>
          <w:tcPr>
            <w:tcW w:w="1631" w:type="dxa"/>
            <w:gridSpan w:val="3"/>
            <w:tcMar>
              <w:top w:w="0" w:type="dxa"/>
              <w:left w:w="108" w:type="dxa"/>
              <w:bottom w:w="0" w:type="dxa"/>
              <w:right w:w="108" w:type="dxa"/>
            </w:tcMar>
            <w:hideMark/>
          </w:tcPr>
          <w:p w:rsidR="00BE1EFE" w:rsidRDefault="00BE1EFE">
            <w:pPr>
              <w:rPr>
                <w:sz w:val="24"/>
              </w:rPr>
            </w:pPr>
            <w:r>
              <w:t> </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280188">
        <w:tc>
          <w:tcPr>
            <w:tcW w:w="901" w:type="dxa"/>
            <w:tcMar>
              <w:top w:w="0" w:type="dxa"/>
              <w:left w:w="108" w:type="dxa"/>
              <w:bottom w:w="0" w:type="dxa"/>
              <w:right w:w="108" w:type="dxa"/>
            </w:tcMar>
            <w:hideMark/>
          </w:tcPr>
          <w:p w:rsidR="00BE1EFE" w:rsidRPr="000B1AF8" w:rsidRDefault="00BE1EFE">
            <w:pPr>
              <w:pStyle w:val="StandardWeb"/>
            </w:pPr>
            <w:r>
              <w:t>dem/der</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Pr="000B1AF8" w:rsidRDefault="00BE1EFE">
            <w:pPr>
              <w:pStyle w:val="StandardWeb"/>
              <w:jc w:val="right"/>
            </w:pPr>
            <w:r>
              <w:t>vertreten durch</w:t>
            </w:r>
          </w:p>
        </w:tc>
      </w:tr>
      <w:tr w:rsidR="00BE1EFE" w:rsidTr="00280188">
        <w:tc>
          <w:tcPr>
            <w:tcW w:w="901"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Pr="000B1AF8" w:rsidRDefault="00BE1EFE">
            <w:pPr>
              <w:pStyle w:val="StandardWeb"/>
              <w:jc w:val="right"/>
            </w:pPr>
            <w:r>
              <w:t>(Arbeitgeber) und</w:t>
            </w:r>
          </w:p>
        </w:tc>
      </w:tr>
      <w:tr w:rsidR="00BE1EFE" w:rsidTr="00280188">
        <w:tc>
          <w:tcPr>
            <w:tcW w:w="901" w:type="dxa"/>
            <w:tcMar>
              <w:top w:w="0" w:type="dxa"/>
              <w:left w:w="108" w:type="dxa"/>
              <w:bottom w:w="0" w:type="dxa"/>
              <w:right w:w="108" w:type="dxa"/>
            </w:tcMar>
            <w:hideMark/>
          </w:tcPr>
          <w:p w:rsidR="00BE1EFE" w:rsidRDefault="00BE1EFE">
            <w:pPr>
              <w:rPr>
                <w:sz w:val="24"/>
              </w:rPr>
            </w:pPr>
            <w:r>
              <w:t> </w:t>
            </w:r>
          </w:p>
        </w:tc>
        <w:tc>
          <w:tcPr>
            <w:tcW w:w="352" w:type="dxa"/>
            <w:tcMar>
              <w:top w:w="0" w:type="dxa"/>
              <w:left w:w="108" w:type="dxa"/>
              <w:bottom w:w="0" w:type="dxa"/>
              <w:right w:w="108" w:type="dxa"/>
            </w:tcMar>
            <w:hideMark/>
          </w:tcPr>
          <w:p w:rsidR="00BE1EFE" w:rsidRDefault="00BE1EFE">
            <w:pPr>
              <w:rPr>
                <w:sz w:val="24"/>
              </w:rPr>
            </w:pPr>
            <w:r>
              <w:t> </w:t>
            </w:r>
          </w:p>
        </w:tc>
        <w:tc>
          <w:tcPr>
            <w:tcW w:w="1631" w:type="dxa"/>
            <w:gridSpan w:val="3"/>
            <w:tcMar>
              <w:top w:w="0" w:type="dxa"/>
              <w:left w:w="108" w:type="dxa"/>
              <w:bottom w:w="0" w:type="dxa"/>
              <w:right w:w="108" w:type="dxa"/>
            </w:tcMar>
            <w:hideMark/>
          </w:tcPr>
          <w:p w:rsidR="00BE1EFE" w:rsidRDefault="00BE1EFE">
            <w:pPr>
              <w:rPr>
                <w:sz w:val="24"/>
              </w:rPr>
            </w:pPr>
            <w:r>
              <w:t> </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280188">
        <w:tc>
          <w:tcPr>
            <w:tcW w:w="1253" w:type="dxa"/>
            <w:gridSpan w:val="2"/>
            <w:tcMar>
              <w:top w:w="0" w:type="dxa"/>
              <w:left w:w="108" w:type="dxa"/>
              <w:bottom w:w="0" w:type="dxa"/>
              <w:right w:w="108" w:type="dxa"/>
            </w:tcMar>
            <w:hideMark/>
          </w:tcPr>
          <w:p w:rsidR="00BE1EFE" w:rsidRPr="000B1AF8" w:rsidRDefault="00BE1EFE">
            <w:pPr>
              <w:pStyle w:val="StandardWeb"/>
            </w:pPr>
            <w:r>
              <w:t>Herrn/ Frau</w:t>
            </w:r>
          </w:p>
        </w:tc>
        <w:tc>
          <w:tcPr>
            <w:tcW w:w="163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9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531" w:type="dxa"/>
            <w:gridSpan w:val="2"/>
            <w:tcMar>
              <w:top w:w="0" w:type="dxa"/>
              <w:left w:w="108" w:type="dxa"/>
              <w:bottom w:w="0" w:type="dxa"/>
              <w:right w:w="108" w:type="dxa"/>
            </w:tcMar>
            <w:hideMark/>
          </w:tcPr>
          <w:p w:rsidR="00BE1EFE" w:rsidRPr="000B1AF8" w:rsidRDefault="00BE1EFE">
            <w:pPr>
              <w:pStyle w:val="StandardWeb"/>
              <w:jc w:val="right"/>
            </w:pPr>
            <w:r>
              <w:t>(Beschäftigter/Beschäftigte)</w:t>
            </w:r>
          </w:p>
        </w:tc>
      </w:tr>
      <w:tr w:rsidR="00BE1EFE" w:rsidTr="00280188">
        <w:tc>
          <w:tcPr>
            <w:tcW w:w="901" w:type="dxa"/>
            <w:tcMar>
              <w:top w:w="0" w:type="dxa"/>
              <w:left w:w="108" w:type="dxa"/>
              <w:bottom w:w="0" w:type="dxa"/>
              <w:right w:w="108" w:type="dxa"/>
            </w:tcMar>
            <w:hideMark/>
          </w:tcPr>
          <w:p w:rsidR="00BE1EFE" w:rsidRDefault="00BE1EFE">
            <w:pPr>
              <w:rPr>
                <w:sz w:val="24"/>
              </w:rPr>
            </w:pPr>
            <w:r>
              <w:t> </w:t>
            </w:r>
          </w:p>
        </w:tc>
        <w:tc>
          <w:tcPr>
            <w:tcW w:w="352" w:type="dxa"/>
            <w:tcMar>
              <w:top w:w="0" w:type="dxa"/>
              <w:left w:w="108" w:type="dxa"/>
              <w:bottom w:w="0" w:type="dxa"/>
              <w:right w:w="108" w:type="dxa"/>
            </w:tcMar>
            <w:hideMark/>
          </w:tcPr>
          <w:p w:rsidR="00BE1EFE" w:rsidRDefault="00BE1EFE">
            <w:pPr>
              <w:rPr>
                <w:sz w:val="24"/>
              </w:rPr>
            </w:pPr>
            <w:r>
              <w:t> </w:t>
            </w:r>
          </w:p>
        </w:tc>
        <w:tc>
          <w:tcPr>
            <w:tcW w:w="1631" w:type="dxa"/>
            <w:gridSpan w:val="3"/>
            <w:tcMar>
              <w:top w:w="0" w:type="dxa"/>
              <w:left w:w="108" w:type="dxa"/>
              <w:bottom w:w="0" w:type="dxa"/>
              <w:right w:w="108" w:type="dxa"/>
            </w:tcMar>
            <w:hideMark/>
          </w:tcPr>
          <w:p w:rsidR="00BE1EFE" w:rsidRPr="000B1AF8" w:rsidRDefault="00BE1EFE">
            <w:pPr>
              <w:pStyle w:val="StandardWeb"/>
            </w:pPr>
            <w:r>
              <w:t>(Vor- und Zuname)</w:t>
            </w:r>
          </w:p>
        </w:tc>
        <w:tc>
          <w:tcPr>
            <w:tcW w:w="1492" w:type="dxa"/>
            <w:tcMar>
              <w:top w:w="0" w:type="dxa"/>
              <w:left w:w="108" w:type="dxa"/>
              <w:bottom w:w="0" w:type="dxa"/>
              <w:right w:w="108" w:type="dxa"/>
            </w:tcMar>
            <w:hideMark/>
          </w:tcPr>
          <w:p w:rsidR="00BE1EFE" w:rsidRDefault="00BE1EFE">
            <w:pPr>
              <w:rPr>
                <w:sz w:val="24"/>
              </w:rPr>
            </w:pPr>
            <w:r>
              <w:t> </w:t>
            </w:r>
          </w:p>
        </w:tc>
        <w:tc>
          <w:tcPr>
            <w:tcW w:w="902" w:type="dxa"/>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hideMark/>
          </w:tcPr>
          <w:p w:rsidR="00BE1EFE" w:rsidRDefault="00BE1EFE">
            <w:pPr>
              <w:rPr>
                <w:sz w:val="24"/>
              </w:rPr>
            </w:pPr>
            <w:r>
              <w:t> </w:t>
            </w:r>
          </w:p>
        </w:tc>
      </w:tr>
      <w:tr w:rsidR="00BE1EFE" w:rsidTr="00E47263">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1799" w:type="dxa"/>
            <w:gridSpan w:val="3"/>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257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901"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06"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81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02"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9" w:type="dxa"/>
            <w:tcMar>
              <w:top w:w="0" w:type="dxa"/>
              <w:left w:w="108" w:type="dxa"/>
              <w:bottom w:w="0" w:type="dxa"/>
              <w:right w:w="108" w:type="dxa"/>
            </w:tcMar>
            <w:vAlign w:val="bottom"/>
            <w:hideMark/>
          </w:tcPr>
          <w:p w:rsidR="00BE1EFE" w:rsidRPr="000B1AF8" w:rsidRDefault="00BE1EFE" w:rsidP="0028239F">
            <w:pPr>
              <w:pStyle w:val="StandardWeb"/>
            </w:pPr>
            <w:r>
              <w:t>folgende</w:t>
            </w:r>
          </w:p>
        </w:tc>
      </w:tr>
      <w:tr w:rsidR="00BE1EFE" w:rsidTr="00E47263">
        <w:tc>
          <w:tcPr>
            <w:tcW w:w="6907" w:type="dxa"/>
            <w:gridSpan w:val="8"/>
            <w:tcMar>
              <w:top w:w="0" w:type="dxa"/>
              <w:left w:w="108" w:type="dxa"/>
              <w:bottom w:w="0" w:type="dxa"/>
              <w:right w:w="108" w:type="dxa"/>
            </w:tcMar>
            <w:hideMark/>
          </w:tcPr>
          <w:p w:rsidR="00BE1EFE" w:rsidRDefault="00BE1EFE" w:rsidP="00E47263">
            <w:pPr>
              <w:rPr>
                <w:sz w:val="24"/>
              </w:rPr>
            </w:pPr>
            <w:r>
              <w:t> </w:t>
            </w:r>
          </w:p>
        </w:tc>
      </w:tr>
      <w:tr w:rsidR="00BE1EFE" w:rsidTr="00280188">
        <w:tc>
          <w:tcPr>
            <w:tcW w:w="6907" w:type="dxa"/>
            <w:gridSpan w:val="8"/>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1 Arbeitszeit</w:t>
            </w:r>
          </w:p>
          <w:p w:rsidR="00BE1EFE" w:rsidRPr="00E47263" w:rsidRDefault="00BE1EFE">
            <w:pPr>
              <w:pStyle w:val="StandardWeb"/>
              <w:jc w:val="center"/>
              <w:rPr>
                <w:sz w:val="12"/>
                <w:szCs w:val="12"/>
              </w:rP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rsidP="0028239F">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2</w:t>
            </w:r>
            <w:r>
              <w:rPr>
                <w:b/>
              </w:rPr>
              <w:t xml:space="preserve"> </w:t>
            </w:r>
            <w:r w:rsidRPr="00280188">
              <w:rPr>
                <w:b/>
              </w:rPr>
              <w:t>Zeitgutschriften</w:t>
            </w:r>
          </w:p>
          <w:p w:rsidR="00BE1EFE" w:rsidRPr="00E47263" w:rsidRDefault="00BE1EFE">
            <w:pPr>
              <w:pStyle w:val="StandardWeb"/>
              <w:jc w:val="center"/>
              <w:rPr>
                <w:sz w:val="12"/>
                <w:szCs w:val="12"/>
              </w:rP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rsidP="00280188">
            <w:pPr>
              <w:pStyle w:val="StandardWeb"/>
              <w:tabs>
                <w:tab w:val="left" w:pos="113"/>
                <w:tab w:val="left" w:pos="170"/>
              </w:tabs>
              <w:ind w:left="720"/>
            </w:pPr>
            <w:r>
              <w:t>□ Ausgleich für Bereitschaftsdienst und Rufbereitschaft nach § 7 Absatz 3 und Teil A, 1., soweit sie nicht in der regelmäßigen wöchentlichen Arbeitszeit berücksichtigt sind,</w:t>
            </w:r>
          </w:p>
          <w:p w:rsidR="00BE1EFE" w:rsidRDefault="00BE1EFE">
            <w:pPr>
              <w:pStyle w:val="StandardWeb"/>
              <w:ind w:left="720"/>
            </w:pPr>
          </w:p>
          <w:p w:rsidR="00BE1EFE" w:rsidRDefault="00BE1EFE">
            <w:pPr>
              <w:pStyle w:val="StandardWeb"/>
              <w:ind w:left="720"/>
            </w:pPr>
            <w:r>
              <w:t>□ Ausgleich für Mehrarbeit (§ 7 Absatz 6 Teil A, 1.),</w:t>
            </w:r>
          </w:p>
          <w:p w:rsidR="00BE1EFE" w:rsidRDefault="00BE1EFE">
            <w:pPr>
              <w:pStyle w:val="StandardWeb"/>
              <w:ind w:left="720"/>
            </w:pPr>
          </w:p>
          <w:p w:rsidR="00BE1EFE" w:rsidRDefault="00BE1EFE">
            <w:pPr>
              <w:pStyle w:val="StandardWeb"/>
              <w:ind w:left="720"/>
            </w:pPr>
            <w:r>
              <w:t>□ Ausgleich für Überstunden (§ 7 Absatz 7 Teil A, 1.),</w:t>
            </w:r>
          </w:p>
          <w:p w:rsidR="00BE1EFE" w:rsidRDefault="00BE1EFE">
            <w:pPr>
              <w:pStyle w:val="StandardWeb"/>
              <w:ind w:left="720"/>
            </w:pPr>
          </w:p>
          <w:p w:rsidR="00BE1EFE" w:rsidRDefault="00BE1EFE">
            <w:pPr>
              <w:pStyle w:val="StandardWeb"/>
              <w:ind w:left="720"/>
            </w:pPr>
            <w:r>
              <w:t>□ Abgeltung von Zeitzuschlägen (§ 8 Absatz 1 Teil A, 1.),</w:t>
            </w:r>
          </w:p>
          <w:p w:rsidR="00BE1EFE" w:rsidRDefault="00BE1EFE">
            <w:pPr>
              <w:pStyle w:val="StandardWeb"/>
              <w:ind w:left="720"/>
            </w:pPr>
          </w:p>
          <w:p w:rsidR="00BE1EFE" w:rsidRDefault="00BE1EFE">
            <w:pPr>
              <w:pStyle w:val="StandardWeb"/>
              <w:ind w:left="720"/>
            </w:pPr>
            <w:r>
              <w:t>□ nicht in Anspruch genommene Urlaubstage, die den Anspruch nach dem Bundesurlaubsgesetz (BUrlG) übersteigen,</w:t>
            </w:r>
          </w:p>
          <w:p w:rsidR="00BE1EFE" w:rsidRDefault="00BE1EFE">
            <w:pPr>
              <w:pStyle w:val="StandardWeb"/>
              <w:ind w:left="720"/>
            </w:pPr>
          </w:p>
          <w:p w:rsidR="00BE1EFE" w:rsidRPr="000B1AF8" w:rsidRDefault="00BE1EFE">
            <w:pPr>
              <w:pStyle w:val="StandardWeb"/>
              <w:ind w:left="720"/>
            </w:pPr>
            <w:r>
              <w:t>□ Ausgleich für Arbeitsstunden, die aufgrund einer ausdrücklichen schriftlichen Anweisung durch den Arbeitgeber über das Maß der mit ihm vereinbarten regelmäßigen Arbeitszeit hinaus zur Erfüllung zusätzlicher Aufgaben geleistet werden</w:t>
            </w:r>
            <w:r>
              <w:rPr>
                <w:vertAlign w:val="superscript"/>
              </w:rPr>
              <w:t>2</w:t>
            </w:r>
            <w:r>
              <w:t>.</w:t>
            </w:r>
          </w:p>
        </w:tc>
      </w:tr>
      <w:tr w:rsidR="00BE1EFE" w:rsidTr="00280188">
        <w:tc>
          <w:tcPr>
            <w:tcW w:w="6907" w:type="dxa"/>
            <w:gridSpan w:val="8"/>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8"/>
            <w:tcMar>
              <w:top w:w="0" w:type="dxa"/>
              <w:left w:w="108" w:type="dxa"/>
              <w:bottom w:w="0" w:type="dxa"/>
              <w:right w:w="108" w:type="dxa"/>
            </w:tcMar>
            <w:hideMark/>
          </w:tcPr>
          <w:p w:rsidR="00BE1EFE" w:rsidRPr="00280188" w:rsidRDefault="00BE1EFE">
            <w:pPr>
              <w:pStyle w:val="StandardWeb"/>
              <w:jc w:val="center"/>
              <w:rPr>
                <w:b/>
              </w:rPr>
            </w:pPr>
            <w:r w:rsidRPr="00280188">
              <w:rPr>
                <w:b/>
              </w:rPr>
              <w:t>§ 3 Vertragsausfertigung</w:t>
            </w:r>
          </w:p>
          <w:p w:rsidR="00BE1EFE" w:rsidRPr="00E47263" w:rsidRDefault="00BE1EFE">
            <w:pPr>
              <w:pStyle w:val="StandardWeb"/>
              <w:jc w:val="center"/>
              <w:rPr>
                <w:sz w:val="12"/>
                <w:szCs w:val="12"/>
              </w:rP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rPr>
                <w:sz w:val="12"/>
                <w:szCs w:val="12"/>
                <w:vertAlign w:val="superscript"/>
              </w:rPr>
            </w:pPr>
          </w:p>
          <w:p w:rsidR="00BE1EFE"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p w:rsidR="00BE1EFE" w:rsidRPr="000B1AF8" w:rsidRDefault="00BE1EFE">
            <w:pPr>
              <w:pStyle w:val="StandardWeb"/>
            </w:pPr>
            <w:r>
              <w:rPr>
                <w:sz w:val="12"/>
                <w:szCs w:val="12"/>
                <w:vertAlign w:val="superscript"/>
              </w:rPr>
              <w:t>2</w:t>
            </w:r>
            <w:r>
              <w:rPr>
                <w:sz w:val="12"/>
                <w:szCs w:val="12"/>
              </w:rPr>
              <w:t xml:space="preserve"> Gilt für Beschäftigte im pastoralen Dienst</w:t>
            </w:r>
          </w:p>
        </w:tc>
      </w:tr>
    </w:tbl>
    <w:p w:rsidR="00BE1EFE" w:rsidRDefault="00BE1EFE">
      <w:pPr>
        <w:pStyle w:val="berschrift5"/>
      </w:pPr>
      <w:bookmarkStart w:id="931" w:name="_Toc523926453"/>
      <w:r>
        <w:lastRenderedPageBreak/>
        <w:t>Anlage für Religionslehrer und Religionslehrerinnen im Kirchendienst</w:t>
      </w:r>
      <w:bookmarkEnd w:id="931"/>
    </w:p>
    <w:tbl>
      <w:tblPr>
        <w:tblW w:w="5000" w:type="pct"/>
        <w:tblCellMar>
          <w:left w:w="0" w:type="dxa"/>
          <w:right w:w="0" w:type="dxa"/>
        </w:tblCellMar>
        <w:tblLook w:val="04A0" w:firstRow="1" w:lastRow="0" w:firstColumn="1" w:lastColumn="0" w:noHBand="0" w:noVBand="1"/>
      </w:tblPr>
      <w:tblGrid>
        <w:gridCol w:w="1046"/>
        <w:gridCol w:w="171"/>
        <w:gridCol w:w="179"/>
        <w:gridCol w:w="89"/>
        <w:gridCol w:w="366"/>
        <w:gridCol w:w="1172"/>
        <w:gridCol w:w="705"/>
        <w:gridCol w:w="538"/>
        <w:gridCol w:w="347"/>
        <w:gridCol w:w="730"/>
        <w:gridCol w:w="821"/>
        <w:gridCol w:w="743"/>
      </w:tblGrid>
      <w:tr w:rsidR="00BE1EFE" w:rsidTr="004227CF">
        <w:tc>
          <w:tcPr>
            <w:tcW w:w="6907" w:type="dxa"/>
            <w:gridSpan w:val="12"/>
            <w:tcMar>
              <w:top w:w="0" w:type="dxa"/>
              <w:left w:w="108" w:type="dxa"/>
              <w:bottom w:w="0" w:type="dxa"/>
              <w:right w:w="108" w:type="dxa"/>
            </w:tcMar>
            <w:vAlign w:val="bottom"/>
            <w:hideMark/>
          </w:tcPr>
          <w:p w:rsidR="00BE1EFE" w:rsidRPr="00B76821" w:rsidRDefault="00BE1EFE" w:rsidP="00B76821">
            <w:pPr>
              <w:pStyle w:val="berschrift6"/>
              <w:keepNext w:val="0"/>
              <w:spacing w:before="0" w:after="0"/>
              <w:rPr>
                <w:sz w:val="2"/>
              </w:rPr>
            </w:pPr>
          </w:p>
          <w:p w:rsidR="00BE1EFE" w:rsidRDefault="00BE1EFE" w:rsidP="004227CF">
            <w:pPr>
              <w:pStyle w:val="StandardWeb"/>
              <w:jc w:val="center"/>
              <w:rPr>
                <w:b/>
              </w:rPr>
            </w:pPr>
          </w:p>
          <w:p w:rsidR="00BE1EFE" w:rsidRPr="00280188" w:rsidRDefault="00BE1EFE" w:rsidP="004227CF">
            <w:pPr>
              <w:pStyle w:val="StandardWeb"/>
              <w:jc w:val="center"/>
              <w:rPr>
                <w:b/>
              </w:rPr>
            </w:pPr>
            <w:r>
              <w:rPr>
                <w:b/>
              </w:rPr>
              <w:t>Vereinbarung zum Arbeitsvertrag</w:t>
            </w:r>
          </w:p>
          <w:p w:rsidR="00BE1EFE" w:rsidRPr="00280188" w:rsidRDefault="00BE1EFE" w:rsidP="004227CF">
            <w:pPr>
              <w:pStyle w:val="StandardWeb"/>
              <w:jc w:val="center"/>
              <w:rPr>
                <w:b/>
              </w:rPr>
            </w:pPr>
            <w:r w:rsidRPr="00280188">
              <w:rPr>
                <w:b/>
              </w:rPr>
              <w:t>zur Inanspruchnahm</w:t>
            </w:r>
            <w:r>
              <w:rPr>
                <w:b/>
              </w:rPr>
              <w:t>e der Arbeitszeitkontenregelung</w:t>
            </w:r>
          </w:p>
          <w:p w:rsidR="00BE1EFE" w:rsidRDefault="00BE1EFE" w:rsidP="004227CF">
            <w:pPr>
              <w:pStyle w:val="StandardWeb"/>
              <w:jc w:val="center"/>
              <w:rPr>
                <w:b/>
              </w:rPr>
            </w:pPr>
            <w:r w:rsidRPr="00280188">
              <w:rPr>
                <w:b/>
              </w:rPr>
              <w:t>(§ 10 AZKR)</w:t>
            </w:r>
          </w:p>
          <w:p w:rsidR="00BE1EFE" w:rsidRPr="000B1AF8" w:rsidRDefault="00BE1EFE" w:rsidP="004227CF">
            <w:pPr>
              <w:pStyle w:val="StandardWeb"/>
            </w:pPr>
          </w:p>
        </w:tc>
      </w:tr>
      <w:tr w:rsidR="00BE1EFE" w:rsidTr="00280188">
        <w:tc>
          <w:tcPr>
            <w:tcW w:w="1046" w:type="dxa"/>
            <w:tcMar>
              <w:top w:w="0" w:type="dxa"/>
              <w:left w:w="108" w:type="dxa"/>
              <w:bottom w:w="0" w:type="dxa"/>
              <w:right w:w="108" w:type="dxa"/>
            </w:tcMar>
            <w:hideMark/>
          </w:tcPr>
          <w:p w:rsidR="00BE1EFE" w:rsidRPr="000B1AF8" w:rsidRDefault="00BE1EFE">
            <w:pPr>
              <w:pStyle w:val="StandardWeb"/>
            </w:pPr>
            <w:r>
              <w:t>Zwischen</w:t>
            </w:r>
          </w:p>
        </w:tc>
        <w:tc>
          <w:tcPr>
            <w:tcW w:w="350" w:type="dxa"/>
            <w:gridSpan w:val="2"/>
            <w:tcMar>
              <w:top w:w="0" w:type="dxa"/>
              <w:left w:w="108" w:type="dxa"/>
              <w:bottom w:w="0" w:type="dxa"/>
              <w:right w:w="108" w:type="dxa"/>
            </w:tcMar>
            <w:hideMark/>
          </w:tcPr>
          <w:p w:rsidR="00BE1EFE" w:rsidRDefault="00BE1EFE">
            <w:pPr>
              <w:rPr>
                <w:sz w:val="24"/>
              </w:rPr>
            </w:pPr>
            <w:r>
              <w:t> </w:t>
            </w:r>
          </w:p>
        </w:tc>
        <w:tc>
          <w:tcPr>
            <w:tcW w:w="1627" w:type="dxa"/>
            <w:gridSpan w:val="3"/>
            <w:tcMar>
              <w:top w:w="0" w:type="dxa"/>
              <w:left w:w="108" w:type="dxa"/>
              <w:bottom w:w="0" w:type="dxa"/>
              <w:right w:w="108" w:type="dxa"/>
            </w:tcMar>
            <w:hideMark/>
          </w:tcPr>
          <w:p w:rsidR="00BE1EFE" w:rsidRDefault="00BE1EFE">
            <w:pPr>
              <w:rPr>
                <w:sz w:val="24"/>
              </w:rPr>
            </w:pPr>
            <w:r>
              <w:t> </w:t>
            </w:r>
          </w:p>
        </w:tc>
        <w:tc>
          <w:tcPr>
            <w:tcW w:w="705" w:type="dxa"/>
            <w:tcMar>
              <w:top w:w="0" w:type="dxa"/>
              <w:left w:w="108" w:type="dxa"/>
              <w:bottom w:w="0" w:type="dxa"/>
              <w:right w:w="108" w:type="dxa"/>
            </w:tcMar>
            <w:hideMark/>
          </w:tcPr>
          <w:p w:rsidR="00BE1EFE" w:rsidRDefault="00BE1EFE">
            <w:pPr>
              <w:rPr>
                <w:sz w:val="24"/>
              </w:rPr>
            </w:pPr>
            <w:r>
              <w:t> </w:t>
            </w:r>
          </w:p>
        </w:tc>
        <w:tc>
          <w:tcPr>
            <w:tcW w:w="1615" w:type="dxa"/>
            <w:gridSpan w:val="3"/>
            <w:tcMar>
              <w:top w:w="0" w:type="dxa"/>
              <w:left w:w="108" w:type="dxa"/>
              <w:bottom w:w="0" w:type="dxa"/>
              <w:right w:w="108" w:type="dxa"/>
            </w:tcMar>
            <w:hideMark/>
          </w:tcPr>
          <w:p w:rsidR="00BE1EFE" w:rsidRDefault="00BE1EFE">
            <w:pPr>
              <w:rPr>
                <w:sz w:val="24"/>
              </w:rPr>
            </w:pPr>
            <w:r>
              <w:t> </w:t>
            </w:r>
          </w:p>
        </w:tc>
        <w:tc>
          <w:tcPr>
            <w:tcW w:w="1564" w:type="dxa"/>
            <w:gridSpan w:val="2"/>
            <w:tcMar>
              <w:top w:w="0" w:type="dxa"/>
              <w:left w:w="108" w:type="dxa"/>
              <w:bottom w:w="0" w:type="dxa"/>
              <w:right w:w="108" w:type="dxa"/>
            </w:tcMar>
            <w:hideMark/>
          </w:tcPr>
          <w:p w:rsidR="00BE1EFE" w:rsidRDefault="00BE1EFE">
            <w:pPr>
              <w:rPr>
                <w:sz w:val="24"/>
              </w:rPr>
            </w:pPr>
            <w:r>
              <w:t> </w:t>
            </w:r>
          </w:p>
        </w:tc>
      </w:tr>
      <w:tr w:rsidR="00BE1EFE" w:rsidTr="00280188">
        <w:tc>
          <w:tcPr>
            <w:tcW w:w="1046" w:type="dxa"/>
            <w:tcMar>
              <w:top w:w="0" w:type="dxa"/>
              <w:left w:w="108" w:type="dxa"/>
              <w:bottom w:w="0" w:type="dxa"/>
              <w:right w:w="108" w:type="dxa"/>
            </w:tcMar>
            <w:hideMark/>
          </w:tcPr>
          <w:p w:rsidR="00BE1EFE" w:rsidRPr="000B1AF8" w:rsidRDefault="00BE1EFE">
            <w:pPr>
              <w:pStyle w:val="StandardWeb"/>
            </w:pPr>
            <w:r>
              <w:t>dem/der</w:t>
            </w:r>
          </w:p>
        </w:tc>
        <w:tc>
          <w:tcPr>
            <w:tcW w:w="35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15"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564"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280188">
        <w:tc>
          <w:tcPr>
            <w:tcW w:w="1485" w:type="dxa"/>
            <w:gridSpan w:val="4"/>
            <w:tcMar>
              <w:top w:w="0" w:type="dxa"/>
              <w:left w:w="108" w:type="dxa"/>
              <w:bottom w:w="0" w:type="dxa"/>
              <w:right w:w="108" w:type="dxa"/>
            </w:tcMar>
            <w:hideMark/>
          </w:tcPr>
          <w:p w:rsidR="00BE1EFE" w:rsidRPr="000B1AF8" w:rsidRDefault="00BE1EFE">
            <w:pPr>
              <w:pStyle w:val="StandardWeb"/>
            </w:pPr>
            <w:r>
              <w:t>vertreten durch</w:t>
            </w:r>
          </w:p>
        </w:tc>
        <w:tc>
          <w:tcPr>
            <w:tcW w:w="153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436"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43" w:type="dxa"/>
            <w:tcMar>
              <w:top w:w="0" w:type="dxa"/>
              <w:left w:w="108" w:type="dxa"/>
              <w:bottom w:w="0" w:type="dxa"/>
              <w:right w:w="108" w:type="dxa"/>
            </w:tcMar>
            <w:hideMark/>
          </w:tcPr>
          <w:p w:rsidR="00BE1EFE" w:rsidRPr="000B1AF8" w:rsidRDefault="00BE1EFE">
            <w:pPr>
              <w:pStyle w:val="StandardWeb"/>
              <w:jc w:val="right"/>
            </w:pPr>
            <w:r>
              <w:t>und</w:t>
            </w:r>
          </w:p>
        </w:tc>
      </w:tr>
      <w:tr w:rsidR="00BE1EFE" w:rsidTr="00280188">
        <w:tc>
          <w:tcPr>
            <w:tcW w:w="1217" w:type="dxa"/>
            <w:gridSpan w:val="2"/>
            <w:tcMar>
              <w:top w:w="0" w:type="dxa"/>
              <w:left w:w="108" w:type="dxa"/>
              <w:bottom w:w="0" w:type="dxa"/>
              <w:right w:w="108" w:type="dxa"/>
            </w:tcMar>
          </w:tcPr>
          <w:p w:rsidR="00BE1EFE" w:rsidRDefault="00BE1EFE">
            <w:pPr>
              <w:pStyle w:val="StandardWeb"/>
            </w:pPr>
          </w:p>
        </w:tc>
        <w:tc>
          <w:tcPr>
            <w:tcW w:w="1806" w:type="dxa"/>
            <w:gridSpan w:val="4"/>
            <w:tcBorders>
              <w:top w:val="nil"/>
              <w:left w:val="nil"/>
              <w:bottom w:val="single" w:sz="8" w:space="0" w:color="auto"/>
              <w:right w:val="nil"/>
            </w:tcBorders>
            <w:tcMar>
              <w:top w:w="0" w:type="dxa"/>
              <w:left w:w="108" w:type="dxa"/>
              <w:bottom w:w="0" w:type="dxa"/>
              <w:right w:w="108" w:type="dxa"/>
            </w:tcMar>
          </w:tcPr>
          <w:p w:rsidR="00BE1EFE" w:rsidRDefault="00BE1EFE"/>
        </w:tc>
        <w:tc>
          <w:tcPr>
            <w:tcW w:w="705" w:type="dxa"/>
            <w:tcBorders>
              <w:top w:val="nil"/>
              <w:left w:val="nil"/>
              <w:bottom w:val="single" w:sz="8" w:space="0" w:color="auto"/>
              <w:right w:val="nil"/>
            </w:tcBorders>
            <w:tcMar>
              <w:top w:w="0" w:type="dxa"/>
              <w:left w:w="108" w:type="dxa"/>
              <w:bottom w:w="0" w:type="dxa"/>
              <w:right w:w="108" w:type="dxa"/>
            </w:tcMar>
          </w:tcPr>
          <w:p w:rsidR="00BE1EFE" w:rsidRDefault="00BE1EFE"/>
        </w:tc>
        <w:tc>
          <w:tcPr>
            <w:tcW w:w="538" w:type="dxa"/>
            <w:tcBorders>
              <w:top w:val="nil"/>
              <w:left w:val="nil"/>
              <w:bottom w:val="single" w:sz="8" w:space="0" w:color="auto"/>
              <w:right w:val="nil"/>
            </w:tcBorders>
            <w:tcMar>
              <w:top w:w="0" w:type="dxa"/>
              <w:left w:w="108" w:type="dxa"/>
              <w:bottom w:w="0" w:type="dxa"/>
              <w:right w:w="108" w:type="dxa"/>
            </w:tcMar>
          </w:tcPr>
          <w:p w:rsidR="00BE1EFE" w:rsidRDefault="00BE1EFE"/>
        </w:tc>
        <w:tc>
          <w:tcPr>
            <w:tcW w:w="2641" w:type="dxa"/>
            <w:gridSpan w:val="4"/>
            <w:tcMar>
              <w:top w:w="0" w:type="dxa"/>
              <w:left w:w="108" w:type="dxa"/>
              <w:bottom w:w="0" w:type="dxa"/>
              <w:right w:w="108" w:type="dxa"/>
            </w:tcMar>
          </w:tcPr>
          <w:p w:rsidR="00BE1EFE" w:rsidRDefault="00BE1EFE">
            <w:pPr>
              <w:pStyle w:val="StandardWeb"/>
              <w:jc w:val="right"/>
            </w:pPr>
          </w:p>
        </w:tc>
      </w:tr>
      <w:tr w:rsidR="00BE1EFE" w:rsidTr="00280188">
        <w:tc>
          <w:tcPr>
            <w:tcW w:w="1217" w:type="dxa"/>
            <w:gridSpan w:val="2"/>
            <w:tcMar>
              <w:top w:w="0" w:type="dxa"/>
              <w:left w:w="108" w:type="dxa"/>
              <w:bottom w:w="0" w:type="dxa"/>
              <w:right w:w="108" w:type="dxa"/>
            </w:tcMar>
            <w:hideMark/>
          </w:tcPr>
          <w:p w:rsidR="00BE1EFE" w:rsidRPr="000B1AF8" w:rsidRDefault="00BE1EFE">
            <w:pPr>
              <w:pStyle w:val="StandardWeb"/>
            </w:pPr>
            <w:r>
              <w:t>Herrn /Frau</w:t>
            </w:r>
          </w:p>
        </w:tc>
        <w:tc>
          <w:tcPr>
            <w:tcW w:w="1806"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538"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641" w:type="dxa"/>
            <w:gridSpan w:val="4"/>
            <w:tcMar>
              <w:top w:w="0" w:type="dxa"/>
              <w:left w:w="108" w:type="dxa"/>
              <w:bottom w:w="0" w:type="dxa"/>
              <w:right w:w="108" w:type="dxa"/>
            </w:tcMar>
            <w:hideMark/>
          </w:tcPr>
          <w:p w:rsidR="00BE1EFE" w:rsidRPr="000B1AF8" w:rsidRDefault="00BE1EFE">
            <w:pPr>
              <w:pStyle w:val="StandardWeb"/>
              <w:jc w:val="right"/>
            </w:pPr>
            <w:r>
              <w:t>(Beschäftigter/Beschäftigte)</w:t>
            </w:r>
          </w:p>
        </w:tc>
      </w:tr>
      <w:tr w:rsidR="00BE1EFE" w:rsidTr="00280188">
        <w:tc>
          <w:tcPr>
            <w:tcW w:w="1046" w:type="dxa"/>
            <w:tcMar>
              <w:top w:w="0" w:type="dxa"/>
              <w:left w:w="108" w:type="dxa"/>
              <w:bottom w:w="0" w:type="dxa"/>
              <w:right w:w="108" w:type="dxa"/>
            </w:tcMar>
            <w:hideMark/>
          </w:tcPr>
          <w:p w:rsidR="00BE1EFE" w:rsidRDefault="00BE1EFE">
            <w:pPr>
              <w:rPr>
                <w:sz w:val="24"/>
              </w:rPr>
            </w:pPr>
            <w:r>
              <w:t> </w:t>
            </w:r>
          </w:p>
        </w:tc>
        <w:tc>
          <w:tcPr>
            <w:tcW w:w="350" w:type="dxa"/>
            <w:gridSpan w:val="2"/>
            <w:tcMar>
              <w:top w:w="0" w:type="dxa"/>
              <w:left w:w="108" w:type="dxa"/>
              <w:bottom w:w="0" w:type="dxa"/>
              <w:right w:w="108" w:type="dxa"/>
            </w:tcMar>
            <w:hideMark/>
          </w:tcPr>
          <w:p w:rsidR="00BE1EFE" w:rsidRDefault="00BE1EFE">
            <w:pPr>
              <w:rPr>
                <w:sz w:val="24"/>
              </w:rPr>
            </w:pPr>
            <w:r>
              <w:t> </w:t>
            </w:r>
          </w:p>
        </w:tc>
        <w:tc>
          <w:tcPr>
            <w:tcW w:w="1627" w:type="dxa"/>
            <w:gridSpan w:val="3"/>
            <w:tcMar>
              <w:top w:w="0" w:type="dxa"/>
              <w:left w:w="108" w:type="dxa"/>
              <w:bottom w:w="0" w:type="dxa"/>
              <w:right w:w="108" w:type="dxa"/>
            </w:tcMar>
            <w:hideMark/>
          </w:tcPr>
          <w:p w:rsidR="00BE1EFE" w:rsidRPr="000B1AF8" w:rsidRDefault="00BE1EFE">
            <w:pPr>
              <w:pStyle w:val="StandardWeb"/>
            </w:pPr>
            <w:r>
              <w:t>(Vor- und Zuname)</w:t>
            </w:r>
          </w:p>
        </w:tc>
        <w:tc>
          <w:tcPr>
            <w:tcW w:w="705" w:type="dxa"/>
            <w:tcMar>
              <w:top w:w="0" w:type="dxa"/>
              <w:left w:w="108" w:type="dxa"/>
              <w:bottom w:w="0" w:type="dxa"/>
              <w:right w:w="108" w:type="dxa"/>
            </w:tcMar>
            <w:hideMark/>
          </w:tcPr>
          <w:p w:rsidR="00BE1EFE" w:rsidRDefault="00BE1EFE">
            <w:pPr>
              <w:rPr>
                <w:sz w:val="24"/>
              </w:rPr>
            </w:pPr>
            <w:r>
              <w:t> </w:t>
            </w:r>
          </w:p>
        </w:tc>
        <w:tc>
          <w:tcPr>
            <w:tcW w:w="885" w:type="dxa"/>
            <w:gridSpan w:val="2"/>
            <w:tcMar>
              <w:top w:w="0" w:type="dxa"/>
              <w:left w:w="108" w:type="dxa"/>
              <w:bottom w:w="0" w:type="dxa"/>
              <w:right w:w="108" w:type="dxa"/>
            </w:tcMar>
            <w:hideMark/>
          </w:tcPr>
          <w:p w:rsidR="00BE1EFE" w:rsidRDefault="00BE1EFE">
            <w:pPr>
              <w:rPr>
                <w:sz w:val="24"/>
              </w:rPr>
            </w:pPr>
            <w:r>
              <w:t> </w:t>
            </w:r>
          </w:p>
        </w:tc>
        <w:tc>
          <w:tcPr>
            <w:tcW w:w="2294"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1851" w:type="dxa"/>
            <w:gridSpan w:val="5"/>
            <w:tcMar>
              <w:top w:w="0" w:type="dxa"/>
              <w:left w:w="108" w:type="dxa"/>
              <w:bottom w:w="0" w:type="dxa"/>
              <w:right w:w="108" w:type="dxa"/>
            </w:tcMar>
          </w:tcPr>
          <w:p w:rsidR="00BE1EFE" w:rsidRDefault="00BE1EFE">
            <w:pPr>
              <w:pStyle w:val="StandardWeb"/>
            </w:pPr>
          </w:p>
        </w:tc>
        <w:tc>
          <w:tcPr>
            <w:tcW w:w="1877" w:type="dxa"/>
            <w:gridSpan w:val="2"/>
            <w:tcBorders>
              <w:top w:val="nil"/>
              <w:left w:val="nil"/>
              <w:bottom w:val="single" w:sz="8" w:space="0" w:color="auto"/>
              <w:right w:val="nil"/>
            </w:tcBorders>
            <w:tcMar>
              <w:top w:w="0" w:type="dxa"/>
              <w:left w:w="108" w:type="dxa"/>
              <w:bottom w:w="0" w:type="dxa"/>
              <w:right w:w="108" w:type="dxa"/>
            </w:tcMar>
          </w:tcPr>
          <w:p w:rsidR="00BE1EFE" w:rsidRDefault="00BE1EFE"/>
        </w:tc>
        <w:tc>
          <w:tcPr>
            <w:tcW w:w="885" w:type="dxa"/>
            <w:gridSpan w:val="2"/>
            <w:tcBorders>
              <w:top w:val="nil"/>
              <w:left w:val="nil"/>
              <w:bottom w:val="single" w:sz="8" w:space="0" w:color="auto"/>
              <w:right w:val="nil"/>
            </w:tcBorders>
            <w:tcMar>
              <w:top w:w="0" w:type="dxa"/>
              <w:left w:w="108" w:type="dxa"/>
              <w:bottom w:w="0" w:type="dxa"/>
              <w:right w:w="108" w:type="dxa"/>
            </w:tcMar>
          </w:tcPr>
          <w:p w:rsidR="00BE1EFE" w:rsidRDefault="00BE1EFE"/>
        </w:tc>
        <w:tc>
          <w:tcPr>
            <w:tcW w:w="2294" w:type="dxa"/>
            <w:gridSpan w:val="3"/>
            <w:tcBorders>
              <w:top w:val="nil"/>
              <w:left w:val="nil"/>
              <w:bottom w:val="single" w:sz="8" w:space="0" w:color="auto"/>
              <w:right w:val="nil"/>
            </w:tcBorders>
            <w:tcMar>
              <w:top w:w="0" w:type="dxa"/>
              <w:left w:w="108" w:type="dxa"/>
              <w:bottom w:w="0" w:type="dxa"/>
              <w:right w:w="108" w:type="dxa"/>
            </w:tcMar>
          </w:tcPr>
          <w:p w:rsidR="00BE1EFE" w:rsidRDefault="00BE1EFE"/>
        </w:tc>
      </w:tr>
      <w:tr w:rsidR="00BE1EFE" w:rsidTr="00280188">
        <w:tc>
          <w:tcPr>
            <w:tcW w:w="1851" w:type="dxa"/>
            <w:gridSpan w:val="5"/>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187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8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294"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046"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5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27"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705"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8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294" w:type="dxa"/>
            <w:gridSpan w:val="3"/>
            <w:tcMar>
              <w:top w:w="0" w:type="dxa"/>
              <w:left w:w="108" w:type="dxa"/>
              <w:bottom w:w="0" w:type="dxa"/>
              <w:right w:w="108" w:type="dxa"/>
            </w:tcMar>
            <w:vAlign w:val="bottom"/>
            <w:hideMark/>
          </w:tcPr>
          <w:p w:rsidR="00BE1EFE" w:rsidRPr="000B1AF8" w:rsidRDefault="00BE1EFE" w:rsidP="0028239F">
            <w:pPr>
              <w:pStyle w:val="StandardWeb"/>
            </w:pPr>
            <w:r>
              <w:t>folgende</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4227CF">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xml:space="preserve"> </w:t>
            </w:r>
            <w:r w:rsidRPr="00280188">
              <w:rPr>
                <w:b/>
              </w:rPr>
              <w:t>1 Arbeitszeit</w:t>
            </w:r>
          </w:p>
          <w:p w:rsidR="00BE1EFE" w:rsidRPr="000B1AF8" w:rsidRDefault="00BE1EFE">
            <w:pPr>
              <w:pStyle w:val="StandardWeb"/>
              <w:jc w:val="cente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w:t>
            </w:r>
            <w:r w:rsidRPr="00280188">
              <w:rPr>
                <w:b/>
              </w:rPr>
              <w:t>2 Zeitgutschriften</w:t>
            </w:r>
          </w:p>
          <w:p w:rsidR="00BE1EFE" w:rsidRPr="000B1AF8" w:rsidRDefault="00BE1EFE">
            <w:pPr>
              <w:pStyle w:val="StandardWeb"/>
              <w:jc w:val="cente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pPr>
              <w:pStyle w:val="StandardWeb"/>
              <w:ind w:left="720"/>
            </w:pPr>
            <w:r>
              <w:t>□ Wochenstunden gemäß § 7 Absatz 2 der vorläufigen Entgeltordnung für Religionslehrerinnen und Religionslehrer im Kirchendienst</w:t>
            </w:r>
          </w:p>
          <w:p w:rsidR="00BE1EFE" w:rsidRDefault="00BE1EFE">
            <w:pPr>
              <w:pStyle w:val="StandardWeb"/>
              <w:ind w:left="720"/>
            </w:pPr>
          </w:p>
          <w:p w:rsidR="00BE1EFE" w:rsidRDefault="00BE1EFE">
            <w:pPr>
              <w:pStyle w:val="StandardWeb"/>
              <w:ind w:left="720"/>
            </w:pPr>
            <w:r>
              <w:t>□ einzeln anfallende Wochenstunden</w:t>
            </w:r>
          </w:p>
          <w:p w:rsidR="00BE1EFE" w:rsidRDefault="00BE1EFE">
            <w:pPr>
              <w:pStyle w:val="StandardWeb"/>
              <w:ind w:left="720"/>
            </w:pPr>
          </w:p>
          <w:p w:rsidR="00BE1EFE" w:rsidRPr="000B1AF8" w:rsidRDefault="00BE1EFE">
            <w:pPr>
              <w:pStyle w:val="StandardWeb"/>
              <w:ind w:left="720"/>
            </w:pPr>
            <w:r>
              <w:t>□ Jahreswochenstunden</w:t>
            </w:r>
          </w:p>
        </w:tc>
      </w:tr>
      <w:tr w:rsidR="00BE1EFE" w:rsidTr="00E47263">
        <w:tc>
          <w:tcPr>
            <w:tcW w:w="6907" w:type="dxa"/>
            <w:gridSpan w:val="12"/>
            <w:tcMar>
              <w:top w:w="0" w:type="dxa"/>
              <w:left w:w="108" w:type="dxa"/>
              <w:bottom w:w="0" w:type="dxa"/>
              <w:right w:w="108" w:type="dxa"/>
            </w:tcMar>
            <w:hideMark/>
          </w:tcPr>
          <w:p w:rsidR="00BE1EFE" w:rsidRDefault="00BE1EFE">
            <w:pPr>
              <w:rPr>
                <w:sz w:val="24"/>
              </w:rPr>
            </w:pPr>
            <w:r>
              <w:t> </w:t>
            </w:r>
          </w:p>
        </w:tc>
      </w:tr>
      <w:tr w:rsidR="00BE1EFE" w:rsidTr="00280188">
        <w:tc>
          <w:tcPr>
            <w:tcW w:w="6907" w:type="dxa"/>
            <w:gridSpan w:val="12"/>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w:t>
            </w:r>
            <w:r>
              <w:rPr>
                <w:b/>
              </w:rPr>
              <w:t> </w:t>
            </w:r>
            <w:r w:rsidRPr="00280188">
              <w:rPr>
                <w:b/>
              </w:rPr>
              <w:t>3 Vertragsausfertigung</w:t>
            </w:r>
          </w:p>
          <w:p w:rsidR="00BE1EFE" w:rsidRPr="000B1AF8" w:rsidRDefault="00BE1EFE">
            <w:pPr>
              <w:pStyle w:val="StandardWeb"/>
              <w:jc w:val="cente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tc>
      </w:tr>
    </w:tbl>
    <w:p w:rsidR="00BE1EFE" w:rsidRDefault="00BE1EFE" w:rsidP="005970F5"/>
    <w:p w:rsidR="00BE1EFE" w:rsidRDefault="00BE1EFE" w:rsidP="005970F5"/>
    <w:p w:rsidR="00BE1EFE" w:rsidRDefault="00BE1EFE" w:rsidP="00BF51C4">
      <w:pPr>
        <w:pStyle w:val="Leerzeile"/>
      </w:pPr>
    </w:p>
    <w:p w:rsidR="00BE1EFE" w:rsidRDefault="00BE1EFE" w:rsidP="00BF51C4">
      <w:pPr>
        <w:pStyle w:val="Leerzeile"/>
      </w:pPr>
    </w:p>
    <w:p w:rsidR="00BE1EFE" w:rsidRDefault="00BE1EFE">
      <w:pPr>
        <w:pStyle w:val="berschrift5"/>
      </w:pPr>
      <w:bookmarkStart w:id="932" w:name="_Toc523926454"/>
      <w:r>
        <w:lastRenderedPageBreak/>
        <w:t>Anlage für Lehrkräfte an Schulen in kirchlicher Trägerschaft</w:t>
      </w:r>
      <w:bookmarkEnd w:id="932"/>
    </w:p>
    <w:tbl>
      <w:tblPr>
        <w:tblW w:w="0" w:type="auto"/>
        <w:tblCellMar>
          <w:left w:w="0" w:type="dxa"/>
          <w:right w:w="0" w:type="dxa"/>
        </w:tblCellMar>
        <w:tblLook w:val="04A0" w:firstRow="1" w:lastRow="0" w:firstColumn="1" w:lastColumn="0" w:noHBand="0" w:noVBand="1"/>
      </w:tblPr>
      <w:tblGrid>
        <w:gridCol w:w="1023"/>
        <w:gridCol w:w="116"/>
        <w:gridCol w:w="367"/>
        <w:gridCol w:w="394"/>
        <w:gridCol w:w="1589"/>
        <w:gridCol w:w="1019"/>
        <w:gridCol w:w="1019"/>
        <w:gridCol w:w="798"/>
        <w:gridCol w:w="582"/>
      </w:tblGrid>
      <w:tr w:rsidR="00BE1EFE" w:rsidTr="004227CF">
        <w:tc>
          <w:tcPr>
            <w:tcW w:w="6907" w:type="dxa"/>
            <w:gridSpan w:val="9"/>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Default="00BE1EFE" w:rsidP="004227CF">
            <w:pPr>
              <w:pStyle w:val="StandardWeb"/>
              <w:jc w:val="center"/>
              <w:rPr>
                <w:b/>
              </w:rPr>
            </w:pPr>
          </w:p>
          <w:p w:rsidR="00BE1EFE" w:rsidRPr="00280188" w:rsidRDefault="00BE1EFE" w:rsidP="004227CF">
            <w:pPr>
              <w:pStyle w:val="StandardWeb"/>
              <w:jc w:val="center"/>
              <w:rPr>
                <w:b/>
              </w:rPr>
            </w:pPr>
            <w:r>
              <w:rPr>
                <w:b/>
              </w:rPr>
              <w:t>Vereinbarung zum Arbeitsvertrag</w:t>
            </w:r>
          </w:p>
          <w:p w:rsidR="00BE1EFE" w:rsidRPr="00280188" w:rsidRDefault="00BE1EFE" w:rsidP="004227CF">
            <w:pPr>
              <w:pStyle w:val="StandardWeb"/>
              <w:jc w:val="center"/>
              <w:rPr>
                <w:b/>
              </w:rPr>
            </w:pPr>
            <w:r w:rsidRPr="00280188">
              <w:rPr>
                <w:b/>
              </w:rPr>
              <w:t>zur Inanspruchnahm</w:t>
            </w:r>
            <w:r>
              <w:rPr>
                <w:b/>
              </w:rPr>
              <w:t>e der Arbeitszeitkontenregelung</w:t>
            </w:r>
          </w:p>
          <w:p w:rsidR="00BE1EFE" w:rsidRDefault="00BE1EFE">
            <w:pPr>
              <w:pStyle w:val="StandardWeb"/>
              <w:jc w:val="center"/>
              <w:rPr>
                <w:b/>
              </w:rPr>
            </w:pPr>
            <w:r w:rsidRPr="00280188">
              <w:rPr>
                <w:b/>
              </w:rPr>
              <w:t>(§ 10 AZKR)</w:t>
            </w:r>
          </w:p>
          <w:p w:rsidR="00BE1EFE" w:rsidRPr="000B1AF8" w:rsidRDefault="00BE1EFE">
            <w:pPr>
              <w:pStyle w:val="StandardWeb"/>
              <w:jc w:val="center"/>
            </w:pPr>
          </w:p>
        </w:tc>
      </w:tr>
      <w:tr w:rsidR="00BE1EFE" w:rsidTr="004227CF">
        <w:tc>
          <w:tcPr>
            <w:tcW w:w="1139" w:type="dxa"/>
            <w:gridSpan w:val="2"/>
            <w:tcMar>
              <w:top w:w="0" w:type="dxa"/>
              <w:left w:w="108" w:type="dxa"/>
              <w:bottom w:w="0" w:type="dxa"/>
              <w:right w:w="108" w:type="dxa"/>
            </w:tcMar>
            <w:hideMark/>
          </w:tcPr>
          <w:p w:rsidR="00BE1EFE" w:rsidRPr="000B1AF8" w:rsidRDefault="00BE1EFE">
            <w:pPr>
              <w:pStyle w:val="StandardWeb"/>
            </w:pPr>
            <w:r>
              <w:t>Zwischen</w:t>
            </w:r>
          </w:p>
        </w:tc>
        <w:tc>
          <w:tcPr>
            <w:tcW w:w="367" w:type="dxa"/>
            <w:tcMar>
              <w:top w:w="0" w:type="dxa"/>
              <w:left w:w="108" w:type="dxa"/>
              <w:bottom w:w="0" w:type="dxa"/>
              <w:right w:w="108" w:type="dxa"/>
            </w:tcMar>
            <w:hideMark/>
          </w:tcPr>
          <w:p w:rsidR="00BE1EFE" w:rsidRDefault="00BE1EFE">
            <w:pPr>
              <w:rPr>
                <w:sz w:val="24"/>
              </w:rPr>
            </w:pPr>
            <w:r>
              <w:t> </w:t>
            </w:r>
          </w:p>
        </w:tc>
        <w:tc>
          <w:tcPr>
            <w:tcW w:w="1983" w:type="dxa"/>
            <w:gridSpan w:val="2"/>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Default="00BE1EFE">
            <w:pPr>
              <w:rPr>
                <w:sz w:val="24"/>
              </w:rPr>
            </w:pPr>
            <w:r>
              <w:t> </w:t>
            </w:r>
          </w:p>
        </w:tc>
      </w:tr>
      <w:tr w:rsidR="00BE1EFE" w:rsidTr="004227CF">
        <w:tc>
          <w:tcPr>
            <w:tcW w:w="1023" w:type="dxa"/>
            <w:tcMar>
              <w:top w:w="0" w:type="dxa"/>
              <w:left w:w="108" w:type="dxa"/>
              <w:bottom w:w="0" w:type="dxa"/>
              <w:right w:w="108" w:type="dxa"/>
            </w:tcMar>
            <w:hideMark/>
          </w:tcPr>
          <w:p w:rsidR="00BE1EFE" w:rsidRPr="000B1AF8" w:rsidRDefault="00BE1EFE">
            <w:pPr>
              <w:pStyle w:val="StandardWeb"/>
            </w:pPr>
            <w:r>
              <w:t>dem/der</w:t>
            </w:r>
          </w:p>
        </w:tc>
        <w:tc>
          <w:tcPr>
            <w:tcW w:w="4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4227CF">
        <w:tc>
          <w:tcPr>
            <w:tcW w:w="1506" w:type="dxa"/>
            <w:gridSpan w:val="3"/>
            <w:tcMar>
              <w:top w:w="0" w:type="dxa"/>
              <w:left w:w="108" w:type="dxa"/>
              <w:bottom w:w="0" w:type="dxa"/>
              <w:right w:w="108" w:type="dxa"/>
            </w:tcMar>
            <w:hideMark/>
          </w:tcPr>
          <w:p w:rsidR="00BE1EFE" w:rsidRPr="000B1AF8" w:rsidRDefault="00BE1EFE">
            <w:pPr>
              <w:pStyle w:val="StandardWeb"/>
            </w:pPr>
            <w:r>
              <w:t>vertreten durch</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817"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582" w:type="dxa"/>
            <w:tcMar>
              <w:top w:w="0" w:type="dxa"/>
              <w:left w:w="108" w:type="dxa"/>
              <w:bottom w:w="0" w:type="dxa"/>
              <w:right w:w="108" w:type="dxa"/>
            </w:tcMar>
            <w:hideMark/>
          </w:tcPr>
          <w:p w:rsidR="00BE1EFE" w:rsidRPr="000B1AF8" w:rsidRDefault="00BE1EFE">
            <w:pPr>
              <w:pStyle w:val="StandardWeb"/>
              <w:jc w:val="right"/>
            </w:pPr>
            <w:r>
              <w:t>und</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1139" w:type="dxa"/>
            <w:gridSpan w:val="2"/>
            <w:tcMar>
              <w:top w:w="0" w:type="dxa"/>
              <w:left w:w="108" w:type="dxa"/>
              <w:bottom w:w="0" w:type="dxa"/>
              <w:right w:w="108" w:type="dxa"/>
            </w:tcMar>
            <w:hideMark/>
          </w:tcPr>
          <w:p w:rsidR="00BE1EFE" w:rsidRPr="000B1AF8" w:rsidRDefault="00BE1EFE">
            <w:pPr>
              <w:pStyle w:val="StandardWeb"/>
            </w:pPr>
            <w:r>
              <w:t>Herrn/Frau</w:t>
            </w:r>
          </w:p>
        </w:tc>
        <w:tc>
          <w:tcPr>
            <w:tcW w:w="367"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pPr>
              <w:pStyle w:val="StandardWeb"/>
              <w:jc w:val="right"/>
            </w:pPr>
            <w:r>
              <w:t>(Lehrkraft)</w:t>
            </w:r>
          </w:p>
        </w:tc>
      </w:tr>
      <w:tr w:rsidR="00BE1EFE" w:rsidTr="004227CF">
        <w:tc>
          <w:tcPr>
            <w:tcW w:w="1139" w:type="dxa"/>
            <w:gridSpan w:val="2"/>
            <w:tcMar>
              <w:top w:w="0" w:type="dxa"/>
              <w:left w:w="108" w:type="dxa"/>
              <w:bottom w:w="0" w:type="dxa"/>
              <w:right w:w="108" w:type="dxa"/>
            </w:tcMar>
            <w:hideMark/>
          </w:tcPr>
          <w:p w:rsidR="00BE1EFE" w:rsidRDefault="00BE1EFE">
            <w:pPr>
              <w:rPr>
                <w:sz w:val="24"/>
              </w:rPr>
            </w:pPr>
            <w:r>
              <w:t> </w:t>
            </w:r>
          </w:p>
        </w:tc>
        <w:tc>
          <w:tcPr>
            <w:tcW w:w="2350" w:type="dxa"/>
            <w:gridSpan w:val="3"/>
            <w:tcMar>
              <w:top w:w="0" w:type="dxa"/>
              <w:left w:w="108" w:type="dxa"/>
              <w:bottom w:w="0" w:type="dxa"/>
              <w:right w:w="108" w:type="dxa"/>
            </w:tcMar>
            <w:hideMark/>
          </w:tcPr>
          <w:p w:rsidR="00BE1EFE" w:rsidRPr="000B1AF8" w:rsidRDefault="00BE1EFE">
            <w:pPr>
              <w:pStyle w:val="StandardWeb"/>
            </w:pPr>
            <w:r>
              <w:t>(Vor- und Zuname)</w:t>
            </w:r>
          </w:p>
        </w:tc>
        <w:tc>
          <w:tcPr>
            <w:tcW w:w="1019" w:type="dxa"/>
            <w:tcMar>
              <w:top w:w="0" w:type="dxa"/>
              <w:left w:w="108" w:type="dxa"/>
              <w:bottom w:w="0" w:type="dxa"/>
              <w:right w:w="108" w:type="dxa"/>
            </w:tcMar>
            <w:hideMark/>
          </w:tcPr>
          <w:p w:rsidR="00BE1EFE" w:rsidRDefault="00BE1EFE">
            <w:pPr>
              <w:rPr>
                <w:sz w:val="24"/>
              </w:rPr>
            </w:pPr>
            <w:r>
              <w:t> </w:t>
            </w:r>
          </w:p>
        </w:tc>
        <w:tc>
          <w:tcPr>
            <w:tcW w:w="1019" w:type="dxa"/>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1900" w:type="dxa"/>
            <w:gridSpan w:val="4"/>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260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4227CF">
        <w:tc>
          <w:tcPr>
            <w:tcW w:w="1139"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367"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983"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019"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380" w:type="dxa"/>
            <w:gridSpan w:val="2"/>
            <w:tcMar>
              <w:top w:w="0" w:type="dxa"/>
              <w:left w:w="108" w:type="dxa"/>
              <w:bottom w:w="0" w:type="dxa"/>
              <w:right w:w="108" w:type="dxa"/>
            </w:tcMar>
            <w:hideMark/>
          </w:tcPr>
          <w:p w:rsidR="00BE1EFE" w:rsidRPr="000B1AF8" w:rsidRDefault="00BE1EFE" w:rsidP="0028239F">
            <w:pPr>
              <w:pStyle w:val="StandardWeb"/>
            </w:pPr>
            <w:r>
              <w:t>folgende</w:t>
            </w:r>
          </w:p>
        </w:tc>
      </w:tr>
      <w:tr w:rsidR="00BE1EFE" w:rsidTr="004227CF">
        <w:tc>
          <w:tcPr>
            <w:tcW w:w="6907" w:type="dxa"/>
            <w:gridSpan w:val="9"/>
            <w:tcMar>
              <w:top w:w="0" w:type="dxa"/>
              <w:left w:w="108" w:type="dxa"/>
              <w:bottom w:w="0" w:type="dxa"/>
              <w:right w:w="108" w:type="dxa"/>
            </w:tcMar>
          </w:tcPr>
          <w:p w:rsidR="00BE1EFE" w:rsidRDefault="00BE1EFE">
            <w:pPr>
              <w:pStyle w:val="StandardWeb"/>
              <w:jc w:val="center"/>
            </w:pPr>
          </w:p>
        </w:tc>
      </w:tr>
      <w:tr w:rsidR="00BE1EFE" w:rsidTr="004227CF">
        <w:tc>
          <w:tcPr>
            <w:tcW w:w="6907" w:type="dxa"/>
            <w:gridSpan w:val="9"/>
            <w:tcMar>
              <w:top w:w="0" w:type="dxa"/>
              <w:left w:w="108" w:type="dxa"/>
              <w:bottom w:w="0" w:type="dxa"/>
              <w:right w:w="108" w:type="dxa"/>
            </w:tcMar>
            <w:hideMark/>
          </w:tcPr>
          <w:p w:rsidR="00BE1EFE" w:rsidRPr="000B1AF8" w:rsidRDefault="00BE1EFE">
            <w:pPr>
              <w:pStyle w:val="StandardWeb"/>
              <w:jc w:val="center"/>
            </w:pPr>
            <w:r>
              <w:t xml:space="preserve">Vereinbarung zum Arbeitsvertrag vom </w:t>
            </w:r>
            <w:r w:rsidRPr="001B52C7">
              <w:rPr>
                <w:b/>
              </w:rPr>
              <w:t>___________________</w:t>
            </w:r>
            <w:r>
              <w:t xml:space="preserve"> geschlossen:</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sidRPr="00280188">
              <w:rPr>
                <w:b/>
              </w:rPr>
              <w:t>§ 1 Arbeitszeit</w:t>
            </w:r>
          </w:p>
          <w:p w:rsidR="00BE1EFE" w:rsidRPr="000B1AF8" w:rsidRDefault="00BE1EFE">
            <w:pPr>
              <w:pStyle w:val="StandardWeb"/>
              <w:jc w:val="center"/>
            </w:pPr>
          </w:p>
          <w:p w:rsidR="00BE1EFE" w:rsidRDefault="00BE1EFE">
            <w:pPr>
              <w:pStyle w:val="StandardWeb"/>
            </w:pPr>
            <w:r>
              <w:t>Abweichend vom o. a. Arbeitsvertrag wird die Leistung der Arbeitszeit sowie die Inanspruch</w:t>
            </w:r>
            <w:r>
              <w:softHyphen/>
              <w:t xml:space="preserve">nahme von Zeitguthaben bzw. deren Abgeltung in Form der Arbeitszeitkontenregelung </w:t>
            </w:r>
          </w:p>
          <w:p w:rsidR="00BE1EFE" w:rsidRPr="000B1AF8" w:rsidRDefault="00BE1EFE">
            <w:pPr>
              <w:pStyle w:val="StandardWeb"/>
            </w:pPr>
            <w:r>
              <w:t>vom </w:t>
            </w:r>
            <w:r w:rsidRPr="001B52C7">
              <w:rPr>
                <w:b/>
              </w:rPr>
              <w:t>__________________</w:t>
            </w:r>
            <w:r w:rsidRPr="001B52C7">
              <w:rPr>
                <w:b/>
                <w:u w:val="single"/>
              </w:rPr>
              <w:t xml:space="preserve"> </w:t>
            </w:r>
            <w:r w:rsidRPr="0028239F">
              <w:t> </w:t>
            </w:r>
            <w:r>
              <w:t>unbefristet/ab </w:t>
            </w:r>
            <w:r w:rsidRPr="001B52C7">
              <w:rPr>
                <w:b/>
                <w:u w:val="single"/>
              </w:rPr>
              <w:t xml:space="preserve"> </w:t>
            </w:r>
            <w:r w:rsidRPr="001B52C7">
              <w:rPr>
                <w:b/>
              </w:rPr>
              <w:t>_______________________</w:t>
            </w:r>
            <w:r>
              <w:br/>
              <w:t xml:space="preserve">bis </w:t>
            </w:r>
            <w:r w:rsidRPr="001B52C7">
              <w:rPr>
                <w:b/>
              </w:rPr>
              <w:t>___________________________</w:t>
            </w:r>
            <w:r>
              <w:t> vereinbart.</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Pr>
                <w:b/>
              </w:rPr>
              <w:t xml:space="preserve">§ 2 </w:t>
            </w:r>
            <w:r w:rsidRPr="00280188">
              <w:rPr>
                <w:b/>
              </w:rPr>
              <w:t>Zeitgutschriften</w:t>
            </w:r>
          </w:p>
          <w:p w:rsidR="00BE1EFE" w:rsidRPr="000B1AF8" w:rsidRDefault="00BE1EFE">
            <w:pPr>
              <w:pStyle w:val="StandardWeb"/>
              <w:jc w:val="center"/>
            </w:pPr>
          </w:p>
          <w:p w:rsidR="00BE1EFE" w:rsidRDefault="00BE1EFE">
            <w:pPr>
              <w:pStyle w:val="StandardWeb"/>
            </w:pPr>
            <w:r>
              <w:t>Es wird vereinbart folgende Zeitgutschriften dem Arbeitszeitkonto gutzuschreiben:</w:t>
            </w:r>
          </w:p>
          <w:p w:rsidR="00BE1EFE" w:rsidRDefault="00BE1EFE">
            <w:pPr>
              <w:pStyle w:val="StandardWeb"/>
            </w:pPr>
          </w:p>
          <w:p w:rsidR="00BE1EFE" w:rsidRDefault="00BE1EFE">
            <w:pPr>
              <w:pStyle w:val="StandardWeb"/>
              <w:ind w:left="720"/>
            </w:pPr>
            <w:r>
              <w:t>□ als Mehrarbeit vergütungspflichtige Unterrichtsstunden</w:t>
            </w:r>
          </w:p>
          <w:p w:rsidR="00BE1EFE" w:rsidRDefault="00BE1EFE">
            <w:pPr>
              <w:pStyle w:val="StandardWeb"/>
              <w:ind w:left="720"/>
            </w:pPr>
          </w:p>
          <w:p w:rsidR="00BE1EFE" w:rsidRPr="000B1AF8" w:rsidRDefault="00BE1EFE">
            <w:pPr>
              <w:pStyle w:val="StandardWeb"/>
              <w:ind w:left="720"/>
            </w:pPr>
            <w:r>
              <w:t>□ einzeln anfallende Wochenstunden</w:t>
            </w:r>
          </w:p>
        </w:tc>
      </w:tr>
      <w:tr w:rsidR="00BE1EFE" w:rsidTr="004227CF">
        <w:tc>
          <w:tcPr>
            <w:tcW w:w="6907" w:type="dxa"/>
            <w:gridSpan w:val="9"/>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9"/>
            <w:tcMar>
              <w:top w:w="0" w:type="dxa"/>
              <w:left w:w="108" w:type="dxa"/>
              <w:bottom w:w="0" w:type="dxa"/>
              <w:right w:w="108" w:type="dxa"/>
            </w:tcMar>
            <w:hideMark/>
          </w:tcPr>
          <w:p w:rsidR="00BE1EFE" w:rsidRDefault="00BE1EFE">
            <w:pPr>
              <w:pStyle w:val="StandardWeb"/>
              <w:jc w:val="center"/>
              <w:rPr>
                <w:b/>
              </w:rPr>
            </w:pPr>
          </w:p>
          <w:p w:rsidR="00BE1EFE" w:rsidRPr="00280188" w:rsidRDefault="00BE1EFE">
            <w:pPr>
              <w:pStyle w:val="StandardWeb"/>
              <w:jc w:val="center"/>
              <w:rPr>
                <w:b/>
              </w:rPr>
            </w:pPr>
            <w:r>
              <w:rPr>
                <w:b/>
              </w:rPr>
              <w:t xml:space="preserve">§ 3 </w:t>
            </w:r>
            <w:r w:rsidRPr="00280188">
              <w:rPr>
                <w:b/>
              </w:rPr>
              <w:t>Vertragsausfertigung</w:t>
            </w:r>
          </w:p>
          <w:p w:rsidR="00BE1EFE" w:rsidRPr="000B1AF8" w:rsidRDefault="00BE1EFE">
            <w:pPr>
              <w:pStyle w:val="StandardWeb"/>
              <w:jc w:val="center"/>
            </w:pPr>
          </w:p>
          <w:p w:rsidR="00BE1EFE" w:rsidRDefault="00BE1EFE">
            <w:pPr>
              <w:pStyle w:val="StandardWeb"/>
            </w:pPr>
            <w:r>
              <w:t>Jede Vertragspartei erhält eine 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 xml:space="preserve"> Ist zur Rechtswirksamkeit dieses Vertrages die Genehmigung einer Kirchlichen Stiftungsaufsichtsbehörde erforderlich, so ist ein entsprechender Vorbehalt anzugeben.</w:t>
            </w:r>
          </w:p>
        </w:tc>
      </w:tr>
    </w:tbl>
    <w:p w:rsidR="00BE1EFE" w:rsidRDefault="00BE1EFE" w:rsidP="008D4CEA">
      <w:pPr>
        <w:pStyle w:val="StandardWeb"/>
      </w:pPr>
      <w:r>
        <w:br w:type="page"/>
      </w:r>
    </w:p>
    <w:p w:rsidR="00BE1EFE" w:rsidRPr="006923FC" w:rsidRDefault="00BE1EFE" w:rsidP="00A264B5">
      <w:pPr>
        <w:pStyle w:val="berschrift4"/>
        <w:spacing w:before="0"/>
        <w:rPr>
          <w:u w:val="single"/>
        </w:rPr>
      </w:pPr>
      <w:bookmarkStart w:id="933" w:name="_Toc523926455"/>
      <w:r w:rsidRPr="001B1582">
        <w:lastRenderedPageBreak/>
        <w:t>D, 5. Sabbatjahrregelung</w:t>
      </w:r>
      <w:bookmarkEnd w:id="933"/>
    </w:p>
    <w:p w:rsidR="00BE1EFE" w:rsidRDefault="00BE1EFE">
      <w:pPr>
        <w:pStyle w:val="berschrift5"/>
      </w:pPr>
      <w:bookmarkStart w:id="934" w:name="_Toc523926456"/>
      <w:r>
        <w:t>Präambel</w:t>
      </w:r>
      <w:bookmarkEnd w:id="934"/>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 der Sabbatjahrregelung (SJR) wird Arbeitszeit über einen längeren Zeitraum angespart und anschließend durch Freistellung abgerufen. </w:t>
      </w:r>
      <w:r>
        <w:rPr>
          <w:rStyle w:val="kleinschrift"/>
        </w:rPr>
        <w:t>2</w:t>
      </w:r>
      <w:r>
        <w:t xml:space="preserve">Der Gesamtumfang der Tätigkeit – und dementsprechend auch die Bezüge – wird während der Laufzeit vermindert. </w:t>
      </w:r>
      <w:r>
        <w:rPr>
          <w:rStyle w:val="kleinschrift"/>
        </w:rPr>
        <w:t>3</w:t>
      </w:r>
      <w:r>
        <w:t xml:space="preserve">Die/der Beschäftigte erbringt zunächst ihre/seine Arbeitsleistung im jeweils vereinbarten Umfang und spart dadurch ein Wertguthaben i. S. d. </w:t>
      </w:r>
      <w:hyperlink r:id="rId1198" w:tgtFrame="_blank" w:history="1">
        <w:r>
          <w:rPr>
            <w:rStyle w:val="Hyperlink"/>
          </w:rPr>
          <w:t>§ 7 SGB IV</w:t>
        </w:r>
      </w:hyperlink>
      <w:r>
        <w:t xml:space="preserve"> an (Ansparphase). </w:t>
      </w:r>
      <w:r>
        <w:rPr>
          <w:rStyle w:val="kleinschrift"/>
        </w:rPr>
        <w:t>4</w:t>
      </w:r>
      <w:r>
        <w:t xml:space="preserve">Am Ende der Laufzeit wird die/der Beschäftigte von ihrer/seiner Arbeitsverpflichtung freigestellt (Freizeitphase; sog. Sabbatjahr). </w:t>
      </w:r>
      <w:r>
        <w:rPr>
          <w:rStyle w:val="kleinschrift"/>
        </w:rPr>
        <w:t>5</w:t>
      </w:r>
      <w:r>
        <w:t xml:space="preserve">Durch Einbeziehung der Freizeitphase entsteht ein Teilzeitarbeitsverhältnis. </w:t>
      </w:r>
      <w:r>
        <w:rPr>
          <w:rStyle w:val="kleinschrift"/>
        </w:rPr>
        <w:t>6</w:t>
      </w:r>
      <w:r>
        <w:t>Die Bezüge sind während der gesamten Laufzeit gleichmäßig verringert; auch während des Sabbatjahres wird die verminderte Vergütung bezahlt.</w:t>
      </w:r>
    </w:p>
    <w:p w:rsidR="00BE1EFE" w:rsidRDefault="00BE1EFE" w:rsidP="005B409E">
      <w:pPr>
        <w:pStyle w:val="berschrift5"/>
        <w:spacing w:before="120" w:after="120"/>
      </w:pPr>
      <w:bookmarkStart w:id="935" w:name="_Toc523926457"/>
      <w:r>
        <w:t>§ 1 Geltungsbereich</w:t>
      </w:r>
      <w:bookmarkEnd w:id="935"/>
    </w:p>
    <w:p w:rsidR="00BE1EFE" w:rsidRPr="00B76821" w:rsidRDefault="00BE1EFE" w:rsidP="00B76821">
      <w:pPr>
        <w:pStyle w:val="berschrift6"/>
        <w:keepNext w:val="0"/>
        <w:spacing w:before="0" w:after="0"/>
        <w:rPr>
          <w:sz w:val="2"/>
        </w:rPr>
      </w:pPr>
    </w:p>
    <w:p w:rsidR="00BE1EFE" w:rsidRPr="000B1AF8" w:rsidRDefault="00BE1EFE">
      <w:pPr>
        <w:pStyle w:val="StandardWeb"/>
      </w:pPr>
      <w:r>
        <w:t>Die Bestimmungen der SJR gelten nicht für Beschäftigte in befristeten Arbeitsverhältnissen, Mitarbeiter in Ausbildungsverhältnissen sowie für Mitarbeiter im Sinne des § 3 Absatz 2 MAVO.</w:t>
      </w:r>
    </w:p>
    <w:p w:rsidR="00BE1EFE" w:rsidRDefault="00BE1EFE" w:rsidP="005B409E">
      <w:pPr>
        <w:pStyle w:val="berschrift5"/>
        <w:spacing w:before="120" w:after="120"/>
      </w:pPr>
      <w:bookmarkStart w:id="936" w:name="_Toc523926458"/>
      <w:r>
        <w:t>§ 2 Antragstellung</w:t>
      </w:r>
      <w:bookmarkEnd w:id="936"/>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Beschäftigte können die Einrichtung und Führung eines Ansparkontos schriftlich beantragen. </w:t>
      </w:r>
      <w:r>
        <w:rPr>
          <w:rStyle w:val="kleinschrift"/>
        </w:rPr>
        <w:t>2</w:t>
      </w:r>
      <w:r>
        <w:t>Der/dem Beschäftigten ist die Inanspruchnahme der SJR zu gewähren, soweit nicht dringende dienstliche bzw. einrichtungsspezifische Gründe entgegenstehen.</w:t>
      </w:r>
    </w:p>
    <w:p w:rsidR="00BE1EFE" w:rsidRPr="000B1AF8" w:rsidRDefault="00BE1EFE">
      <w:pPr>
        <w:pStyle w:val="StandardWeb"/>
      </w:pPr>
    </w:p>
    <w:p w:rsidR="00BE1EFE" w:rsidRDefault="00BE1EFE">
      <w:pPr>
        <w:pStyle w:val="StandardWeb"/>
      </w:pPr>
      <w:r>
        <w:t>(2) Der Beginn der Inanspruchnahme erfolgt gemäß der Vereinbarung zwischen Arbeitgeber und Beschäftigter/Beschäftigtem.</w:t>
      </w:r>
    </w:p>
    <w:p w:rsidR="00BE1EFE" w:rsidRDefault="00BE1EFE">
      <w:pPr>
        <w:pStyle w:val="StandardWeb"/>
      </w:pPr>
    </w:p>
    <w:p w:rsidR="00BE1EFE" w:rsidRDefault="00BE1EFE">
      <w:pPr>
        <w:pStyle w:val="StandardWeb"/>
      </w:pPr>
      <w:r>
        <w:t>(3) Bei Wiederaufnahme der Beschäftigung besteht kein Anspruch auf Beschäftigung am ursprünglichen Arbeitsplatz.</w:t>
      </w:r>
    </w:p>
    <w:p w:rsidR="00BE1EFE" w:rsidRDefault="00BE1EFE" w:rsidP="005B409E">
      <w:pPr>
        <w:pStyle w:val="berschrift5"/>
        <w:spacing w:before="120" w:after="120"/>
      </w:pPr>
      <w:bookmarkStart w:id="937" w:name="_Toc523926459"/>
      <w:r>
        <w:t>§ 3 Regelmäßige durchschnittliche wöchentliche Arbeitszeit</w:t>
      </w:r>
      <w:bookmarkEnd w:id="937"/>
    </w:p>
    <w:p w:rsidR="00BE1EFE" w:rsidRPr="00B76821" w:rsidRDefault="00BE1EFE" w:rsidP="00B76821">
      <w:pPr>
        <w:pStyle w:val="berschrift6"/>
        <w:keepNext w:val="0"/>
        <w:spacing w:before="0" w:after="0"/>
        <w:rPr>
          <w:sz w:val="2"/>
        </w:rPr>
      </w:pPr>
    </w:p>
    <w:p w:rsidR="00BE1EFE" w:rsidRPr="000B1AF8" w:rsidRDefault="00BE1EFE">
      <w:pPr>
        <w:pStyle w:val="StandardWeb"/>
      </w:pPr>
      <w:r>
        <w:t>(1) Durch die Inanspruchnahme der SJR wird die arbeitsvertraglich vereinbarte Arbeitszeit der/des Beschäftigten entsprechend der Vereinbarung zur Änderung des Arbeitsvertrages (Anlage) geändert.</w:t>
      </w:r>
    </w:p>
    <w:p w:rsidR="00BE1EFE" w:rsidRPr="000B1AF8" w:rsidRDefault="00BE1EFE">
      <w:pPr>
        <w:pStyle w:val="StandardWeb"/>
      </w:pPr>
    </w:p>
    <w:p w:rsidR="00BE1EFE" w:rsidRDefault="00BE1EFE">
      <w:pPr>
        <w:pStyle w:val="StandardWeb"/>
      </w:pPr>
      <w:r>
        <w:t>(2) In der Vereinbarung zur Änderung des Arbeitsvertrages (Anlage) ist der Zeitraum der Ansparphase sowie der Zeitraum der Freistellungsphase festzulegen.</w:t>
      </w:r>
    </w:p>
    <w:p w:rsidR="00BE1EFE" w:rsidRDefault="00BE1EFE" w:rsidP="005B409E">
      <w:pPr>
        <w:pStyle w:val="berschrift5"/>
        <w:spacing w:before="120" w:after="120"/>
      </w:pPr>
      <w:bookmarkStart w:id="938" w:name="_Toc523926460"/>
      <w:r>
        <w:t>§ 4 Ansparkonto</w:t>
      </w:r>
      <w:bookmarkEnd w:id="938"/>
    </w:p>
    <w:p w:rsidR="00BE1EFE" w:rsidRPr="00B76821" w:rsidRDefault="00BE1EFE" w:rsidP="00B76821">
      <w:pPr>
        <w:pStyle w:val="berschrift6"/>
        <w:keepNext w:val="0"/>
        <w:spacing w:before="0" w:after="0"/>
        <w:rPr>
          <w:sz w:val="2"/>
        </w:rPr>
      </w:pPr>
    </w:p>
    <w:p w:rsidR="00BE1EFE" w:rsidRPr="000B1AF8" w:rsidRDefault="00BE1EFE">
      <w:pPr>
        <w:pStyle w:val="StandardWeb"/>
      </w:pPr>
      <w:r>
        <w:t>(1) In einem Zeitraum bis zu 15 Jahren muss die/der Beschäftigte auf einem vom Arbeitgeber zu führenden Ansparkonto Arbeitszeiten ansparen, aufgrund derer ihr/ihm in der Freizeitphase die Fortzahlung ihres/seines Entgelts zu gewähren ist.</w:t>
      </w:r>
    </w:p>
    <w:p w:rsidR="00BE1EFE" w:rsidRPr="000B1AF8" w:rsidRDefault="00BE1EFE">
      <w:pPr>
        <w:pStyle w:val="StandardWeb"/>
      </w:pPr>
    </w:p>
    <w:p w:rsidR="00BE1EFE" w:rsidRDefault="00BE1EFE">
      <w:pPr>
        <w:pStyle w:val="StandardWeb"/>
      </w:pPr>
      <w:r>
        <w:t>(2) Angespart wird grundsätzlich die Differenz zwischen der arbeitsvertraglich vereinbarten regelmäßigen durchschnittlichen wöchentlichen Arbeitszeit und der für den Zeitraum der Ansparphase vereinbarten regelmäßigen durchschnittlichen wöchentlichen Arbeitszeit.</w:t>
      </w:r>
    </w:p>
    <w:p w:rsidR="00BE1EFE" w:rsidRDefault="00BE1EFE">
      <w:pPr>
        <w:pStyle w:val="StandardWeb"/>
      </w:pPr>
    </w:p>
    <w:p w:rsidR="00BE1EFE" w:rsidRDefault="00BE1EFE">
      <w:pPr>
        <w:pStyle w:val="StandardWeb"/>
      </w:pPr>
      <w:r>
        <w:t xml:space="preserve">(3) Für die Leistung von zusätzlichen Arbeitsstunden sowie für die Dienste zu ungünstigen Zeiten gelten die Regelungen des </w:t>
      </w:r>
      <w:hyperlink r:id="rId1199" w:history="1">
        <w:r w:rsidRPr="002D1F1D">
          <w:rPr>
            <w:rStyle w:val="Hyperlink"/>
          </w:rPr>
          <w:t>Teil A, 1</w:t>
        </w:r>
      </w:hyperlink>
      <w:r>
        <w:t xml:space="preserve">.; diese Ansprüche werden dem Ansparkonto nicht </w:t>
      </w:r>
      <w:r>
        <w:lastRenderedPageBreak/>
        <w:t xml:space="preserve">gutgeschrieben; sie sind der/dem Beschäftigten nach den einschlägigen Regelungen des </w:t>
      </w:r>
      <w:hyperlink r:id="rId1200" w:history="1">
        <w:r w:rsidRPr="002D1F1D">
          <w:rPr>
            <w:rStyle w:val="Hyperlink"/>
          </w:rPr>
          <w:t>Teil A, 1.</w:t>
        </w:r>
      </w:hyperlink>
      <w:r>
        <w:t xml:space="preserve"> zu gewähren.</w:t>
      </w:r>
    </w:p>
    <w:p w:rsidR="00BE1EFE" w:rsidRDefault="00BE1EFE" w:rsidP="005B409E">
      <w:pPr>
        <w:pStyle w:val="berschrift5"/>
        <w:spacing w:before="120" w:after="120"/>
      </w:pPr>
      <w:bookmarkStart w:id="939" w:name="_Toc523926461"/>
      <w:r>
        <w:t>§ 5 Bezüge</w:t>
      </w:r>
      <w:bookmarkEnd w:id="939"/>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Während der Ansparphase und während der Freizeitphase erhält die/der Beschäftigte die vereinbarten Bezüge, die ihm aufgrund des Änderungsvertrages (Anlage gem. § 4 Absatz 1 SJR) zustehen. </w:t>
      </w:r>
      <w:r>
        <w:rPr>
          <w:rStyle w:val="kleinschrift"/>
        </w:rPr>
        <w:t>2</w:t>
      </w:r>
      <w:r>
        <w:t>Die Beiträge zur Sozialversicherung errechnen sich aus den verminderten Bezügen.</w:t>
      </w:r>
    </w:p>
    <w:p w:rsidR="00BE1EFE" w:rsidRDefault="00BE1EFE" w:rsidP="005B409E">
      <w:pPr>
        <w:pStyle w:val="berschrift5"/>
        <w:spacing w:before="120" w:after="120"/>
      </w:pPr>
      <w:bookmarkStart w:id="940" w:name="_Toc523926462"/>
      <w:r>
        <w:t>§ 6 Vorzeitige Beendigung/Überführung</w:t>
      </w:r>
      <w:bookmarkEnd w:id="94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Wird während der Ansparphase die Vereinbarung zur Änderung des Arbeitsvertrages zur Inanspruchnahme der Sabbatjahrregelung aus wichtigen persönlichen oder betrieblichen Gründen von der/dem Beschäftigten oder vom Arbeitgeber gekündigt, so werden die angesparten Zeiten entweder entsprechend den einschlägigen Regelungen des Teil </w:t>
      </w:r>
      <w:hyperlink r:id="rId1201" w:history="1">
        <w:r w:rsidRPr="002D1F1D">
          <w:rPr>
            <w:rStyle w:val="Hyperlink"/>
          </w:rPr>
          <w:t>A, 1.</w:t>
        </w:r>
      </w:hyperlink>
      <w:r>
        <w:t xml:space="preserve"> als geschuldete Vergütung ausbezahlt oder mit Zustimmung des Arbeitgebers einem Arbeitszeitkonto (vgl. </w:t>
      </w:r>
      <w:hyperlink r:id="rId1202" w:history="1">
        <w:r w:rsidRPr="002D1F1D">
          <w:rPr>
            <w:rStyle w:val="Hyperlink"/>
          </w:rPr>
          <w:t>AZKR</w:t>
        </w:r>
      </w:hyperlink>
      <w:r>
        <w:t>) zugeführt.</w:t>
      </w:r>
    </w:p>
    <w:p w:rsidR="00BE1EFE" w:rsidRPr="000B1AF8" w:rsidRDefault="00BE1EFE">
      <w:pPr>
        <w:pStyle w:val="StandardWeb"/>
      </w:pPr>
    </w:p>
    <w:p w:rsidR="00BE1EFE" w:rsidRDefault="00BE1EFE">
      <w:pPr>
        <w:pStyle w:val="StandardWeb"/>
      </w:pPr>
      <w:r>
        <w:t>(2) </w:t>
      </w:r>
      <w:r>
        <w:rPr>
          <w:rStyle w:val="kleinschrift"/>
        </w:rPr>
        <w:t>1</w:t>
      </w:r>
      <w:r>
        <w:t xml:space="preserve">Will eine Beschäftigte/ein Beschäftigter während der Freistellungsphase vor deren Ablauf ihre/seine Tätigkeit wieder aufnehmen, so ist dies nur mit Zustimmung des Arbeitgebers möglich. </w:t>
      </w:r>
      <w:r>
        <w:rPr>
          <w:rStyle w:val="kleinschrift"/>
        </w:rPr>
        <w:t>2</w:t>
      </w:r>
      <w:r>
        <w:t>Mit noch verbleibenden Zeitanteilen aus der Ansparphase wird gemäß Absatz 1 verfahren.</w:t>
      </w:r>
    </w:p>
    <w:p w:rsidR="00BE1EFE" w:rsidRDefault="00BE1EFE" w:rsidP="005B409E">
      <w:pPr>
        <w:pStyle w:val="berschrift5"/>
        <w:spacing w:before="120" w:after="120"/>
      </w:pPr>
      <w:bookmarkStart w:id="941" w:name="_Toc523926463"/>
      <w:r>
        <w:t>§ 7 Todesfall</w:t>
      </w:r>
      <w:bookmarkEnd w:id="94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Beim Tode einer/eines Beschäftigten in der Anspar- oder Freistellungsphase werden die vorhandenen Zeitguthaben an die Hinterbliebenen (Ehegatte/Ehegattin, Kinder) abgegolten. </w:t>
      </w:r>
      <w:r>
        <w:rPr>
          <w:rStyle w:val="kleinschrift"/>
        </w:rPr>
        <w:t>2</w:t>
      </w:r>
      <w:r>
        <w:t>Die Abgeltung erfolgt an die Hinterbliebenen.</w:t>
      </w:r>
    </w:p>
    <w:p w:rsidR="00BE1EFE" w:rsidRDefault="00BE1EFE" w:rsidP="005B409E">
      <w:pPr>
        <w:pStyle w:val="berschrift5"/>
        <w:spacing w:before="120" w:after="120"/>
      </w:pPr>
      <w:bookmarkStart w:id="942" w:name="_Toc523926464"/>
      <w:r>
        <w:t>§ 8 In-Kraft-Treten</w:t>
      </w:r>
      <w:bookmarkEnd w:id="942"/>
    </w:p>
    <w:p w:rsidR="00BE1EFE" w:rsidRPr="00B76821" w:rsidRDefault="00BE1EFE" w:rsidP="00B76821">
      <w:pPr>
        <w:pStyle w:val="berschrift6"/>
        <w:keepNext w:val="0"/>
        <w:spacing w:before="0" w:after="0"/>
        <w:rPr>
          <w:sz w:val="2"/>
        </w:rPr>
      </w:pPr>
    </w:p>
    <w:p w:rsidR="00BE1EFE" w:rsidRDefault="00BE1EFE" w:rsidP="005B409E">
      <w:pPr>
        <w:pStyle w:val="StandardWeb"/>
      </w:pPr>
      <w:r>
        <w:t xml:space="preserve">Die SJR tritt zum 01.01.1999 in Kraft. </w:t>
      </w:r>
    </w:p>
    <w:p w:rsidR="00BE1EFE" w:rsidRPr="005B409E" w:rsidRDefault="00BE1EFE" w:rsidP="005B409E">
      <w:pPr>
        <w:pStyle w:val="StandardWeb"/>
      </w:pPr>
      <w:r>
        <w:br w:type="page"/>
      </w:r>
    </w:p>
    <w:p w:rsidR="00BE1EFE" w:rsidRPr="000B1AF8" w:rsidRDefault="00BE1EFE" w:rsidP="00A17055">
      <w:pPr>
        <w:pStyle w:val="berschrift5"/>
        <w:spacing w:before="0"/>
      </w:pPr>
      <w:bookmarkStart w:id="943" w:name="_Toc523926465"/>
      <w:r>
        <w:lastRenderedPageBreak/>
        <w:t>Anlage (Mustervereinbarung)</w:t>
      </w:r>
      <w:bookmarkEnd w:id="943"/>
    </w:p>
    <w:tbl>
      <w:tblPr>
        <w:tblW w:w="5000" w:type="pct"/>
        <w:tblCellMar>
          <w:left w:w="0" w:type="dxa"/>
          <w:right w:w="0" w:type="dxa"/>
        </w:tblCellMar>
        <w:tblLook w:val="04A0" w:firstRow="1" w:lastRow="0" w:firstColumn="1" w:lastColumn="0" w:noHBand="0" w:noVBand="1"/>
      </w:tblPr>
      <w:tblGrid>
        <w:gridCol w:w="995"/>
        <w:gridCol w:w="188"/>
        <w:gridCol w:w="178"/>
        <w:gridCol w:w="101"/>
        <w:gridCol w:w="345"/>
        <w:gridCol w:w="498"/>
        <w:gridCol w:w="943"/>
        <w:gridCol w:w="860"/>
        <w:gridCol w:w="135"/>
        <w:gridCol w:w="1063"/>
        <w:gridCol w:w="63"/>
        <w:gridCol w:w="220"/>
        <w:gridCol w:w="1318"/>
      </w:tblGrid>
      <w:tr w:rsidR="00BE1EFE" w:rsidTr="00280188">
        <w:tc>
          <w:tcPr>
            <w:tcW w:w="1361" w:type="dxa"/>
            <w:gridSpan w:val="3"/>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t>Zwischen</w:t>
            </w:r>
          </w:p>
        </w:tc>
        <w:tc>
          <w:tcPr>
            <w:tcW w:w="944" w:type="dxa"/>
            <w:gridSpan w:val="3"/>
            <w:tcMar>
              <w:top w:w="0" w:type="dxa"/>
              <w:left w:w="108" w:type="dxa"/>
              <w:bottom w:w="0" w:type="dxa"/>
              <w:right w:w="108" w:type="dxa"/>
            </w:tcMar>
            <w:hideMark/>
          </w:tcPr>
          <w:p w:rsidR="00BE1EFE" w:rsidRDefault="00BE1EFE">
            <w:pPr>
              <w:rPr>
                <w:sz w:val="24"/>
              </w:rPr>
            </w:pPr>
            <w:r>
              <w:t> </w:t>
            </w:r>
          </w:p>
        </w:tc>
        <w:tc>
          <w:tcPr>
            <w:tcW w:w="943" w:type="dxa"/>
            <w:tcMar>
              <w:top w:w="0" w:type="dxa"/>
              <w:left w:w="108" w:type="dxa"/>
              <w:bottom w:w="0" w:type="dxa"/>
              <w:right w:w="108" w:type="dxa"/>
            </w:tcMar>
            <w:hideMark/>
          </w:tcPr>
          <w:p w:rsidR="00BE1EFE" w:rsidRDefault="00BE1EFE">
            <w:pPr>
              <w:rPr>
                <w:sz w:val="24"/>
              </w:rPr>
            </w:pPr>
            <w:r>
              <w:t> </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995" w:type="dxa"/>
            <w:tcMar>
              <w:top w:w="0" w:type="dxa"/>
              <w:left w:w="108" w:type="dxa"/>
              <w:bottom w:w="0" w:type="dxa"/>
              <w:right w:w="108" w:type="dxa"/>
            </w:tcMar>
            <w:hideMark/>
          </w:tcPr>
          <w:p w:rsidR="00BE1EFE" w:rsidRPr="000B1AF8" w:rsidRDefault="00BE1EFE">
            <w:pPr>
              <w:pStyle w:val="StandardWeb"/>
            </w:pPr>
            <w:r>
              <w:t>dem/der</w:t>
            </w:r>
          </w:p>
        </w:tc>
        <w:tc>
          <w:tcPr>
            <w:tcW w:w="1310" w:type="dxa"/>
            <w:gridSpan w:val="5"/>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19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0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462" w:type="dxa"/>
            <w:gridSpan w:val="4"/>
            <w:tcMar>
              <w:top w:w="0" w:type="dxa"/>
              <w:left w:w="108" w:type="dxa"/>
              <w:bottom w:w="0" w:type="dxa"/>
              <w:right w:w="108" w:type="dxa"/>
            </w:tcMar>
            <w:hideMark/>
          </w:tcPr>
          <w:p w:rsidR="00BE1EFE" w:rsidRPr="000B1AF8" w:rsidRDefault="00BE1EFE">
            <w:pPr>
              <w:pStyle w:val="StandardWeb"/>
            </w:pPr>
            <w:r>
              <w:t>vertreten durch</w:t>
            </w:r>
          </w:p>
        </w:tc>
        <w:tc>
          <w:tcPr>
            <w:tcW w:w="1786"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26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538" w:type="dxa"/>
            <w:gridSpan w:val="2"/>
            <w:tcMar>
              <w:top w:w="0" w:type="dxa"/>
              <w:left w:w="108" w:type="dxa"/>
              <w:bottom w:w="0" w:type="dxa"/>
              <w:right w:w="108" w:type="dxa"/>
            </w:tcMar>
            <w:hideMark/>
          </w:tcPr>
          <w:p w:rsidR="00BE1EFE" w:rsidRPr="000B1AF8" w:rsidRDefault="00BE1EFE">
            <w:pPr>
              <w:pStyle w:val="StandardWeb"/>
              <w:jc w:val="right"/>
            </w:pPr>
            <w:r>
              <w:t>(Arbeitgeber)</w:t>
            </w:r>
          </w:p>
        </w:tc>
      </w:tr>
      <w:tr w:rsidR="00BE1EFE" w:rsidTr="00280188">
        <w:tc>
          <w:tcPr>
            <w:tcW w:w="1361" w:type="dxa"/>
            <w:gridSpan w:val="3"/>
            <w:tcMar>
              <w:top w:w="0" w:type="dxa"/>
              <w:left w:w="108" w:type="dxa"/>
              <w:bottom w:w="0" w:type="dxa"/>
              <w:right w:w="108" w:type="dxa"/>
            </w:tcMar>
            <w:hideMark/>
          </w:tcPr>
          <w:p w:rsidR="00BE1EFE" w:rsidRPr="000B1AF8" w:rsidRDefault="00BE1EFE">
            <w:pPr>
              <w:pStyle w:val="StandardWeb"/>
            </w:pPr>
            <w:r>
              <w:t>und</w:t>
            </w:r>
          </w:p>
        </w:tc>
        <w:tc>
          <w:tcPr>
            <w:tcW w:w="944" w:type="dxa"/>
            <w:gridSpan w:val="3"/>
            <w:tcMar>
              <w:top w:w="0" w:type="dxa"/>
              <w:left w:w="108" w:type="dxa"/>
              <w:bottom w:w="0" w:type="dxa"/>
              <w:right w:w="108" w:type="dxa"/>
            </w:tcMar>
            <w:hideMark/>
          </w:tcPr>
          <w:p w:rsidR="00BE1EFE" w:rsidRDefault="00BE1EFE">
            <w:pPr>
              <w:rPr>
                <w:sz w:val="24"/>
              </w:rPr>
            </w:pPr>
            <w:r>
              <w:t> </w:t>
            </w:r>
          </w:p>
        </w:tc>
        <w:tc>
          <w:tcPr>
            <w:tcW w:w="943" w:type="dxa"/>
            <w:tcMar>
              <w:top w:w="0" w:type="dxa"/>
              <w:left w:w="108" w:type="dxa"/>
              <w:bottom w:w="0" w:type="dxa"/>
              <w:right w:w="108" w:type="dxa"/>
            </w:tcMar>
            <w:hideMark/>
          </w:tcPr>
          <w:p w:rsidR="00BE1EFE" w:rsidRDefault="00BE1EFE">
            <w:pPr>
              <w:rPr>
                <w:sz w:val="24"/>
              </w:rPr>
            </w:pPr>
            <w:r>
              <w:t> </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280188">
        <w:tc>
          <w:tcPr>
            <w:tcW w:w="1183" w:type="dxa"/>
            <w:gridSpan w:val="2"/>
            <w:tcMar>
              <w:top w:w="0" w:type="dxa"/>
              <w:left w:w="108" w:type="dxa"/>
              <w:bottom w:w="0" w:type="dxa"/>
              <w:right w:w="108" w:type="dxa"/>
            </w:tcMar>
            <w:hideMark/>
          </w:tcPr>
          <w:p w:rsidR="00BE1EFE" w:rsidRPr="000B1AF8" w:rsidRDefault="00BE1EFE">
            <w:pPr>
              <w:pStyle w:val="StandardWeb"/>
            </w:pPr>
            <w:r>
              <w:t>Herrn/Frau</w:t>
            </w:r>
          </w:p>
        </w:tc>
        <w:tc>
          <w:tcPr>
            <w:tcW w:w="1122" w:type="dxa"/>
            <w:gridSpan w:val="4"/>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95"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2664" w:type="dxa"/>
            <w:gridSpan w:val="4"/>
            <w:tcMar>
              <w:top w:w="0" w:type="dxa"/>
              <w:left w:w="108" w:type="dxa"/>
              <w:bottom w:w="0" w:type="dxa"/>
              <w:right w:w="108" w:type="dxa"/>
            </w:tcMar>
            <w:hideMark/>
          </w:tcPr>
          <w:p w:rsidR="00BE1EFE" w:rsidRPr="000B1AF8" w:rsidRDefault="00BE1EFE">
            <w:pPr>
              <w:pStyle w:val="StandardWeb"/>
              <w:jc w:val="right"/>
            </w:pPr>
            <w:r>
              <w:t>(Beschäftigte/Beschäftigter)</w:t>
            </w:r>
          </w:p>
        </w:tc>
      </w:tr>
      <w:tr w:rsidR="00BE1EFE" w:rsidTr="00280188">
        <w:tc>
          <w:tcPr>
            <w:tcW w:w="1183" w:type="dxa"/>
            <w:gridSpan w:val="2"/>
            <w:tcMar>
              <w:top w:w="0" w:type="dxa"/>
              <w:left w:w="108" w:type="dxa"/>
              <w:bottom w:w="0" w:type="dxa"/>
              <w:right w:w="108" w:type="dxa"/>
            </w:tcMar>
            <w:hideMark/>
          </w:tcPr>
          <w:p w:rsidR="00BE1EFE" w:rsidRDefault="00BE1EFE">
            <w:pPr>
              <w:rPr>
                <w:sz w:val="24"/>
              </w:rPr>
            </w:pPr>
            <w:r>
              <w:t> </w:t>
            </w:r>
          </w:p>
        </w:tc>
        <w:tc>
          <w:tcPr>
            <w:tcW w:w="2065" w:type="dxa"/>
            <w:gridSpan w:val="5"/>
            <w:tcMar>
              <w:top w:w="0" w:type="dxa"/>
              <w:left w:w="108" w:type="dxa"/>
              <w:bottom w:w="0" w:type="dxa"/>
              <w:right w:w="108" w:type="dxa"/>
            </w:tcMar>
            <w:hideMark/>
          </w:tcPr>
          <w:p w:rsidR="00BE1EFE" w:rsidRPr="000B1AF8" w:rsidRDefault="00BE1EFE">
            <w:pPr>
              <w:pStyle w:val="StandardWeb"/>
            </w:pPr>
            <w:r>
              <w:t>(Vor- und Zuname)</w:t>
            </w:r>
          </w:p>
        </w:tc>
        <w:tc>
          <w:tcPr>
            <w:tcW w:w="860" w:type="dxa"/>
            <w:tcMar>
              <w:top w:w="0" w:type="dxa"/>
              <w:left w:w="108" w:type="dxa"/>
              <w:bottom w:w="0" w:type="dxa"/>
              <w:right w:w="108" w:type="dxa"/>
            </w:tcMar>
            <w:hideMark/>
          </w:tcPr>
          <w:p w:rsidR="00BE1EFE" w:rsidRDefault="00BE1EFE">
            <w:pPr>
              <w:rPr>
                <w:sz w:val="24"/>
              </w:rPr>
            </w:pPr>
            <w:r>
              <w:t> </w:t>
            </w:r>
          </w:p>
        </w:tc>
        <w:tc>
          <w:tcPr>
            <w:tcW w:w="1198" w:type="dxa"/>
            <w:gridSpan w:val="2"/>
            <w:tcMar>
              <w:top w:w="0" w:type="dxa"/>
              <w:left w:w="108" w:type="dxa"/>
              <w:bottom w:w="0" w:type="dxa"/>
              <w:right w:w="108" w:type="dxa"/>
            </w:tcMar>
            <w:hideMark/>
          </w:tcPr>
          <w:p w:rsidR="00BE1EFE" w:rsidRDefault="00BE1EFE">
            <w:pPr>
              <w:rPr>
                <w:sz w:val="24"/>
              </w:rPr>
            </w:pPr>
            <w:r>
              <w:t> </w:t>
            </w:r>
          </w:p>
        </w:tc>
        <w:tc>
          <w:tcPr>
            <w:tcW w:w="1601" w:type="dxa"/>
            <w:gridSpan w:val="3"/>
            <w:tcMar>
              <w:top w:w="0" w:type="dxa"/>
              <w:left w:w="108" w:type="dxa"/>
              <w:bottom w:w="0" w:type="dxa"/>
              <w:right w:w="108" w:type="dxa"/>
            </w:tcMar>
            <w:hideMark/>
          </w:tcPr>
          <w:p w:rsidR="00BE1EFE" w:rsidRDefault="00BE1EFE">
            <w:pPr>
              <w:rPr>
                <w:sz w:val="24"/>
              </w:rPr>
            </w:pPr>
            <w:r>
              <w:t> </w:t>
            </w:r>
          </w:p>
        </w:tc>
      </w:tr>
      <w:tr w:rsidR="00BE1EFE" w:rsidTr="004227CF">
        <w:tc>
          <w:tcPr>
            <w:tcW w:w="6907" w:type="dxa"/>
            <w:gridSpan w:val="13"/>
            <w:tcMar>
              <w:top w:w="0" w:type="dxa"/>
              <w:left w:w="108" w:type="dxa"/>
              <w:bottom w:w="0" w:type="dxa"/>
              <w:right w:w="108" w:type="dxa"/>
            </w:tcMar>
            <w:hideMark/>
          </w:tcPr>
          <w:p w:rsidR="00BE1EFE" w:rsidRDefault="00BE1EFE">
            <w:pPr>
              <w:rPr>
                <w:sz w:val="24"/>
              </w:rPr>
            </w:pPr>
            <w:r>
              <w:t> </w:t>
            </w:r>
          </w:p>
        </w:tc>
      </w:tr>
      <w:tr w:rsidR="00BE1EFE" w:rsidTr="00280188">
        <w:tc>
          <w:tcPr>
            <w:tcW w:w="1807" w:type="dxa"/>
            <w:gridSpan w:val="5"/>
            <w:tcMar>
              <w:top w:w="0" w:type="dxa"/>
              <w:left w:w="108" w:type="dxa"/>
              <w:bottom w:w="0" w:type="dxa"/>
              <w:right w:w="108" w:type="dxa"/>
            </w:tcMar>
            <w:hideMark/>
          </w:tcPr>
          <w:p w:rsidR="00BE1EFE" w:rsidRPr="000B1AF8" w:rsidRDefault="00BE1EFE">
            <w:pPr>
              <w:pStyle w:val="StandardWeb"/>
            </w:pPr>
            <w:r>
              <w:t>wird – vorbehaltlich</w:t>
            </w:r>
            <w:r>
              <w:rPr>
                <w:vertAlign w:val="superscript"/>
              </w:rPr>
              <w:t>1</w:t>
            </w:r>
          </w:p>
        </w:tc>
        <w:tc>
          <w:tcPr>
            <w:tcW w:w="1441"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198" w:type="dxa"/>
            <w:gridSpan w:val="2"/>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60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r>
      <w:tr w:rsidR="00BE1EFE" w:rsidTr="00280188">
        <w:tc>
          <w:tcPr>
            <w:tcW w:w="1361"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4" w:type="dxa"/>
            <w:gridSpan w:val="3"/>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943"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860" w:type="dxa"/>
            <w:tcBorders>
              <w:top w:val="nil"/>
              <w:left w:val="nil"/>
              <w:bottom w:val="single" w:sz="8" w:space="0" w:color="auto"/>
              <w:right w:val="nil"/>
            </w:tcBorders>
            <w:tcMar>
              <w:top w:w="0" w:type="dxa"/>
              <w:left w:w="108" w:type="dxa"/>
              <w:bottom w:w="0" w:type="dxa"/>
              <w:right w:w="108" w:type="dxa"/>
            </w:tcMar>
            <w:hideMark/>
          </w:tcPr>
          <w:p w:rsidR="00BE1EFE" w:rsidRDefault="00BE1EFE">
            <w:pPr>
              <w:rPr>
                <w:sz w:val="24"/>
              </w:rPr>
            </w:pPr>
            <w:r>
              <w:t> </w:t>
            </w:r>
          </w:p>
        </w:tc>
        <w:tc>
          <w:tcPr>
            <w:tcW w:w="1481" w:type="dxa"/>
            <w:gridSpan w:val="4"/>
            <w:tcBorders>
              <w:top w:val="nil"/>
              <w:left w:val="nil"/>
              <w:bottom w:val="single" w:sz="8" w:space="0" w:color="auto"/>
              <w:right w:val="nil"/>
            </w:tcBorders>
            <w:tcMar>
              <w:top w:w="0" w:type="dxa"/>
              <w:left w:w="108" w:type="dxa"/>
              <w:bottom w:w="0" w:type="dxa"/>
              <w:right w:w="108" w:type="dxa"/>
            </w:tcMar>
            <w:hideMark/>
          </w:tcPr>
          <w:p w:rsidR="00BE1EFE" w:rsidRPr="0028239F" w:rsidRDefault="00BE1EFE">
            <w:pPr>
              <w:rPr>
                <w:sz w:val="24"/>
                <w:u w:val="single"/>
              </w:rPr>
            </w:pPr>
            <w:r>
              <w:t> </w:t>
            </w:r>
          </w:p>
        </w:tc>
        <w:tc>
          <w:tcPr>
            <w:tcW w:w="1318" w:type="dxa"/>
            <w:tcMar>
              <w:top w:w="0" w:type="dxa"/>
              <w:left w:w="108" w:type="dxa"/>
              <w:bottom w:w="0" w:type="dxa"/>
              <w:right w:w="108" w:type="dxa"/>
            </w:tcMar>
            <w:hideMark/>
          </w:tcPr>
          <w:p w:rsidR="00BE1EFE" w:rsidRPr="000B1AF8" w:rsidRDefault="00BE1EFE" w:rsidP="0028239F">
            <w:pPr>
              <w:pStyle w:val="StandardWeb"/>
            </w:pPr>
            <w:r>
              <w:t>folgende</w:t>
            </w:r>
          </w:p>
        </w:tc>
      </w:tr>
      <w:tr w:rsidR="00BE1EFE" w:rsidTr="004227CF">
        <w:trPr>
          <w:trHeight w:val="368"/>
        </w:trPr>
        <w:tc>
          <w:tcPr>
            <w:tcW w:w="6907" w:type="dxa"/>
            <w:gridSpan w:val="13"/>
            <w:tcMar>
              <w:top w:w="0" w:type="dxa"/>
              <w:left w:w="108" w:type="dxa"/>
              <w:bottom w:w="0" w:type="dxa"/>
              <w:right w:w="108" w:type="dxa"/>
            </w:tcMar>
            <w:hideMark/>
          </w:tcPr>
          <w:p w:rsidR="00BE1EFE" w:rsidRDefault="00BE1EFE">
            <w:pPr>
              <w:rPr>
                <w:sz w:val="24"/>
              </w:rPr>
            </w:pPr>
            <w:r>
              <w:t> </w:t>
            </w:r>
          </w:p>
          <w:p w:rsidR="00BE1EFE" w:rsidRDefault="00BE1EFE" w:rsidP="004227CF">
            <w:pPr>
              <w:rPr>
                <w:sz w:val="24"/>
              </w:rPr>
            </w:pPr>
            <w:r>
              <w:t> </w:t>
            </w:r>
          </w:p>
        </w:tc>
      </w:tr>
      <w:tr w:rsidR="00BE1EFE" w:rsidTr="00280188">
        <w:tc>
          <w:tcPr>
            <w:tcW w:w="6907" w:type="dxa"/>
            <w:gridSpan w:val="13"/>
            <w:tcMar>
              <w:top w:w="0" w:type="dxa"/>
              <w:left w:w="108" w:type="dxa"/>
              <w:bottom w:w="0" w:type="dxa"/>
              <w:right w:w="108" w:type="dxa"/>
            </w:tcMar>
            <w:hideMark/>
          </w:tcPr>
          <w:p w:rsidR="00BE1EFE" w:rsidRPr="000B1AF8" w:rsidRDefault="00BE1EFE">
            <w:pPr>
              <w:pStyle w:val="StandardWeb"/>
              <w:jc w:val="center"/>
            </w:pPr>
            <w:r>
              <w:t>Vereinbarung zum Arbeitsvertrag vom ______________ geschlossen: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1 Arbeitszeit</w:t>
            </w:r>
          </w:p>
          <w:p w:rsidR="00BE1EFE" w:rsidRPr="000B1AF8" w:rsidRDefault="00BE1EFE">
            <w:pPr>
              <w:pStyle w:val="StandardWeb"/>
              <w:jc w:val="center"/>
            </w:pPr>
          </w:p>
          <w:p w:rsidR="00BE1EFE" w:rsidRPr="000B1AF8" w:rsidRDefault="00BE1EFE" w:rsidP="00360E41">
            <w:pPr>
              <w:pStyle w:val="StandardWeb"/>
            </w:pPr>
            <w:r>
              <w:t>Abweichend vom o. a. Arbeitsvertrag wird die Leistung der Arbeitszeit (Ansparphase) sowie die Inanspruchnahme der Arbeitsfreistellung (Freizeitphase) bzw. einer möglichen Abgeltung in Form der Sabbatjahrregelung vom __________________</w:t>
            </w:r>
            <w:r w:rsidRPr="0028239F">
              <w:rPr>
                <w:u w:val="single"/>
              </w:rPr>
              <w:t xml:space="preserve"> </w:t>
            </w:r>
            <w:r>
              <w:t xml:space="preserve"> ab ______________________ bis ______________________ vereinbart.</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2 Beschäftigungsumfang/Ansparphase</w:t>
            </w:r>
          </w:p>
          <w:p w:rsidR="00BE1EFE" w:rsidRPr="000B1AF8" w:rsidRDefault="00BE1EFE">
            <w:pPr>
              <w:pStyle w:val="StandardWeb"/>
              <w:jc w:val="center"/>
            </w:pPr>
          </w:p>
          <w:p w:rsidR="00BE1EFE" w:rsidRDefault="00BE1EFE">
            <w:pPr>
              <w:pStyle w:val="StandardWeb"/>
            </w:pPr>
            <w:r>
              <w:t>(1) Der Beschäftigungsumfang von bisher ________ Stunden regelmäßiger durchschnittlicher wöchentlicher Arbeitszeit wird für den Zeitraum vom ______________ bis ______________ (Abrechnungszeitraum: _______ Jahre) auf _______ des bisherigen Beschäftigungsumfanges (= ______ Stunden) reduziert.</w:t>
            </w:r>
          </w:p>
          <w:p w:rsidR="00BE1EFE" w:rsidRDefault="00BE1EFE">
            <w:pPr>
              <w:pStyle w:val="StandardWeb"/>
            </w:pPr>
          </w:p>
          <w:p w:rsidR="00BE1EFE" w:rsidRPr="000B1AF8" w:rsidRDefault="00BE1EFE">
            <w:pPr>
              <w:pStyle w:val="StandardWeb"/>
            </w:pPr>
            <w:r>
              <w:t>(2) In den ________ Jahren des Abrechnungszeitraumes (Ansparphase) ist eine Arbeits</w:t>
            </w:r>
            <w:r>
              <w:softHyphen/>
              <w:t>leistung im zeitlichen Umfang einer/eines entsprechend Vollbeschäftigten bzw. im zeitlichen Umfang der bisherigen Teilzeitbeschäftigung zu erbringen.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3 Freizeitphase</w:t>
            </w:r>
          </w:p>
          <w:p w:rsidR="00BE1EFE" w:rsidRPr="000B1AF8" w:rsidRDefault="00BE1EFE">
            <w:pPr>
              <w:pStyle w:val="StandardWeb"/>
              <w:jc w:val="center"/>
            </w:pPr>
          </w:p>
          <w:p w:rsidR="00BE1EFE" w:rsidRPr="000B1AF8" w:rsidRDefault="00BE1EFE">
            <w:pPr>
              <w:pStyle w:val="StandardWeb"/>
            </w:pPr>
            <w:r>
              <w:t>Die Arbeitsfreistellung (Freizeitphase) erfolgt vom _________ bis _________</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4 Bezügezahlung</w:t>
            </w:r>
          </w:p>
          <w:p w:rsidR="00BE1EFE" w:rsidRPr="000B1AF8" w:rsidRDefault="00BE1EFE">
            <w:pPr>
              <w:pStyle w:val="StandardWeb"/>
              <w:jc w:val="center"/>
            </w:pPr>
          </w:p>
          <w:p w:rsidR="00BE1EFE" w:rsidRPr="000B1AF8" w:rsidRDefault="00BE1EFE">
            <w:pPr>
              <w:pStyle w:val="StandardWeb"/>
            </w:pPr>
            <w:r>
              <w:t>Während der Ansparphase und der Freizeitphase erfolgt die Bezügezahlung nach der reduzierten Arbeitszeit (§ 2 Absatz 1).</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5 Kündigung/Abgeltung</w:t>
            </w:r>
          </w:p>
          <w:p w:rsidR="00BE1EFE" w:rsidRPr="000B1AF8" w:rsidRDefault="00BE1EFE">
            <w:pPr>
              <w:pStyle w:val="StandardWeb"/>
              <w:jc w:val="center"/>
            </w:pPr>
          </w:p>
          <w:p w:rsidR="00BE1EFE" w:rsidRPr="000B1AF8" w:rsidRDefault="00BE1EFE">
            <w:pPr>
              <w:pStyle w:val="StandardWeb"/>
            </w:pPr>
            <w:r>
              <w:t xml:space="preserve">Die für einen bestimmten Zeitraum (§§ 1 u. 2 Absatz 1) vereinbarte Sabbatjahrregelung kann aus wichtigen persönlichen oder betrieblichen Gründen von der/dem Beschäftigten oder Arbeitgeber mit einer Frist von sechs Monaten zum Monatsende gekündigt werden. In Fällen besonderer familiärer Ereignisse oder bei Wechsel des Arbeitgebers ist die/der Beschäftigte berechtigt, im Rahmen der Kündigungsfristen des Teil A, 1. die Sabbatjahrregelung zu kündigen. Angesparte Stunden sind durch entsprechenden Freizeitausgleich auszugleichen. Ist ein entsprechender Freizeitausgleich nicht möglich, so ist die angesparte Zeit in Arbeitstage umzurechnen und der Arbeitstag der/dem Beschäftigten in einer Fünftagewoche </w:t>
            </w:r>
            <w:r>
              <w:lastRenderedPageBreak/>
              <w:t>mit 3/65, in einer Sechstagewoche mit 1/26 des Entgelts gemäß § 21 Teil A, 1. abzugelten.</w:t>
            </w:r>
          </w:p>
        </w:tc>
      </w:tr>
      <w:tr w:rsidR="00BE1EFE" w:rsidTr="00280188">
        <w:tc>
          <w:tcPr>
            <w:tcW w:w="6907" w:type="dxa"/>
            <w:gridSpan w:val="13"/>
            <w:tcMar>
              <w:top w:w="0" w:type="dxa"/>
              <w:left w:w="108" w:type="dxa"/>
              <w:bottom w:w="0" w:type="dxa"/>
              <w:right w:w="108" w:type="dxa"/>
            </w:tcMar>
            <w:hideMark/>
          </w:tcPr>
          <w:p w:rsidR="00BE1EFE" w:rsidRDefault="00BE1EFE">
            <w:pPr>
              <w:pStyle w:val="StandardWeb"/>
              <w:jc w:val="center"/>
              <w:rPr>
                <w:rStyle w:val="Fett"/>
                <w:bCs/>
              </w:rPr>
            </w:pPr>
          </w:p>
          <w:p w:rsidR="00BE1EFE" w:rsidRPr="000B1AF8" w:rsidRDefault="00BE1EFE" w:rsidP="0054275E">
            <w:pPr>
              <w:pStyle w:val="StandardWeb"/>
              <w:autoSpaceDE w:val="0"/>
              <w:jc w:val="center"/>
            </w:pPr>
            <w:r>
              <w:rPr>
                <w:rStyle w:val="Fett"/>
                <w:bCs/>
              </w:rPr>
              <w:t>§ 6 Vertragsausfertigung</w:t>
            </w:r>
          </w:p>
          <w:p w:rsidR="00BE1EFE" w:rsidRPr="000B1AF8" w:rsidRDefault="00BE1EFE">
            <w:pPr>
              <w:pStyle w:val="StandardWeb"/>
              <w:jc w:val="center"/>
            </w:pPr>
          </w:p>
          <w:p w:rsidR="00BE1EFE" w:rsidRDefault="00BE1EFE">
            <w:pPr>
              <w:pStyle w:val="StandardWeb"/>
            </w:pPr>
            <w:r>
              <w:t>Jede Vertragspartei erhält eineAusfertigung dieses Vertrages zur Änderung des Arbeits</w:t>
            </w:r>
            <w:r>
              <w:softHyphen/>
              <w:t>vertrages.</w:t>
            </w:r>
          </w:p>
          <w:p w:rsidR="00BE1EFE" w:rsidRDefault="00BE1EFE">
            <w:pPr>
              <w:pStyle w:val="StandardWeb"/>
            </w:pPr>
          </w:p>
          <w:p w:rsidR="00BE1EFE" w:rsidRPr="000B1AF8" w:rsidRDefault="00BE1EFE">
            <w:pPr>
              <w:pStyle w:val="StandardWeb"/>
            </w:pPr>
            <w:r>
              <w:rPr>
                <w:sz w:val="12"/>
                <w:szCs w:val="12"/>
                <w:vertAlign w:val="superscript"/>
              </w:rPr>
              <w:t>1</w:t>
            </w:r>
            <w:r>
              <w:rPr>
                <w:sz w:val="12"/>
                <w:szCs w:val="12"/>
              </w:rPr>
              <w:t>Ist die Rechtswirksamkeit dieses Vertrages von der Genehmigung einer Kirchlichen Stiftungsaufsichtsbehörde abhängig, so ist ein entsprechender Vorbehalt anzugeben.</w:t>
            </w:r>
          </w:p>
        </w:tc>
      </w:tr>
    </w:tbl>
    <w:p w:rsidR="00BE1EFE" w:rsidRDefault="00BE1EFE">
      <w:pPr>
        <w:pStyle w:val="berschrift5"/>
      </w:pPr>
      <w:bookmarkStart w:id="944" w:name="_Toc523926466"/>
      <w:r>
        <w:t>Anlage zur Mustervereinbarung</w:t>
      </w:r>
      <w:bookmarkEnd w:id="944"/>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Durchführungshinweise</w:t>
      </w:r>
    </w:p>
    <w:p w:rsidR="00BE1EFE" w:rsidRPr="000B1AF8" w:rsidRDefault="00BE1EFE">
      <w:pPr>
        <w:pStyle w:val="StandardWeb"/>
      </w:pPr>
    </w:p>
    <w:p w:rsidR="00BE1EFE" w:rsidRDefault="00BE1EFE">
      <w:pPr>
        <w:pStyle w:val="StandardWeb"/>
      </w:pPr>
      <w:r>
        <w:t xml:space="preserve">1. Der Zeitraum von bis zu 15 Jahren in </w:t>
      </w:r>
      <w:hyperlink r:id="rId1203" w:history="1">
        <w:r w:rsidRPr="002D1F1D">
          <w:rPr>
            <w:rStyle w:val="Hyperlink"/>
          </w:rPr>
          <w:t>§ 4 Absatz</w:t>
        </w:r>
      </w:hyperlink>
      <w:r w:rsidRPr="002D1F1D">
        <w:t xml:space="preserve"> </w:t>
      </w:r>
      <w:r>
        <w:t xml:space="preserve">1 bezieht sich auf die Gesamtdauer von Anspar- und Freistellungsphase. </w:t>
      </w:r>
    </w:p>
    <w:p w:rsidR="00BE1EFE" w:rsidRDefault="00BE1EFE">
      <w:pPr>
        <w:pStyle w:val="StandardWeb"/>
      </w:pPr>
      <w:r>
        <w:t>2. </w:t>
      </w:r>
      <w:r>
        <w:rPr>
          <w:rStyle w:val="kleinschrift"/>
        </w:rPr>
        <w:t>1</w:t>
      </w:r>
      <w:r>
        <w:t xml:space="preserve">Die Dauer der Freistellungsphase soll in der Regel ein Jahr nicht überschreiten. </w:t>
      </w:r>
      <w:r>
        <w:rPr>
          <w:rStyle w:val="kleinschrift"/>
        </w:rPr>
        <w:t>2</w:t>
      </w:r>
      <w:r>
        <w:t>Liegt die Freistellungsphase unmittelbar vor dem Renteneintritt, ist eine längere Freistellungsphase möglich.</w:t>
      </w:r>
    </w:p>
    <w:p w:rsidR="00BE1EFE" w:rsidRDefault="00BE1EFE">
      <w:pPr>
        <w:pStyle w:val="StandardWeb"/>
      </w:pPr>
      <w:r>
        <w:t xml:space="preserve">3. Die Dauer der Ansparphase soll ein Jahr nicht unterschreiten (beträgt die Ansparphase weniger als ein Jahr, ist </w:t>
      </w:r>
      <w:hyperlink r:id="rId1204" w:tgtFrame="_blank" w:history="1">
        <w:r>
          <w:rPr>
            <w:rStyle w:val="Hyperlink"/>
          </w:rPr>
          <w:t>§ 7 Absatz 1a SGB IV</w:t>
        </w:r>
      </w:hyperlink>
      <w:r>
        <w:t xml:space="preserve"> zu beachten).</w:t>
      </w:r>
    </w:p>
    <w:p w:rsidR="00BE1EFE" w:rsidRDefault="00BE1EFE">
      <w:pPr>
        <w:pStyle w:val="StandardWeb"/>
      </w:pPr>
      <w:r>
        <w:t>4. </w:t>
      </w:r>
      <w:r>
        <w:rPr>
          <w:rStyle w:val="kleinschrift"/>
        </w:rPr>
        <w:t>1</w:t>
      </w:r>
      <w:r>
        <w:t xml:space="preserve">Während Zeiten ohne Entgeltbezug (z. B. Beschäftigungsverbote gem. </w:t>
      </w:r>
      <w:hyperlink r:id="rId1205" w:tgtFrame="_blank" w:history="1">
        <w:r>
          <w:rPr>
            <w:rStyle w:val="Hyperlink"/>
          </w:rPr>
          <w:t>§ 3 Absatz 2</w:t>
        </w:r>
      </w:hyperlink>
      <w:r>
        <w:t xml:space="preserve"> und </w:t>
      </w:r>
      <w:hyperlink r:id="rId1206" w:tgtFrame="_blank" w:history="1">
        <w:r>
          <w:rPr>
            <w:rStyle w:val="Hyperlink"/>
          </w:rPr>
          <w:t>§ 6 Absatz 1 MuSchG</w:t>
        </w:r>
      </w:hyperlink>
      <w:r>
        <w:t xml:space="preserve">, Elternzeiten, Pflegezeiten, Sonderurlaube) ist das Sabbatjahrmodell gehemmt. </w:t>
      </w:r>
      <w:r>
        <w:rPr>
          <w:rStyle w:val="kleinschrift"/>
        </w:rPr>
        <w:t>2</w:t>
      </w:r>
      <w:r>
        <w:t xml:space="preserve">Nach Ablauf dieser Zeiten wird die Anspar- bzw. Freistellungsphase fortgesetzt. </w:t>
      </w:r>
      <w:r>
        <w:rPr>
          <w:rStyle w:val="kleinschrift"/>
        </w:rPr>
        <w:t>3</w:t>
      </w:r>
      <w:r>
        <w:t>Ist eine solche Verschiebung nicht durchführbar, soll eine Neuberechnung durchgeführt werden.</w:t>
      </w:r>
    </w:p>
    <w:p w:rsidR="00BE1EFE" w:rsidRDefault="00BE1EFE">
      <w:pPr>
        <w:pStyle w:val="StandardWeb"/>
      </w:pPr>
      <w:r>
        <w:t>5. Die Vereinbarung eines Sabbatjahres führt für die Dauer der Vereinbarung dazu, dass lediglich ein Teilzeitentgelt gezahlt wird, was zu geringeren Rentenansprüchen und Ansprüchen aus einer (betrieblichen) Zusatzversorgung führt.</w:t>
      </w:r>
    </w:p>
    <w:p w:rsidR="00BE1EFE" w:rsidRDefault="00BE1EFE" w:rsidP="008D4CEA">
      <w:pPr>
        <w:pStyle w:val="StandardWeb"/>
      </w:pPr>
      <w:r>
        <w:br w:type="page"/>
      </w:r>
    </w:p>
    <w:p w:rsidR="00BE1EFE" w:rsidRDefault="00BE1EFE" w:rsidP="00E87479">
      <w:pPr>
        <w:pStyle w:val="berschrift4"/>
        <w:spacing w:before="0"/>
      </w:pPr>
      <w:bookmarkStart w:id="945" w:name="_Toc523926467"/>
      <w:r>
        <w:lastRenderedPageBreak/>
        <w:t>D, 6. Regelung der Altersteilzeitarbeit*</w:t>
      </w:r>
      <w:bookmarkEnd w:id="945"/>
    </w:p>
    <w:p w:rsidR="00BE1EFE" w:rsidRPr="00B76821" w:rsidRDefault="00BE1EFE" w:rsidP="00B76821">
      <w:pPr>
        <w:pStyle w:val="berschrift5"/>
        <w:keepNext w:val="0"/>
        <w:spacing w:before="0" w:after="0"/>
        <w:rPr>
          <w:sz w:val="2"/>
        </w:rPr>
      </w:pPr>
    </w:p>
    <w:p w:rsidR="00BE1EFE" w:rsidRPr="000B1AF8" w:rsidRDefault="00BE1EFE">
      <w:pPr>
        <w:pStyle w:val="StandardWeb"/>
      </w:pPr>
      <w:r>
        <w:t xml:space="preserve">*Diese Regelung gilt für Beschäftigte, deren Altersteilzeit vor dem 1. Januar 2010 begonnen hat. </w:t>
      </w:r>
    </w:p>
    <w:p w:rsidR="00BE1EFE" w:rsidRDefault="00BE1EFE" w:rsidP="005B409E">
      <w:pPr>
        <w:pStyle w:val="berschrift5"/>
        <w:spacing w:before="120" w:after="120"/>
      </w:pPr>
      <w:bookmarkStart w:id="946" w:name="_Toc523926468"/>
      <w:r>
        <w:t>§ 1 Geltungsbereich</w:t>
      </w:r>
      <w:bookmarkEnd w:id="946"/>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Diese Regelung gilt für die Beschäftigten, die unter das ABD Teil </w:t>
      </w:r>
      <w:hyperlink r:id="rId1207" w:history="1">
        <w:r w:rsidRPr="002D1F1D">
          <w:rPr>
            <w:rStyle w:val="Hyperlink"/>
          </w:rPr>
          <w:t>A</w:t>
        </w:r>
      </w:hyperlink>
      <w:r>
        <w:t xml:space="preserve"> bzw. unter das ABD Teil </w:t>
      </w:r>
      <w:hyperlink r:id="rId1208" w:history="1">
        <w:r w:rsidRPr="002D1F1D">
          <w:rPr>
            <w:rStyle w:val="Hyperlink"/>
          </w:rPr>
          <w:t>B</w:t>
        </w:r>
      </w:hyperlink>
      <w:r>
        <w:t xml:space="preserve"> fallen.</w:t>
      </w:r>
    </w:p>
    <w:p w:rsidR="00BE1EFE" w:rsidRDefault="00BE1EFE" w:rsidP="005B409E">
      <w:pPr>
        <w:pStyle w:val="berschrift5"/>
        <w:spacing w:before="120" w:after="120"/>
      </w:pPr>
      <w:bookmarkStart w:id="947" w:name="_Toc523926469"/>
      <w:r>
        <w:t>§ 2 Voraussetzungen der Altersteilzeitarbeit</w:t>
      </w:r>
      <w:bookmarkEnd w:id="947"/>
    </w:p>
    <w:p w:rsidR="00BE1EFE" w:rsidRPr="00B76821" w:rsidRDefault="00BE1EFE" w:rsidP="00B76821">
      <w:pPr>
        <w:pStyle w:val="berschrift6"/>
        <w:keepNext w:val="0"/>
        <w:spacing w:before="0" w:after="0"/>
        <w:rPr>
          <w:sz w:val="2"/>
        </w:rPr>
      </w:pPr>
    </w:p>
    <w:p w:rsidR="00BE1EFE" w:rsidRDefault="00BE1EFE">
      <w:pPr>
        <w:pStyle w:val="StandardWeb"/>
      </w:pPr>
      <w:r>
        <w:t>(1) Der Arbeitgeber kann mit Beschäftigten, die</w:t>
      </w:r>
    </w:p>
    <w:p w:rsidR="00BE1EFE" w:rsidRDefault="00BE1EFE">
      <w:pPr>
        <w:pStyle w:val="StandardWeb"/>
      </w:pPr>
      <w:r>
        <w:t>a) das 55. Lebensjahr vollendet haben,</w:t>
      </w:r>
    </w:p>
    <w:p w:rsidR="00BE1EFE" w:rsidRDefault="00BE1EFE">
      <w:pPr>
        <w:pStyle w:val="StandardWeb"/>
      </w:pPr>
      <w:r>
        <w:t>b) eine Beschäftigungszeit (</w:t>
      </w:r>
      <w:hyperlink r:id="rId1209" w:history="1">
        <w:r w:rsidRPr="002D1F1D">
          <w:rPr>
            <w:rStyle w:val="Hyperlink"/>
          </w:rPr>
          <w:t>§ 34 Absatz 3 Teil A, 1.</w:t>
        </w:r>
      </w:hyperlink>
      <w:r>
        <w:t>) von fünf Jahren vollendet haben und</w:t>
      </w:r>
    </w:p>
    <w:p w:rsidR="00BE1EFE" w:rsidRPr="000B1AF8" w:rsidRDefault="00BE1EFE">
      <w:pPr>
        <w:pStyle w:val="StandardWeb"/>
      </w:pPr>
      <w:r>
        <w:t xml:space="preserve">c) innerhalb der letzten fünf Jahre vor Beginn der Altersteilzeitarbeit mindestens 1080 Kalendertage in einer versicherungspflichtigen Beschäftigung nach </w:t>
      </w:r>
      <w:hyperlink r:id="rId1210" w:tgtFrame="_blank" w:history="1">
        <w:r>
          <w:rPr>
            <w:rStyle w:val="Hyperlink"/>
          </w:rPr>
          <w:t>SGB III</w:t>
        </w:r>
      </w:hyperlink>
      <w:r>
        <w:t xml:space="preserve"> gestanden haben, die Änderung des Arbeitsverhältnisses in ein Altersteilzeitarbeitsverhältnis auf der Grundlage des Altersteilzeitgesetzes vereinbaren; das Altersteilzeitarbeitsverhältnis muss ein versi</w:t>
      </w:r>
      <w:r>
        <w:softHyphen/>
        <w:t xml:space="preserve">cherungspflichtiges Beschäftigungsverhältnis im Sinne des </w:t>
      </w:r>
      <w:hyperlink r:id="rId1211" w:tgtFrame="_blank" w:history="1">
        <w:r>
          <w:rPr>
            <w:rStyle w:val="Hyperlink"/>
          </w:rPr>
          <w:t>SGB III</w:t>
        </w:r>
      </w:hyperlink>
      <w:r>
        <w:t xml:space="preserve"> sein.</w:t>
      </w:r>
    </w:p>
    <w:p w:rsidR="00BE1EFE" w:rsidRPr="000B1AF8" w:rsidRDefault="00BE1EFE">
      <w:pPr>
        <w:pStyle w:val="StandardWeb"/>
      </w:pPr>
    </w:p>
    <w:p w:rsidR="00BE1EFE" w:rsidRDefault="00BE1EFE">
      <w:pPr>
        <w:pStyle w:val="StandardWeb"/>
      </w:pPr>
      <w:r>
        <w:t>(2) </w:t>
      </w:r>
      <w:r>
        <w:rPr>
          <w:rStyle w:val="kleinschrift"/>
        </w:rPr>
        <w:t>1</w:t>
      </w:r>
      <w:r>
        <w:t>Beschäftigte, die das 60. Lebensjahr vollendet haben und die übrigen Voraussetzungen des Absatz 1 erfüllen, haben Anspruch auf Vereinbarung eines Altersteilzeitarbeits</w:t>
      </w:r>
      <w:r>
        <w:softHyphen/>
        <w:t xml:space="preserve">verhältnisses. </w:t>
      </w:r>
      <w:r>
        <w:rPr>
          <w:rStyle w:val="kleinschrift"/>
        </w:rPr>
        <w:t>2</w:t>
      </w:r>
      <w:r>
        <w:t>Die/der Beschäftigte hat den Arbeitgeber drei Monate vor dem geplanten Beginn des Altersteilzeitarbeitsverhältnisses über die Geltendmachung des Anspruchs zu informieren; von dem Fristerfordernis kann einvernehmlich abgewichen werden.</w:t>
      </w:r>
    </w:p>
    <w:p w:rsidR="00BE1EFE" w:rsidRDefault="00BE1EFE">
      <w:pPr>
        <w:pStyle w:val="StandardWeb"/>
      </w:pPr>
      <w:r>
        <w:t>(3) Der Arbeitgeber kann die Vereinbarung eines Altersteilzeitarbeitsverhältnisses ablehnen, soweit dringende dienstliche bzw. betriebliche Gründe entgegenstehen.</w:t>
      </w:r>
    </w:p>
    <w:p w:rsidR="00BE1EFE" w:rsidRDefault="00BE1EFE">
      <w:pPr>
        <w:pStyle w:val="StandardWeb"/>
      </w:pPr>
    </w:p>
    <w:p w:rsidR="00BE1EFE" w:rsidRDefault="00BE1EFE">
      <w:pPr>
        <w:pStyle w:val="StandardWeb"/>
      </w:pPr>
      <w:r>
        <w:t>(4) Das Altersteilzeitarbeitsverhältnis soll mindestens für die Dauer von zwei Jahren vereinbart werden. Es muss vor dem 01. Januar 2010 beginnen.</w:t>
      </w:r>
    </w:p>
    <w:p w:rsidR="00BE1EFE" w:rsidRDefault="00BE1EFE" w:rsidP="005B409E">
      <w:pPr>
        <w:pStyle w:val="berschrift5"/>
        <w:spacing w:before="120" w:after="120"/>
      </w:pPr>
      <w:bookmarkStart w:id="948" w:name="_Toc523926470"/>
      <w:r>
        <w:t>§ 3 Reduzierung und Verteilung der Arbeitszeit</w:t>
      </w:r>
      <w:bookmarkEnd w:id="948"/>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Die durchschnittliche wöchentliche Arbeitszeit während des Altersteilzeitarbeitsver-hältnisses beträgt die Hälfte der bisherigen wöchentlichen Arbeitszeit. </w:t>
      </w:r>
      <w:r>
        <w:rPr>
          <w:rStyle w:val="kleinschrift"/>
        </w:rPr>
        <w:t>2</w:t>
      </w:r>
      <w:r>
        <w:t xml:space="preserve">Als bisherige wöchentliche Arbeitszeit ist die wöchentliche Arbeitszeit zugrunde zu legen, die mit der/dem Beschäftigten vor dem Übergang in die Altersteilzeitarbeit vereinbart war. </w:t>
      </w:r>
      <w:r>
        <w:rPr>
          <w:rStyle w:val="kleinschrift"/>
        </w:rPr>
        <w:t>3</w:t>
      </w:r>
      <w:r>
        <w:t xml:space="preserve">Zu Grunde zu legen ist höchstens die Arbeitszeit, die im Durchschnitt der letzten 24 Monate vor dem Übergang in die Altersteilzeitarbeit vereinbart war. </w:t>
      </w:r>
      <w:r>
        <w:rPr>
          <w:rStyle w:val="kleinschrift"/>
        </w:rPr>
        <w:t>4</w:t>
      </w:r>
      <w:r>
        <w:t xml:space="preserve">Bei Ermittlung der durchschnittlichen Arbeitszeit nach Satz 2 dieses Unterabsatzes bleiben Arbeitszeiten, die die regelmäßige wöchentliche Arbeitszeit (z. B. </w:t>
      </w:r>
      <w:hyperlink r:id="rId1212" w:history="1">
        <w:r w:rsidRPr="002D1F1D">
          <w:rPr>
            <w:rStyle w:val="Hyperlink"/>
          </w:rPr>
          <w:t>§ 6 Teil A, 1.</w:t>
        </w:r>
      </w:hyperlink>
      <w:r>
        <w:t xml:space="preserve">) überschritten haben, außer Betracht. </w:t>
      </w:r>
      <w:r>
        <w:rPr>
          <w:rStyle w:val="kleinschrift"/>
        </w:rPr>
        <w:t>5</w:t>
      </w:r>
      <w:r>
        <w:t>Die ermittelte durchschnittliche Arbeitszeit kann auf die nächste volle Stunde gerundet werden.</w:t>
      </w:r>
    </w:p>
    <w:p w:rsidR="00BE1EFE" w:rsidRDefault="00BE1EFE">
      <w:pPr>
        <w:pStyle w:val="StandardWeb"/>
      </w:pPr>
      <w:r>
        <w:rPr>
          <w:sz w:val="12"/>
          <w:szCs w:val="12"/>
        </w:rPr>
        <w:t>Anmerkungen zu Absatz 1:</w:t>
      </w:r>
    </w:p>
    <w:p w:rsidR="00BE1EFE" w:rsidRPr="000B1AF8" w:rsidRDefault="00BE1EFE">
      <w:pPr>
        <w:pStyle w:val="StandardWeb"/>
      </w:pPr>
      <w:r>
        <w:rPr>
          <w:sz w:val="12"/>
          <w:szCs w:val="12"/>
        </w:rPr>
        <w:t>Für die unter die Regelung für die Kraftfahrer und Kraftfahrerinnen fallenden Kraftfahrerinnen/Kraftfahrer gilt für die Anwendung dieser Regelung die den Pauschalgruppen zugrunde liegende Arbeitszeit als regelmäßige Arbeitszeit.</w:t>
      </w:r>
    </w:p>
    <w:p w:rsidR="00BE1EFE" w:rsidRPr="000B1AF8" w:rsidRDefault="00BE1EFE">
      <w:pPr>
        <w:pStyle w:val="StandardWeb"/>
      </w:pPr>
    </w:p>
    <w:p w:rsidR="00BE1EFE" w:rsidRDefault="00BE1EFE">
      <w:pPr>
        <w:pStyle w:val="StandardWeb"/>
      </w:pPr>
      <w:r>
        <w:t>(2) Die während der Gesamtdauer des Altersteilzeitarbeitsverhältnisses zu leistende Arbeit kann so verteilt werden, dass sie</w:t>
      </w:r>
    </w:p>
    <w:p w:rsidR="00BE1EFE" w:rsidRDefault="00BE1EFE">
      <w:pPr>
        <w:pStyle w:val="StandardWeb"/>
      </w:pPr>
      <w:r>
        <w:t xml:space="preserve">a) in der ersten Hälfte des Altersteilzeitarbeitsverhältnisses geleistet und die/der Beschäftigte anschließend von der Arbeit unter Fortzahlung des Entgelts nach Maßgabe der </w:t>
      </w:r>
      <w:hyperlink r:id="rId1213" w:history="1">
        <w:r w:rsidRPr="002D1F1D">
          <w:rPr>
            <w:rStyle w:val="Hyperlink"/>
          </w:rPr>
          <w:t>§§ 4</w:t>
        </w:r>
      </w:hyperlink>
      <w:r>
        <w:t xml:space="preserve"> und </w:t>
      </w:r>
      <w:hyperlink r:id="rId1214" w:history="1">
        <w:r w:rsidRPr="002D1F1D">
          <w:rPr>
            <w:rStyle w:val="Hyperlink"/>
          </w:rPr>
          <w:t>5</w:t>
        </w:r>
      </w:hyperlink>
      <w:r>
        <w:t xml:space="preserve"> freigestellt wird (Blockmodell) oder</w:t>
      </w:r>
    </w:p>
    <w:p w:rsidR="00BE1EFE" w:rsidRDefault="00BE1EFE">
      <w:pPr>
        <w:pStyle w:val="StandardWeb"/>
      </w:pPr>
      <w:r>
        <w:t>b) durchgehend geleistet wird (Teilzeitmodell).</w:t>
      </w:r>
    </w:p>
    <w:p w:rsidR="00BE1EFE" w:rsidRDefault="00BE1EFE">
      <w:pPr>
        <w:pStyle w:val="StandardWeb"/>
      </w:pPr>
      <w:r>
        <w:rPr>
          <w:sz w:val="12"/>
          <w:szCs w:val="12"/>
        </w:rPr>
        <w:t>Anmerkung zu Absatz 2:</w:t>
      </w:r>
    </w:p>
    <w:p w:rsidR="00BE1EFE" w:rsidRDefault="00BE1EFE">
      <w:pPr>
        <w:pStyle w:val="StandardWeb"/>
      </w:pPr>
      <w:r>
        <w:rPr>
          <w:sz w:val="12"/>
          <w:szCs w:val="12"/>
        </w:rPr>
        <w:lastRenderedPageBreak/>
        <w:t>Für Kraftfahrerinnen/Kraftfahrer i. S. d. Regelung für die Kraftfahrer und Kraftfahrerinnen ist Altersteilzeitarbeit nur im Blockmodell möglich.</w:t>
      </w:r>
    </w:p>
    <w:p w:rsidR="00BE1EFE" w:rsidRDefault="00BE1EFE">
      <w:pPr>
        <w:pStyle w:val="StandardWeb"/>
      </w:pPr>
    </w:p>
    <w:p w:rsidR="00BE1EFE" w:rsidRDefault="00BE1EFE" w:rsidP="004227CF">
      <w:pPr>
        <w:pStyle w:val="StandardWeb"/>
      </w:pPr>
      <w:r>
        <w:t>(3) Die/der Beschäftigte kann vom Arbeitgeber verlangen, dass ihr/sein Wunsch nach einer bestimmten Verteilung der Arbeitszeit mit dem Ziel einer einvernehmlichen Regelung erörtert wird.</w:t>
      </w:r>
    </w:p>
    <w:p w:rsidR="00BE1EFE" w:rsidRDefault="00BE1EFE" w:rsidP="005B409E">
      <w:pPr>
        <w:pStyle w:val="berschrift5"/>
        <w:spacing w:before="120" w:after="120"/>
      </w:pPr>
      <w:bookmarkStart w:id="949" w:name="_Toc523926471"/>
      <w:r>
        <w:t>§ 4 Höhe des Entgelts</w:t>
      </w:r>
      <w:bookmarkEnd w:id="949"/>
    </w:p>
    <w:p w:rsidR="00BE1EFE" w:rsidRPr="00B76821" w:rsidRDefault="00BE1EFE" w:rsidP="00B76821">
      <w:pPr>
        <w:pStyle w:val="berschrift6"/>
        <w:keepNext w:val="0"/>
        <w:spacing w:before="0" w:after="0"/>
        <w:rPr>
          <w:sz w:val="2"/>
        </w:rPr>
      </w:pPr>
    </w:p>
    <w:p w:rsidR="00BE1EFE" w:rsidRDefault="00BE1EFE">
      <w:pPr>
        <w:pStyle w:val="StandardWeb"/>
      </w:pPr>
      <w:r>
        <w:t>(1) Die/der Beschäftigte erhält als Bezüge die sich für entsprechende Teilzeitkräfte bei Anwendung der Vorschriften des ABD ergebenden Beträge mit der Maßgabe, dass Entgelt</w:t>
      </w:r>
      <w:r>
        <w:softHyphen/>
        <w:t xml:space="preserve">bestandteile im Sinne des </w:t>
      </w:r>
      <w:hyperlink r:id="rId1215" w:history="1">
        <w:r w:rsidRPr="002D1F1D">
          <w:rPr>
            <w:rStyle w:val="Hyperlink"/>
          </w:rPr>
          <w:t>§ 21 Satz 2 Teil A, 1.</w:t>
        </w:r>
      </w:hyperlink>
      <w:r>
        <w:t>, sowie Wechselschicht- und Schichtzulagen entsprechend dem Umfang der tatsächlich geleisteten Tätigkeit berücksichtigt werden.</w:t>
      </w:r>
    </w:p>
    <w:p w:rsidR="00BE1EFE" w:rsidRDefault="00BE1EFE">
      <w:pPr>
        <w:pStyle w:val="StandardWeb"/>
      </w:pPr>
      <w:r>
        <w:rPr>
          <w:rStyle w:val="kleinschrift"/>
        </w:rPr>
        <w:t>Anmerkung zu Absatz 1:</w:t>
      </w:r>
    </w:p>
    <w:p w:rsidR="00BE1EFE" w:rsidRPr="000B1AF8" w:rsidRDefault="00BE1EFE">
      <w:pPr>
        <w:pStyle w:val="StandardWeb"/>
      </w:pPr>
      <w:r>
        <w:rPr>
          <w:rStyle w:val="kleinschrift"/>
        </w:rPr>
        <w:t>Die im Blockmodell über die regelmäßige wöchentliche Arbeitszeit hinaus geleisteten Arbeitsstunden gelten bei Vorliegen der übrigen Voraussetzungen als Überstunden.</w:t>
      </w:r>
    </w:p>
    <w:p w:rsidR="00BE1EFE" w:rsidRPr="000B1AF8" w:rsidRDefault="00BE1EFE">
      <w:pPr>
        <w:pStyle w:val="StandardWeb"/>
      </w:pPr>
    </w:p>
    <w:p w:rsidR="00BE1EFE" w:rsidRDefault="00BE1EFE">
      <w:pPr>
        <w:pStyle w:val="StandardWeb"/>
      </w:pPr>
      <w:r>
        <w:t>(2) Als Entgelt i. S. d. Absatzes 1 gelten auch Einmalzahlungen (z. B. Jahressonderzahlung, Jubiläumszuwendung) und vermögenswirksame Leistungen.</w:t>
      </w:r>
    </w:p>
    <w:p w:rsidR="00BE1EFE" w:rsidRDefault="00BE1EFE" w:rsidP="005B409E">
      <w:pPr>
        <w:pStyle w:val="berschrift5"/>
        <w:spacing w:before="120" w:after="120"/>
      </w:pPr>
      <w:bookmarkStart w:id="950" w:name="_Toc523926472"/>
      <w:r>
        <w:t>§ 5 Aufstockungsleistungen</w:t>
      </w:r>
      <w:bookmarkEnd w:id="950"/>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Das der/dem Beschäftigten nach § 4 zustehende Entgelt zzgl. des darauf entfallenden sozialversicherungspflichtigen Teils der vom Arbeitgeber zu tragenden Umlage zur Zusatz</w:t>
      </w:r>
      <w:r>
        <w:softHyphen/>
        <w:t xml:space="preserve">versorgungseinrichtung werden um 20 v. H. dieser Entgelte aufgestockt (Aufstockungsbetrag). </w:t>
      </w:r>
      <w:r>
        <w:rPr>
          <w:rStyle w:val="kleinschrift"/>
        </w:rPr>
        <w:t>2</w:t>
      </w:r>
      <w:r>
        <w:t>Bei der Berechnung des Aufstockungsbetrages bleiben steuerfreie Entgeltbestandteile, Entgelte für Mehrarbeits- und Überstunden, Bereitschaftsdienste und Rufbereitschaften sowie für Arbeitsbereitschaften (</w:t>
      </w:r>
      <w:hyperlink r:id="rId1216" w:tgtFrame="_blank" w:history="1">
        <w:r>
          <w:rPr>
            <w:rStyle w:val="Hyperlink"/>
          </w:rPr>
          <w:t>§ 18 Absatz 1 Unterabsatz 2 ABD Teil B, 1. in der bis zum 30.09.2005 geltenden Fassung</w:t>
        </w:r>
      </w:hyperlink>
      <w:r>
        <w:t>) unberücksichtigt; diese werden, soweit sie nicht unter Absatz 2 Unterabsatz 2 und 3 fallen, neben dem Aufstockungsbetrag gezahlt.</w:t>
      </w:r>
    </w:p>
    <w:p w:rsidR="00BE1EFE" w:rsidRPr="000B1AF8" w:rsidRDefault="00BE1EFE">
      <w:pPr>
        <w:pStyle w:val="StandardWeb"/>
      </w:pPr>
    </w:p>
    <w:p w:rsidR="00BE1EFE" w:rsidRDefault="00BE1EFE">
      <w:pPr>
        <w:pStyle w:val="StandardWeb"/>
      </w:pPr>
      <w:r>
        <w:t>(2) </w:t>
      </w:r>
      <w:r>
        <w:rPr>
          <w:rStyle w:val="kleinschrift"/>
        </w:rPr>
        <w:t>1</w:t>
      </w:r>
      <w:r>
        <w:t>Der Aufstockungsbetrag muss so hoch sein, dass die/der Beschäftigte 83 v. H. des Nettobetrages des bisherigen Entgelts erhält (Mindestnettobetrag). Als bisheriges Entgelt ist anzusetzen das gesamte, dem Grunde nach beitragspflichtige Entgelt, das die/der Beschäftigte für eine Arbeitsleistung bei bisheriger wöchentlicher Arbeitszeit (</w:t>
      </w:r>
      <w:hyperlink r:id="rId1217" w:history="1">
        <w:r w:rsidRPr="002D1F1D">
          <w:rPr>
            <w:rStyle w:val="Hyperlink"/>
          </w:rPr>
          <w:t>§ 3 Absatz 1 Unterabsatz 2</w:t>
        </w:r>
      </w:hyperlink>
      <w:r>
        <w:t>) zu beanspruchen hätte; der sozialversicherungspflichtige Teil der vom Arbeitgeber zu tragenden Umlage zur Zusatzversorgungseinrichtung bleibt unberücksichtigt.</w:t>
      </w:r>
    </w:p>
    <w:p w:rsidR="00BE1EFE" w:rsidRDefault="00BE1EFE">
      <w:pPr>
        <w:pStyle w:val="StandardWeb"/>
      </w:pPr>
      <w:r>
        <w:rPr>
          <w:rStyle w:val="kleinschrift"/>
        </w:rPr>
        <w:t>2</w:t>
      </w:r>
      <w:r>
        <w:t>Dem bisherigen Entgelt nach Unterabsatz 1 Satz 2 zuzurechnen sind Entgelte für Bereit</w:t>
      </w:r>
      <w:r>
        <w:softHyphen/>
        <w:t xml:space="preserve">schaftsdienst und Rufbereitschaft – Letztere jedoch ohne Entgelte für angefallene Arbeit einschließlich einer etwaigen Wegezeit –, die ohne Reduzierung der Arbeitszeit zugestanden hätten; in diesen Fällen sind die tatsächlich zustehenden Entgelte abweichend von Absatz 1 Satz 2 letzter Halbsatz in die Berechnung des aufzustockenden Nettobetrages einzubeziehen. </w:t>
      </w:r>
      <w:r>
        <w:rPr>
          <w:rStyle w:val="kleinschrift"/>
        </w:rPr>
        <w:t>3</w:t>
      </w:r>
      <w:r>
        <w:t xml:space="preserve">Die Regelungen zu Bereitschaftsdienst und Rufbereitschaft in Satz 1 dieses Unterabsatzes gelten bei Arbeitern für die Arbeitsbereitschaft nach </w:t>
      </w:r>
      <w:hyperlink r:id="rId1218" w:tgtFrame="_blank" w:history="1">
        <w:r>
          <w:rPr>
            <w:rStyle w:val="Hyperlink"/>
          </w:rPr>
          <w:t>§ 18 Absatz 1 Unterabsatz 2 ABD Teil B, 1. in der bis zum 30.09.2005 geltenden Fassung</w:t>
        </w:r>
      </w:hyperlink>
      <w:r>
        <w:t xml:space="preserve"> entsprechend.</w:t>
      </w:r>
    </w:p>
    <w:p w:rsidR="00BE1EFE" w:rsidRDefault="00BE1EFE">
      <w:pPr>
        <w:pStyle w:val="StandardWeb"/>
      </w:pPr>
      <w:r>
        <w:rPr>
          <w:rStyle w:val="kleinschrift"/>
        </w:rPr>
        <w:t>4</w:t>
      </w:r>
      <w:r>
        <w:t xml:space="preserve">Haben der/dem Beschäftigten, der die Altersteilzeitarbeit im Blockmodell leistet, seit mindestens zwei Jahren vor Beginn des Altersteilzeitarbeitsverhältnisses ununterbrochen Pauschalen für Überstunden (z. B. nach </w:t>
      </w:r>
      <w:hyperlink r:id="rId1219" w:history="1">
        <w:r w:rsidRPr="002D1F1D">
          <w:rPr>
            <w:rStyle w:val="Hyperlink"/>
          </w:rPr>
          <w:t>§ 24 Absatz 6 Teil A, 1.</w:t>
        </w:r>
      </w:hyperlink>
      <w:r>
        <w:t>) zugestanden, werden diese der Bemessungsgrundlage nach Unterabsatz 1 Satz 2 in der Höhe zugerechnet, die ohne die Reduzierung der Arbeitszeit maßgebend gewesen wäre; in diesem Fall sind in der Arbeitsphase die tatsächlich zustehenden Pauschalen abweichend von Absatz 1 Satz 2 letzter Halbsatz in die Berechnung des aufzustockenden Nettobetrages einzubeziehen.</w:t>
      </w:r>
    </w:p>
    <w:p w:rsidR="00BE1EFE" w:rsidRDefault="00BE1EFE">
      <w:pPr>
        <w:pStyle w:val="StandardWeb"/>
      </w:pPr>
      <w:r>
        <w:rPr>
          <w:rStyle w:val="kleinschrift"/>
        </w:rPr>
        <w:t>5</w:t>
      </w:r>
      <w:r>
        <w:t xml:space="preserve">Bei Kraftfahrerinnen/Kraftfahrern, die unter die Regelung für die Kraftfahrer und Kraftfahrerinnen fallen, ist als bisheriges Entgelt im Sinne des Unterabsatz 1 Satz 2 in der </w:t>
      </w:r>
      <w:r>
        <w:lastRenderedPageBreak/>
        <w:t>Freistellungsphase das Entgelt aus der Pauschalgruppe anzusetzen, die mindestens während der Hälfte der Dauer der Arbeitsphase maßgebend war.</w:t>
      </w:r>
    </w:p>
    <w:p w:rsidR="00BE1EFE" w:rsidRDefault="00BE1EFE">
      <w:pPr>
        <w:pStyle w:val="StandardWeb"/>
      </w:pPr>
      <w:r>
        <w:rPr>
          <w:sz w:val="12"/>
          <w:szCs w:val="12"/>
        </w:rPr>
        <w:t>Anmerkung zu Absatz 2:</w:t>
      </w:r>
    </w:p>
    <w:p w:rsidR="00BE1EFE" w:rsidRDefault="00BE1EFE">
      <w:pPr>
        <w:pStyle w:val="StandardWeb"/>
      </w:pPr>
      <w:r>
        <w:rPr>
          <w:sz w:val="12"/>
          <w:szCs w:val="12"/>
        </w:rPr>
        <w:t>Beim Blockmodell können in der Freistellungsphase die in die Bemessungsgrundlage nach Absatz 2 eingehenden, nicht regelmäßig zustehenden Entgeltbestandteile (z. B. Erschwerniszuschläge) mit dem für die Arbeitsphase errechneten Durchschnittsbetrag angesetzt werden; dabei werden Krankheits- und Urlaubszeiten nicht berücksichtigt. Allgemeine Entgelterhöhungen sind zu berücksichtigen, soweit die zugrunde liegenden Entgeltbestandteile ebenfalls an allgemeinen Entgelterhöhungen teilnehmen.</w:t>
      </w:r>
    </w:p>
    <w:p w:rsidR="00BE1EFE" w:rsidRDefault="00BE1EFE">
      <w:pPr>
        <w:pStyle w:val="StandardWeb"/>
      </w:pPr>
    </w:p>
    <w:p w:rsidR="00BE1EFE" w:rsidRDefault="00BE1EFE">
      <w:pPr>
        <w:pStyle w:val="StandardWeb"/>
      </w:pPr>
      <w:r>
        <w:t xml:space="preserve">(3) Für die Berechnung des Mindestnettobetrages nach Absatz 2 ist die Rechtsverordnung nach </w:t>
      </w:r>
      <w:hyperlink r:id="rId1220" w:tgtFrame="_blank" w:history="1">
        <w:r>
          <w:rPr>
            <w:rStyle w:val="Hyperlink"/>
          </w:rPr>
          <w:t>§ 15 Satz 1 Nr. 1</w:t>
        </w:r>
      </w:hyperlink>
      <w:r>
        <w:t xml:space="preserve"> des Altersteilzeitgesetzes zu Grunde zu legen. Sofern das bei bisheriger Arbeitszeit zustehende Entgelt nach Absatz 2 Unterabsatz 1 Satz 2 das höchste in dieser Rechtsverordnung ausgewiesene Entgelt übersteigt, sind für die Berechnung des Mindestnettobetrages diejenigen gesetzlichen Abzüge anzusetzen, die bei Beschäftigten gewöhnlich anfallen (</w:t>
      </w:r>
      <w:hyperlink r:id="rId1221" w:tgtFrame="_blank" w:history="1">
        <w:r>
          <w:rPr>
            <w:rStyle w:val="Hyperlink"/>
          </w:rPr>
          <w:t>§ 3 Absatz 1 Nr. 1 Buchstabe a</w:t>
        </w:r>
      </w:hyperlink>
      <w:r>
        <w:t xml:space="preserve"> des Altersteilzeitgesetzes).</w:t>
      </w:r>
    </w:p>
    <w:p w:rsidR="00BE1EFE" w:rsidRDefault="00BE1EFE">
      <w:pPr>
        <w:pStyle w:val="StandardWeb"/>
      </w:pPr>
      <w:r>
        <w:rPr>
          <w:sz w:val="12"/>
          <w:szCs w:val="12"/>
        </w:rPr>
        <w:t>Protokollnotiz zu § 5 Absatz 3 Satz 1:</w:t>
      </w:r>
    </w:p>
    <w:p w:rsidR="00BE1EFE" w:rsidRDefault="00BE1EFE">
      <w:pPr>
        <w:pStyle w:val="StandardWeb"/>
      </w:pPr>
      <w:r>
        <w:rPr>
          <w:sz w:val="12"/>
          <w:szCs w:val="12"/>
        </w:rPr>
        <w:t>1Zur Gewährleistung des Mindestnettobetrages von 83 v.H. des bisherigen Nettoentgelts nach Absatz 2 wird der Aufstockungsbetrag bei Beschäftigten, bei denen die Rechtsverordnung nach § 15 Satz 1 Nr. 1 des Altersteilzeitgesetzes zur Berechnung des Mindestnettobetrages zu Grunde gelegt ist, monatlich um einen individuellen Pauschalbetrag erhöht. 2Der individuelle Pauschalbetrag errechnet sich wie folgt: 3Unter Berücksichtigung der Tariferhöhung zum 01.03.2015 ist bei diesen Beschäftigten das bisherige Nettoentgelt unter Zugrundelegung der aktuellen persönlichen Voraussetzungen (Steuerklasse, Kinderfreibeträge etc.) zu ermitteln und mit 0,83 zu multiplizieren. 4Daneben ist der Mindestnettobetrag unter Zugrundelegung der Rechtsverordnung nach § 15 Satz 1 Nr. 1 des Altersteilzeitgesetzes zu ermitteln und von dem Betrag nach Satz 3 abzuziehen. 5Das Ergebnis ist mit einem Entgeltgruppenfaktor (Entgeltgruppen 1 bis 8: 13,14; Entgeltgruppen 9 bis 12: 13,04; Entgeltgruppen 13 bis 15: 12,84) zu multiplizieren und durch 12 zu teilen. 6Der individuelle Pauschalbetrag wird einmalig zum Zeitpunkt des Inkrafttretens dieser Regelung berechnet, eine Neuberechnung des individuellen Pauschalbetrages erfolgt nicht.</w:t>
      </w:r>
    </w:p>
    <w:p w:rsidR="00BE1EFE" w:rsidRDefault="00BE1EFE">
      <w:pPr>
        <w:pStyle w:val="StandardWeb"/>
      </w:pPr>
    </w:p>
    <w:p w:rsidR="00BE1EFE" w:rsidRDefault="00BE1EFE">
      <w:pPr>
        <w:pStyle w:val="StandardWeb"/>
      </w:pPr>
      <w:r>
        <w:t xml:space="preserve">(4) Neben den vom Arbeitgeber zu tragenden Sozialversicherungsbeiträgen für das nach </w:t>
      </w:r>
      <w:hyperlink r:id="rId1222" w:history="1">
        <w:r w:rsidRPr="002D1F1D">
          <w:rPr>
            <w:rStyle w:val="Hyperlink"/>
          </w:rPr>
          <w:t>§ 4</w:t>
        </w:r>
      </w:hyperlink>
      <w:r>
        <w:t xml:space="preserve"> zustehende Entgelt entrichtet der Arbeitgeber gem. </w:t>
      </w:r>
      <w:hyperlink r:id="rId1223" w:tgtFrame="_blank" w:history="1">
        <w:r>
          <w:rPr>
            <w:rStyle w:val="Hyperlink"/>
          </w:rPr>
          <w:t>§ 3 Absatz 1 Nr. 1 Buchstabe b</w:t>
        </w:r>
      </w:hyperlink>
      <w:r>
        <w:t xml:space="preserve"> des Alters</w:t>
      </w:r>
      <w:r>
        <w:softHyphen/>
        <w:t>teilzeitgesetzes zusätzliche Beiträge zur gesetzlichen Rentenversicherung für den Unter</w:t>
      </w:r>
      <w:r>
        <w:softHyphen/>
        <w:t xml:space="preserve">schiedsbetrag zwischen dem nach </w:t>
      </w:r>
      <w:hyperlink r:id="rId1224" w:history="1">
        <w:r w:rsidRPr="002D1F1D">
          <w:rPr>
            <w:rStyle w:val="Hyperlink"/>
          </w:rPr>
          <w:t>§ 4</w:t>
        </w:r>
      </w:hyperlink>
      <w:r>
        <w:t xml:space="preserve"> zustehenden Entgelt einerseits und 90 v. H. des Entgelts i. S. d. Absatzes 2 zzgl. des sozialversicherungspflichtigen Teils der vom Arbeitgeber zu tragenden Umlage zur Zusatzversorgungseinrichtung, höchstens aber der Beitrags</w:t>
      </w:r>
      <w:r>
        <w:softHyphen/>
        <w:t>bemessungsgrenze, andererseits.</w:t>
      </w:r>
    </w:p>
    <w:p w:rsidR="00BE1EFE" w:rsidRDefault="00BE1EFE">
      <w:pPr>
        <w:pStyle w:val="StandardWeb"/>
      </w:pPr>
    </w:p>
    <w:p w:rsidR="00BE1EFE" w:rsidRDefault="00BE1EFE">
      <w:pPr>
        <w:pStyle w:val="StandardWeb"/>
      </w:pPr>
      <w:r>
        <w:t>(5) Ist die/der Beschäftigte von der Versicherungspflicht in der gesetzlichen Rentenver</w:t>
      </w:r>
      <w:r>
        <w:softHyphen/>
        <w:t>sicherung befreit, erhöht sich der Zuschuss des Arbeitgebers zu einer anderen Zukunftssicherung um den Betrag, den der Arbeitgeber nach Absatz 4 bei Versicherungs</w:t>
      </w:r>
      <w:r>
        <w:softHyphen/>
        <w:t>pflicht in der gesetzlichen Rentenversicherung zu entrichten hätte.</w:t>
      </w:r>
    </w:p>
    <w:p w:rsidR="00BE1EFE" w:rsidRDefault="00BE1EFE">
      <w:pPr>
        <w:pStyle w:val="StandardWeb"/>
      </w:pPr>
    </w:p>
    <w:p w:rsidR="00BE1EFE" w:rsidRDefault="00BE1EFE">
      <w:pPr>
        <w:pStyle w:val="StandardWeb"/>
      </w:pPr>
      <w:r>
        <w:t>(6) Die Regelungen der Absätze 1 bis 5 gelten auch in den Fällen, in denen eine aufgrund dieser Regelung geschlossene Vereinbarung eine Verteilung der Arbeitsleistung (</w:t>
      </w:r>
      <w:hyperlink r:id="rId1225" w:history="1">
        <w:r>
          <w:rPr>
            <w:rStyle w:val="Hyperlink"/>
          </w:rPr>
          <w:t>§ 3 Ab</w:t>
        </w:r>
        <w:r>
          <w:rPr>
            <w:rStyle w:val="Hyperlink"/>
          </w:rPr>
          <w:softHyphen/>
          <w:t>satz </w:t>
        </w:r>
        <w:r w:rsidRPr="002D1F1D">
          <w:rPr>
            <w:rStyle w:val="Hyperlink"/>
          </w:rPr>
          <w:t>2</w:t>
        </w:r>
      </w:hyperlink>
      <w:r>
        <w:t>) vorsieht, die sich auf einen Zeitraum von mehr als sechs Jahren erstreckt.</w:t>
      </w:r>
    </w:p>
    <w:p w:rsidR="00BE1EFE" w:rsidRDefault="00BE1EFE">
      <w:pPr>
        <w:pStyle w:val="StandardWeb"/>
      </w:pPr>
    </w:p>
    <w:p w:rsidR="00BE1EFE" w:rsidRDefault="00BE1EFE">
      <w:pPr>
        <w:pStyle w:val="StandardWeb"/>
      </w:pPr>
      <w:r>
        <w:t>(7) </w:t>
      </w:r>
      <w:r>
        <w:rPr>
          <w:rStyle w:val="kleinschrift"/>
        </w:rPr>
        <w:t>1</w:t>
      </w:r>
      <w:r>
        <w:t xml:space="preserve">Beschäftigte, die nach Inanspruchnahme der Altersteilzeit eine Rentenkürzung wegen einer vorzeitigen Inanspruchnahme der Rente zu erwarten haben, erhalten für je 0,3 v.H. Rentenminderung eine Abfindung in Höhe von 5 v.H. des Tabellenentgelts und des kinderbezogenen Entgeltbestandteils nach </w:t>
      </w:r>
      <w:hyperlink r:id="rId1226" w:history="1">
        <w:r w:rsidRPr="002D1F1D">
          <w:rPr>
            <w:rStyle w:val="Hyperlink"/>
          </w:rPr>
          <w:t>§ 11 Teil A, 3.</w:t>
        </w:r>
      </w:hyperlink>
      <w:r>
        <w:t xml:space="preserve"> und der in Monatsbeträgen festge</w:t>
      </w:r>
      <w:r>
        <w:softHyphen/>
        <w:t>legten Zulagen, die der/dem Beschäftigten im letzten Monat vor dem Ende des Altersteilzeitarbeitsverhältnisses zugestanden hätten, wenn sie/er mit der bisherigen wöchent</w:t>
      </w:r>
      <w:r>
        <w:softHyphen/>
        <w:t>lichen Arbeitszeit (</w:t>
      </w:r>
      <w:hyperlink r:id="rId1227" w:history="1">
        <w:r w:rsidRPr="002D1F1D">
          <w:rPr>
            <w:rStyle w:val="Hyperlink"/>
          </w:rPr>
          <w:t>§ 3 Absatz 1 Unterabsatz 2</w:t>
        </w:r>
      </w:hyperlink>
      <w:r>
        <w:t xml:space="preserve">) beschäftigt gewesen wäre. </w:t>
      </w:r>
      <w:r>
        <w:rPr>
          <w:rStyle w:val="kleinschrift"/>
        </w:rPr>
        <w:t>2</w:t>
      </w:r>
      <w:r>
        <w:t>Die Abfindung wird zum Ende des Altersteilzeitarbeitsverhältnisses gezahlt.</w:t>
      </w:r>
    </w:p>
    <w:p w:rsidR="00BE1EFE" w:rsidRDefault="00BE1EFE" w:rsidP="005B409E">
      <w:pPr>
        <w:pStyle w:val="berschrift5"/>
        <w:spacing w:before="120" w:after="120"/>
      </w:pPr>
      <w:bookmarkStart w:id="951" w:name="_Toc523926473"/>
      <w:r>
        <w:t>§ 6 Nebentätigkeit</w:t>
      </w:r>
      <w:bookmarkEnd w:id="951"/>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Die/der Beschäftigte darf während des Altersteilzeitarbeitsverhältnisses keine Beschäftigungen oder selbstständigen Tätigkeiten ausüben, die die Geringfügigkeitsgrenze </w:t>
      </w:r>
      <w:r>
        <w:lastRenderedPageBreak/>
        <w:t xml:space="preserve">des </w:t>
      </w:r>
      <w:hyperlink r:id="rId1228" w:tgtFrame="_blank" w:history="1">
        <w:r>
          <w:rPr>
            <w:rStyle w:val="Hyperlink"/>
          </w:rPr>
          <w:t>§ 8 SGB IV</w:t>
        </w:r>
      </w:hyperlink>
      <w:r>
        <w:t xml:space="preserve"> überschreiten, es sei denn, diese Beschäftigungen oder selbstständigen Tätigkeiten sind bereits innerhalb der letzten fünf Jahre vor Beginn des Altersteilzeitarbeitsverhältnisses ständig ausgeübt worden. </w:t>
      </w:r>
      <w:r>
        <w:rPr>
          <w:rStyle w:val="kleinschrift"/>
        </w:rPr>
        <w:t>2</w:t>
      </w:r>
      <w:r>
        <w:t>Bestehende Regelungen über Nebentätigkeiten gem. ABD bleiben unberührt.</w:t>
      </w:r>
    </w:p>
    <w:p w:rsidR="00BE1EFE" w:rsidRDefault="00BE1EFE" w:rsidP="005B409E">
      <w:pPr>
        <w:pStyle w:val="berschrift5"/>
        <w:spacing w:before="120" w:after="120"/>
      </w:pPr>
      <w:bookmarkStart w:id="952" w:name="_Toc523926474"/>
      <w:r>
        <w:t>§ 7 Urlaub</w:t>
      </w:r>
      <w:bookmarkEnd w:id="952"/>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Für die Beschäftigte/den Beschäftigten, die/der im Rahmen der Altersteilzeit im Blockmodell (</w:t>
      </w:r>
      <w:hyperlink r:id="rId1229" w:history="1">
        <w:r w:rsidRPr="002D1F1D">
          <w:rPr>
            <w:rStyle w:val="Hyperlink"/>
          </w:rPr>
          <w:t>§ 3 Absatz 2 Buchstabe a</w:t>
        </w:r>
      </w:hyperlink>
      <w:r>
        <w:t xml:space="preserve">) beschäftigt wird, besteht kein Urlaubsanspruch für die Zeit der Freistellung von der Arbeit. </w:t>
      </w:r>
      <w:r>
        <w:rPr>
          <w:rStyle w:val="kleinschrift"/>
        </w:rPr>
        <w:t>2</w:t>
      </w:r>
      <w:r>
        <w:t>Im Kalenderjahr des Übergangs von der Beschäftigung zur Freistellung hat die/der Beschäftigte für jeden vollen Beschäftigungsmonat Anspruch auf ein Zwölftel des Jahresurlaubs.</w:t>
      </w:r>
    </w:p>
    <w:p w:rsidR="00BE1EFE" w:rsidRDefault="00BE1EFE" w:rsidP="005B409E">
      <w:pPr>
        <w:pStyle w:val="berschrift5"/>
        <w:spacing w:before="120" w:after="120"/>
      </w:pPr>
      <w:bookmarkStart w:id="953" w:name="_Toc523926475"/>
      <w:r>
        <w:t>§ 8 Nichtbestehen bzw. Ruhen der Aufstockungsleistungen</w:t>
      </w:r>
      <w:bookmarkEnd w:id="953"/>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In den Fällen krankheitsbedingter Arbeitsunfähigkeit besteht der Anspruch auf die Aufstockungsleistungen (</w:t>
      </w:r>
      <w:hyperlink r:id="rId1230" w:history="1">
        <w:r w:rsidRPr="002D1F1D">
          <w:rPr>
            <w:rStyle w:val="Hyperlink"/>
          </w:rPr>
          <w:t>§ 5</w:t>
        </w:r>
      </w:hyperlink>
      <w:r>
        <w:t xml:space="preserve">) längstens für die Dauer der Entgeltfortzahlung (z. B. </w:t>
      </w:r>
      <w:hyperlink r:id="rId1231" w:history="1">
        <w:r w:rsidRPr="002D1F1D">
          <w:rPr>
            <w:rStyle w:val="Hyperlink"/>
          </w:rPr>
          <w:t>§ 22 Teil A, 1.</w:t>
        </w:r>
      </w:hyperlink>
      <w:r>
        <w:t xml:space="preserve">), der Anspruch auf die Aufstockungsleistungen nach </w:t>
      </w:r>
      <w:hyperlink r:id="rId1232" w:history="1">
        <w:r w:rsidRPr="002D1F1D">
          <w:rPr>
            <w:rStyle w:val="Hyperlink"/>
          </w:rPr>
          <w:t>§ 5 Absatz 1 und 2</w:t>
        </w:r>
      </w:hyperlink>
      <w:r>
        <w:t xml:space="preserve"> darüber hinaus längstens bis zum Ablauf der Fristen für die Zahlung des Entgelts im Krankheitsfalle (Entgeltfortzahlung und Krankengeldzuschuss). </w:t>
      </w:r>
      <w:r>
        <w:rPr>
          <w:rStyle w:val="kleinschrift"/>
        </w:rPr>
        <w:t>2</w:t>
      </w:r>
      <w:r>
        <w:t xml:space="preserve">Für die Zeit nach Ablauf der Entgeltfortzahlung wird der Aufstockungsbetrag in Höhe des kalendertäglichen Durchschnitts des nach </w:t>
      </w:r>
      <w:hyperlink r:id="rId1233" w:history="1">
        <w:r w:rsidRPr="002D1F1D">
          <w:rPr>
            <w:rStyle w:val="Hyperlink"/>
          </w:rPr>
          <w:t>§ 5 Absatz 1 und 2</w:t>
        </w:r>
      </w:hyperlink>
      <w:r>
        <w:t xml:space="preserve"> in den letzten drei abgerechneten Kalendermonaten maßgebenden Aufstockungsbetrages gezahlt; Einmalzahlungen bleiben unberücksichtigt. </w:t>
      </w:r>
      <w:r>
        <w:rPr>
          <w:rStyle w:val="kleinschrift"/>
        </w:rPr>
        <w:t>3</w:t>
      </w:r>
      <w:r>
        <w:t>Im Falle des Bezuges von Krankengeld (</w:t>
      </w:r>
      <w:hyperlink r:id="rId1234" w:tgtFrame="_blank" w:history="1">
        <w:r>
          <w:rPr>
            <w:rStyle w:val="Hyperlink"/>
          </w:rPr>
          <w:t>§ 44 ff. SGB V</w:t>
        </w:r>
      </w:hyperlink>
      <w:r>
        <w:t>), Versorgungskrankengeld (</w:t>
      </w:r>
      <w:hyperlink r:id="rId1235" w:tgtFrame="_blank" w:history="1">
        <w:r>
          <w:rPr>
            <w:rStyle w:val="Hyperlink"/>
          </w:rPr>
          <w:t>§§ 16 ff. BVG</w:t>
        </w:r>
      </w:hyperlink>
      <w:r>
        <w:t>), Verletztengeld (</w:t>
      </w:r>
      <w:hyperlink r:id="rId1236" w:tgtFrame="_blank" w:history="1">
        <w:r>
          <w:rPr>
            <w:rStyle w:val="Hyperlink"/>
          </w:rPr>
          <w:t>§§ 45 ff. SGB VII</w:t>
        </w:r>
      </w:hyperlink>
      <w:r>
        <w:t>), Übergangsgeld (</w:t>
      </w:r>
      <w:hyperlink r:id="rId1237" w:tgtFrame="_blank" w:history="1">
        <w:r>
          <w:rPr>
            <w:rStyle w:val="Hyperlink"/>
          </w:rPr>
          <w:t>§§ 49 ff. SGB VII</w:t>
        </w:r>
      </w:hyperlink>
      <w:r>
        <w:t>) oder Krankentagegeld von einem privaten Krankenversicherungsunternehmen tritt die/der Beschäftigte für den nach Unterabsatz 1 maßgeblichen Zeitraum ihre/seine gegen die Bundesagentur für Arbeit bestehenden Ansprüche auf Altersteilzeitleistungen (</w:t>
      </w:r>
      <w:hyperlink r:id="rId1238" w:tgtFrame="_blank" w:history="1">
        <w:r>
          <w:rPr>
            <w:rStyle w:val="Hyperlink"/>
          </w:rPr>
          <w:t>§ 10 Absatz 2</w:t>
        </w:r>
      </w:hyperlink>
      <w:r>
        <w:t xml:space="preserve"> des Altersteilzeitgesetzes) an den Arbeitgeber ab.</w:t>
      </w:r>
    </w:p>
    <w:p w:rsidR="00BE1EFE" w:rsidRPr="000B1AF8" w:rsidRDefault="00BE1EFE">
      <w:pPr>
        <w:pStyle w:val="StandardWeb"/>
      </w:pPr>
    </w:p>
    <w:p w:rsidR="00BE1EFE" w:rsidRDefault="00BE1EFE">
      <w:pPr>
        <w:pStyle w:val="StandardWeb"/>
      </w:pPr>
      <w:r>
        <w:t>(2) Ist die/der Beschäftigte, die/der die Altersteilzeitarbeit im Blockmodell ableistet, während der Arbeitsphase über den Zeitraum der Entgeltfortzahlung hinaus arbeitsunfähig erkrankt, verlängert sich die Arbeitsphase um die Hälfte des den Entgeltfortzahlungszeitraum übersteigenden Zeitraums der Arbeitsunfähigkeit; in dem gleichen Umfang verkürzt sich die Freistellungsphase.</w:t>
      </w:r>
    </w:p>
    <w:p w:rsidR="00BE1EFE" w:rsidRDefault="00BE1EFE">
      <w:pPr>
        <w:pStyle w:val="StandardWeb"/>
      </w:pPr>
    </w:p>
    <w:p w:rsidR="00BE1EFE" w:rsidRDefault="00BE1EFE">
      <w:pPr>
        <w:pStyle w:val="StandardWeb"/>
      </w:pPr>
      <w:r>
        <w:t>(3) </w:t>
      </w:r>
      <w:r>
        <w:rPr>
          <w:rStyle w:val="kleinschrift"/>
        </w:rPr>
        <w:t>1</w:t>
      </w:r>
      <w:r>
        <w:t xml:space="preserve">Der Anspruch auf die Aufstockungsleistungen ruht während der Zeit, in der die/der Beschäftigte eine unzulässige oder selbstständige Tätigkeit im Sinne des </w:t>
      </w:r>
      <w:hyperlink r:id="rId1239" w:history="1">
        <w:r w:rsidRPr="002D1F1D">
          <w:rPr>
            <w:rStyle w:val="Hyperlink"/>
          </w:rPr>
          <w:t>§ 6</w:t>
        </w:r>
      </w:hyperlink>
      <w:r>
        <w:t xml:space="preserve"> ausübt oder über die Altersteilzeitarbeit hinaus Mehrarbeit und Überstunden leistet, die den Umfang der Geringfügigkeitsgrenze des </w:t>
      </w:r>
      <w:hyperlink r:id="rId1240" w:tgtFrame="_blank" w:history="1">
        <w:r>
          <w:rPr>
            <w:rStyle w:val="Hyperlink"/>
          </w:rPr>
          <w:t>§ 8 SGB IV</w:t>
        </w:r>
      </w:hyperlink>
      <w:r>
        <w:t xml:space="preserve"> überschreiten. </w:t>
      </w:r>
      <w:r>
        <w:rPr>
          <w:rStyle w:val="kleinschrift"/>
        </w:rPr>
        <w:t>2</w:t>
      </w:r>
      <w:r>
        <w:t>Hat der Anspruch auf die Aufstockungsleistungen mindestens 150 Tage geruht, erlischt er; mehrere Ruhenszeiträume werden zusammengerechnet.</w:t>
      </w:r>
    </w:p>
    <w:p w:rsidR="00BE1EFE" w:rsidRDefault="00BE1EFE">
      <w:pPr>
        <w:pStyle w:val="StandardWeb"/>
      </w:pPr>
      <w:r>
        <w:rPr>
          <w:rStyle w:val="kleinschrift"/>
        </w:rPr>
        <w:t>Anmerkung:</w:t>
      </w:r>
    </w:p>
    <w:p w:rsidR="00BE1EFE" w:rsidRPr="00A17055" w:rsidRDefault="00BE1EFE" w:rsidP="004227CF">
      <w:pPr>
        <w:pStyle w:val="StandardWeb"/>
        <w:rPr>
          <w:sz w:val="12"/>
        </w:rPr>
      </w:pPr>
      <w:r>
        <w:rPr>
          <w:rStyle w:val="kleinschrift"/>
        </w:rPr>
        <w:t>Wenn die/der Beschäftigte infolge Krankheit den Anspruch auf eine Rente nach Altersteilzeit nicht zum arbeitsvertraglich festgelegten Zeitpunkt erreicht, verhandeln die Arbeitsvertragsparteien über eine interessengerechte Vertragsanpassung.</w:t>
      </w:r>
    </w:p>
    <w:p w:rsidR="00BE1EFE" w:rsidRDefault="00BE1EFE" w:rsidP="005B409E">
      <w:pPr>
        <w:pStyle w:val="berschrift5"/>
        <w:spacing w:before="120" w:after="120"/>
      </w:pPr>
      <w:bookmarkStart w:id="954" w:name="_Toc523926476"/>
      <w:r>
        <w:t>§ 9 Ende des Arbeitsverhältnisses</w:t>
      </w:r>
      <w:bookmarkEnd w:id="954"/>
    </w:p>
    <w:p w:rsidR="00BE1EFE" w:rsidRPr="00B76821" w:rsidRDefault="00BE1EFE" w:rsidP="00B76821">
      <w:pPr>
        <w:pStyle w:val="berschrift6"/>
        <w:keepNext w:val="0"/>
        <w:spacing w:before="0" w:after="0"/>
        <w:rPr>
          <w:sz w:val="2"/>
        </w:rPr>
      </w:pPr>
    </w:p>
    <w:p w:rsidR="00BE1EFE" w:rsidRPr="000B1AF8" w:rsidRDefault="00BE1EFE">
      <w:pPr>
        <w:pStyle w:val="StandardWeb"/>
      </w:pPr>
      <w:r>
        <w:t>(1) Das Arbeitsverhältnis endet zu dem in der Altersteilzeitvereinbarung festgelegten Zeitpunkt.</w:t>
      </w:r>
    </w:p>
    <w:p w:rsidR="00BE1EFE" w:rsidRPr="000B1AF8" w:rsidRDefault="00BE1EFE">
      <w:pPr>
        <w:pStyle w:val="StandardWeb"/>
      </w:pPr>
    </w:p>
    <w:p w:rsidR="00BE1EFE" w:rsidRDefault="00BE1EFE">
      <w:pPr>
        <w:pStyle w:val="StandardWeb"/>
      </w:pPr>
      <w:r>
        <w:t xml:space="preserve">(2) Das Arbeitsverhältnis endet unbeschadet der sonstigen Regelungen des ABD (z. B. </w:t>
      </w:r>
      <w:hyperlink r:id="rId1241" w:history="1">
        <w:r w:rsidRPr="002D1F1D">
          <w:rPr>
            <w:rStyle w:val="Hyperlink"/>
          </w:rPr>
          <w:t>§§ 33</w:t>
        </w:r>
      </w:hyperlink>
      <w:r>
        <w:t xml:space="preserve">, </w:t>
      </w:r>
      <w:hyperlink r:id="rId1242" w:history="1">
        <w:r w:rsidRPr="002D1F1D">
          <w:rPr>
            <w:rStyle w:val="Hyperlink"/>
          </w:rPr>
          <w:t>34 Teil A, 1.</w:t>
        </w:r>
      </w:hyperlink>
      <w:r>
        <w:t>)</w:t>
      </w:r>
    </w:p>
    <w:p w:rsidR="00BE1EFE" w:rsidRDefault="00BE1EFE">
      <w:pPr>
        <w:pStyle w:val="StandardWeb"/>
      </w:pPr>
      <w:r>
        <w:t xml:space="preserve">a) mit Ablauf das Kalendermonats vor dem Kalendermonat, für den die/der Beschäftigte eine Rente wegen Alters oder, wenn sie/er von der Versicherungspflicht in der gesetzlichen </w:t>
      </w:r>
      <w:r>
        <w:lastRenderedPageBreak/>
        <w:t>Rentenversicherung befreit ist, eine vergleichbare Leistung einer Versicherungs- oder Versorgungseinrichtung oder eines Versicherungsunternehmens beanspruchen kann; dies gilt nicht für Renten, die vor dem für die Versicherte/den Versicherten maßgebenden Rentenalter in Anspruch genommen werden können oder</w:t>
      </w:r>
    </w:p>
    <w:p w:rsidR="00BE1EFE" w:rsidRDefault="00BE1EFE">
      <w:pPr>
        <w:pStyle w:val="StandardWeb"/>
      </w:pPr>
      <w:r>
        <w:t>b) mit Beginn des Kalendermonats, für den die/der Beschäftigte eine Rente wegen Alters, eine Knappschaftsausgleichsleistung, eine ähnliche Leistung öffentlich-rechtlicher Art oder, wenn sie/er von der Versicherungspflicht in der gesetzlichen Rentenversicherung befreit ist, eine vergleichbare Leistung einer Versicherungs- oder Versorgungseinrichtung oder eines Versicherungsunternehmens bezieht.</w:t>
      </w:r>
    </w:p>
    <w:p w:rsidR="00BE1EFE" w:rsidRDefault="00BE1EFE">
      <w:pPr>
        <w:pStyle w:val="StandardWeb"/>
      </w:pPr>
      <w:r>
        <w:t>(3) </w:t>
      </w:r>
      <w:r>
        <w:rPr>
          <w:rStyle w:val="kleinschrift"/>
        </w:rPr>
        <w:t>1</w:t>
      </w:r>
      <w:r>
        <w:t>Endet bei einer/einem Beschäftigten, die/der im Rahmen der Altersteilzeit nach dem Blockmodell (</w:t>
      </w:r>
      <w:hyperlink r:id="rId1243" w:history="1">
        <w:r w:rsidRPr="002D1F1D">
          <w:rPr>
            <w:rStyle w:val="Hyperlink"/>
          </w:rPr>
          <w:t>§ 3 Absatz 2 Buchst. a</w:t>
        </w:r>
      </w:hyperlink>
      <w:r>
        <w:t xml:space="preserve">) beschäftigt wird, das Arbeitsverhältnis vorzeitig, hat sie/er Anspruch auf eine etwaige Differenz zwischen den nach den </w:t>
      </w:r>
      <w:hyperlink r:id="rId1244" w:history="1">
        <w:r w:rsidRPr="002D1F1D">
          <w:rPr>
            <w:rStyle w:val="Hyperlink"/>
          </w:rPr>
          <w:t>§§ 4</w:t>
        </w:r>
      </w:hyperlink>
      <w:r>
        <w:t xml:space="preserve"> und </w:t>
      </w:r>
      <w:hyperlink r:id="rId1245" w:history="1">
        <w:r w:rsidRPr="002D1F1D">
          <w:rPr>
            <w:rStyle w:val="Hyperlink"/>
          </w:rPr>
          <w:t>5</w:t>
        </w:r>
      </w:hyperlink>
      <w:r>
        <w:t xml:space="preserve"> erhaltenen Entgelten und Aufstockungsleistungen und den Entgelten für den Zeitraum ihrer/seiner tatsächlichen Beschäftigung, die sie/er ohne Eintritt in die Altersteilzeit erzielt hätte. </w:t>
      </w:r>
      <w:r>
        <w:rPr>
          <w:rStyle w:val="kleinschrift"/>
        </w:rPr>
        <w:t>2</w:t>
      </w:r>
      <w:r>
        <w:t>Bei Tod der/des Beschäftigten steht dieser Anspruch ihren/seinen Erben zu.</w:t>
      </w:r>
    </w:p>
    <w:p w:rsidR="00BE1EFE" w:rsidRDefault="00BE1EFE" w:rsidP="005B409E">
      <w:pPr>
        <w:pStyle w:val="berschrift5"/>
        <w:spacing w:before="120" w:after="120"/>
      </w:pPr>
      <w:bookmarkStart w:id="955" w:name="_Toc523926477"/>
      <w:r>
        <w:t>§ 10 Mitwirkungspflicht</w:t>
      </w:r>
      <w:bookmarkEnd w:id="955"/>
    </w:p>
    <w:p w:rsidR="00BE1EFE" w:rsidRPr="00B76821" w:rsidRDefault="00BE1EFE" w:rsidP="00B76821">
      <w:pPr>
        <w:pStyle w:val="berschrift6"/>
        <w:keepNext w:val="0"/>
        <w:spacing w:before="0" w:after="0"/>
        <w:rPr>
          <w:sz w:val="2"/>
        </w:rPr>
      </w:pPr>
    </w:p>
    <w:p w:rsidR="00BE1EFE" w:rsidRPr="000B1AF8" w:rsidRDefault="00BE1EFE">
      <w:pPr>
        <w:pStyle w:val="StandardWeb"/>
      </w:pPr>
      <w:r>
        <w:t>(1) Die/der Beschäftigte hat Änderungen der sie/ihn betreffenden Verhältnisse, die für den Anspruch auf Aufstockungsleistungen erheblich sind, dem Arbeitgeber unverzüglich mitzuteilen.</w:t>
      </w:r>
    </w:p>
    <w:p w:rsidR="00BE1EFE" w:rsidRPr="000B1AF8" w:rsidRDefault="00BE1EFE">
      <w:pPr>
        <w:pStyle w:val="StandardWeb"/>
      </w:pPr>
    </w:p>
    <w:p w:rsidR="00BE1EFE" w:rsidRDefault="00BE1EFE">
      <w:pPr>
        <w:pStyle w:val="StandardWeb"/>
      </w:pPr>
      <w:r>
        <w:t>(2) Die/der Beschäftigte hat dem Arbeitgeber zu Unrecht gezahlte Leistungen, die die im Altersteilzeitgesetz vorgesehenen Leistungen übersteigen, zu erstatten, wenn sie/er die unrechtmäßige Zahlung dadurch bewirkt hat, dass sie/er Mitwirkungspflichten nach Absatz 1 verletzt hat.</w:t>
      </w:r>
    </w:p>
    <w:p w:rsidR="00BE1EFE" w:rsidRDefault="00BE1EFE" w:rsidP="008D4CEA">
      <w:pPr>
        <w:pStyle w:val="StandardWeb"/>
      </w:pPr>
      <w:r>
        <w:br w:type="page"/>
      </w:r>
    </w:p>
    <w:p w:rsidR="00BE1EFE" w:rsidRPr="003059A3" w:rsidRDefault="00BE1EFE" w:rsidP="00A264B5">
      <w:pPr>
        <w:pStyle w:val="berschrift4"/>
        <w:spacing w:before="0"/>
        <w:rPr>
          <w:lang w:eastAsia="x-none"/>
        </w:rPr>
      </w:pPr>
      <w:bookmarkStart w:id="956" w:name="_Toc523926478"/>
      <w:r>
        <w:lastRenderedPageBreak/>
        <w:t>D, 6a. Regelung zu flexiblen Arbeitszeitregelungen für ältere Beschäftigte - FlexAZR</w:t>
      </w:r>
      <w:bookmarkEnd w:id="956"/>
    </w:p>
    <w:p w:rsidR="00BE1EFE" w:rsidRPr="00B76821" w:rsidRDefault="00BE1EFE" w:rsidP="00B76821">
      <w:pPr>
        <w:pStyle w:val="berschrift5"/>
        <w:keepNext w:val="0"/>
        <w:spacing w:before="0" w:after="0"/>
        <w:rPr>
          <w:sz w:val="2"/>
        </w:rPr>
      </w:pPr>
    </w:p>
    <w:p w:rsidR="00BE1EFE" w:rsidRPr="000B1AF8" w:rsidRDefault="00BE1EFE" w:rsidP="006E43BA">
      <w:pPr>
        <w:pStyle w:val="StandardWeb"/>
        <w:autoSpaceDE w:val="0"/>
      </w:pPr>
      <w:r w:rsidRPr="009840E5">
        <w:rPr>
          <w:i/>
        </w:rPr>
        <w:t>(</w:t>
      </w:r>
      <w:r w:rsidRPr="008D4CEA">
        <w:rPr>
          <w:i/>
        </w:rPr>
        <w:t>Die Regelung zu flexiblen Arbeitszeitregelungen für ältere Beschäftigte – FlexAZR – gilt für Beschäftigte, die bis zum 31. Dezember 2018 die jeweiligen Voraussetzungen erfüllen und deren Altersteilzeitarbeitsverhältnis oder deren flexible Altersarbeitszeit vor dem 1. Januar 2019 begonnen hat</w:t>
      </w:r>
      <w:r>
        <w:rPr>
          <w:i/>
        </w:rPr>
        <w:t xml:space="preserve">. Die Änderungen zum 1. Januar 2018 </w:t>
      </w:r>
      <w:r>
        <w:rPr>
          <w:rStyle w:val="Hervorhebung"/>
          <w:iCs/>
        </w:rPr>
        <w:t xml:space="preserve">durch Beschluss der </w:t>
      </w:r>
      <w:r w:rsidRPr="00707597">
        <w:rPr>
          <w:rStyle w:val="Hervorhebung"/>
          <w:iCs/>
        </w:rPr>
        <w:t>Kommission für das Arbeitsvertragsrecht der bayerischen Diözesen vom 20. September 2017</w:t>
      </w:r>
      <w:r>
        <w:rPr>
          <w:rStyle w:val="Hervorhebung"/>
          <w:iCs/>
        </w:rPr>
        <w:t xml:space="preserve"> veröffentlicht in der Anlage zu den Amtsblättern der bayerischen Diözesen „Änderungen und Ergänzungen zum Arbeitsvertragsrecht der bayerischen Diözesen – ABD – Nr. 119“ sind befristet bis zum 31. Dezember 2018.</w:t>
      </w:r>
    </w:p>
    <w:p w:rsidR="00BE1EFE" w:rsidRDefault="00BE1EFE">
      <w:pPr>
        <w:pStyle w:val="berschrift5"/>
      </w:pPr>
      <w:bookmarkStart w:id="957" w:name="_Toc523926479"/>
      <w:r>
        <w:t>I. Geltungsbereich</w:t>
      </w:r>
      <w:bookmarkEnd w:id="957"/>
    </w:p>
    <w:p w:rsidR="00BE1EFE" w:rsidRDefault="00BE1EFE" w:rsidP="005B409E">
      <w:pPr>
        <w:pStyle w:val="berschrift6"/>
        <w:spacing w:before="120" w:after="120"/>
      </w:pPr>
      <w:bookmarkStart w:id="958" w:name="_Toc523926480"/>
      <w:r>
        <w:t>§ 1 Geltungsbereich</w:t>
      </w:r>
      <w:bookmarkEnd w:id="958"/>
    </w:p>
    <w:p w:rsidR="00BE1EFE" w:rsidRPr="00B76821" w:rsidRDefault="00BE1EFE" w:rsidP="00B76821">
      <w:pPr>
        <w:pStyle w:val="h7"/>
        <w:keepNext w:val="0"/>
        <w:spacing w:before="0" w:after="0"/>
        <w:jc w:val="left"/>
        <w:outlineLvl w:val="5"/>
        <w:rPr>
          <w:sz w:val="2"/>
        </w:rPr>
      </w:pPr>
    </w:p>
    <w:p w:rsidR="00BE1EFE" w:rsidRPr="000B1AF8" w:rsidRDefault="00BE1EFE">
      <w:pPr>
        <w:spacing w:before="100" w:beforeAutospacing="1" w:after="100" w:afterAutospacing="1"/>
        <w:jc w:val="both"/>
      </w:pPr>
      <w:r>
        <w:rPr>
          <w:rFonts w:cs="Arial"/>
          <w:color w:val="000000"/>
        </w:rPr>
        <w:t xml:space="preserve">Diese Regelung gilt für Beschäftigte, </w:t>
      </w:r>
      <w:r>
        <w:rPr>
          <w:rFonts w:cs="Arial"/>
        </w:rPr>
        <w:t>die unter den Geltungsbereich des Arbeitsvertragsrechts der bayerischen Diözesen (ABD) fallen</w:t>
      </w:r>
      <w:r>
        <w:rPr>
          <w:rFonts w:cs="Arial"/>
          <w:color w:val="000000"/>
        </w:rPr>
        <w:t>.</w:t>
      </w:r>
    </w:p>
    <w:p w:rsidR="00BE1EFE" w:rsidRDefault="00BE1EFE">
      <w:pPr>
        <w:pStyle w:val="berschrift5"/>
      </w:pPr>
      <w:bookmarkStart w:id="959" w:name="_Toc523926481"/>
      <w:r>
        <w:t>II. Altersteilzeit (ATZ)</w:t>
      </w:r>
      <w:bookmarkEnd w:id="959"/>
    </w:p>
    <w:p w:rsidR="00BE1EFE" w:rsidRDefault="00BE1EFE" w:rsidP="005B409E">
      <w:pPr>
        <w:pStyle w:val="berschrift6"/>
        <w:spacing w:before="120" w:after="120"/>
      </w:pPr>
      <w:bookmarkStart w:id="960" w:name="_Toc523926482"/>
      <w:r>
        <w:t>§ 2 Inanspruchnahme von Altersteilzeit</w:t>
      </w:r>
      <w:bookmarkEnd w:id="960"/>
    </w:p>
    <w:p w:rsidR="00BE1EFE" w:rsidRPr="00B76821" w:rsidRDefault="00BE1EFE" w:rsidP="00B76821">
      <w:pPr>
        <w:pStyle w:val="h7"/>
        <w:keepNext w:val="0"/>
        <w:spacing w:before="0" w:after="0"/>
        <w:jc w:val="left"/>
        <w:outlineLvl w:val="5"/>
        <w:rPr>
          <w:sz w:val="2"/>
        </w:rPr>
      </w:pPr>
    </w:p>
    <w:p w:rsidR="00BE1EFE" w:rsidRDefault="00BE1EFE" w:rsidP="002306D6">
      <w:pPr>
        <w:jc w:val="both"/>
        <w:rPr>
          <w:rFonts w:cs="Arial"/>
        </w:rPr>
      </w:pPr>
      <w:r>
        <w:rPr>
          <w:rFonts w:cs="Arial"/>
        </w:rPr>
        <w:t xml:space="preserve">Auf der Grundlage des </w:t>
      </w:r>
      <w:hyperlink r:id="rId1246" w:tgtFrame="_blank" w:history="1">
        <w:r>
          <w:rPr>
            <w:rStyle w:val="Hyperlink"/>
            <w:rFonts w:cs="Arial"/>
          </w:rPr>
          <w:t>Altersteilzeitgesetzes (AltTZG)</w:t>
        </w:r>
      </w:hyperlink>
      <w:r>
        <w:rPr>
          <w:rFonts w:cs="Arial"/>
        </w:rPr>
        <w:t xml:space="preserve"> vom 23. Juli 1996 in der jeweils geltenden Fassung ist die Änderung des Arbeitsverhältnisses in ein Altersteilzeit</w:t>
      </w:r>
      <w:r>
        <w:rPr>
          <w:rFonts w:cs="Arial"/>
        </w:rPr>
        <w:softHyphen/>
        <w:t>arbeitsverhältnis</w:t>
      </w:r>
      <w:r>
        <w:rPr>
          <w:rFonts w:cs="Arial"/>
        </w:rPr>
        <w:br/>
        <w:t>a) in Restrukturierungs- und Stellenabbaubereichen (</w:t>
      </w:r>
      <w:hyperlink r:id="rId1247" w:history="1">
        <w:r w:rsidRPr="002D1F1D">
          <w:rPr>
            <w:rStyle w:val="Hyperlink"/>
            <w:rFonts w:cs="Arial"/>
          </w:rPr>
          <w:t>§ 3</w:t>
        </w:r>
      </w:hyperlink>
      <w:r>
        <w:rPr>
          <w:rFonts w:cs="Arial"/>
        </w:rPr>
        <w:t>) und</w:t>
      </w:r>
    </w:p>
    <w:p w:rsidR="00BE1EFE" w:rsidRDefault="00BE1EFE" w:rsidP="00606B76">
      <w:pPr>
        <w:jc w:val="both"/>
        <w:rPr>
          <w:rFonts w:cs="Arial"/>
        </w:rPr>
      </w:pPr>
      <w:r>
        <w:rPr>
          <w:rFonts w:cs="Arial"/>
        </w:rPr>
        <w:t>b) im Übrigen im Rahmen einer Quote (</w:t>
      </w:r>
      <w:hyperlink r:id="rId1248" w:history="1">
        <w:r w:rsidRPr="002D1F1D">
          <w:rPr>
            <w:rStyle w:val="Hyperlink"/>
            <w:rFonts w:cs="Arial"/>
          </w:rPr>
          <w:t>§ 4</w:t>
        </w:r>
      </w:hyperlink>
      <w:r>
        <w:rPr>
          <w:rFonts w:cs="Arial"/>
        </w:rPr>
        <w:t>)</w:t>
      </w:r>
    </w:p>
    <w:p w:rsidR="00BE1EFE" w:rsidRPr="000B1AF8" w:rsidRDefault="00BE1EFE" w:rsidP="002306D6">
      <w:pPr>
        <w:spacing w:after="100" w:afterAutospacing="1"/>
        <w:jc w:val="both"/>
      </w:pPr>
      <w:r>
        <w:rPr>
          <w:rFonts w:cs="Arial"/>
        </w:rPr>
        <w:t>möglich.</w:t>
      </w:r>
    </w:p>
    <w:p w:rsidR="00BE1EFE" w:rsidRDefault="00BE1EFE" w:rsidP="005B409E">
      <w:pPr>
        <w:pStyle w:val="berschrift6"/>
        <w:spacing w:before="120" w:after="120"/>
      </w:pPr>
      <w:bookmarkStart w:id="961" w:name="_Toc523926483"/>
      <w:r>
        <w:t>§ 3 Altersteilzeit in Restrukturierungs- und Stellenabbaubereichen</w:t>
      </w:r>
      <w:bookmarkEnd w:id="96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Altersteilzeit im Sinne des Altersteilzeitgesetzes kann, ohne dass darauf ein Rechtsanspruch besteht, in Restrukturierungs- und Stellenabbaubereichen bei dienstlichem oder betrieblichem Bedarf vereinbart werden, wenn die persönlichen Voraussetzungen nach </w:t>
      </w:r>
      <w:hyperlink r:id="rId1249" w:history="1">
        <w:r w:rsidRPr="002D1F1D">
          <w:rPr>
            <w:rStyle w:val="Hyperlink"/>
          </w:rPr>
          <w:t>§ 5</w:t>
        </w:r>
      </w:hyperlink>
      <w:r>
        <w:t xml:space="preserve"> vorliegen. </w:t>
      </w:r>
      <w:r>
        <w:rPr>
          <w:rStyle w:val="kleinschrift"/>
        </w:rPr>
        <w:t>2</w:t>
      </w:r>
      <w:r>
        <w:t>Die Festlegung der in Satz 1 genannten Bereiche und die Entscheidung, ob, in welchem Umfang und für welchen Personenkreis dort Altersteilzeitarbeit zugelassen wird, erfolgt durch den Arbeitgeber.</w:t>
      </w:r>
    </w:p>
    <w:p w:rsidR="00BE1EFE" w:rsidRDefault="00BE1EFE" w:rsidP="005B409E">
      <w:pPr>
        <w:pStyle w:val="berschrift6"/>
        <w:spacing w:before="120" w:after="120"/>
      </w:pPr>
      <w:bookmarkStart w:id="962" w:name="_Toc523926484"/>
      <w:r>
        <w:t>§ 4 Altersteilzeit im Übrigen</w:t>
      </w:r>
      <w:bookmarkEnd w:id="9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Den Beschäftigten wird im Rahmen der Quote nach Absatz 2 die Möglichkeit eröffnet, Altersteilzeit im Sinne des Altersteilzeitgesetzes in Anspruch zu nehmen, wenn die persön</w:t>
      </w:r>
      <w:r>
        <w:softHyphen/>
        <w:t xml:space="preserve">lichen Voraussetzungen nach </w:t>
      </w:r>
      <w:hyperlink r:id="rId1250" w:history="1">
        <w:r w:rsidRPr="002D1F1D">
          <w:rPr>
            <w:rStyle w:val="Hyperlink"/>
          </w:rPr>
          <w:t>§ 5</w:t>
        </w:r>
      </w:hyperlink>
      <w:r>
        <w:t xml:space="preserve"> vorliegen.</w:t>
      </w:r>
    </w:p>
    <w:p w:rsidR="00BE1EFE" w:rsidRPr="000B1AF8" w:rsidRDefault="00BE1EFE">
      <w:pPr>
        <w:pStyle w:val="StandardWeb"/>
      </w:pPr>
    </w:p>
    <w:p w:rsidR="00BE1EFE" w:rsidRPr="006E43BA" w:rsidRDefault="00BE1EFE" w:rsidP="006E43BA">
      <w:pPr>
        <w:pStyle w:val="StandardWeb"/>
        <w:rPr>
          <w:szCs w:val="16"/>
        </w:rPr>
      </w:pPr>
      <w:r>
        <w:t>(2) </w:t>
      </w:r>
      <w:r>
        <w:rPr>
          <w:rStyle w:val="kleinschrift"/>
        </w:rPr>
        <w:t>1</w:t>
      </w:r>
      <w:r>
        <w:t>Der Anspruch auf Vereinbarung eines Altersteilzeitarbeitsverhältnisses nach Absatz 1 ist ausgeschlossen, wenn und solange 2,5 v.H. der Beschäftigten (</w:t>
      </w:r>
      <w:hyperlink r:id="rId1251" w:history="1">
        <w:r w:rsidRPr="002D1F1D">
          <w:rPr>
            <w:rStyle w:val="Hyperlink"/>
          </w:rPr>
          <w:t>§ 1</w:t>
        </w:r>
      </w:hyperlink>
      <w:r>
        <w:t>) von einer Altersteil</w:t>
      </w:r>
      <w:r>
        <w:softHyphen/>
        <w:t xml:space="preserve">zeitregelung im Sinne des Altersteilzeitgesetzes Gebrauch machen. </w:t>
      </w:r>
      <w:r>
        <w:rPr>
          <w:rStyle w:val="kleinschrift"/>
        </w:rPr>
        <w:t>2</w:t>
      </w:r>
      <w:r w:rsidRPr="006E43BA">
        <w:rPr>
          <w:rStyle w:val="kleinschrift"/>
          <w:sz w:val="16"/>
          <w:szCs w:val="16"/>
        </w:rPr>
        <w:t xml:space="preserve">Für Beschäftigte mit </w:t>
      </w:r>
      <w:r w:rsidRPr="006E43BA">
        <w:rPr>
          <w:rStyle w:val="kleinschrift"/>
          <w:sz w:val="16"/>
          <w:szCs w:val="16"/>
        </w:rPr>
        <w:lastRenderedPageBreak/>
        <w:t>einem Grad der Behinderung von wenigstens 50 besteht der Anspruch auf Vereinbarung eines Altersteilzeitverhältnisses gemäß Absatz 1 in Verbindung mit § 5 Absatz 1 Buchstabe c), wenn und solange nicht mindestens 2,5 v.H. der schwerbehinderten</w:t>
      </w:r>
      <w:r>
        <w:rPr>
          <w:rStyle w:val="kleinschrift"/>
          <w:sz w:val="16"/>
          <w:szCs w:val="16"/>
        </w:rPr>
        <w:t xml:space="preserve"> </w:t>
      </w:r>
      <w:r w:rsidRPr="006E43BA">
        <w:rPr>
          <w:rStyle w:val="kleinschrift"/>
          <w:sz w:val="16"/>
          <w:szCs w:val="16"/>
        </w:rPr>
        <w:t>Beschäftigten von einer Altersteilzeitregelung im Sinne des Altersteilzeitgesetzes Gebrauch machen.</w:t>
      </w:r>
      <w:r>
        <w:rPr>
          <w:rStyle w:val="kleinschrift"/>
        </w:rPr>
        <w:t xml:space="preserve"> 3</w:t>
      </w:r>
      <w:r>
        <w:t>Maßgeblich für die Berechnung der Quoten nach den Sätzen 1 und 2 ist die Anzahl der jeweiligen Beschäftigten zum Stichtag 31. Mai des Vorjahres.</w:t>
      </w:r>
    </w:p>
    <w:p w:rsidR="00BE1EFE" w:rsidRDefault="00BE1EFE">
      <w:pPr>
        <w:pStyle w:val="StandardWeb"/>
        <w:rPr>
          <w:sz w:val="12"/>
          <w:szCs w:val="12"/>
        </w:rPr>
      </w:pPr>
      <w:r>
        <w:rPr>
          <w:sz w:val="12"/>
          <w:szCs w:val="12"/>
        </w:rPr>
        <w:t>Anmerkung zu § 4 Absatz 2:</w:t>
      </w:r>
    </w:p>
    <w:p w:rsidR="00BE1EFE" w:rsidRDefault="00BE1EFE">
      <w:pPr>
        <w:pStyle w:val="StandardWeb"/>
      </w:pPr>
      <w:r>
        <w:rPr>
          <w:sz w:val="12"/>
          <w:szCs w:val="12"/>
        </w:rPr>
        <w:t>1In die Quoten werden alle zum jeweiligen Stichtag bestehenden Altersteilzeitarbeitsverhältnisse einschließlich solcher nach § 3 dieser Regelung einbezogen. 2Die so errechneten Quoten gelten für das gesamte Kalenderjahr; unterjährige Veränderungen bleiben unberücksichtigt. 3Die Quoten werden jährlich überprüft.</w:t>
      </w:r>
    </w:p>
    <w:p w:rsidR="00BE1EFE" w:rsidRDefault="00BE1EFE">
      <w:pPr>
        <w:pStyle w:val="StandardWeb"/>
      </w:pPr>
    </w:p>
    <w:p w:rsidR="00BE1EFE" w:rsidRDefault="00BE1EFE">
      <w:pPr>
        <w:pStyle w:val="StandardWeb"/>
      </w:pPr>
      <w:r>
        <w:t>(3) Der Arbeitgeber kann ausnahmsweise die Vereinbarung eines Altersteilzeitarbeitsver-hältnisses ablehnen, wenn dienstliche oder betriebliche Gründe entgegenstehen.</w:t>
      </w:r>
    </w:p>
    <w:p w:rsidR="00BE1EFE" w:rsidRDefault="00BE1EFE" w:rsidP="005B409E">
      <w:pPr>
        <w:pStyle w:val="berschrift6"/>
        <w:spacing w:before="120" w:after="120"/>
      </w:pPr>
      <w:bookmarkStart w:id="963" w:name="_Toc523926485"/>
      <w:r>
        <w:t>§ 5 Persönliche Voraussetzungen für Altersteilzeit</w:t>
      </w:r>
      <w:bookmarkEnd w:id="963"/>
    </w:p>
    <w:p w:rsidR="00BE1EFE" w:rsidRPr="00B76821" w:rsidRDefault="00BE1EFE" w:rsidP="00B76821">
      <w:pPr>
        <w:pStyle w:val="h7"/>
        <w:keepNext w:val="0"/>
        <w:spacing w:before="0" w:after="0"/>
        <w:jc w:val="left"/>
        <w:outlineLvl w:val="5"/>
        <w:rPr>
          <w:sz w:val="2"/>
        </w:rPr>
      </w:pPr>
    </w:p>
    <w:p w:rsidR="00BE1EFE" w:rsidRDefault="00BE1EFE">
      <w:pPr>
        <w:pStyle w:val="StandardWeb"/>
      </w:pPr>
      <w:r>
        <w:t>(1) Altersteilzeit nach dieser Regelung setzt voraus, dass die Beschäftigten</w:t>
      </w:r>
    </w:p>
    <w:p w:rsidR="00BE1EFE" w:rsidRDefault="00BE1EFE">
      <w:pPr>
        <w:pStyle w:val="StandardWeb"/>
      </w:pPr>
      <w:r>
        <w:t>a) das 60. Lebensjahr vollendet haben und</w:t>
      </w:r>
    </w:p>
    <w:p w:rsidR="00BE1EFE" w:rsidRDefault="00BE1EFE">
      <w:pPr>
        <w:pStyle w:val="StandardWeb"/>
      </w:pPr>
      <w:r>
        <w:t>b) innerhalb der letzten fünf Jahre vor Beginn der Altersteilzeitarbeit mindestens 1080 Kalendertage in einer versicherungspflichtigen Beschäftigung nach dem Dritten Buch Sozialgesetzbuch gestanden haben.</w:t>
      </w:r>
    </w:p>
    <w:p w:rsidR="00BE1EFE" w:rsidRDefault="00BE1EFE" w:rsidP="006E43BA">
      <w:pPr>
        <w:pStyle w:val="StandardWeb"/>
      </w:pPr>
      <w:r>
        <w:t>c) Bei Beschäftigten mit einem Grad der Behinderung von wenigstens 50 zum Zeitpunkt der Antragstellung (</w:t>
      </w:r>
      <w:hyperlink r:id="rId1252" w:history="1">
        <w:r w:rsidRPr="000E0EAF">
          <w:rPr>
            <w:rStyle w:val="Hyperlink"/>
          </w:rPr>
          <w:t>§ 2 Absatz 2 SGB IX</w:t>
        </w:r>
      </w:hyperlink>
      <w:r>
        <w:t>) tritt an die Stelle des 60. Lebensjahres das Lebensjahr, das sich aus der Berechnung für die Gewährung einer Altersteilzeit von maximal 5 Jahren für eine Altersrente für Schwerbehinderte ergibt.</w:t>
      </w:r>
    </w:p>
    <w:p w:rsidR="00BE1EFE" w:rsidRPr="006E43BA" w:rsidRDefault="00BE1EFE" w:rsidP="006E43BA">
      <w:pPr>
        <w:pStyle w:val="StandardWeb"/>
        <w:rPr>
          <w:sz w:val="12"/>
          <w:szCs w:val="12"/>
        </w:rPr>
      </w:pPr>
      <w:r w:rsidRPr="006E43BA">
        <w:rPr>
          <w:sz w:val="12"/>
          <w:szCs w:val="12"/>
        </w:rPr>
        <w:t>Protokollnotiz zu Buchstabe c):</w:t>
      </w:r>
    </w:p>
    <w:p w:rsidR="00BE1EFE" w:rsidRPr="006E43BA" w:rsidRDefault="00BE1EFE" w:rsidP="006E43BA">
      <w:pPr>
        <w:pStyle w:val="StandardWeb"/>
        <w:rPr>
          <w:sz w:val="12"/>
          <w:szCs w:val="12"/>
        </w:rPr>
      </w:pPr>
      <w:r w:rsidRPr="006E43BA">
        <w:rPr>
          <w:sz w:val="12"/>
          <w:szCs w:val="12"/>
        </w:rPr>
        <w:t xml:space="preserve">1Soll die Altersteilzeit vor Vollendung des 60. Lebensjahres beginnen, muss eine Schwerbehinderung im Sinne des </w:t>
      </w:r>
      <w:hyperlink r:id="rId1253" w:history="1">
        <w:r w:rsidRPr="000E0EAF">
          <w:rPr>
            <w:rStyle w:val="Hyperlink"/>
            <w:sz w:val="12"/>
            <w:szCs w:val="12"/>
          </w:rPr>
          <w:t>§ 2 Absatz 2 SGB IX</w:t>
        </w:r>
      </w:hyperlink>
      <w:r w:rsidRPr="006E43BA">
        <w:rPr>
          <w:sz w:val="12"/>
          <w:szCs w:val="12"/>
        </w:rPr>
        <w:t xml:space="preserve"> vorliegen, di</w:t>
      </w:r>
      <w:r>
        <w:rPr>
          <w:sz w:val="12"/>
          <w:szCs w:val="12"/>
        </w:rPr>
        <w:t xml:space="preserve">e mindestens bis zum 1. Tag des </w:t>
      </w:r>
      <w:r w:rsidRPr="006E43BA">
        <w:rPr>
          <w:sz w:val="12"/>
          <w:szCs w:val="12"/>
        </w:rPr>
        <w:t>Rentenbeginns festgestellt ist. 2Das Bestehen der Schwerbehinderung ist durch Vorlage des Schwerbehindertenausweises nachzuweisen.</w:t>
      </w:r>
    </w:p>
    <w:p w:rsidR="00BE1EFE" w:rsidRPr="000B1AF8" w:rsidRDefault="00BE1EFE">
      <w:pPr>
        <w:pStyle w:val="StandardWeb"/>
      </w:pPr>
    </w:p>
    <w:p w:rsidR="00BE1EFE" w:rsidRDefault="00BE1EFE">
      <w:pPr>
        <w:pStyle w:val="StandardWeb"/>
      </w:pPr>
      <w:r>
        <w:t>(2) Das Altersteilzeitarbeitsverhältnis muss sich zumindest bis zu dem Zeitpunkt erstrecken, ab dem eine Rente wegen Alters beansprucht werden kann.</w:t>
      </w:r>
    </w:p>
    <w:p w:rsidR="00BE1EFE" w:rsidRDefault="00BE1EFE">
      <w:pPr>
        <w:pStyle w:val="StandardWeb"/>
      </w:pPr>
    </w:p>
    <w:p w:rsidR="00BE1EFE" w:rsidRDefault="00BE1EFE">
      <w:pPr>
        <w:pStyle w:val="StandardWeb"/>
      </w:pPr>
      <w:r>
        <w:t>(3) </w:t>
      </w:r>
      <w:r>
        <w:rPr>
          <w:rStyle w:val="kleinschrift"/>
        </w:rPr>
        <w:t>1</w:t>
      </w:r>
      <w:r>
        <w:t xml:space="preserve">Die Vereinbarung von Altersteilzeit ist spätestens drei Monate vor dem geplanten Beginn des Altersteilzeitarbeitsverhältnisses schriftlich zu beantragen. </w:t>
      </w:r>
      <w:r>
        <w:rPr>
          <w:rStyle w:val="kleinschrift"/>
        </w:rPr>
        <w:t>2</w:t>
      </w:r>
      <w:r>
        <w:t xml:space="preserve">Der Antrag kann frühestens ein Jahr vor Erfüllung der Voraussetzungen nach Absatz 1 gestellt werden. </w:t>
      </w:r>
      <w:r>
        <w:rPr>
          <w:rStyle w:val="kleinschrift"/>
        </w:rPr>
        <w:t>3</w:t>
      </w:r>
      <w:r>
        <w:t>Von den Fristen nach Satz 1 oder 2 kann einvernehmlich abgewichen werden.</w:t>
      </w:r>
    </w:p>
    <w:p w:rsidR="00BE1EFE" w:rsidRDefault="00BE1EFE" w:rsidP="005B409E">
      <w:pPr>
        <w:pStyle w:val="berschrift6"/>
        <w:spacing w:before="120" w:after="120"/>
      </w:pPr>
      <w:bookmarkStart w:id="964" w:name="_Toc523926486"/>
      <w:r>
        <w:t>§ 6 Vereinbarung eines Altersteilzeitarbeitsverhältnisses</w:t>
      </w:r>
      <w:bookmarkEnd w:id="9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Altersteilzeitarbeitsverhältnis muss ein versicherungspflichtiges Beschäftigungsver-hältnis im Sinne des Dritten Buches Sozialgesetzbuch sein und darf die Dauer von fünf Jahren nicht überschreiten.</w:t>
      </w:r>
    </w:p>
    <w:p w:rsidR="00BE1EFE" w:rsidRPr="000B1AF8" w:rsidRDefault="00BE1EFE">
      <w:pPr>
        <w:pStyle w:val="StandardWeb"/>
      </w:pPr>
    </w:p>
    <w:p w:rsidR="00BE1EFE" w:rsidRDefault="00BE1EFE">
      <w:pPr>
        <w:pStyle w:val="StandardWeb"/>
      </w:pPr>
      <w:r>
        <w:t>(2) </w:t>
      </w:r>
      <w:r>
        <w:rPr>
          <w:rStyle w:val="kleinschrift"/>
        </w:rPr>
        <w:t>1</w:t>
      </w:r>
      <w:r>
        <w:t xml:space="preserve">Die durchschnittliche wöchentliche Arbeitszeit während des Altersteilzeitarbeitsver-hältnisses beträgt die Hälfte der bisherigen wöchentlichen Arbeitszeit. </w:t>
      </w:r>
      <w:r>
        <w:rPr>
          <w:rStyle w:val="kleinschrift"/>
        </w:rPr>
        <w:t>2</w:t>
      </w:r>
      <w:r>
        <w:t xml:space="preserve">Für die Berechnung der bisherigen wöchentlichen Arbeitszeit gilt </w:t>
      </w:r>
      <w:hyperlink r:id="rId1254" w:tgtFrame="_blank" w:history="1">
        <w:r>
          <w:rPr>
            <w:rStyle w:val="Hyperlink"/>
          </w:rPr>
          <w:t>§ 6 Absatz 2 AltTZG</w:t>
        </w:r>
      </w:hyperlink>
      <w:r>
        <w:t xml:space="preserve">; dabei bleiben Arbeitszeiten außer Betracht, die die regelmäßige wöchentliche Arbeitszeit nach </w:t>
      </w:r>
      <w:hyperlink r:id="rId1255" w:history="1">
        <w:r w:rsidRPr="002D1F1D">
          <w:rPr>
            <w:rStyle w:val="Hyperlink"/>
          </w:rPr>
          <w:t>§ 6 Teil A, 1</w:t>
        </w:r>
      </w:hyperlink>
      <w:r>
        <w:t>. überschritten haben.</w:t>
      </w:r>
    </w:p>
    <w:p w:rsidR="00BE1EFE" w:rsidRDefault="00BE1EFE">
      <w:pPr>
        <w:pStyle w:val="StandardWeb"/>
      </w:pPr>
    </w:p>
    <w:p w:rsidR="00BE1EFE" w:rsidRDefault="00BE1EFE">
      <w:pPr>
        <w:pStyle w:val="StandardWeb"/>
      </w:pPr>
      <w:r>
        <w:t>(3) </w:t>
      </w:r>
      <w:r>
        <w:rPr>
          <w:rStyle w:val="kleinschrift"/>
        </w:rPr>
        <w:t>1</w:t>
      </w:r>
      <w:r>
        <w:t>Die während der Dauer des Altersteilzeitarbeitsverhältnisses zu leistende Arbeit kann so verteilt werden, dass sie</w:t>
      </w:r>
    </w:p>
    <w:p w:rsidR="00BE1EFE" w:rsidRDefault="00BE1EFE">
      <w:pPr>
        <w:pStyle w:val="StandardWeb"/>
      </w:pPr>
      <w:r>
        <w:t>a) durchgehend erbracht wird (Teilzeitmodell) oder</w:t>
      </w:r>
    </w:p>
    <w:p w:rsidR="00BE1EFE" w:rsidRDefault="00BE1EFE">
      <w:pPr>
        <w:pStyle w:val="StandardWeb"/>
      </w:pPr>
      <w:r>
        <w:t xml:space="preserve">b) in der ersten Hälfte des Altersteilzeitarbeitsverhältnisses geleistet und die Beschäftigten anschließend von der Arbeit unter Fortzahlung der Leistungen nach Maßgabe des </w:t>
      </w:r>
      <w:hyperlink r:id="rId1256" w:history="1">
        <w:r w:rsidRPr="002D1F1D">
          <w:rPr>
            <w:rStyle w:val="Hyperlink"/>
          </w:rPr>
          <w:t>§ 7</w:t>
        </w:r>
      </w:hyperlink>
      <w:r>
        <w:t xml:space="preserve"> freigestellt werden (Blockmodell).</w:t>
      </w:r>
    </w:p>
    <w:p w:rsidR="00BE1EFE" w:rsidRDefault="00BE1EFE">
      <w:pPr>
        <w:pStyle w:val="StandardWeb"/>
      </w:pPr>
      <w:r>
        <w:rPr>
          <w:rStyle w:val="kleinschrift"/>
        </w:rPr>
        <w:lastRenderedPageBreak/>
        <w:t>2</w:t>
      </w:r>
      <w:r>
        <w:t>Die Beschäftigten können vom Arbeitgeber verlangen, dass ihr Wunsch nach einer bestimmten Verteilung der Arbeitszeit mit dem Ziel einer einvernehmlichen Regelung erörtert wird.</w:t>
      </w:r>
    </w:p>
    <w:p w:rsidR="00BE1EFE" w:rsidRDefault="00BE1EFE" w:rsidP="005B409E">
      <w:pPr>
        <w:pStyle w:val="berschrift6"/>
        <w:spacing w:before="120" w:after="120"/>
      </w:pPr>
      <w:bookmarkStart w:id="965" w:name="_Toc523926487"/>
      <w:r>
        <w:t>§ 7 Entgelt und Aufstockungsleistungen</w:t>
      </w:r>
      <w:bookmarkEnd w:id="9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Beschäftigte erhalten während der Gesamtdauer des Altersteilzeitarbeitsverhältnisses im Teilzeitmodell (</w:t>
      </w:r>
      <w:hyperlink r:id="rId1257" w:history="1">
        <w:r w:rsidRPr="002D1F1D">
          <w:rPr>
            <w:rStyle w:val="Hyperlink"/>
          </w:rPr>
          <w:t>§ 6 Absatz 3 Satz 1 Buchstabe a)</w:t>
        </w:r>
      </w:hyperlink>
      <w:r>
        <w:t xml:space="preserve"> das Tabellenentgelt und alle sonstigen Entgeltbestandteile in Höhe der sich für entsprechende Teilzeitbeschäftigte nach </w:t>
      </w:r>
      <w:hyperlink r:id="rId1258" w:history="1">
        <w:r w:rsidRPr="002D1F1D">
          <w:rPr>
            <w:rStyle w:val="Hyperlink"/>
          </w:rPr>
          <w:t>§ 24 Ab</w:t>
        </w:r>
        <w:r>
          <w:rPr>
            <w:rStyle w:val="Hyperlink"/>
          </w:rPr>
          <w:softHyphen/>
          <w:t>satz </w:t>
        </w:r>
        <w:r w:rsidRPr="002D1F1D">
          <w:rPr>
            <w:rStyle w:val="Hyperlink"/>
          </w:rPr>
          <w:t>2 Teil A, 1.</w:t>
        </w:r>
      </w:hyperlink>
      <w:r w:rsidRPr="002D1F1D">
        <w:t xml:space="preserve"> </w:t>
      </w:r>
      <w:r>
        <w:t xml:space="preserve">ergebenden Beträge. </w:t>
      </w:r>
      <w:r>
        <w:rPr>
          <w:rStyle w:val="kleinschrift"/>
        </w:rPr>
        <w:t>2</w:t>
      </w:r>
      <w:r>
        <w:t>Maßgebend ist die durchschnittliche wöchentliche Arbeitszeit nach § 6 Absatz 2.</w:t>
      </w:r>
    </w:p>
    <w:p w:rsidR="00BE1EFE" w:rsidRPr="000B1AF8" w:rsidRDefault="00BE1EFE">
      <w:pPr>
        <w:pStyle w:val="StandardWeb"/>
      </w:pPr>
    </w:p>
    <w:p w:rsidR="00BE1EFE" w:rsidRDefault="00BE1EFE">
      <w:pPr>
        <w:pStyle w:val="StandardWeb"/>
      </w:pPr>
      <w:r>
        <w:t>(2) </w:t>
      </w:r>
      <w:r>
        <w:rPr>
          <w:rStyle w:val="kleinschrift"/>
        </w:rPr>
        <w:t>1</w:t>
      </w:r>
      <w:r>
        <w:t>Beschäftigte erhalten während der Arbeitsphase des Altersteilzeitarbeitsverhältnisses im Blockmodell (</w:t>
      </w:r>
      <w:hyperlink r:id="rId1259" w:history="1">
        <w:r w:rsidRPr="002D1F1D">
          <w:rPr>
            <w:rStyle w:val="Hyperlink"/>
          </w:rPr>
          <w:t>§ 6 Absatz 3 Satz 1 Buchstabe b)</w:t>
        </w:r>
      </w:hyperlink>
      <w:r>
        <w:t xml:space="preserve"> das Tabellenentgelt und alle sonstigen Entgeltbestandteile in Höhe der Hälfte des Entgelts, das sie jeweils erhalten würden, wenn sie mit der bisherigen wöchentlichen Arbeitszeit (</w:t>
      </w:r>
      <w:hyperlink r:id="rId1260" w:history="1">
        <w:r w:rsidRPr="002D1F1D">
          <w:rPr>
            <w:rStyle w:val="Hyperlink"/>
          </w:rPr>
          <w:t>§ 6 Absatz 2 Satz 2</w:t>
        </w:r>
      </w:hyperlink>
      <w:r>
        <w:t>) weitergearbeitet hätten; die andere Hälfte des Entgelts fließt in das Wertguthaben (</w:t>
      </w:r>
      <w:hyperlink r:id="rId1261" w:tgtFrame="_blank" w:history="1">
        <w:r>
          <w:rPr>
            <w:rStyle w:val="Hyperlink"/>
          </w:rPr>
          <w:t>§ 7b SGB IV</w:t>
        </w:r>
      </w:hyperlink>
      <w:r>
        <w:t xml:space="preserve">) und wird in der Freistellungsphase ratierlich ausgezahlt. </w:t>
      </w:r>
      <w:r>
        <w:rPr>
          <w:rStyle w:val="kleinschrift"/>
        </w:rPr>
        <w:t>2</w:t>
      </w:r>
      <w:r>
        <w:t>Das Wertguthaben erhöht sich bei allgemeinen Tariferhöhungen in der von den Tarifvertragsparteien jeweils festzulegenden Höhe.</w:t>
      </w:r>
    </w:p>
    <w:p w:rsidR="00BE1EFE" w:rsidRDefault="00BE1EFE">
      <w:pPr>
        <w:pStyle w:val="StandardWeb"/>
      </w:pPr>
      <w:r>
        <w:rPr>
          <w:sz w:val="12"/>
          <w:szCs w:val="12"/>
        </w:rPr>
        <w:t xml:space="preserve">Anmerkung zu Absatz 2 Satz 2: </w:t>
      </w:r>
    </w:p>
    <w:p w:rsidR="00BE1EFE" w:rsidRDefault="00BE1EFE">
      <w:pPr>
        <w:pStyle w:val="StandardWeb"/>
      </w:pPr>
      <w:r>
        <w:rPr>
          <w:sz w:val="12"/>
          <w:szCs w:val="12"/>
        </w:rPr>
        <w:t>Das Wertguthaben erhöht sich am 1. März 2016 um 2,4 v. H. und am 1. Februar 2017 um weitere 2,35 v. H.</w:t>
      </w:r>
    </w:p>
    <w:p w:rsidR="00BE1EFE" w:rsidRDefault="00BE1EFE">
      <w:pPr>
        <w:pStyle w:val="StandardWeb"/>
      </w:pPr>
    </w:p>
    <w:p w:rsidR="00BE1EFE" w:rsidRDefault="00BE1EFE">
      <w:pPr>
        <w:pStyle w:val="StandardWeb"/>
      </w:pPr>
      <w:r>
        <w:t>(3) </w:t>
      </w:r>
      <w:r>
        <w:rPr>
          <w:rStyle w:val="kleinschrift"/>
        </w:rPr>
        <w:t>1</w:t>
      </w:r>
      <w:r>
        <w:t xml:space="preserve">Das den Beschäftigten nach Absatz 1 oder 2 zustehende Entgelt wird nach Maßgabe der Sätze 2 und 3 um 20 v.H. aufgestockt. </w:t>
      </w:r>
      <w:r>
        <w:rPr>
          <w:rStyle w:val="kleinschrift"/>
        </w:rPr>
        <w:t>2</w:t>
      </w:r>
      <w:r>
        <w:t>Bemessungsgrundlage für die Aufstockung ist das Regelarbeitsentgelt für die Teilzeitarbeit (</w:t>
      </w:r>
      <w:hyperlink r:id="rId1262" w:tgtFrame="_blank" w:history="1">
        <w:r>
          <w:rPr>
            <w:rStyle w:val="Hyperlink"/>
          </w:rPr>
          <w:t>§ 6 Absatz 1 AltTZG</w:t>
        </w:r>
      </w:hyperlink>
      <w:r>
        <w:t xml:space="preserve">). </w:t>
      </w:r>
      <w:r>
        <w:rPr>
          <w:rStyle w:val="kleinschrift"/>
        </w:rPr>
        <w:t>3</w:t>
      </w:r>
      <w:r>
        <w:t xml:space="preserve">Steuerfreie Entgeltbestand-teile und Entgelte, die einmalig (z. B. Jahressonderzahlung) oder die nicht für die vereinbarte Arbeitszeit (z. B. Überstunden- oder Mehrarbeitsentgelt) gezahlt werden, sowie Sachbezüge, die während der Gesamtdauer des Altersteilzeitarbeitsverhältnisses unvermindert zustehen, gehören nicht zum Regelarbeitsentgelt und bleiben bei der Aufstockung unberücksichtigt. </w:t>
      </w:r>
      <w:r>
        <w:rPr>
          <w:rStyle w:val="kleinschrift"/>
        </w:rPr>
        <w:t>4</w:t>
      </w:r>
      <w:r>
        <w:t>Sätze 1 bis 3 gelten für das bei Altersteilzeit im Blockmodell in der Freistellungsphase auszukehrende Wertguthaben entsprechend.</w:t>
      </w:r>
    </w:p>
    <w:p w:rsidR="00BE1EFE" w:rsidRDefault="00BE1EFE">
      <w:pPr>
        <w:pStyle w:val="StandardWeb"/>
      </w:pPr>
    </w:p>
    <w:p w:rsidR="00BE1EFE" w:rsidRDefault="00BE1EFE">
      <w:pPr>
        <w:pStyle w:val="StandardWeb"/>
      </w:pPr>
      <w:r>
        <w:t>(4) </w:t>
      </w:r>
      <w:r>
        <w:rPr>
          <w:rStyle w:val="kleinschrift"/>
        </w:rPr>
        <w:t>1</w:t>
      </w:r>
      <w:r>
        <w:t xml:space="preserve">Neben den vom Arbeitgeber zu tragenden Sozialversicherungsbeiträgen für das nach Absatz 1 oder 2 zustehende Entgelt entrichtet der Arbeitgeber zusätzliche Beiträge zur gesetzlichen Rentenversicherung (Rentenaufstockung) nach </w:t>
      </w:r>
      <w:hyperlink r:id="rId1263" w:history="1">
        <w:r w:rsidRPr="002D1F1D">
          <w:rPr>
            <w:rStyle w:val="Hyperlink"/>
          </w:rPr>
          <w:t>§ 3 Absatz 1 Nummer 1 Buchstabe b</w:t>
        </w:r>
      </w:hyperlink>
      <w:r>
        <w:t xml:space="preserve"> i.V.m. </w:t>
      </w:r>
      <w:hyperlink r:id="rId1264" w:tgtFrame="_blank" w:history="1">
        <w:r>
          <w:rPr>
            <w:rStyle w:val="Hyperlink"/>
          </w:rPr>
          <w:t>§ 6 Absatz 1 AltTZG</w:t>
        </w:r>
      </w:hyperlink>
      <w:r>
        <w:t xml:space="preserve">. </w:t>
      </w:r>
      <w:r>
        <w:rPr>
          <w:rStyle w:val="kleinschrift"/>
        </w:rPr>
        <w:t>2</w:t>
      </w:r>
      <w:r>
        <w:t xml:space="preserve">Für von der Versicherungspflicht befreite Beschäftigte im Sinne von </w:t>
      </w:r>
      <w:hyperlink r:id="rId1265" w:tgtFrame="_blank" w:history="1">
        <w:r>
          <w:rPr>
            <w:rStyle w:val="Hyperlink"/>
          </w:rPr>
          <w:t>§ 4 Absatz 2 AltTZG</w:t>
        </w:r>
      </w:hyperlink>
      <w:r>
        <w:t xml:space="preserve"> gilt Satz 1 entsprechend.</w:t>
      </w:r>
    </w:p>
    <w:p w:rsidR="00BE1EFE" w:rsidRDefault="00BE1EFE">
      <w:pPr>
        <w:pStyle w:val="StandardWeb"/>
      </w:pPr>
    </w:p>
    <w:p w:rsidR="00BE1EFE" w:rsidRDefault="00BE1EFE">
      <w:pPr>
        <w:pStyle w:val="StandardWeb"/>
      </w:pPr>
      <w:r>
        <w:t>(5) </w:t>
      </w:r>
      <w:r>
        <w:rPr>
          <w:rStyle w:val="kleinschrift"/>
        </w:rPr>
        <w:t>1</w:t>
      </w:r>
      <w:r>
        <w:t xml:space="preserve">In Fällen krankheitsbedingter Arbeitsunfähigkeit besteht ein Anspruch auf Leistungen nach Absätzen 1 bis 4 längstens für die Dauer der Entgeltfortzahlung nach </w:t>
      </w:r>
      <w:hyperlink r:id="rId1266" w:history="1">
        <w:r w:rsidRPr="002D1F1D">
          <w:rPr>
            <w:rStyle w:val="Hyperlink"/>
          </w:rPr>
          <w:t>§ 22 Absatz 1 Satz 1 Teil A, 1</w:t>
        </w:r>
      </w:hyperlink>
      <w:r>
        <w:t xml:space="preserve">. </w:t>
      </w:r>
      <w:r>
        <w:rPr>
          <w:rStyle w:val="kleinschrift"/>
        </w:rPr>
        <w:t>2</w:t>
      </w:r>
      <w:r>
        <w:t xml:space="preserve">Für die Zeit der Zahlung des Krankengeldzuschusses </w:t>
      </w:r>
      <w:hyperlink r:id="rId1267" w:history="1">
        <w:r w:rsidRPr="002D1F1D">
          <w:rPr>
            <w:rStyle w:val="Hyperlink"/>
          </w:rPr>
          <w:t xml:space="preserve">(§ 22 Absatz 2 </w:t>
        </w:r>
        <w:r>
          <w:rPr>
            <w:rStyle w:val="Hyperlink"/>
          </w:rPr>
          <w:t>bis 4 Teil A, </w:t>
        </w:r>
        <w:r w:rsidRPr="002D1F1D">
          <w:rPr>
            <w:rStyle w:val="Hyperlink"/>
          </w:rPr>
          <w:t>1.)</w:t>
        </w:r>
      </w:hyperlink>
      <w:r>
        <w:t>, längstens bis zum Ende der 26. Krankheitswoche, wird der Aufstockungsbetrag gemäß Absatz 3 in Höhe des kalendertäglichen Durchschnitts des in den letzten drei abgerechneten Kalendermonaten maßgebenden Aufstockungsbetrages gezahlt.</w:t>
      </w:r>
    </w:p>
    <w:p w:rsidR="00BE1EFE" w:rsidRDefault="00BE1EFE" w:rsidP="005B409E">
      <w:pPr>
        <w:pStyle w:val="berschrift6"/>
        <w:spacing w:before="120" w:after="120"/>
      </w:pPr>
      <w:bookmarkStart w:id="966" w:name="_Toc523926488"/>
      <w:r>
        <w:t>§ 8 Verteilung des Urlaubs im Blockmodell</w:t>
      </w:r>
      <w:bookmarkEnd w:id="96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Für Beschäftigte, die Altersteilzeit im Blockmodell (</w:t>
      </w:r>
      <w:hyperlink r:id="rId1268" w:history="1">
        <w:r w:rsidRPr="002D1F1D">
          <w:rPr>
            <w:rStyle w:val="Hyperlink"/>
          </w:rPr>
          <w:t>§ 6 Absatz 3 Satz 1 Buchstabe b)</w:t>
        </w:r>
      </w:hyperlink>
      <w:r>
        <w:t xml:space="preserve"> leisten, besteht kein Urlaubsanspruch für die Zeit der Freistellung von der Arbeit. </w:t>
      </w:r>
      <w:r>
        <w:rPr>
          <w:rStyle w:val="kleinschrift"/>
        </w:rPr>
        <w:t>2</w:t>
      </w:r>
      <w:r>
        <w:t>Im Kalenderjahr des Übergangs von der Beschäftigung zur Freistellung haben die Beschäftigten für jeden vollen Beschäftigungsmonat Anspruch auf ein Zwölftel des Jahresurlaubs.</w:t>
      </w:r>
    </w:p>
    <w:p w:rsidR="00BE1EFE" w:rsidRPr="007B615A" w:rsidRDefault="00BE1EFE" w:rsidP="00754251">
      <w:pPr>
        <w:pStyle w:val="Leerzeile"/>
      </w:pPr>
    </w:p>
    <w:p w:rsidR="00BE1EFE" w:rsidRDefault="00BE1EFE" w:rsidP="005B409E">
      <w:pPr>
        <w:pStyle w:val="berschrift6"/>
        <w:spacing w:before="120" w:after="120"/>
      </w:pPr>
      <w:bookmarkStart w:id="967" w:name="_Toc523926489"/>
      <w:r>
        <w:t>§ 9 Nebentätigkeit</w:t>
      </w:r>
      <w:bookmarkEnd w:id="96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lastRenderedPageBreak/>
        <w:t>(1) </w:t>
      </w:r>
      <w:r>
        <w:rPr>
          <w:rStyle w:val="kleinschrift"/>
        </w:rPr>
        <w:t>1</w:t>
      </w:r>
      <w:r>
        <w:t xml:space="preserve">Beschäftigte dürfen während des Altersteilzeitarbeitsverhältnisses keine Beschäftigungen oder selbständigen Tätigkeiten ausüben, die die Geringfügigkeitsgrenze des </w:t>
      </w:r>
      <w:hyperlink r:id="rId1269" w:tgtFrame="_blank" w:history="1">
        <w:r>
          <w:rPr>
            <w:rStyle w:val="Hyperlink"/>
          </w:rPr>
          <w:t>§ 8 SGB IV</w:t>
        </w:r>
      </w:hyperlink>
      <w:r>
        <w:t xml:space="preserve"> überschreiten, es sei denn, diese Beschäftigungen oder selbständigen Tätigkeiten sind bereits innerhalb der letzten fünf Jahre vor Beginn des Altersteilzeitarbeitsverhältnisses ständig ausgeübt worden. </w:t>
      </w:r>
      <w:r>
        <w:rPr>
          <w:rStyle w:val="kleinschrift"/>
        </w:rPr>
        <w:t>2</w:t>
      </w:r>
      <w:r>
        <w:t>Bestehende tarifliche Regelungen über Nebentätigkeiten bleiben unberührt.</w:t>
      </w:r>
    </w:p>
    <w:p w:rsidR="00BE1EFE" w:rsidRPr="000B1AF8" w:rsidRDefault="00BE1EFE">
      <w:pPr>
        <w:pStyle w:val="StandardWeb"/>
      </w:pPr>
    </w:p>
    <w:p w:rsidR="00BE1EFE" w:rsidRDefault="00BE1EFE">
      <w:pPr>
        <w:pStyle w:val="StandardWeb"/>
      </w:pPr>
      <w:r>
        <w:t>(2) </w:t>
      </w:r>
      <w:r>
        <w:rPr>
          <w:rStyle w:val="kleinschrift"/>
        </w:rPr>
        <w:t>1</w:t>
      </w:r>
      <w:r>
        <w:t xml:space="preserve">Der Anspruch auf die Aufstockungsleistungen ruht während der Zeit, in der Beschäftigte eine unzulässige Beschäftigung oder selbstständige Tätigkeit im Sinne des Absatzes 1 ausüben oder über die Altersteilzeitarbeit hinaus Mehrarbeit oder Überstunden leisten, die den Umfang der Geringfügigkeitsgrenze des </w:t>
      </w:r>
      <w:hyperlink r:id="rId1270" w:tgtFrame="_blank" w:history="1">
        <w:r>
          <w:rPr>
            <w:rStyle w:val="Hyperlink"/>
          </w:rPr>
          <w:t>§ 8 SGB IV</w:t>
        </w:r>
      </w:hyperlink>
      <w:r>
        <w:t xml:space="preserve"> übersteigen. </w:t>
      </w:r>
      <w:r>
        <w:rPr>
          <w:rStyle w:val="kleinschrift"/>
        </w:rPr>
        <w:t>2</w:t>
      </w:r>
      <w:r>
        <w:t>Hat der Anspruch auf die Aufstockungsleistungen mindestens 150 Tage geruht, erlischt er; mehrere Ruhenszeiträume werden zusammengerechnet.</w:t>
      </w:r>
    </w:p>
    <w:p w:rsidR="00BE1EFE" w:rsidRPr="001C31BE" w:rsidRDefault="00BE1EFE" w:rsidP="005B409E">
      <w:pPr>
        <w:pStyle w:val="berschrift6"/>
        <w:spacing w:before="120" w:after="120"/>
      </w:pPr>
      <w:bookmarkStart w:id="968" w:name="_Toc523926490"/>
      <w:r>
        <w:t>§ 10 Verlängerung der Arbeitsphase im Blockmodell bei Krankheit</w:t>
      </w:r>
      <w:bookmarkEnd w:id="968"/>
    </w:p>
    <w:p w:rsidR="00BE1EFE" w:rsidRPr="00B76821" w:rsidRDefault="00BE1EFE" w:rsidP="00B76821">
      <w:pPr>
        <w:pStyle w:val="h7"/>
        <w:keepNext w:val="0"/>
        <w:spacing w:before="0" w:after="0"/>
        <w:jc w:val="left"/>
        <w:outlineLvl w:val="5"/>
        <w:rPr>
          <w:sz w:val="2"/>
        </w:rPr>
      </w:pPr>
    </w:p>
    <w:p w:rsidR="00BE1EFE" w:rsidRPr="00DE1973" w:rsidRDefault="00BE1EFE" w:rsidP="00754251">
      <w:pPr>
        <w:jc w:val="both"/>
        <w:rPr>
          <w:rFonts w:cs="Arial"/>
          <w:color w:val="000000"/>
        </w:rPr>
      </w:pPr>
      <w:r>
        <w:rPr>
          <w:rFonts w:cs="Arial"/>
          <w:color w:val="000000"/>
        </w:rPr>
        <w:t>Ist die/der Beschäftigte bei Altersteilzeitarbeit im Blockmodell während der Arbeitsphase über den Zeitraum der Entgeltfortzahlung (</w:t>
      </w:r>
      <w:hyperlink r:id="rId1271" w:history="1">
        <w:r w:rsidRPr="002D1F1D">
          <w:rPr>
            <w:rStyle w:val="Hyperlink"/>
            <w:rFonts w:cs="Arial"/>
          </w:rPr>
          <w:t>§ 22 Absatz 1 Satz 1 Teil A, 1</w:t>
        </w:r>
      </w:hyperlink>
      <w:r>
        <w:rPr>
          <w:rFonts w:cs="Arial"/>
          <w:color w:val="000000"/>
        </w:rPr>
        <w:t>.) hinaus arbeitsunfähig erkrankt, verlängert sich die Arbeitsphase um die Hälfte des den Entgeltfortzahlungszeitraum übersteigenden Zeitraums der Arbeitsunfähigkeit; in dem gleichen Umfang verkürzt sich die Freistellungsphase.</w:t>
      </w:r>
    </w:p>
    <w:p w:rsidR="00BE1EFE" w:rsidRDefault="00BE1EFE" w:rsidP="005B409E">
      <w:pPr>
        <w:pStyle w:val="berschrift6"/>
        <w:spacing w:before="120" w:after="120"/>
      </w:pPr>
      <w:bookmarkStart w:id="969" w:name="_Toc523926491"/>
      <w:r>
        <w:t>§ 11 Ende des Arbeitsverhältnisses</w:t>
      </w:r>
      <w:bookmarkEnd w:id="969"/>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Das Arbeitsverhältnis endet zu dem in der Altersteilzeitvereinbarung festgelegten Zeitpunkt. </w:t>
      </w:r>
      <w:r>
        <w:rPr>
          <w:rStyle w:val="kleinschrift"/>
        </w:rPr>
        <w:t>2</w:t>
      </w:r>
      <w:r>
        <w:t xml:space="preserve">Unabhängig von Satz 1 endet das Arbeitsverhältnis </w:t>
      </w:r>
    </w:p>
    <w:p w:rsidR="00BE1EFE" w:rsidRDefault="00BE1EFE">
      <w:pPr>
        <w:pStyle w:val="StandardWeb"/>
      </w:pPr>
      <w:r>
        <w:t>a) mit Ende des Kalendermonats vor dem Monat, in dem die/der Beschäftigte eine Rente wegen Alters tatsächlich bezieht oder</w:t>
      </w:r>
    </w:p>
    <w:p w:rsidR="00BE1EFE" w:rsidRPr="000B1AF8" w:rsidRDefault="00BE1EFE">
      <w:pPr>
        <w:pStyle w:val="StandardWeb"/>
      </w:pPr>
      <w:r>
        <w:t>b) spätestens mit Ablauf des Kalendermonats, in dem die/der Beschäftigte das gesetzlich festgelegte Alter zum Erreichen der Regelaltersrente vollendet hat.</w:t>
      </w:r>
    </w:p>
    <w:p w:rsidR="00BE1EFE" w:rsidRPr="000B1AF8" w:rsidRDefault="00BE1EFE">
      <w:pPr>
        <w:pStyle w:val="StandardWeb"/>
      </w:pPr>
    </w:p>
    <w:p w:rsidR="00BE1EFE" w:rsidRDefault="00BE1EFE">
      <w:pPr>
        <w:pStyle w:val="StandardWeb"/>
      </w:pPr>
      <w:r>
        <w:t>(2) Das Ende des Altersteilzeitarbeitsverhältnisses kann jederzeit im gegenseitigen Einvernehmen neu auf das Ende desjenigen Monats bestimmt werden, nach dessen Ablauf die/der Beschäftigte eine Rente wegen Alters beziehen kann.</w:t>
      </w:r>
    </w:p>
    <w:p w:rsidR="00BE1EFE" w:rsidRDefault="00BE1EFE">
      <w:pPr>
        <w:pStyle w:val="StandardWeb"/>
      </w:pPr>
    </w:p>
    <w:p w:rsidR="00BE1EFE" w:rsidRDefault="00BE1EFE">
      <w:pPr>
        <w:pStyle w:val="StandardWeb"/>
      </w:pPr>
      <w:r>
        <w:t>(3) </w:t>
      </w:r>
      <w:r>
        <w:rPr>
          <w:rStyle w:val="kleinschrift"/>
        </w:rPr>
        <w:t>1</w:t>
      </w:r>
      <w:r>
        <w:t xml:space="preserve">Endet bei einer/einem Beschäftigten, die/der im Rahmen der Altersteilzeit nach dem Blockmodell beschäftigt wird, das Arbeitsverhältnis vorzeitig, hat sie/er Anspruch auf eine etwaige Differenz zwischen den erhaltenen Entgelten und dem Entgelt für den Zeitraum ihrer/seiner tatsächlichen Beschäftigung, die sie/er ohne Eintritt in die Altersteilzeit erzielt hätte, vermindert um die vom Arbeitgeber gezahlten Aufstockungsleistungen. </w:t>
      </w:r>
      <w:r>
        <w:rPr>
          <w:rStyle w:val="kleinschrift"/>
        </w:rPr>
        <w:t>2</w:t>
      </w:r>
      <w:r>
        <w:t>Bei Tod der/des Beschäftigten steht dieser Anspruch den Erben zu.</w:t>
      </w:r>
    </w:p>
    <w:p w:rsidR="00BE1EFE" w:rsidRDefault="00BE1EFE" w:rsidP="005B409E">
      <w:pPr>
        <w:pStyle w:val="berschrift6"/>
        <w:spacing w:before="120" w:after="120"/>
      </w:pPr>
      <w:bookmarkStart w:id="970" w:name="_Toc523926492"/>
      <w:r>
        <w:t>§ 12 Dienstvereinbarungen</w:t>
      </w:r>
      <w:bookmarkEnd w:id="970"/>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In einer Dienstvereinbarung können von den §§ 2 bis 11 abweichende Regelungen vereinbart werden.</w:t>
      </w:r>
      <w:r>
        <w:rPr>
          <w:rStyle w:val="kleinschrift"/>
        </w:rPr>
        <w:t xml:space="preserve"> 2</w:t>
      </w:r>
      <w:r>
        <w:t>Abweichende Regelungen sind nur zulässig, soweit die gesetzlichen Mindestvoraussetzungen für Altersteilzeit nach dem AltTZG nicht unterschritten werden.</w:t>
      </w:r>
    </w:p>
    <w:p w:rsidR="00BE1EFE" w:rsidRPr="000B1AF8" w:rsidRDefault="00BE1EFE">
      <w:pPr>
        <w:pStyle w:val="StandardWeb"/>
      </w:pPr>
    </w:p>
    <w:p w:rsidR="00BE1EFE" w:rsidRDefault="00BE1EFE">
      <w:pPr>
        <w:pStyle w:val="berschrift5"/>
      </w:pPr>
      <w:bookmarkStart w:id="971" w:name="_Toc523926493"/>
      <w:r>
        <w:t>III. Flexible Altersarbeitszeit (FALTER)</w:t>
      </w:r>
      <w:bookmarkEnd w:id="971"/>
    </w:p>
    <w:p w:rsidR="00BE1EFE" w:rsidRDefault="00BE1EFE" w:rsidP="005B409E">
      <w:pPr>
        <w:pStyle w:val="berschrift6"/>
        <w:spacing w:before="120" w:after="120"/>
      </w:pPr>
      <w:bookmarkStart w:id="972" w:name="_Toc523926494"/>
      <w:r>
        <w:t>§ 13 Flexible Altersarbeitszeit</w:t>
      </w:r>
      <w:bookmarkEnd w:id="97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lastRenderedPageBreak/>
        <w:t>1</w:t>
      </w:r>
      <w:r>
        <w:t xml:space="preserve">Älteren Beschäftigten wird in einem Modell der flexiblen Altersarbeitszeit (FALTER) ein gleitender Übergang in den Ruhestand bei gleichzeitig längerer Teilhabe am Berufsleben ermöglicht. </w:t>
      </w:r>
      <w:r>
        <w:rPr>
          <w:rStyle w:val="kleinschrift"/>
        </w:rPr>
        <w:t>2</w:t>
      </w:r>
      <w:r>
        <w:t xml:space="preserve">Das Modell sieht vor, dass die Beschäftigten über einen Zeitraum von vier Jahren ihre Arbeitszeit auf die Hälfte der bisherigen Arbeitszeit reduzieren und gleichzeitig eine Teilrente in Höhe von höchstens 50 v.H. der jeweiligen Altersrente beziehen. </w:t>
      </w:r>
      <w:r>
        <w:rPr>
          <w:rStyle w:val="kleinschrift"/>
        </w:rPr>
        <w:t>3</w:t>
      </w:r>
      <w:r>
        <w:t xml:space="preserve">Die reduzierte Arbeitsphase beginnt zwei Jahre vor Erreichen des Kalendermonats, für den die/der Beschäftigte eine abschlagsfreie Altersrente in Anspruch nehmen kann und geht zwei Jahre über diese Altersgrenze hinaus. </w:t>
      </w:r>
      <w:r>
        <w:rPr>
          <w:rStyle w:val="kleinschrift"/>
        </w:rPr>
        <w:t>4</w:t>
      </w:r>
      <w:r>
        <w:t xml:space="preserve">Die Beschäftigten erhalten nach Erreichen der Altersgrenze für eine abschlagsfreie Altersrente einen Anschlussarbeitsvertrag für zwei Jahre unter der Bedingung, dass das Arbeitsverhältnis bei Inanspruchnahme einer mehr als hälftigen Teilrente oder einer Vollrente endet. </w:t>
      </w:r>
      <w:r>
        <w:rPr>
          <w:rStyle w:val="kleinschrift"/>
        </w:rPr>
        <w:t>5</w:t>
      </w:r>
      <w:r>
        <w:t xml:space="preserve">Die übrigen Beendigungstatbestände bleiben unberührt. </w:t>
      </w:r>
      <w:r>
        <w:rPr>
          <w:rStyle w:val="kleinschrift"/>
        </w:rPr>
        <w:t>6</w:t>
      </w:r>
      <w:r>
        <w:t>Auf die Vereinbarung von flexibler Altersarbeitszeit besteht kein Rechtsanspruch.</w:t>
      </w:r>
    </w:p>
    <w:p w:rsidR="00BE1EFE" w:rsidRDefault="00BE1EFE">
      <w:pPr>
        <w:pStyle w:val="berschrift5"/>
      </w:pPr>
      <w:bookmarkStart w:id="973" w:name="_Toc523926495"/>
      <w:r>
        <w:t>IV. Übergangs- und Schlussvorschriften</w:t>
      </w:r>
      <w:bookmarkEnd w:id="973"/>
    </w:p>
    <w:p w:rsidR="00BE1EFE" w:rsidRDefault="00BE1EFE" w:rsidP="005B409E">
      <w:pPr>
        <w:pStyle w:val="berschrift6"/>
        <w:spacing w:before="120" w:after="120"/>
      </w:pPr>
      <w:bookmarkStart w:id="974" w:name="_Toc523926496"/>
      <w:r>
        <w:t>§ 14 Übergangsvorschriften</w:t>
      </w:r>
      <w:bookmarkEnd w:id="974"/>
    </w:p>
    <w:p w:rsidR="00BE1EFE" w:rsidRPr="00B76821" w:rsidRDefault="00BE1EFE" w:rsidP="00B76821">
      <w:pPr>
        <w:pStyle w:val="h7"/>
        <w:keepNext w:val="0"/>
        <w:spacing w:before="0" w:after="0"/>
        <w:jc w:val="left"/>
        <w:outlineLvl w:val="5"/>
        <w:rPr>
          <w:sz w:val="2"/>
        </w:rPr>
      </w:pPr>
    </w:p>
    <w:p w:rsidR="00BE1EFE" w:rsidRDefault="00BE1EFE" w:rsidP="00A264B5">
      <w:pPr>
        <w:jc w:val="both"/>
        <w:rPr>
          <w:rFonts w:cs="Arial"/>
        </w:rPr>
      </w:pPr>
      <w:r>
        <w:rPr>
          <w:rFonts w:cs="Arial"/>
        </w:rPr>
        <w:t>Auf Altersteilzeitarbeitsverhältnisse, die vor dem 1. Januar 2010 begonnen haben, findet diese Regelung keine Anwendung.</w:t>
      </w:r>
    </w:p>
    <w:p w:rsidR="00BE1EFE" w:rsidRPr="00A264B5" w:rsidRDefault="00BE1EFE" w:rsidP="00A264B5">
      <w:pPr>
        <w:jc w:val="both"/>
        <w:rPr>
          <w:rFonts w:cs="Arial"/>
        </w:rPr>
      </w:pPr>
      <w:r>
        <w:rPr>
          <w:rFonts w:cs="Arial"/>
        </w:rPr>
        <w:br w:type="page"/>
      </w:r>
    </w:p>
    <w:p w:rsidR="00BE1EFE" w:rsidRDefault="00BE1EFE" w:rsidP="00A264B5">
      <w:pPr>
        <w:pStyle w:val="berschrift4"/>
        <w:spacing w:before="0"/>
      </w:pPr>
      <w:bookmarkStart w:id="975" w:name="_Toc523926497"/>
      <w:r>
        <w:lastRenderedPageBreak/>
        <w:t>D, 7. Regelung über die Bewertung der Personalunterkünfte für Beschäftigte</w:t>
      </w:r>
      <w:bookmarkEnd w:id="975"/>
    </w:p>
    <w:p w:rsidR="00BE1EFE" w:rsidRDefault="00BE1EFE" w:rsidP="0023154F">
      <w:pPr>
        <w:pStyle w:val="berschrift5"/>
      </w:pPr>
      <w:bookmarkStart w:id="976" w:name="_Toc453678096"/>
      <w:bookmarkStart w:id="977" w:name="_Toc523926498"/>
      <w:r>
        <w:t>§ 1 Geltungsbereich</w:t>
      </w:r>
      <w:bookmarkEnd w:id="976"/>
      <w:bookmarkEnd w:id="977"/>
    </w:p>
    <w:p w:rsidR="00BE1EFE" w:rsidRDefault="00BE1EFE" w:rsidP="0023154F">
      <w:pPr>
        <w:pStyle w:val="berschrift6"/>
        <w:spacing w:before="0" w:after="0"/>
        <w:rPr>
          <w:sz w:val="2"/>
        </w:rPr>
      </w:pPr>
    </w:p>
    <w:p w:rsidR="00BE1EFE" w:rsidRDefault="00BE1EFE" w:rsidP="0023154F">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pPr>
        <w:pStyle w:val="StandardWeb"/>
      </w:pPr>
      <w:r>
        <w:t xml:space="preserve">Diese Regelung gilt für die unter das ABD Teil </w:t>
      </w:r>
      <w:hyperlink r:id="rId1272" w:history="1">
        <w:r>
          <w:rPr>
            <w:rStyle w:val="Hyperlink"/>
          </w:rPr>
          <w:t>A</w:t>
        </w:r>
      </w:hyperlink>
      <w:r>
        <w:t xml:space="preserve"> und unter das ABD Teil </w:t>
      </w:r>
      <w:hyperlink r:id="rId1273" w:history="1">
        <w:r>
          <w:rPr>
            <w:rStyle w:val="Hyperlink"/>
          </w:rPr>
          <w:t>B</w:t>
        </w:r>
      </w:hyperlink>
      <w:r>
        <w:t xml:space="preserve"> fallenden Mitarbeiter.</w:t>
      </w:r>
    </w:p>
    <w:p w:rsidR="00BE1EFE" w:rsidRDefault="00BE1EFE" w:rsidP="005B409E">
      <w:pPr>
        <w:pStyle w:val="berschrift5"/>
        <w:spacing w:before="120" w:after="120"/>
      </w:pPr>
      <w:bookmarkStart w:id="978" w:name="_Toc523926499"/>
      <w:r>
        <w:t>§ 2 Personalunterkünfte</w:t>
      </w:r>
      <w:bookmarkEnd w:id="978"/>
    </w:p>
    <w:p w:rsidR="00BE1EFE" w:rsidRPr="00B76821" w:rsidRDefault="00BE1EFE" w:rsidP="00B76821">
      <w:pPr>
        <w:pStyle w:val="berschrift6"/>
        <w:keepNext w:val="0"/>
        <w:spacing w:before="0" w:after="0"/>
        <w:rPr>
          <w:sz w:val="2"/>
        </w:rPr>
      </w:pPr>
    </w:p>
    <w:p w:rsidR="00BE1EFE" w:rsidRPr="000B1AF8" w:rsidRDefault="00BE1EFE">
      <w:pPr>
        <w:pStyle w:val="StandardWeb"/>
      </w:pPr>
      <w:r>
        <w:t>(1) Der Wert einer dem Mitarbeiter auf arbeitsvertraglicher Grundlage gewährten Personal</w:t>
      </w:r>
      <w:r>
        <w:softHyphen/>
        <w:t>unterkunft ist unter Berücksichtigung ihrer Nutzfläche und ihrer Ausstattung auf die Vergütung anzurechnen. Für Zeiten, für die kein Vergütungsanspruch besteht, hat der Mitarbeiter dem Arbeitgeber den Wert zu vergüten.</w:t>
      </w:r>
    </w:p>
    <w:p w:rsidR="00BE1EFE" w:rsidRPr="000B1AF8" w:rsidRDefault="00BE1EFE">
      <w:pPr>
        <w:pStyle w:val="StandardWeb"/>
      </w:pPr>
    </w:p>
    <w:p w:rsidR="00BE1EFE" w:rsidRDefault="00BE1EFE">
      <w:pPr>
        <w:pStyle w:val="StandardWeb"/>
      </w:pPr>
      <w:r>
        <w:t>(2) Personalunterkünfte im Sinne dieser Regelung sind möblierte Wohnungen, möblierte Wohnräume und möblierte Schlafräume, die im Eigentum, in der Verwaltung oder in der Nutzung des Arbeitgebers stehen und die dem Mitarbeiter zur alleinigen Benutzung – bei Mehrbettzimmern zur gemeinsamen Benutzung durch die festgelegte Personenzahl – überlassen werden.</w:t>
      </w:r>
    </w:p>
    <w:p w:rsidR="00BE1EFE" w:rsidRDefault="00BE1EFE" w:rsidP="005B409E">
      <w:pPr>
        <w:pStyle w:val="berschrift5"/>
        <w:spacing w:before="120" w:after="120"/>
      </w:pPr>
      <w:bookmarkStart w:id="979" w:name="_Toc523926500"/>
      <w:r>
        <w:t>§ 3 Bewertung der Personalunterkünfte</w:t>
      </w:r>
      <w:bookmarkEnd w:id="979"/>
    </w:p>
    <w:p w:rsidR="00BE1EFE" w:rsidRPr="00B76821" w:rsidRDefault="00BE1EFE" w:rsidP="00B76821">
      <w:pPr>
        <w:pStyle w:val="berschrift6"/>
        <w:keepNext w:val="0"/>
        <w:spacing w:before="0" w:after="0"/>
        <w:rPr>
          <w:sz w:val="2"/>
        </w:rPr>
      </w:pPr>
    </w:p>
    <w:p w:rsidR="00BE1EFE" w:rsidRPr="000B1AF8" w:rsidRDefault="00BE1EFE">
      <w:pPr>
        <w:pStyle w:val="StandardWeb"/>
      </w:pPr>
      <w:r>
        <w:t>(1) Der Wert der Personalunterkünfte wird wie folgt festgelegt:</w:t>
      </w:r>
    </w:p>
    <w:p w:rsidR="00BE1EFE" w:rsidRDefault="00BE1EFE">
      <w:pPr>
        <w:pStyle w:val="StandardWeb"/>
      </w:pPr>
    </w:p>
    <w:tbl>
      <w:tblPr>
        <w:tblW w:w="6540" w:type="dxa"/>
        <w:tblInd w:w="55" w:type="dxa"/>
        <w:tblCellMar>
          <w:left w:w="0" w:type="dxa"/>
          <w:right w:w="0" w:type="dxa"/>
        </w:tblCellMar>
        <w:tblLook w:val="04A0" w:firstRow="1" w:lastRow="0" w:firstColumn="1" w:lastColumn="0" w:noHBand="0" w:noVBand="1"/>
      </w:tblPr>
      <w:tblGrid>
        <w:gridCol w:w="724"/>
        <w:gridCol w:w="4681"/>
        <w:gridCol w:w="1135"/>
      </w:tblGrid>
      <w:tr w:rsidR="00BE1EFE">
        <w:trPr>
          <w:trHeight w:val="1005"/>
        </w:trPr>
        <w:tc>
          <w:tcPr>
            <w:tcW w:w="724"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Default="00BE1EFE" w:rsidP="0054275E">
            <w:pPr>
              <w:pStyle w:val="StandardWeb"/>
              <w:autoSpaceDE w:val="0"/>
              <w:rPr>
                <w:b/>
                <w:bCs/>
              </w:rPr>
            </w:pPr>
            <w:r>
              <w:rPr>
                <w:rStyle w:val="Fett"/>
                <w:bCs/>
              </w:rPr>
              <w:t>Wert-</w:t>
            </w:r>
          </w:p>
          <w:p w:rsidR="00BE1EFE" w:rsidRPr="000B1AF8" w:rsidRDefault="00BE1EFE" w:rsidP="0054275E">
            <w:pPr>
              <w:pStyle w:val="StandardWeb"/>
              <w:autoSpaceDE w:val="0"/>
            </w:pPr>
            <w:r>
              <w:rPr>
                <w:rStyle w:val="Fett"/>
                <w:bCs/>
              </w:rPr>
              <w:t xml:space="preserve"> klasse</w:t>
            </w:r>
          </w:p>
        </w:tc>
        <w:tc>
          <w:tcPr>
            <w:tcW w:w="4678"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54275E">
            <w:pPr>
              <w:pStyle w:val="StandardWeb"/>
              <w:autoSpaceDE w:val="0"/>
              <w:ind w:left="-212" w:right="47" w:firstLine="212"/>
            </w:pPr>
            <w:r>
              <w:rPr>
                <w:rStyle w:val="Fett"/>
                <w:bCs/>
              </w:rPr>
              <w:t>Personalunterkünfte</w:t>
            </w:r>
          </w:p>
        </w:tc>
        <w:tc>
          <w:tcPr>
            <w:tcW w:w="1134"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rsidP="0054275E">
            <w:pPr>
              <w:pStyle w:val="StandardWeb"/>
              <w:autoSpaceDE w:val="0"/>
              <w:rPr>
                <w:b/>
                <w:bCs/>
              </w:rPr>
            </w:pPr>
            <w:r>
              <w:rPr>
                <w:rStyle w:val="Fett"/>
                <w:bCs/>
              </w:rPr>
              <w:t>EURO je qm</w:t>
            </w:r>
          </w:p>
          <w:p w:rsidR="00BE1EFE" w:rsidRPr="000B1AF8" w:rsidRDefault="00BE1EFE" w:rsidP="0054275E">
            <w:pPr>
              <w:pStyle w:val="StandardWeb"/>
              <w:autoSpaceDE w:val="0"/>
            </w:pPr>
            <w:r>
              <w:rPr>
                <w:rStyle w:val="Fett"/>
                <w:bCs/>
              </w:rPr>
              <w:t xml:space="preserve"> Nutzfläche monatlich</w:t>
            </w:r>
          </w:p>
        </w:tc>
      </w:tr>
      <w:tr w:rsidR="00BE1EFE">
        <w:trPr>
          <w:trHeight w:val="300"/>
        </w:trPr>
        <w:tc>
          <w:tcPr>
            <w:tcW w:w="7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1</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5C77DA">
            <w:pPr>
              <w:pStyle w:val="StandardWeb"/>
            </w:pPr>
            <w:r>
              <w:t>ohne</w:t>
            </w:r>
            <w:r w:rsidR="00BE1EFE">
              <w:t xml:space="preserve"> ausreichende Gemeinschaftseinrichtungen</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7,59</w:t>
            </w:r>
          </w:p>
        </w:tc>
      </w:tr>
      <w:tr w:rsidR="00BE1EFE">
        <w:trPr>
          <w:trHeight w:val="300"/>
        </w:trPr>
        <w:tc>
          <w:tcPr>
            <w:tcW w:w="7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2</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pPr>
            <w:r>
              <w:t>Mit ausreichenden Gemeinschaftseinrichtungen</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8,41</w:t>
            </w:r>
          </w:p>
        </w:tc>
      </w:tr>
      <w:tr w:rsidR="00BE1EFE">
        <w:trPr>
          <w:trHeight w:val="300"/>
        </w:trPr>
        <w:tc>
          <w:tcPr>
            <w:tcW w:w="7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3</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pPr>
            <w:r>
              <w:t>Mit eigenem Bad oder Dusche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9,62</w:t>
            </w:r>
          </w:p>
        </w:tc>
      </w:tr>
      <w:tr w:rsidR="00BE1EFE">
        <w:trPr>
          <w:trHeight w:val="300"/>
        </w:trPr>
        <w:tc>
          <w:tcPr>
            <w:tcW w:w="7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4</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pPr>
            <w:r>
              <w:t>Mit eigener Toilette und Bad oder Dusche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10,69</w:t>
            </w:r>
          </w:p>
        </w:tc>
      </w:tr>
      <w:tr w:rsidR="00BE1EFE">
        <w:trPr>
          <w:trHeight w:val="300"/>
        </w:trPr>
        <w:tc>
          <w:tcPr>
            <w:tcW w:w="72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5</w:t>
            </w:r>
          </w:p>
        </w:tc>
        <w:tc>
          <w:tcPr>
            <w:tcW w:w="4678"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pPr>
            <w:r>
              <w:t>Mit eigener Kochnische, Toilette und Bad oder Dusche</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pPr>
              <w:pStyle w:val="StandardWeb"/>
              <w:jc w:val="center"/>
            </w:pPr>
            <w:r>
              <w:t>11,40</w:t>
            </w:r>
            <w:r>
              <w:rPr>
                <w:vertAlign w:val="superscript"/>
              </w:rPr>
              <w:t>1</w:t>
            </w:r>
          </w:p>
        </w:tc>
      </w:tr>
    </w:tbl>
    <w:p w:rsidR="00BE1EFE" w:rsidRPr="000B1AF8" w:rsidRDefault="00BE1EFE">
      <w:pPr>
        <w:pStyle w:val="StandardWeb"/>
      </w:pPr>
      <w:r>
        <w:t xml:space="preserve"> </w:t>
      </w:r>
      <w:r>
        <w:rPr>
          <w:sz w:val="12"/>
          <w:szCs w:val="12"/>
          <w:vertAlign w:val="superscript"/>
        </w:rPr>
        <w:t>1</w:t>
      </w:r>
      <w:r>
        <w:rPr>
          <w:sz w:val="12"/>
          <w:szCs w:val="12"/>
        </w:rPr>
        <w:t xml:space="preserve"> Beträge gültig seit 01.01 2018</w:t>
      </w:r>
    </w:p>
    <w:p w:rsidR="00BE1EFE" w:rsidRPr="000B1AF8" w:rsidRDefault="00BE1EFE">
      <w:pPr>
        <w:pStyle w:val="StandardWeb"/>
      </w:pPr>
    </w:p>
    <w:p w:rsidR="00BE1EFE" w:rsidRDefault="00BE1EFE">
      <w:pPr>
        <w:pStyle w:val="StandardWeb"/>
      </w:pPr>
      <w:r>
        <w:rPr>
          <w:rStyle w:val="kleinschrift"/>
        </w:rPr>
        <w:t>1</w:t>
      </w:r>
      <w:r>
        <w:t xml:space="preserve">Bei einer Nutzfläche von mehr als 25 qm erhöhen sich für die über 25 qm hinausgehende Nutzfläche die Quadratmetersätze um 10 v. H. </w:t>
      </w:r>
      <w:r>
        <w:rPr>
          <w:rStyle w:val="kleinschrift"/>
        </w:rPr>
        <w:t>2</w:t>
      </w:r>
      <w:r>
        <w:t>Bei Personalunterkünften mit einer Nutzfläche von weniger als zwölf qm ermäßigen sich die Quadratmetersätze um 10 v. H.</w:t>
      </w:r>
    </w:p>
    <w:p w:rsidR="00BE1EFE" w:rsidRDefault="00BE1EFE">
      <w:pPr>
        <w:pStyle w:val="StandardWeb"/>
      </w:pPr>
      <w:r>
        <w:rPr>
          <w:rStyle w:val="kleinschrift"/>
        </w:rPr>
        <w:t>3</w:t>
      </w:r>
      <w:r>
        <w:t>Wird die Nutzung der Personalunterkunft durch besondere Umstände erheblich beeinträchtigt (z. B. Ofenheizung, kein fließendes Wasser), sollen die Quadratmetersätze um bis zu 10 v. H., beim Zusammentreffen mehrerer solcher Umstände um bis zu 25 v. H. ermäßigt werden; beim Zusammentreffen zahlreicher außergewöhnlicher Beeinträchtigungen kann die Ermäßigung bis zu 33 1/3 v. H. betragen.</w:t>
      </w:r>
    </w:p>
    <w:p w:rsidR="00BE1EFE" w:rsidRDefault="00BE1EFE">
      <w:pPr>
        <w:pStyle w:val="StandardWeb"/>
      </w:pPr>
    </w:p>
    <w:p w:rsidR="00BE1EFE" w:rsidRDefault="00BE1EFE">
      <w:pPr>
        <w:pStyle w:val="StandardWeb"/>
      </w:pPr>
      <w:r>
        <w:lastRenderedPageBreak/>
        <w:t>(2) </w:t>
      </w:r>
      <w:r>
        <w:rPr>
          <w:rStyle w:val="kleinschrift"/>
        </w:rPr>
        <w:t>1</w:t>
      </w:r>
      <w:r>
        <w:t xml:space="preserve">Bei der Ermittlung der Nutzfläche ist von den Fertigmaßen auszugehen. </w:t>
      </w:r>
      <w:r>
        <w:rPr>
          <w:rStyle w:val="kleinschrift"/>
        </w:rPr>
        <w:t>2</w:t>
      </w:r>
      <w:r>
        <w:t xml:space="preserve">Balkonflächen sind mit 25 v. H. und Flächen unter Dachschrägen mit 50 v. H. anzurechnen. </w:t>
      </w:r>
      <w:r>
        <w:rPr>
          <w:rStyle w:val="kleinschrift"/>
        </w:rPr>
        <w:t>3</w:t>
      </w:r>
      <w:r>
        <w:t>Die Nutzfläche von Bädern oder Duschen in Nasszellen, die zwei Personalunterkünften zugeordnet sind, ist den beiden Personalunterkünften je zur Hälfte zuzurechnen.</w:t>
      </w:r>
    </w:p>
    <w:p w:rsidR="00BE1EFE" w:rsidRDefault="00BE1EFE">
      <w:pPr>
        <w:pStyle w:val="StandardWeb"/>
      </w:pPr>
    </w:p>
    <w:p w:rsidR="00BE1EFE" w:rsidRDefault="00BE1EFE">
      <w:pPr>
        <w:pStyle w:val="StandardWeb"/>
      </w:pPr>
      <w:r>
        <w:t>(3) </w:t>
      </w:r>
      <w:r>
        <w:rPr>
          <w:rStyle w:val="kleinschrift"/>
        </w:rPr>
        <w:t>1</w:t>
      </w:r>
      <w:r>
        <w:t>Ausreichende Gemeinschaftseinrichtungen im Sinne des Absatzes 1 haben Personal</w:t>
      </w:r>
      <w:r>
        <w:softHyphen/>
        <w:t>unterkünfte, wenn</w:t>
      </w:r>
    </w:p>
    <w:p w:rsidR="00BE1EFE" w:rsidRDefault="00BE1EFE">
      <w:pPr>
        <w:pStyle w:val="StandardWeb"/>
      </w:pPr>
      <w:r>
        <w:t>a) in Wohnheimen eine ausreichende Zahl von Bädern oder Duschen, von Toiletten und von Kochgelegenheiten für die Bewohner des Wohnheimes,</w:t>
      </w:r>
    </w:p>
    <w:p w:rsidR="00BE1EFE" w:rsidRDefault="00BE1EFE">
      <w:pPr>
        <w:pStyle w:val="StandardWeb"/>
      </w:pPr>
      <w:r>
        <w:t>b) in anderen Gebäuden als Wohnheimen eine ausreichende Zahl von Bädern oder Duschen, von Toiletten und von Kochgelegenheiten zur Benutzung nur durch das Personal des Arbeitgebers vorhanden ist.</w:t>
      </w:r>
    </w:p>
    <w:p w:rsidR="00BE1EFE" w:rsidRDefault="00BE1EFE">
      <w:pPr>
        <w:pStyle w:val="StandardWeb"/>
      </w:pPr>
    </w:p>
    <w:p w:rsidR="00BE1EFE" w:rsidRDefault="00BE1EFE">
      <w:pPr>
        <w:pStyle w:val="StandardWeb"/>
      </w:pPr>
      <w:r>
        <w:rPr>
          <w:rStyle w:val="kleinschrift"/>
        </w:rPr>
        <w:t>2</w:t>
      </w:r>
      <w:r>
        <w:t>Die Gemeinschaftseinrichtungen sind nicht ausreichend, wenn</w:t>
      </w:r>
    </w:p>
    <w:p w:rsidR="00BE1EFE" w:rsidRDefault="00BE1EFE">
      <w:pPr>
        <w:pStyle w:val="StandardWeb"/>
      </w:pPr>
      <w:r>
        <w:t>a) für mehr als sechs Wohnplätze nur eine Toilette und ein Bad oder eine Dusche</w:t>
      </w:r>
    </w:p>
    <w:p w:rsidR="00BE1EFE" w:rsidRDefault="00BE1EFE">
      <w:pPr>
        <w:pStyle w:val="StandardWeb"/>
      </w:pPr>
      <w:r>
        <w:t>oder</w:t>
      </w:r>
    </w:p>
    <w:p w:rsidR="00BE1EFE" w:rsidRDefault="00BE1EFE">
      <w:pPr>
        <w:pStyle w:val="StandardWeb"/>
      </w:pPr>
      <w:r>
        <w:t>b) für mehr als zehn Wohnplätze nur eine Kochgelegenheit vorhanden ist.</w:t>
      </w:r>
    </w:p>
    <w:p w:rsidR="00BE1EFE" w:rsidRDefault="00BE1EFE">
      <w:pPr>
        <w:pStyle w:val="StandardWeb"/>
      </w:pPr>
      <w:r>
        <w:rPr>
          <w:rStyle w:val="kleinschrift"/>
        </w:rPr>
        <w:t>3</w:t>
      </w:r>
      <w:r>
        <w:t>Bäder oder Duschen in Nasszellen, die zwei Personalunterkünften zugeordnet sind (Zugang von beiden Unterkünften bzw. über einen gemeinsamen Vorraum), gelten als eigenes Bad oder Dusche im Sinne des Absatzes 1.</w:t>
      </w:r>
    </w:p>
    <w:p w:rsidR="00BE1EFE" w:rsidRDefault="00BE1EFE">
      <w:pPr>
        <w:pStyle w:val="StandardWeb"/>
      </w:pPr>
    </w:p>
    <w:p w:rsidR="00BE1EFE" w:rsidRDefault="00BE1EFE">
      <w:pPr>
        <w:pStyle w:val="StandardWeb"/>
      </w:pPr>
      <w:r>
        <w:t>(4) </w:t>
      </w:r>
      <w:r>
        <w:rPr>
          <w:rStyle w:val="kleinschrift"/>
        </w:rPr>
        <w:t>1</w:t>
      </w:r>
      <w:r>
        <w:t xml:space="preserve">Mit dem sich aus Absatz 1 ergebenden Wert sind die üblichen Nebenkosten abgegolten. </w:t>
      </w:r>
      <w:r>
        <w:rPr>
          <w:rStyle w:val="kleinschrift"/>
        </w:rPr>
        <w:t>2</w:t>
      </w:r>
      <w:r>
        <w:t xml:space="preserve">Zu diesen gehören die Kosten für Heizung, Strom, Wasser (einschließlich Warmwasser), die Gestellung sowie die Reinigung der Bettwäsche und der Handtücher. </w:t>
      </w:r>
      <w:r>
        <w:rPr>
          <w:rStyle w:val="kleinschrift"/>
        </w:rPr>
        <w:t>3</w:t>
      </w:r>
      <w:r>
        <w:t>Werden diese Nebenleistungen teilweise nicht erbracht oder wird die Personalunterkunft auf eigenen Wunsch von dem Mitarbeiter ganz oder teilweise möbliert, ist eine Herabsetzung des Wertes ausgeschlossen.</w:t>
      </w:r>
    </w:p>
    <w:p w:rsidR="00BE1EFE" w:rsidRDefault="00BE1EFE">
      <w:pPr>
        <w:pStyle w:val="StandardWeb"/>
      </w:pPr>
      <w:r>
        <w:rPr>
          <w:rStyle w:val="kleinschrift"/>
        </w:rPr>
        <w:t>4</w:t>
      </w:r>
      <w:r>
        <w:t>Wird die Personalunterkunft auf Kosten des Arbeitgebers gereinigt oder werden vom Arbeitgeber andere als allgemein übliche Nebenleistungen erbracht (z. B. besondere Ausstattung mit erheblich höherwertigen Möbeln, Reinigung der Körperwäsche), ist ein Zuschlag in Höhe der Selbstkosten zu erheben.</w:t>
      </w:r>
    </w:p>
    <w:p w:rsidR="00BE1EFE" w:rsidRDefault="00BE1EFE">
      <w:pPr>
        <w:pStyle w:val="StandardWeb"/>
      </w:pPr>
      <w:r>
        <w:rPr>
          <w:rStyle w:val="kleinschrift"/>
        </w:rPr>
        <w:t>5</w:t>
      </w:r>
      <w:r>
        <w:t>Steht eine gemeinschaftliche Waschmaschine zur Reinigung der Körperwäsche zur Verfügung, ist dafür ein monatlicher Pauschbetrag von 4,55 € zu erheben, sofern die Waschmaschine nicht mit einem Münzautomaten ausgestattet ist.</w:t>
      </w:r>
    </w:p>
    <w:p w:rsidR="00BE1EFE" w:rsidRDefault="00BE1EFE">
      <w:pPr>
        <w:pStyle w:val="StandardWeb"/>
      </w:pPr>
    </w:p>
    <w:p w:rsidR="00BE1EFE" w:rsidRDefault="00BE1EFE">
      <w:pPr>
        <w:pStyle w:val="StandardWeb"/>
      </w:pPr>
      <w:r>
        <w:t>(5) Wird eine Personalunterkunft von mehreren Personen benutzt, werden dem einzelnen Mitarbeiter bei Einrichtung der Personalunterkunft</w:t>
      </w:r>
    </w:p>
    <w:p w:rsidR="00BE1EFE" w:rsidRDefault="00BE1EFE">
      <w:pPr>
        <w:pStyle w:val="StandardWeb"/>
      </w:pPr>
      <w:r>
        <w:t>a) für zwei Personen 66 2/3 v. H.</w:t>
      </w:r>
    </w:p>
    <w:p w:rsidR="00BE1EFE" w:rsidRDefault="00BE1EFE">
      <w:pPr>
        <w:pStyle w:val="StandardWeb"/>
      </w:pPr>
      <w:r>
        <w:t>b) für drei Personen 40 v. H.</w:t>
      </w:r>
    </w:p>
    <w:p w:rsidR="00BE1EFE" w:rsidRDefault="00BE1EFE">
      <w:pPr>
        <w:pStyle w:val="StandardWeb"/>
      </w:pPr>
      <w:r>
        <w:t>des vollen Wertes angerechnet.</w:t>
      </w:r>
    </w:p>
    <w:p w:rsidR="00BE1EFE" w:rsidRDefault="00BE1EFE" w:rsidP="005B409E">
      <w:pPr>
        <w:pStyle w:val="berschrift5"/>
        <w:spacing w:before="120" w:after="120"/>
      </w:pPr>
      <w:bookmarkStart w:id="980" w:name="_Toc523926501"/>
      <w:r>
        <w:t>§ 4 Anpassung des Wertes der Personalunterkünfte</w:t>
      </w:r>
      <w:bookmarkEnd w:id="980"/>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 in § 3 Absatz 1 und Absatz 4 Unterabsatz 3 genannten Beträge sind jeweils zu demselben Zeitpunkt und um denselben Vomhundertsatz zu erhöhen oder zu vermindern, um den der aufgrund </w:t>
      </w:r>
      <w:hyperlink r:id="rId1274" w:history="1">
        <w:r w:rsidRPr="00FC4D3E">
          <w:rPr>
            <w:rStyle w:val="Hyperlink"/>
          </w:rPr>
          <w:t>§ 17 Absatz 1 Satz 1 Nr. 4 SGB IV</w:t>
        </w:r>
      </w:hyperlink>
      <w:r>
        <w:t xml:space="preserve"> in der Sozialversicherungsentgeltverordnung allgemein festgesetzte Wert für Wohnungen mit Heizung und Beleuchtung erhöht oder vermindert wird.</w:t>
      </w:r>
    </w:p>
    <w:p w:rsidR="00BE1EFE" w:rsidRDefault="00BE1EFE" w:rsidP="00551DE9">
      <w:pPr>
        <w:pStyle w:val="berschrift4"/>
      </w:pPr>
      <w:bookmarkStart w:id="981" w:name="_Toc523926502"/>
      <w:r>
        <w:lastRenderedPageBreak/>
        <w:t>D, 8. Regelung über eine ergänzende Leistung an Beschäftigte und Auszubildende</w:t>
      </w:r>
      <w:bookmarkEnd w:id="981"/>
    </w:p>
    <w:p w:rsidR="00BE1EFE" w:rsidRDefault="00BE1EFE" w:rsidP="005B409E">
      <w:pPr>
        <w:pStyle w:val="berschrift5"/>
        <w:spacing w:before="120" w:after="120"/>
      </w:pPr>
      <w:bookmarkStart w:id="982" w:name="_Toc523926503"/>
      <w:r>
        <w:t>§ 1 Geltungsbereich</w:t>
      </w:r>
      <w:bookmarkEnd w:id="982"/>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gilt für Beschäftigte und Auszubildende mit Dienststelle bzw. Ausbildungs</w:t>
      </w:r>
      <w:r>
        <w:softHyphen/>
        <w:t>stelle und Hauptwohnung (Art. 15 Absatz 2 Meldegesetz) im Verdichtungsraum München.</w:t>
      </w:r>
    </w:p>
    <w:p w:rsidR="00BE1EFE" w:rsidRPr="000B1AF8" w:rsidRDefault="00BE1EFE">
      <w:pPr>
        <w:pStyle w:val="StandardWeb"/>
      </w:pPr>
    </w:p>
    <w:p w:rsidR="00BE1EFE" w:rsidRDefault="00BE1EFE">
      <w:pPr>
        <w:pStyle w:val="StandardWeb"/>
      </w:pPr>
      <w:r>
        <w:t>(2) Der Verdichtungsraum München im Sinne des Absatzes 1 ist das in Anhang 2 der Anlage zur Verordnung über das Landesentwicklungsprogramm Bayern (LEP) vom 22. August 2013 (GVBl S. 550, BayRS 230-1-5-F) in der jeweils geltenden Fassung definierte Gebiet.</w:t>
      </w:r>
    </w:p>
    <w:p w:rsidR="00BE1EFE" w:rsidRDefault="00BE1EFE">
      <w:pPr>
        <w:pStyle w:val="StandardWeb"/>
      </w:pPr>
    </w:p>
    <w:p w:rsidR="00BE1EFE" w:rsidRDefault="00BE1EFE">
      <w:pPr>
        <w:pStyle w:val="StandardWeb"/>
      </w:pPr>
      <w:r>
        <w:t>(3) </w:t>
      </w:r>
      <w:r>
        <w:rPr>
          <w:rStyle w:val="kleinschrift"/>
        </w:rPr>
        <w:t>1</w:t>
      </w:r>
      <w:r>
        <w:t>Beschäftigte sowie Auszubildende nach Absatz 1, deren Dienststelle bzw. Ausbildungs</w:t>
      </w:r>
      <w:r>
        <w:softHyphen/>
        <w:t xml:space="preserve">stelle und Hauptwohnung (Art. 15 Absatz 2 Meldegesetz) am 31. August 2013 im Stadt- und Umlandbereich München lagen und seither ununterbrochen liegen, wie dieser in Anhang 3 der Anlage zur Verordnung über das Landesentwicklungsprogramm Bayern (LEP) vom 8. August 2006 (GVBl S. 471, BayRS 230-1-5-W), geändert durch Verordnung vom 22. Dezember 2009 (GVBl S. 650), festgelegt war, wird für die Dauer des ununterbrochenen Arbeits- bzw. Ausbildungsverhältnisses ebenfalls eine ergänzende Leistung gewährt, soweit nicht bereits ein Anspruch nach den Absätzen 1 und 2 besteht. </w:t>
      </w:r>
      <w:r>
        <w:rPr>
          <w:rStyle w:val="kleinschrift"/>
        </w:rPr>
        <w:t>2</w:t>
      </w:r>
      <w:r>
        <w:t>Dies gilt nur, solange die sonstigen Voraussetzungen für den Bezug der ergänzenden Leistung seit dem 31. August 2013 ununterbrochen erfüllt sind.</w:t>
      </w:r>
    </w:p>
    <w:p w:rsidR="00BE1EFE" w:rsidRDefault="00BE1EFE">
      <w:pPr>
        <w:pStyle w:val="StandardWeb"/>
      </w:pPr>
      <w:r>
        <w:rPr>
          <w:sz w:val="12"/>
          <w:szCs w:val="12"/>
        </w:rPr>
        <w:t>Anmerkung:</w:t>
      </w:r>
    </w:p>
    <w:p w:rsidR="00BE1EFE" w:rsidRDefault="00BE1EFE">
      <w:pPr>
        <w:pStyle w:val="StandardWeb"/>
      </w:pPr>
      <w:r>
        <w:rPr>
          <w:sz w:val="12"/>
          <w:szCs w:val="12"/>
        </w:rPr>
        <w:t>Bei Wiedereinstellung einer/eines Beschäftigten lebt der Anspruch auf die ergänzende Leistung nach folgender Maßgabe wieder auf:</w:t>
      </w:r>
    </w:p>
    <w:p w:rsidR="00BE1EFE" w:rsidRDefault="00BE1EFE">
      <w:pPr>
        <w:pStyle w:val="StandardWeb"/>
      </w:pPr>
      <w:r>
        <w:rPr>
          <w:sz w:val="12"/>
          <w:szCs w:val="12"/>
        </w:rPr>
        <w:t>1. Unterbrechungen von bis zu einem Monat sind unschädlich.</w:t>
      </w:r>
    </w:p>
    <w:p w:rsidR="00BE1EFE" w:rsidRPr="00DE1973" w:rsidRDefault="00BE1EFE">
      <w:pPr>
        <w:pStyle w:val="StandardWeb"/>
        <w:rPr>
          <w:sz w:val="12"/>
          <w:szCs w:val="12"/>
        </w:rPr>
      </w:pPr>
      <w:r>
        <w:rPr>
          <w:sz w:val="12"/>
          <w:szCs w:val="12"/>
        </w:rPr>
        <w:t xml:space="preserve">2. </w:t>
      </w:r>
      <w:r>
        <w:rPr>
          <w:rStyle w:val="kleinschrift"/>
          <w:szCs w:val="12"/>
        </w:rPr>
        <w:t>1</w:t>
      </w:r>
      <w:r>
        <w:rPr>
          <w:sz w:val="12"/>
          <w:szCs w:val="12"/>
        </w:rPr>
        <w:t xml:space="preserve">Bei Beschäftigten, die für eine jahreszeitlich begrenzte regelmäßig wiederkehrende Tätigkeit in einem Arbeitsverhältnis standen oder stehen (Saisonbeschäftigte). </w:t>
      </w:r>
      <w:r>
        <w:rPr>
          <w:rStyle w:val="kleinschrift"/>
          <w:szCs w:val="12"/>
        </w:rPr>
        <w:t>2</w:t>
      </w:r>
      <w:r>
        <w:rPr>
          <w:sz w:val="12"/>
          <w:szCs w:val="12"/>
        </w:rPr>
        <w:t>Die Anwendung dieser Anmerkung endet, wenn die/der Saisonbeschäftigte in einer neuen Saison nicht wieder eingestellt wird.</w:t>
      </w:r>
    </w:p>
    <w:p w:rsidR="00BE1EFE" w:rsidRDefault="00BE1EFE" w:rsidP="005B409E">
      <w:pPr>
        <w:pStyle w:val="berschrift5"/>
        <w:spacing w:before="120" w:after="120"/>
      </w:pPr>
      <w:bookmarkStart w:id="983" w:name="_Toc523926504"/>
      <w:r>
        <w:t>§ 2 Voraussetzungen und Höhe der ergänzenden Leistung</w:t>
      </w:r>
      <w:bookmarkEnd w:id="983"/>
    </w:p>
    <w:p w:rsidR="00BE1EFE" w:rsidRPr="00B76821" w:rsidRDefault="00BE1EFE" w:rsidP="00B76821">
      <w:pPr>
        <w:pStyle w:val="berschrift6"/>
        <w:keepNext w:val="0"/>
        <w:spacing w:before="0" w:after="0"/>
        <w:rPr>
          <w:sz w:val="2"/>
        </w:rPr>
      </w:pPr>
    </w:p>
    <w:p w:rsidR="00BE1EFE" w:rsidRPr="000B1AF8" w:rsidRDefault="00BE1EFE">
      <w:pPr>
        <w:pStyle w:val="StandardWeb"/>
      </w:pPr>
      <w:r>
        <w:t>(1) Beschäftigte erhalten eine ergänzende Leistung von 117,91 Euro monatlich. Nichtvoll</w:t>
      </w:r>
      <w:r>
        <w:softHyphen/>
        <w:t>beschäftigte erhalten von der ergänzenden Leistung nach Satz 1 den Teil, der dem Maß der mit ihnen vereinbarten durchschnittlichen Arbeitszeit entspricht.</w:t>
      </w:r>
    </w:p>
    <w:p w:rsidR="00BE1EFE" w:rsidRPr="000B1AF8" w:rsidRDefault="00BE1EFE">
      <w:pPr>
        <w:pStyle w:val="StandardWeb"/>
      </w:pPr>
    </w:p>
    <w:p w:rsidR="00BE1EFE" w:rsidRDefault="00BE1EFE">
      <w:pPr>
        <w:pStyle w:val="StandardWeb"/>
      </w:pPr>
      <w:r>
        <w:t>(2) Auszubildende erhalten eine ergänzende Leistung von 58,96 Euro monatlich.</w:t>
      </w:r>
    </w:p>
    <w:p w:rsidR="00BE1EFE" w:rsidRDefault="00BE1EFE">
      <w:pPr>
        <w:pStyle w:val="StandardWeb"/>
      </w:pPr>
      <w:r>
        <w:rPr>
          <w:sz w:val="12"/>
          <w:szCs w:val="12"/>
        </w:rPr>
        <w:t>Protokollnotiz zu den Absätzen 1 und 2:</w:t>
      </w:r>
    </w:p>
    <w:p w:rsidR="00BE1EFE" w:rsidRDefault="00BE1EFE">
      <w:pPr>
        <w:pStyle w:val="StandardWeb"/>
      </w:pPr>
      <w:r>
        <w:rPr>
          <w:sz w:val="12"/>
          <w:szCs w:val="12"/>
        </w:rPr>
        <w:t>Die Beträge der ergänzenden Leistung verändern sich ab dem 01.01.2015 in der Weise und zu dem Zeitpunkt, an dem sich die Entgeltgruppe 8 Stufe 3 tabellenwirksam ändert. Die Dynamisierung erfolgt in Höhe der Veränderung des Verhältnisses des Tabellenwertes der Entgeltgruppe 8 Stufe 3 vor der Tarifänderung, verglichen mit dem Tabellenwert der Entgeltgruppe 8 Stufe 3 nach einer Tarifänderung, ausgedrückt in Prozent. (Die ergänzende Leistung nach Absatz 1 beträgt ab 01.03.2016 123,64 Euro, ab 01.02.2017 126,55 Euro; die ergänzende Leistung nach Absatz 2 beträgt ab 01.03.2016 61,83 Euro, ab 01.02.2017 63,28 Euro.)</w:t>
      </w:r>
    </w:p>
    <w:p w:rsidR="00BE1EFE" w:rsidRDefault="00BE1EFE">
      <w:pPr>
        <w:pStyle w:val="StandardWeb"/>
      </w:pPr>
    </w:p>
    <w:p w:rsidR="00BE1EFE" w:rsidRDefault="00BE1EFE">
      <w:pPr>
        <w:pStyle w:val="StandardWeb"/>
      </w:pPr>
      <w:r>
        <w:t>(3) </w:t>
      </w:r>
      <w:r>
        <w:rPr>
          <w:rStyle w:val="kleinschrift"/>
        </w:rPr>
        <w:t>1</w:t>
      </w:r>
      <w:r>
        <w:t>Die sich nach den Absätzen 1 und 2 ergebende ergänzende Leistung wird höchstens in der Höhe gewährt, in der</w:t>
      </w:r>
    </w:p>
    <w:p w:rsidR="00BE1EFE" w:rsidRDefault="00BE1EFE">
      <w:pPr>
        <w:pStyle w:val="StandardWeb"/>
      </w:pPr>
    </w:p>
    <w:p w:rsidR="00BE1EFE" w:rsidRDefault="00BE1EFE">
      <w:pPr>
        <w:pStyle w:val="StandardWeb"/>
      </w:pPr>
      <w:r>
        <w:t>a) bei Beschäftigten</w:t>
      </w:r>
    </w:p>
    <w:p w:rsidR="00BE1EFE" w:rsidRDefault="00BE1EFE">
      <w:pPr>
        <w:pStyle w:val="StandardWeb"/>
      </w:pPr>
      <w:r>
        <w:t>das Tabellenentgelt, einschließlich Vergütungsgruppenzulage (</w:t>
      </w:r>
      <w:hyperlink r:id="rId1275" w:history="1">
        <w:r w:rsidRPr="002D1F1D">
          <w:rPr>
            <w:rStyle w:val="Hyperlink"/>
          </w:rPr>
          <w:t>§ 9 ABD Teil A, 3.</w:t>
        </w:r>
      </w:hyperlink>
      <w:r>
        <w:t>), persönlicher Zulage (</w:t>
      </w:r>
      <w:hyperlink r:id="rId1276" w:history="1">
        <w:r w:rsidRPr="002D1F1D">
          <w:rPr>
            <w:rStyle w:val="Hyperlink"/>
          </w:rPr>
          <w:t>Protokollnotiz zu § 6</w:t>
        </w:r>
      </w:hyperlink>
      <w:r>
        <w:t xml:space="preserve">, </w:t>
      </w:r>
      <w:hyperlink r:id="rId1277" w:history="1">
        <w:r w:rsidRPr="002D1F1D">
          <w:rPr>
            <w:rStyle w:val="Hyperlink"/>
          </w:rPr>
          <w:t>§§ 10</w:t>
        </w:r>
      </w:hyperlink>
      <w:r>
        <w:t xml:space="preserve">, </w:t>
      </w:r>
      <w:hyperlink r:id="rId1278" w:history="1">
        <w:r w:rsidRPr="002D1F1D">
          <w:rPr>
            <w:rStyle w:val="Hyperlink"/>
          </w:rPr>
          <w:t>17 Absatz 8</w:t>
        </w:r>
      </w:hyperlink>
      <w:r>
        <w:t xml:space="preserve">, </w:t>
      </w:r>
      <w:hyperlink r:id="rId1279" w:history="1">
        <w:r w:rsidRPr="002D1F1D">
          <w:rPr>
            <w:rStyle w:val="Hyperlink"/>
          </w:rPr>
          <w:t>18 ABD Teil A, 3.</w:t>
        </w:r>
      </w:hyperlink>
      <w:r>
        <w:t xml:space="preserve">, </w:t>
      </w:r>
      <w:hyperlink r:id="rId1280" w:history="1">
        <w:r w:rsidRPr="002D1F1D">
          <w:rPr>
            <w:rStyle w:val="Hyperlink"/>
          </w:rPr>
          <w:t>§§ 14</w:t>
        </w:r>
      </w:hyperlink>
      <w:r>
        <w:t xml:space="preserve">, </w:t>
      </w:r>
      <w:hyperlink r:id="rId1281" w:history="1">
        <w:r w:rsidRPr="002D1F1D">
          <w:rPr>
            <w:rStyle w:val="Hyperlink"/>
          </w:rPr>
          <w:t>14 a</w:t>
        </w:r>
      </w:hyperlink>
      <w:r>
        <w:t xml:space="preserve">, </w:t>
      </w:r>
      <w:hyperlink r:id="rId1282" w:history="1">
        <w:r w:rsidRPr="002D1F1D">
          <w:rPr>
            <w:rStyle w:val="Hyperlink"/>
          </w:rPr>
          <w:t>31 Absatz 3</w:t>
        </w:r>
      </w:hyperlink>
      <w:r>
        <w:t xml:space="preserve">, </w:t>
      </w:r>
      <w:hyperlink r:id="rId1283" w:history="1">
        <w:r w:rsidRPr="002D1F1D">
          <w:rPr>
            <w:rStyle w:val="Hyperlink"/>
          </w:rPr>
          <w:t>32 Absatz 3 ABD Teil A, 1.</w:t>
        </w:r>
      </w:hyperlink>
      <w:r>
        <w:t>) Garantiebetrag (</w:t>
      </w:r>
      <w:hyperlink r:id="rId1284" w:history="1">
        <w:r w:rsidRPr="002D1F1D">
          <w:rPr>
            <w:rStyle w:val="Hyperlink"/>
          </w:rPr>
          <w:t>§ 17 Absatz 4 ABD Teil A, 1.</w:t>
        </w:r>
      </w:hyperlink>
      <w:r>
        <w:t xml:space="preserve">), des Strukturausgleichs nach </w:t>
      </w:r>
      <w:hyperlink r:id="rId1285" w:history="1">
        <w:r w:rsidRPr="002D1F1D">
          <w:rPr>
            <w:rStyle w:val="Hyperlink"/>
          </w:rPr>
          <w:t>§ 12 ABD Teil A, 3.</w:t>
        </w:r>
      </w:hyperlink>
      <w:r>
        <w:t>,</w:t>
      </w:r>
    </w:p>
    <w:p w:rsidR="00BE1EFE" w:rsidRDefault="00BE1EFE">
      <w:pPr>
        <w:pStyle w:val="StandardWeb"/>
      </w:pPr>
    </w:p>
    <w:p w:rsidR="00BE1EFE" w:rsidRDefault="00BE1EFE">
      <w:pPr>
        <w:pStyle w:val="StandardWeb"/>
      </w:pPr>
      <w:r>
        <w:t xml:space="preserve">b) bei Auszubildenden </w:t>
      </w:r>
    </w:p>
    <w:p w:rsidR="00BE1EFE" w:rsidRDefault="00BE1EFE">
      <w:pPr>
        <w:pStyle w:val="StandardWeb"/>
      </w:pPr>
      <w:r>
        <w:t>das Ausbildungsentgelt</w:t>
      </w:r>
    </w:p>
    <w:p w:rsidR="00BE1EFE" w:rsidRDefault="00BE1EFE">
      <w:pPr>
        <w:pStyle w:val="StandardWeb"/>
      </w:pPr>
      <w:r>
        <w:lastRenderedPageBreak/>
        <w:t xml:space="preserve">hinter dem Grenzbetrag für die ergänzende Leistung zurückbleibt. </w:t>
      </w:r>
      <w:r>
        <w:rPr>
          <w:rStyle w:val="kleinschrift"/>
        </w:rPr>
        <w:t>2</w:t>
      </w:r>
      <w:r>
        <w:t>Dieser Grenzbetrag beträgt für</w:t>
      </w:r>
    </w:p>
    <w:p w:rsidR="00BE1EFE" w:rsidRDefault="00BE1EFE">
      <w:pPr>
        <w:pStyle w:val="StandardWeb"/>
      </w:pPr>
    </w:p>
    <w:p w:rsidR="00BE1EFE" w:rsidRDefault="00BE1EFE">
      <w:pPr>
        <w:pStyle w:val="StandardWeb"/>
      </w:pPr>
      <w:r>
        <w:t>a) Beschäftigte</w:t>
      </w:r>
    </w:p>
    <w:p w:rsidR="00BE1EFE" w:rsidRDefault="00BE1EFE" w:rsidP="00013F0E">
      <w:pPr>
        <w:pStyle w:val="StandardWeb"/>
        <w:ind w:left="227"/>
      </w:pPr>
      <w:r>
        <w:t>ab 1. März 2016</w:t>
      </w:r>
      <w:r>
        <w:tab/>
      </w:r>
      <w:r>
        <w:tab/>
        <w:t>3.399,74 Euro</w:t>
      </w:r>
    </w:p>
    <w:p w:rsidR="00BE1EFE" w:rsidRDefault="00BE1EFE" w:rsidP="00013F0E">
      <w:pPr>
        <w:pStyle w:val="StandardWeb"/>
        <w:ind w:left="227"/>
      </w:pPr>
      <w:r>
        <w:t>ab 1. Februar 2017</w:t>
      </w:r>
      <w:r>
        <w:tab/>
        <w:t>3.479,63 Euro</w:t>
      </w:r>
    </w:p>
    <w:p w:rsidR="00BE1EFE" w:rsidRDefault="00BE1EFE">
      <w:pPr>
        <w:pStyle w:val="StandardWeb"/>
      </w:pPr>
    </w:p>
    <w:p w:rsidR="00BE1EFE" w:rsidRDefault="00BE1EFE">
      <w:pPr>
        <w:pStyle w:val="StandardWeb"/>
      </w:pPr>
      <w:r>
        <w:t>b) Auszubildende</w:t>
      </w:r>
    </w:p>
    <w:p w:rsidR="00BE1EFE" w:rsidRDefault="00BE1EFE" w:rsidP="00013F0E">
      <w:pPr>
        <w:pStyle w:val="StandardWeb"/>
        <w:ind w:left="227"/>
      </w:pPr>
      <w:r>
        <w:t>ab 1. März 2016</w:t>
      </w:r>
      <w:r>
        <w:tab/>
      </w:r>
      <w:r>
        <w:tab/>
        <w:t>1.144,90 Euro</w:t>
      </w:r>
    </w:p>
    <w:p w:rsidR="00BE1EFE" w:rsidRDefault="00BE1EFE" w:rsidP="00013F0E">
      <w:pPr>
        <w:pStyle w:val="StandardWeb"/>
        <w:ind w:left="227"/>
      </w:pPr>
      <w:r>
        <w:t>ab 1. Februar 2017</w:t>
      </w:r>
      <w:r>
        <w:tab/>
        <w:t>1.181,54 Euro</w:t>
      </w:r>
    </w:p>
    <w:p w:rsidR="00BE1EFE" w:rsidRDefault="00BE1EFE">
      <w:pPr>
        <w:pStyle w:val="StandardWeb"/>
      </w:pPr>
    </w:p>
    <w:p w:rsidR="00BE1EFE" w:rsidRDefault="00BE1EFE">
      <w:pPr>
        <w:pStyle w:val="StandardWeb"/>
      </w:pPr>
      <w:r>
        <w:t xml:space="preserve">monatlich. </w:t>
      </w:r>
      <w:r>
        <w:rPr>
          <w:rStyle w:val="kleinschrift"/>
        </w:rPr>
        <w:t>3</w:t>
      </w:r>
      <w:r>
        <w:t xml:space="preserve">Der Grenzbetrag nach Satz 2 Buchstabe a) von Nichtvollbeschäftigten vermindert sich entsprechend der Regelung in § 2 Absatz 1 Satz 2. </w:t>
      </w:r>
      <w:r>
        <w:rPr>
          <w:rStyle w:val="kleinschrift"/>
        </w:rPr>
        <w:t>4</w:t>
      </w:r>
      <w:r>
        <w:t xml:space="preserve">Vorstehende Grenzbeträge nach Satz 2 nehmen in prozentualer Höhe und dem Zeitpunkt an den stattfindenden linearen Anpassungen der Bezüge der Beschäftigten und Auszubildenden teil; hierbei ist für Beschäftigte die lineare Anpassung des Tabellenentgelts der Entgeltgruppe 9b und für Auszubildende die lineare Anpassung der Ausbildungsvergütung nach der Regelung für Auszubildende (ABD Teil </w:t>
      </w:r>
      <w:hyperlink r:id="rId1286" w:history="1">
        <w:r w:rsidRPr="002D1F1D">
          <w:rPr>
            <w:rStyle w:val="Hyperlink"/>
          </w:rPr>
          <w:t>E, 1.</w:t>
        </w:r>
      </w:hyperlink>
      <w:r>
        <w:t>) für das zweite Ausbildungsjahr maßgebend.</w:t>
      </w:r>
    </w:p>
    <w:p w:rsidR="00BE1EFE" w:rsidRDefault="00BE1EFE">
      <w:pPr>
        <w:pStyle w:val="StandardWeb"/>
      </w:pPr>
      <w:r>
        <w:rPr>
          <w:sz w:val="12"/>
          <w:szCs w:val="12"/>
        </w:rPr>
        <w:t>Anmerkung zu Absatz 3 Satz 1:</w:t>
      </w:r>
    </w:p>
    <w:p w:rsidR="00BE1EFE" w:rsidRPr="00DE1973" w:rsidRDefault="00BE1EFE">
      <w:pPr>
        <w:pStyle w:val="StandardWeb"/>
        <w:rPr>
          <w:sz w:val="12"/>
          <w:szCs w:val="12"/>
        </w:rPr>
      </w:pPr>
      <w:r>
        <w:rPr>
          <w:sz w:val="12"/>
          <w:szCs w:val="12"/>
        </w:rPr>
        <w:t xml:space="preserve">Die Vorschrift gilt nicht für Angestellte der </w:t>
      </w:r>
      <w:hyperlink r:id="rId1287" w:history="1">
        <w:r w:rsidRPr="002D1F1D">
          <w:rPr>
            <w:rStyle w:val="Hyperlink"/>
            <w:sz w:val="12"/>
            <w:szCs w:val="12"/>
          </w:rPr>
          <w:t>Vergütungsgruppe V b ABD Teil A</w:t>
        </w:r>
      </w:hyperlink>
      <w:r>
        <w:rPr>
          <w:sz w:val="12"/>
          <w:szCs w:val="12"/>
        </w:rPr>
        <w:t xml:space="preserve"> ab Lebensaltersstufe nach vollendetem 43. Lebensjahr, die keinen Anspruch auf eine Vergütungsgruppenzulage haben.</w:t>
      </w:r>
    </w:p>
    <w:p w:rsidR="00BE1EFE" w:rsidRDefault="00BE1EFE" w:rsidP="005B409E">
      <w:pPr>
        <w:pStyle w:val="berschrift5"/>
        <w:spacing w:before="120" w:after="120"/>
      </w:pPr>
      <w:bookmarkStart w:id="984" w:name="_Toc523926505"/>
      <w:r>
        <w:t>§ 3 Ergänzende Leistung für Kinder</w:t>
      </w:r>
      <w:bookmarkEnd w:id="984"/>
    </w:p>
    <w:p w:rsidR="00BE1EFE" w:rsidRPr="00B76821" w:rsidRDefault="00BE1EFE" w:rsidP="00B76821">
      <w:pPr>
        <w:pStyle w:val="berschrift6"/>
        <w:keepNext w:val="0"/>
        <w:spacing w:before="0" w:after="0"/>
        <w:rPr>
          <w:sz w:val="2"/>
        </w:rPr>
      </w:pPr>
    </w:p>
    <w:p w:rsidR="00BE1EFE" w:rsidRPr="000B1AF8" w:rsidRDefault="00BE1EFE" w:rsidP="00E46EA2">
      <w:pPr>
        <w:pStyle w:val="StandardWeb"/>
      </w:pPr>
      <w:r>
        <w:t>(1) </w:t>
      </w:r>
      <w:r>
        <w:rPr>
          <w:rStyle w:val="kleinschrift"/>
        </w:rPr>
        <w:t>1</w:t>
      </w:r>
      <w:r>
        <w:t>Beschäftigte erhalten für jedes Kind, für das ihnen Kindergeld nach dem Einkommen</w:t>
      </w:r>
      <w:r>
        <w:softHyphen/>
        <w:t xml:space="preserve">steuergesetz oder dem Bundeskindergeldgesetz tatsächlich gezahlt wird, eine ergänzende Leistung für Kinder von 22,50 Euro monatlich. </w:t>
      </w:r>
      <w:r>
        <w:rPr>
          <w:rStyle w:val="kleinschrift"/>
        </w:rPr>
        <w:t>2</w:t>
      </w:r>
      <w:r>
        <w:t xml:space="preserve">Die ergänzende Leistung für Kinder wird insgesamt höchstens in der Höhe gewährt, in der die Bezüge nach </w:t>
      </w:r>
      <w:hyperlink r:id="rId1288" w:history="1">
        <w:r w:rsidRPr="002D1F1D">
          <w:rPr>
            <w:rStyle w:val="Hyperlink"/>
          </w:rPr>
          <w:t>§ 2 Absatz 3 Satz 1 Buchstabe a</w:t>
        </w:r>
      </w:hyperlink>
      <w:r>
        <w:t xml:space="preserve"> hinter dem Grenzbetrag für die ergänzende Leistung für Kinder (Kindergrenz</w:t>
      </w:r>
      <w:r>
        <w:softHyphen/>
        <w:t xml:space="preserve">betrag) zurückbleiben. </w:t>
      </w:r>
      <w:r>
        <w:rPr>
          <w:rStyle w:val="kleinschrift"/>
        </w:rPr>
        <w:t>3</w:t>
      </w:r>
      <w:r>
        <w:t>Dieser Kindergrenzbetrag beträgt</w:t>
      </w:r>
    </w:p>
    <w:p w:rsidR="00BE1EFE" w:rsidRDefault="00BE1EFE" w:rsidP="00E46EA2">
      <w:pPr>
        <w:pStyle w:val="StandardWeb"/>
      </w:pPr>
    </w:p>
    <w:p w:rsidR="00BE1EFE" w:rsidRDefault="00BE1EFE" w:rsidP="00E46EA2">
      <w:pPr>
        <w:pStyle w:val="StandardWeb"/>
      </w:pPr>
      <w:r>
        <w:t>ab 1. März 2016</w:t>
      </w:r>
      <w:r>
        <w:tab/>
      </w:r>
      <w:r>
        <w:tab/>
        <w:t>4.766,19 Euro</w:t>
      </w:r>
    </w:p>
    <w:p w:rsidR="00BE1EFE" w:rsidRDefault="00BE1EFE" w:rsidP="00E46EA2">
      <w:pPr>
        <w:pStyle w:val="StandardWeb"/>
      </w:pPr>
      <w:r>
        <w:t>ab 1. Februar 2017</w:t>
      </w:r>
      <w:r>
        <w:tab/>
      </w:r>
      <w:r>
        <w:tab/>
        <w:t>4.878,20 Euro</w:t>
      </w:r>
    </w:p>
    <w:p w:rsidR="00BE1EFE" w:rsidRDefault="00BE1EFE" w:rsidP="00E46EA2">
      <w:pPr>
        <w:pStyle w:val="StandardWeb"/>
      </w:pPr>
    </w:p>
    <w:p w:rsidR="00BE1EFE" w:rsidRDefault="00BE1EFE" w:rsidP="00E46EA2">
      <w:pPr>
        <w:pStyle w:val="StandardWeb"/>
      </w:pPr>
      <w:r>
        <w:t>monatlich.</w:t>
      </w:r>
    </w:p>
    <w:p w:rsidR="00BE1EFE" w:rsidRDefault="00BE1EFE" w:rsidP="00E46EA2">
      <w:pPr>
        <w:pStyle w:val="StandardWeb"/>
      </w:pPr>
    </w:p>
    <w:p w:rsidR="00BE1EFE" w:rsidRDefault="00BE1EFE" w:rsidP="00E46EA2">
      <w:pPr>
        <w:pStyle w:val="StandardWeb"/>
      </w:pPr>
      <w:r>
        <w:t>(2) </w:t>
      </w:r>
      <w:r>
        <w:rPr>
          <w:rStyle w:val="kleinschrift"/>
        </w:rPr>
        <w:t>1</w:t>
      </w:r>
      <w:r>
        <w:t>Auszubildende erhalten für jedes Kind, für das ihnen Kindergeld nach dem Einkommen</w:t>
      </w:r>
      <w:r>
        <w:softHyphen/>
        <w:t xml:space="preserve">steuergesetz oder dem Bundeskindergeldgesetz tatsächlich gezahlt wird, eine ergänzende Leistung für Kinder von 22,50 Euro monatlich. </w:t>
      </w:r>
      <w:r>
        <w:rPr>
          <w:rStyle w:val="kleinschrift"/>
        </w:rPr>
        <w:t>2</w:t>
      </w:r>
      <w:r>
        <w:t xml:space="preserve">Die ergänzende Leistung für Kinder wird höchstens in der Höhe gewährt, in der das Ausbildungsentgelt einschließlich ergänzender Leistung nach </w:t>
      </w:r>
      <w:hyperlink r:id="rId1289" w:history="1">
        <w:r w:rsidRPr="002D1F1D">
          <w:rPr>
            <w:rStyle w:val="Hyperlink"/>
          </w:rPr>
          <w:t>§ 2 Absatz 2</w:t>
        </w:r>
      </w:hyperlink>
      <w:r>
        <w:t xml:space="preserve"> hinter dem jeweiligen Grenzbetrag für Auszubildende nach </w:t>
      </w:r>
      <w:hyperlink r:id="rId1290" w:history="1">
        <w:r w:rsidRPr="002D1F1D">
          <w:rPr>
            <w:rStyle w:val="Hyperlink"/>
          </w:rPr>
          <w:t>§ 2 Absatz 3 Satz 2 Buchstabe b</w:t>
        </w:r>
      </w:hyperlink>
      <w:r>
        <w:t xml:space="preserve"> in Verbindung mit Satz 4 zurückbleibt.</w:t>
      </w:r>
    </w:p>
    <w:p w:rsidR="00BE1EFE" w:rsidRDefault="00BE1EFE" w:rsidP="00E46EA2">
      <w:pPr>
        <w:pStyle w:val="StandardWeb"/>
      </w:pPr>
    </w:p>
    <w:p w:rsidR="00BE1EFE" w:rsidRDefault="00BE1EFE" w:rsidP="00E46EA2">
      <w:pPr>
        <w:pStyle w:val="StandardWeb"/>
      </w:pPr>
      <w:r>
        <w:rPr>
          <w:sz w:val="12"/>
          <w:szCs w:val="12"/>
        </w:rPr>
        <w:t>Protokollnotiz zu § 3:</w:t>
      </w:r>
    </w:p>
    <w:p w:rsidR="00BE1EFE" w:rsidRDefault="00BE1EFE" w:rsidP="00E46EA2">
      <w:pPr>
        <w:pStyle w:val="StandardWeb"/>
      </w:pPr>
      <w:r>
        <w:rPr>
          <w:sz w:val="12"/>
          <w:szCs w:val="12"/>
        </w:rPr>
        <w:t>Die Beträge der ergänzenden Leistung für Kinder verändern sich ab dem 01.01.2015 in der Weise und zu dem Zeitpunkt, an dem sich die Entgeltgruppe 8 Stufe 3 tabellenwirksam ändert. Die Dynamisierung erfolgt in Höhe der Veränderung des Verhältnisses des Tabellenwertes der Entgeltgruppe 8 Stufe 3 vor der Tarifänderung, verglichen mit dem Tabellenwert der Entgeltgruppe 8 Stufe 3 nach einer Tarifänderung, ausgedrückt in Prozent. (Die ergänzende Leistung für Kinder beträgt ab 01.03.2016 23,59 Euro; ab 01.02.2017 beträgt die ergänzende Leistung für Kinder 24,14 Euro.)</w:t>
      </w:r>
    </w:p>
    <w:p w:rsidR="00BE1EFE" w:rsidRDefault="00BE1EFE" w:rsidP="005B409E">
      <w:pPr>
        <w:pStyle w:val="berschrift5"/>
        <w:spacing w:before="120" w:after="120"/>
      </w:pPr>
      <w:bookmarkStart w:id="985" w:name="_Toc523926506"/>
      <w:r>
        <w:t>§ 4 Allgemeine Bestimmungen</w:t>
      </w:r>
      <w:bookmarkEnd w:id="985"/>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Eine ergänzende Leistung nach den </w:t>
      </w:r>
      <w:hyperlink r:id="rId1291" w:history="1">
        <w:r w:rsidRPr="002D1F1D">
          <w:rPr>
            <w:rStyle w:val="Hyperlink"/>
          </w:rPr>
          <w:t>§§ 2</w:t>
        </w:r>
      </w:hyperlink>
      <w:r>
        <w:t xml:space="preserve"> und </w:t>
      </w:r>
      <w:hyperlink r:id="rId1292" w:history="1">
        <w:r w:rsidRPr="002D1F1D">
          <w:rPr>
            <w:rStyle w:val="Hyperlink"/>
          </w:rPr>
          <w:t>3</w:t>
        </w:r>
      </w:hyperlink>
      <w:r>
        <w:t xml:space="preserve"> steht nur zu, wenn sie insgesamt 10 Euro monatlich überschreitet; hierbei bleiben Berechnungen wegen Teilzeitbeschäftigung und für Teilmonate unberücksichtigt.</w:t>
      </w:r>
    </w:p>
    <w:p w:rsidR="00BE1EFE" w:rsidRPr="000B1AF8" w:rsidRDefault="00BE1EFE">
      <w:pPr>
        <w:pStyle w:val="StandardWeb"/>
      </w:pPr>
    </w:p>
    <w:p w:rsidR="00BE1EFE" w:rsidRDefault="00BE1EFE">
      <w:pPr>
        <w:pStyle w:val="StandardWeb"/>
      </w:pPr>
      <w:r>
        <w:lastRenderedPageBreak/>
        <w:t xml:space="preserve">(2) Die ergänzende Leistung nach den </w:t>
      </w:r>
      <w:hyperlink r:id="rId1293" w:history="1">
        <w:r w:rsidRPr="002D1F1D">
          <w:rPr>
            <w:rStyle w:val="Hyperlink"/>
          </w:rPr>
          <w:t>§§ 2</w:t>
        </w:r>
      </w:hyperlink>
      <w:r>
        <w:t xml:space="preserve"> und </w:t>
      </w:r>
      <w:hyperlink r:id="rId1294" w:history="1">
        <w:r w:rsidRPr="002D1F1D">
          <w:rPr>
            <w:rStyle w:val="Hyperlink"/>
          </w:rPr>
          <w:t>3</w:t>
        </w:r>
      </w:hyperlink>
      <w:r>
        <w:t xml:space="preserve"> wird nur für Zeiträume gezahlt, für die Bezüge (Tabellenentgelt, Ausbildungsentgelt, Entgeltfortzahlung nach den </w:t>
      </w:r>
      <w:hyperlink r:id="rId1295" w:history="1">
        <w:r w:rsidRPr="002D1F1D">
          <w:rPr>
            <w:rStyle w:val="Hyperlink"/>
          </w:rPr>
          <w:t>§§ 22</w:t>
        </w:r>
      </w:hyperlink>
      <w:r>
        <w:t xml:space="preserve"> und </w:t>
      </w:r>
      <w:hyperlink r:id="rId1296" w:history="1">
        <w:r w:rsidRPr="002D1F1D">
          <w:rPr>
            <w:rStyle w:val="Hyperlink"/>
          </w:rPr>
          <w:t>26 ABD Teil A, 1.</w:t>
        </w:r>
      </w:hyperlink>
      <w:r>
        <w:t>) zustehen. Die Bestimmungen des ABD über die Berechnung der Bezüge für Teilzeiträume gelten entsprechend.</w:t>
      </w:r>
    </w:p>
    <w:p w:rsidR="00BE1EFE" w:rsidRDefault="00BE1EFE">
      <w:pPr>
        <w:pStyle w:val="StandardWeb"/>
      </w:pPr>
      <w:r>
        <w:rPr>
          <w:rStyle w:val="kleinschrift"/>
        </w:rPr>
        <w:t>Anmerkung zu Absatz 2:</w:t>
      </w:r>
    </w:p>
    <w:p w:rsidR="00BE1EFE" w:rsidRDefault="00BE1EFE">
      <w:pPr>
        <w:pStyle w:val="StandardWeb"/>
      </w:pPr>
      <w:r>
        <w:rPr>
          <w:rStyle w:val="kleinschrift"/>
        </w:rPr>
        <w:t>Für Zeiten, für die Krankengeldzuschuss zusteht, wird die ergänzende Leistung bei der Berechnung des Krankengeldzuschusses als Bestandteil der Entgeltfortzahlung nach § 22 ABD Teil A, 1. berücksichtigt</w:t>
      </w:r>
      <w:r w:rsidRPr="009C6551">
        <w:rPr>
          <w:rStyle w:val="kleinschrift1"/>
        </w:rPr>
        <w:t>.</w:t>
      </w:r>
    </w:p>
    <w:p w:rsidR="00BE1EFE" w:rsidRDefault="00BE1EFE">
      <w:pPr>
        <w:pStyle w:val="StandardWeb"/>
      </w:pPr>
    </w:p>
    <w:p w:rsidR="00BE1EFE" w:rsidRDefault="00BE1EFE">
      <w:pPr>
        <w:pStyle w:val="StandardWeb"/>
      </w:pPr>
      <w:r>
        <w:t xml:space="preserve">(3) Die ergänzende Leistung nach den </w:t>
      </w:r>
      <w:hyperlink r:id="rId1297" w:history="1">
        <w:r w:rsidRPr="002D1F1D">
          <w:rPr>
            <w:rStyle w:val="Hyperlink"/>
          </w:rPr>
          <w:t>§§ 2</w:t>
        </w:r>
      </w:hyperlink>
      <w:r>
        <w:t xml:space="preserve"> und </w:t>
      </w:r>
      <w:hyperlink r:id="rId1298" w:history="1">
        <w:r w:rsidRPr="002D1F1D">
          <w:rPr>
            <w:rStyle w:val="Hyperlink"/>
          </w:rPr>
          <w:t>3</w:t>
        </w:r>
      </w:hyperlink>
      <w:r>
        <w:t xml:space="preserve"> ist bei der Bemessung der Jahres</w:t>
      </w:r>
      <w:r>
        <w:softHyphen/>
        <w:t>sonderzahlung nicht zu berücksichtigen.</w:t>
      </w:r>
    </w:p>
    <w:p w:rsidR="00BE1EFE" w:rsidRDefault="00BE1EFE" w:rsidP="005B409E">
      <w:pPr>
        <w:pStyle w:val="berschrift5"/>
        <w:spacing w:before="120" w:after="120"/>
      </w:pPr>
      <w:bookmarkStart w:id="986" w:name="_Toc523926507"/>
      <w:r>
        <w:t>§ 5 Übergangsbestimmungen</w:t>
      </w:r>
      <w:bookmarkEnd w:id="986"/>
    </w:p>
    <w:p w:rsidR="00BE1EFE" w:rsidRPr="00B76821" w:rsidRDefault="00BE1EFE" w:rsidP="00B76821">
      <w:pPr>
        <w:pStyle w:val="berschrift6"/>
        <w:keepNext w:val="0"/>
        <w:spacing w:before="0" w:after="0"/>
        <w:rPr>
          <w:sz w:val="2"/>
        </w:rPr>
      </w:pPr>
    </w:p>
    <w:p w:rsidR="00BE1EFE" w:rsidRPr="000B1AF8" w:rsidRDefault="00BE1EFE">
      <w:pPr>
        <w:pStyle w:val="StandardWeb"/>
      </w:pPr>
      <w:r>
        <w:t>Für Beschäftigte, die am 30. September 2005 zum Bezug einer ergänzenden Leistung berechtigt sind und deren Arbeitsverhältnis am 1. Oktober 2005 zu demselben Arbeitgeber ununterbrochen fortbesteht, gilt Folgendes:</w:t>
      </w:r>
    </w:p>
    <w:p w:rsidR="00BE1EFE" w:rsidRPr="000B1AF8" w:rsidRDefault="00BE1EFE">
      <w:pPr>
        <w:pStyle w:val="StandardWeb"/>
      </w:pPr>
    </w:p>
    <w:p w:rsidR="00BE1EFE" w:rsidRDefault="00BE1EFE">
      <w:pPr>
        <w:pStyle w:val="StandardWeb"/>
      </w:pPr>
      <w:r>
        <w:t>(1) </w:t>
      </w:r>
      <w:r>
        <w:rPr>
          <w:rStyle w:val="kleinschrift"/>
        </w:rPr>
        <w:t>1</w:t>
      </w:r>
      <w:r>
        <w:t xml:space="preserve">Dem Grenzbetrag nach </w:t>
      </w:r>
      <w:hyperlink r:id="rId1299" w:history="1">
        <w:r w:rsidRPr="002D1F1D">
          <w:rPr>
            <w:rStyle w:val="Hyperlink"/>
          </w:rPr>
          <w:t>§ 2 Absatz 3 Satz 2 Buchstabe a</w:t>
        </w:r>
      </w:hyperlink>
      <w:r>
        <w:t xml:space="preserve"> bzw. </w:t>
      </w:r>
      <w:hyperlink r:id="rId1300" w:history="1">
        <w:r w:rsidRPr="002D1F1D">
          <w:rPr>
            <w:rStyle w:val="Hyperlink"/>
          </w:rPr>
          <w:t>§ 3 Absatz 1 Satz 3</w:t>
        </w:r>
      </w:hyperlink>
      <w:r>
        <w:t xml:space="preserve"> ist das nach </w:t>
      </w:r>
      <w:hyperlink r:id="rId1301" w:history="1">
        <w:r w:rsidRPr="002D1F1D">
          <w:rPr>
            <w:rStyle w:val="Hyperlink"/>
          </w:rPr>
          <w:t>§ 5 Absatz 2 ABD Teil A, 3.</w:t>
        </w:r>
      </w:hyperlink>
      <w:r>
        <w:t xml:space="preserve"> ermittelte Vergleichsentgelt einschließlich Vergütungs</w:t>
      </w:r>
      <w:r>
        <w:softHyphen/>
        <w:t>gruppenzulage (</w:t>
      </w:r>
      <w:hyperlink r:id="rId1302" w:history="1">
        <w:r w:rsidRPr="002D1F1D">
          <w:rPr>
            <w:rStyle w:val="Hyperlink"/>
          </w:rPr>
          <w:t>§ 9 ABD Teil A, 3.</w:t>
        </w:r>
      </w:hyperlink>
      <w:r>
        <w:t>), persönlicher Zulage (</w:t>
      </w:r>
      <w:hyperlink r:id="rId1303" w:history="1">
        <w:r w:rsidRPr="002D1F1D">
          <w:rPr>
            <w:rStyle w:val="Hyperlink"/>
          </w:rPr>
          <w:t>Protokollnotiz zu § 6</w:t>
        </w:r>
      </w:hyperlink>
      <w:r>
        <w:t xml:space="preserve">, </w:t>
      </w:r>
      <w:hyperlink r:id="rId1304" w:history="1">
        <w:r w:rsidRPr="002D1F1D">
          <w:rPr>
            <w:rStyle w:val="Hyperlink"/>
          </w:rPr>
          <w:t>§§ 10</w:t>
        </w:r>
      </w:hyperlink>
      <w:r>
        <w:t xml:space="preserve">, </w:t>
      </w:r>
      <w:hyperlink r:id="rId1305" w:history="1">
        <w:r w:rsidRPr="002D1F1D">
          <w:rPr>
            <w:rStyle w:val="Hyperlink"/>
          </w:rPr>
          <w:t>17 Absatz 8</w:t>
        </w:r>
      </w:hyperlink>
      <w:r>
        <w:t xml:space="preserve">, </w:t>
      </w:r>
      <w:hyperlink r:id="rId1306" w:history="1">
        <w:r w:rsidRPr="002D1F1D">
          <w:rPr>
            <w:rStyle w:val="Hyperlink"/>
          </w:rPr>
          <w:t>18 ABD Teil A, 3.</w:t>
        </w:r>
      </w:hyperlink>
      <w:r>
        <w:t xml:space="preserve">, </w:t>
      </w:r>
      <w:hyperlink r:id="rId1307" w:history="1">
        <w:r w:rsidRPr="002D1F1D">
          <w:rPr>
            <w:rStyle w:val="Hyperlink"/>
          </w:rPr>
          <w:t>§§ 14</w:t>
        </w:r>
      </w:hyperlink>
      <w:r>
        <w:t xml:space="preserve">, </w:t>
      </w:r>
      <w:hyperlink r:id="rId1308" w:history="1">
        <w:r w:rsidRPr="002D1F1D">
          <w:rPr>
            <w:rStyle w:val="Hyperlink"/>
          </w:rPr>
          <w:t>14 a</w:t>
        </w:r>
      </w:hyperlink>
      <w:r>
        <w:t xml:space="preserve">, </w:t>
      </w:r>
      <w:hyperlink r:id="rId1309" w:history="1">
        <w:r w:rsidRPr="002D1F1D">
          <w:rPr>
            <w:rStyle w:val="Hyperlink"/>
          </w:rPr>
          <w:t>31 Absatz 3</w:t>
        </w:r>
      </w:hyperlink>
      <w:r>
        <w:t xml:space="preserve">, </w:t>
      </w:r>
      <w:hyperlink r:id="rId1310" w:history="1">
        <w:r w:rsidRPr="002D1F1D">
          <w:rPr>
            <w:rStyle w:val="Hyperlink"/>
          </w:rPr>
          <w:t>32 Absatz 3 ABD Teil A, 1.</w:t>
        </w:r>
      </w:hyperlink>
      <w:r>
        <w:t>) gegenüberzustellen.</w:t>
      </w:r>
    </w:p>
    <w:p w:rsidR="00BE1EFE" w:rsidRDefault="00BE1EFE">
      <w:pPr>
        <w:pStyle w:val="StandardWeb"/>
      </w:pPr>
      <w:r>
        <w:rPr>
          <w:rStyle w:val="kleinschrift"/>
        </w:rPr>
        <w:t>2</w:t>
      </w:r>
      <w:r>
        <w:t>Werden bei der Bemessung des Vergleichsentgelts</w:t>
      </w:r>
    </w:p>
    <w:p w:rsidR="00BE1EFE" w:rsidRDefault="00BE1EFE">
      <w:pPr>
        <w:pStyle w:val="StandardWeb"/>
      </w:pPr>
      <w:r>
        <w:t>– ein höherer Ortszuschlag als der der Stufe 1</w:t>
      </w:r>
    </w:p>
    <w:p w:rsidR="00BE1EFE" w:rsidRDefault="00BE1EFE">
      <w:pPr>
        <w:pStyle w:val="StandardWeb"/>
      </w:pPr>
      <w:r>
        <w:t xml:space="preserve">– bei bisherigen Beschäftigten der </w:t>
      </w:r>
      <w:hyperlink r:id="rId1311" w:history="1">
        <w:r w:rsidRPr="002D1F1D">
          <w:rPr>
            <w:rStyle w:val="Hyperlink"/>
          </w:rPr>
          <w:t>Vergütungsgruppe V b</w:t>
        </w:r>
      </w:hyperlink>
      <w:r>
        <w:t xml:space="preserve"> ohne Anspruch auf Vergütungs</w:t>
      </w:r>
      <w:r>
        <w:softHyphen/>
        <w:t>gruppenzulage (</w:t>
      </w:r>
      <w:hyperlink r:id="rId1312" w:history="1">
        <w:r w:rsidRPr="002D1F1D">
          <w:rPr>
            <w:rStyle w:val="Hyperlink"/>
          </w:rPr>
          <w:t>§ 9 ABD Teil A, 3.</w:t>
        </w:r>
      </w:hyperlink>
      <w:r>
        <w:t xml:space="preserve">) und/oder persönliche Zulage nach </w:t>
      </w:r>
      <w:hyperlink r:id="rId1313" w:history="1">
        <w:r w:rsidRPr="002D1F1D">
          <w:rPr>
            <w:rStyle w:val="Hyperlink"/>
          </w:rPr>
          <w:t>§§ 10</w:t>
        </w:r>
      </w:hyperlink>
      <w:r>
        <w:t xml:space="preserve">, </w:t>
      </w:r>
      <w:hyperlink r:id="rId1314" w:history="1">
        <w:r>
          <w:rPr>
            <w:rStyle w:val="Hyperlink"/>
          </w:rPr>
          <w:t>18 ABD Teil A, </w:t>
        </w:r>
        <w:r w:rsidRPr="002D1F1D">
          <w:rPr>
            <w:rStyle w:val="Hyperlink"/>
          </w:rPr>
          <w:t>3.</w:t>
        </w:r>
      </w:hyperlink>
      <w:r>
        <w:t xml:space="preserve">, </w:t>
      </w:r>
      <w:hyperlink r:id="rId1315" w:history="1">
        <w:r w:rsidRPr="002D1F1D">
          <w:rPr>
            <w:rStyle w:val="Hyperlink"/>
          </w:rPr>
          <w:t>§ 14 ABD Teil A, 1.</w:t>
        </w:r>
      </w:hyperlink>
      <w:r>
        <w:t xml:space="preserve"> eine Lebensaltersstufe nach vollendetem 43. Lebensjahr berück</w:t>
      </w:r>
      <w:r>
        <w:softHyphen/>
        <w:t>sichtigt, ist die am 30. September 2005 zustehende ergänzende Leistung weiterzugewähren.</w:t>
      </w:r>
    </w:p>
    <w:p w:rsidR="00BE1EFE" w:rsidRDefault="00BE1EFE">
      <w:pPr>
        <w:pStyle w:val="StandardWeb"/>
      </w:pPr>
    </w:p>
    <w:p w:rsidR="00BE1EFE" w:rsidRDefault="00BE1EFE">
      <w:pPr>
        <w:pStyle w:val="StandardWeb"/>
      </w:pPr>
      <w:r>
        <w:t>(2) </w:t>
      </w:r>
      <w:r>
        <w:rPr>
          <w:rStyle w:val="kleinschrift"/>
        </w:rPr>
        <w:t>1</w:t>
      </w:r>
      <w:r>
        <w:t xml:space="preserve">Sobald die nächste reguläre Stufe nach den Bestimmungen des ABD Teil </w:t>
      </w:r>
      <w:hyperlink r:id="rId1316" w:history="1">
        <w:r w:rsidRPr="002D1F1D">
          <w:rPr>
            <w:rStyle w:val="Hyperlink"/>
          </w:rPr>
          <w:t>A, 3.</w:t>
        </w:r>
      </w:hyperlink>
      <w:r>
        <w:t xml:space="preserve"> bzw. ABD Teil </w:t>
      </w:r>
      <w:hyperlink r:id="rId1317" w:history="1">
        <w:r w:rsidRPr="002D1F1D">
          <w:rPr>
            <w:rStyle w:val="Hyperlink"/>
          </w:rPr>
          <w:t>A, 1.</w:t>
        </w:r>
      </w:hyperlink>
      <w:r>
        <w:t xml:space="preserve"> zusteht und/oder eine nach Absatz 1 Satz 1 zu berücksichtigende Zulage gewährt wird, ist der jeweilige Grenzbetrag den Bezügen nach </w:t>
      </w:r>
      <w:hyperlink r:id="rId1318" w:history="1">
        <w:r w:rsidRPr="002D1F1D">
          <w:rPr>
            <w:rStyle w:val="Hyperlink"/>
          </w:rPr>
          <w:t>§ 2 Absatz 3 Satz 1 Buchstabe a</w:t>
        </w:r>
      </w:hyperlink>
      <w:r>
        <w:t xml:space="preserve"> bzw. nach Absatz 1 Satz 1 gegenüberzustellen. </w:t>
      </w:r>
      <w:r>
        <w:rPr>
          <w:rStyle w:val="kleinschrift"/>
        </w:rPr>
        <w:t>2</w:t>
      </w:r>
      <w:r>
        <w:t xml:space="preserve">Ein sich dadurch ggf. ergebender Einkommensverlust wird durch die Zahlung einer Besitzstandszulage ausgeglichen. </w:t>
      </w:r>
      <w:r>
        <w:rPr>
          <w:rStyle w:val="kleinschrift"/>
        </w:rPr>
        <w:t>3</w:t>
      </w:r>
      <w:r>
        <w:t>Auf diese Zulage sind künftige Erhöhungen des Entgelts durch</w:t>
      </w:r>
    </w:p>
    <w:p w:rsidR="00BE1EFE" w:rsidRDefault="00BE1EFE">
      <w:pPr>
        <w:pStyle w:val="StandardWeb"/>
      </w:pPr>
      <w:r>
        <w:t xml:space="preserve">höhere Eingruppierung einschließlich Garantiebetrag nach </w:t>
      </w:r>
      <w:hyperlink r:id="rId1319" w:history="1">
        <w:r w:rsidRPr="002D1F1D">
          <w:rPr>
            <w:rStyle w:val="Hyperlink"/>
          </w:rPr>
          <w:t>§ 17 Absatz 4 ABD Teil A, 1.</w:t>
        </w:r>
      </w:hyperlink>
    </w:p>
    <w:p w:rsidR="00BE1EFE" w:rsidRDefault="00BE1EFE">
      <w:pPr>
        <w:pStyle w:val="StandardWeb"/>
      </w:pPr>
      <w:r>
        <w:t xml:space="preserve">Bewährungs- und Fallgruppenaufstiege gemäß </w:t>
      </w:r>
      <w:hyperlink r:id="rId1320" w:history="1">
        <w:r w:rsidRPr="002D1F1D">
          <w:rPr>
            <w:rStyle w:val="Hyperlink"/>
          </w:rPr>
          <w:t>§ 8 ABD Teil A, 3.</w:t>
        </w:r>
      </w:hyperlink>
    </w:p>
    <w:p w:rsidR="00BE1EFE" w:rsidRDefault="00BE1EFE">
      <w:pPr>
        <w:pStyle w:val="StandardWeb"/>
      </w:pPr>
      <w:r>
        <w:t xml:space="preserve">Zahlung von Vergütungsgruppenzulagen gemäß </w:t>
      </w:r>
      <w:hyperlink r:id="rId1321" w:history="1">
        <w:r w:rsidRPr="002D1F1D">
          <w:rPr>
            <w:rStyle w:val="Hyperlink"/>
          </w:rPr>
          <w:t>§ 9 ABD Teil A, 3.</w:t>
        </w:r>
      </w:hyperlink>
    </w:p>
    <w:p w:rsidR="00BE1EFE" w:rsidRDefault="00BE1EFE">
      <w:pPr>
        <w:pStyle w:val="StandardWeb"/>
      </w:pPr>
      <w:r>
        <w:t>Aufsteigen in eine höhere Stufe und</w:t>
      </w:r>
    </w:p>
    <w:p w:rsidR="00BE1EFE" w:rsidRDefault="00BE1EFE">
      <w:pPr>
        <w:pStyle w:val="StandardWeb"/>
      </w:pPr>
      <w:r>
        <w:t xml:space="preserve">– die Gewährung eines Strukturausgleichs gemäß </w:t>
      </w:r>
      <w:hyperlink r:id="rId1322" w:history="1">
        <w:r w:rsidRPr="002D1F1D">
          <w:rPr>
            <w:rStyle w:val="Hyperlink"/>
          </w:rPr>
          <w:t>§ 12 ABD Teil A, 3.</w:t>
        </w:r>
      </w:hyperlink>
    </w:p>
    <w:p w:rsidR="00BE1EFE" w:rsidRDefault="00BE1EFE">
      <w:pPr>
        <w:pStyle w:val="StandardWeb"/>
      </w:pPr>
      <w:r>
        <w:t xml:space="preserve">– Gewährung einer Zulage nach </w:t>
      </w:r>
      <w:hyperlink r:id="rId1323" w:history="1">
        <w:r w:rsidRPr="002D1F1D">
          <w:rPr>
            <w:rStyle w:val="Hyperlink"/>
          </w:rPr>
          <w:t>Protokollnotiz zu § 6</w:t>
        </w:r>
      </w:hyperlink>
      <w:r>
        <w:t xml:space="preserve">, </w:t>
      </w:r>
      <w:hyperlink r:id="rId1324" w:history="1">
        <w:r w:rsidRPr="002D1F1D">
          <w:rPr>
            <w:rStyle w:val="Hyperlink"/>
          </w:rPr>
          <w:t>§§ 10</w:t>
        </w:r>
      </w:hyperlink>
      <w:r>
        <w:t xml:space="preserve">, </w:t>
      </w:r>
      <w:hyperlink r:id="rId1325" w:history="1">
        <w:r w:rsidRPr="002D1F1D">
          <w:rPr>
            <w:rStyle w:val="Hyperlink"/>
          </w:rPr>
          <w:t>17 Absatz 8</w:t>
        </w:r>
      </w:hyperlink>
      <w:r>
        <w:t xml:space="preserve">, </w:t>
      </w:r>
      <w:hyperlink r:id="rId1326" w:history="1">
        <w:r w:rsidRPr="002D1F1D">
          <w:rPr>
            <w:rStyle w:val="Hyperlink"/>
          </w:rPr>
          <w:t>18 ABD Teil A, 3.</w:t>
        </w:r>
      </w:hyperlink>
      <w:r>
        <w:t xml:space="preserve">, </w:t>
      </w:r>
      <w:hyperlink r:id="rId1327" w:history="1">
        <w:r w:rsidRPr="002D1F1D">
          <w:rPr>
            <w:rStyle w:val="Hyperlink"/>
          </w:rPr>
          <w:t>§§ 14</w:t>
        </w:r>
      </w:hyperlink>
      <w:r>
        <w:t xml:space="preserve">, </w:t>
      </w:r>
      <w:hyperlink r:id="rId1328" w:history="1">
        <w:r w:rsidRPr="002D1F1D">
          <w:rPr>
            <w:rStyle w:val="Hyperlink"/>
          </w:rPr>
          <w:t>14a</w:t>
        </w:r>
      </w:hyperlink>
      <w:r>
        <w:t xml:space="preserve">, </w:t>
      </w:r>
      <w:hyperlink r:id="rId1329" w:history="1">
        <w:r w:rsidRPr="002D1F1D">
          <w:rPr>
            <w:rStyle w:val="Hyperlink"/>
          </w:rPr>
          <w:t>31 Absatz 3</w:t>
        </w:r>
      </w:hyperlink>
      <w:r>
        <w:t xml:space="preserve">, </w:t>
      </w:r>
      <w:hyperlink r:id="rId1330" w:history="1">
        <w:r w:rsidRPr="002D1F1D">
          <w:rPr>
            <w:rStyle w:val="Hyperlink"/>
          </w:rPr>
          <w:t>32 Absatz 3 ABD Teil A, 1.</w:t>
        </w:r>
      </w:hyperlink>
    </w:p>
    <w:p w:rsidR="00BE1EFE" w:rsidRDefault="00BE1EFE">
      <w:pPr>
        <w:pStyle w:val="StandardWeb"/>
      </w:pPr>
      <w:r>
        <w:t xml:space="preserve">in vollem Umfang anzurechnen. </w:t>
      </w:r>
      <w:r>
        <w:rPr>
          <w:rStyle w:val="kleinschrift"/>
        </w:rPr>
        <w:t>4</w:t>
      </w:r>
      <w:r>
        <w:t>Die Zulage vermindert sich außerdem um die Hälfte des Erhöhungsbetrages künftiger linearer Entgelterhöhungen.</w:t>
      </w:r>
    </w:p>
    <w:p w:rsidR="00BE1EFE" w:rsidRDefault="00BE1EFE">
      <w:pPr>
        <w:pStyle w:val="StandardWeb"/>
      </w:pPr>
      <w:r>
        <w:rPr>
          <w:sz w:val="12"/>
          <w:szCs w:val="12"/>
        </w:rPr>
        <w:t>Anmerkung zu Absatz 2:</w:t>
      </w:r>
    </w:p>
    <w:p w:rsidR="00BE1EFE" w:rsidRDefault="00BE1EFE">
      <w:pPr>
        <w:pStyle w:val="StandardWeb"/>
      </w:pPr>
      <w:r>
        <w:rPr>
          <w:sz w:val="12"/>
          <w:szCs w:val="12"/>
        </w:rPr>
        <w:t>Für Beschäftigte, die sich bereits in einer individuellen Endstufe ihrer Entgeltgruppe befinden, gilt Absatz 2 mit der Maßgabe, dass ab 1. Oktober 2007 statt des Tabellenentgelts das Vergleichsentgelt nach Absatz 1 Satz 1 zzgl. der weiteren Bezüge</w:t>
      </w:r>
      <w:r>
        <w:rPr>
          <w:sz w:val="12"/>
          <w:szCs w:val="12"/>
        </w:rPr>
        <w:softHyphen/>
        <w:t xml:space="preserve">bestandteile nach </w:t>
      </w:r>
      <w:hyperlink r:id="rId1331" w:history="1">
        <w:r w:rsidRPr="002D1F1D">
          <w:rPr>
            <w:rStyle w:val="Hyperlink"/>
            <w:sz w:val="12"/>
            <w:szCs w:val="12"/>
          </w:rPr>
          <w:t>§ 2 Absatz 3 Satz 1 Buchstabe a</w:t>
        </w:r>
      </w:hyperlink>
      <w:r>
        <w:rPr>
          <w:sz w:val="12"/>
          <w:szCs w:val="12"/>
        </w:rPr>
        <w:t xml:space="preserve"> den jeweiligen Grenzbeträgen gegenüberzustellen ist.</w:t>
      </w:r>
    </w:p>
    <w:p w:rsidR="00BE1EFE" w:rsidRDefault="00BE1EFE">
      <w:pPr>
        <w:pStyle w:val="StandardWeb"/>
      </w:pPr>
      <w:r>
        <w:rPr>
          <w:sz w:val="12"/>
          <w:szCs w:val="12"/>
        </w:rPr>
        <w:t xml:space="preserve">Bei Wiedereinstellung nach der Anmerkung zu </w:t>
      </w:r>
      <w:hyperlink r:id="rId1332" w:history="1">
        <w:r w:rsidRPr="002D1F1D">
          <w:rPr>
            <w:rStyle w:val="Hyperlink"/>
            <w:sz w:val="12"/>
            <w:szCs w:val="12"/>
          </w:rPr>
          <w:t>§ 1 Absatz 1 Satz 1 ABD Teil A, 3.</w:t>
        </w:r>
      </w:hyperlink>
      <w:r>
        <w:rPr>
          <w:sz w:val="12"/>
          <w:szCs w:val="12"/>
        </w:rPr>
        <w:t xml:space="preserve"> lebt der Anspruch auf die ergänzende Leistung – ggf. unter Berücksichtigung zwischenzeitlicher Verminderungen der ergänzenden Leistung – wieder auf.</w:t>
      </w:r>
    </w:p>
    <w:p w:rsidR="00BE1EFE" w:rsidRDefault="00BE1EFE">
      <w:pPr>
        <w:pStyle w:val="StandardWeb"/>
      </w:pPr>
    </w:p>
    <w:p w:rsidR="00BE1EFE" w:rsidRDefault="00BE1EFE">
      <w:pPr>
        <w:pStyle w:val="StandardWeb"/>
      </w:pPr>
      <w:r>
        <w:t>(3) </w:t>
      </w:r>
      <w:hyperlink r:id="rId1333" w:history="1">
        <w:r w:rsidRPr="002D1F1D">
          <w:rPr>
            <w:rStyle w:val="Hyperlink"/>
          </w:rPr>
          <w:t>§ 4</w:t>
        </w:r>
      </w:hyperlink>
      <w:r>
        <w:t xml:space="preserve"> dieser Regelung und </w:t>
      </w:r>
      <w:hyperlink r:id="rId1334" w:history="1">
        <w:r w:rsidRPr="002D1F1D">
          <w:rPr>
            <w:rStyle w:val="Hyperlink"/>
          </w:rPr>
          <w:t>§ 24 Absatz 2</w:t>
        </w:r>
      </w:hyperlink>
      <w:r>
        <w:t xml:space="preserve"> und 4 ABD Teil A, 1. gelten für diese ergänzende Leistung entsprechend.</w:t>
      </w:r>
    </w:p>
    <w:p w:rsidR="00BE1EFE" w:rsidRDefault="00BE1EFE">
      <w:pPr>
        <w:pStyle w:val="StandardWeb"/>
      </w:pPr>
    </w:p>
    <w:p w:rsidR="00BE1EFE" w:rsidRDefault="00BE1EFE">
      <w:pPr>
        <w:pStyle w:val="StandardWeb"/>
      </w:pPr>
      <w:r>
        <w:lastRenderedPageBreak/>
        <w:t>(4) </w:t>
      </w:r>
      <w:r>
        <w:rPr>
          <w:rStyle w:val="kleinschrift"/>
        </w:rPr>
        <w:t>1</w:t>
      </w:r>
      <w:r>
        <w:t xml:space="preserve">Unberührt von Absatz 1 bleibt der Anspruch auf die ergänzende Leistung nach den §§ 1 bis 4 dieser Regelung. </w:t>
      </w:r>
      <w:r>
        <w:rPr>
          <w:rStyle w:val="kleinschrift"/>
        </w:rPr>
        <w:t>2</w:t>
      </w:r>
      <w:r>
        <w:t>Eine nach diesen Bestimmungen tatsächlich gewährte ergänzende Leistung wird auf die ergänzende Leistung nach Absatz 1 angerechnet.</w:t>
      </w:r>
    </w:p>
    <w:p w:rsidR="00BE1EFE" w:rsidRDefault="00BE1EFE" w:rsidP="005B409E">
      <w:pPr>
        <w:pStyle w:val="berschrift5"/>
        <w:spacing w:before="120" w:after="120"/>
      </w:pPr>
      <w:bookmarkStart w:id="987" w:name="_Toc523926508"/>
      <w:r>
        <w:t>§ 6 Änderungen, Außer-Kraft-Treten</w:t>
      </w:r>
      <w:bookmarkEnd w:id="987"/>
    </w:p>
    <w:p w:rsidR="00BE1EFE" w:rsidRPr="00B76821" w:rsidRDefault="00BE1EFE" w:rsidP="00B76821">
      <w:pPr>
        <w:pStyle w:val="berschrift6"/>
        <w:keepNext w:val="0"/>
        <w:spacing w:before="0" w:after="0"/>
        <w:rPr>
          <w:sz w:val="2"/>
        </w:rPr>
      </w:pPr>
    </w:p>
    <w:p w:rsidR="00BE1EFE" w:rsidRPr="000B1AF8" w:rsidRDefault="00BE1EFE">
      <w:pPr>
        <w:pStyle w:val="StandardWeb"/>
      </w:pPr>
      <w:r>
        <w:t>(1) Diese Regelung wird zum gleichen Zeitpunkt geändert oder tritt außer Kraft, wenn der ihr dem Grunde nach entsprechende „Tarifvertrag über eine ergänzende Leistung an Arbeitnehmerinnen, Arbeitnehmer und Auszubildende des Freistaates Bayern“ (TV-EL) im Umfang oder in den Bedingungen geändert wird oder nach einer Kündigung außer Kraft tritt.</w:t>
      </w:r>
    </w:p>
    <w:p w:rsidR="00BE1EFE" w:rsidRPr="000B1AF8" w:rsidRDefault="00BE1EFE">
      <w:pPr>
        <w:pStyle w:val="StandardWeb"/>
      </w:pPr>
    </w:p>
    <w:p w:rsidR="00BE1EFE" w:rsidRDefault="00BE1EFE">
      <w:pPr>
        <w:pStyle w:val="StandardWeb"/>
      </w:pPr>
      <w:r>
        <w:t>(2) Soweit sich diese Regelung an der örtlichen Tarifvereinbarung der Landeshauptstadt München orientiert (Beträge der ergänzenden Leistung und ergänzende Leistung Kinder) wird sie zum gleichen Zeitpunkt geändert oder tritt in diesen Punkten außer Kraft, zu denen die Regelung der Stadt München geändert wird oder außer Kraft tritt. Unter Berücksichtigung des Absatzes 1 gilt ab diesem Zeitpunkt die an der Regelung des TV-EL im Umfang und in den Bedingungen orientierte Regelung wieder vollumfänglich.</w:t>
      </w:r>
    </w:p>
    <w:p w:rsidR="00BE1EFE" w:rsidRDefault="00BE1EFE">
      <w:pPr>
        <w:pStyle w:val="StandardWeb"/>
      </w:pPr>
      <w:r>
        <w:br w:type="page"/>
      </w:r>
    </w:p>
    <w:p w:rsidR="00BE1EFE" w:rsidRDefault="00BE1EFE" w:rsidP="00E87479">
      <w:pPr>
        <w:pStyle w:val="berschrift4"/>
        <w:spacing w:before="0"/>
      </w:pPr>
      <w:bookmarkStart w:id="988" w:name="_Toc523926509"/>
      <w:r>
        <w:lastRenderedPageBreak/>
        <w:t>D, 9. Reisekostenordnung der bayerischen Diözesen</w:t>
      </w:r>
      <w:bookmarkEnd w:id="988"/>
    </w:p>
    <w:p w:rsidR="00BE1EFE" w:rsidRPr="00BE165D" w:rsidRDefault="00BE1EFE" w:rsidP="005B409E">
      <w:pPr>
        <w:pStyle w:val="berschrift5"/>
        <w:spacing w:before="120" w:after="120"/>
        <w:rPr>
          <w:lang w:eastAsia="x-none"/>
        </w:rPr>
      </w:pPr>
      <w:bookmarkStart w:id="989" w:name="_Toc523926510"/>
      <w:r>
        <w:t>Präambel</w:t>
      </w:r>
      <w:bookmarkEnd w:id="989"/>
    </w:p>
    <w:p w:rsidR="00BE1EFE" w:rsidRPr="00B76821" w:rsidRDefault="00BE1EFE" w:rsidP="00B76821">
      <w:pPr>
        <w:pStyle w:val="berschrift6"/>
        <w:keepNext w:val="0"/>
        <w:spacing w:before="0" w:after="0"/>
        <w:rPr>
          <w:sz w:val="2"/>
        </w:rPr>
      </w:pPr>
    </w:p>
    <w:p w:rsidR="00BE1EFE" w:rsidRDefault="00BE1EFE" w:rsidP="00BE165D">
      <w:pPr>
        <w:pStyle w:val="StandardWeb"/>
      </w:pPr>
      <w:r>
        <w:t>Die Reisekostenordnung der bayerischen Diözesen entspricht dem Grund und der Höhe nach vollumfänglich den reisekostenrechtlichen Vorschriften des Bayerischen Gesetzes über die Reisekostenvergütung der Beamten und Richter (</w:t>
      </w:r>
      <w:hyperlink r:id="rId1335" w:history="1">
        <w:r w:rsidRPr="00C6017F">
          <w:rPr>
            <w:rStyle w:val="Hyperlink"/>
          </w:rPr>
          <w:t>Bayerisches Reisekostengesetz - BayRKG</w:t>
        </w:r>
      </w:hyperlink>
      <w:r>
        <w:t>) vom 24. April 2001 (letzte berücksichtigte Änderung: 22.07.2014).</w:t>
      </w:r>
    </w:p>
    <w:p w:rsidR="00BE1EFE" w:rsidRDefault="00BE1EFE" w:rsidP="00BE165D">
      <w:pPr>
        <w:pStyle w:val="StandardWeb"/>
      </w:pPr>
      <w:r w:rsidRPr="000E245D">
        <w:t xml:space="preserve">Entsprechende Anwendung finden ferner die auf Grund des </w:t>
      </w:r>
      <w:hyperlink r:id="rId1336" w:history="1">
        <w:r w:rsidRPr="000E245D">
          <w:rPr>
            <w:rStyle w:val="Hyperlink"/>
          </w:rPr>
          <w:t>Art. 25 BayRKG</w:t>
        </w:r>
      </w:hyperlink>
      <w:r w:rsidRPr="000E245D">
        <w:t xml:space="preserve"> durch das Bayerische Staatsministerium der Finanzen, für Landesentwicklung und Heimat erlassenen Rechtsverordnungen und allgemeinen Verwaltungsvorschriften in ihrer jeweiligen, auch ergänzenden, ändernden oder ersetzenden Fassung.</w:t>
      </w:r>
    </w:p>
    <w:p w:rsidR="00BE1EFE" w:rsidRPr="007E54CD" w:rsidRDefault="00BE1EFE" w:rsidP="00196B04">
      <w:pPr>
        <w:pStyle w:val="berschrift5"/>
        <w:rPr>
          <w:lang w:eastAsia="x-none"/>
        </w:rPr>
      </w:pPr>
      <w:bookmarkStart w:id="990" w:name="_Toc523926511"/>
      <w:r>
        <w:t>Abschnitt I</w:t>
      </w:r>
      <w:r>
        <w:rPr>
          <w:lang w:eastAsia="x-none"/>
        </w:rPr>
        <w:t xml:space="preserve">: </w:t>
      </w:r>
      <w:r>
        <w:t>Allgemeines</w:t>
      </w:r>
      <w:r>
        <w:rPr>
          <w:lang w:eastAsia="x-none"/>
        </w:rPr>
        <w:t xml:space="preserve"> (§ 1)</w:t>
      </w:r>
      <w:bookmarkEnd w:id="990"/>
    </w:p>
    <w:p w:rsidR="00BE1EFE" w:rsidRDefault="00BE1EFE" w:rsidP="005B409E">
      <w:pPr>
        <w:pStyle w:val="berschrift6"/>
        <w:spacing w:before="120" w:after="120"/>
      </w:pPr>
      <w:bookmarkStart w:id="991" w:name="_Toc523926512"/>
      <w:r>
        <w:t>§ 1</w:t>
      </w:r>
      <w:r>
        <w:rPr>
          <w:lang w:eastAsia="x-none"/>
        </w:rPr>
        <w:t xml:space="preserve"> </w:t>
      </w:r>
      <w:r>
        <w:t>Geltungsbereich</w:t>
      </w:r>
      <w:bookmarkEnd w:id="991"/>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 (1) Diese Ordnung regelt die Erstattung von Auslagen für Dienstreisen und Dienstgänge (Reisekostenvergütung) für Beschäftigte im Geltungsbereich des Arbeitsvertragsrechts der bayerischen Diözesen (ABD).</w:t>
      </w:r>
    </w:p>
    <w:p w:rsidR="00BE1EFE" w:rsidRDefault="00BE1EFE" w:rsidP="00BE165D">
      <w:pPr>
        <w:pStyle w:val="StandardWeb"/>
      </w:pPr>
    </w:p>
    <w:p w:rsidR="00BE1EFE" w:rsidRDefault="00BE1EFE" w:rsidP="00BE165D">
      <w:pPr>
        <w:pStyle w:val="StandardWeb"/>
      </w:pPr>
      <w:r>
        <w:t>(2) Diese Ordnung regelt ferner die Erstattung von</w:t>
      </w:r>
    </w:p>
    <w:p w:rsidR="00BE1EFE" w:rsidRDefault="00BE1EFE" w:rsidP="00BE165D">
      <w:pPr>
        <w:pStyle w:val="StandardWeb"/>
      </w:pPr>
      <w:r>
        <w:t xml:space="preserve">1. Auslagen aus Anlass der Abordnung (Trennungsgeld, </w:t>
      </w:r>
      <w:hyperlink r:id="rId1337" w:history="1">
        <w:r w:rsidRPr="0028275C">
          <w:rPr>
            <w:rStyle w:val="Hyperlink"/>
          </w:rPr>
          <w:t>§ 23</w:t>
        </w:r>
      </w:hyperlink>
      <w:r>
        <w:t>),</w:t>
      </w:r>
    </w:p>
    <w:p w:rsidR="00BE1EFE" w:rsidRDefault="00BE1EFE" w:rsidP="00BE165D">
      <w:pPr>
        <w:pStyle w:val="StandardWeb"/>
      </w:pPr>
      <w:r>
        <w:t xml:space="preserve">2. Auslagen für Reisen aus Anlass der Einstellung, einer Versetzung, Abordnung oder Aufhebung einer Abordnung </w:t>
      </w:r>
      <w:hyperlink r:id="rId1338" w:history="1">
        <w:r w:rsidRPr="0028275C">
          <w:rPr>
            <w:rStyle w:val="Hyperlink"/>
          </w:rPr>
          <w:t>(§ 14 Absätze 1 und 2</w:t>
        </w:r>
      </w:hyperlink>
      <w:r>
        <w:t>),</w:t>
      </w:r>
    </w:p>
    <w:p w:rsidR="00BE1EFE" w:rsidRDefault="00BE1EFE" w:rsidP="00BE165D">
      <w:pPr>
        <w:pStyle w:val="StandardWeb"/>
      </w:pPr>
      <w:r>
        <w:t xml:space="preserve">3. Auslagen für Aus- und Fortbildungsreisen </w:t>
      </w:r>
      <w:hyperlink r:id="rId1339" w:history="1">
        <w:r w:rsidRPr="00CB796F">
          <w:rPr>
            <w:rStyle w:val="Hyperlink"/>
          </w:rPr>
          <w:t>(§ 24 Absätze 1 bis 3</w:t>
        </w:r>
      </w:hyperlink>
      <w:r>
        <w:t>) und</w:t>
      </w:r>
    </w:p>
    <w:p w:rsidR="00BE1EFE" w:rsidRDefault="00BE1EFE" w:rsidP="00BE165D">
      <w:pPr>
        <w:pStyle w:val="StandardWeb"/>
      </w:pPr>
      <w:r>
        <w:t xml:space="preserve">4. Fahrkosten für Fahrten zwischen Wohnung und Dienststätte aus besonderem dienstlichem Anlass </w:t>
      </w:r>
      <w:hyperlink r:id="rId1340" w:history="1">
        <w:r w:rsidRPr="00CB796F">
          <w:rPr>
            <w:rStyle w:val="Hyperlink"/>
          </w:rPr>
          <w:t>(§ 24 Absatz 4</w:t>
        </w:r>
      </w:hyperlink>
      <w:r>
        <w:t>).</w:t>
      </w:r>
    </w:p>
    <w:p w:rsidR="00BE1EFE" w:rsidRPr="007E54CD" w:rsidRDefault="00BE1EFE" w:rsidP="00196B04">
      <w:pPr>
        <w:pStyle w:val="berschrift5"/>
        <w:rPr>
          <w:lang w:eastAsia="x-none"/>
        </w:rPr>
      </w:pPr>
      <w:bookmarkStart w:id="992" w:name="_Toc523926513"/>
      <w:r>
        <w:t>Abschnitt II</w:t>
      </w:r>
      <w:r>
        <w:rPr>
          <w:lang w:eastAsia="x-none"/>
        </w:rPr>
        <w:t xml:space="preserve">: </w:t>
      </w:r>
      <w:r>
        <w:t>Reisekostenvergütung</w:t>
      </w:r>
      <w:r>
        <w:rPr>
          <w:lang w:eastAsia="x-none"/>
        </w:rPr>
        <w:t xml:space="preserve"> (§§ 2-22)</w:t>
      </w:r>
      <w:bookmarkEnd w:id="992"/>
    </w:p>
    <w:p w:rsidR="00BE1EFE" w:rsidRPr="00AA6462" w:rsidRDefault="00BE1EFE" w:rsidP="005B409E">
      <w:pPr>
        <w:pStyle w:val="berschrift6"/>
        <w:spacing w:before="120" w:after="120"/>
        <w:rPr>
          <w:lang w:eastAsia="x-none"/>
        </w:rPr>
      </w:pPr>
      <w:bookmarkStart w:id="993" w:name="_Toc523926514"/>
      <w:r>
        <w:t>§ 2</w:t>
      </w:r>
      <w:r>
        <w:rPr>
          <w:lang w:eastAsia="x-none"/>
        </w:rPr>
        <w:t xml:space="preserve"> </w:t>
      </w:r>
      <w:r>
        <w:t>Begriffsbestimmungen</w:t>
      </w:r>
      <w:bookmarkEnd w:id="993"/>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(1) Dienstreisende im Sinn dieser Ordnung sind die in </w:t>
      </w:r>
      <w:hyperlink r:id="rId1341" w:history="1">
        <w:r w:rsidRPr="00CB796F">
          <w:rPr>
            <w:rStyle w:val="Hyperlink"/>
          </w:rPr>
          <w:t>§ 1 Absatz 1</w:t>
        </w:r>
      </w:hyperlink>
      <w:r>
        <w:t xml:space="preserve"> genannten Beschäftigen, die eine Dienstreise oder einen Dienstgang ausführen.</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Dienstreisen im Sinn dieser Ordnung sind Reisen zur Erledigung von Dienstgeschäften außerhalb des Dienstorts, die schriftlich oder elektronisch angeordnet oder genehmigt worden sind. </w:t>
      </w:r>
      <w:r w:rsidRPr="00AA6462">
        <w:rPr>
          <w:sz w:val="12"/>
          <w:szCs w:val="12"/>
        </w:rPr>
        <w:t>2</w:t>
      </w:r>
      <w:r>
        <w:t xml:space="preserve">Dienstort ist die Gemeinde, in der sich die Dienststelle befindet, bei der Dienstreisende ständig oder überwiegend Dienst zu leisten haben. </w:t>
      </w:r>
      <w:r w:rsidRPr="00AA6462">
        <w:rPr>
          <w:sz w:val="12"/>
          <w:szCs w:val="12"/>
        </w:rPr>
        <w:t>3</w:t>
      </w:r>
      <w:r>
        <w:t xml:space="preserve">Haben Dienstreisende keine Dienststelle im Sinn von Satz 2, gilt die Dienststelle, der Berechtigte organisatorisch zugeordnet sind, als Dienststelle im Sinn dieser Ordnung; dies gilt auch bei Tele- oder Wohnraumarbeit. </w:t>
      </w:r>
      <w:r w:rsidRPr="00AA6462">
        <w:rPr>
          <w:sz w:val="12"/>
          <w:szCs w:val="12"/>
        </w:rPr>
        <w:t>4</w:t>
      </w:r>
      <w:r>
        <w:t>Dienstreisen sind auch Reisen aus Anlass der Einstellung, einer Versetzung, Abordnung oder Aufhebung einer Abordnung sowie Reisen von einem dem vorübergehenden Aufenthalt dienenden Ort zum Dienstort, wenn im Übrigen die Voraussetzungen des Satzes 1 erfüllt sind.</w:t>
      </w:r>
    </w:p>
    <w:p w:rsidR="00BE1EFE" w:rsidRDefault="00BE1EFE" w:rsidP="00BE165D">
      <w:pPr>
        <w:pStyle w:val="StandardWeb"/>
      </w:pPr>
    </w:p>
    <w:p w:rsidR="00BE1EFE" w:rsidRDefault="00BE1EFE" w:rsidP="00BE165D">
      <w:pPr>
        <w:pStyle w:val="StandardWeb"/>
      </w:pPr>
      <w:r>
        <w:t>(3) Auslandsdienstreisen sind Dienstreisen zwischen Inland und Ausland sowie im Ausland.</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Dienstgänge im Sinn dieser Ordnung sind Gänge oder Fahrten am Dienst- oder Wohnort zur Erledigung von Dienstgeschäften außerhalb der Dienststätte, die angeordnet oder </w:t>
      </w:r>
      <w:r>
        <w:lastRenderedPageBreak/>
        <w:t xml:space="preserve">genehmigt worden sind. </w:t>
      </w:r>
      <w:r w:rsidRPr="00AA6462">
        <w:rPr>
          <w:sz w:val="12"/>
          <w:szCs w:val="12"/>
        </w:rPr>
        <w:t>2</w:t>
      </w:r>
      <w:r>
        <w:t>Dem Wohnort steht ein dem vorübergehenden Aufenthalt dienender Ort gleich.</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Der Anordnung oder Genehmigung einer Dienstreise oder eines Dienstgangs im Inland bedarf es nicht, wenn dies nach dem Amt bzw. Aufgabenbereich der/des Dienstreisenden oder nach dem Wesen des Dienstgeschäfts nicht in Betracht kommt. </w:t>
      </w:r>
      <w:r w:rsidRPr="00AA6462">
        <w:rPr>
          <w:sz w:val="12"/>
          <w:szCs w:val="12"/>
        </w:rPr>
        <w:t>2</w:t>
      </w:r>
      <w:r>
        <w:t>Entsprechendes gilt, wenn angeordnete dienstliche Aufträge oder festgelegte Einsatzpläne eine Dienstreise oder einen Dienstgang erforderlich machen.</w:t>
      </w:r>
    </w:p>
    <w:p w:rsidR="00BE1EFE" w:rsidRPr="00AA6462" w:rsidRDefault="00BE1EFE" w:rsidP="005B409E">
      <w:pPr>
        <w:pStyle w:val="berschrift6"/>
        <w:spacing w:before="120" w:after="120"/>
        <w:rPr>
          <w:lang w:eastAsia="x-none"/>
        </w:rPr>
      </w:pPr>
      <w:bookmarkStart w:id="994" w:name="_Toc523926515"/>
      <w:r>
        <w:t>§ 3</w:t>
      </w:r>
      <w:r>
        <w:rPr>
          <w:lang w:eastAsia="x-none"/>
        </w:rPr>
        <w:t xml:space="preserve"> </w:t>
      </w:r>
      <w:r>
        <w:t>Anspruch auf Reisekostenvergütung</w:t>
      </w:r>
      <w:bookmarkEnd w:id="994"/>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Dienstreisende haben Anspruch auf Reisekostenvergütung zur Abgeltung der dienstlich veranlassten Mehraufwendungen. </w:t>
      </w:r>
      <w:r w:rsidRPr="00AA6462">
        <w:rPr>
          <w:sz w:val="12"/>
          <w:szCs w:val="12"/>
        </w:rPr>
        <w:t>2</w:t>
      </w:r>
      <w:r>
        <w:t xml:space="preserve">Art und Umfang bestimmt ausschließlich diese Ordnung. </w:t>
      </w:r>
      <w:r w:rsidRPr="00AA6462">
        <w:rPr>
          <w:sz w:val="12"/>
          <w:szCs w:val="12"/>
        </w:rPr>
        <w:t>3</w:t>
      </w:r>
      <w:r>
        <w:t xml:space="preserve">Der Nachweis der Mehraufwendungen kann bis zum Ablauf eines halben Jahres nach Antragstellung von der für die Abrechnung zuständigen Stelle verlangt werden. </w:t>
      </w:r>
      <w:r w:rsidRPr="0023752A">
        <w:rPr>
          <w:sz w:val="12"/>
          <w:szCs w:val="12"/>
        </w:rPr>
        <w:t>4</w:t>
      </w:r>
      <w:r>
        <w:t>Werden Nachweise auf Anforderung nicht innerhalb von drei Monaten vorgelegt, kann der Antrag insoweit abgelehnt werden.</w:t>
      </w:r>
    </w:p>
    <w:p w:rsidR="00BE1EFE" w:rsidRDefault="00BE1EFE" w:rsidP="00BE165D">
      <w:pPr>
        <w:pStyle w:val="StandardWeb"/>
      </w:pPr>
    </w:p>
    <w:p w:rsidR="00BE1EFE" w:rsidRDefault="00BE1EFE" w:rsidP="00BE165D">
      <w:pPr>
        <w:pStyle w:val="StandardWeb"/>
      </w:pPr>
      <w:r>
        <w:t>(2) Reisekostenvergütung wird nur insoweit gewährt, als die Aufwendungen und die Dauer der Dienstreise oder des Dienstgangs zur Erledigung des Dienstgeschäfts notwendig waren.</w:t>
      </w:r>
    </w:p>
    <w:p w:rsidR="00BE1EFE" w:rsidRDefault="00BE1EFE" w:rsidP="00BE165D">
      <w:pPr>
        <w:pStyle w:val="StandardWeb"/>
      </w:pPr>
    </w:p>
    <w:p w:rsidR="00BE1EFE" w:rsidRDefault="00BE1EFE" w:rsidP="00BE165D">
      <w:pPr>
        <w:pStyle w:val="StandardWeb"/>
      </w:pPr>
      <w:r>
        <w:t>(3) </w:t>
      </w:r>
      <w:r w:rsidRPr="00AA6462">
        <w:rPr>
          <w:sz w:val="12"/>
          <w:szCs w:val="12"/>
        </w:rPr>
        <w:t>1</w:t>
      </w:r>
      <w:r>
        <w:t xml:space="preserve">Auf die Reisekostenvergütung sind Zuwendungen Dritter, die Dienstreisenden ihrer Funktion wegen für dieselbe Dienstreise oder denselben Dienstgang gewährt wurden, anzurechnen. </w:t>
      </w:r>
      <w:r w:rsidRPr="00AA6462">
        <w:rPr>
          <w:sz w:val="12"/>
          <w:szCs w:val="12"/>
        </w:rPr>
        <w:t>2</w:t>
      </w:r>
      <w:r w:rsidRPr="005B0D89">
        <w:t>§ 11</w:t>
      </w:r>
      <w:r>
        <w:t xml:space="preserve"> bleibt unberührt.</w:t>
      </w:r>
    </w:p>
    <w:p w:rsidR="00BE1EFE" w:rsidRDefault="00BE1EFE" w:rsidP="00BE165D">
      <w:pPr>
        <w:pStyle w:val="StandardWeb"/>
      </w:pPr>
    </w:p>
    <w:p w:rsidR="00BE1EFE" w:rsidRDefault="00BE1EFE" w:rsidP="00BE165D">
      <w:pPr>
        <w:pStyle w:val="StandardWeb"/>
      </w:pPr>
      <w:r>
        <w:t>(4) Bei Dienstreisen und Dienstgängen für eine auf Vorschlag oder Verlangen der zuständigen Dienststelle wahrgenommene Nebentätigkeit haben Dienstreisende nur insoweit Anspruch auf Reisekostenvergütung, als die Stelle, bei der die Nebentätigkeit ausgeübt wird, Auslagener</w:t>
      </w:r>
      <w:r>
        <w:softHyphen/>
        <w:t>stattung für dieselbe Dienstreise oder denselben Dienstgang nicht zu gewähren hat; dies gilt auch dann, wenn Dienstreisende auf ihren Anspruch gegen die Stelle verzichtet haben.</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Die Reisekostenvergütung ist innerhalb einer Ausschlussfrist von einem halben Jahr beim Arbeitgeber bzw. der zuständigen Stelle schriftlich oder elektronisch zu beantragen. </w:t>
      </w:r>
      <w:r w:rsidRPr="00AA6462">
        <w:rPr>
          <w:sz w:val="12"/>
          <w:szCs w:val="12"/>
        </w:rPr>
        <w:t>2</w:t>
      </w:r>
      <w:r>
        <w:t xml:space="preserve">Die Frist beginnt mit dem Tag nach Beendigung der Dienstreise oder des Dienstgangs, in den Fällen des </w:t>
      </w:r>
      <w:r w:rsidRPr="005B0D89">
        <w:t>§ 20</w:t>
      </w:r>
      <w:r>
        <w:t xml:space="preserve"> mit Ablauf des Tages, an dem den Dienstreisenden bekannt wird, dass die Dienstreise oder der Dienstgang nicht ausgeführt wird.</w:t>
      </w:r>
    </w:p>
    <w:p w:rsidR="00BE1EFE" w:rsidRDefault="00BE1EFE" w:rsidP="00BE165D">
      <w:pPr>
        <w:pStyle w:val="StandardWeb"/>
      </w:pPr>
    </w:p>
    <w:p w:rsidR="00BE1EFE" w:rsidRDefault="00BE1EFE" w:rsidP="00BE165D">
      <w:pPr>
        <w:pStyle w:val="StandardWeb"/>
      </w:pPr>
      <w:r>
        <w:t xml:space="preserve">(6) Auf Reisekostenvergütung und Kostenerstattung nach § </w:t>
      </w:r>
      <w:r w:rsidRPr="005B0D89">
        <w:t>1 Absatz 2</w:t>
      </w:r>
      <w:r>
        <w:t xml:space="preserve"> kann ganz oder teilweise verzichtet werden.</w:t>
      </w:r>
    </w:p>
    <w:p w:rsidR="00BE1EFE" w:rsidRDefault="00BE1EFE" w:rsidP="005B409E">
      <w:pPr>
        <w:pStyle w:val="berschrift6"/>
        <w:spacing w:before="120" w:after="120"/>
      </w:pPr>
      <w:bookmarkStart w:id="995" w:name="_Toc523926516"/>
      <w:r>
        <w:t>§ 4</w:t>
      </w:r>
      <w:r>
        <w:rPr>
          <w:lang w:eastAsia="x-none"/>
        </w:rPr>
        <w:t xml:space="preserve"> </w:t>
      </w:r>
      <w:r>
        <w:t>Art der Reisekostenvergütung</w:t>
      </w:r>
      <w:bookmarkEnd w:id="99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Die Reisekostenvergütung umfasst</w:t>
      </w:r>
    </w:p>
    <w:p w:rsidR="00BE1EFE" w:rsidRDefault="00BE1EFE" w:rsidP="00BE165D">
      <w:pPr>
        <w:pStyle w:val="StandardWeb"/>
      </w:pPr>
      <w:r>
        <w:t xml:space="preserve">1.  Fahrkostenerstattung </w:t>
      </w:r>
      <w:hyperlink r:id="rId1342" w:history="1">
        <w:r w:rsidRPr="00CB796F">
          <w:rPr>
            <w:rStyle w:val="Hyperlink"/>
          </w:rPr>
          <w:t>(§ 5</w:t>
        </w:r>
      </w:hyperlink>
      <w:r>
        <w:t>),</w:t>
      </w:r>
    </w:p>
    <w:p w:rsidR="00BE1EFE" w:rsidRDefault="00BE1EFE" w:rsidP="00BE165D">
      <w:pPr>
        <w:pStyle w:val="StandardWeb"/>
      </w:pPr>
      <w:r>
        <w:t>2.  Wegstrecken- und Mitnahmeentschädigung (</w:t>
      </w:r>
      <w:hyperlink r:id="rId1343" w:history="1">
        <w:r w:rsidRPr="00CB796F">
          <w:rPr>
            <w:rStyle w:val="Hyperlink"/>
          </w:rPr>
          <w:t>§ 6</w:t>
        </w:r>
      </w:hyperlink>
      <w:r>
        <w:t>),</w:t>
      </w:r>
    </w:p>
    <w:p w:rsidR="00BE1EFE" w:rsidRDefault="00BE1EFE" w:rsidP="00BE165D">
      <w:pPr>
        <w:pStyle w:val="StandardWeb"/>
      </w:pPr>
      <w:r>
        <w:t>3.  Tagegeld (</w:t>
      </w:r>
      <w:hyperlink r:id="rId1344" w:history="1">
        <w:r w:rsidRPr="00CB796F">
          <w:rPr>
            <w:rStyle w:val="Hyperlink"/>
          </w:rPr>
          <w:t>§ 8</w:t>
        </w:r>
      </w:hyperlink>
      <w:r>
        <w:t>),</w:t>
      </w:r>
    </w:p>
    <w:p w:rsidR="00BE1EFE" w:rsidRDefault="00BE1EFE" w:rsidP="00BE165D">
      <w:pPr>
        <w:pStyle w:val="StandardWeb"/>
      </w:pPr>
      <w:r>
        <w:t>4.  Übernachtungsgeld (</w:t>
      </w:r>
      <w:hyperlink r:id="rId1345" w:history="1">
        <w:r w:rsidRPr="00CB796F">
          <w:rPr>
            <w:rStyle w:val="Hyperlink"/>
          </w:rPr>
          <w:t>§ 9</w:t>
        </w:r>
      </w:hyperlink>
      <w:r>
        <w:t>),</w:t>
      </w:r>
    </w:p>
    <w:p w:rsidR="00BE1EFE" w:rsidRDefault="00BE1EFE" w:rsidP="00BE165D">
      <w:pPr>
        <w:pStyle w:val="StandardWeb"/>
      </w:pPr>
      <w:r>
        <w:t>5.  Erstattung der Auslagen bei längerem Aufenthalt am Geschäftsort (</w:t>
      </w:r>
      <w:hyperlink r:id="rId1346" w:history="1">
        <w:r w:rsidRPr="00CB796F">
          <w:rPr>
            <w:rStyle w:val="Hyperlink"/>
          </w:rPr>
          <w:t>§ 10</w:t>
        </w:r>
      </w:hyperlink>
      <w:r>
        <w:t>),</w:t>
      </w:r>
    </w:p>
    <w:p w:rsidR="00BE1EFE" w:rsidRDefault="00BE1EFE" w:rsidP="00BE165D">
      <w:pPr>
        <w:pStyle w:val="StandardWeb"/>
      </w:pPr>
      <w:r>
        <w:t>6.  Erstattung der Nebenkosten (</w:t>
      </w:r>
      <w:hyperlink r:id="rId1347" w:history="1">
        <w:r w:rsidRPr="00CB796F">
          <w:rPr>
            <w:rStyle w:val="Hyperlink"/>
          </w:rPr>
          <w:t>§ 12</w:t>
        </w:r>
      </w:hyperlink>
      <w:r>
        <w:t>),</w:t>
      </w:r>
    </w:p>
    <w:p w:rsidR="00BE1EFE" w:rsidRDefault="00BE1EFE" w:rsidP="00BE165D">
      <w:pPr>
        <w:pStyle w:val="StandardWeb"/>
      </w:pPr>
      <w:r>
        <w:t>7.  Erstattung der Auslagen bei Dienstreisen bis zu sechs Stunden Dauer und bei Dienstgängen (</w:t>
      </w:r>
      <w:hyperlink r:id="rId1348" w:history="1">
        <w:r w:rsidRPr="00CB796F">
          <w:rPr>
            <w:rStyle w:val="Hyperlink"/>
          </w:rPr>
          <w:t>§ 13</w:t>
        </w:r>
      </w:hyperlink>
      <w:r>
        <w:t>),</w:t>
      </w:r>
    </w:p>
    <w:p w:rsidR="00BE1EFE" w:rsidRDefault="00BE1EFE" w:rsidP="00BE165D">
      <w:pPr>
        <w:pStyle w:val="StandardWeb"/>
      </w:pPr>
      <w:r>
        <w:t>8.  Aufwandsvergütung (</w:t>
      </w:r>
      <w:hyperlink r:id="rId1349" w:history="1">
        <w:r w:rsidRPr="00CB796F">
          <w:rPr>
            <w:rStyle w:val="Hyperlink"/>
          </w:rPr>
          <w:t>§ 18</w:t>
        </w:r>
      </w:hyperlink>
      <w:r>
        <w:t>),</w:t>
      </w:r>
    </w:p>
    <w:p w:rsidR="00BE1EFE" w:rsidRDefault="00BE1EFE" w:rsidP="00BE165D">
      <w:pPr>
        <w:pStyle w:val="StandardWeb"/>
      </w:pPr>
      <w:r>
        <w:t>9.  Pauschvergütung (</w:t>
      </w:r>
      <w:hyperlink r:id="rId1350" w:history="1">
        <w:r w:rsidRPr="00CB796F">
          <w:rPr>
            <w:rStyle w:val="Hyperlink"/>
          </w:rPr>
          <w:t>§ 19</w:t>
        </w:r>
      </w:hyperlink>
      <w:r>
        <w:t>),</w:t>
      </w:r>
    </w:p>
    <w:p w:rsidR="00BE1EFE" w:rsidRDefault="00BE1EFE" w:rsidP="00BE165D">
      <w:pPr>
        <w:pStyle w:val="StandardWeb"/>
      </w:pPr>
      <w:r>
        <w:lastRenderedPageBreak/>
        <w:t>10. Erstattung der Auslagen für Reisevorbereitungen und bei vorzeitiger Beendigung des Dienstgeschäfts (</w:t>
      </w:r>
      <w:hyperlink r:id="rId1351" w:history="1">
        <w:r w:rsidRPr="00CB796F">
          <w:rPr>
            <w:rStyle w:val="Hyperlink"/>
          </w:rPr>
          <w:t>§ 20</w:t>
        </w:r>
      </w:hyperlink>
      <w:r>
        <w:t>).</w:t>
      </w:r>
    </w:p>
    <w:p w:rsidR="00BE1EFE" w:rsidRDefault="00BE1EFE" w:rsidP="005B409E">
      <w:pPr>
        <w:pStyle w:val="berschrift6"/>
        <w:spacing w:before="120" w:after="120"/>
      </w:pPr>
      <w:bookmarkStart w:id="996" w:name="_Toc523926517"/>
      <w:r>
        <w:t>§ 5 Fahrkostenerstattung</w:t>
      </w:r>
      <w:bookmarkEnd w:id="99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Für Strecken, die mit regelmäßig verkehrenden Beförderungsmitteln zurückgelegt worden sind, werden die entstandenen notwendigen Fahrkosten erstattet, und zwar beim Benutzen von</w:t>
      </w:r>
    </w:p>
    <w:p w:rsidR="00BE1EFE" w:rsidRDefault="00BE1EFE" w:rsidP="00BE165D">
      <w:pPr>
        <w:pStyle w:val="StandardWeb"/>
      </w:pPr>
    </w:p>
    <w:tbl>
      <w:tblPr>
        <w:tblW w:w="4852" w:type="pct"/>
        <w:jc w:val="center"/>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704"/>
        <w:gridCol w:w="1504"/>
        <w:gridCol w:w="1475"/>
      </w:tblGrid>
      <w:tr w:rsidR="00BE1EFE" w:rsidTr="00273134">
        <w:trPr>
          <w:jc w:val="center"/>
        </w:trPr>
        <w:tc>
          <w:tcPr>
            <w:tcW w:w="1507" w:type="pct"/>
            <w:vAlign w:val="center"/>
          </w:tcPr>
          <w:p w:rsidR="00BE1EFE" w:rsidRPr="00273134" w:rsidRDefault="00BE1EFE" w:rsidP="00273134">
            <w:pPr>
              <w:spacing w:before="60" w:after="60"/>
              <w:jc w:val="center"/>
              <w:rPr>
                <w:rFonts w:cs="Arial"/>
              </w:rPr>
            </w:pPr>
          </w:p>
        </w:tc>
        <w:tc>
          <w:tcPr>
            <w:tcW w:w="1271" w:type="pct"/>
            <w:vAlign w:val="center"/>
          </w:tcPr>
          <w:p w:rsidR="00BE1EFE" w:rsidRPr="00273134" w:rsidRDefault="00BE1EFE" w:rsidP="00273134">
            <w:pPr>
              <w:spacing w:before="60" w:after="60"/>
              <w:jc w:val="center"/>
              <w:rPr>
                <w:rFonts w:cs="Arial"/>
              </w:rPr>
            </w:pPr>
            <w:r w:rsidRPr="00273134">
              <w:rPr>
                <w:rFonts w:cs="Arial"/>
              </w:rPr>
              <w:t>Land- oder Wasserfahrzeugen</w:t>
            </w:r>
          </w:p>
        </w:tc>
        <w:tc>
          <w:tcPr>
            <w:tcW w:w="1122" w:type="pct"/>
            <w:vAlign w:val="center"/>
          </w:tcPr>
          <w:p w:rsidR="00BE1EFE" w:rsidRPr="00273134" w:rsidRDefault="00BE1EFE" w:rsidP="00273134">
            <w:pPr>
              <w:spacing w:before="60" w:after="60"/>
              <w:jc w:val="center"/>
              <w:rPr>
                <w:rFonts w:cs="Arial"/>
              </w:rPr>
            </w:pPr>
            <w:r w:rsidRPr="00273134">
              <w:rPr>
                <w:rFonts w:cs="Arial"/>
              </w:rPr>
              <w:t>Flugzeugen</w:t>
            </w:r>
          </w:p>
        </w:tc>
        <w:tc>
          <w:tcPr>
            <w:tcW w:w="1101" w:type="pct"/>
            <w:vAlign w:val="center"/>
          </w:tcPr>
          <w:p w:rsidR="00BE1EFE" w:rsidRPr="00273134" w:rsidRDefault="00BE1EFE" w:rsidP="00273134">
            <w:pPr>
              <w:spacing w:before="60" w:after="60"/>
              <w:jc w:val="center"/>
              <w:rPr>
                <w:rFonts w:cs="Arial"/>
              </w:rPr>
            </w:pPr>
            <w:r w:rsidRPr="00273134">
              <w:rPr>
                <w:rFonts w:cs="Arial"/>
              </w:rPr>
              <w:t>Schlafwagen</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den Beschäftigten </w:t>
            </w:r>
          </w:p>
        </w:tc>
        <w:tc>
          <w:tcPr>
            <w:tcW w:w="3493" w:type="pct"/>
            <w:gridSpan w:val="3"/>
            <w:vAlign w:val="center"/>
          </w:tcPr>
          <w:p w:rsidR="00BE1EFE" w:rsidRPr="00273134" w:rsidRDefault="00BE1EFE" w:rsidP="00273134">
            <w:pPr>
              <w:spacing w:before="60" w:after="60"/>
              <w:jc w:val="center"/>
              <w:rPr>
                <w:rFonts w:cs="Arial"/>
              </w:rPr>
            </w:pPr>
            <w:r w:rsidRPr="00273134">
              <w:rPr>
                <w:rFonts w:cs="Arial"/>
              </w:rPr>
              <w:t>bis zu den Kosten der</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der Entgeltgruppen </w:t>
            </w:r>
            <w:r w:rsidRPr="00273134">
              <w:rPr>
                <w:rFonts w:cs="Arial"/>
              </w:rPr>
              <w:br/>
              <w:t xml:space="preserve">1 bis 7 bzw. S 2 bis S 5 (Besoldungsgruppen </w:t>
            </w:r>
            <w:r w:rsidRPr="00273134">
              <w:rPr>
                <w:rFonts w:cs="Arial"/>
              </w:rPr>
              <w:br/>
              <w:t>A 1 bis A 7)</w:t>
            </w:r>
            <w:r w:rsidRPr="00273134" w:rsidDel="00297D1C">
              <w:rPr>
                <w:rFonts w:cs="Arial"/>
              </w:rPr>
              <w:t xml:space="preserve"> </w:t>
            </w:r>
          </w:p>
        </w:tc>
        <w:tc>
          <w:tcPr>
            <w:tcW w:w="1271" w:type="pct"/>
            <w:vAlign w:val="center"/>
          </w:tcPr>
          <w:p w:rsidR="00BE1EFE" w:rsidRPr="00273134" w:rsidRDefault="00BE1EFE" w:rsidP="00273134">
            <w:pPr>
              <w:spacing w:before="60" w:after="60"/>
              <w:ind w:left="81" w:hanging="81"/>
              <w:jc w:val="center"/>
              <w:rPr>
                <w:rFonts w:cs="Arial"/>
              </w:rPr>
            </w:pPr>
            <w:r w:rsidRPr="00273134">
              <w:rPr>
                <w:rFonts w:cs="Arial"/>
              </w:rPr>
              <w:t>zweiten Klasse</w:t>
            </w:r>
          </w:p>
        </w:tc>
        <w:tc>
          <w:tcPr>
            <w:tcW w:w="1122" w:type="pct"/>
            <w:vAlign w:val="center"/>
          </w:tcPr>
          <w:p w:rsidR="00BE1EFE" w:rsidRPr="00273134" w:rsidRDefault="00BE1EFE" w:rsidP="00273134">
            <w:pPr>
              <w:spacing w:before="60" w:after="60"/>
              <w:jc w:val="center"/>
              <w:rPr>
                <w:rFonts w:cs="Arial"/>
              </w:rPr>
            </w:pPr>
            <w:r w:rsidRPr="00273134">
              <w:rPr>
                <w:rFonts w:cs="Arial"/>
              </w:rPr>
              <w:t>Touristen- oder Economyklasse</w:t>
            </w:r>
          </w:p>
        </w:tc>
        <w:tc>
          <w:tcPr>
            <w:tcW w:w="1101" w:type="pct"/>
            <w:vAlign w:val="center"/>
          </w:tcPr>
          <w:p w:rsidR="00BE1EFE" w:rsidRPr="00273134" w:rsidRDefault="00BE1EFE" w:rsidP="00273134">
            <w:pPr>
              <w:spacing w:before="60" w:after="60"/>
              <w:jc w:val="center"/>
              <w:rPr>
                <w:rFonts w:cs="Arial"/>
              </w:rPr>
            </w:pPr>
            <w:r w:rsidRPr="00273134">
              <w:rPr>
                <w:rFonts w:cs="Arial"/>
              </w:rPr>
              <w:t>Touristenklasse</w:t>
            </w:r>
          </w:p>
        </w:tc>
      </w:tr>
      <w:tr w:rsidR="00BE1EFE" w:rsidTr="00273134">
        <w:trPr>
          <w:jc w:val="center"/>
        </w:trPr>
        <w:tc>
          <w:tcPr>
            <w:tcW w:w="1507" w:type="pct"/>
            <w:vAlign w:val="center"/>
          </w:tcPr>
          <w:p w:rsidR="00BE1EFE" w:rsidRPr="00273134" w:rsidRDefault="00BE1EFE" w:rsidP="00273134">
            <w:pPr>
              <w:spacing w:before="60" w:after="60"/>
              <w:jc w:val="center"/>
              <w:rPr>
                <w:rFonts w:cs="Arial"/>
              </w:rPr>
            </w:pPr>
            <w:r w:rsidRPr="00273134">
              <w:rPr>
                <w:rFonts w:cs="Arial"/>
              </w:rPr>
              <w:t xml:space="preserve">der übrigen Entgeltgruppen (Besoldungsgruppen) </w:t>
            </w:r>
          </w:p>
        </w:tc>
        <w:tc>
          <w:tcPr>
            <w:tcW w:w="1271" w:type="pct"/>
            <w:vAlign w:val="center"/>
          </w:tcPr>
          <w:p w:rsidR="00BE1EFE" w:rsidRPr="00273134" w:rsidRDefault="00BE1EFE" w:rsidP="00273134">
            <w:pPr>
              <w:spacing w:before="60" w:after="60"/>
              <w:jc w:val="center"/>
              <w:rPr>
                <w:rFonts w:cs="Arial"/>
              </w:rPr>
            </w:pPr>
            <w:r w:rsidRPr="00273134">
              <w:rPr>
                <w:rFonts w:cs="Arial"/>
              </w:rPr>
              <w:t>ersten Klasse</w:t>
            </w:r>
          </w:p>
        </w:tc>
        <w:tc>
          <w:tcPr>
            <w:tcW w:w="1122" w:type="pct"/>
            <w:vAlign w:val="center"/>
          </w:tcPr>
          <w:p w:rsidR="00BE1EFE" w:rsidRPr="00273134" w:rsidRDefault="00BE1EFE" w:rsidP="00273134">
            <w:pPr>
              <w:spacing w:before="60" w:after="60"/>
              <w:jc w:val="center"/>
              <w:rPr>
                <w:rFonts w:cs="Arial"/>
              </w:rPr>
            </w:pPr>
            <w:r w:rsidRPr="00273134">
              <w:rPr>
                <w:rFonts w:cs="Arial"/>
              </w:rPr>
              <w:t>Touristen- oder Economyklasse</w:t>
            </w:r>
          </w:p>
        </w:tc>
        <w:tc>
          <w:tcPr>
            <w:tcW w:w="1101" w:type="pct"/>
            <w:vAlign w:val="center"/>
          </w:tcPr>
          <w:p w:rsidR="00BE1EFE" w:rsidRPr="00273134" w:rsidRDefault="00BE1EFE" w:rsidP="00273134">
            <w:pPr>
              <w:spacing w:before="60" w:after="60"/>
              <w:jc w:val="center"/>
              <w:rPr>
                <w:rFonts w:cs="Arial"/>
              </w:rPr>
            </w:pPr>
            <w:r w:rsidRPr="00273134">
              <w:rPr>
                <w:rFonts w:cs="Arial"/>
              </w:rPr>
              <w:t>Doppel- oder Einbettklasse</w:t>
            </w:r>
          </w:p>
        </w:tc>
      </w:tr>
    </w:tbl>
    <w:p w:rsidR="00BE1EFE" w:rsidRDefault="00BE1EFE" w:rsidP="00BE165D">
      <w:pPr>
        <w:pStyle w:val="StandardWeb"/>
      </w:pPr>
    </w:p>
    <w:p w:rsidR="00BE1EFE" w:rsidRDefault="00BE1EFE" w:rsidP="00BE165D">
      <w:pPr>
        <w:pStyle w:val="StandardWeb"/>
      </w:pPr>
      <w:r w:rsidRPr="00AA6462">
        <w:rPr>
          <w:sz w:val="12"/>
          <w:szCs w:val="12"/>
        </w:rPr>
        <w:t>2</w:t>
      </w:r>
      <w:r>
        <w:t xml:space="preserve">Fahrpreisermäßigungen sind zu berücksichtigen. </w:t>
      </w:r>
      <w:r w:rsidRPr="00AA6462">
        <w:rPr>
          <w:sz w:val="12"/>
          <w:szCs w:val="12"/>
        </w:rPr>
        <w:t>3</w:t>
      </w:r>
      <w:r>
        <w:t xml:space="preserve">Wird die Dienstreise an der Wohnung angetreten oder beendet, werden höchstens die Fahrkosten erstattet, die bei der Abreise oder Ankunft an der Dienststelle angefallen wären; dies gilt nicht, wenn es zur Erledigung des konkreten Dienstgeschäfts aus dienstlichen Gründen erforderlich ist, die Dienstreise zwischen zwanzig Uhr und sechs Uhr oder an einem Samstag, Sonntag oder gesetzlichen Feiertag anzutreten oder zu beenden. </w:t>
      </w:r>
      <w:r w:rsidRPr="00AA6462">
        <w:rPr>
          <w:sz w:val="12"/>
          <w:szCs w:val="12"/>
        </w:rPr>
        <w:t>4</w:t>
      </w:r>
      <w:r>
        <w:t>Fahrkosten werden nicht erstattet, wenn das regelmäßig verkehrende Beförderungsmittel oder ein anderes Beförderungsmittel unentgeltlich benutzt werden kann.</w:t>
      </w:r>
    </w:p>
    <w:p w:rsidR="00BE1EFE" w:rsidRDefault="00BE1EFE" w:rsidP="00BE165D">
      <w:pPr>
        <w:pStyle w:val="StandardWeb"/>
      </w:pPr>
    </w:p>
    <w:p w:rsidR="00BE1EFE" w:rsidRDefault="00BE1EFE" w:rsidP="00BE165D">
      <w:pPr>
        <w:pStyle w:val="StandardWeb"/>
      </w:pPr>
      <w:r>
        <w:t xml:space="preserve">(2) Ist die/der Dienstreisende noch nicht in eine der Entgeltgruppen eingruppiert, z. B. Auszubildende, so wird sie/er für die Fahrkostenerstattung Beschäftigten der Entgeltgruppen 1 bis 7 gleichgestellt. </w:t>
      </w:r>
    </w:p>
    <w:p w:rsidR="00BE1EFE" w:rsidRPr="00AA6462" w:rsidRDefault="00BE1EFE" w:rsidP="00BE165D">
      <w:pPr>
        <w:pStyle w:val="StandardWeb"/>
        <w:rPr>
          <w:sz w:val="12"/>
          <w:szCs w:val="12"/>
        </w:rPr>
      </w:pPr>
      <w:r w:rsidRPr="00AA6462">
        <w:rPr>
          <w:sz w:val="12"/>
          <w:szCs w:val="12"/>
        </w:rPr>
        <w:t>Protokollnotiz zu § 5 Absatz 2:</w:t>
      </w:r>
    </w:p>
    <w:p w:rsidR="00BE1EFE" w:rsidRPr="00AA6462" w:rsidRDefault="00BE1EFE" w:rsidP="00BE165D">
      <w:pPr>
        <w:pStyle w:val="StandardWeb"/>
        <w:rPr>
          <w:sz w:val="12"/>
          <w:szCs w:val="12"/>
        </w:rPr>
      </w:pPr>
      <w:r w:rsidRPr="00AA6462">
        <w:rPr>
          <w:sz w:val="12"/>
          <w:szCs w:val="12"/>
        </w:rPr>
        <w:t>1Ansonsten gilt: Ist die/der Dienstreisende noch nicht Angehöriger einer Besoldungsgruppe, so ist die Besoldungsgruppe seines Eingangsamts maßgebend. 2Die Rückwirkung der Einweisung in eine Planstelle und die Rückwirkung der Zuteilung eines Amts zu einer anderen Besoldungsgruppe bleiben unberücksichtigt.</w:t>
      </w:r>
    </w:p>
    <w:p w:rsidR="00BE1EFE" w:rsidRDefault="00BE1EFE" w:rsidP="00BE165D">
      <w:pPr>
        <w:pStyle w:val="StandardWeb"/>
      </w:pPr>
    </w:p>
    <w:p w:rsidR="00BE1EFE" w:rsidRDefault="00BE1EFE" w:rsidP="00BE165D">
      <w:pPr>
        <w:pStyle w:val="StandardWeb"/>
      </w:pPr>
      <w:r>
        <w:t>(3) Die Kosten einer höheren Klasse werden erstattet, wenn Dienstreisende sie aus dienstlichen Gründen benutzen mussten.</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Dienstreisende, denen nach Absatz 1 die Fahrkosten der niedrigsten Klasse zu erstatten wären, werden bei einem Grad der Behinderung von wenigstens 50 die Auslagen für die nächsthöhere Klasse erstattet. </w:t>
      </w:r>
      <w:r w:rsidRPr="00AA6462">
        <w:rPr>
          <w:sz w:val="12"/>
          <w:szCs w:val="12"/>
        </w:rPr>
        <w:t>2</w:t>
      </w:r>
      <w:r>
        <w:t>Dieselbe Vergünstigung kann anderen Dienstreisenden gewährt werden, wenn ihr körperlicher oder gesundheitlicher Zustand das Benutzen der höheren Klasse rechtfertigt.</w:t>
      </w:r>
    </w:p>
    <w:p w:rsidR="00BE1EFE" w:rsidRDefault="00BE1EFE" w:rsidP="00BE165D">
      <w:pPr>
        <w:pStyle w:val="StandardWeb"/>
      </w:pPr>
    </w:p>
    <w:p w:rsidR="00BE1EFE" w:rsidRDefault="00BE1EFE" w:rsidP="00BE165D">
      <w:pPr>
        <w:pStyle w:val="StandardWeb"/>
      </w:pPr>
      <w:r>
        <w:t>(5) </w:t>
      </w:r>
      <w:r w:rsidRPr="00AA6462">
        <w:rPr>
          <w:sz w:val="12"/>
          <w:szCs w:val="12"/>
        </w:rPr>
        <w:t>1</w:t>
      </w:r>
      <w:r>
        <w:t xml:space="preserve">Für Strecken, die aus triftigen Gründen mit anderen als den in </w:t>
      </w:r>
      <w:hyperlink r:id="rId1352" w:history="1">
        <w:r w:rsidRPr="00CB796F">
          <w:rPr>
            <w:rStyle w:val="Hyperlink"/>
          </w:rPr>
          <w:t>§ 6</w:t>
        </w:r>
      </w:hyperlink>
      <w:r>
        <w:t xml:space="preserve"> genannten nicht regel</w:t>
      </w:r>
      <w:r>
        <w:softHyphen/>
        <w:t xml:space="preserve">mäßig verkehrenden Beförderungsmitteln zurückgelegt worden sind, werden die entstandenen notwendigen Fahrkosten erstattet. </w:t>
      </w:r>
      <w:r w:rsidRPr="00AA6462">
        <w:rPr>
          <w:sz w:val="12"/>
          <w:szCs w:val="12"/>
        </w:rPr>
        <w:t>2</w:t>
      </w:r>
      <w:r>
        <w:t>Liegen keine triftigen Gründe vor, so darf keine höhere Reisekostenvergütung gewährt werden als beim Benutzen eines regelmäßig verkehrenden Beförderungsmittels.</w:t>
      </w:r>
    </w:p>
    <w:p w:rsidR="00BE1EFE" w:rsidRPr="00AA6462" w:rsidRDefault="00BE1EFE" w:rsidP="005B409E">
      <w:pPr>
        <w:pStyle w:val="berschrift6"/>
        <w:spacing w:before="120" w:after="120"/>
        <w:rPr>
          <w:lang w:eastAsia="x-none"/>
        </w:rPr>
      </w:pPr>
      <w:bookmarkStart w:id="997" w:name="_Toc523926518"/>
      <w:r>
        <w:lastRenderedPageBreak/>
        <w:t>§ 6 Wegstrecken- und Mitnahmeentschädigung</w:t>
      </w:r>
      <w:bookmarkEnd w:id="997"/>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Für Strecken, die Dienstreisende aus triftigen Gründen mit einem ihnen gehörenden Fahrzeug zurücklegen, wird als Auslagenersatz eine Wegstreckenentschädigung gewährt, und zwar je Kilometer bei Benutzung eines</w:t>
      </w:r>
    </w:p>
    <w:p w:rsidR="00BE1EFE" w:rsidRDefault="00BE1EFE" w:rsidP="00BE165D">
      <w:pPr>
        <w:pStyle w:val="StandardWeb"/>
      </w:pPr>
      <w:r>
        <w:t>1.</w:t>
      </w:r>
      <w:r>
        <w:tab/>
        <w:t>Kraftwagens</w:t>
      </w:r>
      <w:r>
        <w:tab/>
      </w:r>
      <w:r>
        <w:tab/>
        <w:t>0,35 €,</w:t>
      </w:r>
    </w:p>
    <w:p w:rsidR="00BE1EFE" w:rsidRDefault="00BE1EFE" w:rsidP="00BE165D">
      <w:pPr>
        <w:pStyle w:val="StandardWeb"/>
      </w:pPr>
      <w:r>
        <w:t>2.</w:t>
      </w:r>
      <w:r>
        <w:tab/>
        <w:t>Motorrads oder Motorrollers</w:t>
      </w:r>
      <w:r>
        <w:tab/>
        <w:t>0,15 €,</w:t>
      </w:r>
    </w:p>
    <w:p w:rsidR="00BE1EFE" w:rsidRDefault="00BE1EFE" w:rsidP="00BE165D">
      <w:pPr>
        <w:pStyle w:val="StandardWeb"/>
      </w:pPr>
      <w:r>
        <w:t>3.</w:t>
      </w:r>
      <w:r>
        <w:tab/>
        <w:t>Mopeds oder Mofas</w:t>
      </w:r>
      <w:r>
        <w:tab/>
      </w:r>
      <w:r>
        <w:tab/>
        <w:t>0,09 €,</w:t>
      </w:r>
    </w:p>
    <w:p w:rsidR="00BE1EFE" w:rsidRDefault="00BE1EFE" w:rsidP="00BE165D">
      <w:pPr>
        <w:pStyle w:val="StandardWeb"/>
      </w:pPr>
      <w:r>
        <w:t>4.</w:t>
      </w:r>
      <w:r>
        <w:tab/>
        <w:t>Fahrrads</w:t>
      </w:r>
      <w:r>
        <w:tab/>
      </w:r>
      <w:r>
        <w:tab/>
      </w:r>
      <w:r>
        <w:tab/>
        <w:t>0,06 €.</w:t>
      </w:r>
    </w:p>
    <w:p w:rsidR="00BE1EFE" w:rsidRDefault="00BE1EFE" w:rsidP="00BE165D">
      <w:pPr>
        <w:pStyle w:val="StandardWeb"/>
      </w:pPr>
      <w:r w:rsidRPr="00AA6462">
        <w:rPr>
          <w:sz w:val="12"/>
          <w:szCs w:val="12"/>
        </w:rPr>
        <w:t>2</w:t>
      </w:r>
      <w:r>
        <w:t xml:space="preserve">Dem Fahrzeug im Sinn des Satzes 1 steht das unentgeltlich zur Verfügung gestellte Fahrzeug des Ehegatten, des Lebenspartners im Sinn des </w:t>
      </w:r>
      <w:hyperlink r:id="rId1353" w:history="1">
        <w:r w:rsidRPr="00CB796F">
          <w:rPr>
            <w:rStyle w:val="Hyperlink"/>
          </w:rPr>
          <w:t>§ 1 des Lebenspartnerschafts</w:t>
        </w:r>
        <w:r w:rsidRPr="00CB796F">
          <w:rPr>
            <w:rStyle w:val="Hyperlink"/>
          </w:rPr>
          <w:softHyphen/>
          <w:t>gesetzes</w:t>
        </w:r>
      </w:hyperlink>
      <w:r>
        <w:t xml:space="preserve"> oder eines mit der/dem Dienstreisenden in häuslicher Gemeinschaft lebenden Verwandten oder Verschwägerten gleich. </w:t>
      </w:r>
      <w:r w:rsidRPr="00AA6462">
        <w:rPr>
          <w:sz w:val="12"/>
          <w:szCs w:val="12"/>
        </w:rPr>
        <w:t>3</w:t>
      </w:r>
      <w:r>
        <w:t>Mit der Wegstreckenentschädigung nach Satz 1 sind die Aufwendungen für die Mitnahme von Gepäck abgegolten.</w:t>
      </w:r>
    </w:p>
    <w:p w:rsidR="00BE1EFE" w:rsidRDefault="00BE1EFE" w:rsidP="00BE165D">
      <w:pPr>
        <w:pStyle w:val="StandardWeb"/>
      </w:pPr>
    </w:p>
    <w:p w:rsidR="00BE1EFE" w:rsidRDefault="00BE1EFE" w:rsidP="00BE165D">
      <w:pPr>
        <w:pStyle w:val="StandardWeb"/>
      </w:pPr>
      <w:r>
        <w:t>(2) Dienstreisende, die in ihrem Fahrzeug Personen mitgenommen haben, die Anspruch auf Wegstreckenentschädigung gegen denselben Arbeitgeber haben, erhalten Mitnahmeent</w:t>
      </w:r>
      <w:r>
        <w:softHyphen/>
        <w:t>schädigung je Person und Kilometer in Höhe von 0,02 € bei Benutzung eines Kraftwagens und in Höhe von 0,01 € bei Benutzung eines Motorrads oder Motorrollers.</w:t>
      </w:r>
    </w:p>
    <w:p w:rsidR="00BE1EFE" w:rsidRDefault="00BE1EFE" w:rsidP="00BE165D">
      <w:pPr>
        <w:pStyle w:val="StandardWeb"/>
      </w:pPr>
    </w:p>
    <w:p w:rsidR="00BE1EFE" w:rsidRDefault="00BE1EFE" w:rsidP="00BE165D">
      <w:pPr>
        <w:pStyle w:val="StandardWeb"/>
      </w:pPr>
      <w:r>
        <w:t>(3) Sind Dienstreisende von einer im kirchlichen Dienst stehenden Person mitgenommen worden, die Anspruch auf Fahrkostenerstattung gegen einen anderen Arbeitgeber hat, so erhalten sie Mitnahmeentschädigung nach Absatz 2, soweit ihnen Auslagen für die Mitnahme entstanden sind.</w:t>
      </w:r>
    </w:p>
    <w:p w:rsidR="00BE1EFE" w:rsidRDefault="00BE1EFE" w:rsidP="00BE165D">
      <w:pPr>
        <w:pStyle w:val="StandardWeb"/>
      </w:pPr>
    </w:p>
    <w:p w:rsidR="00BE1EFE" w:rsidRDefault="00BE1EFE" w:rsidP="00BE165D">
      <w:pPr>
        <w:pStyle w:val="StandardWeb"/>
      </w:pPr>
      <w:r>
        <w:t>(4) Zur Abgeltung der Mehraufwendungen, die durch regelmäßig in größerem Umfang erforderliche Fahrten mit privateigenen Kraftwagen auf unbefestigten Forststrecken verursacht werden, erhalten im Forstdienst tätige Dienstreisende nach näherer Bestimmung der obersten Dienstbehörde zur Wegstreckenentschädigung nach Absatz 1 Satz 1 Nr. 1 einen Zuschlag von 0,03 € je Kilometer.</w:t>
      </w:r>
    </w:p>
    <w:p w:rsidR="00BE1EFE" w:rsidRPr="00AA6462" w:rsidRDefault="00BE1EFE" w:rsidP="00BE165D">
      <w:pPr>
        <w:pStyle w:val="StandardWeb"/>
        <w:rPr>
          <w:sz w:val="12"/>
          <w:szCs w:val="12"/>
        </w:rPr>
      </w:pPr>
      <w:r w:rsidRPr="00AA6462">
        <w:rPr>
          <w:sz w:val="12"/>
          <w:szCs w:val="12"/>
        </w:rPr>
        <w:t>Protokollnotiz zu § 6 Absatz 4:</w:t>
      </w:r>
    </w:p>
    <w:p w:rsidR="00BE1EFE" w:rsidRDefault="00BE1EFE" w:rsidP="00BE165D">
      <w:pPr>
        <w:pStyle w:val="StandardWeb"/>
        <w:rPr>
          <w:sz w:val="12"/>
          <w:szCs w:val="12"/>
        </w:rPr>
      </w:pPr>
      <w:r w:rsidRPr="00AA6462">
        <w:rPr>
          <w:sz w:val="12"/>
          <w:szCs w:val="12"/>
        </w:rPr>
        <w:t>Oberste Dienstbehörde ist für den Bereich der Diözesen und den unter ihrer Aufsicht stehenden Stiftungen das Ordinariat, bei anderen Rechtsträgern ist dies die Vertreterin/der Vertreter des jeweiligen Rechtsträgers (</w:t>
      </w:r>
      <w:r>
        <w:rPr>
          <w:sz w:val="12"/>
          <w:szCs w:val="12"/>
        </w:rPr>
        <w:t>z. B.</w:t>
      </w:r>
      <w:r w:rsidRPr="00AA6462">
        <w:rPr>
          <w:sz w:val="12"/>
          <w:szCs w:val="12"/>
        </w:rPr>
        <w:t xml:space="preserve"> die/der Ordensobere oder der Vorstand).</w:t>
      </w:r>
    </w:p>
    <w:p w:rsidR="00BE1EFE" w:rsidRPr="00AA6462" w:rsidRDefault="00BE1EFE" w:rsidP="00BE165D">
      <w:pPr>
        <w:pStyle w:val="StandardWeb"/>
        <w:rPr>
          <w:sz w:val="12"/>
          <w:szCs w:val="12"/>
        </w:rPr>
      </w:pPr>
    </w:p>
    <w:p w:rsidR="00BE1EFE" w:rsidRDefault="00BE1EFE" w:rsidP="00BE165D">
      <w:pPr>
        <w:pStyle w:val="StandardWeb"/>
      </w:pPr>
      <w:r>
        <w:t>(5) Wegstrecken- und Mitnahmeentschädigung werden nicht gewährt, wenn ein Dienstfahr</w:t>
      </w:r>
      <w:r>
        <w:softHyphen/>
        <w:t>zeug unentgeltlich benutzt werden kann.</w:t>
      </w:r>
    </w:p>
    <w:p w:rsidR="00BE1EFE" w:rsidRDefault="00BE1EFE" w:rsidP="00BE165D">
      <w:pPr>
        <w:pStyle w:val="StandardWeb"/>
      </w:pPr>
    </w:p>
    <w:p w:rsidR="00BE1EFE" w:rsidRDefault="00BE1EFE" w:rsidP="00BE165D">
      <w:pPr>
        <w:pStyle w:val="StandardWeb"/>
      </w:pPr>
      <w:r>
        <w:t>(6) </w:t>
      </w:r>
      <w:r w:rsidRPr="00AA6462">
        <w:rPr>
          <w:sz w:val="12"/>
          <w:szCs w:val="12"/>
        </w:rPr>
        <w:t>1</w:t>
      </w:r>
      <w:r>
        <w:t>Für Strecken, die Dienstreisende ohne Vorliegen triftiger Gründe mit einem ihnen gehörenden Fahrzeug zurücklegen, wird eine Wegstreckenentschädigung gewährt, und zwar je Kilometer bei Benutzung eines</w:t>
      </w:r>
    </w:p>
    <w:p w:rsidR="00BE1EFE" w:rsidRDefault="00BE1EFE" w:rsidP="00BE165D">
      <w:pPr>
        <w:pStyle w:val="StandardWeb"/>
      </w:pPr>
      <w:r>
        <w:t>1.</w:t>
      </w:r>
      <w:r>
        <w:tab/>
        <w:t>Kraftwagens</w:t>
      </w:r>
      <w:r>
        <w:tab/>
      </w:r>
      <w:r>
        <w:tab/>
        <w:t>0,25 €,</w:t>
      </w:r>
    </w:p>
    <w:p w:rsidR="00BE1EFE" w:rsidRDefault="00BE1EFE" w:rsidP="00BE165D">
      <w:pPr>
        <w:pStyle w:val="StandardWeb"/>
      </w:pPr>
      <w:r>
        <w:t>2.</w:t>
      </w:r>
      <w:r>
        <w:tab/>
        <w:t>Motorrads oder Motorrollers</w:t>
      </w:r>
      <w:r>
        <w:tab/>
        <w:t>0,12 €,</w:t>
      </w:r>
    </w:p>
    <w:p w:rsidR="00BE1EFE" w:rsidRDefault="00BE1EFE" w:rsidP="00BE165D">
      <w:pPr>
        <w:pStyle w:val="StandardWeb"/>
      </w:pPr>
      <w:r>
        <w:t>3.</w:t>
      </w:r>
      <w:r>
        <w:tab/>
        <w:t>Mopeds oder Mofas</w:t>
      </w:r>
      <w:r>
        <w:tab/>
      </w:r>
      <w:r>
        <w:tab/>
        <w:t>0,07 €,</w:t>
      </w:r>
    </w:p>
    <w:p w:rsidR="00BE1EFE" w:rsidRDefault="00BE1EFE" w:rsidP="00BE165D">
      <w:pPr>
        <w:pStyle w:val="StandardWeb"/>
      </w:pPr>
      <w:r>
        <w:t>4.</w:t>
      </w:r>
      <w:r>
        <w:tab/>
        <w:t>Fahrrads</w:t>
      </w:r>
      <w:r>
        <w:tab/>
      </w:r>
      <w:r>
        <w:tab/>
      </w:r>
      <w:r>
        <w:tab/>
        <w:t>0,04 €.</w:t>
      </w:r>
    </w:p>
    <w:p w:rsidR="00BE1EFE" w:rsidRDefault="00BE1EFE" w:rsidP="00BE165D">
      <w:pPr>
        <w:pStyle w:val="StandardWeb"/>
      </w:pPr>
      <w:r w:rsidRPr="00AA6462">
        <w:rPr>
          <w:sz w:val="12"/>
          <w:szCs w:val="12"/>
        </w:rPr>
        <w:t>2</w:t>
      </w:r>
      <w:hyperlink r:id="rId1354" w:history="1">
        <w:r w:rsidRPr="00F0397C">
          <w:rPr>
            <w:rStyle w:val="Hyperlink"/>
          </w:rPr>
          <w:t>§ 5 Absatz 1 Satz 4</w:t>
        </w:r>
      </w:hyperlink>
      <w:r>
        <w:t xml:space="preserve"> gilt sinngemäß. </w:t>
      </w:r>
    </w:p>
    <w:p w:rsidR="00BE1EFE" w:rsidRDefault="00BE1EFE" w:rsidP="00BE165D">
      <w:pPr>
        <w:pStyle w:val="StandardWeb"/>
      </w:pPr>
    </w:p>
    <w:p w:rsidR="00BE1EFE" w:rsidRDefault="00BE1EFE" w:rsidP="00BE165D">
      <w:pPr>
        <w:pStyle w:val="StandardWeb"/>
      </w:pPr>
      <w:r>
        <w:t xml:space="preserve">(7) </w:t>
      </w:r>
      <w:hyperlink r:id="rId1355" w:history="1">
        <w:r w:rsidRPr="00F0397C">
          <w:rPr>
            <w:rStyle w:val="Hyperlink"/>
          </w:rPr>
          <w:t>§ 5 Absatz 1 Satz 3</w:t>
        </w:r>
      </w:hyperlink>
      <w:r>
        <w:t xml:space="preserve"> gilt entsprechend.</w:t>
      </w:r>
    </w:p>
    <w:p w:rsidR="00BE1EFE" w:rsidRPr="00AA6462" w:rsidRDefault="00BE1EFE" w:rsidP="005B409E">
      <w:pPr>
        <w:pStyle w:val="berschrift6"/>
        <w:spacing w:before="120" w:after="120"/>
        <w:rPr>
          <w:lang w:eastAsia="x-none"/>
        </w:rPr>
      </w:pPr>
      <w:bookmarkStart w:id="998" w:name="_Toc523926519"/>
      <w:r>
        <w:t>§ 7 Dauer der Dienstreise</w:t>
      </w:r>
      <w:bookmarkEnd w:id="998"/>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AA6462">
        <w:rPr>
          <w:sz w:val="12"/>
          <w:szCs w:val="12"/>
        </w:rPr>
        <w:t>1</w:t>
      </w:r>
      <w:r>
        <w:t xml:space="preserve">Die Dauer der Dienstreise richtet sich nach der Abreise und der Ankunft an der Wohnung. </w:t>
      </w:r>
      <w:r w:rsidRPr="00AA6462">
        <w:rPr>
          <w:sz w:val="12"/>
          <w:szCs w:val="12"/>
        </w:rPr>
        <w:t>2</w:t>
      </w:r>
      <w:r>
        <w:t>Wird die Dienstreise an der Dienststelle angetreten oder beendet, so tritt diese an die Stelle der Wohnung.</w:t>
      </w:r>
    </w:p>
    <w:p w:rsidR="00BE1EFE" w:rsidRDefault="00BE1EFE" w:rsidP="00BE165D">
      <w:pPr>
        <w:pStyle w:val="StandardWeb"/>
      </w:pPr>
    </w:p>
    <w:p w:rsidR="00BE1EFE" w:rsidRDefault="00BE1EFE" w:rsidP="005B409E">
      <w:pPr>
        <w:pStyle w:val="berschrift6"/>
        <w:spacing w:before="120" w:after="120"/>
      </w:pPr>
      <w:bookmarkStart w:id="999" w:name="_Toc523926520"/>
      <w:r>
        <w:lastRenderedPageBreak/>
        <w:t>§ 8 Tagegeld</w:t>
      </w:r>
      <w:bookmarkEnd w:id="999"/>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Bei einer Dienstreise, die nicht mehr als einen vollen Kalendertag beansprucht, beträgt das Tagegeld bei einer Dauer</w:t>
      </w:r>
    </w:p>
    <w:p w:rsidR="00BE1EFE" w:rsidRDefault="00BE1EFE" w:rsidP="00BE165D">
      <w:pPr>
        <w:pStyle w:val="StandardWeb"/>
      </w:pPr>
      <w:r>
        <w:t>von mehr als sechs bis acht Stunden</w:t>
      </w:r>
      <w:r>
        <w:tab/>
        <w:t xml:space="preserve">  4,50 €,</w:t>
      </w:r>
    </w:p>
    <w:p w:rsidR="00BE1EFE" w:rsidRDefault="00BE1EFE" w:rsidP="00BE165D">
      <w:pPr>
        <w:pStyle w:val="StandardWeb"/>
      </w:pPr>
      <w:r>
        <w:t>von mehr als acht bis zwölf Stunden</w:t>
      </w:r>
      <w:r>
        <w:tab/>
        <w:t xml:space="preserve">  7,50 €,</w:t>
      </w:r>
    </w:p>
    <w:p w:rsidR="00BE1EFE" w:rsidRDefault="00BE1EFE" w:rsidP="00BE165D">
      <w:pPr>
        <w:pStyle w:val="StandardWeb"/>
      </w:pPr>
      <w:r>
        <w:t>von mehr als zwölf Stunden</w:t>
      </w:r>
      <w:r>
        <w:tab/>
      </w:r>
      <w:r>
        <w:tab/>
        <w:t>15,00 €.</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Bei einer mehrtägigen Dienstreise beträgt das Tagegeld für den vollen Kalendertag 21,50 €. </w:t>
      </w:r>
      <w:r w:rsidRPr="00AA6462">
        <w:rPr>
          <w:sz w:val="12"/>
          <w:szCs w:val="12"/>
        </w:rPr>
        <w:t>2</w:t>
      </w:r>
      <w:r>
        <w:t>Für den Tag des Antritts und für den Tag der Beendigung einer mehrtägigen Dienstreise beträgt das Tagegeld bei einer Dauer</w:t>
      </w:r>
    </w:p>
    <w:p w:rsidR="00BE1EFE" w:rsidRDefault="00BE1EFE" w:rsidP="00BE165D">
      <w:pPr>
        <w:pStyle w:val="StandardWeb"/>
      </w:pPr>
      <w:r>
        <w:t>von mehr als sechs bis acht Stunden</w:t>
      </w:r>
      <w:r>
        <w:tab/>
        <w:t xml:space="preserve">  6,50 €,</w:t>
      </w:r>
    </w:p>
    <w:p w:rsidR="00BE1EFE" w:rsidRDefault="00BE1EFE" w:rsidP="00BE165D">
      <w:pPr>
        <w:pStyle w:val="StandardWeb"/>
      </w:pPr>
      <w:r>
        <w:t>von mehr als acht bis zwölf Stunden</w:t>
      </w:r>
      <w:r>
        <w:tab/>
        <w:t>11,00 €,</w:t>
      </w:r>
    </w:p>
    <w:p w:rsidR="00BE1EFE" w:rsidRDefault="00BE1EFE" w:rsidP="00BE165D">
      <w:pPr>
        <w:pStyle w:val="StandardWeb"/>
      </w:pPr>
      <w:r>
        <w:t>von mehr als zwölf Stunden</w:t>
      </w:r>
      <w:r>
        <w:tab/>
      </w:r>
      <w:r>
        <w:tab/>
        <w:t>21,50 €.</w:t>
      </w:r>
    </w:p>
    <w:p w:rsidR="00BE1EFE" w:rsidRDefault="00BE1EFE" w:rsidP="00BE165D">
      <w:pPr>
        <w:pStyle w:val="StandardWeb"/>
      </w:pPr>
    </w:p>
    <w:p w:rsidR="00BE1EFE" w:rsidRDefault="00BE1EFE" w:rsidP="00BE165D">
      <w:pPr>
        <w:pStyle w:val="StandardWeb"/>
      </w:pPr>
      <w:r>
        <w:t>(3) Bei mehreren Dienstreisen an einem Kalendertag wird jede Reise für sich berechnet; es wird jedoch zusammen nicht mehr als ein volles Tagegeld gewährt.</w:t>
      </w:r>
    </w:p>
    <w:p w:rsidR="00BE1EFE" w:rsidRDefault="00BE1EFE" w:rsidP="00BE165D">
      <w:pPr>
        <w:pStyle w:val="StandardWeb"/>
      </w:pPr>
    </w:p>
    <w:p w:rsidR="00BE1EFE" w:rsidRDefault="00BE1EFE" w:rsidP="00BE165D">
      <w:pPr>
        <w:pStyle w:val="StandardWeb"/>
      </w:pPr>
      <w:r>
        <w:t>(4) Erstreckt sich eine Dienstreise auf zwei Kalendertage und steht Dienstreisenden ein Übernachtungsgeld nicht zu, so ist, wenn dies für sie günstiger ist, das Tagegeld so zu berechnen, als ob die Dienstreise an einem Kalendertag ausgeführt worden wäre.</w:t>
      </w:r>
    </w:p>
    <w:p w:rsidR="00BE1EFE" w:rsidRDefault="00BE1EFE" w:rsidP="00BE165D">
      <w:pPr>
        <w:pStyle w:val="StandardWeb"/>
      </w:pPr>
    </w:p>
    <w:p w:rsidR="00BE1EFE" w:rsidRDefault="00BE1EFE" w:rsidP="00BE165D">
      <w:pPr>
        <w:pStyle w:val="StandardWeb"/>
      </w:pPr>
      <w:r>
        <w:t>(5) Die oberste Dienstbehörde kann in begründeten Ausnahmefällen unter Berücksichtigung der häuslichen Ersparnis die Erstattung entstandener notwendiger Auslagen für Verpflegung, die über den Pauschbeträgen der Absätze 1 bis 4 liegen, zulassen.</w:t>
      </w:r>
    </w:p>
    <w:p w:rsidR="00BE1EFE" w:rsidRPr="00AA6462" w:rsidRDefault="00BE1EFE" w:rsidP="00BE165D">
      <w:pPr>
        <w:pStyle w:val="StandardWeb"/>
        <w:rPr>
          <w:sz w:val="12"/>
          <w:szCs w:val="12"/>
        </w:rPr>
      </w:pPr>
      <w:r w:rsidRPr="00AA6462">
        <w:rPr>
          <w:sz w:val="12"/>
          <w:szCs w:val="12"/>
        </w:rPr>
        <w:t>Protokollnotiz zu § 8 Absatz 5:</w:t>
      </w:r>
    </w:p>
    <w:p w:rsidR="00BE1EFE" w:rsidRPr="00AA6462" w:rsidRDefault="00BE1EFE" w:rsidP="00BE165D">
      <w:pPr>
        <w:pStyle w:val="StandardWeb"/>
        <w:rPr>
          <w:sz w:val="12"/>
          <w:szCs w:val="12"/>
        </w:rPr>
      </w:pPr>
      <w:r w:rsidRPr="00AA6462">
        <w:rPr>
          <w:sz w:val="12"/>
          <w:szCs w:val="12"/>
        </w:rPr>
        <w:t xml:space="preserve">Siehe Protokollnotiz zu </w:t>
      </w:r>
      <w:hyperlink r:id="rId1356" w:history="1">
        <w:r w:rsidRPr="00F0397C">
          <w:rPr>
            <w:rStyle w:val="Hyperlink"/>
            <w:sz w:val="12"/>
            <w:szCs w:val="12"/>
          </w:rPr>
          <w:t>§ 6 Absatz 4</w:t>
        </w:r>
      </w:hyperlink>
      <w:r w:rsidRPr="00AA6462">
        <w:rPr>
          <w:sz w:val="12"/>
          <w:szCs w:val="12"/>
        </w:rPr>
        <w:t>.</w:t>
      </w:r>
    </w:p>
    <w:p w:rsidR="00BE1EFE" w:rsidRDefault="00BE1EFE" w:rsidP="005B409E">
      <w:pPr>
        <w:pStyle w:val="berschrift6"/>
        <w:spacing w:before="120" w:after="120"/>
      </w:pPr>
      <w:bookmarkStart w:id="1000" w:name="_Toc523926521"/>
      <w:r>
        <w:t>§ 9 Übernachtungsgeld</w:t>
      </w:r>
      <w:bookmarkEnd w:id="100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Übernachtungsgeld wird bei einer mindestens achtstündigen Dienstreise gewährt, wenn diese sich über mehrere Kalendertage erstreckt oder bis drei Uhr angetreten worden ist. </w:t>
      </w:r>
      <w:r w:rsidRPr="00AA6462">
        <w:rPr>
          <w:sz w:val="12"/>
          <w:szCs w:val="12"/>
        </w:rPr>
        <w:t>2</w:t>
      </w:r>
      <w:r>
        <w:t>Übernachtungsgeld wird nicht für eine Nacht gewährt, in der die Dienstreise nach drei Uhr angetreten oder vor zwei Uhr beendet worden ist.</w:t>
      </w:r>
    </w:p>
    <w:p w:rsidR="00BE1EFE" w:rsidRDefault="00BE1EFE" w:rsidP="00BE165D">
      <w:pPr>
        <w:pStyle w:val="StandardWeb"/>
      </w:pPr>
    </w:p>
    <w:p w:rsidR="00BE1EFE" w:rsidRDefault="00BE1EFE" w:rsidP="00BE165D">
      <w:pPr>
        <w:pStyle w:val="StandardWeb"/>
      </w:pPr>
      <w:r>
        <w:t>(2) Das Übernachtungsgeld für eine Nacht ohne belegmäßigen Nachweis beträgt 18,50 €.</w:t>
      </w:r>
    </w:p>
    <w:p w:rsidR="00BE1EFE" w:rsidRDefault="00BE1EFE" w:rsidP="00BE165D">
      <w:pPr>
        <w:pStyle w:val="StandardWeb"/>
      </w:pPr>
    </w:p>
    <w:p w:rsidR="00BE1EFE" w:rsidRDefault="00BE1EFE" w:rsidP="00BE165D">
      <w:pPr>
        <w:pStyle w:val="StandardWeb"/>
      </w:pPr>
      <w:r>
        <w:t>(3) </w:t>
      </w:r>
      <w:r w:rsidRPr="00AA6462">
        <w:rPr>
          <w:sz w:val="12"/>
          <w:szCs w:val="12"/>
        </w:rPr>
        <w:t>1</w:t>
      </w:r>
      <w:r>
        <w:t xml:space="preserve">Die entstandenen notwendigen Übernachtungskosten werden erstattet. </w:t>
      </w:r>
      <w:r w:rsidRPr="00AA6462">
        <w:rPr>
          <w:sz w:val="12"/>
          <w:szCs w:val="12"/>
        </w:rPr>
        <w:t>2</w:t>
      </w:r>
      <w:r>
        <w:t>Übernachtungs</w:t>
      </w:r>
      <w:r>
        <w:softHyphen/>
        <w:t xml:space="preserve">kosten, die die Kosten des Frühstücks einschließen, sind vorab um 20 v.H. des Tagegeldes nach </w:t>
      </w:r>
      <w:hyperlink r:id="rId1357" w:history="1">
        <w:r w:rsidRPr="00F0397C">
          <w:rPr>
            <w:rStyle w:val="Hyperlink"/>
          </w:rPr>
          <w:t>§ 8 Absatz 2 Satz 1</w:t>
        </w:r>
      </w:hyperlink>
      <w:r>
        <w:t xml:space="preserve"> zu kürzen.</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Abweichend von Absatz 1 wird ein Übernachtungsgeld nicht gewährt, wenn wegen der Benutzung von Beförderungsmitteln keine Übernachtungskosten anfallen. </w:t>
      </w:r>
      <w:r w:rsidRPr="00AA6462">
        <w:rPr>
          <w:sz w:val="12"/>
          <w:szCs w:val="12"/>
        </w:rPr>
        <w:t>2</w:t>
      </w:r>
      <w:r>
        <w:t>Für dieselbe Nacht wird ein Übernachtungsgeld nur gewährt, wenn wegen der frühen Ankunft oder späten Abfahrt des Beförderungsmittels eine Unterkunft in Anspruch genommen oder beibehalten werden musste.</w:t>
      </w:r>
    </w:p>
    <w:p w:rsidR="00BE1EFE" w:rsidRPr="00C247DA" w:rsidRDefault="00BE1EFE" w:rsidP="005B409E">
      <w:pPr>
        <w:pStyle w:val="berschrift6"/>
        <w:spacing w:before="120" w:after="120"/>
      </w:pPr>
      <w:bookmarkStart w:id="1001" w:name="_Toc523926522"/>
      <w:r>
        <w:t>§ 10 Erstattung der Auslagen bei längerem Aufenthalt am Geschäftsort</w:t>
      </w:r>
      <w:bookmarkEnd w:id="1001"/>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196B04">
        <w:rPr>
          <w:sz w:val="12"/>
          <w:szCs w:val="12"/>
        </w:rPr>
        <w:t>1</w:t>
      </w:r>
      <w:r>
        <w:t xml:space="preserve">Dauert der Aufenthalt an demselben auswärtigen Geschäftsort länger als 14 Tage, so werden als Vergütung vom 15. Tag an 50 v.H. des Tage- und Übernachtungsgeldes </w:t>
      </w:r>
      <w:hyperlink r:id="rId1358" w:history="1">
        <w:r w:rsidRPr="00F0397C">
          <w:rPr>
            <w:rStyle w:val="Hyperlink"/>
          </w:rPr>
          <w:t>(§ 8 Absatz 2 Satz 1</w:t>
        </w:r>
      </w:hyperlink>
      <w:r>
        <w:t xml:space="preserve">, </w:t>
      </w:r>
      <w:hyperlink r:id="rId1359" w:history="1">
        <w:r w:rsidRPr="00F0397C">
          <w:rPr>
            <w:rStyle w:val="Hyperlink"/>
          </w:rPr>
          <w:t>§ 9 Absatz 2</w:t>
        </w:r>
      </w:hyperlink>
      <w:r>
        <w:t xml:space="preserve">) und vom 43. Tag an Trennungstagegeld und Reisebeihilfen wie bei einer Abordnung </w:t>
      </w:r>
      <w:hyperlink r:id="rId1360" w:history="1">
        <w:r w:rsidRPr="0028275C">
          <w:rPr>
            <w:rStyle w:val="Hyperlink"/>
          </w:rPr>
          <w:t>(§ 23</w:t>
        </w:r>
      </w:hyperlink>
      <w:r>
        <w:t xml:space="preserve">) gewährt; </w:t>
      </w:r>
      <w:hyperlink r:id="rId1361" w:history="1">
        <w:r w:rsidRPr="00F0397C">
          <w:rPr>
            <w:rStyle w:val="Hyperlink"/>
          </w:rPr>
          <w:t>§ 9 Absatz 3</w:t>
        </w:r>
      </w:hyperlink>
      <w:r>
        <w:t xml:space="preserve"> wird insoweit nicht angewandt. </w:t>
      </w:r>
      <w:r w:rsidRPr="00196B04">
        <w:rPr>
          <w:sz w:val="12"/>
          <w:szCs w:val="12"/>
        </w:rPr>
        <w:t>2</w:t>
      </w:r>
      <w:r>
        <w:t>Zu den Aufenthaltstagen rechnen alle Tage zwischen dem Hinreisetag und dem Rückreisetag.</w:t>
      </w:r>
    </w:p>
    <w:p w:rsidR="00BE1EFE" w:rsidRDefault="00BE1EFE" w:rsidP="00BE165D">
      <w:pPr>
        <w:pStyle w:val="StandardWeb"/>
      </w:pPr>
    </w:p>
    <w:p w:rsidR="00BE1EFE" w:rsidRDefault="00BE1EFE" w:rsidP="00BE165D">
      <w:pPr>
        <w:pStyle w:val="StandardWeb"/>
      </w:pPr>
      <w:r>
        <w:lastRenderedPageBreak/>
        <w:t xml:space="preserve">(2) Die oberste Dienstbehörde kann abweichend von Absatz 1 das volle Tage- und Übernachtungsgeld </w:t>
      </w:r>
      <w:hyperlink r:id="rId1362" w:history="1">
        <w:r w:rsidRPr="00F0397C">
          <w:rPr>
            <w:rStyle w:val="Hyperlink"/>
          </w:rPr>
          <w:t>(§ 8 Absatz 2 Satz 1</w:t>
        </w:r>
      </w:hyperlink>
      <w:r>
        <w:t xml:space="preserve">, </w:t>
      </w:r>
      <w:hyperlink r:id="rId1363" w:history="1">
        <w:r w:rsidRPr="00F0397C">
          <w:rPr>
            <w:rStyle w:val="Hyperlink"/>
          </w:rPr>
          <w:t>§ 9 Absätze 2 und 3</w:t>
        </w:r>
      </w:hyperlink>
      <w:r>
        <w:t>) in besonderen Fällen über die 14-Tagefrist hinaus, längstens jedoch bis zu drei Monaten bewilligen.</w:t>
      </w:r>
    </w:p>
    <w:p w:rsidR="00BE1EFE" w:rsidRPr="00196B04" w:rsidRDefault="00BE1EFE" w:rsidP="00BE165D">
      <w:pPr>
        <w:pStyle w:val="StandardWeb"/>
        <w:rPr>
          <w:sz w:val="12"/>
          <w:szCs w:val="12"/>
        </w:rPr>
      </w:pPr>
      <w:r w:rsidRPr="00196B04">
        <w:rPr>
          <w:sz w:val="12"/>
          <w:szCs w:val="12"/>
        </w:rPr>
        <w:t>Protokollnotiz zu § 10 Absatz 2:</w:t>
      </w:r>
    </w:p>
    <w:p w:rsidR="00BE1EFE" w:rsidRPr="00C247DA"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364" w:history="1">
        <w:r w:rsidRPr="00F0397C">
          <w:rPr>
            <w:rStyle w:val="Hyperlink"/>
            <w:sz w:val="12"/>
            <w:szCs w:val="12"/>
          </w:rPr>
          <w:t>§ 6 Absatz 4</w:t>
        </w:r>
      </w:hyperlink>
      <w:r>
        <w:rPr>
          <w:sz w:val="12"/>
          <w:szCs w:val="12"/>
        </w:rPr>
        <w:t>.</w:t>
      </w:r>
    </w:p>
    <w:p w:rsidR="00BE1EFE" w:rsidRPr="00C247DA" w:rsidRDefault="00BE1EFE" w:rsidP="005B409E">
      <w:pPr>
        <w:pStyle w:val="berschrift6"/>
        <w:spacing w:before="120" w:after="120"/>
      </w:pPr>
      <w:bookmarkStart w:id="1002" w:name="_Toc523926523"/>
      <w:r>
        <w:t>§ 11 Kürzung des Tage- und Übernachtungsgeldes und der Vergütung nach</w:t>
      </w:r>
      <w:r>
        <w:rPr>
          <w:lang w:eastAsia="x-none"/>
        </w:rPr>
        <w:t> </w:t>
      </w:r>
      <w:r>
        <w:t>§</w:t>
      </w:r>
      <w:r>
        <w:rPr>
          <w:lang w:eastAsia="x-none"/>
        </w:rPr>
        <w:t> </w:t>
      </w:r>
      <w:r>
        <w:t>10 Absatz 1</w:t>
      </w:r>
      <w:bookmarkEnd w:id="1002"/>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Erhalten Dienstreisende ihres Amts wegen unentgeltlich Verpflegung, ist</w:t>
      </w:r>
    </w:p>
    <w:p w:rsidR="00BE1EFE" w:rsidRDefault="00BE1EFE" w:rsidP="00BE165D">
      <w:pPr>
        <w:pStyle w:val="StandardWeb"/>
      </w:pPr>
      <w:r>
        <w:t xml:space="preserve">1. vom Tagegeld </w:t>
      </w:r>
      <w:hyperlink r:id="rId1365" w:history="1">
        <w:r w:rsidRPr="00F0397C">
          <w:rPr>
            <w:rStyle w:val="Hyperlink"/>
          </w:rPr>
          <w:t>(§ 8</w:t>
        </w:r>
      </w:hyperlink>
      <w:r>
        <w:t>) für das Frühstück 20 v.H., für das Mittag- und Abendessen je 40 v.H. des vollen Satzes,</w:t>
      </w:r>
    </w:p>
    <w:p w:rsidR="00BE1EFE" w:rsidRDefault="00BE1EFE" w:rsidP="00BE165D">
      <w:pPr>
        <w:pStyle w:val="StandardWeb"/>
      </w:pPr>
      <w:r>
        <w:t xml:space="preserve">2. von der Vergütung nach </w:t>
      </w:r>
      <w:hyperlink r:id="rId1366" w:history="1">
        <w:r w:rsidRPr="00F0397C">
          <w:rPr>
            <w:rStyle w:val="Hyperlink"/>
          </w:rPr>
          <w:t>§ 10</w:t>
        </w:r>
      </w:hyperlink>
      <w:r>
        <w:t xml:space="preserve"> für das Frühstück 15 v.H., für das Mittag- und Abendessen je 25 v.H.,</w:t>
      </w:r>
    </w:p>
    <w:p w:rsidR="00BE1EFE" w:rsidRDefault="00BE1EFE" w:rsidP="00BE165D">
      <w:pPr>
        <w:pStyle w:val="StandardWeb"/>
      </w:pPr>
      <w:r>
        <w:t xml:space="preserve">höchstens jedoch ein Betrag bis zur Höhe des jeweiligen Tagegeldes einzubehalten. </w:t>
      </w:r>
      <w:r w:rsidRPr="00AA6462">
        <w:rPr>
          <w:sz w:val="12"/>
          <w:szCs w:val="12"/>
        </w:rPr>
        <w:t>2</w:t>
      </w:r>
      <w:r>
        <w:t xml:space="preserve">Das Tagegeld und die Vergütung nach </w:t>
      </w:r>
      <w:hyperlink r:id="rId1367" w:history="1">
        <w:r w:rsidRPr="00F0397C">
          <w:rPr>
            <w:rStyle w:val="Hyperlink"/>
          </w:rPr>
          <w:t>§ 10 Absatz 1</w:t>
        </w:r>
      </w:hyperlink>
      <w:r>
        <w:t xml:space="preserve"> werden nach Satz 1 auch gekürzt, wenn von dritter Seite Verpflegung bereitgestellt wird und das Entgelt für sie in den erstattbaren Fahr- oder Nebenkosten enthalten ist.</w:t>
      </w:r>
    </w:p>
    <w:p w:rsidR="00BE1EFE" w:rsidRDefault="00BE1EFE" w:rsidP="00BE165D">
      <w:pPr>
        <w:pStyle w:val="StandardWeb"/>
      </w:pPr>
    </w:p>
    <w:p w:rsidR="00BE1EFE" w:rsidRDefault="00BE1EFE" w:rsidP="00BE165D">
      <w:pPr>
        <w:pStyle w:val="StandardWeb"/>
      </w:pPr>
      <w:r>
        <w:t>(2) </w:t>
      </w:r>
      <w:r w:rsidRPr="00AA6462">
        <w:rPr>
          <w:sz w:val="12"/>
          <w:szCs w:val="12"/>
        </w:rPr>
        <w:t>1</w:t>
      </w:r>
      <w:r>
        <w:t xml:space="preserve">Erhalten Dienstreisende ihres Amts wegen unentgeltlich Unterkunft oder werden die Auslagen für das Benutzen von Schlaf-, Liegewagen oder Schiffskabinen erstattet, wird Übernachtungsgeld </w:t>
      </w:r>
      <w:hyperlink r:id="rId1368" w:history="1">
        <w:r w:rsidRPr="00F0397C">
          <w:rPr>
            <w:rStyle w:val="Hyperlink"/>
          </w:rPr>
          <w:t>(§ 9</w:t>
        </w:r>
      </w:hyperlink>
      <w:r>
        <w:t xml:space="preserve">) nicht gewährt, die Vergütung nach </w:t>
      </w:r>
      <w:hyperlink r:id="rId1369" w:history="1">
        <w:r w:rsidRPr="00F0397C">
          <w:rPr>
            <w:rStyle w:val="Hyperlink"/>
          </w:rPr>
          <w:t>§ 10 Absatz 1</w:t>
        </w:r>
      </w:hyperlink>
      <w:r>
        <w:t xml:space="preserve"> wird um 35 v.H. gekürzt. </w:t>
      </w:r>
      <w:r w:rsidRPr="00AA6462">
        <w:rPr>
          <w:sz w:val="12"/>
          <w:szCs w:val="12"/>
        </w:rPr>
        <w:t>2</w:t>
      </w:r>
      <w:r>
        <w:t>Das gleiche gilt, wenn von dritter Seite Unterkunft bereitgestellt wird und das Entgelt für sie in den erstattbaren Nebenkosten enthalten ist.</w:t>
      </w:r>
    </w:p>
    <w:p w:rsidR="00BE1EFE" w:rsidRDefault="00BE1EFE" w:rsidP="00BE165D">
      <w:pPr>
        <w:pStyle w:val="StandardWeb"/>
      </w:pPr>
    </w:p>
    <w:p w:rsidR="00BE1EFE" w:rsidRDefault="00BE1EFE" w:rsidP="00BE165D">
      <w:pPr>
        <w:pStyle w:val="StandardWeb"/>
      </w:pPr>
      <w:r>
        <w:t>(3) Die Absätze 1 und 2 sind auch dann anzuwenden, wenn Dienstreisende ihres Amts wegen unentgeltlich bereitgestellte Verpflegung oder Unterkunft ohne triftigen Grund nicht in Anspruch nehmen.</w:t>
      </w:r>
    </w:p>
    <w:p w:rsidR="00BE1EFE" w:rsidRDefault="00BE1EFE" w:rsidP="00BE165D">
      <w:pPr>
        <w:pStyle w:val="StandardWeb"/>
      </w:pPr>
    </w:p>
    <w:p w:rsidR="00BE1EFE" w:rsidRDefault="00BE1EFE" w:rsidP="00BE165D">
      <w:pPr>
        <w:pStyle w:val="StandardWeb"/>
      </w:pPr>
      <w:r>
        <w:t>(4) Die oberste Dienstbehörde kann in besonderen Fällen niedrigere Kürzungssätze zulassen.</w:t>
      </w:r>
    </w:p>
    <w:p w:rsidR="00BE1EFE" w:rsidRPr="00196B04" w:rsidRDefault="00BE1EFE" w:rsidP="00BE165D">
      <w:pPr>
        <w:pStyle w:val="StandardWeb"/>
        <w:rPr>
          <w:sz w:val="12"/>
          <w:szCs w:val="12"/>
        </w:rPr>
      </w:pPr>
      <w:r w:rsidRPr="00196B04">
        <w:rPr>
          <w:sz w:val="12"/>
          <w:szCs w:val="12"/>
        </w:rPr>
        <w:t>Protokollnotiz zu § 11 Absatz 4:</w:t>
      </w:r>
    </w:p>
    <w:p w:rsidR="00BE1EFE" w:rsidRPr="00C247DA"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370" w:history="1">
        <w:r w:rsidRPr="00F0397C">
          <w:rPr>
            <w:rStyle w:val="Hyperlink"/>
            <w:sz w:val="12"/>
            <w:szCs w:val="12"/>
          </w:rPr>
          <w:t>§ 6 Absatz 4</w:t>
        </w:r>
      </w:hyperlink>
      <w:r>
        <w:rPr>
          <w:sz w:val="12"/>
          <w:szCs w:val="12"/>
        </w:rPr>
        <w:t>.</w:t>
      </w:r>
    </w:p>
    <w:p w:rsidR="00BE1EFE" w:rsidRPr="00C247DA" w:rsidRDefault="00BE1EFE" w:rsidP="005B409E">
      <w:pPr>
        <w:pStyle w:val="berschrift6"/>
        <w:spacing w:before="120" w:after="120"/>
      </w:pPr>
      <w:bookmarkStart w:id="1003" w:name="_Toc523926524"/>
      <w:r>
        <w:t>§ 12 Erstattung der Nebenkosten</w:t>
      </w:r>
      <w:bookmarkEnd w:id="1003"/>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Zur Erledigung des Dienstgeschäfts entstandene notwendige Auslagen, die nicht nach </w:t>
      </w:r>
      <w:hyperlink r:id="rId1371" w:history="1">
        <w:r w:rsidRPr="00B235AC">
          <w:rPr>
            <w:rStyle w:val="Hyperlink"/>
          </w:rPr>
          <w:t>§§ 5 bis 11</w:t>
        </w:r>
      </w:hyperlink>
      <w:r>
        <w:t xml:space="preserve"> zu erstatten sind, werden als Nebenkosten erstattet.</w:t>
      </w:r>
    </w:p>
    <w:p w:rsidR="00BE1EFE" w:rsidRPr="00C247DA" w:rsidRDefault="00BE1EFE" w:rsidP="005B409E">
      <w:pPr>
        <w:pStyle w:val="berschrift6"/>
        <w:spacing w:before="120" w:after="120"/>
      </w:pPr>
      <w:bookmarkStart w:id="1004" w:name="_Toc523926525"/>
      <w:r>
        <w:t>§ 13 Erstattung der Auslagen bei Dienstreisen bis zu sechs Stunden Dauer und bei Dienstgängen</w:t>
      </w:r>
      <w:bookmarkEnd w:id="1004"/>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AA6462">
        <w:rPr>
          <w:sz w:val="12"/>
          <w:szCs w:val="12"/>
        </w:rPr>
        <w:t>1</w:t>
      </w:r>
      <w:r>
        <w:t xml:space="preserve">Bei Dienstreisen bis zu sechs Stunden Dauer und bei Dienstgängen stehen Dienstreisenden Fahrkostenerstattung </w:t>
      </w:r>
      <w:hyperlink r:id="rId1372" w:history="1">
        <w:r w:rsidRPr="00B235AC">
          <w:rPr>
            <w:rStyle w:val="Hyperlink"/>
          </w:rPr>
          <w:t>(§ 5</w:t>
        </w:r>
      </w:hyperlink>
      <w:r>
        <w:t>), Wegstrecken- und Mitnahmeentschädigung (</w:t>
      </w:r>
      <w:hyperlink r:id="rId1373" w:history="1">
        <w:r w:rsidRPr="00F0397C">
          <w:rPr>
            <w:rStyle w:val="Hyperlink"/>
          </w:rPr>
          <w:t>§ 6</w:t>
        </w:r>
      </w:hyperlink>
      <w:r>
        <w:t xml:space="preserve">) und Neben-kostenerstattung </w:t>
      </w:r>
      <w:hyperlink r:id="rId1374" w:history="1">
        <w:r w:rsidRPr="00B235AC">
          <w:rPr>
            <w:rStyle w:val="Hyperlink"/>
          </w:rPr>
          <w:t>(§ 12</w:t>
        </w:r>
      </w:hyperlink>
      <w:r>
        <w:t xml:space="preserve">) zu. </w:t>
      </w:r>
      <w:r w:rsidRPr="00AA6462">
        <w:rPr>
          <w:sz w:val="12"/>
          <w:szCs w:val="12"/>
        </w:rPr>
        <w:t>2</w:t>
      </w:r>
      <w:r>
        <w:t xml:space="preserve">Daneben werden die entstandenen notwendigen Auslagen für Verpflegung bis zur Höhe von 4,50 € sowie für Unterkunft erstattet; </w:t>
      </w:r>
      <w:hyperlink r:id="rId1375" w:history="1">
        <w:r w:rsidRPr="00F0397C">
          <w:rPr>
            <w:rStyle w:val="Hyperlink"/>
          </w:rPr>
          <w:t>§ 8 Absatz 5</w:t>
        </w:r>
      </w:hyperlink>
      <w:r>
        <w:t xml:space="preserve"> gilt entsprechend.</w:t>
      </w:r>
    </w:p>
    <w:p w:rsidR="00BE1EFE" w:rsidRPr="00C247DA" w:rsidRDefault="00BE1EFE" w:rsidP="005B409E">
      <w:pPr>
        <w:pStyle w:val="berschrift6"/>
        <w:spacing w:before="120" w:after="120"/>
      </w:pPr>
      <w:bookmarkStart w:id="1005" w:name="_Toc523926526"/>
      <w:r>
        <w:t>§ 14</w:t>
      </w:r>
      <w:r>
        <w:rPr>
          <w:lang w:eastAsia="x-none"/>
        </w:rPr>
        <w:t xml:space="preserve"> </w:t>
      </w:r>
      <w:r>
        <w:t>Bemessung der Reisekostenvergütung in besonderen Fällen</w:t>
      </w:r>
      <w:bookmarkEnd w:id="100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AA6462">
        <w:rPr>
          <w:sz w:val="12"/>
          <w:szCs w:val="12"/>
        </w:rPr>
        <w:t>1</w:t>
      </w:r>
      <w:r>
        <w:t xml:space="preserve">Bei Dienstreisen aus Anlass der Einstellung, einer Versetzung, Abordnung oder Aufhebung einer Abordnung wird das Tagegeld für die Zeit bis zur Ankunft am neuen Dienstort gewährt; im Übrigen gilt </w:t>
      </w:r>
      <w:hyperlink r:id="rId1376" w:history="1">
        <w:r w:rsidRPr="00B235AC">
          <w:rPr>
            <w:rStyle w:val="Hyperlink"/>
          </w:rPr>
          <w:t>§ 7</w:t>
        </w:r>
      </w:hyperlink>
      <w:r>
        <w:t xml:space="preserve">. </w:t>
      </w:r>
      <w:r w:rsidRPr="00AA6462">
        <w:rPr>
          <w:sz w:val="12"/>
          <w:szCs w:val="12"/>
        </w:rPr>
        <w:t>2</w:t>
      </w:r>
      <w:r>
        <w:t xml:space="preserve">Das Tagegeld wird für die Zeit bis zum Ablauf des Ankunftstags gewährt, wenn Dienstreisende vom nächsten Tag an Trennungsreise- oder Trennungstagegeld erhalten; daneben wird Übernachtungsgeld gewährt. </w:t>
      </w:r>
      <w:r w:rsidRPr="00AA6462">
        <w:rPr>
          <w:sz w:val="12"/>
          <w:szCs w:val="12"/>
        </w:rPr>
        <w:t>3</w:t>
      </w:r>
      <w:r>
        <w:t xml:space="preserve">Bei Dienstreisen aus Anlass einer Versetzung, Abordnung oder Aufhebung einer Abordnung wird das Tagegeld </w:t>
      </w:r>
      <w:r>
        <w:lastRenderedPageBreak/>
        <w:t xml:space="preserve">von dem Beginn des Abfahrtstages an gewährt, wenn für den vorhergehenden Tag Trennungsreise- oder Trennungstagegeld gewährt wird. </w:t>
      </w:r>
      <w:r w:rsidRPr="00AA6462">
        <w:rPr>
          <w:sz w:val="12"/>
          <w:szCs w:val="12"/>
        </w:rPr>
        <w:t>4</w:t>
      </w:r>
      <w:hyperlink r:id="rId1377" w:history="1">
        <w:r w:rsidRPr="00CB796F">
          <w:rPr>
            <w:rStyle w:val="Hyperlink"/>
          </w:rPr>
          <w:t>§ 11</w:t>
        </w:r>
      </w:hyperlink>
      <w:r>
        <w:t xml:space="preserve"> bleibt unberührt.</w:t>
      </w:r>
    </w:p>
    <w:p w:rsidR="00BE1EFE" w:rsidRDefault="00BE1EFE" w:rsidP="00BE165D">
      <w:pPr>
        <w:pStyle w:val="StandardWeb"/>
      </w:pPr>
    </w:p>
    <w:p w:rsidR="00BE1EFE" w:rsidRDefault="00BE1EFE" w:rsidP="00BE165D">
      <w:pPr>
        <w:pStyle w:val="StandardWeb"/>
      </w:pPr>
      <w:r>
        <w:t>(2) Bei Dienstreisen aus Anlass der Einstellung wird höchstens die Reisekostenvergütung gewährt, die bei einer Dienstreise vom Wohnort zum Dienstort zustünde.</w:t>
      </w:r>
    </w:p>
    <w:p w:rsidR="00BE1EFE" w:rsidRDefault="00BE1EFE" w:rsidP="00BE165D">
      <w:pPr>
        <w:pStyle w:val="StandardWeb"/>
      </w:pPr>
    </w:p>
    <w:p w:rsidR="00BE1EFE" w:rsidRDefault="00BE1EFE" w:rsidP="00BE165D">
      <w:pPr>
        <w:pStyle w:val="StandardWeb"/>
      </w:pPr>
      <w:r>
        <w:t xml:space="preserve">(3) Bei einer Dienstreise nach dem Wohnort wird für die Dauer des Aufenthalts an diesem Ort kein Tage- und Übernachtungsgeld gewährt; notwendige Auslagen werden wie bei einem Dienstgang </w:t>
      </w:r>
      <w:hyperlink r:id="rId1378" w:history="1">
        <w:r w:rsidRPr="00B235AC">
          <w:rPr>
            <w:rStyle w:val="Hyperlink"/>
          </w:rPr>
          <w:t>(§ 13</w:t>
        </w:r>
      </w:hyperlink>
      <w:r>
        <w:t>) erstattet.</w:t>
      </w:r>
    </w:p>
    <w:p w:rsidR="00BE1EFE" w:rsidRDefault="00BE1EFE" w:rsidP="00BE165D">
      <w:pPr>
        <w:pStyle w:val="StandardWeb"/>
      </w:pPr>
    </w:p>
    <w:p w:rsidR="00BE1EFE" w:rsidRDefault="00BE1EFE" w:rsidP="00BE165D">
      <w:pPr>
        <w:pStyle w:val="StandardWeb"/>
      </w:pPr>
      <w:r>
        <w:t>(4) </w:t>
      </w:r>
      <w:r w:rsidRPr="00AA6462">
        <w:rPr>
          <w:sz w:val="12"/>
          <w:szCs w:val="12"/>
        </w:rPr>
        <w:t>1</w:t>
      </w:r>
      <w:r>
        <w:t xml:space="preserve">Übernachten Dienstreisende in ihrer außerhalb des Geschäftsorts gelegenen Wohnung, so wird kein Übernachtungsgeld gewährt, die Vergütung nach </w:t>
      </w:r>
      <w:hyperlink r:id="rId1379" w:history="1">
        <w:r w:rsidRPr="00B235AC">
          <w:rPr>
            <w:rStyle w:val="Hyperlink"/>
          </w:rPr>
          <w:t>§ 10 Absatz 1</w:t>
        </w:r>
      </w:hyperlink>
      <w:r>
        <w:t xml:space="preserve"> wird um 35 v.H. gekürzt. </w:t>
      </w:r>
      <w:r w:rsidRPr="00196B04">
        <w:rPr>
          <w:sz w:val="12"/>
          <w:szCs w:val="12"/>
        </w:rPr>
        <w:t>2</w:t>
      </w:r>
      <w:r>
        <w:t xml:space="preserve">Für volle Kalendertage des Aufenthalts am Wohnort wird kein Tagegeld und keine Vergütung nach </w:t>
      </w:r>
      <w:hyperlink r:id="rId1380" w:history="1">
        <w:r w:rsidRPr="00B235AC">
          <w:rPr>
            <w:rStyle w:val="Hyperlink"/>
          </w:rPr>
          <w:t>§ 10 Absatz 1</w:t>
        </w:r>
      </w:hyperlink>
      <w:r>
        <w:t xml:space="preserve"> gewährt. </w:t>
      </w:r>
      <w:r w:rsidRPr="00196B04">
        <w:rPr>
          <w:sz w:val="12"/>
          <w:szCs w:val="12"/>
        </w:rPr>
        <w:t>3</w:t>
      </w:r>
      <w:r>
        <w:t xml:space="preserve">Die notwendigen Auslagen für die Fahrten zwischen dem Geschäftsort und dem Wohnort </w:t>
      </w:r>
      <w:hyperlink r:id="rId1381" w:history="1">
        <w:r w:rsidRPr="00B235AC">
          <w:rPr>
            <w:rStyle w:val="Hyperlink"/>
          </w:rPr>
          <w:t>(§§ 5 und 6</w:t>
        </w:r>
      </w:hyperlink>
      <w:r>
        <w:t>) werden bis zur Höhe der nach den Sätzen 1 und 2 eingesparten Beträge erstattet.</w:t>
      </w:r>
    </w:p>
    <w:p w:rsidR="00BE1EFE" w:rsidRDefault="00BE1EFE" w:rsidP="00BE165D">
      <w:pPr>
        <w:pStyle w:val="StandardWeb"/>
      </w:pPr>
    </w:p>
    <w:p w:rsidR="00BE1EFE" w:rsidRDefault="00BE1EFE" w:rsidP="00BE165D">
      <w:pPr>
        <w:pStyle w:val="StandardWeb"/>
      </w:pPr>
      <w:r>
        <w:t xml:space="preserve">(5) Wer eine Dienstreise als Beisitzerin/Beisitzer eines kirchlichen Arbeitsgerichts ausführt, wird für die Fahrkostenerstattung Beschäftigten der übrigen Entgeltgruppen im Sinn des </w:t>
      </w:r>
      <w:hyperlink r:id="rId1382" w:history="1">
        <w:r w:rsidRPr="00B235AC">
          <w:rPr>
            <w:rStyle w:val="Hyperlink"/>
          </w:rPr>
          <w:t>§ 5 Absatz 1 Satz 1</w:t>
        </w:r>
      </w:hyperlink>
      <w:r>
        <w:t xml:space="preserve"> gleichgestellt.</w:t>
      </w:r>
    </w:p>
    <w:p w:rsidR="00BE1EFE" w:rsidRPr="00C247DA" w:rsidRDefault="00BE1EFE" w:rsidP="005B409E">
      <w:pPr>
        <w:pStyle w:val="berschrift6"/>
        <w:spacing w:before="120" w:after="120"/>
      </w:pPr>
      <w:bookmarkStart w:id="1006" w:name="_Toc523926527"/>
      <w:r>
        <w:t>§ 15 Verbindung von Dienstreisen mit privaten Reisen</w:t>
      </w:r>
      <w:bookmarkEnd w:id="100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w:t>
      </w:r>
      <w:r w:rsidRPr="00196B04">
        <w:rPr>
          <w:sz w:val="12"/>
          <w:szCs w:val="12"/>
        </w:rPr>
        <w:t>1</w:t>
      </w:r>
      <w:r>
        <w:t xml:space="preserve">Wird eine Dienstreise mit einer privaten Reise verbunden, ist die Reisekostenvergütung so zu bemessen, als wäre nur die Dienstreise durchgeführt worden. </w:t>
      </w:r>
      <w:r w:rsidRPr="00196B04">
        <w:rPr>
          <w:sz w:val="12"/>
          <w:szCs w:val="12"/>
        </w:rPr>
        <w:t>2</w:t>
      </w:r>
      <w:r>
        <w:t>Die Reisekosten</w:t>
      </w:r>
      <w:r>
        <w:softHyphen/>
        <w:t>vergütung darf die nach dem tatsächlichen Reiseverlauf entstandenen Kosten nicht übersteigen.</w:t>
      </w:r>
    </w:p>
    <w:p w:rsidR="00BE1EFE" w:rsidRDefault="00BE1EFE" w:rsidP="00BE165D">
      <w:pPr>
        <w:pStyle w:val="StandardWeb"/>
      </w:pPr>
    </w:p>
    <w:p w:rsidR="00BE1EFE" w:rsidRDefault="00BE1EFE" w:rsidP="00BE165D">
      <w:pPr>
        <w:pStyle w:val="StandardWeb"/>
      </w:pPr>
      <w:r>
        <w:t>(2) </w:t>
      </w:r>
      <w:r w:rsidRPr="00196B04">
        <w:rPr>
          <w:sz w:val="12"/>
          <w:szCs w:val="12"/>
        </w:rPr>
        <w:t>1</w:t>
      </w:r>
      <w:r>
        <w:t xml:space="preserve">Ist der Antritt einer Dienstreise vom Urlaubsort aus angeordnet oder genehmigt worden, gilt der Urlaubsort als Ausgangsort der Dienstreise. </w:t>
      </w:r>
      <w:r w:rsidRPr="00196B04">
        <w:rPr>
          <w:sz w:val="12"/>
          <w:szCs w:val="12"/>
        </w:rPr>
        <w:t>2</w:t>
      </w:r>
      <w:r>
        <w:t xml:space="preserve">Absatz 1 Satz 2 gilt entsprechend. </w:t>
      </w:r>
      <w:r w:rsidRPr="00196B04">
        <w:rPr>
          <w:sz w:val="12"/>
          <w:szCs w:val="12"/>
        </w:rPr>
        <w:t>3</w:t>
      </w:r>
      <w:r>
        <w:t>Ist die Dienstreise erst nach dem Ende des Urlaubs anzutreten, wird Reisekostenvergütung vom Urlaubsort zum Geschäftsort und vom Geschäftsort zum Dienstort oder zur Wohnung (</w:t>
      </w:r>
      <w:hyperlink r:id="rId1383" w:history="1">
        <w:r w:rsidRPr="00B235AC">
          <w:rPr>
            <w:rStyle w:val="Hyperlink"/>
          </w:rPr>
          <w:t>§ 7</w:t>
        </w:r>
      </w:hyperlink>
      <w:r>
        <w:t xml:space="preserve">) gewährt. </w:t>
      </w:r>
      <w:r w:rsidRPr="00196B04">
        <w:rPr>
          <w:sz w:val="12"/>
          <w:szCs w:val="12"/>
        </w:rPr>
        <w:t>4</w:t>
      </w:r>
      <w:r>
        <w:t>Auf den sich nach Satz 3 ergebenden Fahrkostenersatz werden Fahrkosten für die kürzeste Reisestrecke vom letzten Urlaubsort zum Dienstort oder zur Wohnung angerechnet.</w:t>
      </w:r>
    </w:p>
    <w:p w:rsidR="00BE1EFE" w:rsidRDefault="00BE1EFE" w:rsidP="00BE165D">
      <w:pPr>
        <w:pStyle w:val="StandardWeb"/>
      </w:pPr>
    </w:p>
    <w:p w:rsidR="00BE1EFE" w:rsidRDefault="00BE1EFE" w:rsidP="00BE165D">
      <w:pPr>
        <w:pStyle w:val="StandardWeb"/>
      </w:pPr>
      <w:r>
        <w:t>(3) </w:t>
      </w:r>
      <w:r w:rsidRPr="00196B04">
        <w:rPr>
          <w:sz w:val="12"/>
          <w:szCs w:val="12"/>
        </w:rPr>
        <w:t>1</w:t>
      </w:r>
      <w:r>
        <w:t xml:space="preserve">Wird aus dienstlichen Gründen die vorzeitige Beendigung eines Urlaubs angeordnet, wird für die Rückreise vom letzten Urlaubsort zum Dienstort oder zur Wohnung </w:t>
      </w:r>
      <w:hyperlink r:id="rId1384" w:history="1">
        <w:r w:rsidRPr="00B235AC">
          <w:rPr>
            <w:rStyle w:val="Hyperlink"/>
          </w:rPr>
          <w:t>(§ 7</w:t>
        </w:r>
      </w:hyperlink>
      <w:r>
        <w:t xml:space="preserve">) Reisekostenvergütung gewährt. </w:t>
      </w:r>
      <w:r w:rsidRPr="00196B04">
        <w:rPr>
          <w:sz w:val="12"/>
          <w:szCs w:val="12"/>
        </w:rPr>
        <w:t>2</w:t>
      </w:r>
      <w:r>
        <w:t xml:space="preserve">Sonstige Aufwendungen der Dienstreisenden und der sie begleitenden Personen, die durch die vorzeitige Beendigung eines Urlaubs verursacht worden sind, werden in angemessenem Umfang erstattet. </w:t>
      </w:r>
      <w:r w:rsidRPr="00196B04">
        <w:rPr>
          <w:sz w:val="12"/>
          <w:szCs w:val="12"/>
        </w:rPr>
        <w:t>3</w:t>
      </w:r>
      <w:r>
        <w:t>Für die Urlaubsreise angefallene Fahrkosten der Dienstreisenden und der sie begleitenden Personen können im Verhältnis des auf Grund der vorzeitigen Urlaubsbeendigung nicht ausgenutzten Teils des Urlaubs erstattet werden.</w:t>
      </w:r>
    </w:p>
    <w:p w:rsidR="00BE1EFE" w:rsidRPr="00694253" w:rsidRDefault="00BE1EFE" w:rsidP="005B409E">
      <w:pPr>
        <w:pStyle w:val="berschrift6"/>
        <w:spacing w:before="120" w:after="120"/>
        <w:rPr>
          <w:lang w:eastAsia="x-none"/>
        </w:rPr>
      </w:pPr>
      <w:bookmarkStart w:id="1007" w:name="_Toc523926528"/>
      <w:r>
        <w:t>§ 16 Zwischendienstreisen</w:t>
      </w:r>
      <w:bookmarkEnd w:id="1007"/>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196B04">
        <w:rPr>
          <w:sz w:val="12"/>
          <w:szCs w:val="12"/>
        </w:rPr>
        <w:t>1</w:t>
      </w:r>
      <w:r>
        <w:t xml:space="preserve">Zwischendienstreisen sind Reisen zur Erledigung von Dienstgeschäften außerhalb des Dienstreisegeschäftsortes, die von diesem Ort aus angetreten und an ihm wieder beendet werden. </w:t>
      </w:r>
      <w:r w:rsidRPr="00196B04">
        <w:rPr>
          <w:sz w:val="12"/>
          <w:szCs w:val="12"/>
        </w:rPr>
        <w:t>2</w:t>
      </w:r>
      <w:r>
        <w:t xml:space="preserve">Durch Zwischendienstreisen werden weder die Dienstreise noch der Aufenthalt an demselben auswärtigen Geschäftsort im Sinn des </w:t>
      </w:r>
      <w:hyperlink r:id="rId1385" w:history="1">
        <w:r w:rsidRPr="00B235AC">
          <w:rPr>
            <w:rStyle w:val="Hyperlink"/>
          </w:rPr>
          <w:t>§ 10</w:t>
        </w:r>
      </w:hyperlink>
      <w:r>
        <w:t xml:space="preserve"> unterbrochen. </w:t>
      </w:r>
      <w:r w:rsidRPr="00196B04">
        <w:rPr>
          <w:sz w:val="12"/>
          <w:szCs w:val="12"/>
        </w:rPr>
        <w:t>3</w:t>
      </w:r>
      <w:r>
        <w:t xml:space="preserve">Ist eine Übernachtung außerhalb des Dienstreisegeschäftsorts oder des Wohnorts notwendig, werden neben dem Übernachtungsgeld die notwendigen Auslagen für das Beibehalten der Unterkunft am bisherigen Geschäftsort nach Maßgabe der </w:t>
      </w:r>
      <w:hyperlink r:id="rId1386" w:history="1">
        <w:r w:rsidRPr="00B235AC">
          <w:rPr>
            <w:rStyle w:val="Hyperlink"/>
          </w:rPr>
          <w:t>§§ 9 und 10</w:t>
        </w:r>
      </w:hyperlink>
      <w:r>
        <w:t xml:space="preserve"> erstattet.</w:t>
      </w:r>
    </w:p>
    <w:p w:rsidR="00BE1EFE" w:rsidRDefault="00BE1EFE" w:rsidP="00BE165D">
      <w:pPr>
        <w:pStyle w:val="StandardWeb"/>
      </w:pPr>
    </w:p>
    <w:p w:rsidR="00BE1EFE" w:rsidRPr="00694253" w:rsidRDefault="00BE1EFE" w:rsidP="005B409E">
      <w:pPr>
        <w:pStyle w:val="berschrift6"/>
        <w:spacing w:before="120" w:after="120"/>
        <w:rPr>
          <w:lang w:eastAsia="x-none"/>
        </w:rPr>
      </w:pPr>
      <w:bookmarkStart w:id="1008" w:name="_Toc523926529"/>
      <w:r>
        <w:lastRenderedPageBreak/>
        <w:t>§ 17 Erkrankung während einer Dienstreise</w:t>
      </w:r>
      <w:bookmarkEnd w:id="1008"/>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rsidRPr="00196B04">
        <w:rPr>
          <w:sz w:val="12"/>
          <w:szCs w:val="12"/>
        </w:rPr>
        <w:t>1</w:t>
      </w:r>
      <w:r>
        <w:t xml:space="preserve">Ist bei einer Erkrankung eine Rückkehr in die Wohnung nicht möglich, wird die Reisekostenvergütung weitergewährt. </w:t>
      </w:r>
      <w:r w:rsidRPr="00196B04">
        <w:rPr>
          <w:sz w:val="12"/>
          <w:szCs w:val="12"/>
        </w:rPr>
        <w:t>2</w:t>
      </w:r>
      <w:r>
        <w:t xml:space="preserve">Bei Aufnahme in ein Krankenhaus wird für jeden vollen Kalendertag des Krankenhausaufenthalts nur Ersatz der notwendigen Auslagen für das Beibehalten der Unterkunft am Geschäftsort nach Maßgabe der </w:t>
      </w:r>
      <w:hyperlink r:id="rId1387" w:history="1">
        <w:r w:rsidRPr="00B235AC">
          <w:rPr>
            <w:rStyle w:val="Hyperlink"/>
          </w:rPr>
          <w:t>§§ 9 und 10</w:t>
        </w:r>
      </w:hyperlink>
      <w:r>
        <w:t xml:space="preserve"> gewährt. </w:t>
      </w:r>
      <w:r w:rsidRPr="00196B04">
        <w:rPr>
          <w:sz w:val="12"/>
          <w:szCs w:val="12"/>
        </w:rPr>
        <w:t>3</w:t>
      </w:r>
      <w:r>
        <w:t xml:space="preserve">Für eine Besuchsreise einer/eines Angehörigen aus Anlass einer durch ärztliche Bescheinigung nachgewiesenen schweren Erkrankung der Berechtigten kann eine Reisebeihilfe in sinngemäßer Anwendung der trennungsgeldrechtlichen Vorschriften </w:t>
      </w:r>
      <w:hyperlink r:id="rId1388" w:history="1">
        <w:r w:rsidRPr="0028275C">
          <w:rPr>
            <w:rStyle w:val="Hyperlink"/>
          </w:rPr>
          <w:t>(§ 23</w:t>
        </w:r>
      </w:hyperlink>
      <w:r>
        <w:t>) gewährt werden.</w:t>
      </w:r>
    </w:p>
    <w:p w:rsidR="00BE1EFE" w:rsidRDefault="00BE1EFE" w:rsidP="00BE165D">
      <w:pPr>
        <w:pStyle w:val="StandardWeb"/>
      </w:pPr>
    </w:p>
    <w:p w:rsidR="00BE1EFE" w:rsidRPr="00694253" w:rsidRDefault="00BE1EFE" w:rsidP="005B409E">
      <w:pPr>
        <w:pStyle w:val="berschrift6"/>
        <w:spacing w:before="120" w:after="120"/>
        <w:rPr>
          <w:lang w:eastAsia="x-none"/>
        </w:rPr>
      </w:pPr>
      <w:bookmarkStart w:id="1009" w:name="_Toc523926530"/>
      <w:r>
        <w:t>§ 18 Aufwandsvergütung</w:t>
      </w:r>
      <w:bookmarkEnd w:id="1009"/>
    </w:p>
    <w:p w:rsidR="00BE1EFE" w:rsidRPr="00B76821" w:rsidRDefault="00BE1EFE" w:rsidP="00B76821">
      <w:pPr>
        <w:pStyle w:val="h7"/>
        <w:keepNext w:val="0"/>
        <w:spacing w:before="0" w:after="0"/>
        <w:jc w:val="left"/>
        <w:outlineLvl w:val="5"/>
        <w:rPr>
          <w:sz w:val="2"/>
        </w:rPr>
      </w:pPr>
    </w:p>
    <w:p w:rsidR="00BE1EFE" w:rsidRPr="00C962B8" w:rsidRDefault="00BE1EFE" w:rsidP="00BE165D">
      <w:pPr>
        <w:pStyle w:val="StandardWeb"/>
      </w:pPr>
      <w:r w:rsidRPr="00196B04">
        <w:rPr>
          <w:sz w:val="12"/>
          <w:szCs w:val="12"/>
        </w:rPr>
        <w:t>1</w:t>
      </w:r>
      <w:r>
        <w:t xml:space="preserve">Dienstreisende, denen erfahrungsgemäß geringere Aufwendungen für Verpflegung oder Unterkunft als allgemein entstehen, erhalten nach näherer Bestimmung der obersten Dienstbehörde an Stelle der Reisekostenvergütung im Sinn des </w:t>
      </w:r>
      <w:hyperlink r:id="rId1389" w:history="1">
        <w:r w:rsidRPr="00B235AC">
          <w:rPr>
            <w:rStyle w:val="Hyperlink"/>
          </w:rPr>
          <w:t>§ 4 Nummern 3 bis 5 und 7</w:t>
        </w:r>
      </w:hyperlink>
      <w:r>
        <w:t xml:space="preserve"> entsprechend den notwendigen Mehrauslagen eine Aufwandsvergütung. </w:t>
      </w:r>
      <w:r w:rsidRPr="00196B04">
        <w:rPr>
          <w:sz w:val="12"/>
          <w:szCs w:val="12"/>
        </w:rPr>
        <w:t>2</w:t>
      </w:r>
      <w:r>
        <w:t xml:space="preserve">Die </w:t>
      </w:r>
      <w:r w:rsidRPr="00EA2F28">
        <w:t>Aufwands</w:t>
      </w:r>
      <w:r>
        <w:softHyphen/>
      </w:r>
      <w:r w:rsidRPr="00EA2F28">
        <w:t>vergütung</w:t>
      </w:r>
      <w:r>
        <w:t xml:space="preserve"> kann auch nach Stundensätzen gewährt werden.</w:t>
      </w:r>
    </w:p>
    <w:p w:rsidR="00BE1EFE" w:rsidRPr="00196B04" w:rsidRDefault="00BE1EFE" w:rsidP="00BE165D">
      <w:pPr>
        <w:pStyle w:val="StandardWeb"/>
        <w:rPr>
          <w:sz w:val="12"/>
          <w:szCs w:val="12"/>
        </w:rPr>
      </w:pPr>
      <w:r w:rsidRPr="00196B04">
        <w:rPr>
          <w:sz w:val="12"/>
          <w:szCs w:val="12"/>
        </w:rPr>
        <w:t>Protokollnotiz zu § 18:</w:t>
      </w:r>
    </w:p>
    <w:p w:rsidR="00BE1EFE" w:rsidRPr="00694253" w:rsidRDefault="00BE1EFE" w:rsidP="00BE165D">
      <w:pPr>
        <w:pStyle w:val="StandardWeb"/>
        <w:rPr>
          <w:sz w:val="12"/>
          <w:szCs w:val="12"/>
        </w:rPr>
      </w:pPr>
      <w:r w:rsidRPr="00196B04">
        <w:rPr>
          <w:sz w:val="12"/>
          <w:szCs w:val="12"/>
        </w:rPr>
        <w:t xml:space="preserve">Siehe </w:t>
      </w:r>
      <w:r>
        <w:rPr>
          <w:sz w:val="12"/>
          <w:szCs w:val="12"/>
        </w:rPr>
        <w:t xml:space="preserve">Protokollnotiz zu </w:t>
      </w:r>
      <w:hyperlink r:id="rId1390" w:history="1">
        <w:r w:rsidRPr="00F0397C">
          <w:rPr>
            <w:rStyle w:val="Hyperlink"/>
            <w:sz w:val="12"/>
            <w:szCs w:val="12"/>
          </w:rPr>
          <w:t>§ 6 Absatz 4</w:t>
        </w:r>
      </w:hyperlink>
      <w:r>
        <w:rPr>
          <w:sz w:val="12"/>
          <w:szCs w:val="12"/>
        </w:rPr>
        <w:t>.</w:t>
      </w:r>
    </w:p>
    <w:p w:rsidR="00BE1EFE" w:rsidRPr="00694253" w:rsidRDefault="00BE1EFE" w:rsidP="005B409E">
      <w:pPr>
        <w:pStyle w:val="berschrift6"/>
        <w:spacing w:before="120" w:after="120"/>
        <w:rPr>
          <w:lang w:eastAsia="x-none"/>
        </w:rPr>
      </w:pPr>
      <w:bookmarkStart w:id="1010" w:name="_Toc523926531"/>
      <w:r>
        <w:t>§ 19 Pauschvergütung</w:t>
      </w:r>
      <w:bookmarkEnd w:id="101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 xml:space="preserve">Die oberste Dienstbehörde kann bei regelmäßigen oder gleichartigen Dienstreisen oder Dienstgängen an Stelle der Reisekostenvergütung im Sinn des </w:t>
      </w:r>
      <w:hyperlink r:id="rId1391" w:history="1">
        <w:r w:rsidRPr="00B235AC">
          <w:rPr>
            <w:rStyle w:val="Hyperlink"/>
          </w:rPr>
          <w:t>§ 4 Nummern 1 bis 8</w:t>
        </w:r>
      </w:hyperlink>
      <w:r>
        <w:t xml:space="preserve"> oder Teilen davon eine Pauschvergütung gewähren, die nach dem Durchschnitt der in einem bestimmten Zeitraum sonst anfallenden Einzelvergütungen zu bemessen ist.</w:t>
      </w:r>
    </w:p>
    <w:p w:rsidR="00BE1EFE" w:rsidRPr="00196B04" w:rsidRDefault="00BE1EFE" w:rsidP="00BE165D">
      <w:pPr>
        <w:pStyle w:val="StandardWeb"/>
        <w:rPr>
          <w:sz w:val="12"/>
          <w:szCs w:val="12"/>
        </w:rPr>
      </w:pPr>
      <w:r w:rsidRPr="00196B04">
        <w:rPr>
          <w:sz w:val="12"/>
          <w:szCs w:val="12"/>
        </w:rPr>
        <w:t>Protokollnotiz zu § 19:</w:t>
      </w:r>
    </w:p>
    <w:p w:rsidR="00BE1EFE" w:rsidRDefault="00BE1EFE" w:rsidP="00BE165D">
      <w:pPr>
        <w:pStyle w:val="StandardWeb"/>
        <w:rPr>
          <w:sz w:val="12"/>
          <w:szCs w:val="12"/>
        </w:rPr>
      </w:pPr>
      <w:r w:rsidRPr="00196B04">
        <w:rPr>
          <w:sz w:val="12"/>
          <w:szCs w:val="12"/>
        </w:rPr>
        <w:t xml:space="preserve">Siehe Protokollnotiz zu </w:t>
      </w:r>
      <w:hyperlink r:id="rId1392" w:history="1">
        <w:r w:rsidRPr="00F0397C">
          <w:rPr>
            <w:rStyle w:val="Hyperlink"/>
            <w:sz w:val="12"/>
            <w:szCs w:val="12"/>
          </w:rPr>
          <w:t>§ 6 Absatz 4</w:t>
        </w:r>
      </w:hyperlink>
      <w:r>
        <w:rPr>
          <w:sz w:val="12"/>
          <w:szCs w:val="12"/>
        </w:rPr>
        <w:t>.</w:t>
      </w:r>
    </w:p>
    <w:p w:rsidR="00BE1EFE" w:rsidRPr="00694253" w:rsidRDefault="00BE1EFE" w:rsidP="00BE165D">
      <w:pPr>
        <w:pStyle w:val="StandardWeb"/>
        <w:rPr>
          <w:sz w:val="12"/>
          <w:szCs w:val="12"/>
        </w:rPr>
      </w:pPr>
    </w:p>
    <w:p w:rsidR="00BE1EFE" w:rsidRPr="00694253" w:rsidRDefault="00BE1EFE" w:rsidP="005B409E">
      <w:pPr>
        <w:pStyle w:val="berschrift6"/>
        <w:spacing w:before="120" w:after="120"/>
      </w:pPr>
      <w:bookmarkStart w:id="1011" w:name="_Toc523926532"/>
      <w:r>
        <w:t>§ 20 Erstattung der Auslagen für Reisevorbereitungen und bei vorzeitiger Beendigung des Dienstgeschäfts</w:t>
      </w:r>
      <w:bookmarkEnd w:id="1011"/>
    </w:p>
    <w:p w:rsidR="00BE1EFE" w:rsidRPr="00B76821" w:rsidRDefault="00BE1EFE" w:rsidP="00B76821">
      <w:pPr>
        <w:pStyle w:val="h7"/>
        <w:keepNext w:val="0"/>
        <w:spacing w:before="0" w:after="0"/>
        <w:jc w:val="left"/>
        <w:outlineLvl w:val="5"/>
        <w:rPr>
          <w:sz w:val="2"/>
        </w:rPr>
      </w:pPr>
    </w:p>
    <w:p w:rsidR="00BE1EFE" w:rsidRDefault="00BE1EFE" w:rsidP="006923FC">
      <w:pPr>
        <w:pStyle w:val="StandardWeb"/>
      </w:pPr>
      <w:r>
        <w:t xml:space="preserve">Wird eine Dienstreise oder ein Dienstgang aus Gründen, die die/der Dienstreisende nicht zu vertreten hat, nicht ausgeführt oder vorzeitig beendet, so werden die durch die Vorbereitung oder die vorzeitige Beendigung entstandenen notwendigen Auslagen erstattet. </w:t>
      </w:r>
    </w:p>
    <w:p w:rsidR="00BE1EFE" w:rsidRDefault="00BE1EFE" w:rsidP="005B409E">
      <w:pPr>
        <w:pStyle w:val="berschrift6"/>
        <w:spacing w:before="120" w:after="120"/>
        <w:rPr>
          <w:lang w:eastAsia="x-none"/>
        </w:rPr>
      </w:pPr>
      <w:bookmarkStart w:id="1012" w:name="_Toc523926533"/>
      <w:r>
        <w:t xml:space="preserve">§ 21 </w:t>
      </w:r>
      <w:r w:rsidR="002575B0" w:rsidRPr="002575B0">
        <w:rPr>
          <w:b w:val="0"/>
          <w:i/>
        </w:rPr>
        <w:t>(frei)</w:t>
      </w:r>
      <w:bookmarkEnd w:id="1012"/>
    </w:p>
    <w:p w:rsidR="00BE1EFE" w:rsidRPr="00B76821" w:rsidRDefault="00BE1EFE" w:rsidP="00B76821">
      <w:pPr>
        <w:pStyle w:val="h7"/>
        <w:keepNext w:val="0"/>
        <w:spacing w:before="0" w:after="0"/>
        <w:jc w:val="left"/>
        <w:outlineLvl w:val="5"/>
        <w:rPr>
          <w:sz w:val="2"/>
        </w:rPr>
      </w:pPr>
    </w:p>
    <w:p w:rsidR="00BE1EFE" w:rsidRPr="00DE1973" w:rsidRDefault="00BE1EFE" w:rsidP="006923FC">
      <w:pPr>
        <w:pStyle w:val="StandardWeb"/>
        <w:rPr>
          <w:i/>
        </w:rPr>
      </w:pPr>
    </w:p>
    <w:p w:rsidR="00BE1EFE" w:rsidRDefault="00BE1EFE" w:rsidP="005B409E">
      <w:pPr>
        <w:pStyle w:val="berschrift6"/>
        <w:spacing w:before="120" w:after="120"/>
        <w:rPr>
          <w:lang w:eastAsia="x-none"/>
        </w:rPr>
      </w:pPr>
      <w:bookmarkStart w:id="1013" w:name="_Toc523926534"/>
      <w:r>
        <w:t xml:space="preserve">§ 22 </w:t>
      </w:r>
      <w:r w:rsidR="002575B0" w:rsidRPr="002575B0">
        <w:rPr>
          <w:b w:val="0"/>
          <w:i/>
        </w:rPr>
        <w:t>(frei)</w:t>
      </w:r>
      <w:bookmarkEnd w:id="1013"/>
    </w:p>
    <w:p w:rsidR="00BE1EFE" w:rsidRPr="00B76821" w:rsidRDefault="00BE1EFE" w:rsidP="00B76821">
      <w:pPr>
        <w:pStyle w:val="h7"/>
        <w:keepNext w:val="0"/>
        <w:spacing w:before="0" w:after="0"/>
        <w:jc w:val="left"/>
        <w:outlineLvl w:val="5"/>
        <w:rPr>
          <w:sz w:val="2"/>
        </w:rPr>
      </w:pPr>
    </w:p>
    <w:p w:rsidR="00BE1EFE" w:rsidRPr="00DE1973" w:rsidRDefault="00BE1EFE" w:rsidP="005B409E">
      <w:pPr>
        <w:pStyle w:val="StandardWeb"/>
        <w:rPr>
          <w:i/>
        </w:rPr>
      </w:pPr>
      <w:r>
        <w:rPr>
          <w:i/>
        </w:rPr>
        <w:br w:type="page"/>
      </w:r>
    </w:p>
    <w:p w:rsidR="00BE1EFE" w:rsidRPr="007E54CD" w:rsidRDefault="00BE1EFE" w:rsidP="00DE1973">
      <w:pPr>
        <w:pStyle w:val="berschrift5"/>
        <w:spacing w:before="0"/>
        <w:rPr>
          <w:lang w:eastAsia="x-none"/>
        </w:rPr>
      </w:pPr>
      <w:bookmarkStart w:id="1014" w:name="_Toc523926535"/>
      <w:r>
        <w:lastRenderedPageBreak/>
        <w:t>Abschnitt III</w:t>
      </w:r>
      <w:r>
        <w:rPr>
          <w:lang w:eastAsia="x-none"/>
        </w:rPr>
        <w:t xml:space="preserve">: </w:t>
      </w:r>
      <w:r>
        <w:t>Trennungsgeld und Erstattung von Auslagen bei Reisen aus besonderem Anlass</w:t>
      </w:r>
      <w:r>
        <w:rPr>
          <w:lang w:eastAsia="x-none"/>
        </w:rPr>
        <w:t xml:space="preserve"> (§§ 23-24)</w:t>
      </w:r>
      <w:bookmarkEnd w:id="1014"/>
    </w:p>
    <w:p w:rsidR="00BE1EFE" w:rsidRPr="00694253" w:rsidRDefault="00BE1EFE" w:rsidP="005B409E">
      <w:pPr>
        <w:pStyle w:val="berschrift6"/>
        <w:spacing w:before="120" w:after="120"/>
        <w:rPr>
          <w:lang w:eastAsia="x-none"/>
        </w:rPr>
      </w:pPr>
      <w:bookmarkStart w:id="1015" w:name="_Toc523926536"/>
      <w:r>
        <w:t>§ 23 Trennungsgeld</w:t>
      </w:r>
      <w:bookmarkEnd w:id="1015"/>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(1) Beschäftigte, die an einen Ort außerhalb des Dienst- oder Wohnorts ohne Zusage der Umzugskostenvergütung abgeordnet werden, erhalten für die ihnen dadurch entstehenden notwendigen Auslagen unter Berücksichtigung der häuslichen Ersparnis ein Trennungsgeld nach Maßgabe der Verordnung über das Trennungsgeld der Beamten und Richter (</w:t>
      </w:r>
      <w:hyperlink r:id="rId1393" w:history="1">
        <w:r w:rsidRPr="00C6017F">
          <w:rPr>
            <w:rStyle w:val="Hyperlink"/>
          </w:rPr>
          <w:t>Bayerischen Trennungsgeldverordnung – BayTGV</w:t>
        </w:r>
      </w:hyperlink>
      <w:r>
        <w:t>).</w:t>
      </w:r>
    </w:p>
    <w:p w:rsidR="00BE1EFE" w:rsidRDefault="00BE1EFE" w:rsidP="005B409E">
      <w:pPr>
        <w:pStyle w:val="berschrift6"/>
        <w:spacing w:before="120" w:after="120"/>
      </w:pPr>
      <w:bookmarkStart w:id="1016" w:name="_Toc523926537"/>
      <w:r>
        <w:t>§ 24 Erstattung von Auslagen bei Reisen aus besonderem Anlass</w:t>
      </w:r>
      <w:bookmarkEnd w:id="1016"/>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p>
    <w:p w:rsidR="00BE1EFE" w:rsidRDefault="00BE1EFE" w:rsidP="00BE165D">
      <w:pPr>
        <w:pStyle w:val="StandardWeb"/>
      </w:pPr>
      <w:r>
        <w:t>(1) </w:t>
      </w:r>
      <w:r w:rsidRPr="00196B04">
        <w:rPr>
          <w:sz w:val="12"/>
          <w:szCs w:val="12"/>
        </w:rPr>
        <w:t>1</w:t>
      </w:r>
      <w:r>
        <w:t>Bei Reisen zum Zweck der Aus- oder Fortbildung können erstattet werden:</w:t>
      </w:r>
    </w:p>
    <w:p w:rsidR="00BE1EFE" w:rsidRDefault="00BE1EFE" w:rsidP="00BE165D">
      <w:pPr>
        <w:pStyle w:val="StandardWeb"/>
      </w:pPr>
      <w:r>
        <w:t xml:space="preserve">1. 75 v.H. des Tagegeldes nach </w:t>
      </w:r>
      <w:hyperlink r:id="rId1394" w:history="1">
        <w:r w:rsidRPr="00B235AC">
          <w:rPr>
            <w:rStyle w:val="Hyperlink"/>
          </w:rPr>
          <w:t>§ 8</w:t>
        </w:r>
      </w:hyperlink>
      <w:r>
        <w:t>,</w:t>
      </w:r>
    </w:p>
    <w:p w:rsidR="00BE1EFE" w:rsidRDefault="00BE1EFE" w:rsidP="00BE165D">
      <w:pPr>
        <w:pStyle w:val="StandardWeb"/>
      </w:pPr>
      <w:r>
        <w:t xml:space="preserve">2. die entstandenen notwendigen Übernachtungskosten nach </w:t>
      </w:r>
      <w:hyperlink r:id="rId1395" w:history="1">
        <w:r w:rsidRPr="00B235AC">
          <w:rPr>
            <w:rStyle w:val="Hyperlink"/>
          </w:rPr>
          <w:t>§ 9</w:t>
        </w:r>
      </w:hyperlink>
      <w:r>
        <w:t>,</w:t>
      </w:r>
    </w:p>
    <w:p w:rsidR="00BE1EFE" w:rsidRDefault="00BE1EFE" w:rsidP="00BE165D">
      <w:pPr>
        <w:pStyle w:val="StandardWeb"/>
      </w:pPr>
      <w:r>
        <w:t xml:space="preserve">3. Fahrkosten nach </w:t>
      </w:r>
      <w:hyperlink r:id="rId1396" w:history="1">
        <w:r w:rsidRPr="00B235AC">
          <w:rPr>
            <w:rStyle w:val="Hyperlink"/>
          </w:rPr>
          <w:t>§ 5 Absatz 1</w:t>
        </w:r>
      </w:hyperlink>
      <w:r>
        <w:t xml:space="preserve"> bis zu dem Betrag, der Dienstreisenden der Entgeltgruppe 7 bzw. S 5 (Besoldungsgruppe A 7) zu erstatten wäre,</w:t>
      </w:r>
    </w:p>
    <w:p w:rsidR="00BE1EFE" w:rsidRDefault="00BE1EFE" w:rsidP="00BE165D">
      <w:pPr>
        <w:pStyle w:val="StandardWeb"/>
      </w:pPr>
      <w:r>
        <w:t xml:space="preserve">4. 75 v.H. der Wegstrecken- und Mitnahmeentschädigung nach </w:t>
      </w:r>
      <w:hyperlink r:id="rId1397" w:history="1">
        <w:r w:rsidRPr="00F0397C">
          <w:rPr>
            <w:rStyle w:val="Hyperlink"/>
          </w:rPr>
          <w:t>§ 6</w:t>
        </w:r>
      </w:hyperlink>
      <w:r>
        <w:t xml:space="preserve"> und</w:t>
      </w:r>
    </w:p>
    <w:p w:rsidR="00BE1EFE" w:rsidRDefault="00BE1EFE" w:rsidP="00BE165D">
      <w:pPr>
        <w:pStyle w:val="StandardWeb"/>
      </w:pPr>
      <w:r>
        <w:t xml:space="preserve">5. die entstandenen notwendigen Nebenkosten nach </w:t>
      </w:r>
      <w:hyperlink r:id="rId1398" w:history="1">
        <w:r w:rsidRPr="00B235AC">
          <w:rPr>
            <w:rStyle w:val="Hyperlink"/>
          </w:rPr>
          <w:t>§ 12</w:t>
        </w:r>
      </w:hyperlink>
      <w:r>
        <w:t>.</w:t>
      </w:r>
    </w:p>
    <w:p w:rsidR="00BE1EFE" w:rsidRDefault="00BE1EFE" w:rsidP="00BE165D">
      <w:pPr>
        <w:pStyle w:val="StandardWeb"/>
      </w:pPr>
      <w:r w:rsidRPr="00196B04">
        <w:rPr>
          <w:sz w:val="12"/>
          <w:szCs w:val="12"/>
        </w:rPr>
        <w:t>2</w:t>
      </w:r>
      <w:r>
        <w:t xml:space="preserve">Findet die Veranstaltung am Dienst- oder Wohnort statt, werden nur die notwendigen Fahrkosten und Nebenkosten erstattet. </w:t>
      </w:r>
      <w:r w:rsidRPr="00196B04">
        <w:rPr>
          <w:sz w:val="12"/>
          <w:szCs w:val="12"/>
        </w:rPr>
        <w:t>3</w:t>
      </w:r>
      <w:r>
        <w:t xml:space="preserve">Im Übrigen gilt </w:t>
      </w:r>
      <w:hyperlink r:id="rId1399" w:history="1">
        <w:r w:rsidRPr="00C94132">
          <w:rPr>
            <w:rStyle w:val="Hyperlink"/>
          </w:rPr>
          <w:t>Abschnitt II</w:t>
        </w:r>
      </w:hyperlink>
      <w:r>
        <w:t xml:space="preserve"> dieser Ordnung entsprechend.</w:t>
      </w:r>
    </w:p>
    <w:p w:rsidR="00BE1EFE" w:rsidRDefault="00BE1EFE" w:rsidP="00BE165D">
      <w:pPr>
        <w:pStyle w:val="StandardWeb"/>
      </w:pPr>
    </w:p>
    <w:p w:rsidR="00BE1EFE" w:rsidRDefault="00BE1EFE" w:rsidP="00BE165D">
      <w:pPr>
        <w:pStyle w:val="StandardWeb"/>
      </w:pPr>
      <w:r>
        <w:t>(2) Der Arbeitgeber kann mit Zustimmung der obersten Dienstbehörde in besonderen Fällen Auslagenerstattung wie bei Dienstreisen gewähren.</w:t>
      </w:r>
    </w:p>
    <w:p w:rsidR="00BE1EFE" w:rsidRPr="00196B04" w:rsidRDefault="00BE1EFE" w:rsidP="00BE165D">
      <w:pPr>
        <w:pStyle w:val="StandardWeb"/>
        <w:rPr>
          <w:sz w:val="12"/>
          <w:szCs w:val="12"/>
        </w:rPr>
      </w:pPr>
      <w:r w:rsidRPr="00196B04">
        <w:rPr>
          <w:sz w:val="12"/>
          <w:szCs w:val="12"/>
        </w:rPr>
        <w:t>Protokollnotiz zu § 24 Absatz 2:</w:t>
      </w:r>
    </w:p>
    <w:p w:rsidR="00BE1EFE" w:rsidRDefault="00BE1EFE" w:rsidP="00BE165D">
      <w:pPr>
        <w:pStyle w:val="StandardWeb"/>
        <w:rPr>
          <w:sz w:val="12"/>
          <w:szCs w:val="12"/>
        </w:rPr>
      </w:pPr>
      <w:r w:rsidRPr="00196B04">
        <w:rPr>
          <w:sz w:val="12"/>
          <w:szCs w:val="12"/>
        </w:rPr>
        <w:t xml:space="preserve">Siehe Protokollnotiz zu </w:t>
      </w:r>
      <w:hyperlink r:id="rId1400" w:history="1">
        <w:r w:rsidRPr="00F0397C">
          <w:rPr>
            <w:rStyle w:val="Hyperlink"/>
            <w:sz w:val="12"/>
            <w:szCs w:val="12"/>
          </w:rPr>
          <w:t>§ 6 Absatz 4</w:t>
        </w:r>
      </w:hyperlink>
      <w:r w:rsidRPr="00196B04">
        <w:rPr>
          <w:sz w:val="12"/>
          <w:szCs w:val="12"/>
        </w:rPr>
        <w:t>.</w:t>
      </w:r>
    </w:p>
    <w:p w:rsidR="00BE1EFE" w:rsidRPr="00196B04" w:rsidRDefault="00BE1EFE" w:rsidP="00BE165D">
      <w:pPr>
        <w:pStyle w:val="StandardWeb"/>
        <w:rPr>
          <w:sz w:val="12"/>
          <w:szCs w:val="12"/>
        </w:rPr>
      </w:pPr>
    </w:p>
    <w:p w:rsidR="00BE1EFE" w:rsidRDefault="00BE1EFE" w:rsidP="00BE165D">
      <w:pPr>
        <w:pStyle w:val="StandardWeb"/>
      </w:pPr>
      <w:r>
        <w:t>(3) Absatz 1 gilt entsprechend bei Reisen zum Ablegen von vorgeschriebenen Qualifikations-prüfungen.</w:t>
      </w:r>
    </w:p>
    <w:p w:rsidR="00BE1EFE" w:rsidRDefault="00BE1EFE" w:rsidP="00BE165D">
      <w:pPr>
        <w:pStyle w:val="StandardWeb"/>
      </w:pPr>
    </w:p>
    <w:p w:rsidR="00BE1EFE" w:rsidRDefault="00BE1EFE" w:rsidP="00BE165D">
      <w:pPr>
        <w:pStyle w:val="StandardWeb"/>
      </w:pPr>
      <w:r>
        <w:t>(4) Für Fahrten zwischen Wohnung und regelmäßiger Dienststätte aus besonderem dienst</w:t>
      </w:r>
      <w:r>
        <w:softHyphen/>
        <w:t>lichem Anlass können die entstandenen notwendigen Fahrkosten erstattet werden.</w:t>
      </w:r>
    </w:p>
    <w:p w:rsidR="00BE1EFE" w:rsidRPr="007E54CD" w:rsidRDefault="00BE1EFE" w:rsidP="00694253">
      <w:pPr>
        <w:pStyle w:val="berschrift5"/>
        <w:rPr>
          <w:lang w:eastAsia="x-none"/>
        </w:rPr>
      </w:pPr>
      <w:bookmarkStart w:id="1017" w:name="_Toc523926538"/>
      <w:r>
        <w:t>Abschnitt IV</w:t>
      </w:r>
      <w:r>
        <w:rPr>
          <w:lang w:eastAsia="x-none"/>
        </w:rPr>
        <w:t>:</w:t>
      </w:r>
      <w:r>
        <w:t xml:space="preserve"> Schlussvorschriften</w:t>
      </w:r>
      <w:r>
        <w:rPr>
          <w:lang w:eastAsia="x-none"/>
        </w:rPr>
        <w:t xml:space="preserve"> (§§ 25-27)</w:t>
      </w:r>
      <w:bookmarkEnd w:id="1017"/>
    </w:p>
    <w:p w:rsidR="00BE1EFE" w:rsidRDefault="00BE1EFE" w:rsidP="00576549">
      <w:pPr>
        <w:pStyle w:val="berschrift6"/>
        <w:spacing w:after="120"/>
        <w:rPr>
          <w:lang w:eastAsia="x-none"/>
        </w:rPr>
      </w:pPr>
      <w:bookmarkStart w:id="1018" w:name="_Toc523926539"/>
      <w:r>
        <w:t xml:space="preserve">§ 25 </w:t>
      </w:r>
      <w:r w:rsidR="002575B0" w:rsidRPr="002575B0">
        <w:rPr>
          <w:b w:val="0"/>
          <w:i/>
        </w:rPr>
        <w:t>(frei)</w:t>
      </w:r>
      <w:bookmarkEnd w:id="1018"/>
    </w:p>
    <w:p w:rsidR="00BE1EFE" w:rsidRPr="00B76821" w:rsidRDefault="00BE1EFE" w:rsidP="00B76821">
      <w:pPr>
        <w:pStyle w:val="h7"/>
        <w:keepNext w:val="0"/>
        <w:spacing w:before="0" w:after="0"/>
        <w:jc w:val="left"/>
        <w:outlineLvl w:val="5"/>
        <w:rPr>
          <w:sz w:val="2"/>
        </w:rPr>
      </w:pPr>
    </w:p>
    <w:p w:rsidR="00BE1EFE" w:rsidRPr="00D645FF" w:rsidRDefault="00BE1EFE" w:rsidP="00D645FF">
      <w:pPr>
        <w:pStyle w:val="StandardWeb"/>
      </w:pPr>
    </w:p>
    <w:p w:rsidR="00BE1EFE" w:rsidRDefault="00BE1EFE" w:rsidP="00576549">
      <w:pPr>
        <w:pStyle w:val="berschrift6"/>
        <w:spacing w:after="120"/>
        <w:rPr>
          <w:lang w:eastAsia="x-none"/>
        </w:rPr>
      </w:pPr>
      <w:bookmarkStart w:id="1019" w:name="_Toc523926540"/>
      <w:r>
        <w:t xml:space="preserve">§ 26 </w:t>
      </w:r>
      <w:r w:rsidR="002575B0" w:rsidRPr="002575B0">
        <w:rPr>
          <w:b w:val="0"/>
          <w:i/>
        </w:rPr>
        <w:t>(frei)</w:t>
      </w:r>
      <w:bookmarkEnd w:id="1019"/>
    </w:p>
    <w:p w:rsidR="00BE1EFE" w:rsidRPr="00B76821" w:rsidRDefault="00BE1EFE" w:rsidP="00B76821">
      <w:pPr>
        <w:pStyle w:val="h7"/>
        <w:keepNext w:val="0"/>
        <w:spacing w:before="0" w:after="0"/>
        <w:jc w:val="left"/>
        <w:outlineLvl w:val="5"/>
        <w:rPr>
          <w:sz w:val="2"/>
        </w:rPr>
      </w:pPr>
    </w:p>
    <w:p w:rsidR="00BE1EFE" w:rsidRPr="00D645FF" w:rsidRDefault="00BE1EFE" w:rsidP="00D645FF">
      <w:pPr>
        <w:pStyle w:val="StandardWeb"/>
        <w:rPr>
          <w:i/>
        </w:rPr>
      </w:pPr>
    </w:p>
    <w:p w:rsidR="00BE1EFE" w:rsidRPr="00694253" w:rsidRDefault="00BE1EFE" w:rsidP="00694253">
      <w:pPr>
        <w:pStyle w:val="berschrift6"/>
        <w:rPr>
          <w:lang w:eastAsia="x-none"/>
        </w:rPr>
      </w:pPr>
      <w:bookmarkStart w:id="1020" w:name="_Toc523926541"/>
      <w:r>
        <w:t>§ 27 Verweisungen</w:t>
      </w:r>
      <w:bookmarkEnd w:id="1020"/>
    </w:p>
    <w:p w:rsidR="00BE1EFE" w:rsidRPr="00B76821" w:rsidRDefault="00BE1EFE" w:rsidP="00B76821">
      <w:pPr>
        <w:pStyle w:val="h7"/>
        <w:keepNext w:val="0"/>
        <w:spacing w:before="0" w:after="0"/>
        <w:jc w:val="left"/>
        <w:outlineLvl w:val="5"/>
        <w:rPr>
          <w:sz w:val="2"/>
        </w:rPr>
      </w:pPr>
    </w:p>
    <w:p w:rsidR="00BE1EFE" w:rsidRDefault="00BE1EFE" w:rsidP="00BE165D">
      <w:pPr>
        <w:pStyle w:val="StandardWeb"/>
      </w:pPr>
      <w:r>
        <w:t>Ist im Arbeitsvertragsrecht der bayerischen Diözesen auf Vorschriften und Bezeichnungen Bezug genommen, die nach dieser Ordnung nicht mehr gelten, so treten an ihre Stelle die entsprechenden Vorschriften und Bezeichnungen dieser Ordnung.</w:t>
      </w:r>
    </w:p>
    <w:p w:rsidR="00BE1EFE" w:rsidRDefault="00BE1EFE" w:rsidP="00E87479">
      <w:pPr>
        <w:pStyle w:val="berschrift4"/>
        <w:spacing w:before="0"/>
      </w:pPr>
      <w:r>
        <w:br w:type="page"/>
      </w:r>
      <w:bookmarkStart w:id="1021" w:name="_Toc523926542"/>
      <w:r>
        <w:lastRenderedPageBreak/>
        <w:t>D, 10 a. Ordnung über die betriebliche Altersversorgung der bei der Bayerischen Versorgungskammer – Zusatzversorgungskas</w:t>
      </w:r>
      <w:r>
        <w:rPr>
          <w:lang w:eastAsia="x-none"/>
        </w:rPr>
        <w:softHyphen/>
      </w:r>
      <w:r>
        <w:t>se der bayerischen Gemeinden – versicherten Mitarbeiter im kirchlichen Dienst</w:t>
      </w:r>
      <w:bookmarkEnd w:id="1021"/>
    </w:p>
    <w:p w:rsidR="00BE1EFE" w:rsidRPr="00B76821" w:rsidRDefault="00BE1EFE" w:rsidP="00B76821">
      <w:pPr>
        <w:pStyle w:val="berschrift5"/>
        <w:keepNext w:val="0"/>
        <w:spacing w:before="0" w:after="0"/>
        <w:rPr>
          <w:rStyle w:val="Fett"/>
          <w:bCs w:val="0"/>
          <w:sz w:val="2"/>
        </w:rPr>
      </w:pPr>
    </w:p>
    <w:p w:rsidR="00BE1EFE" w:rsidRDefault="00BE1EFE" w:rsidP="0056143D">
      <w:pPr>
        <w:pStyle w:val="berschrift5"/>
        <w:spacing w:before="0" w:after="0"/>
        <w:rPr>
          <w:rStyle w:val="Fett"/>
          <w:bCs w:val="0"/>
          <w:sz w:val="2"/>
        </w:rPr>
      </w:pPr>
    </w:p>
    <w:p w:rsidR="00BE1EFE" w:rsidRPr="00B76821" w:rsidRDefault="00BE1EFE" w:rsidP="00B76821">
      <w:pPr>
        <w:pStyle w:val="berschrift6"/>
        <w:keepNext w:val="0"/>
        <w:spacing w:before="0" w:after="0"/>
        <w:rPr>
          <w:rStyle w:val="Fett"/>
          <w:bCs w:val="0"/>
          <w:sz w:val="2"/>
        </w:rPr>
      </w:pPr>
    </w:p>
    <w:p w:rsidR="00BE1EFE" w:rsidRDefault="00BE1EFE" w:rsidP="0056143D">
      <w:pPr>
        <w:pStyle w:val="berschrift5"/>
        <w:spacing w:before="0" w:after="0"/>
        <w:rPr>
          <w:rStyle w:val="Fett"/>
          <w:bCs w:val="0"/>
          <w:sz w:val="2"/>
        </w:rPr>
      </w:pPr>
    </w:p>
    <w:p w:rsidR="00BE1EFE" w:rsidRPr="00B76821" w:rsidRDefault="00BE1EFE" w:rsidP="00B76821">
      <w:pPr>
        <w:pStyle w:val="berschrift6"/>
        <w:keepNext w:val="0"/>
        <w:spacing w:before="0" w:after="0"/>
        <w:rPr>
          <w:rStyle w:val="Fett"/>
          <w:rFonts w:ascii="ZWAdobeF" w:hAnsi="ZWAdobeF"/>
          <w:b/>
          <w:bCs w:val="0"/>
          <w:sz w:val="2"/>
          <w:szCs w:val="2"/>
        </w:rPr>
      </w:pPr>
    </w:p>
    <w:p w:rsidR="00BE1EFE" w:rsidRDefault="00BE1EFE" w:rsidP="0056143D">
      <w:pPr>
        <w:pStyle w:val="berschrift6"/>
        <w:spacing w:before="0" w:after="0"/>
        <w:rPr>
          <w:rStyle w:val="Fett"/>
          <w:rFonts w:ascii="ZWAdobeF" w:hAnsi="ZWAdobeF"/>
          <w:b/>
          <w:bCs w:val="0"/>
          <w:sz w:val="2"/>
          <w:szCs w:val="2"/>
        </w:rPr>
      </w:pPr>
    </w:p>
    <w:p w:rsidR="00BE1EFE" w:rsidRPr="00B76821" w:rsidRDefault="00BE1EFE" w:rsidP="00B76821">
      <w:pPr>
        <w:pStyle w:val="h7"/>
        <w:keepNext w:val="0"/>
        <w:spacing w:before="0" w:after="0"/>
        <w:jc w:val="left"/>
        <w:outlineLvl w:val="5"/>
        <w:rPr>
          <w:rStyle w:val="Fett"/>
          <w:bCs/>
          <w:sz w:val="2"/>
        </w:rPr>
      </w:pPr>
    </w:p>
    <w:p w:rsidR="00BE1EFE" w:rsidRPr="0056143D" w:rsidRDefault="00BE1EFE" w:rsidP="0056143D">
      <w:pPr>
        <w:pStyle w:val="StandardWeb"/>
        <w:autoSpaceDE w:val="0"/>
        <w:jc w:val="center"/>
        <w:rPr>
          <w:rStyle w:val="Fett"/>
        </w:rPr>
      </w:pPr>
      <w:r>
        <w:rPr>
          <w:rStyle w:val="Fett"/>
          <w:bCs/>
        </w:rPr>
        <w:t xml:space="preserve">- Versorgungsordnung A - </w:t>
      </w:r>
      <w:r>
        <w:rPr>
          <w:rStyle w:val="Fett"/>
          <w:bCs/>
        </w:rPr>
        <w:br/>
      </w:r>
      <w:r w:rsidRPr="0056143D">
        <w:rPr>
          <w:rStyle w:val="Fett"/>
          <w:bCs/>
        </w:rPr>
        <w:t>in der Fassung vom 11.</w:t>
      </w:r>
      <w:r>
        <w:rPr>
          <w:rStyle w:val="Fett"/>
          <w:bCs/>
        </w:rPr>
        <w:t xml:space="preserve"> </w:t>
      </w:r>
      <w:r w:rsidRPr="0056143D">
        <w:rPr>
          <w:rStyle w:val="Fett"/>
          <w:bCs/>
        </w:rPr>
        <w:t>Dezember</w:t>
      </w:r>
      <w:r>
        <w:rPr>
          <w:rStyle w:val="Fett"/>
          <w:bCs/>
        </w:rPr>
        <w:t xml:space="preserve"> </w:t>
      </w:r>
      <w:r w:rsidRPr="0056143D">
        <w:rPr>
          <w:rStyle w:val="Fett"/>
          <w:bCs/>
        </w:rPr>
        <w:t>2007</w:t>
      </w:r>
    </w:p>
    <w:p w:rsidR="00BE1EFE" w:rsidRPr="000B1AF8" w:rsidRDefault="00BE1EFE">
      <w:pPr>
        <w:pStyle w:val="StandardWeb"/>
        <w:jc w:val="center"/>
      </w:pPr>
    </w:p>
    <w:p w:rsidR="00BE1EFE" w:rsidRDefault="00BE1EFE">
      <w:pPr>
        <w:pStyle w:val="berschrift5"/>
      </w:pPr>
      <w:bookmarkStart w:id="1022" w:name="_Toc523926543"/>
      <w:r>
        <w:t>Inhaltsverzeichnis</w:t>
      </w:r>
      <w:bookmarkEnd w:id="1022"/>
    </w:p>
    <w:p w:rsidR="00BE1EFE" w:rsidRPr="00B76821" w:rsidRDefault="00BE1EFE" w:rsidP="00B76821">
      <w:pPr>
        <w:pStyle w:val="berschrift6"/>
        <w:keepNext w:val="0"/>
        <w:spacing w:before="0" w:after="0"/>
        <w:rPr>
          <w:sz w:val="2"/>
        </w:rPr>
      </w:pPr>
    </w:p>
    <w:p w:rsidR="00BE1EFE" w:rsidRPr="000B1AF8" w:rsidRDefault="00C23DFA">
      <w:pPr>
        <w:pStyle w:val="StandardWeb"/>
      </w:pPr>
      <w:hyperlink r:id="rId1401" w:history="1">
        <w:r w:rsidR="00BE1EFE" w:rsidRPr="002D1F1D">
          <w:rPr>
            <w:rStyle w:val="Hyperlink"/>
          </w:rPr>
          <w:t>Präambel</w:t>
        </w:r>
      </w:hyperlink>
    </w:p>
    <w:p w:rsidR="00BE1EFE" w:rsidRPr="000B1AF8" w:rsidRDefault="00BE1EFE">
      <w:pPr>
        <w:pStyle w:val="StandardWeb"/>
      </w:pPr>
    </w:p>
    <w:p w:rsidR="00BE1EFE" w:rsidRDefault="00C23DFA">
      <w:pPr>
        <w:pStyle w:val="StandardWeb"/>
      </w:pPr>
      <w:hyperlink r:id="rId1402" w:history="1">
        <w:r w:rsidR="00BE1EFE" w:rsidRPr="002D1F1D">
          <w:rPr>
            <w:rStyle w:val="Hyperlink"/>
          </w:rPr>
          <w:t>Erster Teil: Punktemodell</w:t>
        </w:r>
      </w:hyperlink>
    </w:p>
    <w:p w:rsidR="00BE1EFE" w:rsidRDefault="00BE1EFE">
      <w:pPr>
        <w:pStyle w:val="StandardWeb"/>
      </w:pPr>
    </w:p>
    <w:p w:rsidR="00BE1EFE" w:rsidRDefault="00C23DFA">
      <w:pPr>
        <w:pStyle w:val="StandardWeb"/>
      </w:pPr>
      <w:hyperlink r:id="rId1403" w:history="1">
        <w:r w:rsidR="00BE1EFE" w:rsidRPr="002D1F1D">
          <w:rPr>
            <w:rStyle w:val="Hyperlink"/>
          </w:rPr>
          <w:t>Abschnitt I: Geltungsbereich</w:t>
        </w:r>
      </w:hyperlink>
    </w:p>
    <w:p w:rsidR="00BE1EFE" w:rsidRDefault="00BE1EFE">
      <w:pPr>
        <w:pStyle w:val="StandardWeb"/>
      </w:pPr>
    </w:p>
    <w:p w:rsidR="00BE1EFE" w:rsidRDefault="00C23DFA">
      <w:pPr>
        <w:pStyle w:val="StandardWeb"/>
      </w:pPr>
      <w:hyperlink r:id="rId1404" w:history="1">
        <w:r w:rsidR="00BE1EFE" w:rsidRPr="002D1F1D">
          <w:rPr>
            <w:rStyle w:val="Hyperlink"/>
          </w:rPr>
          <w:t>§ 1 Geltungsbereich</w:t>
        </w:r>
      </w:hyperlink>
    </w:p>
    <w:p w:rsidR="00BE1EFE" w:rsidRDefault="00BE1EFE">
      <w:pPr>
        <w:pStyle w:val="StandardWeb"/>
      </w:pPr>
    </w:p>
    <w:p w:rsidR="00BE1EFE" w:rsidRDefault="00C23DFA">
      <w:pPr>
        <w:pStyle w:val="StandardWeb"/>
      </w:pPr>
      <w:hyperlink r:id="rId1405" w:history="1">
        <w:r w:rsidR="00BE1EFE" w:rsidRPr="002D1F1D">
          <w:rPr>
            <w:rStyle w:val="Hyperlink"/>
          </w:rPr>
          <w:t>Abschnitt II: Versicherung bei der Zusatzversorgungskasse der bayerischen Gemeinden</w:t>
        </w:r>
      </w:hyperlink>
    </w:p>
    <w:p w:rsidR="00BE1EFE" w:rsidRDefault="00BE1EFE">
      <w:pPr>
        <w:pStyle w:val="StandardWeb"/>
      </w:pPr>
    </w:p>
    <w:p w:rsidR="00BE1EFE" w:rsidRDefault="00C23DFA">
      <w:pPr>
        <w:pStyle w:val="StandardWeb"/>
      </w:pPr>
      <w:hyperlink r:id="rId1406" w:history="1">
        <w:r w:rsidR="00BE1EFE" w:rsidRPr="002D1F1D">
          <w:rPr>
            <w:rStyle w:val="Hyperlink"/>
          </w:rPr>
          <w:t>§ 2 Pflichtversicherung</w:t>
        </w:r>
      </w:hyperlink>
    </w:p>
    <w:p w:rsidR="00BE1EFE" w:rsidRDefault="00BE1EFE">
      <w:pPr>
        <w:pStyle w:val="StandardWeb"/>
      </w:pPr>
    </w:p>
    <w:p w:rsidR="00BE1EFE" w:rsidRDefault="00C23DFA">
      <w:pPr>
        <w:pStyle w:val="StandardWeb"/>
      </w:pPr>
      <w:hyperlink r:id="rId1407" w:history="1">
        <w:r w:rsidR="00BE1EFE" w:rsidRPr="002D1F1D">
          <w:rPr>
            <w:rStyle w:val="Hyperlink"/>
          </w:rPr>
          <w:t>§ 3 Beitragsfreie Versicherung</w:t>
        </w:r>
      </w:hyperlink>
    </w:p>
    <w:p w:rsidR="00BE1EFE" w:rsidRDefault="00BE1EFE">
      <w:pPr>
        <w:pStyle w:val="StandardWeb"/>
      </w:pPr>
    </w:p>
    <w:p w:rsidR="00BE1EFE" w:rsidRDefault="00C23DFA">
      <w:pPr>
        <w:pStyle w:val="StandardWeb"/>
      </w:pPr>
      <w:hyperlink r:id="rId1408" w:history="1">
        <w:r w:rsidR="00BE1EFE" w:rsidRPr="002D1F1D">
          <w:rPr>
            <w:rStyle w:val="Hyperlink"/>
          </w:rPr>
          <w:t>§ 4 Überleitung der Versicherung</w:t>
        </w:r>
      </w:hyperlink>
    </w:p>
    <w:p w:rsidR="00BE1EFE" w:rsidRDefault="00BE1EFE">
      <w:pPr>
        <w:pStyle w:val="StandardWeb"/>
      </w:pPr>
    </w:p>
    <w:p w:rsidR="00BE1EFE" w:rsidRDefault="00C23DFA">
      <w:pPr>
        <w:pStyle w:val="StandardWeb"/>
      </w:pPr>
      <w:hyperlink r:id="rId1409" w:history="1">
        <w:r w:rsidR="00BE1EFE" w:rsidRPr="002D1F1D">
          <w:rPr>
            <w:rStyle w:val="Hyperlink"/>
          </w:rPr>
          <w:t>Abschnitt III: Betriebsrente</w:t>
        </w:r>
      </w:hyperlink>
    </w:p>
    <w:p w:rsidR="00BE1EFE" w:rsidRDefault="00BE1EFE">
      <w:pPr>
        <w:pStyle w:val="StandardWeb"/>
      </w:pPr>
    </w:p>
    <w:p w:rsidR="00BE1EFE" w:rsidRDefault="00C23DFA">
      <w:pPr>
        <w:pStyle w:val="StandardWeb"/>
      </w:pPr>
      <w:hyperlink r:id="rId1410" w:history="1">
        <w:r w:rsidR="00BE1EFE" w:rsidRPr="002D1F1D">
          <w:rPr>
            <w:rStyle w:val="Hyperlink"/>
          </w:rPr>
          <w:t>§ 5 Versicherungsfall und Rentenbeginn</w:t>
        </w:r>
      </w:hyperlink>
    </w:p>
    <w:p w:rsidR="00BE1EFE" w:rsidRDefault="00BE1EFE">
      <w:pPr>
        <w:pStyle w:val="StandardWeb"/>
      </w:pPr>
    </w:p>
    <w:p w:rsidR="00BE1EFE" w:rsidRDefault="00C23DFA">
      <w:pPr>
        <w:pStyle w:val="StandardWeb"/>
      </w:pPr>
      <w:hyperlink r:id="rId1411" w:history="1">
        <w:r w:rsidR="00BE1EFE" w:rsidRPr="002D1F1D">
          <w:rPr>
            <w:rStyle w:val="Hyperlink"/>
          </w:rPr>
          <w:t>§ 6 Wartezeit</w:t>
        </w:r>
      </w:hyperlink>
    </w:p>
    <w:p w:rsidR="00BE1EFE" w:rsidRDefault="00BE1EFE">
      <w:pPr>
        <w:pStyle w:val="StandardWeb"/>
      </w:pPr>
    </w:p>
    <w:p w:rsidR="00BE1EFE" w:rsidRDefault="00C23DFA">
      <w:pPr>
        <w:pStyle w:val="StandardWeb"/>
      </w:pPr>
      <w:hyperlink r:id="rId1412" w:history="1">
        <w:r w:rsidR="00BE1EFE" w:rsidRPr="002D1F1D">
          <w:rPr>
            <w:rStyle w:val="Hyperlink"/>
          </w:rPr>
          <w:t>§ 7 Höhe der Betriebsrente</w:t>
        </w:r>
      </w:hyperlink>
    </w:p>
    <w:p w:rsidR="00BE1EFE" w:rsidRDefault="00BE1EFE">
      <w:pPr>
        <w:pStyle w:val="StandardWeb"/>
      </w:pPr>
    </w:p>
    <w:p w:rsidR="00BE1EFE" w:rsidRDefault="00C23DFA">
      <w:pPr>
        <w:pStyle w:val="StandardWeb"/>
      </w:pPr>
      <w:hyperlink r:id="rId1413" w:history="1">
        <w:r w:rsidR="00BE1EFE" w:rsidRPr="002D1F1D">
          <w:rPr>
            <w:rStyle w:val="Hyperlink"/>
          </w:rPr>
          <w:t>§ 8 Versorgungspunkte</w:t>
        </w:r>
      </w:hyperlink>
    </w:p>
    <w:p w:rsidR="00BE1EFE" w:rsidRDefault="00BE1EFE">
      <w:pPr>
        <w:pStyle w:val="StandardWeb"/>
      </w:pPr>
    </w:p>
    <w:p w:rsidR="00BE1EFE" w:rsidRDefault="00C23DFA">
      <w:pPr>
        <w:pStyle w:val="StandardWeb"/>
      </w:pPr>
      <w:hyperlink r:id="rId1414" w:history="1">
        <w:r w:rsidR="00BE1EFE" w:rsidRPr="002D1F1D">
          <w:rPr>
            <w:rStyle w:val="Hyperlink"/>
          </w:rPr>
          <w:t>§ 9 Soziale Komponenten</w:t>
        </w:r>
      </w:hyperlink>
    </w:p>
    <w:p w:rsidR="00BE1EFE" w:rsidRDefault="00BE1EFE">
      <w:pPr>
        <w:pStyle w:val="StandardWeb"/>
      </w:pPr>
    </w:p>
    <w:p w:rsidR="00BE1EFE" w:rsidRDefault="00C23DFA">
      <w:pPr>
        <w:pStyle w:val="StandardWeb"/>
      </w:pPr>
      <w:hyperlink r:id="rId1415" w:history="1">
        <w:r w:rsidR="00BE1EFE" w:rsidRPr="002D1F1D">
          <w:rPr>
            <w:rStyle w:val="Hyperlink"/>
          </w:rPr>
          <w:t>§ 10 Betriebsrente für Hinterbliebene</w:t>
        </w:r>
      </w:hyperlink>
    </w:p>
    <w:p w:rsidR="00BE1EFE" w:rsidRDefault="00BE1EFE">
      <w:pPr>
        <w:pStyle w:val="StandardWeb"/>
      </w:pPr>
    </w:p>
    <w:p w:rsidR="00BE1EFE" w:rsidRDefault="00C23DFA">
      <w:pPr>
        <w:pStyle w:val="StandardWeb"/>
      </w:pPr>
      <w:hyperlink r:id="rId1416" w:history="1">
        <w:r w:rsidR="00BE1EFE" w:rsidRPr="002D1F1D">
          <w:rPr>
            <w:rStyle w:val="Hyperlink"/>
          </w:rPr>
          <w:t>§ 11 Anpassung der Betriebsrente und Neuberechnung</w:t>
        </w:r>
      </w:hyperlink>
    </w:p>
    <w:p w:rsidR="00BE1EFE" w:rsidRDefault="00BE1EFE">
      <w:pPr>
        <w:pStyle w:val="StandardWeb"/>
      </w:pPr>
    </w:p>
    <w:p w:rsidR="00BE1EFE" w:rsidRDefault="00C23DFA">
      <w:pPr>
        <w:pStyle w:val="StandardWeb"/>
      </w:pPr>
      <w:hyperlink r:id="rId1417" w:history="1">
        <w:r w:rsidR="00BE1EFE" w:rsidRPr="002D1F1D">
          <w:rPr>
            <w:rStyle w:val="Hyperlink"/>
          </w:rPr>
          <w:t>§ 12 Nichtzahlung und Ruhen der Betriebsrente</w:t>
        </w:r>
      </w:hyperlink>
    </w:p>
    <w:p w:rsidR="00BE1EFE" w:rsidRDefault="00BE1EFE">
      <w:pPr>
        <w:pStyle w:val="StandardWeb"/>
      </w:pPr>
    </w:p>
    <w:p w:rsidR="00BE1EFE" w:rsidRDefault="00C23DFA">
      <w:pPr>
        <w:pStyle w:val="StandardWeb"/>
      </w:pPr>
      <w:hyperlink r:id="rId1418" w:history="1">
        <w:r w:rsidR="00BE1EFE" w:rsidRPr="002D1F1D">
          <w:rPr>
            <w:rStyle w:val="Hyperlink"/>
          </w:rPr>
          <w:t>§ 13 Erlöschen des Anspruchs auf Betriebsrente</w:t>
        </w:r>
      </w:hyperlink>
    </w:p>
    <w:p w:rsidR="00BE1EFE" w:rsidRDefault="00BE1EFE">
      <w:pPr>
        <w:pStyle w:val="StandardWeb"/>
      </w:pPr>
    </w:p>
    <w:p w:rsidR="00BE1EFE" w:rsidRDefault="00C23DFA">
      <w:pPr>
        <w:pStyle w:val="StandardWeb"/>
      </w:pPr>
      <w:hyperlink r:id="rId1419" w:history="1">
        <w:r w:rsidR="00BE1EFE" w:rsidRPr="002D1F1D">
          <w:rPr>
            <w:rStyle w:val="Hyperlink"/>
          </w:rPr>
          <w:t>Abschnitt IV: Beschäftigte, die in der gesetzlichen Rentenversicherung nicht versichert sind</w:t>
        </w:r>
      </w:hyperlink>
    </w:p>
    <w:p w:rsidR="00BE1EFE" w:rsidRDefault="00BE1EFE">
      <w:pPr>
        <w:pStyle w:val="StandardWeb"/>
      </w:pPr>
    </w:p>
    <w:p w:rsidR="00BE1EFE" w:rsidRDefault="00C23DFA">
      <w:pPr>
        <w:pStyle w:val="StandardWeb"/>
      </w:pPr>
      <w:hyperlink r:id="rId1420" w:history="1">
        <w:r w:rsidR="00BE1EFE" w:rsidRPr="002D1F1D">
          <w:rPr>
            <w:rStyle w:val="Hyperlink"/>
          </w:rPr>
          <w:t>§ 14 Sonderregelungen für Beschäftigte, die in der gesetzlichen Rentenversicherung nicht versichert sind</w:t>
        </w:r>
      </w:hyperlink>
    </w:p>
    <w:p w:rsidR="00BE1EFE" w:rsidRDefault="00BE1EFE">
      <w:pPr>
        <w:pStyle w:val="StandardWeb"/>
      </w:pPr>
    </w:p>
    <w:p w:rsidR="00BE1EFE" w:rsidRDefault="00C23DFA">
      <w:pPr>
        <w:pStyle w:val="StandardWeb"/>
      </w:pPr>
      <w:hyperlink r:id="rId1421" w:history="1">
        <w:r w:rsidR="00BE1EFE" w:rsidRPr="002D1F1D">
          <w:rPr>
            <w:rStyle w:val="Hyperlink"/>
          </w:rPr>
          <w:t>Abschnitt V: Finanzierung</w:t>
        </w:r>
      </w:hyperlink>
    </w:p>
    <w:p w:rsidR="00BE1EFE" w:rsidRDefault="00BE1EFE">
      <w:pPr>
        <w:pStyle w:val="StandardWeb"/>
      </w:pPr>
    </w:p>
    <w:p w:rsidR="00BE1EFE" w:rsidRDefault="00C23DFA">
      <w:pPr>
        <w:pStyle w:val="StandardWeb"/>
      </w:pPr>
      <w:hyperlink r:id="rId1422" w:history="1">
        <w:r w:rsidR="00BE1EFE" w:rsidRPr="002D1F1D">
          <w:rPr>
            <w:rStyle w:val="Hyperlink"/>
          </w:rPr>
          <w:t>§ 15 Finanzierungsgrundsätze und zusatzversorgungspflichtiges Entgelt</w:t>
        </w:r>
      </w:hyperlink>
    </w:p>
    <w:p w:rsidR="00BE1EFE" w:rsidRDefault="00BE1EFE">
      <w:pPr>
        <w:pStyle w:val="StandardWeb"/>
      </w:pPr>
    </w:p>
    <w:p w:rsidR="00BE1EFE" w:rsidRDefault="00C23DFA" w:rsidP="00CB630E">
      <w:pPr>
        <w:pStyle w:val="StandardWeb"/>
      </w:pPr>
      <w:hyperlink r:id="rId1423" w:history="1">
        <w:r w:rsidR="00BE1EFE" w:rsidRPr="00CB630E">
          <w:rPr>
            <w:rStyle w:val="Hyperlink"/>
          </w:rPr>
          <w:t>§ 15a Zusätzlicher Arbeitnehmer- und Arbeitgeberbeitrag nach § 25b Teil A, 1.</w:t>
        </w:r>
      </w:hyperlink>
    </w:p>
    <w:p w:rsidR="00BE1EFE" w:rsidRDefault="00BE1EFE">
      <w:pPr>
        <w:pStyle w:val="StandardWeb"/>
      </w:pPr>
    </w:p>
    <w:p w:rsidR="00BE1EFE" w:rsidRDefault="00C23DFA">
      <w:pPr>
        <w:pStyle w:val="StandardWeb"/>
      </w:pPr>
      <w:hyperlink r:id="rId1424" w:history="1">
        <w:r w:rsidR="00BE1EFE" w:rsidRPr="002D1F1D">
          <w:rPr>
            <w:rStyle w:val="Hyperlink"/>
          </w:rPr>
          <w:t>§ 16 Umlagen</w:t>
        </w:r>
      </w:hyperlink>
    </w:p>
    <w:p w:rsidR="00BE1EFE" w:rsidRDefault="00BE1EFE">
      <w:pPr>
        <w:pStyle w:val="StandardWeb"/>
      </w:pPr>
    </w:p>
    <w:p w:rsidR="00BE1EFE" w:rsidRDefault="00C23DFA">
      <w:pPr>
        <w:pStyle w:val="StandardWeb"/>
      </w:pPr>
      <w:hyperlink r:id="rId1425" w:history="1">
        <w:r w:rsidR="00BE1EFE" w:rsidRPr="002D1F1D">
          <w:rPr>
            <w:rStyle w:val="Hyperlink"/>
          </w:rPr>
          <w:t>§ 17 Sanierungsgelder</w:t>
        </w:r>
      </w:hyperlink>
    </w:p>
    <w:p w:rsidR="00BE1EFE" w:rsidRDefault="00BE1EFE">
      <w:pPr>
        <w:pStyle w:val="StandardWeb"/>
      </w:pPr>
    </w:p>
    <w:p w:rsidR="00BE1EFE" w:rsidRDefault="00C23DFA">
      <w:pPr>
        <w:pStyle w:val="StandardWeb"/>
      </w:pPr>
      <w:hyperlink r:id="rId1426" w:history="1">
        <w:r w:rsidR="00BE1EFE" w:rsidRPr="002D1F1D">
          <w:rPr>
            <w:rStyle w:val="Hyperlink"/>
          </w:rPr>
          <w:t>§ 18 Beiträge im Kapitaldeckungsverfahren</w:t>
        </w:r>
      </w:hyperlink>
    </w:p>
    <w:p w:rsidR="00BE1EFE" w:rsidRDefault="00BE1EFE">
      <w:pPr>
        <w:pStyle w:val="StandardWeb"/>
      </w:pPr>
    </w:p>
    <w:p w:rsidR="00BE1EFE" w:rsidRDefault="00C23DFA">
      <w:pPr>
        <w:pStyle w:val="StandardWeb"/>
      </w:pPr>
      <w:hyperlink r:id="rId1427" w:history="1">
        <w:r w:rsidR="00BE1EFE" w:rsidRPr="002D1F1D">
          <w:rPr>
            <w:rStyle w:val="Hyperlink"/>
          </w:rPr>
          <w:t>§ 19 Bonuspunkte</w:t>
        </w:r>
      </w:hyperlink>
    </w:p>
    <w:p w:rsidR="00BE1EFE" w:rsidRDefault="00BE1EFE">
      <w:pPr>
        <w:pStyle w:val="StandardWeb"/>
      </w:pPr>
    </w:p>
    <w:p w:rsidR="00BE1EFE" w:rsidRDefault="00C23DFA">
      <w:pPr>
        <w:pStyle w:val="StandardWeb"/>
      </w:pPr>
      <w:hyperlink r:id="rId1428" w:history="1">
        <w:r w:rsidR="00BE1EFE" w:rsidRPr="002D1F1D">
          <w:rPr>
            <w:rStyle w:val="Hyperlink"/>
          </w:rPr>
          <w:t>Abschnitt VI: Verfahren</w:t>
        </w:r>
      </w:hyperlink>
    </w:p>
    <w:p w:rsidR="00BE1EFE" w:rsidRDefault="00BE1EFE">
      <w:pPr>
        <w:pStyle w:val="StandardWeb"/>
      </w:pPr>
    </w:p>
    <w:p w:rsidR="00BE1EFE" w:rsidRDefault="00C23DFA">
      <w:pPr>
        <w:pStyle w:val="StandardWeb"/>
      </w:pPr>
      <w:hyperlink r:id="rId1429" w:history="1">
        <w:r w:rsidR="00BE1EFE" w:rsidRPr="002D1F1D">
          <w:rPr>
            <w:rStyle w:val="Hyperlink"/>
          </w:rPr>
          <w:t>§ 20 Pflichten der Versicherten und der Betriebsrentenberechtigten</w:t>
        </w:r>
      </w:hyperlink>
    </w:p>
    <w:p w:rsidR="00BE1EFE" w:rsidRDefault="00BE1EFE">
      <w:pPr>
        <w:pStyle w:val="StandardWeb"/>
      </w:pPr>
    </w:p>
    <w:p w:rsidR="00BE1EFE" w:rsidRDefault="00C23DFA">
      <w:pPr>
        <w:pStyle w:val="StandardWeb"/>
      </w:pPr>
      <w:hyperlink r:id="rId1430" w:history="1">
        <w:r w:rsidR="00BE1EFE" w:rsidRPr="002D1F1D">
          <w:rPr>
            <w:rStyle w:val="Hyperlink"/>
          </w:rPr>
          <w:t>§ 21 Versicherungsnachweise</w:t>
        </w:r>
      </w:hyperlink>
    </w:p>
    <w:p w:rsidR="00BE1EFE" w:rsidRDefault="00BE1EFE">
      <w:pPr>
        <w:pStyle w:val="StandardWeb"/>
      </w:pPr>
    </w:p>
    <w:p w:rsidR="00BE1EFE" w:rsidRDefault="00C23DFA">
      <w:pPr>
        <w:pStyle w:val="StandardWeb"/>
      </w:pPr>
      <w:hyperlink r:id="rId1431" w:history="1">
        <w:r w:rsidR="00BE1EFE" w:rsidRPr="002D1F1D">
          <w:rPr>
            <w:rStyle w:val="Hyperlink"/>
          </w:rPr>
          <w:t>§ 22 Zahlung und Abfindung</w:t>
        </w:r>
      </w:hyperlink>
    </w:p>
    <w:p w:rsidR="00BE1EFE" w:rsidRDefault="00BE1EFE">
      <w:pPr>
        <w:pStyle w:val="StandardWeb"/>
      </w:pPr>
    </w:p>
    <w:p w:rsidR="00BE1EFE" w:rsidRDefault="00C23DFA">
      <w:pPr>
        <w:pStyle w:val="StandardWeb"/>
      </w:pPr>
      <w:hyperlink r:id="rId1432" w:history="1">
        <w:r w:rsidR="00BE1EFE" w:rsidRPr="002D1F1D">
          <w:rPr>
            <w:rStyle w:val="Hyperlink"/>
          </w:rPr>
          <w:t>§ 23 Ausschlussfristen</w:t>
        </w:r>
      </w:hyperlink>
    </w:p>
    <w:p w:rsidR="00BE1EFE" w:rsidRDefault="00BE1EFE">
      <w:pPr>
        <w:pStyle w:val="StandardWeb"/>
      </w:pPr>
    </w:p>
    <w:p w:rsidR="00BE1EFE" w:rsidRDefault="00C23DFA">
      <w:pPr>
        <w:pStyle w:val="StandardWeb"/>
      </w:pPr>
      <w:hyperlink r:id="rId1433" w:history="1">
        <w:r w:rsidR="00BE1EFE" w:rsidRPr="002D1F1D">
          <w:rPr>
            <w:rStyle w:val="Hyperlink"/>
          </w:rPr>
          <w:t>§ 24 Beitragserstattung</w:t>
        </w:r>
      </w:hyperlink>
    </w:p>
    <w:p w:rsidR="00BE1EFE" w:rsidRDefault="00BE1EFE">
      <w:pPr>
        <w:pStyle w:val="StandardWeb"/>
      </w:pPr>
    </w:p>
    <w:p w:rsidR="00BE1EFE" w:rsidRDefault="00C23DFA">
      <w:pPr>
        <w:pStyle w:val="StandardWeb"/>
      </w:pPr>
      <w:hyperlink r:id="rId1434" w:history="1">
        <w:r w:rsidR="00BE1EFE" w:rsidRPr="002D1F1D">
          <w:rPr>
            <w:rStyle w:val="Hyperlink"/>
          </w:rPr>
          <w:t>Abschnitt VII: Zuschüsse des Dienstgebers zu anderen Zukunftssicherungssystemen</w:t>
        </w:r>
      </w:hyperlink>
    </w:p>
    <w:p w:rsidR="00BE1EFE" w:rsidRDefault="00BE1EFE">
      <w:pPr>
        <w:pStyle w:val="StandardWeb"/>
      </w:pPr>
    </w:p>
    <w:p w:rsidR="00BE1EFE" w:rsidRDefault="00C23DFA">
      <w:pPr>
        <w:pStyle w:val="StandardWeb"/>
      </w:pPr>
      <w:hyperlink r:id="rId1435" w:history="1">
        <w:r w:rsidR="00BE1EFE" w:rsidRPr="002D1F1D">
          <w:rPr>
            <w:rStyle w:val="Hyperlink"/>
          </w:rPr>
          <w:t>§ 25 Zuschüsse des Dienstgebers zu anderen Zukunftssicherungssystemen</w:t>
        </w:r>
      </w:hyperlink>
    </w:p>
    <w:p w:rsidR="00BE1EFE" w:rsidRDefault="00BE1EFE">
      <w:pPr>
        <w:pStyle w:val="StandardWeb"/>
      </w:pPr>
    </w:p>
    <w:p w:rsidR="00BE1EFE" w:rsidRDefault="00BE1EFE">
      <w:pPr>
        <w:pStyle w:val="StandardWeb"/>
      </w:pPr>
    </w:p>
    <w:p w:rsidR="00BE1EFE" w:rsidRDefault="00C23DFA">
      <w:pPr>
        <w:pStyle w:val="StandardWeb"/>
      </w:pPr>
      <w:hyperlink r:id="rId1436" w:history="1">
        <w:r w:rsidR="00BE1EFE" w:rsidRPr="002D1F1D">
          <w:rPr>
            <w:rStyle w:val="Hyperlink"/>
          </w:rPr>
          <w:t>Zweiter Teil: Freiwillige Versicherung</w:t>
        </w:r>
      </w:hyperlink>
    </w:p>
    <w:p w:rsidR="00BE1EFE" w:rsidRDefault="00BE1EFE">
      <w:pPr>
        <w:pStyle w:val="StandardWeb"/>
      </w:pPr>
    </w:p>
    <w:p w:rsidR="00BE1EFE" w:rsidRDefault="00C23DFA">
      <w:pPr>
        <w:pStyle w:val="StandardWeb"/>
      </w:pPr>
      <w:hyperlink r:id="rId1437" w:history="1">
        <w:r w:rsidR="00BE1EFE" w:rsidRPr="002D1F1D">
          <w:rPr>
            <w:rStyle w:val="Hyperlink"/>
          </w:rPr>
          <w:t>§ 26 Freiwillige Versicherung</w:t>
        </w:r>
      </w:hyperlink>
    </w:p>
    <w:p w:rsidR="00BE1EFE" w:rsidRDefault="00BE1EFE">
      <w:pPr>
        <w:pStyle w:val="StandardWeb"/>
      </w:pPr>
    </w:p>
    <w:p w:rsidR="00BE1EFE" w:rsidRDefault="00C23DFA">
      <w:pPr>
        <w:pStyle w:val="StandardWeb"/>
      </w:pPr>
      <w:hyperlink r:id="rId1438" w:history="1">
        <w:r w:rsidR="00BE1EFE" w:rsidRPr="002D1F1D">
          <w:rPr>
            <w:rStyle w:val="Hyperlink"/>
          </w:rPr>
          <w:t>§ 27 Verfahren</w:t>
        </w:r>
      </w:hyperlink>
    </w:p>
    <w:p w:rsidR="00BE1EFE" w:rsidRDefault="00BE1EFE">
      <w:pPr>
        <w:pStyle w:val="StandardWeb"/>
      </w:pPr>
    </w:p>
    <w:p w:rsidR="00BE1EFE" w:rsidRDefault="00C23DFA">
      <w:pPr>
        <w:pStyle w:val="StandardWeb"/>
      </w:pPr>
      <w:hyperlink r:id="rId1439" w:history="1">
        <w:r w:rsidR="00BE1EFE" w:rsidRPr="002D1F1D">
          <w:rPr>
            <w:rStyle w:val="Hyperlink"/>
          </w:rPr>
          <w:t>Dritter Teil: Übergangs- und Schlussvorschriften</w:t>
        </w:r>
      </w:hyperlink>
    </w:p>
    <w:p w:rsidR="00BE1EFE" w:rsidRDefault="00BE1EFE">
      <w:pPr>
        <w:pStyle w:val="StandardWeb"/>
      </w:pPr>
    </w:p>
    <w:p w:rsidR="00BE1EFE" w:rsidRDefault="00C23DFA">
      <w:pPr>
        <w:pStyle w:val="StandardWeb"/>
      </w:pPr>
      <w:hyperlink r:id="rId1440" w:history="1">
        <w:r w:rsidR="00BE1EFE" w:rsidRPr="002D1F1D">
          <w:rPr>
            <w:rStyle w:val="Hyperlink"/>
          </w:rPr>
          <w:t>Abschnitt I: Übergangsregelungen zur Versicherungspflicht</w:t>
        </w:r>
      </w:hyperlink>
    </w:p>
    <w:p w:rsidR="00BE1EFE" w:rsidRDefault="00BE1EFE">
      <w:pPr>
        <w:pStyle w:val="StandardWeb"/>
      </w:pPr>
    </w:p>
    <w:p w:rsidR="00BE1EFE" w:rsidRDefault="00C23DFA">
      <w:pPr>
        <w:pStyle w:val="StandardWeb"/>
      </w:pPr>
      <w:hyperlink r:id="rId1441" w:history="1">
        <w:r w:rsidR="00BE1EFE" w:rsidRPr="002D1F1D">
          <w:rPr>
            <w:rStyle w:val="Hyperlink"/>
          </w:rPr>
          <w:t>§ 28 Höherversicherte</w:t>
        </w:r>
      </w:hyperlink>
    </w:p>
    <w:p w:rsidR="00BE1EFE" w:rsidRDefault="00BE1EFE">
      <w:pPr>
        <w:pStyle w:val="StandardWeb"/>
      </w:pPr>
    </w:p>
    <w:p w:rsidR="00BE1EFE" w:rsidRDefault="00C23DFA">
      <w:pPr>
        <w:pStyle w:val="StandardWeb"/>
      </w:pPr>
      <w:hyperlink r:id="rId1442" w:history="1">
        <w:r w:rsidR="00BE1EFE" w:rsidRPr="002D1F1D">
          <w:rPr>
            <w:rStyle w:val="Hyperlink"/>
          </w:rPr>
          <w:t>§ 29 Von der Pflichtversicherung Befreite</w:t>
        </w:r>
      </w:hyperlink>
    </w:p>
    <w:p w:rsidR="00BE1EFE" w:rsidRDefault="00BE1EFE">
      <w:pPr>
        <w:pStyle w:val="StandardWeb"/>
      </w:pPr>
    </w:p>
    <w:p w:rsidR="00BE1EFE" w:rsidRDefault="00C23DFA">
      <w:pPr>
        <w:pStyle w:val="StandardWeb"/>
      </w:pPr>
      <w:hyperlink r:id="rId1443" w:history="1">
        <w:r w:rsidR="00BE1EFE" w:rsidRPr="002D1F1D">
          <w:rPr>
            <w:rStyle w:val="Hyperlink"/>
          </w:rPr>
          <w:t>Abschnitt II: Übergangsregelungen für die Rentenberechtigten</w:t>
        </w:r>
      </w:hyperlink>
    </w:p>
    <w:p w:rsidR="00BE1EFE" w:rsidRDefault="00BE1EFE">
      <w:pPr>
        <w:pStyle w:val="StandardWeb"/>
      </w:pPr>
    </w:p>
    <w:p w:rsidR="00BE1EFE" w:rsidRDefault="00C23DFA">
      <w:pPr>
        <w:pStyle w:val="StandardWeb"/>
      </w:pPr>
      <w:hyperlink r:id="rId1444" w:history="1">
        <w:r w:rsidR="00BE1EFE" w:rsidRPr="002D1F1D">
          <w:rPr>
            <w:rStyle w:val="Hyperlink"/>
          </w:rPr>
          <w:t>§ 30 Am 31. Dezember 2001 Versorgungsrentenberechtigte</w:t>
        </w:r>
      </w:hyperlink>
    </w:p>
    <w:p w:rsidR="00BE1EFE" w:rsidRDefault="00BE1EFE">
      <w:pPr>
        <w:pStyle w:val="StandardWeb"/>
      </w:pPr>
    </w:p>
    <w:p w:rsidR="00BE1EFE" w:rsidRDefault="00C23DFA">
      <w:pPr>
        <w:pStyle w:val="StandardWeb"/>
      </w:pPr>
      <w:hyperlink r:id="rId1445" w:history="1">
        <w:r w:rsidR="00BE1EFE" w:rsidRPr="002D1F1D">
          <w:rPr>
            <w:rStyle w:val="Hyperlink"/>
          </w:rPr>
          <w:t>§ 31 Am 31. Dezember 2001 Versicherungsrentenberechtigte</w:t>
        </w:r>
      </w:hyperlink>
    </w:p>
    <w:p w:rsidR="00BE1EFE" w:rsidRDefault="00BE1EFE">
      <w:pPr>
        <w:pStyle w:val="StandardWeb"/>
      </w:pPr>
    </w:p>
    <w:p w:rsidR="00BE1EFE" w:rsidRDefault="00C23DFA">
      <w:pPr>
        <w:pStyle w:val="StandardWeb"/>
      </w:pPr>
      <w:hyperlink r:id="rId1446" w:history="1">
        <w:r w:rsidR="00BE1EFE" w:rsidRPr="002D1F1D">
          <w:rPr>
            <w:rStyle w:val="Hyperlink"/>
          </w:rPr>
          <w:t>Abschnitt III: Übergangsregelungen für Anwartschaften der Versicherten</w:t>
        </w:r>
      </w:hyperlink>
    </w:p>
    <w:p w:rsidR="00BE1EFE" w:rsidRDefault="00BE1EFE">
      <w:pPr>
        <w:pStyle w:val="StandardWeb"/>
      </w:pPr>
    </w:p>
    <w:p w:rsidR="00BE1EFE" w:rsidRDefault="00C23DFA">
      <w:pPr>
        <w:pStyle w:val="StandardWeb"/>
      </w:pPr>
      <w:hyperlink r:id="rId1447" w:history="1">
        <w:r w:rsidR="00BE1EFE" w:rsidRPr="002D1F1D">
          <w:rPr>
            <w:rStyle w:val="Hyperlink"/>
          </w:rPr>
          <w:t>§ 32 Grundsätze</w:t>
        </w:r>
      </w:hyperlink>
    </w:p>
    <w:p w:rsidR="00BE1EFE" w:rsidRDefault="00BE1EFE">
      <w:pPr>
        <w:pStyle w:val="StandardWeb"/>
      </w:pPr>
    </w:p>
    <w:p w:rsidR="00BE1EFE" w:rsidRDefault="00C23DFA">
      <w:pPr>
        <w:pStyle w:val="StandardWeb"/>
      </w:pPr>
      <w:hyperlink r:id="rId1448" w:history="1">
        <w:r w:rsidR="00BE1EFE" w:rsidRPr="002D1F1D">
          <w:rPr>
            <w:rStyle w:val="Hyperlink"/>
          </w:rPr>
          <w:t>§ 33 Höhe der Anwartschaften für am 31. Dezember 2001 schon und am 1. Januar 2002 noch Pflichtversicherte</w:t>
        </w:r>
      </w:hyperlink>
    </w:p>
    <w:p w:rsidR="00BE1EFE" w:rsidRDefault="00BE1EFE">
      <w:pPr>
        <w:pStyle w:val="StandardWeb"/>
      </w:pPr>
    </w:p>
    <w:p w:rsidR="00BE1EFE" w:rsidRDefault="00C23DFA">
      <w:pPr>
        <w:pStyle w:val="StandardWeb"/>
      </w:pPr>
      <w:hyperlink r:id="rId1449" w:history="1">
        <w:r w:rsidR="00BE1EFE" w:rsidRPr="002D1F1D">
          <w:rPr>
            <w:rStyle w:val="Hyperlink"/>
          </w:rPr>
          <w:t>§ 34 Höhe der Anwartschaften für am 1. Januar 2002 beitragsfrei Versicherte</w:t>
        </w:r>
      </w:hyperlink>
    </w:p>
    <w:p w:rsidR="00BE1EFE" w:rsidRDefault="00BE1EFE">
      <w:pPr>
        <w:pStyle w:val="StandardWeb"/>
      </w:pPr>
    </w:p>
    <w:p w:rsidR="00BE1EFE" w:rsidRDefault="00C23DFA">
      <w:pPr>
        <w:pStyle w:val="StandardWeb"/>
      </w:pPr>
      <w:hyperlink r:id="rId1450" w:history="1">
        <w:r w:rsidR="00BE1EFE" w:rsidRPr="002D1F1D">
          <w:rPr>
            <w:rStyle w:val="Hyperlink"/>
          </w:rPr>
          <w:t>Abschnitt IV: Schlussvorschriften</w:t>
        </w:r>
      </w:hyperlink>
    </w:p>
    <w:p w:rsidR="00BE1EFE" w:rsidRDefault="00BE1EFE">
      <w:pPr>
        <w:pStyle w:val="StandardWeb"/>
      </w:pPr>
    </w:p>
    <w:p w:rsidR="00BE1EFE" w:rsidRDefault="00C23DFA">
      <w:pPr>
        <w:pStyle w:val="StandardWeb"/>
      </w:pPr>
      <w:hyperlink r:id="rId1451" w:history="1">
        <w:r w:rsidR="00BE1EFE" w:rsidRPr="002D1F1D">
          <w:rPr>
            <w:rStyle w:val="Hyperlink"/>
          </w:rPr>
          <w:t>§ 35 Sterbegeld</w:t>
        </w:r>
      </w:hyperlink>
    </w:p>
    <w:p w:rsidR="00BE1EFE" w:rsidRDefault="00BE1EFE">
      <w:pPr>
        <w:pStyle w:val="StandardWeb"/>
      </w:pPr>
    </w:p>
    <w:p w:rsidR="00BE1EFE" w:rsidRDefault="00C23DFA">
      <w:pPr>
        <w:pStyle w:val="StandardWeb"/>
      </w:pPr>
      <w:hyperlink r:id="rId1452" w:history="1">
        <w:r w:rsidR="00BE1EFE" w:rsidRPr="002D1F1D">
          <w:rPr>
            <w:rStyle w:val="Hyperlink"/>
          </w:rPr>
          <w:t>§ 36 Sonderregelungen für die Jahre 2001/2002</w:t>
        </w:r>
      </w:hyperlink>
    </w:p>
    <w:p w:rsidR="00BE1EFE" w:rsidRDefault="00BE1EFE">
      <w:pPr>
        <w:pStyle w:val="StandardWeb"/>
      </w:pPr>
    </w:p>
    <w:p w:rsidR="00BE1EFE" w:rsidRDefault="00C23DFA">
      <w:pPr>
        <w:pStyle w:val="StandardWeb"/>
      </w:pPr>
      <w:hyperlink r:id="rId1453" w:history="1">
        <w:r w:rsidR="00BE1EFE">
          <w:rPr>
            <w:rStyle w:val="Hyperlink"/>
          </w:rPr>
          <w:t>§ 36</w:t>
        </w:r>
        <w:r w:rsidR="00BE1EFE" w:rsidRPr="002D1F1D">
          <w:rPr>
            <w:rStyle w:val="Hyperlink"/>
          </w:rPr>
          <w:t>a Übergangsregelungen</w:t>
        </w:r>
      </w:hyperlink>
    </w:p>
    <w:p w:rsidR="00BE1EFE" w:rsidRDefault="00BE1EFE">
      <w:pPr>
        <w:pStyle w:val="StandardWeb"/>
      </w:pPr>
    </w:p>
    <w:p w:rsidR="00BE1EFE" w:rsidRDefault="00C23DFA">
      <w:pPr>
        <w:pStyle w:val="StandardWeb"/>
      </w:pPr>
      <w:hyperlink r:id="rId1454" w:history="1">
        <w:r w:rsidR="00BE1EFE" w:rsidRPr="00DF20A0">
          <w:rPr>
            <w:rStyle w:val="Hyperlink"/>
          </w:rPr>
          <w:t xml:space="preserve">§ 37 </w:t>
        </w:r>
        <w:r w:rsidR="00BE1EFE" w:rsidRPr="00DF20A0">
          <w:rPr>
            <w:rStyle w:val="Hyperlink"/>
            <w:i/>
          </w:rPr>
          <w:t>(frei)</w:t>
        </w:r>
      </w:hyperlink>
    </w:p>
    <w:p w:rsidR="00BE1EFE" w:rsidRDefault="00BE1EFE">
      <w:pPr>
        <w:pStyle w:val="StandardWeb"/>
      </w:pPr>
    </w:p>
    <w:p w:rsidR="00BE1EFE" w:rsidRDefault="00C23DFA">
      <w:pPr>
        <w:pStyle w:val="StandardWeb"/>
      </w:pPr>
      <w:hyperlink r:id="rId1455" w:history="1">
        <w:r w:rsidR="00BE1EFE">
          <w:rPr>
            <w:rStyle w:val="Hyperlink"/>
          </w:rPr>
          <w:t>§ 38 Sonderregelung zu § 26 Absatz</w:t>
        </w:r>
        <w:r w:rsidR="00BE1EFE" w:rsidRPr="002D1F1D">
          <w:rPr>
            <w:rStyle w:val="Hyperlink"/>
          </w:rPr>
          <w:t xml:space="preserve"> 5</w:t>
        </w:r>
      </w:hyperlink>
    </w:p>
    <w:p w:rsidR="00BE1EFE" w:rsidRDefault="00BE1EFE">
      <w:pPr>
        <w:pStyle w:val="StandardWeb"/>
      </w:pPr>
    </w:p>
    <w:p w:rsidR="00BE1EFE" w:rsidRDefault="00C23DFA">
      <w:pPr>
        <w:pStyle w:val="StandardWeb"/>
      </w:pPr>
      <w:hyperlink r:id="rId1456" w:history="1">
        <w:r w:rsidR="00BE1EFE" w:rsidRPr="002D1F1D">
          <w:rPr>
            <w:rStyle w:val="Hyperlink"/>
          </w:rPr>
          <w:t>§ 39 In-Kraft-Treten</w:t>
        </w:r>
      </w:hyperlink>
    </w:p>
    <w:p w:rsidR="00BE1EFE" w:rsidRDefault="00BE1EFE">
      <w:pPr>
        <w:pStyle w:val="StandardWeb"/>
      </w:pPr>
    </w:p>
    <w:p w:rsidR="00BE1EFE" w:rsidRDefault="00C23DFA">
      <w:pPr>
        <w:pStyle w:val="StandardWeb"/>
      </w:pPr>
      <w:hyperlink r:id="rId1457" w:history="1">
        <w:r w:rsidR="00BE1EFE" w:rsidRPr="00DF20A0">
          <w:rPr>
            <w:rStyle w:val="Hyperlink"/>
          </w:rPr>
          <w:t xml:space="preserve">Anlage 1: </w:t>
        </w:r>
        <w:r w:rsidR="00BE1EFE" w:rsidRPr="00DF20A0">
          <w:rPr>
            <w:rStyle w:val="Hyperlink"/>
            <w:i/>
          </w:rPr>
          <w:t>(frei)</w:t>
        </w:r>
      </w:hyperlink>
    </w:p>
    <w:p w:rsidR="00BE1EFE" w:rsidRDefault="00BE1EFE">
      <w:pPr>
        <w:pStyle w:val="StandardWeb"/>
      </w:pPr>
    </w:p>
    <w:p w:rsidR="00BE1EFE" w:rsidRDefault="00C23DFA">
      <w:pPr>
        <w:pStyle w:val="StandardWeb"/>
      </w:pPr>
      <w:hyperlink r:id="rId1458" w:history="1">
        <w:r w:rsidR="00BE1EFE" w:rsidRPr="002D1F1D">
          <w:rPr>
            <w:rStyle w:val="Hyperlink"/>
          </w:rPr>
          <w:t>Anlage 2: Ausnahmen von der Versicherungspflicht</w:t>
        </w:r>
      </w:hyperlink>
    </w:p>
    <w:p w:rsidR="00BE1EFE" w:rsidRDefault="00BE1EFE">
      <w:pPr>
        <w:pStyle w:val="StandardWeb"/>
      </w:pPr>
    </w:p>
    <w:p w:rsidR="00BE1EFE" w:rsidRDefault="00C23DFA">
      <w:pPr>
        <w:pStyle w:val="StandardWeb"/>
      </w:pPr>
      <w:hyperlink r:id="rId1459" w:history="1">
        <w:r w:rsidR="00BE1EFE" w:rsidRPr="002D1F1D">
          <w:rPr>
            <w:rStyle w:val="Hyperlink"/>
          </w:rPr>
          <w:t>Anlage 3: Ausnahmen vom und Sonderregelungen zum zusatzversorgungspflichtigen Entgelt</w:t>
        </w:r>
      </w:hyperlink>
    </w:p>
    <w:p w:rsidR="00BE1EFE" w:rsidRDefault="00BE1EFE">
      <w:pPr>
        <w:pStyle w:val="StandardWeb"/>
      </w:pPr>
    </w:p>
    <w:p w:rsidR="00BE1EFE" w:rsidRDefault="00C23DFA">
      <w:pPr>
        <w:pStyle w:val="StandardWeb"/>
      </w:pPr>
      <w:hyperlink r:id="rId1460" w:history="1">
        <w:r w:rsidR="00BE1EFE" w:rsidRPr="002D1F1D">
          <w:rPr>
            <w:rStyle w:val="Hyperlink"/>
          </w:rPr>
          <w:t>Anlage 4: Versicherungsmathematische Grundsätze für die Bewertung der Verpflichtungen im Rahmen der versicherungstechnischen Bilanz</w:t>
        </w:r>
      </w:hyperlink>
    </w:p>
    <w:p w:rsidR="00BE1EFE" w:rsidRDefault="00BE1EFE">
      <w:pPr>
        <w:pStyle w:val="StandardWeb"/>
      </w:pPr>
    </w:p>
    <w:p w:rsidR="00BE1EFE" w:rsidRDefault="00C23DFA">
      <w:pPr>
        <w:pStyle w:val="StandardWeb"/>
      </w:pPr>
      <w:hyperlink r:id="rId1461" w:history="1">
        <w:r w:rsidR="00BE1EFE" w:rsidRPr="002D1F1D">
          <w:rPr>
            <w:rStyle w:val="Hyperlink"/>
          </w:rPr>
          <w:t>Anlage 5: Altersvorsorgeplan 2001 des öffentlichen Dienstes</w:t>
        </w:r>
      </w:hyperlink>
    </w:p>
    <w:p w:rsidR="00BE1EFE" w:rsidRDefault="00BE1EFE">
      <w:pPr>
        <w:pStyle w:val="StandardWeb"/>
      </w:pPr>
      <w:r>
        <w:br w:type="page"/>
      </w:r>
    </w:p>
    <w:p w:rsidR="00BE1EFE" w:rsidRDefault="00BE1EFE">
      <w:pPr>
        <w:pStyle w:val="berschrift5"/>
      </w:pPr>
      <w:bookmarkStart w:id="1023" w:name="_Toc523926544"/>
      <w:r>
        <w:lastRenderedPageBreak/>
        <w:t>Präambel</w:t>
      </w:r>
      <w:bookmarkEnd w:id="1023"/>
    </w:p>
    <w:p w:rsidR="00BE1EFE" w:rsidRPr="00B76821" w:rsidRDefault="00BE1EFE" w:rsidP="00B76821">
      <w:pPr>
        <w:pStyle w:val="berschrift6"/>
        <w:keepNext w:val="0"/>
        <w:spacing w:before="0" w:after="0"/>
        <w:rPr>
          <w:sz w:val="2"/>
        </w:rPr>
      </w:pPr>
    </w:p>
    <w:p w:rsidR="00BE1EFE" w:rsidRPr="000B1AF8" w:rsidRDefault="00BE1EFE">
      <w:pPr>
        <w:pStyle w:val="StandardWeb"/>
      </w:pPr>
      <w:r>
        <w:t>I. Die Versorgungsordnung A regelt die betriebliche Altersversorgung der bei der Zusatz</w:t>
      </w:r>
      <w:r>
        <w:softHyphen/>
        <w:t>versorgungskasse der bayerischen Gemeinden versicherten Beschäftigten.</w:t>
      </w:r>
    </w:p>
    <w:p w:rsidR="00BE1EFE" w:rsidRPr="000B1AF8" w:rsidRDefault="00BE1EFE">
      <w:pPr>
        <w:pStyle w:val="StandardWeb"/>
      </w:pPr>
    </w:p>
    <w:p w:rsidR="00BE1EFE" w:rsidRDefault="00BE1EFE">
      <w:pPr>
        <w:pStyle w:val="StandardWeb"/>
      </w:pPr>
      <w:r>
        <w:t>II. </w:t>
      </w:r>
      <w:r>
        <w:rPr>
          <w:rStyle w:val="kleinschrift"/>
        </w:rPr>
        <w:t>1</w:t>
      </w:r>
      <w:r>
        <w:t xml:space="preserve">Grundlage für den Anspruch der Beschäftigten auf Versicherung zum Zwecke einer zusätzlichen Alters- und Hinterbliebenenversorgung waren zum Stichtag 1. Januar 2001 die Regelungen des Tarifvertrages über die Versorgung der Arbeitnehmer kommunaler Verwaltungen und Betriebe (VersTV-G) vom 6. März 1967 in ihrer jeweils gültigen Fassung. </w:t>
      </w:r>
      <w:r>
        <w:rPr>
          <w:rStyle w:val="kleinschrift"/>
        </w:rPr>
        <w:t>2</w:t>
      </w:r>
      <w:r>
        <w:t>Unbeschadet der Tatsache, dass die Bayerische Regional-KODA nunmehr mit der Versorgungsordnung A eine eigenständige kollektivrechtliche Regelung im Bereich der betrieblichen Altersversorgung schafft, wird auch künftig die größtmögliche Nähe mit den für die bei der Zusatzversorgungskasse der bayerischen Gemeinden versicherten Arbeitnehmer der dem Kommunalen Arbeitgeberverband Bayern angehörenden Mitglieder geltenden Regelungen beibehalten.</w:t>
      </w:r>
    </w:p>
    <w:p w:rsidR="00BE1EFE" w:rsidRDefault="00BE1EFE">
      <w:pPr>
        <w:pStyle w:val="StandardWeb"/>
      </w:pPr>
    </w:p>
    <w:p w:rsidR="00BE1EFE" w:rsidRDefault="00BE1EFE">
      <w:pPr>
        <w:pStyle w:val="StandardWeb"/>
      </w:pPr>
      <w:r>
        <w:t>III. Soweit nicht in der Versorgungsordnung A inhaltlich abweichende oder ergänzende Regelungen vorgesehen sind, erhalten die Beschäftigten Versicherungsleistungen wie bei der Zusatzversorgungskasse der bayerischen Gemeinden versicherte Arbeitnehmer der dem Kommunalen Arbeitgeberverband angehörenden Mitglieder.</w:t>
      </w:r>
    </w:p>
    <w:p w:rsidR="00BE1EFE" w:rsidRDefault="00BE1EFE">
      <w:pPr>
        <w:pStyle w:val="StandardWeb"/>
      </w:pPr>
    </w:p>
    <w:p w:rsidR="00BE1EFE" w:rsidRDefault="00BE1EFE">
      <w:pPr>
        <w:pStyle w:val="StandardWeb"/>
      </w:pPr>
      <w:r>
        <w:t>IV. Änderungen in dem für die bei der Zusatzversorgungskasse der bayerischen Gemeinden versicherten Arbeitnehmer der dem Kommunalen Arbeitgeberverband angehörenden Mitglieder geltenden Tarifvertrag werden zum jeweiligen Zeitpunkt Bestandteil der Versorgungsordnung A, soweit nicht die Bayerische Regional-KODA abweichende oder ergänzende Beschlüsse fasst.</w:t>
      </w:r>
    </w:p>
    <w:p w:rsidR="00BE1EFE" w:rsidRDefault="00BE1EFE">
      <w:pPr>
        <w:pStyle w:val="StandardWeb"/>
      </w:pPr>
    </w:p>
    <w:p w:rsidR="00BE1EFE" w:rsidRDefault="00BE1EFE">
      <w:pPr>
        <w:pStyle w:val="StandardWeb"/>
      </w:pPr>
      <w:r>
        <w:t>V. </w:t>
      </w:r>
      <w:r>
        <w:rPr>
          <w:rStyle w:val="kleinschrift"/>
        </w:rPr>
        <w:t>1</w:t>
      </w:r>
      <w:r>
        <w:t xml:space="preserve">Die Bayerische Regional-KODA stellt fest und bestätigt, dass die Neuregelung der zusätzlichen Alters- und Hinterbliebenenversorgung, wie sie im „Tarifvertrag über die zusätzliche Altersvorsorge der Beschäftigten des öffentlichen Dienstes (Altersvorsorge- TV-Kommunal [ATV-K])“ vom 1. März 2002 sowie der Satzung der Zusatzversorgungskasse der bayerischen Gemeinden in der Fassung vom 25. Juni 2002 zum Ausdruck kommt, Bestandteil der Arbeitsverträge der Beschäftigten im Geltungsbereich des Arbeitsvertragsrechts der bayerischen Diözesen ist. </w:t>
      </w:r>
      <w:r>
        <w:rPr>
          <w:rStyle w:val="kleinschrift"/>
        </w:rPr>
        <w:t>2</w:t>
      </w:r>
      <w:r>
        <w:t xml:space="preserve">Die Tarifvertragsparteien des öffentlichen Dienstes haben sich - auch in Ausfüllung des Beschlusses des Bundesverfassungsgerichts vom 22. März 2000 (1 BvR 1136/96) - am 13. November 2001 auf eine grundlegende Reform der Zusatzversorgung des öffentlichen Dienstes geeinigt, um deren Zukunftsfähigkeit zu sichern; der Altersvorsorgeplan 2001 vom 13. November 2001 ist dabei Geschäftsgrundlage des Tarifvertrages. </w:t>
      </w:r>
    </w:p>
    <w:p w:rsidR="00BE1EFE" w:rsidRDefault="00BE1EFE">
      <w:pPr>
        <w:pStyle w:val="StandardWeb"/>
      </w:pPr>
      <w:r>
        <w:rPr>
          <w:rStyle w:val="kleinschrift"/>
        </w:rPr>
        <w:t>3</w:t>
      </w:r>
      <w:r>
        <w:t xml:space="preserve">Das bisherige Gesamtversorgungssystem wird mit Ablauf des 31. Dezember 2000 geschlossen und durch ein Punktemodell ersetzt, in dem entsprechend den nachfolgenden Regelungen diejenigen Leistungen zugesagt werden, die sich ergeben würden, wenn eine Gesamt-Beitragsleistung von 4 v. H. des zusatzversorgungspflichtigen Entgelts vollständig in ein kapitalgedecktes System eingezahlt würde. </w:t>
      </w:r>
      <w:r>
        <w:rPr>
          <w:rStyle w:val="kleinschrift"/>
        </w:rPr>
        <w:t>4</w:t>
      </w:r>
      <w:r>
        <w:t>Das Jahr 2001 wird im Rahmen des Übergangsrechts berücksichtigt.</w:t>
      </w:r>
    </w:p>
    <w:p w:rsidR="00BE1EFE" w:rsidRDefault="00BE1EFE">
      <w:pPr>
        <w:pStyle w:val="StandardWeb"/>
      </w:pPr>
    </w:p>
    <w:p w:rsidR="00BE1EFE" w:rsidRDefault="00BE1EFE">
      <w:pPr>
        <w:pStyle w:val="StandardWeb"/>
      </w:pPr>
      <w:r>
        <w:t>VI. Bei der Zusatzversorgungskasse der bayerischen Gemeinden kann als Leistung der betrieblichen Altersversorgung auch eine zusätzliche kapitalgedeckte Altersvorsorge durch eigene Beiträge unter Inanspruchnahme der steuerlichen Förderungen durchgeführt werden.</w:t>
      </w:r>
    </w:p>
    <w:p w:rsidR="00BE1EFE" w:rsidRDefault="00BE1EFE" w:rsidP="002019A9">
      <w:pPr>
        <w:pStyle w:val="StandardWeb"/>
      </w:pPr>
    </w:p>
    <w:p w:rsidR="00BE1EFE" w:rsidRDefault="00BE1EFE" w:rsidP="002019A9">
      <w:pPr>
        <w:pStyle w:val="StandardWeb"/>
      </w:pPr>
    </w:p>
    <w:p w:rsidR="00BE1EFE" w:rsidRDefault="00BE1EFE" w:rsidP="00E87479">
      <w:pPr>
        <w:pStyle w:val="berschrift5"/>
        <w:spacing w:before="0" w:after="120"/>
      </w:pPr>
      <w:bookmarkStart w:id="1024" w:name="_Toc523926545"/>
      <w:r>
        <w:lastRenderedPageBreak/>
        <w:t>Erster Teil: Punktemodell</w:t>
      </w:r>
      <w:bookmarkEnd w:id="1024"/>
    </w:p>
    <w:p w:rsidR="00BE1EFE" w:rsidRDefault="00BE1EFE">
      <w:pPr>
        <w:pStyle w:val="berschrift6"/>
      </w:pPr>
      <w:bookmarkStart w:id="1025" w:name="_Toc523926546"/>
      <w:r>
        <w:t>Abschnitt I: Geltungsbereich</w:t>
      </w:r>
      <w:bookmarkEnd w:id="1025"/>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xml:space="preserve">§ 1 Geltungsbereich </w:t>
      </w:r>
    </w:p>
    <w:p w:rsidR="00BE1EFE" w:rsidRPr="000B1AF8" w:rsidRDefault="00BE1EFE">
      <w:pPr>
        <w:pStyle w:val="StandardWeb"/>
        <w:jc w:val="center"/>
      </w:pPr>
    </w:p>
    <w:p w:rsidR="00BE1EFE" w:rsidRDefault="00BE1EFE">
      <w:pPr>
        <w:pStyle w:val="StandardWeb"/>
      </w:pPr>
      <w:r>
        <w:t>Die „Ordnung über die betriebliche Altersversorgung der bei der Bayerischen Versorgungs</w:t>
      </w:r>
      <w:r>
        <w:softHyphen/>
        <w:t>kammer - Zusatzversorgungskasse der bayerischen Gemeinden versicherten Beschäftigten im kirchlichen Dienst - Versorgungsordnung A“ gilt für die Arbeitnehmerinnen/ Arbeitnehmer (Beschäftigte) und Auszubildende, die unter den Geltungsbereich des Arbeitsvertragsrechts der bayerischen Diözesen fallen, soweit nicht § 25 a oder § 25 b ABD Teil A, 1. zur Anwen</w:t>
      </w:r>
      <w:r>
        <w:softHyphen/>
        <w:t>dung kommt.</w:t>
      </w:r>
    </w:p>
    <w:p w:rsidR="00BE1EFE" w:rsidRDefault="00BE1EFE">
      <w:pPr>
        <w:pStyle w:val="berschrift6"/>
      </w:pPr>
      <w:bookmarkStart w:id="1026" w:name="_Toc523926547"/>
      <w:r>
        <w:t>Abschnitt II: Versicherung bei der Zusatzversorgungskasse der bayerischen Gemeinden</w:t>
      </w:r>
      <w:bookmarkEnd w:id="1026"/>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 Pflichtversicherung</w:t>
      </w:r>
    </w:p>
    <w:p w:rsidR="00BE1EFE" w:rsidRPr="000B1AF8" w:rsidRDefault="00BE1EFE">
      <w:pPr>
        <w:pStyle w:val="StandardWeb"/>
        <w:jc w:val="center"/>
      </w:pPr>
    </w:p>
    <w:p w:rsidR="00BE1EFE" w:rsidRDefault="00BE1EFE">
      <w:pPr>
        <w:pStyle w:val="StandardWeb"/>
      </w:pPr>
      <w:r>
        <w:t>(1) </w:t>
      </w:r>
      <w:r>
        <w:rPr>
          <w:rStyle w:val="kleinschrift"/>
        </w:rPr>
        <w:t>1</w:t>
      </w:r>
      <w:r>
        <w:t>Die Beschäftigten sind vorbehaltlich der Absätze 2 und 3 zu versichern, wenn sie</w:t>
      </w:r>
    </w:p>
    <w:p w:rsidR="00BE1EFE" w:rsidRDefault="00BE1EFE">
      <w:pPr>
        <w:pStyle w:val="StandardWeb"/>
      </w:pPr>
      <w:r>
        <w:t>a) das 17. Lebensjahr vollendet haben und</w:t>
      </w:r>
    </w:p>
    <w:p w:rsidR="00BE1EFE" w:rsidRDefault="00BE1EFE">
      <w:pPr>
        <w:pStyle w:val="StandardWeb"/>
      </w:pPr>
      <w:r>
        <w:t>b) die Wartezeit (</w:t>
      </w:r>
      <w:hyperlink r:id="rId1462" w:history="1">
        <w:r w:rsidRPr="002D1F1D">
          <w:rPr>
            <w:rStyle w:val="Hyperlink"/>
          </w:rPr>
          <w:t>§</w:t>
        </w:r>
        <w:r>
          <w:rPr>
            <w:rStyle w:val="Hyperlink"/>
          </w:rPr>
          <w:t xml:space="preserve"> </w:t>
        </w:r>
        <w:r w:rsidRPr="002D1F1D">
          <w:rPr>
            <w:rStyle w:val="Hyperlink"/>
          </w:rPr>
          <w:t>6</w:t>
        </w:r>
      </w:hyperlink>
      <w:r>
        <w:t>) erfüllen können.</w:t>
      </w:r>
    </w:p>
    <w:p w:rsidR="00BE1EFE" w:rsidRDefault="00BE1EFE">
      <w:pPr>
        <w:pStyle w:val="StandardWeb"/>
      </w:pPr>
      <w:r>
        <w:rPr>
          <w:rStyle w:val="kleinschrift"/>
        </w:rPr>
        <w:t>2</w:t>
      </w:r>
      <w:r>
        <w:t xml:space="preserve">Die Wartezeit muss bis zum Ablauf des Monats, in dem die/der Beschäftigte das gesetzlich festgelegte Alter zum Erreichen einer abschlagsfreien Regelaltersrente vollendet, erfüllt werden können; frühere Versicherungszeiten, die auf die Wartezeit angerechnet werden, sind zu berücksichtigen. </w:t>
      </w:r>
      <w:r>
        <w:rPr>
          <w:rStyle w:val="kleinschrift"/>
        </w:rPr>
        <w:t>3</w:t>
      </w:r>
      <w:r>
        <w:t>Die Pflicht zur Versicherung bei der Bayerischen Versorgungskammer, Zusatzversorgungskasse der bayerischen Gemeinden setzt mit dem Beginn des Beschäf</w:t>
      </w:r>
      <w:r>
        <w:softHyphen/>
        <w:t xml:space="preserve">tigungsverhältnisses ein. </w:t>
      </w:r>
      <w:r>
        <w:rPr>
          <w:rStyle w:val="kleinschrift"/>
        </w:rPr>
        <w:t>4</w:t>
      </w:r>
      <w:r>
        <w:t>Die Pflicht zur Versicherung endet mit der Beendigung des Beschäftigungsverhältnisses.</w:t>
      </w:r>
    </w:p>
    <w:p w:rsidR="00BE1EFE" w:rsidRDefault="00BE1EFE">
      <w:pPr>
        <w:pStyle w:val="StandardWeb"/>
      </w:pPr>
    </w:p>
    <w:p w:rsidR="00BE1EFE" w:rsidRDefault="00BE1EFE">
      <w:pPr>
        <w:pStyle w:val="StandardWeb"/>
      </w:pPr>
      <w:r>
        <w:t>(2) </w:t>
      </w:r>
      <w:r>
        <w:rPr>
          <w:rStyle w:val="kleinschrift"/>
        </w:rPr>
        <w:t>1</w:t>
      </w:r>
      <w:r>
        <w:t>Beschäftigte mit einer wissenschaftlichen Tätigkeit an Hochschulen oder Forschungs</w:t>
      </w:r>
      <w:r>
        <w:softHyphen/>
        <w:t xml:space="preserve">einrichtungen, die für ein befristetes Arbeitsverhältnis eingestellt werden, in dem sie wegen der Dauer der Befristung die Wartezeit nach </w:t>
      </w:r>
      <w:hyperlink r:id="rId1463" w:history="1">
        <w:r w:rsidRPr="002D1F1D">
          <w:rPr>
            <w:rStyle w:val="Hyperlink"/>
          </w:rPr>
          <w:t>§ 6 Ab</w:t>
        </w:r>
        <w:r>
          <w:rPr>
            <w:rStyle w:val="Hyperlink"/>
          </w:rPr>
          <w:t>satz</w:t>
        </w:r>
        <w:r w:rsidRPr="002D1F1D">
          <w:rPr>
            <w:rStyle w:val="Hyperlink"/>
          </w:rPr>
          <w:t xml:space="preserve"> 1</w:t>
        </w:r>
      </w:hyperlink>
      <w:r>
        <w:t xml:space="preserve"> nicht erfüllen können, und die bisher keine Pflichtversicherungszeiten in der Zusatzversorgung haben, sind auf ihren schriftlichen Antrag vom Dienstgeber von der Pflicht zur Versicherung zu befreien1. </w:t>
      </w:r>
      <w:r>
        <w:rPr>
          <w:rStyle w:val="kleinschrift"/>
        </w:rPr>
        <w:t>2</w:t>
      </w:r>
      <w:r>
        <w:t xml:space="preserve">Der Antrag ist innerhalb von zwei Monaten nach Beginn des Arbeitsverhältnisses zu stellen. </w:t>
      </w:r>
      <w:r>
        <w:rPr>
          <w:rStyle w:val="kleinschrift"/>
        </w:rPr>
        <w:t>3</w:t>
      </w:r>
      <w:r>
        <w:t>Zugunsten der nach Satz 1 von der Pflichtversicherung befreiten Beschäftigten werden Versorgungs</w:t>
      </w:r>
      <w:r>
        <w:softHyphen/>
        <w:t xml:space="preserve">anwartschaften auf eine freiwillige Versicherung (entsprechend </w:t>
      </w:r>
      <w:hyperlink r:id="rId1464" w:history="1">
        <w:r>
          <w:rPr>
            <w:rStyle w:val="Hyperlink"/>
          </w:rPr>
          <w:t>§ 26 Absatz</w:t>
        </w:r>
        <w:r w:rsidRPr="002D1F1D">
          <w:rPr>
            <w:rStyle w:val="Hyperlink"/>
          </w:rPr>
          <w:t xml:space="preserve"> 3 Satz 1</w:t>
        </w:r>
      </w:hyperlink>
      <w:r>
        <w:t>) mit Beiträgen in Höhe der auf den Dienstgeber entfallenden Aufwendungen für die Pflicht</w:t>
      </w:r>
      <w:r>
        <w:softHyphen/>
        <w:t xml:space="preserve">versicherung, höchstens jedoch mit 4 v.H. des zusatzversorgungspflichtigen Entgelts begründet. </w:t>
      </w:r>
      <w:r>
        <w:rPr>
          <w:rStyle w:val="kleinschrift"/>
        </w:rPr>
        <w:t>4</w:t>
      </w:r>
      <w:r>
        <w:t>Wird das Arbeitsverhältnis im Sinne des Satzes 1 verlängert oder fortgesetzt, beginnt die Pflichtversicherung anstelle der freiwilligen Versicherung mit dem Ersten des Monats, in dem die Verlängerung oder Fortsetzung des Arbeitsverhältnisses über fünf Jahre hinaus vereinbart wurde. Eine rückwirkende Pflichtversicherung von Beginn des Arbeitsverhältnisses an ist ausgeschlossen.</w:t>
      </w:r>
    </w:p>
    <w:p w:rsidR="00BE1EFE" w:rsidRDefault="00BE1EFE">
      <w:pPr>
        <w:pStyle w:val="StandardWeb"/>
      </w:pPr>
      <w:r>
        <w:rPr>
          <w:sz w:val="12"/>
          <w:szCs w:val="12"/>
          <w:vertAlign w:val="superscript"/>
        </w:rPr>
        <w:t xml:space="preserve">1 </w:t>
      </w:r>
      <w:r>
        <w:rPr>
          <w:sz w:val="12"/>
          <w:szCs w:val="12"/>
        </w:rPr>
        <w:t>Soweit eine Befreiung von der Pflichtversicherung nach § 2 Absatz 2 vor dem 31. März 2003 vorgenommen wurde, hat es in den Fällen, in denen die Wartezeit wegen der Dauer der Befristung erfüllt werden kann, damit sein Bewenden.</w:t>
      </w:r>
    </w:p>
    <w:p w:rsidR="00BE1EFE" w:rsidRDefault="00BE1EFE">
      <w:pPr>
        <w:pStyle w:val="StandardWeb"/>
      </w:pPr>
    </w:p>
    <w:p w:rsidR="00BE1EFE" w:rsidRDefault="00BE1EFE">
      <w:pPr>
        <w:pStyle w:val="StandardWeb"/>
      </w:pPr>
      <w:r>
        <w:t xml:space="preserve">(3) Von der Pflicht zur Versicherung ausgenommen sind die von der </w:t>
      </w:r>
      <w:hyperlink r:id="rId1465" w:history="1">
        <w:r w:rsidRPr="002D1F1D">
          <w:rPr>
            <w:rStyle w:val="Hyperlink"/>
          </w:rPr>
          <w:t>Anlage 2</w:t>
        </w:r>
      </w:hyperlink>
      <w:r>
        <w:t xml:space="preserve"> erfassten Beschäftigten.</w:t>
      </w:r>
    </w:p>
    <w:p w:rsidR="00BE1EFE" w:rsidRDefault="00BE1EFE">
      <w:pPr>
        <w:pStyle w:val="StandardWeb"/>
      </w:pPr>
    </w:p>
    <w:p w:rsidR="00BE1EFE" w:rsidRDefault="00BE1EFE">
      <w:pPr>
        <w:pStyle w:val="StandardWeb"/>
      </w:pPr>
      <w:r>
        <w:lastRenderedPageBreak/>
        <w:t xml:space="preserve">(4) Der Anspruch der/des Beschäftigten nach </w:t>
      </w:r>
      <w:hyperlink r:id="rId1466" w:history="1">
        <w:r w:rsidRPr="00AD3E49">
          <w:rPr>
            <w:rStyle w:val="Hyperlink"/>
          </w:rPr>
          <w:t>§ 1 Absatz 4</w:t>
        </w:r>
        <w:r w:rsidR="00AD3E49" w:rsidRPr="00AD3E49">
          <w:rPr>
            <w:rStyle w:val="Hyperlink"/>
          </w:rPr>
          <w:t xml:space="preserve"> </w:t>
        </w:r>
        <w:r w:rsidRPr="00AD3E49">
          <w:rPr>
            <w:rStyle w:val="Hyperlink"/>
          </w:rPr>
          <w:t>BetrAVG</w:t>
        </w:r>
      </w:hyperlink>
      <w:r w:rsidRPr="00AD3E49">
        <w:t xml:space="preserve"> </w:t>
      </w:r>
      <w:r>
        <w:t>auf Fortführung der Versicherung mit eigenen Beträgen in entgeltlosen Zeiten während eines bestehenden Beschäftigungsverhältnisses ist für die Pflichtversicherung ausgeschlossen.</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3 Beitragsfreie Versicherung</w:t>
      </w:r>
    </w:p>
    <w:p w:rsidR="00BE1EFE" w:rsidRDefault="00BE1EFE">
      <w:pPr>
        <w:pStyle w:val="StandardWeb"/>
        <w:jc w:val="center"/>
      </w:pPr>
    </w:p>
    <w:p w:rsidR="00BE1EFE" w:rsidRDefault="00BE1EFE">
      <w:pPr>
        <w:pStyle w:val="StandardWeb"/>
      </w:pPr>
      <w:r>
        <w:t>(1) Die Versicherung bleibt als beitragsfreie Versicherung bestehen, wenn das Beschäf</w:t>
      </w:r>
      <w:r>
        <w:softHyphen/>
        <w:t>tigungsverhältnis endet.</w:t>
      </w:r>
    </w:p>
    <w:p w:rsidR="00BE1EFE" w:rsidRDefault="00BE1EFE">
      <w:pPr>
        <w:pStyle w:val="StandardWeb"/>
      </w:pPr>
    </w:p>
    <w:p w:rsidR="00BE1EFE" w:rsidRDefault="00BE1EFE">
      <w:pPr>
        <w:pStyle w:val="StandardWeb"/>
      </w:pPr>
      <w:r>
        <w:t>(2) Die beitragsfreie Versicherung endet bei Eintritt des Versicherungsfalles, Überleitung der Versicherung auf eine andere Zusatzversorgungseinrichtung, Tod, Erlöschen der Anwart</w:t>
      </w:r>
      <w:r>
        <w:softHyphen/>
        <w:t>schaft oder bei Beginn einer erneuten Pflichtversicherung.</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4 Überleitung der Versicherung</w:t>
      </w:r>
    </w:p>
    <w:p w:rsidR="00BE1EFE" w:rsidRDefault="00BE1EFE">
      <w:pPr>
        <w:pStyle w:val="StandardWeb"/>
        <w:jc w:val="center"/>
      </w:pPr>
    </w:p>
    <w:p w:rsidR="00BE1EFE" w:rsidRDefault="00BE1EFE">
      <w:pPr>
        <w:pStyle w:val="StandardWeb"/>
      </w:pPr>
      <w:r>
        <w:rPr>
          <w:rStyle w:val="kleinschrift"/>
        </w:rPr>
        <w:t>1</w:t>
      </w:r>
      <w:r>
        <w:t xml:space="preserve">Die Beschäftigten, die bei einer anderen Zusatzversorgungseinrichtung versichert sind, von der die Versicherung übergeleitet wird, sind verpflichtet, die Überleitung der Versicherung auf die Zusatzversorgungskasse der bayerischen Gemeinden zu beantragen, es sei denn, dass bei der anderen Zusatzversorgungseinrichtung Pflicht zur Versicherung besteht oder auch bei Überleitung der Versicherung keine Pflicht zur Versicherung bei der Zusatzversorgungskasse der bayerischen Gemeinden entstünde. </w:t>
      </w:r>
      <w:r>
        <w:rPr>
          <w:rStyle w:val="kleinschrift"/>
        </w:rPr>
        <w:t>2</w:t>
      </w:r>
      <w:r>
        <w:t>Das Gleiche gilt für die Beschäftigten, die gegen eine in Satz 1 genannte Zusatzversorgungseinrichtung Anspruch auf Rente haben, und zwar auch dann, wenn diese Zusatzversorgungseinrichtung die Rente weiter gewährt.</w:t>
      </w:r>
    </w:p>
    <w:p w:rsidR="00BE1EFE" w:rsidRPr="002306D6" w:rsidRDefault="00BE1EFE" w:rsidP="002306D6">
      <w:pPr>
        <w:pStyle w:val="berschrift6"/>
        <w:rPr>
          <w:rStyle w:val="Fett"/>
          <w:b/>
        </w:rPr>
      </w:pPr>
      <w:bookmarkStart w:id="1027" w:name="_Toc523926548"/>
      <w:r>
        <w:t>Abschnitt III: Betriebsrente</w:t>
      </w:r>
      <w:bookmarkEnd w:id="102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5 Versicherungsfall und Rentenbeginn</w:t>
      </w:r>
    </w:p>
    <w:p w:rsidR="00BE1EFE" w:rsidRPr="000B1AF8" w:rsidRDefault="00BE1EFE">
      <w:pPr>
        <w:pStyle w:val="StandardWeb"/>
        <w:jc w:val="center"/>
      </w:pPr>
    </w:p>
    <w:p w:rsidR="00BE1EFE" w:rsidRDefault="00BE1EFE">
      <w:pPr>
        <w:pStyle w:val="StandardWeb"/>
      </w:pPr>
      <w:r>
        <w:rPr>
          <w:rStyle w:val="kleinschrift"/>
        </w:rPr>
        <w:t>1</w:t>
      </w:r>
      <w:r>
        <w:t xml:space="preserve">Der Versicherungsfall tritt am Ersten des Monats ein, von dem an der Anspruch auf gesetzliche Rente wegen Alters als Vollrente bzw. wegen teilweiser oder voller Erwerbsminderung besteht. </w:t>
      </w:r>
      <w:r>
        <w:rPr>
          <w:rStyle w:val="kleinschrift"/>
        </w:rPr>
        <w:t>2</w:t>
      </w:r>
      <w:r>
        <w:t xml:space="preserve">Der Anspruch ist durch Bescheid des Trägers der gesetzlichen Rentenversicherung nachzuweisen. </w:t>
      </w:r>
      <w:r>
        <w:rPr>
          <w:rStyle w:val="kleinschrift"/>
        </w:rPr>
        <w:t>3</w:t>
      </w:r>
      <w:r>
        <w:t>Den in der gesetzlichen Rentenversicherung Pflichtver</w:t>
      </w:r>
      <w:r>
        <w:softHyphen/>
        <w:t xml:space="preserve">sicherten, bei denen der Versicherungsfall nach Satz 1 eingetreten ist und die die Wartezeit nach § 6 erfüllt haben, wird auf ihren schriftlichen Antrag von der Zusatzversorgungskasse der bayerischen Gemeinden eine Betriebsrente gezahlt. </w:t>
      </w:r>
      <w:r>
        <w:rPr>
          <w:rStyle w:val="kleinschrift"/>
        </w:rPr>
        <w:t>4</w:t>
      </w:r>
      <w:r>
        <w:t xml:space="preserve">Die Betriebsrente beginnt – vorbehaltlich des </w:t>
      </w:r>
      <w:hyperlink r:id="rId1467" w:history="1">
        <w:r w:rsidRPr="002D1F1D">
          <w:rPr>
            <w:rStyle w:val="Hyperlink"/>
          </w:rPr>
          <w:t>§ 12</w:t>
        </w:r>
      </w:hyperlink>
      <w:r>
        <w:t xml:space="preserve"> – mit dem Beginn der Rente aus der gesetzlichen Rentenversicherung.</w:t>
      </w:r>
    </w:p>
    <w:p w:rsidR="00BE1EFE" w:rsidRDefault="00BE1EFE">
      <w:pPr>
        <w:pStyle w:val="StandardWeb"/>
        <w:jc w:val="center"/>
      </w:pPr>
    </w:p>
    <w:p w:rsidR="00BE1EFE" w:rsidRDefault="00BE1EFE" w:rsidP="0054275E">
      <w:pPr>
        <w:pStyle w:val="StandardWeb"/>
        <w:autoSpaceDE w:val="0"/>
        <w:jc w:val="left"/>
      </w:pPr>
      <w:r>
        <w:rPr>
          <w:rStyle w:val="Fett"/>
          <w:bCs/>
        </w:rPr>
        <w:t>§ 6 Wartezeit</w:t>
      </w:r>
    </w:p>
    <w:p w:rsidR="00BE1EFE" w:rsidRDefault="00BE1EFE">
      <w:pPr>
        <w:pStyle w:val="StandardWeb"/>
        <w:jc w:val="center"/>
      </w:pPr>
    </w:p>
    <w:p w:rsidR="00BE1EFE" w:rsidRDefault="00BE1EFE">
      <w:pPr>
        <w:pStyle w:val="StandardWeb"/>
      </w:pPr>
      <w:r>
        <w:t>(1) </w:t>
      </w:r>
      <w:r>
        <w:rPr>
          <w:rStyle w:val="kleinschrift"/>
        </w:rPr>
        <w:t>1</w:t>
      </w:r>
      <w:r>
        <w:t xml:space="preserve">Betriebsrenten werden erst nach Erfüllung der Wartezeit von 60 Kalendermonaten gewährt. </w:t>
      </w:r>
      <w:r>
        <w:rPr>
          <w:rStyle w:val="kleinschrift"/>
        </w:rPr>
        <w:t>2</w:t>
      </w:r>
      <w:r>
        <w:t xml:space="preserve">Dabei wird jeder Kalendermonat berücksichtigt, für den mindestens für einen Tag Aufwendungen für die Pflichtversicherung nach </w:t>
      </w:r>
      <w:hyperlink r:id="rId1468" w:history="1">
        <w:r w:rsidRPr="002D1F1D">
          <w:rPr>
            <w:rStyle w:val="Hyperlink"/>
          </w:rPr>
          <w:t>§§ 16, 18</w:t>
        </w:r>
      </w:hyperlink>
      <w:r>
        <w:t xml:space="preserve"> erbracht wurden. </w:t>
      </w:r>
      <w:r>
        <w:rPr>
          <w:rStyle w:val="kleinschrift"/>
        </w:rPr>
        <w:t>3</w:t>
      </w:r>
      <w:r>
        <w:t xml:space="preserve">Bis zum 31. Dezember 2000 nach dem bisherigen Recht der Zusatzversorgung als Umlagemonate zu berücksichtigende Zeiten zählen für die Erfüllung der Wartezeit. </w:t>
      </w:r>
      <w:r>
        <w:rPr>
          <w:rStyle w:val="kleinschrift"/>
        </w:rPr>
        <w:t>4</w:t>
      </w:r>
      <w:r>
        <w:t xml:space="preserve">Für die Erfüllung der Wartezeit werden Versicherungsverhältnisse bei Zusatzversorgungseinrichtungen nach </w:t>
      </w:r>
      <w:hyperlink r:id="rId1469" w:history="1">
        <w:r>
          <w:rPr>
            <w:rStyle w:val="Hyperlink"/>
          </w:rPr>
          <w:t>§ 2 Absatz</w:t>
        </w:r>
        <w:r w:rsidRPr="002D1F1D">
          <w:rPr>
            <w:rStyle w:val="Hyperlink"/>
          </w:rPr>
          <w:t xml:space="preserve"> 1</w:t>
        </w:r>
      </w:hyperlink>
      <w:r>
        <w:t xml:space="preserve"> zusammengerechnet.</w:t>
      </w:r>
    </w:p>
    <w:p w:rsidR="00BE1EFE" w:rsidRDefault="00BE1EFE">
      <w:pPr>
        <w:pStyle w:val="StandardWeb"/>
      </w:pPr>
    </w:p>
    <w:p w:rsidR="00BE1EFE" w:rsidRDefault="00BE1EFE">
      <w:pPr>
        <w:pStyle w:val="StandardWeb"/>
      </w:pPr>
      <w:r>
        <w:t>(2) </w:t>
      </w:r>
      <w:r>
        <w:rPr>
          <w:rStyle w:val="kleinschrift"/>
        </w:rPr>
        <w:t>1</w:t>
      </w:r>
      <w:r>
        <w:t xml:space="preserve">Die Wartezeit gilt als erfüllt, wenn der Versicherungsfall durch einen Arbeitsunfall eingetreten ist, der im Zusammenhang mit dem die Pflicht zur Versicherung begründenden Arbeitsverhältnis steht oder wenn die/der Versicherte infolge eines solchen Arbeitsunfalls gestorben ist. </w:t>
      </w:r>
      <w:r>
        <w:rPr>
          <w:rStyle w:val="kleinschrift"/>
        </w:rPr>
        <w:t>2</w:t>
      </w:r>
      <w:r>
        <w:t>Ob ein Arbeitsunfall vorgelegen hat, ist durch Bescheid des Trägers der gesetzlichen Unfallversicherung nachzuweisen.</w:t>
      </w:r>
    </w:p>
    <w:p w:rsidR="00BE1EFE" w:rsidRDefault="00BE1EFE">
      <w:pPr>
        <w:pStyle w:val="StandardWeb"/>
      </w:pPr>
    </w:p>
    <w:p w:rsidR="00BE1EFE" w:rsidRPr="00DE1973" w:rsidRDefault="00BE1EFE" w:rsidP="002306D6">
      <w:pPr>
        <w:pStyle w:val="StandardWeb"/>
        <w:rPr>
          <w:rStyle w:val="Fett"/>
          <w:b w:val="0"/>
        </w:rPr>
      </w:pPr>
      <w:r>
        <w:lastRenderedPageBreak/>
        <w:t xml:space="preserve">(3) In den Fällen des </w:t>
      </w:r>
      <w:hyperlink r:id="rId1470" w:tgtFrame="_blank" w:history="1">
        <w:r>
          <w:rPr>
            <w:rStyle w:val="Hyperlink"/>
          </w:rPr>
          <w:t>§ 7 Absatz 5</w:t>
        </w:r>
      </w:hyperlink>
      <w:r>
        <w:t xml:space="preserve"> des Gesetzes über die Rechtsverhältnisse der Mitglieder des Deutschen Bundestages und entsprechender gesetzlicher Vorschriften werden Zeiten einer nach dem Beginn der Pflichtversicherung liegenden Mitgliedschaft im Deutschen Bundestag, im Europäischen Parlament oder in dem Parlament eines Landes auf die Wartezeit angerechnet.</w:t>
      </w:r>
    </w:p>
    <w:p w:rsidR="00BE1EFE" w:rsidRDefault="00BE1EFE" w:rsidP="002306D6">
      <w:pPr>
        <w:pStyle w:val="StandardWeb"/>
        <w:rPr>
          <w:rStyle w:val="Fett"/>
          <w:bCs/>
        </w:rPr>
      </w:pPr>
    </w:p>
    <w:p w:rsidR="00BE1EFE" w:rsidRDefault="00BE1EFE" w:rsidP="0054275E">
      <w:pPr>
        <w:pStyle w:val="StandardWeb"/>
        <w:autoSpaceDE w:val="0"/>
        <w:jc w:val="left"/>
      </w:pPr>
      <w:r>
        <w:rPr>
          <w:rStyle w:val="Fett"/>
          <w:bCs/>
        </w:rPr>
        <w:t>§ 7 Höhe der Betriebsrente</w:t>
      </w:r>
    </w:p>
    <w:p w:rsidR="00BE1EFE" w:rsidRDefault="00BE1EFE">
      <w:pPr>
        <w:pStyle w:val="StandardWeb"/>
        <w:jc w:val="center"/>
      </w:pPr>
    </w:p>
    <w:p w:rsidR="00BE1EFE" w:rsidRDefault="00BE1EFE">
      <w:pPr>
        <w:pStyle w:val="StandardWeb"/>
      </w:pPr>
      <w:r>
        <w:t>(1) Die monatliche Betriebsrente errechnet sich aus der Summe der bis zum Beginn der Betriebsrente (</w:t>
      </w:r>
      <w:hyperlink r:id="rId1471" w:history="1">
        <w:r w:rsidRPr="002D1F1D">
          <w:rPr>
            <w:rStyle w:val="Hyperlink"/>
          </w:rPr>
          <w:t>§ 5 Satz 4</w:t>
        </w:r>
      </w:hyperlink>
      <w:r>
        <w:t>) erworbenen Versorgungspunkte (</w:t>
      </w:r>
      <w:hyperlink r:id="rId1472" w:history="1">
        <w:r w:rsidRPr="002D1F1D">
          <w:rPr>
            <w:rStyle w:val="Hyperlink"/>
          </w:rPr>
          <w:t>§ 8</w:t>
        </w:r>
      </w:hyperlink>
      <w:r>
        <w:t>), multipliziert mit dem Messbetrag von 4 Euro.</w:t>
      </w:r>
    </w:p>
    <w:p w:rsidR="00BE1EFE" w:rsidRDefault="00BE1EFE">
      <w:pPr>
        <w:pStyle w:val="StandardWeb"/>
      </w:pPr>
    </w:p>
    <w:p w:rsidR="00BE1EFE" w:rsidRDefault="00BE1EFE">
      <w:pPr>
        <w:pStyle w:val="StandardWeb"/>
      </w:pPr>
      <w:r>
        <w:t>(2) Die Betriebsrente wegen teilweiser Erwerbsminderung beträgt die Hälfte der Betriebsrente, die sich nach Absatz 1 bei voller Erwerbsminderung ergeben würde.</w:t>
      </w:r>
    </w:p>
    <w:p w:rsidR="00BE1EFE" w:rsidRDefault="00BE1EFE">
      <w:pPr>
        <w:pStyle w:val="StandardWeb"/>
      </w:pPr>
    </w:p>
    <w:p w:rsidR="00BE1EFE" w:rsidRDefault="00BE1EFE">
      <w:pPr>
        <w:pStyle w:val="StandardWeb"/>
      </w:pPr>
      <w:r>
        <w:t xml:space="preserve">(3) Die Betriebsrente mindert sich für jeden Monat, für den der Zugangsfaktor nach </w:t>
      </w:r>
      <w:hyperlink r:id="rId1473" w:tgtFrame="_blank" w:history="1">
        <w:r>
          <w:rPr>
            <w:rStyle w:val="Hyperlink"/>
          </w:rPr>
          <w:t>§ 77 SGB VI</w:t>
        </w:r>
      </w:hyperlink>
      <w:r>
        <w:t xml:space="preserve"> herabgesetzt ist, um 0,3 v. H., höchstens jedoch um insgesamt 10,8 v. H.</w:t>
      </w:r>
    </w:p>
    <w:p w:rsidR="00BE1EFE" w:rsidRDefault="00BE1EFE">
      <w:pPr>
        <w:pStyle w:val="StandardWeb"/>
        <w:jc w:val="center"/>
        <w:rPr>
          <w:rStyle w:val="Fett"/>
          <w:bCs/>
        </w:rPr>
      </w:pPr>
    </w:p>
    <w:p w:rsidR="00BE1EFE" w:rsidRDefault="00BE1EFE" w:rsidP="0054275E">
      <w:pPr>
        <w:pStyle w:val="StandardWeb"/>
        <w:autoSpaceDE w:val="0"/>
        <w:jc w:val="left"/>
      </w:pPr>
      <w:r>
        <w:rPr>
          <w:rStyle w:val="Fett"/>
          <w:bCs/>
        </w:rPr>
        <w:t>§ 8 Versorgungspunkte</w:t>
      </w:r>
    </w:p>
    <w:p w:rsidR="00BE1EFE" w:rsidRDefault="00BE1EFE">
      <w:pPr>
        <w:pStyle w:val="StandardWeb"/>
        <w:jc w:val="center"/>
      </w:pPr>
    </w:p>
    <w:p w:rsidR="00BE1EFE" w:rsidRDefault="00BE1EFE">
      <w:pPr>
        <w:pStyle w:val="StandardWeb"/>
      </w:pPr>
      <w:r>
        <w:t>(1) </w:t>
      </w:r>
      <w:r>
        <w:rPr>
          <w:rStyle w:val="kleinschrift"/>
        </w:rPr>
        <w:t>1</w:t>
      </w:r>
      <w:r>
        <w:t>Versorgungspunkte ergeben sich</w:t>
      </w:r>
    </w:p>
    <w:p w:rsidR="00BE1EFE" w:rsidRDefault="00BE1EFE">
      <w:pPr>
        <w:pStyle w:val="StandardWeb"/>
      </w:pPr>
      <w:r>
        <w:t>a) für das zusatzversorgungspflichtige Entgelt (</w:t>
      </w:r>
      <w:hyperlink r:id="rId1474" w:history="1">
        <w:r w:rsidRPr="002D1F1D">
          <w:rPr>
            <w:rStyle w:val="Hyperlink"/>
          </w:rPr>
          <w:t>§ 15</w:t>
        </w:r>
      </w:hyperlink>
      <w:r>
        <w:t>),</w:t>
      </w:r>
    </w:p>
    <w:p w:rsidR="00BE1EFE" w:rsidRDefault="00BE1EFE">
      <w:pPr>
        <w:pStyle w:val="StandardWeb"/>
      </w:pPr>
      <w:r>
        <w:t>b) für soziale Komponenten</w:t>
      </w:r>
      <w:hyperlink r:id="rId1475" w:history="1">
        <w:r w:rsidRPr="002D1F1D">
          <w:rPr>
            <w:rStyle w:val="Hyperlink"/>
          </w:rPr>
          <w:t xml:space="preserve"> (§ 9)</w:t>
        </w:r>
      </w:hyperlink>
      <w:r>
        <w:t xml:space="preserve"> und</w:t>
      </w:r>
    </w:p>
    <w:p w:rsidR="00BE1EFE" w:rsidRDefault="00BE1EFE">
      <w:pPr>
        <w:pStyle w:val="StandardWeb"/>
      </w:pPr>
      <w:r>
        <w:t>c) als Bonuspunkte (</w:t>
      </w:r>
      <w:hyperlink r:id="rId1476" w:history="1">
        <w:r w:rsidRPr="002D1F1D">
          <w:rPr>
            <w:rStyle w:val="Hyperlink"/>
          </w:rPr>
          <w:t>§ 19)</w:t>
        </w:r>
      </w:hyperlink>
      <w:r>
        <w:t xml:space="preserve">. </w:t>
      </w:r>
      <w:r>
        <w:rPr>
          <w:rStyle w:val="kleinschrift"/>
        </w:rPr>
        <w:t>2</w:t>
      </w:r>
      <w:r>
        <w:t>Die Versorgungspunkte nach Satz 1 Buchstabe a und b werden jeweils zum Ende des Kalenderjahres bzw. zum Zeitpunkt der Beendigung des Arbeitsverhältnisses festgestellt und dem Versorgungskonto gutgeschrieben; die Feststellung und Gutschrift der Bonuspunkte erfolgt zum Ende des folgenden Kalenderjahres. Ver</w:t>
      </w:r>
      <w:r>
        <w:softHyphen/>
        <w:t>sorgungspunkte werden jeweils auf zwei Nachkommastellen unter gemeinüblicher Rundung berechnet.</w:t>
      </w:r>
    </w:p>
    <w:p w:rsidR="00BE1EFE" w:rsidRDefault="00BE1EFE">
      <w:pPr>
        <w:pStyle w:val="StandardWeb"/>
      </w:pPr>
    </w:p>
    <w:p w:rsidR="00BE1EFE" w:rsidRDefault="00BE1EFE">
      <w:pPr>
        <w:pStyle w:val="StandardWeb"/>
      </w:pPr>
      <w:r>
        <w:t>(2) </w:t>
      </w:r>
      <w:r>
        <w:rPr>
          <w:rStyle w:val="kleinschrift"/>
        </w:rPr>
        <w:t>1</w:t>
      </w:r>
      <w:r>
        <w:t>Die Anzahl der Versorgungspunkte für ein Kalenderjahr nach Absatz 1 Satz 1 Buch</w:t>
      </w:r>
      <w:r>
        <w:softHyphen/>
        <w:t xml:space="preserve">stabe a ergibt sich aus dem Verhältnis eines Zwölftels des zusatzversorgungspflichtigen Jahresentgelts zum Referenzentgelt von 1000 Euro, multipliziert mit dem Altersfaktor (Absatz 3); dies entspricht einer Beitragsleistung von 4 v. H. des zusatzversorgungspflichtigen Entgelts. </w:t>
      </w:r>
      <w:r>
        <w:rPr>
          <w:rStyle w:val="kleinschrift"/>
        </w:rPr>
        <w:t>2</w:t>
      </w:r>
      <w:r>
        <w:t>Bei einer vor dem 1. Januar 2003 vereinbarten Altersteilzeit auf der Grundlage des Altersteilzeitgesetzes werden die Versorgungspunkte nach Satz 1 mit dem 1,8fachen berücksichtigt, soweit sie nicht auf Entgelten beruhen, die in voller Höhe zustehen.</w:t>
      </w:r>
    </w:p>
    <w:p w:rsidR="00BE1EFE" w:rsidRDefault="00BE1EFE">
      <w:pPr>
        <w:pStyle w:val="StandardWeb"/>
      </w:pPr>
    </w:p>
    <w:p w:rsidR="00BE1EFE" w:rsidRDefault="00BE1EFE">
      <w:pPr>
        <w:pStyle w:val="StandardWeb"/>
      </w:pPr>
      <w:r>
        <w:t>(3) Der Altersfaktor beinhaltet eine jährliche Verzinsung von 3,25 v. H. während der Anwart</w:t>
      </w:r>
      <w:r>
        <w:softHyphen/>
        <w:t>schaftsphase und von 5,25 v. H. während des Rentenbezuges und richtet sich nach der folgenden Tabelle; dabei gilt als Alter die Differenz zwischen dem jeweiligen Kalenderjahr und dem Geburtsjahr:</w:t>
      </w:r>
    </w:p>
    <w:p w:rsidR="00BE1EFE" w:rsidRDefault="00BE1EFE">
      <w:pPr>
        <w:pStyle w:val="StandardWeb"/>
      </w:pPr>
    </w:p>
    <w:tbl>
      <w:tblPr>
        <w:tblW w:w="6480" w:type="dxa"/>
        <w:tblInd w:w="113" w:type="dxa"/>
        <w:tblCellMar>
          <w:left w:w="0" w:type="dxa"/>
          <w:right w:w="0" w:type="dxa"/>
        </w:tblCellMar>
        <w:tblLook w:val="04A0" w:firstRow="1" w:lastRow="0" w:firstColumn="1" w:lastColumn="0" w:noHBand="0" w:noVBand="1"/>
      </w:tblPr>
      <w:tblGrid>
        <w:gridCol w:w="520"/>
        <w:gridCol w:w="1100"/>
        <w:gridCol w:w="520"/>
        <w:gridCol w:w="1100"/>
        <w:gridCol w:w="520"/>
        <w:gridCol w:w="1100"/>
        <w:gridCol w:w="520"/>
        <w:gridCol w:w="1100"/>
      </w:tblGrid>
      <w:tr w:rsidR="00BE1EFE" w:rsidTr="00DE1973">
        <w:trPr>
          <w:trHeight w:val="198"/>
        </w:trPr>
        <w:tc>
          <w:tcPr>
            <w:tcW w:w="5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c>
          <w:tcPr>
            <w:tcW w:w="5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w:t>
            </w:r>
          </w:p>
        </w:tc>
        <w:tc>
          <w:tcPr>
            <w:tcW w:w="1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Altersfaktor</w:t>
            </w:r>
          </w:p>
        </w:tc>
      </w:tr>
      <w:tr w:rsidR="00BE1EFE" w:rsidTr="00DE1973">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17</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3,1</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29</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2,1</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41</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1,5</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53</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DE1973">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18</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3,0</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30</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2,0</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42</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1,4</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54</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DE1973">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19</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2,9</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31</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2,0</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43</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1,4</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55</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3059A3">
            <w:pPr>
              <w:spacing w:line="198" w:lineRule="atLeast"/>
              <w:jc w:val="center"/>
              <w:rPr>
                <w:sz w:val="24"/>
              </w:rPr>
            </w:pPr>
            <w:r>
              <w:rPr>
                <w:rFonts w:cs="Arial"/>
                <w:szCs w:val="16"/>
              </w:rPr>
              <w:t>1,0</w:t>
            </w:r>
          </w:p>
        </w:tc>
      </w:tr>
      <w:tr w:rsidR="00BE1EFE" w:rsidTr="00DE1973">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20</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2,8</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32</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1,9</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44</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56</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1,0</w:t>
            </w:r>
          </w:p>
        </w:tc>
      </w:tr>
      <w:tr w:rsidR="00BE1EFE" w:rsidTr="00DE1973">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21</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2,7</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33</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1,9</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45</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57</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DE1973">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22</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2,6</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34</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1,8</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46</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1,3</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58</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DE1973">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23</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2,5</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35</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1,7</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47</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1,2</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59</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r w:rsidR="00BE1EFE" w:rsidTr="00DE1973">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24</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2,4</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36</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1,7</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48</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1,2</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60</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Pr="00DE1973" w:rsidRDefault="00BE1EFE" w:rsidP="003059A3">
            <w:pPr>
              <w:spacing w:line="198" w:lineRule="atLeast"/>
              <w:jc w:val="center"/>
              <w:rPr>
                <w:rFonts w:cs="Arial"/>
                <w:szCs w:val="16"/>
              </w:rPr>
            </w:pPr>
            <w:r>
              <w:rPr>
                <w:rFonts w:cs="Arial"/>
                <w:szCs w:val="16"/>
              </w:rPr>
              <w:t>0,9</w:t>
            </w:r>
          </w:p>
        </w:tc>
      </w:tr>
    </w:tbl>
    <w:p w:rsidR="00BE1EFE" w:rsidRDefault="00BE1EFE">
      <w:pPr>
        <w:pStyle w:val="StandardWeb"/>
      </w:pPr>
    </w:p>
    <w:p w:rsidR="00BE1EFE" w:rsidRDefault="00BE1EFE">
      <w:pPr>
        <w:pStyle w:val="StandardWeb"/>
      </w:pPr>
    </w:p>
    <w:tbl>
      <w:tblPr>
        <w:tblW w:w="6480" w:type="dxa"/>
        <w:tblInd w:w="113" w:type="dxa"/>
        <w:tblCellMar>
          <w:left w:w="0" w:type="dxa"/>
          <w:right w:w="0" w:type="dxa"/>
        </w:tblCellMar>
        <w:tblLook w:val="04A0" w:firstRow="1" w:lastRow="0" w:firstColumn="1" w:lastColumn="0" w:noHBand="0" w:noVBand="1"/>
      </w:tblPr>
      <w:tblGrid>
        <w:gridCol w:w="520"/>
        <w:gridCol w:w="1100"/>
        <w:gridCol w:w="520"/>
        <w:gridCol w:w="1100"/>
        <w:gridCol w:w="520"/>
        <w:gridCol w:w="1100"/>
        <w:gridCol w:w="520"/>
        <w:gridCol w:w="1100"/>
      </w:tblGrid>
      <w:tr w:rsidR="00BE1EFE" w:rsidTr="00792BC9">
        <w:trPr>
          <w:trHeight w:val="198"/>
        </w:trPr>
        <w:tc>
          <w:tcPr>
            <w:tcW w:w="520"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c>
          <w:tcPr>
            <w:tcW w:w="52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w:t>
            </w:r>
          </w:p>
        </w:tc>
        <w:tc>
          <w:tcPr>
            <w:tcW w:w="110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Altersfaktor</w:t>
            </w:r>
          </w:p>
        </w:tc>
      </w:tr>
      <w:tr w:rsidR="00BE1EFE" w:rsidTr="00792BC9">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25</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2,4</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37</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49</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1,2</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61</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0,9</w:t>
            </w:r>
          </w:p>
        </w:tc>
      </w:tr>
      <w:tr w:rsidR="00BE1EFE" w:rsidTr="00792BC9">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26</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2,3</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38</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50</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62</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792BC9">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27</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2,2</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39</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1,6</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51</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63</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792BC9">
        <w:trPr>
          <w:trHeight w:val="198"/>
        </w:trPr>
        <w:tc>
          <w:tcPr>
            <w:tcW w:w="52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28</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2,2</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40</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1,5</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52</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1,1</w:t>
            </w:r>
          </w:p>
        </w:tc>
        <w:tc>
          <w:tcPr>
            <w:tcW w:w="52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64</w:t>
            </w:r>
          </w:p>
        </w:tc>
        <w:tc>
          <w:tcPr>
            <w:tcW w:w="110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0,8</w:t>
            </w:r>
          </w:p>
        </w:tc>
      </w:tr>
      <w:tr w:rsidR="00BE1EFE" w:rsidTr="00792BC9">
        <w:trPr>
          <w:trHeight w:val="198"/>
        </w:trPr>
        <w:tc>
          <w:tcPr>
            <w:tcW w:w="4860" w:type="dxa"/>
            <w:gridSpan w:val="6"/>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t> </w:t>
            </w:r>
          </w:p>
        </w:tc>
        <w:tc>
          <w:tcPr>
            <w:tcW w:w="1620" w:type="dxa"/>
            <w:gridSpan w:val="2"/>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BE1EFE" w:rsidRDefault="00BE1EFE" w:rsidP="00DD7CD1">
            <w:pPr>
              <w:spacing w:line="198" w:lineRule="atLeast"/>
              <w:jc w:val="center"/>
              <w:rPr>
                <w:sz w:val="24"/>
              </w:rPr>
            </w:pPr>
            <w:r>
              <w:rPr>
                <w:rFonts w:cs="Arial"/>
                <w:szCs w:val="16"/>
              </w:rPr>
              <w:t>und älter</w:t>
            </w:r>
          </w:p>
        </w:tc>
      </w:tr>
    </w:tbl>
    <w:p w:rsidR="00BE1EFE" w:rsidRDefault="00BE1EFE">
      <w:pPr>
        <w:pStyle w:val="StandardWeb"/>
      </w:pPr>
    </w:p>
    <w:p w:rsidR="00BE1EFE" w:rsidRPr="0040340D" w:rsidRDefault="00BE1EFE">
      <w:pPr>
        <w:pStyle w:val="StandardWeb"/>
      </w:pPr>
      <w:r w:rsidRPr="009C6551">
        <w:rPr>
          <w:rStyle w:val="kleinschrift1"/>
        </w:rPr>
        <w:t>Protokollerklärung zu Absatz 2 Satz 2:</w:t>
      </w:r>
    </w:p>
    <w:p w:rsidR="00BE1EFE" w:rsidRPr="000B1AF8" w:rsidRDefault="00BE1EFE">
      <w:pPr>
        <w:pStyle w:val="StandardWeb"/>
      </w:pPr>
      <w:r w:rsidRPr="009C6551">
        <w:rPr>
          <w:rStyle w:val="kleinschrift1"/>
        </w:rPr>
        <w:t xml:space="preserve">Wird aufgrund einer Einzelregelung ein Beitrag an die gesetzliche Rentenversicherung gezahlt, der den Mindestbeitrag nach </w:t>
      </w:r>
      <w:hyperlink r:id="rId1477" w:tgtFrame="_blank" w:history="1">
        <w:r>
          <w:rPr>
            <w:rStyle w:val="Hyperlink"/>
            <w:sz w:val="12"/>
            <w:szCs w:val="12"/>
          </w:rPr>
          <w:t>§ 3 Absatz 1 Nr. 1 Buchstabe b</w:t>
        </w:r>
      </w:hyperlink>
      <w:r w:rsidRPr="009C6551">
        <w:rPr>
          <w:rStyle w:val="kleinschrift1"/>
        </w:rPr>
        <w:t xml:space="preserve"> des Altersteilzeitgesetzes übersteigt, ist das zusatzversorgungspflichtige Entgelt so zu erhöhen, dass sich nach Anwendung von Absatz 2 Satz 2 so viele Versorgungspunkte ergeben, wie dies dem über den gesetzlichen Mindestbeitrag erhöhten Beitrag zur gesetzlichen Rentenversicherung entspricht.</w:t>
      </w:r>
    </w:p>
    <w:p w:rsidR="00BE1EFE" w:rsidRDefault="00BE1EFE">
      <w:pPr>
        <w:pStyle w:val="StandardWeb"/>
        <w:jc w:val="center"/>
      </w:pPr>
    </w:p>
    <w:p w:rsidR="00BE1EFE" w:rsidRDefault="00BE1EFE" w:rsidP="0054275E">
      <w:pPr>
        <w:pStyle w:val="StandardWeb"/>
        <w:autoSpaceDE w:val="0"/>
        <w:jc w:val="left"/>
      </w:pPr>
      <w:r>
        <w:rPr>
          <w:rStyle w:val="Fett"/>
          <w:bCs/>
        </w:rPr>
        <w:t>§ 9 Soziale Komponenten</w:t>
      </w:r>
    </w:p>
    <w:p w:rsidR="00BE1EFE" w:rsidRDefault="00BE1EFE">
      <w:pPr>
        <w:pStyle w:val="StandardWeb"/>
        <w:jc w:val="center"/>
      </w:pPr>
    </w:p>
    <w:p w:rsidR="00BE1EFE" w:rsidRDefault="00BE1EFE">
      <w:pPr>
        <w:pStyle w:val="StandardWeb"/>
      </w:pPr>
      <w:r>
        <w:t>(1) </w:t>
      </w:r>
      <w:r>
        <w:rPr>
          <w:rStyle w:val="kleinschrift"/>
        </w:rPr>
        <w:t>1</w:t>
      </w:r>
      <w:r>
        <w:t xml:space="preserve">Für jeden vollen Kalendermonat ohne Arbeitsentgelt, in dem das Arbeitsverhältnis wegen einer Elternzeit nach </w:t>
      </w:r>
      <w:hyperlink r:id="rId1478" w:tgtFrame="_blank" w:history="1">
        <w:r>
          <w:rPr>
            <w:rStyle w:val="Hyperlink"/>
          </w:rPr>
          <w:t>§ 15</w:t>
        </w:r>
      </w:hyperlink>
      <w:r>
        <w:t xml:space="preserve"> des Bundeselterngeld- und Elternzeitgesetzes ruht, werden für jedes Kind, für das ein Anspruch auf Elternzeit besteht, die Versorgungspunkte berücksichtigt, die sich bei einem zusatzversorgungspflichtigen Entgelt von 500 EURO in diesem Monat ergeben würden. </w:t>
      </w:r>
      <w:r>
        <w:rPr>
          <w:rStyle w:val="kleinschrift"/>
        </w:rPr>
        <w:t>2</w:t>
      </w:r>
      <w:r>
        <w:t xml:space="preserve">Es werden je Kind höchstens 36 Kalendermonate berücksichtigt. </w:t>
      </w:r>
      <w:r>
        <w:rPr>
          <w:rStyle w:val="kleinschrift"/>
        </w:rPr>
        <w:t>3</w:t>
      </w:r>
      <w:r>
        <w:t xml:space="preserve">Bestehen mehrere zusatzversorgungspflichtige Arbeitsverhältnisse im Sinne des Satzes 1 bestimmt die/der Pflichtversicherte, für welches Arbeitsverhältnis die Vorsorgepunkte nach Satz 1 berücksichtigt werden. </w:t>
      </w:r>
    </w:p>
    <w:p w:rsidR="00BE1EFE" w:rsidRDefault="00BE1EFE">
      <w:pPr>
        <w:pStyle w:val="StandardWeb"/>
      </w:pPr>
      <w:r>
        <w:rPr>
          <w:rStyle w:val="kleinschrift"/>
        </w:rPr>
        <w:t>4</w:t>
      </w:r>
      <w:r>
        <w:t xml:space="preserve">Für die Zeit, in der das Arbeitsverhältnis wegen der Schutzfristen nach </w:t>
      </w:r>
      <w:hyperlink r:id="rId1479" w:history="1">
        <w:r w:rsidRPr="000033FC">
          <w:rPr>
            <w:rStyle w:val="Hyperlink"/>
          </w:rPr>
          <w:t>§ 3 Absatz 2</w:t>
        </w:r>
      </w:hyperlink>
      <w:r w:rsidRPr="000033FC">
        <w:t xml:space="preserve"> und </w:t>
      </w:r>
      <w:hyperlink r:id="rId1480" w:history="1">
        <w:r w:rsidRPr="000033FC">
          <w:rPr>
            <w:rStyle w:val="Hyperlink"/>
          </w:rPr>
          <w:t>§ 6 Absatz 1 MuSchG</w:t>
        </w:r>
      </w:hyperlink>
      <w:r>
        <w:t xml:space="preserve"> ruht, werden die Versorgungspunkte berücksichtigt, die sich ergeben würden, wenn in dieser Zeit das fiktive Entgelt nach </w:t>
      </w:r>
      <w:hyperlink r:id="rId1481" w:history="1">
        <w:r w:rsidRPr="002D1F1D">
          <w:rPr>
            <w:rStyle w:val="Hyperlink"/>
          </w:rPr>
          <w:t>§ 21 ABD Teil A, 1.</w:t>
        </w:r>
      </w:hyperlink>
      <w:r w:rsidRPr="002D1F1D">
        <w:t xml:space="preserve"> </w:t>
      </w:r>
      <w:r>
        <w:t xml:space="preserve">gezahlt worden wäre. </w:t>
      </w:r>
      <w:r>
        <w:rPr>
          <w:rStyle w:val="kleinschrift"/>
        </w:rPr>
        <w:t>5</w:t>
      </w:r>
      <w:r>
        <w:t>Diese Zeiten werden als Umlage-/Beitragsmonate für die Erfüllung der Wartezeiten berücksichtigt.</w:t>
      </w:r>
    </w:p>
    <w:p w:rsidR="00BE1EFE" w:rsidRDefault="00BE1EFE">
      <w:pPr>
        <w:pStyle w:val="StandardWeb"/>
      </w:pPr>
    </w:p>
    <w:p w:rsidR="00BE1EFE" w:rsidRDefault="00BE1EFE">
      <w:pPr>
        <w:pStyle w:val="StandardWeb"/>
      </w:pPr>
      <w:r>
        <w:t>(2) </w:t>
      </w:r>
      <w:r>
        <w:rPr>
          <w:rStyle w:val="kleinschrift"/>
        </w:rPr>
        <w:t>1</w:t>
      </w:r>
      <w:r>
        <w:t>Bei Eintritt des Versicherungsfalles wegen teilweiser oder voller Erwerbsminderung vor Vollendung des 60. Lebensjahres werden Pflichtversicherten für jeweils zwölf volle, bis zur Vollendung des 60. Lebensjahres fehlende Kalendermonate so viele Versorgungspunkte hinzugerechnet, wie dies dem Verhältnis von durchschnittlichem monatlichem zusatzver</w:t>
      </w:r>
      <w:r>
        <w:softHyphen/>
        <w:t xml:space="preserve">sorgungspflichtigem Entgelt der letzten drei Kalenderjahre vor Eintritt des Versicherungsfalles zum Referenzentgelt entspricht; bei Berechnung des durchschnittlichen Entgelts werden Monate ohne zusatzversorgungspflichtiges Entgelt nicht berücksichtigt. </w:t>
      </w:r>
      <w:r>
        <w:rPr>
          <w:rStyle w:val="kleinschrift"/>
        </w:rPr>
        <w:t>2</w:t>
      </w:r>
      <w:r>
        <w:t>Ist in diesem Zeitraum kein zusatzversorgungspflichtiges Entgelt angefallen, ist für die Berechnung nach Satz 1 das Entgelt zugrunde zu legen, das sich als durchschnittliches monatliches zusatzversorgungspflichtiges Entgelt im Kalenderjahr vor dem Rentenbeginn ergeben hätte.</w:t>
      </w:r>
    </w:p>
    <w:p w:rsidR="00BE1EFE" w:rsidRDefault="00BE1EFE">
      <w:pPr>
        <w:pStyle w:val="StandardWeb"/>
      </w:pPr>
    </w:p>
    <w:p w:rsidR="00BE1EFE" w:rsidRDefault="00BE1EFE">
      <w:pPr>
        <w:pStyle w:val="StandardWeb"/>
        <w:spacing w:after="240"/>
      </w:pPr>
      <w:r>
        <w:t>(3) </w:t>
      </w:r>
      <w:r>
        <w:rPr>
          <w:rStyle w:val="kleinschrift"/>
        </w:rPr>
        <w:t>1</w:t>
      </w:r>
      <w:r>
        <w:t xml:space="preserve">Bei Beschäftigten, die am 1. Januar 2002 bereits 20 Jahre pflichtversichert sind, werden für jedes volle Kalenderjahr der Pflichtversicherung bis zum 31. Dezember 2001 mindestens 1,84 Versorgungspunkte berücksichtigt. </w:t>
      </w:r>
      <w:r>
        <w:rPr>
          <w:rStyle w:val="kleinschrift"/>
        </w:rPr>
        <w:t>2</w:t>
      </w:r>
      <w:r>
        <w:t>Bei Beschäftigten, deren Gesamtbeschäftigungs-quotient am 31. Dezember 2001 kleiner als 1,0 ist, gilt Satz 1 entsprechend mit der Maßgabe, dass der Faktor 1,84 mit dem am 31. Dezember 2001 maßgebenden Gesamtbeschäftigungs-quotienten multipliziert wird.</w:t>
      </w:r>
    </w:p>
    <w:p w:rsidR="00BE1EFE" w:rsidRDefault="00BE1EFE" w:rsidP="0054275E">
      <w:pPr>
        <w:pStyle w:val="StandardWeb"/>
        <w:autoSpaceDE w:val="0"/>
        <w:jc w:val="left"/>
      </w:pPr>
      <w:r>
        <w:rPr>
          <w:rStyle w:val="Fett"/>
          <w:bCs/>
        </w:rPr>
        <w:t>§ 10 Betriebsrente für Hinterbliebene</w:t>
      </w:r>
    </w:p>
    <w:p w:rsidR="00BE1EFE" w:rsidRDefault="00BE1EFE">
      <w:pPr>
        <w:pStyle w:val="StandardWeb"/>
        <w:jc w:val="center"/>
      </w:pPr>
    </w:p>
    <w:p w:rsidR="00BE1EFE" w:rsidRDefault="00BE1EFE">
      <w:pPr>
        <w:pStyle w:val="StandardWeb"/>
      </w:pPr>
      <w:r>
        <w:t>(1) </w:t>
      </w:r>
      <w:r>
        <w:rPr>
          <w:rStyle w:val="kleinschrift"/>
        </w:rPr>
        <w:t>1</w:t>
      </w:r>
      <w:r>
        <w:t xml:space="preserve">Stirbt eine Versicherte/ein Versicherter, die/der die Wartezeit </w:t>
      </w:r>
      <w:hyperlink r:id="rId1482" w:history="1">
        <w:r w:rsidRPr="002D1F1D">
          <w:rPr>
            <w:rStyle w:val="Hyperlink"/>
          </w:rPr>
          <w:t>(§ 6)</w:t>
        </w:r>
      </w:hyperlink>
      <w:r w:rsidRPr="002D1F1D">
        <w:t xml:space="preserve"> </w:t>
      </w:r>
      <w:r>
        <w:t xml:space="preserve">erfüllt hat, oder eine Betriebsrentenberechtigte/ein Betriebsrentenberechtigter, hat die hinterbliebene Ehegattin/der </w:t>
      </w:r>
      <w:r>
        <w:lastRenderedPageBreak/>
        <w:t>hinterbliebene Ehegatte Anspruch auf eine kleine oder große Betriebsrente für Witwen/Witwer, wenn und solange ein Anspruch auf Witwen-/Witwerrente aus der gesetzlichen Renten</w:t>
      </w:r>
      <w:r>
        <w:softHyphen/>
        <w:t xml:space="preserve">versicherung besteht oder bestehen würde, sofern kein Rentensplitting unter Ehegatten durchgeführt worden wäre. </w:t>
      </w:r>
      <w:r>
        <w:rPr>
          <w:rStyle w:val="kleinschrift"/>
        </w:rPr>
        <w:t>2</w:t>
      </w:r>
      <w:r>
        <w:t xml:space="preserve">Art (kleine/große Betriebsrenten für Witwen/Witwer), Höhe (der nach Ablauf des Sterbevierteljahres maßgebende Rentenartfaktor nach </w:t>
      </w:r>
      <w:hyperlink r:id="rId1483" w:tgtFrame="_blank" w:history="1">
        <w:r>
          <w:rPr>
            <w:rStyle w:val="Hyperlink"/>
          </w:rPr>
          <w:t>§ 67 Nrn. 5 und 6</w:t>
        </w:r>
      </w:hyperlink>
      <w:r>
        <w:t xml:space="preserve"> und </w:t>
      </w:r>
      <w:hyperlink r:id="rId1484" w:tgtFrame="_blank" w:history="1">
        <w:r>
          <w:rPr>
            <w:rStyle w:val="Hyperlink"/>
          </w:rPr>
          <w:t>§ 255 Absatz 1 SGB VI</w:t>
        </w:r>
      </w:hyperlink>
      <w:r>
        <w:t xml:space="preserve">) und Dauer des Anspruchs richten sich – soweit keine abweichenden Regelungen getroffen sind – nach den entsprechenden Bestimmungen der gesetzlichen Rentenversicherung. </w:t>
      </w:r>
      <w:r>
        <w:rPr>
          <w:rStyle w:val="kleinschrift"/>
        </w:rPr>
        <w:t>3</w:t>
      </w:r>
      <w:r>
        <w:t xml:space="preserve">Bemessungsgrundlage der Betriebsrenten für Hinterbliebene ist jeweils die Betriebsrente, die die Verstorbene/der Verstorbene bezogen hat oder hätte beanspruchen können, wenn sie/er im Zeitpunkt ihres/seines Todes wegen voller Erwerbsminderung ausgeschieden wäre. </w:t>
      </w:r>
      <w:r>
        <w:rPr>
          <w:rStyle w:val="kleinschrift"/>
        </w:rPr>
        <w:t>4</w:t>
      </w:r>
      <w:r>
        <w:t xml:space="preserve">Die Kinder der/des Verstorbenen haben entsprechend den Sätzen 1 bis 3 Anspruch auf Betriebsrente für Voll- oder Halbwaisen. </w:t>
      </w:r>
      <w:r>
        <w:rPr>
          <w:rStyle w:val="kleinschrift"/>
        </w:rPr>
        <w:t>5</w:t>
      </w:r>
      <w:r>
        <w:t xml:space="preserve">Als Kinder im Sinne des Satzes 4 gelten nur die Kinder, die nach </w:t>
      </w:r>
      <w:hyperlink r:id="rId1485" w:tgtFrame="_blank" w:history="1">
        <w:r>
          <w:rPr>
            <w:rStyle w:val="Hyperlink"/>
          </w:rPr>
          <w:t>§ 32 Absatz 3 und 4 Satz 1 Nummer 1 bis 3 EStG</w:t>
        </w:r>
      </w:hyperlink>
      <w:r>
        <w:t xml:space="preserve"> berücksichtigungsfähig sind. </w:t>
      </w:r>
      <w:r>
        <w:rPr>
          <w:rStyle w:val="kleinschrift"/>
        </w:rPr>
        <w:t>6</w:t>
      </w:r>
      <w:r>
        <w:t>Der Anspruch ist durch Bescheid des Trägers der gesetzlichen Rentenversicherung nachzuweisen.</w:t>
      </w:r>
    </w:p>
    <w:p w:rsidR="00BE1EFE" w:rsidRDefault="00BE1EFE">
      <w:pPr>
        <w:pStyle w:val="StandardWeb"/>
      </w:pPr>
    </w:p>
    <w:p w:rsidR="00BE1EFE" w:rsidRDefault="00BE1EFE">
      <w:pPr>
        <w:pStyle w:val="StandardWeb"/>
      </w:pPr>
      <w:r>
        <w:t>(2) Anspruch auf Betriebsrente für Witwen/Witwer besteht nicht, wenn die Ehe mit der/dem Verstorbenen weniger als zwölf Monate gedauert hat, es sei denn, dass nach den besonderen Umständen des Falles die Annahme nicht gerechtfertigt ist, dass es der alleinige oder überwiegende Zweck der Heirat war, der Witwe/dem Witwer eine Betriebsrente zu verschaffen.</w:t>
      </w:r>
    </w:p>
    <w:p w:rsidR="00BE1EFE" w:rsidRDefault="00BE1EFE">
      <w:pPr>
        <w:pStyle w:val="StandardWeb"/>
      </w:pPr>
    </w:p>
    <w:p w:rsidR="00BE1EFE" w:rsidRDefault="00BE1EFE">
      <w:pPr>
        <w:pStyle w:val="StandardWeb"/>
      </w:pPr>
      <w:r>
        <w:t>(3) </w:t>
      </w:r>
      <w:r>
        <w:rPr>
          <w:rStyle w:val="kleinschrift"/>
        </w:rPr>
        <w:t>1</w:t>
      </w:r>
      <w:r>
        <w:t xml:space="preserve">Betriebsrenten für Witwen/Witwer und Waisen dürfen zusammen den Betrag der ihrer Berechnung zugrunde liegenden Betriebsrente nicht übersteigen. </w:t>
      </w:r>
      <w:r>
        <w:rPr>
          <w:rStyle w:val="kleinschrift"/>
        </w:rPr>
        <w:t>2</w:t>
      </w:r>
      <w:r>
        <w:t>Ergeben die Hinter</w:t>
      </w:r>
      <w:r>
        <w:softHyphen/>
        <w:t xml:space="preserve">bliebenenrenten in der Summe einen höheren Betrag, werden sie anteilig gekürzt. </w:t>
      </w:r>
      <w:r>
        <w:rPr>
          <w:rStyle w:val="kleinschrift"/>
        </w:rPr>
        <w:t>3</w:t>
      </w:r>
      <w:r>
        <w:t>Erlischt eine der anteilig gekürzten Hinterbliebenenrenten, erhöhen sich die verbleibenden Hinter</w:t>
      </w:r>
      <w:r>
        <w:softHyphen/>
        <w:t>bliebenenrenten vom Beginn des folgenden Monats entsprechend, jedoch höchstens bis zum vollen Betrag der Betriebsrente der/des Verstorbenen.</w:t>
      </w:r>
    </w:p>
    <w:p w:rsidR="00BE1EFE" w:rsidRDefault="00BE1EFE">
      <w:pPr>
        <w:pStyle w:val="StandardWeb"/>
      </w:pPr>
    </w:p>
    <w:p w:rsidR="00BE1EFE" w:rsidRDefault="00BE1EFE">
      <w:pPr>
        <w:pStyle w:val="StandardWeb"/>
      </w:pPr>
      <w:r>
        <w:t>(4) Im Übrigen findet auch § 36 Absatz 4 der Satzung der Zusatzversorgungskasse der bayerischen Gemeinden Anwendung.</w:t>
      </w:r>
    </w:p>
    <w:p w:rsidR="00BE1EFE" w:rsidRDefault="00BE1EFE">
      <w:pPr>
        <w:pStyle w:val="StandardWeb"/>
        <w:jc w:val="center"/>
      </w:pPr>
    </w:p>
    <w:p w:rsidR="00BE1EFE" w:rsidRDefault="00BE1EFE" w:rsidP="0054275E">
      <w:pPr>
        <w:pStyle w:val="StandardWeb"/>
        <w:autoSpaceDE w:val="0"/>
        <w:jc w:val="left"/>
      </w:pPr>
      <w:r>
        <w:rPr>
          <w:rStyle w:val="Fett"/>
          <w:bCs/>
        </w:rPr>
        <w:t>§ 11 Anpassung der Betriebsrente und Neuberechnung</w:t>
      </w:r>
    </w:p>
    <w:p w:rsidR="00BE1EFE" w:rsidRDefault="00BE1EFE">
      <w:pPr>
        <w:pStyle w:val="StandardWeb"/>
        <w:jc w:val="center"/>
      </w:pPr>
    </w:p>
    <w:p w:rsidR="00BE1EFE" w:rsidRDefault="00BE1EFE">
      <w:pPr>
        <w:pStyle w:val="StandardWeb"/>
      </w:pPr>
      <w:r>
        <w:t>(1) Die Betriebsrenten werden, beginnend ab dem Jahr 2002, zum 1. Juli eines jeden Jahres um 1,0 v. H. dynamisiert.</w:t>
      </w:r>
    </w:p>
    <w:p w:rsidR="00BE1EFE" w:rsidRDefault="00BE1EFE">
      <w:pPr>
        <w:pStyle w:val="StandardWeb"/>
      </w:pPr>
    </w:p>
    <w:p w:rsidR="00BE1EFE" w:rsidRDefault="00BE1EFE">
      <w:pPr>
        <w:pStyle w:val="StandardWeb"/>
      </w:pPr>
      <w:r>
        <w:t>(2) </w:t>
      </w:r>
      <w:r>
        <w:rPr>
          <w:rStyle w:val="kleinschrift"/>
        </w:rPr>
        <w:t>1</w:t>
      </w:r>
      <w:r>
        <w:t xml:space="preserve">Die Betriebsrente ist neu zu berechnen, wenn bei einer/einem Betriebsrentenberechtigten ein neuer Versicherungsfall eintritt und seit der Festsetzung der Betriebsrente aufgrund des früheren Versicherungsfalles zusätzliche Versorgungspunkte zu berücksichtigen sind. </w:t>
      </w:r>
      <w:r>
        <w:rPr>
          <w:rStyle w:val="kleinschrift"/>
        </w:rPr>
        <w:t>2</w:t>
      </w:r>
      <w:r>
        <w:t xml:space="preserve">Durch die Neuberechnung wird die bisherige Betriebsrente um den Betrag erhöht, der sich als Betriebsrente aufgrund der neu zu berücksichtigenden Versorgungspunkte ergibt; für diese zusätzlichen Versorgungspunkte wird der Abschlagsfaktor nach </w:t>
      </w:r>
      <w:hyperlink r:id="rId1486" w:history="1">
        <w:r>
          <w:rPr>
            <w:rStyle w:val="Hyperlink"/>
          </w:rPr>
          <w:t>§ 7 Absatz</w:t>
        </w:r>
        <w:r w:rsidRPr="002D1F1D">
          <w:rPr>
            <w:rStyle w:val="Hyperlink"/>
          </w:rPr>
          <w:t xml:space="preserve"> 3</w:t>
        </w:r>
      </w:hyperlink>
      <w:r>
        <w:t xml:space="preserve"> gesondert festgestellt. </w:t>
      </w:r>
      <w:r>
        <w:rPr>
          <w:rStyle w:val="kleinschrift"/>
        </w:rPr>
        <w:t>3</w:t>
      </w:r>
      <w:r>
        <w:t xml:space="preserve">Wird aus einer Betriebsrente wegen teilweiser Erwerbsminderung eine Betriebsrente wegen voller Erwerbsminderung oder wegen Alters, wird die bisher nach </w:t>
      </w:r>
      <w:hyperlink r:id="rId1487" w:history="1">
        <w:r>
          <w:rPr>
            <w:rStyle w:val="Hyperlink"/>
          </w:rPr>
          <w:t>§ 7 Absatz</w:t>
        </w:r>
        <w:r w:rsidRPr="002D1F1D">
          <w:rPr>
            <w:rStyle w:val="Hyperlink"/>
          </w:rPr>
          <w:t xml:space="preserve"> 2</w:t>
        </w:r>
      </w:hyperlink>
      <w:r>
        <w:t xml:space="preserve"> zur Hälfte gezahlte Betriebsrente voll gezahlt. </w:t>
      </w:r>
      <w:r>
        <w:rPr>
          <w:rStyle w:val="kleinschrift"/>
        </w:rPr>
        <w:t>4</w:t>
      </w:r>
      <w:r>
        <w:t xml:space="preserve">Wird aus einer Betriebsrente wegen voller Erwerbsminderung eine Betriebsrente wegen teilweiser Erwerbsminderung, wird die bisher gezahlte Betriebsrente entsprechend </w:t>
      </w:r>
      <w:hyperlink r:id="rId1488" w:history="1">
        <w:r>
          <w:rPr>
            <w:rStyle w:val="Hyperlink"/>
          </w:rPr>
          <w:t>§ 7 Absatz</w:t>
        </w:r>
        <w:r w:rsidRPr="002D1F1D">
          <w:rPr>
            <w:rStyle w:val="Hyperlink"/>
          </w:rPr>
          <w:t xml:space="preserve"> 2</w:t>
        </w:r>
      </w:hyperlink>
      <w:r>
        <w:t xml:space="preserve"> zur Hälfte gezahlt. </w:t>
      </w:r>
      <w:r>
        <w:rPr>
          <w:rStyle w:val="kleinschrift"/>
        </w:rPr>
        <w:t>5</w:t>
      </w:r>
      <w:r>
        <w:t xml:space="preserve">Die Sätze 1 und 2 sind entsprechend anzuwenden, wenn zusätzliche Versorgungspunkte zu berücksichtigen sind. </w:t>
      </w:r>
      <w:r>
        <w:rPr>
          <w:rStyle w:val="kleinschrift"/>
        </w:rPr>
        <w:t>6</w:t>
      </w:r>
      <w:r>
        <w:t>Bei Neuberechnung der Betriebsrente sind Versorgungspunkte nach</w:t>
      </w:r>
      <w:hyperlink r:id="rId1489" w:history="1">
        <w:r>
          <w:rPr>
            <w:rStyle w:val="Hyperlink"/>
          </w:rPr>
          <w:t xml:space="preserve"> § 9 Absatz</w:t>
        </w:r>
        <w:r w:rsidRPr="002D1F1D">
          <w:rPr>
            <w:rStyle w:val="Hyperlink"/>
          </w:rPr>
          <w:t xml:space="preserve"> 2,</w:t>
        </w:r>
      </w:hyperlink>
      <w:r>
        <w:t xml:space="preserve"> die auf Grund des früheren Versicherungsfalls berücksichtigt wurden, nur noch insoweit anzurechnen, als sie die zusätzlichen Versorgungspunkte – ohne Bonuspunkte nach </w:t>
      </w:r>
      <w:hyperlink r:id="rId1490" w:history="1">
        <w:r w:rsidRPr="002D1F1D">
          <w:rPr>
            <w:rStyle w:val="Hyperlink"/>
          </w:rPr>
          <w:t>§ 19</w:t>
        </w:r>
      </w:hyperlink>
      <w:r>
        <w:t xml:space="preserve"> aus einer Pflichtversicherung übersteigen oder soweit in dem nach </w:t>
      </w:r>
      <w:hyperlink r:id="rId1491" w:history="1">
        <w:r>
          <w:rPr>
            <w:rStyle w:val="Hyperlink"/>
          </w:rPr>
          <w:t>§ 9 Absatz</w:t>
        </w:r>
        <w:r w:rsidRPr="002D1F1D">
          <w:rPr>
            <w:rStyle w:val="Hyperlink"/>
          </w:rPr>
          <w:t xml:space="preserve"> 2</w:t>
        </w:r>
      </w:hyperlink>
      <w:r>
        <w:t xml:space="preserve"> maßgebenden </w:t>
      </w:r>
      <w:r>
        <w:lastRenderedPageBreak/>
        <w:t xml:space="preserve">Zeitraum keine Pflichtversicherung mehr bestanden hat. </w:t>
      </w:r>
      <w:r>
        <w:rPr>
          <w:rStyle w:val="kleinschrift"/>
        </w:rPr>
        <w:t>7</w:t>
      </w:r>
      <w:r>
        <w:t>Für Hinterbliebene gelten die Sätze 3 und 4 entsprechend.</w:t>
      </w:r>
    </w:p>
    <w:p w:rsidR="00BE1EFE" w:rsidRDefault="00BE1EFE">
      <w:pPr>
        <w:pStyle w:val="StandardWeb"/>
        <w:jc w:val="center"/>
      </w:pPr>
    </w:p>
    <w:p w:rsidR="00BE1EFE" w:rsidRDefault="00BE1EFE" w:rsidP="0054275E">
      <w:pPr>
        <w:pStyle w:val="StandardWeb"/>
        <w:autoSpaceDE w:val="0"/>
        <w:jc w:val="left"/>
      </w:pPr>
      <w:r>
        <w:rPr>
          <w:rStyle w:val="Fett"/>
          <w:bCs/>
        </w:rPr>
        <w:t>§ 12 Nichtzahlung und Ruhen der Betriebsrente</w:t>
      </w:r>
    </w:p>
    <w:p w:rsidR="00BE1EFE" w:rsidRDefault="00BE1EFE">
      <w:pPr>
        <w:pStyle w:val="StandardWeb"/>
        <w:jc w:val="center"/>
      </w:pPr>
    </w:p>
    <w:p w:rsidR="00BE1EFE" w:rsidRDefault="00BE1EFE">
      <w:pPr>
        <w:pStyle w:val="StandardWeb"/>
      </w:pPr>
      <w:r>
        <w:t>(1) </w:t>
      </w:r>
      <w:r>
        <w:rPr>
          <w:rStyle w:val="kleinschrift"/>
        </w:rPr>
        <w:t>1</w:t>
      </w:r>
      <w:r>
        <w:t xml:space="preserve">Die Betriebsrente wird von dem Zeitpunkt an nicht gezahlt, von dem an die Rente wegen Alters aus der gesetzlichen Rentenversicherung nach </w:t>
      </w:r>
      <w:hyperlink r:id="rId1492" w:tgtFrame="_blank" w:history="1">
        <w:r>
          <w:rPr>
            <w:rStyle w:val="Hyperlink"/>
          </w:rPr>
          <w:t>§ 100 Absatz 3 Satz 1</w:t>
        </w:r>
      </w:hyperlink>
      <w:r>
        <w:t xml:space="preserve"> in Verbindung mit </w:t>
      </w:r>
      <w:hyperlink r:id="rId1493" w:tgtFrame="_blank" w:history="1">
        <w:r>
          <w:rPr>
            <w:rStyle w:val="Hyperlink"/>
          </w:rPr>
          <w:t>§ 34 Absatz 2 SGB VI</w:t>
        </w:r>
      </w:hyperlink>
      <w:r>
        <w:t xml:space="preserve"> endet. </w:t>
      </w:r>
      <w:r>
        <w:rPr>
          <w:rStyle w:val="kleinschrift"/>
        </w:rPr>
        <w:t>2</w:t>
      </w:r>
      <w:r>
        <w:t xml:space="preserve">Die Betriebsrente ist auf Antrag vom Ersten des Monats an wieder zu zahlen, für den der/dem Rentenberechtigten die Rente wegen Alters aus der gesetzlichen Rentenversicherung wieder geleistet wird. </w:t>
      </w:r>
      <w:r>
        <w:rPr>
          <w:rStyle w:val="kleinschrift"/>
        </w:rPr>
        <w:t>3</w:t>
      </w:r>
      <w:r>
        <w:t xml:space="preserve">Wird die Altersrente der gesetzlichen Rentenversicherung nach Eintritt des Versicherungsfalls </w:t>
      </w:r>
      <w:hyperlink r:id="rId1494" w:history="1">
        <w:r w:rsidRPr="002D1F1D">
          <w:rPr>
            <w:rStyle w:val="Hyperlink"/>
          </w:rPr>
          <w:t>(§ 5)</w:t>
        </w:r>
      </w:hyperlink>
      <w:r>
        <w:t xml:space="preserve"> als Teilrente gezahlt, wird die Betriebsrente nur in Höhe eines entsprechenden Anteils gezahlt.</w:t>
      </w:r>
    </w:p>
    <w:p w:rsidR="00BE1EFE" w:rsidRDefault="00BE1EFE">
      <w:pPr>
        <w:pStyle w:val="StandardWeb"/>
      </w:pPr>
    </w:p>
    <w:p w:rsidR="00BE1EFE" w:rsidRDefault="00BE1EFE">
      <w:pPr>
        <w:pStyle w:val="StandardWeb"/>
      </w:pPr>
      <w:r>
        <w:t>(2) Ist der Versicherungsfall wegen voller oder teilweiser Erwerbsminderung eingetreten und wird die Rente aus der gesetzlichen Rentenversicherung wegen Hinzuverdienstes nicht oder nur zu einem Anteil gezahlt, wird auch die Betriebsrente nicht oder nur in Höhe eines entsprechenden Anteils gezahlt.</w:t>
      </w:r>
    </w:p>
    <w:p w:rsidR="00BE1EFE" w:rsidRDefault="00BE1EFE">
      <w:pPr>
        <w:pStyle w:val="StandardWeb"/>
      </w:pPr>
    </w:p>
    <w:p w:rsidR="00BE1EFE" w:rsidRDefault="00BE1EFE">
      <w:pPr>
        <w:pStyle w:val="StandardWeb"/>
      </w:pPr>
      <w:r>
        <w:t>(3) Die Betriebsrente ruht, solange die Rente aus der gesetzlichen Rentenversicherung ganz oder teilweise versagt wird.</w:t>
      </w:r>
    </w:p>
    <w:p w:rsidR="00BE1EFE" w:rsidRDefault="00BE1EFE">
      <w:pPr>
        <w:pStyle w:val="StandardWeb"/>
      </w:pPr>
    </w:p>
    <w:p w:rsidR="00BE1EFE" w:rsidRDefault="00BE1EFE">
      <w:pPr>
        <w:pStyle w:val="StandardWeb"/>
      </w:pPr>
      <w:r>
        <w:t>(4) Die Betriebsrente ruht ferner, solange die/der Berechtigte ihren/seinen Wohnsitz oder dauernden Aufenthalt außerhalb eines Mitglied-Staates der Europäischen Union hat und trotz Aufforderung der Zusatzversorgungskasse der bayerischen Gemeinden keine Empfangsbevollmächtigte/keinen Empfangsbevollmächtigten im Inland bestellt.</w:t>
      </w:r>
    </w:p>
    <w:p w:rsidR="00BE1EFE" w:rsidRDefault="00BE1EFE">
      <w:pPr>
        <w:pStyle w:val="StandardWeb"/>
      </w:pPr>
    </w:p>
    <w:p w:rsidR="00BE1EFE" w:rsidRDefault="00BE1EFE">
      <w:pPr>
        <w:pStyle w:val="StandardWeb"/>
      </w:pPr>
      <w:r>
        <w:t xml:space="preserve">(5) Die Betriebsrente ruht ferner in Höhe des Betrages des für die Zeit nach dem Beginn der Betriebsrente gezahlten Krankengeldes aus der gesetzlichen Krankenversicherung, soweit dieses nicht nach </w:t>
      </w:r>
      <w:hyperlink r:id="rId1495" w:tgtFrame="_blank" w:history="1">
        <w:r>
          <w:rPr>
            <w:rStyle w:val="Hyperlink"/>
          </w:rPr>
          <w:t>§ 96a Absatz 3 SGB VI</w:t>
        </w:r>
      </w:hyperlink>
      <w:r>
        <w:t> auf eine Rente wegen teilweiser Erwerbsminderung anzurechnen oder bei einer Rente wegen voller Erwerbsminderung bzw. wegen Alters als Vollrente dem Träger der Krankenversicherung zu erstatten ist.</w:t>
      </w:r>
    </w:p>
    <w:p w:rsidR="00A20F1E" w:rsidRDefault="00A20F1E">
      <w:pPr>
        <w:pStyle w:val="StandardWeb"/>
      </w:pPr>
    </w:p>
    <w:p w:rsidR="00BE1EFE" w:rsidRDefault="00BE1EFE">
      <w:pPr>
        <w:pStyle w:val="StandardWeb"/>
      </w:pPr>
      <w:r>
        <w:t>(6) </w:t>
      </w:r>
      <w:r>
        <w:rPr>
          <w:rStyle w:val="kleinschrift"/>
        </w:rPr>
        <w:t>1</w:t>
      </w:r>
      <w:r>
        <w:t xml:space="preserve">Für Hinterbliebene gelten die Vorschriften der gesetzlichen Rentenversicherung über das Zusammentreffen von Rente und Einkommen entsprechend folgenden Maßgaben: </w:t>
      </w:r>
    </w:p>
    <w:p w:rsidR="00BE1EFE" w:rsidRDefault="00BE1EFE">
      <w:pPr>
        <w:pStyle w:val="StandardWeb"/>
      </w:pPr>
      <w:r>
        <w:t>a) Eventuelle Freibeträge sowie das Einkommen, das auf die Rente aus der gesetzlichen Rentenversicherung angerechnet wird, bleiben unberücksichtigt.</w:t>
      </w:r>
    </w:p>
    <w:p w:rsidR="00BE1EFE" w:rsidRDefault="00BE1EFE">
      <w:pPr>
        <w:pStyle w:val="StandardWeb"/>
      </w:pPr>
      <w:r>
        <w:t>b) </w:t>
      </w:r>
      <w:r>
        <w:rPr>
          <w:rStyle w:val="kleinschrift"/>
        </w:rPr>
        <w:t>2</w:t>
      </w:r>
      <w:r>
        <w:t xml:space="preserve">Der/dem Hinterbliebenen werden mindestens 35 v. H. der ihr/ihm nach </w:t>
      </w:r>
      <w:hyperlink r:id="rId1496" w:history="1">
        <w:r w:rsidRPr="002D1F1D">
          <w:rPr>
            <w:rStyle w:val="Hyperlink"/>
          </w:rPr>
          <w:t>§</w:t>
        </w:r>
        <w:r>
          <w:rPr>
            <w:rStyle w:val="Hyperlink"/>
          </w:rPr>
          <w:t xml:space="preserve"> </w:t>
        </w:r>
        <w:r w:rsidRPr="002D1F1D">
          <w:rPr>
            <w:rStyle w:val="Hyperlink"/>
          </w:rPr>
          <w:t>10</w:t>
        </w:r>
      </w:hyperlink>
      <w:r w:rsidRPr="002D1F1D">
        <w:t xml:space="preserve"> </w:t>
      </w:r>
      <w:r>
        <w:t>zustehenden Betriebsrente gezahlt.</w:t>
      </w:r>
    </w:p>
    <w:p w:rsidR="00BE1EFE" w:rsidRDefault="00BE1EFE">
      <w:pPr>
        <w:pStyle w:val="StandardWeb"/>
      </w:pPr>
    </w:p>
    <w:p w:rsidR="00BE1EFE" w:rsidRDefault="00BE1EFE" w:rsidP="0054275E">
      <w:pPr>
        <w:pStyle w:val="StandardWeb"/>
        <w:autoSpaceDE w:val="0"/>
        <w:jc w:val="left"/>
      </w:pPr>
      <w:r>
        <w:rPr>
          <w:rStyle w:val="Fett"/>
          <w:bCs/>
        </w:rPr>
        <w:t>§ 13 Erlöschen des Anspruchs auf Betriebsrente</w:t>
      </w:r>
    </w:p>
    <w:p w:rsidR="00BE1EFE" w:rsidRDefault="00BE1EFE">
      <w:pPr>
        <w:pStyle w:val="StandardWeb"/>
        <w:jc w:val="center"/>
      </w:pPr>
    </w:p>
    <w:p w:rsidR="00BE1EFE" w:rsidRDefault="00BE1EFE">
      <w:pPr>
        <w:pStyle w:val="StandardWeb"/>
      </w:pPr>
      <w:r>
        <w:t>(1) Der Anspruch auf Betriebsrente erlischt mit dem Ablauf des Monats,</w:t>
      </w:r>
    </w:p>
    <w:p w:rsidR="00BE1EFE" w:rsidRDefault="00BE1EFE">
      <w:pPr>
        <w:pStyle w:val="StandardWeb"/>
      </w:pPr>
      <w:r>
        <w:t>a) in dem die/der Betriebsrentenberechtigte gestorben ist oder</w:t>
      </w:r>
    </w:p>
    <w:p w:rsidR="00BE1EFE" w:rsidRDefault="00BE1EFE">
      <w:pPr>
        <w:pStyle w:val="StandardWeb"/>
      </w:pPr>
      <w:r>
        <w:t xml:space="preserve">b) für den Rente nach </w:t>
      </w:r>
      <w:hyperlink r:id="rId1497" w:tgtFrame="_blank" w:history="1">
        <w:r>
          <w:rPr>
            <w:rStyle w:val="Hyperlink"/>
          </w:rPr>
          <w:t>§ 43 bzw. § 240 SGB VI</w:t>
        </w:r>
      </w:hyperlink>
      <w:r>
        <w:t xml:space="preserve"> letztmals gezahlt worden ist oder</w:t>
      </w:r>
    </w:p>
    <w:p w:rsidR="00BE1EFE" w:rsidRDefault="00BE1EFE">
      <w:pPr>
        <w:pStyle w:val="StandardWeb"/>
      </w:pPr>
      <w:r>
        <w:t>c) der dem Monat vorangeht, von dessen Beginn an die Zusatzversorgungseinrichtung, zu der die Versicherung übergeleitet worden ist, zur Zahlung der Betriebsrente verpflichtet ist.</w:t>
      </w:r>
    </w:p>
    <w:p w:rsidR="00BE1EFE" w:rsidRDefault="00BE1EFE">
      <w:pPr>
        <w:pStyle w:val="StandardWeb"/>
      </w:pPr>
    </w:p>
    <w:p w:rsidR="00BE1EFE" w:rsidRDefault="00BE1EFE">
      <w:pPr>
        <w:pStyle w:val="StandardWeb"/>
      </w:pPr>
      <w:r>
        <w:t>(2) </w:t>
      </w:r>
      <w:r>
        <w:rPr>
          <w:rStyle w:val="kleinschrift"/>
        </w:rPr>
        <w:t>1</w:t>
      </w:r>
      <w:r>
        <w:t xml:space="preserve">Der Anspruch auf Betriebsrente für Witwen/Witwer erlischt im Übrigen mit dem Ablauf des Monats, in dem die Witwe/der Witwer geheiratet hat. </w:t>
      </w:r>
      <w:r>
        <w:rPr>
          <w:rStyle w:val="kleinschrift"/>
        </w:rPr>
        <w:t>2</w:t>
      </w:r>
      <w:r>
        <w:t xml:space="preserve">Für das Wiederaufleben der Betriebsrente für Witwen/Witwer gilt </w:t>
      </w:r>
      <w:hyperlink r:id="rId1498" w:tgtFrame="_blank" w:history="1">
        <w:r>
          <w:rPr>
            <w:rStyle w:val="Hyperlink"/>
          </w:rPr>
          <w:t xml:space="preserve">§ 46 Absatz 3 SGB VI </w:t>
        </w:r>
      </w:hyperlink>
      <w:r>
        <w:t xml:space="preserve">entsprechend. </w:t>
      </w:r>
      <w:r>
        <w:rPr>
          <w:rStyle w:val="kleinschrift"/>
        </w:rPr>
        <w:t>3</w:t>
      </w:r>
      <w:r>
        <w:t>Im Übrigen findet auch § 36 Absatz 4 der Satzung der Zusatzversorgungskasse der bayerischen Gemeinden Anwendung.</w:t>
      </w:r>
    </w:p>
    <w:p w:rsidR="00BE1EFE" w:rsidRDefault="00BE1EFE">
      <w:pPr>
        <w:pStyle w:val="berschrift6"/>
      </w:pPr>
      <w:bookmarkStart w:id="1028" w:name="_Toc523926549"/>
      <w:r>
        <w:lastRenderedPageBreak/>
        <w:t>Abschnitt IV: Mitarbeiter, die in der gesetzlichen Rentenversicherung nicht versichert sind</w:t>
      </w:r>
      <w:bookmarkEnd w:id="102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14 Sonderregelung für Beschäftigte, die in der gesetzlichen Rentenversicherung nicht versichert sind</w:t>
      </w:r>
    </w:p>
    <w:p w:rsidR="00BE1EFE" w:rsidRPr="000B1AF8" w:rsidRDefault="00BE1EFE">
      <w:pPr>
        <w:pStyle w:val="StandardWeb"/>
        <w:jc w:val="center"/>
      </w:pPr>
    </w:p>
    <w:p w:rsidR="00BE1EFE" w:rsidRDefault="00BE1EFE">
      <w:pPr>
        <w:pStyle w:val="StandardWeb"/>
      </w:pPr>
      <w:r>
        <w:rPr>
          <w:rStyle w:val="kleinschrift"/>
        </w:rPr>
        <w:t>1</w:t>
      </w:r>
      <w:r>
        <w:t xml:space="preserve">Für Beschäftigte, die in der gesetzlichen Rentenversicherung nicht versichert sind, gelten die </w:t>
      </w:r>
      <w:hyperlink r:id="rId1499" w:history="1">
        <w:r w:rsidRPr="002D1F1D">
          <w:rPr>
            <w:rStyle w:val="Hyperlink"/>
          </w:rPr>
          <w:t>§§ 2 bis 13</w:t>
        </w:r>
      </w:hyperlink>
      <w:r>
        <w:t xml:space="preserve"> entsprechend. </w:t>
      </w:r>
      <w:r>
        <w:rPr>
          <w:rStyle w:val="kleinschrift"/>
        </w:rPr>
        <w:t>2</w:t>
      </w:r>
      <w:r>
        <w:t>Soweit auf Regelungen des Rechts der gesetzlichen Rentenver</w:t>
      </w:r>
      <w:r>
        <w:softHyphen/>
        <w:t xml:space="preserve">sicherung Bezug genommen wird, ist die jeweilige Regelung so entsprechend anzuwenden, wie dies bei unterstellter Versicherung in der gesetzlichen Rentenversicherung der Fall wäre. </w:t>
      </w:r>
      <w:r>
        <w:rPr>
          <w:rStyle w:val="kleinschrift"/>
        </w:rPr>
        <w:t>3</w:t>
      </w:r>
      <w:r>
        <w:t xml:space="preserve">Bei Anwendung des </w:t>
      </w:r>
      <w:hyperlink r:id="rId1500" w:history="1">
        <w:r w:rsidRPr="002D1F1D">
          <w:rPr>
            <w:rStyle w:val="Hyperlink"/>
          </w:rPr>
          <w:t>§ 5</w:t>
        </w:r>
      </w:hyperlink>
      <w:r>
        <w:t xml:space="preserve"> sind dabei anstelle der Versicherungszeiten in der gesetzlichen Rentenversicherung die Pflichtversicherungszeiten in der Zusatzversorgung zu berücksich</w:t>
      </w:r>
      <w:r>
        <w:softHyphen/>
        <w:t xml:space="preserve">tigen. </w:t>
      </w:r>
    </w:p>
    <w:p w:rsidR="00BE1EFE" w:rsidRDefault="00BE1EFE">
      <w:pPr>
        <w:pStyle w:val="StandardWeb"/>
      </w:pPr>
      <w:r>
        <w:rPr>
          <w:rStyle w:val="kleinschrift"/>
        </w:rPr>
        <w:t>4</w:t>
      </w:r>
      <w:r>
        <w:t xml:space="preserve">Die teilweise oder volle Erwerbsminderung ist durch einen von der Zusatzversorgungskasse der bayerischen Gemeinden zu bestimmenden Facharzt nachzuweisen. </w:t>
      </w:r>
      <w:r>
        <w:rPr>
          <w:rStyle w:val="kleinschrift"/>
        </w:rPr>
        <w:t>5</w:t>
      </w:r>
      <w:r>
        <w:t>Die Betriebsrente ruht, solange sich die Betriebsrentenberechtigten trotz Verlangens der Zusatzversorgungs</w:t>
      </w:r>
      <w:r>
        <w:softHyphen/>
        <w:t>kasse der bayerischen Gemeinden innerhalb einer von dieser zu setzenden Frist nicht fachärztlich untersuchen lassen oder das Ergebnis der Untersuchung der Zusatzversorgungs</w:t>
      </w:r>
      <w:r>
        <w:softHyphen/>
        <w:t xml:space="preserve">kasse der bayerischen Gemeinden nicht vorlegen. </w:t>
      </w:r>
      <w:r>
        <w:rPr>
          <w:rStyle w:val="kleinschrift"/>
        </w:rPr>
        <w:t>6</w:t>
      </w:r>
      <w:r>
        <w:t>Der Anspruch auf Betriebsrente erlischt mit Ablauf des Monats, der auf den Monat folgt, in dem der/dem Berechtigten die Entscheidung der Zusatzversorgungskasse der bayerischen Gemeinden über das Erlöschen des Anspruchs wegen Wegfalls der Erwerbsminderung zugegangen ist.</w:t>
      </w:r>
    </w:p>
    <w:p w:rsidR="00BE1EFE" w:rsidRDefault="00BE1EFE">
      <w:pPr>
        <w:pStyle w:val="berschrift6"/>
      </w:pPr>
      <w:bookmarkStart w:id="1029" w:name="_Toc523926550"/>
      <w:r>
        <w:t>Abschnitt V: Finanzierung</w:t>
      </w:r>
      <w:bookmarkEnd w:id="1029"/>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15 Finanzierungsgrundsätze und zusatzversorgungspflichtiges Entgelt</w:t>
      </w:r>
    </w:p>
    <w:p w:rsidR="00BE1EFE" w:rsidRPr="000B1AF8" w:rsidRDefault="00BE1EFE">
      <w:pPr>
        <w:pStyle w:val="StandardWeb"/>
      </w:pPr>
    </w:p>
    <w:p w:rsidR="00BE1EFE" w:rsidRDefault="00BE1EFE">
      <w:pPr>
        <w:pStyle w:val="StandardWeb"/>
      </w:pPr>
      <w:r>
        <w:t>(1) </w:t>
      </w:r>
      <w:r>
        <w:rPr>
          <w:rStyle w:val="kleinschrift"/>
        </w:rPr>
        <w:t>1</w:t>
      </w:r>
      <w:r>
        <w:t xml:space="preserve">Die Finanzierung der Pflichtversicherung wird von der Zusatzversorgungskasse der bayerischen Gemeinden eigenständig geregelt. </w:t>
      </w:r>
      <w:r>
        <w:rPr>
          <w:rStyle w:val="kleinschrift"/>
        </w:rPr>
        <w:t>2</w:t>
      </w:r>
      <w:r>
        <w:t>Nach den Möglichkeiten der Zusatzversor</w:t>
      </w:r>
      <w:r>
        <w:softHyphen/>
        <w:t>gungskasse der bayerischen Gemeinden kann die Umlagefinanzierung schrittweise durch eine kapitalgedeckte Finanzierung abgelöst werden (Kombinationsmodell).</w:t>
      </w:r>
    </w:p>
    <w:p w:rsidR="00BE1EFE" w:rsidRDefault="00BE1EFE">
      <w:pPr>
        <w:pStyle w:val="StandardWeb"/>
      </w:pPr>
    </w:p>
    <w:p w:rsidR="00BE1EFE" w:rsidRDefault="00BE1EFE">
      <w:pPr>
        <w:pStyle w:val="StandardWeb"/>
      </w:pPr>
      <w:r>
        <w:t>(2) </w:t>
      </w:r>
      <w:r>
        <w:rPr>
          <w:rStyle w:val="kleinschrift"/>
        </w:rPr>
        <w:t>1</w:t>
      </w:r>
      <w:r>
        <w:t xml:space="preserve">Zusatzversorgungspflichtiges Entgelt ist, soweit sich aus </w:t>
      </w:r>
      <w:hyperlink r:id="rId1501" w:history="1">
        <w:r w:rsidRPr="002D1F1D">
          <w:rPr>
            <w:rStyle w:val="Hyperlink"/>
          </w:rPr>
          <w:t>Anlage 3</w:t>
        </w:r>
      </w:hyperlink>
      <w:r>
        <w:t xml:space="preserve"> nichts anderes ergibt, der steuerpflichtige Arbeitslohn. </w:t>
      </w:r>
      <w:r>
        <w:rPr>
          <w:rStyle w:val="kleinschrift"/>
        </w:rPr>
        <w:t>2</w:t>
      </w:r>
      <w:r>
        <w:t xml:space="preserve">Wird Altersteilzeit nach dem 31. Dezember 2002 vereinbart, ist – unter Berücksichtigung des Satzes 1 – zusatzversorgungspflichtiges Entgelt während des Altersteilzeitarbeitsverhältnisses das 1,8fache der zur Hälfte zustehenden Bezüge nach </w:t>
      </w:r>
      <w:hyperlink r:id="rId1502" w:history="1">
        <w:r w:rsidRPr="002D1F1D">
          <w:rPr>
            <w:rStyle w:val="Hyperlink"/>
          </w:rPr>
          <w:t>§ 4 der Regelung der Altersteilzeitarbeit (ABD Teil D, 6.)</w:t>
        </w:r>
      </w:hyperlink>
      <w:r>
        <w:t xml:space="preserve"> zuzüglich derjenigen Bezüge, die in voller Höhe zustehen.</w:t>
      </w:r>
    </w:p>
    <w:p w:rsidR="00BE1EFE" w:rsidRDefault="00BE1EFE">
      <w:pPr>
        <w:pStyle w:val="StandardWeb"/>
      </w:pPr>
    </w:p>
    <w:p w:rsidR="00BE1EFE" w:rsidRDefault="00BE1EFE">
      <w:pPr>
        <w:pStyle w:val="StandardWeb"/>
      </w:pPr>
      <w:r>
        <w:t>(3) </w:t>
      </w:r>
      <w:r>
        <w:rPr>
          <w:rStyle w:val="kleinschrift"/>
        </w:rPr>
        <w:t>1</w:t>
      </w:r>
      <w:r>
        <w:t>Durch Regelung der Bayerischen Regional-KODA kann für ein Mitglied der Zusatzversor</w:t>
      </w:r>
      <w:r>
        <w:softHyphen/>
        <w:t xml:space="preserve">gungskasse der bayerischen Gemeinden, das sich in einer wirtschaftlichen Notlage befindet, für die Pflichtversicherung geregelt werden, dass für die Zusage von Leistungen für die Dauer von bis zu drei Jahren bis zu einer Mindesthöhe von 2 v. H. von der nach </w:t>
      </w:r>
      <w:hyperlink r:id="rId1503" w:history="1">
        <w:r>
          <w:rPr>
            <w:rStyle w:val="Hyperlink"/>
          </w:rPr>
          <w:t>§ 8 Absatz</w:t>
        </w:r>
        <w:r w:rsidRPr="002D1F1D">
          <w:rPr>
            <w:rStyle w:val="Hyperlink"/>
          </w:rPr>
          <w:t xml:space="preserve"> 2</w:t>
        </w:r>
      </w:hyperlink>
      <w:r>
        <w:t xml:space="preserve"> zugesagten Leistung abgewichen werden kann. </w:t>
      </w:r>
      <w:r>
        <w:rPr>
          <w:rStyle w:val="kleinschrift"/>
        </w:rPr>
        <w:t>2</w:t>
      </w:r>
      <w:r>
        <w:t xml:space="preserve">Entsprechend der Verminderung der Leistungszusage für die bei dem Mitglied beschäftigten Pflichtversicherten reduziert sich für das Mitglied insoweit die zu tragende Umlagebelastung bzw. der zu zahlende Beitrag an die Zusatzversorgungskasse der bayerischen Gemeinden. </w:t>
      </w:r>
      <w:r>
        <w:rPr>
          <w:rStyle w:val="kleinschrift"/>
        </w:rPr>
        <w:t>3</w:t>
      </w:r>
      <w:r>
        <w:t>Die Feststellung der wirtschaftlichen Notlage wird durch die Bayerische Regional-KODA getroffen. Die Regelung kann durch Beschluss der Bayerischen Regional-KODA über die in Satz 1 genannte Dauer verlängert werden.</w:t>
      </w:r>
    </w:p>
    <w:p w:rsidR="00BE1EFE" w:rsidRDefault="00BE1EFE">
      <w:pPr>
        <w:pStyle w:val="StandardWeb"/>
      </w:pPr>
    </w:p>
    <w:p w:rsidR="00BE1EFE" w:rsidRPr="001C31BE" w:rsidRDefault="00BE1EFE">
      <w:pPr>
        <w:pStyle w:val="StandardWeb"/>
        <w:rPr>
          <w:sz w:val="12"/>
        </w:rPr>
      </w:pPr>
      <w:r>
        <w:rPr>
          <w:rStyle w:val="kleinschrift"/>
        </w:rPr>
        <w:t>Anmerkung zu Absatz 2 Satz 2:</w:t>
      </w:r>
    </w:p>
    <w:p w:rsidR="00BE1EFE" w:rsidRDefault="00BE1EFE">
      <w:pPr>
        <w:pStyle w:val="StandardWeb"/>
      </w:pPr>
      <w:r>
        <w:rPr>
          <w:rStyle w:val="kleinschrift"/>
        </w:rPr>
        <w:lastRenderedPageBreak/>
        <w:t xml:space="preserve">Wird aufgrund einer Einzelregelung ein Beitrag an die gesetzliche Rentenversicherung gezahlt, der den Mindestbeitrag nach </w:t>
      </w:r>
      <w:hyperlink r:id="rId1504" w:tgtFrame="_blank" w:history="1">
        <w:r>
          <w:rPr>
            <w:rStyle w:val="Hyperlink"/>
            <w:sz w:val="12"/>
            <w:szCs w:val="12"/>
          </w:rPr>
          <w:t>§ 3 Absatz</w:t>
        </w:r>
        <w:r w:rsidRPr="0046770F">
          <w:rPr>
            <w:rStyle w:val="Hyperlink"/>
            <w:sz w:val="12"/>
            <w:szCs w:val="12"/>
          </w:rPr>
          <w:t xml:space="preserve"> 1 N</w:t>
        </w:r>
        <w:r>
          <w:rPr>
            <w:rStyle w:val="Hyperlink"/>
            <w:sz w:val="12"/>
            <w:szCs w:val="12"/>
          </w:rPr>
          <w:t>ummer 1 Buchstabe</w:t>
        </w:r>
        <w:r w:rsidRPr="0046770F">
          <w:rPr>
            <w:rStyle w:val="Hyperlink"/>
            <w:sz w:val="12"/>
            <w:szCs w:val="12"/>
          </w:rPr>
          <w:t xml:space="preserve"> b</w:t>
        </w:r>
      </w:hyperlink>
      <w:r>
        <w:rPr>
          <w:rStyle w:val="kleinschrift"/>
        </w:rPr>
        <w:t xml:space="preserve"> des Altersteilzeitgesetzes übersteigt, ist das Zusatzversorgungspflichtige Entgelt nach Absatz 2 Satz 2 entsprechend zu erhöhen</w:t>
      </w:r>
      <w:r w:rsidRPr="009C6551">
        <w:rPr>
          <w:rStyle w:val="kleinschrift1"/>
        </w:rPr>
        <w:t>.</w:t>
      </w:r>
      <w:r>
        <w:t> </w:t>
      </w:r>
    </w:p>
    <w:p w:rsidR="00BE1EFE" w:rsidRDefault="00BE1EFE">
      <w:pPr>
        <w:pStyle w:val="StandardWeb"/>
      </w:pPr>
    </w:p>
    <w:p w:rsidR="00BE1EFE" w:rsidRPr="000E08A4" w:rsidRDefault="00BE1EFE" w:rsidP="000E08A4">
      <w:pPr>
        <w:pStyle w:val="StandardWeb"/>
        <w:autoSpaceDE w:val="0"/>
        <w:rPr>
          <w:b/>
          <w:bCs/>
        </w:rPr>
      </w:pPr>
      <w:r>
        <w:rPr>
          <w:rStyle w:val="Fett"/>
          <w:bCs/>
        </w:rPr>
        <w:t xml:space="preserve">§ 15a </w:t>
      </w:r>
      <w:r w:rsidRPr="000E08A4">
        <w:rPr>
          <w:rStyle w:val="Fett"/>
          <w:bCs/>
        </w:rPr>
        <w:t>Zusätzlicher Arbeitnehmer- und Arbeitgeberbeitrag nach § 25b Teil A, 1.</w:t>
      </w:r>
    </w:p>
    <w:p w:rsidR="00BE1EFE" w:rsidRDefault="00BE1EFE" w:rsidP="0054275E">
      <w:pPr>
        <w:pStyle w:val="StandardWeb"/>
        <w:autoSpaceDE w:val="0"/>
        <w:jc w:val="left"/>
        <w:rPr>
          <w:rStyle w:val="Fett"/>
          <w:bCs/>
        </w:rPr>
      </w:pPr>
    </w:p>
    <w:p w:rsidR="00BE1EFE" w:rsidRPr="000E08A4" w:rsidRDefault="00BE1EFE" w:rsidP="000E08A4">
      <w:pPr>
        <w:pStyle w:val="StandardWeb"/>
        <w:rPr>
          <w:rStyle w:val="Fett"/>
          <w:b w:val="0"/>
        </w:rPr>
      </w:pPr>
      <w:r>
        <w:rPr>
          <w:rStyle w:val="Fett"/>
          <w:b w:val="0"/>
        </w:rPr>
        <w:t>(1) </w:t>
      </w:r>
      <w:r w:rsidRPr="000E08A4">
        <w:rPr>
          <w:rStyle w:val="Fett"/>
          <w:b w:val="0"/>
          <w:sz w:val="12"/>
          <w:szCs w:val="12"/>
        </w:rPr>
        <w:t>1</w:t>
      </w:r>
      <w:r w:rsidRPr="000E08A4">
        <w:rPr>
          <w:rStyle w:val="Fett"/>
          <w:b w:val="0"/>
        </w:rPr>
        <w:t xml:space="preserve">Ein zusätzlicher Arbeitnehmerbeitrag neben dem Umlage-Beitrag gemäß § 16 Abs. 1 oder dem Beitrag im Kapitaldeckungsverfahren gemäß § 18 Abs. 1 kann nach folgender Staffelung erhoben werden: </w:t>
      </w:r>
    </w:p>
    <w:p w:rsidR="00BE1EFE" w:rsidRPr="000E08A4" w:rsidRDefault="00BE1EFE" w:rsidP="000E08A4">
      <w:pPr>
        <w:pStyle w:val="StandardWeb"/>
        <w:rPr>
          <w:rStyle w:val="Fett"/>
          <w:b w:val="0"/>
        </w:rPr>
      </w:pPr>
      <w:r w:rsidRPr="000E08A4">
        <w:rPr>
          <w:rStyle w:val="Fett"/>
          <w:b w:val="0"/>
        </w:rPr>
        <w:t xml:space="preserve">a) 0,20 v. H. des zusatzversorgungspflichtigen Entgelts ab 1. Juli 2016, </w:t>
      </w:r>
    </w:p>
    <w:p w:rsidR="00BE1EFE" w:rsidRPr="000E08A4" w:rsidRDefault="00BE1EFE" w:rsidP="000E08A4">
      <w:pPr>
        <w:pStyle w:val="StandardWeb"/>
        <w:rPr>
          <w:rStyle w:val="Fett"/>
          <w:b w:val="0"/>
        </w:rPr>
      </w:pPr>
      <w:r w:rsidRPr="000E08A4">
        <w:rPr>
          <w:rStyle w:val="Fett"/>
          <w:b w:val="0"/>
        </w:rPr>
        <w:t>b) 0,30 v. H. des zusatzversorgungspflichtigen Entgelts ab 1. Juli 2017,</w:t>
      </w:r>
    </w:p>
    <w:p w:rsidR="00BE1EFE" w:rsidRPr="000E08A4" w:rsidRDefault="00BE1EFE" w:rsidP="000E08A4">
      <w:pPr>
        <w:pStyle w:val="StandardWeb"/>
        <w:rPr>
          <w:rStyle w:val="Fett"/>
          <w:b w:val="0"/>
        </w:rPr>
      </w:pPr>
      <w:r w:rsidRPr="000E08A4">
        <w:rPr>
          <w:rStyle w:val="Fett"/>
          <w:b w:val="0"/>
        </w:rPr>
        <w:t>c) 0,40 v. H. des zusatzversorgungspflichtigen Entgelts ab 1. Juli 2018.</w:t>
      </w:r>
    </w:p>
    <w:p w:rsidR="00BE1EFE" w:rsidRPr="000E08A4" w:rsidRDefault="00BE1EFE" w:rsidP="000E08A4">
      <w:pPr>
        <w:pStyle w:val="StandardWeb"/>
        <w:rPr>
          <w:rStyle w:val="Fett"/>
          <w:b w:val="0"/>
        </w:rPr>
      </w:pPr>
      <w:r w:rsidRPr="000E08A4">
        <w:rPr>
          <w:rStyle w:val="Fett"/>
          <w:b w:val="0"/>
          <w:sz w:val="12"/>
          <w:szCs w:val="12"/>
        </w:rPr>
        <w:t>2</w:t>
      </w:r>
      <w:r w:rsidRPr="000E08A4">
        <w:rPr>
          <w:rStyle w:val="Fett"/>
          <w:b w:val="0"/>
        </w:rPr>
        <w:t xml:space="preserve">Die Arbeitgeber haben eine Leistung in gleicher Höhe zu erbringen. </w:t>
      </w:r>
      <w:r w:rsidRPr="000E08A4">
        <w:rPr>
          <w:rStyle w:val="Fett"/>
          <w:b w:val="0"/>
          <w:sz w:val="12"/>
          <w:szCs w:val="12"/>
        </w:rPr>
        <w:t>3</w:t>
      </w:r>
      <w:r w:rsidRPr="000E08A4">
        <w:rPr>
          <w:rStyle w:val="Fett"/>
          <w:b w:val="0"/>
        </w:rPr>
        <w:t xml:space="preserve">Die Arbeitgeberleistung nach Satz 3 für den Zeitraum vom 1. Juli 2016 bis zum 30. Juni 2026 ist – soweit es die jeweilige Kassensatzung vorsieht – spätestens bis zum 30. Juni 2026 zu erbringen; sie kann in diesem Fall in Teilen oder als Gesamtbetrag erbracht werden. </w:t>
      </w:r>
      <w:r w:rsidRPr="000E08A4">
        <w:rPr>
          <w:rStyle w:val="Fett"/>
          <w:b w:val="0"/>
          <w:sz w:val="12"/>
          <w:szCs w:val="12"/>
        </w:rPr>
        <w:t>4</w:t>
      </w:r>
      <w:r w:rsidRPr="000E08A4">
        <w:rPr>
          <w:rStyle w:val="Fett"/>
          <w:b w:val="0"/>
        </w:rPr>
        <w:t xml:space="preserve">Wird nach dem 1. Juli 2016 die Umlage/der Beitrag gesenkt, reduziert sich der Arbeitnehmerbeitrag um die Hälfte des Vomhundertsatzes, um den sich die Umlage/der Beitrag reduziert, höchstens in Höhe des zusätzlichen Arbeitnehmerbeitrags gemäß Satz 2. </w:t>
      </w:r>
      <w:r w:rsidRPr="000E08A4">
        <w:rPr>
          <w:rStyle w:val="Fett"/>
          <w:b w:val="0"/>
          <w:sz w:val="12"/>
          <w:szCs w:val="12"/>
        </w:rPr>
        <w:t>5</w:t>
      </w:r>
      <w:r w:rsidRPr="000E08A4">
        <w:rPr>
          <w:rStyle w:val="Fett"/>
          <w:b w:val="0"/>
        </w:rPr>
        <w:t xml:space="preserve">Einzelheiten regelt die Kassensatzung. </w:t>
      </w:r>
    </w:p>
    <w:p w:rsidR="00BE1EFE" w:rsidRPr="000E08A4" w:rsidRDefault="00BE1EFE" w:rsidP="000E08A4">
      <w:pPr>
        <w:pStyle w:val="StandardWeb"/>
        <w:rPr>
          <w:rStyle w:val="Fett"/>
          <w:b w:val="0"/>
        </w:rPr>
      </w:pPr>
    </w:p>
    <w:p w:rsidR="00BE1EFE" w:rsidRPr="000E08A4" w:rsidRDefault="00BE1EFE" w:rsidP="000E08A4">
      <w:pPr>
        <w:pStyle w:val="StandardWeb"/>
        <w:rPr>
          <w:rStyle w:val="Fett"/>
          <w:b w:val="0"/>
          <w:sz w:val="12"/>
          <w:szCs w:val="12"/>
        </w:rPr>
      </w:pPr>
      <w:r w:rsidRPr="000E08A4">
        <w:rPr>
          <w:rStyle w:val="Fett"/>
          <w:b w:val="0"/>
          <w:sz w:val="12"/>
          <w:szCs w:val="12"/>
        </w:rPr>
        <w:t xml:space="preserve">Anmerkung: </w:t>
      </w:r>
    </w:p>
    <w:p w:rsidR="00BE1EFE" w:rsidRPr="000E08A4" w:rsidRDefault="00BE1EFE" w:rsidP="000E08A4">
      <w:pPr>
        <w:pStyle w:val="StandardWeb"/>
        <w:rPr>
          <w:rStyle w:val="Fett"/>
          <w:b w:val="0"/>
          <w:sz w:val="12"/>
          <w:szCs w:val="12"/>
        </w:rPr>
      </w:pPr>
      <w:r w:rsidRPr="000E08A4">
        <w:rPr>
          <w:rStyle w:val="Fett"/>
          <w:b w:val="0"/>
          <w:sz w:val="12"/>
          <w:szCs w:val="12"/>
        </w:rPr>
        <w:t>Über die Frage der Finanzierung der durch die neuen Startgutschriften entstehenden Mehrkosten werden die Tarifvertragsparteien entscheiden, wenn das derzeitige von den Arbeitgebern zu tragende Finanzierungsvolumen (Umlage-/Beitrags-/Sanierungsgeldsätze) nicht ausreichen sollte.“</w:t>
      </w:r>
    </w:p>
    <w:p w:rsidR="00BE1EFE" w:rsidRPr="000E08A4" w:rsidRDefault="00BE1EFE" w:rsidP="000E08A4">
      <w:pPr>
        <w:pStyle w:val="StandardWeb"/>
        <w:rPr>
          <w:rStyle w:val="Fett"/>
          <w:b w:val="0"/>
        </w:rPr>
      </w:pPr>
    </w:p>
    <w:p w:rsidR="00BE1EFE" w:rsidRDefault="00BE1EFE" w:rsidP="0054275E">
      <w:pPr>
        <w:pStyle w:val="StandardWeb"/>
        <w:autoSpaceDE w:val="0"/>
        <w:jc w:val="left"/>
      </w:pPr>
      <w:r>
        <w:rPr>
          <w:rStyle w:val="Fett"/>
          <w:bCs/>
        </w:rPr>
        <w:t>§ 16 Umlagen</w:t>
      </w:r>
    </w:p>
    <w:p w:rsidR="00BE1EFE" w:rsidRDefault="00BE1EFE">
      <w:pPr>
        <w:pStyle w:val="StandardWeb"/>
      </w:pPr>
    </w:p>
    <w:p w:rsidR="00BE1EFE" w:rsidRDefault="00BE1EFE">
      <w:pPr>
        <w:pStyle w:val="StandardWeb"/>
      </w:pPr>
      <w:r>
        <w:t>(1) </w:t>
      </w:r>
      <w:r>
        <w:rPr>
          <w:rStyle w:val="kleinschrift"/>
        </w:rPr>
        <w:t>1</w:t>
      </w:r>
      <w:r>
        <w:t xml:space="preserve">Von der Zusatzversorgungskasse der bayerischen Gemeinden festgesetzte monatliche Umlagen in Höhe eines bestimmten Vomhundertsatzes des zusatzversorgungspflichtigen Entgelts der Beschäftigten (Umlagesatz) führt der Arbeitgeber - ggf. einschließlich des von der/dem Beschäftigten zu tragenden Umlage-Beitrags - an die Zusatzversorgungskasse der bayerischen Gemeinden ab. </w:t>
      </w:r>
      <w:r w:rsidRPr="000E08A4">
        <w:rPr>
          <w:sz w:val="12"/>
          <w:szCs w:val="12"/>
        </w:rPr>
        <w:t>2</w:t>
      </w:r>
      <w:r w:rsidRPr="000E08A4">
        <w:t>Entsprechendes gilt für einen zusätzlichen Arbeitnehmer- und Arbeitgeberbeitrag nach § 15a.</w:t>
      </w:r>
      <w:r>
        <w:t xml:space="preserve"> </w:t>
      </w:r>
      <w:r>
        <w:rPr>
          <w:rStyle w:val="kleinschrift"/>
        </w:rPr>
        <w:t>3</w:t>
      </w:r>
      <w:r>
        <w:t xml:space="preserve">Die Umlage-Beiträge und einen </w:t>
      </w:r>
      <w:r w:rsidRPr="000E08A4">
        <w:t>zusätzlichen Arbeitnehmer</w:t>
      </w:r>
      <w:r>
        <w:t xml:space="preserve">nehmerbeitrag der Beschäftigten behält der Arbeitgeber von deren Arbeitsentgelt ein. </w:t>
      </w:r>
      <w:r>
        <w:rPr>
          <w:rStyle w:val="kleinschrift"/>
        </w:rPr>
        <w:t>4</w:t>
      </w:r>
      <w:r>
        <w:t xml:space="preserve">Bei Pflichtversicherten bleiben die am 1. November 2001 geltenden Vomhundertsätze für die Erhebung der Umlage- Beiträge bei der Zusatzversorgungskasse der bayerischen Gemeinden maßgebend. </w:t>
      </w:r>
      <w:r w:rsidRPr="00C028E8">
        <w:rPr>
          <w:sz w:val="12"/>
          <w:szCs w:val="12"/>
        </w:rPr>
        <w:t>5</w:t>
      </w:r>
      <w:r>
        <w:t>§ 15a bleibt unberührt.</w:t>
      </w:r>
    </w:p>
    <w:p w:rsidR="00BE1EFE" w:rsidRDefault="00BE1EFE">
      <w:pPr>
        <w:pStyle w:val="StandardWeb"/>
      </w:pPr>
    </w:p>
    <w:p w:rsidR="00BE1EFE" w:rsidRDefault="00BE1EFE">
      <w:pPr>
        <w:pStyle w:val="StandardWeb"/>
      </w:pPr>
      <w:r>
        <w:t>(2) </w:t>
      </w:r>
      <w:r>
        <w:rPr>
          <w:rStyle w:val="kleinschrift"/>
        </w:rPr>
        <w:t>1</w:t>
      </w:r>
      <w:r>
        <w:t xml:space="preserve">Der Arbeitgeber hat die auf ihn entfallende Umlage bis zu einem Betrag von monatlich 89,48 Euro pauschal zu versteuern, solange die Pauschalversteuerung rechtlich möglich ist.  </w:t>
      </w:r>
      <w:r>
        <w:rPr>
          <w:rStyle w:val="kleinschrift"/>
        </w:rPr>
        <w:t>2</w:t>
      </w:r>
      <w:r>
        <w:t xml:space="preserve">Soweit bei dem Arbeitgeber die nach </w:t>
      </w:r>
      <w:hyperlink r:id="rId1505" w:tgtFrame="_blank" w:history="1">
        <w:r>
          <w:rPr>
            <w:rStyle w:val="Hyperlink"/>
          </w:rPr>
          <w:t>§ 40 b Absatz 2 EStG</w:t>
        </w:r>
      </w:hyperlink>
      <w:r>
        <w:t xml:space="preserve"> zulässige Durchschnittsberechnung Anwendung findet, bleibt diese erhalten, solange sie rechtlich möglich ist.</w:t>
      </w:r>
    </w:p>
    <w:p w:rsidR="00BE1EFE" w:rsidRDefault="00BE1EFE">
      <w:pPr>
        <w:pStyle w:val="StandardWeb"/>
      </w:pPr>
    </w:p>
    <w:p w:rsidR="00BE1EFE" w:rsidRDefault="00BE1EFE">
      <w:pPr>
        <w:pStyle w:val="StandardWeb"/>
      </w:pPr>
      <w:r>
        <w:t>(3) </w:t>
      </w:r>
      <w:r>
        <w:rPr>
          <w:rStyle w:val="kleinschrift"/>
        </w:rPr>
        <w:t>1</w:t>
      </w:r>
      <w:r>
        <w:t xml:space="preserve">Die auf die Umlage entfallenden Pflichtversicherungszeiten und die daraus erworbenen Versorgungspunkte sind von der Zusatzversorgungskasse der bayerischen Gemeinden auf einem personenbezogenen Versorgungskonto zu führen (Versorgungskonto I); umfasst sind auch Aufwendungen und Auszahlungen. </w:t>
      </w:r>
      <w:r>
        <w:rPr>
          <w:rStyle w:val="kleinschrift"/>
        </w:rPr>
        <w:t>2</w:t>
      </w:r>
      <w:r>
        <w:t>Das Weitere regelt die Satzung der Zusatzver</w:t>
      </w:r>
      <w:r>
        <w:softHyphen/>
        <w:t>sorgungskasse der bayerischen Gemeinden.</w:t>
      </w:r>
    </w:p>
    <w:p w:rsidR="00BE1EFE" w:rsidRDefault="00BE1EFE">
      <w:pPr>
        <w:pStyle w:val="StandardWeb"/>
      </w:pPr>
    </w:p>
    <w:p w:rsidR="00BE1EFE" w:rsidRDefault="00BE1EFE">
      <w:pPr>
        <w:pStyle w:val="StandardWeb"/>
      </w:pPr>
      <w:r>
        <w:t>(4) </w:t>
      </w:r>
      <w:r>
        <w:rPr>
          <w:rStyle w:val="kleinschrift"/>
        </w:rPr>
        <w:t>1</w:t>
      </w:r>
      <w:r>
        <w:t>Zur Sicherung der Finanzierung der Umlage- und Solidargemeinschaft müssen Arbeit</w:t>
      </w:r>
      <w:r>
        <w:softHyphen/>
        <w:t>geber, die aus einer ganz oder teilweise umlagefinanzierten Zusatzversorgung ausscheiden, einen Gegenwert für die bei der Zusatzversorgungseinrichtung verbleibenden Rentenanwart</w:t>
      </w:r>
      <w:r>
        <w:softHyphen/>
        <w:t xml:space="preserve">schaften und -ansprüche zahlen. </w:t>
      </w:r>
      <w:r>
        <w:rPr>
          <w:rStyle w:val="kleinschrift"/>
        </w:rPr>
        <w:t>2</w:t>
      </w:r>
      <w:r>
        <w:t>Die Höhe des Gegenwerts ist nach versicherungsmathe</w:t>
      </w:r>
      <w:r>
        <w:softHyphen/>
        <w:t>matischen Grundsätze so zu bemessen, dass verbleibende Rentenanwartschaften und -an</w:t>
      </w:r>
      <w:r>
        <w:softHyphen/>
      </w:r>
      <w:r>
        <w:lastRenderedPageBreak/>
        <w:t xml:space="preserve">sprüche, die dem ausgeschiedenen Arbeitgeber zuzurechnen sind, ausfinanziert und zukünftige Ausgaben der Zusatzversorgungseinrichtung zur Deckung der Verwaltungskosten und möglicher Fehlbeträge abgegolten sind. </w:t>
      </w:r>
      <w:r>
        <w:rPr>
          <w:rStyle w:val="kleinschrift"/>
        </w:rPr>
        <w:t>3</w:t>
      </w:r>
      <w:r>
        <w:t xml:space="preserve">Die dabei verwendeten Rechnungsgrundlagen, insbesondere der Rechnungszins und die Sterbetafeln, müssen so kalkuliert sein, dass die Finanzierung gesichert ist. </w:t>
      </w:r>
      <w:r>
        <w:rPr>
          <w:rStyle w:val="kleinschrift"/>
        </w:rPr>
        <w:t>4</w:t>
      </w:r>
      <w:r w:rsidRPr="00804C2C">
        <w:rPr>
          <w:rStyle w:val="kleinschrift"/>
          <w:sz w:val="16"/>
          <w:szCs w:val="16"/>
        </w:rPr>
        <w:t>Die</w:t>
      </w:r>
      <w:r>
        <w:t xml:space="preserve"> Einzelheiten der Gegenwertberechnung nach den Sätzen 2 und 3 regeln die Zusatzversorgungseinrichtungen eigenständig.</w:t>
      </w:r>
    </w:p>
    <w:p w:rsidR="00BE1EFE" w:rsidRDefault="00BE1EFE">
      <w:pPr>
        <w:pStyle w:val="StandardWeb"/>
      </w:pPr>
    </w:p>
    <w:p w:rsidR="00BE1EFE" w:rsidRDefault="00BE1EFE">
      <w:pPr>
        <w:pStyle w:val="StandardWeb"/>
      </w:pPr>
      <w:r>
        <w:t>(5) Absatz 4 gilt entsprechend, wenn ein Arbeitgeber Pflichtversicherte auf einen oder mehrere Arbeitgeber übertragen hat, der/die an der Zusatzversorgungseinrichtung nicht beteiligt ist/sind.</w:t>
      </w:r>
    </w:p>
    <w:p w:rsidR="00BE1EFE" w:rsidRDefault="00BE1EFE">
      <w:pPr>
        <w:pStyle w:val="StandardWeb"/>
      </w:pPr>
    </w:p>
    <w:p w:rsidR="00BE1EFE" w:rsidRDefault="00BE1EFE">
      <w:pPr>
        <w:pStyle w:val="StandardWeb"/>
      </w:pPr>
      <w:r>
        <w:rPr>
          <w:rStyle w:val="kleinschrift"/>
        </w:rPr>
        <w:t>Protokollerklärung:</w:t>
      </w:r>
    </w:p>
    <w:p w:rsidR="00BE1EFE" w:rsidRDefault="00BE1EFE" w:rsidP="00804C2C">
      <w:pPr>
        <w:pStyle w:val="StandardWeb"/>
      </w:pPr>
      <w:r>
        <w:rPr>
          <w:rStyle w:val="kleinschrift"/>
        </w:rPr>
        <w:t>Für den Fall, dass die pauschal versteuerte Umlage über den am 1. Januar 2001 geltenden Umfang hinaus in der Sozialversicherung beitragspflichtig werden sollte, wird die Bayerische Regional-KODA unverzüglich Verhandlungen aufnehmen mit dem Ziel, ein dem Zweck der Pauschalversteuerung entsprechendes Ergebnis zu erreichen</w:t>
      </w:r>
      <w:r w:rsidRPr="009C6551">
        <w:rPr>
          <w:rStyle w:val="kleinschrift1"/>
        </w:rPr>
        <w:t>.</w:t>
      </w:r>
      <w:r>
        <w:t> </w:t>
      </w:r>
    </w:p>
    <w:p w:rsidR="00BE1EFE" w:rsidRDefault="00BE1EFE">
      <w:pPr>
        <w:pStyle w:val="StandardWeb"/>
      </w:pPr>
    </w:p>
    <w:p w:rsidR="00BE1EFE" w:rsidRDefault="00BE1EFE" w:rsidP="0054275E">
      <w:pPr>
        <w:pStyle w:val="StandardWeb"/>
        <w:autoSpaceDE w:val="0"/>
        <w:jc w:val="left"/>
      </w:pPr>
      <w:r>
        <w:rPr>
          <w:rStyle w:val="Fett"/>
          <w:bCs/>
        </w:rPr>
        <w:t>§ 17 Sanierungsgelder</w:t>
      </w:r>
    </w:p>
    <w:p w:rsidR="00BE1EFE" w:rsidRDefault="00BE1EFE">
      <w:pPr>
        <w:pStyle w:val="StandardWeb"/>
      </w:pPr>
    </w:p>
    <w:p w:rsidR="00BE1EFE" w:rsidRDefault="00BE1EFE">
      <w:pPr>
        <w:pStyle w:val="StandardWeb"/>
      </w:pPr>
      <w:r>
        <w:t>(1) </w:t>
      </w:r>
      <w:r>
        <w:rPr>
          <w:rStyle w:val="kleinschrift"/>
        </w:rPr>
        <w:t>1</w:t>
      </w:r>
      <w:r>
        <w:t xml:space="preserve">Zur Deckung des infolge der Schließung des Gesamtversorgungssystems und des Wechsels vom Gesamtversorgungssystem zum Punktemodell zusätzlichen Finanzbedarfs, der über die am 1. November 2001 jeweils geltende Umlage hinausgeht, erhebt die Zusatzversorgungskasse der bayerischen Gemeinden vom Arbeitgeber Sanierungsgelder. </w:t>
      </w:r>
      <w:r>
        <w:rPr>
          <w:rStyle w:val="kleinschrift"/>
        </w:rPr>
        <w:t>2</w:t>
      </w:r>
      <w:r>
        <w:t>Diese Sanierungsgelder sind kein steuerpflichtiger Arbeitslohn.</w:t>
      </w:r>
    </w:p>
    <w:p w:rsidR="00BE1EFE" w:rsidRDefault="00BE1EFE">
      <w:pPr>
        <w:pStyle w:val="StandardWeb"/>
      </w:pPr>
    </w:p>
    <w:p w:rsidR="00BE1EFE" w:rsidRDefault="00BE1EFE">
      <w:pPr>
        <w:pStyle w:val="StandardWeb"/>
      </w:pPr>
      <w:r>
        <w:t>(2) Sanierungsgelder kommen nicht in Betracht, wenn der am 1. November 2001 jeweils gül</w:t>
      </w:r>
      <w:r>
        <w:softHyphen/>
        <w:t>tige Umlagesatz weniger als 4 v. H. des zusatzversorgungspflichtigen Entgelts betragen hat.</w:t>
      </w:r>
    </w:p>
    <w:p w:rsidR="00BE1EFE" w:rsidRDefault="00BE1EFE" w:rsidP="00C028E8">
      <w:pPr>
        <w:pStyle w:val="StandardWeb"/>
        <w:rPr>
          <w:rStyle w:val="Fett"/>
          <w:bCs/>
        </w:rPr>
      </w:pPr>
    </w:p>
    <w:p w:rsidR="00BE1EFE" w:rsidRDefault="00BE1EFE" w:rsidP="0054275E">
      <w:pPr>
        <w:pStyle w:val="StandardWeb"/>
        <w:autoSpaceDE w:val="0"/>
        <w:jc w:val="left"/>
      </w:pPr>
      <w:r>
        <w:rPr>
          <w:rStyle w:val="Fett"/>
          <w:bCs/>
        </w:rPr>
        <w:t>§ 18 Beiträge im Kapitaldeckungsverfahren</w:t>
      </w:r>
    </w:p>
    <w:p w:rsidR="00BE1EFE" w:rsidRDefault="00BE1EFE">
      <w:pPr>
        <w:pStyle w:val="StandardWeb"/>
      </w:pPr>
    </w:p>
    <w:p w:rsidR="00BE1EFE" w:rsidRDefault="00BE1EFE">
      <w:pPr>
        <w:pStyle w:val="StandardWeb"/>
      </w:pPr>
      <w:r>
        <w:t>(1) </w:t>
      </w:r>
      <w:r w:rsidRPr="00C028E8">
        <w:rPr>
          <w:sz w:val="12"/>
          <w:szCs w:val="12"/>
        </w:rPr>
        <w:t>1</w:t>
      </w:r>
      <w:r>
        <w:t>Soweit die Zusatzversorgungskasse der bayerischen Gemeinden für die Pflichtver</w:t>
      </w:r>
      <w:r>
        <w:softHyphen/>
        <w:t>sicherung Beiträge im Kapitaldeckungsverfahren von höchstens 4 v. H. des zusatzver</w:t>
      </w:r>
      <w:r>
        <w:softHyphen/>
        <w:t xml:space="preserve">sorgungspflichtigen Entgelts erhebt, trägt diese der Arbeitgeber. </w:t>
      </w:r>
      <w:r w:rsidRPr="00C028E8">
        <w:rPr>
          <w:sz w:val="12"/>
          <w:szCs w:val="12"/>
        </w:rPr>
        <w:t>2</w:t>
      </w:r>
      <w:r w:rsidRPr="00C028E8">
        <w:t>Der zusätzliche Arbeitneh</w:t>
      </w:r>
      <w:r>
        <w:softHyphen/>
      </w:r>
      <w:r w:rsidRPr="00C028E8">
        <w:t>mer- und Arbeitgeberbeitrag nach § 15a kann auch als Beitrag im Kapitaldeckungsverfahren erhoben werden.“</w:t>
      </w:r>
    </w:p>
    <w:p w:rsidR="00BE1EFE" w:rsidRDefault="00BE1EFE">
      <w:pPr>
        <w:pStyle w:val="StandardWeb"/>
      </w:pPr>
    </w:p>
    <w:p w:rsidR="00BE1EFE" w:rsidRDefault="00BE1EFE">
      <w:pPr>
        <w:pStyle w:val="StandardWeb"/>
      </w:pPr>
      <w:r>
        <w:t>(2) Die Beiträge im Sinne des Absatzes 1 einschließlich der darauf entfallenden Erträge sind von der Zusatzversorgungskasse der bayerischen Gemeinden auf einem gesonderten personenbezogenen Versorgungskonto getrennt von den sonstigen Einnahmen zu führen (Versorgungskonto II).</w:t>
      </w:r>
    </w:p>
    <w:p w:rsidR="00BE1EFE" w:rsidRDefault="00BE1EFE">
      <w:pPr>
        <w:pStyle w:val="StandardWeb"/>
      </w:pPr>
    </w:p>
    <w:p w:rsidR="00BE1EFE" w:rsidRDefault="00BE1EFE">
      <w:pPr>
        <w:pStyle w:val="StandardWeb"/>
      </w:pPr>
      <w:r>
        <w:t>(3) Die Einnahmen und Ausgaben einschließlich der Kapitalanlagen sind gesondert zu führen und zu verwalten. </w:t>
      </w:r>
    </w:p>
    <w:p w:rsidR="00BE1EFE" w:rsidRDefault="00BE1EFE">
      <w:pPr>
        <w:pStyle w:val="StandardWeb"/>
      </w:pPr>
    </w:p>
    <w:p w:rsidR="00BE1EFE" w:rsidRDefault="00BE1EFE" w:rsidP="0054275E">
      <w:pPr>
        <w:pStyle w:val="StandardWeb"/>
        <w:autoSpaceDE w:val="0"/>
        <w:jc w:val="left"/>
      </w:pPr>
      <w:r>
        <w:rPr>
          <w:rStyle w:val="Fett"/>
          <w:bCs/>
        </w:rPr>
        <w:t>§ 19 Bonuspunkte</w:t>
      </w:r>
    </w:p>
    <w:p w:rsidR="00BE1EFE" w:rsidRDefault="00BE1EFE">
      <w:pPr>
        <w:pStyle w:val="StandardWeb"/>
      </w:pPr>
    </w:p>
    <w:p w:rsidR="00BE1EFE" w:rsidRDefault="00BE1EFE">
      <w:pPr>
        <w:pStyle w:val="StandardWeb"/>
      </w:pPr>
      <w:r>
        <w:t>(1) </w:t>
      </w:r>
      <w:r>
        <w:rPr>
          <w:rStyle w:val="kleinschrift"/>
        </w:rPr>
        <w:t>1</w:t>
      </w:r>
      <w:r>
        <w:t>Die Zusatzversorgungskasse der bayerischen Gemeinden stellt jährlich bis zum Jahres</w:t>
      </w:r>
      <w:r>
        <w:softHyphen/>
        <w:t xml:space="preserve">ende für das vorangegangene Geschäftsjahr fest, in welchem Umfang aus verbleibenden Überschüssen (Absatz 2) Bonuspunkte </w:t>
      </w:r>
      <w:hyperlink r:id="rId1506" w:history="1">
        <w:r>
          <w:rPr>
            <w:rStyle w:val="Hyperlink"/>
          </w:rPr>
          <w:t>(§ 8 Absatz</w:t>
        </w:r>
        <w:r w:rsidRPr="002D1F1D">
          <w:rPr>
            <w:rStyle w:val="Hyperlink"/>
          </w:rPr>
          <w:t xml:space="preserve"> 1 Satz 1 Buchst. c)</w:t>
        </w:r>
      </w:hyperlink>
      <w:r>
        <w:t xml:space="preserve"> vergeben werden können. </w:t>
      </w:r>
      <w:r>
        <w:rPr>
          <w:rStyle w:val="kleinschrift"/>
        </w:rPr>
        <w:t>2</w:t>
      </w:r>
      <w:r>
        <w:t xml:space="preserve">Bonuspunkte nach Satz 1 kommen in Betracht für die am Ende des laufenden Geschäftsjahres Pflichtversicherten sowie für die zum gleichen Zeitpunkt beitragsfrei Versicherten, die eine Wartezeit von 120 Umlage-/Beitragsmonaten erfüllt haben. </w:t>
      </w:r>
      <w:r>
        <w:rPr>
          <w:rStyle w:val="kleinschrift"/>
        </w:rPr>
        <w:t>3</w:t>
      </w:r>
      <w:r>
        <w:t>Über die Vergabe von Bonuspunkten entscheidet das zuständige Gremium der Zusatzversorgungs</w:t>
      </w:r>
      <w:r>
        <w:softHyphen/>
        <w:t>kasse der bayerischen Gemeinden auf Vorschlag des Verantwortlichen Aktuars der Zusatz</w:t>
      </w:r>
      <w:r>
        <w:softHyphen/>
        <w:t xml:space="preserve">versorgungskasse der bayerischen Gemeinden. </w:t>
      </w:r>
      <w:r>
        <w:rPr>
          <w:rStyle w:val="kleinschrift"/>
        </w:rPr>
        <w:t>4</w:t>
      </w:r>
      <w:r>
        <w:t xml:space="preserve">Grundlage für die Feststellung und </w:t>
      </w:r>
      <w:r>
        <w:lastRenderedPageBreak/>
        <w:t>Entscheidung ist eine auf anerkannten versicherungsmathematischen Grundsätzen (</w:t>
      </w:r>
      <w:hyperlink r:id="rId1507" w:history="1">
        <w:r w:rsidRPr="002D1F1D">
          <w:rPr>
            <w:rStyle w:val="Hyperlink"/>
          </w:rPr>
          <w:t>Anlage 4</w:t>
        </w:r>
      </w:hyperlink>
      <w:r>
        <w:t xml:space="preserve">) beruhende und durch den Verantwortlichen Aktuar erstellte fiktive versicherungstechnische Bilanz für die Verpflichtungen gegenüber den Pflichtversicherten und den beitragsfrei Versicherten mit erfüllter Wartezeit von 120 Umlage-/Beitragsmonaten. </w:t>
      </w:r>
      <w:r>
        <w:rPr>
          <w:rStyle w:val="kleinschrift"/>
        </w:rPr>
        <w:t>5</w:t>
      </w:r>
      <w:r>
        <w:t xml:space="preserve">Soweit eine Kapitaldeckung vorhanden ist, werden dabei die tatsächlich erzielten Kapitalerträge veranschlagt. </w:t>
      </w:r>
      <w:r>
        <w:rPr>
          <w:rStyle w:val="kleinschrift"/>
        </w:rPr>
        <w:t>6</w:t>
      </w:r>
      <w:r>
        <w:t xml:space="preserve">Soweit keine Kapitaldeckung vorhanden ist, wird die durchschnittliche laufende Verzinsung der zehn nach der Bilanzsumme größten Pensionskassen gemäß dem zum Zeitpunkt der Fertigstellung der Bilanz nach Satz 4 jeweils aktuellen Geschäftsbericht des Bundesaufsichtsamtes für das Versicherungswesen bzw. der Nachfolgebehörde zugrunde gelegt. </w:t>
      </w:r>
      <w:r>
        <w:rPr>
          <w:rStyle w:val="kleinschrift"/>
        </w:rPr>
        <w:t>7</w:t>
      </w:r>
      <w:r>
        <w:t>Beschäftigte, deren Arbeitsverhältnis in Folge von Witterungseinflüssen oder wegen anderer Naturereignisse auf der Grundlage einer Regelung der Bayer. Regional-KODA geendet hat und die bei Wiederaufnahme der Arbeit Anspruch auf Wiedereinstellung haben, sowie Saisonbeschäftigte, die bei Beginn der nächsten Saison voraussichtlich wieder eingestellt werden, gelten als Pflichtversicherte im Sinne des Satzes 2.</w:t>
      </w:r>
    </w:p>
    <w:p w:rsidR="00BE1EFE" w:rsidRDefault="00BE1EFE">
      <w:pPr>
        <w:pStyle w:val="StandardWeb"/>
      </w:pPr>
    </w:p>
    <w:p w:rsidR="00BE1EFE" w:rsidRDefault="00BE1EFE" w:rsidP="002954CD">
      <w:pPr>
        <w:pStyle w:val="StandardWeb"/>
      </w:pPr>
      <w:r>
        <w:t>(2) </w:t>
      </w:r>
      <w:r>
        <w:rPr>
          <w:rStyle w:val="kleinschrift"/>
        </w:rPr>
        <w:t>1</w:t>
      </w:r>
      <w:r>
        <w:t>Ergibt die fiktive versicherungstechnische Bilanz einen Überschuss, wird dieser Über</w:t>
      </w:r>
      <w:r>
        <w:softHyphen/>
        <w:t xml:space="preserve">schuss um den Aufwand für soziale Komponenten nach </w:t>
      </w:r>
      <w:hyperlink r:id="rId1508" w:history="1">
        <w:r w:rsidRPr="002D1F1D">
          <w:rPr>
            <w:rStyle w:val="Hyperlink"/>
          </w:rPr>
          <w:t>§ 9</w:t>
        </w:r>
      </w:hyperlink>
      <w:r>
        <w:t xml:space="preserve"> und um die Verwaltungskosten der Zusatzversorgungskasse der bayerischen Gemeinden vermindert und nach Maßgabe des Absatzes 1 verwendet; soweit keine Kapitaldeckung vorhanden ist, werden für die fiktive Verzinsung nach Absatz 1 Satz 6 als Verwaltungskosten 2 v. H. dieser fiktiven Zinserträge berücksichtigt. </w:t>
      </w:r>
      <w:r w:rsidRPr="00C028E8">
        <w:rPr>
          <w:sz w:val="12"/>
          <w:szCs w:val="12"/>
        </w:rPr>
        <w:t>2</w:t>
      </w:r>
      <w:r w:rsidRPr="00C028E8">
        <w:t>Ein zusätzlicher Arbeitnehmer- und Arbeitgeberbeitrag nach § 15a bleibt bei der fiktiven versicherungstechn</w:t>
      </w:r>
      <w:r>
        <w:t xml:space="preserve">ischen Bilanz unberücksichtigt. </w:t>
      </w:r>
      <w:r>
        <w:rPr>
          <w:rStyle w:val="kleinschrift"/>
        </w:rPr>
        <w:t>3</w:t>
      </w:r>
      <w:r>
        <w:t>Ergibt die versicherungs</w:t>
      </w:r>
      <w:r>
        <w:softHyphen/>
        <w:t xml:space="preserve">technische Bilanz eine Unterdeckung, wird diese vorgetragen. </w:t>
      </w:r>
      <w:r>
        <w:rPr>
          <w:rStyle w:val="kleinschrift"/>
        </w:rPr>
        <w:t>4</w:t>
      </w:r>
      <w:r>
        <w:t>Einzelheiten werden in den Ausführungsbestimmungen zur Satzung der Zusatzversorgungskasse der bayerischen Gemeinden geregelt.</w:t>
      </w:r>
    </w:p>
    <w:p w:rsidR="00BE1EFE" w:rsidRDefault="00BE1EFE">
      <w:pPr>
        <w:pStyle w:val="berschrift6"/>
      </w:pPr>
      <w:bookmarkStart w:id="1030" w:name="_Toc523926551"/>
      <w:r>
        <w:t>Abschnitt VI: Verfahren</w:t>
      </w:r>
      <w:bookmarkEnd w:id="1030"/>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20 Pflichten der Versicherten und der Betriebsrentenberechtigten</w:t>
      </w:r>
    </w:p>
    <w:p w:rsidR="00BE1EFE" w:rsidRPr="000B1AF8" w:rsidRDefault="00BE1EFE">
      <w:pPr>
        <w:pStyle w:val="StandardWeb"/>
        <w:jc w:val="center"/>
      </w:pPr>
    </w:p>
    <w:p w:rsidR="00BE1EFE" w:rsidRDefault="00BE1EFE">
      <w:pPr>
        <w:pStyle w:val="StandardWeb"/>
      </w:pPr>
      <w:r>
        <w:t>(1) Der Zusatzversorgungskasse der bayerischen Gemeinden sind alle für die Prüfung des Anspruchs auf Betriebsrente notwendigen Angaben zu machen und die erforderlichen Nachweise beizubringen.</w:t>
      </w:r>
    </w:p>
    <w:p w:rsidR="00BE1EFE" w:rsidRDefault="00BE1EFE">
      <w:pPr>
        <w:pStyle w:val="StandardWeb"/>
      </w:pPr>
    </w:p>
    <w:p w:rsidR="00BE1EFE" w:rsidRDefault="00BE1EFE">
      <w:pPr>
        <w:pStyle w:val="StandardWeb"/>
      </w:pPr>
      <w:r>
        <w:t>(2) Kommen Betriebsrentenberechtigte der Verpflichtung nach Absatz 1 nicht nach, kann die Betriebsrente zurückbehalten werden.</w:t>
      </w:r>
    </w:p>
    <w:p w:rsidR="00BE1EFE" w:rsidRDefault="00BE1EFE">
      <w:pPr>
        <w:pStyle w:val="StandardWeb"/>
      </w:pPr>
    </w:p>
    <w:p w:rsidR="00BE1EFE" w:rsidRDefault="00BE1EFE">
      <w:pPr>
        <w:pStyle w:val="StandardWeb"/>
      </w:pPr>
      <w:r>
        <w:t>(3) Vereinbarungen mit Dritten über die Abtretung, Verpfändung oder Beleihung eines Anspruchs auf Betriebsrente sind vorbehaltlich zwingender gesetzlicher Vorschriften gegenüber dem Arbeitgeber und der Zusatzversorgungskasse der bayerischen Gemeinden unwirksam.</w:t>
      </w:r>
    </w:p>
    <w:p w:rsidR="00BE1EFE" w:rsidRDefault="00BE1EFE">
      <w:pPr>
        <w:pStyle w:val="StandardWeb"/>
      </w:pPr>
    </w:p>
    <w:p w:rsidR="00BE1EFE" w:rsidRDefault="00BE1EFE">
      <w:pPr>
        <w:pStyle w:val="StandardWeb"/>
      </w:pPr>
      <w:r>
        <w:t>(4) Ist der Versicherungsfall durch ein Verhalten Dritter verursacht worden, sind Schadens</w:t>
      </w:r>
      <w:r>
        <w:softHyphen/>
        <w:t>ersatzansprüche, soweit rechtlich zulässig, bis zur Höhe des Brutto-Betrages der Betriebsrente an die Zusatzversorgungskasse der bayerischen Gemeinden abzutreten; soweit die Abtretung nicht erfolgt oder die zur Durchsetzung des Anspruchs erforderlichen Nachweise nicht vorgelegt werden, kann die Betriebsrente zurückbehalten werden.</w:t>
      </w:r>
    </w:p>
    <w:p w:rsidR="00BE1EFE" w:rsidRDefault="00BE1EFE">
      <w:pPr>
        <w:pStyle w:val="StandardWeb"/>
      </w:pPr>
    </w:p>
    <w:p w:rsidR="00BE1EFE" w:rsidRDefault="00BE1EFE">
      <w:pPr>
        <w:pStyle w:val="StandardWeb"/>
      </w:pPr>
      <w:r>
        <w:t>(5) </w:t>
      </w:r>
      <w:r>
        <w:rPr>
          <w:rStyle w:val="kleinschrift"/>
        </w:rPr>
        <w:t>1</w:t>
      </w:r>
      <w:r>
        <w:t>Ohne Rechtsgrund gezahlte Betriebsrenten sind in Höhe ihrer Brutto-Beträge zurückzu</w:t>
      </w:r>
      <w:r>
        <w:softHyphen/>
        <w:t xml:space="preserve">zahlen. </w:t>
      </w:r>
      <w:r>
        <w:rPr>
          <w:rStyle w:val="kleinschrift"/>
        </w:rPr>
        <w:t>2</w:t>
      </w:r>
      <w:r>
        <w:t>Haben Versicherte oder Betriebsrentenberechtigte ihre Pflichten nach Absatz 1 verletzt, können sie sich nicht auf den Wegfall der Bereicherung berufen.</w:t>
      </w:r>
    </w:p>
    <w:p w:rsidR="00BE1EFE" w:rsidRDefault="00BE1EFE">
      <w:pPr>
        <w:pStyle w:val="StandardWeb"/>
      </w:pPr>
    </w:p>
    <w:p w:rsidR="005766ED" w:rsidRDefault="005766ED">
      <w:pPr>
        <w:pStyle w:val="StandardWeb"/>
      </w:pPr>
    </w:p>
    <w:p w:rsidR="00BE1EFE" w:rsidRDefault="00BE1EFE" w:rsidP="0054275E">
      <w:pPr>
        <w:pStyle w:val="StandardWeb"/>
        <w:autoSpaceDE w:val="0"/>
        <w:jc w:val="left"/>
      </w:pPr>
      <w:r>
        <w:rPr>
          <w:rStyle w:val="Fett"/>
          <w:bCs/>
        </w:rPr>
        <w:lastRenderedPageBreak/>
        <w:t>§ 21 Versicherungsnachweise</w:t>
      </w:r>
    </w:p>
    <w:p w:rsidR="00BE1EFE" w:rsidRDefault="00BE1EFE">
      <w:pPr>
        <w:pStyle w:val="StandardWeb"/>
        <w:jc w:val="center"/>
      </w:pPr>
    </w:p>
    <w:p w:rsidR="00BE1EFE" w:rsidRDefault="00BE1EFE">
      <w:pPr>
        <w:pStyle w:val="StandardWeb"/>
      </w:pPr>
      <w:r>
        <w:t>(1) </w:t>
      </w:r>
      <w:r>
        <w:rPr>
          <w:rStyle w:val="kleinschrift"/>
        </w:rPr>
        <w:t>1</w:t>
      </w:r>
      <w:r>
        <w:t xml:space="preserve">Pflichtversicherte erhalten jeweils nach Ablauf des Kalenderjahres bzw. bei Beendigung der Pflichtversicherung einen Nachweis über ihre bisher insgesamt erworbene Anwartschaft auf Betriebsrente wegen Alters nach </w:t>
      </w:r>
      <w:hyperlink r:id="rId1509" w:history="1">
        <w:r w:rsidRPr="002D1F1D">
          <w:rPr>
            <w:rStyle w:val="Hyperlink"/>
          </w:rPr>
          <w:t>§ 7</w:t>
        </w:r>
      </w:hyperlink>
      <w:r>
        <w:t xml:space="preserve">. </w:t>
      </w:r>
      <w:r>
        <w:rPr>
          <w:rStyle w:val="kleinschrift"/>
        </w:rPr>
        <w:t>2</w:t>
      </w:r>
      <w:r>
        <w:t xml:space="preserve">Dabei ist neben der Anwartschaft auch die Zahl der Versorgungspunkte und der Messbetrag anzugeben. </w:t>
      </w:r>
      <w:r>
        <w:rPr>
          <w:rStyle w:val="kleinschrift"/>
        </w:rPr>
        <w:t>3</w:t>
      </w:r>
      <w:r>
        <w:t xml:space="preserve">Im Falle der Kapitaldeckung sind zusätzlich die steuerrechtlich vorgeschriebenen Angaben zu beachten. </w:t>
      </w:r>
      <w:r>
        <w:rPr>
          <w:rStyle w:val="kleinschrift"/>
        </w:rPr>
        <w:t>4</w:t>
      </w:r>
      <w:r>
        <w:t xml:space="preserve">Der Nachweis ist mit einem Hinweis auf die Ausschlussfrist nach Absatz 2 zu versehen. </w:t>
      </w:r>
      <w:r>
        <w:rPr>
          <w:rStyle w:val="kleinschrift"/>
        </w:rPr>
        <w:t>5</w:t>
      </w:r>
      <w:r>
        <w:t xml:space="preserve">Wird der Nachweis im Zusammenhang mit der Beendigung der Pflichtversicherung erbracht, ist er um den Hinweis zu ergänzen, dass die aufgrund der Pflichtversicherung erworbene Anwartschaft bis zum erneuten Beginn der Pflichtversicherung bzw. bis zum Eintritt des Versicherungsfalles nicht dynamisiert wird, wenn die Wartezeit von 120 Umlage-/Beitragsmonaten nicht erfüllt ist. </w:t>
      </w:r>
      <w:r>
        <w:rPr>
          <w:rStyle w:val="kleinschrift"/>
        </w:rPr>
        <w:t>6</w:t>
      </w:r>
      <w:r>
        <w:t>Das Weitere regelt die Satzung der Zusatzversorgungskasse der bayerischen Gemeinden.</w:t>
      </w:r>
    </w:p>
    <w:p w:rsidR="00BE1EFE" w:rsidRDefault="00BE1EFE">
      <w:pPr>
        <w:pStyle w:val="StandardWeb"/>
      </w:pPr>
    </w:p>
    <w:p w:rsidR="00BE1EFE" w:rsidRPr="002954CD" w:rsidRDefault="00BE1EFE" w:rsidP="002954CD">
      <w:pPr>
        <w:pStyle w:val="StandardWeb"/>
        <w:rPr>
          <w:rStyle w:val="Fett"/>
          <w:b w:val="0"/>
        </w:rPr>
      </w:pPr>
      <w:r>
        <w:t>(2) </w:t>
      </w:r>
      <w:r>
        <w:rPr>
          <w:rStyle w:val="kleinschrift"/>
        </w:rPr>
        <w:t>1</w:t>
      </w:r>
      <w:r>
        <w:t xml:space="preserve">Die Beschäftigten können nur innerhalb einer Ausschlussfrist von sechs Monaten nach Zugang des Nachweises nach Absatz 1 gegenüber ihrem Arbeitgeber schriftlich beanstanden, dass die vom Arbeitgeber zu entrichtenden Beiträge oder die zu meldenden Entgelte nicht oder nicht vollständig an die Zusatzversorgungskasse der bayerischen Gemeinden abgeführt oder gemeldet wurden. </w:t>
      </w:r>
      <w:r>
        <w:rPr>
          <w:rStyle w:val="kleinschrift"/>
        </w:rPr>
        <w:t>2</w:t>
      </w:r>
      <w:r>
        <w:t>Beanstandungen in Bezug auf die ausgewiesenen Bonuspunkte sind innerhalb der Ausschlussfrist des Satzes 1 schriftlich unmittelbar gegenüber der Zusatzver</w:t>
      </w:r>
      <w:r>
        <w:softHyphen/>
        <w:t>sorgungskasse der bayerischen Gemeinden zu erheben.</w:t>
      </w:r>
    </w:p>
    <w:p w:rsidR="00BE1EFE" w:rsidRDefault="00BE1EFE" w:rsidP="008E30A5">
      <w:pPr>
        <w:pStyle w:val="StandardWeb"/>
        <w:jc w:val="left"/>
        <w:rPr>
          <w:rStyle w:val="Fett"/>
          <w:bCs/>
        </w:rPr>
      </w:pPr>
    </w:p>
    <w:p w:rsidR="00BE1EFE" w:rsidRDefault="00BE1EFE" w:rsidP="0054275E">
      <w:pPr>
        <w:pStyle w:val="StandardWeb"/>
        <w:autoSpaceDE w:val="0"/>
        <w:jc w:val="left"/>
      </w:pPr>
      <w:r>
        <w:rPr>
          <w:rStyle w:val="Fett"/>
          <w:bCs/>
        </w:rPr>
        <w:t>§ 22 Zahlung und Abfindung</w:t>
      </w:r>
    </w:p>
    <w:p w:rsidR="00BE1EFE" w:rsidRDefault="00BE1EFE">
      <w:pPr>
        <w:pStyle w:val="StandardWeb"/>
        <w:jc w:val="center"/>
      </w:pPr>
    </w:p>
    <w:p w:rsidR="00BE1EFE" w:rsidRDefault="00BE1EFE">
      <w:pPr>
        <w:pStyle w:val="StandardWeb"/>
      </w:pPr>
      <w:r>
        <w:t>(1) </w:t>
      </w:r>
      <w:r>
        <w:rPr>
          <w:rStyle w:val="kleinschrift"/>
        </w:rPr>
        <w:t>1</w:t>
      </w:r>
      <w:r>
        <w:t>Die Betriebsrenten werden monatlich im Voraus auf ein Girokonto der Betriebsrenten</w:t>
      </w:r>
      <w:r>
        <w:softHyphen/>
        <w:t xml:space="preserve">berechtigten innerhalb eines Mitgliedstaates der Europäischen Union überwiesen. </w:t>
      </w:r>
      <w:r>
        <w:rPr>
          <w:rStyle w:val="kleinschrift"/>
        </w:rPr>
        <w:t>2</w:t>
      </w:r>
      <w:r>
        <w:t xml:space="preserve">Die Kosten der Überweisung auf ein Konto im Inland, mit Ausnahme der Kosten für die Gutschrift, trägt die Zusatzversorgungskasse der bayerischen Gemeinden. </w:t>
      </w:r>
    </w:p>
    <w:p w:rsidR="00BE1EFE" w:rsidRDefault="00BE1EFE">
      <w:pPr>
        <w:pStyle w:val="StandardWeb"/>
      </w:pPr>
      <w:r>
        <w:rPr>
          <w:rStyle w:val="kleinschrift"/>
        </w:rPr>
        <w:t>3</w:t>
      </w:r>
      <w:r>
        <w:t>Besteht der Betriebsrentenanspruch nicht für einen vollen Kalendermonat, wird der Teil gezahlt, der auf den Anspruchszeitraum entfällt.</w:t>
      </w:r>
    </w:p>
    <w:p w:rsidR="00BE1EFE" w:rsidRDefault="00BE1EFE">
      <w:pPr>
        <w:pStyle w:val="StandardWeb"/>
      </w:pPr>
    </w:p>
    <w:p w:rsidR="00BE1EFE" w:rsidRDefault="00BE1EFE">
      <w:pPr>
        <w:pStyle w:val="StandardWeb"/>
      </w:pPr>
      <w:r>
        <w:t>(2) </w:t>
      </w:r>
      <w:r>
        <w:rPr>
          <w:rStyle w:val="kleinschrift"/>
        </w:rPr>
        <w:t>1</w:t>
      </w:r>
      <w:r>
        <w:t xml:space="preserve">Die Satzung der Zusatzversorgungskasse der bayerischen Gemeinden kann vorsehen, dass Betriebsrenten, die einen Monatsbetrag von bis zu 30 Euro nicht überschreiten, abgefunden werden. </w:t>
      </w:r>
      <w:r>
        <w:rPr>
          <w:rStyle w:val="kleinschrift"/>
        </w:rPr>
        <w:t>2</w:t>
      </w:r>
      <w:r>
        <w:t>Darüber hinaus kann die Abfindung der Betriebsrente ermöglicht werden, wenn die Kosten der Übermittlung der Betriebsrenten unverhältnismäßig hoch sind.</w:t>
      </w:r>
    </w:p>
    <w:p w:rsidR="00BE1EFE" w:rsidRDefault="00BE1EFE">
      <w:pPr>
        <w:pStyle w:val="StandardWeb"/>
        <w:jc w:val="center"/>
      </w:pPr>
    </w:p>
    <w:p w:rsidR="00BE1EFE" w:rsidRDefault="00BE1EFE" w:rsidP="0054275E">
      <w:pPr>
        <w:pStyle w:val="StandardWeb"/>
        <w:autoSpaceDE w:val="0"/>
        <w:jc w:val="left"/>
      </w:pPr>
      <w:r>
        <w:rPr>
          <w:rStyle w:val="Fett"/>
          <w:bCs/>
        </w:rPr>
        <w:t>§ 23 Ausschlussfristen</w:t>
      </w:r>
    </w:p>
    <w:p w:rsidR="00BE1EFE" w:rsidRDefault="00BE1EFE">
      <w:pPr>
        <w:pStyle w:val="StandardWeb"/>
        <w:jc w:val="center"/>
      </w:pPr>
    </w:p>
    <w:p w:rsidR="00BE1EFE" w:rsidRDefault="00BE1EFE" w:rsidP="002824F2">
      <w:pPr>
        <w:pStyle w:val="StandardWeb"/>
      </w:pPr>
      <w:r>
        <w:rPr>
          <w:rStyle w:val="kleinschrift"/>
        </w:rPr>
        <w:t>1</w:t>
      </w:r>
      <w:r>
        <w:t xml:space="preserve">Der Anspruch auf Betriebsrente für einen Zeitraum, der mehr als zwei Jahre vor dem Ersten des Monats liegt, in dem der Antrag bei der Zusatzversorgungskasse der bayerischen Gemeinden eingegangen ist, kann nicht mehr geltend gemacht werden (Ausschlussfrist). </w:t>
      </w:r>
      <w:r>
        <w:rPr>
          <w:rStyle w:val="kleinschrift"/>
        </w:rPr>
        <w:t>2</w:t>
      </w:r>
      <w:r>
        <w:t xml:space="preserve">Dem Antrag steht eine Mitteilung der/des Berechtigten gleich, die zu einem höheren Anspruch führt. </w:t>
      </w:r>
      <w:r>
        <w:rPr>
          <w:rStyle w:val="kleinschrift"/>
        </w:rPr>
        <w:t>3</w:t>
      </w:r>
      <w:r>
        <w:t xml:space="preserve">Die Beanstandung, die mitgeteilte laufende monatliche Betriebsrente, eine Rentennachzahlung, eine Abfindung, eine Beitragserstattung oder eine Rückzahlung sei nicht oder nicht in der mitgeteilten Höhe ausgezahlt worden, ist nur schriftlich und innerhalb einer Ausschlussfrist von einem Jahr zulässig; die Frist beginnt bei laufenden Betriebsrenten mit dem Ersten des Monats, für den die Betriebsrente zu zahlen ist, im Übrigen mit dem Zugang der Mitteilung über die entsprechende Leistung. </w:t>
      </w:r>
      <w:r>
        <w:rPr>
          <w:rStyle w:val="kleinschrift"/>
        </w:rPr>
        <w:t>4</w:t>
      </w:r>
      <w:r>
        <w:t>Auf die Ausschlussfrist ist in der Mitteilung über die Leistung hinzuweisen.</w:t>
      </w:r>
    </w:p>
    <w:p w:rsidR="00BE1EFE" w:rsidRDefault="00BE1EFE">
      <w:pPr>
        <w:pStyle w:val="StandardWeb"/>
        <w:jc w:val="center"/>
      </w:pPr>
    </w:p>
    <w:p w:rsidR="005766ED" w:rsidRDefault="005766ED">
      <w:pPr>
        <w:pStyle w:val="StandardWeb"/>
        <w:jc w:val="center"/>
      </w:pPr>
    </w:p>
    <w:p w:rsidR="005766ED" w:rsidRDefault="005766ED">
      <w:pPr>
        <w:pStyle w:val="StandardWeb"/>
        <w:jc w:val="center"/>
      </w:pPr>
    </w:p>
    <w:p w:rsidR="005766ED" w:rsidRDefault="005766ED">
      <w:pPr>
        <w:pStyle w:val="StandardWeb"/>
        <w:jc w:val="center"/>
      </w:pPr>
    </w:p>
    <w:p w:rsidR="00BE1EFE" w:rsidRDefault="00BE1EFE" w:rsidP="0054275E">
      <w:pPr>
        <w:pStyle w:val="StandardWeb"/>
        <w:autoSpaceDE w:val="0"/>
        <w:jc w:val="left"/>
      </w:pPr>
      <w:r>
        <w:rPr>
          <w:rStyle w:val="Fett"/>
          <w:bCs/>
        </w:rPr>
        <w:lastRenderedPageBreak/>
        <w:t>§ 24 Beitragserstattung</w:t>
      </w:r>
    </w:p>
    <w:p w:rsidR="00BE1EFE" w:rsidRDefault="00BE1EFE">
      <w:pPr>
        <w:pStyle w:val="StandardWeb"/>
        <w:jc w:val="center"/>
      </w:pPr>
    </w:p>
    <w:p w:rsidR="00BE1EFE" w:rsidRDefault="00BE1EFE">
      <w:pPr>
        <w:pStyle w:val="StandardWeb"/>
      </w:pPr>
      <w:r>
        <w:t>(1) </w:t>
      </w:r>
      <w:r>
        <w:rPr>
          <w:rStyle w:val="kleinschrift"/>
        </w:rPr>
        <w:t>1</w:t>
      </w:r>
      <w:r>
        <w:t>Die beitragsfrei Versicherten, die die Wartezeit (</w:t>
      </w:r>
      <w:hyperlink r:id="rId1510" w:history="1">
        <w:r w:rsidRPr="002D1F1D">
          <w:rPr>
            <w:rStyle w:val="Hyperlink"/>
          </w:rPr>
          <w:t>§ 6</w:t>
        </w:r>
      </w:hyperlink>
      <w:r>
        <w:t xml:space="preserve">) nicht erfüllt haben, können bis zur Vollendung ihres 69. Lebensjahres die Erstattung der von ihnen getragenen Beiträge beantragen. </w:t>
      </w:r>
      <w:r>
        <w:rPr>
          <w:rStyle w:val="kleinschrift"/>
        </w:rPr>
        <w:t>2</w:t>
      </w:r>
      <w:r>
        <w:t xml:space="preserve">Der Antrag auf Beitragserstattung gilt für alle von den Versicherten selbst getragenen Beiträge und kann nicht widerrufen werden. Rechte aus der Versicherung für Zeiten, für die Beiträge erstattet werden, erlöschen mit der Antragstellung. </w:t>
      </w:r>
      <w:r>
        <w:rPr>
          <w:rStyle w:val="kleinschrift"/>
        </w:rPr>
        <w:t>3</w:t>
      </w:r>
      <w:r>
        <w:t>Die Beiträge werden ohne Zinsen erstattet.</w:t>
      </w:r>
    </w:p>
    <w:p w:rsidR="00BE1EFE" w:rsidRDefault="00BE1EFE">
      <w:pPr>
        <w:pStyle w:val="StandardWeb"/>
      </w:pPr>
    </w:p>
    <w:p w:rsidR="00BE1EFE" w:rsidRDefault="00BE1EFE">
      <w:pPr>
        <w:pStyle w:val="StandardWeb"/>
      </w:pPr>
      <w:r>
        <w:t>(2) </w:t>
      </w:r>
      <w:r>
        <w:rPr>
          <w:rStyle w:val="kleinschrift"/>
        </w:rPr>
        <w:t>1</w:t>
      </w:r>
      <w:r>
        <w:t xml:space="preserve">Sterben Versicherte nach Antragstellung, aber vor Beitragserstattung, gehen die Ansprüche auf die Hinterbliebenen über, die betriebsrentenberechtigt sind. </w:t>
      </w:r>
      <w:r>
        <w:rPr>
          <w:rStyle w:val="kleinschrift"/>
        </w:rPr>
        <w:t>2</w:t>
      </w:r>
      <w:r>
        <w:t>Mit der Zahlung an einen der Hinterbliebenen erlischt der Anspruch der übrigen Berechtigten gegen die Zusatzversorgungskasse der bayerischen Gemeinden.</w:t>
      </w:r>
    </w:p>
    <w:p w:rsidR="00BE1EFE" w:rsidRDefault="00BE1EFE">
      <w:pPr>
        <w:pStyle w:val="StandardWeb"/>
      </w:pPr>
    </w:p>
    <w:p w:rsidR="00BE1EFE" w:rsidRDefault="00BE1EFE">
      <w:pPr>
        <w:pStyle w:val="StandardWeb"/>
      </w:pPr>
      <w:r>
        <w:t xml:space="preserve">(3) Beiträge im Sinne dieser Vorschrift sind </w:t>
      </w:r>
    </w:p>
    <w:p w:rsidR="00BE1EFE" w:rsidRDefault="00BE1EFE">
      <w:pPr>
        <w:pStyle w:val="StandardWeb"/>
      </w:pPr>
      <w:r>
        <w:t xml:space="preserve">a) die für die Zeit vor dem 1. Januar 1978 entrichteten Pflichtbeiträge einschließlich der Mitarbeiteranteile an den Erhöhungsbeträgen, </w:t>
      </w:r>
    </w:p>
    <w:p w:rsidR="00BE1EFE" w:rsidRDefault="00BE1EFE">
      <w:pPr>
        <w:pStyle w:val="StandardWeb"/>
      </w:pPr>
      <w:r>
        <w:t>b) die für die Zeit nach dem 31. Dezember 1977 entrichteten Mitarbeiteranteile an den Erhöhungsbeträgen,</w:t>
      </w:r>
    </w:p>
    <w:p w:rsidR="00BE1EFE" w:rsidRDefault="00BE1EFE">
      <w:pPr>
        <w:pStyle w:val="StandardWeb"/>
      </w:pPr>
      <w:r>
        <w:t>c) die für die Zeit nach dem 31. Dezember 1998 entrichteten Umlage-Beiträge der Beschäftigten.</w:t>
      </w:r>
    </w:p>
    <w:p w:rsidR="00BE1EFE" w:rsidRDefault="00BE1EFE">
      <w:pPr>
        <w:pStyle w:val="berschrift6"/>
      </w:pPr>
      <w:bookmarkStart w:id="1031" w:name="_Toc523926552"/>
      <w:r>
        <w:t>Abschnitt VII: Zuschüsse des Dienstgebers zu anderen Zukunftssicherungs</w:t>
      </w:r>
      <w:r>
        <w:rPr>
          <w:lang w:eastAsia="x-none"/>
        </w:rPr>
        <w:softHyphen/>
      </w:r>
      <w:r>
        <w:t>systemen</w:t>
      </w:r>
      <w:bookmarkEnd w:id="1031"/>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25 Zuschüsse des Dienstgebers zu anderen Zukunftssicherungssystemen</w:t>
      </w:r>
    </w:p>
    <w:p w:rsidR="00BE1EFE" w:rsidRPr="000B1AF8" w:rsidRDefault="00BE1EFE">
      <w:pPr>
        <w:pStyle w:val="StandardWeb"/>
        <w:jc w:val="center"/>
      </w:pPr>
    </w:p>
    <w:p w:rsidR="00BE1EFE" w:rsidRDefault="00BE1EFE">
      <w:pPr>
        <w:pStyle w:val="StandardWeb"/>
      </w:pPr>
      <w:r>
        <w:t>(1) </w:t>
      </w:r>
      <w:r>
        <w:rPr>
          <w:rStyle w:val="kleinschrift"/>
        </w:rPr>
        <w:t>1</w:t>
      </w:r>
      <w:r>
        <w:t xml:space="preserve">Für Beschäftigte, die als Mitglieder einer berufständischen Versicherung von der Versicherung in der gesetzlichen Rentenversicherung befreit sind, richtet sich die Beteiligung des Arbeitgebers am Beitrag zur berufständischen Versorgungseinrichtung nach </w:t>
      </w:r>
      <w:hyperlink r:id="rId1511" w:tgtFrame="_blank" w:history="1">
        <w:r>
          <w:rPr>
            <w:rStyle w:val="Hyperlink"/>
          </w:rPr>
          <w:t>§ 172a SGB VI</w:t>
        </w:r>
      </w:hyperlink>
      <w:r>
        <w:t xml:space="preserve">. </w:t>
      </w:r>
      <w:r>
        <w:rPr>
          <w:rStyle w:val="kleinschrift"/>
        </w:rPr>
        <w:t>2</w:t>
      </w:r>
      <w:r>
        <w:t xml:space="preserve">Pflichtversicherte, die nach </w:t>
      </w:r>
      <w:hyperlink r:id="rId1512" w:tgtFrame="_blank" w:history="1">
        <w:r>
          <w:rPr>
            <w:rStyle w:val="Hyperlink"/>
          </w:rPr>
          <w:t>§ 231 Absatz 1</w:t>
        </w:r>
      </w:hyperlink>
      <w:r>
        <w:t xml:space="preserve"> oder </w:t>
      </w:r>
      <w:hyperlink r:id="rId1513" w:tgtFrame="_blank" w:history="1">
        <w:r>
          <w:rPr>
            <w:rStyle w:val="Hyperlink"/>
          </w:rPr>
          <w:t>§ 231a SGB VI</w:t>
        </w:r>
      </w:hyperlink>
      <w:r>
        <w:t xml:space="preserve"> von der Versicherungspflicht in der gesetzlichen Rentenversicherung befreit und freiwillig in der gesetzlichen Rentenversicherung versichert sind oder die für sich und ihre Hinterbliebenen eine (befreiende) Lebensversicherung abgeschlossen haben oder die freiwillig im Versorgungswerk der Presse versichert sind, erhalten von ihrem Arbeitgeber auf schriftlichen Antrag für jeden Kalendermonat, für den ihnen Entgelt, Urlaubsentgelt oder Entgelt im Krankheitsfall zustehen, einen Zuschuss in Höhe der Hälfte des Betrages, der zu zahlen wäre, wenn sie in der gesetzlichen Rentenversicherung versichert wären, höchstens jedoch die Hälfte des Beitrages. </w:t>
      </w:r>
      <w:r>
        <w:rPr>
          <w:rStyle w:val="kleinschrift"/>
        </w:rPr>
        <w:t>3</w:t>
      </w:r>
      <w:r>
        <w:t xml:space="preserve">Beschäftigte, die freiwilliges Mitglied des Versorgungswerkes der Presse sind und die antragsgemäß (Anlage 2 Satz 2) von der Pflicht zur Versicherung in einer Zusatzversorgungseinrichtung befreit wurden, erhalten auf ihren Antrag für die Zeit, für die ohne die Befreiung die Pflicht zur Versicherung bestünde und für die ihnen Entgelt, Urlaubsentgelt oder Entgelt im Krankheitsfall zustehen, einen zweckgebundenen Zuschuss zu ihren Beiträgen zur Versicherung im Versorgungswerk der Presse. </w:t>
      </w:r>
      <w:r>
        <w:rPr>
          <w:rStyle w:val="kleinschrift"/>
        </w:rPr>
        <w:t>4</w:t>
      </w:r>
      <w:r>
        <w:t xml:space="preserve">Der Zuschuss beträgt die Hälfte des Beitrages, höchstens jedoch 4 v. H. des zusatzversorgungspflichtigen Entgelts. </w:t>
      </w:r>
    </w:p>
    <w:p w:rsidR="00BE1EFE" w:rsidRDefault="00BE1EFE">
      <w:pPr>
        <w:pStyle w:val="StandardWeb"/>
      </w:pPr>
      <w:r>
        <w:rPr>
          <w:rStyle w:val="kleinschrift"/>
        </w:rPr>
        <w:t>5</w:t>
      </w:r>
      <w:r>
        <w:t>Die Zuschüsse nach den Sätzen 1 und 2 dürfen insgesamt den Betrag nicht übersteigen, den der Dienstgeber zu zahlen hätte, wenn die Beschäftigten in der gesetzlichen Rentenversicherung pflichtversichert wären.</w:t>
      </w:r>
    </w:p>
    <w:p w:rsidR="00BE1EFE" w:rsidRDefault="00BE1EFE">
      <w:pPr>
        <w:pStyle w:val="StandardWeb"/>
      </w:pPr>
    </w:p>
    <w:p w:rsidR="00BE1EFE" w:rsidRDefault="00BE1EFE">
      <w:pPr>
        <w:pStyle w:val="StandardWeb"/>
      </w:pPr>
      <w:r>
        <w:t xml:space="preserve">(2) Im Falle der freiwilligen Versicherung in der gesetzlichen Rentenversicherung behält der Dienstgeber den von den Beschäftigten zu tragenden Teil des Beitrages von deren Bezügen </w:t>
      </w:r>
      <w:r>
        <w:lastRenderedPageBreak/>
        <w:t>ein und führt den Beitrag nach der Verordnung über die Zahlung von Beiträgen zur gesetzlichen Rentenversicherung ab.</w:t>
      </w:r>
    </w:p>
    <w:p w:rsidR="00BE1EFE" w:rsidRDefault="00BE1EFE">
      <w:pPr>
        <w:pStyle w:val="StandardWeb"/>
      </w:pPr>
    </w:p>
    <w:p w:rsidR="00BE1EFE" w:rsidRDefault="00BE1EFE">
      <w:pPr>
        <w:pStyle w:val="StandardWeb"/>
      </w:pPr>
      <w:r>
        <w:t>(3) </w:t>
      </w:r>
      <w:r>
        <w:rPr>
          <w:rStyle w:val="kleinschrift"/>
        </w:rPr>
        <w:t>1</w:t>
      </w:r>
      <w:r>
        <w:t xml:space="preserve">Verfügen die Beschäftigten ohne vorherige Zustimmung des Dienstgebers durch Abtretung und Verpfändung über ihre Lebensversicherung oder über die sich aus dem Zuschuss nach Absatz 1 Satz 3 ergebende Anwartschaft, wird der Zuschuss nach Absatz 1 Satz 2 bzw. Satz 3 nicht gewährt. </w:t>
      </w:r>
      <w:r>
        <w:rPr>
          <w:rStyle w:val="kleinschrift"/>
        </w:rPr>
        <w:t>2</w:t>
      </w:r>
      <w:r>
        <w:t>Der Zuschuss wird bis zu der in Absatz 1 bestimmten Höhe auch gewährt, wenn im Beitrag Mehrbeträge für Versicherungsleistungen bei Eintritt der vollen oder teilweisen Erwerbsminderung enthalten sind.</w:t>
      </w:r>
    </w:p>
    <w:p w:rsidR="00BE1EFE" w:rsidRDefault="00BE1EFE" w:rsidP="006923FC">
      <w:pPr>
        <w:pStyle w:val="StandardWeb"/>
      </w:pPr>
    </w:p>
    <w:p w:rsidR="00BE1EFE" w:rsidRDefault="00BE1EFE" w:rsidP="00FA13A1">
      <w:pPr>
        <w:pStyle w:val="berschrift5"/>
        <w:spacing w:before="0"/>
      </w:pPr>
      <w:bookmarkStart w:id="1032" w:name="_Toc453678151"/>
      <w:bookmarkStart w:id="1033" w:name="_Toc523926553"/>
      <w:r>
        <w:t>Zweiter Teil: Freiwillige Versicherung</w:t>
      </w:r>
      <w:bookmarkEnd w:id="1032"/>
      <w:bookmarkEnd w:id="1033"/>
    </w:p>
    <w:p w:rsidR="00BE1EFE" w:rsidRPr="00B76821" w:rsidRDefault="00BE1EFE" w:rsidP="00B76821">
      <w:pPr>
        <w:pStyle w:val="berschrift6"/>
        <w:keepNext w:val="0"/>
        <w:spacing w:before="0" w:after="0"/>
        <w:rPr>
          <w:rStyle w:val="Fett"/>
          <w:bCs w:val="0"/>
          <w:sz w:val="2"/>
        </w:rPr>
      </w:pPr>
    </w:p>
    <w:p w:rsidR="00BE1EFE" w:rsidRDefault="00BE1EFE" w:rsidP="002D13BE">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2D13BE">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rFonts w:ascii="ZWAdobeF" w:hAnsi="ZWAdobeF"/>
          <w:b/>
          <w:bCs/>
          <w:sz w:val="2"/>
          <w:szCs w:val="2"/>
        </w:rPr>
      </w:pPr>
    </w:p>
    <w:p w:rsidR="00BE1EFE" w:rsidRDefault="00BE1EFE" w:rsidP="002D13BE">
      <w:pPr>
        <w:pStyle w:val="h7"/>
        <w:spacing w:before="0" w:after="0"/>
        <w:jc w:val="left"/>
        <w:outlineLvl w:val="5"/>
        <w:rPr>
          <w:rStyle w:val="Fett"/>
          <w:rFonts w:ascii="ZWAdobeF" w:hAnsi="ZWAdobeF"/>
          <w:b/>
          <w:bCs/>
          <w:sz w:val="2"/>
          <w:szCs w:val="2"/>
        </w:rPr>
      </w:pPr>
    </w:p>
    <w:p w:rsidR="00BE1EFE" w:rsidRPr="00B76821" w:rsidRDefault="00BE1EFE" w:rsidP="00B76821">
      <w:pPr>
        <w:pStyle w:val="h8"/>
        <w:keepNext w:val="0"/>
        <w:spacing w:before="0" w:after="0"/>
        <w:outlineLvl w:val="5"/>
        <w:rPr>
          <w:rStyle w:val="Fett"/>
          <w:bCs/>
          <w:sz w:val="2"/>
        </w:rPr>
      </w:pPr>
    </w:p>
    <w:p w:rsidR="00BE1EFE" w:rsidRDefault="00BE1EFE" w:rsidP="002D13BE">
      <w:pPr>
        <w:pStyle w:val="StandardWeb"/>
        <w:autoSpaceDE w:val="0"/>
        <w:jc w:val="left"/>
      </w:pPr>
      <w:r>
        <w:rPr>
          <w:rStyle w:val="Fett"/>
          <w:bCs/>
        </w:rPr>
        <w:t>§ 26 Freiwillige Versicherung</w:t>
      </w:r>
    </w:p>
    <w:p w:rsidR="00BE1EFE" w:rsidRPr="000B1AF8" w:rsidRDefault="00BE1EFE">
      <w:pPr>
        <w:pStyle w:val="StandardWeb"/>
        <w:jc w:val="center"/>
      </w:pPr>
    </w:p>
    <w:p w:rsidR="00BE1EFE" w:rsidRDefault="00BE1EFE">
      <w:pPr>
        <w:pStyle w:val="StandardWeb"/>
      </w:pPr>
      <w:r>
        <w:t>(1) </w:t>
      </w:r>
      <w:r>
        <w:rPr>
          <w:rStyle w:val="kleinschrift"/>
        </w:rPr>
        <w:t>1</w:t>
      </w:r>
      <w:r>
        <w:t xml:space="preserve">Den Pflichtversicherten wird die Möglichkeit eröffnet, durch Entrichtung eigener Beiträge unter Inanspruchnahme der steuerlichen Förderung bei der Zusatzversorgungskasse der bayerischen Gemeinden nach deren Satzungsvorschriften eine zusätzliche kapitalgedeckte Altersvorsorge im Rahmen der betrieblichen Altersversorgung aufzubauen. </w:t>
      </w:r>
      <w:r>
        <w:rPr>
          <w:rStyle w:val="kleinschrift"/>
        </w:rPr>
        <w:t>2</w:t>
      </w:r>
      <w:r>
        <w:t>Nach Beendigung der Pflichtversicherung kann die freiwillige Versicherung – unabhängig davon, ob eine steuerliche Förderung möglich ist – längstens bis zum Eintritt des Versicherungsfalles (</w:t>
      </w:r>
      <w:hyperlink r:id="rId1514" w:history="1">
        <w:r w:rsidRPr="002D1F1D">
          <w:rPr>
            <w:rStyle w:val="Hyperlink"/>
          </w:rPr>
          <w:t>§ 5</w:t>
        </w:r>
      </w:hyperlink>
      <w:r>
        <w:t xml:space="preserve">) fortgesetzt werden. </w:t>
      </w:r>
      <w:r>
        <w:rPr>
          <w:rStyle w:val="kleinschrift"/>
        </w:rPr>
        <w:t>3</w:t>
      </w:r>
      <w:r>
        <w:t>Die Fortsetzung ist innerhalb einer Ausschlussfrist von drei Monaten nach Beendigung der Pflichtversicherung zu beantragen.</w:t>
      </w:r>
    </w:p>
    <w:p w:rsidR="00BE1EFE" w:rsidRDefault="00BE1EFE">
      <w:pPr>
        <w:pStyle w:val="StandardWeb"/>
      </w:pPr>
    </w:p>
    <w:p w:rsidR="00BE1EFE" w:rsidRDefault="00BE1EFE">
      <w:pPr>
        <w:pStyle w:val="StandardWeb"/>
      </w:pPr>
      <w:r>
        <w:t>(2) </w:t>
      </w:r>
      <w:r>
        <w:rPr>
          <w:rStyle w:val="kleinschrift"/>
        </w:rPr>
        <w:t>1</w:t>
      </w:r>
      <w:r>
        <w:t xml:space="preserve">Die eigenen Beiträge der Pflichtversicherten zur freiwilligen Versicherung werden entsprechend deren schriftlicher Ermächtigung vom Arbeitgeber aus dem Arbeitsentgelt an die Zusatzversorgungskasse der bayerischen Gemeinden abgeführt. </w:t>
      </w:r>
      <w:r>
        <w:rPr>
          <w:rStyle w:val="kleinschrift"/>
        </w:rPr>
        <w:t>2</w:t>
      </w:r>
      <w:r>
        <w:t>Der Arbeitgeber schuldet auch in Anbetracht von Absatz 5 keine eigenen Beiträge.</w:t>
      </w:r>
    </w:p>
    <w:p w:rsidR="00BE1EFE" w:rsidRDefault="00BE1EFE">
      <w:pPr>
        <w:pStyle w:val="StandardWeb"/>
      </w:pPr>
    </w:p>
    <w:p w:rsidR="00BE1EFE" w:rsidRDefault="00BE1EFE">
      <w:pPr>
        <w:pStyle w:val="StandardWeb"/>
      </w:pPr>
      <w:r>
        <w:t>(3) </w:t>
      </w:r>
      <w:r>
        <w:rPr>
          <w:rStyle w:val="kleinschrift"/>
        </w:rPr>
        <w:t>1</w:t>
      </w:r>
      <w:r>
        <w:t xml:space="preserve">Die freiwillige Versicherung kann in Anlehnung an das Punktemodell erfolgen. </w:t>
      </w:r>
      <w:r>
        <w:rPr>
          <w:rStyle w:val="kleinschrift"/>
        </w:rPr>
        <w:t>2</w:t>
      </w:r>
      <w:r>
        <w:t xml:space="preserve">Wahlweise kann sie auch durch fondsgebundene Rentenversicherung erfolgen, sofern die Zusatzversorgungskasse der bayerischen Gemeinden Entsprechendes anbietet. </w:t>
      </w:r>
      <w:r>
        <w:rPr>
          <w:rStyle w:val="kleinschrift"/>
        </w:rPr>
        <w:t>3</w:t>
      </w:r>
      <w:r>
        <w:t>Unbescha</w:t>
      </w:r>
      <w:r>
        <w:softHyphen/>
        <w:t xml:space="preserve">det etwaiger von der Zusatzversorgungskasse der bayerischen Gemeinden übernommener Zinsgarantien, haftet der Arbeitgeber nach </w:t>
      </w:r>
      <w:hyperlink r:id="rId1515" w:tgtFrame="_blank" w:history="1">
        <w:r>
          <w:rPr>
            <w:rStyle w:val="Hyperlink"/>
          </w:rPr>
          <w:t>§ 1 Absatz 2 Nr. 2 BetrAVG</w:t>
        </w:r>
      </w:hyperlink>
      <w:r>
        <w:t xml:space="preserve"> nur für den Erhalt der eingezahlten Beiträge, soweit sie nicht rechnungsmäßig für einen biometrischen Risikoaus</w:t>
      </w:r>
      <w:r>
        <w:softHyphen/>
        <w:t xml:space="preserve">gleich verbraucht wurden. </w:t>
      </w:r>
    </w:p>
    <w:p w:rsidR="00BE1EFE" w:rsidRDefault="00BE1EFE">
      <w:pPr>
        <w:pStyle w:val="StandardWeb"/>
      </w:pPr>
      <w:r>
        <w:rPr>
          <w:rStyle w:val="kleinschrift"/>
        </w:rPr>
        <w:t>4</w:t>
      </w:r>
      <w:r>
        <w:t>Das Nähere regelt die Satzung der Zusatzversorgungskasse der bayerischen Gemeinden.</w:t>
      </w:r>
    </w:p>
    <w:p w:rsidR="00BE1EFE" w:rsidRDefault="00BE1EFE">
      <w:pPr>
        <w:pStyle w:val="StandardWeb"/>
      </w:pPr>
    </w:p>
    <w:p w:rsidR="00BE1EFE" w:rsidRDefault="00BE1EFE">
      <w:pPr>
        <w:pStyle w:val="StandardWeb"/>
      </w:pPr>
      <w:r>
        <w:t>(4) </w:t>
      </w:r>
      <w:r>
        <w:rPr>
          <w:rStyle w:val="kleinschrift"/>
        </w:rPr>
        <w:t>1</w:t>
      </w:r>
      <w:r>
        <w:t>Die Beschäftigten behalten ihre Anwartschaft, wenn ihr Arbeitsverhältnis vor Eintritt des Versicherungsfalles (</w:t>
      </w:r>
      <w:hyperlink r:id="rId1516" w:history="1">
        <w:r w:rsidRPr="002D1F1D">
          <w:rPr>
            <w:rStyle w:val="Hyperlink"/>
          </w:rPr>
          <w:t>§ 5</w:t>
        </w:r>
      </w:hyperlink>
      <w:r>
        <w:t xml:space="preserve">) endet. </w:t>
      </w:r>
      <w:r>
        <w:rPr>
          <w:rStyle w:val="kleinschrift"/>
        </w:rPr>
        <w:t>2</w:t>
      </w:r>
      <w:r>
        <w:t xml:space="preserve">Eine Abfindung von Anwartschaften ist nur dann möglich, wenn der Beschäftigte die freiwillige Versicherung kündigt. </w:t>
      </w:r>
      <w:r>
        <w:rPr>
          <w:rStyle w:val="kleinschrift"/>
        </w:rPr>
        <w:t>3</w:t>
      </w:r>
      <w:r>
        <w:t>Im Rahmen dieser Abfindung erhält der Beschäftigte seine eingezahlten Beiträge abzüglich der durch die Satzung und die Allgemeinen Versicherungsbedingungen der freiwilligen Versicherung der Zusatzversorgungs</w:t>
      </w:r>
      <w:r>
        <w:softHyphen/>
        <w:t xml:space="preserve">einrichtung näher beschriebenen Abschläge zurück. </w:t>
      </w:r>
      <w:r>
        <w:rPr>
          <w:rStyle w:val="kleinschrift"/>
        </w:rPr>
        <w:t>4</w:t>
      </w:r>
      <w:r>
        <w:t>Die Beschäftigten können jedoch verlangen, dass der Barwert ihrer Anwartschaft auf eine andere Zusatzversorgungs</w:t>
      </w:r>
      <w:r>
        <w:softHyphen/>
        <w:t xml:space="preserve">einrichtung, auf die die bisherige Pflichtversicherung nach </w:t>
      </w:r>
      <w:hyperlink r:id="rId1517" w:history="1">
        <w:r w:rsidRPr="002D1F1D">
          <w:rPr>
            <w:rStyle w:val="Hyperlink"/>
          </w:rPr>
          <w:t>§ 4</w:t>
        </w:r>
      </w:hyperlink>
      <w:r>
        <w:t xml:space="preserve"> übergeleitet wird, oder auf ein Versorgungssystem einer überstaatlichen Einrichtung, mit der ein entsprechendes Abkommen besteht, zu übertragen ist, wenn die Versorgungszusage des neuen Arbeitgebers eine dem übertragenen Barwert wertmäßig entsprechende Zusage auf lebenslange Altersvorsorge umfasst. </w:t>
      </w:r>
      <w:r>
        <w:rPr>
          <w:rStyle w:val="kleinschrift"/>
        </w:rPr>
        <w:t>5</w:t>
      </w:r>
      <w:r>
        <w:t>Besteht bei einem Arbeitgeberwechsel die Pflichtversicherung bei der Zusatzver</w:t>
      </w:r>
      <w:r>
        <w:softHyphen/>
        <w:t xml:space="preserve">sorgungskasse der bayerischen Gemeinden fort, kann verlangt werden, dass die Versorgungszusage des neuen Arbeitgebers eine dem Barwert der bisherigen Anwartschaften wertmäßig entsprechende Zusage auf lebenslange Altersvorsorge umfasst. </w:t>
      </w:r>
      <w:r>
        <w:rPr>
          <w:rStyle w:val="kleinschrift"/>
        </w:rPr>
        <w:t>6</w:t>
      </w:r>
      <w:r>
        <w:t xml:space="preserve">Das Verlangen </w:t>
      </w:r>
      <w:r>
        <w:lastRenderedPageBreak/>
        <w:t xml:space="preserve">ist nur innerhalb einer Ausschlussfrist von sechs Monaten nach Beendigung des Arbeitsverhältnisses möglich. </w:t>
      </w:r>
      <w:r>
        <w:rPr>
          <w:rStyle w:val="kleinschrift"/>
        </w:rPr>
        <w:t>7</w:t>
      </w:r>
      <w:r>
        <w:t>Mit der Versorgungszusage durch den neuen Arbeitgeber erlischt die Verpflichtung des früheren Arbeitgebers.</w:t>
      </w:r>
    </w:p>
    <w:p w:rsidR="00BE1EFE" w:rsidRDefault="00BE1EFE">
      <w:pPr>
        <w:pStyle w:val="StandardWeb"/>
      </w:pPr>
    </w:p>
    <w:p w:rsidR="00BE1EFE" w:rsidRDefault="00BE1EFE">
      <w:pPr>
        <w:pStyle w:val="StandardWeb"/>
      </w:pPr>
      <w:r>
        <w:t>(5) Der Arbeitgeber kann zu einer freiwilligen Versicherung der Beschäftigten eigene Beiträge außerhalb einer Entgeltumwandlung leisten; Absätze 2 bis 4 gelten entsprechend.</w:t>
      </w:r>
    </w:p>
    <w:p w:rsidR="00BE1EFE" w:rsidRDefault="00BE1EFE">
      <w:pPr>
        <w:pStyle w:val="StandardWeb"/>
      </w:pPr>
    </w:p>
    <w:p w:rsidR="00BE1EFE" w:rsidRDefault="00BE1EFE" w:rsidP="0054275E">
      <w:pPr>
        <w:pStyle w:val="StandardWeb"/>
        <w:autoSpaceDE w:val="0"/>
        <w:jc w:val="left"/>
      </w:pPr>
      <w:r>
        <w:rPr>
          <w:rStyle w:val="Fett"/>
          <w:bCs/>
        </w:rPr>
        <w:t>§ 27 Verfahren</w:t>
      </w:r>
    </w:p>
    <w:p w:rsidR="00BE1EFE" w:rsidRDefault="00BE1EFE">
      <w:pPr>
        <w:pStyle w:val="StandardWeb"/>
        <w:jc w:val="center"/>
      </w:pPr>
    </w:p>
    <w:p w:rsidR="00BE1EFE" w:rsidRDefault="00BE1EFE">
      <w:pPr>
        <w:pStyle w:val="StandardWeb"/>
      </w:pPr>
      <w:r>
        <w:t>(1) Die Zusatzversorgungskasse der bayerischen Gemeinden hat die Beiträge, die im Rahmen der freiwilligen Versicherung entrichtet werden, einschließlich der Erträge auf einem gesonderten personenbezogenen Versicherungskonto getrennt von den sonstigen Einnahmen zu führen; umfasst sind auch Aufwendungen und Auszahlungen.</w:t>
      </w:r>
    </w:p>
    <w:p w:rsidR="00BE1EFE" w:rsidRDefault="00BE1EFE">
      <w:pPr>
        <w:pStyle w:val="StandardWeb"/>
      </w:pPr>
    </w:p>
    <w:p w:rsidR="00BE1EFE" w:rsidRDefault="00BE1EFE">
      <w:pPr>
        <w:pStyle w:val="StandardWeb"/>
      </w:pPr>
      <w:r>
        <w:t>(2) Die freiwillige Versicherung wird in einem eigenen Abrechnungsverband geführt. Die Einnahmen und Ausgaben einschließlich der Kapitalanlagen sind gesondert zu führen und zu verwalten.</w:t>
      </w:r>
    </w:p>
    <w:p w:rsidR="00BE1EFE" w:rsidRDefault="00BE1EFE">
      <w:pPr>
        <w:pStyle w:val="StandardWeb"/>
      </w:pPr>
    </w:p>
    <w:p w:rsidR="00BE1EFE" w:rsidRDefault="00BE1EFE">
      <w:pPr>
        <w:pStyle w:val="StandardWeb"/>
      </w:pPr>
      <w:r>
        <w:t>(3) </w:t>
      </w:r>
      <w:r>
        <w:rPr>
          <w:rStyle w:val="kleinschrift"/>
        </w:rPr>
        <w:t>1</w:t>
      </w:r>
      <w:r>
        <w:t xml:space="preserve">Die freiwillig Versicherten erhalten jeweils nach Ablauf des Kalenderjahres sowie bei Beendigung der freiwilligen Versicherung einen Nachweis mit den steuerlich vorgeschriebenen Angaben bzw. soweit keine steuerliche Förderung möglich ist, über die Höhe der geleisteten Beiträge sowie über Art und Umfang der bisher erworbenen Anwartschaften. </w:t>
      </w:r>
      <w:r>
        <w:rPr>
          <w:rStyle w:val="kleinschrift"/>
        </w:rPr>
        <w:t>2</w:t>
      </w:r>
      <w:r>
        <w:t xml:space="preserve">Eine unterbliebene oder nicht vollständige Abführung der Beiträge an die Zusatzversorgungskasse der bayerischen Gemeinden kann nur innerhalb einer Ausschlussfrist von sechs Monaten nach Zugang des Nachweises beanstandet werden. </w:t>
      </w:r>
      <w:r>
        <w:rPr>
          <w:rStyle w:val="kleinschrift"/>
        </w:rPr>
        <w:t>3</w:t>
      </w:r>
      <w:r>
        <w:t xml:space="preserve">Im Übrigen gelten die </w:t>
      </w:r>
      <w:hyperlink r:id="rId1518" w:history="1">
        <w:r>
          <w:rPr>
            <w:rStyle w:val="Hyperlink"/>
          </w:rPr>
          <w:t>§§ 20, 21 und 22 Absatz</w:t>
        </w:r>
        <w:r w:rsidRPr="002D1F1D">
          <w:rPr>
            <w:rStyle w:val="Hyperlink"/>
          </w:rPr>
          <w:t xml:space="preserve"> 1</w:t>
        </w:r>
      </w:hyperlink>
      <w:r>
        <w:t xml:space="preserve"> entsprechend.</w:t>
      </w:r>
    </w:p>
    <w:p w:rsidR="00BE1EFE" w:rsidRDefault="00BE1EFE" w:rsidP="00A33431">
      <w:pPr>
        <w:pStyle w:val="berschrift5"/>
      </w:pPr>
      <w:r>
        <w:br w:type="page"/>
      </w:r>
      <w:bookmarkStart w:id="1034" w:name="_Toc523926554"/>
      <w:r>
        <w:lastRenderedPageBreak/>
        <w:t>Dritter Teil: Übergangs- und Schlussvorschriften</w:t>
      </w:r>
      <w:bookmarkEnd w:id="1034"/>
    </w:p>
    <w:p w:rsidR="00BE1EFE" w:rsidRDefault="00BE1EFE">
      <w:pPr>
        <w:pStyle w:val="berschrift6"/>
      </w:pPr>
      <w:bookmarkStart w:id="1035" w:name="_Toc523926555"/>
      <w:r>
        <w:t>Abschnitt I: Übergangsregelungen zur Versicherungspflicht</w:t>
      </w:r>
      <w:bookmarkEnd w:id="1035"/>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xml:space="preserve">§ 28 Höherversicherte </w:t>
      </w:r>
    </w:p>
    <w:p w:rsidR="00BE1EFE" w:rsidRPr="000B1AF8" w:rsidRDefault="00BE1EFE">
      <w:pPr>
        <w:pStyle w:val="StandardWeb"/>
        <w:jc w:val="center"/>
      </w:pPr>
    </w:p>
    <w:p w:rsidR="00BE1EFE" w:rsidRDefault="00BE1EFE">
      <w:pPr>
        <w:pStyle w:val="StandardWeb"/>
      </w:pPr>
      <w:r>
        <w:rPr>
          <w:rStyle w:val="kleinschrift"/>
        </w:rPr>
        <w:t>1</w:t>
      </w:r>
      <w:r>
        <w:t xml:space="preserve">Die Beschäftigten, deren zusätzliche Alters- und Hinterbliebenenversorgung im Wege der Höherversicherung bis 31. Dezember 1997 durchgeführt wurde, sind weiterhin nicht zu versichern. </w:t>
      </w:r>
      <w:r>
        <w:rPr>
          <w:rStyle w:val="kleinschrift"/>
        </w:rPr>
        <w:t>2</w:t>
      </w:r>
      <w:r>
        <w:t>Der Arbeitgeber zahlt einen Zuschuss zur Verwendung für eine zusätzliche Alters- und Hinterbliebenenversorgung von 66,47 Euro monatlich.</w:t>
      </w:r>
    </w:p>
    <w:p w:rsidR="00BE1EFE" w:rsidRDefault="00BE1EFE">
      <w:pPr>
        <w:pStyle w:val="StandardWeb"/>
      </w:pPr>
    </w:p>
    <w:p w:rsidR="00BE1EFE" w:rsidRDefault="00BE1EFE" w:rsidP="0054275E">
      <w:pPr>
        <w:pStyle w:val="StandardWeb"/>
        <w:autoSpaceDE w:val="0"/>
        <w:jc w:val="left"/>
      </w:pPr>
      <w:r>
        <w:rPr>
          <w:rStyle w:val="Fett"/>
          <w:bCs/>
        </w:rPr>
        <w:t>§ 29 Von der Pflichtversicherung Befreite</w:t>
      </w:r>
    </w:p>
    <w:p w:rsidR="00BE1EFE" w:rsidRDefault="00BE1EFE">
      <w:pPr>
        <w:pStyle w:val="StandardWeb"/>
        <w:jc w:val="center"/>
      </w:pPr>
    </w:p>
    <w:p w:rsidR="00BE1EFE" w:rsidRDefault="00BE1EFE">
      <w:pPr>
        <w:pStyle w:val="StandardWeb"/>
      </w:pPr>
      <w:r>
        <w:t>(1) Beschäftigte, die am 31. Dezember 1966 im Arbeitsverhältnis gestanden haben, nach der zwischen ihrem Arbeitgeber und der Zusatzversorgungseinrichtung bestehenden Mitgliedschafts-/Beteiligungsvereinbarung nicht zu versichern waren und die keinen Antrag auf Versicherung bei dem Arbeitgeber gestellt haben, bleiben weiterhin von der Pflicht zur Versicherung befreit.</w:t>
      </w:r>
    </w:p>
    <w:p w:rsidR="00BE1EFE" w:rsidRDefault="00BE1EFE">
      <w:pPr>
        <w:pStyle w:val="StandardWeb"/>
      </w:pPr>
    </w:p>
    <w:p w:rsidR="00BE1EFE" w:rsidRDefault="00BE1EFE">
      <w:pPr>
        <w:pStyle w:val="StandardWeb"/>
      </w:pPr>
      <w:r>
        <w:t xml:space="preserve">(2) Beschäftigte, deren zusätzliche Alters- und Hinterbliebenenversorgung im Wege der Versicherung bei einem Lebensversicherungsunternehmen durchgeführt worden ist und die keinen Antrag auf Versicherung nach der im </w:t>
      </w:r>
      <w:hyperlink r:id="rId1519" w:history="1">
        <w:r>
          <w:rPr>
            <w:rStyle w:val="Hyperlink"/>
          </w:rPr>
          <w:t>§ 39 Absatz</w:t>
        </w:r>
        <w:r w:rsidRPr="002D1F1D">
          <w:rPr>
            <w:rStyle w:val="Hyperlink"/>
          </w:rPr>
          <w:t xml:space="preserve"> 3</w:t>
        </w:r>
      </w:hyperlink>
      <w:r>
        <w:t xml:space="preserve"> aufgeführten Regelung über eine zusätzliche Alters- und Hinterbliebenenversorgung gestellt haben, sind - entsprechend den bis zum In-Kraft-Treten dieser Versorgungsordnung geltenden Regelungen - weiterhin nicht bei der Zusatzversorgungskasse der bayerischen Gemeinden zu versichern.</w:t>
      </w:r>
    </w:p>
    <w:p w:rsidR="00BE1EFE" w:rsidRDefault="00BE1EFE">
      <w:pPr>
        <w:pStyle w:val="berschrift6"/>
      </w:pPr>
      <w:bookmarkStart w:id="1036" w:name="_Toc523926556"/>
      <w:r>
        <w:t>Abschnitt II: Übergangsregelungen für die Rentenberechtigten</w:t>
      </w:r>
      <w:bookmarkEnd w:id="1036"/>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30 Am 31. Dezember 2001 Versorgungsrentenberechtigte</w:t>
      </w:r>
    </w:p>
    <w:p w:rsidR="00BE1EFE" w:rsidRPr="000B1AF8" w:rsidRDefault="00BE1EFE">
      <w:pPr>
        <w:pStyle w:val="StandardWeb"/>
        <w:jc w:val="center"/>
      </w:pPr>
    </w:p>
    <w:p w:rsidR="00BE1EFE" w:rsidRDefault="00BE1EFE">
      <w:pPr>
        <w:pStyle w:val="StandardWeb"/>
      </w:pPr>
      <w:r>
        <w:t>(1) Die Versorgungsrenten, die sich ohne Berücksichtigung von Nichtzahlungs- und Ruhensregelungen ergeben, und die Ausgleichsbeträge nach dem bis zum 31. Dezember 2000 geltenden Zusatzversorgungsrecht werden für die am 31. Dezember 2001 Versorgungs</w:t>
      </w:r>
      <w:r>
        <w:softHyphen/>
        <w:t>rentenberechtigten und versorgungsrentenberechtigten Hinterbliebenen zum 31. Dezember 2001 festgestellt.</w:t>
      </w:r>
    </w:p>
    <w:p w:rsidR="00BE1EFE" w:rsidRDefault="00BE1EFE">
      <w:pPr>
        <w:pStyle w:val="StandardWeb"/>
      </w:pPr>
    </w:p>
    <w:p w:rsidR="00BE1EFE" w:rsidRDefault="00BE1EFE">
      <w:pPr>
        <w:pStyle w:val="StandardWeb"/>
      </w:pPr>
      <w:r>
        <w:t>(2) </w:t>
      </w:r>
      <w:r>
        <w:rPr>
          <w:rStyle w:val="kleinschrift"/>
        </w:rPr>
        <w:t>1</w:t>
      </w:r>
      <w:r>
        <w:t xml:space="preserve">Die nach Absatz 1 festgestellten Versorgungsrenten werden vorbehaltlich des Satzes 3 als Besitzstandsrenten weitergezahlt und entsprechend </w:t>
      </w:r>
      <w:r w:rsidRPr="008C14AA">
        <w:t>§ 11 Absatz 1</w:t>
      </w:r>
      <w:r>
        <w:t xml:space="preserve"> dynamisiert. </w:t>
      </w:r>
      <w:r>
        <w:rPr>
          <w:rStyle w:val="kleinschrift"/>
        </w:rPr>
        <w:t>2</w:t>
      </w:r>
      <w:r>
        <w:t xml:space="preserve">Die abbaubaren Ausgleichsbeträge werden jeweils in Höhe des Dynamisierungsgewinns abgebaut; die nicht abbaubaren Ausgleichsbeträge werden nicht dynamisiert. </w:t>
      </w:r>
      <w:r>
        <w:rPr>
          <w:rStyle w:val="kleinschrift"/>
        </w:rPr>
        <w:t>3</w:t>
      </w:r>
      <w:r>
        <w:t>Die am Tag vor In-Kraft-Treten dieser Versorgungsordnung geltenden Regelungen über die Nichtzahlung und das Ruhen sind entsprechend anzuwenden.</w:t>
      </w:r>
    </w:p>
    <w:p w:rsidR="00BE1EFE" w:rsidRDefault="00BE1EFE">
      <w:pPr>
        <w:pStyle w:val="StandardWeb"/>
      </w:pPr>
    </w:p>
    <w:p w:rsidR="00BE1EFE" w:rsidRDefault="00BE1EFE">
      <w:pPr>
        <w:pStyle w:val="StandardWeb"/>
      </w:pPr>
      <w:r>
        <w:t>(3) Es gelten folgende Maßgaben:</w:t>
      </w:r>
    </w:p>
    <w:p w:rsidR="00BE1EFE" w:rsidRDefault="00BE1EFE">
      <w:pPr>
        <w:pStyle w:val="StandardWeb"/>
      </w:pPr>
    </w:p>
    <w:p w:rsidR="00BE1EFE" w:rsidRDefault="00BE1EFE">
      <w:pPr>
        <w:pStyle w:val="StandardWeb"/>
      </w:pPr>
      <w:r>
        <w:t>a) </w:t>
      </w:r>
      <w:r>
        <w:rPr>
          <w:rStyle w:val="kleinschrift"/>
        </w:rPr>
        <w:t>1</w:t>
      </w:r>
      <w:r>
        <w:t xml:space="preserve">Neuberechnungen werden nur unter den Voraussetzungen des </w:t>
      </w:r>
      <w:r w:rsidRPr="008C14AA">
        <w:t>§ 11 Absatz 2</w:t>
      </w:r>
      <w:r>
        <w:t xml:space="preserve"> durchgeführt; zusätzliche Versorgungspunkte nach Satz 2 sind dabei zu berücksichtigen. </w:t>
      </w:r>
      <w:r>
        <w:rPr>
          <w:rStyle w:val="kleinschrift"/>
        </w:rPr>
        <w:t>2</w:t>
      </w:r>
      <w:r>
        <w:t xml:space="preserve">Soweit noch Zeiten vor dem 1. Januar 2002 zu berücksichtigen sind, wird eine Startgutschrift entsprechend den §§ 32 bis 34 berechnet; übersteigt der hiernach festgestellte Betrag den Betrag, der sich als Versorgungsrente am 31. Dezember 2001 ergeben hat bzw. ohne </w:t>
      </w:r>
      <w:r>
        <w:lastRenderedPageBreak/>
        <w:t>Nichtzahlungs- und Ruhensregelungen ergeben hätte, wird die Differenz durch den Messbetrag geteilt und dem Versorgungskonto (§ 8 Absatz 1) als Startgutschrift gutgeschrie</w:t>
      </w:r>
      <w:r>
        <w:softHyphen/>
        <w:t>ben.</w:t>
      </w:r>
    </w:p>
    <w:p w:rsidR="00BE1EFE" w:rsidRDefault="00BE1EFE">
      <w:pPr>
        <w:pStyle w:val="StandardWeb"/>
      </w:pPr>
      <w:r>
        <w:t>b</w:t>
      </w:r>
      <w:r w:rsidRPr="008C14AA">
        <w:t>) § 10 Absatz 3</w:t>
      </w:r>
      <w:r>
        <w:t xml:space="preserve"> und die </w:t>
      </w:r>
      <w:r w:rsidRPr="008C14AA">
        <w:t>§§ 12 bis</w:t>
      </w:r>
      <w:r>
        <w:t xml:space="preserve"> </w:t>
      </w:r>
      <w:r w:rsidRPr="008C14AA">
        <w:t>14</w:t>
      </w:r>
      <w:r>
        <w:t xml:space="preserve"> sowie </w:t>
      </w:r>
      <w:r w:rsidRPr="008C14AA">
        <w:t>20 bis 23</w:t>
      </w:r>
      <w:r>
        <w:t xml:space="preserve"> gelten entsprechend.</w:t>
      </w:r>
    </w:p>
    <w:p w:rsidR="00BE1EFE" w:rsidRDefault="00BE1EFE">
      <w:pPr>
        <w:pStyle w:val="StandardWeb"/>
      </w:pPr>
      <w:r>
        <w:t>c) </w:t>
      </w:r>
      <w:r>
        <w:rPr>
          <w:rStyle w:val="kleinschrift"/>
        </w:rPr>
        <w:t>3</w:t>
      </w:r>
      <w:r>
        <w:t>Hat die Versorgungsrente vor dem 1. Januar 2002 geendet und besteht die Möglichkeit einer erneuten Rentengewährung, ist die Versorgungsrente, die sich unter Außerachtlassung von Nichtzahlungs- und Ruhensregelungen und ohne Berücksichtigung eines Ausgleichs</w:t>
      </w:r>
      <w:r>
        <w:softHyphen/>
        <w:t xml:space="preserve">betrages (Absatz 1) am 31. Dezember 2001 ergeben hätte, durch den Messbetrag zu teilen und als Startgutschrift auf dem Versorgungskonto </w:t>
      </w:r>
      <w:r w:rsidRPr="008C14AA">
        <w:t>(§ 8 Absatz 1)</w:t>
      </w:r>
      <w:r>
        <w:t xml:space="preserve"> gutzuschreiben; im Übrigen gelten in diesen Fällen die Vorschriften des Punktemodells. </w:t>
      </w:r>
      <w:r>
        <w:rPr>
          <w:rStyle w:val="kleinschrift"/>
        </w:rPr>
        <w:t>4</w:t>
      </w:r>
      <w:r>
        <w:t>Satz 1 gilt entsprechend, wenn der Versicherungsfall vor dem 1. Januar 2002 eingetreten ist, die Versorgungsrente jedoch erst nach dem 1. Januar 2002 beginnen würde.</w:t>
      </w:r>
    </w:p>
    <w:p w:rsidR="00BE1EFE" w:rsidRDefault="00BE1EFE">
      <w:pPr>
        <w:pStyle w:val="StandardWeb"/>
      </w:pPr>
    </w:p>
    <w:p w:rsidR="00BE1EFE" w:rsidRDefault="00BE1EFE">
      <w:pPr>
        <w:pStyle w:val="StandardWeb"/>
      </w:pPr>
      <w:r>
        <w:t>(4) Stirbt eine unter Absatz 1 fallende Versorgungsrentenberechtigte/ein unter Absatz 1 fallender Versorgungsrentenberechtigter, gelten die Vorschriften des Punktemodells für Hinterbliebene entsprechend.</w:t>
      </w:r>
    </w:p>
    <w:p w:rsidR="00BE1EFE" w:rsidRDefault="00BE1EFE">
      <w:pPr>
        <w:pStyle w:val="StandardWeb"/>
      </w:pPr>
    </w:p>
    <w:p w:rsidR="00BE1EFE" w:rsidRDefault="00BE1EFE">
      <w:pPr>
        <w:pStyle w:val="StandardWeb"/>
      </w:pPr>
      <w:r>
        <w:t>(5) Die Absätze 1 bis 4 gelten für Rentenberechtigte entsprechend, deren Rente aus der Zusatzversorgung am 1. Januar 2002 beginnt.</w:t>
      </w:r>
    </w:p>
    <w:p w:rsidR="00BE1EFE" w:rsidRDefault="00BE1EFE">
      <w:pPr>
        <w:pStyle w:val="StandardWeb"/>
        <w:jc w:val="center"/>
      </w:pPr>
    </w:p>
    <w:p w:rsidR="00BE1EFE" w:rsidRDefault="00BE1EFE" w:rsidP="0054275E">
      <w:pPr>
        <w:pStyle w:val="StandardWeb"/>
        <w:autoSpaceDE w:val="0"/>
        <w:jc w:val="left"/>
      </w:pPr>
      <w:r>
        <w:rPr>
          <w:rStyle w:val="Fett"/>
          <w:bCs/>
        </w:rPr>
        <w:t>§ 31 Am 31. Dezember 2001 Versicherungsrentenberechtigte</w:t>
      </w:r>
    </w:p>
    <w:p w:rsidR="00BE1EFE" w:rsidRDefault="00BE1EFE">
      <w:pPr>
        <w:pStyle w:val="StandardWeb"/>
        <w:jc w:val="center"/>
      </w:pPr>
    </w:p>
    <w:p w:rsidR="00BE1EFE" w:rsidRDefault="00BE1EFE">
      <w:pPr>
        <w:pStyle w:val="StandardWeb"/>
      </w:pPr>
      <w:r>
        <w:t>(1) Für Versicherungsrentenberechtigte und versicherungsrentenberechtigte Hinterbliebene, deren Versicherungsrente spätestens am 31. Dezember 2001 begonnen hat, wird die am 31. Dezember 2001 maßgebende Versicherungsrente festgestellt.</w:t>
      </w:r>
    </w:p>
    <w:p w:rsidR="00BE1EFE" w:rsidRDefault="00BE1EFE">
      <w:pPr>
        <w:pStyle w:val="StandardWeb"/>
      </w:pPr>
    </w:p>
    <w:p w:rsidR="00BE1EFE" w:rsidRDefault="00BE1EFE">
      <w:pPr>
        <w:pStyle w:val="StandardWeb"/>
      </w:pPr>
      <w:r>
        <w:t xml:space="preserve">(2) Die nach Absatz 1 festgestellten Versicherungsrenten werden als Besitzstandsrenten weitergezahlt und entsprechend </w:t>
      </w:r>
      <w:r w:rsidRPr="008C14AA">
        <w:t>§ 11 Absatz 1</w:t>
      </w:r>
      <w:r>
        <w:t xml:space="preserve"> dynamisiert.</w:t>
      </w:r>
    </w:p>
    <w:p w:rsidR="00BE1EFE" w:rsidRDefault="00BE1EFE">
      <w:pPr>
        <w:pStyle w:val="StandardWeb"/>
      </w:pPr>
    </w:p>
    <w:p w:rsidR="00BE1EFE" w:rsidRDefault="00BE1EFE">
      <w:pPr>
        <w:pStyle w:val="StandardWeb"/>
      </w:pPr>
      <w:r>
        <w:t>(3) § 30 Absatz 3 bis 5 gilt entsprechend.</w:t>
      </w:r>
    </w:p>
    <w:p w:rsidR="00BE1EFE" w:rsidRDefault="00BE1EFE">
      <w:pPr>
        <w:pStyle w:val="StandardWeb"/>
      </w:pPr>
    </w:p>
    <w:p w:rsidR="00BE1EFE" w:rsidRDefault="00BE1EFE">
      <w:pPr>
        <w:pStyle w:val="StandardWeb"/>
      </w:pPr>
      <w:r>
        <w:t xml:space="preserve">(4) Die Absätze 1 bis 3 gelten für Leistungen nach der am Tag vor In-Kraft-Treten dieser Versorgungsordnung geltenden Sonderregelung für Mitarbeiter im Beitrittsgebiet (§ 66 a VersTV-G) und für Betriebsrenten nach </w:t>
      </w:r>
      <w:hyperlink r:id="rId1520" w:history="1">
        <w:r w:rsidRPr="00636C82">
          <w:rPr>
            <w:rStyle w:val="Hyperlink"/>
          </w:rPr>
          <w:t>§ 18 BetrAVG</w:t>
        </w:r>
      </w:hyperlink>
      <w:r>
        <w:t>, die spätestens am 31. Dezember 2001 begonnen haben, entsprechend.</w:t>
      </w:r>
    </w:p>
    <w:p w:rsidR="00BE1EFE" w:rsidRDefault="00BE1EFE">
      <w:pPr>
        <w:pStyle w:val="berschrift6"/>
      </w:pPr>
      <w:bookmarkStart w:id="1037" w:name="_Toc523926557"/>
      <w:r>
        <w:t>Abschnitt III: Übergangsregelungen für Anwartschaften der Versicherten</w:t>
      </w:r>
      <w:bookmarkEnd w:id="1037"/>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32 Grundsätze</w:t>
      </w:r>
    </w:p>
    <w:p w:rsidR="00BE1EFE" w:rsidRPr="000B1AF8" w:rsidRDefault="00BE1EFE">
      <w:pPr>
        <w:pStyle w:val="StandardWeb"/>
        <w:jc w:val="center"/>
      </w:pPr>
    </w:p>
    <w:p w:rsidR="00BE1EFE" w:rsidRDefault="00BE1EFE">
      <w:pPr>
        <w:pStyle w:val="StandardWeb"/>
      </w:pPr>
      <w:r>
        <w:t>(1) </w:t>
      </w:r>
      <w:r>
        <w:rPr>
          <w:rStyle w:val="kleinschrift"/>
        </w:rPr>
        <w:t>1</w:t>
      </w:r>
      <w:r>
        <w:t xml:space="preserve">Für die Versicherten werden die Anwartschaften (Startgutschriften) nach dem am 31. Dezember 2000 geltenden Recht der Zusatzversorgung entsprechend den §§ 33 und 34 ermittelt. </w:t>
      </w:r>
      <w:r>
        <w:rPr>
          <w:rStyle w:val="kleinschrift"/>
        </w:rPr>
        <w:t>2</w:t>
      </w:r>
      <w:r>
        <w:t>Die Anwartschaften nach Satz 1 werden ohne Berücksichtigung der Altersfaktoren in Versorgungspunkte umgerechnet, indem der Anwartschaftsbetrag durch den Messbetrag von 4 Euro geteilt wird; sie werden dem Versorgungskonto (</w:t>
      </w:r>
      <w:hyperlink r:id="rId1521" w:history="1">
        <w:r>
          <w:rPr>
            <w:rStyle w:val="Hyperlink"/>
          </w:rPr>
          <w:t>§ 8 Absatz</w:t>
        </w:r>
        <w:r w:rsidRPr="002D1F1D">
          <w:rPr>
            <w:rStyle w:val="Hyperlink"/>
          </w:rPr>
          <w:t xml:space="preserve"> 1</w:t>
        </w:r>
      </w:hyperlink>
      <w:r>
        <w:t>) ebenfalls gutge</w:t>
      </w:r>
      <w:r>
        <w:softHyphen/>
        <w:t xml:space="preserve">schrieben. </w:t>
      </w:r>
      <w:r>
        <w:rPr>
          <w:rStyle w:val="kleinschrift"/>
        </w:rPr>
        <w:t>3</w:t>
      </w:r>
      <w:r>
        <w:t xml:space="preserve">Eine Verzinsung findet vorbehaltlich des </w:t>
      </w:r>
      <w:hyperlink r:id="rId1522" w:history="1">
        <w:r w:rsidRPr="002D1F1D">
          <w:rPr>
            <w:rStyle w:val="Hyperlink"/>
          </w:rPr>
          <w:t>§ 19 Abs</w:t>
        </w:r>
        <w:r>
          <w:rPr>
            <w:rStyle w:val="Hyperlink"/>
          </w:rPr>
          <w:t>atz</w:t>
        </w:r>
        <w:r w:rsidRPr="002D1F1D">
          <w:rPr>
            <w:rStyle w:val="Hyperlink"/>
          </w:rPr>
          <w:t xml:space="preserve"> 1</w:t>
        </w:r>
      </w:hyperlink>
      <w:r>
        <w:t xml:space="preserve"> nicht statt.</w:t>
      </w:r>
    </w:p>
    <w:p w:rsidR="00BE1EFE" w:rsidRDefault="00BE1EFE">
      <w:pPr>
        <w:pStyle w:val="StandardWeb"/>
      </w:pPr>
    </w:p>
    <w:p w:rsidR="00BE1EFE" w:rsidRDefault="00BE1EFE">
      <w:pPr>
        <w:pStyle w:val="StandardWeb"/>
      </w:pPr>
      <w:r>
        <w:t>(2) </w:t>
      </w:r>
      <w:r>
        <w:rPr>
          <w:rStyle w:val="kleinschrift"/>
        </w:rPr>
        <w:t>1</w:t>
      </w:r>
      <w:r>
        <w:t xml:space="preserve">Das Jahr 2001 wird entsprechend dem Altersvorsorgeplan 2001 berücksichtigt; dies gilt auch für im Jahr 2001 eingetretene Rentenfälle. </w:t>
      </w:r>
      <w:r>
        <w:rPr>
          <w:rStyle w:val="kleinschrift"/>
        </w:rPr>
        <w:t>2</w:t>
      </w:r>
      <w:r>
        <w:t>Ist der Versicherungsfall der teilweisen oder vollen Erwerbsminderung im Jahr 2001 eingetreten, gilt Satz 1 mit der Maßgabe, dass die zusatzversorgungsrechtliche Umsetzung der Neuregelungen im gesetzlichen Erwerbs-minderungsrecht aus dem 38. Änderungs-TV zum VersTV-G vom 31. Oktober 2001 zu berücksichtigen ist.</w:t>
      </w:r>
    </w:p>
    <w:p w:rsidR="00BE1EFE" w:rsidRDefault="00BE1EFE">
      <w:pPr>
        <w:pStyle w:val="StandardWeb"/>
      </w:pPr>
    </w:p>
    <w:p w:rsidR="00BE1EFE" w:rsidRDefault="00BE1EFE">
      <w:pPr>
        <w:pStyle w:val="StandardWeb"/>
      </w:pPr>
      <w:r>
        <w:t xml:space="preserve">(3) Soweit in den §§ 33, 34 und </w:t>
      </w:r>
      <w:hyperlink r:id="rId1523" w:history="1">
        <w:r w:rsidRPr="002D1F1D">
          <w:rPr>
            <w:rStyle w:val="Hyperlink"/>
          </w:rPr>
          <w:t>38</w:t>
        </w:r>
      </w:hyperlink>
      <w:r>
        <w:t xml:space="preserve"> auf Vorschriften des bis zum 31. Dezember 2000 geltenden Zusatzversorgungsrechts verwiesen wird, erfolgt dies durch Benennung der bisherigen entsprechenden Vorschriften des VersTV-G.</w:t>
      </w:r>
    </w:p>
    <w:p w:rsidR="00BE1EFE" w:rsidRDefault="00BE1EFE">
      <w:pPr>
        <w:pStyle w:val="StandardWeb"/>
      </w:pPr>
    </w:p>
    <w:p w:rsidR="00BE1EFE" w:rsidRDefault="00BE1EFE">
      <w:pPr>
        <w:pStyle w:val="StandardWeb"/>
      </w:pPr>
      <w:r>
        <w:t>(4) </w:t>
      </w:r>
      <w:r>
        <w:rPr>
          <w:rStyle w:val="kleinschrift"/>
        </w:rPr>
        <w:t>1</w:t>
      </w:r>
      <w:r>
        <w:t xml:space="preserve">Für die Berechnung der Anwartschaften sind, soweit jeweils erforderlich, die Rechengrößen (Entgelt, Gesamtbeschäftigungsquotient, Steuertabelle, Sozialversicherungs-beiträge, Familienstand u. a.) vom 31. Dezember 2001 maßgebend; soweit gesamtver-sorgungsfähiges Entgelt zu berücksichtigen ist, ergibt sich dieses aus den entsprechenden Kalenderjahren vor dem 1. Januar 2002; dabei bleibt die Dynamisierung zum 1. Januar 2002 unberücksichtigt. </w:t>
      </w:r>
      <w:r>
        <w:rPr>
          <w:rStyle w:val="kleinschrift"/>
        </w:rPr>
        <w:t>2</w:t>
      </w:r>
      <w:r>
        <w:t xml:space="preserve">Für die Rentenberechnung nach </w:t>
      </w:r>
      <w:hyperlink r:id="rId1524" w:tgtFrame="_blank" w:history="1">
        <w:r>
          <w:rPr>
            <w:rStyle w:val="Hyperlink"/>
          </w:rPr>
          <w:t>§ 18 Absatz 2 BetrAVG</w:t>
        </w:r>
      </w:hyperlink>
      <w:r>
        <w:t xml:space="preserve"> ist das am 31. Dezember 2001 geltende Rentenrecht maßgebend (</w:t>
      </w:r>
      <w:r w:rsidRPr="009F21D1">
        <w:t>Anlage 4 Nummer 5 Satz 2</w:t>
      </w:r>
      <w:r>
        <w:t>).</w:t>
      </w:r>
    </w:p>
    <w:p w:rsidR="00BE1EFE" w:rsidRDefault="00BE1EFE">
      <w:pPr>
        <w:pStyle w:val="StandardWeb"/>
      </w:pPr>
    </w:p>
    <w:p w:rsidR="00BE1EFE" w:rsidRDefault="00BE1EFE">
      <w:pPr>
        <w:pStyle w:val="StandardWeb"/>
      </w:pPr>
      <w:r>
        <w:t>(5) </w:t>
      </w:r>
      <w:r>
        <w:rPr>
          <w:rStyle w:val="kleinschrift"/>
        </w:rPr>
        <w:t>1</w:t>
      </w:r>
      <w:r>
        <w:t xml:space="preserve">Beanstandungen gegen die mitgeteilte Startgutschrift sind innerhalb einer Ausschlussfrist von sechs Monaten nach Zugang des Nachweises der Zusatzversorgungskasse der bayerischen Gemeinden schriftlich unmittelbar gegenüber der Zusatzversorgungskasse der bayerischen Gemeinden zu erheben. </w:t>
      </w:r>
      <w:r>
        <w:rPr>
          <w:rStyle w:val="kleinschrift"/>
        </w:rPr>
        <w:t>2</w:t>
      </w:r>
      <w:r>
        <w:t>Auf die Ausschlussfrist ist in dem Nachweis hinzuweisen.</w:t>
      </w:r>
    </w:p>
    <w:p w:rsidR="00BE1EFE" w:rsidRDefault="00BE1EFE">
      <w:pPr>
        <w:pStyle w:val="StandardWeb"/>
      </w:pPr>
    </w:p>
    <w:p w:rsidR="00BE1EFE" w:rsidRDefault="00BE1EFE">
      <w:pPr>
        <w:pStyle w:val="StandardWeb"/>
      </w:pPr>
      <w:r>
        <w:t>(6) </w:t>
      </w:r>
      <w:r>
        <w:rPr>
          <w:rStyle w:val="kleinschrift"/>
        </w:rPr>
        <w:t>1</w:t>
      </w:r>
      <w:r w:rsidRPr="004151CD">
        <w:t xml:space="preserve">Soweit die Summe aus der Startgutschrift ohne Berücksichtigung des § 33 Absatz 1 Satz 3, dem Zuschlag zur Startgutschrift nach § 33 Absatz 1a sowie dem Betrag, der nach § 33 Absatz 3a als zusätzliche Startgutschrift ermittelt wurde, die Höhe der Anwartschaft nach § 33 Absatz 1 erreicht oder übersteigt, verbleibt es bei der bereits mitgeteilten Startgutschrift. </w:t>
      </w:r>
      <w:r>
        <w:rPr>
          <w:rStyle w:val="kleinschrift"/>
        </w:rPr>
        <w:t>2</w:t>
      </w:r>
      <w:r w:rsidRPr="004151CD">
        <w:t>Einer gesonderten Mi</w:t>
      </w:r>
      <w:r>
        <w:t>tteilung durch die Zusatzversorgungs</w:t>
      </w:r>
      <w:r w:rsidRPr="004151CD">
        <w:t>kasse der bayerischen Gemeinden bedarf es in diesen Fällen nicht, es sei denn es liegt eine Beanstandung nach Absatz 5</w:t>
      </w:r>
      <w:r>
        <w:t xml:space="preserve"> vor oder die Zusatzversorgungs</w:t>
      </w:r>
      <w:r w:rsidRPr="004151CD">
        <w:t xml:space="preserve">kasse der bayerischen Gemeinden hat auf die Beanstandung der Startgutschriften verzichtet. </w:t>
      </w:r>
      <w:r>
        <w:rPr>
          <w:rStyle w:val="kleinschrift"/>
        </w:rPr>
        <w:t>3</w:t>
      </w:r>
      <w:r w:rsidRPr="004151CD">
        <w:t>Im Übrigen übermittelt die Zusatzversorgungskasse der bayerischen Gemeinden eine neue Mitteilung übe</w:t>
      </w:r>
      <w:r>
        <w:t>r die Höhe der Startgutschrift.</w:t>
      </w:r>
    </w:p>
    <w:p w:rsidR="00BE1EFE" w:rsidRDefault="00BE1EFE">
      <w:pPr>
        <w:pStyle w:val="StandardWeb"/>
        <w:jc w:val="center"/>
        <w:rPr>
          <w:b/>
          <w:bCs/>
        </w:rPr>
      </w:pPr>
    </w:p>
    <w:p w:rsidR="00BE1EFE" w:rsidRDefault="00BE1EFE" w:rsidP="0054275E">
      <w:pPr>
        <w:pStyle w:val="StandardWeb"/>
        <w:autoSpaceDE w:val="0"/>
        <w:jc w:val="left"/>
      </w:pPr>
      <w:r>
        <w:rPr>
          <w:rStyle w:val="Fett"/>
          <w:bCs/>
        </w:rPr>
        <w:t>§ 33 Höhe der Anwartschaften für am 31. Dezember 2001 schon und am 1. Januar 2002 noch Pflichtversicherte</w:t>
      </w:r>
    </w:p>
    <w:p w:rsidR="00BE1EFE" w:rsidRDefault="00BE1EFE">
      <w:pPr>
        <w:pStyle w:val="StandardWeb"/>
        <w:jc w:val="center"/>
      </w:pPr>
    </w:p>
    <w:p w:rsidR="00BE1EFE" w:rsidRDefault="00BE1EFE" w:rsidP="004151CD">
      <w:pPr>
        <w:pStyle w:val="StandardWeb"/>
      </w:pPr>
      <w:r>
        <w:t>(1) </w:t>
      </w:r>
      <w:r>
        <w:rPr>
          <w:rStyle w:val="kleinschrift"/>
        </w:rPr>
        <w:t>1</w:t>
      </w:r>
      <w:r>
        <w:t xml:space="preserve">Die Anwartschaften der am 31. Dezember 2001 schon und am 1. Januar 2002 noch Pflichtversicherten berechnen sich nach </w:t>
      </w:r>
      <w:hyperlink r:id="rId1525" w:tgtFrame="_blank" w:history="1">
        <w:r>
          <w:rPr>
            <w:rStyle w:val="Hyperlink"/>
          </w:rPr>
          <w:t>§ 18 Absatz 2 BetrAVG</w:t>
        </w:r>
      </w:hyperlink>
      <w:r>
        <w:t xml:space="preserve">, soweit sich aus Absatz 2 nichts anderes ergibt. </w:t>
      </w:r>
      <w:r>
        <w:rPr>
          <w:rStyle w:val="kleinschrift"/>
        </w:rPr>
        <w:t>2</w:t>
      </w:r>
      <w:r>
        <w:t xml:space="preserve">Satz 1 gilt entsprechend für Beschäftigte, die nach den am 31. Dezember 2000 geltenden Vorschriften der Zusatzversorgungskasse der bayerischen Gemeinden als pflichtversichert gelten. </w:t>
      </w:r>
      <w:r>
        <w:rPr>
          <w:rStyle w:val="kleinschrift"/>
        </w:rPr>
        <w:t>3</w:t>
      </w:r>
      <w:r>
        <w:t xml:space="preserve">Bei Anwendung von Satz 1 ist an Stelle des Faktors von 2,25 v. H. nach </w:t>
      </w:r>
      <w:hyperlink r:id="rId1526" w:history="1">
        <w:r w:rsidRPr="004151CD">
          <w:rPr>
            <w:rStyle w:val="Hyperlink"/>
          </w:rPr>
          <w:t>§ 18 Absatz 2 Nr. 1 Satz 1 BetrAVG</w:t>
        </w:r>
      </w:hyperlink>
      <w:r>
        <w:t xml:space="preserve"> der Faktor zu berücksichtigen, der sich ergibt indem man 100 v.H. durch die Zeit in Jahren vom erstmaligen Beginn der Pflichtversicherung bis zum Ende des Monats, in dem das 65. Lebensjahr vollendet wird, teilt; der Faktor beträgt jedoch mindestens 2,25 v. H. und höchstens 2,5 v. H.</w:t>
      </w:r>
    </w:p>
    <w:p w:rsidR="00BE1EFE" w:rsidRPr="004151CD" w:rsidRDefault="00BE1EFE" w:rsidP="004151CD">
      <w:pPr>
        <w:pStyle w:val="StandardWeb"/>
        <w:rPr>
          <w:sz w:val="12"/>
          <w:szCs w:val="12"/>
        </w:rPr>
      </w:pPr>
      <w:r w:rsidRPr="004151CD">
        <w:rPr>
          <w:sz w:val="12"/>
          <w:szCs w:val="12"/>
        </w:rPr>
        <w:t>Anmerkung zu Absatz 1 Satz 3:</w:t>
      </w:r>
    </w:p>
    <w:p w:rsidR="00BE1EFE" w:rsidRPr="004151CD" w:rsidRDefault="00BE1EFE" w:rsidP="004151CD">
      <w:pPr>
        <w:pStyle w:val="StandardWeb"/>
        <w:rPr>
          <w:sz w:val="12"/>
          <w:szCs w:val="12"/>
        </w:rPr>
      </w:pPr>
      <w:r w:rsidRPr="004151CD">
        <w:rPr>
          <w:sz w:val="12"/>
          <w:szCs w:val="12"/>
        </w:rPr>
        <w:t>1Bei Anwendung von Absatz 1 Satz 3 werden Teilmonate ermittelt, indem die Pflichtversicherungszeit unabhängig von der tatsächlichen Anzahl der Tage des betreffenden Monats durch 30 dividiert wird. 2Aus der Summe der (Teil-)Monate werden die Jahre der Pflichtversicherung berechnet. 3Die sich nach Satz 1 und 2 ergebenden Werte werden jeweils auf zwei Nachkommastellen gemeinüblich gerundet. 4Der sich durch die Division mit derzeit in Jahren ergebende Faktor wird auf vier Nachkommastellen gemeinüblich gerundet.</w:t>
      </w:r>
    </w:p>
    <w:p w:rsidR="00BE1EFE" w:rsidRDefault="00BE1EFE">
      <w:pPr>
        <w:pStyle w:val="StandardWeb"/>
      </w:pPr>
    </w:p>
    <w:p w:rsidR="00BE1EFE" w:rsidRDefault="00BE1EFE">
      <w:pPr>
        <w:pStyle w:val="StandardWeb"/>
      </w:pPr>
      <w:r>
        <w:t>(1a) </w:t>
      </w:r>
      <w:r>
        <w:rPr>
          <w:rStyle w:val="kleinschrift"/>
        </w:rPr>
        <w:t>1</w:t>
      </w:r>
      <w:r>
        <w:t xml:space="preserve">Bei Beschäftigten, deren Anwartschaft nach Absatz 1 (rentenferne Jahrgänge) berechnet wurde, wird auch ermittelt, welche Anwartschaft sich bei einer Berechnung nach </w:t>
      </w:r>
      <w:hyperlink r:id="rId1527" w:tgtFrame="_blank" w:history="1">
        <w:r>
          <w:rPr>
            <w:rStyle w:val="Hyperlink"/>
          </w:rPr>
          <w:t xml:space="preserve">§ 18 Absatz 2 BetrAVG </w:t>
        </w:r>
      </w:hyperlink>
      <w:r>
        <w:t xml:space="preserve">unter Berücksichtigung folgender Maßgaben ergeben würde: </w:t>
      </w:r>
    </w:p>
    <w:p w:rsidR="00BE1EFE" w:rsidRDefault="00BE1EFE" w:rsidP="0097570E">
      <w:pPr>
        <w:pStyle w:val="StandardWeb"/>
      </w:pPr>
      <w:r>
        <w:t>1. </w:t>
      </w:r>
      <w:r>
        <w:rPr>
          <w:rStyle w:val="kleinschrift"/>
        </w:rPr>
        <w:t>1</w:t>
      </w:r>
      <w:r>
        <w:t xml:space="preserve">Anstelle des Vomhundertsatzes nach </w:t>
      </w:r>
      <w:hyperlink r:id="rId1528" w:tgtFrame="_blank" w:history="1">
        <w:r>
          <w:rPr>
            <w:rStyle w:val="Hyperlink"/>
          </w:rPr>
          <w:t xml:space="preserve">§ 18 Absatz 2 Nr. 1 Satz 1 BetrAVG </w:t>
        </w:r>
      </w:hyperlink>
      <w:r>
        <w:t xml:space="preserve">wird ein Unverfallbarkeitsfaktor entsprechend </w:t>
      </w:r>
      <w:hyperlink r:id="rId1529" w:tgtFrame="_blank" w:history="1">
        <w:r>
          <w:rPr>
            <w:rStyle w:val="Hyperlink"/>
          </w:rPr>
          <w:t>§ 2 Absatz 1 Satz 1 BetrAVG</w:t>
        </w:r>
      </w:hyperlink>
      <w:r>
        <w:t xml:space="preserve"> errechnet. </w:t>
      </w:r>
      <w:r>
        <w:rPr>
          <w:rStyle w:val="kleinschrift"/>
        </w:rPr>
        <w:t>2</w:t>
      </w:r>
      <w:r>
        <w:t xml:space="preserve">Dieser wird ermittelt aus dem Verhältnis der Pflichtversicherungszeit vom Beginn der Pflichtversicherung bis zum 31. Dezember 2001 zu der Zeit vom Beginn der Pflichtversicherung bis zum Ablauf </w:t>
      </w:r>
      <w:r>
        <w:lastRenderedPageBreak/>
        <w:t xml:space="preserve">des Monats, in dem das 65. Lebensjahr vollendet wird. </w:t>
      </w:r>
      <w:r>
        <w:rPr>
          <w:rStyle w:val="kleinschrift"/>
        </w:rPr>
        <w:t>3</w:t>
      </w:r>
      <w:r>
        <w:t>Der sich danach ergebende Vomhundertsatz wird auf zwei Stellen nach dem Komma gemeinüblich gerundet und um 7,5 Prozentpunkte vermindert.</w:t>
      </w:r>
    </w:p>
    <w:p w:rsidR="00BE1EFE" w:rsidRDefault="00BE1EFE" w:rsidP="0097570E">
      <w:pPr>
        <w:pStyle w:val="StandardWeb"/>
      </w:pPr>
      <w:r>
        <w:t>2. </w:t>
      </w:r>
      <w:r>
        <w:rPr>
          <w:rStyle w:val="kleinschrift"/>
        </w:rPr>
        <w:t>1</w:t>
      </w:r>
      <w:r>
        <w:t xml:space="preserve">Ist der nach Nummer 1 Satz 3 ermittelte Vomhundertsatz höher als der bisherige Vomhundertsatz nach </w:t>
      </w:r>
      <w:hyperlink r:id="rId1530" w:tgtFrame="_blank" w:history="1">
        <w:r>
          <w:rPr>
            <w:rStyle w:val="Hyperlink"/>
          </w:rPr>
          <w:t>§ 18 Absatz 2 Nummer 1 Satz 1 BetrAVG</w:t>
        </w:r>
      </w:hyperlink>
      <w:r>
        <w:t xml:space="preserve">, wird für die Voll-Leistung nach </w:t>
      </w:r>
      <w:hyperlink r:id="rId1531" w:tgtFrame="_blank" w:history="1">
        <w:r>
          <w:rPr>
            <w:rStyle w:val="Hyperlink"/>
          </w:rPr>
          <w:t>§ 18 Absatz 2 BetrAVG</w:t>
        </w:r>
      </w:hyperlink>
      <w:r>
        <w:t xml:space="preserve"> ein individueller Brutto- und Nettoversorgungssatz nach § 23 Absatz 2 und 2b VersTV-G ermittelt. </w:t>
      </w:r>
      <w:r>
        <w:rPr>
          <w:rStyle w:val="kleinschrift"/>
        </w:rPr>
        <w:t>2</w:t>
      </w:r>
      <w:r>
        <w:t>Als gesamtversorgungsfähige Zeit werden dabei berücksichtigt</w:t>
      </w:r>
    </w:p>
    <w:p w:rsidR="00BE1EFE" w:rsidRDefault="00BE1EFE" w:rsidP="0097570E">
      <w:pPr>
        <w:pStyle w:val="StandardWeb"/>
      </w:pPr>
      <w:r>
        <w:t>a) die bis zum 31. Dezember 2001 erreichten Pflichtversicherungsmonate zuzüglich der Monate vom 1. Januar 2002 bis zum Ablauf des Monats, in dem das 65. Lebensjahr vollendet wird, und</w:t>
      </w:r>
    </w:p>
    <w:p w:rsidR="00BE1EFE" w:rsidRDefault="00BE1EFE" w:rsidP="0097570E">
      <w:pPr>
        <w:pStyle w:val="StandardWeb"/>
      </w:pPr>
      <w:r>
        <w:t>b) die Monate ab Vollendung des 17. Lebensjahres bis zum 31. Dezember 2001 abzüglich der Pflichtversicherungsmonate bis zum 31. Dezember 2001 zur Hälfte.</w:t>
      </w:r>
    </w:p>
    <w:p w:rsidR="00BE1EFE" w:rsidRDefault="00BE1EFE" w:rsidP="0097570E">
      <w:pPr>
        <w:pStyle w:val="StandardWeb"/>
      </w:pPr>
      <w:r>
        <w:rPr>
          <w:rStyle w:val="kleinschrift"/>
        </w:rPr>
        <w:t>3</w:t>
      </w:r>
      <w:r>
        <w:t xml:space="preserve">Für Beschäftigte, für die der Umlagesatz des Abrechnungsverbandes Ost der VBL maß-gebend war und die nur Pflichtversicherungszeiten in der Zusatzversorgung nach dem 31. Dezember 1996 haben, gilt Satz 2 Buchstabe b mit der Maßgabe, dass für die Zeit vor dem 1. Januar 1997 höchstens 75 Monate zur Hälfte berücksichtigt werden. </w:t>
      </w:r>
      <w:r>
        <w:rPr>
          <w:rStyle w:val="kleinschrift"/>
        </w:rPr>
        <w:t>4</w:t>
      </w:r>
      <w:r>
        <w:t>Bei Anwendung des § 23 Absatz 2 Satz 5 VersTV-G gilt als Eintritt des Versicherungsfalls der Erste des Kalendermonats nach Vollendung des 65. Lebensjahres; als gesamtversorgungsfähige Zeit im Sinne des § 23 Absatz 1 VersTV-G sind die Zeiten nach Satz 2 Buchstabe a zu berücksichtigen.</w:t>
      </w:r>
    </w:p>
    <w:p w:rsidR="00BE1EFE" w:rsidRDefault="00BE1EFE">
      <w:pPr>
        <w:pStyle w:val="StandardWeb"/>
      </w:pPr>
      <w:r>
        <w:rPr>
          <w:rStyle w:val="kleinschrift"/>
        </w:rPr>
        <w:t>2</w:t>
      </w:r>
      <w:r>
        <w:t xml:space="preserve">Ist die unter Berücksichtigung der Maßgaben nach den Nummern 1 und 2 berechnete Anwartschaft höher als die Anwartschaft nach Absatz 1, wird der Unterschiedsbetrag zwischen diesen beiden Anwartschaften ermittelt und als Zuschlag zur Anwartschaft nach Absatz 1 berücksichtigt. </w:t>
      </w:r>
      <w:r>
        <w:rPr>
          <w:rStyle w:val="kleinschrift"/>
        </w:rPr>
        <w:t>3</w:t>
      </w:r>
      <w:r>
        <w:t>Der Zuschlag vermindert sich um den Betrag, der bereits nach Absatz 3a als zusätzliche Startgutschrift ermittelt wurde.</w:t>
      </w:r>
    </w:p>
    <w:p w:rsidR="00BE1EFE" w:rsidRDefault="00BE1EFE">
      <w:pPr>
        <w:pStyle w:val="StandardWeb"/>
      </w:pPr>
    </w:p>
    <w:p w:rsidR="00BE1EFE" w:rsidRPr="00581FC5" w:rsidRDefault="00BE1EFE" w:rsidP="00581FC5">
      <w:pPr>
        <w:pStyle w:val="StandardWeb"/>
        <w:rPr>
          <w:sz w:val="12"/>
          <w:szCs w:val="12"/>
        </w:rPr>
      </w:pPr>
      <w:r w:rsidRPr="00581FC5">
        <w:rPr>
          <w:sz w:val="12"/>
          <w:szCs w:val="12"/>
        </w:rPr>
        <w:t>Anmerkung zu Absatz 1a Satz 1 Nr. 2:</w:t>
      </w:r>
    </w:p>
    <w:p w:rsidR="00BE1EFE" w:rsidRDefault="00BE1EFE" w:rsidP="00581FC5">
      <w:pPr>
        <w:pStyle w:val="StandardWeb"/>
        <w:rPr>
          <w:sz w:val="12"/>
          <w:szCs w:val="12"/>
        </w:rPr>
      </w:pPr>
      <w:r w:rsidRPr="00581FC5">
        <w:rPr>
          <w:sz w:val="12"/>
          <w:szCs w:val="12"/>
        </w:rPr>
        <w:t xml:space="preserve">Der "bisherige Vomhundertsatz nach </w:t>
      </w:r>
      <w:hyperlink r:id="rId1532" w:history="1">
        <w:r w:rsidRPr="00581FC5">
          <w:rPr>
            <w:rStyle w:val="Hyperlink"/>
            <w:sz w:val="12"/>
            <w:szCs w:val="12"/>
          </w:rPr>
          <w:t>§ 18 Absatz 2 Nr. 1 Satz 1 BetrAVG</w:t>
        </w:r>
      </w:hyperlink>
      <w:r w:rsidRPr="00581FC5">
        <w:rPr>
          <w:sz w:val="12"/>
          <w:szCs w:val="12"/>
        </w:rPr>
        <w:t>" wird für jedes Jahr der Pflichtversicherung mit dem Faktor 2,25 v. H. berechnet, Absatz 1 Satz 3 findet keine Anwendung.</w:t>
      </w:r>
    </w:p>
    <w:p w:rsidR="00BE1EFE" w:rsidRPr="00581FC5" w:rsidRDefault="00BE1EFE" w:rsidP="00581FC5">
      <w:pPr>
        <w:pStyle w:val="StandardWeb"/>
        <w:rPr>
          <w:sz w:val="12"/>
          <w:szCs w:val="12"/>
        </w:rPr>
      </w:pPr>
    </w:p>
    <w:p w:rsidR="00BE1EFE" w:rsidRDefault="00BE1EFE">
      <w:pPr>
        <w:pStyle w:val="StandardWeb"/>
      </w:pPr>
      <w:r>
        <w:rPr>
          <w:sz w:val="12"/>
          <w:szCs w:val="12"/>
        </w:rPr>
        <w:t xml:space="preserve">Protokollnotiz zu Absatz 1 und Absatz 1a: </w:t>
      </w:r>
    </w:p>
    <w:p w:rsidR="00BE1EFE" w:rsidRDefault="00BE1EFE">
      <w:pPr>
        <w:pStyle w:val="StandardWeb"/>
      </w:pPr>
      <w:r>
        <w:rPr>
          <w:sz w:val="12"/>
          <w:szCs w:val="12"/>
        </w:rPr>
        <w:t>Zur Ermittlung der Anwartschaften nach den Absätzen 1 und 1a wird bei Berechnung der Voll-Leistung nach</w:t>
      </w:r>
      <w:hyperlink r:id="rId1533" w:tgtFrame="_blank" w:history="1">
        <w:r>
          <w:rPr>
            <w:rStyle w:val="Hyperlink"/>
            <w:sz w:val="12"/>
            <w:szCs w:val="12"/>
          </w:rPr>
          <w:t xml:space="preserve"> § 18 Absatz 2 Nummer 1 BetrAVG </w:t>
        </w:r>
      </w:hyperlink>
      <w:r>
        <w:rPr>
          <w:sz w:val="12"/>
          <w:szCs w:val="12"/>
        </w:rPr>
        <w:t xml:space="preserve">ausschließlich das so genannte Näherungsverfahren entsprechend </w:t>
      </w:r>
      <w:hyperlink r:id="rId1534" w:tgtFrame="_blank" w:history="1">
        <w:r>
          <w:rPr>
            <w:rStyle w:val="Hyperlink"/>
            <w:sz w:val="12"/>
            <w:szCs w:val="12"/>
          </w:rPr>
          <w:t xml:space="preserve">§ 18 Absatz 2 Nummer 1 Satz 2 Buchstabe f BetrAVG </w:t>
        </w:r>
      </w:hyperlink>
      <w:r>
        <w:rPr>
          <w:sz w:val="12"/>
          <w:szCs w:val="12"/>
        </w:rPr>
        <w:t>berücksichtigt.</w:t>
      </w:r>
    </w:p>
    <w:p w:rsidR="00BE1EFE" w:rsidRDefault="00BE1EFE">
      <w:pPr>
        <w:pStyle w:val="StandardWeb"/>
      </w:pPr>
    </w:p>
    <w:p w:rsidR="00BE1EFE" w:rsidRDefault="00BE1EFE">
      <w:pPr>
        <w:pStyle w:val="StandardWeb"/>
      </w:pPr>
      <w:r>
        <w:t>(2) </w:t>
      </w:r>
      <w:r>
        <w:rPr>
          <w:rStyle w:val="kleinschrift"/>
        </w:rPr>
        <w:t>1</w:t>
      </w:r>
      <w:r>
        <w:t xml:space="preserve">Für Beschäftigte im Tarifgebiet West, die am 1. Januar 2002 das 55. Lebensjahr vollendet haben (rentennahe Jahrgänge), ist Ausgangswert für die bis zum 31. Dezember 2001 in der Zusatzversorgung (Gesamtversorgung) erworbene Anwartschaft die Versorgungsrente, die sich unter Beachtung der Maßgaben des § 32, insbesondere unter Berücksichtigung der Mindestgesamtversorgung (§ 23 Absatz 4 VersTV-G) und des § 47 Absatz 4 Satz 2 VersTV-G, für die Berechtigte/den Berechtigten bei Eintritt des Versicherungsfalls am 31. Dezember 2001, frühestens jedoch zum Zeitpunkt der Vollendung des 63. Lebensjahres ergeben würde. </w:t>
      </w:r>
      <w:r>
        <w:rPr>
          <w:rStyle w:val="kleinschrift"/>
        </w:rPr>
        <w:t>2</w:t>
      </w:r>
      <w:r>
        <w:t xml:space="preserve">Von diesem Ausgangswert ist der Betrag abzuziehen, den die Versicherten aus dem Punktemodell bis zur Vollendung des 63. Lebensjahres vor Berücksichtigung des Abschlags noch erwerben könnten, wenn für sie zusatzversorgungspflichtige Entgelte in Höhe des gesamtversorgungs-fähigen Entgelts gezahlt würden. </w:t>
      </w:r>
      <w:r>
        <w:rPr>
          <w:rStyle w:val="kleinschrift"/>
        </w:rPr>
        <w:t>3</w:t>
      </w:r>
      <w:r>
        <w:t>Sind am 31. Dezember 2001 die Voraussetzungen für die Berücksichtigung des § 65 g Absatz 3 VersTV-G erfüllt, berechnet sich der Versorgungsvom</w:t>
      </w:r>
      <w:r>
        <w:softHyphen/>
        <w:t xml:space="preserve">hundertsatz nach dieser Vorschrift mit der Maßgabe, dass nach § 65 g Absatz 3 Buchstabe a VersTV-G abzuziehende Monate die Monate sind, die zwischen dem 31. Dezember 1991 und dem Ersten des Monats liegen, der auf die Vollendung des 63. Lebensjahres folgt. </w:t>
      </w:r>
      <w:r>
        <w:rPr>
          <w:rStyle w:val="kleinschrift"/>
        </w:rPr>
        <w:t>4</w:t>
      </w:r>
      <w:r>
        <w:t xml:space="preserve">Die Sätze 1 bis 3 gelten für Beschäftigte, die am 31. Dezember 2001 das 52. Lebensjahr vollendet haben und eine Rente für schwerbehinderte Menschen beanspruchen könnten, wenn sie zu diesem Zeitpunkt bereits das 60. Lebensjahr vollendet hätten, entsprechend mit der Maßgabe, dass an die Stelle des 63. Lebensjahres das </w:t>
      </w:r>
      <w:r>
        <w:lastRenderedPageBreak/>
        <w:t xml:space="preserve">entsprechende, für sie individuell frühestmögliche Eintrittsalter in die abschlagsfreie Rente für schwerbehinderte Menschen maßgeblich ist. </w:t>
      </w:r>
      <w:r>
        <w:rPr>
          <w:rStyle w:val="kleinschrift"/>
        </w:rPr>
        <w:t>5</w:t>
      </w:r>
      <w:r>
        <w:t>Werden in den Fällen des Satzes 4 die Voraussetzungen für die Mindestgesamtversorgung zwischen dem Zeitpunkt der Hochrechnung nach Satz 4 und der Vollendung des 63. Lebensjahres erfüllt, erfolgt die Berechnung der Anwartschaft abweichend von Satz 4 bezogen auf den Zeitpunkt, zu dem die Voraussetzungen der Mindestgesamtversorgung erfüllt wären.</w:t>
      </w:r>
    </w:p>
    <w:p w:rsidR="00BE1EFE" w:rsidRDefault="00BE1EFE">
      <w:pPr>
        <w:pStyle w:val="StandardWeb"/>
      </w:pPr>
    </w:p>
    <w:p w:rsidR="00BE1EFE" w:rsidRDefault="00BE1EFE">
      <w:pPr>
        <w:pStyle w:val="StandardWeb"/>
      </w:pPr>
      <w:r>
        <w:t>(3) </w:t>
      </w:r>
      <w:r>
        <w:rPr>
          <w:rStyle w:val="kleinschrift"/>
        </w:rPr>
        <w:t>1</w:t>
      </w:r>
      <w:r>
        <w:t>Für Beschäftigte im Tarifgebiet West, die vor dem 14. November 2001 Altersteilzeit oder einen Vorruhestand vereinbart haben, gilt Absatz 2 mit folgenden Maßgaben:</w:t>
      </w:r>
    </w:p>
    <w:p w:rsidR="00BE1EFE" w:rsidRDefault="00BE1EFE">
      <w:pPr>
        <w:pStyle w:val="StandardWeb"/>
      </w:pPr>
      <w:r>
        <w:t>a) An die Stelle des 63. Lebensjahres tritt das vereinbarte Ende des Altersteilzeitarbeits-verhältnisses bzw. in den Fällen des Vorruhestandes das Alter, zu dem nach der Vorruhe-standsvereinbarung die Rente beginnen würde.</w:t>
      </w:r>
    </w:p>
    <w:p w:rsidR="00BE1EFE" w:rsidRDefault="00BE1EFE">
      <w:pPr>
        <w:pStyle w:val="StandardWeb"/>
      </w:pPr>
      <w:r>
        <w:t>b) </w:t>
      </w:r>
      <w:r>
        <w:rPr>
          <w:rStyle w:val="kleinschrift"/>
        </w:rPr>
        <w:t>2</w:t>
      </w:r>
      <w:r>
        <w:t>Der anzurechnende Bezug nach Absatz 4 wird in den Fällen, in denen die Mindestgesamt</w:t>
      </w:r>
      <w:r>
        <w:softHyphen/>
        <w:t xml:space="preserve">versorgung nach dem bis zum 31. Dezember 2000 geltenden Zusatzversorgungsrecht maßgeblich gewesen wäre, um die Abschläge vermindert, die sich zu dem Zeitpunkt, auf den die Startgutschrift hochgerechnet wird, voraussichtlich ergeben werden; diese Abschläge sind der Zusatzversorgungseinrichtung vom Beschäftigte in geeigneter Weise nachzuweisen. </w:t>
      </w:r>
      <w:r>
        <w:rPr>
          <w:rStyle w:val="kleinschrift"/>
        </w:rPr>
        <w:t>3</w:t>
      </w:r>
      <w:r>
        <w:t xml:space="preserve">Die Startgutschrift ist in den Fällen des Satzes 1 um den Betrag der sich im Zeitpunkt der Hochrechnung nach Satz 1 voraussichtlich ergebenden Abschläge gemäß </w:t>
      </w:r>
      <w:hyperlink r:id="rId1535" w:history="1">
        <w:r w:rsidRPr="002D1F1D">
          <w:rPr>
            <w:rStyle w:val="Hyperlink"/>
          </w:rPr>
          <w:t>§ 7 Absatz 3</w:t>
        </w:r>
      </w:hyperlink>
      <w:r>
        <w:t xml:space="preserve"> zu erhöhen.</w:t>
      </w:r>
    </w:p>
    <w:p w:rsidR="00BE1EFE" w:rsidRDefault="00BE1EFE">
      <w:pPr>
        <w:pStyle w:val="StandardWeb"/>
      </w:pPr>
    </w:p>
    <w:p w:rsidR="00BE1EFE" w:rsidRDefault="00BE1EFE">
      <w:pPr>
        <w:pStyle w:val="StandardWeb"/>
      </w:pPr>
      <w:r>
        <w:t>(3a) </w:t>
      </w:r>
      <w:r>
        <w:rPr>
          <w:rStyle w:val="kleinschrift"/>
        </w:rPr>
        <w:t>1</w:t>
      </w:r>
      <w:r>
        <w:t>Pflichtversicherte, bei denen der Versicherungsfall der vollen Erwerbsminderung vor dem 1. Januar 2007 eingetreten ist, deren Startgutschrift nach Absatz 1 berechnet wurde und die am 31. Dezember 2001</w:t>
      </w:r>
    </w:p>
    <w:p w:rsidR="00BE1EFE" w:rsidRDefault="00BE1EFE">
      <w:pPr>
        <w:pStyle w:val="StandardWeb"/>
      </w:pPr>
      <w:r>
        <w:t>a) das 47. Lebensjahr vollendet sowie</w:t>
      </w:r>
    </w:p>
    <w:p w:rsidR="00BE1EFE" w:rsidRDefault="00BE1EFE">
      <w:pPr>
        <w:pStyle w:val="StandardWeb"/>
      </w:pPr>
      <w:r>
        <w:t xml:space="preserve">b) mindestens 120 Umlagemonate zurückgelegt hatten, </w:t>
      </w:r>
    </w:p>
    <w:p w:rsidR="00BE1EFE" w:rsidRDefault="00BE1EFE">
      <w:pPr>
        <w:pStyle w:val="StandardWeb"/>
      </w:pPr>
      <w:r>
        <w:t xml:space="preserve">erhalten in Abweichung von dem üblichen Verfahren eine zusätzliche Startgutschrift in Höhe des Betrages, um den die Startgutschrift nach Absatz 2 die Startgutschrift nach Absatz 1 übersteigt; bei Berechnung der Startgutschrift nach Absatz 2 sind die Maßgaben der Sätze 2 und 3 zu beachten. </w:t>
      </w:r>
      <w:r>
        <w:rPr>
          <w:rStyle w:val="kleinschrift"/>
        </w:rPr>
        <w:t>2</w:t>
      </w:r>
      <w:r>
        <w:t>Die Berechnung erfolgt bezogen auf die Vollendung des 63. Lebens</w:t>
      </w:r>
      <w:r>
        <w:softHyphen/>
        <w:t xml:space="preserve">jahres. </w:t>
      </w:r>
      <w:r>
        <w:rPr>
          <w:rStyle w:val="kleinschrift"/>
        </w:rPr>
        <w:t>3</w:t>
      </w:r>
      <w:r>
        <w:t xml:space="preserve">Als anzurechnender Bezug wird die tatsächliche, entsprechend Absatz 5 auf das vollendete 63. Lebensjahr hochgerechnete gesetzliche Rente zugrunde gelegt. </w:t>
      </w:r>
      <w:r>
        <w:rPr>
          <w:rStyle w:val="kleinschrift"/>
        </w:rPr>
        <w:t>4</w:t>
      </w:r>
      <w:r>
        <w:t xml:space="preserve">Die sich nach den Sätzen 1 bis 3 ergebende zusätzliche Startgutschrift gilt bei Anwendung des </w:t>
      </w:r>
      <w:hyperlink r:id="rId1536" w:history="1">
        <w:r w:rsidRPr="002D1F1D">
          <w:rPr>
            <w:rStyle w:val="Hyperlink"/>
          </w:rPr>
          <w:t>§ 19</w:t>
        </w:r>
      </w:hyperlink>
      <w:r>
        <w:t xml:space="preserve"> als soziale Komponente im Sinne des </w:t>
      </w:r>
      <w:hyperlink r:id="rId1537" w:history="1">
        <w:r w:rsidRPr="002D1F1D">
          <w:rPr>
            <w:rStyle w:val="Hyperlink"/>
          </w:rPr>
          <w:t>§ 9</w:t>
        </w:r>
      </w:hyperlink>
      <w:r>
        <w:t>.</w:t>
      </w:r>
    </w:p>
    <w:p w:rsidR="00BE1EFE" w:rsidRDefault="00BE1EFE">
      <w:pPr>
        <w:pStyle w:val="StandardWeb"/>
      </w:pPr>
    </w:p>
    <w:p w:rsidR="00BE1EFE" w:rsidRDefault="00BE1EFE">
      <w:pPr>
        <w:pStyle w:val="StandardWeb"/>
      </w:pPr>
      <w:r>
        <w:t>(4) </w:t>
      </w:r>
      <w:r>
        <w:rPr>
          <w:rStyle w:val="kleinschrift"/>
        </w:rPr>
        <w:t>1</w:t>
      </w:r>
      <w:r>
        <w:t>Für die Berechnung der Startgutschrift nach Absatz 2 ist die Rentenauskunft des gesetz</w:t>
      </w:r>
      <w:r>
        <w:softHyphen/>
        <w:t xml:space="preserve">lichen Rentenversicherungsträgers zum Stichtag 31. Dezember 2001 nach Durchführung einer Kontenklärung maßgebend. </w:t>
      </w:r>
      <w:r>
        <w:rPr>
          <w:rStyle w:val="kleinschrift"/>
        </w:rPr>
        <w:t>2</w:t>
      </w:r>
      <w:r>
        <w:t>Die Pflichtversicherten haben, sofern sie nicht bereits über eine Rentenauskunft aus dem Jahr 2001 verfügen, bis zum 30. September 2002 eine Renten</w:t>
      </w:r>
      <w:r>
        <w:softHyphen/>
        <w:t xml:space="preserve">auskunft zu beantragen und diese unverzüglich der Zusatzversorgungskasse der bayerischen Gemeinden zu übersenden. </w:t>
      </w:r>
      <w:r>
        <w:rPr>
          <w:rStyle w:val="kleinschrift"/>
        </w:rPr>
        <w:t>3</w:t>
      </w:r>
      <w:r>
        <w:t xml:space="preserve">Sofern die Rentenauskunft aus von den Pflichtversicherten zu vertretenden Gründen bis zum 31. Dezember 2003 nicht beigebracht wird, wird die Startgutschrift nach Absatz 1 berechnet. </w:t>
      </w:r>
      <w:r>
        <w:rPr>
          <w:rStyle w:val="kleinschrift"/>
        </w:rPr>
        <w:t>4</w:t>
      </w:r>
      <w:r>
        <w:t>Bei Vorliegen besonderer Gründe kann die Zusatz</w:t>
      </w:r>
      <w:r>
        <w:softHyphen/>
        <w:t xml:space="preserve">versorgungskasse der bayerischen Gemeinden eine angemessene Fristverlängerung gewähren. </w:t>
      </w:r>
      <w:r>
        <w:rPr>
          <w:rStyle w:val="kleinschrift"/>
        </w:rPr>
        <w:t>5</w:t>
      </w:r>
      <w:r>
        <w:t>Soweit bis zum 31. Dezember 2002 bereits ein bestands- oder rechtskräftiger Rentenbescheid der gesetzlichen Rentenversicherung vorliegt, ist - abweichend von Satz 1 - dieser Grundlage für die Berechnung nach Absatz 2.</w:t>
      </w:r>
    </w:p>
    <w:p w:rsidR="00BE1EFE" w:rsidRDefault="00BE1EFE">
      <w:pPr>
        <w:pStyle w:val="StandardWeb"/>
      </w:pPr>
    </w:p>
    <w:p w:rsidR="00BE1EFE" w:rsidRDefault="00BE1EFE">
      <w:pPr>
        <w:pStyle w:val="StandardWeb"/>
      </w:pPr>
      <w:r>
        <w:t>(5) </w:t>
      </w:r>
      <w:r>
        <w:rPr>
          <w:rStyle w:val="kleinschrift"/>
        </w:rPr>
        <w:t>1</w:t>
      </w:r>
      <w:r>
        <w:t xml:space="preserve">Für die Zeit bis zur Vollendung des 63. Lebensjahres werden Entgeltpunkte in Höhe des jährlichen Durchschnitts der in dem Zeitraum vom 1. Januar 1999 bis 31. Dezember 2001 tatsächlich aus Beitragszeiten erworbenen Entgeltpunkte in Ansatz gebracht. </w:t>
      </w:r>
      <w:r>
        <w:rPr>
          <w:rStyle w:val="kleinschrift"/>
        </w:rPr>
        <w:t>2</w:t>
      </w:r>
      <w:r>
        <w:t xml:space="preserve">Bei Pflichtversicherten, die nicht in der gesetzlichen Rentenversicherung versichert sind, wird der anzurechnende Bezug nach der bisher geltenden Regelung berücksichtigt; Zuschüsse werden </w:t>
      </w:r>
      <w:r>
        <w:lastRenderedPageBreak/>
        <w:t xml:space="preserve">in Höhe des jährlichen Durchschnitts der in der Zeit vom 1. Januar 1999 bis 31. Dezember 2001 tatsächlich gemeldeten Zuschüsse in Ansatz gebracht. </w:t>
      </w:r>
      <w:r>
        <w:rPr>
          <w:rStyle w:val="kleinschrift"/>
        </w:rPr>
        <w:t>3</w:t>
      </w:r>
      <w:r>
        <w:t xml:space="preserve">Ist in den Jahren 1999 bis 2001 kein zusatzversorgungspflichtiges Entgelt bezogen worden, ist gesamtversorgungsfähiges Entgelt das zusatzversorgungspflichtige Entgelt, das sich ergeben hätte, wenn für den gesamten Monat Dezember 2001 eine Beschäftigung vorgelegen hätte. </w:t>
      </w:r>
      <w:r>
        <w:rPr>
          <w:rStyle w:val="kleinschrift"/>
        </w:rPr>
        <w:t>4</w:t>
      </w:r>
      <w:r>
        <w:t>Sind in den Jahren 1999 bis 2001 keine Entgeltpunkte erworben worden, ist für die Ermittlung der Entgeltpunkte das rentenversicherungspflichtige Entgelt maßgebend, das im Monat Dezember 2001 bezogen worden wäre, wenn während des gesamten Monats eine Beschäftigung vorgelegen hätte; für die Ermittlung der Zuschüsse gilt dies entsprechend.</w:t>
      </w:r>
    </w:p>
    <w:p w:rsidR="00BE1EFE" w:rsidRDefault="00BE1EFE">
      <w:pPr>
        <w:pStyle w:val="StandardWeb"/>
      </w:pPr>
    </w:p>
    <w:p w:rsidR="00BE1EFE" w:rsidRDefault="00BE1EFE">
      <w:pPr>
        <w:pStyle w:val="StandardWeb"/>
      </w:pPr>
      <w:r>
        <w:t>(6) </w:t>
      </w:r>
      <w:r>
        <w:rPr>
          <w:rStyle w:val="kleinschrift"/>
        </w:rPr>
        <w:t>1</w:t>
      </w:r>
      <w:r>
        <w:t xml:space="preserve">Für die Berechnung der Startgutschrift nach Absatz 1 und 2 haben die Pflichtversicherten bis zum 31. Dezember 2002 ihrem Arbeitgeber den Familienstand am 31. Dezember 2001 (§ 23 Absatz 2 c Satz 1 Buchst. a und b VersTV-G.) mitzuteilen. </w:t>
      </w:r>
      <w:r>
        <w:rPr>
          <w:rStyle w:val="kleinschrift"/>
        </w:rPr>
        <w:t>2</w:t>
      </w:r>
      <w:r>
        <w:t>Der Arbeitgeber hat die Daten an die Zusatzversorgungskasse der bayerischen Gemeinden zu melden.</w:t>
      </w:r>
    </w:p>
    <w:p w:rsidR="00BE1EFE" w:rsidRDefault="00BE1EFE">
      <w:pPr>
        <w:pStyle w:val="StandardWeb"/>
      </w:pPr>
    </w:p>
    <w:p w:rsidR="00BE1EFE" w:rsidRPr="00581FC5" w:rsidRDefault="00BE1EFE">
      <w:pPr>
        <w:pStyle w:val="StandardWeb"/>
        <w:rPr>
          <w:szCs w:val="16"/>
        </w:rPr>
      </w:pPr>
      <w:r>
        <w:t>(7) </w:t>
      </w:r>
      <w:r>
        <w:rPr>
          <w:rStyle w:val="kleinschrift"/>
        </w:rPr>
        <w:t>1</w:t>
      </w:r>
      <w:r>
        <w:t xml:space="preserve">Für die Dynamisierung der Anwartschaften gilt </w:t>
      </w:r>
      <w:hyperlink r:id="rId1538" w:history="1">
        <w:r w:rsidRPr="002D1F1D">
          <w:rPr>
            <w:rStyle w:val="Hyperlink"/>
          </w:rPr>
          <w:t>§ 19</w:t>
        </w:r>
      </w:hyperlink>
      <w:r>
        <w:t xml:space="preserve">. </w:t>
      </w:r>
      <w:r>
        <w:rPr>
          <w:rStyle w:val="kleinschrift"/>
        </w:rPr>
        <w:t>2</w:t>
      </w:r>
      <w:r>
        <w:t xml:space="preserve">Auf den Zuschlag zur Anwartschaft nach Absatz 1a werden für die Jahre 2001 bis 2010 keine Bonuspunkte </w:t>
      </w:r>
      <w:hyperlink r:id="rId1539" w:history="1">
        <w:r w:rsidRPr="00C0125D">
          <w:rPr>
            <w:rStyle w:val="Hyperlink"/>
          </w:rPr>
          <w:t>(§ 19</w:t>
        </w:r>
      </w:hyperlink>
      <w:r>
        <w:t xml:space="preserve">) gewährt. </w:t>
      </w:r>
      <w:r>
        <w:rPr>
          <w:rStyle w:val="kleinschrift"/>
        </w:rPr>
        <w:t>3</w:t>
      </w:r>
      <w:r w:rsidRPr="00581FC5">
        <w:rPr>
          <w:rStyle w:val="kleinschrift"/>
          <w:sz w:val="16"/>
          <w:szCs w:val="16"/>
        </w:rPr>
        <w:t>Die Vergabe von Bonuspunkten für die Zeit bis zum 31. Dezember 2016 wird durch die Neuberechnung der Startgutschriften aufgrund der Änderungen durch Artikel 1 des Beschlus</w:t>
      </w:r>
      <w:r>
        <w:rPr>
          <w:rStyle w:val="kleinschrift"/>
          <w:sz w:val="16"/>
          <w:szCs w:val="16"/>
        </w:rPr>
        <w:t>-</w:t>
      </w:r>
      <w:r w:rsidRPr="00581FC5">
        <w:rPr>
          <w:rStyle w:val="kleinschrift"/>
          <w:sz w:val="16"/>
          <w:szCs w:val="16"/>
        </w:rPr>
        <w:t>ses zur Umsetzung des Änderungstarifvertrags Nr. 7 vom 8. Juni 2017 zum Tarifvertrag über die zusätzliche Altersversorge der Beschäftigten des öffentlichen Dienstes – Altersversorge-TV-Kommunal – (ATV-K) vo</w:t>
      </w:r>
      <w:r>
        <w:rPr>
          <w:rStyle w:val="kleinschrift"/>
          <w:sz w:val="16"/>
          <w:szCs w:val="16"/>
        </w:rPr>
        <w:t>m 07./08.03.2018 nicht berührt.</w:t>
      </w:r>
    </w:p>
    <w:p w:rsidR="00BE1EFE" w:rsidRDefault="00BE1EFE">
      <w:pPr>
        <w:pStyle w:val="StandardWeb"/>
      </w:pPr>
    </w:p>
    <w:p w:rsidR="00BE1EFE" w:rsidRDefault="00BE1EFE">
      <w:pPr>
        <w:pStyle w:val="StandardWeb"/>
        <w:jc w:val="center"/>
        <w:rPr>
          <w:b/>
          <w:bCs/>
        </w:rPr>
      </w:pPr>
    </w:p>
    <w:p w:rsidR="00BE1EFE" w:rsidRDefault="00BE1EFE" w:rsidP="0054275E">
      <w:pPr>
        <w:pStyle w:val="StandardWeb"/>
        <w:autoSpaceDE w:val="0"/>
        <w:jc w:val="left"/>
      </w:pPr>
      <w:r>
        <w:rPr>
          <w:rStyle w:val="Fett"/>
          <w:bCs/>
        </w:rPr>
        <w:t>§ 34 Höhe der Anwartschaften für am 1. Januar 2002 beitragsfrei Versicherte</w:t>
      </w:r>
    </w:p>
    <w:p w:rsidR="00BE1EFE" w:rsidRDefault="00BE1EFE">
      <w:pPr>
        <w:pStyle w:val="StandardWeb"/>
        <w:jc w:val="center"/>
      </w:pPr>
    </w:p>
    <w:p w:rsidR="00BE1EFE" w:rsidRDefault="00BE1EFE">
      <w:pPr>
        <w:pStyle w:val="StandardWeb"/>
      </w:pPr>
      <w:r>
        <w:t>(1) </w:t>
      </w:r>
      <w:r>
        <w:rPr>
          <w:rStyle w:val="kleinschrift"/>
        </w:rPr>
        <w:t>1</w:t>
      </w:r>
      <w:r>
        <w:t xml:space="preserve">Die Startgutschriften der am 1. Januar 2002 beitragsfrei Versicherten werden nach der am 31. Dezember 2001 geltenden Versicherungsrentenberechnung ermittelt. </w:t>
      </w:r>
      <w:r>
        <w:rPr>
          <w:rStyle w:val="kleinschrift"/>
        </w:rPr>
        <w:t>2</w:t>
      </w:r>
      <w:r w:rsidRPr="00581FC5">
        <w:t>Auf ein</w:t>
      </w:r>
      <w:r>
        <w:t xml:space="preserve">en gesetzlichen Anspruch nach </w:t>
      </w:r>
      <w:hyperlink r:id="rId1540" w:history="1">
        <w:r w:rsidRPr="00466585">
          <w:rPr>
            <w:rStyle w:val="Hyperlink"/>
          </w:rPr>
          <w:t>§ 18 Absatz 2 BetrAVG</w:t>
        </w:r>
      </w:hyperlink>
      <w:r w:rsidRPr="00581FC5">
        <w:t xml:space="preserve"> sind § 33 Absatz 1 Satz 3 und Absatz 1a entsprechend anzuwenden. </w:t>
      </w:r>
      <w:r w:rsidRPr="00581FC5">
        <w:rPr>
          <w:sz w:val="12"/>
          <w:szCs w:val="12"/>
        </w:rPr>
        <w:t>3</w:t>
      </w:r>
      <w:r w:rsidRPr="00581FC5">
        <w:t>F</w:t>
      </w:r>
      <w:r>
        <w:t>ür die Dynamisierung der Anwart</w:t>
      </w:r>
      <w:r w:rsidRPr="00581FC5">
        <w:t>schaften g</w:t>
      </w:r>
      <w:r>
        <w:t>ilt § 33 Absatz 7 entsprechend.</w:t>
      </w:r>
    </w:p>
    <w:p w:rsidR="00BE1EFE" w:rsidRDefault="00BE1EFE">
      <w:pPr>
        <w:pStyle w:val="StandardWeb"/>
      </w:pPr>
    </w:p>
    <w:p w:rsidR="00BE1EFE" w:rsidRDefault="00BE1EFE">
      <w:pPr>
        <w:pStyle w:val="StandardWeb"/>
      </w:pPr>
      <w:r>
        <w:t>(2) </w:t>
      </w:r>
      <w:r>
        <w:rPr>
          <w:rStyle w:val="kleinschrift"/>
        </w:rPr>
        <w:t>1</w:t>
      </w:r>
      <w:r>
        <w:t xml:space="preserve">Für Beschäftigte, für die § 66 a VersTV-G gilt, findet Absatz 1 mit der Maßgabe Anwendung, dass die Startgutschriften nur nach § 47 Absatz 4 VersTV-G berechnet werden und dass der Berechnung das Entgelt zugrunde zu legen ist, das bei Pflichtversicherung in den letzten fünf Jahren vor Beendigung des Arbeitsverhältnisses zusatzversorgungspflichtig gewesen wäre. </w:t>
      </w:r>
      <w:r>
        <w:rPr>
          <w:rStyle w:val="kleinschrift"/>
        </w:rPr>
        <w:t>2</w:t>
      </w:r>
      <w:r>
        <w:t>Für Beschäftigte nach Satz 1 gilt die Wartezeit als erfüllt.</w:t>
      </w:r>
    </w:p>
    <w:p w:rsidR="00BE1EFE" w:rsidRDefault="00BE1EFE">
      <w:pPr>
        <w:pStyle w:val="StandardWeb"/>
      </w:pPr>
    </w:p>
    <w:p w:rsidR="00BE1EFE" w:rsidRDefault="00BE1EFE" w:rsidP="00AF6337">
      <w:pPr>
        <w:pStyle w:val="StandardWeb"/>
      </w:pPr>
      <w:r>
        <w:t>(3) Für die freiwillig Weiterversicherten gilt Absatz 1 entsprechend.</w:t>
      </w:r>
    </w:p>
    <w:p w:rsidR="00BE1EFE" w:rsidRDefault="00BE1EFE" w:rsidP="00AF6337">
      <w:pPr>
        <w:pStyle w:val="berschrift6"/>
      </w:pPr>
      <w:bookmarkStart w:id="1038" w:name="_Toc523926558"/>
      <w:r>
        <w:t>Abschnitt IV: Schlussvorschriften</w:t>
      </w:r>
      <w:bookmarkEnd w:id="1038"/>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jc w:val="left"/>
      </w:pPr>
      <w:r>
        <w:rPr>
          <w:rStyle w:val="Fett"/>
          <w:bCs/>
        </w:rPr>
        <w:t>§ 35 Sterbegeld</w:t>
      </w:r>
    </w:p>
    <w:p w:rsidR="00BE1EFE" w:rsidRPr="000B1AF8" w:rsidRDefault="00BE1EFE">
      <w:pPr>
        <w:pStyle w:val="StandardWeb"/>
        <w:jc w:val="center"/>
      </w:pPr>
    </w:p>
    <w:p w:rsidR="00BE1EFE" w:rsidRDefault="00BE1EFE">
      <w:pPr>
        <w:pStyle w:val="StandardWeb"/>
      </w:pPr>
      <w:r>
        <w:rPr>
          <w:rStyle w:val="kleinschrift"/>
        </w:rPr>
        <w:t>1</w:t>
      </w:r>
      <w:r>
        <w:t xml:space="preserve">Sterbegeld wird bei Fortgeltung des bisherigen Rechts Anspruchsberechtigten unter Berücksichtigung des am 31. Dezember 2001 maßgebenden Gesamtbeschäftigungs-quotienten in folgender Höhe gezahlt: für Sterbefälle im Jahr 2005 900 Euro, im Jahr 2006 600 Euro, im Jahr 2007 300 Euro. </w:t>
      </w:r>
      <w:r>
        <w:rPr>
          <w:rStyle w:val="kleinschrift"/>
        </w:rPr>
        <w:t>2</w:t>
      </w:r>
      <w:r>
        <w:t>Ab dem Jahr 2008 entfällt das Sterbegeld.</w:t>
      </w:r>
    </w:p>
    <w:p w:rsidR="00BE1EFE" w:rsidRDefault="00BE1EFE">
      <w:pPr>
        <w:pStyle w:val="StandardWeb"/>
      </w:pPr>
    </w:p>
    <w:p w:rsidR="00BE1EFE" w:rsidRDefault="00BE1EFE" w:rsidP="0054275E">
      <w:pPr>
        <w:pStyle w:val="StandardWeb"/>
        <w:autoSpaceDE w:val="0"/>
        <w:jc w:val="left"/>
      </w:pPr>
      <w:r>
        <w:rPr>
          <w:rStyle w:val="Fett"/>
          <w:bCs/>
        </w:rPr>
        <w:t>§ 36 Sonderregelungen für die Jahre 2001/2002</w:t>
      </w:r>
    </w:p>
    <w:p w:rsidR="00BE1EFE" w:rsidRDefault="00BE1EFE">
      <w:pPr>
        <w:pStyle w:val="StandardWeb"/>
        <w:jc w:val="center"/>
      </w:pPr>
    </w:p>
    <w:p w:rsidR="00BE1EFE" w:rsidRDefault="00BE1EFE">
      <w:pPr>
        <w:pStyle w:val="StandardWeb"/>
      </w:pPr>
      <w:r>
        <w:t xml:space="preserve">(1) Anstelle von </w:t>
      </w:r>
      <w:hyperlink r:id="rId1541" w:history="1">
        <w:r w:rsidRPr="002D1F1D">
          <w:rPr>
            <w:rStyle w:val="Hyperlink"/>
          </w:rPr>
          <w:t>§ 2</w:t>
        </w:r>
        <w:r>
          <w:rPr>
            <w:rStyle w:val="Hyperlink"/>
          </w:rPr>
          <w:t xml:space="preserve"> Absatz</w:t>
        </w:r>
        <w:r w:rsidRPr="002D1F1D">
          <w:rPr>
            <w:rStyle w:val="Hyperlink"/>
          </w:rPr>
          <w:t xml:space="preserve"> 2</w:t>
        </w:r>
      </w:hyperlink>
      <w:r>
        <w:t xml:space="preserve"> und des </w:t>
      </w:r>
      <w:hyperlink r:id="rId1542" w:history="1">
        <w:r w:rsidRPr="002D1F1D">
          <w:rPr>
            <w:rStyle w:val="Hyperlink"/>
          </w:rPr>
          <w:t>Satzes 1 der Anlage 2</w:t>
        </w:r>
      </w:hyperlink>
      <w:r>
        <w:t xml:space="preserve"> finden bis zum 31. Dezember 2002 der § 4 Absatz 3 und § 5 Absatz 1 bis 3 VersTV-G weiterhin Anwendung.</w:t>
      </w:r>
    </w:p>
    <w:p w:rsidR="00BE1EFE" w:rsidRDefault="00BE1EFE">
      <w:pPr>
        <w:pStyle w:val="StandardWeb"/>
      </w:pPr>
    </w:p>
    <w:p w:rsidR="00BE1EFE" w:rsidRDefault="00BE1EFE">
      <w:pPr>
        <w:pStyle w:val="StandardWeb"/>
      </w:pPr>
      <w:r>
        <w:t>(2) Soweit bis zum 31. Dezember 2002 zusatzversorgungspflichtiges Entgelt entsprechend § 7 VersTV-G gemeldet wurde, hat es dabei sein Bewenden.</w:t>
      </w:r>
    </w:p>
    <w:p w:rsidR="00BE1EFE" w:rsidRDefault="00BE1EFE">
      <w:pPr>
        <w:pStyle w:val="StandardWeb"/>
      </w:pPr>
    </w:p>
    <w:p w:rsidR="00BE1EFE" w:rsidRDefault="00BE1EFE">
      <w:pPr>
        <w:pStyle w:val="StandardWeb"/>
      </w:pPr>
      <w:r>
        <w:t xml:space="preserve">(3) Soweit bis zum 31. Dezember 2002 Beiträge im Sinne des </w:t>
      </w:r>
      <w:r w:rsidRPr="009E7B50">
        <w:t>§ 25</w:t>
      </w:r>
      <w:r>
        <w:t xml:space="preserve"> entsprechend den Vorschriften des VersTV-G gezahlt wurden, hat es dabei sein Bewenden.</w:t>
      </w:r>
    </w:p>
    <w:p w:rsidR="00BE1EFE" w:rsidRDefault="00BE1EFE" w:rsidP="00296692">
      <w:pPr>
        <w:pStyle w:val="StandardWeb"/>
        <w:rPr>
          <w:rStyle w:val="Fett"/>
          <w:bCs/>
        </w:rPr>
      </w:pPr>
    </w:p>
    <w:p w:rsidR="00BE1EFE" w:rsidRDefault="00BE1EFE" w:rsidP="0054275E">
      <w:pPr>
        <w:pStyle w:val="StandardWeb"/>
        <w:autoSpaceDE w:val="0"/>
        <w:jc w:val="left"/>
      </w:pPr>
      <w:r>
        <w:rPr>
          <w:rStyle w:val="Fett"/>
          <w:bCs/>
        </w:rPr>
        <w:t>§ 36a Übergangsregelungen</w:t>
      </w:r>
    </w:p>
    <w:p w:rsidR="00BE1EFE" w:rsidRDefault="00BE1EFE">
      <w:pPr>
        <w:pStyle w:val="StandardWeb"/>
        <w:jc w:val="center"/>
      </w:pPr>
    </w:p>
    <w:p w:rsidR="00BE1EFE" w:rsidRDefault="00BE1EFE">
      <w:pPr>
        <w:pStyle w:val="StandardWeb"/>
      </w:pPr>
      <w:r>
        <w:t xml:space="preserve">(1) Ist die/der Versicherte oder die/der Betriebsrentenberechtigte vor dem 1. Juli 2007 verstorben, findet </w:t>
      </w:r>
      <w:hyperlink r:id="rId1543" w:history="1">
        <w:r w:rsidRPr="002D1F1D">
          <w:rPr>
            <w:rStyle w:val="Hyperlink"/>
          </w:rPr>
          <w:t>§ 10</w:t>
        </w:r>
        <w:r>
          <w:rPr>
            <w:rStyle w:val="Hyperlink"/>
          </w:rPr>
          <w:t xml:space="preserve"> Absatz</w:t>
        </w:r>
        <w:r w:rsidRPr="002D1F1D">
          <w:rPr>
            <w:rStyle w:val="Hyperlink"/>
          </w:rPr>
          <w:t xml:space="preserve"> 1 Satz 5</w:t>
        </w:r>
      </w:hyperlink>
      <w:r>
        <w:t xml:space="preserve"> keine Anwendung; dies gilt nicht für Neuzusagen, die nach dem 31. Dezember 2006 erteilt wurden.</w:t>
      </w:r>
    </w:p>
    <w:p w:rsidR="00BE1EFE" w:rsidRDefault="00BE1EFE">
      <w:pPr>
        <w:pStyle w:val="StandardWeb"/>
      </w:pPr>
    </w:p>
    <w:p w:rsidR="00BE1EFE" w:rsidRDefault="00BE1EFE">
      <w:pPr>
        <w:pStyle w:val="StandardWeb"/>
      </w:pPr>
      <w:r>
        <w:t>(2) </w:t>
      </w:r>
      <w:r>
        <w:rPr>
          <w:rStyle w:val="kleinschrift"/>
        </w:rPr>
        <w:t>1</w:t>
      </w:r>
      <w:r>
        <w:t xml:space="preserve">Für Mutterschutzzeiten nach </w:t>
      </w:r>
      <w:hyperlink r:id="rId1544" w:history="1">
        <w:r w:rsidRPr="009E7B50">
          <w:rPr>
            <w:rStyle w:val="Hyperlink"/>
          </w:rPr>
          <w:t>§ 3 Absatz 2</w:t>
        </w:r>
      </w:hyperlink>
      <w:r w:rsidRPr="009E7B50">
        <w:t xml:space="preserve"> und § 6 Absatz 1 MuSchG, </w:t>
      </w:r>
      <w:r>
        <w:t xml:space="preserve">die in der Zeit vom 1. Januar 2002 bis zum 31. Dezember 2011 liegen, gilt </w:t>
      </w:r>
      <w:hyperlink r:id="rId1545" w:history="1">
        <w:r>
          <w:rPr>
            <w:rStyle w:val="Hyperlink"/>
          </w:rPr>
          <w:t>§ 9 Absatz</w:t>
        </w:r>
        <w:r w:rsidRPr="002D1F1D">
          <w:rPr>
            <w:rStyle w:val="Hyperlink"/>
          </w:rPr>
          <w:t xml:space="preserve"> 1 Satz 4 und 5</w:t>
        </w:r>
      </w:hyperlink>
      <w:r>
        <w:t xml:space="preserve"> mit folgenden Maßgaben:</w:t>
      </w:r>
    </w:p>
    <w:p w:rsidR="00BE1EFE" w:rsidRDefault="00BE1EFE">
      <w:pPr>
        <w:pStyle w:val="StandardWeb"/>
      </w:pPr>
      <w:r>
        <w:t>a) </w:t>
      </w:r>
      <w:r>
        <w:rPr>
          <w:rStyle w:val="kleinschrift"/>
        </w:rPr>
        <w:t>1</w:t>
      </w:r>
      <w:r>
        <w:t xml:space="preserve">Die Mutterschutzzeiten werden auf schriftlichen Antrag der Beschäftigten berücksichtigt. </w:t>
      </w:r>
      <w:r>
        <w:rPr>
          <w:rStyle w:val="kleinschrift"/>
        </w:rPr>
        <w:t>2</w:t>
      </w:r>
      <w:r>
        <w:t xml:space="preserve">Geeignete Nachweise zum Beginn und Ende der Mutterschutzfristen sind vorzulegen. </w:t>
      </w:r>
      <w:r>
        <w:rPr>
          <w:rStyle w:val="kleinschrift"/>
        </w:rPr>
        <w:t>3</w:t>
      </w:r>
      <w:r>
        <w:t>Der Antrag und die Nachweise sind bei der Zusatzversorgungseinrichtung einzureichen, bei der die Pflichtversicherung während der Mutterschutzzeit bestanden hat.</w:t>
      </w:r>
    </w:p>
    <w:p w:rsidR="00BE1EFE" w:rsidRDefault="00BE1EFE">
      <w:pPr>
        <w:pStyle w:val="StandardWeb"/>
      </w:pPr>
      <w:r>
        <w:t>b) </w:t>
      </w:r>
      <w:r>
        <w:rPr>
          <w:rStyle w:val="kleinschrift"/>
        </w:rPr>
        <w:t>1</w:t>
      </w:r>
      <w:r>
        <w:t xml:space="preserve">Das für die Mutterschutzzeit anzusetzende zusatzversorgungspflichtige Entgelt wird errechnet aus dem durchschnittlichen kalendertäglichen zusatzversorgungspflichtigen Entgelt des Kalenderjahres, das dem Jahr vorangeht, in dem die Mutterschutzfrist begonnen hat. </w:t>
      </w:r>
      <w:r>
        <w:rPr>
          <w:rStyle w:val="kleinschrift"/>
        </w:rPr>
        <w:t>2</w:t>
      </w:r>
      <w:r>
        <w:t>Bei der Berechnung des durchschnittlichen Entgelts werden Kalendermonate ohne zusatzver</w:t>
      </w:r>
      <w:r>
        <w:softHyphen/>
        <w:t xml:space="preserve">sorgungspflichtiges Entgelt nicht berücksichtigt. </w:t>
      </w:r>
      <w:r>
        <w:rPr>
          <w:rStyle w:val="kleinschrift"/>
        </w:rPr>
        <w:t>3</w:t>
      </w:r>
      <w:r>
        <w:t>Ist in diesem Zeitraum kein zusatzver</w:t>
      </w:r>
      <w:r>
        <w:softHyphen/>
        <w:t>sorgungspflichtiges Entgelt angefallen, ist für die Berechnung das Entgelt zugrunde zu legen, das sich als durchschnittliches zusatzversorgungspflichtiges Entgelt im Kalenderjahr vor Beginn der Mutterschutzzeit ergeben hätte.</w:t>
      </w:r>
    </w:p>
    <w:p w:rsidR="00BE1EFE" w:rsidRDefault="00BE1EFE">
      <w:pPr>
        <w:pStyle w:val="StandardWeb"/>
      </w:pPr>
      <w:r>
        <w:t xml:space="preserve">c) Das zusatzversorgungspflichtige Entgelt nach Buchstabe b vermindert sich um das zusatzversorgungspflichtige Entgelt, das nach </w:t>
      </w:r>
      <w:hyperlink r:id="rId1546" w:history="1">
        <w:r>
          <w:rPr>
            <w:rStyle w:val="Hyperlink"/>
          </w:rPr>
          <w:t>§ 9 Absatz</w:t>
        </w:r>
        <w:r w:rsidRPr="002D1F1D">
          <w:rPr>
            <w:rStyle w:val="Hyperlink"/>
          </w:rPr>
          <w:t xml:space="preserve"> 1 ABD Teil D, 10a.</w:t>
        </w:r>
      </w:hyperlink>
      <w:r>
        <w:t xml:space="preserve"> in der Fassung vom 11. Dezember 2007 für Kalendermonate berücksichtigt worden ist, in denen das Arbeitsverhältnis ganz oder teilweise nach </w:t>
      </w:r>
      <w:hyperlink r:id="rId1547" w:tgtFrame="_blank" w:history="1">
        <w:r>
          <w:rPr>
            <w:rStyle w:val="Hyperlink"/>
          </w:rPr>
          <w:t>§ 6 Absatz 1 MuSchG</w:t>
        </w:r>
      </w:hyperlink>
      <w:r>
        <w:t xml:space="preserve"> geruht hat.</w:t>
      </w:r>
    </w:p>
    <w:p w:rsidR="00BE1EFE" w:rsidRDefault="00BE1EFE">
      <w:pPr>
        <w:pStyle w:val="StandardWeb"/>
      </w:pPr>
      <w:r>
        <w:rPr>
          <w:rStyle w:val="kleinschrift"/>
        </w:rPr>
        <w:t>2</w:t>
      </w:r>
      <w:r>
        <w:t>Für Beschäftigte mit Mutterschutzzeiten vor dem 1. Januar 2002 gilt Satz 1 bei entsprechen</w:t>
      </w:r>
      <w:r>
        <w:softHyphen/>
        <w:t xml:space="preserve">dem Antrag der Versicherten bzw. der Rentenberechtigten sinngemäß für die Berechnung ihrer Startgutschriften. </w:t>
      </w:r>
      <w:r>
        <w:rPr>
          <w:rStyle w:val="kleinschrift"/>
        </w:rPr>
        <w:t>3</w:t>
      </w:r>
      <w:r>
        <w:t xml:space="preserve">Am 31. Dezember 2002 Rentenberechtigte mit Mutterschutzzeiten vor dem 1. Januar 2001 erhalten auf Antrag einen Zuschlag zu ihrer Besitzstandsrente, der sich ergibt, wenn auf der Grundlage der Entgelte gemäß </w:t>
      </w:r>
      <w:hyperlink r:id="rId1548" w:history="1">
        <w:r>
          <w:rPr>
            <w:rStyle w:val="Hyperlink"/>
          </w:rPr>
          <w:t>Satz 1 Buchstabe</w:t>
        </w:r>
        <w:r w:rsidRPr="002D1F1D">
          <w:rPr>
            <w:rStyle w:val="Hyperlink"/>
          </w:rPr>
          <w:t xml:space="preserve"> b entsprechend § 8</w:t>
        </w:r>
      </w:hyperlink>
      <w:r>
        <w:t xml:space="preserve"> Versorgungspunkte gutgeschrieben würden.</w:t>
      </w:r>
    </w:p>
    <w:p w:rsidR="00BE1EFE" w:rsidRDefault="00BE1EFE" w:rsidP="00296692">
      <w:pPr>
        <w:pStyle w:val="StandardWeb"/>
        <w:rPr>
          <w:b/>
          <w:bCs/>
        </w:rPr>
      </w:pPr>
    </w:p>
    <w:p w:rsidR="00BE1EFE" w:rsidRDefault="00BE1EFE" w:rsidP="0054275E">
      <w:pPr>
        <w:pStyle w:val="StandardWeb"/>
        <w:autoSpaceDE w:val="0"/>
        <w:jc w:val="left"/>
      </w:pPr>
      <w:r>
        <w:rPr>
          <w:rStyle w:val="Fett"/>
          <w:bCs/>
        </w:rPr>
        <w:t>§ 37</w:t>
      </w:r>
      <w:r>
        <w:t xml:space="preserve"> </w:t>
      </w:r>
      <w:r w:rsidRPr="00D645FF">
        <w:rPr>
          <w:rStyle w:val="Hervorhebung"/>
          <w:iCs/>
        </w:rPr>
        <w:t>(frei)</w:t>
      </w:r>
    </w:p>
    <w:p w:rsidR="00BE1EFE" w:rsidRDefault="00BE1EFE">
      <w:pPr>
        <w:pStyle w:val="StandardWeb"/>
        <w:jc w:val="center"/>
      </w:pPr>
    </w:p>
    <w:p w:rsidR="00BE1EFE" w:rsidRDefault="00BE1EFE" w:rsidP="0054275E">
      <w:pPr>
        <w:pStyle w:val="StandardWeb"/>
        <w:autoSpaceDE w:val="0"/>
        <w:jc w:val="left"/>
      </w:pPr>
      <w:r>
        <w:rPr>
          <w:rStyle w:val="Fett"/>
          <w:bCs/>
        </w:rPr>
        <w:t xml:space="preserve">§ 38 Sonderregelung zu </w:t>
      </w:r>
      <w:hyperlink r:id="rId1549" w:history="1">
        <w:r>
          <w:rPr>
            <w:rStyle w:val="Hyperlink"/>
          </w:rPr>
          <w:t>§ 26 Absatz</w:t>
        </w:r>
        <w:r w:rsidRPr="002D1F1D">
          <w:rPr>
            <w:rStyle w:val="Hyperlink"/>
          </w:rPr>
          <w:t xml:space="preserve"> 5</w:t>
        </w:r>
      </w:hyperlink>
    </w:p>
    <w:p w:rsidR="00BE1EFE" w:rsidRDefault="00BE1EFE">
      <w:pPr>
        <w:pStyle w:val="StandardWeb"/>
        <w:jc w:val="center"/>
      </w:pPr>
    </w:p>
    <w:p w:rsidR="00BE1EFE" w:rsidRDefault="00BE1EFE">
      <w:pPr>
        <w:pStyle w:val="StandardWeb"/>
      </w:pPr>
      <w:r>
        <w:rPr>
          <w:rStyle w:val="kleinschrift"/>
        </w:rPr>
        <w:t>1</w:t>
      </w:r>
      <w:r>
        <w:t xml:space="preserve">Abweichend von </w:t>
      </w:r>
      <w:hyperlink r:id="rId1550" w:history="1">
        <w:r>
          <w:rPr>
            <w:rStyle w:val="Hyperlink"/>
          </w:rPr>
          <w:t>§ 26 Absatz</w:t>
        </w:r>
        <w:r w:rsidRPr="002D1F1D">
          <w:rPr>
            <w:rStyle w:val="Hyperlink"/>
          </w:rPr>
          <w:t xml:space="preserve"> 5</w:t>
        </w:r>
      </w:hyperlink>
      <w:r>
        <w:t xml:space="preserve"> gilt für Beschäftigte, für die für Dezember 2001 schon und für Januar 2002 noch eine zusätzliche Umlage im Sinne von § 7 Absatz 4 VersTV-G bezahlt wurde, Folgendes:</w:t>
      </w:r>
    </w:p>
    <w:p w:rsidR="00BE1EFE" w:rsidRDefault="00BE1EFE">
      <w:pPr>
        <w:pStyle w:val="StandardWeb"/>
      </w:pPr>
      <w:r>
        <w:t xml:space="preserve">Soweit das monatliche zusatzversorgungspflichtige Entgelt den Grenzbetrag nach Satz 3 übersteigt, ist in diesem Arbeitsverhältnis zusätzlich eine Umlage in Höhe von 9 v.H. des übersteigenden Betrages zu zahlen. </w:t>
      </w:r>
      <w:r>
        <w:rPr>
          <w:rStyle w:val="kleinschrift"/>
        </w:rPr>
        <w:t>2</w:t>
      </w:r>
      <w:r>
        <w:t xml:space="preserve">Die sich daraus ergebenden Versorgungspunkte sind zu verdreifachen. </w:t>
      </w:r>
      <w:r>
        <w:rPr>
          <w:rStyle w:val="kleinschrift"/>
        </w:rPr>
        <w:t>3</w:t>
      </w:r>
      <w:r>
        <w:t>Grenzbetrag ist das 1,133-fache des Betrages der Entgeltgruppe 15 Stufe 6 ABD jährlich einmal einschließlich der Jahressonderzahlung, wenn die/der Beschäftigte eine zusatzversorgungspflichtige Jahressonderzahlung erhält.</w:t>
      </w:r>
    </w:p>
    <w:p w:rsidR="00BE1EFE" w:rsidRDefault="00BE1EFE" w:rsidP="00296692">
      <w:pPr>
        <w:pStyle w:val="StandardWeb"/>
        <w:rPr>
          <w:rStyle w:val="Fett"/>
          <w:bCs/>
        </w:rPr>
      </w:pPr>
    </w:p>
    <w:p w:rsidR="00BE1EFE" w:rsidRDefault="00BE1EFE" w:rsidP="0054275E">
      <w:pPr>
        <w:pStyle w:val="StandardWeb"/>
        <w:autoSpaceDE w:val="0"/>
        <w:jc w:val="left"/>
      </w:pPr>
      <w:r>
        <w:rPr>
          <w:rStyle w:val="Fett"/>
          <w:bCs/>
        </w:rPr>
        <w:lastRenderedPageBreak/>
        <w:t>§ 39 In-Kraft-Treten</w:t>
      </w:r>
    </w:p>
    <w:p w:rsidR="00BE1EFE" w:rsidRDefault="00BE1EFE">
      <w:pPr>
        <w:pStyle w:val="StandardWeb"/>
        <w:jc w:val="center"/>
      </w:pPr>
    </w:p>
    <w:p w:rsidR="00BE1EFE" w:rsidRDefault="00BE1EFE">
      <w:pPr>
        <w:pStyle w:val="StandardWeb"/>
      </w:pPr>
      <w:r>
        <w:t>(1) </w:t>
      </w:r>
      <w:r>
        <w:rPr>
          <w:rStyle w:val="kleinschrift"/>
        </w:rPr>
        <w:t>1</w:t>
      </w:r>
      <w:r>
        <w:t xml:space="preserve">Diese Versorgungsordnung tritt mit Wirkung vom 1. Januar 2001 in Kraft. </w:t>
      </w:r>
      <w:r>
        <w:rPr>
          <w:rStyle w:val="kleinschrift"/>
        </w:rPr>
        <w:t>2</w:t>
      </w:r>
      <w:r>
        <w:t xml:space="preserve">Abweichend von Satz 1 tritt </w:t>
      </w:r>
      <w:hyperlink r:id="rId1551" w:history="1">
        <w:r>
          <w:rPr>
            <w:rStyle w:val="Hyperlink"/>
          </w:rPr>
          <w:t>§ 2 Absatz</w:t>
        </w:r>
        <w:r w:rsidRPr="002D1F1D">
          <w:rPr>
            <w:rStyle w:val="Hyperlink"/>
          </w:rPr>
          <w:t xml:space="preserve"> 2</w:t>
        </w:r>
      </w:hyperlink>
      <w:r>
        <w:t xml:space="preserve"> am 1. Januar 2003 mit der Maßgabe in Kraft, dass er nur für nach dem 31. Dezember 2002 begründete Arbeitsverhältnisse Anwendung findet.</w:t>
      </w:r>
    </w:p>
    <w:p w:rsidR="00BE1EFE" w:rsidRDefault="00BE1EFE">
      <w:pPr>
        <w:pStyle w:val="StandardWeb"/>
      </w:pPr>
    </w:p>
    <w:p w:rsidR="00BE1EFE" w:rsidRDefault="00BE1EFE">
      <w:pPr>
        <w:pStyle w:val="StandardWeb"/>
      </w:pPr>
      <w:r>
        <w:t xml:space="preserve">(2) </w:t>
      </w:r>
      <w:r w:rsidRPr="00D645FF">
        <w:rPr>
          <w:i/>
        </w:rPr>
        <w:t>(frei)</w:t>
      </w:r>
    </w:p>
    <w:p w:rsidR="00BE1EFE" w:rsidRDefault="00BE1EFE">
      <w:pPr>
        <w:pStyle w:val="StandardWeb"/>
      </w:pPr>
    </w:p>
    <w:p w:rsidR="00BE1EFE" w:rsidRDefault="00BE1EFE">
      <w:pPr>
        <w:pStyle w:val="StandardWeb"/>
      </w:pPr>
      <w:r>
        <w:t xml:space="preserve">(3) Mit dem In-Kraft-Treten dieser Versorgungsordnung tritt - unbeschadet des </w:t>
      </w:r>
      <w:r w:rsidRPr="009E7B50">
        <w:t>§ 36</w:t>
      </w:r>
      <w:r>
        <w:t xml:space="preserve"> - die Regelung über eine zusätzliche Alters- und Hinterbliebenenversorgung außer Kraft.</w:t>
      </w:r>
    </w:p>
    <w:p w:rsidR="00BE1EFE" w:rsidRDefault="00BE1EFE">
      <w:pPr>
        <w:pStyle w:val="StandardWeb"/>
      </w:pPr>
    </w:p>
    <w:p w:rsidR="00BE1EFE" w:rsidRDefault="00BE1EFE" w:rsidP="00D53BF0">
      <w:pPr>
        <w:pStyle w:val="StandardWeb"/>
        <w:rPr>
          <w:i/>
        </w:rPr>
      </w:pPr>
      <w:r>
        <w:t xml:space="preserve">(4) </w:t>
      </w:r>
      <w:r w:rsidRPr="00D645FF">
        <w:rPr>
          <w:i/>
        </w:rPr>
        <w:t>(frei)</w:t>
      </w:r>
    </w:p>
    <w:p w:rsidR="00BE1EFE" w:rsidRPr="00D53BF0" w:rsidRDefault="00BE1EFE" w:rsidP="00D53BF0">
      <w:pPr>
        <w:pStyle w:val="StandardWeb"/>
        <w:rPr>
          <w:i/>
          <w:sz w:val="2"/>
          <w:szCs w:val="2"/>
        </w:rPr>
      </w:pPr>
    </w:p>
    <w:p w:rsidR="00BE1EFE" w:rsidRPr="00D53BF0" w:rsidRDefault="00BE1EFE" w:rsidP="00D53BF0">
      <w:pPr>
        <w:pStyle w:val="berschrift6"/>
        <w:rPr>
          <w:i/>
        </w:rPr>
      </w:pPr>
      <w:bookmarkStart w:id="1039" w:name="_Toc523926559"/>
      <w:r>
        <w:t>Anlage 1</w:t>
      </w:r>
      <w:r>
        <w:rPr>
          <w:lang w:eastAsia="x-none"/>
        </w:rPr>
        <w:t xml:space="preserve"> </w:t>
      </w:r>
      <w:r w:rsidR="00694224" w:rsidRPr="00694224">
        <w:rPr>
          <w:b w:val="0"/>
          <w:i/>
          <w:lang w:eastAsia="x-none"/>
        </w:rPr>
        <w:t>(frei)</w:t>
      </w:r>
      <w:bookmarkEnd w:id="1039"/>
    </w:p>
    <w:p w:rsidR="00BE1EFE" w:rsidRPr="00D53BF0" w:rsidRDefault="00BE1EFE" w:rsidP="008609B2">
      <w:pPr>
        <w:pStyle w:val="StandardWeb"/>
        <w:rPr>
          <w:i/>
          <w:sz w:val="2"/>
          <w:szCs w:val="2"/>
        </w:rPr>
      </w:pPr>
      <w:r>
        <w:rPr>
          <w:i/>
        </w:rPr>
        <w:br w:type="page"/>
      </w:r>
    </w:p>
    <w:p w:rsidR="00BE1EFE" w:rsidRPr="00D53BF0" w:rsidRDefault="00BE1EFE" w:rsidP="00D53BF0">
      <w:pPr>
        <w:pStyle w:val="berschrift6"/>
        <w:spacing w:before="0"/>
        <w:rPr>
          <w:rStyle w:val="kleinschrift"/>
          <w:i/>
          <w:sz w:val="16"/>
        </w:rPr>
      </w:pPr>
      <w:bookmarkStart w:id="1040" w:name="_Toc523926560"/>
      <w:r w:rsidRPr="00851983">
        <w:rPr>
          <w:rStyle w:val="berschrift6Zchn"/>
          <w:b/>
          <w:sz w:val="18"/>
          <w:lang w:val="de-DE" w:eastAsia="de-DE"/>
        </w:rPr>
        <w:lastRenderedPageBreak/>
        <w:t>Anlage 2: Ausnahmen von der Versicherungspflicht</w:t>
      </w:r>
      <w:bookmarkEnd w:id="1040"/>
    </w:p>
    <w:p w:rsidR="00BE1EFE" w:rsidRPr="000B1AF8" w:rsidRDefault="00BE1EFE">
      <w:pPr>
        <w:pStyle w:val="StandardWeb"/>
      </w:pPr>
      <w:r>
        <w:rPr>
          <w:rStyle w:val="kleinschrift"/>
        </w:rPr>
        <w:t>1</w:t>
      </w:r>
      <w:r>
        <w:t>Von der Pflicht zur Versicherung sind Beschäftigte ausgenommen, die</w:t>
      </w:r>
    </w:p>
    <w:p w:rsidR="00BE1EFE" w:rsidRPr="000B1AF8" w:rsidRDefault="00BE1EFE">
      <w:pPr>
        <w:pStyle w:val="StandardWeb"/>
      </w:pPr>
    </w:p>
    <w:p w:rsidR="00BE1EFE" w:rsidRDefault="00BE1EFE">
      <w:pPr>
        <w:pStyle w:val="StandardWeb"/>
      </w:pPr>
      <w:r>
        <w:t>a) bis zum Beginn der Mitgliedschaft ihres Arbeitgebers bei der Zusatzversorgungskasse der bayerischen Gemeinden nach einer kollektivrechtlichen Regelung, einer Ruhelohnordnung oder einer entsprechenden Bestimmung für den Fall der Dienstunfähigkeit oder des Erreichens einer Altersgrenze eine Anwartschaft oder einen Anspruch auf eine vom Arbeit</w:t>
      </w:r>
      <w:r>
        <w:softHyphen/>
        <w:t>geber zu gewährende lebenslängliche Versorgung und Hinterbliebenenversorgung auf der Grundlage des nach der Regelung ruhegeldfähigen Arbeitsentgelts und der Dauer der Dienstjahre, Betriebszugehörigkeit oder dgl. haben oder</w:t>
      </w:r>
    </w:p>
    <w:p w:rsidR="00BE1EFE" w:rsidRDefault="00BE1EFE">
      <w:pPr>
        <w:pStyle w:val="StandardWeb"/>
      </w:pPr>
      <w:r>
        <w:t>b) eine Anwartschaft oder einen Anspruch auf lebenslängliche Versorgung nach beamten- oder soldatenrechtlichen Vorschriften oder Grundsätzen oder entsprechenden kirchenrecht</w:t>
      </w:r>
      <w:r>
        <w:softHyphen/>
        <w:t>lichen Regelungen mindestens in Höhe der beamtenrechtlichen Mindestversorgungsbezüge haben und denen Hinterbliebenenversorgung gewährleistet ist oder</w:t>
      </w:r>
    </w:p>
    <w:p w:rsidR="00BE1EFE" w:rsidRDefault="00BE1EFE">
      <w:pPr>
        <w:pStyle w:val="StandardWeb"/>
      </w:pPr>
      <w:r>
        <w:t>c) für das von dieser Versorgungsordnung erfasste Arbeitsverhältnis aufgrund gesetzlicher, kollektivrechtlicher oder vertraglicher Vorschrift einer anderen Zusatzversorgungseinrichtung (Versorgungsanstalt der deutschen Bühnen, Versorgungsanstalt der deutschen Kulturorches</w:t>
      </w:r>
      <w:r>
        <w:softHyphen/>
        <w:t>ter, Bahnversicherungsanstalt Abteilung B oder einer gleichartigen Versorgungseinrichtung) angehören müssen oder</w:t>
      </w:r>
    </w:p>
    <w:p w:rsidR="00BE1EFE" w:rsidRDefault="00BE1EFE">
      <w:pPr>
        <w:pStyle w:val="StandardWeb"/>
      </w:pPr>
      <w:r>
        <w:t>d) aufgrund kollektivrechtlicher Regelung, Arbeitsvertrages, der Satzung der Zusatzversor</w:t>
      </w:r>
      <w:r>
        <w:softHyphen/>
        <w:t>gungskasse der bayerischen Gemeinden oder der Satzung einer anderen Zusatzversorgungs</w:t>
      </w:r>
      <w:r>
        <w:softHyphen/>
        <w:t>einrichtung, von der Versicherungen übergeleitet werden, von der Pflicht zur Versicherung befreit worden sind, oder</w:t>
      </w:r>
    </w:p>
    <w:p w:rsidR="00BE1EFE" w:rsidRDefault="00BE1EFE">
      <w:pPr>
        <w:pStyle w:val="StandardWeb"/>
      </w:pPr>
      <w:r>
        <w:t>e) bei der Versorgungsanstalt der deutschen Bühnen oder der Versorgungsanstalt der deutschen Kulturorchester freiwillig weiterversichert sind, und zwar auch dann, wenn diese freiwillige Weiterversicherung später als drei Monate nach Beginn des Arbeitsverhältnisses endet, oder</w:t>
      </w:r>
    </w:p>
    <w:p w:rsidR="00BE1EFE" w:rsidRDefault="00BE1EFE">
      <w:pPr>
        <w:pStyle w:val="StandardWeb"/>
      </w:pPr>
      <w:r>
        <w:t xml:space="preserve">f) Rente wegen Alters nach </w:t>
      </w:r>
      <w:hyperlink r:id="rId1552" w:history="1">
        <w:r w:rsidRPr="001E7100">
          <w:rPr>
            <w:rStyle w:val="Hyperlink"/>
          </w:rPr>
          <w:t>§§ 35 bis 40 bzw. §§ 235 bis 238 SGB VI</w:t>
        </w:r>
      </w:hyperlink>
      <w:r>
        <w:t xml:space="preserve"> als Vollrente erhalten oder erhalten haben oder bei denen der Versicherungsfall der Betriebsrente wegen Alters (§ 5) bei einer Zusatzversorgungseinrichtung, von der Überleitungen (§ 4) erfolgen, eingetreten ist, oder</w:t>
      </w:r>
    </w:p>
    <w:p w:rsidR="00BE1EFE" w:rsidRDefault="00BE1EFE">
      <w:pPr>
        <w:pStyle w:val="StandardWeb"/>
      </w:pPr>
      <w:r>
        <w:t xml:space="preserve">g) </w:t>
      </w:r>
      <w:r w:rsidRPr="00D645FF">
        <w:rPr>
          <w:i/>
        </w:rPr>
        <w:t>(frei)</w:t>
      </w:r>
    </w:p>
    <w:p w:rsidR="00BE1EFE" w:rsidRDefault="00BE1EFE">
      <w:pPr>
        <w:pStyle w:val="StandardWeb"/>
      </w:pPr>
      <w:r>
        <w:t>h) mit Rücksicht auf ihre Zugehörigkeit zu einem ausländischen System der sozialen Sicherung nicht der Pflichtversicherung in der gesetzlichen Rentenversicherung unterliegen und sich dort auch nicht freiwillig versichert haben oder</w:t>
      </w:r>
    </w:p>
    <w:p w:rsidR="00BE1EFE" w:rsidRDefault="00BE1EFE">
      <w:pPr>
        <w:pStyle w:val="StandardWeb"/>
      </w:pPr>
      <w:r>
        <w:t>i) ihre Rentenanwartschaften aus der gesetzlichen Rentenversicherung oder einem sonstigen Alterssicherungssystem auf ein Versorgungssystem der europäischen Gemeinschaften oder ein Versorgungssystem einer europäischen Einrichtung (z. B. Europäisches Patentamt, Europäisches Hochschulinstitut, Eurocontrol) übertragen haben, oder</w:t>
      </w:r>
    </w:p>
    <w:p w:rsidR="00BE1EFE" w:rsidRDefault="00BE1EFE">
      <w:pPr>
        <w:pStyle w:val="StandardWeb"/>
      </w:pPr>
      <w:r>
        <w:t xml:space="preserve">j) im Sinne des </w:t>
      </w:r>
      <w:hyperlink r:id="rId1553" w:tgtFrame="_blank" w:history="1">
        <w:r>
          <w:rPr>
            <w:rStyle w:val="Hyperlink"/>
          </w:rPr>
          <w:t>§ 8 Absatz 1 Nummer 2 SGB IV</w:t>
        </w:r>
      </w:hyperlink>
      <w:r>
        <w:t xml:space="preserve"> geringfügig beschäftigt sind. </w:t>
      </w:r>
      <w:r>
        <w:rPr>
          <w:rStyle w:val="kleinschrift"/>
        </w:rPr>
        <w:t>2</w:t>
      </w:r>
      <w:r w:rsidR="00DF20A0">
        <w:t>Auf ihren beim Arbeitge</w:t>
      </w:r>
      <w:r>
        <w:t>ber schriftlich zu stellenden Antrag sind Beschäftigte, solange sie freiwilliges Mitglied des Versorgungswerks der Presse sind, nicht zu versichern; wird der Antrag spätestens zwölf Monate nach Beginn der Pflicht zur Versicherung gestellt, gilt die Pflichtversicherung als nicht entstanden.</w:t>
      </w:r>
    </w:p>
    <w:p w:rsidR="00BE1EFE" w:rsidRDefault="00BE1EFE">
      <w:pPr>
        <w:pStyle w:val="StandardWeb"/>
      </w:pPr>
    </w:p>
    <w:p w:rsidR="00BE1EFE" w:rsidRDefault="00BE1EFE">
      <w:pPr>
        <w:pStyle w:val="StandardWeb"/>
      </w:pPr>
      <w:r>
        <w:rPr>
          <w:sz w:val="12"/>
          <w:szCs w:val="12"/>
        </w:rPr>
        <w:t>Protokollerklärung zu Satz 1 Buchst. a:</w:t>
      </w:r>
    </w:p>
    <w:p w:rsidR="00BE1EFE" w:rsidRDefault="00BE1EFE">
      <w:pPr>
        <w:pStyle w:val="StandardWeb"/>
      </w:pPr>
      <w:r>
        <w:rPr>
          <w:sz w:val="12"/>
          <w:szCs w:val="12"/>
        </w:rPr>
        <w:t>Eine Anwartschaft im Sinne des Satzes 1 Buchst, a besteht auch dann, wenn nach der Versorgungsordnung, der Ruhelohnordnung oder der entsprechenden Bestimmung ein Anspruch erst nach Ablauf einer Wartezeit entstehen kann und die Beschäftigten bei normalem Verlauf des Arbeitslebens die Wartezeit noch erfüllen können.</w:t>
      </w:r>
    </w:p>
    <w:p w:rsidR="00BE1EFE" w:rsidRDefault="00BE1EFE">
      <w:pPr>
        <w:pStyle w:val="StandardWeb"/>
      </w:pPr>
    </w:p>
    <w:p w:rsidR="00BE1EFE" w:rsidRDefault="00BE1EFE">
      <w:pPr>
        <w:pStyle w:val="berschrift6"/>
      </w:pPr>
      <w:bookmarkStart w:id="1041" w:name="_Toc523926561"/>
      <w:r>
        <w:lastRenderedPageBreak/>
        <w:t>Anlage 3: Ausnahmen vom und Sonderregelungen zum zusatzversorgungs</w:t>
      </w:r>
      <w:r>
        <w:rPr>
          <w:lang w:eastAsia="x-none"/>
        </w:rPr>
        <w:softHyphen/>
      </w:r>
      <w:r>
        <w:t>pflichtigen Entgelt</w:t>
      </w:r>
      <w:bookmarkEnd w:id="104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Kein zusatzversorgungspflichtiges Entgelt sind</w:t>
      </w:r>
    </w:p>
    <w:p w:rsidR="00BE1EFE" w:rsidRDefault="00BE1EFE">
      <w:pPr>
        <w:pStyle w:val="StandardWeb"/>
      </w:pPr>
      <w:r>
        <w:t>a) Bestandteile des Arbeitsentgelts, die durch Regelung der Bayerischen Regional-KODA ausdrücklich als nicht zusatzversorgungspflichtig bezeichnet sind, sowie über- und außertarifliche Bestandteile des Arbeitsentgelts, soweit sie durch Dienstvereinbarung oder Arbeitsvertrag ausdrücklich als nicht zusatzversorgungspflichtig bezeichnet sind,</w:t>
      </w:r>
    </w:p>
    <w:p w:rsidR="00BE1EFE" w:rsidRDefault="00BE1EFE">
      <w:pPr>
        <w:pStyle w:val="StandardWeb"/>
      </w:pPr>
      <w:r>
        <w:rPr>
          <w:sz w:val="12"/>
          <w:szCs w:val="12"/>
        </w:rPr>
        <w:t>Protokollnotiz zu Buchstabe a):</w:t>
      </w:r>
    </w:p>
    <w:p w:rsidR="00BE1EFE" w:rsidRDefault="00BE1EFE">
      <w:pPr>
        <w:pStyle w:val="StandardWeb"/>
      </w:pPr>
      <w:r>
        <w:rPr>
          <w:sz w:val="12"/>
          <w:szCs w:val="12"/>
        </w:rPr>
        <w:t>Für am 30. Juni 2007 bestehende Vereinbarungen in Regelungen der Bayerischen Regional-KODA, Dienstvereinbarungen oder Arbeitsverträgen über die Ausnahme von Bestandteilen des Arbeitsentgelts aus der Zusatzversorgung gilt Anlage 3 Satz 1 Buchst. a in der bis zum 1. Januar 2007 geltenden Fassung.</w:t>
      </w:r>
    </w:p>
    <w:p w:rsidR="00BE1EFE" w:rsidRDefault="00BE1EFE">
      <w:pPr>
        <w:pStyle w:val="StandardWeb"/>
      </w:pPr>
    </w:p>
    <w:p w:rsidR="00BE1EFE" w:rsidRDefault="00BE1EFE">
      <w:pPr>
        <w:pStyle w:val="StandardWeb"/>
      </w:pPr>
      <w:r>
        <w:t>b) Aufwendungen des Dienstgebers für eine Zukunftssicherung der/des Beschäftigten,</w:t>
      </w:r>
    </w:p>
    <w:p w:rsidR="00BE1EFE" w:rsidRDefault="00BE1EFE">
      <w:pPr>
        <w:pStyle w:val="StandardWeb"/>
      </w:pPr>
      <w:r>
        <w:t>c) Krankengeldzuschüsse,</w:t>
      </w:r>
    </w:p>
    <w:p w:rsidR="00BE1EFE" w:rsidRDefault="00BE1EFE">
      <w:pPr>
        <w:pStyle w:val="StandardWeb"/>
      </w:pPr>
      <w:r>
        <w:t>d) einmalige Zahlungen (z. B. Zuwendungen, Urlaubsabgeltungen), die aus Anlass der Beendigung, des Eintritts des Ruhens oder nach der Beendigung des Arbeitsverhältnisses gezahlt werden,</w:t>
      </w:r>
    </w:p>
    <w:p w:rsidR="00BE1EFE" w:rsidRDefault="00BE1EFE">
      <w:pPr>
        <w:pStyle w:val="StandardWeb"/>
      </w:pPr>
      <w:r>
        <w:rPr>
          <w:sz w:val="12"/>
          <w:szCs w:val="12"/>
        </w:rPr>
        <w:t>Protokollerklärung zu Buchst. d:</w:t>
      </w:r>
    </w:p>
    <w:p w:rsidR="00BE1EFE" w:rsidRDefault="00BE1EFE">
      <w:pPr>
        <w:pStyle w:val="StandardWeb"/>
      </w:pPr>
      <w:r>
        <w:rPr>
          <w:sz w:val="12"/>
          <w:szCs w:val="12"/>
        </w:rPr>
        <w:t>Die Teilzuwendung, die der/dem Beschäftigten, die/der mit Billigung ihres/seines bisherigen Dienstgebers zu einem anderen Dienstgeber des kirchlichen oder Arbeitgeber des öffentlichen Dienstes übertritt, der seine Beschäftigten/Arbeitnehmer bei der Zusatzversorgungskasse der bayerischen Gemeinden oder bei einer anderen Zusatzversorgungseinrichtung, zu der die Versicherungen übergeleitet werden, versichert, gezahlt wird, ist zusatzversorgungspflichtiges Entgelt.</w:t>
      </w:r>
    </w:p>
    <w:p w:rsidR="00BE1EFE" w:rsidRDefault="00BE1EFE">
      <w:pPr>
        <w:pStyle w:val="StandardWeb"/>
      </w:pPr>
    </w:p>
    <w:p w:rsidR="00BE1EFE" w:rsidRDefault="00BE1EFE">
      <w:pPr>
        <w:pStyle w:val="StandardWeb"/>
      </w:pPr>
      <w:r>
        <w:t>e) einmalige Zahlungen (z. B. Zuwendungen) insoweit, als bei ihrer Berechnung Zeiten berücksichtigt sind, für die keine Umlagen/Beiträge für laufendes zusatzversorgungspflichtiges Entgelt zu entrichten sind,</w:t>
      </w:r>
    </w:p>
    <w:p w:rsidR="00BE1EFE" w:rsidRDefault="00BE1EFE">
      <w:pPr>
        <w:pStyle w:val="StandardWeb"/>
      </w:pPr>
      <w:r>
        <w:t>f) vermögenswirksame Leistungen, Jubiläumsgelder,</w:t>
      </w:r>
    </w:p>
    <w:p w:rsidR="00BE1EFE" w:rsidRDefault="00BE1EFE">
      <w:pPr>
        <w:pStyle w:val="StandardWeb"/>
      </w:pPr>
      <w:r>
        <w:t>g) Sachbezüge, die während eines Zeitraumes gewährt werden, für den kein laufendes zusatzversorgungspflichtiges Entgelt zusteht,</w:t>
      </w:r>
    </w:p>
    <w:p w:rsidR="00BE1EFE" w:rsidRDefault="00BE1EFE">
      <w:pPr>
        <w:pStyle w:val="StandardWeb"/>
      </w:pPr>
      <w:r>
        <w:t>h) geldwerte Vorteile, die steuerlich als Arbeitslohn gelten,</w:t>
      </w:r>
    </w:p>
    <w:p w:rsidR="00BE1EFE" w:rsidRDefault="00BE1EFE">
      <w:pPr>
        <w:pStyle w:val="StandardWeb"/>
      </w:pPr>
      <w:r>
        <w:t>i) geldliche Nebenleistungen wie Ersatz von Werbungskosten (z. B. Aufwendungen für Werkzeuge, Berufskleidung, Fortbildung) sowie Zuschüsse z. B. zu Fahr-, Heizungs-, Wohnungs-, Essens-, Kontoführungskosten,</w:t>
      </w:r>
    </w:p>
    <w:p w:rsidR="00BE1EFE" w:rsidRDefault="00BE1EFE">
      <w:pPr>
        <w:pStyle w:val="StandardWeb"/>
      </w:pPr>
      <w:r>
        <w:t>k) Mietbeiträge an Beschäftigte mit Anspruch auf Trennungsgeld (Trennungsentschädigung),</w:t>
      </w:r>
    </w:p>
    <w:p w:rsidR="00BE1EFE" w:rsidRDefault="00BE1EFE">
      <w:pPr>
        <w:pStyle w:val="StandardWeb"/>
      </w:pPr>
      <w:r>
        <w:t>l) Schulbeihilfen,</w:t>
      </w:r>
    </w:p>
    <w:p w:rsidR="00BE1EFE" w:rsidRDefault="00BE1EFE">
      <w:pPr>
        <w:pStyle w:val="StandardWeb"/>
      </w:pPr>
      <w:r>
        <w:t>m) einmalige Zuwendungen anlässlich des Erwerbs eines Diploms einer Verwaltungs- oder Wirtschaftsakademie,</w:t>
      </w:r>
    </w:p>
    <w:p w:rsidR="00BE1EFE" w:rsidRDefault="00BE1EFE">
      <w:pPr>
        <w:pStyle w:val="StandardWeb"/>
      </w:pPr>
      <w:r>
        <w:t>n) Prämien im Rahmen des behördlichen oder betrieblichen Vorschlagswesens,</w:t>
      </w:r>
    </w:p>
    <w:p w:rsidR="00BE1EFE" w:rsidRDefault="00BE1EFE">
      <w:pPr>
        <w:pStyle w:val="StandardWeb"/>
      </w:pPr>
      <w:r>
        <w:t>o) Erfindervergütungen,</w:t>
      </w:r>
    </w:p>
    <w:p w:rsidR="00BE1EFE" w:rsidRDefault="00BE1EFE">
      <w:pPr>
        <w:pStyle w:val="StandardWeb"/>
      </w:pPr>
      <w:r>
        <w:t>p) Kassenverlustentschädigungen (Mankogelder, Fehlgeldentschädigungen),</w:t>
      </w:r>
    </w:p>
    <w:p w:rsidR="00BE1EFE" w:rsidRDefault="00BE1EFE">
      <w:pPr>
        <w:pStyle w:val="StandardWeb"/>
      </w:pPr>
      <w:r>
        <w:t>q) Einkünfte, die aus ärztlichen Liquidationserlösen zufließen</w:t>
      </w:r>
    </w:p>
    <w:p w:rsidR="00BE1EFE" w:rsidRDefault="00BE1EFE">
      <w:pPr>
        <w:pStyle w:val="StandardWeb"/>
      </w:pPr>
      <w:r>
        <w:t>r) einmalige Unfallentschädigungen,</w:t>
      </w:r>
    </w:p>
    <w:p w:rsidR="00BE1EFE" w:rsidRDefault="00BE1EFE">
      <w:pPr>
        <w:pStyle w:val="StandardWeb"/>
      </w:pPr>
      <w:r>
        <w:t>s) Aufwandsentschädigungen; reisekostenähnliche Entschädigungen; Entgelte aus Nebentä</w:t>
      </w:r>
      <w:r>
        <w:softHyphen/>
        <w:t>tigkeiten; Tantiemen, Provisionen, Abschlussprämien und entsprechende Leistungen; ein</w:t>
      </w:r>
      <w:r>
        <w:softHyphen/>
        <w:t>malige und sonstige nicht laufend monatlich gezahlte über- oder außertarifliche Leistungen,</w:t>
      </w:r>
    </w:p>
    <w:p w:rsidR="00BE1EFE" w:rsidRDefault="00BE1EFE">
      <w:pPr>
        <w:pStyle w:val="StandardWeb"/>
      </w:pPr>
      <w:r>
        <w:t>t) Zuschläge für Sonntags-, Feiertags- und Nachtarbeit.</w:t>
      </w:r>
    </w:p>
    <w:p w:rsidR="00BE1EFE" w:rsidRDefault="00BE1EFE">
      <w:pPr>
        <w:pStyle w:val="StandardWeb"/>
      </w:pPr>
      <w:r>
        <w:rPr>
          <w:rStyle w:val="kleinschrift"/>
        </w:rPr>
        <w:t>2</w:t>
      </w:r>
      <w:r>
        <w:t>Kein zusatzversorgungspflichtiges Entgelt ist ferner der Teil des steuerpflichtigen Arbeits</w:t>
      </w:r>
      <w:r>
        <w:softHyphen/>
        <w:t>entgelts, der nach Anwendung des Satzes 1 den 2,5fachen Wert der monatlichen Beitragsbe</w:t>
      </w:r>
      <w:r>
        <w:softHyphen/>
        <w:t xml:space="preserve">messungsgrenze in der gesetzlichen Rentenversicherung (West) übersteigt; wenn eine Zusatzversorgungspflichtige Jahressonderzahlung gezahlt wird, ist der vorgenannte Wert jährlich einmal im Monat der Zahlung der Zuwendung zu verdoppeln. </w:t>
      </w:r>
    </w:p>
    <w:p w:rsidR="00BE1EFE" w:rsidRDefault="00BE1EFE">
      <w:pPr>
        <w:pStyle w:val="StandardWeb"/>
      </w:pPr>
      <w:r>
        <w:rPr>
          <w:rStyle w:val="kleinschrift"/>
        </w:rPr>
        <w:t>3</w:t>
      </w:r>
      <w:r>
        <w:t xml:space="preserve">Als zusatzversorgungspflichtiges Entgelt gilt für Kalendermonate, in denen Beschäftigte für mindestens einen Tag Anspruch auf Krankengeldzuschuss haben - auch wenn dieser wegen </w:t>
      </w:r>
      <w:r>
        <w:lastRenderedPageBreak/>
        <w:t xml:space="preserve">der Höhe der Barleistungen des Sozialversicherungsträgers nicht gezahlt wird -, das fiktive Entgelt nach </w:t>
      </w:r>
      <w:hyperlink r:id="rId1554" w:history="1">
        <w:r w:rsidRPr="002D1F1D">
          <w:rPr>
            <w:rStyle w:val="Hyperlink"/>
          </w:rPr>
          <w:t>§</w:t>
        </w:r>
        <w:r>
          <w:rPr>
            <w:rStyle w:val="Hyperlink"/>
          </w:rPr>
          <w:t xml:space="preserve"> </w:t>
        </w:r>
        <w:r w:rsidRPr="002D1F1D">
          <w:rPr>
            <w:rStyle w:val="Hyperlink"/>
          </w:rPr>
          <w:t>21 ABD Teil A, 1.</w:t>
        </w:r>
      </w:hyperlink>
      <w:r>
        <w:t xml:space="preserve"> bzw. entsprechenden Regelungen der Bayerischen Regional-KODA, das für die Tage, für die tatsächlich Anspruch auf Entgelt, Entgeltfortzahlung oder Krankengeldzuschuss bestand, im Falle eines entsprechenden Entgeltfortzahlungs</w:t>
      </w:r>
      <w:r>
        <w:softHyphen/>
        <w:t xml:space="preserve">anspruchs gezahlt worden wäre. </w:t>
      </w:r>
      <w:r>
        <w:rPr>
          <w:rStyle w:val="kleinschrift"/>
        </w:rPr>
        <w:t>4</w:t>
      </w:r>
      <w:r>
        <w:t xml:space="preserve">In diesen Kalendermonaten geleistete einmalige Zahlungen sind neben dem fiktiven Entgelt nach </w:t>
      </w:r>
      <w:hyperlink r:id="rId1555" w:history="1">
        <w:r w:rsidRPr="002D1F1D">
          <w:rPr>
            <w:rStyle w:val="Hyperlink"/>
          </w:rPr>
          <w:t>§ 21 ABD Teil A, 1.</w:t>
        </w:r>
      </w:hyperlink>
      <w:r>
        <w:t xml:space="preserve"> bzw. Regelungen der Bayerischen Regional-KODA nach Maßgabe der Sätze 1 und 2 zusatzversorgungspflichtiges Entgelt.</w:t>
      </w:r>
    </w:p>
    <w:p w:rsidR="00BE1EFE" w:rsidRDefault="00BE1EFE">
      <w:pPr>
        <w:pStyle w:val="StandardWeb"/>
      </w:pPr>
      <w:r>
        <w:rPr>
          <w:rStyle w:val="kleinschrift"/>
        </w:rPr>
        <w:t>5</w:t>
      </w:r>
      <w:r>
        <w:t xml:space="preserve">Für Beschäftigte, die zur Übernahme von Aufgaben der Entwicklungshilfe im Sinne des </w:t>
      </w:r>
      <w:hyperlink r:id="rId1556" w:tgtFrame="_blank" w:history="1">
        <w:r>
          <w:rPr>
            <w:rStyle w:val="Hyperlink"/>
          </w:rPr>
          <w:t>§ 1 Entwicklungshelfergesetz</w:t>
        </w:r>
      </w:hyperlink>
      <w:r>
        <w:t xml:space="preserve"> vom 18. Juni 1969 in der jeweils geltenden Fassung ohne Arbeitsentgelt beurlaubt sind, hat der Dienstgeber für die Zeit der Beurlaubung Umlagen an die Zusatzversorgungskasse der bayerischen Gemeinden abzuführen, wenn der Träger der Entwicklungshilfe die Umlagen erstattet.</w:t>
      </w:r>
      <w:r>
        <w:rPr>
          <w:rStyle w:val="kleinschrift"/>
        </w:rPr>
        <w:t xml:space="preserve"> 6</w:t>
      </w:r>
      <w:r>
        <w:t xml:space="preserve">Für die Bemessung der der Umlagen gilt als zusatzversorgungspflichtiges Entgelt das Entgelt, von dem nach </w:t>
      </w:r>
      <w:hyperlink r:id="rId1557" w:tgtFrame="_blank" w:history="1">
        <w:r>
          <w:rPr>
            <w:rStyle w:val="Hyperlink"/>
          </w:rPr>
          <w:t>§ 166 Absatz 1 Nummer 4 SGB VI</w:t>
        </w:r>
      </w:hyperlink>
      <w:r>
        <w:t xml:space="preserve"> die Beiträge für die gesetzliche Rentenversicherung zu berechnen sind.</w:t>
      </w:r>
    </w:p>
    <w:p w:rsidR="00BE1EFE" w:rsidRDefault="00BE1EFE" w:rsidP="00851983">
      <w:pPr>
        <w:pStyle w:val="berschrift6"/>
      </w:pPr>
      <w:bookmarkStart w:id="1042" w:name="_Toc523926562"/>
      <w:r>
        <w:t>Anlage 4: Versicherungsmathematische Grundsätze für die Bewertung der Verpflichtungen im Rahmen der versicherungstechnischen Bilanz</w:t>
      </w:r>
      <w:bookmarkEnd w:id="1042"/>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1. Bewertungsgegenstand</w:t>
      </w:r>
    </w:p>
    <w:p w:rsidR="00BE1EFE" w:rsidRPr="000B1AF8" w:rsidRDefault="00BE1EFE">
      <w:pPr>
        <w:pStyle w:val="StandardWeb"/>
      </w:pPr>
    </w:p>
    <w:p w:rsidR="00BE1EFE" w:rsidRDefault="00BE1EFE">
      <w:pPr>
        <w:pStyle w:val="StandardWeb"/>
      </w:pPr>
      <w:r>
        <w:rPr>
          <w:rStyle w:val="kleinschrift"/>
        </w:rPr>
        <w:t>1</w:t>
      </w:r>
      <w:r>
        <w:t xml:space="preserve">Bewertet werden die Verpflichtungen nach dem Stande vom Bilanzstichtag (= Inventurstichtag). </w:t>
      </w:r>
      <w:r>
        <w:rPr>
          <w:rStyle w:val="kleinschrift"/>
        </w:rPr>
        <w:t>2</w:t>
      </w:r>
      <w:r>
        <w:t>Bereits feststehende allgemeine Leistungsveränderungen, die erst nach dem Stichtag wirksam werden, bleiben unberücksichtigt.</w:t>
      </w:r>
    </w:p>
    <w:p w:rsidR="00BE1EFE" w:rsidRDefault="00BE1EFE">
      <w:pPr>
        <w:pStyle w:val="StandardWeb"/>
      </w:pPr>
    </w:p>
    <w:p w:rsidR="00BE1EFE" w:rsidRDefault="00BE1EFE" w:rsidP="0054275E">
      <w:pPr>
        <w:pStyle w:val="StandardWeb"/>
        <w:autoSpaceDE w:val="0"/>
      </w:pPr>
      <w:r>
        <w:rPr>
          <w:rStyle w:val="Fett"/>
          <w:bCs/>
        </w:rPr>
        <w:t>2. Bewertungsmethode</w:t>
      </w:r>
    </w:p>
    <w:p w:rsidR="00BE1EFE" w:rsidRDefault="00BE1EFE">
      <w:pPr>
        <w:pStyle w:val="StandardWeb"/>
      </w:pPr>
    </w:p>
    <w:p w:rsidR="00BE1EFE" w:rsidRDefault="00BE1EFE">
      <w:pPr>
        <w:pStyle w:val="StandardWeb"/>
      </w:pPr>
      <w:r>
        <w:t>Es wird der versicherungsmathematische Barwert der Verpflichtungen nach dem Grundsatz der Einzelbewertung ermittelt.</w:t>
      </w:r>
    </w:p>
    <w:p w:rsidR="00BE1EFE" w:rsidRDefault="00BE1EFE">
      <w:pPr>
        <w:pStyle w:val="StandardWeb"/>
        <w:rPr>
          <w:rStyle w:val="Fett"/>
          <w:bCs/>
        </w:rPr>
      </w:pPr>
    </w:p>
    <w:p w:rsidR="00BE1EFE" w:rsidRDefault="00BE1EFE" w:rsidP="0054275E">
      <w:pPr>
        <w:pStyle w:val="StandardWeb"/>
        <w:autoSpaceDE w:val="0"/>
      </w:pPr>
      <w:r>
        <w:rPr>
          <w:rStyle w:val="Fett"/>
          <w:bCs/>
        </w:rPr>
        <w:t>3. Rechnungsgrundlagen</w:t>
      </w:r>
    </w:p>
    <w:p w:rsidR="00BE1EFE" w:rsidRDefault="00BE1EFE">
      <w:pPr>
        <w:pStyle w:val="StandardWeb"/>
      </w:pPr>
    </w:p>
    <w:p w:rsidR="00BE1EFE" w:rsidRDefault="00BE1EFE">
      <w:pPr>
        <w:pStyle w:val="StandardWeb"/>
      </w:pPr>
      <w:r>
        <w:rPr>
          <w:rStyle w:val="kleinschrift"/>
        </w:rPr>
        <w:t>1</w:t>
      </w:r>
      <w:r>
        <w:t xml:space="preserve">Als biometrische Rechnungsgrundlagen dienen die Richttafeln 1998 von Klaus Heubeck. </w:t>
      </w:r>
      <w:r>
        <w:rPr>
          <w:rStyle w:val="kleinschrift"/>
        </w:rPr>
        <w:t>2</w:t>
      </w:r>
      <w:r>
        <w:t xml:space="preserve">Als Altersgrenze ist die Vollendung des 65. Lebensjahres in Ansatz zu bringen. </w:t>
      </w:r>
      <w:r>
        <w:rPr>
          <w:rStyle w:val="kleinschrift"/>
        </w:rPr>
        <w:t>3</w:t>
      </w:r>
      <w:r>
        <w:t>Der Rechnungszins beträgt 3,25% in der Zeit bis zum Eintritt eines Versorgungsfalles und 5,25% nach Eintritt eines Versorgungsfalles.</w:t>
      </w:r>
    </w:p>
    <w:p w:rsidR="00BE1EFE" w:rsidRDefault="00BE1EFE">
      <w:pPr>
        <w:pStyle w:val="StandardWeb"/>
      </w:pPr>
    </w:p>
    <w:p w:rsidR="00BE1EFE" w:rsidRDefault="00BE1EFE" w:rsidP="0054275E">
      <w:pPr>
        <w:pStyle w:val="StandardWeb"/>
        <w:autoSpaceDE w:val="0"/>
      </w:pPr>
      <w:r>
        <w:rPr>
          <w:rStyle w:val="Fett"/>
          <w:bCs/>
        </w:rPr>
        <w:t>4. Verwaltungskostenrückstellung</w:t>
      </w:r>
    </w:p>
    <w:p w:rsidR="00BE1EFE" w:rsidRDefault="00BE1EFE">
      <w:pPr>
        <w:pStyle w:val="StandardWeb"/>
      </w:pPr>
    </w:p>
    <w:p w:rsidR="00BE1EFE" w:rsidRDefault="00BE1EFE">
      <w:pPr>
        <w:pStyle w:val="StandardWeb"/>
      </w:pPr>
      <w:r>
        <w:t>Eine Verwaltungskostenrückstellung wird nicht gebildet.</w:t>
      </w:r>
    </w:p>
    <w:p w:rsidR="00BE1EFE" w:rsidRDefault="00BE1EFE">
      <w:pPr>
        <w:pStyle w:val="StandardWeb"/>
      </w:pPr>
    </w:p>
    <w:p w:rsidR="00BE1EFE" w:rsidRDefault="00BE1EFE" w:rsidP="0054275E">
      <w:pPr>
        <w:pStyle w:val="StandardWeb"/>
        <w:autoSpaceDE w:val="0"/>
      </w:pPr>
      <w:r>
        <w:rPr>
          <w:rStyle w:val="Fett"/>
          <w:bCs/>
        </w:rPr>
        <w:t>5. Sonstiges</w:t>
      </w:r>
    </w:p>
    <w:p w:rsidR="00BE1EFE" w:rsidRDefault="00BE1EFE">
      <w:pPr>
        <w:pStyle w:val="StandardWeb"/>
      </w:pPr>
    </w:p>
    <w:p w:rsidR="00BE1EFE" w:rsidRPr="00D53BF0" w:rsidRDefault="00BE1EFE">
      <w:pPr>
        <w:pStyle w:val="StandardWeb"/>
        <w:rPr>
          <w:sz w:val="2"/>
          <w:szCs w:val="2"/>
        </w:rPr>
      </w:pPr>
      <w:r>
        <w:rPr>
          <w:rStyle w:val="kleinschrift"/>
        </w:rPr>
        <w:t>1</w:t>
      </w:r>
      <w:r>
        <w:t>Solange die den Besitzstand abbildenden Versorgungspunkte noch nicht ermittelt sind, werden die anzurechnenden Sozialversicherungsrenten nach dem steuerlichen Näherungs</w:t>
      </w:r>
      <w:r>
        <w:softHyphen/>
        <w:t xml:space="preserve">verfahren in Ansatz gebracht. </w:t>
      </w:r>
      <w:r>
        <w:rPr>
          <w:rStyle w:val="kleinschrift"/>
        </w:rPr>
        <w:t>2</w:t>
      </w:r>
      <w:r>
        <w:t>Der in diesem Verfahren anzusetzende Korrekturfaktor wird einheitlich für alle Berechtigten auf 0,9086 festgesetzt, Entgelt und Beitragsbemessungs</w:t>
      </w:r>
      <w:r>
        <w:softHyphen/>
        <w:t xml:space="preserve">grenze sind nach dem Stande vom 31. 12. 2001 zu berücksichtigen. </w:t>
      </w:r>
      <w:r>
        <w:rPr>
          <w:rStyle w:val="kleinschrift"/>
        </w:rPr>
        <w:t>3</w:t>
      </w:r>
      <w:r>
        <w:t>Ein nach Feststellung der den Besitzstand abbildenden Versorgungspunkte ermittelten Unterschiedsbetrag gegenüber dem vorläufigen Bewertungsansatz bleibt bei der Ermittlung des Überschusses unberücksichtigt.</w:t>
      </w:r>
      <w:r>
        <w:br w:type="page"/>
      </w:r>
    </w:p>
    <w:p w:rsidR="00BE1EFE" w:rsidRPr="00D53BF0" w:rsidRDefault="00BE1EFE" w:rsidP="00D53BF0">
      <w:pPr>
        <w:pStyle w:val="berschrift6"/>
        <w:spacing w:before="0"/>
        <w:rPr>
          <w:lang w:eastAsia="x-none"/>
        </w:rPr>
      </w:pPr>
      <w:bookmarkStart w:id="1043" w:name="_Toc523926563"/>
      <w:r>
        <w:lastRenderedPageBreak/>
        <w:t>Anlage 5: Altersvorsorgeplan 2001 des öffentlichen Dienstes</w:t>
      </w:r>
      <w:bookmarkEnd w:id="104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Dieser Tarifvertrag des öffentlichen Dienstes gilt einheitlich für die Tarifgebiete Ost und West.</w:t>
      </w:r>
    </w:p>
    <w:p w:rsidR="00BE1EFE" w:rsidRPr="000B1AF8" w:rsidRDefault="00BE1EFE">
      <w:pPr>
        <w:pStyle w:val="StandardWeb"/>
      </w:pPr>
    </w:p>
    <w:p w:rsidR="00BE1EFE" w:rsidRDefault="00BE1EFE" w:rsidP="0054275E">
      <w:pPr>
        <w:pStyle w:val="StandardWeb"/>
        <w:autoSpaceDE w:val="0"/>
      </w:pPr>
      <w:r>
        <w:rPr>
          <w:rStyle w:val="Fett"/>
          <w:bCs/>
        </w:rPr>
        <w:t>1. Ablösung des Gesamtversorgungssystems</w:t>
      </w:r>
    </w:p>
    <w:p w:rsidR="00BE1EFE" w:rsidRDefault="00BE1EFE">
      <w:pPr>
        <w:pStyle w:val="StandardWeb"/>
      </w:pPr>
    </w:p>
    <w:p w:rsidR="00BE1EFE" w:rsidRDefault="00BE1EFE">
      <w:pPr>
        <w:pStyle w:val="StandardWeb"/>
      </w:pPr>
      <w:r>
        <w:t>1.1 </w:t>
      </w:r>
      <w:r>
        <w:rPr>
          <w:rStyle w:val="kleinschrift"/>
        </w:rPr>
        <w:t>1</w:t>
      </w:r>
      <w:r>
        <w:t xml:space="preserve">Das bisherige Gesamtversorgungssystem wird mit Ablauf des 31.12.2000 geschlossen und durch das Punktemodell ersetzt. </w:t>
      </w:r>
      <w:r>
        <w:rPr>
          <w:rStyle w:val="kleinschrift"/>
        </w:rPr>
        <w:t>2</w:t>
      </w:r>
      <w:r>
        <w:t>Zur juristischen Bewertung vgl. Anlage 1.</w:t>
      </w:r>
    </w:p>
    <w:p w:rsidR="00BE1EFE" w:rsidRDefault="00BE1EFE">
      <w:pPr>
        <w:pStyle w:val="StandardWeb"/>
      </w:pPr>
    </w:p>
    <w:p w:rsidR="00BE1EFE" w:rsidRDefault="00BE1EFE">
      <w:pPr>
        <w:pStyle w:val="StandardWeb"/>
      </w:pPr>
      <w:r>
        <w:t>1.2 Auf ein Zurückfallen der Renten und Anwartschaften auf den Stand des Jahres 2000 wird verzichtet.</w:t>
      </w:r>
    </w:p>
    <w:p w:rsidR="00BE1EFE" w:rsidRDefault="00BE1EFE">
      <w:pPr>
        <w:pStyle w:val="StandardWeb"/>
      </w:pPr>
    </w:p>
    <w:p w:rsidR="00BE1EFE" w:rsidRDefault="00BE1EFE">
      <w:pPr>
        <w:pStyle w:val="StandardWeb"/>
      </w:pPr>
      <w:r>
        <w:t>1.3 </w:t>
      </w:r>
      <w:r>
        <w:rPr>
          <w:rStyle w:val="kleinschrift"/>
        </w:rPr>
        <w:t>1</w:t>
      </w:r>
      <w:r>
        <w:t xml:space="preserve">Durch den Systemwechsel erhalten die Arbeitnehmer die Möglichkeit, eine zusätzliche kapitalgedeckte Altersversorgung durch eigene Beiträge unter Inanspruchnahme der steuerlichen Förderung aufzubauen (Riester-Rente). </w:t>
      </w:r>
      <w:r>
        <w:rPr>
          <w:rStyle w:val="kleinschrift"/>
        </w:rPr>
        <w:t>2</w:t>
      </w:r>
      <w:r>
        <w:t xml:space="preserve">Diese Möglichkeit soll auch bei den Zusatzversorgungskassen eröffnet werden. </w:t>
      </w:r>
      <w:r>
        <w:rPr>
          <w:rStyle w:val="kleinschrift"/>
        </w:rPr>
        <w:t>3</w:t>
      </w:r>
      <w:r>
        <w:t>Die Möglichkeit der Entgeltumwandlung besteht derzeit - einheitlich für alle Arbeitnehmer - nicht; die Tarifvertragsparteien geben sich eine Verhandlungszusage für eine tarifvertragliche Regelung zur Entgeltumwandlung.</w:t>
      </w:r>
    </w:p>
    <w:p w:rsidR="00BE1EFE" w:rsidRDefault="00BE1EFE">
      <w:pPr>
        <w:pStyle w:val="StandardWeb"/>
      </w:pPr>
    </w:p>
    <w:p w:rsidR="00BE1EFE" w:rsidRDefault="00BE1EFE">
      <w:pPr>
        <w:pStyle w:val="StandardWeb"/>
      </w:pPr>
      <w:r>
        <w:t>1.4 </w:t>
      </w:r>
      <w:r>
        <w:rPr>
          <w:rStyle w:val="kleinschrift"/>
        </w:rPr>
        <w:t>1</w:t>
      </w:r>
      <w:r>
        <w:t xml:space="preserve">Die Umlagefinanzierung wird auch nach Systemwechsel beibehalten. </w:t>
      </w:r>
      <w:r>
        <w:rPr>
          <w:rStyle w:val="kleinschrift"/>
        </w:rPr>
        <w:t>2</w:t>
      </w:r>
      <w:r>
        <w:t>Sie kann schrittweise nach den Möglichkeiten der einzelnen Zusatzversorgungskassen durch Kapitaldeckung abgelöst werden (Kombinationsmodell).</w:t>
      </w:r>
    </w:p>
    <w:p w:rsidR="00BE1EFE" w:rsidRDefault="00BE1EFE">
      <w:pPr>
        <w:pStyle w:val="StandardWeb"/>
      </w:pPr>
    </w:p>
    <w:p w:rsidR="00BE1EFE" w:rsidRDefault="00BE1EFE" w:rsidP="0054275E">
      <w:pPr>
        <w:pStyle w:val="StandardWeb"/>
        <w:autoSpaceDE w:val="0"/>
      </w:pPr>
      <w:r>
        <w:rPr>
          <w:rStyle w:val="Fett"/>
          <w:bCs/>
        </w:rPr>
        <w:t>2. Punktemodell</w:t>
      </w:r>
    </w:p>
    <w:p w:rsidR="00BE1EFE" w:rsidRDefault="00BE1EFE">
      <w:pPr>
        <w:pStyle w:val="StandardWeb"/>
      </w:pPr>
    </w:p>
    <w:p w:rsidR="00BE1EFE" w:rsidRDefault="00BE1EFE">
      <w:pPr>
        <w:pStyle w:val="StandardWeb"/>
      </w:pPr>
      <w:r>
        <w:t>2.1 </w:t>
      </w:r>
      <w:r>
        <w:rPr>
          <w:rStyle w:val="kleinschrift"/>
        </w:rPr>
        <w:t>1</w:t>
      </w:r>
      <w:r>
        <w:t xml:space="preserve">Die Leistungsbemessung erfolgt nach dem Punktemodell. </w:t>
      </w:r>
      <w:r>
        <w:rPr>
          <w:rStyle w:val="kleinschrift"/>
        </w:rPr>
        <w:t>2</w:t>
      </w:r>
      <w:r>
        <w:t>Es werden diejenigen Leis</w:t>
      </w:r>
      <w:r>
        <w:softHyphen/>
        <w:t>tungen zugesagt, die sich ergeben würden, wenn eine Gesamt-Beitragsleistung von 4 v. H. vollständig in ein kapitalgedecktes System eingezahlt würde.</w:t>
      </w:r>
    </w:p>
    <w:p w:rsidR="00BE1EFE" w:rsidRDefault="00BE1EFE">
      <w:pPr>
        <w:pStyle w:val="StandardWeb"/>
      </w:pPr>
    </w:p>
    <w:p w:rsidR="00BE1EFE" w:rsidRDefault="00BE1EFE">
      <w:pPr>
        <w:pStyle w:val="StandardWeb"/>
      </w:pPr>
      <w:r>
        <w:t>2.2 </w:t>
      </w:r>
      <w:r>
        <w:rPr>
          <w:rStyle w:val="kleinschrift"/>
        </w:rPr>
        <w:t>1</w:t>
      </w:r>
      <w:r>
        <w:t xml:space="preserve">Soweit eine Kapitaldeckung vorhanden ist, werden die tatsächlich erzielten Kapitalerträge veranschlagt. </w:t>
      </w:r>
      <w:r>
        <w:rPr>
          <w:rStyle w:val="kleinschrift"/>
        </w:rPr>
        <w:t>2</w:t>
      </w:r>
      <w:r>
        <w:t xml:space="preserve">Soweit keine Kapitaldeckung vorhanden ist, wird jährlich die laufende Verzinsung der zehn größten Pensionskassen gemäß jeweils aktuellem Geschäftsbericht des Bundesaufsichtsamtes für das Versicherungswesen (bzw. Nachfolgeeinrichtung) zugrunde gelegt. </w:t>
      </w:r>
      <w:r>
        <w:rPr>
          <w:rStyle w:val="kleinschrift"/>
        </w:rPr>
        <w:t>3</w:t>
      </w:r>
      <w:r>
        <w:t xml:space="preserve">Überschüsse werden wie bei einer Pensionskasse festgestellt. </w:t>
      </w:r>
      <w:r>
        <w:rPr>
          <w:rStyle w:val="kleinschrift"/>
        </w:rPr>
        <w:t>4</w:t>
      </w:r>
      <w:r>
        <w:t xml:space="preserve">Von diesen Überschüssen werden nach Abzug der Verwaltungskosten (soweit fiktiv: 2 v. H.) vorrangig die sozialen Komponenten und dann Bonuspunkte finanziert. </w:t>
      </w:r>
      <w:r>
        <w:rPr>
          <w:rStyle w:val="kleinschrift"/>
        </w:rPr>
        <w:t>5</w:t>
      </w:r>
      <w:r>
        <w:t>Soziale Komponenten sind:</w:t>
      </w:r>
    </w:p>
    <w:p w:rsidR="00BE1EFE" w:rsidRDefault="00BE1EFE">
      <w:pPr>
        <w:pStyle w:val="StandardWeb"/>
      </w:pPr>
    </w:p>
    <w:p w:rsidR="00BE1EFE" w:rsidRDefault="00BE1EFE">
      <w:pPr>
        <w:pStyle w:val="StandardWeb"/>
      </w:pPr>
      <w:r>
        <w:t>a) Zurechnungszeiten bei Erwerbsminderungs- und Hinterbliebenenrenten (vgl. Textziffer 2.5)</w:t>
      </w:r>
    </w:p>
    <w:p w:rsidR="00BE1EFE" w:rsidRDefault="00BE1EFE">
      <w:pPr>
        <w:pStyle w:val="StandardWeb"/>
      </w:pPr>
    </w:p>
    <w:p w:rsidR="00BE1EFE" w:rsidRDefault="00BE1EFE">
      <w:pPr>
        <w:pStyle w:val="StandardWeb"/>
      </w:pPr>
      <w:r>
        <w:t>b) Kindererziehungszeiten Berücksichtigung eines Beitrages von 20 Euro pro Monat pro Kind für die Dauer der gesetzlichen Erziehungszeit (ohne Beschäftigung).</w:t>
      </w:r>
    </w:p>
    <w:p w:rsidR="00BE1EFE" w:rsidRDefault="00BE1EFE">
      <w:pPr>
        <w:pStyle w:val="StandardWeb"/>
      </w:pPr>
    </w:p>
    <w:p w:rsidR="00BE1EFE" w:rsidRDefault="00BE1EFE">
      <w:pPr>
        <w:pStyle w:val="StandardWeb"/>
      </w:pPr>
      <w:r>
        <w:t>c) </w:t>
      </w:r>
      <w:r>
        <w:rPr>
          <w:rStyle w:val="kleinschrift"/>
        </w:rPr>
        <w:t>6</w:t>
      </w:r>
      <w:r>
        <w:t xml:space="preserve">Übergangsregelung für alle Versicherten mit einer Mindestpflichtversicherungszeit von 20 Jahren, die monatlich weniger als 3600 DM brutto verdienen. </w:t>
      </w:r>
      <w:r>
        <w:rPr>
          <w:rStyle w:val="kleinschrift"/>
        </w:rPr>
        <w:t>7</w:t>
      </w:r>
      <w:r>
        <w:t>Ihre erworbenen Anwartschaf</w:t>
      </w:r>
      <w:r>
        <w:softHyphen/>
        <w:t>ten werden festgestellt und ggf. auf mindestens 0,8 Versorgungspunkte für jedes volle Kalenderjahr der Pflichtversicherung angehoben (Einbeziehung des Beschäftigungs</w:t>
      </w:r>
      <w:r>
        <w:softHyphen/>
        <w:t>quotienten).</w:t>
      </w:r>
    </w:p>
    <w:p w:rsidR="00BE1EFE" w:rsidRDefault="00BE1EFE">
      <w:pPr>
        <w:pStyle w:val="StandardWeb"/>
      </w:pPr>
    </w:p>
    <w:p w:rsidR="00BE1EFE" w:rsidRDefault="00BE1EFE">
      <w:pPr>
        <w:pStyle w:val="StandardWeb"/>
      </w:pPr>
      <w:r>
        <w:t>2.3 </w:t>
      </w:r>
      <w:r>
        <w:rPr>
          <w:rStyle w:val="kleinschrift"/>
        </w:rPr>
        <w:t>1</w:t>
      </w:r>
      <w:r>
        <w:t xml:space="preserve">Die als Anlage beigefügte Tabelle kommt zur Anwendung. </w:t>
      </w:r>
      <w:r>
        <w:rPr>
          <w:rStyle w:val="kleinschrift"/>
        </w:rPr>
        <w:t>2</w:t>
      </w:r>
      <w:r>
        <w:t xml:space="preserve">Diese Tabelle basiert auf folgenden Parametern: Ein Zinssatz entsprechend </w:t>
      </w:r>
      <w:r w:rsidRPr="001E7100">
        <w:t>§ 2</w:t>
      </w:r>
      <w:r>
        <w:t xml:space="preserve"> der Deckungsrückstellungsverordnung von derzeit 3,25 v. H. vor Eintritt des Versorgungsfalls wird zugrunde gelegt. </w:t>
      </w:r>
      <w:r>
        <w:rPr>
          <w:rStyle w:val="kleinschrift"/>
        </w:rPr>
        <w:t>3</w:t>
      </w:r>
      <w:r>
        <w:t xml:space="preserve">Nach Eintritt des Versorgungsfalls gilt ein Zinssatz von 5,25 v. H. </w:t>
      </w:r>
      <w:r>
        <w:rPr>
          <w:rStyle w:val="kleinschrift"/>
        </w:rPr>
        <w:t>4</w:t>
      </w:r>
      <w:r>
        <w:t xml:space="preserve">Bei Änderungen des Verordnungszinssatzes gilt dieser bis zum Wirksamwerden einer entsprechenden tarifvertraglichen Anpassung fort. </w:t>
      </w:r>
      <w:r>
        <w:rPr>
          <w:rStyle w:val="kleinschrift"/>
        </w:rPr>
        <w:lastRenderedPageBreak/>
        <w:t>5</w:t>
      </w:r>
      <w:r>
        <w:t>Die versicherungsmathematischen Berechnungen basieren auf den Richttafeln 1998 von Klaus Heubeck.</w:t>
      </w:r>
    </w:p>
    <w:p w:rsidR="00BE1EFE" w:rsidRDefault="00BE1EFE">
      <w:pPr>
        <w:pStyle w:val="StandardWeb"/>
      </w:pPr>
    </w:p>
    <w:p w:rsidR="00BE1EFE" w:rsidRDefault="00BE1EFE">
      <w:pPr>
        <w:pStyle w:val="StandardWeb"/>
      </w:pPr>
      <w:r>
        <w:t>2.4 </w:t>
      </w:r>
      <w:r>
        <w:rPr>
          <w:rStyle w:val="kleinschrift"/>
        </w:rPr>
        <w:t>1</w:t>
      </w:r>
      <w:r>
        <w:t xml:space="preserve">Die Versicherungsfälle entsprechen denen in der gesetzlichen Rentenversicherung (Altersrenten, Erwerbsminderungsrenten, Hinterbliebenenrenten). </w:t>
      </w:r>
      <w:r>
        <w:rPr>
          <w:rStyle w:val="kleinschrift"/>
        </w:rPr>
        <w:t>2</w:t>
      </w:r>
      <w:r>
        <w:t>Bei teilweiser Erwerbs</w:t>
      </w:r>
      <w:r>
        <w:softHyphen/>
        <w:t xml:space="preserve">minderung wird die Hälfte des Betrages gezahlt, der bei voller Erwerbsminderung zustünde. </w:t>
      </w:r>
      <w:r>
        <w:rPr>
          <w:rStyle w:val="kleinschrift"/>
        </w:rPr>
        <w:t>3</w:t>
      </w:r>
      <w:r>
        <w:t>Abschläge werden für jeden Monat der vorzeitigen Inanspruchnahme der Rente (wie gesetzliche Rentenversicherung) in Höhe von 0,3 v. H. erhoben; höchstens jedoch insgesamt 10,8 v. H.</w:t>
      </w:r>
    </w:p>
    <w:p w:rsidR="00BE1EFE" w:rsidRDefault="00BE1EFE">
      <w:pPr>
        <w:pStyle w:val="StandardWeb"/>
      </w:pPr>
    </w:p>
    <w:p w:rsidR="00BE1EFE" w:rsidRDefault="00BE1EFE">
      <w:pPr>
        <w:pStyle w:val="StandardWeb"/>
      </w:pPr>
      <w:r>
        <w:t>2.5 </w:t>
      </w:r>
      <w:r>
        <w:rPr>
          <w:rStyle w:val="kleinschrift"/>
        </w:rPr>
        <w:t>1</w:t>
      </w:r>
      <w:r>
        <w:t>Bei Erwerbsminderungs- und Hinterbliebenenrenten vor Vollendung des 60. Lebens</w:t>
      </w:r>
      <w:r>
        <w:softHyphen/>
        <w:t xml:space="preserve">jahres werden Versorgungspunkte hinzugerechnet. </w:t>
      </w:r>
      <w:r>
        <w:rPr>
          <w:rStyle w:val="kleinschrift"/>
        </w:rPr>
        <w:t>2</w:t>
      </w:r>
      <w:r>
        <w:t>Für ein Referenzentgelt wird für jedes Kalenderjahr vor Vollendung des 60. Lebensjahres je ein Versorgungspunkt hinzugerechnet.</w:t>
      </w:r>
    </w:p>
    <w:p w:rsidR="00BE1EFE" w:rsidRDefault="00BE1EFE">
      <w:pPr>
        <w:pStyle w:val="StandardWeb"/>
      </w:pPr>
    </w:p>
    <w:p w:rsidR="00BE1EFE" w:rsidRDefault="00BE1EFE">
      <w:pPr>
        <w:pStyle w:val="StandardWeb"/>
      </w:pPr>
      <w:r>
        <w:t>2.6 </w:t>
      </w:r>
      <w:r>
        <w:rPr>
          <w:rStyle w:val="kleinschrift"/>
        </w:rPr>
        <w:t>1</w:t>
      </w:r>
      <w:r>
        <w:t xml:space="preserve">Von den Verpflichtungen zur Beitragszahlung in der Textziffer 2.1 dieses Tarifvertrages kann bis zu einer Mindesthöhe von 2 v. H. für die Dauer von bis zu drei Jahren im Rahmen eines landesbezirklichen Tarifvertrages abgewichen werden, wenn sich der Betrieb in einer wirtschaftlichen Notlage befindet. </w:t>
      </w:r>
      <w:r>
        <w:rPr>
          <w:rStyle w:val="kleinschrift"/>
        </w:rPr>
        <w:t>2</w:t>
      </w:r>
      <w:r>
        <w:t xml:space="preserve">Die Feststellung der wirtschaftlichen Notlage wird durch eine paritätisch besetzte Kommission der Tarifvertragsparteien getroffen. </w:t>
      </w:r>
      <w:r>
        <w:rPr>
          <w:rStyle w:val="kleinschrift"/>
        </w:rPr>
        <w:t>3</w:t>
      </w:r>
      <w:r>
        <w:t>Die Regelung kann verlängert werden.</w:t>
      </w:r>
    </w:p>
    <w:p w:rsidR="00BE1EFE" w:rsidRDefault="00BE1EFE">
      <w:pPr>
        <w:pStyle w:val="StandardWeb"/>
      </w:pPr>
    </w:p>
    <w:p w:rsidR="00BE1EFE" w:rsidRDefault="00BE1EFE">
      <w:pPr>
        <w:pStyle w:val="StandardWeb"/>
      </w:pPr>
      <w:r>
        <w:t>2.7 </w:t>
      </w:r>
      <w:r>
        <w:rPr>
          <w:rStyle w:val="kleinschrift"/>
        </w:rPr>
        <w:t>1</w:t>
      </w:r>
      <w:r>
        <w:t xml:space="preserve">Entgelte aus Altersteilzeit werden in Höhe des vereinbarten Entgelts mindestens jedoch mit 90 v. H. des vor Beginn der Altersteilzeit maßgebenden Wertes berücksichtigt (wie nach bisherigem Recht). </w:t>
      </w:r>
      <w:r>
        <w:rPr>
          <w:rStyle w:val="kleinschrift"/>
        </w:rPr>
        <w:t>2</w:t>
      </w:r>
      <w:r>
        <w:t>Fälle des Vorruhestandes werden wie nach altem Recht behandelt.</w:t>
      </w:r>
    </w:p>
    <w:p w:rsidR="00BE1EFE" w:rsidRDefault="00BE1EFE">
      <w:pPr>
        <w:pStyle w:val="StandardWeb"/>
      </w:pPr>
    </w:p>
    <w:p w:rsidR="00BE1EFE" w:rsidRDefault="00BE1EFE" w:rsidP="0054275E">
      <w:pPr>
        <w:pStyle w:val="StandardWeb"/>
        <w:autoSpaceDE w:val="0"/>
      </w:pPr>
      <w:r>
        <w:rPr>
          <w:rStyle w:val="Fett"/>
          <w:bCs/>
        </w:rPr>
        <w:t>3. Übergangsrecht</w:t>
      </w:r>
    </w:p>
    <w:p w:rsidR="00BE1EFE" w:rsidRDefault="00BE1EFE">
      <w:pPr>
        <w:pStyle w:val="StandardWeb"/>
      </w:pPr>
    </w:p>
    <w:p w:rsidR="00BE1EFE" w:rsidRDefault="00BE1EFE">
      <w:pPr>
        <w:pStyle w:val="StandardWeb"/>
      </w:pPr>
      <w:r>
        <w:t>3.1 Die Höhe der laufenden Renten und der Ausgleichsbeträge wird zum 31.12.2001 festgestellt.</w:t>
      </w:r>
    </w:p>
    <w:p w:rsidR="00BE1EFE" w:rsidRDefault="00BE1EFE">
      <w:pPr>
        <w:pStyle w:val="StandardWeb"/>
      </w:pPr>
    </w:p>
    <w:p w:rsidR="00BE1EFE" w:rsidRDefault="00BE1EFE">
      <w:pPr>
        <w:pStyle w:val="StandardWeb"/>
      </w:pPr>
      <w:r>
        <w:t>3.2 </w:t>
      </w:r>
      <w:r>
        <w:rPr>
          <w:rStyle w:val="kleinschrift"/>
        </w:rPr>
        <w:t>1</w:t>
      </w:r>
      <w:r>
        <w:t xml:space="preserve">Die laufenden Renten werden als Besitzstandsrenten weitergezahlt. </w:t>
      </w:r>
      <w:r>
        <w:rPr>
          <w:rStyle w:val="kleinschrift"/>
        </w:rPr>
        <w:t>2</w:t>
      </w:r>
      <w:r>
        <w:t>Die abbaubaren Ausgleichsbeträge werden in Höhe des Dynamisierungsgewinns abgebaut.</w:t>
      </w:r>
    </w:p>
    <w:p w:rsidR="00BE1EFE" w:rsidRDefault="00BE1EFE">
      <w:pPr>
        <w:pStyle w:val="StandardWeb"/>
      </w:pPr>
    </w:p>
    <w:p w:rsidR="00BE1EFE" w:rsidRDefault="00BE1EFE">
      <w:pPr>
        <w:pStyle w:val="StandardWeb"/>
      </w:pPr>
      <w:r>
        <w:t>3.3 Die Besitzstandsrenten und die Neurenten werden beginnend mit dem Jahr 2002 jeweils zum 1.7. eines Jahres bis 2007 mit 1 v. H. jährlich dynamisiert.</w:t>
      </w:r>
    </w:p>
    <w:p w:rsidR="00BE1EFE" w:rsidRDefault="00BE1EFE">
      <w:pPr>
        <w:pStyle w:val="StandardWeb"/>
      </w:pPr>
    </w:p>
    <w:p w:rsidR="00BE1EFE" w:rsidRDefault="00BE1EFE">
      <w:pPr>
        <w:pStyle w:val="StandardWeb"/>
      </w:pPr>
      <w:r>
        <w:t>3.4 Die Anwartschaften der am 31.12.2001 schon und am 1.1.2002 noch pflichtversicherten Arbeitnehmer werden wie folgt berechnet:</w:t>
      </w:r>
    </w:p>
    <w:p w:rsidR="00BE1EFE" w:rsidRDefault="00BE1EFE">
      <w:pPr>
        <w:pStyle w:val="StandardWeb"/>
      </w:pPr>
    </w:p>
    <w:p w:rsidR="00BE1EFE" w:rsidRDefault="00BE1EFE">
      <w:pPr>
        <w:pStyle w:val="StandardWeb"/>
      </w:pPr>
      <w:r>
        <w:t>3.4.1 </w:t>
      </w:r>
      <w:r>
        <w:rPr>
          <w:rStyle w:val="kleinschrift"/>
        </w:rPr>
        <w:t>1</w:t>
      </w:r>
      <w:r>
        <w:t xml:space="preserve">Es gelten die Berechnungsvorgaben des </w:t>
      </w:r>
      <w:hyperlink r:id="rId1558" w:tgtFrame="_self" w:history="1">
        <w:r>
          <w:rPr>
            <w:rStyle w:val="Hyperlink"/>
          </w:rPr>
          <w:t>§ 18 Absatz 2 BetrAVG</w:t>
        </w:r>
      </w:hyperlink>
      <w:r>
        <w:t xml:space="preserve">. </w:t>
      </w:r>
      <w:r>
        <w:rPr>
          <w:rStyle w:val="kleinschrift"/>
        </w:rPr>
        <w:t>2</w:t>
      </w:r>
      <w:r>
        <w:t xml:space="preserve">Der danach festgestellte Betrag wird in Versorgungspunkte unter Berücksichtigung eines Zinssatzes von 3,25 umgerechnet und in das Punktemodell transferiert. </w:t>
      </w:r>
      <w:r>
        <w:rPr>
          <w:rStyle w:val="kleinschrift"/>
        </w:rPr>
        <w:t>3</w:t>
      </w:r>
      <w:r>
        <w:t>Die transferierten Versorgungs</w:t>
      </w:r>
      <w:r>
        <w:softHyphen/>
        <w:t>punkte nehmen an der Dynamisierung nach Ziffer 2.2 teil.</w:t>
      </w:r>
    </w:p>
    <w:p w:rsidR="00BE1EFE" w:rsidRDefault="00BE1EFE">
      <w:pPr>
        <w:pStyle w:val="StandardWeb"/>
      </w:pPr>
    </w:p>
    <w:p w:rsidR="00BE1EFE" w:rsidRDefault="00BE1EFE">
      <w:pPr>
        <w:pStyle w:val="StandardWeb"/>
      </w:pPr>
      <w:r>
        <w:t>3.4.2 Für Arbeitnehmer im Tarifgebiet West, die am 1.1.2002 das 55. Lebensjahrvollendet haben (rentennahe Jahrgänge), gilt folgende Besitzstandsregelung: Auf der Grundlage des am 31.12.2000 geltenden Rechts der Zusatzversorgung ist Ausgangswert für die Bemessung des in das Punktemodell zu transferierenden Betrages die individuell bestimmte Versorgungsrente im Alter von 63 (bei Behinderten Alter entsprechend gesetzlicher Renten</w:t>
      </w:r>
      <w:r>
        <w:softHyphen/>
        <w:t xml:space="preserve">versicherung) unter Berücksichtigung der Mindestgesamtversorgung und des </w:t>
      </w:r>
      <w:hyperlink r:id="rId1559" w:tgtFrame="_blank" w:history="1">
        <w:r>
          <w:rPr>
            <w:rStyle w:val="Hyperlink"/>
          </w:rPr>
          <w:t>§ 44 a VBL-Satzung</w:t>
        </w:r>
      </w:hyperlink>
      <w:r>
        <w:t xml:space="preserve"> bzw. entsprechende Versorgungsregelung; die gesetzliche Rente ist nach persönlichen Daten anzurechnen; von diesem nach den Bemessungsgrößen per 31.12.2001 einmalig ermittelten Ausgangswert ist die aus dem Punktemodell noch zu erwerbende </w:t>
      </w:r>
      <w:r>
        <w:lastRenderedPageBreak/>
        <w:t>Betriebsrente abzuziehen; die Differenz ist die Besitzstandsrente; sie wird in Versorgungspunkte umgerechnet und in das Punktemodell transferiert.</w:t>
      </w:r>
    </w:p>
    <w:p w:rsidR="00BE1EFE" w:rsidRDefault="00BE1EFE">
      <w:pPr>
        <w:pStyle w:val="StandardWeb"/>
      </w:pPr>
    </w:p>
    <w:p w:rsidR="00BE1EFE" w:rsidRDefault="00BE1EFE">
      <w:pPr>
        <w:pStyle w:val="StandardWeb"/>
      </w:pPr>
      <w:r>
        <w:t>3.4.3 Textziffer 3.4.2 gilt entsprechend für solche Arbeitnehmer, die im Jahre 2001 das 55. Lebensjahr vollendet und vor In-Kraft-Treten des Tarifvertrages Altersteilzeit bzw. Vorruhestand vereinbart haben.</w:t>
      </w:r>
    </w:p>
    <w:p w:rsidR="00BE1EFE" w:rsidRDefault="00BE1EFE">
      <w:pPr>
        <w:pStyle w:val="StandardWeb"/>
      </w:pPr>
    </w:p>
    <w:p w:rsidR="00BE1EFE" w:rsidRDefault="00BE1EFE">
      <w:pPr>
        <w:pStyle w:val="StandardWeb"/>
      </w:pPr>
      <w:r>
        <w:t>3.</w:t>
      </w:r>
      <w:r w:rsidRPr="00DD1038">
        <w:t>5</w:t>
      </w:r>
      <w:r>
        <w:t> </w:t>
      </w:r>
      <w:r w:rsidRPr="00DD1038">
        <w:t>Die</w:t>
      </w:r>
      <w:r>
        <w:t xml:space="preserve"> im bisherigen Versorgungssystem erworbenen Anwartschaften von Arbeitnehmern, die am 1.1.2002 nicht mehr pflichtversichert sind und die eine unverfallbare Anwartschaft haben, werden entsprechend der bisherigen Versicherungsrentenberechnung festgestellt, transferiert und nicht dynamisiert.</w:t>
      </w:r>
    </w:p>
    <w:p w:rsidR="00BE1EFE" w:rsidRDefault="00BE1EFE">
      <w:pPr>
        <w:pStyle w:val="StandardWeb"/>
      </w:pPr>
    </w:p>
    <w:p w:rsidR="00BE1EFE" w:rsidRDefault="00BE1EFE" w:rsidP="0054275E">
      <w:pPr>
        <w:pStyle w:val="StandardWeb"/>
        <w:autoSpaceDE w:val="0"/>
      </w:pPr>
      <w:r>
        <w:rPr>
          <w:rStyle w:val="Fett"/>
          <w:bCs/>
        </w:rPr>
        <w:t>4. Finanzierung</w:t>
      </w:r>
    </w:p>
    <w:p w:rsidR="00BE1EFE" w:rsidRDefault="00BE1EFE">
      <w:pPr>
        <w:pStyle w:val="StandardWeb"/>
      </w:pPr>
    </w:p>
    <w:p w:rsidR="00BE1EFE" w:rsidRDefault="00BE1EFE">
      <w:pPr>
        <w:pStyle w:val="StandardWeb"/>
      </w:pPr>
      <w:r>
        <w:t>4.1 </w:t>
      </w:r>
      <w:r>
        <w:rPr>
          <w:rStyle w:val="kleinschrift"/>
        </w:rPr>
        <w:t>1</w:t>
      </w:r>
      <w:r>
        <w:t xml:space="preserve">Jede Kasse regelt ihre Finanzierung selbst. </w:t>
      </w:r>
      <w:r>
        <w:rPr>
          <w:rStyle w:val="kleinschrift"/>
        </w:rPr>
        <w:t>2</w:t>
      </w:r>
      <w:r>
        <w:t xml:space="preserve">Zusätzlicher Finanzbedarf über die tatsächliche Umlage des Jahres 2001 hinaus (Stichtag 1.11.2001) – mindestens jedoch ab Umlagesatz von 4 v. H. – wird durch steuerfreie, pauschale Sanierungsgelder gedeckt. </w:t>
      </w:r>
      <w:r>
        <w:rPr>
          <w:rStyle w:val="kleinschrift"/>
        </w:rPr>
        <w:t>3</w:t>
      </w:r>
      <w:r>
        <w:t>Im Tarifgebiet West verbleibt es bei den von den Arbeitnehmern bei Zusatzversorgungskassen geleisteten Beiträgen.</w:t>
      </w:r>
    </w:p>
    <w:p w:rsidR="00BE1EFE" w:rsidRDefault="00BE1EFE">
      <w:pPr>
        <w:pStyle w:val="StandardWeb"/>
      </w:pPr>
    </w:p>
    <w:p w:rsidR="00BE1EFE" w:rsidRDefault="00BE1EFE">
      <w:pPr>
        <w:pStyle w:val="StandardWeb"/>
      </w:pPr>
      <w:r>
        <w:t>4.2 </w:t>
      </w:r>
      <w:r>
        <w:rPr>
          <w:rStyle w:val="kleinschrift"/>
        </w:rPr>
        <w:t>1</w:t>
      </w:r>
      <w:r>
        <w:t xml:space="preserve">Für die VBL-West gilt: Ab 2002 betragen die Belastungen der Arbeitgeber 8,45 v. H. </w:t>
      </w:r>
      <w:r>
        <w:rPr>
          <w:rStyle w:val="kleinschrift"/>
        </w:rPr>
        <w:t>2</w:t>
      </w:r>
      <w:r>
        <w:t xml:space="preserve">Dies teilt sich auf in eine steuerpflichtige, mit 180 DM/Monat pauschal versteuerte Umlage von 6,45 v. H. und steuerfreie pauschale Sanierungsgelder von 2,0 v. H., die zur Deckung eines Fehlbetrags im Zeitpunkt der Schließung dienen sollen. </w:t>
      </w:r>
      <w:r>
        <w:rPr>
          <w:rStyle w:val="kleinschrift"/>
        </w:rPr>
        <w:t>3</w:t>
      </w:r>
      <w:r>
        <w:t>Ab 2002 beträgt der aus versteuertem Einkommen zu entrichtende Umlagebeitrag der Arbeitnehmer 1,41 v. H.</w:t>
      </w:r>
    </w:p>
    <w:p w:rsidR="00BE1EFE" w:rsidRDefault="00BE1EFE">
      <w:pPr>
        <w:pStyle w:val="StandardWeb"/>
      </w:pPr>
    </w:p>
    <w:p w:rsidR="00BE1EFE" w:rsidRDefault="00BE1EFE">
      <w:pPr>
        <w:pStyle w:val="StandardWeb"/>
      </w:pPr>
      <w:r>
        <w:t>4.3 </w:t>
      </w:r>
      <w:r>
        <w:rPr>
          <w:rStyle w:val="kleinschrift"/>
        </w:rPr>
        <w:t>1</w:t>
      </w:r>
      <w:r>
        <w:t>Die Verteilung der Sanierungsgelder auf Arbeitgeberseite bestimmt sich nach dem Verhältnis der Entgeltsumme aller Pflichtversicherten zuzüglich der neunfachen Renten</w:t>
      </w:r>
      <w:r>
        <w:softHyphen/>
        <w:t>summe aller Renten zu den entsprechenden Werten, die einem Arbeitgeberverband bzw. bei Verbandsfreien, den einzelnen Arbeitgebern zuzurechnen sind; ist ein verbandsfreier Arbeit</w:t>
      </w:r>
      <w:r>
        <w:softHyphen/>
        <w:t xml:space="preserve">geber einer Gebietskörperschaft mittelbar oder haushaltsmäßig im Wesentlichen zuzuordnen, wird dieser bei der Gebietskörperschaft einbezogen. </w:t>
      </w:r>
      <w:r>
        <w:rPr>
          <w:rStyle w:val="kleinschrift"/>
        </w:rPr>
        <w:t>2</w:t>
      </w:r>
      <w:r>
        <w:t>Arbeitgebern, die seit dem 1. November 2001 durch Ausgliederung entstanden sind, sind zur Feststellung der Verteilung der Sanierungszuschüsse Renten in dem Verhältnis zuzurechnen, das dem Verhältnis der Zahl der Pflichtversicherten des Ausgegliederten zu der Zahl der Pflichtversicherten des Ausglie</w:t>
      </w:r>
      <w:r>
        <w:softHyphen/>
        <w:t>dernden zum 01.11.2001 entspricht.</w:t>
      </w:r>
    </w:p>
    <w:p w:rsidR="00BE1EFE" w:rsidRDefault="00BE1EFE">
      <w:pPr>
        <w:pStyle w:val="StandardWeb"/>
      </w:pPr>
    </w:p>
    <w:p w:rsidR="00BE1EFE" w:rsidRDefault="00BE1EFE">
      <w:pPr>
        <w:pStyle w:val="StandardWeb"/>
      </w:pPr>
      <w:r>
        <w:t>4.4 Bei abnehmendem Finanzierungsbedarf für die laufenden Ausgaben werden die über</w:t>
      </w:r>
      <w:r>
        <w:softHyphen/>
        <w:t>steigenden Einnahmen – getrennt und individualisierbar – zum Aufbau einer Kapitaldeckung eingesetzt.</w:t>
      </w:r>
    </w:p>
    <w:p w:rsidR="00BE1EFE" w:rsidRDefault="00BE1EFE">
      <w:pPr>
        <w:pStyle w:val="StandardWeb"/>
      </w:pPr>
    </w:p>
    <w:p w:rsidR="00BE1EFE" w:rsidRDefault="00BE1EFE">
      <w:pPr>
        <w:pStyle w:val="StandardWeb"/>
      </w:pPr>
      <w:r>
        <w:t>5. </w:t>
      </w:r>
      <w:r>
        <w:rPr>
          <w:rStyle w:val="kleinschrift"/>
        </w:rPr>
        <w:t>1</w:t>
      </w:r>
      <w:r>
        <w:t xml:space="preserve">Die Tarifvertragsparteien gehen davon aus, dass mit diesem Tarifvertrag das Abwandern von Betrieben oder Betriebsteilen aus den Zusatzversorgungseinrichtungen des öffentlichen Dienstes verhindert wird. </w:t>
      </w:r>
      <w:r>
        <w:rPr>
          <w:rStyle w:val="kleinschrift"/>
        </w:rPr>
        <w:t>2</w:t>
      </w:r>
      <w:r>
        <w:t>Während der Laufzeit des Tarifvertrages überprüfen die Tarifvertragsparteien, ob es zu signifikanten Abwanderungen aus einzelnen Zusatzversor</w:t>
      </w:r>
      <w:r>
        <w:softHyphen/>
        <w:t xml:space="preserve">gungseinrichtungen gekommen ist. </w:t>
      </w:r>
      <w:r>
        <w:rPr>
          <w:rStyle w:val="kleinschrift"/>
        </w:rPr>
        <w:t>3</w:t>
      </w:r>
      <w:r>
        <w:t xml:space="preserve">Sie beauftragen einen Gutachter, die Gründe für eventuelle Abwanderungen darzustellen. </w:t>
      </w:r>
      <w:r>
        <w:rPr>
          <w:rStyle w:val="kleinschrift"/>
        </w:rPr>
        <w:t>4</w:t>
      </w:r>
      <w:r>
        <w:t>Dies gilt auch für den Tarifvertrag über sozial</w:t>
      </w:r>
      <w:r>
        <w:softHyphen/>
        <w:t>verträgliche Begleitmaßnahmen im Zusammenhang mit der Umgestaltung der Bundeswehr.</w:t>
      </w:r>
    </w:p>
    <w:p w:rsidR="00BE1EFE" w:rsidRDefault="00BE1EFE">
      <w:pPr>
        <w:pStyle w:val="StandardWeb"/>
      </w:pPr>
    </w:p>
    <w:p w:rsidR="00BE1EFE" w:rsidRDefault="00BE1EFE">
      <w:pPr>
        <w:pStyle w:val="StandardWeb"/>
      </w:pPr>
      <w:r>
        <w:t>6. Laufzeit des Tarifvertrages bis zum 31.12.2007.</w:t>
      </w:r>
    </w:p>
    <w:p w:rsidR="00BE1EFE" w:rsidRDefault="00BE1EFE">
      <w:pPr>
        <w:pStyle w:val="StandardWeb"/>
      </w:pPr>
    </w:p>
    <w:p w:rsidR="00BE1EFE" w:rsidRDefault="00BE1EFE">
      <w:pPr>
        <w:pStyle w:val="StandardWeb"/>
      </w:pPr>
    </w:p>
    <w:p w:rsidR="00BE1EFE" w:rsidRDefault="00BE1EFE" w:rsidP="00296692">
      <w:pPr>
        <w:pStyle w:val="StandardWeb"/>
        <w:autoSpaceDE w:val="0"/>
        <w:jc w:val="left"/>
        <w:rPr>
          <w:rStyle w:val="Fett"/>
          <w:bCs/>
        </w:rPr>
      </w:pPr>
    </w:p>
    <w:p w:rsidR="00BE1EFE" w:rsidRDefault="00BE1EFE" w:rsidP="00296692">
      <w:pPr>
        <w:pStyle w:val="StandardWeb"/>
        <w:autoSpaceDE w:val="0"/>
        <w:jc w:val="left"/>
      </w:pPr>
      <w:r>
        <w:rPr>
          <w:rStyle w:val="Fett"/>
          <w:bCs/>
        </w:rPr>
        <w:lastRenderedPageBreak/>
        <w:t>Anlage 1 zum Altersvorsorgeplan 2001</w:t>
      </w:r>
    </w:p>
    <w:p w:rsidR="00BE1EFE" w:rsidRDefault="00BE1EFE">
      <w:pPr>
        <w:pStyle w:val="StandardWeb"/>
        <w:jc w:val="center"/>
      </w:pPr>
    </w:p>
    <w:p w:rsidR="00BE1EFE" w:rsidRDefault="00BE1EFE">
      <w:pPr>
        <w:pStyle w:val="StandardWeb"/>
      </w:pPr>
      <w:r>
        <w:rPr>
          <w:rStyle w:val="kleinschrift"/>
        </w:rPr>
        <w:t>1</w:t>
      </w:r>
      <w:r>
        <w:t xml:space="preserve">Juristische Zulässigkeit des rückwirkenden Systemwechsels zum 31.12.2000 (Arbeitskreis 2). </w:t>
      </w:r>
    </w:p>
    <w:p w:rsidR="00BE1EFE" w:rsidRDefault="00BE1EFE">
      <w:pPr>
        <w:pStyle w:val="StandardWeb"/>
      </w:pPr>
      <w:r>
        <w:rPr>
          <w:rStyle w:val="kleinschrift"/>
        </w:rPr>
        <w:t>2</w:t>
      </w:r>
      <w:r>
        <w:t>Die Tarifvertragsparteien gehen davon aus, dass der rückwirkende Wechsel vom Gesamt</w:t>
      </w:r>
      <w:r>
        <w:softHyphen/>
        <w:t xml:space="preserve">versorgungssystem in ein Punktemodell zum 1.1.2001 verfassungsrechtlich zulässig ist. </w:t>
      </w:r>
      <w:r>
        <w:rPr>
          <w:rStyle w:val="kleinschrift"/>
        </w:rPr>
        <w:t>3</w:t>
      </w:r>
      <w:r>
        <w:t xml:space="preserve">Dies gilt auch für den Transfer der am 31.12.2000 bestehenden Anwartschaften. </w:t>
      </w:r>
    </w:p>
    <w:p w:rsidR="00BE1EFE" w:rsidRDefault="00BE1EFE">
      <w:pPr>
        <w:pStyle w:val="StandardWeb"/>
      </w:pPr>
      <w:r>
        <w:rPr>
          <w:rStyle w:val="kleinschrift"/>
        </w:rPr>
        <w:t>4</w:t>
      </w:r>
      <w:r>
        <w:t xml:space="preserve">Für das Jahr 2001 ist aus verwaltungstechnischen Gründen eine Einführungsphase für das neue System vorgesehen, in der sich Anwartschaften technisch weiterhin nach den Berechnungsmethoden des alten Systems fortentwickeln. </w:t>
      </w:r>
      <w:r>
        <w:rPr>
          <w:rStyle w:val="kleinschrift"/>
        </w:rPr>
        <w:t>5</w:t>
      </w:r>
      <w:r>
        <w:t xml:space="preserve">Diese für die Betroffenen günstige Übergangsregelung liegt in der Normsetzungsbefugnis der Tarifvertragsparteien. </w:t>
      </w:r>
    </w:p>
    <w:p w:rsidR="00BE1EFE" w:rsidRDefault="00BE1EFE">
      <w:pPr>
        <w:pStyle w:val="StandardWeb"/>
      </w:pPr>
      <w:r>
        <w:rPr>
          <w:rStyle w:val="kleinschrift"/>
        </w:rPr>
        <w:t>6</w:t>
      </w:r>
      <w:r>
        <w:t xml:space="preserve">Seit dem Ergebnis der Tarifrunde 2000 konnte niemand auf den Fortbestand des bisherigen Versorgungssystems vertrauen und deshalb davon ausgehen, dass dieses unverändert bestehen bleiben würde. </w:t>
      </w:r>
    </w:p>
    <w:p w:rsidR="00BE1EFE" w:rsidRPr="002954CD" w:rsidRDefault="00BE1EFE" w:rsidP="002954CD">
      <w:pPr>
        <w:pStyle w:val="StandardWeb"/>
        <w:rPr>
          <w:rStyle w:val="Fett"/>
          <w:b w:val="0"/>
        </w:rPr>
      </w:pPr>
      <w:r>
        <w:rPr>
          <w:rStyle w:val="kleinschrift"/>
        </w:rPr>
        <w:t>7</w:t>
      </w:r>
      <w:r>
        <w:t>Sollte ein Bundesgericht abschließend feststellen, dass Arbeitnehmern oder Versorgungs</w:t>
      </w:r>
      <w:r>
        <w:softHyphen/>
        <w:t>empfängern mit Vordienstzeiten (Beschäftigungen außerhalb des öffentlichen Dienstes) im neuen System im Hinblick auf den Beschluss des Bundesverfassungsgerichts vom 22.03.2000 (1 BvR 1136/96) höhere als die überführten Ansprüche zustehen, werden den Berechtigten diese Ansprüche auch dann rückwirkend erfüllt, wenn sie sie nicht vor der neuen Entscheidung geltend gemacht haben.</w:t>
      </w:r>
    </w:p>
    <w:p w:rsidR="00BE1EFE" w:rsidRDefault="00BE1EFE" w:rsidP="00296692">
      <w:pPr>
        <w:pStyle w:val="StandardWeb"/>
        <w:autoSpaceDE w:val="0"/>
        <w:jc w:val="left"/>
        <w:rPr>
          <w:rStyle w:val="Fett"/>
          <w:bCs/>
        </w:rPr>
      </w:pPr>
    </w:p>
    <w:p w:rsidR="00BE1EFE" w:rsidRDefault="00BE1EFE" w:rsidP="00296692">
      <w:pPr>
        <w:pStyle w:val="StandardWeb"/>
        <w:autoSpaceDE w:val="0"/>
        <w:jc w:val="left"/>
      </w:pPr>
      <w:r>
        <w:rPr>
          <w:rStyle w:val="Fett"/>
          <w:bCs/>
        </w:rPr>
        <w:t>Anlage 2 zum Altersvorsorgeplan 2001</w:t>
      </w:r>
    </w:p>
    <w:p w:rsidR="00BE1EFE" w:rsidRDefault="00BE1EFE">
      <w:pPr>
        <w:pStyle w:val="StandardWeb"/>
        <w:jc w:val="center"/>
      </w:pPr>
    </w:p>
    <w:p w:rsidR="00BE1EFE" w:rsidRDefault="00BE1EFE">
      <w:pPr>
        <w:pStyle w:val="StandardWeb"/>
      </w:pPr>
      <w:r>
        <w:rPr>
          <w:rStyle w:val="kleinschrift"/>
        </w:rPr>
        <w:t>1</w:t>
      </w:r>
      <w:r>
        <w:t xml:space="preserve">Rentenformel im Punktemodell ohne Zwischenschaltung eines Regelbeitrages und bei Überschussanteilen in Form von beitragslosen Versorgungspunkten. </w:t>
      </w:r>
    </w:p>
    <w:p w:rsidR="00BE1EFE" w:rsidRDefault="00BE1EFE">
      <w:pPr>
        <w:pStyle w:val="StandardWeb"/>
      </w:pPr>
      <w:r>
        <w:rPr>
          <w:rStyle w:val="kleinschrift"/>
        </w:rPr>
        <w:t>2</w:t>
      </w:r>
      <w:r>
        <w:t xml:space="preserve">Die Rentenhöhe ist abhängig von der gesamten Erwerbsbiografie im öffentlichen Dienst. </w:t>
      </w:r>
      <w:r>
        <w:rPr>
          <w:rStyle w:val="kleinschrift"/>
        </w:rPr>
        <w:t>3</w:t>
      </w:r>
      <w:r>
        <w:t xml:space="preserve">In jedem Beschäftigungsjahr t werden Versorgungspunkte VPt erworben. </w:t>
      </w:r>
      <w:r>
        <w:rPr>
          <w:rStyle w:val="kleinschrift"/>
        </w:rPr>
        <w:t>4</w:t>
      </w:r>
      <w:r>
        <w:t>Die Höhe der Versorgungspunkte ergibt sich aus der Formel:</w:t>
      </w:r>
    </w:p>
    <w:p w:rsidR="00BE1EFE" w:rsidRDefault="00BE1EFE">
      <w:pPr>
        <w:pStyle w:val="StandardWeb"/>
      </w:pPr>
    </w:p>
    <w:p w:rsidR="00BE1EFE" w:rsidRDefault="00BE1EFE" w:rsidP="0054275E">
      <w:pPr>
        <w:pStyle w:val="StandardWeb"/>
        <w:autoSpaceDE w:val="0"/>
      </w:pPr>
      <w:r>
        <w:rPr>
          <w:rStyle w:val="Fett"/>
          <w:bCs/>
        </w:rPr>
        <w:t>VP</w:t>
      </w:r>
      <w:r w:rsidRPr="009C6551">
        <w:rPr>
          <w:rStyle w:val="kleinschrift1"/>
        </w:rPr>
        <w:t>t</w:t>
      </w:r>
      <w:r>
        <w:rPr>
          <w:rStyle w:val="Fett"/>
          <w:bCs/>
        </w:rPr>
        <w:t xml:space="preserve"> = E</w:t>
      </w:r>
      <w:r w:rsidRPr="009C6551">
        <w:rPr>
          <w:rStyle w:val="kleinschrift1"/>
        </w:rPr>
        <w:t>t</w:t>
      </w:r>
      <w:r>
        <w:rPr>
          <w:rStyle w:val="Fett"/>
          <w:bCs/>
        </w:rPr>
        <w:t>/RExTab</w:t>
      </w:r>
      <w:r w:rsidRPr="009C6551">
        <w:rPr>
          <w:rStyle w:val="kleinschrift1"/>
        </w:rPr>
        <w:t>x</w:t>
      </w:r>
    </w:p>
    <w:p w:rsidR="00BE1EFE" w:rsidRDefault="00BE1EFE">
      <w:pPr>
        <w:pStyle w:val="StandardWeb"/>
      </w:pPr>
    </w:p>
    <w:p w:rsidR="00BE1EFE" w:rsidRDefault="00BE1EFE">
      <w:pPr>
        <w:pStyle w:val="StandardWeb"/>
      </w:pPr>
      <w:r>
        <w:t>Ggf. wird VP</w:t>
      </w:r>
      <w:r w:rsidRPr="009C6551">
        <w:rPr>
          <w:rStyle w:val="kleinschrift1"/>
        </w:rPr>
        <w:t xml:space="preserve">t </w:t>
      </w:r>
      <w:r>
        <w:t>aus Überschüssen erhöht.</w:t>
      </w:r>
    </w:p>
    <w:p w:rsidR="00BE1EFE" w:rsidRDefault="00BE1EFE">
      <w:pPr>
        <w:pStyle w:val="StandardWeb"/>
      </w:pPr>
    </w:p>
    <w:p w:rsidR="00BE1EFE" w:rsidRDefault="00BE1EFE">
      <w:pPr>
        <w:pStyle w:val="StandardWeb"/>
      </w:pPr>
      <w:r>
        <w:t>Darin bedeuten</w:t>
      </w:r>
    </w:p>
    <w:p w:rsidR="00BE1EFE" w:rsidRDefault="00BE1EFE">
      <w:pPr>
        <w:pStyle w:val="StandardWeb"/>
      </w:pPr>
    </w:p>
    <w:p w:rsidR="00BE1EFE" w:rsidRDefault="00BE1EFE" w:rsidP="0054275E">
      <w:pPr>
        <w:pStyle w:val="StandardWeb"/>
        <w:autoSpaceDE w:val="0"/>
      </w:pPr>
      <w:r>
        <w:rPr>
          <w:rStyle w:val="Fett"/>
          <w:bCs/>
        </w:rPr>
        <w:t>VPt</w:t>
      </w:r>
      <w:r w:rsidRPr="00C2603F">
        <w:rPr>
          <w:rStyle w:val="Fett"/>
          <w:b w:val="0"/>
          <w:bCs/>
        </w:rPr>
        <w:t>       </w:t>
      </w:r>
      <w:r>
        <w:t>Versorgungspunkt für das Jahr t</w:t>
      </w:r>
    </w:p>
    <w:p w:rsidR="00BE1EFE" w:rsidRDefault="00BE1EFE" w:rsidP="0054275E">
      <w:pPr>
        <w:pStyle w:val="StandardWeb"/>
        <w:autoSpaceDE w:val="0"/>
      </w:pPr>
      <w:r>
        <w:rPr>
          <w:rStyle w:val="Fett"/>
          <w:bCs/>
        </w:rPr>
        <w:t>E</w:t>
      </w:r>
      <w:r>
        <w:rPr>
          <w:rStyle w:val="kleinschrift1"/>
        </w:rPr>
        <w:t>t</w:t>
      </w:r>
      <w:r w:rsidRPr="000506B6">
        <w:rPr>
          <w:rStyle w:val="kleinschrift1"/>
          <w:sz w:val="16"/>
          <w:szCs w:val="16"/>
        </w:rPr>
        <w:t> </w:t>
      </w:r>
      <w:r>
        <w:t>        Entgelt des Versicherten im Jahr t</w:t>
      </w:r>
    </w:p>
    <w:p w:rsidR="00BE1EFE" w:rsidRDefault="00BE1EFE" w:rsidP="0054275E">
      <w:pPr>
        <w:pStyle w:val="StandardWeb"/>
        <w:autoSpaceDE w:val="0"/>
      </w:pPr>
      <w:r>
        <w:rPr>
          <w:rStyle w:val="Fett"/>
          <w:bCs/>
        </w:rPr>
        <w:t>RE</w:t>
      </w:r>
      <w:r>
        <w:rPr>
          <w:rStyle w:val="Fett"/>
          <w:b w:val="0"/>
          <w:bCs/>
        </w:rPr>
        <w:t xml:space="preserve">        </w:t>
      </w:r>
      <w:r>
        <w:t>Referenzentgelt</w:t>
      </w:r>
    </w:p>
    <w:p w:rsidR="00BE1EFE" w:rsidRDefault="00BE1EFE" w:rsidP="0054275E">
      <w:pPr>
        <w:pStyle w:val="StandardWeb"/>
        <w:autoSpaceDE w:val="0"/>
      </w:pPr>
      <w:r>
        <w:rPr>
          <w:rStyle w:val="Fett"/>
          <w:bCs/>
        </w:rPr>
        <w:t>Tabx</w:t>
      </w:r>
      <w:r>
        <w:rPr>
          <w:rStyle w:val="kleinschrift1"/>
          <w:sz w:val="16"/>
          <w:szCs w:val="16"/>
        </w:rPr>
        <w:t>     </w:t>
      </w:r>
      <w:r>
        <w:t>Tabellenwert für das Alter x des Versicherten im Jahr t</w:t>
      </w:r>
    </w:p>
    <w:p w:rsidR="00BE1EFE" w:rsidRDefault="00BE1EFE">
      <w:pPr>
        <w:pStyle w:val="StandardWeb"/>
      </w:pPr>
    </w:p>
    <w:p w:rsidR="00BE1EFE" w:rsidRDefault="00BE1EFE">
      <w:pPr>
        <w:pStyle w:val="StandardWeb"/>
      </w:pPr>
      <w:r>
        <w:t>Im Versorgungsfall ergibt sich die Rente nach der Formel:</w:t>
      </w:r>
    </w:p>
    <w:p w:rsidR="00BE1EFE" w:rsidRDefault="00BE1EFE">
      <w:pPr>
        <w:pStyle w:val="StandardWeb"/>
      </w:pPr>
    </w:p>
    <w:p w:rsidR="00BE1EFE" w:rsidRDefault="00BE1EFE" w:rsidP="0054275E">
      <w:pPr>
        <w:pStyle w:val="StandardWeb"/>
        <w:autoSpaceDE w:val="0"/>
      </w:pPr>
      <w:r>
        <w:rPr>
          <w:rStyle w:val="Fett"/>
          <w:bCs/>
        </w:rPr>
        <w:t>Rente = [Summe aller VP</w:t>
      </w:r>
      <w:r w:rsidRPr="009C6551">
        <w:rPr>
          <w:rStyle w:val="kleinschrift1"/>
        </w:rPr>
        <w:t>t</w:t>
      </w:r>
      <w:r>
        <w:rPr>
          <w:rStyle w:val="Fett"/>
          <w:bCs/>
        </w:rPr>
        <w:t>] x Messbetrag</w:t>
      </w:r>
    </w:p>
    <w:p w:rsidR="00BE1EFE" w:rsidRDefault="00BE1EFE">
      <w:pPr>
        <w:pStyle w:val="StandardWeb"/>
      </w:pPr>
    </w:p>
    <w:p w:rsidR="00BE1EFE" w:rsidRDefault="00BE1EFE">
      <w:pPr>
        <w:pStyle w:val="StandardWeb"/>
      </w:pPr>
      <w:r>
        <w:rPr>
          <w:rStyle w:val="kleinschrift"/>
        </w:rPr>
        <w:t>3</w:t>
      </w:r>
      <w:r>
        <w:t>Der Messbetrag beträgt 0,4% des Referenzentgeltes.</w:t>
      </w:r>
    </w:p>
    <w:p w:rsidR="00BE1EFE" w:rsidRDefault="00BE1EFE">
      <w:pPr>
        <w:pStyle w:val="StandardWeb"/>
      </w:pPr>
      <w:r>
        <w:br w:type="page"/>
      </w:r>
    </w:p>
    <w:tbl>
      <w:tblPr>
        <w:tblW w:w="6075" w:type="dxa"/>
        <w:tblInd w:w="55" w:type="dxa"/>
        <w:tblCellMar>
          <w:left w:w="0" w:type="dxa"/>
          <w:right w:w="0" w:type="dxa"/>
        </w:tblCellMar>
        <w:tblLook w:val="04A0" w:firstRow="1" w:lastRow="0" w:firstColumn="1" w:lastColumn="0" w:noHBand="0" w:noVBand="1"/>
      </w:tblPr>
      <w:tblGrid>
        <w:gridCol w:w="760"/>
        <w:gridCol w:w="760"/>
        <w:gridCol w:w="759"/>
        <w:gridCol w:w="759"/>
        <w:gridCol w:w="759"/>
        <w:gridCol w:w="759"/>
        <w:gridCol w:w="759"/>
        <w:gridCol w:w="760"/>
      </w:tblGrid>
      <w:tr w:rsidR="00BE1EFE">
        <w:trPr>
          <w:trHeight w:val="255"/>
        </w:trPr>
        <w:tc>
          <w:tcPr>
            <w:tcW w:w="760"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E1EFE" w:rsidRPr="000B1AF8" w:rsidRDefault="00BE1EFE" w:rsidP="0054275E">
            <w:pPr>
              <w:pStyle w:val="StandardWeb"/>
              <w:autoSpaceDE w:val="0"/>
              <w:jc w:val="center"/>
            </w:pPr>
            <w:r>
              <w:rPr>
                <w:rStyle w:val="Fett"/>
                <w:rFonts w:cs="Arial"/>
                <w:bCs/>
                <w:szCs w:val="16"/>
              </w:rPr>
              <w:lastRenderedPageBreak/>
              <w:t>x</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54275E">
            <w:pPr>
              <w:pStyle w:val="StandardWeb"/>
              <w:autoSpaceDE w:val="0"/>
              <w:jc w:val="center"/>
            </w:pPr>
            <w:r>
              <w:rPr>
                <w:rStyle w:val="Fett"/>
                <w:rFonts w:cs="Arial"/>
                <w:bCs/>
                <w:szCs w:val="16"/>
              </w:rPr>
              <w:t>Tab x</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rsidP="0054275E">
            <w:pPr>
              <w:pStyle w:val="StandardWeb"/>
              <w:autoSpaceDE w:val="0"/>
              <w:jc w:val="center"/>
            </w:pPr>
            <w:r>
              <w:rPr>
                <w:rStyle w:val="Fett"/>
                <w:rFonts w:cs="Arial"/>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0B1AF8" w:rsidRDefault="00BE1EFE" w:rsidP="0054275E">
            <w:pPr>
              <w:pStyle w:val="StandardWeb"/>
              <w:autoSpaceDE w:val="0"/>
              <w:jc w:val="center"/>
            </w:pPr>
            <w:r>
              <w:rPr>
                <w:rStyle w:val="Fett"/>
                <w:rFonts w:cs="Arial"/>
                <w:bCs/>
                <w:szCs w:val="16"/>
              </w:rPr>
              <w:t xml:space="preserve">Tab </w:t>
            </w:r>
            <w:r>
              <w:rPr>
                <w:rStyle w:val="Fett"/>
                <w:rFonts w:cs="Arial"/>
                <w:bCs/>
                <w:color w:val="000000"/>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0B1AF8" w:rsidRDefault="00BE1EFE" w:rsidP="0054275E">
            <w:pPr>
              <w:pStyle w:val="StandardWeb"/>
              <w:autoSpaceDE w:val="0"/>
              <w:jc w:val="center"/>
            </w:pPr>
            <w:r>
              <w:rPr>
                <w:rStyle w:val="Fett"/>
                <w:rFonts w:cs="Arial"/>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0B1AF8" w:rsidRDefault="00BE1EFE" w:rsidP="0054275E">
            <w:pPr>
              <w:pStyle w:val="StandardWeb"/>
              <w:autoSpaceDE w:val="0"/>
              <w:jc w:val="center"/>
            </w:pPr>
            <w:r>
              <w:rPr>
                <w:rStyle w:val="Fett"/>
                <w:rFonts w:cs="Arial"/>
                <w:bCs/>
                <w:szCs w:val="16"/>
              </w:rPr>
              <w:t xml:space="preserve">Tab </w:t>
            </w:r>
            <w:r>
              <w:rPr>
                <w:rStyle w:val="Fett"/>
                <w:rFonts w:cs="Arial"/>
                <w:bCs/>
                <w:color w:val="000000"/>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0B1AF8" w:rsidRDefault="00BE1EFE" w:rsidP="0054275E">
            <w:pPr>
              <w:pStyle w:val="StandardWeb"/>
              <w:autoSpaceDE w:val="0"/>
              <w:jc w:val="center"/>
            </w:pPr>
            <w:r>
              <w:rPr>
                <w:rStyle w:val="Fett"/>
                <w:rFonts w:cs="Arial"/>
                <w:bCs/>
                <w:szCs w:val="16"/>
              </w:rPr>
              <w:t>x</w:t>
            </w:r>
          </w:p>
        </w:tc>
        <w:tc>
          <w:tcPr>
            <w:tcW w:w="760"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0B1AF8" w:rsidRDefault="00BE1EFE" w:rsidP="0054275E">
            <w:pPr>
              <w:pStyle w:val="StandardWeb"/>
              <w:autoSpaceDE w:val="0"/>
              <w:jc w:val="center"/>
            </w:pPr>
            <w:r>
              <w:rPr>
                <w:rStyle w:val="Fett"/>
                <w:rFonts w:cs="Arial"/>
                <w:bCs/>
                <w:szCs w:val="16"/>
              </w:rPr>
              <w:t xml:space="preserve">Tab </w:t>
            </w:r>
            <w:r>
              <w:rPr>
                <w:rStyle w:val="Fett"/>
                <w:rFonts w:cs="Arial"/>
                <w:bCs/>
                <w:color w:val="000000"/>
                <w:szCs w:val="16"/>
              </w:rPr>
              <w:t>x</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29</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2,1</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41</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1,5</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53</w:t>
            </w:r>
          </w:p>
        </w:tc>
        <w:tc>
          <w:tcPr>
            <w:tcW w:w="76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1,0</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2,4</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0,9</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27</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39</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1,6</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63</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28</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2,2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40</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1,5</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52</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1,1</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64</w:t>
            </w:r>
          </w:p>
        </w:tc>
        <w:tc>
          <w:tcPr>
            <w:tcW w:w="760" w:type="dxa"/>
            <w:tcBorders>
              <w:top w:val="nil"/>
              <w:left w:val="nil"/>
              <w:bottom w:val="nil"/>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szCs w:val="16"/>
              </w:rPr>
              <w:t>0,8</w:t>
            </w:r>
          </w:p>
        </w:tc>
      </w:tr>
      <w:tr w:rsidR="00BE1EFE">
        <w:trPr>
          <w:trHeight w:val="255"/>
        </w:trPr>
        <w:tc>
          <w:tcPr>
            <w:tcW w:w="760"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Default="00BE1EFE">
            <w:pPr>
              <w:rPr>
                <w:sz w:val="24"/>
              </w:rPr>
            </w:pPr>
            <w:r>
              <w:rPr>
                <w:szCs w:val="16"/>
              </w:rPr>
              <w:t> </w:t>
            </w:r>
          </w:p>
        </w:tc>
        <w:tc>
          <w:tcPr>
            <w:tcW w:w="760"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0B1AF8" w:rsidRDefault="00BE1EFE">
            <w:pPr>
              <w:pStyle w:val="StandardWeb"/>
              <w:jc w:val="center"/>
            </w:pPr>
            <w:r>
              <w:rPr>
                <w:rFonts w:cs="Arial"/>
                <w:color w:val="000000"/>
                <w:szCs w:val="16"/>
              </w:rPr>
              <w:t>und älter</w:t>
            </w:r>
          </w:p>
        </w:tc>
        <w:tc>
          <w:tcPr>
            <w:tcW w:w="760" w:type="dxa"/>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E1EFE" w:rsidRDefault="00BE1EFE">
            <w:pPr>
              <w:rPr>
                <w:sz w:val="24"/>
              </w:rPr>
            </w:pPr>
            <w:r>
              <w:rPr>
                <w:szCs w:val="16"/>
              </w:rPr>
              <w:t> </w:t>
            </w:r>
          </w:p>
        </w:tc>
      </w:tr>
    </w:tbl>
    <w:p w:rsidR="00BE1EFE" w:rsidRDefault="00BE1EFE">
      <w:pPr>
        <w:pStyle w:val="StandardWeb"/>
        <w:rPr>
          <w:rStyle w:val="kleinschrift"/>
        </w:rPr>
      </w:pPr>
    </w:p>
    <w:p w:rsidR="00BE1EFE" w:rsidRPr="000B1AF8" w:rsidRDefault="00BE1EFE">
      <w:pPr>
        <w:pStyle w:val="StandardWeb"/>
      </w:pPr>
      <w:r>
        <w:t>In der Bayerischen Regional-KODA besteht Einigkeit, entsprechend der nachfolgend abge</w:t>
      </w:r>
      <w:r>
        <w:softHyphen/>
        <w:t>druckten Niederschriftserklärung zu verfahren:</w:t>
      </w:r>
    </w:p>
    <w:p w:rsidR="00BE1EFE" w:rsidRPr="000B1AF8" w:rsidRDefault="00BE1EFE">
      <w:pPr>
        <w:pStyle w:val="StandardWeb"/>
      </w:pPr>
    </w:p>
    <w:p w:rsidR="00BE1EFE" w:rsidRPr="00296692" w:rsidRDefault="00BE1EFE" w:rsidP="00296692">
      <w:pPr>
        <w:pStyle w:val="StandardWeb"/>
        <w:autoSpaceDE w:val="0"/>
        <w:jc w:val="left"/>
        <w:rPr>
          <w:b/>
          <w:bCs/>
        </w:rPr>
      </w:pPr>
      <w:r>
        <w:rPr>
          <w:rStyle w:val="Fett"/>
          <w:bCs/>
        </w:rPr>
        <w:t>Gemeinsame Niederschriftserklärung der Tarifvertragsparteien des öffentlichen Dienstes</w:t>
      </w:r>
      <w:r>
        <w:rPr>
          <w:b/>
          <w:bCs/>
        </w:rPr>
        <w:t xml:space="preserve"> </w:t>
      </w:r>
      <w:r>
        <w:t>(in Zusammenhang mit dem Änderungstarifvertrag Nr. 2 zum ATV-K vom 12. März 2003)</w:t>
      </w:r>
    </w:p>
    <w:p w:rsidR="00BE1EFE" w:rsidRDefault="00BE1EFE">
      <w:pPr>
        <w:pStyle w:val="StandardWeb"/>
        <w:jc w:val="center"/>
      </w:pPr>
    </w:p>
    <w:p w:rsidR="00BE1EFE" w:rsidRDefault="00BE1EFE">
      <w:pPr>
        <w:pStyle w:val="StandardWeb"/>
      </w:pPr>
      <w:r>
        <w:t>Entsprechend Nr. 2 der Niederschrift über den Abschluss der Tarifverhandlungen zur Zukunft der Zusatzversorgung vom 1. März 2002 erklären die Tarifvertragsparteien Folgendes:</w:t>
      </w:r>
    </w:p>
    <w:p w:rsidR="00BE1EFE" w:rsidRDefault="00BE1EFE">
      <w:pPr>
        <w:pStyle w:val="StandardWeb"/>
      </w:pPr>
    </w:p>
    <w:p w:rsidR="00BE1EFE" w:rsidRDefault="00BE1EFE">
      <w:pPr>
        <w:pStyle w:val="StandardWeb"/>
      </w:pPr>
      <w:r>
        <w:t>1. </w:t>
      </w:r>
      <w:r>
        <w:rPr>
          <w:rStyle w:val="kleinschrift"/>
        </w:rPr>
        <w:t>1</w:t>
      </w:r>
      <w:r>
        <w:t xml:space="preserve">Im Zusammenhang mit den Änderungen zu </w:t>
      </w:r>
      <w:hyperlink r:id="rId1560" w:history="1">
        <w:r w:rsidRPr="002D1F1D">
          <w:rPr>
            <w:rStyle w:val="Hyperlink"/>
          </w:rPr>
          <w:t>§ 33</w:t>
        </w:r>
      </w:hyperlink>
      <w:r>
        <w:t xml:space="preserve"> sind weitere Fallkonstellationen umfassend erörtert worden. </w:t>
      </w:r>
      <w:r>
        <w:rPr>
          <w:rStyle w:val="kleinschrift"/>
        </w:rPr>
        <w:t>2</w:t>
      </w:r>
      <w:r>
        <w:t>Die Tarifvertragsparteien sind sich einig, dass kein weiterer Änderungsbedarf besteht.</w:t>
      </w:r>
    </w:p>
    <w:p w:rsidR="00BE1EFE" w:rsidRDefault="00BE1EFE">
      <w:pPr>
        <w:pStyle w:val="StandardWeb"/>
      </w:pPr>
    </w:p>
    <w:p w:rsidR="00BE1EFE" w:rsidRDefault="00BE1EFE">
      <w:pPr>
        <w:pStyle w:val="StandardWeb"/>
      </w:pPr>
      <w:r>
        <w:t>2. Für die Waldarbeiter wird eine dem § 19 Absatz 1 Satz 7 ATV/ATV-K entsprechende Regelung im ATV-W angestrebt.</w:t>
      </w:r>
    </w:p>
    <w:p w:rsidR="00BE1EFE" w:rsidRDefault="00BE1EFE">
      <w:pPr>
        <w:pStyle w:val="StandardWeb"/>
      </w:pPr>
    </w:p>
    <w:p w:rsidR="00BE1EFE" w:rsidRDefault="00BE1EFE">
      <w:pPr>
        <w:pStyle w:val="StandardWeb"/>
      </w:pPr>
      <w:r>
        <w:t>3. Die Abfindung nach § 22 Absatz 2 ATV/ATV-K ist während des Bezugs einer Erwerbs</w:t>
      </w:r>
      <w:r>
        <w:softHyphen/>
        <w:t>minderungsrente nur auf Antrag der/des Rentenberechtigten zulässig.</w:t>
      </w:r>
    </w:p>
    <w:p w:rsidR="00BE1EFE" w:rsidRDefault="00BE1EFE">
      <w:pPr>
        <w:pStyle w:val="StandardWeb"/>
      </w:pPr>
    </w:p>
    <w:p w:rsidR="00BE1EFE" w:rsidRDefault="00BE1EFE">
      <w:pPr>
        <w:pStyle w:val="StandardWeb"/>
      </w:pPr>
      <w:r>
        <w:t>4. Soweit eine Nachversicherung sog. unterhälftig Teilzeitbeschäftigter bisher nicht erfolgt ist, soll diese nunmehr zeitnah nachgeholt werden.</w:t>
      </w:r>
    </w:p>
    <w:p w:rsidR="00BE1EFE" w:rsidRDefault="00BE1EFE">
      <w:pPr>
        <w:pStyle w:val="StandardWeb"/>
      </w:pPr>
    </w:p>
    <w:p w:rsidR="00BE1EFE" w:rsidRDefault="00BE1EFE">
      <w:pPr>
        <w:pStyle w:val="StandardWeb"/>
      </w:pPr>
      <w:r>
        <w:t>5. Die Zusatzversorgungseinrichtungen haben nach § 26 Absatz 3 Satz 1 ATV/ATV-K eine freiwillige Versicherung in Anlehnung an das Punktemodell anzubieten.</w:t>
      </w:r>
    </w:p>
    <w:p w:rsidR="00BE1EFE" w:rsidRDefault="00BE1EFE">
      <w:pPr>
        <w:pStyle w:val="StandardWeb"/>
      </w:pPr>
    </w:p>
    <w:p w:rsidR="00BE1EFE" w:rsidRDefault="00BE1EFE">
      <w:pPr>
        <w:pStyle w:val="StandardWeb"/>
      </w:pPr>
      <w:r>
        <w:t>6. Bei Berechnung der Startgutschriften erfolgt eine ausschließlich stichtagsbezogene Berücksichtigung des Familienstandes zum 31.12.2001, auf deren Basis eine Differenzierung nach Steuerklasse III/0 bzw. I/0 erfolgt; ein späterer Wechsel der berücksichtigten Steuerklasse ist ausgeschlossen.</w:t>
      </w:r>
    </w:p>
    <w:p w:rsidR="00BE1EFE" w:rsidRDefault="00BE1EFE">
      <w:pPr>
        <w:pStyle w:val="StandardWeb"/>
      </w:pPr>
    </w:p>
    <w:p w:rsidR="00BE1EFE" w:rsidRDefault="00BE1EFE">
      <w:pPr>
        <w:pStyle w:val="StandardWeb"/>
      </w:pPr>
      <w:r>
        <w:lastRenderedPageBreak/>
        <w:t>7. </w:t>
      </w:r>
      <w:r>
        <w:rPr>
          <w:rStyle w:val="kleinschrift"/>
        </w:rPr>
        <w:t>1</w:t>
      </w:r>
      <w:r>
        <w:t xml:space="preserve">In den Fällen des § 33 Absatz 1 ATV/ATV-K erfolgt bei Berechnung des anzurechnenden Bezuges eine Rechtskreistrennung (Ost/West) bei der Frage der zu berücksichtigenden Beitragsbemessungsgrenze. </w:t>
      </w:r>
      <w:r>
        <w:rPr>
          <w:rStyle w:val="kleinschrift"/>
        </w:rPr>
        <w:t>2</w:t>
      </w:r>
      <w:r>
        <w:t>Dies gilt auch für die Berechnung des fiktiven Nettoarbeits</w:t>
      </w:r>
      <w:r>
        <w:softHyphen/>
        <w:t>entgelts (§ 41 Absatz 2c VBL-Satzung a.F.).</w:t>
      </w:r>
    </w:p>
    <w:p w:rsidR="00BE1EFE" w:rsidRDefault="00BE1EFE">
      <w:pPr>
        <w:pStyle w:val="StandardWeb"/>
      </w:pPr>
    </w:p>
    <w:p w:rsidR="00BE1EFE" w:rsidRDefault="00BE1EFE">
      <w:pPr>
        <w:pStyle w:val="StandardWeb"/>
      </w:pPr>
      <w:r>
        <w:t>8. Die noch erreichbare Betriebsrente nach § 33 Absatz 2 Satz 2 ATV/ATV-K ist unter Berück</w:t>
      </w:r>
      <w:r>
        <w:softHyphen/>
        <w:t>sichtigung der sich nach § 38 ATV-K, § 39 Absatz 1 bzw. 2 ATV ggf. noch ergebenden Betriebsrente zu berechnen.</w:t>
      </w:r>
    </w:p>
    <w:p w:rsidR="00BE1EFE" w:rsidRDefault="00BE1EFE">
      <w:pPr>
        <w:pStyle w:val="StandardWeb"/>
      </w:pPr>
    </w:p>
    <w:p w:rsidR="00BE1EFE" w:rsidRDefault="00BE1EFE">
      <w:pPr>
        <w:pStyle w:val="StandardWeb"/>
      </w:pPr>
      <w:r>
        <w:t>9. Auch in den Fällen des Vorruhestandes erfolgt die Hochrechnung der Anwartschaft entsprechend § 33 Absatz 3 ATV/ATV-K nicht auf das vollendete 63. Lebensjahr, sondern auf den voraussichtlichen Rentenbeginn.</w:t>
      </w:r>
    </w:p>
    <w:p w:rsidR="00BE1EFE" w:rsidRDefault="00BE1EFE">
      <w:pPr>
        <w:pStyle w:val="StandardWeb"/>
      </w:pPr>
    </w:p>
    <w:p w:rsidR="00BE1EFE" w:rsidRDefault="00BE1EFE">
      <w:pPr>
        <w:pStyle w:val="StandardWeb"/>
      </w:pPr>
      <w:r>
        <w:t xml:space="preserve">10. Die Tarifvertragsparteien gehen weiterhin davon aus, dass die im Altersvorsorgeplan 2001 bzw. ATV/ATV-K gefundenen Regelungen zur Ermittlung der Startgutschrift inklusive der Übergangsregelungen zur Anwendung des </w:t>
      </w:r>
      <w:hyperlink r:id="rId1561" w:tgtFrame="_blank" w:history="1">
        <w:r>
          <w:rPr>
            <w:rStyle w:val="Hyperlink"/>
          </w:rPr>
          <w:t>§ 44 a VBL-Satzung a.F.</w:t>
        </w:r>
      </w:hyperlink>
      <w:r>
        <w:t xml:space="preserve"> (ausschließlich im § 33 Absatz 2, 3 und 3 a) rechtmäßig sind. </w:t>
      </w:r>
    </w:p>
    <w:p w:rsidR="00BE1EFE" w:rsidRDefault="00BE1EFE">
      <w:pPr>
        <w:pStyle w:val="StandardWeb"/>
      </w:pPr>
      <w:r>
        <w:br w:type="page"/>
      </w:r>
    </w:p>
    <w:p w:rsidR="00BE1EFE" w:rsidRDefault="00BE1EFE" w:rsidP="002954CD">
      <w:pPr>
        <w:pStyle w:val="berschrift4"/>
        <w:spacing w:before="0"/>
      </w:pPr>
      <w:bookmarkStart w:id="1044" w:name="_Toc523926564"/>
      <w:r>
        <w:lastRenderedPageBreak/>
        <w:t>D, 10 b. Ordnung über die betriebliche Altersversorgung der bei der</w:t>
      </w:r>
      <w:r>
        <w:rPr>
          <w:lang w:eastAsia="x-none"/>
        </w:rPr>
        <w:t xml:space="preserve"> </w:t>
      </w:r>
      <w:r>
        <w:t>Pensionskasse der Caritas VVaG versicherten Mitarbeiter im kirchlichen Dienst</w:t>
      </w:r>
      <w:bookmarkEnd w:id="1044"/>
    </w:p>
    <w:p w:rsidR="00BE1EFE" w:rsidRPr="00B76821" w:rsidRDefault="00BE1EFE" w:rsidP="00B76821">
      <w:pPr>
        <w:pStyle w:val="berschrift5"/>
        <w:keepNext w:val="0"/>
        <w:spacing w:before="0" w:after="0"/>
        <w:rPr>
          <w:rStyle w:val="Fett"/>
          <w:bCs w:val="0"/>
          <w:sz w:val="2"/>
        </w:rPr>
      </w:pPr>
    </w:p>
    <w:p w:rsidR="00BE1EFE" w:rsidRDefault="00BE1EFE" w:rsidP="0054275E">
      <w:pPr>
        <w:pStyle w:val="StandardWeb"/>
        <w:autoSpaceDE w:val="0"/>
        <w:jc w:val="center"/>
        <w:rPr>
          <w:b/>
          <w:bCs/>
        </w:rPr>
      </w:pPr>
      <w:r>
        <w:rPr>
          <w:rStyle w:val="Fett"/>
          <w:bCs/>
        </w:rPr>
        <w:t xml:space="preserve">- Versorgungsordnung B - </w:t>
      </w:r>
    </w:p>
    <w:p w:rsidR="00BE1EFE" w:rsidRPr="000B1AF8" w:rsidRDefault="00BE1EFE" w:rsidP="0054275E">
      <w:pPr>
        <w:pStyle w:val="StandardWeb"/>
        <w:autoSpaceDE w:val="0"/>
        <w:jc w:val="center"/>
      </w:pPr>
      <w:r>
        <w:rPr>
          <w:rStyle w:val="Fett"/>
          <w:bCs/>
        </w:rPr>
        <w:t xml:space="preserve">in der Fassung vom 1. Januar 2003 </w:t>
      </w:r>
    </w:p>
    <w:p w:rsidR="00BE1EFE" w:rsidRDefault="00BE1EFE" w:rsidP="002D13BE">
      <w:pPr>
        <w:pStyle w:val="berschrift5"/>
      </w:pPr>
      <w:bookmarkStart w:id="1045" w:name="_Toc453678163"/>
      <w:bookmarkStart w:id="1046" w:name="_Toc523926565"/>
      <w:r>
        <w:t>§ 1 Geltungsbereich</w:t>
      </w:r>
      <w:bookmarkEnd w:id="1045"/>
      <w:bookmarkEnd w:id="1046"/>
    </w:p>
    <w:p w:rsidR="00BE1EFE" w:rsidRDefault="00BE1EFE" w:rsidP="002D13BE">
      <w:pPr>
        <w:pStyle w:val="berschrift6"/>
        <w:spacing w:before="0" w:after="0"/>
        <w:rPr>
          <w:sz w:val="2"/>
        </w:rPr>
      </w:pPr>
    </w:p>
    <w:p w:rsidR="00BE1EFE" w:rsidRDefault="00BE1EFE" w:rsidP="002D13BE">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2D13BE">
      <w:pPr>
        <w:pStyle w:val="StandardWeb"/>
      </w:pPr>
      <w:r>
        <w:t>Die „Ordnung über die betriebliche Altersversorgung der bei der Pensionskasse der Caritas VVaG versicherten Mitarbeiter im kirchlichen Dienst - Versorgungsordnung B“ gilt für die unter den Geltungsbereich des Arbeitsvertragsrechts der bayerischen Diözesen fallenden Mitarbeiter, soweit für diese nicht vorrangig eine Versicherungspflicht nach der „</w:t>
      </w:r>
      <w:hyperlink r:id="rId1562" w:history="1">
        <w:r w:rsidRPr="002D1F1D">
          <w:rPr>
            <w:rStyle w:val="Hyperlink"/>
          </w:rPr>
          <w:t xml:space="preserve">Ordnung über die betriebliche Altersversorgung der bei der Bayerischen Versorgungskammer </w:t>
        </w:r>
        <w:r>
          <w:rPr>
            <w:rStyle w:val="Hyperlink"/>
          </w:rPr>
          <w:t>–</w:t>
        </w:r>
        <w:r w:rsidRPr="002D1F1D">
          <w:rPr>
            <w:rStyle w:val="Hyperlink"/>
          </w:rPr>
          <w:t xml:space="preserve"> Zusatz</w:t>
        </w:r>
        <w:r>
          <w:rPr>
            <w:rStyle w:val="Hyperlink"/>
          </w:rPr>
          <w:softHyphen/>
        </w:r>
        <w:r w:rsidRPr="002D1F1D">
          <w:rPr>
            <w:rStyle w:val="Hyperlink"/>
          </w:rPr>
          <w:t>versorgungskasse der bayerischen Gemeinden versicherten Mitarbeiter im kirchlichen Dienst - Versorgungsordnung A</w:t>
        </w:r>
      </w:hyperlink>
      <w:r>
        <w:t>“ besteht.</w:t>
      </w:r>
    </w:p>
    <w:p w:rsidR="00BE1EFE" w:rsidRDefault="00BE1EFE">
      <w:pPr>
        <w:pStyle w:val="berschrift5"/>
      </w:pPr>
      <w:bookmarkStart w:id="1047" w:name="_Toc523926566"/>
      <w:r>
        <w:t>§ 2 Versicherungspflicht</w:t>
      </w:r>
      <w:bookmarkEnd w:id="1047"/>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Der Versicherungspflicht unterliegt vom Beginn des Arbeits- und Ausbildungsverhält</w:t>
      </w:r>
      <w:r>
        <w:softHyphen/>
        <w:t xml:space="preserve">nisses an der Mitarbeiter, wenn er das 17. Lebensjahr vollendet hat. </w:t>
      </w:r>
      <w:r>
        <w:rPr>
          <w:rStyle w:val="kleinschrift"/>
        </w:rPr>
        <w:t>2</w:t>
      </w:r>
      <w:r>
        <w:t>Eine Versicherungs</w:t>
      </w:r>
      <w:r>
        <w:softHyphen/>
        <w:t>pflicht besteht nicht, soweit im Arbeitsvertragsrecht der bayerischen Diözesen für bestimmte Personengruppen kollektivrechtlich ausdrücklich Ausnahmen vorgesehen sind.</w:t>
      </w:r>
    </w:p>
    <w:p w:rsidR="00BE1EFE" w:rsidRPr="000B1AF8" w:rsidRDefault="00BE1EFE">
      <w:pPr>
        <w:pStyle w:val="StandardWeb"/>
      </w:pPr>
    </w:p>
    <w:p w:rsidR="00BE1EFE" w:rsidRDefault="00BE1EFE">
      <w:pPr>
        <w:pStyle w:val="StandardWeb"/>
      </w:pPr>
      <w:r>
        <w:t>(2) Ausgenommen von der Versicherungspflicht ist ein Mitarbeiter,</w:t>
      </w:r>
    </w:p>
    <w:p w:rsidR="00BE1EFE" w:rsidRDefault="00BE1EFE">
      <w:pPr>
        <w:pStyle w:val="StandardWeb"/>
      </w:pPr>
    </w:p>
    <w:p w:rsidR="00BE1EFE" w:rsidRDefault="00BE1EFE">
      <w:pPr>
        <w:pStyle w:val="StandardWeb"/>
      </w:pPr>
      <w:r>
        <w:t>a) der aus der gesetzlichen Rentenversicherung Altersrente als Vollrente oder Rente wegen teilweiser oder voller Erwerbsminderung erhält,</w:t>
      </w:r>
    </w:p>
    <w:p w:rsidR="00BE1EFE" w:rsidRDefault="00BE1EFE">
      <w:pPr>
        <w:pStyle w:val="StandardWeb"/>
      </w:pPr>
      <w:r>
        <w:t>b) </w:t>
      </w:r>
      <w:r w:rsidRPr="00D645FF">
        <w:rPr>
          <w:i/>
        </w:rPr>
        <w:t>(frei)</w:t>
      </w:r>
    </w:p>
    <w:p w:rsidR="00BE1EFE" w:rsidRDefault="00BE1EFE">
      <w:pPr>
        <w:pStyle w:val="StandardWeb"/>
      </w:pPr>
      <w:r>
        <w:t>c) </w:t>
      </w:r>
      <w:r w:rsidRPr="00D645FF">
        <w:rPr>
          <w:i/>
        </w:rPr>
        <w:t>(frei)</w:t>
      </w:r>
    </w:p>
    <w:p w:rsidR="00BE1EFE" w:rsidRDefault="00BE1EFE">
      <w:pPr>
        <w:pStyle w:val="StandardWeb"/>
      </w:pPr>
      <w:r>
        <w:t xml:space="preserve">d) dessen Dienstgeber ihm bereits vor dem 01.04.2000 eine dieser Regelung gleichwertige zusätzliche Altersversorgung gewährt hat, </w:t>
      </w:r>
      <w:r>
        <w:rPr>
          <w:vertAlign w:val="superscript"/>
        </w:rPr>
        <w:t>1</w:t>
      </w:r>
    </w:p>
    <w:p w:rsidR="00BE1EFE" w:rsidRDefault="00BE1EFE">
      <w:pPr>
        <w:pStyle w:val="StandardWeb"/>
      </w:pPr>
      <w:r>
        <w:t>e) der Mitglied des Versorgungswerks der Presse oder einer sonstigen berufsständischen Versorgungseinrichtung ist.</w:t>
      </w:r>
    </w:p>
    <w:p w:rsidR="00BE1EFE" w:rsidRDefault="00BE1EFE">
      <w:pPr>
        <w:pStyle w:val="StandardWeb"/>
      </w:pPr>
    </w:p>
    <w:p w:rsidR="00BE1EFE" w:rsidRDefault="00BE1EFE">
      <w:pPr>
        <w:pStyle w:val="StandardWeb"/>
      </w:pPr>
      <w:r>
        <w:rPr>
          <w:vertAlign w:val="superscript"/>
        </w:rPr>
        <w:t>1</w:t>
      </w:r>
      <w:r>
        <w:rPr>
          <w:rStyle w:val="kleinschrift"/>
        </w:rPr>
        <w:t>„Gleichwertig“ ist eine zusätzliche Altersversorgung, wenn der Beitrag des Dienstgebers in der Höhe entsprechend § 5 Absatz 2 entrichtet wird und das zusatzversorgungspflichtige Arbeitsentgelt gem. § 5 Absatz 3 zugrunde gelegt wird. Bestehende zusätzliche Altersversorgungen, die die Erfordernisse gem. Unterabsatz 1 nicht erfüllen, sind zum 01. 04. 2000 an diese Erfordernisse anzupassen, soweit die rechtlichen Möglichkeiten bestehen. Werden von Dienstgebern, die ihren Mitarbeitern vor dem 01. 04. 2000 eine zusätzliche Altersversorgung im Sinne des § 2 Absatz 2 d) gewähren, ab 01. 04. 2000 weitere Mitarbeiter neu eingestellt, so sind diese nach der Versorgungsordnung B zu versichern.</w:t>
      </w:r>
    </w:p>
    <w:p w:rsidR="00BE1EFE" w:rsidRDefault="00BE1EFE">
      <w:pPr>
        <w:pStyle w:val="berschrift5"/>
      </w:pPr>
      <w:bookmarkStart w:id="1048" w:name="_Toc523926567"/>
      <w:r>
        <w:t>§ 3 Versicherung</w:t>
      </w:r>
      <w:bookmarkEnd w:id="1048"/>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betriebliche Altersversorgung erfolgt durch Abschluss einer Zusatzrentenversicherung bei der Pensionskasse der Caritas VVaG (PENSIONSKASSE) nach Maßgabe dieser Versorgungsordnung. </w:t>
      </w:r>
      <w:r>
        <w:rPr>
          <w:rStyle w:val="kleinschrift"/>
        </w:rPr>
        <w:t>2</w:t>
      </w:r>
      <w:r>
        <w:t>Die Ansprüche der Versicherten bestimmen sich nach der Satzung und den Allgemeinen Versicherungsbedingungen der PENSIONSKASSE.</w:t>
      </w:r>
    </w:p>
    <w:p w:rsidR="00BE1EFE" w:rsidRDefault="00BE1EFE">
      <w:pPr>
        <w:pStyle w:val="berschrift5"/>
      </w:pPr>
      <w:bookmarkStart w:id="1049" w:name="_Toc523926568"/>
      <w:r>
        <w:lastRenderedPageBreak/>
        <w:t>§ 4 Anmeldung und Abmeldung</w:t>
      </w:r>
      <w:bookmarkEnd w:id="1049"/>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Dienstgeber meldet den Mitarbeiter mit Beginn des zusatzversorgungspflichtigen Arbeits- bzw. Ausbildungsverhältnisses bei der PENSIONSKASSE an, frühestens ab dem Zeitpunkt, ab dem zusatzversorgungspflichtiges Arbeitsentgelt bezogen wird. </w:t>
      </w:r>
      <w:r>
        <w:rPr>
          <w:rStyle w:val="kleinschrift"/>
        </w:rPr>
        <w:t>2</w:t>
      </w:r>
      <w:r>
        <w:t>Die Aufnahme des Mitarbeiters in die PENSIONSKASSE wird diesem durch Zustellung eines Mitgliedsaus</w:t>
      </w:r>
      <w:r>
        <w:softHyphen/>
        <w:t>weises, dem Dienstgeber durch eine entsprechende Bestätigung nachgewiesen.</w:t>
      </w:r>
    </w:p>
    <w:p w:rsidR="00BE1EFE" w:rsidRPr="000B1AF8" w:rsidRDefault="00BE1EFE">
      <w:pPr>
        <w:pStyle w:val="StandardWeb"/>
      </w:pPr>
    </w:p>
    <w:p w:rsidR="00BE1EFE" w:rsidRDefault="00BE1EFE">
      <w:pPr>
        <w:pStyle w:val="StandardWeb"/>
      </w:pPr>
      <w:r>
        <w:t>(2) </w:t>
      </w:r>
      <w:r>
        <w:rPr>
          <w:rStyle w:val="kleinschrift"/>
        </w:rPr>
        <w:t>1</w:t>
      </w:r>
      <w:r>
        <w:t xml:space="preserve">Der Dienstgeber meldet den Mitarbeiter mit Ende des zusatzversorgungspflichtigen Arbeits- bzw. Ausbildungsverhältnisses bei der PENSIONSKASSE ab. </w:t>
      </w:r>
      <w:r>
        <w:rPr>
          <w:rStyle w:val="kleinschrift"/>
        </w:rPr>
        <w:t>2</w:t>
      </w:r>
      <w:r>
        <w:t>Die vollzogene Abmeldung wird dem Mitarbeiter von der PENSIONSKASSE bestätigt; gleichzeitig wird der Mitarbeiter unter Angabe der erreichten Rentenanwartschaft davon in Kenntnis gesetzt, welche Möglichkeiten zur Fortsetzung des Versicherungsverhältnisses durch Beitragsfrei</w:t>
      </w:r>
      <w:r>
        <w:softHyphen/>
        <w:t>stellung (</w:t>
      </w:r>
      <w:hyperlink r:id="rId1563" w:history="1">
        <w:r w:rsidRPr="002D1F1D">
          <w:rPr>
            <w:rStyle w:val="Hyperlink"/>
          </w:rPr>
          <w:t>§ 6</w:t>
        </w:r>
      </w:hyperlink>
      <w:r>
        <w:t>) oder durch Begründung einer freiwilligen Mitgliedschaft (</w:t>
      </w:r>
      <w:hyperlink r:id="rId1564" w:history="1">
        <w:r w:rsidRPr="002D1F1D">
          <w:rPr>
            <w:rStyle w:val="Hyperlink"/>
          </w:rPr>
          <w:t>§ 8</w:t>
        </w:r>
      </w:hyperlink>
      <w:r>
        <w:t>) bestehen.</w:t>
      </w:r>
    </w:p>
    <w:p w:rsidR="00BE1EFE" w:rsidRDefault="00BE1EFE">
      <w:pPr>
        <w:pStyle w:val="berschrift5"/>
      </w:pPr>
      <w:bookmarkStart w:id="1050" w:name="_Toc523926569"/>
      <w:r>
        <w:t>§ 5 Beiträge</w:t>
      </w:r>
      <w:bookmarkEnd w:id="1050"/>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Dienstgeber hat den monatlichen Beitrag zur betrieblichen Altersversorgung zu tragen. </w:t>
      </w:r>
      <w:r>
        <w:rPr>
          <w:rStyle w:val="kleinschrift"/>
        </w:rPr>
        <w:t>2</w:t>
      </w:r>
      <w:r>
        <w:t xml:space="preserve">Er trägt des Weiteren die auf den Beitrag entfallende Lohnsteuer (vgl. Absatz 8), solange die rechtliche Möglichkeit der Pauschalierung der Lohnsteuer gegeben ist. </w:t>
      </w:r>
      <w:r>
        <w:rPr>
          <w:rStyle w:val="kleinschrift"/>
        </w:rPr>
        <w:t>3</w:t>
      </w:r>
      <w:r>
        <w:t>Beitrags</w:t>
      </w:r>
      <w:r>
        <w:softHyphen/>
        <w:t>pflicht besteht für den Zeitraum, für den dem Mitarbeiter nach dem Arbeitsvertragsrecht der bayerischen Diözesen ein Anspruch auf laufendes Arbeitsentgelt, auf Einmalzahlungen jedweder Art oder auf Krankenbezüge zusteht.</w:t>
      </w:r>
    </w:p>
    <w:p w:rsidR="00BE1EFE" w:rsidRPr="000B1AF8" w:rsidRDefault="00BE1EFE">
      <w:pPr>
        <w:pStyle w:val="StandardWeb"/>
      </w:pPr>
    </w:p>
    <w:p w:rsidR="00BE1EFE" w:rsidRDefault="00BE1EFE">
      <w:pPr>
        <w:pStyle w:val="StandardWeb"/>
      </w:pPr>
      <w:r>
        <w:t>(2) Der Beitrag zur betrieblichen Altersversorgung (Pflichtversicherung) ist vom Zusatzver</w:t>
      </w:r>
      <w:r>
        <w:softHyphen/>
        <w:t>sorgungspflichtigen Arbeitsentgelt (Absatz 3) jeweils mit dem Beitragssatz zu berechnen, den die kirchlichen Dienstgeber als Pflichtbeitrag im Abrechnungsverband II der Bayerischen Versorgungskammer, Zusatzversorgungskasse der bayerischen Gemeinden, abzuführen hätten.</w:t>
      </w:r>
    </w:p>
    <w:p w:rsidR="00BE1EFE" w:rsidRDefault="00BE1EFE">
      <w:pPr>
        <w:pStyle w:val="StandardWeb"/>
      </w:pPr>
    </w:p>
    <w:p w:rsidR="00BE1EFE" w:rsidRDefault="00BE1EFE">
      <w:pPr>
        <w:pStyle w:val="StandardWeb"/>
      </w:pPr>
      <w:r>
        <w:t>(3) </w:t>
      </w:r>
      <w:r>
        <w:rPr>
          <w:rStyle w:val="kleinschrift"/>
        </w:rPr>
        <w:t>1</w:t>
      </w:r>
      <w:r>
        <w:t xml:space="preserve">Das zusatzversorgungspflichtige Arbeitsentgelt im Sinn von Absatz 2 ist hierbei identisch mit dem der öffentlich-rechtlichen Zusatzversorgung zugrunde liegenden Arbeitsentgelt. </w:t>
      </w:r>
      <w:r>
        <w:rPr>
          <w:rStyle w:val="kleinschrift"/>
        </w:rPr>
        <w:t>2</w:t>
      </w:r>
      <w:r>
        <w:t xml:space="preserve">Als zusatzversorgungspflichtiges Entgelt im Sinn von Absatz 2 gilt für Zeiten, in denen Beschäftigte Anspruch auf Zuschuss zum Mutterschaftsgeld gemäß </w:t>
      </w:r>
      <w:hyperlink r:id="rId1565" w:history="1">
        <w:r w:rsidR="009E5A2D" w:rsidRPr="009E5A2D">
          <w:rPr>
            <w:rStyle w:val="Hyperlink"/>
          </w:rPr>
          <w:t>§ 14 Absatz 1 MuSchG</w:t>
        </w:r>
      </w:hyperlink>
      <w:r w:rsidR="009E5A2D">
        <w:t xml:space="preserve"> </w:t>
      </w:r>
      <w:r>
        <w:t xml:space="preserve">haben – auch wenn dieser wegen der Höhe des Mutterschaftsgeldes nicht gezahlt wird –, das fiktive Entgelt nach </w:t>
      </w:r>
      <w:hyperlink r:id="rId1566" w:history="1">
        <w:r w:rsidRPr="002D1F1D">
          <w:rPr>
            <w:rStyle w:val="Hyperlink"/>
          </w:rPr>
          <w:t>§ 21 ABD Teil A, 1</w:t>
        </w:r>
      </w:hyperlink>
      <w:r>
        <w:t>. bzw. entsprechenden Regelungen der Bayerischen Regional-KODA.</w:t>
      </w:r>
    </w:p>
    <w:p w:rsidR="00BE1EFE" w:rsidRDefault="00BE1EFE">
      <w:pPr>
        <w:pStyle w:val="StandardWeb"/>
      </w:pPr>
    </w:p>
    <w:p w:rsidR="00BE1EFE" w:rsidRDefault="00BE1EFE">
      <w:pPr>
        <w:pStyle w:val="StandardWeb"/>
      </w:pPr>
      <w:r>
        <w:t>(4) Überschreitet das zusatzversorgungspflichtige Arbeitsentgelt die jeweils gültige Beitrags</w:t>
      </w:r>
      <w:r>
        <w:softHyphen/>
        <w:t>bemessungsgrenze in der gesetzlichen Rentenversicherung, so löst dies keine zusätzliche Beitragszahlung des Dienstgebers aus.</w:t>
      </w:r>
    </w:p>
    <w:p w:rsidR="00BE1EFE" w:rsidRDefault="00BE1EFE">
      <w:pPr>
        <w:pStyle w:val="StandardWeb"/>
      </w:pPr>
    </w:p>
    <w:p w:rsidR="00BE1EFE" w:rsidRDefault="00BE1EFE">
      <w:pPr>
        <w:pStyle w:val="StandardWeb"/>
      </w:pPr>
      <w:r>
        <w:t>(5) Die Beiträge sind der PENSIONSKASSE jährlich durch den Dienstgeber für jeden einzel</w:t>
      </w:r>
      <w:r>
        <w:softHyphen/>
        <w:t>nen Versicherten nachzuweisen; sie sind unverzüglich nach Erstellung der monatlichen Gehaltsabrechnung in einer Summe an die PENSIONSKASSE abzuführen.</w:t>
      </w:r>
    </w:p>
    <w:p w:rsidR="00BE1EFE" w:rsidRDefault="00BE1EFE">
      <w:pPr>
        <w:pStyle w:val="StandardWeb"/>
      </w:pPr>
    </w:p>
    <w:p w:rsidR="00BE1EFE" w:rsidRDefault="00BE1EFE">
      <w:pPr>
        <w:pStyle w:val="StandardWeb"/>
      </w:pPr>
      <w:r>
        <w:t>(6) </w:t>
      </w:r>
      <w:r>
        <w:rPr>
          <w:rStyle w:val="kleinschrift"/>
        </w:rPr>
        <w:t>1</w:t>
      </w:r>
      <w:r>
        <w:t>Der Mitarbeiter kann die Teilnahme an der betrieblichen Altersversorgung (Pflichtver</w:t>
      </w:r>
      <w:r>
        <w:softHyphen/>
        <w:t xml:space="preserve">sicherung) insoweit verstärken, als er einen zusätzlichen eigenen Beitrag in Höhe von bis zu 6,0% des zusatzversorgungspflichtigen Arbeitsentgelts leistet und dies dem Dienstgeber gegenüber schriftlich erklärt. </w:t>
      </w:r>
      <w:r>
        <w:rPr>
          <w:rStyle w:val="kleinschrift"/>
        </w:rPr>
        <w:t>2</w:t>
      </w:r>
      <w:r>
        <w:t xml:space="preserve">Dienstgeber- und Mitarbeiterbeitrag dürfen jedoch zusammen nicht mehr als 10,0% des zusatzversorgungspflichtigen Arbeitsentgelts betragen. </w:t>
      </w:r>
    </w:p>
    <w:p w:rsidR="00BE1EFE" w:rsidRDefault="00BE1EFE">
      <w:pPr>
        <w:pStyle w:val="StandardWeb"/>
      </w:pPr>
      <w:r>
        <w:rPr>
          <w:rStyle w:val="kleinschrift"/>
        </w:rPr>
        <w:lastRenderedPageBreak/>
        <w:t>3</w:t>
      </w:r>
      <w:r>
        <w:t>Der Beitrag des Mitarbeiters kann im Wege der Entgeltumwandlung sichergestellt werden.</w:t>
      </w:r>
    </w:p>
    <w:p w:rsidR="00BE1EFE" w:rsidRDefault="00BE1EFE">
      <w:pPr>
        <w:pStyle w:val="StandardWeb"/>
      </w:pPr>
    </w:p>
    <w:p w:rsidR="00BE1EFE" w:rsidRDefault="00BE1EFE">
      <w:pPr>
        <w:pStyle w:val="StandardWeb"/>
      </w:pPr>
      <w:r>
        <w:t>(7) </w:t>
      </w:r>
      <w:r>
        <w:rPr>
          <w:rStyle w:val="kleinschrift"/>
        </w:rPr>
        <w:t>1</w:t>
      </w:r>
      <w:r>
        <w:t xml:space="preserve">Die Erklärung des Mitarbeiters über die Höhe seiner Beteiligung an der betrieblichen Altersversorgung nach Absatz 6 kann widerrufen und durch eine anderslautende Erklärung ersetzt werden. </w:t>
      </w:r>
      <w:r>
        <w:rPr>
          <w:rStyle w:val="kleinschrift"/>
        </w:rPr>
        <w:t>2</w:t>
      </w:r>
      <w:r>
        <w:t>Die Erklärung ist dem Dienstgeber schriftlich mit einer Frist von 4 Wochen vor dem nächsten Quartalsende vorzulegen.</w:t>
      </w:r>
    </w:p>
    <w:p w:rsidR="00BE1EFE" w:rsidRDefault="00BE1EFE">
      <w:pPr>
        <w:pStyle w:val="StandardWeb"/>
      </w:pPr>
    </w:p>
    <w:p w:rsidR="00BE1EFE" w:rsidRDefault="00BE1EFE">
      <w:pPr>
        <w:pStyle w:val="StandardWeb"/>
      </w:pPr>
      <w:r>
        <w:t>(8) </w:t>
      </w:r>
      <w:r>
        <w:rPr>
          <w:rStyle w:val="kleinschrift"/>
        </w:rPr>
        <w:t>1</w:t>
      </w:r>
      <w:r>
        <w:t xml:space="preserve">Der Dienstgeber führt die Beiträge zur betrieblichen Altersversorgung einschließlich des Beitrags des Mitarbeiters an die PENSIONSKASSE ab. </w:t>
      </w:r>
      <w:r>
        <w:rPr>
          <w:rStyle w:val="kleinschrift"/>
        </w:rPr>
        <w:t>2</w:t>
      </w:r>
      <w:r>
        <w:t xml:space="preserve">Der Dienstgeber trägt die auf seine Beiträge entfallende Lohnsteuer im Rahmen der Möglichkeit zur Pauschalierung der Lohnsteuer gemäß </w:t>
      </w:r>
      <w:hyperlink r:id="rId1567" w:tgtFrame="_blank" w:history="1">
        <w:r>
          <w:rPr>
            <w:rStyle w:val="Hyperlink"/>
          </w:rPr>
          <w:t>§ 40 b Absatz 2 Satz 1 EStG</w:t>
        </w:r>
      </w:hyperlink>
      <w:r>
        <w:t>.</w:t>
      </w:r>
    </w:p>
    <w:p w:rsidR="00BE1EFE" w:rsidRDefault="00BE1EFE">
      <w:pPr>
        <w:pStyle w:val="StandardWeb"/>
      </w:pPr>
    </w:p>
    <w:p w:rsidR="00BE1EFE" w:rsidRDefault="00BE1EFE">
      <w:pPr>
        <w:pStyle w:val="StandardWeb"/>
      </w:pPr>
      <w:r>
        <w:t>(9) </w:t>
      </w:r>
      <w:r>
        <w:rPr>
          <w:rStyle w:val="kleinschrift"/>
        </w:rPr>
        <w:t>1</w:t>
      </w:r>
      <w:r>
        <w:t xml:space="preserve">Dem Mitarbeiter steht es frei, eine höhere Rentenanwartschaft durch einen zweiten Rentenvertrag (freiwillige Versicherung) sicherzustellen. </w:t>
      </w:r>
      <w:r>
        <w:rPr>
          <w:rStyle w:val="kleinschrift"/>
        </w:rPr>
        <w:t>2</w:t>
      </w:r>
      <w:r>
        <w:t>Die hierfür erforderlichen Beiträge hat er selbst zu tragen.</w:t>
      </w:r>
    </w:p>
    <w:p w:rsidR="00BE1EFE" w:rsidRDefault="00BE1EFE">
      <w:pPr>
        <w:pStyle w:val="StandardWeb"/>
      </w:pPr>
    </w:p>
    <w:p w:rsidR="00BE1EFE" w:rsidRPr="00E33938" w:rsidRDefault="00BE1EFE">
      <w:pPr>
        <w:jc w:val="both"/>
        <w:rPr>
          <w:sz w:val="12"/>
          <w:szCs w:val="12"/>
        </w:rPr>
      </w:pPr>
      <w:r w:rsidRPr="00E33938">
        <w:rPr>
          <w:sz w:val="12"/>
          <w:szCs w:val="12"/>
        </w:rPr>
        <w:t xml:space="preserve">Protokollnotiz zu </w:t>
      </w:r>
      <w:r>
        <w:rPr>
          <w:sz w:val="12"/>
          <w:szCs w:val="12"/>
        </w:rPr>
        <w:t>Absatz</w:t>
      </w:r>
      <w:r w:rsidRPr="00E33938">
        <w:rPr>
          <w:sz w:val="12"/>
          <w:szCs w:val="12"/>
        </w:rPr>
        <w:t xml:space="preserve"> 1 wurde gestrichen</w:t>
      </w:r>
    </w:p>
    <w:p w:rsidR="00BE1EFE" w:rsidRDefault="00BE1EFE">
      <w:pPr>
        <w:pStyle w:val="berschrift5"/>
      </w:pPr>
      <w:bookmarkStart w:id="1051" w:name="_Toc523926570"/>
      <w:r>
        <w:t>§ 6 Beitragsfreie Zeiten</w:t>
      </w:r>
      <w:bookmarkEnd w:id="1051"/>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(1) Eine Beitragspflicht des Dienstgebers besteht nicht für Zeiten, für die der Mitarbeiter nach dem Arbeitsvertragsrecht der bayerischen Diözesen keinen Anspruch auf laufendes Arbeitsentgelt, Einmalzahlungen jedweder Art, auf Krankenbezüge oder Zuschuss zum Mutterschaftsgeld nach </w:t>
      </w:r>
      <w:hyperlink r:id="rId1568" w:tgtFrame="_blank" w:history="1">
        <w:r>
          <w:rPr>
            <w:rStyle w:val="Hyperlink"/>
          </w:rPr>
          <w:t xml:space="preserve">§ 14 Absatz 1 MuSchG </w:t>
        </w:r>
      </w:hyperlink>
      <w:r>
        <w:t>hat.</w:t>
      </w:r>
    </w:p>
    <w:p w:rsidR="00BE1EFE" w:rsidRPr="000B1AF8" w:rsidRDefault="00BE1EFE">
      <w:pPr>
        <w:pStyle w:val="StandardWeb"/>
      </w:pPr>
    </w:p>
    <w:p w:rsidR="00BE1EFE" w:rsidRDefault="00BE1EFE">
      <w:pPr>
        <w:pStyle w:val="StandardWeb"/>
      </w:pPr>
      <w:r>
        <w:t>(2) </w:t>
      </w:r>
      <w:r>
        <w:rPr>
          <w:rStyle w:val="kleinschrift"/>
        </w:rPr>
        <w:t>1</w:t>
      </w:r>
      <w:r>
        <w:t xml:space="preserve">Entfällt wegen Beendigung des Arbeits- bzw. Ausbildungsverhältnisses die Beitragspflicht des Dienstgebers für ein bestehendes Versicherungsverhältnis, ohne dass der versicherte Mitarbeiter von der Möglichkeit der freiwilligen Beitragsentrichtung gemäß </w:t>
      </w:r>
      <w:hyperlink r:id="rId1569" w:history="1">
        <w:r w:rsidRPr="002D1F1D">
          <w:rPr>
            <w:rStyle w:val="Hyperlink"/>
          </w:rPr>
          <w:t>§ 8</w:t>
        </w:r>
      </w:hyperlink>
      <w:r>
        <w:t xml:space="preserve"> Gebrauch macht, wird das Versicherungsverhältnis beitragsfrei fortgesetzt. </w:t>
      </w:r>
      <w:r>
        <w:rPr>
          <w:rStyle w:val="kleinschrift"/>
        </w:rPr>
        <w:t>2</w:t>
      </w:r>
      <w:r>
        <w:t xml:space="preserve">In diesem Fall wird eine Rentenanwartschaft nach Maßgabe des zum Zeitpunkt der Beitragsfreistellung vorhandenen Deckungskapitals berechnet. </w:t>
      </w:r>
      <w:r>
        <w:rPr>
          <w:rStyle w:val="kleinschrift"/>
        </w:rPr>
        <w:t>3</w:t>
      </w:r>
      <w:r>
        <w:t>Der Anspruch des Versicherten auf Teilnahme an künftigen Leistungserhöhungen aus der satzungsmäßigen Überschussverwendung bleibt von der Beitragsfreistellung unberührt.</w:t>
      </w:r>
    </w:p>
    <w:p w:rsidR="00BE1EFE" w:rsidRDefault="00BE1EFE">
      <w:pPr>
        <w:pStyle w:val="StandardWeb"/>
      </w:pPr>
    </w:p>
    <w:p w:rsidR="00BE1EFE" w:rsidRDefault="00BE1EFE" w:rsidP="002954CD">
      <w:pPr>
        <w:pStyle w:val="StandardWeb"/>
      </w:pPr>
      <w:r>
        <w:t>(3) </w:t>
      </w:r>
      <w:r>
        <w:rPr>
          <w:rStyle w:val="kleinschrift"/>
        </w:rPr>
        <w:t>1</w:t>
      </w:r>
      <w:r>
        <w:t xml:space="preserve">Der Dienstgeber kann jedoch – widerruflich – seine Bereitschaft erklären, auch für nicht beitragspflichtige Zeiten eine Beitragsleistung zu übernehmen. </w:t>
      </w:r>
      <w:r>
        <w:rPr>
          <w:rStyle w:val="kleinschrift"/>
        </w:rPr>
        <w:t>2</w:t>
      </w:r>
      <w:r>
        <w:t>Zeiten, für die keine Beiträge des Dienstgebers eingehen, können vom Mitarbeiter mit eigenen Beiträgen belegt werden.</w:t>
      </w:r>
    </w:p>
    <w:p w:rsidR="00BE1EFE" w:rsidRDefault="00BE1EFE">
      <w:pPr>
        <w:pStyle w:val="berschrift5"/>
      </w:pPr>
      <w:bookmarkStart w:id="1052" w:name="_Toc523926571"/>
      <w:r>
        <w:t>§ 7 Arbeitsplatzwechsel</w:t>
      </w:r>
      <w:bookmarkEnd w:id="1052"/>
    </w:p>
    <w:p w:rsidR="00BE1EFE" w:rsidRPr="00B76821" w:rsidRDefault="00BE1EFE" w:rsidP="00B76821">
      <w:pPr>
        <w:pStyle w:val="berschrift6"/>
        <w:keepNext w:val="0"/>
        <w:spacing w:before="0" w:after="0"/>
        <w:rPr>
          <w:sz w:val="2"/>
        </w:rPr>
      </w:pPr>
    </w:p>
    <w:p w:rsidR="00BE1EFE" w:rsidRDefault="00BE1EFE">
      <w:pPr>
        <w:pStyle w:val="StandardWeb"/>
      </w:pPr>
      <w:r>
        <w:t xml:space="preserve">Scheidet ein bei der PENSIONSKASSE pflichtversicherter Mitarbeiter aus dem Arbeits- bzw. Ausbildungsverhältnis aus und nimmt er eine Tätigkeit bei einem Dienstgeber auf, der die Versorgungsordnung B anwendet, so ist die begonnene Pflichtversicherung unter den für die Versorgungsordnung B geltenden Bedingungen fortzuführen. </w:t>
      </w:r>
    </w:p>
    <w:p w:rsidR="00BE1EFE" w:rsidRPr="000B1AF8" w:rsidRDefault="00BE1EFE">
      <w:pPr>
        <w:pStyle w:val="StandardWeb"/>
      </w:pPr>
      <w:r>
        <w:rPr>
          <w:rStyle w:val="kleinschrift"/>
        </w:rPr>
        <w:t>Der Hinweis wurde gestrichen.</w:t>
      </w:r>
    </w:p>
    <w:p w:rsidR="00BE1EFE" w:rsidRDefault="00BE1EFE">
      <w:pPr>
        <w:pStyle w:val="berschrift5"/>
      </w:pPr>
      <w:bookmarkStart w:id="1053" w:name="_Toc523926572"/>
      <w:r>
        <w:t>§ 8 Freiwillige Versicherung</w:t>
      </w:r>
      <w:bookmarkEnd w:id="105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lastRenderedPageBreak/>
        <w:t>1</w:t>
      </w:r>
      <w:r>
        <w:t>Entfällt die Beitragspflicht des Dienstgebers für eine bestehende Versicherung, so kann der Versicherte die bisherige Pflichtversicherung nach Maßgabe der Satzung der PENSIONS</w:t>
      </w:r>
      <w:r>
        <w:softHyphen/>
        <w:t xml:space="preserve">KASSE mit eigener Beitragsleistung als freiwillige Versicherung fortführen. </w:t>
      </w:r>
      <w:r>
        <w:rPr>
          <w:rStyle w:val="kleinschrift"/>
        </w:rPr>
        <w:t>2</w:t>
      </w:r>
      <w:r>
        <w:t>Der Versicherte kann hierbei jeden Beitrag zwischen dem tariflichen Mindestbeitrag und dem vom Dienstgeber für den letzten vollen Beschäftigungsmonat abgeführten Pflichtbeitrag wählen.</w:t>
      </w:r>
    </w:p>
    <w:p w:rsidR="00BE1EFE" w:rsidRDefault="00BE1EFE">
      <w:pPr>
        <w:pStyle w:val="berschrift5"/>
      </w:pPr>
      <w:bookmarkStart w:id="1054" w:name="_Toc523926573"/>
      <w:r>
        <w:t>§ 9 In-Kraft-Treten</w:t>
      </w:r>
      <w:bookmarkEnd w:id="1054"/>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 xml:space="preserve">Die Versorgungsordnung B tritt mit Wirkung zum 1. Januar 2003 in Kraft. </w:t>
      </w:r>
      <w:r>
        <w:rPr>
          <w:rStyle w:val="kleinschrift"/>
        </w:rPr>
        <w:t>2</w:t>
      </w:r>
      <w:r>
        <w:t>Mit dem In-Kraft-Treten der Versorgungsordnung B tritt die Regelung über eine zusätzliche Alters- und Hinterbliebenenversorgung der bayerischen (Erz-)Diözesen (Versorgungsordnung der bayerischen [Erz-]Diözesen [VOBD]) (ABD Teil C, 3 b) außer Kraft.</w:t>
      </w:r>
    </w:p>
    <w:p w:rsidR="00BE1EFE" w:rsidRDefault="00BE1EFE" w:rsidP="00E87479">
      <w:pPr>
        <w:pStyle w:val="berschrift4"/>
        <w:spacing w:before="0"/>
      </w:pPr>
      <w:r>
        <w:br w:type="page"/>
      </w:r>
      <w:bookmarkStart w:id="1055" w:name="_Toc523926574"/>
      <w:r>
        <w:lastRenderedPageBreak/>
        <w:t>D, 10 c. Ordnung über die betriebliche Altersversorgung durch Entgeltumwandlung der Beschäftigten im kirchlichen Dienst</w:t>
      </w:r>
      <w:bookmarkEnd w:id="1055"/>
    </w:p>
    <w:p w:rsidR="00BE1EFE" w:rsidRPr="00B76821" w:rsidRDefault="00BE1EFE" w:rsidP="00B76821">
      <w:pPr>
        <w:pStyle w:val="berschrift5"/>
        <w:keepNext w:val="0"/>
        <w:spacing w:before="0" w:after="0"/>
        <w:rPr>
          <w:rStyle w:val="Fett"/>
          <w:bCs w:val="0"/>
          <w:sz w:val="2"/>
        </w:rPr>
      </w:pPr>
    </w:p>
    <w:p w:rsidR="00BE1EFE" w:rsidRDefault="00BE1EFE" w:rsidP="002A0FD5">
      <w:pPr>
        <w:pStyle w:val="berschrift5"/>
        <w:spacing w:before="0" w:after="0"/>
        <w:rPr>
          <w:rStyle w:val="Fett"/>
          <w:bCs w:val="0"/>
          <w:sz w:val="2"/>
        </w:rPr>
      </w:pPr>
    </w:p>
    <w:p w:rsidR="00BE1EFE" w:rsidRPr="00B76821" w:rsidRDefault="00BE1EFE" w:rsidP="00B76821">
      <w:pPr>
        <w:pStyle w:val="berschrift6"/>
        <w:keepNext w:val="0"/>
        <w:spacing w:before="0" w:after="0"/>
        <w:rPr>
          <w:rStyle w:val="Fett"/>
          <w:bCs w:val="0"/>
          <w:sz w:val="2"/>
        </w:rPr>
      </w:pPr>
    </w:p>
    <w:p w:rsidR="00BE1EFE" w:rsidRDefault="00BE1EFE" w:rsidP="002A0FD5">
      <w:pPr>
        <w:pStyle w:val="berschrift5"/>
        <w:spacing w:before="0" w:after="0"/>
        <w:rPr>
          <w:rStyle w:val="Fett"/>
          <w:bCs w:val="0"/>
          <w:sz w:val="2"/>
        </w:rPr>
      </w:pPr>
    </w:p>
    <w:p w:rsidR="00BE1EFE" w:rsidRPr="00B76821" w:rsidRDefault="00BE1EFE" w:rsidP="00B76821">
      <w:pPr>
        <w:pStyle w:val="berschrift6"/>
        <w:keepNext w:val="0"/>
        <w:spacing w:before="0" w:after="0"/>
        <w:rPr>
          <w:rStyle w:val="Fett"/>
          <w:rFonts w:ascii="ZWAdobeF" w:hAnsi="ZWAdobeF"/>
          <w:b/>
          <w:bCs w:val="0"/>
          <w:sz w:val="2"/>
          <w:szCs w:val="2"/>
        </w:rPr>
      </w:pPr>
    </w:p>
    <w:p w:rsidR="00BE1EFE" w:rsidRDefault="00BE1EFE" w:rsidP="002A0FD5">
      <w:pPr>
        <w:pStyle w:val="berschrift6"/>
        <w:spacing w:before="0" w:after="0"/>
        <w:rPr>
          <w:rStyle w:val="Fett"/>
          <w:rFonts w:ascii="ZWAdobeF" w:hAnsi="ZWAdobeF"/>
          <w:b/>
          <w:bCs w:val="0"/>
          <w:sz w:val="2"/>
          <w:szCs w:val="2"/>
        </w:rPr>
      </w:pPr>
    </w:p>
    <w:p w:rsidR="00BE1EFE" w:rsidRPr="00B76821" w:rsidRDefault="00BE1EFE" w:rsidP="00B76821">
      <w:pPr>
        <w:pStyle w:val="h7"/>
        <w:keepNext w:val="0"/>
        <w:spacing w:before="0" w:after="0"/>
        <w:jc w:val="left"/>
        <w:outlineLvl w:val="5"/>
        <w:rPr>
          <w:rStyle w:val="Fett"/>
          <w:bCs/>
          <w:sz w:val="2"/>
        </w:rPr>
      </w:pPr>
    </w:p>
    <w:p w:rsidR="00BE1EFE" w:rsidRPr="002A0FD5" w:rsidRDefault="00BE1EFE" w:rsidP="002A0FD5">
      <w:pPr>
        <w:pStyle w:val="StandardWeb"/>
        <w:autoSpaceDE w:val="0"/>
        <w:jc w:val="center"/>
        <w:rPr>
          <w:b/>
        </w:rPr>
      </w:pPr>
      <w:r>
        <w:rPr>
          <w:rStyle w:val="Fett"/>
          <w:bCs/>
        </w:rPr>
        <w:t xml:space="preserve">- Versorgungsordnung C - </w:t>
      </w:r>
      <w:r>
        <w:rPr>
          <w:rStyle w:val="Fett"/>
          <w:bCs/>
        </w:rPr>
        <w:br/>
        <w:t>in der Fassung vom 1. Januar 2003</w:t>
      </w:r>
    </w:p>
    <w:p w:rsidR="00BE1EFE" w:rsidRPr="000B1AF8" w:rsidRDefault="00BE1EFE">
      <w:pPr>
        <w:pStyle w:val="StandardWeb"/>
        <w:jc w:val="center"/>
      </w:pPr>
    </w:p>
    <w:p w:rsidR="00BE1EFE" w:rsidRDefault="00BE1EFE">
      <w:pPr>
        <w:pStyle w:val="StandardWeb"/>
      </w:pPr>
      <w:r>
        <w:t xml:space="preserve">Der Mitarbeiter hat Anspruch auf Entgeltumwandlung im Rahmen der betrieblichen Altersvorsorge nach Maßgabe der folgenden Beschlüsse der Zentral-KODA und der Bayerischen Regional-KODA. </w:t>
      </w:r>
    </w:p>
    <w:p w:rsidR="00BE1EFE" w:rsidRDefault="00BE1EFE">
      <w:pPr>
        <w:pStyle w:val="berschrift5"/>
      </w:pPr>
      <w:bookmarkStart w:id="1056" w:name="_Toc523926575"/>
      <w:r>
        <w:t>Teil A</w:t>
      </w:r>
      <w:bookmarkEnd w:id="1056"/>
    </w:p>
    <w:p w:rsidR="00BE1EFE" w:rsidRDefault="00BE1EFE">
      <w:pPr>
        <w:pStyle w:val="berschrift6"/>
      </w:pPr>
      <w:bookmarkStart w:id="1057" w:name="_Toc523926576"/>
      <w:r>
        <w:t>Beschluss der Zentral-KODA gem. § 3 Abs. 1 Ziff. 1 Zentral-KODA-Ordnung (ZKO) vom 15.04.2002 zuletzt geändert durch Beschluss vom 21.03.2013</w:t>
      </w:r>
      <w:bookmarkEnd w:id="105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Unter Bezugnahme auf </w:t>
      </w:r>
      <w:hyperlink r:id="rId1570" w:tgtFrame="_blank" w:history="1">
        <w:r>
          <w:rPr>
            <w:rStyle w:val="Hyperlink"/>
          </w:rPr>
          <w:t>§ 17 Abs. 3 und 5 Betriebsrentengesetz</w:t>
        </w:r>
      </w:hyperlink>
      <w:r>
        <w:t xml:space="preserve"> (BetrAVG) hat die Zentral-KODA gem. </w:t>
      </w:r>
      <w:hyperlink r:id="rId1571" w:history="1">
        <w:r w:rsidRPr="002D1F1D">
          <w:rPr>
            <w:rStyle w:val="Hyperlink"/>
          </w:rPr>
          <w:t>§ 3 Abs. 1 Ziff. 1 ZKO</w:t>
        </w:r>
      </w:hyperlink>
      <w:r>
        <w:t xml:space="preserve"> folgende Regelung beschlossen, der die Bayerische Regional-KODA gem. </w:t>
      </w:r>
      <w:hyperlink r:id="rId1572" w:history="1">
        <w:r w:rsidRPr="002D1F1D">
          <w:rPr>
            <w:rStyle w:val="Hyperlink"/>
          </w:rPr>
          <w:t>§ 12 a BayRKO</w:t>
        </w:r>
      </w:hyperlink>
      <w:r>
        <w:t xml:space="preserve"> zugestimmt hat:</w:t>
      </w:r>
    </w:p>
    <w:p w:rsidR="00BE1EFE" w:rsidRPr="000B1AF8" w:rsidRDefault="00BE1EFE">
      <w:pPr>
        <w:pStyle w:val="StandardWeb"/>
      </w:pPr>
    </w:p>
    <w:p w:rsidR="00BE1EFE" w:rsidRDefault="00BE1EFE" w:rsidP="0054275E">
      <w:pPr>
        <w:pStyle w:val="StandardWeb"/>
        <w:autoSpaceDE w:val="0"/>
        <w:jc w:val="center"/>
      </w:pPr>
      <w:r>
        <w:rPr>
          <w:rStyle w:val="Fett"/>
          <w:bCs/>
        </w:rPr>
        <w:t>Entgeltumwandlung</w:t>
      </w:r>
    </w:p>
    <w:p w:rsidR="00BE1EFE" w:rsidRDefault="00BE1EFE">
      <w:pPr>
        <w:pStyle w:val="StandardWeb"/>
        <w:jc w:val="center"/>
      </w:pPr>
    </w:p>
    <w:p w:rsidR="00BE1EFE" w:rsidRDefault="00BE1EFE">
      <w:pPr>
        <w:pStyle w:val="StandardWeb"/>
      </w:pPr>
      <w:r>
        <w:t>1. </w:t>
      </w:r>
      <w:r>
        <w:rPr>
          <w:rStyle w:val="kleinschrift"/>
        </w:rPr>
        <w:t>1</w:t>
      </w:r>
      <w:r>
        <w:t>Der Mitarbeiter (Arbeitnehmer und zu seiner Ausbildung Beschäftigte) hat Anspruch auf Entgeltumwandlung bei der Kasse, bei der auch seine zusätzliche betriebliche Altersver</w:t>
      </w:r>
      <w:r>
        <w:softHyphen/>
        <w:t xml:space="preserve">sorgung durchgeführt wird. </w:t>
      </w:r>
      <w:r>
        <w:rPr>
          <w:rStyle w:val="kleinschrift"/>
        </w:rPr>
        <w:t>2</w:t>
      </w:r>
      <w:r>
        <w:t>Voraussetzung ist, dass die dafür zuständige Kasse satzungs</w:t>
      </w:r>
      <w:r>
        <w:softHyphen/>
        <w:t xml:space="preserve">rechtlich die entsprechende Möglichkeit schafft. </w:t>
      </w:r>
      <w:r>
        <w:rPr>
          <w:rStyle w:val="kleinschrift"/>
        </w:rPr>
        <w:t>3</w:t>
      </w:r>
      <w:r>
        <w:t>Im Einzelfall können die Vertragsparteien bei Vorliegen eines sachlichen Grundes arbeitsvertraglich vereinbaren, dass die Entgeltumwand</w:t>
      </w:r>
      <w:r>
        <w:softHyphen/>
        <w:t xml:space="preserve">lung bei einer anderen Kasse oder Einrichtung erfolgt. </w:t>
      </w:r>
      <w:r>
        <w:rPr>
          <w:rStyle w:val="kleinschrift"/>
        </w:rPr>
        <w:t>4</w:t>
      </w:r>
      <w:r>
        <w:t xml:space="preserve">Die Regelung gilt unabhängig davon, ob der Mitarbeiter die steuerliche Förderung nach </w:t>
      </w:r>
      <w:hyperlink r:id="rId1573" w:tgtFrame="_blank" w:history="1">
        <w:r>
          <w:rPr>
            <w:rStyle w:val="Hyperlink"/>
          </w:rPr>
          <w:t>§ 3 Nr. 63 EStG</w:t>
        </w:r>
      </w:hyperlink>
      <w:r>
        <w:t xml:space="preserve"> oder nach </w:t>
      </w:r>
      <w:hyperlink r:id="rId1574" w:tgtFrame="_blank" w:history="1">
        <w:r>
          <w:rPr>
            <w:rStyle w:val="Hyperlink"/>
          </w:rPr>
          <w:t>§ 10 a EStG</w:t>
        </w:r>
      </w:hyperlink>
      <w:r>
        <w:t xml:space="preserve"> in Anspruch nimmt.</w:t>
      </w:r>
    </w:p>
    <w:p w:rsidR="00BE1EFE" w:rsidRDefault="00BE1EFE">
      <w:pPr>
        <w:pStyle w:val="StandardWeb"/>
      </w:pPr>
      <w:r>
        <w:t>1a. Soweit aufgrund staatlicher Refinanzierungsbedingungen für bestimmte Berufsgruppen die Entgeltumwandlung ausgeschlossen ist, besteht auch kein Anspruch nach dieser Regelung.</w:t>
      </w:r>
    </w:p>
    <w:p w:rsidR="00BE1EFE" w:rsidRDefault="00BE1EFE">
      <w:pPr>
        <w:pStyle w:val="StandardWeb"/>
      </w:pPr>
      <w:r>
        <w:t>1b. </w:t>
      </w:r>
      <w:r>
        <w:rPr>
          <w:rStyle w:val="kleinschrift"/>
        </w:rPr>
        <w:t>1</w:t>
      </w:r>
      <w:r>
        <w:t xml:space="preserve">Der Höchstbetrag für die Entgeltumwandlung wird begrenzt auf jährlich bis zu 4 v. H. der jeweiligen Beitragsbemessungsgrenze (West) in der allgemeinen Rentenversicherung zuzüglich 1800 Euro für nach dem 31.12.2004 neu abgeschlossene Verträge. </w:t>
      </w:r>
      <w:r>
        <w:rPr>
          <w:rStyle w:val="kleinschrift"/>
        </w:rPr>
        <w:t>2</w:t>
      </w:r>
      <w:r>
        <w:t>Im Einverneh</w:t>
      </w:r>
      <w:r>
        <w:softHyphen/>
        <w:t>men zwischen Dienstgeber und Dienstnehmer können auch höhere Beträge umgewandelt werden.</w:t>
      </w:r>
    </w:p>
    <w:p w:rsidR="00BE1EFE" w:rsidRDefault="00BE1EFE">
      <w:pPr>
        <w:pStyle w:val="StandardWeb"/>
      </w:pPr>
    </w:p>
    <w:p w:rsidR="00BE1EFE" w:rsidRDefault="00BE1EFE">
      <w:pPr>
        <w:pStyle w:val="StandardWeb"/>
      </w:pPr>
      <w:r>
        <w:t>2. </w:t>
      </w:r>
      <w:r>
        <w:rPr>
          <w:rStyle w:val="kleinschrift"/>
        </w:rPr>
        <w:t>1</w:t>
      </w:r>
      <w:r>
        <w:t xml:space="preserve">Erfolgt eine steuerliche Förderung, findet diese zunächst Anwendung auf Beiträge des Dienstgebers, sodann auf umgewandelte Entgeltbestandteile des Mitarbeiters. </w:t>
      </w:r>
      <w:r>
        <w:rPr>
          <w:rStyle w:val="kleinschrift"/>
        </w:rPr>
        <w:t>2</w:t>
      </w:r>
      <w:r>
        <w:t xml:space="preserve">Liegt die Summe aus dem Beitrag des Dienstgebers und der Entgeltumwandlung oberhalb der Grenze gem. </w:t>
      </w:r>
      <w:hyperlink r:id="rId1575" w:tgtFrame="_blank" w:history="1">
        <w:r>
          <w:rPr>
            <w:rStyle w:val="Hyperlink"/>
          </w:rPr>
          <w:t>§ 3 Nr. 63 EStG</w:t>
        </w:r>
      </w:hyperlink>
      <w:r>
        <w:t xml:space="preserve">, wird der übersteigende Teil des Beitrags nach </w:t>
      </w:r>
      <w:hyperlink r:id="rId1576" w:tgtFrame="_blank" w:history="1">
        <w:r>
          <w:rPr>
            <w:rStyle w:val="Hyperlink"/>
          </w:rPr>
          <w:t>§ 40 b EStG</w:t>
        </w:r>
      </w:hyperlink>
      <w:r>
        <w:t xml:space="preserve"> pauschal versteuert, soweit die rechtliche Möglichkeit dazu besteht und nicht bereits vom Dienstgeber genutzt wird. </w:t>
      </w:r>
      <w:r>
        <w:rPr>
          <w:rStyle w:val="kleinschrift"/>
        </w:rPr>
        <w:t>3</w:t>
      </w:r>
      <w:r>
        <w:t>Die Pauschalsteuer ist dann vom Mitarbeiter zu tragen.</w:t>
      </w:r>
    </w:p>
    <w:p w:rsidR="00BE1EFE" w:rsidRDefault="00BE1EFE">
      <w:pPr>
        <w:pStyle w:val="StandardWeb"/>
      </w:pPr>
    </w:p>
    <w:p w:rsidR="00BE1EFE" w:rsidRDefault="00BE1EFE">
      <w:pPr>
        <w:pStyle w:val="StandardWeb"/>
      </w:pPr>
      <w:r>
        <w:t>3. Bemessungsgrundlage für Ansprüche und Forderungen zwischen Dienstgeber und Mitarbeiter bleibt das Entgelt, das sich ohne die Entgeltumwandlung ergeben würde.</w:t>
      </w:r>
    </w:p>
    <w:p w:rsidR="00BE1EFE" w:rsidRDefault="00BE1EFE">
      <w:pPr>
        <w:pStyle w:val="StandardWeb"/>
      </w:pPr>
    </w:p>
    <w:p w:rsidR="00BE1EFE" w:rsidRDefault="00BE1EFE">
      <w:pPr>
        <w:pStyle w:val="StandardWeb"/>
      </w:pPr>
      <w:r>
        <w:t>4. </w:t>
      </w:r>
      <w:r>
        <w:rPr>
          <w:rStyle w:val="kleinschrift"/>
        </w:rPr>
        <w:t>1</w:t>
      </w:r>
      <w:r>
        <w:t xml:space="preserve">Bietet die für die zusätzliche betriebliche Altersversorgung zuständige Kasse bis zum 31. Oktober 2002 keine rechtliche Möglichkeit für die Durchführung der Entgeltumwandlung, soll </w:t>
      </w:r>
      <w:r>
        <w:lastRenderedPageBreak/>
        <w:t xml:space="preserve">die zuständige arbeitsrechtliche Kommission eine andere Kasse festlegen, bei der die Entgeltumwandlung durchgeführt werden kann. </w:t>
      </w:r>
      <w:r>
        <w:rPr>
          <w:rStyle w:val="kleinschrift"/>
        </w:rPr>
        <w:t>2</w:t>
      </w:r>
      <w:r>
        <w:t>Nimmt die zuständige Kommission diese Festlegung nicht vor, hat auf Verlangen des Mitarbeiters der Dienstgeber festzulegen, dass die Entgeltumwandlung bei der KZVK Köln oder der Selbsthilfe VVaG durchzuführen ist.</w:t>
      </w:r>
    </w:p>
    <w:p w:rsidR="00BE1EFE" w:rsidRDefault="00BE1EFE">
      <w:pPr>
        <w:pStyle w:val="StandardWeb"/>
      </w:pPr>
    </w:p>
    <w:p w:rsidR="00BE1EFE" w:rsidRDefault="00BE1EFE">
      <w:pPr>
        <w:pStyle w:val="StandardWeb"/>
      </w:pPr>
      <w:r>
        <w:t>5.</w:t>
      </w:r>
    </w:p>
    <w:p w:rsidR="00BE1EFE" w:rsidRDefault="00BE1EFE">
      <w:pPr>
        <w:pStyle w:val="StandardWeb"/>
      </w:pPr>
      <w:r>
        <w:t>1. </w:t>
      </w:r>
      <w:r>
        <w:rPr>
          <w:rStyle w:val="kleinschrift"/>
        </w:rPr>
        <w:t>1</w:t>
      </w:r>
      <w:r>
        <w:t>Wandelt ein krankenversicherungspflichtig Beschäftigter Entgelt um, leistet der Arbeitgeber in jedem Monat, in dem Arbeitsentgelt umgewandelt wird, einen Zuschuss in Höhe von 13 % des jeweiligen sozialversicherungsfrei in die zusätzliche betriebliche Altersversorgung umgewandelten Betrages. </w:t>
      </w:r>
      <w:r>
        <w:rPr>
          <w:rStyle w:val="kleinschrift"/>
        </w:rPr>
        <w:t>2</w:t>
      </w:r>
      <w:r>
        <w:t>Der Zuschuss wird vom Dienstgeber an die zuständige Altersvor</w:t>
      </w:r>
      <w:r>
        <w:softHyphen/>
        <w:t xml:space="preserve">sorgeeinrichtung abgeführt. </w:t>
      </w:r>
      <w:r>
        <w:rPr>
          <w:rStyle w:val="kleinschrift"/>
        </w:rPr>
        <w:t>3</w:t>
      </w:r>
      <w:r>
        <w:t>Der Zuschuss wird nicht gewährt im Falle der Nettoumwandlung (Riester-Rente).</w:t>
      </w:r>
    </w:p>
    <w:p w:rsidR="00BE1EFE" w:rsidRDefault="00BE1EFE">
      <w:pPr>
        <w:pStyle w:val="StandardWeb"/>
      </w:pPr>
      <w:r>
        <w:t>2. </w:t>
      </w:r>
      <w:r>
        <w:rPr>
          <w:rStyle w:val="kleinschrift"/>
        </w:rPr>
        <w:t>1</w:t>
      </w:r>
      <w:r>
        <w:t xml:space="preserve">Für umgewandelte Beiträge, die unter Berücksichtigung des Höchstbetrages im Jahresdurchschnitt sozialversicherungspflichtig sind, besteht kein Anspruch auf Zuschuss. </w:t>
      </w:r>
      <w:r>
        <w:rPr>
          <w:rStyle w:val="kleinschrift"/>
        </w:rPr>
        <w:t>2</w:t>
      </w:r>
      <w:r>
        <w:t xml:space="preserve">Der Zuschuss errechnet sich in diesem Fall aus dem höchstmöglichen zuschussfähigen Umwandlungsbetrag einschließlich des Zuschusses, so dass der Zuschuss zusammen mit den eingezahlten Beträgen des Beschäftigten die sozialversicherungsfreie Höchstgrenze erreicht. </w:t>
      </w:r>
      <w:r>
        <w:rPr>
          <w:rStyle w:val="kleinschrift"/>
        </w:rPr>
        <w:t>3</w:t>
      </w:r>
      <w:r>
        <w:t xml:space="preserve">Für darüber hinaus umgewandelte Beträge besteht kein Anspruch auf Zuschuss. </w:t>
      </w:r>
      <w:r>
        <w:rPr>
          <w:rStyle w:val="kleinschrift"/>
        </w:rPr>
        <w:t>4</w:t>
      </w:r>
      <w:r>
        <w:t xml:space="preserve">Diese darüber hinaus vom Beschäftigten umgewandelten Beträge sind ggf. entsprechend den gesetzlichen Vorgaben zu verbeitragen und zu versteuern. </w:t>
      </w:r>
    </w:p>
    <w:p w:rsidR="00BE1EFE" w:rsidRDefault="00BE1EFE">
      <w:pPr>
        <w:pStyle w:val="StandardWeb"/>
      </w:pPr>
      <w:r>
        <w:t>3. </w:t>
      </w:r>
      <w:r>
        <w:rPr>
          <w:rStyle w:val="kleinschrift"/>
        </w:rPr>
        <w:t>1</w:t>
      </w:r>
      <w:r>
        <w:t xml:space="preserve">Der Zuschuss ist spätestens zum Zahlungstermin des Dezembergehaltes fällig. </w:t>
      </w:r>
      <w:r>
        <w:rPr>
          <w:rStyle w:val="kleinschrift"/>
        </w:rPr>
        <w:t>2</w:t>
      </w:r>
      <w:r>
        <w:t xml:space="preserve">Scheidet der Mitarbeiter vorher aus, ist der Zuschuss zum Zeitpunkt des Ausscheidens fällig. </w:t>
      </w:r>
      <w:r>
        <w:rPr>
          <w:rStyle w:val="kleinschrift"/>
        </w:rPr>
        <w:t>3</w:t>
      </w:r>
      <w:r>
        <w:t xml:space="preserve">Aus abrechnungstechnischen und steuerlichen Gründen soll der Zuschuss einmal im Jahr gezahlt werden. </w:t>
      </w:r>
    </w:p>
    <w:p w:rsidR="00BE1EFE" w:rsidRDefault="00BE1EFE">
      <w:pPr>
        <w:pStyle w:val="StandardWeb"/>
      </w:pPr>
    </w:p>
    <w:p w:rsidR="00BE1EFE" w:rsidRDefault="00BE1EFE">
      <w:pPr>
        <w:pStyle w:val="StandardWeb"/>
      </w:pPr>
      <w:r>
        <w:t>6. Der Anspruch auf Entgeltumwandlung besteht, solange er gesetzlich ermöglicht wird.</w:t>
      </w:r>
    </w:p>
    <w:p w:rsidR="00BE1EFE" w:rsidRDefault="00BE1EFE">
      <w:pPr>
        <w:pStyle w:val="StandardWeb"/>
      </w:pPr>
    </w:p>
    <w:p w:rsidR="00BE1EFE" w:rsidRDefault="00BE1EFE">
      <w:pPr>
        <w:jc w:val="both"/>
      </w:pPr>
      <w:r w:rsidRPr="009C6551">
        <w:rPr>
          <w:rStyle w:val="kleinschrift1"/>
        </w:rPr>
        <w:t>Erläuterungen zur Umsetzung des Beschlusses:</w:t>
      </w:r>
    </w:p>
    <w:p w:rsidR="00BE1EFE" w:rsidRDefault="00BE1EFE">
      <w:pPr>
        <w:jc w:val="both"/>
        <w:rPr>
          <w:rStyle w:val="kleinschrift1"/>
        </w:rPr>
      </w:pPr>
      <w:r w:rsidRPr="009C6551">
        <w:rPr>
          <w:rStyle w:val="kleinschrift1"/>
        </w:rPr>
        <w:t>Es wird sichergestellt, dass bei der Reihenfolge der umzuwandelnden Beiträge vorrangig die sozialversicherungsfreien Beiträge zugunsten des Dienstgebers Verwendung finden, zweitrangig die sozialversicherungsfreien Beiträge, die zuschuss</w:t>
      </w:r>
      <w:r>
        <w:rPr>
          <w:rStyle w:val="kleinschrift1"/>
        </w:rPr>
        <w:softHyphen/>
      </w:r>
      <w:r w:rsidRPr="009C6551">
        <w:rPr>
          <w:rStyle w:val="kleinschrift1"/>
        </w:rPr>
        <w:t>fähig sind einschließlich des sich daraus ergebenden steuer- und sozialversicherungsfreien Zuschusses, drittrang</w:t>
      </w:r>
      <w:r>
        <w:rPr>
          <w:rStyle w:val="kleinschrift1"/>
        </w:rPr>
        <w:t>ig erst die sozialversicherungs</w:t>
      </w:r>
      <w:r w:rsidRPr="009C6551">
        <w:rPr>
          <w:rStyle w:val="kleinschrift1"/>
        </w:rPr>
        <w:t>pflichtigen Beiträge.</w:t>
      </w:r>
    </w:p>
    <w:p w:rsidR="00BE1EFE" w:rsidRPr="00C2603F" w:rsidRDefault="00BE1EFE" w:rsidP="00E87479">
      <w:pPr>
        <w:pStyle w:val="berschrift5"/>
        <w:spacing w:before="0"/>
        <w:rPr>
          <w:sz w:val="12"/>
        </w:rPr>
      </w:pPr>
      <w:r>
        <w:rPr>
          <w:rStyle w:val="kleinschrift1"/>
        </w:rPr>
        <w:br w:type="page"/>
      </w:r>
      <w:bookmarkStart w:id="1058" w:name="_Toc523926577"/>
      <w:r>
        <w:lastRenderedPageBreak/>
        <w:t>Teil B</w:t>
      </w:r>
      <w:bookmarkEnd w:id="1058"/>
    </w:p>
    <w:p w:rsidR="00BE1EFE" w:rsidRPr="00B76821" w:rsidRDefault="00BE1EFE" w:rsidP="00B76821">
      <w:pPr>
        <w:pStyle w:val="berschrift6"/>
        <w:keepNext w:val="0"/>
        <w:spacing w:before="0" w:after="0"/>
        <w:rPr>
          <w:sz w:val="2"/>
        </w:rPr>
      </w:pPr>
    </w:p>
    <w:p w:rsidR="00BE1EFE" w:rsidRPr="000B1AF8" w:rsidRDefault="00BE1EFE">
      <w:pPr>
        <w:pStyle w:val="StandardWeb"/>
      </w:pPr>
      <w:r>
        <w:t>Beschlüsse der Bayerischen Regional-KODA</w:t>
      </w:r>
    </w:p>
    <w:p w:rsidR="00BE1EFE" w:rsidRDefault="00BE1EFE">
      <w:pPr>
        <w:pStyle w:val="berschrift6"/>
      </w:pPr>
      <w:bookmarkStart w:id="1059" w:name="_Toc523926578"/>
      <w:r>
        <w:t>Ergänzungen zum Beschluss der Zentral-KODA zur Entgeltumwandlung</w:t>
      </w:r>
      <w:bookmarkEnd w:id="1059"/>
    </w:p>
    <w:p w:rsidR="00BE1EFE" w:rsidRPr="00B76821" w:rsidRDefault="00BE1EFE" w:rsidP="00B76821">
      <w:pPr>
        <w:pStyle w:val="h7"/>
        <w:keepNext w:val="0"/>
        <w:spacing w:before="0" w:after="0"/>
        <w:jc w:val="left"/>
        <w:outlineLvl w:val="5"/>
        <w:rPr>
          <w:rStyle w:val="Fett"/>
          <w:bCs/>
          <w:sz w:val="2"/>
        </w:rPr>
      </w:pPr>
    </w:p>
    <w:p w:rsidR="00BE1EFE" w:rsidRDefault="00BE1EFE" w:rsidP="0054275E">
      <w:pPr>
        <w:pStyle w:val="StandardWeb"/>
        <w:autoSpaceDE w:val="0"/>
        <w:jc w:val="center"/>
        <w:rPr>
          <w:b/>
          <w:bCs/>
        </w:rPr>
      </w:pPr>
      <w:r>
        <w:rPr>
          <w:rStyle w:val="Fett"/>
          <w:bCs/>
        </w:rPr>
        <w:t>§ 1</w:t>
      </w:r>
    </w:p>
    <w:p w:rsidR="00BE1EFE" w:rsidRDefault="00BE1EFE" w:rsidP="0054275E">
      <w:pPr>
        <w:pStyle w:val="StandardWeb"/>
        <w:autoSpaceDE w:val="0"/>
        <w:jc w:val="center"/>
        <w:rPr>
          <w:b/>
          <w:bCs/>
        </w:rPr>
      </w:pPr>
      <w:r>
        <w:rPr>
          <w:rStyle w:val="Fett"/>
          <w:bCs/>
        </w:rPr>
        <w:t>Anspruch auf Entgeltumwandlung zugunsten der betrieblichen Altersversorgung</w:t>
      </w:r>
    </w:p>
    <w:p w:rsidR="00BE1EFE" w:rsidRPr="000B1AF8" w:rsidRDefault="00BE1EFE" w:rsidP="0054275E">
      <w:pPr>
        <w:pStyle w:val="StandardWeb"/>
        <w:autoSpaceDE w:val="0"/>
        <w:jc w:val="center"/>
      </w:pPr>
      <w:r>
        <w:rPr>
          <w:rStyle w:val="Fett"/>
          <w:bCs/>
        </w:rPr>
        <w:t>(Ergänzungen zu Nr. 1 des Zentral-KODA-Beschlusses)</w:t>
      </w:r>
    </w:p>
    <w:p w:rsidR="00BE1EFE" w:rsidRPr="000B1AF8" w:rsidRDefault="00BE1EFE">
      <w:pPr>
        <w:pStyle w:val="StandardWeb"/>
        <w:jc w:val="center"/>
      </w:pPr>
    </w:p>
    <w:p w:rsidR="00BE1EFE" w:rsidRDefault="00BE1EFE">
      <w:pPr>
        <w:pStyle w:val="StandardWeb"/>
      </w:pPr>
      <w:r>
        <w:t>1. Anspruch auf Entgeltumwandlung</w:t>
      </w:r>
    </w:p>
    <w:p w:rsidR="00BE1EFE" w:rsidRDefault="00BE1EFE">
      <w:pPr>
        <w:pStyle w:val="StandardWeb"/>
      </w:pPr>
      <w:r>
        <w:t>a) Beschäftigte und Arbeitgeber können vereinbaren, dass Beschäftigte einen über den Anspruch von §</w:t>
      </w:r>
      <w:hyperlink r:id="rId1577" w:tgtFrame="_self" w:history="1">
        <w:r>
          <w:rPr>
            <w:rStyle w:val="Hyperlink"/>
          </w:rPr>
          <w:t xml:space="preserve"> 3 Nr. 63 EStG </w:t>
        </w:r>
      </w:hyperlink>
      <w:r>
        <w:t>hinausgehenden Betrag des Entgelts umwandeln*.</w:t>
      </w:r>
    </w:p>
    <w:p w:rsidR="00BE1EFE" w:rsidRDefault="00BE1EFE">
      <w:pPr>
        <w:pStyle w:val="StandardWeb"/>
      </w:pPr>
      <w:r>
        <w:rPr>
          <w:rStyle w:val="kleinschrift"/>
        </w:rPr>
        <w:t>*Dies sind im Jahr 2018 jährlich 3.120 EUR</w:t>
      </w:r>
    </w:p>
    <w:p w:rsidR="00BE1EFE" w:rsidRDefault="00BE1EFE">
      <w:pPr>
        <w:pStyle w:val="StandardWeb"/>
      </w:pPr>
    </w:p>
    <w:p w:rsidR="00BE1EFE" w:rsidRDefault="00BE1EFE">
      <w:pPr>
        <w:pStyle w:val="StandardWeb"/>
      </w:pPr>
      <w:r>
        <w:t xml:space="preserve">b) Machen Beschäftigte von ihrem Anspruch auf Entgeltumwandlung Gebrauch, müssen sie von ihrem Arbeitsentgelt jährlich einen Betrag in Höhe von mindestens einem Hundertsechzigstel (1/160) der Bezugsgröße nach </w:t>
      </w:r>
      <w:hyperlink r:id="rId1578" w:tgtFrame="_self" w:history="1">
        <w:r>
          <w:rPr>
            <w:rStyle w:val="Hyperlink"/>
          </w:rPr>
          <w:t>§ 18 Absatz 1 SGB IV</w:t>
        </w:r>
      </w:hyperlink>
      <w:r>
        <w:t xml:space="preserve"> für ihre betriebliche Altersversorgung verwenden </w:t>
      </w:r>
      <w:hyperlink r:id="rId1579" w:tgtFrame="_self" w:history="1">
        <w:r>
          <w:rPr>
            <w:rStyle w:val="Hyperlink"/>
          </w:rPr>
          <w:t>(§ 1 a Absatz 1 Satz 4 BetrAVG</w:t>
        </w:r>
      </w:hyperlink>
      <w:r>
        <w:t>)*.</w:t>
      </w:r>
    </w:p>
    <w:p w:rsidR="00BE1EFE" w:rsidRDefault="00BE1EFE">
      <w:pPr>
        <w:pStyle w:val="StandardWeb"/>
      </w:pPr>
      <w:r>
        <w:rPr>
          <w:rStyle w:val="kleinschrift"/>
        </w:rPr>
        <w:t>*Dies sind im Jahr 2018 jährlich 228,38 EUR</w:t>
      </w:r>
    </w:p>
    <w:p w:rsidR="00BE1EFE" w:rsidRDefault="00BE1EFE">
      <w:pPr>
        <w:pStyle w:val="StandardWeb"/>
      </w:pPr>
    </w:p>
    <w:p w:rsidR="00BE1EFE" w:rsidRDefault="00BE1EFE">
      <w:pPr>
        <w:pStyle w:val="StandardWeb"/>
      </w:pPr>
      <w:r>
        <w:t>c) Umgewandelt werden kann</w:t>
      </w:r>
    </w:p>
    <w:p w:rsidR="00BE1EFE" w:rsidRDefault="00BE1EFE">
      <w:pPr>
        <w:pStyle w:val="StandardWeb"/>
      </w:pPr>
      <w:r>
        <w:t>– ein monatlich gleich bleibender Betrag oder</w:t>
      </w:r>
    </w:p>
    <w:p w:rsidR="00BE1EFE" w:rsidRDefault="00BE1EFE">
      <w:pPr>
        <w:pStyle w:val="StandardWeb"/>
      </w:pPr>
      <w:r>
        <w:t>– ein monatlich gleich bleibender Betrag zuzüglich in bis zu zwei Monaten ein der Höhe nach von der Beschäftigten/dem Beschäftigten festzulegender Betrag aus Einmalzahlungen oder</w:t>
      </w:r>
    </w:p>
    <w:p w:rsidR="00BE1EFE" w:rsidRDefault="00BE1EFE">
      <w:pPr>
        <w:pStyle w:val="StandardWeb"/>
      </w:pPr>
      <w:r>
        <w:t xml:space="preserve">– in bis zu zwei Monaten ein der Höhe nach von der Beschäftigten/dem Beschäftigten festzulegender Betrag aus Einmalzahlungen, </w:t>
      </w:r>
    </w:p>
    <w:p w:rsidR="00BE1EFE" w:rsidRDefault="00BE1EFE">
      <w:pPr>
        <w:pStyle w:val="StandardWeb"/>
      </w:pPr>
      <w:r>
        <w:t>soweit nach der Satzung der Kasse, bei der diese zusätzliche betriebliche Altersversorgung durchgeführt wird, diese Möglichkeit gegeben wird.</w:t>
      </w:r>
    </w:p>
    <w:p w:rsidR="00BE1EFE" w:rsidRDefault="00BE1EFE">
      <w:pPr>
        <w:pStyle w:val="StandardWeb"/>
      </w:pPr>
    </w:p>
    <w:p w:rsidR="00BE1EFE" w:rsidRDefault="00BE1EFE">
      <w:pPr>
        <w:pStyle w:val="StandardWeb"/>
      </w:pPr>
      <w:r>
        <w:t xml:space="preserve">d) Soweit im Sinne des </w:t>
      </w:r>
      <w:hyperlink r:id="rId1580" w:tgtFrame="_self" w:history="1">
        <w:r>
          <w:rPr>
            <w:rStyle w:val="Hyperlink"/>
          </w:rPr>
          <w:t xml:space="preserve">§ 8 Absatz 1 Nr. 1 SGB IV </w:t>
        </w:r>
      </w:hyperlink>
      <w:r>
        <w:t xml:space="preserve">Beschäftigte gemäß </w:t>
      </w:r>
      <w:hyperlink r:id="rId1581" w:history="1">
        <w:r w:rsidRPr="002D1F1D">
          <w:rPr>
            <w:rStyle w:val="Hyperlink"/>
          </w:rPr>
          <w:t xml:space="preserve">§ 24 </w:t>
        </w:r>
        <w:r>
          <w:rPr>
            <w:rStyle w:val="Hyperlink"/>
          </w:rPr>
          <w:t>Absatz</w:t>
        </w:r>
        <w:r w:rsidRPr="002D1F1D">
          <w:rPr>
            <w:rStyle w:val="Hyperlink"/>
          </w:rPr>
          <w:t xml:space="preserve"> 8 Teil A, 1.</w:t>
        </w:r>
      </w:hyperlink>
      <w:r>
        <w:t xml:space="preserve"> verlangen, dass ihr Entgelt, das die Geringfügigkeitsgrenze übersteigt, durch Entgeltumwandlung gemäß </w:t>
      </w:r>
      <w:hyperlink r:id="rId1582" w:history="1">
        <w:r w:rsidRPr="002D1F1D">
          <w:rPr>
            <w:rStyle w:val="Hyperlink"/>
          </w:rPr>
          <w:t>Teil D, 10 c.</w:t>
        </w:r>
      </w:hyperlink>
      <w:r>
        <w:t> für die betriebliche Altersvorsorge verwendet wird, können auch monatlich wechselnde Beträge umgewandelt werden, soweit nach der Satzung der Kasse, bei der diese zusätzliche betriebliche Altersversorgung durchgeführt wird, wechselnde Beträge innerhalb eines Jahres abgeführt werden können.</w:t>
      </w:r>
    </w:p>
    <w:p w:rsidR="00BE1EFE" w:rsidRDefault="00BE1EFE">
      <w:pPr>
        <w:pStyle w:val="StandardWeb"/>
      </w:pPr>
    </w:p>
    <w:p w:rsidR="00BE1EFE" w:rsidRDefault="00BE1EFE">
      <w:pPr>
        <w:pStyle w:val="StandardWeb"/>
      </w:pPr>
      <w:r>
        <w:t>e) Ist der Arbeitgeber zu einer Durchführung über andere Pensions- und Unterstützungs</w:t>
      </w:r>
      <w:r>
        <w:softHyphen/>
        <w:t xml:space="preserve">kassen bereit, kann die betriebliche Altersversorgung auch dort durchgeführt werden. </w:t>
      </w:r>
    </w:p>
    <w:p w:rsidR="00BE1EFE" w:rsidRDefault="00BE1EFE">
      <w:pPr>
        <w:pStyle w:val="StandardWeb"/>
      </w:pPr>
    </w:p>
    <w:p w:rsidR="00BE1EFE" w:rsidRDefault="00BE1EFE">
      <w:pPr>
        <w:pStyle w:val="StandardWeb"/>
      </w:pPr>
      <w:r>
        <w:t>f) Werden Beschäftigte im Falle eines Arbeitgeberwechsels bei der Bayerischen Versorgungs</w:t>
      </w:r>
      <w:r>
        <w:softHyphen/>
        <w:t>kammer – Zusatzversorgungskasse der bayerischen Gemeinden – pflichtversichert, kann im Einvernehmen mit dem Arbeitgeber vereinbart werden, dass eine bestehende Entgeltumwandlungsvereinbarung bei einer anderen Kasse fortgeführt wird.</w:t>
      </w:r>
    </w:p>
    <w:p w:rsidR="00BE1EFE" w:rsidRDefault="00BE1EFE">
      <w:pPr>
        <w:pStyle w:val="StandardWeb"/>
      </w:pPr>
    </w:p>
    <w:p w:rsidR="00BE1EFE" w:rsidRDefault="00BE1EFE">
      <w:pPr>
        <w:pStyle w:val="StandardWeb"/>
      </w:pPr>
      <w:r>
        <w:t>g) </w:t>
      </w:r>
      <w:r>
        <w:rPr>
          <w:rStyle w:val="kleinschrift"/>
        </w:rPr>
        <w:t>1</w:t>
      </w:r>
      <w:r>
        <w:t>Beschäftigte, deren betriebliche Altersversorgung nach Maßgabe der Versorgungsord</w:t>
      </w:r>
      <w:r>
        <w:softHyphen/>
        <w:t xml:space="preserve">nung B erfolgt, haben in entsprechender Anwendung dieser Ergänzungen einen Anspruch auf Entgeltumwandlung bei der </w:t>
      </w:r>
      <w:hyperlink r:id="rId1583" w:history="1">
        <w:r w:rsidRPr="002D1F1D">
          <w:rPr>
            <w:rStyle w:val="Hyperlink"/>
          </w:rPr>
          <w:t>Pensionskasse der Caritas VVaG</w:t>
        </w:r>
      </w:hyperlink>
      <w:r>
        <w:t xml:space="preserve">, soweit deren Satzung die Versicherung zulässt. </w:t>
      </w:r>
      <w:r>
        <w:rPr>
          <w:rStyle w:val="kleinschrift"/>
        </w:rPr>
        <w:t>2</w:t>
      </w:r>
      <w:r>
        <w:t xml:space="preserve">Satz 1 gilt auch für die nach § 2 Absatz 2 Versorgungsordnung B von der Versicherungspflicht ausgenommenen Beschäftigten. </w:t>
      </w:r>
      <w:r>
        <w:rPr>
          <w:rStyle w:val="kleinschrift"/>
        </w:rPr>
        <w:t>3</w:t>
      </w:r>
      <w:r>
        <w:t>Beschäftigte im Sinne des § 2 Absatz 2 Buchst. d Versorgungsordnung B können verlangen, dass die Entgeltumwandlung zugunsten der für sie bereits bestehenden zusätzlichen Altersversorgung erfolgt.</w:t>
      </w:r>
    </w:p>
    <w:p w:rsidR="00BE1EFE" w:rsidRDefault="00BE1EFE">
      <w:pPr>
        <w:pStyle w:val="StandardWeb"/>
      </w:pPr>
    </w:p>
    <w:p w:rsidR="00BE1EFE" w:rsidRDefault="00BE1EFE">
      <w:pPr>
        <w:pStyle w:val="StandardWeb"/>
      </w:pPr>
      <w:r>
        <w:t>2. Nicht umwandelbare Entgeltbestandteile</w:t>
      </w:r>
    </w:p>
    <w:p w:rsidR="00BE1EFE" w:rsidRDefault="00BE1EFE">
      <w:pPr>
        <w:pStyle w:val="StandardWeb"/>
      </w:pPr>
      <w:r>
        <w:t xml:space="preserve">Nicht umgewandelt werden können steuerfreie Aufwandsentschädigungen nach </w:t>
      </w:r>
      <w:hyperlink r:id="rId1584" w:tgtFrame="_self" w:history="1">
        <w:r>
          <w:rPr>
            <w:rStyle w:val="Hyperlink"/>
          </w:rPr>
          <w:t>§ 3 Nr. 12 EStG</w:t>
        </w:r>
      </w:hyperlink>
      <w:r>
        <w:t xml:space="preserve">, Einnahmen nach </w:t>
      </w:r>
      <w:hyperlink r:id="rId1585" w:tgtFrame="_self" w:history="1">
        <w:r>
          <w:rPr>
            <w:rStyle w:val="Hyperlink"/>
          </w:rPr>
          <w:t>§ 3 Nr. 26 und 26a EStG</w:t>
        </w:r>
      </w:hyperlink>
      <w:r>
        <w:t xml:space="preserve">, Einnahmen, die nach § 1 Absatz 1 der </w:t>
      </w:r>
      <w:hyperlink r:id="rId1586" w:tgtFrame="_self" w:history="1">
        <w:r>
          <w:rPr>
            <w:rStyle w:val="Hyperlink"/>
          </w:rPr>
          <w:t>Sozialversicherungsentgeltverordnung</w:t>
        </w:r>
      </w:hyperlink>
      <w:r>
        <w:t xml:space="preserve"> in der jeweils geltenden Fassung nicht dem Arbeits</w:t>
      </w:r>
      <w:r>
        <w:softHyphen/>
        <w:t>entgelt zuzurechnen sind (Zuwendungen, Krankengeldzuschuss, der Zuschuss zum Mutterschaftsgeld, Beihilfen etc.).</w:t>
      </w:r>
    </w:p>
    <w:p w:rsidR="00BE1EFE" w:rsidRDefault="00BE1EFE">
      <w:pPr>
        <w:pStyle w:val="StandardWeb"/>
      </w:pPr>
    </w:p>
    <w:p w:rsidR="00BE1EFE" w:rsidRDefault="00BE1EFE">
      <w:pPr>
        <w:pStyle w:val="StandardWeb"/>
      </w:pPr>
      <w:r>
        <w:t>3. Vermögenswirksame Leistung</w:t>
      </w:r>
    </w:p>
    <w:p w:rsidR="00BE1EFE" w:rsidRDefault="00BE1EFE">
      <w:pPr>
        <w:pStyle w:val="StandardWeb"/>
      </w:pPr>
      <w:r>
        <w:rPr>
          <w:rStyle w:val="kleinschrift"/>
        </w:rPr>
        <w:t>1</w:t>
      </w:r>
      <w:r>
        <w:t xml:space="preserve">Die vermögenswirksame Leistung kann zur Entgeltumwandlung verwendet werden. </w:t>
      </w:r>
      <w:r>
        <w:rPr>
          <w:rStyle w:val="kleinschrift"/>
        </w:rPr>
        <w:t>2</w:t>
      </w:r>
      <w:r>
        <w:t xml:space="preserve">Im Falle der Entgeltumwandlung besteht der Anspruch auf die vermögenswirksame Leistung auch dann, wenn kein Vertrag im Sinne des </w:t>
      </w:r>
      <w:hyperlink r:id="rId1587" w:tgtFrame="_self" w:history="1">
        <w:r>
          <w:rPr>
            <w:rStyle w:val="Hyperlink"/>
          </w:rPr>
          <w:t>§ 2 des Fünften Gesetzes zur Förderung der Vermögensbildung der Arbeitnehmer (5. VermBG)</w:t>
        </w:r>
      </w:hyperlink>
      <w:r>
        <w:t xml:space="preserve"> nachgewiesen wird. </w:t>
      </w:r>
      <w:r>
        <w:rPr>
          <w:rStyle w:val="kleinschrift"/>
        </w:rPr>
        <w:t>3</w:t>
      </w:r>
      <w:r>
        <w:t xml:space="preserve">Ein doppelter Anspruch auf die vermögenswirksame Leistung sowohl für eine Anlage nach dem </w:t>
      </w:r>
      <w:hyperlink r:id="rId1588" w:tgtFrame="_self" w:history="1">
        <w:r>
          <w:rPr>
            <w:rStyle w:val="Hyperlink"/>
          </w:rPr>
          <w:t xml:space="preserve">5. VermBG </w:t>
        </w:r>
      </w:hyperlink>
      <w:r>
        <w:t>als auch zur Entgeltumwandlung ist ausgeschlossen.</w:t>
      </w:r>
    </w:p>
    <w:p w:rsidR="00BE1EFE" w:rsidRDefault="00BE1EFE">
      <w:pPr>
        <w:pStyle w:val="StandardWeb"/>
      </w:pPr>
    </w:p>
    <w:p w:rsidR="00BE1EFE" w:rsidRDefault="00BE1EFE">
      <w:pPr>
        <w:pStyle w:val="StandardWeb"/>
      </w:pPr>
      <w:r>
        <w:t>4. Fälligkeit des umzuwandelnden Arbeitsentgelts</w:t>
      </w:r>
    </w:p>
    <w:p w:rsidR="00BE1EFE" w:rsidRDefault="00BE1EFE">
      <w:pPr>
        <w:pStyle w:val="StandardWeb"/>
      </w:pPr>
      <w:r>
        <w:t>Das umzuwandelnde Arbeitsentgelt ist zu dem Zeitpunkt fällig, in dem der/dem Beschäftigten das zusatzversorgungspflichtige Arbeitsentgelt zufließt.</w:t>
      </w:r>
    </w:p>
    <w:p w:rsidR="00BE1EFE" w:rsidRDefault="00BE1EFE">
      <w:pPr>
        <w:pStyle w:val="StandardWeb"/>
      </w:pPr>
    </w:p>
    <w:p w:rsidR="00BE1EFE" w:rsidRDefault="00BE1EFE">
      <w:pPr>
        <w:pStyle w:val="StandardWeb"/>
      </w:pPr>
      <w:r>
        <w:t>5. Verfahren der Entgeltumwandlung</w:t>
      </w:r>
    </w:p>
    <w:p w:rsidR="00BE1EFE" w:rsidRDefault="00BE1EFE">
      <w:pPr>
        <w:pStyle w:val="StandardWeb"/>
      </w:pPr>
      <w:r>
        <w:t>a) </w:t>
      </w:r>
      <w:r>
        <w:rPr>
          <w:rStyle w:val="kleinschrift"/>
        </w:rPr>
        <w:t>1</w:t>
      </w:r>
      <w:r>
        <w:t xml:space="preserve">Die Entgeltumwandlung kommt durch eine Vereinbarung zwischen der/dem Beschäftigten und dem Arbeitgeber zustande </w:t>
      </w:r>
      <w:hyperlink r:id="rId1589" w:tgtFrame="_self" w:history="1">
        <w:r>
          <w:rPr>
            <w:rStyle w:val="Hyperlink"/>
          </w:rPr>
          <w:t>(§ 1 a Absatz 1 Satz 2 BetrAVG</w:t>
        </w:r>
      </w:hyperlink>
      <w:r>
        <w:t xml:space="preserve">). </w:t>
      </w:r>
      <w:r>
        <w:rPr>
          <w:rStyle w:val="kleinschrift"/>
        </w:rPr>
        <w:t>2</w:t>
      </w:r>
      <w:r>
        <w:t xml:space="preserve">Der Anspruch auf Entgeltumwandlung ist von Beschäftigten spätestens sechs Wochen vor dem Ersten des Monats, in dem die entsprechende Vereinbarung in Kraft treten soll, schriftlich gegenüber dem Arbeitgeber geltend zu machen. </w:t>
      </w:r>
      <w:r>
        <w:rPr>
          <w:rStyle w:val="kleinschrift"/>
        </w:rPr>
        <w:t>3</w:t>
      </w:r>
      <w:r>
        <w:t xml:space="preserve">Beschäftigte sind daran für die Dauer des laufenden Kalenderjahres gebunden. </w:t>
      </w:r>
    </w:p>
    <w:p w:rsidR="00BE1EFE" w:rsidRDefault="00BE1EFE">
      <w:pPr>
        <w:pStyle w:val="StandardWeb"/>
      </w:pPr>
    </w:p>
    <w:p w:rsidR="00BE1EFE" w:rsidRDefault="00BE1EFE">
      <w:pPr>
        <w:pStyle w:val="StandardWeb"/>
      </w:pPr>
      <w:r>
        <w:t>b) Die Vereinbarung zur Entgeltumwandlung kann aus wichtigem Grund im Einvernehmen mit dem Arbeitgeber geändert werden (z. B. bei Beginn eines Altersteilzeitarbeitsverhältnisses wegen der Verringerung des Aufstockungsbetrages).</w:t>
      </w:r>
    </w:p>
    <w:p w:rsidR="00BE1EFE" w:rsidRDefault="00BE1EFE">
      <w:pPr>
        <w:pStyle w:val="StandardWeb"/>
      </w:pPr>
    </w:p>
    <w:p w:rsidR="00BE1EFE" w:rsidRDefault="00BE1EFE">
      <w:pPr>
        <w:pStyle w:val="StandardWeb"/>
      </w:pPr>
      <w:r>
        <w:t>c) Im Falle der Kollision der Entgeltumwandlung mit einer (bestehenden oder künftigen) Gehaltspfändung kann der Arbeitgeber von einem Sonderkündigungsrecht Gebrauch machen, das zum Ablauf des auf die Kündigung folgenden Monats wirksam wird.</w:t>
      </w:r>
    </w:p>
    <w:p w:rsidR="00BE1EFE" w:rsidRDefault="00BE1EFE">
      <w:pPr>
        <w:pStyle w:val="StandardWeb"/>
        <w:jc w:val="center"/>
      </w:pPr>
    </w:p>
    <w:p w:rsidR="00BE1EFE" w:rsidRDefault="00BE1EFE" w:rsidP="0054275E">
      <w:pPr>
        <w:pStyle w:val="StandardWeb"/>
        <w:autoSpaceDE w:val="0"/>
        <w:jc w:val="center"/>
        <w:rPr>
          <w:b/>
          <w:bCs/>
        </w:rPr>
      </w:pPr>
      <w:r>
        <w:rPr>
          <w:rStyle w:val="Fett"/>
          <w:bCs/>
        </w:rPr>
        <w:t>§ 2</w:t>
      </w:r>
    </w:p>
    <w:p w:rsidR="00BE1EFE" w:rsidRDefault="00BE1EFE" w:rsidP="0054275E">
      <w:pPr>
        <w:pStyle w:val="StandardWeb"/>
        <w:autoSpaceDE w:val="0"/>
        <w:jc w:val="center"/>
        <w:rPr>
          <w:b/>
          <w:bCs/>
        </w:rPr>
      </w:pPr>
      <w:r>
        <w:rPr>
          <w:rStyle w:val="Fett"/>
          <w:bCs/>
        </w:rPr>
        <w:t>Bemessungsgrundlagen</w:t>
      </w:r>
    </w:p>
    <w:p w:rsidR="00BE1EFE" w:rsidRDefault="00BE1EFE" w:rsidP="0054275E">
      <w:pPr>
        <w:pStyle w:val="StandardWeb"/>
        <w:autoSpaceDE w:val="0"/>
        <w:jc w:val="center"/>
      </w:pPr>
      <w:r>
        <w:rPr>
          <w:rStyle w:val="Fett"/>
          <w:bCs/>
        </w:rPr>
        <w:t>(Ergänzungen zu Nr. 3 des Zentral-KODA-Beschlusses)</w:t>
      </w:r>
    </w:p>
    <w:p w:rsidR="00BE1EFE" w:rsidRDefault="00BE1EFE">
      <w:pPr>
        <w:pStyle w:val="StandardWeb"/>
        <w:jc w:val="center"/>
      </w:pPr>
    </w:p>
    <w:p w:rsidR="00BE1EFE" w:rsidRDefault="00BE1EFE">
      <w:pPr>
        <w:pStyle w:val="StandardWeb"/>
      </w:pPr>
      <w:r>
        <w:t>1. </w:t>
      </w:r>
      <w:r>
        <w:rPr>
          <w:rStyle w:val="kleinschrift"/>
        </w:rPr>
        <w:t>1</w:t>
      </w:r>
      <w:r>
        <w:t>Bemessungsgrundlage für künftige Erhöhungen des Arbeitsentgelts sowie andere Dienstgeberleistungen (z. B. Krankenbezüge, betriebliche Altersversorgung, Jahressonder</w:t>
      </w:r>
      <w:r>
        <w:softHyphen/>
        <w:t xml:space="preserve">zahlung) bleibt das bisherige, ungekürzte Arbeitsentgelt. </w:t>
      </w:r>
      <w:r>
        <w:rPr>
          <w:rStyle w:val="kleinschrift"/>
        </w:rPr>
        <w:t>2</w:t>
      </w:r>
      <w:r>
        <w:t xml:space="preserve">Das umzuwandelnde Arbeitsentgelt gehört nicht zum Arbeitseinkommen im Sinne von </w:t>
      </w:r>
      <w:hyperlink r:id="rId1590" w:tgtFrame="_self" w:history="1">
        <w:r>
          <w:rPr>
            <w:rStyle w:val="Hyperlink"/>
          </w:rPr>
          <w:t>§ 850 Absatz 2 ZPO</w:t>
        </w:r>
      </w:hyperlink>
      <w:r>
        <w:t>.</w:t>
      </w:r>
    </w:p>
    <w:p w:rsidR="00BE1EFE" w:rsidRDefault="00BE1EFE">
      <w:pPr>
        <w:pStyle w:val="StandardWeb"/>
      </w:pPr>
    </w:p>
    <w:p w:rsidR="00BE1EFE" w:rsidRDefault="00BE1EFE">
      <w:pPr>
        <w:pStyle w:val="StandardWeb"/>
      </w:pPr>
      <w:r>
        <w:t>2. Machen Beschäftigte im Laufe ihres Altersteilzeitarbeitsverhältnisses von der Entgeltum</w:t>
      </w:r>
      <w:r>
        <w:softHyphen/>
        <w:t>wandlung Gebrauch, besteht kein Anspruch auf Erhöhung des durch die Umwandlung verringerten Aufstockungsbetrages durch den Arbeitgeber.</w:t>
      </w:r>
    </w:p>
    <w:p w:rsidR="00BE1EFE" w:rsidRDefault="00BE1EFE">
      <w:pPr>
        <w:pStyle w:val="StandardWeb"/>
      </w:pPr>
    </w:p>
    <w:p w:rsidR="00BE1EFE" w:rsidRDefault="00BE1EFE" w:rsidP="0054275E">
      <w:pPr>
        <w:pStyle w:val="StandardWeb"/>
        <w:autoSpaceDE w:val="0"/>
        <w:jc w:val="center"/>
        <w:rPr>
          <w:b/>
          <w:bCs/>
        </w:rPr>
      </w:pPr>
      <w:r>
        <w:rPr>
          <w:rStyle w:val="Fett"/>
          <w:bCs/>
        </w:rPr>
        <w:t>§ 3</w:t>
      </w:r>
    </w:p>
    <w:p w:rsidR="00BE1EFE" w:rsidRDefault="00BE1EFE" w:rsidP="0054275E">
      <w:pPr>
        <w:pStyle w:val="StandardWeb"/>
        <w:autoSpaceDE w:val="0"/>
        <w:jc w:val="center"/>
        <w:rPr>
          <w:b/>
          <w:bCs/>
        </w:rPr>
      </w:pPr>
      <w:r>
        <w:rPr>
          <w:rStyle w:val="Fett"/>
          <w:bCs/>
        </w:rPr>
        <w:t>Zuschuss des Arbeitgebers</w:t>
      </w:r>
    </w:p>
    <w:p w:rsidR="00BE1EFE" w:rsidRDefault="00BE1EFE" w:rsidP="0054275E">
      <w:pPr>
        <w:pStyle w:val="StandardWeb"/>
        <w:autoSpaceDE w:val="0"/>
        <w:jc w:val="center"/>
      </w:pPr>
      <w:r>
        <w:rPr>
          <w:rStyle w:val="Fett"/>
          <w:bCs/>
        </w:rPr>
        <w:t>(Ergänzungen zu Nr. 5 des Zentral-KODA-Beschlusses)</w:t>
      </w:r>
    </w:p>
    <w:p w:rsidR="00BE1EFE" w:rsidRDefault="00BE1EFE">
      <w:pPr>
        <w:pStyle w:val="StandardWeb"/>
        <w:jc w:val="center"/>
      </w:pPr>
    </w:p>
    <w:p w:rsidR="00BE1EFE" w:rsidRDefault="00BE1EFE">
      <w:pPr>
        <w:pStyle w:val="StandardWeb"/>
      </w:pPr>
      <w:r>
        <w:lastRenderedPageBreak/>
        <w:t>1. </w:t>
      </w:r>
      <w:r>
        <w:rPr>
          <w:rStyle w:val="kleinschrift"/>
        </w:rPr>
        <w:t>1</w:t>
      </w:r>
      <w:r>
        <w:t xml:space="preserve">Wandeln krankenversicherungspflichtig Beschäftigte Entgelt um, leistet der Arbeitgeber für jeden Monat, in dem Arbeitsentgelt umgewandelt wird, einen Zuschuss in Höhe von 13 % des jeweils sozialversicherungsfrei in die betriebliche Altersversorgung umgewandelten Betrages. </w:t>
      </w:r>
      <w:r>
        <w:rPr>
          <w:rStyle w:val="kleinschrift"/>
        </w:rPr>
        <w:t>2</w:t>
      </w:r>
      <w:r>
        <w:t>Der Zuschuss wird nicht gewährt im Falle der Nettoumwandlung.</w:t>
      </w:r>
    </w:p>
    <w:p w:rsidR="00BE1EFE" w:rsidRDefault="00BE1EFE">
      <w:pPr>
        <w:pStyle w:val="StandardWeb"/>
      </w:pPr>
    </w:p>
    <w:p w:rsidR="00BE1EFE" w:rsidRDefault="00BE1EFE">
      <w:pPr>
        <w:pStyle w:val="StandardWeb"/>
      </w:pPr>
      <w:r>
        <w:t>2. Beschäftigte haben überzahlte Zuschüsse zurückzuerstatten.</w:t>
      </w:r>
    </w:p>
    <w:p w:rsidR="00BE1EFE" w:rsidRDefault="00BE1EFE">
      <w:pPr>
        <w:pStyle w:val="StandardWeb"/>
      </w:pPr>
    </w:p>
    <w:p w:rsidR="00BE1EFE" w:rsidRDefault="00BE1EFE">
      <w:pPr>
        <w:pStyle w:val="StandardWeb"/>
      </w:pPr>
      <w:r>
        <w:t>3. Der Zuschuss ist grundsätzlich mit der Zahlung des Tabellenentgelts des Monats Dezember fällig.</w:t>
      </w:r>
    </w:p>
    <w:p w:rsidR="00BE1EFE" w:rsidRDefault="00BE1EFE">
      <w:pPr>
        <w:pStyle w:val="StandardWeb"/>
      </w:pPr>
    </w:p>
    <w:p w:rsidR="00BE1EFE" w:rsidRDefault="00BE1EFE">
      <w:pPr>
        <w:pStyle w:val="StandardWeb"/>
      </w:pPr>
      <w:r>
        <w:t>4. </w:t>
      </w:r>
      <w:r>
        <w:rPr>
          <w:rStyle w:val="kleinschrift"/>
        </w:rPr>
        <w:t>1</w:t>
      </w:r>
      <w:r>
        <w:t xml:space="preserve">Der in der Vereinbarung zwischen der/dem Beschäftigten, der Versorgungseinrichtung und dem Arbeitgeber festgelegte Entgeltumwandlungsbetrag enthält, sofern und soweit ein Anspruch auf Zuschuss des Arbeitgebers besteht, den Zuschuss des Arbeitgebers bereits. </w:t>
      </w:r>
      <w:r>
        <w:rPr>
          <w:rStyle w:val="kleinschrift"/>
        </w:rPr>
        <w:t>2</w:t>
      </w:r>
      <w:r>
        <w:t>Der Zuschuss des Arbeitgebers erhöht insoweit nicht den vom Beschäftigten in der Vereinbarung festgelegten Umwandlungsbetrag.</w:t>
      </w:r>
    </w:p>
    <w:p w:rsidR="00BE1EFE" w:rsidRDefault="00BE1EFE">
      <w:pPr>
        <w:pStyle w:val="StandardWeb"/>
      </w:pPr>
    </w:p>
    <w:p w:rsidR="00BE1EFE" w:rsidRDefault="00BE1EFE" w:rsidP="0054275E">
      <w:pPr>
        <w:pStyle w:val="StandardWeb"/>
        <w:autoSpaceDE w:val="0"/>
        <w:jc w:val="center"/>
        <w:rPr>
          <w:b/>
          <w:bCs/>
        </w:rPr>
      </w:pPr>
      <w:r>
        <w:rPr>
          <w:rStyle w:val="Fett"/>
          <w:bCs/>
        </w:rPr>
        <w:t>§ 4</w:t>
      </w:r>
    </w:p>
    <w:p w:rsidR="00BE1EFE" w:rsidRDefault="00BE1EFE" w:rsidP="0054275E">
      <w:pPr>
        <w:pStyle w:val="StandardWeb"/>
        <w:autoSpaceDE w:val="0"/>
        <w:jc w:val="center"/>
      </w:pPr>
      <w:r>
        <w:rPr>
          <w:rStyle w:val="Fett"/>
          <w:bCs/>
        </w:rPr>
        <w:t>Inkrafttreten, Außerkrafttreten</w:t>
      </w:r>
    </w:p>
    <w:p w:rsidR="00BE1EFE" w:rsidRDefault="00BE1EFE">
      <w:pPr>
        <w:pStyle w:val="StandardWeb"/>
        <w:jc w:val="center"/>
      </w:pPr>
    </w:p>
    <w:p w:rsidR="00BE1EFE" w:rsidRDefault="00BE1EFE">
      <w:pPr>
        <w:jc w:val="both"/>
      </w:pPr>
      <w:r>
        <w:rPr>
          <w:rStyle w:val="kleinschrift"/>
        </w:rPr>
        <w:t>1</w:t>
      </w:r>
      <w:r>
        <w:t xml:space="preserve">Diese Ergänzungen treten zum 1. August 2009 in Kraft. </w:t>
      </w:r>
      <w:r>
        <w:rPr>
          <w:rStyle w:val="kleinschrift"/>
        </w:rPr>
        <w:t>2</w:t>
      </w:r>
      <w:r>
        <w:t xml:space="preserve">Sie treten mit dem Wegfall des Anspruchs auf Entgeltumwandlung gemäß </w:t>
      </w:r>
      <w:hyperlink r:id="rId1591" w:history="1">
        <w:r w:rsidRPr="002D1F1D">
          <w:rPr>
            <w:rStyle w:val="Hyperlink"/>
          </w:rPr>
          <w:t>Nr. 6 Teil D, 10 c. Teil A</w:t>
        </w:r>
      </w:hyperlink>
      <w:r>
        <w:t xml:space="preserve"> außer Kraft. </w:t>
      </w:r>
      <w:r>
        <w:rPr>
          <w:rStyle w:val="kleinschrift"/>
        </w:rPr>
        <w:t>3</w:t>
      </w:r>
      <w:r>
        <w:t>Zum 1. August 2009 treten die Ergänzenden Regelungen zu den Beschlüssen der Zentral-KODA zur Entgeltumwandlung nach dem „Gesetz zur Verbesserung der betrieblichen Altersversorgung“ (</w:t>
      </w:r>
      <w:hyperlink r:id="rId1592" w:tgtFrame="_self" w:history="1">
        <w:r>
          <w:rPr>
            <w:rStyle w:val="Hyperlink"/>
          </w:rPr>
          <w:t>BetrAVG</w:t>
        </w:r>
      </w:hyperlink>
      <w:r>
        <w:t>) außer Kraft.</w:t>
      </w:r>
    </w:p>
    <w:p w:rsidR="00BE1EFE" w:rsidRPr="00FF480D" w:rsidRDefault="00BE1EFE" w:rsidP="00E87479">
      <w:pPr>
        <w:pStyle w:val="berschrift4"/>
        <w:spacing w:before="0"/>
      </w:pPr>
      <w:r>
        <w:br w:type="page"/>
      </w:r>
      <w:bookmarkStart w:id="1060" w:name="_Toc523926579"/>
      <w:r w:rsidRPr="00FF480D">
        <w:lastRenderedPageBreak/>
        <w:t>D, 11. Regelung über den Rationalisierungsschutz für Beschäftigte</w:t>
      </w:r>
      <w:bookmarkEnd w:id="1060"/>
    </w:p>
    <w:p w:rsidR="00BE1EFE" w:rsidRDefault="00BE1EFE" w:rsidP="002A0FD5">
      <w:pPr>
        <w:pStyle w:val="berschrift5"/>
      </w:pPr>
      <w:bookmarkStart w:id="1061" w:name="_Toc453678178"/>
      <w:bookmarkStart w:id="1062" w:name="_Toc523926580"/>
      <w:r>
        <w:t>Vorbemerkung</w:t>
      </w:r>
      <w:bookmarkEnd w:id="1061"/>
      <w:bookmarkEnd w:id="1062"/>
    </w:p>
    <w:p w:rsidR="00BE1EFE" w:rsidRDefault="00BE1EFE" w:rsidP="002A0FD5">
      <w:pPr>
        <w:pStyle w:val="berschrift6"/>
        <w:spacing w:before="0" w:after="0"/>
        <w:rPr>
          <w:sz w:val="2"/>
        </w:rPr>
      </w:pPr>
    </w:p>
    <w:p w:rsidR="00BE1EFE" w:rsidRDefault="00BE1EFE" w:rsidP="002A0FD5">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2A0FD5">
      <w:pPr>
        <w:pStyle w:val="StandardWeb"/>
      </w:pPr>
      <w:r>
        <w:t>Rationalisierung einschließlich der Nutzung des technischen Fortschritts hat den Zweck, die Aufgaben der Einrichtungen anforderungsgerecht, wirtschaftlich und kostengünstig zu erfüllen. Bei der Durchführung von Rationalisierungsmaßnahmen sind die sich aus dem Arbeits</w:t>
      </w:r>
      <w:r>
        <w:softHyphen/>
        <w:t>verhältnis ergebenden Belange der Mitarbeiter zu berücksichtigen und soziale Härten möglichst zu vermeiden. Diesem Ziel dienen die nachstehenden Vorschriften. Für Maßnahmen, die nicht unter diese Regelung fallen, bleiben die einschlägigen gesetzlichen Vorschriften unberührt.</w:t>
      </w:r>
    </w:p>
    <w:p w:rsidR="00BE1EFE" w:rsidRDefault="00BE1EFE" w:rsidP="005F1E85">
      <w:pPr>
        <w:pStyle w:val="berschrift5"/>
      </w:pPr>
      <w:bookmarkStart w:id="1063" w:name="_Toc523926581"/>
      <w:r>
        <w:t>§ 1 Begriffsbestimmung</w:t>
      </w:r>
      <w:bookmarkEnd w:id="1063"/>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Rationalisierungsmaßnahmen im Sinne dieser Regelung sind vom Arbeitgeber veranlasste erhebliche Änderungen der Arbeitstechnik oder wesentliche Änderungen der Arbeitsorganisation mit dem Ziel einer rationelleren Arbeitsweise, wenn diese Maßnahmen für Mitarbeiter zu einem Wechsel der Beschäftigung oder zur Beendigung des Arbeitsverhält</w:t>
      </w:r>
      <w:r>
        <w:softHyphen/>
        <w:t xml:space="preserve">nisses führen. </w:t>
      </w:r>
      <w:r>
        <w:rPr>
          <w:rStyle w:val="kleinschrift"/>
        </w:rPr>
        <w:t>2</w:t>
      </w:r>
      <w:r>
        <w:t>Unter den Voraussetzungen des Unterabsatz 1 kommen als Maßnahmen z. B. in Betracht:</w:t>
      </w:r>
    </w:p>
    <w:p w:rsidR="00BE1EFE" w:rsidRDefault="00BE1EFE">
      <w:pPr>
        <w:pStyle w:val="StandardWeb"/>
      </w:pPr>
      <w:r>
        <w:t>a) Stilllegung oder Auflösung einer Einrichtung bzw. eines Einrichtungsteils,</w:t>
      </w:r>
    </w:p>
    <w:p w:rsidR="00BE1EFE" w:rsidRDefault="00BE1EFE">
      <w:pPr>
        <w:pStyle w:val="StandardWeb"/>
      </w:pPr>
      <w:r>
        <w:t>b) Verlegung oder Ausgliederung einer Einrichtung bzw. eines Einrichtungsteils,</w:t>
      </w:r>
    </w:p>
    <w:p w:rsidR="00BE1EFE" w:rsidRDefault="00BE1EFE">
      <w:pPr>
        <w:pStyle w:val="StandardWeb"/>
      </w:pPr>
      <w:r>
        <w:t>c) Zusammenlegung von Einrichtungen bzw. von Einrichtungsteilen,</w:t>
      </w:r>
    </w:p>
    <w:p w:rsidR="00BE1EFE" w:rsidRDefault="00BE1EFE">
      <w:pPr>
        <w:pStyle w:val="StandardWeb"/>
      </w:pPr>
      <w:r>
        <w:t>d) Verlagerung von Aufgaben zwischen Einrichtungen,</w:t>
      </w:r>
    </w:p>
    <w:p w:rsidR="00BE1EFE" w:rsidRDefault="00BE1EFE">
      <w:pPr>
        <w:pStyle w:val="StandardWeb"/>
      </w:pPr>
      <w:r>
        <w:t>e) Einführung anderer Arbeitsmethoden und Fertigungsverfahren, auch soweit sie durch Nutzung technischer Veränderungen bedingt sind.</w:t>
      </w:r>
    </w:p>
    <w:p w:rsidR="00BE1EFE" w:rsidRDefault="00BE1EFE">
      <w:pPr>
        <w:pStyle w:val="StandardWeb"/>
        <w:rPr>
          <w:sz w:val="12"/>
          <w:szCs w:val="12"/>
        </w:rPr>
      </w:pPr>
      <w:r w:rsidRPr="009C6551">
        <w:rPr>
          <w:rStyle w:val="kleinschrift1"/>
        </w:rPr>
        <w:t>Anmerkungen zu Absatz 1:</w:t>
      </w:r>
    </w:p>
    <w:p w:rsidR="00BE1EFE" w:rsidRDefault="00BE1EFE">
      <w:pPr>
        <w:pStyle w:val="StandardWeb"/>
        <w:rPr>
          <w:sz w:val="12"/>
          <w:szCs w:val="12"/>
        </w:rPr>
      </w:pPr>
      <w:r>
        <w:rPr>
          <w:rStyle w:val="kleinschrift1"/>
        </w:rPr>
        <w:t>1. </w:t>
      </w:r>
      <w:r w:rsidRPr="009C6551">
        <w:rPr>
          <w:rStyle w:val="kleinschrift1"/>
        </w:rPr>
        <w:t>Ob eine Änderung erheblich bzw. wesentlich ist, ist von der Auswirkung der Maßnahme her zu beurteilen. Eine Rationali</w:t>
      </w:r>
      <w:r>
        <w:rPr>
          <w:rStyle w:val="kleinschrift1"/>
        </w:rPr>
        <w:softHyphen/>
      </w:r>
      <w:r w:rsidRPr="009C6551">
        <w:rPr>
          <w:rStyle w:val="kleinschrift1"/>
        </w:rPr>
        <w:t>sierungsmaßnahme liegt auch dann vor, wenn sich aus der begrenzten Anwendung einzelner Änderungen zunächst zwar keine erheblichen bzw. wesentlichen Auswirkungen ergeben, aber eine Fortsetzung der Änderungen beabsichtigt ist, die erhebliche bzw. wesentliche Auswirkungen haben wird. Eine Änderung, die für die gesamte Einrichtung nicht erheblich bzw. nicht wesentlich ist, kann für einen Einrichtungsteil erheblich bzw. wesentlich sein. Ist die Änderung erheblich bzw. wesentlich, ist es nicht erforderlich, dass sie für mehrere Mitarbeiter zu einem Wechsel der Beschäftigung oder zur Beendigung des Arbeitsverhältnisses führt.</w:t>
      </w:r>
    </w:p>
    <w:p w:rsidR="00BE1EFE" w:rsidRDefault="00BE1EFE">
      <w:pPr>
        <w:pStyle w:val="StandardWeb"/>
        <w:rPr>
          <w:sz w:val="12"/>
          <w:szCs w:val="12"/>
        </w:rPr>
      </w:pPr>
      <w:r>
        <w:rPr>
          <w:rStyle w:val="kleinschrift1"/>
        </w:rPr>
        <w:t>2. </w:t>
      </w:r>
      <w:r w:rsidRPr="009C6551">
        <w:rPr>
          <w:rStyle w:val="kleinschrift1"/>
        </w:rPr>
        <w:t>Keine Maßnahmen im Sinne des Absatz 1 sind Maßnahmen, die unmittelbar z. B. durch</w:t>
      </w:r>
    </w:p>
    <w:p w:rsidR="00BE1EFE" w:rsidRDefault="00BE1EFE">
      <w:pPr>
        <w:pStyle w:val="StandardWeb"/>
        <w:rPr>
          <w:sz w:val="12"/>
          <w:szCs w:val="12"/>
        </w:rPr>
      </w:pPr>
      <w:r>
        <w:rPr>
          <w:rStyle w:val="kleinschrift1"/>
        </w:rPr>
        <w:t>– </w:t>
      </w:r>
      <w:r w:rsidRPr="009C6551">
        <w:rPr>
          <w:rStyle w:val="kleinschrift1"/>
        </w:rPr>
        <w:t>voraussichtlich nicht nur kurzfristigen Nachfragerückgang,</w:t>
      </w:r>
    </w:p>
    <w:p w:rsidR="00BE1EFE" w:rsidRDefault="00BE1EFE">
      <w:pPr>
        <w:pStyle w:val="StandardWeb"/>
        <w:rPr>
          <w:sz w:val="12"/>
          <w:szCs w:val="12"/>
        </w:rPr>
      </w:pPr>
      <w:r>
        <w:rPr>
          <w:rStyle w:val="kleinschrift1"/>
        </w:rPr>
        <w:t>– </w:t>
      </w:r>
      <w:r w:rsidRPr="009C6551">
        <w:rPr>
          <w:rStyle w:val="kleinschrift1"/>
        </w:rPr>
        <w:t>eine von Dritten (insbesondere durch gesetzgeberische Maßnahmen) verursachte Aufgabeneinschränkung,</w:t>
      </w:r>
    </w:p>
    <w:p w:rsidR="00BE1EFE" w:rsidRDefault="00BE1EFE">
      <w:pPr>
        <w:pStyle w:val="StandardWeb"/>
        <w:rPr>
          <w:sz w:val="12"/>
          <w:szCs w:val="12"/>
        </w:rPr>
      </w:pPr>
      <w:r>
        <w:rPr>
          <w:rStyle w:val="kleinschrift1"/>
        </w:rPr>
        <w:t>– </w:t>
      </w:r>
      <w:r w:rsidRPr="009C6551">
        <w:rPr>
          <w:rStyle w:val="kleinschrift1"/>
        </w:rPr>
        <w:t>Wegfall zweckgebundener Drittmittel veranlasst sind.</w:t>
      </w:r>
    </w:p>
    <w:p w:rsidR="00BE1EFE" w:rsidRPr="000B1AF8" w:rsidRDefault="00BE1EFE">
      <w:pPr>
        <w:pStyle w:val="StandardWeb"/>
      </w:pPr>
      <w:r>
        <w:rPr>
          <w:rStyle w:val="kleinschrift1"/>
        </w:rPr>
        <w:t>3. </w:t>
      </w:r>
      <w:r w:rsidRPr="009C6551">
        <w:rPr>
          <w:rStyle w:val="kleinschrift1"/>
        </w:rPr>
        <w:t>Eine wesentliche Änderung der Arbeitsorganisation kann auch vorliegen, wenn aufgrund von Arbeitsverträgen geleistete Arbeiten künftig aufgrund Werkvertrages durchgeführt werden sollen (z. B. bei Privatisierung des Reinigungsdienstes).</w:t>
      </w:r>
    </w:p>
    <w:p w:rsidR="00BE1EFE" w:rsidRPr="000B1AF8" w:rsidRDefault="00BE1EFE">
      <w:pPr>
        <w:pStyle w:val="StandardWeb"/>
      </w:pPr>
    </w:p>
    <w:p w:rsidR="00BE1EFE" w:rsidRDefault="00BE1EFE">
      <w:pPr>
        <w:pStyle w:val="StandardWeb"/>
      </w:pPr>
      <w:r>
        <w:t>(2)</w:t>
      </w:r>
      <w:r w:rsidRPr="00D2043D">
        <w:rPr>
          <w:rStyle w:val="kleinschrift"/>
          <w:sz w:val="16"/>
          <w:szCs w:val="16"/>
        </w:rPr>
        <w:t> </w:t>
      </w:r>
      <w:r>
        <w:rPr>
          <w:rStyle w:val="kleinschrift"/>
        </w:rPr>
        <w:t>1</w:t>
      </w:r>
      <w:r>
        <w:t xml:space="preserve">Maßnahmen, deren Ziel der Abbau von Arbeitsbelastungen ist (durch die z. B. die Lage der Arbeitszeit geändert oder die Dienstplangestaltung oder äußere Umstände der Arbeit verbessert werden), sind keine Maßnahmen im Sinne des Absatz 1. </w:t>
      </w:r>
      <w:r>
        <w:rPr>
          <w:rStyle w:val="kleinschrift"/>
        </w:rPr>
        <w:t>2</w:t>
      </w:r>
      <w:r>
        <w:t>Maßnahmen mit dem Ziel einer rationelleren Arbeitsweise sind unter den Voraussetzungen des Absatz 1 Unter</w:t>
      </w:r>
      <w:r>
        <w:softHyphen/>
        <w:t>absatz 1 jedoch auch dann Rationalisierungsmaßnahmen, wenn durch sie zugleich Arbeitsbelastungen abgebaut werden.</w:t>
      </w:r>
    </w:p>
    <w:p w:rsidR="00BE1EFE" w:rsidRDefault="00BE1EFE">
      <w:pPr>
        <w:pStyle w:val="StandardWeb"/>
      </w:pPr>
    </w:p>
    <w:p w:rsidR="00BE1EFE" w:rsidRDefault="00BE1EFE">
      <w:pPr>
        <w:pStyle w:val="StandardWeb"/>
      </w:pPr>
      <w:r>
        <w:t xml:space="preserve">(3) Diese Regelung gilt nicht für Fälle des Betriebsübergangs im Sinne des </w:t>
      </w:r>
      <w:hyperlink r:id="rId1593" w:tgtFrame="_blank" w:history="1">
        <w:r>
          <w:rPr>
            <w:rStyle w:val="Hyperlink"/>
          </w:rPr>
          <w:t>§ 613 a BGB</w:t>
        </w:r>
      </w:hyperlink>
      <w:r>
        <w:t>.</w:t>
      </w:r>
    </w:p>
    <w:p w:rsidR="00BE1EFE" w:rsidRDefault="00BE1EFE" w:rsidP="005F1E85">
      <w:pPr>
        <w:pStyle w:val="berschrift5"/>
      </w:pPr>
      <w:bookmarkStart w:id="1064" w:name="_Toc523926582"/>
      <w:r>
        <w:lastRenderedPageBreak/>
        <w:t>§ 2 Unterrichtungspflicht</w:t>
      </w:r>
      <w:bookmarkEnd w:id="1064"/>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Arbeitgeber hat die zuständige Mitarbeitervertretung rechtzeitig und umfassend über eine vorgesehene Rationalisierungsmaßnahme zu unterrichten. </w:t>
      </w:r>
      <w:r>
        <w:rPr>
          <w:rStyle w:val="kleinschrift"/>
        </w:rPr>
        <w:t>2</w:t>
      </w:r>
      <w:r>
        <w:t>Er hat die personellen und sozialen Auswirkungen mit der Mitarbeitervertretung zu beraten.</w:t>
      </w:r>
    </w:p>
    <w:p w:rsidR="00BE1EFE" w:rsidRPr="000B1AF8" w:rsidRDefault="00BE1EFE">
      <w:pPr>
        <w:pStyle w:val="StandardWeb"/>
      </w:pPr>
    </w:p>
    <w:p w:rsidR="00BE1EFE" w:rsidRDefault="00BE1EFE">
      <w:pPr>
        <w:pStyle w:val="StandardWeb"/>
      </w:pPr>
      <w:r>
        <w:t>(2) </w:t>
      </w:r>
      <w:r>
        <w:rPr>
          <w:rStyle w:val="kleinschrift"/>
        </w:rPr>
        <w:t>1</w:t>
      </w:r>
      <w:r>
        <w:t xml:space="preserve">Die Beteiligungsrechte der Mitarbeitervertretungen sind zu beachten. </w:t>
      </w:r>
      <w:r>
        <w:rPr>
          <w:rStyle w:val="kleinschrift"/>
        </w:rPr>
        <w:t>2</w:t>
      </w:r>
      <w:r>
        <w:t>Sie werden durch diese Regelung nicht berührt.</w:t>
      </w:r>
    </w:p>
    <w:p w:rsidR="00BE1EFE" w:rsidRDefault="00BE1EFE">
      <w:pPr>
        <w:pStyle w:val="StandardWeb"/>
      </w:pPr>
    </w:p>
    <w:p w:rsidR="00BE1EFE" w:rsidRDefault="00BE1EFE">
      <w:pPr>
        <w:pStyle w:val="StandardWeb"/>
      </w:pPr>
      <w:r>
        <w:t>(3) Unbeschadet der Absätze 1 und 2 soll der Arbeitgeber die Mitarbeiter, deren Arbeitsplätze von der vorgesehenen Rationalisierungsmaßnahme voraussichtlich betroffen werden, rechtzeitig vor deren Durchführung unterrichten.</w:t>
      </w:r>
    </w:p>
    <w:p w:rsidR="00BE1EFE" w:rsidRDefault="00BE1EFE" w:rsidP="005F1E85">
      <w:pPr>
        <w:pStyle w:val="berschrift5"/>
      </w:pPr>
      <w:bookmarkStart w:id="1065" w:name="_Toc523926583"/>
      <w:r>
        <w:t>§ 3 Arbeitsplatzsicherung</w:t>
      </w:r>
      <w:bookmarkEnd w:id="106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Der Arbeitgeber ist dem von einer Rationalisierungsmaßnahme im Sinne des § 1 betroffenen Mitarbeiter nach den Absätzen 2 bis 5 zur Arbeitsplatzsicherung verpflichtet. </w:t>
      </w:r>
      <w:r>
        <w:rPr>
          <w:rStyle w:val="kleinschrift"/>
        </w:rPr>
        <w:t>2</w:t>
      </w:r>
      <w:r>
        <w:t>Die Sicherung setzt erforderlichenfalls eine Fortbildung oder Umschulung des Mitarbeiters voraus.</w:t>
      </w:r>
    </w:p>
    <w:p w:rsidR="00BE1EFE" w:rsidRPr="000B1AF8" w:rsidRDefault="00BE1EFE">
      <w:pPr>
        <w:pStyle w:val="StandardWeb"/>
      </w:pPr>
    </w:p>
    <w:p w:rsidR="00BE1EFE" w:rsidRDefault="00BE1EFE">
      <w:pPr>
        <w:pStyle w:val="StandardWeb"/>
      </w:pPr>
      <w:r>
        <w:t>(2) </w:t>
      </w:r>
      <w:r>
        <w:rPr>
          <w:rStyle w:val="kleinschrift"/>
        </w:rPr>
        <w:t>1</w:t>
      </w:r>
      <w:r>
        <w:t xml:space="preserve">Der Arbeitgeber ist verpflichtet, dem Mitarbeiter einen mindestens gleichwertigen Arbeitsplatz zu sichern. </w:t>
      </w:r>
      <w:r>
        <w:rPr>
          <w:rStyle w:val="kleinschrift"/>
        </w:rPr>
        <w:t>2</w:t>
      </w:r>
      <w:r>
        <w:t xml:space="preserve">Ein Arbeitsplatz ist gleichwertig im Sinne des Unterabsatzes 1, wenn sich durch die neue Tätigkeit die bisherige Eingruppierung/Einreihung nicht ändert und der Mitarbeiter in der neuen Tätigkeit vollbeschäftigt bzw. im bisherigen Umfang nicht vollbeschäftigt bleibt. </w:t>
      </w:r>
      <w:r>
        <w:rPr>
          <w:rStyle w:val="kleinschrift"/>
        </w:rPr>
        <w:t>3</w:t>
      </w:r>
      <w:r>
        <w:t>Bei der Sicherung eines gleichwertigen Arbeitsplatzes bei demselben Arbeitgeber gilt folgende Reihenfolge:</w:t>
      </w:r>
    </w:p>
    <w:p w:rsidR="00BE1EFE" w:rsidRDefault="00BE1EFE">
      <w:pPr>
        <w:pStyle w:val="StandardWeb"/>
      </w:pPr>
      <w:r>
        <w:t>a) Arbeitsplatz in derselben Einrichtung an demselben Ort,</w:t>
      </w:r>
    </w:p>
    <w:p w:rsidR="00BE1EFE" w:rsidRDefault="00BE1EFE">
      <w:pPr>
        <w:pStyle w:val="StandardWeb"/>
      </w:pPr>
      <w:r>
        <w:t>b) Arbeitsplatz in derselben Einrichtung an einem anderen Ort oder in einer anderen Einrichtung an demselben Ort,</w:t>
      </w:r>
    </w:p>
    <w:p w:rsidR="00BE1EFE" w:rsidRDefault="00BE1EFE">
      <w:pPr>
        <w:pStyle w:val="StandardWeb"/>
      </w:pPr>
      <w:r>
        <w:t xml:space="preserve">c) Arbeitsplatz in einer anderen Einrichtung an einem anderen Ort. </w:t>
      </w:r>
      <w:r>
        <w:rPr>
          <w:rStyle w:val="kleinschrift"/>
        </w:rPr>
        <w:t>4</w:t>
      </w:r>
      <w:r>
        <w:t xml:space="preserve">Von der vorstehenden Reihenfolge kann im Einvernehmen mit dem Mitarbeiter abgewichen werden. </w:t>
      </w:r>
      <w:r>
        <w:rPr>
          <w:rStyle w:val="kleinschrift"/>
        </w:rPr>
        <w:t>5</w:t>
      </w:r>
      <w:r>
        <w:t>Steht ein gleichwertiger Arbeitsplatz nach Maßgabe des Unterabsatzes 3 nicht zur Verfügung, soll der Mitarbeiter entsprechend fortgebildet oder umgeschult werden, wenn ihm dadurch ein gleichwertiger Arbeitsplatz bei demselben Arbeitgeber zur Verfügung gestellt werden kann.</w:t>
      </w:r>
    </w:p>
    <w:p w:rsidR="00BE1EFE" w:rsidRDefault="00BE1EFE">
      <w:pPr>
        <w:pStyle w:val="StandardWeb"/>
      </w:pPr>
    </w:p>
    <w:p w:rsidR="00BE1EFE" w:rsidRDefault="00BE1EFE">
      <w:pPr>
        <w:pStyle w:val="StandardWeb"/>
      </w:pPr>
      <w:r>
        <w:t>(3) </w:t>
      </w:r>
      <w:r>
        <w:rPr>
          <w:rStyle w:val="kleinschrift"/>
        </w:rPr>
        <w:t>1</w:t>
      </w:r>
      <w:r>
        <w:t xml:space="preserve">Kann dem Mitarbeiter kein Arbeitsplatz im Sinne des Absatzes 2 zur Verfügung gestellt werden, ist der Arbeitgeber verpflichtet, dem Mitarbeiter einen anderen Arbeitsplatz anzubieten. </w:t>
      </w:r>
      <w:r>
        <w:rPr>
          <w:rStyle w:val="kleinschrift"/>
        </w:rPr>
        <w:t>2</w:t>
      </w:r>
      <w:r>
        <w:t xml:space="preserve">Absatz 2 Unterabsatz 3 und 4 gilt entsprechend. </w:t>
      </w:r>
      <w:r>
        <w:rPr>
          <w:rStyle w:val="kleinschrift"/>
        </w:rPr>
        <w:t>3</w:t>
      </w:r>
      <w:r>
        <w:t>Die spätere Bewerbung um einen gleichwertigen Arbeitsplatz ist im Rahmen der Auswahl unter gleich geeigneten Bewerbern bevorzugt zu berücksichtigen.</w:t>
      </w:r>
    </w:p>
    <w:p w:rsidR="00BE1EFE" w:rsidRDefault="00BE1EFE">
      <w:pPr>
        <w:pStyle w:val="StandardWeb"/>
      </w:pPr>
    </w:p>
    <w:p w:rsidR="00BE1EFE" w:rsidRDefault="00BE1EFE">
      <w:pPr>
        <w:pStyle w:val="StandardWeb"/>
      </w:pPr>
      <w:r>
        <w:t>(4) Kann dem Mitarbeiter kein Arbeitsplatz im Sinne der Absätze 2 und 3 zur Verfügung gestellt werden, ist der Arbeitgeber verpflichtet, sich um einen Arbeitsplatz bei einem anderen Arbeitgeber des kirchlichen oder öffentlichen Dienstes an demselben Ort zu bemühen.</w:t>
      </w:r>
    </w:p>
    <w:p w:rsidR="00BE1EFE" w:rsidRDefault="00BE1EFE">
      <w:pPr>
        <w:pStyle w:val="StandardWeb"/>
      </w:pPr>
    </w:p>
    <w:p w:rsidR="00BE1EFE" w:rsidRDefault="00BE1EFE">
      <w:pPr>
        <w:pStyle w:val="StandardWeb"/>
      </w:pPr>
      <w:r>
        <w:t xml:space="preserve">(5) Kann dem Mitarbeiter kein Arbeitsplatz im Sinne der Absätze 2 bis 4 zur Verfügung gestellt werden, kann der Arbeitgeber dem Mitarbeiter auch einen Arbeitsplatz bei einem anderen Arbeitgeber im Sinne des </w:t>
      </w:r>
      <w:hyperlink r:id="rId1594" w:history="1">
        <w:r w:rsidRPr="002D1F1D">
          <w:rPr>
            <w:rStyle w:val="Hyperlink"/>
          </w:rPr>
          <w:t>§ 29 Abschnitt B Absatz 7 ABD Teil A, 1.**</w:t>
        </w:r>
      </w:hyperlink>
      <w:r>
        <w:t>, vorzugsweise an demselben Ort, nachweisen.</w:t>
      </w:r>
    </w:p>
    <w:p w:rsidR="00BE1EFE" w:rsidRDefault="00BE1EFE">
      <w:pPr>
        <w:pStyle w:val="StandardWeb"/>
      </w:pPr>
    </w:p>
    <w:p w:rsidR="00BE1EFE" w:rsidRDefault="00BE1EFE">
      <w:pPr>
        <w:pStyle w:val="StandardWeb"/>
      </w:pPr>
      <w:r>
        <w:lastRenderedPageBreak/>
        <w:t>(6) Der Mitarbeiter ist verpflichtet, einen ihm angebotenen Arbeitsplatz im Sinne der Absätze 2 bis 5 anzunehmen, es sei denn, dass ihm die Annahme nach seinen Kenntnissen und Fähigkeiten billigerweise nicht zugemutet werden kann.</w:t>
      </w:r>
    </w:p>
    <w:p w:rsidR="00BE1EFE" w:rsidRDefault="00BE1EFE">
      <w:pPr>
        <w:pStyle w:val="StandardWeb"/>
      </w:pPr>
    </w:p>
    <w:p w:rsidR="00BE1EFE" w:rsidRDefault="00BE1EFE">
      <w:pPr>
        <w:pStyle w:val="StandardWeb"/>
        <w:rPr>
          <w:sz w:val="12"/>
          <w:szCs w:val="12"/>
        </w:rPr>
      </w:pPr>
      <w:r w:rsidRPr="009C6551">
        <w:rPr>
          <w:rStyle w:val="kleinschrift1"/>
        </w:rPr>
        <w:t>Anmerkung:</w:t>
      </w:r>
    </w:p>
    <w:p w:rsidR="00BE1EFE" w:rsidRDefault="00BE1EFE">
      <w:pPr>
        <w:pStyle w:val="StandardWeb"/>
        <w:rPr>
          <w:sz w:val="12"/>
          <w:szCs w:val="12"/>
        </w:rPr>
      </w:pPr>
      <w:r w:rsidRPr="009C6551">
        <w:rPr>
          <w:rStyle w:val="kleinschrift1"/>
        </w:rPr>
        <w:t>Öffentlicher Dienst im Sinne des Absatzes 4 ist eine Beschäftigung</w:t>
      </w:r>
    </w:p>
    <w:p w:rsidR="00BE1EFE" w:rsidRDefault="00BE1EFE">
      <w:pPr>
        <w:pStyle w:val="StandardWeb"/>
        <w:rPr>
          <w:sz w:val="12"/>
          <w:szCs w:val="12"/>
        </w:rPr>
      </w:pPr>
      <w:r>
        <w:rPr>
          <w:rStyle w:val="kleinschrift1"/>
        </w:rPr>
        <w:t>a) </w:t>
      </w:r>
      <w:r w:rsidRPr="009C6551">
        <w:rPr>
          <w:rStyle w:val="kleinschrift1"/>
        </w:rPr>
        <w:t>beim Bund, bei einem Land, bei einer Gemeinde oder einem Gemeindeverband oder bei einem sonstigen Mitglied eines Arbeitgeberverbandes, der der Vereinigung der kommunalen Arbeitgeberverbände oder der Tarifgemeinschaft deutscher Länder angehört,</w:t>
      </w:r>
    </w:p>
    <w:p w:rsidR="00BE1EFE" w:rsidRDefault="00BE1EFE">
      <w:pPr>
        <w:pStyle w:val="StandardWeb"/>
      </w:pPr>
      <w:r>
        <w:rPr>
          <w:rStyle w:val="kleinschrift1"/>
        </w:rPr>
        <w:t>b) </w:t>
      </w:r>
      <w:r w:rsidRPr="009C6551">
        <w:rPr>
          <w:rStyle w:val="kleinschrift1"/>
        </w:rPr>
        <w:t>bei einer Körperschaft, Anstalt oder Stiftung des öffentlichen Rechts, die das ABD oder ein anderes Arbeitsvertragswerk wesentlich gleichen Inhalts anwendet.</w:t>
      </w:r>
    </w:p>
    <w:p w:rsidR="00BE1EFE" w:rsidRDefault="00BE1EFE">
      <w:pPr>
        <w:pStyle w:val="StandardWeb"/>
      </w:pPr>
    </w:p>
    <w:p w:rsidR="00BE1EFE" w:rsidRDefault="00BE1EFE">
      <w:pPr>
        <w:pStyle w:val="StandardWeb"/>
      </w:pPr>
      <w:r w:rsidRPr="009C6551">
        <w:rPr>
          <w:rStyle w:val="kleinschrift1"/>
        </w:rPr>
        <w:t>** in der bis zum 30.09.2005 geltenden Fassung</w:t>
      </w:r>
    </w:p>
    <w:p w:rsidR="00BE1EFE" w:rsidRDefault="00BE1EFE" w:rsidP="005F1E85">
      <w:pPr>
        <w:pStyle w:val="berschrift5"/>
      </w:pPr>
      <w:bookmarkStart w:id="1066" w:name="_Toc523926584"/>
      <w:r>
        <w:t>§ 4 Fortbildung, Umschulung</w:t>
      </w:r>
      <w:bookmarkEnd w:id="1066"/>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 xml:space="preserve">Ist nach § 3 eine Fortbildung oder Umschulung erforderlich, hat sie der Arbeitgeber rechtzeitig zu veranlassen oder auf seine Kosten durchzuführen. </w:t>
      </w:r>
      <w:r>
        <w:rPr>
          <w:rStyle w:val="kleinschrift"/>
        </w:rPr>
        <w:t>2</w:t>
      </w:r>
      <w:r>
        <w:t>Der Mitarbeiter darf seine Zustimmung zu einer Fortbildungsmaßnahme oder Umschulungsmaßnahme nicht willkürlich verweigern.</w:t>
      </w:r>
    </w:p>
    <w:p w:rsidR="00BE1EFE" w:rsidRDefault="00BE1EFE">
      <w:pPr>
        <w:pStyle w:val="StandardWeb"/>
        <w:rPr>
          <w:sz w:val="12"/>
          <w:szCs w:val="12"/>
        </w:rPr>
      </w:pPr>
      <w:r w:rsidRPr="009C6551">
        <w:rPr>
          <w:rStyle w:val="kleinschrift1"/>
        </w:rPr>
        <w:t>Anmerkung zu Absatz 1 Unterabsatz 2:</w:t>
      </w:r>
    </w:p>
    <w:p w:rsidR="00BE1EFE" w:rsidRPr="000B1AF8" w:rsidRDefault="00BE1EFE">
      <w:pPr>
        <w:pStyle w:val="StandardWeb"/>
      </w:pPr>
      <w:r w:rsidRPr="009C6551">
        <w:rPr>
          <w:rStyle w:val="kleinschrift1"/>
        </w:rPr>
        <w:t>Gibt ein Mitarbeiter, der das 55. Lebensjahr vollendet hat, seine Zustimmung zu einer Fortbildungsmaßnahme oder Umschulungsmaßnahme nicht, kann dies nicht als willkürliche Verweigerung angesehen werden.</w:t>
      </w:r>
    </w:p>
    <w:p w:rsidR="00BE1EFE" w:rsidRPr="000B1AF8" w:rsidRDefault="00BE1EFE">
      <w:pPr>
        <w:pStyle w:val="StandardWeb"/>
      </w:pPr>
    </w:p>
    <w:p w:rsidR="00BE1EFE" w:rsidRDefault="00BE1EFE">
      <w:pPr>
        <w:pStyle w:val="StandardWeb"/>
      </w:pPr>
      <w:r>
        <w:t>(2) </w:t>
      </w:r>
      <w:r>
        <w:rPr>
          <w:rStyle w:val="kleinschrift"/>
        </w:rPr>
        <w:t>1</w:t>
      </w:r>
      <w:r>
        <w:t xml:space="preserve">Der Mitarbeiter ist für die zur Fortbildung oder Umschulung erforderliche Zeit, längstens für zwölf Monate, von der Arbeit freizustellen. </w:t>
      </w:r>
      <w:r>
        <w:rPr>
          <w:rStyle w:val="kleinschrift"/>
        </w:rPr>
        <w:t>2</w:t>
      </w:r>
      <w:r>
        <w:t>Für ganze Arbeitstage der Freistellung ist die Urlaubsvergütung/der Urlaubslohn zu zahlen, im Übrigen sind die Bezüge/ist der Lohn fortzu</w:t>
      </w:r>
      <w:r>
        <w:softHyphen/>
        <w:t xml:space="preserve">zahlen. </w:t>
      </w:r>
      <w:r>
        <w:rPr>
          <w:rStyle w:val="kleinschrift"/>
        </w:rPr>
        <w:t>3</w:t>
      </w:r>
      <w:r>
        <w:t>Wird durch die Fortbildung oder Umschulung die durchschnittliche regelmäßige wöchentliche Arbeitszeit überschritten, ist dem Mitarbeiter ein entsprechender Freizeitaus</w:t>
      </w:r>
      <w:r>
        <w:softHyphen/>
        <w:t>gleich bis zur Dauer der vereinbarten regelmäßigen wöchentlichen Arbeitszeit zu gewähren.</w:t>
      </w:r>
    </w:p>
    <w:p w:rsidR="00BE1EFE" w:rsidRDefault="00BE1EFE">
      <w:pPr>
        <w:pStyle w:val="StandardWeb"/>
      </w:pPr>
    </w:p>
    <w:p w:rsidR="00BE1EFE" w:rsidRDefault="00BE1EFE">
      <w:pPr>
        <w:pStyle w:val="StandardWeb"/>
      </w:pPr>
      <w:r>
        <w:t>(3) Setzt der Mitarbeiter nach der Fortbildung oder Umschulung aus einem von ihm zu vertretenden Grunde das Arbeitsverhältnis nicht für mindestens einen der Dauer der Fortbildung oder Umschulung entsprechenden Zeitraum fort, ist der Arbeitgeber berechtigt, das nach Absatz 2 Satz 2 gezahlte Entgelt und die Kosten der Fortbildung oder Umschulung zurückzufordern.</w:t>
      </w:r>
    </w:p>
    <w:p w:rsidR="00BE1EFE" w:rsidRDefault="00BE1EFE" w:rsidP="005F1E85">
      <w:pPr>
        <w:pStyle w:val="berschrift5"/>
      </w:pPr>
      <w:bookmarkStart w:id="1067" w:name="_Toc523926585"/>
      <w:r>
        <w:t>§ 5 Besonderer Kündigungsschutz</w:t>
      </w:r>
      <w:bookmarkEnd w:id="1067"/>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Ist dem Mitarbeiter eine andere Tätigkeit übertragen worden, darf das Arbeitsverhältnis während der ersten neun Monate dieser Tätigkeit weder aus betriebsbedingten Gründen noch wegen mangelnder Einarbeitung gekündigt werden. </w:t>
      </w:r>
      <w:r>
        <w:rPr>
          <w:rStyle w:val="kleinschrift"/>
        </w:rPr>
        <w:t>2</w:t>
      </w:r>
      <w:r>
        <w:t>Wird die andere Tätigkeit bereits während der Fortbildung oder Umschulung ausgeübt, verlängert sich die Frist auf zwölf Monate.</w:t>
      </w:r>
    </w:p>
    <w:p w:rsidR="00BE1EFE" w:rsidRPr="000B1AF8" w:rsidRDefault="00BE1EFE">
      <w:pPr>
        <w:pStyle w:val="StandardWeb"/>
      </w:pPr>
    </w:p>
    <w:p w:rsidR="00BE1EFE" w:rsidRDefault="00BE1EFE">
      <w:pPr>
        <w:pStyle w:val="StandardWeb"/>
      </w:pPr>
      <w:r>
        <w:t>(2) </w:t>
      </w:r>
      <w:r>
        <w:rPr>
          <w:rStyle w:val="kleinschrift"/>
        </w:rPr>
        <w:t>1</w:t>
      </w:r>
      <w:r>
        <w:t xml:space="preserve">Eine Kündigung mit dem Ziel der Beendigung des Arbeitsverhältnisses darf nur dann ausgesprochen werden, wenn dem Mitarbeiter ein Arbeitsplatz nach § 3 Absatz 2 bis 5 nicht angeboten werden kann oder der Mitarbeiter einen Arbeitsplatz entgegen § 3 Absatz 6 nicht annimmt. </w:t>
      </w:r>
      <w:r>
        <w:rPr>
          <w:rStyle w:val="kleinschrift"/>
        </w:rPr>
        <w:t>2</w:t>
      </w:r>
      <w:r>
        <w:t xml:space="preserve">Die Kündigungsfrist beträgt drei Monate zum Schluss eines Kalendervierteljahres, soweit sich nicht aus </w:t>
      </w:r>
      <w:hyperlink r:id="rId1595" w:history="1">
        <w:r w:rsidRPr="002D1F1D">
          <w:rPr>
            <w:rStyle w:val="Hyperlink"/>
          </w:rPr>
          <w:t>§ 53 Absatz 2 ABD Teil A, 1.**</w:t>
        </w:r>
      </w:hyperlink>
      <w:r>
        <w:t xml:space="preserve"> eine längere Kündigungsfrist ergibt. </w:t>
      </w:r>
      <w:r>
        <w:rPr>
          <w:rStyle w:val="kleinschrift"/>
        </w:rPr>
        <w:t>3</w:t>
      </w:r>
      <w:r>
        <w:t>Bei Mitarbeitern, die beim Wechsel der Beschäftigung eine Beschäftigungszeit (</w:t>
      </w:r>
      <w:hyperlink r:id="rId1596" w:history="1">
        <w:r>
          <w:rPr>
            <w:rStyle w:val="Hyperlink"/>
          </w:rPr>
          <w:t>§ 19 ABD Teil A, </w:t>
        </w:r>
        <w:r w:rsidRPr="002D1F1D">
          <w:rPr>
            <w:rStyle w:val="Hyperlink"/>
          </w:rPr>
          <w:t>1.**</w:t>
        </w:r>
      </w:hyperlink>
      <w:r>
        <w:t xml:space="preserve"> bzw. </w:t>
      </w:r>
      <w:hyperlink r:id="rId1597" w:tgtFrame="_blank" w:history="1">
        <w:r>
          <w:rPr>
            <w:rStyle w:val="Hyperlink"/>
          </w:rPr>
          <w:t>§ 6 ABD Teil B, 1.**</w:t>
        </w:r>
      </w:hyperlink>
      <w:r>
        <w:t xml:space="preserve">) von mehr als 15 Jahren zurückgelegt und das 40. Lebensjahr vollendet haben, dürfen Kündigungen mit dem Ziel der Beendigung des </w:t>
      </w:r>
      <w:r>
        <w:lastRenderedPageBreak/>
        <w:t xml:space="preserve">Arbeitsverhältnisses im Zusammenhang mit Rationalisierungsmaßnahmen nur dann ausgesprochen werden, wenn der Mitarbeiter einen gleichwertigen Arbeitsplatz bei demselben Arbeitgeber entgegen § 3 Absatz 6 nicht annimmt. </w:t>
      </w:r>
      <w:r>
        <w:rPr>
          <w:rStyle w:val="kleinschrift"/>
        </w:rPr>
        <w:t>4</w:t>
      </w:r>
      <w:r>
        <w:t>Für diese Kündigung aus wichtigem Grunde beträgt die Kündigungsfrist sechs Monate zum Schluss eines Kalendervierteljahres.</w:t>
      </w:r>
    </w:p>
    <w:p w:rsidR="00BE1EFE" w:rsidRDefault="00BE1EFE">
      <w:pPr>
        <w:pStyle w:val="StandardWeb"/>
      </w:pPr>
    </w:p>
    <w:p w:rsidR="00BE1EFE" w:rsidRDefault="00BE1EFE">
      <w:pPr>
        <w:pStyle w:val="StandardWeb"/>
      </w:pPr>
      <w:r>
        <w:t>(3) Der Mitarbeiter, der auf Veranlassung des Arbeitgebers im gegenseitigen Einvernehmen oder aufgrund einer Kündigung durch den Arbeitgeber aus dem Arbeitsverhältnis ausgeschie</w:t>
      </w:r>
      <w:r>
        <w:softHyphen/>
        <w:t>den ist, soll auf Antrag bevorzugt wieder eingestellt werden, wenn ein für ihn geeigneter Arbeitsplatz zur Verfügung steht.</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rsidP="005F1E85">
      <w:pPr>
        <w:pStyle w:val="berschrift5"/>
      </w:pPr>
      <w:bookmarkStart w:id="1068" w:name="_Toc523926586"/>
      <w:r>
        <w:t>§ 6a Vergütungssicherung für Angestellte</w:t>
      </w:r>
      <w:bookmarkEnd w:id="1068"/>
    </w:p>
    <w:p w:rsidR="00BE1EFE" w:rsidRPr="00B76821" w:rsidRDefault="00BE1EFE" w:rsidP="00B76821">
      <w:pPr>
        <w:pStyle w:val="berschrift6"/>
        <w:keepNext w:val="0"/>
        <w:spacing w:before="0" w:after="0"/>
        <w:rPr>
          <w:sz w:val="2"/>
        </w:rPr>
      </w:pPr>
    </w:p>
    <w:p w:rsidR="00BE1EFE" w:rsidRDefault="00BE1EFE">
      <w:pPr>
        <w:pStyle w:val="StandardWeb"/>
      </w:pPr>
      <w:r>
        <w:t xml:space="preserve">(1) Ergibt sich in den Fällen des </w:t>
      </w:r>
      <w:hyperlink r:id="rId1598" w:history="1">
        <w:r w:rsidRPr="002D1F1D">
          <w:rPr>
            <w:rStyle w:val="Hyperlink"/>
          </w:rPr>
          <w:t>§ 3 Absatz 2</w:t>
        </w:r>
      </w:hyperlink>
      <w:r>
        <w:t xml:space="preserve"> und </w:t>
      </w:r>
      <w:hyperlink r:id="rId1599" w:history="1">
        <w:r w:rsidRPr="002D1F1D">
          <w:rPr>
            <w:rStyle w:val="Hyperlink"/>
          </w:rPr>
          <w:t>§ 3 Absatz 3</w:t>
        </w:r>
      </w:hyperlink>
      <w:r>
        <w:t xml:space="preserve"> eine Minderung der Vergütung, ist der Arbeitgeber verpflichtet, dem Angestellten die Vergütung auf der Grundlage des Sicherungsbetrages (Absatz 2) zu wahren.</w:t>
      </w:r>
    </w:p>
    <w:p w:rsidR="00BE1EFE" w:rsidRDefault="00BE1EFE">
      <w:pPr>
        <w:pStyle w:val="StandardWeb"/>
      </w:pPr>
    </w:p>
    <w:p w:rsidR="00BE1EFE" w:rsidRDefault="00BE1EFE">
      <w:pPr>
        <w:pStyle w:val="StandardWeb"/>
      </w:pPr>
      <w:r>
        <w:t xml:space="preserve">(2) Der Sicherungsbetrag setzt sich zusammen aus </w:t>
      </w:r>
    </w:p>
    <w:p w:rsidR="00BE1EFE" w:rsidRDefault="00BE1EFE">
      <w:pPr>
        <w:pStyle w:val="StandardWeb"/>
      </w:pPr>
      <w:r>
        <w:t>a) der Grundvergütung und dem Ortszuschlag der Stufe 1, der allgemeinen Zulage nach der Regelung über Zulagen, den in der Anmerkung Nr. 1 genannten Zulagen,</w:t>
      </w:r>
    </w:p>
    <w:p w:rsidR="00BE1EFE" w:rsidRDefault="00BE1EFE">
      <w:pPr>
        <w:pStyle w:val="StandardWeb"/>
      </w:pPr>
      <w:r>
        <w:t>b) den in der Anmerkung Nr. 2 genannten Zulagen, die der Angestellte für dieselbe Tätigkeit mindestens die letzten drei Jahre vor dem in Absatz 3 Unterabsatz 2 genannten Tag ununterbrochen bezogen hat, und, wenn sie der Angestellte mindestens die letzten fünf Jahre vor dem in Absatz 2 Unterabsatz 2 genannten Tag für mindestens die Hälfte der durchschnittl</w:t>
      </w:r>
      <w:r>
        <w:softHyphen/>
        <w:t xml:space="preserve">ichen regelmäßigen wöchentlichen Arbeitszeit </w:t>
      </w:r>
      <w:hyperlink r:id="rId1600" w:history="1">
        <w:r w:rsidRPr="002D1F1D">
          <w:rPr>
            <w:rStyle w:val="Hyperlink"/>
          </w:rPr>
          <w:t>(§ 15 Absatz 1 ABD Teil A, 1.**)</w:t>
        </w:r>
      </w:hyperlink>
      <w:r>
        <w:t xml:space="preserve"> ununter</w:t>
      </w:r>
      <w:r>
        <w:softHyphen/>
        <w:t>brochen bezogen hat, den in der Anmerkung Nr. 3 genannten Zulagen, die dem Angestellten im Kalendermonat vor dem in Absatz 3 Unterabsatz 2 genannten Tag zugestanden haben oder zugestanden hätten.</w:t>
      </w:r>
    </w:p>
    <w:p w:rsidR="00BE1EFE" w:rsidRDefault="00BE1EFE">
      <w:pPr>
        <w:pStyle w:val="StandardWeb"/>
        <w:rPr>
          <w:sz w:val="12"/>
          <w:szCs w:val="12"/>
        </w:rPr>
      </w:pPr>
      <w:r w:rsidRPr="009C6551">
        <w:rPr>
          <w:rStyle w:val="kleinschrift1"/>
        </w:rPr>
        <w:t>Anmerkungen zu Absatz 2:</w:t>
      </w:r>
    </w:p>
    <w:p w:rsidR="00BE1EFE" w:rsidRDefault="00BE1EFE">
      <w:pPr>
        <w:pStyle w:val="StandardWeb"/>
        <w:rPr>
          <w:rStyle w:val="kleinschrift1"/>
        </w:rPr>
      </w:pPr>
      <w:r w:rsidRPr="009C6551">
        <w:rPr>
          <w:rStyle w:val="kleinschrift1"/>
        </w:rPr>
        <w:t xml:space="preserve">1. </w:t>
      </w:r>
    </w:p>
    <w:p w:rsidR="00BE1EFE" w:rsidRDefault="00BE1EFE">
      <w:pPr>
        <w:pStyle w:val="StandardWeb"/>
        <w:rPr>
          <w:sz w:val="12"/>
          <w:szCs w:val="12"/>
        </w:rPr>
      </w:pPr>
      <w:r>
        <w:rPr>
          <w:rStyle w:val="kleinschrift1"/>
        </w:rPr>
        <w:t>– </w:t>
      </w:r>
      <w:r w:rsidRPr="009C6551">
        <w:rPr>
          <w:rStyle w:val="kleinschrift1"/>
        </w:rPr>
        <w:t>Zulage nach der Fußnote 1 zu Vergütungsgruppe II a ABD Teil A, 3.2.**</w:t>
      </w:r>
    </w:p>
    <w:p w:rsidR="00BE1EFE" w:rsidRDefault="00BE1EFE">
      <w:pPr>
        <w:pStyle w:val="StandardWeb"/>
        <w:rPr>
          <w:sz w:val="12"/>
          <w:szCs w:val="12"/>
        </w:rPr>
      </w:pPr>
      <w:r>
        <w:rPr>
          <w:rStyle w:val="kleinschrift1"/>
        </w:rPr>
        <w:t>– </w:t>
      </w:r>
      <w:r w:rsidRPr="009C6551">
        <w:rPr>
          <w:rStyle w:val="kleinschrift1"/>
        </w:rPr>
        <w:t>Zulagen nach den Fußnoten 1 bis 3 zu Vergütungsgruppe V c, der Fußnote 1 zu Vergütungsgruppe V b, den Fußnoten 1 und 2 zu Vergütungsgruppe IV b und der Fußnote 1 zu Vergütungsgruppe IV a des ABD Teil A, 3.3. Abschn. G. 1.**</w:t>
      </w:r>
    </w:p>
    <w:p w:rsidR="00BE1EFE" w:rsidRDefault="00BE1EFE">
      <w:pPr>
        <w:pStyle w:val="StandardWeb"/>
        <w:rPr>
          <w:sz w:val="12"/>
          <w:szCs w:val="12"/>
        </w:rPr>
      </w:pPr>
      <w:r>
        <w:rPr>
          <w:rStyle w:val="kleinschrift1"/>
        </w:rPr>
        <w:t>– </w:t>
      </w:r>
      <w:r w:rsidRPr="009C6551">
        <w:rPr>
          <w:rStyle w:val="kleinschrift1"/>
        </w:rPr>
        <w:t>Zulagen nach den Fußnoten 1 bis 3 zu Vergütungsgruppe V c, der Fußnote 1 zu Vergütungsgruppe V b, den Fußnoten 1 und 2 zu Vergütungsgruppe IV b und der Fußnote 1 zu Vergütungsgruppe IV a des ABD Teil A 3.3. Abschn. G. 2.**</w:t>
      </w:r>
    </w:p>
    <w:p w:rsidR="00BE1EFE" w:rsidRDefault="00BE1EFE">
      <w:pPr>
        <w:pStyle w:val="StandardWeb"/>
        <w:rPr>
          <w:sz w:val="12"/>
          <w:szCs w:val="12"/>
        </w:rPr>
      </w:pPr>
      <w:r w:rsidRPr="009C6551">
        <w:rPr>
          <w:rStyle w:val="kleinschrift1"/>
        </w:rPr>
        <w:t>– Zulage nach der Fußnote 1 zu Vergütungsgruppe V b des ABD Teil A, 3.3. Abschn. L Unterabschn. I.**</w:t>
      </w:r>
    </w:p>
    <w:p w:rsidR="00BE1EFE" w:rsidRDefault="00BE1EFE">
      <w:pPr>
        <w:pStyle w:val="StandardWeb"/>
        <w:rPr>
          <w:sz w:val="12"/>
          <w:szCs w:val="12"/>
        </w:rPr>
      </w:pPr>
      <w:r w:rsidRPr="009C6551">
        <w:rPr>
          <w:rStyle w:val="kleinschrift1"/>
        </w:rPr>
        <w:t>– Zulage nach der jeweiligen Fußnote 1 zu Vergütungsgruppe VII des ABD Teil A, 3.3. Abschn. N.**</w:t>
      </w:r>
    </w:p>
    <w:p w:rsidR="00BE1EFE" w:rsidRDefault="00BE1EFE">
      <w:pPr>
        <w:pStyle w:val="StandardWeb"/>
        <w:rPr>
          <w:sz w:val="12"/>
          <w:szCs w:val="12"/>
        </w:rPr>
      </w:pPr>
      <w:r w:rsidRPr="009C6551">
        <w:rPr>
          <w:rStyle w:val="kleinschrift1"/>
        </w:rPr>
        <w:t>– Zulage nach der jeweiligen Fußnote 1 zu der Vergütungsgruppen V b des ABD Teil A, 3.3. Abschn. Q.**</w:t>
      </w:r>
    </w:p>
    <w:p w:rsidR="00BE1EFE" w:rsidRDefault="00BE1EFE">
      <w:pPr>
        <w:pStyle w:val="StandardWeb"/>
        <w:rPr>
          <w:rStyle w:val="kleinschrift1"/>
        </w:rPr>
      </w:pPr>
      <w:r w:rsidRPr="009C6551">
        <w:rPr>
          <w:rStyle w:val="kleinschrift1"/>
        </w:rPr>
        <w:t xml:space="preserve">2. </w:t>
      </w:r>
    </w:p>
    <w:p w:rsidR="00BE1EFE" w:rsidRDefault="00BE1EFE">
      <w:pPr>
        <w:pStyle w:val="StandardWeb"/>
        <w:rPr>
          <w:sz w:val="12"/>
          <w:szCs w:val="12"/>
        </w:rPr>
      </w:pPr>
      <w:r>
        <w:rPr>
          <w:rStyle w:val="kleinschrift1"/>
        </w:rPr>
        <w:t>– </w:t>
      </w:r>
      <w:r w:rsidRPr="009C6551">
        <w:rPr>
          <w:rStyle w:val="kleinschrift1"/>
        </w:rPr>
        <w:t>Zulagen nach Fußnoten und Anmerkungen im ABD Teil A, 3.**, soweit nicht in den Anmerkungen Nrn. 1 und 3 aufgeführt.</w:t>
      </w:r>
    </w:p>
    <w:p w:rsidR="00BE1EFE" w:rsidRDefault="00BE1EFE">
      <w:pPr>
        <w:pStyle w:val="StandardWeb"/>
        <w:rPr>
          <w:sz w:val="12"/>
          <w:szCs w:val="12"/>
        </w:rPr>
      </w:pPr>
      <w:r>
        <w:rPr>
          <w:rStyle w:val="kleinschrift1"/>
        </w:rPr>
        <w:t>– </w:t>
      </w:r>
      <w:r w:rsidRPr="009C6551">
        <w:rPr>
          <w:rStyle w:val="kleinschrift1"/>
        </w:rPr>
        <w:t>Zulagen nach der Regelung über Zulagen an Angestellte mit Ausnahme der allgemeinen Zulage.</w:t>
      </w:r>
    </w:p>
    <w:p w:rsidR="00BE1EFE" w:rsidRDefault="00BE1EFE">
      <w:pPr>
        <w:pStyle w:val="StandardWeb"/>
        <w:rPr>
          <w:rStyle w:val="kleinschrift1"/>
        </w:rPr>
      </w:pPr>
      <w:r w:rsidRPr="009C6551">
        <w:rPr>
          <w:rStyle w:val="kleinschrift1"/>
        </w:rPr>
        <w:t>3.</w:t>
      </w:r>
    </w:p>
    <w:p w:rsidR="00BE1EFE" w:rsidRDefault="00BE1EFE">
      <w:pPr>
        <w:pStyle w:val="StandardWeb"/>
        <w:rPr>
          <w:sz w:val="12"/>
          <w:szCs w:val="12"/>
        </w:rPr>
      </w:pPr>
      <w:r w:rsidRPr="009C6551">
        <w:rPr>
          <w:rStyle w:val="kleinschrift1"/>
        </w:rPr>
        <w:t>– Wechselschichtzulage und Schichtzulagen.</w:t>
      </w:r>
    </w:p>
    <w:p w:rsidR="00BE1EFE" w:rsidRDefault="00BE1EFE">
      <w:pPr>
        <w:pStyle w:val="StandardWeb"/>
        <w:rPr>
          <w:sz w:val="12"/>
          <w:szCs w:val="12"/>
        </w:rPr>
      </w:pPr>
      <w:r w:rsidRPr="009C6551">
        <w:rPr>
          <w:rStyle w:val="kleinschrift1"/>
        </w:rPr>
        <w:t>– Zulage nach den Anmerkungen Nrn. 4 und 7 des ABD Teil A, 3.3. Abschn. N.**</w:t>
      </w:r>
    </w:p>
    <w:p w:rsidR="00BE1EFE" w:rsidRPr="000B1AF8" w:rsidRDefault="00BE1EFE">
      <w:pPr>
        <w:pStyle w:val="StandardWeb"/>
      </w:pPr>
      <w:r>
        <w:rPr>
          <w:rStyle w:val="kleinschrift1"/>
        </w:rPr>
        <w:t>4. </w:t>
      </w:r>
      <w:r w:rsidRPr="009C6551">
        <w:rPr>
          <w:rStyle w:val="kleinschrift1"/>
        </w:rPr>
        <w:t>Eine Zulage gilt auch dann als im Sinne des Buchst. b ununterbrochen bezogen, wenn der Angestellte sie vorübergehend wegen Arbeitsunfähigkeit, wegen Erholungsurlaubs einschließlich eines etwaigen Zusatzurlaubs, oder wegen Arbeits</w:t>
      </w:r>
      <w:r>
        <w:rPr>
          <w:rStyle w:val="kleinschrift1"/>
        </w:rPr>
        <w:softHyphen/>
      </w:r>
      <w:r w:rsidRPr="009C6551">
        <w:rPr>
          <w:rStyle w:val="kleinschrift1"/>
        </w:rPr>
        <w:t>befreiung, wegen Ableistung des Grundwehrdienstes, von Wehrübungen oder des Zivildienstes, wegen Mutterschaftsurlaubs oder wegen Elternzeit nach dem Bundeselterngeld- und Elternzeitgesetz, aus sonstigen Gründen bis zu insgesamt höchstens zwei Monaten nicht erhalten hat.</w:t>
      </w:r>
    </w:p>
    <w:p w:rsidR="00BE1EFE" w:rsidRPr="000B1AF8"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StandardWeb"/>
      </w:pPr>
    </w:p>
    <w:p w:rsidR="00BE1EFE" w:rsidRDefault="00BE1EFE">
      <w:pPr>
        <w:pStyle w:val="StandardWeb"/>
      </w:pPr>
      <w:r>
        <w:t>(3) </w:t>
      </w:r>
      <w:r>
        <w:rPr>
          <w:rStyle w:val="kleinschrift"/>
        </w:rPr>
        <w:t>1</w:t>
      </w:r>
      <w:r>
        <w:t xml:space="preserve">Für die Dauer der für den Angestellten nach </w:t>
      </w:r>
      <w:hyperlink r:id="rId1601" w:history="1">
        <w:r w:rsidRPr="002D1F1D">
          <w:rPr>
            <w:rStyle w:val="Hyperlink"/>
          </w:rPr>
          <w:t>§ 53 Absatz 2 ABD Teil A, 1.**</w:t>
        </w:r>
      </w:hyperlink>
      <w:r>
        <w:t xml:space="preserve"> geltenden Frist – bei unter </w:t>
      </w:r>
      <w:hyperlink r:id="rId1602" w:history="1">
        <w:r w:rsidRPr="002D1F1D">
          <w:rPr>
            <w:rStyle w:val="Hyperlink"/>
          </w:rPr>
          <w:t>§ 53 Absatz 3 ABD Teil A, 1.**</w:t>
        </w:r>
      </w:hyperlink>
      <w:r w:rsidRPr="002D1F1D">
        <w:t xml:space="preserve"> </w:t>
      </w:r>
      <w:r>
        <w:t xml:space="preserve">fallenden Angestellten für die Dauer von sechs Monaten zum Schluss eines Kalendervierteljahres – erhält der Angestellte eine persönliche Zulage in Höhe des jeweiligen Unterschiedsbetrages zwischen dem Sicherungsbetrag und den um den Teil des Ortszuschlages, der sich aus der Differenz zwischen der Stufe 1 und der </w:t>
      </w:r>
      <w:r>
        <w:lastRenderedPageBreak/>
        <w:t xml:space="preserve">für ihn maßgebenden Stufe ergibt, sowie um die Zeitzuschläge und um die Vergütungen für Überstunden, Bereitschaftsdienst und Rufbereitschaft verminderten Bezügen aus der neuen Tätigkeit. </w:t>
      </w:r>
      <w:r>
        <w:rPr>
          <w:rStyle w:val="kleinschrift"/>
        </w:rPr>
        <w:t>2</w:t>
      </w:r>
      <w:r>
        <w:t>Die Frist beginnt mit dem Tag, an dem der Angestellte nach der Anordnung des Arbeitgebers die neue Tätigkeit aufzunehmen hat.</w:t>
      </w:r>
    </w:p>
    <w:p w:rsidR="00BE1EFE" w:rsidRDefault="00BE1EFE">
      <w:pPr>
        <w:pStyle w:val="StandardWeb"/>
      </w:pPr>
    </w:p>
    <w:p w:rsidR="00BE1EFE" w:rsidRDefault="00BE1EFE">
      <w:pPr>
        <w:pStyle w:val="StandardWeb"/>
      </w:pPr>
      <w:r>
        <w:t>(4) </w:t>
      </w:r>
      <w:r>
        <w:rPr>
          <w:rStyle w:val="kleinschrift"/>
        </w:rPr>
        <w:t>1</w:t>
      </w:r>
      <w:r>
        <w:t xml:space="preserve">Der Angestellte, der an dem nach Absatz 3 Unterabsatz 2 für ihn maßgebenden Tag eine Beschäftigungszeit </w:t>
      </w:r>
      <w:hyperlink r:id="rId1603" w:history="1">
        <w:r w:rsidRPr="002D1F1D">
          <w:rPr>
            <w:rStyle w:val="Hyperlink"/>
          </w:rPr>
          <w:t>(§ 19 ABD Teil A, 1.**)</w:t>
        </w:r>
      </w:hyperlink>
      <w:r>
        <w:t xml:space="preserve"> von mehr als fünf Jahren zurückgelegt hat, erhält die persönliche Zulage nach Absatz 3 auch nach Ablauf der für ihn nach Absatz 3 Unterab</w:t>
      </w:r>
      <w:r>
        <w:softHyphen/>
        <w:t xml:space="preserve">satz 1 maßgebenden Frist. </w:t>
      </w:r>
      <w:r>
        <w:rPr>
          <w:rStyle w:val="kleinschrift"/>
        </w:rPr>
        <w:t>2</w:t>
      </w:r>
      <w:r>
        <w:t xml:space="preserve">Der Sicherungsbetrag vermindert sich mit jeder allgemeinen Vergütungserhöhung – beginnend mit der ersten allgemeinen Vergütungserhöhung nach Ablauf der für den Angestellten nach Absatz 3 Unterabsatz 1 maßgebenden Frist – bei dem Angestellten, der an dem nach Absatz 3 Unterabsatz 2 für ihn maßgebenden Tag </w:t>
      </w:r>
    </w:p>
    <w:p w:rsidR="00BE1EFE" w:rsidRDefault="00BE1EFE">
      <w:pPr>
        <w:pStyle w:val="StandardWeb"/>
      </w:pPr>
      <w:r>
        <w:t xml:space="preserve">a) eine Beschäftigungszeit </w:t>
      </w:r>
      <w:hyperlink r:id="rId1604" w:history="1">
        <w:r w:rsidRPr="002D1F1D">
          <w:rPr>
            <w:rStyle w:val="Hyperlink"/>
          </w:rPr>
          <w:t>(§ 19 ABD Teil A, 1.**)</w:t>
        </w:r>
      </w:hyperlink>
      <w:r>
        <w:t xml:space="preserve"> von mehr als 15 Jahren zurückgelegt und das 50. Lebensjahr vollendet hat, insgesamt fünfmal um jeweils ein Fünftel,</w:t>
      </w:r>
    </w:p>
    <w:p w:rsidR="00BE1EFE" w:rsidRDefault="00BE1EFE">
      <w:pPr>
        <w:pStyle w:val="StandardWeb"/>
      </w:pPr>
      <w:r>
        <w:t xml:space="preserve">b) eine Beschäftigungszeit </w:t>
      </w:r>
      <w:hyperlink r:id="rId1605" w:history="1">
        <w:r w:rsidRPr="002D1F1D">
          <w:rPr>
            <w:rStyle w:val="Hyperlink"/>
          </w:rPr>
          <w:t>(§ 19 ABD Teil A, 1.**)</w:t>
        </w:r>
      </w:hyperlink>
      <w:r>
        <w:t xml:space="preserve"> von mehr als 15 Jahren zurückgelegt und das 40. Lebensjahr vollendet hat, insgesamt viermal um jeweils ein Viertel,</w:t>
      </w:r>
    </w:p>
    <w:p w:rsidR="00BE1EFE" w:rsidRDefault="00BE1EFE">
      <w:pPr>
        <w:pStyle w:val="StandardWeb"/>
      </w:pPr>
      <w:r>
        <w:t xml:space="preserve">c) die Voraussetzungen der Buchstaben a und b nicht erfüllt, insgesamt dreimal um jeweils ein Drittel der Summe der Bezügebestandteile, die nach Absatz 2 Buchst. b und c bei der Errechnung des Sicherungsbetrages zu berücksichtigen waren. </w:t>
      </w:r>
      <w:r>
        <w:rPr>
          <w:rStyle w:val="kleinschrift"/>
        </w:rPr>
        <w:t>3</w:t>
      </w:r>
      <w:r>
        <w:t xml:space="preserve">Eine Verminderung unterbleibt bei dem Angestellten, der an dem nach Absatz 3 Unterabsatz 2 für ihn maßgebenden Tag eine Beschäftigungszeit </w:t>
      </w:r>
      <w:hyperlink r:id="rId1606" w:history="1">
        <w:r w:rsidRPr="002D1F1D">
          <w:rPr>
            <w:rStyle w:val="Hyperlink"/>
          </w:rPr>
          <w:t>(§ 19 ABD Teil A, 1.**)</w:t>
        </w:r>
      </w:hyperlink>
      <w:r>
        <w:t xml:space="preserve"> von mehr als 15 Jahren zurückgelegt und das 55. Lebensjahr vollendet hat. </w:t>
      </w:r>
      <w:r>
        <w:rPr>
          <w:rStyle w:val="kleinschrift"/>
        </w:rPr>
        <w:t>4</w:t>
      </w:r>
      <w:r>
        <w:t>Der jeweilige Sicherungsbetrag erhöht sich für den Angestellten, der</w:t>
      </w:r>
    </w:p>
    <w:p w:rsidR="00BE1EFE" w:rsidRDefault="00BE1EFE">
      <w:pPr>
        <w:pStyle w:val="StandardWeb"/>
      </w:pPr>
      <w:r>
        <w:t xml:space="preserve">a) an dem nach Absatz 3 Unterabsatz 2 für ihn maßgebenden Tag eine Beschäftigungszeit </w:t>
      </w:r>
      <w:hyperlink r:id="rId1607" w:history="1">
        <w:r>
          <w:rPr>
            <w:rStyle w:val="Hyperlink"/>
          </w:rPr>
          <w:t>(§ </w:t>
        </w:r>
        <w:r w:rsidRPr="002D1F1D">
          <w:rPr>
            <w:rStyle w:val="Hyperlink"/>
          </w:rPr>
          <w:t>19 ABD Teil A, 1.**)</w:t>
        </w:r>
      </w:hyperlink>
      <w:r>
        <w:t xml:space="preserve"> von mehr als 15 Jahren zurückgelegt und das 55. Lebensjahr vollendet hat, jeweils um vier Viertel,</w:t>
      </w:r>
    </w:p>
    <w:p w:rsidR="00BE1EFE" w:rsidRDefault="00BE1EFE">
      <w:pPr>
        <w:pStyle w:val="StandardWeb"/>
      </w:pPr>
      <w:r>
        <w:t>b) unter Unterabsatz 2 Buchstabe a fällt, jeweils um drei Viertel,</w:t>
      </w:r>
    </w:p>
    <w:p w:rsidR="00BE1EFE" w:rsidRDefault="00BE1EFE">
      <w:pPr>
        <w:pStyle w:val="StandardWeb"/>
      </w:pPr>
      <w:r>
        <w:t>c) unter Unterabsatz 2 Buchstabe b fällt, jeweils um die Hälfte,</w:t>
      </w:r>
    </w:p>
    <w:p w:rsidR="00BE1EFE" w:rsidRDefault="00BE1EFE">
      <w:pPr>
        <w:pStyle w:val="StandardWeb"/>
      </w:pPr>
      <w:r>
        <w:t xml:space="preserve">d) an dem nach Absatz 3 Unterabsatz 2 für ihn maßgebenden Tag eine Beschäftigungszeit </w:t>
      </w:r>
      <w:hyperlink r:id="rId1608" w:history="1">
        <w:r>
          <w:rPr>
            <w:rStyle w:val="Hyperlink"/>
          </w:rPr>
          <w:t>(§ </w:t>
        </w:r>
        <w:r w:rsidRPr="002D1F1D">
          <w:rPr>
            <w:rStyle w:val="Hyperlink"/>
          </w:rPr>
          <w:t>19 ABD Teil A, 1.**)</w:t>
        </w:r>
      </w:hyperlink>
      <w:r>
        <w:t xml:space="preserve"> von mehr als zehn Jahren zurückgelegt hat, jeweils um ein Viertel, der sich aus einer allgemeinen Vergütungserhöhung ergebenden Mehrbeträge der Bezüge im Sinne des Absatzes 2 Buchstabe a aus der neuen Tätigkeit. </w:t>
      </w:r>
      <w:r>
        <w:rPr>
          <w:rStyle w:val="kleinschrift"/>
        </w:rPr>
        <w:t>5</w:t>
      </w:r>
      <w:r>
        <w:t>Der Anspruch auf die persönliche Zulage entfällt, wenn für mindestens zwölf zusammenhängende Kalendermonate keine persönliche Zulage mehr angefallen ist, weil die um den Teil des Ortszuschlags, der sich aus der Differenz zwischen der Stufe 1 und der für den Angestellten maßgebenden Stufe ergibt, sowie um die Zeitzuschläge und um die Vergütungen für Überstunden, Bereitschafts</w:t>
      </w:r>
      <w:r>
        <w:softHyphen/>
        <w:t>dienst und Rufbereitschaft verminderten jeweiligen Bezüge aus der neuen Tätigkeit den Sicherungsbetrag nicht unterschritten haben oder hätten.</w:t>
      </w:r>
    </w:p>
    <w:p w:rsidR="00BE1EFE" w:rsidRDefault="00BE1EFE">
      <w:pPr>
        <w:pStyle w:val="StandardWeb"/>
      </w:pPr>
    </w:p>
    <w:p w:rsidR="00BE1EFE" w:rsidRDefault="00BE1EFE">
      <w:pPr>
        <w:pStyle w:val="StandardWeb"/>
      </w:pPr>
      <w:r>
        <w:t>(5) Wird mit dem Angestellten für die neue Tätigkeit eine geringere durchschnittliche regelmäßige wöchentliche Arbeitszeit als die Arbeitszeit vereinbart, die der Angestellte nach der am Tage vor der Änderung der Beschäftigung bestehenden arbeitsvertraglichen Vereinbarung durchschnittlich regelmäßig wöchentlich zu leisten hatte, ist der maßgebende Sicherungsbetrag in demselben Verhältnis zu kürzen, wie die Arbeitszeit herabgesetzt worden ist.</w:t>
      </w:r>
    </w:p>
    <w:p w:rsidR="00BE1EFE" w:rsidRDefault="00BE1EFE">
      <w:pPr>
        <w:pStyle w:val="StandardWeb"/>
      </w:pPr>
    </w:p>
    <w:p w:rsidR="00BE1EFE" w:rsidRDefault="00BE1EFE">
      <w:pPr>
        <w:pStyle w:val="StandardWeb"/>
      </w:pPr>
      <w:r>
        <w:t>(6) </w:t>
      </w:r>
      <w:r>
        <w:rPr>
          <w:rStyle w:val="kleinschrift"/>
        </w:rPr>
        <w:t>1</w:t>
      </w:r>
      <w:r>
        <w:t xml:space="preserve">Die persönliche Zulage wird neben der Vergütung aus der neuen Tätigkeit gezahlt. Sie ist keine in Monatsbeträgen festgelegte Zulage im Sinne des </w:t>
      </w:r>
      <w:hyperlink r:id="rId1609" w:history="1">
        <w:r w:rsidRPr="002D1F1D">
          <w:rPr>
            <w:rStyle w:val="Hyperlink"/>
          </w:rPr>
          <w:t>§ 47 Absatz 2 Unterabsatz 1 Satz 1 ABD Teil A, 1.**</w:t>
        </w:r>
      </w:hyperlink>
      <w:r>
        <w:t xml:space="preserve"> </w:t>
      </w:r>
      <w:r>
        <w:rPr>
          <w:rStyle w:val="kleinschrift"/>
        </w:rPr>
        <w:t>2</w:t>
      </w:r>
      <w:r>
        <w:t>Sie ist jedoch bei der Berechnung des Aufschlags im Sinne des §</w:t>
      </w:r>
      <w:hyperlink r:id="rId1610" w:history="1">
        <w:r>
          <w:rPr>
            <w:rStyle w:val="Hyperlink"/>
          </w:rPr>
          <w:t xml:space="preserve"> 47 Ab</w:t>
        </w:r>
        <w:r>
          <w:rPr>
            <w:rStyle w:val="Hyperlink"/>
          </w:rPr>
          <w:softHyphen/>
          <w:t>satz </w:t>
        </w:r>
        <w:r w:rsidRPr="002D1F1D">
          <w:rPr>
            <w:rStyle w:val="Hyperlink"/>
          </w:rPr>
          <w:t>2 Unterabsatz 1 Satz 2 ABD Teil A, 1.**</w:t>
        </w:r>
      </w:hyperlink>
      <w:r>
        <w:t xml:space="preserve"> zu berücksichtigen. </w:t>
      </w:r>
      <w:hyperlink r:id="rId1611" w:history="1">
        <w:r w:rsidRPr="002D1F1D">
          <w:rPr>
            <w:rStyle w:val="Hyperlink"/>
          </w:rPr>
          <w:t>§ 36 Absatz 1 Unterabsatz 2 und § 36 Absatz 2 ABD Teil A, 1.**</w:t>
        </w:r>
      </w:hyperlink>
      <w:r w:rsidRPr="002D1F1D">
        <w:t xml:space="preserve"> </w:t>
      </w:r>
      <w:r>
        <w:t xml:space="preserve">gilt entsprechend. </w:t>
      </w:r>
      <w:r>
        <w:rPr>
          <w:rStyle w:val="kleinschrift"/>
        </w:rPr>
        <w:t>3</w:t>
      </w:r>
      <w:r>
        <w:t xml:space="preserve">Die persönliche Zulage wird bei der Bemessung des Sterbegeldes </w:t>
      </w:r>
      <w:hyperlink r:id="rId1612" w:history="1">
        <w:r w:rsidRPr="002D1F1D">
          <w:rPr>
            <w:rStyle w:val="Hyperlink"/>
          </w:rPr>
          <w:t>(§ 41 ABD Teil A, 1.**)</w:t>
        </w:r>
      </w:hyperlink>
      <w:r>
        <w:t xml:space="preserve"> berücksichtigt.</w:t>
      </w:r>
    </w:p>
    <w:p w:rsidR="00BE1EFE" w:rsidRDefault="00BE1EFE">
      <w:pPr>
        <w:pStyle w:val="StandardWeb"/>
      </w:pPr>
    </w:p>
    <w:p w:rsidR="00BE1EFE" w:rsidRDefault="00BE1EFE">
      <w:pPr>
        <w:pStyle w:val="StandardWeb"/>
      </w:pPr>
      <w:r>
        <w:lastRenderedPageBreak/>
        <w:t>(7) </w:t>
      </w:r>
      <w:r>
        <w:rPr>
          <w:rStyle w:val="kleinschrift"/>
        </w:rPr>
        <w:t>1</w:t>
      </w:r>
      <w:r>
        <w:t xml:space="preserve">Die Absätze 2 bis 6 gelten nicht, wenn der Angestellte seine Zustimmung zu einer Fortbildungsmaßnahme oder Umschulungsmaßnahme entgegen </w:t>
      </w:r>
      <w:hyperlink r:id="rId1613" w:history="1">
        <w:r w:rsidRPr="002D1F1D">
          <w:rPr>
            <w:rStyle w:val="Hyperlink"/>
          </w:rPr>
          <w:t>§ 4 Absatz 1 Unterabsatz 2</w:t>
        </w:r>
      </w:hyperlink>
      <w:r>
        <w:t xml:space="preserve"> verweigert oder die Fortbildung bzw. Umschulung aus einem von ihm zu vertretenden Grund abbricht. </w:t>
      </w:r>
      <w:r>
        <w:rPr>
          <w:rStyle w:val="kleinschrift"/>
        </w:rPr>
        <w:t>2</w:t>
      </w:r>
      <w:r>
        <w:t xml:space="preserve">Die persönliche Zulage entfällt, wenn der Angestellte die Übernahme einer höherwertigen Tätigkeit ohne triftige Gründe ablehnt. </w:t>
      </w:r>
      <w:r>
        <w:rPr>
          <w:rStyle w:val="kleinschrift"/>
        </w:rPr>
        <w:t>3</w:t>
      </w:r>
      <w:r>
        <w:t xml:space="preserve">Die persönliche Zulage entfällt ferner, wenn der Angestellte einen Anspruch auf Bezug einer ungekürzten Altersrente nach </w:t>
      </w:r>
      <w:hyperlink r:id="rId1614" w:tgtFrame="_blank" w:history="1">
        <w:r>
          <w:rPr>
            <w:rStyle w:val="Hyperlink"/>
          </w:rPr>
          <w:t>§§ 236</w:t>
        </w:r>
      </w:hyperlink>
      <w:r>
        <w:t xml:space="preserve">, </w:t>
      </w:r>
      <w:hyperlink r:id="rId1615" w:tgtFrame="_blank" w:history="1">
        <w:r>
          <w:rPr>
            <w:rStyle w:val="Hyperlink"/>
          </w:rPr>
          <w:t xml:space="preserve">236a </w:t>
        </w:r>
      </w:hyperlink>
      <w:r>
        <w:t xml:space="preserve">oder </w:t>
      </w:r>
      <w:hyperlink r:id="rId1616" w:tgtFrame="_blank" w:history="1">
        <w:r>
          <w:rPr>
            <w:rStyle w:val="Hyperlink"/>
          </w:rPr>
          <w:t xml:space="preserve">237a SGB VI </w:t>
        </w:r>
      </w:hyperlink>
      <w:r>
        <w:t>oder einer entsprechenden Leistung einer berufsständischen Versor</w:t>
      </w:r>
      <w:r>
        <w:softHyphen/>
        <w:t>gungs</w:t>
      </w:r>
      <w:r>
        <w:softHyphen/>
        <w:t xml:space="preserve">einrichtung i. S. d. </w:t>
      </w:r>
      <w:hyperlink r:id="rId1617" w:tgtFrame="_blank" w:history="1">
        <w:r>
          <w:rPr>
            <w:rStyle w:val="Hyperlink"/>
          </w:rPr>
          <w:t xml:space="preserve">§ 6 Absatz 1 Nr. 1 SGB VI </w:t>
        </w:r>
      </w:hyperlink>
      <w:r>
        <w:t>oder der Zusatzversorgung hat.</w:t>
      </w:r>
    </w:p>
    <w:p w:rsidR="00BE1EFE" w:rsidRDefault="00BE1EFE">
      <w:pPr>
        <w:pStyle w:val="StandardWeb"/>
      </w:pPr>
    </w:p>
    <w:p w:rsidR="00BE1EFE" w:rsidRDefault="00BE1EFE">
      <w:pPr>
        <w:pStyle w:val="StandardWeb"/>
        <w:spacing w:after="240"/>
      </w:pPr>
      <w:r>
        <w:t>(8) Bei Vergütungssicherung nach den vorstehenden Absätzen finden die Vorschriften über die Änderungskündigung keine Anwendung.</w:t>
      </w:r>
    </w:p>
    <w:p w:rsidR="00BE1EFE" w:rsidRDefault="00BE1EFE" w:rsidP="005F1E85">
      <w:pPr>
        <w:pStyle w:val="berschrift5"/>
      </w:pPr>
      <w:bookmarkStart w:id="1069" w:name="_Toc523926587"/>
      <w:r>
        <w:t>§ 6b Lohnsicherung für Arbeiter</w:t>
      </w:r>
      <w:bookmarkEnd w:id="1069"/>
    </w:p>
    <w:p w:rsidR="00BE1EFE" w:rsidRPr="00B76821" w:rsidRDefault="00BE1EFE" w:rsidP="00B76821">
      <w:pPr>
        <w:pStyle w:val="berschrift6"/>
        <w:keepNext w:val="0"/>
        <w:spacing w:before="0" w:after="0"/>
        <w:rPr>
          <w:sz w:val="2"/>
        </w:rPr>
      </w:pPr>
    </w:p>
    <w:p w:rsidR="00BE1EFE" w:rsidRDefault="00BE1EFE">
      <w:pPr>
        <w:pStyle w:val="StandardWeb"/>
      </w:pPr>
      <w:r>
        <w:t>(1) Ergibt sich in den Fällen des § 3 Absatz 2 und 3 eine Lohnminderung, ist der Arbeitgeber verpflichtet, dem Arbeiter den Lohn auf der Grundlage des Sicherungsbetrages (Absatz 2) zu wahren.</w:t>
      </w:r>
    </w:p>
    <w:p w:rsidR="00BE1EFE" w:rsidRDefault="00BE1EFE">
      <w:pPr>
        <w:pStyle w:val="StandardWeb"/>
      </w:pPr>
    </w:p>
    <w:p w:rsidR="00BE1EFE" w:rsidRDefault="00BE1EFE">
      <w:pPr>
        <w:pStyle w:val="StandardWeb"/>
      </w:pPr>
      <w:r>
        <w:t xml:space="preserve">(2) Der Sicherungsbetrag setzt sich zusammen aus </w:t>
      </w:r>
    </w:p>
    <w:p w:rsidR="00BE1EFE" w:rsidRDefault="00BE1EFE">
      <w:pPr>
        <w:pStyle w:val="StandardWeb"/>
      </w:pPr>
      <w:r>
        <w:t>a) dem Monatstabellenlohn (</w:t>
      </w:r>
      <w:hyperlink r:id="rId1618" w:tgtFrame="_blank" w:history="1">
        <w:r>
          <w:rPr>
            <w:rStyle w:val="Hyperlink"/>
          </w:rPr>
          <w:t>§ 21 Absatz 3 ABD Teil B, 1.**</w:t>
        </w:r>
      </w:hyperlink>
      <w:r>
        <w:t>),</w:t>
      </w:r>
    </w:p>
    <w:p w:rsidR="00BE1EFE" w:rsidRDefault="00BE1EFE">
      <w:pPr>
        <w:pStyle w:val="StandardWeb"/>
      </w:pPr>
      <w:r>
        <w:t>b) den in der Anmerkung Nr. 1 genannten Zulagen, die der Arbeiter für dieselbe Tätigkeit mindestens die letzten drei Jahre vor dem in Absatz 3 Unterabsatz 2 genannten Tag ununterbrochen bezogen hat, und, wenn sie der Arbeiter mindestens die letzten fünf Jahre vor dem in Absatz 2 Unterabsatz 2 genannten Tag für mindestens die Hälfte der durchschnitt</w:t>
      </w:r>
      <w:r>
        <w:softHyphen/>
        <w:t>lichen regelmäßigen wöchentlichen Arbeitszeit (</w:t>
      </w:r>
      <w:hyperlink r:id="rId1619" w:tgtFrame="_blank" w:history="1">
        <w:r>
          <w:rPr>
            <w:rStyle w:val="Hyperlink"/>
          </w:rPr>
          <w:t>§ 15 Absatz 1 ABD Teil B, 1.**</w:t>
        </w:r>
      </w:hyperlink>
      <w:r>
        <w:t>) ununterbro</w:t>
      </w:r>
      <w:r>
        <w:softHyphen/>
        <w:t>chen bezogen hat, den in der Anmerkung Nr. 2 genannten Zulagen und Zuschlägen, die dem Arbeiter im Kalendermonat vor dem in Absatz 3 Unterabsatz 2 genannten Tag zugestanden haben oder zugestanden hätten,</w:t>
      </w:r>
    </w:p>
    <w:p w:rsidR="00BE1EFE" w:rsidRDefault="00BE1EFE">
      <w:pPr>
        <w:pStyle w:val="StandardWeb"/>
      </w:pPr>
      <w:r>
        <w:t xml:space="preserve">c) dem monatlichen Durchschnitt der Zuschläge nach der Regelung über Lohnzuschläge gemäß </w:t>
      </w:r>
      <w:hyperlink r:id="rId1620" w:tgtFrame="_blank" w:history="1">
        <w:r>
          <w:rPr>
            <w:rStyle w:val="Hyperlink"/>
          </w:rPr>
          <w:t>§ 29 ABD Teil B, 1.**</w:t>
        </w:r>
      </w:hyperlink>
      <w:r>
        <w:t>, die in den letzten zwölf Kalendermonaten vor dem in Absatz 3 Unterabsatz 2 genannten Tag gezahlt worden sind, sofern der Arbeiter mindestens die letzten fünf Jahre vor dem genannten Tag für mindestens die Hälfte der durchschnittlichen regelmäßigen wöchentlichen Arbeitszeit (</w:t>
      </w:r>
      <w:hyperlink r:id="rId1621" w:tgtFrame="_blank" w:history="1">
        <w:r>
          <w:rPr>
            <w:rStyle w:val="Hyperlink"/>
          </w:rPr>
          <w:t>§ 15 Absatz 1 ABD Teil B, 1.**</w:t>
        </w:r>
      </w:hyperlink>
      <w:r>
        <w:t>) einen oder mehrere dieser Zuschläge bezogen hat, sowie</w:t>
      </w:r>
    </w:p>
    <w:p w:rsidR="00BE1EFE" w:rsidRDefault="00BE1EFE">
      <w:pPr>
        <w:pStyle w:val="StandardWeb"/>
      </w:pPr>
      <w:r>
        <w:t>d) 80 v. H. des auf einen Kalendermonat bezogenen Durchschnitts der auf die durchschnitt</w:t>
      </w:r>
      <w:r>
        <w:softHyphen/>
        <w:t>liche regelmäßige wöchentliche Arbeitszeit oder auf eine arbeitsvertraglich vereinbarte geringere durchschnittliche regelmäßige wöchentliche Arbeitszeit (</w:t>
      </w:r>
      <w:hyperlink r:id="rId1622" w:tgtFrame="_blank" w:history="1">
        <w:r>
          <w:rPr>
            <w:rStyle w:val="Hyperlink"/>
          </w:rPr>
          <w:t>§ 15 Absatz 1 ABD Teil B, 1.**</w:t>
        </w:r>
      </w:hyperlink>
      <w:r>
        <w:t>) entfallenden leistungsbezogenen Lohnbestandteile, die in den vorangegangenen zwölf Kalendermonaten gezahlt worden sind, sofern der Arbeiter mindestens die letzten fünf Jahre vor dem in Absatz 3 Unterabsatz 2 genannten Tag ununterbrochen leistungsbezogene Lohnbestandteile bezogen hat.</w:t>
      </w:r>
    </w:p>
    <w:p w:rsidR="00BE1EFE" w:rsidRDefault="00BE1EFE">
      <w:pPr>
        <w:pStyle w:val="StandardWeb"/>
        <w:rPr>
          <w:sz w:val="12"/>
          <w:szCs w:val="12"/>
        </w:rPr>
      </w:pPr>
      <w:r w:rsidRPr="009C6551">
        <w:rPr>
          <w:rStyle w:val="kleinschrift1"/>
        </w:rPr>
        <w:t>Anmerkungen zu Absatz 2:</w:t>
      </w:r>
    </w:p>
    <w:p w:rsidR="00BE1EFE" w:rsidRDefault="00BE1EFE">
      <w:pPr>
        <w:pStyle w:val="StandardWeb"/>
        <w:rPr>
          <w:sz w:val="12"/>
          <w:szCs w:val="12"/>
        </w:rPr>
      </w:pPr>
      <w:r w:rsidRPr="009C6551">
        <w:rPr>
          <w:rStyle w:val="kleinschrift1"/>
        </w:rPr>
        <w:t>1. Zulagen im Sinne des Buchstabe. b erster Halbsatz sind:</w:t>
      </w:r>
    </w:p>
    <w:p w:rsidR="00BE1EFE" w:rsidRDefault="00BE1EFE">
      <w:pPr>
        <w:pStyle w:val="StandardWeb"/>
        <w:rPr>
          <w:sz w:val="12"/>
          <w:szCs w:val="12"/>
        </w:rPr>
      </w:pPr>
      <w:r>
        <w:rPr>
          <w:rStyle w:val="kleinschrift1"/>
        </w:rPr>
        <w:t>– </w:t>
      </w:r>
      <w:r w:rsidRPr="009C6551">
        <w:rPr>
          <w:rStyle w:val="kleinschrift1"/>
        </w:rPr>
        <w:t xml:space="preserve">Vorarbeiter-, Vorhandwerker- und Lehrgesellenzulagen nach </w:t>
      </w:r>
      <w:hyperlink r:id="rId1623" w:history="1">
        <w:r w:rsidRPr="002D1F1D">
          <w:rPr>
            <w:rStyle w:val="Hyperlink"/>
            <w:sz w:val="12"/>
            <w:szCs w:val="12"/>
          </w:rPr>
          <w:t>§ 3 Regelung über das Lohn</w:t>
        </w:r>
        <w:r>
          <w:rPr>
            <w:rStyle w:val="Hyperlink"/>
            <w:sz w:val="12"/>
            <w:szCs w:val="12"/>
          </w:rPr>
          <w:t>gruppenverzeichnis zum ABD Teil </w:t>
        </w:r>
        <w:r w:rsidRPr="002D1F1D">
          <w:rPr>
            <w:rStyle w:val="Hyperlink"/>
            <w:sz w:val="12"/>
            <w:szCs w:val="12"/>
          </w:rPr>
          <w:t>B**</w:t>
        </w:r>
      </w:hyperlink>
      <w:r w:rsidRPr="009C6551">
        <w:rPr>
          <w:rStyle w:val="kleinschrift1"/>
        </w:rPr>
        <w:t>.</w:t>
      </w:r>
    </w:p>
    <w:p w:rsidR="00BE1EFE" w:rsidRDefault="00BE1EFE">
      <w:pPr>
        <w:pStyle w:val="StandardWeb"/>
        <w:rPr>
          <w:sz w:val="12"/>
          <w:szCs w:val="12"/>
        </w:rPr>
      </w:pPr>
      <w:r>
        <w:rPr>
          <w:rStyle w:val="kleinschrift1"/>
        </w:rPr>
        <w:t>– </w:t>
      </w:r>
      <w:r w:rsidRPr="009C6551">
        <w:rPr>
          <w:rStyle w:val="kleinschrift1"/>
        </w:rPr>
        <w:t xml:space="preserve">Zulagen nach Fußnoten zu Tätigkeitsmerkmalen der </w:t>
      </w:r>
      <w:hyperlink r:id="rId1624" w:history="1">
        <w:r w:rsidRPr="002D1F1D">
          <w:rPr>
            <w:rStyle w:val="Hyperlink"/>
            <w:sz w:val="12"/>
            <w:szCs w:val="12"/>
          </w:rPr>
          <w:t>Regelung über das Lohngruppenverzeichnis zum ABD Teil B**</w:t>
        </w:r>
      </w:hyperlink>
      <w:r w:rsidRPr="009C6551">
        <w:rPr>
          <w:rStyle w:val="kleinschrift1"/>
        </w:rPr>
        <w:t>.</w:t>
      </w:r>
    </w:p>
    <w:p w:rsidR="00BE1EFE" w:rsidRDefault="00BE1EFE">
      <w:pPr>
        <w:pStyle w:val="StandardWeb"/>
        <w:rPr>
          <w:sz w:val="12"/>
          <w:szCs w:val="12"/>
        </w:rPr>
      </w:pPr>
      <w:r>
        <w:rPr>
          <w:rStyle w:val="kleinschrift1"/>
        </w:rPr>
        <w:t>2. </w:t>
      </w:r>
      <w:r w:rsidRPr="009C6551">
        <w:rPr>
          <w:rStyle w:val="kleinschrift1"/>
        </w:rPr>
        <w:t xml:space="preserve">Zulagen und Zuschläge im Sinne des Buchstabe b zweiter Halbsatz sind: Wechselschicht- und Schichtzulagen nach </w:t>
      </w:r>
      <w:hyperlink r:id="rId1625" w:tgtFrame="_blank" w:history="1">
        <w:r>
          <w:rPr>
            <w:rStyle w:val="Hyperlink"/>
            <w:sz w:val="12"/>
            <w:szCs w:val="12"/>
          </w:rPr>
          <w:t>§ 29 a ABD Teil B, 1.**</w:t>
        </w:r>
      </w:hyperlink>
      <w:r w:rsidRPr="009C6551">
        <w:rPr>
          <w:rStyle w:val="kleinschrift1"/>
        </w:rPr>
        <w:t xml:space="preserve"> und den Sonderregelungen hierzu.</w:t>
      </w:r>
    </w:p>
    <w:p w:rsidR="00BE1EFE" w:rsidRDefault="00BE1EFE">
      <w:pPr>
        <w:pStyle w:val="StandardWeb"/>
        <w:rPr>
          <w:sz w:val="12"/>
          <w:szCs w:val="12"/>
        </w:rPr>
      </w:pPr>
      <w:r>
        <w:rPr>
          <w:rStyle w:val="kleinschrift1"/>
        </w:rPr>
        <w:t>3. </w:t>
      </w:r>
      <w:r w:rsidRPr="009C6551">
        <w:rPr>
          <w:rStyle w:val="kleinschrift1"/>
        </w:rPr>
        <w:t>Eine Zulage/ein Zuschlag gilt auch dann als im Sinne des Buchstaben b ununterbrochen bezogen, wenn der Arbeiter sie vorübergehend</w:t>
      </w:r>
    </w:p>
    <w:p w:rsidR="00BE1EFE" w:rsidRDefault="00BE1EFE">
      <w:pPr>
        <w:pStyle w:val="StandardWeb"/>
        <w:rPr>
          <w:sz w:val="12"/>
          <w:szCs w:val="12"/>
        </w:rPr>
      </w:pPr>
      <w:r>
        <w:rPr>
          <w:rStyle w:val="kleinschrift1"/>
        </w:rPr>
        <w:t>– </w:t>
      </w:r>
      <w:r w:rsidRPr="009C6551">
        <w:rPr>
          <w:rStyle w:val="kleinschrift1"/>
        </w:rPr>
        <w:t xml:space="preserve">wegen Arbeitsunfähigkeit, wegen Erholungsurlaubs einschließlich eines etwaigen Zusatzurlaubs, wegen einer Maßnahme i. S. d. </w:t>
      </w:r>
      <w:hyperlink r:id="rId1626" w:history="1">
        <w:r w:rsidRPr="002D1F1D">
          <w:rPr>
            <w:rStyle w:val="Hyperlink"/>
            <w:sz w:val="12"/>
            <w:szCs w:val="12"/>
          </w:rPr>
          <w:t>§ 37 Absatz 1 Unterabsatz 2 ABD Teil A, 1.**</w:t>
        </w:r>
      </w:hyperlink>
      <w:r w:rsidRPr="009C6551">
        <w:rPr>
          <w:rStyle w:val="kleinschrift1"/>
        </w:rPr>
        <w:t xml:space="preserve"> oder wegen Arbeitsbefreiung,</w:t>
      </w:r>
    </w:p>
    <w:p w:rsidR="00BE1EFE" w:rsidRPr="000B1AF8" w:rsidRDefault="00BE1EFE">
      <w:pPr>
        <w:pStyle w:val="StandardWeb"/>
      </w:pPr>
      <w:r>
        <w:rPr>
          <w:rStyle w:val="kleinschrift1"/>
        </w:rPr>
        <w:t>– </w:t>
      </w:r>
      <w:r w:rsidRPr="009C6551">
        <w:rPr>
          <w:rStyle w:val="kleinschrift1"/>
        </w:rPr>
        <w:t>wegen Ableistung des Grundwehrdienstes, von Wehrübungen oder des Zivildienstes, wegen Mutterschaftsurlaubs oder wegen Elternzeit nach dem Bundeselterngeld- und Elternzeitgesetz, aus sonstigen Gründen bis zu insgesamt zwei Monaten nicht erhalten hat. Entsprechendes gilt für die in Buchstabe d genannten Lohnbestandteile.</w:t>
      </w:r>
    </w:p>
    <w:p w:rsidR="00BE1EFE" w:rsidRPr="000B1AF8"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pPr>
        <w:pStyle w:val="StandardWeb"/>
      </w:pPr>
    </w:p>
    <w:p w:rsidR="00BE1EFE" w:rsidRDefault="00BE1EFE">
      <w:pPr>
        <w:pStyle w:val="StandardWeb"/>
      </w:pPr>
      <w:r>
        <w:t>(3) </w:t>
      </w:r>
      <w:r>
        <w:rPr>
          <w:rStyle w:val="kleinschrift"/>
        </w:rPr>
        <w:t>1</w:t>
      </w:r>
      <w:r>
        <w:t xml:space="preserve">Für die Dauer der für den Arbeiter nach </w:t>
      </w:r>
      <w:hyperlink r:id="rId1627" w:tgtFrame="_blank" w:history="1">
        <w:r>
          <w:rPr>
            <w:rStyle w:val="Hyperlink"/>
          </w:rPr>
          <w:t>§ 57 ABD Teil B, 1.**</w:t>
        </w:r>
      </w:hyperlink>
      <w:r>
        <w:t xml:space="preserve"> i.V.m. </w:t>
      </w:r>
      <w:hyperlink r:id="rId1628" w:history="1">
        <w:r w:rsidRPr="002D1F1D">
          <w:rPr>
            <w:rStyle w:val="Hyperlink"/>
          </w:rPr>
          <w:t>§ 53 Absatz 2 ABD Teil A, 1.**</w:t>
        </w:r>
      </w:hyperlink>
      <w:r>
        <w:t xml:space="preserve"> geltenden Frist – bei unter </w:t>
      </w:r>
      <w:hyperlink r:id="rId1629" w:tgtFrame="_blank" w:history="1">
        <w:r>
          <w:rPr>
            <w:rStyle w:val="Hyperlink"/>
          </w:rPr>
          <w:t>§ 58 ABD Teil B, 1.**</w:t>
        </w:r>
      </w:hyperlink>
      <w:r>
        <w:t xml:space="preserve"> fallenden Arbeitern für die Dauer von sechs Monaten zum Schluss eines Kalendervierteljahres – erhält der Arbeiter eine persönliche Zulage in Höhe des jeweiligen Unterschiedsbetrages zwischen dem Sicherungsbetrag und den um den Sozialzuschlag, um die Zeitzuschläge und um den Lohn für Überstunden, Bereitschaftsdienst und Rufbereitschaft verminderten Monatslohn aus der neuen Tätigkeit. </w:t>
      </w:r>
      <w:r>
        <w:rPr>
          <w:rStyle w:val="kleinschrift"/>
        </w:rPr>
        <w:t>2</w:t>
      </w:r>
      <w:r>
        <w:t>Die Frist beginnt mit dem Tag, an dem der Arbeiter nach der Anordnung des Arbeitgebers die neue Tätigkeit aufzunehmen hat.</w:t>
      </w:r>
    </w:p>
    <w:p w:rsidR="00BE1EFE" w:rsidRDefault="00BE1EFE">
      <w:pPr>
        <w:pStyle w:val="StandardWeb"/>
      </w:pPr>
    </w:p>
    <w:p w:rsidR="00BE1EFE" w:rsidRDefault="00BE1EFE">
      <w:pPr>
        <w:pStyle w:val="StandardWeb"/>
      </w:pPr>
      <w:r>
        <w:t>(4) </w:t>
      </w:r>
      <w:r>
        <w:rPr>
          <w:rStyle w:val="kleinschrift"/>
        </w:rPr>
        <w:t>1</w:t>
      </w:r>
      <w:r>
        <w:t>Der Arbeiter, der an dem nach Absatz 3 Unterabsatz 2 für ihn maßgebenden Tag eine Beschäftigungszeit (</w:t>
      </w:r>
      <w:hyperlink r:id="rId1630" w:tgtFrame="_blank" w:history="1">
        <w:r>
          <w:rPr>
            <w:rStyle w:val="Hyperlink"/>
          </w:rPr>
          <w:t>§ 6 ABD Teil B, 1.**</w:t>
        </w:r>
      </w:hyperlink>
      <w:r>
        <w:t xml:space="preserve">) von mehr als fünf Jahren zurückgelegt hat, erhält die persönliche Zulage nach Absatz 3 auch nach Ablauf der für ihn nach Absatz 3 Unterabsatz 1 maßgebenden Frist. </w:t>
      </w:r>
      <w:r>
        <w:rPr>
          <w:rStyle w:val="kleinschrift"/>
        </w:rPr>
        <w:t>2</w:t>
      </w:r>
      <w:r>
        <w:t>Der Sicherungsbetrag vermindert sich mit jeder allgemeinen Lohnerhöhung – beginnend mit der ersten allgemeinen Lohnerhöhung nach Ablauf der für den Arbeiter nach Absatz 3 Unterabsatz 1 maßgebenden Frist – bei dem Arbeiter, der an dem nach Absatz 3 Unterabsatz 2 für ihn maßgebenden Tag</w:t>
      </w:r>
    </w:p>
    <w:p w:rsidR="00BE1EFE" w:rsidRDefault="00BE1EFE">
      <w:pPr>
        <w:pStyle w:val="StandardWeb"/>
      </w:pPr>
      <w:r>
        <w:t>a) eine Beschäftigungszeit (</w:t>
      </w:r>
      <w:hyperlink r:id="rId1631" w:tgtFrame="_blank" w:history="1">
        <w:r>
          <w:rPr>
            <w:rStyle w:val="Hyperlink"/>
          </w:rPr>
          <w:t>§ 6 ABD Teil B, 1.**</w:t>
        </w:r>
      </w:hyperlink>
      <w:r>
        <w:t>) von mehr als 15 Jahren zurückgelegt und das 50. Lebensjahr vollendet hat, insgesamt fünfmal um jeweils ein Fünftel,</w:t>
      </w:r>
    </w:p>
    <w:p w:rsidR="00BE1EFE" w:rsidRDefault="00BE1EFE">
      <w:pPr>
        <w:pStyle w:val="StandardWeb"/>
      </w:pPr>
      <w:r>
        <w:t>b) eine Beschäftigungszeit (</w:t>
      </w:r>
      <w:hyperlink r:id="rId1632" w:tgtFrame="_blank" w:history="1">
        <w:r>
          <w:rPr>
            <w:rStyle w:val="Hyperlink"/>
          </w:rPr>
          <w:t>§ 6 ABD Teil B, 1.**</w:t>
        </w:r>
      </w:hyperlink>
      <w:r>
        <w:t>) von mehr als 15 Jahren zurückgelegt und das 40. Lebensjahr vollendet hat, insgesamt viermal um jeweils ein Viertel,</w:t>
      </w:r>
    </w:p>
    <w:p w:rsidR="00BE1EFE" w:rsidRDefault="00BE1EFE">
      <w:pPr>
        <w:pStyle w:val="StandardWeb"/>
      </w:pPr>
      <w:r>
        <w:t>c) die Voraussetzungen der Buchstaben a und b nicht erfüllt, insgesamt dreimal um jeweils ein Drittel der Summe der Lohnbestandteile, die nach Absatz 2 Buchstaben b und c bei der Errechnung des Sicherungsbetrages zu berücksichtigen waren. Eine Verminderung unterbleibt bei dem Arbeiter, der an dem nach Absatz 3 Unterabsatz 2 für ihn maßgebenden Tag eine Beschäftigungszeit (</w:t>
      </w:r>
      <w:hyperlink r:id="rId1633" w:tgtFrame="_blank" w:history="1">
        <w:r>
          <w:rPr>
            <w:rStyle w:val="Hyperlink"/>
          </w:rPr>
          <w:t>§ 6 ABD Teil B, 1.**</w:t>
        </w:r>
      </w:hyperlink>
      <w:r>
        <w:t xml:space="preserve">) von mehr als 15 Jahren zurückgelegt und das 55. Lebensjahr vollendet hat. Der jeweilige Sicherungsbetrag erhöht sich für den Arbeiter, der </w:t>
      </w:r>
    </w:p>
    <w:p w:rsidR="00BE1EFE" w:rsidRDefault="00BE1EFE">
      <w:pPr>
        <w:pStyle w:val="StandardWeb"/>
      </w:pPr>
      <w:r>
        <w:t>a) an dem nach Absatz 3 Unterabsatz 2 für ihn maßgebenden Tag eine Beschäftigungszeit (</w:t>
      </w:r>
      <w:hyperlink r:id="rId1634" w:tgtFrame="_blank" w:history="1">
        <w:r>
          <w:rPr>
            <w:rStyle w:val="Hyperlink"/>
          </w:rPr>
          <w:t>§ 6 ABD Teil B, 1.**</w:t>
        </w:r>
      </w:hyperlink>
      <w:r>
        <w:t>) von mehr als 15 Jahren zurückgelegt und das 55. Lebensjahr vollendet hat, jeweils um vier Viertel,</w:t>
      </w:r>
    </w:p>
    <w:p w:rsidR="00BE1EFE" w:rsidRDefault="00BE1EFE">
      <w:pPr>
        <w:pStyle w:val="StandardWeb"/>
      </w:pPr>
      <w:r>
        <w:t>b) unter Unterabsatz 2 Buchstabe a fällt, jeweils um drei Viertel,</w:t>
      </w:r>
    </w:p>
    <w:p w:rsidR="00BE1EFE" w:rsidRDefault="00BE1EFE">
      <w:pPr>
        <w:pStyle w:val="StandardWeb"/>
      </w:pPr>
      <w:r>
        <w:t>c) unter Unterabsatz 2 Buchstabe b fällt, jeweils um die Hälfte,</w:t>
      </w:r>
    </w:p>
    <w:p w:rsidR="00BE1EFE" w:rsidRDefault="00BE1EFE">
      <w:pPr>
        <w:pStyle w:val="StandardWeb"/>
      </w:pPr>
      <w:r>
        <w:t>d) an dem nach Absatz 3 Unterabsatz 2 für ihn maßgebenden Tag eine Beschäftigungszeit (</w:t>
      </w:r>
      <w:hyperlink r:id="rId1635" w:tgtFrame="_blank" w:history="1">
        <w:r>
          <w:rPr>
            <w:rStyle w:val="Hyperlink"/>
          </w:rPr>
          <w:t>§ 6 ABD Teil B, 1.**</w:t>
        </w:r>
      </w:hyperlink>
      <w:r>
        <w:t xml:space="preserve">) von mehr als zehn Jahren zurückgelegt hat, jeweils um ein Viertel der sich aus einer allgemeinen Lohnerhöhung ergebenden Mehrbeträge des Lohnes im Sinne des Absatzes 2 Buchstabe a aus der neuen Tätigkeit. </w:t>
      </w:r>
      <w:r>
        <w:rPr>
          <w:rStyle w:val="kleinschrift"/>
        </w:rPr>
        <w:t>3</w:t>
      </w:r>
      <w:r>
        <w:t>Der Anspruch auf die persönliche Zulage entfällt, wenn für mindestens zwölf zusammenhängende Kalendermonate keine persönliche Zulage mehr angefallen ist, weil der um den Sozialzuschlag, um die Zeitzuschläge und um den Lohn für Überstunden, Bereitschaftsdienst und Rufbereitschaft verminderte jeweilige Monatslohn aus der neuen Tätigkeit den Sicherungsbetrag nicht unterschritten hat oder hätte.</w:t>
      </w:r>
    </w:p>
    <w:p w:rsidR="00BE1EFE" w:rsidRDefault="00BE1EFE">
      <w:pPr>
        <w:pStyle w:val="StandardWeb"/>
      </w:pPr>
    </w:p>
    <w:p w:rsidR="00BE1EFE" w:rsidRDefault="00BE1EFE">
      <w:pPr>
        <w:pStyle w:val="StandardWeb"/>
      </w:pPr>
      <w:r>
        <w:t>(5) Wird mit dem Arbeiter für die neue Tätigkeit eine geringere durchschnittliche regelmäßige wöchentliche Arbeitszeit als die Arbeitszeit vereinbart, die der Arbeiter nach der am Tage vor der Änderung der Beschäftigung bestehenden arbeitsvertraglichen Vereinbarung durchschnittlich regelmäßig wöchentlich zu leisten hatte, ist der maßgebende Sicherungsbetrag in demselben Verhältnis zu kürzen, wie die Arbeitszeit herabgesetzt worden ist.</w:t>
      </w:r>
    </w:p>
    <w:p w:rsidR="00BE1EFE" w:rsidRDefault="00BE1EFE">
      <w:pPr>
        <w:pStyle w:val="StandardWeb"/>
      </w:pPr>
    </w:p>
    <w:p w:rsidR="00BE1EFE" w:rsidRDefault="00BE1EFE">
      <w:pPr>
        <w:pStyle w:val="StandardWeb"/>
      </w:pPr>
      <w:r>
        <w:t>(6) </w:t>
      </w:r>
      <w:r>
        <w:rPr>
          <w:rStyle w:val="kleinschrift"/>
        </w:rPr>
        <w:t>1</w:t>
      </w:r>
      <w:r>
        <w:t xml:space="preserve">Die persönliche Zulage wird neben dem Monatslohn aus der neuen Tätigkeit gezahlt. Sie ist keine ständige Lohnzulage im Sinne des </w:t>
      </w:r>
      <w:hyperlink r:id="rId1636" w:tgtFrame="_blank" w:history="1">
        <w:r>
          <w:rPr>
            <w:rStyle w:val="Hyperlink"/>
          </w:rPr>
          <w:t>§ 21 Absatz 4 Satz 1 ABD Teil B, 1.** § 30 Ab</w:t>
        </w:r>
        <w:r>
          <w:rPr>
            <w:rStyle w:val="Hyperlink"/>
          </w:rPr>
          <w:softHyphen/>
        </w:r>
        <w:r>
          <w:rPr>
            <w:rStyle w:val="Hyperlink"/>
          </w:rPr>
          <w:lastRenderedPageBreak/>
          <w:t>satz 3 ABD Teil B, 1.**</w:t>
        </w:r>
      </w:hyperlink>
      <w:r>
        <w:t xml:space="preserve"> gilt entsprechend. </w:t>
      </w:r>
      <w:r>
        <w:rPr>
          <w:rStyle w:val="kleinschrift"/>
        </w:rPr>
        <w:t>2</w:t>
      </w:r>
      <w:r>
        <w:t>Die persönliche Zulage wird bei der Bemessung des Sterbegeldes (</w:t>
      </w:r>
      <w:hyperlink r:id="rId1637" w:tgtFrame="_blank" w:history="1">
        <w:r>
          <w:rPr>
            <w:rStyle w:val="Hyperlink"/>
          </w:rPr>
          <w:t>§ 47 ABD Teil B, 1.**</w:t>
        </w:r>
      </w:hyperlink>
      <w:r>
        <w:t>) berücksichtigt.</w:t>
      </w:r>
    </w:p>
    <w:p w:rsidR="00BE1EFE" w:rsidRDefault="00BE1EFE">
      <w:pPr>
        <w:pStyle w:val="StandardWeb"/>
      </w:pPr>
    </w:p>
    <w:p w:rsidR="00BE1EFE" w:rsidRDefault="00BE1EFE">
      <w:pPr>
        <w:pStyle w:val="StandardWeb"/>
      </w:pPr>
      <w:r>
        <w:t>(7) </w:t>
      </w:r>
      <w:r>
        <w:rPr>
          <w:rStyle w:val="kleinschrift"/>
        </w:rPr>
        <w:t>1</w:t>
      </w:r>
      <w:r>
        <w:t xml:space="preserve">Die Absätze 2 bis 6 gelten nicht, wenn der Arbeiter seine Zustimmung zu einer Fortbildungsmaßnahme oder Umschulungsmaßnahme entgegen § 4 Absatz 1 Unterabsatz 2 verweigert oder die Fortbildung bzw. Umschulung aus einem von ihm zu vertretenden Grund abbricht. </w:t>
      </w:r>
      <w:r>
        <w:rPr>
          <w:rStyle w:val="kleinschrift"/>
        </w:rPr>
        <w:t>2</w:t>
      </w:r>
      <w:r>
        <w:t xml:space="preserve">Die persönliche Zulage entfällt, wenn der Arbeiter die Übernahme einer höherwertigen Tätigkeit ohne triftige Gründe ablehnt. </w:t>
      </w:r>
      <w:r>
        <w:rPr>
          <w:rStyle w:val="kleinschrift"/>
        </w:rPr>
        <w:t>3</w:t>
      </w:r>
      <w:r>
        <w:t xml:space="preserve">Die persönliche Zulage entfällt ferner, wenn der Arbeiter einen Anspruch auf Bezug einer ungekürzten Altersrente nach </w:t>
      </w:r>
      <w:hyperlink r:id="rId1638" w:tgtFrame="_blank" w:history="1">
        <w:r>
          <w:rPr>
            <w:rStyle w:val="Hyperlink"/>
          </w:rPr>
          <w:t>§§ 236</w:t>
        </w:r>
      </w:hyperlink>
      <w:r>
        <w:t xml:space="preserve">, </w:t>
      </w:r>
      <w:hyperlink r:id="rId1639" w:tgtFrame="_blank" w:history="1">
        <w:r>
          <w:rPr>
            <w:rStyle w:val="Hyperlink"/>
          </w:rPr>
          <w:t>236a</w:t>
        </w:r>
      </w:hyperlink>
      <w:r>
        <w:t xml:space="preserve"> oder </w:t>
      </w:r>
      <w:hyperlink r:id="rId1640" w:tgtFrame="_blank" w:history="1">
        <w:r>
          <w:rPr>
            <w:rStyle w:val="Hyperlink"/>
          </w:rPr>
          <w:t>237a SGB VI</w:t>
        </w:r>
      </w:hyperlink>
      <w:r>
        <w:t xml:space="preserve"> oder eine entsprechende Leistung einer Zusatzversorgung hat.</w:t>
      </w:r>
    </w:p>
    <w:p w:rsidR="00BE1EFE" w:rsidRDefault="00BE1EFE">
      <w:pPr>
        <w:pStyle w:val="StandardWeb"/>
      </w:pPr>
    </w:p>
    <w:p w:rsidR="00BE1EFE" w:rsidRPr="00296692" w:rsidRDefault="00BE1EFE" w:rsidP="00FF480D">
      <w:pPr>
        <w:pStyle w:val="StandardWeb"/>
      </w:pPr>
      <w:r>
        <w:t>(8) Bei Lohnsicherung nach den vorstehenden Absätzen finden die Vorschriften über die Änderungskündigung keine Anwendung.</w:t>
      </w:r>
    </w:p>
    <w:p w:rsidR="00BE1EFE" w:rsidRPr="00FF480D" w:rsidRDefault="00BE1EFE" w:rsidP="005F1E85">
      <w:pPr>
        <w:pStyle w:val="berschrift5"/>
      </w:pPr>
      <w:bookmarkStart w:id="1070" w:name="_Toc523926588"/>
      <w:r w:rsidRPr="00FF480D">
        <w:t>§ 7 Abfindung</w:t>
      </w:r>
      <w:bookmarkEnd w:id="1070"/>
    </w:p>
    <w:p w:rsidR="00BE1EFE" w:rsidRPr="00B76821" w:rsidRDefault="00BE1EFE" w:rsidP="00B76821">
      <w:pPr>
        <w:pStyle w:val="berschrift6"/>
        <w:keepNext w:val="0"/>
        <w:spacing w:before="0" w:after="0"/>
        <w:rPr>
          <w:sz w:val="2"/>
        </w:rPr>
      </w:pPr>
    </w:p>
    <w:p w:rsidR="00BE1EFE" w:rsidRDefault="00BE1EFE" w:rsidP="006378D8">
      <w:pPr>
        <w:pStyle w:val="StandardWeb"/>
        <w:spacing w:after="60"/>
      </w:pPr>
      <w:r>
        <w:t>(1) Der Mitarbeiter, der auf Veranlassung des Arbeitgebers im gegenseitigen Einvernehmen oder aufgrund einer Kündigung durch den Arbeitgeber aus dem Arbeitsverhältnis ausscheidet, erhält nach Maßgabe folgender Tabelle eine Abfindung:</w:t>
      </w:r>
    </w:p>
    <w:tbl>
      <w:tblPr>
        <w:tblW w:w="6960" w:type="dxa"/>
        <w:tblInd w:w="55" w:type="dxa"/>
        <w:tblCellMar>
          <w:left w:w="0" w:type="dxa"/>
          <w:right w:w="0" w:type="dxa"/>
        </w:tblCellMar>
        <w:tblLook w:val="04A0" w:firstRow="1" w:lastRow="0" w:firstColumn="1" w:lastColumn="0" w:noHBand="0" w:noVBand="1"/>
      </w:tblPr>
      <w:tblGrid>
        <w:gridCol w:w="1363"/>
        <w:gridCol w:w="1108"/>
        <w:gridCol w:w="1108"/>
        <w:gridCol w:w="1108"/>
        <w:gridCol w:w="1108"/>
        <w:gridCol w:w="1108"/>
        <w:gridCol w:w="57"/>
      </w:tblGrid>
      <w:tr w:rsidR="00BE1EFE" w:rsidTr="00C763E2">
        <w:trPr>
          <w:trHeight w:val="1021"/>
        </w:trPr>
        <w:tc>
          <w:tcPr>
            <w:tcW w:w="1363" w:type="dxa"/>
            <w:tcBorders>
              <w:top w:val="single" w:sz="8" w:space="0" w:color="auto"/>
              <w:left w:val="single" w:sz="8" w:space="0" w:color="auto"/>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left"/>
              <w:rPr>
                <w:rFonts w:cs="Arial"/>
                <w:szCs w:val="16"/>
              </w:rPr>
            </w:pPr>
            <w:r w:rsidRPr="00AF6337">
              <w:rPr>
                <w:rFonts w:cs="Arial"/>
                <w:szCs w:val="16"/>
              </w:rPr>
              <w:t xml:space="preserve">Beschäfti-gungszeit </w:t>
            </w:r>
          </w:p>
          <w:p w:rsidR="00BE1EFE" w:rsidRPr="00AF6337" w:rsidRDefault="00BE1EFE" w:rsidP="00C763E2">
            <w:pPr>
              <w:pStyle w:val="StandardWeb"/>
              <w:jc w:val="left"/>
              <w:rPr>
                <w:rFonts w:cs="Arial"/>
                <w:szCs w:val="16"/>
              </w:rPr>
            </w:pPr>
            <w:r w:rsidRPr="00AF6337">
              <w:rPr>
                <w:rFonts w:cs="Arial"/>
                <w:szCs w:val="16"/>
              </w:rPr>
              <w:t>(§ 19 ABD Teil A, 1. bzw. § 6 ABD Teil B,1.)</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bis zum vollendeten 40.</w:t>
            </w:r>
          </w:p>
          <w:p w:rsidR="00BE1EFE" w:rsidRPr="00AF6337" w:rsidRDefault="00BE1EFE" w:rsidP="00C763E2">
            <w:pPr>
              <w:pStyle w:val="StandardWeb"/>
              <w:jc w:val="center"/>
              <w:rPr>
                <w:rFonts w:cs="Arial"/>
                <w:szCs w:val="16"/>
              </w:rPr>
            </w:pPr>
            <w:r w:rsidRPr="00AF6337">
              <w:rPr>
                <w:rFonts w:cs="Arial"/>
                <w:szCs w:val="16"/>
              </w:rPr>
              <w:t>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40.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45.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50. Lebensjahr</w:t>
            </w:r>
          </w:p>
        </w:tc>
        <w:tc>
          <w:tcPr>
            <w:tcW w:w="1108" w:type="dxa"/>
            <w:tcBorders>
              <w:top w:val="single" w:sz="8" w:space="0" w:color="auto"/>
              <w:left w:val="nil"/>
              <w:bottom w:val="nil"/>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szCs w:val="16"/>
              </w:rPr>
              <w:t>nach vollendetem 55. Lebensjahr</w:t>
            </w:r>
          </w:p>
        </w:tc>
        <w:tc>
          <w:tcPr>
            <w:tcW w:w="57" w:type="dxa"/>
            <w:vAlign w:val="center"/>
            <w:hideMark/>
          </w:tcPr>
          <w:p w:rsidR="00BE1EFE" w:rsidRDefault="00BE1EFE" w:rsidP="00C763E2">
            <w:pPr>
              <w:rPr>
                <w:sz w:val="24"/>
              </w:rPr>
            </w:pPr>
            <w:r>
              <w:t> </w:t>
            </w:r>
          </w:p>
        </w:tc>
      </w:tr>
      <w:tr w:rsidR="00BE1EFE" w:rsidTr="00C763E2">
        <w:trPr>
          <w:trHeight w:hRule="exact" w:val="57"/>
        </w:trPr>
        <w:tc>
          <w:tcPr>
            <w:tcW w:w="1363" w:type="dxa"/>
            <w:vMerge w:val="restart"/>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vAlign w:val="center"/>
            <w:hideMark/>
          </w:tcPr>
          <w:p w:rsidR="00BE1EFE" w:rsidRPr="00AF6337" w:rsidRDefault="00BE1EFE" w:rsidP="00C763E2">
            <w:pPr>
              <w:rPr>
                <w:rFonts w:cs="Arial"/>
                <w:szCs w:val="16"/>
              </w:rPr>
            </w:pPr>
          </w:p>
        </w:tc>
        <w:tc>
          <w:tcPr>
            <w:tcW w:w="5540" w:type="dxa"/>
            <w:gridSpan w:val="5"/>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Monatsbezüge</w:t>
            </w:r>
          </w:p>
        </w:tc>
        <w:tc>
          <w:tcPr>
            <w:tcW w:w="57" w:type="dxa"/>
            <w:vAlign w:val="center"/>
            <w:hideMark/>
          </w:tcPr>
          <w:p w:rsidR="00BE1EFE" w:rsidRDefault="00BE1EFE" w:rsidP="00C763E2">
            <w:pPr>
              <w:rPr>
                <w:sz w:val="24"/>
              </w:rPr>
            </w:pPr>
            <w:r>
              <w:t> </w:t>
            </w:r>
          </w:p>
        </w:tc>
      </w:tr>
      <w:tr w:rsidR="00BE1EFE" w:rsidTr="00C763E2">
        <w:trPr>
          <w:trHeight w:val="255"/>
        </w:trPr>
        <w:tc>
          <w:tcPr>
            <w:tcW w:w="1363" w:type="dxa"/>
            <w:vMerge/>
            <w:tcBorders>
              <w:top w:val="single" w:sz="8" w:space="0" w:color="000000"/>
              <w:left w:val="single" w:sz="8" w:space="0" w:color="000000"/>
              <w:bottom w:val="single" w:sz="8" w:space="0" w:color="000000"/>
              <w:right w:val="single" w:sz="8" w:space="0" w:color="000000"/>
            </w:tcBorders>
            <w:vAlign w:val="center"/>
            <w:hideMark/>
          </w:tcPr>
          <w:p w:rsidR="00BE1EFE" w:rsidRPr="00AF6337" w:rsidRDefault="00BE1EFE" w:rsidP="00C763E2">
            <w:pPr>
              <w:rPr>
                <w:rFonts w:cs="Arial"/>
                <w:szCs w:val="16"/>
              </w:rPr>
            </w:pPr>
          </w:p>
        </w:tc>
        <w:tc>
          <w:tcPr>
            <w:tcW w:w="5540" w:type="dxa"/>
            <w:gridSpan w:val="5"/>
            <w:vMerge/>
            <w:tcBorders>
              <w:top w:val="single" w:sz="8" w:space="0" w:color="auto"/>
              <w:left w:val="nil"/>
              <w:bottom w:val="single" w:sz="8" w:space="0" w:color="auto"/>
              <w:right w:val="single" w:sz="8" w:space="0" w:color="auto"/>
            </w:tcBorders>
            <w:vAlign w:val="center"/>
            <w:hideMark/>
          </w:tcPr>
          <w:p w:rsidR="00BE1EFE" w:rsidRPr="00AF6337" w:rsidRDefault="00BE1EFE" w:rsidP="00C763E2">
            <w:pPr>
              <w:rPr>
                <w:rFonts w:cs="Arial"/>
                <w:szCs w:val="16"/>
              </w:rPr>
            </w:pP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3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5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7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9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4</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11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5</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13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6</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15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7</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17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8</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19 Jahre</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9</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15</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21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10</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11</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16</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23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12</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15</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17</w:t>
            </w:r>
          </w:p>
        </w:tc>
        <w:tc>
          <w:tcPr>
            <w:tcW w:w="57" w:type="dxa"/>
            <w:vAlign w:val="center"/>
            <w:hideMark/>
          </w:tcPr>
          <w:p w:rsidR="00BE1EFE" w:rsidRDefault="00BE1EFE" w:rsidP="00C763E2">
            <w:pPr>
              <w:rPr>
                <w:sz w:val="24"/>
              </w:rPr>
            </w:pPr>
            <w:r>
              <w:t> </w:t>
            </w:r>
          </w:p>
        </w:tc>
      </w:tr>
      <w:tr w:rsidR="00BE1EFE" w:rsidTr="00C763E2">
        <w:trPr>
          <w:trHeight w:val="284"/>
        </w:trPr>
        <w:tc>
          <w:tcPr>
            <w:tcW w:w="1363"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rPr>
                <w:rFonts w:cs="Arial"/>
                <w:szCs w:val="16"/>
              </w:rPr>
            </w:pPr>
            <w:r w:rsidRPr="00AF6337">
              <w:rPr>
                <w:rFonts w:cs="Arial"/>
                <w:szCs w:val="16"/>
              </w:rPr>
              <w:t>25 Jahre</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13</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14</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16</w:t>
            </w:r>
          </w:p>
        </w:tc>
        <w:tc>
          <w:tcPr>
            <w:tcW w:w="1108"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BE1EFE" w:rsidRPr="00AF6337" w:rsidRDefault="00BE1EFE" w:rsidP="00C763E2">
            <w:pPr>
              <w:pStyle w:val="StandardWeb"/>
              <w:jc w:val="center"/>
              <w:rPr>
                <w:rFonts w:cs="Arial"/>
                <w:szCs w:val="16"/>
              </w:rPr>
            </w:pPr>
            <w:r w:rsidRPr="00AF6337">
              <w:rPr>
                <w:rFonts w:cs="Arial"/>
                <w:color w:val="000000"/>
                <w:szCs w:val="16"/>
              </w:rPr>
              <w:t>18</w:t>
            </w:r>
          </w:p>
        </w:tc>
        <w:tc>
          <w:tcPr>
            <w:tcW w:w="57" w:type="dxa"/>
            <w:vAlign w:val="center"/>
            <w:hideMark/>
          </w:tcPr>
          <w:p w:rsidR="00BE1EFE" w:rsidRDefault="00BE1EFE" w:rsidP="00C763E2">
            <w:pPr>
              <w:rPr>
                <w:sz w:val="24"/>
              </w:rPr>
            </w:pPr>
            <w:r>
              <w:t> </w:t>
            </w:r>
          </w:p>
        </w:tc>
      </w:tr>
    </w:tbl>
    <w:p w:rsidR="00BE1EFE" w:rsidRDefault="00BE1EFE" w:rsidP="006378D8">
      <w:pPr>
        <w:pStyle w:val="StandardWeb"/>
        <w:spacing w:after="60"/>
      </w:pPr>
    </w:p>
    <w:p w:rsidR="00BE1EFE" w:rsidRPr="000B1AF8" w:rsidRDefault="00BE1EFE" w:rsidP="00C763E2">
      <w:pPr>
        <w:pStyle w:val="StandardWeb"/>
        <w:spacing w:after="60"/>
      </w:pPr>
      <w:r>
        <w:br w:type="page"/>
      </w:r>
      <w:r>
        <w:lastRenderedPageBreak/>
        <w:t>(2) </w:t>
      </w:r>
      <w:r>
        <w:rPr>
          <w:rStyle w:val="kleinschrift"/>
        </w:rPr>
        <w:t>1</w:t>
      </w:r>
      <w:r>
        <w:t>Der Anspruch auf Abfindung entsteht am Tag nach der Beendigung des Arbeits</w:t>
      </w:r>
      <w:r>
        <w:softHyphen/>
        <w:t xml:space="preserve">verhältnisses. </w:t>
      </w:r>
      <w:r>
        <w:rPr>
          <w:rStyle w:val="kleinschrift"/>
        </w:rPr>
        <w:t>2</w:t>
      </w:r>
      <w:r>
        <w:t>Hat der Arbeitgeber das Arbeitsverhältnis gekündigt, wird die Abfindung erst fällig, wenn die Frist zur Erhebung der Kündigungsschutzklage abgelaufen ist oder, falls der Mitarbeiter Kündigungsschutzklage erhoben hat, endgültig feststeht, dass der Mitarbeiter ausgeschieden ist.</w:t>
      </w:r>
    </w:p>
    <w:p w:rsidR="00BE1EFE" w:rsidRPr="000B1AF8" w:rsidRDefault="00BE1EFE">
      <w:pPr>
        <w:pStyle w:val="StandardWeb"/>
      </w:pPr>
    </w:p>
    <w:p w:rsidR="00BE1EFE" w:rsidRDefault="00BE1EFE">
      <w:pPr>
        <w:pStyle w:val="StandardWeb"/>
      </w:pPr>
      <w:r>
        <w:t xml:space="preserve">(3) Die Abfindung steht nicht zu, wenn </w:t>
      </w:r>
    </w:p>
    <w:p w:rsidR="00BE1EFE" w:rsidRDefault="00BE1EFE">
      <w:pPr>
        <w:pStyle w:val="StandardWeb"/>
      </w:pPr>
      <w:r>
        <w:t>a) die Kündigung aus einem von dem Mitarbeiter zu vertretenden Grund (z. B. Ablehnung eines angebotenen Arbeitsplatzes entgegen § 3 Absatz 6, Ablehnung der Fortbildung bzw. Umschulung entgegen § 4 Absatz 1 Unterabsatz 2) erfolgt ist oder</w:t>
      </w:r>
    </w:p>
    <w:p w:rsidR="00BE1EFE" w:rsidRDefault="00BE1EFE">
      <w:pPr>
        <w:pStyle w:val="StandardWeb"/>
      </w:pPr>
      <w:r>
        <w:t xml:space="preserve">b) der Mitarbeiter im Einvernehmen mit dem Arbeitgeber aus dem Arbeitsverhältnis ausgeschieden ist, weil er von einem anderen Arbeitgeber im Sinne des </w:t>
      </w:r>
      <w:hyperlink r:id="rId1641" w:history="1">
        <w:r w:rsidRPr="002D1F1D">
          <w:rPr>
            <w:rStyle w:val="Hyperlink"/>
          </w:rPr>
          <w:t>§ 29 Abschnitt B Absatz 7 ABD Teil A, 1.**</w:t>
        </w:r>
      </w:hyperlink>
      <w:r>
        <w:t xml:space="preserve"> übernommen wird.</w:t>
      </w:r>
    </w:p>
    <w:p w:rsidR="00BE1EFE" w:rsidRDefault="00BE1EFE">
      <w:pPr>
        <w:pStyle w:val="StandardWeb"/>
      </w:pPr>
    </w:p>
    <w:p w:rsidR="00BE1EFE" w:rsidRDefault="00BE1EFE">
      <w:pPr>
        <w:pStyle w:val="StandardWeb"/>
      </w:pPr>
      <w:r>
        <w:t>(4) Neben der Abfindung steht Angestellten Übergangsgeld nach dem ABD Teil A und Arbeitern Übergangsgeld nach dem ABD Teil B nicht zu.</w:t>
      </w:r>
    </w:p>
    <w:p w:rsidR="00BE1EFE" w:rsidRDefault="00BE1EFE">
      <w:pPr>
        <w:pStyle w:val="StandardWeb"/>
      </w:pPr>
    </w:p>
    <w:p w:rsidR="00BE1EFE" w:rsidRDefault="00BE1EFE">
      <w:pPr>
        <w:pStyle w:val="StandardWeb"/>
      </w:pPr>
      <w:r w:rsidRPr="009C6551">
        <w:rPr>
          <w:rStyle w:val="kleinschrift1"/>
        </w:rPr>
        <w:t>**in der bis zum 30.09.2005 geltenden Fassung</w:t>
      </w:r>
    </w:p>
    <w:p w:rsidR="00BE1EFE" w:rsidRDefault="00BE1EFE" w:rsidP="005F1E85">
      <w:pPr>
        <w:pStyle w:val="berschrift5"/>
      </w:pPr>
      <w:bookmarkStart w:id="1071" w:name="_Toc523926589"/>
      <w:r>
        <w:t>§ 8 Persönliche Anspruchsvoraussetzungen</w:t>
      </w:r>
      <w:bookmarkEnd w:id="1071"/>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Ansprüche aus dieser Regelung bestehen nicht, wenn der Mitarbeiter erwerbsgemindert im Sinne der gesetzlichen Rentenversicherung ist oder die Voraussetzungen für den Bezug einer Rente wegen Alters aus der gesetzlichen Rentenversicherung vor Vollendung des 65. Lebensjahres oder einer entsprechenden Leistung einer berufsständischen Versorgungseinrichtung im Sinne des </w:t>
      </w:r>
      <w:hyperlink r:id="rId1642" w:tgtFrame="_blank" w:history="1">
        <w:r>
          <w:rPr>
            <w:rStyle w:val="Hyperlink"/>
          </w:rPr>
          <w:t>§ 6 Absatz 1 Nr. 1 SGB VI</w:t>
        </w:r>
      </w:hyperlink>
      <w:r>
        <w:t xml:space="preserve"> oder der Zusatzversorgung erfüllt. </w:t>
      </w:r>
      <w:r>
        <w:rPr>
          <w:rStyle w:val="kleinschrift"/>
        </w:rPr>
        <w:t>2</w:t>
      </w:r>
      <w:r>
        <w:t xml:space="preserve">Satz 1 gilt nicht für eine Mitarbeiterin, die die Voraussetzungen für den Bezug einer Altersrente nach </w:t>
      </w:r>
      <w:hyperlink r:id="rId1643" w:tgtFrame="_blank" w:history="1">
        <w:r>
          <w:rPr>
            <w:rStyle w:val="Hyperlink"/>
          </w:rPr>
          <w:t>§ 237a SGB VI</w:t>
        </w:r>
      </w:hyperlink>
      <w:r>
        <w:t xml:space="preserve"> erfüllt, solange ihre Versorgungsrente nach Satzung der jeweiligen Zusatzversorgungseinrichtung oder entsprechenden Vorschriften ruhen würde.</w:t>
      </w:r>
    </w:p>
    <w:p w:rsidR="00BE1EFE" w:rsidRPr="000B1AF8" w:rsidRDefault="00BE1EFE">
      <w:pPr>
        <w:pStyle w:val="StandardWeb"/>
      </w:pPr>
    </w:p>
    <w:p w:rsidR="00BE1EFE" w:rsidRDefault="00BE1EFE">
      <w:pPr>
        <w:pStyle w:val="StandardWeb"/>
      </w:pPr>
      <w:r>
        <w:t>(2) Besteht ein Anspruch auf Abfindung und wird der Mitarbeiter das 65. Lebensjahr innerhalb eines Zeitraumes vollenden, der kleiner ist als die der Abfindung zugrunde liegende Zahl der Monatsbezüge, oder ist absehbar, dass innerhalb dieses Zeitraumes einer der Tatbestände des Absatzes 1 eintritt, verringert sich die Abfindung entsprechend.</w:t>
      </w:r>
    </w:p>
    <w:p w:rsidR="00BE1EFE" w:rsidRDefault="00BE1EFE">
      <w:pPr>
        <w:pStyle w:val="StandardWeb"/>
      </w:pPr>
    </w:p>
    <w:p w:rsidR="00BE1EFE" w:rsidRDefault="00BE1EFE">
      <w:pPr>
        <w:pStyle w:val="StandardWeb"/>
      </w:pPr>
      <w:r>
        <w:t>(3) </w:t>
      </w:r>
      <w:r>
        <w:rPr>
          <w:rStyle w:val="kleinschrift"/>
        </w:rPr>
        <w:t>1</w:t>
      </w:r>
      <w:r>
        <w:t xml:space="preserve">Tritt der Mitarbeiter innerhalb eines Zeitraumes, der kleiner ist als die der Abfindung zugrunde liegende Zahl der Monatsbezüge, in ein Arbeitsverhältnis bei einem Arbeitgeber im Sinne des </w:t>
      </w:r>
      <w:hyperlink r:id="rId1644" w:history="1">
        <w:r w:rsidRPr="002D1F1D">
          <w:rPr>
            <w:rStyle w:val="Hyperlink"/>
          </w:rPr>
          <w:t>§ 29 Abschnitt B Absatz 7 ABD Teil A, 1.**</w:t>
        </w:r>
      </w:hyperlink>
      <w:r>
        <w:t xml:space="preserve"> ein, verringert sich die Abfindung entsprechend. </w:t>
      </w:r>
      <w:r>
        <w:rPr>
          <w:rStyle w:val="kleinschrift"/>
        </w:rPr>
        <w:t>2</w:t>
      </w:r>
      <w:r>
        <w:t>Der überzahlte Betrag ist zurückzuzahlen.</w:t>
      </w:r>
    </w:p>
    <w:p w:rsidR="00BE1EFE" w:rsidRDefault="00BE1EFE">
      <w:pPr>
        <w:pStyle w:val="StandardWeb"/>
      </w:pPr>
    </w:p>
    <w:p w:rsidR="00BE1EFE" w:rsidRDefault="00BE1EFE">
      <w:pPr>
        <w:pStyle w:val="StandardWeb"/>
      </w:pPr>
      <w:r w:rsidRPr="00565F0E">
        <w:rPr>
          <w:rStyle w:val="structdoc-small"/>
          <w:szCs w:val="12"/>
        </w:rPr>
        <w:t>**in der bis zum 30.09.2005 geltenden Fassung</w:t>
      </w:r>
    </w:p>
    <w:p w:rsidR="00BE1EFE" w:rsidRDefault="00BE1EFE" w:rsidP="005F1E85">
      <w:pPr>
        <w:pStyle w:val="berschrift5"/>
      </w:pPr>
      <w:bookmarkStart w:id="1072" w:name="_Toc523926590"/>
      <w:r>
        <w:t>§ 9 Anrechnungsvorschrift</w:t>
      </w:r>
      <w:bookmarkEnd w:id="1072"/>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Leistungen, die dem Mitarbeiter nach anderen Bestimmungen zu den gleichen Zwecken gewährt werden, sind auf die Ansprüche nach dieser Regelung anzurechnen. </w:t>
      </w:r>
      <w:r>
        <w:rPr>
          <w:rStyle w:val="kleinschrift"/>
        </w:rPr>
        <w:t>2</w:t>
      </w:r>
      <w:r>
        <w:t>Dies gilt insbesondere für gesetzliche oder durch Vertrag vereinbarte Abfindungsansprüche gegen den Arbeitgeber (z. B. §§ 9 u. 10 Kündigungsschutzgesetz).</w:t>
      </w:r>
    </w:p>
    <w:p w:rsidR="00BE1EFE" w:rsidRPr="000B1AF8" w:rsidRDefault="00BE1EFE">
      <w:pPr>
        <w:pStyle w:val="StandardWeb"/>
      </w:pPr>
    </w:p>
    <w:p w:rsidR="00BE1EFE" w:rsidRDefault="00BE1EFE">
      <w:pPr>
        <w:pStyle w:val="StandardWeb"/>
      </w:pPr>
      <w:r>
        <w:lastRenderedPageBreak/>
        <w:t>(2) </w:t>
      </w:r>
      <w:r>
        <w:rPr>
          <w:rStyle w:val="kleinschrift"/>
        </w:rPr>
        <w:t>1</w:t>
      </w:r>
      <w:r>
        <w:t xml:space="preserve">Der Mitarbeiter ist verpflichtet, die ihm nach anderen Bestimmungen zu den gleichen Zwecken zustehenden Leistungen Dritter zu beantragen. </w:t>
      </w:r>
      <w:r>
        <w:rPr>
          <w:rStyle w:val="kleinschrift"/>
        </w:rPr>
        <w:t>2</w:t>
      </w:r>
      <w:r>
        <w:t xml:space="preserve">Er hat den Arbeitgeber von der Antragstellung und von den hierauf beruhenden Entscheidungen sowie von allen ihm gewährten Leistungen im Sinne des Absatzes 1 unverzüglich zu unterrichten. </w:t>
      </w:r>
      <w:r>
        <w:rPr>
          <w:rStyle w:val="kleinschrift"/>
        </w:rPr>
        <w:t>3</w:t>
      </w:r>
      <w:r>
        <w:t>Kommt der Mitarbeiter seinen Verpflichtungen nach Unterabsatz 1 trotz Belehrung nicht nach, stehen ihm Ansprüche nach dieser Regelung nicht zu.</w:t>
      </w:r>
    </w:p>
    <w:p w:rsidR="00BE1EFE" w:rsidRPr="004B24AF" w:rsidRDefault="00BE1EFE" w:rsidP="004B24AF">
      <w:pPr>
        <w:pStyle w:val="berschrift5"/>
        <w:rPr>
          <w:lang w:eastAsia="x-none"/>
        </w:rPr>
      </w:pPr>
      <w:bookmarkStart w:id="1073" w:name="_Toc523926591"/>
      <w:r>
        <w:t>Hinweis</w:t>
      </w:r>
      <w:bookmarkEnd w:id="1073"/>
    </w:p>
    <w:p w:rsidR="00BE1EFE" w:rsidRPr="00B76821" w:rsidRDefault="00BE1EFE" w:rsidP="00B76821">
      <w:pPr>
        <w:pStyle w:val="berschrift6"/>
        <w:keepNext w:val="0"/>
        <w:spacing w:before="0" w:after="0"/>
        <w:rPr>
          <w:sz w:val="2"/>
        </w:rPr>
      </w:pPr>
    </w:p>
    <w:p w:rsidR="00BE1EFE" w:rsidRDefault="00BE1EFE" w:rsidP="00953196">
      <w:pPr>
        <w:pStyle w:val="StandardWeb"/>
        <w:rPr>
          <w:szCs w:val="16"/>
        </w:rPr>
      </w:pPr>
      <w:r w:rsidRPr="00DA28C0">
        <w:rPr>
          <w:szCs w:val="16"/>
        </w:rPr>
        <w:t>Bei betriebsbedingten Kündigungen in Kirchenstiftungen und andere</w:t>
      </w:r>
      <w:r>
        <w:rPr>
          <w:szCs w:val="16"/>
        </w:rPr>
        <w:t>n Einrichtungen, die der kirch</w:t>
      </w:r>
      <w:r w:rsidRPr="00DA28C0">
        <w:rPr>
          <w:szCs w:val="16"/>
        </w:rPr>
        <w:t>lichen Stiftungsaufsicht, nicht jedoch dem Geltungsbereich des Kündigungsschutz</w:t>
      </w:r>
      <w:r>
        <w:rPr>
          <w:szCs w:val="16"/>
        </w:rPr>
        <w:t>-</w:t>
      </w:r>
      <w:r w:rsidRPr="00DA28C0">
        <w:rPr>
          <w:szCs w:val="16"/>
        </w:rPr>
        <w:t xml:space="preserve">gesetzes </w:t>
      </w:r>
      <w:hyperlink r:id="rId1645" w:tgtFrame="_blank" w:history="1">
        <w:r w:rsidRPr="00DA28C0">
          <w:rPr>
            <w:rStyle w:val="Hyperlink"/>
            <w:szCs w:val="16"/>
          </w:rPr>
          <w:t>(§ 23 KSchG</w:t>
        </w:r>
      </w:hyperlink>
      <w:r w:rsidRPr="00DA28C0">
        <w:rPr>
          <w:szCs w:val="16"/>
        </w:rPr>
        <w:t xml:space="preserve">) unterliegen, werden im Rahmen der vorzunehmenden Interessenabwägung ein sozialer Mindestschutz und die Kriterien der Sozialauswahl im Sinne von </w:t>
      </w:r>
      <w:hyperlink r:id="rId1646" w:tgtFrame="_blank" w:history="1">
        <w:r w:rsidRPr="00DA28C0">
          <w:rPr>
            <w:rStyle w:val="Hyperlink"/>
            <w:szCs w:val="16"/>
          </w:rPr>
          <w:t>§ 1 KSchG</w:t>
        </w:r>
      </w:hyperlink>
      <w:r w:rsidRPr="00DA28C0">
        <w:rPr>
          <w:szCs w:val="16"/>
        </w:rPr>
        <w:t xml:space="preserve"> berücksichtigt.</w:t>
      </w:r>
    </w:p>
    <w:p w:rsidR="00960D2F" w:rsidRPr="00960D2F" w:rsidRDefault="00BE1EFE" w:rsidP="00960D2F">
      <w:pPr>
        <w:pStyle w:val="StandardWeb"/>
        <w:rPr>
          <w:sz w:val="2"/>
          <w:szCs w:val="2"/>
        </w:rPr>
      </w:pPr>
      <w:r>
        <w:br w:type="page"/>
      </w:r>
    </w:p>
    <w:p w:rsidR="00BE1EFE" w:rsidRDefault="00BE1EFE" w:rsidP="00C763E2">
      <w:pPr>
        <w:pStyle w:val="berschrift4"/>
        <w:spacing w:before="0"/>
      </w:pPr>
      <w:bookmarkStart w:id="1074" w:name="_Toc523926592"/>
      <w:r>
        <w:lastRenderedPageBreak/>
        <w:t>D, 12. Regelung über eine einmalige Pauschalzahlung 2014 und 2015</w:t>
      </w:r>
      <w:bookmarkEnd w:id="1074"/>
    </w:p>
    <w:p w:rsidR="00BE1EFE" w:rsidRDefault="00BE1EFE">
      <w:pPr>
        <w:pStyle w:val="berschrift5"/>
      </w:pPr>
      <w:bookmarkStart w:id="1075" w:name="_Toc523926593"/>
      <w:r>
        <w:t>§ 1 Geltungsbereich</w:t>
      </w:r>
      <w:bookmarkEnd w:id="1075"/>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Diese Regelung gilt für Beschäftigte im Sinne des </w:t>
      </w:r>
      <w:hyperlink r:id="rId1647" w:history="1">
        <w:r w:rsidRPr="002D1F1D">
          <w:rPr>
            <w:rStyle w:val="Hyperlink"/>
          </w:rPr>
          <w:t>§ 38 Absatz 5 Satz 1 ABD Teil A, 1</w:t>
        </w:r>
      </w:hyperlink>
      <w:r>
        <w:t>., die unter den Geltungsbereich des ABD fallen.</w:t>
      </w:r>
    </w:p>
    <w:p w:rsidR="00BE1EFE" w:rsidRDefault="00BE1EFE">
      <w:pPr>
        <w:pStyle w:val="berschrift5"/>
      </w:pPr>
      <w:bookmarkStart w:id="1076" w:name="_Toc523926594"/>
      <w:r>
        <w:t>§ 2 Einmalige Pauschalzahlung 2014</w:t>
      </w:r>
      <w:bookmarkEnd w:id="1076"/>
    </w:p>
    <w:p w:rsidR="00BE1EFE" w:rsidRPr="00B76821" w:rsidRDefault="00BE1EFE" w:rsidP="00B76821">
      <w:pPr>
        <w:pStyle w:val="berschrift6"/>
        <w:keepNext w:val="0"/>
        <w:spacing w:before="0" w:after="0"/>
        <w:rPr>
          <w:sz w:val="2"/>
        </w:rPr>
      </w:pPr>
    </w:p>
    <w:p w:rsidR="00BE1EFE" w:rsidRDefault="00BE1EFE">
      <w:pPr>
        <w:pStyle w:val="StandardWeb"/>
      </w:pPr>
      <w:r>
        <w:t xml:space="preserve">(1) Für das Jahr 2014 erhalten Beschäftigte, die am 31. Dezember 2013 in den Entgeltgruppen 2 bis 8 nach </w:t>
      </w:r>
      <w:hyperlink r:id="rId1648" w:history="1">
        <w:r w:rsidRPr="002D1F1D">
          <w:rPr>
            <w:rStyle w:val="Hyperlink"/>
          </w:rPr>
          <w:t>§ 17 Absatz 1</w:t>
        </w:r>
      </w:hyperlink>
      <w:r w:rsidRPr="002D1F1D">
        <w:t xml:space="preserve"> </w:t>
      </w:r>
      <w:r>
        <w:t xml:space="preserve">in Verbindung mit </w:t>
      </w:r>
      <w:hyperlink r:id="rId1649" w:history="1">
        <w:r w:rsidRPr="002D1F1D">
          <w:rPr>
            <w:rStyle w:val="Hyperlink"/>
          </w:rPr>
          <w:t>§ 17 Absatz 7 Satz 1 ABD Teil A, 3.</w:t>
        </w:r>
      </w:hyperlink>
      <w:r>
        <w:t xml:space="preserve"> und </w:t>
      </w:r>
      <w:hyperlink r:id="rId1650" w:history="1">
        <w:r w:rsidRPr="002D1F1D">
          <w:rPr>
            <w:rStyle w:val="Hyperlink"/>
          </w:rPr>
          <w:t>Anlage 4</w:t>
        </w:r>
      </w:hyperlink>
      <w:r>
        <w:t xml:space="preserve"> und </w:t>
      </w:r>
      <w:hyperlink r:id="rId1651" w:history="1">
        <w:r w:rsidRPr="002D1F1D">
          <w:rPr>
            <w:rStyle w:val="Hyperlink"/>
          </w:rPr>
          <w:t>4 K ABD Teil A, 3</w:t>
        </w:r>
      </w:hyperlink>
      <w:r>
        <w:t>. eingruppiert waren und deren Arbeitsverhältnis in der Zeit vom 1. Oktober 2005 bis zum 31. Dezember 2013 begonnen hat, eine einmalige Pauschalzahlung in Höhe von 360 Euro, fällig mit dem Entgelt für den Monat Oktober 2014, sofern sie für mindestens einen Tag im Jahr 2014 bis zum 31. Oktober 2014 Anspruch auf Entgelt haben und das Arbeitsverhältnis im Oktober 2014 noch besteht.</w:t>
      </w:r>
    </w:p>
    <w:p w:rsidR="00BE1EFE" w:rsidRDefault="00BE1EFE">
      <w:pPr>
        <w:pStyle w:val="StandardWeb"/>
      </w:pPr>
      <w:r>
        <w:rPr>
          <w:sz w:val="12"/>
          <w:szCs w:val="12"/>
        </w:rPr>
        <w:t xml:space="preserve">Anmerkung zu Absatz 1: </w:t>
      </w:r>
    </w:p>
    <w:p w:rsidR="00BE1EFE" w:rsidRPr="000B1AF8" w:rsidRDefault="00BE1EFE">
      <w:pPr>
        <w:pStyle w:val="StandardWeb"/>
      </w:pPr>
      <w:r>
        <w:rPr>
          <w:sz w:val="12"/>
          <w:szCs w:val="12"/>
        </w:rPr>
        <w:t xml:space="preserve">1Anspruch auf Entgelt im Sinne des Absatzes 1 ist auch der Anspruch auf Entgeltfortzahlung aus Anlass der in </w:t>
      </w:r>
      <w:hyperlink r:id="rId1652" w:history="1">
        <w:r w:rsidRPr="002D1F1D">
          <w:rPr>
            <w:rStyle w:val="Hyperlink"/>
            <w:sz w:val="12"/>
            <w:szCs w:val="12"/>
          </w:rPr>
          <w:t>§ 21 Satz 1 ABD Teil A, 1</w:t>
        </w:r>
      </w:hyperlink>
      <w:r>
        <w:rPr>
          <w:sz w:val="12"/>
          <w:szCs w:val="12"/>
        </w:rPr>
        <w:t xml:space="preserve">. genannten Ereignisse und der Anspruch auf Krankengeldzuschuss </w:t>
      </w:r>
      <w:hyperlink r:id="rId1653" w:history="1">
        <w:r w:rsidRPr="002D1F1D">
          <w:rPr>
            <w:rStyle w:val="Hyperlink"/>
            <w:sz w:val="12"/>
            <w:szCs w:val="12"/>
          </w:rPr>
          <w:t>(§ 22 Absatz 2 ABD Teil A, 1.)</w:t>
        </w:r>
      </w:hyperlink>
      <w:r>
        <w:rPr>
          <w:sz w:val="12"/>
          <w:szCs w:val="12"/>
        </w:rPr>
        <w:t>, auch wenn dieser wegen der Höhe der Barleistungen des Sozialversicherungsträgers nicht gezahlt wird. 2Einem Anspruch auf Entgelt gleichgestellt ist der Bezug von Krankengeld nach</w:t>
      </w:r>
      <w:hyperlink r:id="rId1654" w:tgtFrame="_blank" w:history="1">
        <w:r>
          <w:rPr>
            <w:rStyle w:val="Hyperlink"/>
            <w:sz w:val="12"/>
            <w:szCs w:val="12"/>
          </w:rPr>
          <w:t xml:space="preserve"> § 45 SGB V</w:t>
        </w:r>
      </w:hyperlink>
      <w:r>
        <w:rPr>
          <w:sz w:val="12"/>
          <w:szCs w:val="12"/>
        </w:rPr>
        <w:t xml:space="preserve"> oder entsprechender gesetzlicher Leistungen und der Bezug von Mutterschaftsgeld nach </w:t>
      </w:r>
      <w:hyperlink r:id="rId1655" w:tgtFrame="_blank" w:history="1">
        <w:r>
          <w:rPr>
            <w:rStyle w:val="Hyperlink"/>
            <w:sz w:val="12"/>
            <w:szCs w:val="12"/>
          </w:rPr>
          <w:t>§ 13 MuSchG</w:t>
        </w:r>
      </w:hyperlink>
      <w:r>
        <w:rPr>
          <w:sz w:val="12"/>
          <w:szCs w:val="12"/>
        </w:rPr>
        <w:t xml:space="preserve"> oder </w:t>
      </w:r>
      <w:hyperlink r:id="rId1656" w:tgtFrame="_blank" w:history="1">
        <w:r>
          <w:rPr>
            <w:rStyle w:val="Hyperlink"/>
            <w:sz w:val="12"/>
            <w:szCs w:val="12"/>
          </w:rPr>
          <w:t>§ 24i SGB V</w:t>
        </w:r>
      </w:hyperlink>
      <w:r>
        <w:rPr>
          <w:sz w:val="12"/>
          <w:szCs w:val="12"/>
        </w:rPr>
        <w:t xml:space="preserve">. 3Saisonkräfte, die mindestens einen Tag im Jahr 2014 bis zum 31. Oktober 2014 in einem unbefristeten Arbeitsverhältnis stehen, erhalten im Monat November 2012 von der einmaligen Pauschalzahlung je angefangenem Beschäftigungsmonat im Kalenderjahr 2014 ein Zwölftel. </w:t>
      </w:r>
    </w:p>
    <w:p w:rsidR="00BE1EFE" w:rsidRPr="000B1AF8" w:rsidRDefault="00BE1EFE">
      <w:pPr>
        <w:pStyle w:val="StandardWeb"/>
      </w:pPr>
    </w:p>
    <w:p w:rsidR="00BE1EFE" w:rsidRDefault="00BE1EFE">
      <w:pPr>
        <w:pStyle w:val="StandardWeb"/>
      </w:pPr>
      <w:r>
        <w:t>(2) </w:t>
      </w:r>
      <w:r>
        <w:rPr>
          <w:rStyle w:val="kleinschrift"/>
        </w:rPr>
        <w:t>1</w:t>
      </w:r>
      <w:r>
        <w:t xml:space="preserve">Die Pauschalzahlung nach Absatz 1 erhalten auch Beschäftigte, </w:t>
      </w:r>
    </w:p>
    <w:p w:rsidR="00BE1EFE" w:rsidRDefault="00BE1EFE">
      <w:pPr>
        <w:pStyle w:val="StandardWeb"/>
      </w:pPr>
      <w:r>
        <w:t xml:space="preserve">– deren Arbeitsverhältnis in der Zeit vom 1. Januar 2014 bis 1. Juli 2014 begonnen hat, </w:t>
      </w:r>
    </w:p>
    <w:p w:rsidR="00BE1EFE" w:rsidRDefault="00BE1EFE">
      <w:pPr>
        <w:pStyle w:val="StandardWeb"/>
      </w:pPr>
      <w:r>
        <w:t xml:space="preserve">– die die Voraussetzungen eines Tätigkeitsmerkmals erfüllen, das einen Aufstieg nach einer Dauer von längstens einem Jahr vorsieht und </w:t>
      </w:r>
    </w:p>
    <w:p w:rsidR="00BE1EFE" w:rsidRDefault="00BE1EFE">
      <w:pPr>
        <w:pStyle w:val="StandardWeb"/>
      </w:pPr>
      <w:r>
        <w:t xml:space="preserve">– deren Arbeitsverhältnis im Oktober 2014 fortbesteht. </w:t>
      </w:r>
    </w:p>
    <w:p w:rsidR="00BE1EFE" w:rsidRDefault="00BE1EFE">
      <w:pPr>
        <w:pStyle w:val="StandardWeb"/>
      </w:pPr>
      <w:r>
        <w:rPr>
          <w:rStyle w:val="kleinschrift"/>
        </w:rPr>
        <w:t>2</w:t>
      </w:r>
      <w:r>
        <w:t>Satz 1 gilt nicht für Beschäftigte, die bereits entsprechend der Aufstiegsgruppe eingruppiert sind.</w:t>
      </w:r>
    </w:p>
    <w:p w:rsidR="00BE1EFE" w:rsidRDefault="00BE1EFE">
      <w:pPr>
        <w:pStyle w:val="StandardWeb"/>
      </w:pPr>
    </w:p>
    <w:p w:rsidR="00BE1EFE" w:rsidRDefault="00BE1EFE">
      <w:pPr>
        <w:pStyle w:val="StandardWeb"/>
      </w:pPr>
      <w:r>
        <w:t>(3) </w:t>
      </w:r>
      <w:r>
        <w:rPr>
          <w:rStyle w:val="kleinschrift"/>
        </w:rPr>
        <w:t>1</w:t>
      </w:r>
      <w:r>
        <w:t xml:space="preserve">Absätze 1 und 2 gelten entsprechend für nach </w:t>
      </w:r>
      <w:hyperlink r:id="rId1657" w:history="1">
        <w:r w:rsidRPr="002D1F1D">
          <w:rPr>
            <w:rStyle w:val="Hyperlink"/>
          </w:rPr>
          <w:t>§ 3 ABD Teil A, 3.</w:t>
        </w:r>
      </w:hyperlink>
      <w:r>
        <w:t xml:space="preserve"> am 1. Oktober 2005 übergeleitete Beschäftigte, denen in den jeweiligen Zeiträumen der Absätze 1 und 2 eine andere Tätigkeit übertragen wurde, die zu einer neuen Eingruppierung nach</w:t>
      </w:r>
      <w:hyperlink r:id="rId1658" w:history="1">
        <w:r w:rsidRPr="002D1F1D">
          <w:rPr>
            <w:rStyle w:val="Hyperlink"/>
          </w:rPr>
          <w:t xml:space="preserve"> § 17 Absatz 1</w:t>
        </w:r>
      </w:hyperlink>
      <w:r w:rsidRPr="002D1F1D">
        <w:t xml:space="preserve"> </w:t>
      </w:r>
      <w:r>
        <w:t xml:space="preserve">in Verbindung mit </w:t>
      </w:r>
      <w:hyperlink r:id="rId1659" w:history="1">
        <w:r w:rsidRPr="002D1F1D">
          <w:rPr>
            <w:rStyle w:val="Hyperlink"/>
          </w:rPr>
          <w:t>§ 17 Absatz 7 Satz 1 ABD Teil A, 3</w:t>
        </w:r>
      </w:hyperlink>
      <w:r>
        <w:t xml:space="preserve">. und </w:t>
      </w:r>
      <w:hyperlink r:id="rId1660" w:history="1">
        <w:r w:rsidRPr="002D1F1D">
          <w:rPr>
            <w:rStyle w:val="Hyperlink"/>
          </w:rPr>
          <w:t>Anlage 4</w:t>
        </w:r>
      </w:hyperlink>
      <w:r w:rsidRPr="002D1F1D">
        <w:t xml:space="preserve"> </w:t>
      </w:r>
      <w:r>
        <w:t xml:space="preserve">und </w:t>
      </w:r>
      <w:hyperlink r:id="rId1661" w:history="1">
        <w:r w:rsidRPr="002D1F1D">
          <w:rPr>
            <w:rStyle w:val="Hyperlink"/>
          </w:rPr>
          <w:t>4 K</w:t>
        </w:r>
      </w:hyperlink>
      <w:r>
        <w:t xml:space="preserve"> geführt hat. </w:t>
      </w:r>
      <w:r>
        <w:rPr>
          <w:rStyle w:val="kleinschrift"/>
        </w:rPr>
        <w:t>2</w:t>
      </w:r>
      <w:r>
        <w:t xml:space="preserve">Satz 1 gilt nicht für Beschäftigte, die von ihrem Antragsrecht nach </w:t>
      </w:r>
      <w:hyperlink r:id="rId1662" w:history="1">
        <w:r w:rsidRPr="002D1F1D">
          <w:rPr>
            <w:rStyle w:val="Hyperlink"/>
          </w:rPr>
          <w:t>§ 24a Absatz 7 ABD Teil A, 3</w:t>
        </w:r>
      </w:hyperlink>
      <w:r>
        <w:t>. keinen Gebrauch gemacht haben.</w:t>
      </w:r>
    </w:p>
    <w:p w:rsidR="00BE1EFE" w:rsidRDefault="00BE1EFE">
      <w:pPr>
        <w:pStyle w:val="StandardWeb"/>
      </w:pPr>
    </w:p>
    <w:p w:rsidR="00BE1EFE" w:rsidRDefault="00BE1EFE">
      <w:pPr>
        <w:pStyle w:val="StandardWeb"/>
      </w:pPr>
      <w:r>
        <w:t>(4) Teilzeitbeschäftigte erhalten die Pauschalzahlung anteilig entsprechend dem Umfang ihrer Arbeitszeit am 31. Dezember 2013 in den Fällen des Absatzes 1 und entsprechend dem Umfang ihrer Arbeitszeit am 1. Oktober 2014 in den Fällen des Absatzes 2.</w:t>
      </w:r>
    </w:p>
    <w:p w:rsidR="00BE1EFE" w:rsidRDefault="00BE1EFE">
      <w:pPr>
        <w:pStyle w:val="StandardWeb"/>
      </w:pPr>
    </w:p>
    <w:p w:rsidR="00BE1EFE" w:rsidRDefault="00BE1EFE">
      <w:pPr>
        <w:pStyle w:val="StandardWeb"/>
      </w:pPr>
      <w:r>
        <w:t>(5) Keine Pauschalzahlung erhalten</w:t>
      </w:r>
    </w:p>
    <w:p w:rsidR="00BE1EFE" w:rsidRDefault="00BE1EFE">
      <w:pPr>
        <w:pStyle w:val="StandardWeb"/>
      </w:pPr>
      <w:r>
        <w:t xml:space="preserve">– Beschäftigte im Sinne des </w:t>
      </w:r>
      <w:hyperlink r:id="rId1663" w:history="1">
        <w:r w:rsidRPr="002D1F1D">
          <w:rPr>
            <w:rStyle w:val="Hyperlink"/>
          </w:rPr>
          <w:t>§ 38 Absatz 5 Satz 2 ABD Teil A, 1</w:t>
        </w:r>
      </w:hyperlink>
      <w:r>
        <w:t xml:space="preserve">., </w:t>
      </w:r>
    </w:p>
    <w:p w:rsidR="00BE1EFE" w:rsidRDefault="00BE1EFE">
      <w:pPr>
        <w:pStyle w:val="StandardWeb"/>
      </w:pPr>
      <w:r>
        <w:t xml:space="preserve">– Beschäftigte, auf die am 31. Dezember 2013 die </w:t>
      </w:r>
      <w:hyperlink r:id="rId1664" w:history="1">
        <w:r w:rsidRPr="002D1F1D">
          <w:rPr>
            <w:rStyle w:val="Hyperlink"/>
          </w:rPr>
          <w:t>Anlage zu § 1 der Anlage zu</w:t>
        </w:r>
        <w:r>
          <w:rPr>
            <w:rStyle w:val="Hyperlink"/>
          </w:rPr>
          <w:t xml:space="preserve"> § 44 – Anla</w:t>
        </w:r>
        <w:r>
          <w:rPr>
            <w:rStyle w:val="Hyperlink"/>
          </w:rPr>
          <w:softHyphen/>
          <w:t>ge </w:t>
        </w:r>
        <w:r w:rsidRPr="002D1F1D">
          <w:rPr>
            <w:rStyle w:val="Hyperlink"/>
          </w:rPr>
          <w:t>F – ABD Teil A, 1.</w:t>
        </w:r>
      </w:hyperlink>
      <w:r>
        <w:t xml:space="preserve"> (Beschäftigte im Sozial- und Erziehungsdienst) Anwendung gefunden hat,</w:t>
      </w:r>
    </w:p>
    <w:p w:rsidR="00BE1EFE" w:rsidRDefault="00BE1EFE">
      <w:pPr>
        <w:pStyle w:val="StandardWeb"/>
      </w:pPr>
      <w:r>
        <w:lastRenderedPageBreak/>
        <w:t>– Beschäftigte, auf die am 31. Dezember 2013 die Vorläufige Entgeltordnung für Gemein</w:t>
      </w:r>
      <w:r>
        <w:softHyphen/>
        <w:t>deassistentinnen/Gemeindeassistenten und Gemeindereferentinnen/Gemeindereferenten in den bayerischen (Erz-)Diözesen Anwendung gefunden hat,</w:t>
      </w:r>
    </w:p>
    <w:p w:rsidR="00BE1EFE" w:rsidRDefault="00BE1EFE">
      <w:pPr>
        <w:pStyle w:val="StandardWeb"/>
      </w:pPr>
      <w:r>
        <w:t>– Beschäftigte, auf die am 31. Dezember 2013 die Vorläufige Entgeltordnung für Religions</w:t>
      </w:r>
      <w:r>
        <w:softHyphen/>
        <w:t>lehrerinnen und Religionslehrer im Kirchendienst Anwendung gefunden hat,</w:t>
      </w:r>
    </w:p>
    <w:p w:rsidR="00BE1EFE" w:rsidRDefault="00BE1EFE">
      <w:pPr>
        <w:pStyle w:val="StandardWeb"/>
      </w:pPr>
      <w:r>
        <w:t>– Beschäftigte, auf die am 31. Dezember 2013 die Vorläufige Entgeltordnung für Mesnerinnen und Mesner Anwendung gefunden hat,</w:t>
      </w:r>
    </w:p>
    <w:p w:rsidR="00BE1EFE" w:rsidRDefault="00BE1EFE">
      <w:pPr>
        <w:pStyle w:val="StandardWeb"/>
      </w:pPr>
      <w:r>
        <w:t>– Beschäftigte, auf die am 31. Dezember 2013 die Vorläufige Entgeltordnung für Beschäftigte im Pfarrbüro Anwendung gefunden hat.</w:t>
      </w:r>
    </w:p>
    <w:p w:rsidR="00BE1EFE" w:rsidRDefault="00BE1EFE">
      <w:pPr>
        <w:pStyle w:val="StandardWeb"/>
      </w:pPr>
    </w:p>
    <w:p w:rsidR="00BE1EFE" w:rsidRDefault="00BE1EFE">
      <w:pPr>
        <w:pStyle w:val="StandardWeb"/>
      </w:pPr>
      <w:r>
        <w:t>(6) Die einmalige Pauschalzahlung steht anspruchsberechtigten Beschäftigten im Kalender</w:t>
      </w:r>
      <w:r>
        <w:softHyphen/>
        <w:t>jahr 2014 nur einmal zu.</w:t>
      </w:r>
    </w:p>
    <w:p w:rsidR="00BE1EFE" w:rsidRDefault="00BE1EFE">
      <w:pPr>
        <w:pStyle w:val="StandardWeb"/>
      </w:pPr>
    </w:p>
    <w:p w:rsidR="00BE1EFE" w:rsidRDefault="00BE1EFE">
      <w:pPr>
        <w:pStyle w:val="StandardWeb"/>
      </w:pPr>
      <w:r>
        <w:t>(7) Die einmalige Pauschalzahlung ist bei der Bemessung sonstiger Leistungen nicht zu berücksichtigen.</w:t>
      </w:r>
    </w:p>
    <w:p w:rsidR="00BE1EFE" w:rsidRDefault="00BE1EFE">
      <w:pPr>
        <w:pStyle w:val="berschrift5"/>
      </w:pPr>
      <w:bookmarkStart w:id="1077" w:name="_Toc523926595"/>
      <w:r>
        <w:t>§ 3 Einmalige Pauschalzahlung 2015</w:t>
      </w:r>
      <w:bookmarkEnd w:id="1077"/>
    </w:p>
    <w:p w:rsidR="00BE1EFE" w:rsidRPr="00B76821" w:rsidRDefault="00BE1EFE" w:rsidP="00B76821">
      <w:pPr>
        <w:pStyle w:val="berschrift6"/>
        <w:keepNext w:val="0"/>
        <w:spacing w:before="0" w:after="0"/>
        <w:rPr>
          <w:sz w:val="2"/>
        </w:rPr>
      </w:pPr>
    </w:p>
    <w:p w:rsidR="00BE1EFE" w:rsidRDefault="00BE1EFE" w:rsidP="00E46EA2">
      <w:pPr>
        <w:pStyle w:val="StandardWeb"/>
      </w:pPr>
      <w:r>
        <w:t xml:space="preserve">(1) Wenn spätestens mit Wirkung ab 1. Januar 2015 keine Entgeltordnung zum ABD in Kraft getreten ist, erhalten für das Jahr 2015 Beschäftigte, die am 31. Dezember 2014 in den Entgeltgruppen 2 bis 8 nach </w:t>
      </w:r>
      <w:hyperlink r:id="rId1665" w:history="1">
        <w:r w:rsidRPr="002D1F1D">
          <w:rPr>
            <w:rStyle w:val="Hyperlink"/>
          </w:rPr>
          <w:t>§ 17 Absatz 1</w:t>
        </w:r>
      </w:hyperlink>
      <w:r w:rsidRPr="002D1F1D">
        <w:t xml:space="preserve"> </w:t>
      </w:r>
      <w:r>
        <w:t xml:space="preserve">in Verbindung mit </w:t>
      </w:r>
      <w:hyperlink r:id="rId1666" w:history="1">
        <w:r w:rsidRPr="002D1F1D">
          <w:rPr>
            <w:rStyle w:val="Hyperlink"/>
          </w:rPr>
          <w:t>§ 17 Absatz 7 Satz 1 ABD Teil A, 3.</w:t>
        </w:r>
      </w:hyperlink>
      <w:r>
        <w:t xml:space="preserve"> und </w:t>
      </w:r>
      <w:hyperlink r:id="rId1667" w:history="1">
        <w:r w:rsidRPr="002D1F1D">
          <w:rPr>
            <w:rStyle w:val="Hyperlink"/>
          </w:rPr>
          <w:t>Anlage 4</w:t>
        </w:r>
      </w:hyperlink>
      <w:r>
        <w:t xml:space="preserve"> und </w:t>
      </w:r>
      <w:hyperlink r:id="rId1668" w:history="1">
        <w:r w:rsidRPr="002D1F1D">
          <w:rPr>
            <w:rStyle w:val="Hyperlink"/>
          </w:rPr>
          <w:t>4 K ABD Teil A, 3</w:t>
        </w:r>
      </w:hyperlink>
      <w:r>
        <w:t>. eingruppiert waren und deren Arbeitsverhältnis in der Zeit vom 1. Oktober 2005 bis zum 31. Dezember 2014 begonnen hat, eine einmalige Pauschalzahlung in Höhe von 360 Euro, fällig mit dem Entgelt für den Monat Oktober 2015, sofern sie für mindestens einen Tag im Jahr 2015 bis zum 31. Oktober 2015 Anspruch auf Entgelt haben und das Arbeitsverhältnis im Oktober 2015 noch besteht.</w:t>
      </w:r>
    </w:p>
    <w:p w:rsidR="00BE1EFE" w:rsidRDefault="00BE1EFE" w:rsidP="00E46EA2">
      <w:pPr>
        <w:pStyle w:val="StandardWeb"/>
      </w:pPr>
      <w:r>
        <w:rPr>
          <w:sz w:val="12"/>
          <w:szCs w:val="12"/>
        </w:rPr>
        <w:t xml:space="preserve">Anmerkung zu Absatz 1: </w:t>
      </w:r>
    </w:p>
    <w:p w:rsidR="00BE1EFE" w:rsidRPr="000B1AF8" w:rsidRDefault="00BE1EFE" w:rsidP="00E46EA2">
      <w:pPr>
        <w:pStyle w:val="StandardWeb"/>
      </w:pPr>
      <w:r>
        <w:rPr>
          <w:sz w:val="12"/>
          <w:szCs w:val="12"/>
        </w:rPr>
        <w:t xml:space="preserve">1Anspruch auf Entgelt im Sinne des Absatzes 1 ist auch der Anspruch auf Entgeltfortzahlung aus Anlass der in </w:t>
      </w:r>
      <w:hyperlink r:id="rId1669" w:history="1">
        <w:r w:rsidRPr="002D1F1D">
          <w:rPr>
            <w:rStyle w:val="Hyperlink"/>
            <w:sz w:val="12"/>
            <w:szCs w:val="12"/>
          </w:rPr>
          <w:t>§ 21 Satz 1 ABD Teil A, 1</w:t>
        </w:r>
      </w:hyperlink>
      <w:r>
        <w:rPr>
          <w:sz w:val="12"/>
          <w:szCs w:val="12"/>
        </w:rPr>
        <w:t xml:space="preserve">. genannten Ereignisse und der Anspruch auf Krankengeldzuschuss </w:t>
      </w:r>
      <w:hyperlink r:id="rId1670" w:history="1">
        <w:r w:rsidRPr="002D1F1D">
          <w:rPr>
            <w:rStyle w:val="Hyperlink"/>
            <w:sz w:val="12"/>
            <w:szCs w:val="12"/>
          </w:rPr>
          <w:t>(§ 22 Absatz 2 ABD Teil A, 1.)</w:t>
        </w:r>
      </w:hyperlink>
      <w:r>
        <w:rPr>
          <w:sz w:val="12"/>
          <w:szCs w:val="12"/>
        </w:rPr>
        <w:t>, auch wenn dieser wegen der Höhe der Barleistungen des Sozialversicherungsträgers nicht gezahlt wurde. 2Einem Anspruch auf Entgelt gleichgestellt ist der Bezug von Krankengeld nach</w:t>
      </w:r>
      <w:hyperlink r:id="rId1671" w:tgtFrame="_blank" w:history="1">
        <w:r>
          <w:rPr>
            <w:rStyle w:val="Hyperlink"/>
            <w:sz w:val="12"/>
            <w:szCs w:val="12"/>
          </w:rPr>
          <w:t xml:space="preserve"> § 45 SGB V</w:t>
        </w:r>
      </w:hyperlink>
      <w:r>
        <w:rPr>
          <w:sz w:val="12"/>
          <w:szCs w:val="12"/>
        </w:rPr>
        <w:t xml:space="preserve"> oder entsprechender gesetzlicher Leistungen und der Bezug von Mutterschaftsgeld nach </w:t>
      </w:r>
      <w:hyperlink r:id="rId1672" w:tgtFrame="_blank" w:history="1">
        <w:r>
          <w:rPr>
            <w:rStyle w:val="Hyperlink"/>
            <w:sz w:val="12"/>
            <w:szCs w:val="12"/>
          </w:rPr>
          <w:t>§ 13 MuSchG</w:t>
        </w:r>
      </w:hyperlink>
      <w:r>
        <w:rPr>
          <w:sz w:val="12"/>
          <w:szCs w:val="12"/>
        </w:rPr>
        <w:t xml:space="preserve"> oder </w:t>
      </w:r>
      <w:hyperlink r:id="rId1673" w:tgtFrame="_blank" w:history="1">
        <w:r>
          <w:rPr>
            <w:rStyle w:val="Hyperlink"/>
            <w:sz w:val="12"/>
            <w:szCs w:val="12"/>
          </w:rPr>
          <w:t>§ 24i SGB V</w:t>
        </w:r>
      </w:hyperlink>
      <w:r>
        <w:rPr>
          <w:sz w:val="12"/>
          <w:szCs w:val="12"/>
        </w:rPr>
        <w:t xml:space="preserve">. 3Saisonkräfte, die mindestens einen Tag im Jahr 2015 bis zum 31. Oktober 2015 in einem unbefristeten Arbeitsverhältnis stehen, erhalten im Monat November 2015 von der einmaligen Pauschalzahlung je angefangenem Beschäftigungsmonat im Kalenderjahr 2015 ein Zwölftel. </w:t>
      </w:r>
    </w:p>
    <w:p w:rsidR="00BE1EFE" w:rsidRPr="000B1AF8" w:rsidRDefault="00BE1EFE" w:rsidP="00E46EA2">
      <w:pPr>
        <w:pStyle w:val="StandardWeb"/>
      </w:pPr>
    </w:p>
    <w:p w:rsidR="00BE1EFE" w:rsidRDefault="00BE1EFE" w:rsidP="00E46EA2">
      <w:pPr>
        <w:pStyle w:val="StandardWeb"/>
      </w:pPr>
      <w:r>
        <w:t>(2) </w:t>
      </w:r>
      <w:r>
        <w:rPr>
          <w:rStyle w:val="kleinschrift"/>
        </w:rPr>
        <w:t>1</w:t>
      </w:r>
      <w:r>
        <w:t xml:space="preserve">Die Pauschalzahlung nach Absatz 1 erhalten auch Beschäftigte, </w:t>
      </w:r>
    </w:p>
    <w:p w:rsidR="00BE1EFE" w:rsidRDefault="00BE1EFE" w:rsidP="00E46EA2">
      <w:pPr>
        <w:pStyle w:val="StandardWeb"/>
      </w:pPr>
      <w:r>
        <w:t xml:space="preserve">– deren Arbeitsverhältnis in der Zeit vom 1. Januar 2015 bis 1. Juli 2015 begonnen hat, </w:t>
      </w:r>
    </w:p>
    <w:p w:rsidR="00BE1EFE" w:rsidRDefault="00BE1EFE" w:rsidP="00E46EA2">
      <w:pPr>
        <w:pStyle w:val="StandardWeb"/>
      </w:pPr>
      <w:r>
        <w:t xml:space="preserve">– die die Voraussetzungen eines Tätigkeitsmerkmals erfüllen, das einen Aufstieg nach einer Dauer von längstens einem Jahr vorsieht und </w:t>
      </w:r>
    </w:p>
    <w:p w:rsidR="00BE1EFE" w:rsidRDefault="00BE1EFE" w:rsidP="00E46EA2">
      <w:pPr>
        <w:pStyle w:val="StandardWeb"/>
      </w:pPr>
      <w:r>
        <w:t xml:space="preserve">– deren Arbeitsverhältnis im Oktober 2015 fortbesteht. </w:t>
      </w:r>
    </w:p>
    <w:p w:rsidR="00BE1EFE" w:rsidRDefault="00BE1EFE" w:rsidP="00E46EA2">
      <w:pPr>
        <w:pStyle w:val="StandardWeb"/>
      </w:pPr>
      <w:r>
        <w:rPr>
          <w:rStyle w:val="kleinschrift"/>
        </w:rPr>
        <w:t>2</w:t>
      </w:r>
      <w:r>
        <w:t>Satz 1 gilt nicht für Beschäftigte, die bereits entsprechend der Aufstiegsgruppe eingruppiert sind.</w:t>
      </w:r>
    </w:p>
    <w:p w:rsidR="00BE1EFE" w:rsidRDefault="00BE1EFE" w:rsidP="00E46EA2">
      <w:pPr>
        <w:pStyle w:val="StandardWeb"/>
      </w:pPr>
    </w:p>
    <w:p w:rsidR="00BE1EFE" w:rsidRDefault="00BE1EFE" w:rsidP="00E46EA2">
      <w:pPr>
        <w:pStyle w:val="StandardWeb"/>
      </w:pPr>
      <w:r>
        <w:t>(3) </w:t>
      </w:r>
      <w:r>
        <w:rPr>
          <w:rStyle w:val="kleinschrift"/>
        </w:rPr>
        <w:t>1</w:t>
      </w:r>
      <w:r>
        <w:t xml:space="preserve">Absätze 1 und 2 gelten entsprechend für nach </w:t>
      </w:r>
      <w:hyperlink r:id="rId1674" w:history="1">
        <w:r w:rsidRPr="002D1F1D">
          <w:rPr>
            <w:rStyle w:val="Hyperlink"/>
          </w:rPr>
          <w:t>§ 3 ABD Teil A, 3.</w:t>
        </w:r>
      </w:hyperlink>
      <w:r>
        <w:t xml:space="preserve"> am 1. Oktober 2005 übergeleitete Beschäftigte, denen in den jeweiligen Zeiträumen der Absätze 1 und 2 eine andere Tätigkeit übertragen wurde, die zu einer neuen Eingruppierung nach</w:t>
      </w:r>
      <w:hyperlink r:id="rId1675" w:history="1">
        <w:r w:rsidRPr="002D1F1D">
          <w:rPr>
            <w:rStyle w:val="Hyperlink"/>
          </w:rPr>
          <w:t xml:space="preserve"> § 17 Absatz 1</w:t>
        </w:r>
      </w:hyperlink>
      <w:r w:rsidRPr="002D1F1D">
        <w:t xml:space="preserve"> </w:t>
      </w:r>
      <w:r>
        <w:t xml:space="preserve">in Verbindung mit </w:t>
      </w:r>
      <w:hyperlink r:id="rId1676" w:history="1">
        <w:r w:rsidRPr="002D1F1D">
          <w:rPr>
            <w:rStyle w:val="Hyperlink"/>
          </w:rPr>
          <w:t>§ 17 Absatz 7 Satz 1 ABD Teil A, 3</w:t>
        </w:r>
      </w:hyperlink>
      <w:r>
        <w:t xml:space="preserve">. und </w:t>
      </w:r>
      <w:hyperlink r:id="rId1677" w:history="1">
        <w:r w:rsidRPr="002D1F1D">
          <w:rPr>
            <w:rStyle w:val="Hyperlink"/>
          </w:rPr>
          <w:t>Anlage 4</w:t>
        </w:r>
      </w:hyperlink>
      <w:r w:rsidRPr="002D1F1D">
        <w:t xml:space="preserve"> </w:t>
      </w:r>
      <w:r>
        <w:t xml:space="preserve">und </w:t>
      </w:r>
      <w:hyperlink r:id="rId1678" w:history="1">
        <w:r w:rsidRPr="002D1F1D">
          <w:rPr>
            <w:rStyle w:val="Hyperlink"/>
          </w:rPr>
          <w:t>4 K</w:t>
        </w:r>
      </w:hyperlink>
      <w:r>
        <w:t xml:space="preserve"> geführt hat. </w:t>
      </w:r>
      <w:r>
        <w:rPr>
          <w:rStyle w:val="kleinschrift"/>
        </w:rPr>
        <w:t>2</w:t>
      </w:r>
      <w:r>
        <w:t xml:space="preserve">Satz 1 gilt nicht für Beschäftigte, die von ihrem Antragsrecht nach </w:t>
      </w:r>
      <w:hyperlink r:id="rId1679" w:history="1">
        <w:r w:rsidRPr="002D1F1D">
          <w:rPr>
            <w:rStyle w:val="Hyperlink"/>
          </w:rPr>
          <w:t>§ 24a Absatz 7 ABD Teil A, 3</w:t>
        </w:r>
      </w:hyperlink>
      <w:r>
        <w:t>. keinen Gebrauch gemacht haben.</w:t>
      </w:r>
    </w:p>
    <w:p w:rsidR="00BE1EFE" w:rsidRDefault="00BE1EFE" w:rsidP="00E46EA2">
      <w:pPr>
        <w:pStyle w:val="StandardWeb"/>
      </w:pPr>
    </w:p>
    <w:p w:rsidR="00BE1EFE" w:rsidRDefault="00BE1EFE" w:rsidP="00E46EA2">
      <w:pPr>
        <w:pStyle w:val="StandardWeb"/>
      </w:pPr>
      <w:r>
        <w:t>(4) Teilzeitbeschäftigte erhalten die Pauschalzahlung anteilig entsprechend dem Umfang ihrer Arbeitszeit am 31. Dezember 2014 in den Fällen des Absatzes 1 und entsprechend dem Umfang ihrer Arbeitszeit am 1. Oktober 2015 in den Fällen des Absatzes 2.</w:t>
      </w:r>
    </w:p>
    <w:p w:rsidR="00BE1EFE" w:rsidRDefault="00BE1EFE" w:rsidP="00E46EA2">
      <w:pPr>
        <w:pStyle w:val="StandardWeb"/>
      </w:pPr>
    </w:p>
    <w:p w:rsidR="00BE1EFE" w:rsidRDefault="00BE1EFE" w:rsidP="00E46EA2">
      <w:pPr>
        <w:pStyle w:val="StandardWeb"/>
      </w:pPr>
      <w:r>
        <w:lastRenderedPageBreak/>
        <w:t>(5) Keine Pauschalzahlung erhalten</w:t>
      </w:r>
    </w:p>
    <w:p w:rsidR="00BE1EFE" w:rsidRDefault="00BE1EFE" w:rsidP="00E46EA2">
      <w:pPr>
        <w:pStyle w:val="StandardWeb"/>
      </w:pPr>
      <w:r>
        <w:t xml:space="preserve">– Beschäftigte im Sinne des </w:t>
      </w:r>
      <w:hyperlink r:id="rId1680" w:history="1">
        <w:r w:rsidRPr="002D1F1D">
          <w:rPr>
            <w:rStyle w:val="Hyperlink"/>
          </w:rPr>
          <w:t>§ 38 Absatz 5 Satz 2 ABD Teil A, 1</w:t>
        </w:r>
      </w:hyperlink>
      <w:r>
        <w:t xml:space="preserve">., </w:t>
      </w:r>
    </w:p>
    <w:p w:rsidR="00BE1EFE" w:rsidRDefault="00BE1EFE" w:rsidP="00E46EA2">
      <w:pPr>
        <w:pStyle w:val="StandardWeb"/>
      </w:pPr>
      <w:r>
        <w:t xml:space="preserve">– Beschäftigte, auf die am 31. Dezember 2014 die </w:t>
      </w:r>
      <w:hyperlink r:id="rId1681" w:history="1">
        <w:r w:rsidRPr="002D1F1D">
          <w:rPr>
            <w:rStyle w:val="Hyperlink"/>
          </w:rPr>
          <w:t xml:space="preserve">Anlage zu </w:t>
        </w:r>
        <w:r>
          <w:rPr>
            <w:rStyle w:val="Hyperlink"/>
          </w:rPr>
          <w:t>§ 1 der Anlage zu § 44 – Anla</w:t>
        </w:r>
        <w:r>
          <w:rPr>
            <w:rStyle w:val="Hyperlink"/>
          </w:rPr>
          <w:softHyphen/>
          <w:t>ge </w:t>
        </w:r>
        <w:r w:rsidRPr="002D1F1D">
          <w:rPr>
            <w:rStyle w:val="Hyperlink"/>
          </w:rPr>
          <w:t>F – ABD Teil A, 1.</w:t>
        </w:r>
      </w:hyperlink>
      <w:r>
        <w:t xml:space="preserve"> (Beschäftigte im Sozial- und Erziehungsdienst) Anwendung gefunden hat.</w:t>
      </w:r>
    </w:p>
    <w:p w:rsidR="00BE1EFE" w:rsidRDefault="00BE1EFE" w:rsidP="00E46EA2">
      <w:pPr>
        <w:pStyle w:val="StandardWeb"/>
      </w:pPr>
      <w:r>
        <w:t>– Beschäftigte, auf die am 31. Dezember 2014 die Vorläufige Entgeltordnung für Gemein</w:t>
      </w:r>
      <w:r>
        <w:softHyphen/>
        <w:t>deassistentinnen/Gemeindeassistenten und Gemeindereferentinnen/Gemeindereferenten in den bayerischen (Erz-)Diözesen Anwendung gefunden hat,</w:t>
      </w:r>
    </w:p>
    <w:p w:rsidR="00BE1EFE" w:rsidRDefault="00BE1EFE" w:rsidP="00E46EA2">
      <w:pPr>
        <w:pStyle w:val="StandardWeb"/>
      </w:pPr>
      <w:r>
        <w:t>– Beschäftigte, auf die am 31. Dezember 2014 die Vorläufige Entgeltordnung für Religions</w:t>
      </w:r>
      <w:r>
        <w:softHyphen/>
        <w:t>lehrerinnen und Religionslehrer im Kirchendienst Anwendung gefunden hat,</w:t>
      </w:r>
    </w:p>
    <w:p w:rsidR="00BE1EFE" w:rsidRDefault="00BE1EFE" w:rsidP="00E46EA2">
      <w:pPr>
        <w:pStyle w:val="StandardWeb"/>
      </w:pPr>
      <w:r>
        <w:t>– Beschäftigte, auf die am 31. Dezember 2014 die Vorläufige Entgeltordnung für Mesnerinnen und Mesner Anwendung gefunden hat,</w:t>
      </w:r>
    </w:p>
    <w:p w:rsidR="00BE1EFE" w:rsidRDefault="00BE1EFE" w:rsidP="00E46EA2">
      <w:pPr>
        <w:pStyle w:val="StandardWeb"/>
      </w:pPr>
      <w:r>
        <w:t>– Beschäftigte, auf die am 31. Dezember 2014 die Vorläufige Entgeltordnung für Beschäftigte im Pfarrbüro Anwendung gefunden hat,</w:t>
      </w:r>
    </w:p>
    <w:p w:rsidR="00BE1EFE" w:rsidRDefault="00BE1EFE" w:rsidP="00E46EA2">
      <w:pPr>
        <w:pStyle w:val="StandardWeb"/>
      </w:pPr>
      <w:r>
        <w:t>– Beschäftigte, auf die die Vorläufige Entgeltordnung für Pfarrhelferinnen und Pfarrhelfer Anwendung findet,</w:t>
      </w:r>
    </w:p>
    <w:p w:rsidR="00BE1EFE" w:rsidRDefault="00BE1EFE" w:rsidP="00E46EA2">
      <w:pPr>
        <w:pStyle w:val="StandardWeb"/>
      </w:pPr>
      <w:r>
        <w:t>– Beschäftigte, auf die die Vorläufige Entgeltordnung für Kirchenmusikerinnern und Kirchen</w:t>
      </w:r>
      <w:r>
        <w:softHyphen/>
        <w:t>musiker Anwendung findet.</w:t>
      </w:r>
    </w:p>
    <w:p w:rsidR="00BE1EFE" w:rsidRDefault="00BE1EFE" w:rsidP="00E46EA2">
      <w:pPr>
        <w:pStyle w:val="StandardWeb"/>
      </w:pPr>
    </w:p>
    <w:p w:rsidR="00BE1EFE" w:rsidRDefault="00BE1EFE" w:rsidP="00E46EA2">
      <w:pPr>
        <w:pStyle w:val="StandardWeb"/>
      </w:pPr>
      <w:r>
        <w:t>(6) Die einmalige Pauschalzahlung steht anspruchsberechtigten Beschäftigten im Kalender</w:t>
      </w:r>
      <w:r>
        <w:softHyphen/>
        <w:t>jahr 2015 nur einmal zu.</w:t>
      </w:r>
    </w:p>
    <w:p w:rsidR="00BE1EFE" w:rsidRDefault="00BE1EFE" w:rsidP="00E46EA2">
      <w:pPr>
        <w:pStyle w:val="StandardWeb"/>
      </w:pPr>
    </w:p>
    <w:p w:rsidR="00BE1EFE" w:rsidRDefault="00BE1EFE" w:rsidP="00AD0F58">
      <w:pPr>
        <w:pStyle w:val="StandardWeb"/>
      </w:pPr>
      <w:r>
        <w:t>(7) Die einmalige Pauschalzahlung ist bei der Bemessung sonstiger Leistungen nicht zu berücksichtigen.</w:t>
      </w:r>
    </w:p>
    <w:p w:rsidR="00BE1EFE" w:rsidRDefault="00BE1EFE" w:rsidP="00E33938">
      <w:pPr>
        <w:pStyle w:val="StandardWeb"/>
      </w:pPr>
    </w:p>
    <w:p w:rsidR="00960D2F" w:rsidRPr="00960D2F" w:rsidRDefault="00BE1EFE" w:rsidP="00960D2F">
      <w:pPr>
        <w:pStyle w:val="StandardWeb"/>
        <w:rPr>
          <w:sz w:val="2"/>
          <w:szCs w:val="2"/>
        </w:rPr>
      </w:pPr>
      <w:r>
        <w:br w:type="page"/>
      </w:r>
    </w:p>
    <w:p w:rsidR="00BE1EFE" w:rsidRDefault="00BE1EFE" w:rsidP="00E87479">
      <w:pPr>
        <w:pStyle w:val="berschrift4"/>
        <w:spacing w:before="0"/>
      </w:pPr>
      <w:bookmarkStart w:id="1078" w:name="_Toc523926596"/>
      <w:r>
        <w:lastRenderedPageBreak/>
        <w:t>D, 13. Regelung über die einmalige Sonderzahlung 2011</w:t>
      </w:r>
      <w:bookmarkEnd w:id="1078"/>
    </w:p>
    <w:p w:rsidR="00BE1EFE" w:rsidRDefault="00BE1EFE">
      <w:pPr>
        <w:pStyle w:val="berschrift5"/>
      </w:pPr>
      <w:bookmarkStart w:id="1079" w:name="_Toc523926597"/>
      <w:r>
        <w:t>§ 1 Geltungsbereich</w:t>
      </w:r>
      <w:bookmarkEnd w:id="1079"/>
    </w:p>
    <w:p w:rsidR="00BE1EFE" w:rsidRPr="00B76821" w:rsidRDefault="00BE1EFE" w:rsidP="00B76821">
      <w:pPr>
        <w:pStyle w:val="berschrift6"/>
        <w:keepNext w:val="0"/>
        <w:spacing w:before="0" w:after="0"/>
        <w:rPr>
          <w:sz w:val="2"/>
        </w:rPr>
      </w:pPr>
    </w:p>
    <w:p w:rsidR="00BE1EFE" w:rsidRPr="000B1AF8" w:rsidRDefault="00BE1EFE">
      <w:pPr>
        <w:pStyle w:val="StandardWeb"/>
      </w:pPr>
      <w:r>
        <w:t>Diese Regelung gilt für Beschäftigte, die von einem der nachstehenden Teile des Arbeitsvertragsrechts der bayerischen Diözesen (ABD) erfasst werden:</w:t>
      </w:r>
    </w:p>
    <w:p w:rsidR="00BE1EFE" w:rsidRPr="000B1AF8" w:rsidRDefault="00BE1EFE">
      <w:pPr>
        <w:pStyle w:val="StandardWeb"/>
      </w:pPr>
    </w:p>
    <w:p w:rsidR="00BE1EFE" w:rsidRPr="002D1F1D" w:rsidRDefault="00BE1EFE">
      <w:pPr>
        <w:pStyle w:val="StandardWeb"/>
        <w:rPr>
          <w:rStyle w:val="Hyperlink"/>
        </w:rPr>
      </w:pPr>
      <w:r>
        <w:t>a) </w:t>
      </w:r>
      <w:r>
        <w:fldChar w:fldCharType="begin"/>
      </w:r>
      <w:r>
        <w:instrText>HYPERLINK "https://onlineabd.de/online-abd/abd?DatumAuswahl=&amp;Kat=27007"</w:instrText>
      </w:r>
      <w:r>
        <w:fldChar w:fldCharType="separate"/>
      </w:r>
      <w:r w:rsidRPr="002D1F1D">
        <w:rPr>
          <w:rStyle w:val="Hyperlink"/>
        </w:rPr>
        <w:t>ABD Teil A, 1. (Allgemeiner Teil)</w:t>
      </w:r>
    </w:p>
    <w:p w:rsidR="00BE1EFE" w:rsidRDefault="00BE1EFE">
      <w:pPr>
        <w:pStyle w:val="StandardWeb"/>
      </w:pPr>
      <w:r>
        <w:fldChar w:fldCharType="end"/>
      </w:r>
      <w:r>
        <w:t>b) </w:t>
      </w:r>
      <w:hyperlink r:id="rId1682" w:history="1">
        <w:r w:rsidRPr="002D1F1D">
          <w:rPr>
            <w:rStyle w:val="Hyperlink"/>
          </w:rPr>
          <w:t>ABD Teil E, 1. (Regelung für Auszubildende)</w:t>
        </w:r>
      </w:hyperlink>
    </w:p>
    <w:p w:rsidR="00BE1EFE" w:rsidRDefault="00BE1EFE">
      <w:pPr>
        <w:pStyle w:val="StandardWeb"/>
      </w:pPr>
      <w:r>
        <w:t>c) </w:t>
      </w:r>
      <w:hyperlink r:id="rId1683" w:history="1">
        <w:r w:rsidRPr="002D1F1D">
          <w:rPr>
            <w:rStyle w:val="Hyperlink"/>
          </w:rPr>
          <w:t>ABD Teil E, 2. (Regelung für Praktikantinnen und Praktikanten)</w:t>
        </w:r>
      </w:hyperlink>
    </w:p>
    <w:p w:rsidR="00BE1EFE" w:rsidRDefault="00BE1EFE">
      <w:pPr>
        <w:pStyle w:val="berschrift5"/>
      </w:pPr>
      <w:bookmarkStart w:id="1080" w:name="_Toc523926598"/>
      <w:r>
        <w:t>§ 2 Einmalige Sonderzahlung 2011 für Beschäftigte</w:t>
      </w:r>
      <w:bookmarkEnd w:id="1080"/>
    </w:p>
    <w:p w:rsidR="00BE1EFE" w:rsidRPr="00B76821" w:rsidRDefault="00BE1EFE" w:rsidP="00B76821">
      <w:pPr>
        <w:pStyle w:val="berschrift6"/>
        <w:keepNext w:val="0"/>
        <w:spacing w:before="0" w:after="0"/>
        <w:rPr>
          <w:sz w:val="2"/>
        </w:rPr>
      </w:pPr>
    </w:p>
    <w:p w:rsidR="00BE1EFE" w:rsidRPr="000B1AF8" w:rsidRDefault="00BE1EFE">
      <w:pPr>
        <w:pStyle w:val="StandardWeb"/>
      </w:pPr>
      <w:r>
        <w:t>(1) Die unter § 1 fallenden Beschäftigten erhalten mit dem Entgelt für den Kalendermonat Januar 2011 eine einmalige Sonderzahlung in Höhe von 240 Euro, wenn sie an mindestens einem Tag dieses Monats Anspruch auf Entgelt haben.</w:t>
      </w:r>
      <w:r w:rsidRPr="009C6551">
        <w:rPr>
          <w:rStyle w:val="kleinschrift1"/>
        </w:rPr>
        <w:t> </w:t>
      </w:r>
    </w:p>
    <w:p w:rsidR="00BE1EFE" w:rsidRDefault="00BE1EFE">
      <w:pPr>
        <w:pStyle w:val="StandardWeb"/>
      </w:pPr>
      <w:r>
        <w:rPr>
          <w:sz w:val="12"/>
          <w:szCs w:val="12"/>
        </w:rPr>
        <w:t>Anmerkung zu Absatz 1:</w:t>
      </w:r>
    </w:p>
    <w:p w:rsidR="00BE1EFE" w:rsidRDefault="00BE1EFE">
      <w:pPr>
        <w:pStyle w:val="StandardWeb"/>
      </w:pPr>
      <w:r>
        <w:rPr>
          <w:sz w:val="12"/>
          <w:szCs w:val="12"/>
        </w:rPr>
        <w:t xml:space="preserve">1Anspruch auf Entgelt im Sinne des Absatzes 1 sind auch der Anspruch auf Entgeltfortzahlung aus Anlass der in </w:t>
      </w:r>
      <w:hyperlink r:id="rId1684" w:history="1">
        <w:r w:rsidRPr="002D1F1D">
          <w:rPr>
            <w:rStyle w:val="Hyperlink"/>
            <w:sz w:val="12"/>
            <w:szCs w:val="12"/>
          </w:rPr>
          <w:t>§ 21 Satz 1 ABD Teil A, 1.</w:t>
        </w:r>
      </w:hyperlink>
      <w:r>
        <w:rPr>
          <w:sz w:val="12"/>
          <w:szCs w:val="12"/>
        </w:rPr>
        <w:t xml:space="preserve"> genannten Ereignisse und der Anspruch auf Krankengeldzuschuss (</w:t>
      </w:r>
      <w:hyperlink r:id="rId1685" w:history="1">
        <w:r w:rsidRPr="002D1F1D">
          <w:rPr>
            <w:rStyle w:val="Hyperlink"/>
            <w:sz w:val="12"/>
            <w:szCs w:val="12"/>
          </w:rPr>
          <w:t>§ 22 Absatz 2 ABD Teil A, 1.</w:t>
        </w:r>
      </w:hyperlink>
      <w:r>
        <w:rPr>
          <w:sz w:val="12"/>
          <w:szCs w:val="12"/>
        </w:rPr>
        <w:t xml:space="preserve">), auch wenn dieser wegen der Höhe der Barleistungen des Sozialversicherungsträgers nicht gezahlt wird. 2Einem Anspruch auf Entgelt gleichgestellt ist der Bezug von Krankengeld nach </w:t>
      </w:r>
      <w:hyperlink r:id="rId1686" w:tgtFrame="_blank" w:history="1">
        <w:r>
          <w:rPr>
            <w:rStyle w:val="Hyperlink"/>
            <w:sz w:val="12"/>
            <w:szCs w:val="12"/>
          </w:rPr>
          <w:t>§ 45 SGB V</w:t>
        </w:r>
      </w:hyperlink>
      <w:r>
        <w:rPr>
          <w:sz w:val="12"/>
          <w:szCs w:val="12"/>
        </w:rPr>
        <w:t xml:space="preserve"> oder entsprechender gesetzlicher Leistungen und der Bezug von Mutterschaftsgeld nach </w:t>
      </w:r>
      <w:hyperlink r:id="rId1687" w:tgtFrame="_blank" w:history="1">
        <w:r>
          <w:rPr>
            <w:rStyle w:val="Hyperlink"/>
            <w:sz w:val="12"/>
            <w:szCs w:val="12"/>
          </w:rPr>
          <w:t>§ 13 MuSchG</w:t>
        </w:r>
      </w:hyperlink>
      <w:r>
        <w:rPr>
          <w:sz w:val="12"/>
          <w:szCs w:val="12"/>
        </w:rPr>
        <w:t xml:space="preserve"> oder </w:t>
      </w:r>
      <w:hyperlink r:id="rId1688" w:tgtFrame="_blank" w:history="1">
        <w:r>
          <w:rPr>
            <w:rStyle w:val="Hyperlink"/>
            <w:sz w:val="12"/>
            <w:szCs w:val="12"/>
          </w:rPr>
          <w:t>§ 200 RVO</w:t>
        </w:r>
      </w:hyperlink>
      <w:r>
        <w:rPr>
          <w:sz w:val="12"/>
          <w:szCs w:val="12"/>
        </w:rPr>
        <w:t>. 3Saisonkräfte, die im Januar 2011 in einem unbefristeten Arbeitsverhältnis stehen, erhalten im November 2011 von der einmaligen Sonderzahlung je angefangenem Beschäftigungsmonat im Kalenderjahr 2011 ein Zwölftel.</w:t>
      </w:r>
    </w:p>
    <w:p w:rsidR="00BE1EFE" w:rsidRDefault="00BE1EFE">
      <w:pPr>
        <w:pStyle w:val="StandardWeb"/>
      </w:pPr>
    </w:p>
    <w:p w:rsidR="00BE1EFE" w:rsidRDefault="00BE1EFE">
      <w:pPr>
        <w:pStyle w:val="StandardWeb"/>
      </w:pPr>
      <w:r>
        <w:t>(2) </w:t>
      </w:r>
      <w:r>
        <w:rPr>
          <w:rStyle w:val="kleinschrift"/>
        </w:rPr>
        <w:t>1</w:t>
      </w:r>
      <w:hyperlink r:id="rId1689" w:history="1">
        <w:r w:rsidRPr="002D1F1D">
          <w:rPr>
            <w:rStyle w:val="Hyperlink"/>
          </w:rPr>
          <w:t>§ 24 Absatz 2 ABD Teil A, 1.</w:t>
        </w:r>
      </w:hyperlink>
      <w:r>
        <w:t xml:space="preserve"> gilt entsprechend. </w:t>
      </w:r>
      <w:r>
        <w:rPr>
          <w:rStyle w:val="kleinschrift"/>
        </w:rPr>
        <w:t>2</w:t>
      </w:r>
      <w:r>
        <w:t>Maßgeblich sind die jeweiligen Verhält</w:t>
      </w:r>
      <w:r>
        <w:softHyphen/>
        <w:t xml:space="preserve">nisse am 1. Januar 2011. </w:t>
      </w:r>
      <w:r>
        <w:rPr>
          <w:rStyle w:val="kleinschrift"/>
        </w:rPr>
        <w:t>3</w:t>
      </w:r>
      <w:r>
        <w:t>Beginnt das Arbeitsverhältnis erst nach dem 1. Januar 2011, sind die Verhältnisse des ersten Tages des Arbeitsverhältnisses maßgeblich.</w:t>
      </w:r>
    </w:p>
    <w:p w:rsidR="00BE1EFE" w:rsidRDefault="00BE1EFE">
      <w:pPr>
        <w:pStyle w:val="StandardWeb"/>
      </w:pPr>
    </w:p>
    <w:p w:rsidR="00BE1EFE" w:rsidRDefault="00BE1EFE">
      <w:pPr>
        <w:pStyle w:val="StandardWeb"/>
      </w:pPr>
      <w:r>
        <w:t>(3) Wird im Laufe des Monats Januar 2011 ein neues Arbeitsverhältnis begonnen, wird kein weiterer Anspruch begründet.</w:t>
      </w:r>
    </w:p>
    <w:p w:rsidR="00BE1EFE" w:rsidRDefault="00BE1EFE">
      <w:pPr>
        <w:pStyle w:val="StandardWeb"/>
      </w:pPr>
    </w:p>
    <w:p w:rsidR="00BE1EFE" w:rsidRDefault="00BE1EFE">
      <w:pPr>
        <w:pStyle w:val="StandardWeb"/>
      </w:pPr>
      <w:r>
        <w:t>(4) Die einmalige Sonderzahlung ist bei der Bemessung sonstiger Leistungen nicht zu berücksichtigen.</w:t>
      </w:r>
    </w:p>
    <w:p w:rsidR="00BE1EFE" w:rsidRDefault="00BE1EFE">
      <w:pPr>
        <w:pStyle w:val="berschrift5"/>
      </w:pPr>
      <w:bookmarkStart w:id="1081" w:name="_Toc523926599"/>
      <w:r>
        <w:t>§ 3 Einmalige Sonderzahlung 2011 für Auszubildende und Praktikan</w:t>
      </w:r>
      <w:r>
        <w:rPr>
          <w:lang w:eastAsia="x-none"/>
        </w:rPr>
        <w:softHyphen/>
      </w:r>
      <w:r>
        <w:t>tinnen/Praktikanten</w:t>
      </w:r>
      <w:bookmarkEnd w:id="1081"/>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Für die unter </w:t>
      </w:r>
      <w:hyperlink r:id="rId1690" w:history="1">
        <w:r w:rsidRPr="002D1F1D">
          <w:rPr>
            <w:rStyle w:val="Hyperlink"/>
          </w:rPr>
          <w:t>§ 1 Buchstabe b und c</w:t>
        </w:r>
      </w:hyperlink>
      <w:r>
        <w:t xml:space="preserve"> fallenden Auszubildenden und Praktikantinnen und Praktikanten gilt </w:t>
      </w:r>
      <w:hyperlink r:id="rId1691" w:history="1">
        <w:r w:rsidRPr="002D1F1D">
          <w:rPr>
            <w:rStyle w:val="Hyperlink"/>
          </w:rPr>
          <w:t>§ 2</w:t>
        </w:r>
      </w:hyperlink>
      <w:r>
        <w:t xml:space="preserve"> mit der Maßgabe, dass sie eine einmalige Sonderzahlung in Höhe von 50 Euro erhalten.</w:t>
      </w:r>
    </w:p>
    <w:p w:rsidR="00BE1EFE" w:rsidRDefault="00BE1EFE">
      <w:pPr>
        <w:pStyle w:val="berschrift5"/>
      </w:pPr>
      <w:bookmarkStart w:id="1082" w:name="_Toc523926600"/>
      <w:r>
        <w:t>§ 4 Inkrafttreten</w:t>
      </w:r>
      <w:bookmarkEnd w:id="1082"/>
    </w:p>
    <w:p w:rsidR="00BE1EFE" w:rsidRPr="00B76821" w:rsidRDefault="00BE1EFE" w:rsidP="00B76821">
      <w:pPr>
        <w:pStyle w:val="berschrift6"/>
        <w:keepNext w:val="0"/>
        <w:spacing w:before="0" w:after="0"/>
        <w:rPr>
          <w:sz w:val="2"/>
        </w:rPr>
      </w:pPr>
    </w:p>
    <w:p w:rsidR="00BE1EFE" w:rsidRDefault="00BE1EFE">
      <w:pPr>
        <w:pStyle w:val="StandardWeb"/>
      </w:pPr>
      <w:r>
        <w:t xml:space="preserve">Diese Regelung ist gemäß </w:t>
      </w:r>
      <w:hyperlink r:id="rId1692" w:history="1">
        <w:r w:rsidRPr="002D1F1D">
          <w:rPr>
            <w:rStyle w:val="Hyperlink"/>
          </w:rPr>
          <w:t>§ 20a Teil A, 1.</w:t>
        </w:r>
      </w:hyperlink>
      <w:r>
        <w:t xml:space="preserve"> zum 1. Januar 2010 in Kraft getreten.</w:t>
      </w:r>
    </w:p>
    <w:p w:rsidR="00BE1EFE" w:rsidRPr="000B1AF8" w:rsidRDefault="00BE1EFE" w:rsidP="00BF51C4">
      <w:pPr>
        <w:pStyle w:val="Leerzeile"/>
      </w:pPr>
      <w:r>
        <w:br w:type="page"/>
      </w:r>
    </w:p>
    <w:p w:rsidR="00BE1EFE" w:rsidRDefault="00BE1EFE" w:rsidP="00FF480D">
      <w:pPr>
        <w:pStyle w:val="berschrift3"/>
        <w:spacing w:before="0"/>
      </w:pPr>
      <w:bookmarkStart w:id="1083" w:name="_Toc523926601"/>
      <w:r>
        <w:lastRenderedPageBreak/>
        <w:t>Teil E: Auszubildende und Praktikanten</w:t>
      </w:r>
      <w:bookmarkEnd w:id="1083"/>
    </w:p>
    <w:p w:rsidR="00BE1EFE" w:rsidRDefault="00BE1EFE" w:rsidP="002E7CF4">
      <w:pPr>
        <w:pStyle w:val="berschrift4"/>
        <w:jc w:val="both"/>
      </w:pPr>
      <w:bookmarkStart w:id="1084" w:name="_Toc523926602"/>
      <w:r>
        <w:t>E, 1. Regelungen für Auszubildende</w:t>
      </w:r>
      <w:bookmarkEnd w:id="1084"/>
    </w:p>
    <w:p w:rsidR="00BE1EFE" w:rsidRDefault="00BE1EFE" w:rsidP="002E7CF4">
      <w:pPr>
        <w:pStyle w:val="berschrift5"/>
        <w:jc w:val="both"/>
      </w:pPr>
      <w:bookmarkStart w:id="1085" w:name="_Toc523926603"/>
      <w:r>
        <w:t>1.1. Regelung für Auszubildende</w:t>
      </w:r>
      <w:bookmarkEnd w:id="1085"/>
    </w:p>
    <w:p w:rsidR="00BE1EFE" w:rsidRDefault="00BE1EFE">
      <w:pPr>
        <w:pStyle w:val="berschrift6"/>
      </w:pPr>
      <w:bookmarkStart w:id="1086" w:name="_Toc523926604"/>
      <w:r>
        <w:t>§ 1 Geltungsbereich</w:t>
      </w:r>
      <w:bookmarkEnd w:id="1086"/>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Default="00BE1EFE">
      <w:pPr>
        <w:pStyle w:val="StandardWeb"/>
      </w:pPr>
      <w:r>
        <w:t>(1) Diese Regelung gilt für</w:t>
      </w:r>
    </w:p>
    <w:p w:rsidR="00BE1EFE" w:rsidRDefault="00BE1EFE">
      <w:pPr>
        <w:pStyle w:val="StandardWeb"/>
      </w:pPr>
      <w:r>
        <w:t>a) Personen, die in Verwaltungen und Betrieben, die unter den Geltungsbereich des ABD fallen, in einem staatlich anerkannten oder als staatlich anerkannt geltenden Ausbildungsberuf ausgebildet werden,</w:t>
      </w:r>
    </w:p>
    <w:p w:rsidR="00BE1EFE" w:rsidRPr="000B1AF8" w:rsidRDefault="00BE1EFE">
      <w:pPr>
        <w:pStyle w:val="StandardWeb"/>
      </w:pPr>
      <w:r>
        <w:t>b) Schülerinnen/Schüler in der Gesundheits- und Krankenpflege, Gesundheits- und Kinder</w:t>
      </w:r>
      <w:r>
        <w:softHyphen/>
        <w:t>krankenpflege, Entbindungspflege und Altenpflege, die in Verwaltungen und Betrieben, die unter den Geltungsbereich des ABD fallen, ausgebildet werden.</w:t>
      </w:r>
    </w:p>
    <w:p w:rsidR="00BE1EFE" w:rsidRPr="000B1AF8" w:rsidRDefault="00BE1EFE">
      <w:pPr>
        <w:pStyle w:val="StandardWeb"/>
      </w:pPr>
    </w:p>
    <w:p w:rsidR="00BE1EFE" w:rsidRDefault="00BE1EFE">
      <w:pPr>
        <w:pStyle w:val="StandardWeb"/>
      </w:pPr>
      <w:r>
        <w:t>(2) Diese Regelung gilt nicht für</w:t>
      </w:r>
    </w:p>
    <w:p w:rsidR="00BE1EFE" w:rsidRDefault="00BE1EFE">
      <w:pPr>
        <w:pStyle w:val="StandardWeb"/>
      </w:pPr>
      <w:r>
        <w:t>a) Schülerinnen/Schüler in der Krankenpflegehilfe und Altenpflegehilfe sowie Heilerziehungs</w:t>
      </w:r>
      <w:r>
        <w:softHyphen/>
        <w:t>pflegeschüler/innen,</w:t>
      </w:r>
    </w:p>
    <w:p w:rsidR="00BE1EFE" w:rsidRDefault="00BE1EFE">
      <w:pPr>
        <w:pStyle w:val="StandardWeb"/>
      </w:pPr>
      <w:r>
        <w:t>b) Praktikantinnen/Praktikanten und Volontärinnen/Volontäre,</w:t>
      </w:r>
    </w:p>
    <w:p w:rsidR="00BE1EFE" w:rsidRDefault="00BE1EFE">
      <w:pPr>
        <w:pStyle w:val="StandardWeb"/>
      </w:pPr>
      <w:r>
        <w:t>c) Auszubildende, die in Ausbildungsberufen der Landwirtschaft, des Weinbaus oder der Forstwirtschaft ausgebildet werden, es sei denn, dass die Beschäftigten des Ausbildenden unter das ABD fallen,</w:t>
      </w:r>
    </w:p>
    <w:p w:rsidR="00BE1EFE" w:rsidRDefault="00BE1EFE">
      <w:pPr>
        <w:pStyle w:val="StandardWeb"/>
      </w:pPr>
      <w:r>
        <w:t>d) körperlich, geistig oder seelisch behinderte Personen, die aufgrund ihrer Behinderung in besonderen Ausbildungswerkstätten, Berufsförderungswerkstätten oder in Lebenshilfe</w:t>
      </w:r>
      <w:r>
        <w:softHyphen/>
        <w:t>einrichtungen ausgebildet werden.</w:t>
      </w:r>
    </w:p>
    <w:p w:rsidR="00BE1EFE" w:rsidRDefault="00BE1EFE">
      <w:pPr>
        <w:pStyle w:val="StandardWeb"/>
      </w:pPr>
    </w:p>
    <w:p w:rsidR="00BE1EFE" w:rsidRDefault="00BE1EFE">
      <w:pPr>
        <w:pStyle w:val="StandardWeb"/>
      </w:pPr>
      <w:r>
        <w:t>(3) Soweit in dieser Regelung nichts anderes geregelt ist, gelten die jeweils einschlägigen gesetzlichen Vorschriften.</w:t>
      </w:r>
    </w:p>
    <w:p w:rsidR="00BE1EFE" w:rsidRDefault="00BE1EFE">
      <w:pPr>
        <w:pStyle w:val="berschrift6"/>
      </w:pPr>
      <w:bookmarkStart w:id="1087" w:name="_Toc523926605"/>
      <w:r>
        <w:t>§ 2 Ausbildungsvertrag, Nebenabreden</w:t>
      </w:r>
      <w:bookmarkEnd w:id="1087"/>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Default="00BE1EFE">
      <w:pPr>
        <w:pStyle w:val="StandardWeb"/>
      </w:pPr>
      <w:r>
        <w:t xml:space="preserve">(1) Vor Beginn des Ausbildungsverhältnisses ist ein schriftlicher Ausbildungsvertrag zu schließen, der neben der Bezeichnung des Ausbildungsberufs mindestens Angaben enthält über </w:t>
      </w:r>
    </w:p>
    <w:p w:rsidR="00BE1EFE" w:rsidRDefault="00BE1EFE">
      <w:pPr>
        <w:pStyle w:val="StandardWeb"/>
      </w:pPr>
      <w:r>
        <w:t xml:space="preserve">a) die maßgebliche Ausbildungs- und Prüfungsordnung in der jeweils geltenden Fassung sowie Art, sachliche und zeitliche Gliederung der Ausbildung, </w:t>
      </w:r>
    </w:p>
    <w:p w:rsidR="00BE1EFE" w:rsidRDefault="00BE1EFE">
      <w:pPr>
        <w:pStyle w:val="StandardWeb"/>
      </w:pPr>
      <w:r>
        <w:t xml:space="preserve">b) Beginn und Dauer der Ausbildung, </w:t>
      </w:r>
    </w:p>
    <w:p w:rsidR="00BE1EFE" w:rsidRDefault="00BE1EFE">
      <w:pPr>
        <w:pStyle w:val="StandardWeb"/>
      </w:pPr>
      <w:r>
        <w:t xml:space="preserve">c) Dauer der regelmäßigen täglichen oder wöchentlichen Ausbildungszeit, </w:t>
      </w:r>
    </w:p>
    <w:p w:rsidR="00BE1EFE" w:rsidRDefault="00BE1EFE">
      <w:pPr>
        <w:pStyle w:val="StandardWeb"/>
      </w:pPr>
      <w:r>
        <w:t xml:space="preserve">d) Dauer der Probezeit, </w:t>
      </w:r>
    </w:p>
    <w:p w:rsidR="00BE1EFE" w:rsidRDefault="00BE1EFE">
      <w:pPr>
        <w:pStyle w:val="StandardWeb"/>
      </w:pPr>
      <w:r>
        <w:t xml:space="preserve">e) Zahlung und Höhe des Ausbildungsentgelts, </w:t>
      </w:r>
    </w:p>
    <w:p w:rsidR="00BE1EFE" w:rsidRDefault="00BE1EFE">
      <w:pPr>
        <w:pStyle w:val="StandardWeb"/>
      </w:pPr>
      <w:r>
        <w:t xml:space="preserve">f) Dauer des Urlaubs, </w:t>
      </w:r>
    </w:p>
    <w:p w:rsidR="00BE1EFE" w:rsidRDefault="00BE1EFE">
      <w:pPr>
        <w:pStyle w:val="StandardWeb"/>
      </w:pPr>
      <w:r>
        <w:t xml:space="preserve">g) Voraussetzungen, unter denen der Ausbildungsvertrag gekündigt werden kann, </w:t>
      </w:r>
    </w:p>
    <w:p w:rsidR="00BE1EFE" w:rsidRPr="000B1AF8" w:rsidRDefault="00BE1EFE">
      <w:pPr>
        <w:pStyle w:val="StandardWeb"/>
      </w:pPr>
      <w:r>
        <w:t>h) die Geltung der Regelungen des ABD sowie einen in allgemeiner Form gehaltenen Hinweis auf die auf das Ausbildungsverhältnis anzuwendenden Dienstvereinbarungen.</w:t>
      </w:r>
    </w:p>
    <w:p w:rsidR="00BE1EFE" w:rsidRPr="000B1AF8" w:rsidRDefault="00BE1EFE">
      <w:pPr>
        <w:pStyle w:val="StandardWeb"/>
      </w:pPr>
    </w:p>
    <w:p w:rsidR="00BE1EFE" w:rsidRDefault="00BE1EFE">
      <w:pPr>
        <w:pStyle w:val="StandardWeb"/>
      </w:pPr>
      <w:r>
        <w:t>(2)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berschrift6"/>
      </w:pPr>
      <w:bookmarkStart w:id="1088" w:name="_Toc523926606"/>
      <w:r>
        <w:lastRenderedPageBreak/>
        <w:t>§ 3 Probezeit</w:t>
      </w:r>
      <w:bookmarkEnd w:id="1088"/>
    </w:p>
    <w:p w:rsidR="00BE1EFE" w:rsidRPr="00B76821" w:rsidRDefault="00BE1EFE" w:rsidP="00B76821">
      <w:pPr>
        <w:pStyle w:val="h7"/>
        <w:keepNext w:val="0"/>
        <w:spacing w:before="0" w:after="0"/>
        <w:jc w:val="left"/>
        <w:outlineLvl w:val="5"/>
        <w:rPr>
          <w:sz w:val="2"/>
        </w:rPr>
      </w:pPr>
    </w:p>
    <w:p w:rsidR="00BE1EFE" w:rsidRPr="00F368AE" w:rsidRDefault="00BE1EFE" w:rsidP="00F368AE">
      <w:pPr>
        <w:pStyle w:val="lh7"/>
        <w:ind w:left="0"/>
        <w:jc w:val="left"/>
        <w:rPr>
          <w:sz w:val="2"/>
          <w:szCs w:val="2"/>
        </w:rPr>
      </w:pPr>
    </w:p>
    <w:p w:rsidR="00BE1EFE" w:rsidRPr="000B1AF8" w:rsidRDefault="00BE1EFE">
      <w:pPr>
        <w:pStyle w:val="StandardWeb"/>
      </w:pPr>
      <w:r>
        <w:t>(1) Die Probezeit beträgt drei Monate.</w:t>
      </w:r>
    </w:p>
    <w:p w:rsidR="00BE1EFE" w:rsidRPr="000B1AF8" w:rsidRDefault="00BE1EFE">
      <w:pPr>
        <w:pStyle w:val="StandardWeb"/>
      </w:pPr>
    </w:p>
    <w:p w:rsidR="00BE1EFE" w:rsidRDefault="00BE1EFE">
      <w:pPr>
        <w:pStyle w:val="StandardWeb"/>
      </w:pPr>
      <w:r>
        <w:t>(2) Während der Probezeit kann das Ausbildungsverhältnis von beiden Seiten jederzeit ohne Einhalten einer Kündigungsfrist gekündigt werden.</w:t>
      </w:r>
    </w:p>
    <w:p w:rsidR="00BE1EFE" w:rsidRDefault="00BE1EFE">
      <w:pPr>
        <w:pStyle w:val="berschrift6"/>
      </w:pPr>
      <w:bookmarkStart w:id="1089" w:name="_Toc523926607"/>
      <w:r>
        <w:t>§ 4 Ärztliche Untersuchungen</w:t>
      </w:r>
      <w:bookmarkEnd w:id="1089"/>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Auszubildende haben auf Verlangen des Ausbildenden vor ihrer Einstellung ihre gesund</w:t>
      </w:r>
      <w:r>
        <w:softHyphen/>
        <w:t xml:space="preserve">heitliche Eignung durch das Zeugnis einer/eines vom Ausbildenden benannten Ärztin/Arztes nachzuweisen. </w:t>
      </w:r>
      <w:r>
        <w:rPr>
          <w:rStyle w:val="kleinschrift"/>
        </w:rPr>
        <w:t>2</w:t>
      </w:r>
      <w:r>
        <w:t xml:space="preserve">Für Auszubildende, die unter das Jugendarbeitsschutzgesetz fallen, ist ergänzend </w:t>
      </w:r>
      <w:hyperlink r:id="rId1693" w:tgtFrame="_blank" w:history="1">
        <w:r>
          <w:rPr>
            <w:rStyle w:val="Hyperlink"/>
          </w:rPr>
          <w:t>§ 32 Absatz 1 JArbSchG</w:t>
        </w:r>
      </w:hyperlink>
      <w:r>
        <w:t xml:space="preserve"> zu beachten.</w:t>
      </w:r>
    </w:p>
    <w:p w:rsidR="00BE1EFE" w:rsidRPr="000B1AF8" w:rsidRDefault="00BE1EFE">
      <w:pPr>
        <w:pStyle w:val="StandardWeb"/>
      </w:pPr>
    </w:p>
    <w:p w:rsidR="00BE1EFE" w:rsidRDefault="00BE1EFE">
      <w:pPr>
        <w:pStyle w:val="StandardWeb"/>
      </w:pPr>
      <w:r>
        <w:t>(2) </w:t>
      </w:r>
      <w:r>
        <w:rPr>
          <w:rStyle w:val="kleinschrift"/>
        </w:rPr>
        <w:t>1</w:t>
      </w:r>
      <w:r>
        <w:t xml:space="preserve">Der Ausbildende ist bei begründeter Veranlassung berechtigt, Auszubildende zu verpflichten, durch ärztliche Bescheinigung nachzuweisen, dass sie in der Lage sind, die nach dem Ausbildungsvertrag übernommenen Verpflichtungen zu erfüllen. </w:t>
      </w:r>
      <w:r>
        <w:rPr>
          <w:rStyle w:val="kleinschrift"/>
        </w:rPr>
        <w:t>2</w:t>
      </w:r>
      <w:r>
        <w:t xml:space="preserve">Bei der beauftragten Ärztin/dem beauftragten Arzt kann es sich um eine Vertrauensärztin/einen Vertrauensarzt oder eine Betriebsärztin/einen Betriebsarzt handeln. </w:t>
      </w:r>
      <w:r>
        <w:rPr>
          <w:rStyle w:val="kleinschrift"/>
        </w:rPr>
        <w:t>3</w:t>
      </w:r>
      <w:r>
        <w:t>Die Kosten dieser Untersuchung trägt der Ausbildende.</w:t>
      </w:r>
    </w:p>
    <w:p w:rsidR="00BE1EFE" w:rsidRDefault="00BE1EFE">
      <w:pPr>
        <w:pStyle w:val="StandardWeb"/>
      </w:pPr>
      <w:r>
        <w:rPr>
          <w:sz w:val="12"/>
          <w:szCs w:val="12"/>
        </w:rPr>
        <w:t>Protokollnotiz zu Absatz 2:</w:t>
      </w:r>
    </w:p>
    <w:p w:rsidR="00BE1EFE" w:rsidRDefault="00BE1EFE">
      <w:pPr>
        <w:pStyle w:val="StandardWeb"/>
      </w:pPr>
      <w:r>
        <w:rPr>
          <w:sz w:val="12"/>
          <w:szCs w:val="12"/>
        </w:rPr>
        <w:t>Unter Vertrauensärztin/Vertrauensarzt im Sinne des Absatz 2 ist eine/ein vom Ausbildenden mit der Untersuchung beauftragte Ärztin/beauftragter Arzt zu verstehen.</w:t>
      </w:r>
    </w:p>
    <w:p w:rsidR="00BE1EFE" w:rsidRDefault="00BE1EFE">
      <w:pPr>
        <w:pStyle w:val="StandardWeb"/>
      </w:pPr>
    </w:p>
    <w:p w:rsidR="00BE1EFE" w:rsidRDefault="00BE1EFE">
      <w:pPr>
        <w:pStyle w:val="StandardWeb"/>
      </w:pPr>
      <w:r>
        <w:t>(3) Auszubildende, die besonderen Ansteckungsgefahren ausgesetzt, mit gesundheits</w:t>
      </w:r>
      <w:r>
        <w:softHyphen/>
        <w:t>gefährdenden Tätigkeiten beschäftigt oder mit der Zubereitung von Speisen beauftragt sind, sind in regelmäßigen Zeitabständen oder auf ihren Antrag bei Beendigung des Ausbildungs</w:t>
      </w:r>
      <w:r>
        <w:softHyphen/>
        <w:t>verhältnisses ärztlich zu untersuchen.</w:t>
      </w:r>
    </w:p>
    <w:p w:rsidR="00BE1EFE" w:rsidRDefault="00BE1EFE">
      <w:pPr>
        <w:pStyle w:val="berschrift6"/>
      </w:pPr>
      <w:bookmarkStart w:id="1090" w:name="_Toc523926608"/>
      <w:r>
        <w:t>§ 4a Belohnungen und Geschenke</w:t>
      </w:r>
      <w:bookmarkEnd w:id="1090"/>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 xml:space="preserve">Die Auszubildenden dürfen von Dritten Belohnungen, Geschenke, Provisionen oder sonstige Vergünstigungen in Bezug auf ihre Tätigkeit nicht annehmen. </w:t>
      </w:r>
      <w:r>
        <w:rPr>
          <w:rStyle w:val="kleinschrift"/>
        </w:rPr>
        <w:t>2</w:t>
      </w:r>
      <w:r>
        <w:t xml:space="preserve">Ausnahmen sind nur mit Zustimmung des Ausbildenden möglich. </w:t>
      </w:r>
      <w:r>
        <w:rPr>
          <w:rStyle w:val="kleinschrift"/>
        </w:rPr>
        <w:t>3</w:t>
      </w:r>
      <w:r>
        <w:t>Werden den Auszubildenden derartige Vergünsti</w:t>
      </w:r>
      <w:r>
        <w:softHyphen/>
        <w:t>gungen angeboten, haben sie dies dem Ausbildenden unverzüglich anzuzeigen.</w:t>
      </w:r>
    </w:p>
    <w:p w:rsidR="00BE1EFE" w:rsidRDefault="00BE1EFE">
      <w:pPr>
        <w:pStyle w:val="StandardWeb"/>
      </w:pPr>
      <w:r>
        <w:rPr>
          <w:sz w:val="12"/>
          <w:szCs w:val="12"/>
        </w:rPr>
        <w:t>Protokollnotiz:</w:t>
      </w:r>
    </w:p>
    <w:p w:rsidR="00BE1EFE" w:rsidRDefault="00BE1EFE">
      <w:pPr>
        <w:pStyle w:val="StandardWeb"/>
      </w:pPr>
      <w:r>
        <w:rPr>
          <w:sz w:val="12"/>
          <w:szCs w:val="12"/>
        </w:rPr>
        <w:t>1. Die Verletzung der Pflichten gemäß § 4 a kann einen wichtigen Grund zur außerordentlichen Kündigung darstellen; ggf. entsteht Schadensersatzpflicht.</w:t>
      </w:r>
    </w:p>
    <w:p w:rsidR="00BE1EFE" w:rsidRDefault="00BE1EFE">
      <w:pPr>
        <w:pStyle w:val="StandardWeb"/>
      </w:pPr>
      <w:r>
        <w:rPr>
          <w:sz w:val="12"/>
          <w:szCs w:val="12"/>
        </w:rPr>
        <w:t>2. Die Ausbildenden haben dafür Sorge zu tragen, dass ihre Auszubildenden in regelmäßigen Abständen über diese Verpflichtungen belehrt werden.</w:t>
      </w:r>
    </w:p>
    <w:p w:rsidR="00BE1EFE" w:rsidRDefault="00BE1EFE" w:rsidP="00397F30">
      <w:pPr>
        <w:pStyle w:val="StandardWeb"/>
      </w:pPr>
      <w:r>
        <w:rPr>
          <w:sz w:val="12"/>
          <w:szCs w:val="12"/>
        </w:rPr>
        <w:t>3. Die Ausbildenden haben etwaigen Verstößen nach Möglichkeit durch geeignete organisatorische und personalpolitische Maßnahmen vorzubeugen.</w:t>
      </w:r>
    </w:p>
    <w:p w:rsidR="00BE1EFE" w:rsidRDefault="00BE1EFE">
      <w:pPr>
        <w:pStyle w:val="berschrift6"/>
      </w:pPr>
      <w:bookmarkStart w:id="1091" w:name="_Toc523926609"/>
      <w:r>
        <w:t>§ 5 Schweigepflicht, Nebentätigkeiten, Schadenshaftung</w:t>
      </w:r>
      <w:bookmarkEnd w:id="1091"/>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Auszubildende haben in demselben Umfang Verschwiegenheit zu wahren wie die Beschäftigten des Ausbildenden.</w:t>
      </w:r>
    </w:p>
    <w:p w:rsidR="00BE1EFE" w:rsidRPr="000B1AF8" w:rsidRDefault="00BE1EFE">
      <w:pPr>
        <w:pStyle w:val="StandardWeb"/>
      </w:pPr>
    </w:p>
    <w:p w:rsidR="00BE1EFE" w:rsidRDefault="00BE1EFE">
      <w:pPr>
        <w:pStyle w:val="StandardWeb"/>
      </w:pPr>
      <w:r>
        <w:t>(2) </w:t>
      </w:r>
      <w:r>
        <w:rPr>
          <w:rStyle w:val="kleinschrift"/>
        </w:rPr>
        <w:t>1</w:t>
      </w:r>
      <w:r>
        <w:t xml:space="preserve">Nebentätigkeiten gegen Entgelt haben Auszubildende ihren Ausbildenden rechtzeitig vorher schriftlich anzuzeigen. </w:t>
      </w:r>
      <w:r>
        <w:rPr>
          <w:rStyle w:val="kleinschrift"/>
        </w:rPr>
        <w:t>2</w:t>
      </w:r>
      <w:r>
        <w:t xml:space="preserve">Der Ausbildende kann die Nebentätigkeit untersagen oder mit Auflagen versehen, wenn diese geeignet ist, die nach dem Ausbildungsvertrag </w:t>
      </w:r>
      <w:r>
        <w:lastRenderedPageBreak/>
        <w:t xml:space="preserve">übernommenen Verpflichtungen der Auszubildenden oder berechtigte Interessen des Ausbildenden zu beeinträchtigen. </w:t>
      </w:r>
      <w:r>
        <w:rPr>
          <w:rStyle w:val="kleinschrift"/>
        </w:rPr>
        <w:t>3</w:t>
      </w:r>
      <w:r>
        <w:t>Eine Nebentätigkeit ist zu untersagen, wenn und soweit sie</w:t>
      </w:r>
    </w:p>
    <w:p w:rsidR="00BE1EFE" w:rsidRDefault="00BE1EFE">
      <w:pPr>
        <w:pStyle w:val="StandardWeb"/>
      </w:pPr>
      <w:r>
        <w:t>a) gegen kirchliche oder staatliche Gesetze verstößt,</w:t>
      </w:r>
    </w:p>
    <w:p w:rsidR="00BE1EFE" w:rsidRDefault="00BE1EFE">
      <w:pPr>
        <w:pStyle w:val="StandardWeb"/>
      </w:pPr>
      <w:r>
        <w:t>b) mit dem Ansehen des kirchlichen Dienstes nicht vereinbar ist,</w:t>
      </w:r>
    </w:p>
    <w:p w:rsidR="00BE1EFE" w:rsidRDefault="00BE1EFE">
      <w:pPr>
        <w:pStyle w:val="StandardWeb"/>
      </w:pPr>
      <w:r>
        <w:t>c) die Auszubildende/den Auszubildenden in Widerspruch zu ihren/seinen dienstlichen Pflichten bringt,</w:t>
      </w:r>
    </w:p>
    <w:p w:rsidR="00BE1EFE" w:rsidRDefault="00BE1EFE">
      <w:pPr>
        <w:pStyle w:val="StandardWeb"/>
      </w:pPr>
      <w:r>
        <w:t>d) in Konkurrenz zu der im Ausbildungsvertrag vereinbarten Tätigkeit der/des Auszubildenden steht,</w:t>
      </w:r>
    </w:p>
    <w:p w:rsidR="00BE1EFE" w:rsidRDefault="00BE1EFE">
      <w:pPr>
        <w:pStyle w:val="StandardWeb"/>
      </w:pPr>
      <w:r>
        <w:t>e) die Zeit oder die Arbeitskraft der/des Auszubildenden so stark in Anspruch nimmt, dass die ordnungsgemäße Erfüllung ihrer/seiner im Ausbildungsvertrag vereinbarten Pflichten beein</w:t>
      </w:r>
      <w:r>
        <w:softHyphen/>
        <w:t>trächtigt wird.</w:t>
      </w:r>
    </w:p>
    <w:p w:rsidR="00BE1EFE" w:rsidRDefault="00BE1EFE">
      <w:pPr>
        <w:pStyle w:val="StandardWeb"/>
      </w:pPr>
      <w:r>
        <w:rPr>
          <w:rStyle w:val="kleinschrift"/>
        </w:rPr>
        <w:t>4</w:t>
      </w:r>
      <w:r>
        <w:t>Auch nicht anzeigepflichtige Nebentätigkeiten dürfen die Dienstobliegenheiten nicht beeinträchtigen.</w:t>
      </w:r>
    </w:p>
    <w:p w:rsidR="00BE1EFE" w:rsidRDefault="00BE1EFE">
      <w:pPr>
        <w:pStyle w:val="StandardWeb"/>
      </w:pPr>
    </w:p>
    <w:p w:rsidR="00BE1EFE" w:rsidRDefault="00BE1EFE">
      <w:pPr>
        <w:pStyle w:val="StandardWeb"/>
      </w:pPr>
      <w:r>
        <w:t>(3) Für die Schadenshaftung der Auszubildenden finden die für die Beschäftigten des Ausbildenden geltenden Bestimmungen des ABD entsprechende Anwendung.</w:t>
      </w:r>
    </w:p>
    <w:p w:rsidR="00BE1EFE" w:rsidRDefault="00BE1EFE">
      <w:pPr>
        <w:pStyle w:val="berschrift6"/>
      </w:pPr>
      <w:bookmarkStart w:id="1092" w:name="_Toc523926610"/>
      <w:r>
        <w:t>§ 6 Personalakten</w:t>
      </w:r>
      <w:bookmarkEnd w:id="1092"/>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Die Auszubildenden haben ein Recht auf Einsicht in ihre vollständigen Personalakten. </w:t>
      </w:r>
      <w:r>
        <w:rPr>
          <w:rStyle w:val="kleinschrift"/>
        </w:rPr>
        <w:t>2</w:t>
      </w:r>
      <w:r>
        <w:t xml:space="preserve">Sie können das Recht auf Einsicht durch eine hierzu schriftlich bevollmächtigte Person ausüben lassen. </w:t>
      </w:r>
      <w:r>
        <w:rPr>
          <w:rStyle w:val="kleinschrift"/>
        </w:rPr>
        <w:t>3</w:t>
      </w:r>
      <w:r>
        <w:t>Sie können Auszüge oder Kopien aus ihren Personalakten erhalten.</w:t>
      </w:r>
    </w:p>
    <w:p w:rsidR="00BE1EFE" w:rsidRPr="000B1AF8" w:rsidRDefault="00BE1EFE">
      <w:pPr>
        <w:pStyle w:val="StandardWeb"/>
      </w:pPr>
    </w:p>
    <w:p w:rsidR="00BE1EFE" w:rsidRDefault="00BE1EFE">
      <w:pPr>
        <w:pStyle w:val="StandardWeb"/>
      </w:pPr>
      <w:r>
        <w:t>(2) </w:t>
      </w:r>
      <w:r>
        <w:rPr>
          <w:rStyle w:val="kleinschrift"/>
        </w:rPr>
        <w:t>1</w:t>
      </w:r>
      <w:r>
        <w:t xml:space="preserve">Beurteilungen sind Auszubildenden unverzüglich bekannt zu geben. </w:t>
      </w:r>
      <w:r>
        <w:rPr>
          <w:rStyle w:val="kleinschrift"/>
        </w:rPr>
        <w:t>2</w:t>
      </w:r>
      <w:r>
        <w:t>Die Bekanntgabe ist aktenkundig zu machen.</w:t>
      </w:r>
    </w:p>
    <w:p w:rsidR="00BE1EFE" w:rsidRDefault="00BE1EFE">
      <w:pPr>
        <w:pStyle w:val="berschrift6"/>
      </w:pPr>
      <w:bookmarkStart w:id="1093" w:name="_Toc523926611"/>
      <w:r>
        <w:t>§ 6a Anrufung der Schlichtungsstelle</w:t>
      </w:r>
      <w:bookmarkEnd w:id="1093"/>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 xml:space="preserve">Zur Schlichtung von Streitigkeiten aus dem Ausbildungsverhältnis ist die Schlichtungsstelle anzurufen. </w:t>
      </w:r>
      <w:r>
        <w:rPr>
          <w:rStyle w:val="kleinschrift"/>
        </w:rPr>
        <w:t>2</w:t>
      </w:r>
      <w:r>
        <w:t>Das Verfahren richtet sich nach der „Ordnung für Schlichtungsverfahren zur Beilegung von Streitigkeiten zwischen Dienstgebern und Mitarbeitern aus dem Arbeitsverhält</w:t>
      </w:r>
      <w:r>
        <w:softHyphen/>
        <w:t xml:space="preserve">nis in den bayer. (Erz-)Diözesen“. </w:t>
      </w:r>
      <w:r>
        <w:rPr>
          <w:rStyle w:val="kleinschrift"/>
        </w:rPr>
        <w:t>3</w:t>
      </w:r>
      <w:r>
        <w:t xml:space="preserve">Das Recht der/des Auszubildenden, das Arbeitsgericht fristgerecht anzurufen, bleibt davon unberührt. </w:t>
      </w:r>
      <w:r>
        <w:rPr>
          <w:rStyle w:val="kleinschrift"/>
        </w:rPr>
        <w:t>4</w:t>
      </w:r>
      <w:r>
        <w:t>Auf die Anrufung der Schlichtungsstelle können Ausbildende und Auszubildende im Einzelfall einvernehmlich verzichten.</w:t>
      </w:r>
    </w:p>
    <w:p w:rsidR="00BE1EFE" w:rsidRDefault="00BE1EFE">
      <w:pPr>
        <w:pStyle w:val="berschrift6"/>
      </w:pPr>
      <w:bookmarkStart w:id="1094" w:name="_Toc523926612"/>
      <w:r>
        <w:t>§ 7 Wöchentliche und tägliche Ausbildungszeit</w:t>
      </w:r>
      <w:bookmarkEnd w:id="1094"/>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Die regelmäßige durchschnittliche wöchentliche Ausbildungszeit und die tägliche Ausbildungszeit der Auszubildenden, die nicht unter das Jugendarbeitsschutzgesetz fallen, richten sich nach den für die Beschäftigten des Ausbildenden maßgebenden Vorschriften über die Arbeitszeit.</w:t>
      </w:r>
    </w:p>
    <w:p w:rsidR="00BE1EFE" w:rsidRPr="000B1AF8" w:rsidRDefault="00BE1EFE">
      <w:pPr>
        <w:pStyle w:val="StandardWeb"/>
      </w:pPr>
    </w:p>
    <w:p w:rsidR="00BE1EFE" w:rsidRDefault="00BE1EFE">
      <w:pPr>
        <w:pStyle w:val="StandardWeb"/>
      </w:pPr>
      <w:r>
        <w:t>(2) Wird das Führen von Berichtsheften (Ausbildungsnachweisen) verlangt, ist den Auszubildenden dazu Gelegenheit während der Ausbildungszeit zu geben.</w:t>
      </w:r>
    </w:p>
    <w:p w:rsidR="00BE1EFE" w:rsidRDefault="00BE1EFE">
      <w:pPr>
        <w:pStyle w:val="StandardWeb"/>
      </w:pPr>
    </w:p>
    <w:p w:rsidR="00BE1EFE" w:rsidRDefault="00BE1EFE">
      <w:pPr>
        <w:pStyle w:val="StandardWeb"/>
      </w:pPr>
      <w:r>
        <w:t>(3) An Tagen, an denen Auszubildende an einem theoretischen betrieblichen Unterricht von mindestens 270 tatsächlichen Unterrichtsminuten teilnehmen, dürfen sie nicht zur praktischen Ausbildung herangezogen werden.</w:t>
      </w:r>
    </w:p>
    <w:p w:rsidR="00BE1EFE" w:rsidRDefault="00BE1EFE">
      <w:pPr>
        <w:pStyle w:val="StandardWeb"/>
      </w:pPr>
    </w:p>
    <w:p w:rsidR="00BE1EFE" w:rsidRDefault="00BE1EFE">
      <w:pPr>
        <w:pStyle w:val="StandardWeb"/>
      </w:pPr>
      <w:r>
        <w:lastRenderedPageBreak/>
        <w:t>(4) </w:t>
      </w:r>
      <w:r>
        <w:rPr>
          <w:rStyle w:val="kleinschrift"/>
        </w:rPr>
        <w:t>1</w:t>
      </w:r>
      <w:r>
        <w:t xml:space="preserve">Unterrichtszeiten einschließlich der Pausen gelten als Ausbildungszeit. </w:t>
      </w:r>
      <w:r>
        <w:rPr>
          <w:rStyle w:val="kleinschrift"/>
        </w:rPr>
        <w:t>2</w:t>
      </w:r>
      <w:r>
        <w:t>Dies gilt auch für die notwendige Wegezeit zwischen Unterrichtsort und Ausbildungsstätte, sofern die Ausbildung nach dem Unterricht fortgesetzt wird.</w:t>
      </w:r>
    </w:p>
    <w:p w:rsidR="00BE1EFE" w:rsidRDefault="00BE1EFE">
      <w:pPr>
        <w:pStyle w:val="StandardWeb"/>
      </w:pPr>
    </w:p>
    <w:p w:rsidR="00BE1EFE" w:rsidRDefault="00BE1EFE">
      <w:pPr>
        <w:pStyle w:val="StandardWeb"/>
      </w:pPr>
      <w:r>
        <w:t>(5) Auszubildende dürfen an Sonn- und Wochenfeiertagen und in der Nacht zur Ausbildung nur herangezogen werden, wenn dies nach dem Ausbildungszweck erforderlich ist.</w:t>
      </w:r>
    </w:p>
    <w:p w:rsidR="00BE1EFE" w:rsidRDefault="00BE1EFE">
      <w:pPr>
        <w:pStyle w:val="StandardWeb"/>
      </w:pPr>
    </w:p>
    <w:p w:rsidR="00BE1EFE" w:rsidRDefault="00BE1EFE">
      <w:pPr>
        <w:pStyle w:val="StandardWeb"/>
      </w:pPr>
      <w:r>
        <w:t>(6) </w:t>
      </w:r>
      <w:r>
        <w:rPr>
          <w:rStyle w:val="kleinschrift"/>
        </w:rPr>
        <w:t>1</w:t>
      </w:r>
      <w:r>
        <w:t xml:space="preserve">Auszubildende dürfen nicht über die nach Absatz 1 geregelte Ausbildungszeit hinaus zu Mehrarbeit herangezogen und nicht mit Akkordarbeit beschäftigt werden. </w:t>
      </w:r>
      <w:r>
        <w:rPr>
          <w:rStyle w:val="kleinschrift"/>
        </w:rPr>
        <w:t>2</w:t>
      </w:r>
      <w:hyperlink r:id="rId1694" w:tgtFrame="_blank" w:history="1">
        <w:r>
          <w:rPr>
            <w:rStyle w:val="Hyperlink"/>
          </w:rPr>
          <w:t>§§ 21, 23 JArbSchG</w:t>
        </w:r>
      </w:hyperlink>
      <w:r>
        <w:t xml:space="preserve"> und </w:t>
      </w:r>
      <w:hyperlink r:id="rId1695" w:tgtFrame="_blank" w:history="1">
        <w:r>
          <w:rPr>
            <w:rStyle w:val="Hyperlink"/>
          </w:rPr>
          <w:t>§ 17 Absatz 3 BBiG</w:t>
        </w:r>
      </w:hyperlink>
      <w:r>
        <w:t xml:space="preserve"> bleiben unberührt.</w:t>
      </w:r>
    </w:p>
    <w:p w:rsidR="00BE1EFE" w:rsidRDefault="00BE1EFE">
      <w:pPr>
        <w:pStyle w:val="StandardWeb"/>
      </w:pPr>
    </w:p>
    <w:p w:rsidR="00BE1EFE" w:rsidRDefault="00BE1EFE">
      <w:pPr>
        <w:pStyle w:val="berschrift6"/>
      </w:pPr>
      <w:bookmarkStart w:id="1095" w:name="_Toc523926613"/>
      <w:r>
        <w:t>§ 8 Ausbildungsentgelt</w:t>
      </w:r>
      <w:bookmarkEnd w:id="1095"/>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Das monatliche Ausbildungsentgelt beträgt</w:t>
      </w:r>
    </w:p>
    <w:p w:rsidR="00BE1EFE" w:rsidRDefault="00BE1EFE">
      <w:pPr>
        <w:pStyle w:val="StandardWeb"/>
      </w:pPr>
    </w:p>
    <w:tbl>
      <w:tblPr>
        <w:tblW w:w="0" w:type="auto"/>
        <w:jc w:val="center"/>
        <w:tblInd w:w="1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7"/>
        <w:gridCol w:w="1549"/>
        <w:gridCol w:w="1737"/>
      </w:tblGrid>
      <w:tr w:rsidR="00BE1EFE">
        <w:trPr>
          <w:jc w:val="center"/>
        </w:trPr>
        <w:tc>
          <w:tcPr>
            <w:tcW w:w="33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Default="00BE1EFE">
            <w:pPr>
              <w:rPr>
                <w:sz w:val="24"/>
              </w:rPr>
            </w:pPr>
            <w:r>
              <w:rPr>
                <w:szCs w:val="16"/>
              </w:rPr>
              <w:t> </w:t>
            </w:r>
          </w:p>
        </w:tc>
        <w:tc>
          <w:tcPr>
            <w:tcW w:w="210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54275E">
            <w:pPr>
              <w:pStyle w:val="tarifvertragstext"/>
              <w:autoSpaceDE w:val="0"/>
              <w:spacing w:line="240" w:lineRule="atLeast"/>
            </w:pPr>
            <w:r>
              <w:rPr>
                <w:rStyle w:val="Fett"/>
                <w:bCs/>
                <w:sz w:val="16"/>
                <w:szCs w:val="16"/>
              </w:rPr>
              <w:t>ab 1. März 2018</w:t>
            </w:r>
          </w:p>
        </w:tc>
        <w:tc>
          <w:tcPr>
            <w:tcW w:w="24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rsidP="004527D6">
            <w:pPr>
              <w:pStyle w:val="tarifvertragstext"/>
              <w:autoSpaceDE w:val="0"/>
              <w:spacing w:line="240" w:lineRule="atLeast"/>
            </w:pPr>
            <w:r>
              <w:rPr>
                <w:rStyle w:val="Fett"/>
                <w:bCs/>
                <w:sz w:val="16"/>
                <w:szCs w:val="16"/>
              </w:rPr>
              <w:t>ab 1. März 2019</w:t>
            </w:r>
          </w:p>
        </w:tc>
      </w:tr>
      <w:tr w:rsidR="00BE1EFE" w:rsidTr="008E27B1">
        <w:trPr>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ersten Ausbildungsjahr</w:t>
            </w:r>
          </w:p>
        </w:tc>
        <w:tc>
          <w:tcPr>
            <w:tcW w:w="21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968</w:t>
            </w:r>
            <w:r w:rsidRPr="000B1AF8">
              <w:rPr>
                <w:sz w:val="16"/>
                <w:szCs w:val="16"/>
              </w:rPr>
              <w:t>,26 Euro</w:t>
            </w:r>
          </w:p>
        </w:tc>
        <w:tc>
          <w:tcPr>
            <w:tcW w:w="2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1.018</w:t>
            </w:r>
            <w:r w:rsidRPr="000B1AF8">
              <w:rPr>
                <w:sz w:val="16"/>
                <w:szCs w:val="16"/>
              </w:rPr>
              <w:t>,26 Euro</w:t>
            </w:r>
          </w:p>
        </w:tc>
      </w:tr>
      <w:tr w:rsidR="00BE1EFE" w:rsidTr="008E27B1">
        <w:trPr>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zweiten Ausbildungsjahr</w:t>
            </w:r>
          </w:p>
        </w:tc>
        <w:tc>
          <w:tcPr>
            <w:tcW w:w="21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1.018</w:t>
            </w:r>
            <w:r w:rsidRPr="000B1AF8">
              <w:rPr>
                <w:sz w:val="16"/>
                <w:szCs w:val="16"/>
              </w:rPr>
              <w:t>,20 Euro</w:t>
            </w:r>
          </w:p>
        </w:tc>
        <w:tc>
          <w:tcPr>
            <w:tcW w:w="2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1.068</w:t>
            </w:r>
            <w:r w:rsidRPr="000B1AF8">
              <w:rPr>
                <w:sz w:val="16"/>
                <w:szCs w:val="16"/>
              </w:rPr>
              <w:t>,20 Euro</w:t>
            </w:r>
          </w:p>
        </w:tc>
      </w:tr>
      <w:tr w:rsidR="00BE1EFE" w:rsidTr="008E27B1">
        <w:trPr>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dritten Ausbildungsjahr</w:t>
            </w:r>
          </w:p>
        </w:tc>
        <w:tc>
          <w:tcPr>
            <w:tcW w:w="21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1.064</w:t>
            </w:r>
            <w:r w:rsidRPr="000B1AF8">
              <w:rPr>
                <w:sz w:val="16"/>
                <w:szCs w:val="16"/>
              </w:rPr>
              <w:t>,02 Euro</w:t>
            </w:r>
          </w:p>
        </w:tc>
        <w:tc>
          <w:tcPr>
            <w:tcW w:w="2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1.114</w:t>
            </w:r>
            <w:r w:rsidRPr="000B1AF8">
              <w:rPr>
                <w:sz w:val="16"/>
                <w:szCs w:val="16"/>
              </w:rPr>
              <w:t>,02 Euro</w:t>
            </w:r>
          </w:p>
        </w:tc>
      </w:tr>
      <w:tr w:rsidR="00BE1EFE" w:rsidTr="008E27B1">
        <w:trPr>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sidRPr="000B1AF8">
              <w:rPr>
                <w:sz w:val="16"/>
                <w:szCs w:val="16"/>
              </w:rPr>
              <w:t>im vierten Ausbildungsjahr</w:t>
            </w:r>
          </w:p>
        </w:tc>
        <w:tc>
          <w:tcPr>
            <w:tcW w:w="21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1.127</w:t>
            </w:r>
            <w:r w:rsidRPr="000B1AF8">
              <w:rPr>
                <w:sz w:val="16"/>
                <w:szCs w:val="16"/>
              </w:rPr>
              <w:t>,59 Euro</w:t>
            </w:r>
          </w:p>
        </w:tc>
        <w:tc>
          <w:tcPr>
            <w:tcW w:w="24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E1EFE" w:rsidRPr="000B1AF8" w:rsidRDefault="00BE1EFE">
            <w:pPr>
              <w:pStyle w:val="tarifvertragstext"/>
              <w:spacing w:line="240" w:lineRule="atLeast"/>
            </w:pPr>
            <w:r>
              <w:rPr>
                <w:sz w:val="16"/>
                <w:szCs w:val="16"/>
              </w:rPr>
              <w:t>1.177</w:t>
            </w:r>
            <w:r w:rsidRPr="000B1AF8">
              <w:rPr>
                <w:sz w:val="16"/>
                <w:szCs w:val="16"/>
              </w:rPr>
              <w:t>,59 Euro.</w:t>
            </w:r>
          </w:p>
        </w:tc>
      </w:tr>
    </w:tbl>
    <w:p w:rsidR="00BE1EFE" w:rsidRPr="000B1AF8" w:rsidRDefault="00BE1EFE">
      <w:pPr>
        <w:pStyle w:val="StandardWeb"/>
      </w:pPr>
    </w:p>
    <w:p w:rsidR="00BE1EFE" w:rsidRDefault="00BE1EFE">
      <w:pPr>
        <w:pStyle w:val="StandardWeb"/>
      </w:pPr>
      <w:r>
        <w:t>(2) Das Ausbildungsentgelt ist zu demselben Zeitpunkt fällig wie das den Beschäftigten des Ausbildenden gezahlte Entgelt.</w:t>
      </w:r>
    </w:p>
    <w:p w:rsidR="00BE1EFE" w:rsidRDefault="00BE1EFE">
      <w:pPr>
        <w:pStyle w:val="StandardWeb"/>
      </w:pPr>
    </w:p>
    <w:p w:rsidR="00BE1EFE" w:rsidRDefault="00BE1EFE">
      <w:pPr>
        <w:pStyle w:val="StandardWeb"/>
      </w:pPr>
      <w:r>
        <w:t>(3) Ist wegen des Besuches einer weiterführenden oder einer berufsbildenden Schule oder wegen einer Berufsausbildung in einer sonstigen Einrichtung die Ausbildungszeit verkürzt, gilt für die Höhe des Ausbildungsentgelts der Zeitraum, um den die Ausbildungszeit verkürzt wird, als abgeleistete Ausbildungszeit.</w:t>
      </w:r>
    </w:p>
    <w:p w:rsidR="00BE1EFE" w:rsidRDefault="00BE1EFE">
      <w:pPr>
        <w:pStyle w:val="StandardWeb"/>
      </w:pPr>
    </w:p>
    <w:p w:rsidR="00BE1EFE" w:rsidRDefault="00BE1EFE">
      <w:pPr>
        <w:pStyle w:val="StandardWeb"/>
      </w:pPr>
      <w:r>
        <w:t xml:space="preserve">(4) Wird die Ausbildungszeit </w:t>
      </w:r>
    </w:p>
    <w:p w:rsidR="00BE1EFE" w:rsidRDefault="00BE1EFE">
      <w:pPr>
        <w:pStyle w:val="StandardWeb"/>
      </w:pPr>
      <w:r>
        <w:t xml:space="preserve">a) gemäß </w:t>
      </w:r>
      <w:hyperlink r:id="rId1696" w:history="1">
        <w:r w:rsidRPr="002D1F1D">
          <w:rPr>
            <w:rStyle w:val="Hyperlink"/>
          </w:rPr>
          <w:t>§ 16 Absatz 1 Satz 2</w:t>
        </w:r>
      </w:hyperlink>
      <w:r>
        <w:t xml:space="preserve"> verlängert oder </w:t>
      </w:r>
    </w:p>
    <w:p w:rsidR="00BE1EFE" w:rsidRDefault="00BE1EFE">
      <w:pPr>
        <w:pStyle w:val="StandardWeb"/>
      </w:pPr>
      <w:r>
        <w:t xml:space="preserve">b) auf Antrag der/des Auszubildenden nach </w:t>
      </w:r>
      <w:hyperlink r:id="rId1697" w:tgtFrame="_blank" w:history="1">
        <w:r>
          <w:rPr>
            <w:rStyle w:val="Hyperlink"/>
          </w:rPr>
          <w:t>§ 8 Absatz 2 BBiG</w:t>
        </w:r>
      </w:hyperlink>
      <w:r>
        <w:t xml:space="preserve"> von der zuständigen Stelle oder nach </w:t>
      </w:r>
      <w:hyperlink r:id="rId1698" w:tgtFrame="_blank" w:history="1">
        <w:r>
          <w:rPr>
            <w:rStyle w:val="Hyperlink"/>
          </w:rPr>
          <w:t>§ 27 b Absatz 2</w:t>
        </w:r>
      </w:hyperlink>
      <w:r>
        <w:t xml:space="preserve"> der Handwerksordnung von der Handwerkskammer verlängert, wenn die Verlängerung erforderlich ist, um das Ausbildungsziel zu erreichen, wird während des Zeitraums der Verlängerung das Ausbildungsentgelt des letzten regelmäßigen Ausbil</w:t>
      </w:r>
      <w:r>
        <w:softHyphen/>
        <w:t>dungsabschnitts gezahlt.</w:t>
      </w:r>
    </w:p>
    <w:p w:rsidR="00BE1EFE" w:rsidRDefault="00BE1EFE">
      <w:pPr>
        <w:pStyle w:val="StandardWeb"/>
      </w:pPr>
    </w:p>
    <w:p w:rsidR="00BE1EFE" w:rsidRDefault="00BE1EFE">
      <w:pPr>
        <w:pStyle w:val="StandardWeb"/>
      </w:pPr>
      <w:r>
        <w:t xml:space="preserve">(5) In den Fällen des </w:t>
      </w:r>
      <w:hyperlink r:id="rId1699" w:history="1">
        <w:r w:rsidRPr="002D1F1D">
          <w:rPr>
            <w:rStyle w:val="Hyperlink"/>
          </w:rPr>
          <w:t>§ 16 Absatz 2</w:t>
        </w:r>
      </w:hyperlink>
      <w:r>
        <w:t> erhalten Auszubildende bis zur Ablegung der Abschluss</w:t>
      </w:r>
      <w:r>
        <w:softHyphen/>
        <w:t>prüfung das Ausbildungsentgelt des letzten regelmäßigen Ausbildungsabschnitts, bei Bestehen der Prüfung darüber hinaus rückwirkend von dem Zeitpunkt an, an dem das Ausbildungsverhältnis geendet hat, den Unterschiedsbetrag zwischen dem ihnen gezahlten Ausbildungsentgelt und dem für das vierte Ausbildungsjahr maßgebenden Ausbildungsentgelt.</w:t>
      </w:r>
    </w:p>
    <w:p w:rsidR="00BE1EFE" w:rsidRDefault="00BE1EFE">
      <w:pPr>
        <w:pStyle w:val="StandardWeb"/>
      </w:pPr>
    </w:p>
    <w:p w:rsidR="00BE1EFE" w:rsidRDefault="00BE1EFE">
      <w:pPr>
        <w:pStyle w:val="berschrift6"/>
      </w:pPr>
      <w:bookmarkStart w:id="1096" w:name="_Toc523926614"/>
      <w:r>
        <w:lastRenderedPageBreak/>
        <w:t>§ 8a Unständige Entgeltbestandteile</w:t>
      </w:r>
      <w:bookmarkEnd w:id="1096"/>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Für die Ausbildung an Samstagen, Sonntagen, Feiertagen und Vorfesttagen, für den Bereitschaftsdienst und die Rufbereitschaft, für die Überstunden und für die Zeitzuschläge gelten die für die Beschäftigten des Ausbildenden geltenden Regelungen sinngemäß.</w:t>
      </w:r>
    </w:p>
    <w:p w:rsidR="00BE1EFE" w:rsidRPr="00397F30" w:rsidRDefault="00BE1EFE" w:rsidP="00397F30">
      <w:pPr>
        <w:pStyle w:val="berschrift6"/>
      </w:pPr>
      <w:bookmarkStart w:id="1097" w:name="_Toc523926615"/>
      <w:r w:rsidRPr="00397F30">
        <w:t>§ 8b Ausbildungsentgeltbezugsgröße</w:t>
      </w:r>
      <w:bookmarkEnd w:id="1097"/>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Default="00BE1EFE">
      <w:pPr>
        <w:pStyle w:val="StandardWeb"/>
      </w:pPr>
      <w:r>
        <w:t xml:space="preserve">(1) Bestandteil des ABD werden zum jeweiligen Zeitpunkt des In-Kraft-Tretens im TVAöD die Einführung oder Änderung </w:t>
      </w:r>
    </w:p>
    <w:p w:rsidR="00BE1EFE" w:rsidRDefault="00BE1EFE">
      <w:pPr>
        <w:pStyle w:val="StandardWeb"/>
      </w:pPr>
      <w:r>
        <w:t>a) der Ausbildungsentgelte (§ 8 TVAöD Besonderer Teil BBiG),</w:t>
      </w:r>
    </w:p>
    <w:p w:rsidR="00BE1EFE" w:rsidRDefault="00BE1EFE">
      <w:pPr>
        <w:pStyle w:val="StandardWeb"/>
      </w:pPr>
      <w:r>
        <w:t>b) der Werte der Bemessungsgrundlage für die Sonderzahlung (§ 14 TVAöD Allgemeiner Teil),</w:t>
      </w:r>
    </w:p>
    <w:p w:rsidR="00BE1EFE" w:rsidRDefault="00BE1EFE">
      <w:pPr>
        <w:pStyle w:val="StandardWeb"/>
      </w:pPr>
      <w:r>
        <w:t>c) sonstiger Entgeltbestandteile, die in einem den TVAöD ändernden oder ergänzenden Tarifvertrag geregelt werden, insbesondere Einmalzahlungen,</w:t>
      </w:r>
    </w:p>
    <w:p w:rsidR="00BE1EFE" w:rsidRPr="000B1AF8" w:rsidRDefault="00BE1EFE">
      <w:pPr>
        <w:pStyle w:val="StandardWeb"/>
      </w:pPr>
      <w:r>
        <w:t>soweit die Bayerische Regional-KODA nichts anderes beschließt.</w:t>
      </w:r>
    </w:p>
    <w:p w:rsidR="00BE1EFE" w:rsidRDefault="00BE1EFE">
      <w:pPr>
        <w:pStyle w:val="berschrift6"/>
      </w:pPr>
      <w:bookmarkStart w:id="1098" w:name="_Toc523926616"/>
      <w:r>
        <w:t>§ 9 Urlaub</w:t>
      </w:r>
      <w:bookmarkEnd w:id="1098"/>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 xml:space="preserve">(1) Auszubildende erhalten Erholungsurlaub unter Fortzahlung ihres Ausbildungsentgelts </w:t>
      </w:r>
      <w:hyperlink r:id="rId1700" w:history="1">
        <w:r w:rsidRPr="002D1F1D">
          <w:rPr>
            <w:rStyle w:val="Hyperlink"/>
          </w:rPr>
          <w:t>(§ 8)</w:t>
        </w:r>
      </w:hyperlink>
      <w:r>
        <w:t xml:space="preserve"> in entsprechender Anwendung der für die Beschäftigten des Ausbildenden geltenden Rege</w:t>
      </w:r>
      <w:r>
        <w:softHyphen/>
        <w:t>lungen mit der Maßgabe, dass der Urlaubsanspruch bei Verteilung der wöchentlichen Ausbildungszeit auf fünf Tage in der Kalenderwoche in jedem Urlaubsjahr 29 Ausbildungstage beträgt.</w:t>
      </w:r>
    </w:p>
    <w:p w:rsidR="00BE1EFE" w:rsidRPr="000B1AF8" w:rsidRDefault="00BE1EFE">
      <w:pPr>
        <w:pStyle w:val="StandardWeb"/>
      </w:pPr>
    </w:p>
    <w:p w:rsidR="00BE1EFE" w:rsidRDefault="00BE1EFE">
      <w:pPr>
        <w:pStyle w:val="StandardWeb"/>
      </w:pPr>
      <w:r>
        <w:t>(2) Der Erholungsurlaub ist nach Möglichkeit zusammenhängend während der unterrichts</w:t>
      </w:r>
      <w:r>
        <w:softHyphen/>
        <w:t>freien Zeit zu erteilen und in Anspruch zu nehmen.</w:t>
      </w:r>
    </w:p>
    <w:p w:rsidR="00BE1EFE" w:rsidRDefault="00BE1EFE">
      <w:pPr>
        <w:pStyle w:val="berschrift6"/>
      </w:pPr>
      <w:bookmarkStart w:id="1099" w:name="_Toc523926617"/>
      <w:r>
        <w:t>§ 10 Ausbildungsmaßnahmen außerhalb der Ausbildungsstätte</w:t>
      </w:r>
      <w:bookmarkEnd w:id="1099"/>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Bei Dienstreisen und Reisen zur Ablegung der in den Ausbildungsordnungen vorge</w:t>
      </w:r>
      <w:r>
        <w:softHyphen/>
        <w:t>schriebenen Prüfungen erhalten Auszubildende eine Entschädigung in entsprechender Anwendung der für die Beschäftigten des Ausbildenden geltenden Reisekostenbestimmungen in der jeweiligen Fassung.</w:t>
      </w:r>
    </w:p>
    <w:p w:rsidR="00BE1EFE" w:rsidRPr="000B1AF8" w:rsidRDefault="00BE1EFE">
      <w:pPr>
        <w:pStyle w:val="StandardWeb"/>
      </w:pPr>
    </w:p>
    <w:p w:rsidR="00BE1EFE" w:rsidRDefault="00BE1EFE">
      <w:pPr>
        <w:pStyle w:val="StandardWeb"/>
      </w:pPr>
      <w:r>
        <w:t>(2) </w:t>
      </w:r>
      <w:r>
        <w:rPr>
          <w:rStyle w:val="kleinschrift"/>
        </w:rPr>
        <w:t>1</w:t>
      </w:r>
      <w:r>
        <w:t xml:space="preserve">Bei Reisen zur Teilnahme an überbetrieblichen Ausbildungsmaßnahmen im Sinne des </w:t>
      </w:r>
      <w:hyperlink r:id="rId1701" w:tgtFrame="_blank" w:history="1">
        <w:r>
          <w:rPr>
            <w:rStyle w:val="Hyperlink"/>
          </w:rPr>
          <w:t xml:space="preserve">§ 5 Absatz 2 Satz 1 Nr. 6 BBiG </w:t>
        </w:r>
      </w:hyperlink>
      <w:r>
        <w:t xml:space="preserve">außerhalb der politischen Gemeindegrenze Höhe der Kosten der Fahrkarte der jeweils niedrigsten Klasse des billigsten regelmäßig verkehrenden Beförderungsmittels (im Bahnverkehr ohne Zuschläge) erstattet; Möglichkeiten zur Erlangung von Fahrpreisermäßigungen (z. B. Schülerfahrkarten, Monatsfahrkarten, BahnCard) sind auszunutzen. </w:t>
      </w:r>
      <w:r>
        <w:rPr>
          <w:rStyle w:val="kleinschrift"/>
        </w:rPr>
        <w:t>2</w:t>
      </w:r>
      <w:r>
        <w:t xml:space="preserve">Beträgt die Entfernung zwischen den Ausbildungsstätten hierbei mehr als 100 km, werden im Bahnverkehr Zuschläge bzw. besondere Fahrpreise (z. B. für ICE) erstattet. </w:t>
      </w:r>
      <w:r>
        <w:rPr>
          <w:rStyle w:val="kleinschrift"/>
        </w:rPr>
        <w:t>3</w:t>
      </w:r>
      <w:r>
        <w:t xml:space="preserve">Die nachgewiesenen notwendigen Kosten einer Unterkunft am auswärtigen Ort werden, soweit nicht eine unentgeltliche Unterkunft zur Verfügung steht, erststattet. </w:t>
      </w:r>
      <w:r>
        <w:rPr>
          <w:rStyle w:val="kleinschrift"/>
        </w:rPr>
        <w:t>4</w:t>
      </w:r>
      <w:r>
        <w:t xml:space="preserve">Zu den Auslagen des bei notwendiger auswärtiger Unterbringung entstehenden Verpflegungsmehraufwands wird für volle Kalendertage der Anwesenheit am auswärtigen Ausbildungsort ein Verpflegungszuschuss in Höhe der nach der Sozialversicherungsentgeltverordnung maßgebenden Sachbezugswerte für Frühstück, Mittagessen und Abendessen gewährt. </w:t>
      </w:r>
      <w:r>
        <w:rPr>
          <w:rStyle w:val="kleinschrift"/>
        </w:rPr>
        <w:t>5</w:t>
      </w:r>
      <w:r>
        <w:t xml:space="preserve">Bei unentgeltlicher Verpflegung wird der jeweilige Sachbezugswert einbehalten. </w:t>
      </w:r>
      <w:r>
        <w:rPr>
          <w:rStyle w:val="kleinschrift"/>
        </w:rPr>
        <w:t>6</w:t>
      </w:r>
      <w:r>
        <w:t xml:space="preserve">Bei einer über ein Wochenende oder einen Feiertag hinaus andauernden Ausbildungsmaßnahme werden die </w:t>
      </w:r>
      <w:r>
        <w:lastRenderedPageBreak/>
        <w:t>dadurch entstandenen Mehrkosten für Unterkunft und Verpflegungsmehraufwand nach Maßgabe der Sätze 3 bis 5 erstattet.</w:t>
      </w:r>
    </w:p>
    <w:p w:rsidR="00BE1EFE" w:rsidRDefault="00BE1EFE">
      <w:pPr>
        <w:pStyle w:val="StandardWeb"/>
      </w:pPr>
    </w:p>
    <w:p w:rsidR="00BE1EFE" w:rsidRDefault="00BE1EFE">
      <w:pPr>
        <w:pStyle w:val="StandardWeb"/>
      </w:pPr>
      <w:r>
        <w:t>(3) </w:t>
      </w:r>
      <w:r>
        <w:rPr>
          <w:rStyle w:val="kleinschrift"/>
        </w:rPr>
        <w:t>1</w:t>
      </w:r>
      <w:r>
        <w:t>Für den Besuch einer auswärtigen Berufsschule werden die notwendigen Fahrtkosten nach Maßgabe von Absatz 2 Satz 1 erstattet, soweit sie monatlich 6 v. H. des Ausbildungsentgelts für das erste Ausbildungsjahr (</w:t>
      </w:r>
      <w:hyperlink r:id="rId1702" w:history="1">
        <w:r w:rsidRPr="002D1F1D">
          <w:rPr>
            <w:rStyle w:val="Hyperlink"/>
          </w:rPr>
          <w:t>§ 8 Absatz 1</w:t>
        </w:r>
      </w:hyperlink>
      <w:r>
        <w:t xml:space="preserve">) übersteigen. </w:t>
      </w:r>
      <w:r>
        <w:rPr>
          <w:rStyle w:val="kleinschrift"/>
        </w:rPr>
        <w:t>2</w:t>
      </w:r>
      <w:r>
        <w:t xml:space="preserve">Satz 1 gilt nicht, soweit die Fahrtkosten nach landesrechtlichen Vorschriften von einer Körperschaft des öffentlichen Dienstes getragen werden. </w:t>
      </w:r>
      <w:r w:rsidRPr="008E27B1">
        <w:rPr>
          <w:sz w:val="12"/>
          <w:szCs w:val="12"/>
        </w:rPr>
        <w:t>3</w:t>
      </w:r>
      <w:r w:rsidRPr="008E27B1">
        <w:t>Die notwendigen Auslagen für Unterku</w:t>
      </w:r>
      <w:r>
        <w:t xml:space="preserve">nft und Verpflegungsmehraufwand </w:t>
      </w:r>
      <w:r w:rsidRPr="008E27B1">
        <w:t xml:space="preserve">werden bei Besuch der regulären auswärtigen Berufsschule im Blockunterricht entsprechend Absatz 2 Sätze 3 bis 6 erstattet. </w:t>
      </w:r>
      <w:r w:rsidRPr="008E27B1">
        <w:rPr>
          <w:sz w:val="12"/>
          <w:szCs w:val="12"/>
        </w:rPr>
        <w:t>4</w:t>
      </w:r>
      <w:r w:rsidRPr="008E27B1">
        <w:t>Leist</w:t>
      </w:r>
      <w:r>
        <w:t>ungen Dritter sind anzurechnen.</w:t>
      </w:r>
    </w:p>
    <w:p w:rsidR="00BE1EFE" w:rsidRDefault="00BE1EFE">
      <w:pPr>
        <w:pStyle w:val="StandardWeb"/>
      </w:pPr>
    </w:p>
    <w:p w:rsidR="00BE1EFE" w:rsidRDefault="00BE1EFE">
      <w:pPr>
        <w:pStyle w:val="StandardWeb"/>
      </w:pPr>
      <w:r>
        <w:t>(4) Bei Abordnungen und Zuweisungen werden die Kosten nach Maßgabe des Absatzes 2 erstattet.</w:t>
      </w:r>
    </w:p>
    <w:p w:rsidR="00BE1EFE" w:rsidRDefault="00BE1EFE">
      <w:pPr>
        <w:pStyle w:val="berschrift6"/>
      </w:pPr>
      <w:bookmarkStart w:id="1100" w:name="_Toc523926618"/>
      <w:r>
        <w:t>§ 10a Familienheimfahrten</w:t>
      </w:r>
      <w:bookmarkEnd w:id="1100"/>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Für Familienheimfahrten vom jeweiligen Ort der Ausbildungsstätte oder vom Ort der auswärtigen Berufsschule, deren Besuch vom Ausbildenden veranlasst wurde, zum Wohnort der Eltern, der Erziehungsberechtigten oder der Ehegattin/des Ehegatten werden den Auszu</w:t>
      </w:r>
      <w:r>
        <w:softHyphen/>
        <w:t xml:space="preserve">bildenden monatlich einmal die im Bundesgebiet entstandenen notwendigen Fahrtkosten bis zur Höhe der Kosten der Fahrkarte der jeweils niedrigsten Klasse des billigsten regelmäßig verkehrenden Beförderungsmittels (im Bahnverkehr ohne Zuschläge) erstattet; Möglichkeiten zur Erlangung von Fahrpreisermäßigungen (z. B. Schülerfahrkarten, Monatsfahrkarten, BahnCard) sind auszunutzen. </w:t>
      </w:r>
      <w:r>
        <w:rPr>
          <w:rStyle w:val="kleinschrift"/>
        </w:rPr>
        <w:t>2</w:t>
      </w:r>
      <w:r>
        <w:t xml:space="preserve">Beträgt die Entfernung mehr als 300 km, können im Bahnverkehr Zuschläge bzw. besondere Fahrpreise (z. B. für ICE) erstattet werden. </w:t>
      </w:r>
      <w:r>
        <w:rPr>
          <w:rStyle w:val="kleinschrift"/>
        </w:rPr>
        <w:t>3</w:t>
      </w:r>
      <w:r>
        <w:t>Die Sätze 1 und 2 gelten nicht, wenn aufgrund geringer Entfernung eine tägliche Rückkehr möglich und zumutbar ist oder der Aufenthalt am jeweiligen Ort der Ausbildungsstätte oder der auswärtigen Berufsschule weniger als vier Wochen beträgt.</w:t>
      </w:r>
    </w:p>
    <w:p w:rsidR="00BE1EFE" w:rsidRPr="008E27B1" w:rsidRDefault="00BE1EFE">
      <w:pPr>
        <w:pStyle w:val="berschrift6"/>
        <w:rPr>
          <w:lang w:eastAsia="x-none"/>
        </w:rPr>
      </w:pPr>
      <w:bookmarkStart w:id="1101" w:name="_Toc523926619"/>
      <w:r>
        <w:t>§ 11 Schutzkleidung, Ausbildungsmittel</w:t>
      </w:r>
      <w:r>
        <w:rPr>
          <w:lang w:eastAsia="x-none"/>
        </w:rPr>
        <w:t>, Lernmittelzuschuss</w:t>
      </w:r>
      <w:bookmarkEnd w:id="1101"/>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Soweit das Tragen von Schutzkleidung gesetzlich vorgeschrieben oder angeordnet ist, wird sie unentgeltlich zur Verfügung gestellt und bleibt Eigentum des Ausbildenden.</w:t>
      </w:r>
    </w:p>
    <w:p w:rsidR="00BE1EFE" w:rsidRPr="000B1AF8" w:rsidRDefault="00BE1EFE">
      <w:pPr>
        <w:pStyle w:val="StandardWeb"/>
      </w:pPr>
    </w:p>
    <w:p w:rsidR="00BE1EFE" w:rsidRDefault="00BE1EFE">
      <w:pPr>
        <w:pStyle w:val="StandardWeb"/>
      </w:pPr>
      <w:r>
        <w:t>(2) Der Ausbildende hat den Auszubildenden kostenlos die Ausbildungsmittel zur Verfügung zu stellen, die zur Berufsausbildung und zum Ablegen von Zwischen- und Abschluss</w:t>
      </w:r>
      <w:r>
        <w:softHyphen/>
        <w:t>prüfungen erforderlich sind.</w:t>
      </w:r>
    </w:p>
    <w:p w:rsidR="00BE1EFE" w:rsidRDefault="00BE1EFE">
      <w:pPr>
        <w:pStyle w:val="StandardWeb"/>
      </w:pPr>
    </w:p>
    <w:p w:rsidR="00BE1EFE" w:rsidRDefault="00BE1EFE">
      <w:pPr>
        <w:pStyle w:val="StandardWeb"/>
      </w:pPr>
      <w:r>
        <w:t>(3) </w:t>
      </w:r>
      <w:r w:rsidRPr="008E27B1">
        <w:rPr>
          <w:sz w:val="12"/>
          <w:szCs w:val="12"/>
        </w:rPr>
        <w:t>1</w:t>
      </w:r>
      <w:r w:rsidRPr="008E27B1">
        <w:t xml:space="preserve">In jedem Ausbildungsjahr erhalten die </w:t>
      </w:r>
      <w:r>
        <w:t>Auszubildenden einen Lernmittel</w:t>
      </w:r>
      <w:r w:rsidRPr="008E27B1">
        <w:t xml:space="preserve">zuschuss in Höhe von 50,00 Euro brutto. </w:t>
      </w:r>
      <w:r w:rsidRPr="008E27B1">
        <w:rPr>
          <w:sz w:val="12"/>
          <w:szCs w:val="12"/>
        </w:rPr>
        <w:t>2</w:t>
      </w:r>
      <w:r w:rsidRPr="008E27B1">
        <w:t xml:space="preserve">Absatz 2 bleibt unberührt. </w:t>
      </w:r>
      <w:r w:rsidRPr="008E27B1">
        <w:rPr>
          <w:sz w:val="12"/>
          <w:szCs w:val="12"/>
        </w:rPr>
        <w:t>3</w:t>
      </w:r>
      <w:r w:rsidRPr="008E27B1">
        <w:t>Der Lernmittelzuschuss ist möglichst mit dem Ausbildungsentgelt des ersten Monats des jeweiligen Ausbildungsjahres zu zahlen, er ist spätestens im Zahlungsmonat September des betreff</w:t>
      </w:r>
      <w:r>
        <w:t>enden Ausbildungsjahres fällig.</w:t>
      </w:r>
    </w:p>
    <w:p w:rsidR="00BE1EFE" w:rsidRDefault="00BE1EFE">
      <w:pPr>
        <w:pStyle w:val="StandardWeb"/>
      </w:pPr>
    </w:p>
    <w:p w:rsidR="00BE1EFE" w:rsidRDefault="00BE1EFE">
      <w:pPr>
        <w:pStyle w:val="berschrift6"/>
      </w:pPr>
      <w:bookmarkStart w:id="1102" w:name="_Toc523926620"/>
      <w:r>
        <w:t>§ 12 Entgelt im Krankheitsfall</w:t>
      </w:r>
      <w:bookmarkEnd w:id="1102"/>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 xml:space="preserve">(1) Werden Auszubildende durch Arbeitsunfähigkeit infolge Krankheit ohne ihr Verschulden verhindert, ihre Verpflichtungen aus dem Ausbildungsvertrag zu erfüllen, erhalten sie für die Zeit der Arbeitsunfähigkeit für die Dauer von bis zu sechs Wochen sowie nach Maßgabe der </w:t>
      </w:r>
      <w:r>
        <w:lastRenderedPageBreak/>
        <w:t>gesetzlichen Bestimmungen bei Wiederholungserkrankungen das Ausbildungsentgelt (</w:t>
      </w:r>
      <w:hyperlink r:id="rId1703" w:history="1">
        <w:r w:rsidRPr="002D1F1D">
          <w:rPr>
            <w:rStyle w:val="Hyperlink"/>
          </w:rPr>
          <w:t>§ 8</w:t>
        </w:r>
      </w:hyperlink>
      <w:r>
        <w:t>) in entsprechender Anwendung der für die Beschäftigten des Ausbildenden geltenden Regelungen fortgezahlt.</w:t>
      </w:r>
    </w:p>
    <w:p w:rsidR="00BE1EFE" w:rsidRPr="000B1AF8" w:rsidRDefault="00BE1EFE">
      <w:pPr>
        <w:pStyle w:val="StandardWeb"/>
      </w:pPr>
    </w:p>
    <w:p w:rsidR="00BE1EFE" w:rsidRDefault="00BE1EFE">
      <w:pPr>
        <w:pStyle w:val="StandardWeb"/>
      </w:pPr>
      <w:r>
        <w:t>(2) Im Übrigen gilt das Entgeltfortzahlungsgesetz.</w:t>
      </w:r>
    </w:p>
    <w:p w:rsidR="00BE1EFE" w:rsidRDefault="00BE1EFE">
      <w:pPr>
        <w:pStyle w:val="StandardWeb"/>
      </w:pPr>
    </w:p>
    <w:p w:rsidR="00BE1EFE" w:rsidRDefault="00BE1EFE">
      <w:pPr>
        <w:pStyle w:val="StandardWeb"/>
      </w:pPr>
      <w:r>
        <w:t>(3) Bei der jeweils ersten Arbeitsunfähigkeit, die durch einen bei dem Ausbildenden erlittenen Arbeitsunfall oder durch eine bei dem Ausbildenden zugezogene Berufskrankheit verursacht ist, erhalten Auszubildende nach Ablauf des nach Absatz 1 maßgebenden Zeitraums bis zum Ende der 26. Woche seit dem Beginn der Arbeitsunfähigkeit einen Krankengeldzuschuss in Höhe des Unterschiedsbetrages zwischen dem Bruttokrankengeld und dem sich nach Absatz 1 ergebenden Nettoausbildungsentgelt, wenn der zuständige Unfallversicherungsträger den Arbeitsunfall oder die Berufskrankheit anerkennt.</w:t>
      </w:r>
    </w:p>
    <w:p w:rsidR="00BE1EFE" w:rsidRDefault="00BE1EFE">
      <w:pPr>
        <w:pStyle w:val="berschrift6"/>
      </w:pPr>
      <w:bookmarkStart w:id="1103" w:name="_Toc523926621"/>
      <w:r>
        <w:t>§ 12a Entgeltfortzahlung in anderen Fällen</w:t>
      </w:r>
      <w:bookmarkEnd w:id="1103"/>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Auszubildenden ist das Ausbildungsentgelt für insgesamt fünf Ausbildungstage fortzu</w:t>
      </w:r>
      <w:r>
        <w:softHyphen/>
        <w:t>zahlen, um sich vor den in den Ausbildungsordnungen vorgeschriebenen Abschlussprüfungen ohne Bindung an die planmäßige Ausbildung auf die Prüfung vorbereiten zu können; bei der Sechstagewoche besteht dieser Anspruch für sechs Ausbildungstage.</w:t>
      </w:r>
    </w:p>
    <w:p w:rsidR="00BE1EFE" w:rsidRPr="000B1AF8" w:rsidRDefault="00BE1EFE">
      <w:pPr>
        <w:pStyle w:val="StandardWeb"/>
      </w:pPr>
    </w:p>
    <w:p w:rsidR="00BE1EFE" w:rsidRDefault="00BE1EFE">
      <w:pPr>
        <w:pStyle w:val="StandardWeb"/>
      </w:pPr>
      <w:r>
        <w:t>(2) Der Freistellungsanspruch nach Absatz 1 verkürzt sich um die Zeit, für die Auszubildende zur Vorbereitung auf die Abschlussprüfung besonders zusammengefasst werden; es besteht jedoch mindestens ein Anspruch auf zwei Ausbildungstage.</w:t>
      </w:r>
    </w:p>
    <w:p w:rsidR="00BE1EFE" w:rsidRDefault="00BE1EFE">
      <w:pPr>
        <w:pStyle w:val="StandardWeb"/>
      </w:pPr>
    </w:p>
    <w:p w:rsidR="00BE1EFE" w:rsidRDefault="00BE1EFE">
      <w:pPr>
        <w:pStyle w:val="StandardWeb"/>
      </w:pPr>
      <w:r>
        <w:t>(3) Im Übrigen gelten die für die Beschäftigten des Ausbildenden maßgebenden Regelungen zur Arbeitsbefreiung entsprechend.</w:t>
      </w:r>
    </w:p>
    <w:p w:rsidR="00BE1EFE" w:rsidRDefault="00BE1EFE">
      <w:pPr>
        <w:pStyle w:val="berschrift6"/>
      </w:pPr>
      <w:bookmarkStart w:id="1104" w:name="_Toc523926622"/>
      <w:r>
        <w:t>§ 13 Vermögenswirksame Leistungen</w:t>
      </w:r>
      <w:bookmarkEnd w:id="1104"/>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Nach Maßgabe des Vermögensbildungsgesetzes in seiner jeweiligen Fassung erhalten Auszubildende eine vermögenswirksame Leistung in Höhe von 13,29 € monatlich. </w:t>
      </w:r>
      <w:r>
        <w:rPr>
          <w:rStyle w:val="kleinschrift"/>
        </w:rPr>
        <w:t>2</w:t>
      </w:r>
      <w:r>
        <w:t>Der Anspruch auf vermögenswirksame Leistungen entsteht frühestens für den Kalendermonat, in dem den Ausbildenden die erforderlichen Angaben mitgeteilt werden, und für die beiden vorangegangenen Monate desselben Kalenderjahres.</w:t>
      </w:r>
    </w:p>
    <w:p w:rsidR="00BE1EFE" w:rsidRPr="000B1AF8" w:rsidRDefault="00BE1EFE">
      <w:pPr>
        <w:pStyle w:val="StandardWeb"/>
      </w:pPr>
    </w:p>
    <w:p w:rsidR="00BE1EFE" w:rsidRDefault="00BE1EFE">
      <w:pPr>
        <w:pStyle w:val="StandardWeb"/>
      </w:pPr>
      <w:r>
        <w:t>(2) </w:t>
      </w:r>
      <w:r>
        <w:rPr>
          <w:rStyle w:val="kleinschrift"/>
        </w:rPr>
        <w:t>1</w:t>
      </w:r>
      <w:r>
        <w:t xml:space="preserve">Die vermögenswirksame Leistung kann zur Entgeltumwandlung verwendet werden. </w:t>
      </w:r>
      <w:r>
        <w:rPr>
          <w:rStyle w:val="kleinschrift"/>
        </w:rPr>
        <w:t>2</w:t>
      </w:r>
      <w:r>
        <w:t xml:space="preserve">Im Falle der Entgeltumwandlung besteht der Anspruch auf die vermögenswirksame Leistung auch dann, wenn kein Vertrag im Sinne von </w:t>
      </w:r>
      <w:hyperlink r:id="rId1704" w:tgtFrame="_blank" w:history="1">
        <w:r>
          <w:rPr>
            <w:rStyle w:val="Hyperlink"/>
          </w:rPr>
          <w:t>§ 2 des 5. VermBG</w:t>
        </w:r>
      </w:hyperlink>
      <w:r>
        <w:t xml:space="preserve"> nachgewiesen wird.</w:t>
      </w:r>
    </w:p>
    <w:p w:rsidR="00BE1EFE" w:rsidRDefault="00BE1EFE">
      <w:pPr>
        <w:pStyle w:val="StandardWeb"/>
      </w:pPr>
      <w:r>
        <w:rPr>
          <w:rStyle w:val="kleinschrift"/>
        </w:rPr>
        <w:t>3</w:t>
      </w:r>
      <w:r>
        <w:t>Ein Anspruch auf die vermögenswirksame Leistung sowohl für eine Anlage nach dem Vermögensbildungsgesetz als auch zur Entgeltumwandlung ist ausgeschlossen.</w:t>
      </w:r>
    </w:p>
    <w:p w:rsidR="00BE1EFE" w:rsidRDefault="00BE1EFE">
      <w:pPr>
        <w:pStyle w:val="StandardWeb"/>
      </w:pPr>
    </w:p>
    <w:p w:rsidR="00BE1EFE" w:rsidRDefault="00BE1EFE">
      <w:pPr>
        <w:pStyle w:val="StandardWeb"/>
      </w:pPr>
    </w:p>
    <w:p w:rsidR="00BE1EFE" w:rsidRDefault="00BE1EFE">
      <w:pPr>
        <w:pStyle w:val="berschrift6"/>
      </w:pPr>
      <w:bookmarkStart w:id="1105" w:name="_Toc523926623"/>
      <w:r>
        <w:t>§ 14 Jahressonderzahlung</w:t>
      </w:r>
      <w:bookmarkEnd w:id="1105"/>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Auszubildende, die am 1. Dezember in einem Ausbildungsverhältnis stehen, haben Anspruch auf eine Jahressonderzahlung. </w:t>
      </w:r>
      <w:r>
        <w:rPr>
          <w:rStyle w:val="kleinschrift"/>
        </w:rPr>
        <w:t>2</w:t>
      </w:r>
      <w:r>
        <w:t>Diese beträgt 90 v. H. des den Auszubildenden für November zustehenden Ausbildungsentgelts (</w:t>
      </w:r>
      <w:hyperlink r:id="rId1705" w:history="1">
        <w:r w:rsidRPr="002D1F1D">
          <w:rPr>
            <w:rStyle w:val="Hyperlink"/>
          </w:rPr>
          <w:t>§ 8</w:t>
        </w:r>
      </w:hyperlink>
      <w:r>
        <w:t>).</w:t>
      </w:r>
    </w:p>
    <w:p w:rsidR="00BE1EFE" w:rsidRPr="000B1AF8" w:rsidRDefault="00BE1EFE">
      <w:pPr>
        <w:pStyle w:val="StandardWeb"/>
      </w:pPr>
    </w:p>
    <w:p w:rsidR="00BE1EFE" w:rsidRDefault="00BE1EFE">
      <w:pPr>
        <w:pStyle w:val="StandardWeb"/>
      </w:pPr>
      <w:r>
        <w:lastRenderedPageBreak/>
        <w:t>(2) </w:t>
      </w:r>
      <w:r>
        <w:rPr>
          <w:rStyle w:val="kleinschrift"/>
        </w:rPr>
        <w:t>1</w:t>
      </w:r>
      <w:r>
        <w:t xml:space="preserve">Der Anspruch ermäßigt sich um ein Zwölftel für jeden Kalendermonat, in dem Auszubildende keinen Anspruch auf Ausbildungsentgelt </w:t>
      </w:r>
      <w:hyperlink r:id="rId1706" w:history="1">
        <w:r w:rsidRPr="002D1F1D">
          <w:rPr>
            <w:rStyle w:val="Hyperlink"/>
          </w:rPr>
          <w:t>(§ 8</w:t>
        </w:r>
      </w:hyperlink>
      <w:r>
        <w:t xml:space="preserve">), Fortzahlung des Entgelts während des Erholungsurlaubs </w:t>
      </w:r>
      <w:hyperlink r:id="rId1707" w:history="1">
        <w:r w:rsidRPr="002D1F1D">
          <w:rPr>
            <w:rStyle w:val="Hyperlink"/>
          </w:rPr>
          <w:t>(§ 9</w:t>
        </w:r>
      </w:hyperlink>
      <w:r>
        <w:t xml:space="preserve">) oder im Krankheitsfall </w:t>
      </w:r>
      <w:hyperlink r:id="rId1708" w:history="1">
        <w:r w:rsidRPr="002D1F1D">
          <w:rPr>
            <w:rStyle w:val="Hyperlink"/>
          </w:rPr>
          <w:t>(§ 12</w:t>
        </w:r>
      </w:hyperlink>
      <w:r>
        <w:t xml:space="preserve">) haben. </w:t>
      </w:r>
      <w:r>
        <w:rPr>
          <w:rStyle w:val="kleinschrift"/>
        </w:rPr>
        <w:t>2</w:t>
      </w:r>
      <w:r>
        <w:t xml:space="preserve">Die Verminderung unterbleibt für Kalendermonate, für die Auszubildende wegen Beschäftigungsverboten nach </w:t>
      </w:r>
      <w:hyperlink r:id="rId1709" w:tgtFrame="_blank" w:history="1">
        <w:r>
          <w:rPr>
            <w:rStyle w:val="Hyperlink"/>
          </w:rPr>
          <w:t>§ 3 Absatz 2</w:t>
        </w:r>
      </w:hyperlink>
      <w:r>
        <w:t xml:space="preserve"> und </w:t>
      </w:r>
      <w:hyperlink r:id="rId1710" w:history="1">
        <w:r w:rsidRPr="005E5B15">
          <w:rPr>
            <w:rStyle w:val="Hyperlink"/>
          </w:rPr>
          <w:t>§ 6 Absatz 1 des Mutterschutzgesetzes</w:t>
        </w:r>
      </w:hyperlink>
      <w:r>
        <w:t xml:space="preserve"> kein Ausbildungsentgelt erhalten haben. </w:t>
      </w:r>
      <w:r>
        <w:rPr>
          <w:rStyle w:val="kleinschrift"/>
        </w:rPr>
        <w:t>3</w:t>
      </w:r>
      <w:r>
        <w:t>Die Verminderung unterbleibt ferner für Kalendermonate der Inanspruchnahme der Elternzeit nach dem Bundeselterngeld- und Elternzeitgesetz bis zum Ende des Kalender</w:t>
      </w:r>
      <w:r>
        <w:softHyphen/>
        <w:t>jahres, in dem das Kind geboren ist, wenn am Tag vor Antritt der Elternzeit Entgeltanspruch bestanden hat.</w:t>
      </w:r>
    </w:p>
    <w:p w:rsidR="00BE1EFE" w:rsidRDefault="00BE1EFE">
      <w:pPr>
        <w:pStyle w:val="StandardWeb"/>
      </w:pPr>
    </w:p>
    <w:p w:rsidR="00BE1EFE" w:rsidRDefault="00BE1EFE">
      <w:pPr>
        <w:pStyle w:val="StandardWeb"/>
      </w:pPr>
      <w:r>
        <w:t>(3) </w:t>
      </w:r>
      <w:r>
        <w:rPr>
          <w:rStyle w:val="kleinschrift"/>
        </w:rPr>
        <w:t>1</w:t>
      </w:r>
      <w:r>
        <w:t xml:space="preserve">Die Jahressonderzahlung wird mit dem für November zustehenden Ausbildungsentgelt spätestens jedoch Anfang Dezember ausgezahlt. </w:t>
      </w:r>
      <w:r>
        <w:rPr>
          <w:rStyle w:val="kleinschrift"/>
        </w:rPr>
        <w:t>2</w:t>
      </w:r>
      <w:r>
        <w:t>Ein Teilbetrag der Jahressonderzahlung kann zu einem früheren Zeitpunkt ausgezahlt werden.</w:t>
      </w:r>
    </w:p>
    <w:p w:rsidR="00BE1EFE" w:rsidRDefault="00BE1EFE">
      <w:pPr>
        <w:pStyle w:val="StandardWeb"/>
      </w:pPr>
    </w:p>
    <w:p w:rsidR="00BE1EFE" w:rsidRDefault="00BE1EFE">
      <w:pPr>
        <w:pStyle w:val="StandardWeb"/>
      </w:pPr>
      <w:r>
        <w:t>(4) Auszubildende, die im unmittelbaren Anschluss an die Ausbildung von ihrem Ausbildenden in ein Arbeitsverhältnis übernommen werden und am 1. Dezember noch in diesem Arbeits</w:t>
      </w:r>
      <w:r>
        <w:softHyphen/>
        <w:t>verhältnis stehen, erhalten zusammen mit der anteiligen Jahressonderzahlung aus dem Arbeitsverhältnis eine anteilige Jahressonderzahlung aus dem Ausbildungsverhältnis.</w:t>
      </w:r>
    </w:p>
    <w:p w:rsidR="00BE1EFE" w:rsidRDefault="00BE1EFE">
      <w:pPr>
        <w:pStyle w:val="berschrift6"/>
      </w:pPr>
      <w:bookmarkStart w:id="1106" w:name="_Toc523926624"/>
      <w:r>
        <w:t>§ 15 Zusätzliche Altersversorgung</w:t>
      </w:r>
      <w:bookmarkEnd w:id="1106"/>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Für die Versicherung zum Zwecke einer zusätzlichen Altersversorgung gelten die Versor</w:t>
      </w:r>
      <w:r>
        <w:softHyphen/>
        <w:t>gungsordnungen gemäß den §§ 25 ff. Teil A, 1.</w:t>
      </w:r>
    </w:p>
    <w:p w:rsidR="00BE1EFE" w:rsidRDefault="00BE1EFE">
      <w:pPr>
        <w:pStyle w:val="berschrift6"/>
      </w:pPr>
      <w:bookmarkStart w:id="1107" w:name="_Toc523926625"/>
      <w:r>
        <w:t>§ 16 Beendigung des Ausbildungsverhältnisses</w:t>
      </w:r>
      <w:bookmarkEnd w:id="1107"/>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Default="00BE1EFE">
      <w:pPr>
        <w:jc w:val="both"/>
      </w:pPr>
      <w:r>
        <w:t>(1) </w:t>
      </w:r>
      <w:r>
        <w:rPr>
          <w:rStyle w:val="kleinschrift"/>
        </w:rPr>
        <w:t>1</w:t>
      </w:r>
      <w:r>
        <w:t>Das Ausbildungsverhältnis endet mit Ablauf der Ausbildungszeit; abweichende gesetz</w:t>
      </w:r>
      <w:r>
        <w:softHyphen/>
        <w:t xml:space="preserve">liche Regelungen bleiben unberührt. </w:t>
      </w:r>
      <w:r>
        <w:rPr>
          <w:rStyle w:val="kleinschrift"/>
        </w:rPr>
        <w:t>2</w:t>
      </w:r>
      <w:r>
        <w:t>Im Falle des Nichtbestehens der Abschlussprüfung verlängert sich das Ausbildungsverhältnis auf Verlangen der Auszubildenden bis zur nächst</w:t>
      </w:r>
      <w:r>
        <w:softHyphen/>
        <w:t xml:space="preserve">möglichen Wiederholungsprüfung, höchstens um ein Jahr. </w:t>
      </w:r>
    </w:p>
    <w:p w:rsidR="00BE1EFE" w:rsidRDefault="00BE1EFE">
      <w:pPr>
        <w:jc w:val="both"/>
      </w:pPr>
    </w:p>
    <w:p w:rsidR="00BE1EFE" w:rsidRPr="000B1AF8" w:rsidRDefault="00BE1EFE">
      <w:pPr>
        <w:pStyle w:val="StandardWeb"/>
      </w:pPr>
      <w:r>
        <w:t>(2) Können Auszubildende ohne eigenes Verschulden die Abschlussprüfung erst nach beendeter Ausbildungszeit ablegen, gilt Absatz 1 Satz 2 entsprechend.</w:t>
      </w:r>
    </w:p>
    <w:p w:rsidR="00BE1EFE" w:rsidRPr="000B1AF8" w:rsidRDefault="00BE1EFE">
      <w:pPr>
        <w:pStyle w:val="StandardWeb"/>
      </w:pPr>
    </w:p>
    <w:p w:rsidR="00BE1EFE" w:rsidRDefault="00BE1EFE">
      <w:pPr>
        <w:pStyle w:val="StandardWeb"/>
      </w:pPr>
      <w:r>
        <w:t>(3) Beabsichtigt der Ausbildende keine Übernahme in ein befristetes oder unbefristetes Arbeitsverhältnis, hat er dies den Auszubildenden drei Monate vor dem voraussichtlichen Ende der Ausbildungszeit schriftlich mitzuteilen.</w:t>
      </w:r>
    </w:p>
    <w:p w:rsidR="00BE1EFE" w:rsidRDefault="00BE1EFE">
      <w:pPr>
        <w:pStyle w:val="StandardWeb"/>
      </w:pPr>
    </w:p>
    <w:p w:rsidR="00BE1EFE" w:rsidRDefault="00BE1EFE">
      <w:pPr>
        <w:pStyle w:val="StandardWeb"/>
      </w:pPr>
      <w:r>
        <w:t>(4) Nach der Probezeit (</w:t>
      </w:r>
      <w:hyperlink r:id="rId1711" w:history="1">
        <w:r w:rsidRPr="002D1F1D">
          <w:rPr>
            <w:rStyle w:val="Hyperlink"/>
          </w:rPr>
          <w:t>§ 3</w:t>
        </w:r>
      </w:hyperlink>
      <w:r>
        <w:t>) kann das Ausbildungsverhältnis unbeschadet der gesetzlichen Kündigungsgründe nur gekündigt werden</w:t>
      </w:r>
    </w:p>
    <w:p w:rsidR="00BE1EFE" w:rsidRDefault="00BE1EFE">
      <w:pPr>
        <w:pStyle w:val="StandardWeb"/>
      </w:pPr>
      <w:r>
        <w:t>a) aus einem sonstigen wichtigen Grund ohne Einhalten einer Kündigungsfrist,</w:t>
      </w:r>
    </w:p>
    <w:p w:rsidR="00BE1EFE" w:rsidRDefault="00BE1EFE">
      <w:pPr>
        <w:pStyle w:val="StandardWeb"/>
      </w:pPr>
      <w:r>
        <w:t>b) von Auszubildenden mit einer Kündigungsfrist von vier Wochen.</w:t>
      </w:r>
    </w:p>
    <w:p w:rsidR="00BE1EFE" w:rsidRDefault="00BE1EFE">
      <w:pPr>
        <w:pStyle w:val="StandardWeb"/>
      </w:pPr>
    </w:p>
    <w:p w:rsidR="00BE1EFE" w:rsidRDefault="00BE1EFE">
      <w:pPr>
        <w:pStyle w:val="StandardWeb"/>
      </w:pPr>
      <w:r>
        <w:t>(5) Werden Auszubildende im Anschluss an das Ausbildungsverhältnis beschäftigt, ohne dass hierüber ausdrücklich etwas vereinbart worden ist, so gilt ein Arbeitsverhältnis auf unbestimmte Zeit als begründet.</w:t>
      </w:r>
    </w:p>
    <w:p w:rsidR="00BE1EFE" w:rsidRDefault="00BE1EFE">
      <w:pPr>
        <w:pStyle w:val="berschrift6"/>
      </w:pPr>
      <w:bookmarkStart w:id="1108" w:name="_Toc523926626"/>
      <w:r>
        <w:t>§ 16a Übernahme von Auszubildenden</w:t>
      </w:r>
      <w:bookmarkEnd w:id="1108"/>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Auszubildende werden nach erfolgreich bestandener Abschlussprüfung bei dienstlichem bzw. betrieblichem Bedarf im unmittelbaren Anschluss an das Ausbildungsverhältnis für die Dauer von zwölf Monaten in ein Arbeitsverhältnis übernommen, sofern nicht im Einzelfall personen</w:t>
      </w:r>
      <w:r>
        <w:softHyphen/>
        <w:t xml:space="preserve">bedingte, verhaltensbedingte, betriebsbedingte oder gesetzliche Gründe entgegenstehen. </w:t>
      </w:r>
      <w:r>
        <w:rPr>
          <w:rStyle w:val="kleinschrift"/>
        </w:rPr>
        <w:t>2</w:t>
      </w:r>
      <w:r>
        <w:t xml:space="preserve">Im Anschluss daran werden diese Beschäftigten bei entsprechender Bewährung in ein unbefristetes Arbeitsverhältnis übernommen. </w:t>
      </w:r>
      <w:r>
        <w:rPr>
          <w:rStyle w:val="kleinschrift"/>
        </w:rPr>
        <w:t>3</w:t>
      </w:r>
      <w:r>
        <w:t xml:space="preserve">Der dienstliche bzw. betriebliche Bedarf muss zum Zeitpunkt der Beendigung der Ausbildung nach Satz 1 vorliegen und setzt zudem eine freie und besetzbare Stelle bzw. einen freien und zu besetzenden Arbeitsplatz voraus, die/der eine ausbildungsadäquate Beschäftigung auf Dauer ermöglicht. </w:t>
      </w:r>
      <w:r>
        <w:rPr>
          <w:rStyle w:val="kleinschrift"/>
        </w:rPr>
        <w:t>4</w:t>
      </w:r>
      <w:r>
        <w:t>Bei einer Auswahlent</w:t>
      </w:r>
      <w:r>
        <w:softHyphen/>
        <w:t xml:space="preserve">scheidung sind die Ergebnisse der Abschlussprüfung und die persönliche Eignung zu berücksichtigen. </w:t>
      </w:r>
      <w:r>
        <w:rPr>
          <w:rStyle w:val="kleinschrift"/>
        </w:rPr>
        <w:t>5</w:t>
      </w:r>
      <w:r>
        <w:t>Bestehende Mitbestimmungsrechte bleiben unberührt.</w:t>
      </w:r>
    </w:p>
    <w:p w:rsidR="00394D8A" w:rsidRDefault="00BE1EFE">
      <w:pPr>
        <w:pStyle w:val="StandardWeb"/>
        <w:rPr>
          <w:sz w:val="12"/>
          <w:szCs w:val="12"/>
        </w:rPr>
      </w:pPr>
      <w:r>
        <w:rPr>
          <w:sz w:val="12"/>
          <w:szCs w:val="12"/>
        </w:rPr>
        <w:t xml:space="preserve">Anmerkung zu § 16a: </w:t>
      </w:r>
    </w:p>
    <w:p w:rsidR="00BE1EFE" w:rsidRDefault="00BE1EFE">
      <w:pPr>
        <w:pStyle w:val="StandardWeb"/>
      </w:pPr>
      <w:r>
        <w:rPr>
          <w:sz w:val="12"/>
          <w:szCs w:val="12"/>
        </w:rPr>
        <w:t>Besteht kein dienstlicher bzw. betrieblicher Bedarf für eine unbefristete Beschäftigung, ist eine befristete Beschäftigung außerhalb von § 16a möglich.</w:t>
      </w:r>
    </w:p>
    <w:p w:rsidR="00BE1EFE" w:rsidRDefault="00BE1EFE">
      <w:pPr>
        <w:pStyle w:val="StandardWeb"/>
      </w:pPr>
    </w:p>
    <w:p w:rsidR="00BE1EFE" w:rsidRDefault="00BE1EFE">
      <w:pPr>
        <w:pStyle w:val="berschrift6"/>
      </w:pPr>
      <w:bookmarkStart w:id="1109" w:name="_Toc523926627"/>
      <w:r>
        <w:t>§ 17 Abschlussprämie</w:t>
      </w:r>
      <w:bookmarkEnd w:id="1109"/>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(1) </w:t>
      </w:r>
      <w:r>
        <w:rPr>
          <w:rStyle w:val="kleinschrift"/>
        </w:rPr>
        <w:t>1</w:t>
      </w:r>
      <w:r>
        <w:t xml:space="preserve">Bei Beendigung des Ausbildungsverhältnisses aufgrund erfolgreich abgeschlossener Abschlussprüfung bzw. staatlicher Prüfung erhalten Auszubildende eine Abschlussprämie als Einmalzahlung in Höhe von 400,00 €. </w:t>
      </w:r>
      <w:r>
        <w:rPr>
          <w:rStyle w:val="kleinschrift"/>
        </w:rPr>
        <w:t>2</w:t>
      </w:r>
      <w:r>
        <w:t>Die Abschlussprämie ist kein zusatzversorgungs</w:t>
      </w:r>
      <w:r>
        <w:softHyphen/>
        <w:t xml:space="preserve">pflichtiges Entgelt. </w:t>
      </w:r>
      <w:r>
        <w:rPr>
          <w:rStyle w:val="kleinschrift"/>
        </w:rPr>
        <w:t>3</w:t>
      </w:r>
      <w:r>
        <w:t>Sie ist nach Bestehen der Abschlussprüfung bzw. der staatlichen Prüfung fällig.</w:t>
      </w:r>
    </w:p>
    <w:p w:rsidR="00BE1EFE" w:rsidRPr="000B1AF8" w:rsidRDefault="00BE1EFE">
      <w:pPr>
        <w:pStyle w:val="StandardWeb"/>
      </w:pPr>
    </w:p>
    <w:p w:rsidR="00BE1EFE" w:rsidRDefault="00BE1EFE">
      <w:pPr>
        <w:pStyle w:val="StandardWeb"/>
      </w:pPr>
      <w:r>
        <w:t>(2) </w:t>
      </w:r>
      <w:r>
        <w:rPr>
          <w:rStyle w:val="kleinschrift"/>
        </w:rPr>
        <w:t>1</w:t>
      </w:r>
      <w:r>
        <w:t xml:space="preserve">Absatz 1 gilt nicht für Auszubildende, die ihre Ausbildung nach erfolgloser Prüfung aufgrund einer Wiederholungsprüfung abschließen. </w:t>
      </w:r>
      <w:r>
        <w:rPr>
          <w:rStyle w:val="kleinschrift"/>
        </w:rPr>
        <w:t>2</w:t>
      </w:r>
      <w:r>
        <w:t>Im Einzelfall kann der Ausbildende von Satz 1 abweichen.</w:t>
      </w:r>
    </w:p>
    <w:p w:rsidR="00BE1EFE" w:rsidRDefault="00BE1EFE">
      <w:pPr>
        <w:pStyle w:val="StandardWeb"/>
      </w:pPr>
    </w:p>
    <w:p w:rsidR="00BE1EFE" w:rsidRDefault="00BE1EFE">
      <w:pPr>
        <w:pStyle w:val="berschrift6"/>
      </w:pPr>
      <w:bookmarkStart w:id="1110" w:name="_Toc523926628"/>
      <w:r>
        <w:t>§ 18 Zeugnis</w:t>
      </w:r>
      <w:bookmarkEnd w:id="1110"/>
    </w:p>
    <w:p w:rsidR="00BE1EFE" w:rsidRPr="00B76821" w:rsidRDefault="00BE1EFE" w:rsidP="00B76821">
      <w:pPr>
        <w:pStyle w:val="h7"/>
        <w:keepNext w:val="0"/>
        <w:spacing w:before="0" w:after="0"/>
        <w:jc w:val="left"/>
        <w:outlineLvl w:val="5"/>
        <w:rPr>
          <w:rStyle w:val="kleinschrift"/>
          <w:sz w:val="2"/>
          <w:szCs w:val="2"/>
        </w:rPr>
      </w:pPr>
    </w:p>
    <w:p w:rsidR="00BE1EFE" w:rsidRPr="00D9260D" w:rsidRDefault="00BE1EFE" w:rsidP="00D9260D">
      <w:pPr>
        <w:pStyle w:val="lh7"/>
        <w:ind w:left="0"/>
        <w:jc w:val="left"/>
        <w:rPr>
          <w:rStyle w:val="kleinschrift"/>
          <w:sz w:val="2"/>
          <w:szCs w:val="2"/>
        </w:rPr>
      </w:pPr>
    </w:p>
    <w:p w:rsidR="00BE1EFE" w:rsidRPr="000B1AF8" w:rsidRDefault="00BE1EFE">
      <w:pPr>
        <w:pStyle w:val="StandardWeb"/>
      </w:pPr>
      <w:r>
        <w:rPr>
          <w:rStyle w:val="kleinschrift"/>
        </w:rPr>
        <w:t>1</w:t>
      </w:r>
      <w:r>
        <w:t>Der Ausbildende hat den Auszubildenden bei Beendigung des Berufsausbildungs</w:t>
      </w:r>
      <w:r>
        <w:softHyphen/>
        <w:t xml:space="preserve">verhältnisses ein Zeugnis auszustellen. </w:t>
      </w:r>
      <w:r>
        <w:rPr>
          <w:rStyle w:val="kleinschrift"/>
        </w:rPr>
        <w:t>2</w:t>
      </w:r>
      <w:r>
        <w:t xml:space="preserve">Das Zeugnis muss Angaben über Art, Dauer und Ziel der Berufsausbildung sowie über die erworbenen Fertigkeiten und Kenntnisse der/des Auszubildenden enthalten. </w:t>
      </w:r>
      <w:r>
        <w:rPr>
          <w:rStyle w:val="kleinschrift"/>
        </w:rPr>
        <w:t>3</w:t>
      </w:r>
      <w:r>
        <w:t>Auf deren Verlangen sind auch Angaben über Führung, Leistung und besondere fachliche Fähigkeiten aufzunehmen.</w:t>
      </w:r>
    </w:p>
    <w:p w:rsidR="00BE1EFE" w:rsidRPr="000B1AF8" w:rsidRDefault="00BE1EFE">
      <w:pPr>
        <w:pStyle w:val="StandardWeb"/>
      </w:pPr>
    </w:p>
    <w:p w:rsidR="00BE1EFE" w:rsidRDefault="00BE1EFE">
      <w:pPr>
        <w:pStyle w:val="berschrift6"/>
      </w:pPr>
      <w:bookmarkStart w:id="1111" w:name="_Toc523926629"/>
      <w:r>
        <w:t>§ 19 Ausschlussfrist</w:t>
      </w:r>
      <w:bookmarkEnd w:id="1111"/>
    </w:p>
    <w:p w:rsidR="00BE1EFE" w:rsidRPr="00B76821" w:rsidRDefault="00BE1EFE" w:rsidP="00B76821">
      <w:pPr>
        <w:pStyle w:val="h7"/>
        <w:keepNext w:val="0"/>
        <w:spacing w:before="0" w:after="0"/>
        <w:jc w:val="left"/>
        <w:outlineLvl w:val="5"/>
        <w:rPr>
          <w:sz w:val="2"/>
        </w:rPr>
      </w:pPr>
    </w:p>
    <w:p w:rsidR="00BE1EFE" w:rsidRPr="00D9260D" w:rsidRDefault="00BE1EFE" w:rsidP="00D9260D">
      <w:pPr>
        <w:pStyle w:val="lh7"/>
        <w:ind w:left="0"/>
        <w:jc w:val="left"/>
        <w:rPr>
          <w:sz w:val="2"/>
          <w:szCs w:val="2"/>
        </w:rPr>
      </w:pPr>
    </w:p>
    <w:p w:rsidR="00BE1EFE" w:rsidRPr="000B1AF8" w:rsidRDefault="00BE1EFE">
      <w:pPr>
        <w:pStyle w:val="StandardWeb"/>
      </w:pPr>
      <w:r>
        <w:t>Ansprüche aus dem Ausbildungsverhältnis verfallen, wenn sie nicht innerhalb einer Ausschlussfrist von sechs Monaten nach Fälligkeit von den Auszubildenden oder von dem Ausbildenden schriftlich geltend gemacht werden.</w:t>
      </w:r>
    </w:p>
    <w:p w:rsidR="00BE1EFE" w:rsidRPr="000B1AF8" w:rsidRDefault="00BE1EFE">
      <w:pPr>
        <w:pStyle w:val="StandardWeb"/>
      </w:pPr>
    </w:p>
    <w:p w:rsidR="00BE1EFE" w:rsidRDefault="00BE1EFE">
      <w:pPr>
        <w:pStyle w:val="berschrift6"/>
      </w:pPr>
      <w:bookmarkStart w:id="1112" w:name="_Toc523926630"/>
      <w:r>
        <w:t>§ 20 Einmalzahlungen für 2006 und 2007</w:t>
      </w:r>
      <w:bookmarkEnd w:id="1112"/>
    </w:p>
    <w:p w:rsidR="00BE1EFE" w:rsidRPr="00B76821" w:rsidRDefault="00BE1EFE" w:rsidP="00B76821">
      <w:pPr>
        <w:pStyle w:val="h7"/>
        <w:keepNext w:val="0"/>
        <w:spacing w:before="0" w:after="0"/>
        <w:jc w:val="left"/>
        <w:outlineLvl w:val="5"/>
        <w:rPr>
          <w:rStyle w:val="Hervorhebung"/>
          <w:i w:val="0"/>
          <w:iCs/>
          <w:sz w:val="2"/>
          <w:szCs w:val="2"/>
        </w:rPr>
      </w:pPr>
    </w:p>
    <w:p w:rsidR="00BE1EFE" w:rsidRPr="00F368AE" w:rsidRDefault="00BE1EFE" w:rsidP="000B2A42">
      <w:pPr>
        <w:pStyle w:val="lh7"/>
        <w:ind w:left="0"/>
        <w:jc w:val="left"/>
        <w:rPr>
          <w:rStyle w:val="Hervorhebung"/>
          <w:i w:val="0"/>
          <w:iCs/>
          <w:sz w:val="2"/>
          <w:szCs w:val="2"/>
        </w:rPr>
      </w:pPr>
    </w:p>
    <w:p w:rsidR="00BE1EFE" w:rsidRPr="000B1AF8" w:rsidRDefault="00BE1EFE" w:rsidP="001B09CA">
      <w:pPr>
        <w:pStyle w:val="StandardWeb"/>
        <w:autoSpaceDE w:val="0"/>
      </w:pPr>
      <w:r>
        <w:rPr>
          <w:rStyle w:val="Hervorhebung"/>
          <w:iCs/>
        </w:rPr>
        <w:t>(aufgehoben)</w:t>
      </w:r>
    </w:p>
    <w:p w:rsidR="00BE1EFE" w:rsidRDefault="00BE1EFE">
      <w:pPr>
        <w:pStyle w:val="berschrift6"/>
      </w:pPr>
      <w:bookmarkStart w:id="1113" w:name="_Toc523926631"/>
      <w:r>
        <w:lastRenderedPageBreak/>
        <w:t>Anlage 1</w:t>
      </w:r>
      <w:bookmarkEnd w:id="1113"/>
    </w:p>
    <w:p w:rsidR="00BE1EFE" w:rsidRPr="00B76821" w:rsidRDefault="00BE1EFE" w:rsidP="00B76821">
      <w:pPr>
        <w:pStyle w:val="h7"/>
        <w:keepNext w:val="0"/>
        <w:spacing w:before="0" w:after="0"/>
        <w:jc w:val="left"/>
        <w:outlineLvl w:val="5"/>
        <w:rPr>
          <w:rStyle w:val="Hervorhebung"/>
          <w:iCs/>
          <w:sz w:val="2"/>
        </w:rPr>
      </w:pPr>
    </w:p>
    <w:p w:rsidR="00BE1EFE" w:rsidRDefault="00BE1EFE" w:rsidP="0054275E">
      <w:pPr>
        <w:pStyle w:val="StandardWeb"/>
        <w:autoSpaceDE w:val="0"/>
        <w:rPr>
          <w:rStyle w:val="Hervorhebung"/>
          <w:iCs/>
        </w:rPr>
      </w:pPr>
      <w:r>
        <w:rPr>
          <w:rStyle w:val="Hervorhebung"/>
          <w:iCs/>
        </w:rPr>
        <w:t>(aufgehoben)</w:t>
      </w:r>
    </w:p>
    <w:p w:rsidR="00BE1EFE" w:rsidRPr="001B09CA" w:rsidRDefault="00BE1EFE" w:rsidP="001B09CA">
      <w:pPr>
        <w:pStyle w:val="berschrift6"/>
        <w:rPr>
          <w:lang w:eastAsia="x-none"/>
        </w:rPr>
      </w:pPr>
      <w:bookmarkStart w:id="1114" w:name="_Toc523926632"/>
      <w:r w:rsidRPr="000B2A42">
        <w:t>Niederschriftserklärungen</w:t>
      </w:r>
      <w:bookmarkEnd w:id="11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von den Tarifvertragsparteien anlässlich der Unterzeichnung des TVöD am 13.09.2005 abgegebenen „Niederschriftserklärungen“ gelten für die Bayerische Regional-KODA, soweit sie für das arbeitsvertragsrechtliche Regelungswerk relevant sind, als Absichtserklärung.</w:t>
      </w:r>
    </w:p>
    <w:p w:rsidR="00BE1EFE" w:rsidRPr="000B1AF8" w:rsidRDefault="00BE1EFE">
      <w:pPr>
        <w:pStyle w:val="StandardWeb"/>
      </w:pPr>
    </w:p>
    <w:p w:rsidR="00BE1EFE" w:rsidRDefault="00BE1EFE">
      <w:pPr>
        <w:pStyle w:val="StandardWeb"/>
      </w:pPr>
      <w:r>
        <w:t xml:space="preserve">1. Zu </w:t>
      </w:r>
      <w:hyperlink r:id="rId1712" w:history="1">
        <w:r w:rsidRPr="002D1F1D">
          <w:rPr>
            <w:rStyle w:val="Hyperlink"/>
          </w:rPr>
          <w:t>§ 1</w:t>
        </w:r>
      </w:hyperlink>
      <w:r>
        <w:t>:</w:t>
      </w:r>
    </w:p>
    <w:p w:rsidR="00BE1EFE" w:rsidRDefault="00BE1EFE">
      <w:pPr>
        <w:pStyle w:val="StandardWeb"/>
      </w:pPr>
    </w:p>
    <w:p w:rsidR="00BE1EFE" w:rsidRDefault="00BE1EFE" w:rsidP="002662C7">
      <w:pPr>
        <w:pStyle w:val="StandardWeb"/>
      </w:pPr>
      <w:r>
        <w:t>Ausbildender im Sinne dieser Regelung ist, wer andere Personen zur Ausbildung einstellt.</w:t>
      </w:r>
    </w:p>
    <w:p w:rsidR="00BE1EFE" w:rsidRPr="00C815B5" w:rsidRDefault="00BE1EFE" w:rsidP="001B09CA">
      <w:pPr>
        <w:pStyle w:val="berschrift5"/>
        <w:jc w:val="both"/>
        <w:rPr>
          <w:lang w:eastAsia="x-none"/>
        </w:rPr>
      </w:pPr>
      <w:bookmarkStart w:id="1115" w:name="_Toc523926633"/>
      <w:r>
        <w:t>1.</w:t>
      </w:r>
      <w:r>
        <w:rPr>
          <w:lang w:eastAsia="x-none"/>
        </w:rPr>
        <w:t>2</w:t>
      </w:r>
      <w:r>
        <w:t xml:space="preserve">. Regelung </w:t>
      </w:r>
      <w:r w:rsidRPr="00C815B5">
        <w:t>über eine ergänzende Leistung (sog. Ballungsraum</w:t>
      </w:r>
      <w:r>
        <w:rPr>
          <w:lang w:eastAsia="x-none"/>
        </w:rPr>
        <w:softHyphen/>
      </w:r>
      <w:r w:rsidRPr="00C815B5">
        <w:t>zulage)</w:t>
      </w:r>
      <w:bookmarkEnd w:id="1115"/>
    </w:p>
    <w:p w:rsidR="00BE1EFE" w:rsidRPr="001B09CA" w:rsidRDefault="00BE1EFE" w:rsidP="001B09CA">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C23DFA" w:rsidP="00C815B5">
      <w:pPr>
        <w:pStyle w:val="StandardWeb"/>
      </w:pPr>
      <w:hyperlink r:id="rId1713" w:history="1">
        <w:r w:rsidR="00BE1EFE" w:rsidRPr="002D1F1D">
          <w:rPr>
            <w:rStyle w:val="Hyperlink"/>
          </w:rPr>
          <w:t>Die Regelung für Angestellte und Arbeiter (ABD Teil D) gilt entsprechend.</w:t>
        </w:r>
      </w:hyperlink>
    </w:p>
    <w:p w:rsidR="00BE1EFE" w:rsidRDefault="00BE1EFE" w:rsidP="00E87479">
      <w:pPr>
        <w:pStyle w:val="berschrift4"/>
        <w:spacing w:before="0"/>
      </w:pPr>
      <w:r>
        <w:br w:type="page"/>
      </w:r>
      <w:bookmarkStart w:id="1116" w:name="_Toc523926634"/>
      <w:r>
        <w:lastRenderedPageBreak/>
        <w:t>E, 2. Regelung Praktikantinnen und Praktikanten (PraktR)</w:t>
      </w:r>
      <w:bookmarkEnd w:id="1116"/>
    </w:p>
    <w:p w:rsidR="00BE1EFE" w:rsidRDefault="00BE1EFE" w:rsidP="002A0FD5">
      <w:pPr>
        <w:pStyle w:val="berschrift5"/>
      </w:pPr>
      <w:bookmarkStart w:id="1117" w:name="_Toc453678233"/>
      <w:bookmarkStart w:id="1118" w:name="_Toc523926635"/>
      <w:r>
        <w:t>§ 1 Geltungsbereich</w:t>
      </w:r>
      <w:bookmarkEnd w:id="1117"/>
      <w:bookmarkEnd w:id="1118"/>
    </w:p>
    <w:p w:rsidR="00BE1EFE" w:rsidRDefault="00BE1EFE" w:rsidP="002A0FD5">
      <w:pPr>
        <w:pStyle w:val="berschrift6"/>
        <w:spacing w:before="0" w:after="0"/>
        <w:rPr>
          <w:sz w:val="2"/>
        </w:rPr>
      </w:pPr>
    </w:p>
    <w:p w:rsidR="00BE1EFE" w:rsidRDefault="00BE1EFE" w:rsidP="002A0FD5">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2A0FD5">
      <w:pPr>
        <w:pStyle w:val="StandardWeb"/>
      </w:pPr>
      <w:r>
        <w:t>(1) Diese Regelung gilt für Praktikantinnen/Praktikanten für den Beruf</w:t>
      </w:r>
    </w:p>
    <w:p w:rsidR="00BE1EFE" w:rsidRDefault="00BE1EFE">
      <w:pPr>
        <w:pStyle w:val="StandardWeb"/>
      </w:pPr>
      <w:r>
        <w:t>a) der Sozialarbeiterin/des Sozialarbeiters, der Sozialpädagogin/des Sozialpädagogen und der Heilpädagogin/des Heilpädagogen während der praktischen Tätigkeit, die nach Abschluss des Fachhochschulstudiums der staatlichen Anerkennung als Sozialarbeiterin/Sozialarbeiter, Sozialpädagogin/Sozialpädagoge oder Heilpädagogin/Heilpädagoge vorauszugehen hat,</w:t>
      </w:r>
    </w:p>
    <w:p w:rsidR="00BE1EFE" w:rsidRDefault="00BE1EFE">
      <w:pPr>
        <w:pStyle w:val="StandardWeb"/>
      </w:pPr>
      <w:r>
        <w:t>b) </w:t>
      </w:r>
      <w:r w:rsidRPr="00D645FF">
        <w:rPr>
          <w:i/>
        </w:rPr>
        <w:t>(frei)</w:t>
      </w:r>
      <w:r>
        <w:t>,</w:t>
      </w:r>
    </w:p>
    <w:p w:rsidR="00BE1EFE" w:rsidRDefault="00BE1EFE">
      <w:pPr>
        <w:pStyle w:val="StandardWeb"/>
      </w:pPr>
      <w:r>
        <w:t>c) der Erzieherin/des Erziehers und der Kinderpflegerin/des Kinderpflegers während der praktischen Tätigkeit, die nach den geltenden Ausbildungsordnungen der staatlichen Anerkennung als Erzieherin/Erzieher oder Kinderpflegerin/Kinderpfleger vorauszugehen hat,</w:t>
      </w:r>
    </w:p>
    <w:p w:rsidR="00BE1EFE" w:rsidRDefault="00BE1EFE">
      <w:pPr>
        <w:pStyle w:val="StandardWeb"/>
      </w:pPr>
      <w:r>
        <w:t>d) </w:t>
      </w:r>
      <w:r w:rsidRPr="00D645FF">
        <w:rPr>
          <w:i/>
        </w:rPr>
        <w:t>(frei)</w:t>
      </w:r>
      <w:r>
        <w:t>,</w:t>
      </w:r>
    </w:p>
    <w:p w:rsidR="00BE1EFE" w:rsidRDefault="00BE1EFE">
      <w:pPr>
        <w:pStyle w:val="StandardWeb"/>
      </w:pPr>
      <w:r>
        <w:t>e) </w:t>
      </w:r>
      <w:r w:rsidRPr="00D645FF">
        <w:rPr>
          <w:i/>
        </w:rPr>
        <w:t>(frei)</w:t>
      </w:r>
      <w:r>
        <w:t>,</w:t>
      </w:r>
    </w:p>
    <w:p w:rsidR="00BE1EFE" w:rsidRDefault="00BE1EFE">
      <w:pPr>
        <w:pStyle w:val="StandardWeb"/>
      </w:pPr>
      <w:r>
        <w:t>f) der Religionspädagogin/des Religionspädagogen während der praktischen Tätigkeit, die nach Abschluss des Fachhochschulstudiums der staatlichen Anerkennung als Religionspäda</w:t>
      </w:r>
      <w:r>
        <w:softHyphen/>
        <w:t>gogin/Religionspädagoge vorauszugehen hat,</w:t>
      </w:r>
    </w:p>
    <w:p w:rsidR="00BE1EFE" w:rsidRPr="000B1AF8" w:rsidRDefault="00BE1EFE">
      <w:pPr>
        <w:pStyle w:val="StandardWeb"/>
      </w:pPr>
      <w:r>
        <w:t>die in einem Praktikantenverhältnis zu einem Arbeitgeber stehen, dessen Beschäftigte unter den Geltungsbereich des ABD fallen.</w:t>
      </w:r>
    </w:p>
    <w:p w:rsidR="00BE1EFE" w:rsidRPr="000B1AF8" w:rsidRDefault="00BE1EFE">
      <w:pPr>
        <w:pStyle w:val="StandardWeb"/>
      </w:pPr>
    </w:p>
    <w:p w:rsidR="00BE1EFE" w:rsidRDefault="00BE1EFE">
      <w:pPr>
        <w:pStyle w:val="StandardWeb"/>
      </w:pPr>
      <w:r>
        <w:t>(2) Diese Regelung gilt nicht für Praktikantinnen/Praktikanten, deren praktische Tätigkeit in die schulische Ausbildung oder die Hochschulausbildung integriert ist.</w:t>
      </w:r>
    </w:p>
    <w:p w:rsidR="00BE1EFE" w:rsidRDefault="00BE1EFE">
      <w:pPr>
        <w:pStyle w:val="berschrift5"/>
      </w:pPr>
      <w:bookmarkStart w:id="1119" w:name="_Toc523926636"/>
      <w:r>
        <w:t>§ 2 Praktikantenvertrag, Nebenabreden</w:t>
      </w:r>
      <w:bookmarkEnd w:id="1119"/>
    </w:p>
    <w:p w:rsidR="00BE1EFE" w:rsidRPr="00B76821" w:rsidRDefault="00BE1EFE" w:rsidP="00B76821">
      <w:pPr>
        <w:pStyle w:val="berschrift6"/>
        <w:keepNext w:val="0"/>
        <w:spacing w:before="0" w:after="0"/>
        <w:rPr>
          <w:sz w:val="2"/>
        </w:rPr>
      </w:pPr>
    </w:p>
    <w:p w:rsidR="00BE1EFE" w:rsidRPr="000B1AF8" w:rsidRDefault="00BE1EFE">
      <w:pPr>
        <w:pStyle w:val="StandardWeb"/>
      </w:pPr>
      <w:r>
        <w:t>(1) Vor Beginn des Praktikantenverhältnisses ist ein schriftlicher Praktikantenvertrag zu schließen.</w:t>
      </w:r>
    </w:p>
    <w:p w:rsidR="00BE1EFE" w:rsidRPr="000B1AF8" w:rsidRDefault="00BE1EFE">
      <w:pPr>
        <w:pStyle w:val="StandardWeb"/>
      </w:pPr>
    </w:p>
    <w:p w:rsidR="00BE1EFE" w:rsidRDefault="00BE1EFE">
      <w:pPr>
        <w:pStyle w:val="StandardWeb"/>
      </w:pPr>
      <w:r>
        <w:t>(2) </w:t>
      </w:r>
      <w:r>
        <w:rPr>
          <w:rStyle w:val="kleinschrift"/>
        </w:rPr>
        <w:t>1</w:t>
      </w:r>
      <w:r>
        <w:t xml:space="preserve">Nebenabreden sind nur wirksam, wenn sie schriftlich vereinbart werden. </w:t>
      </w:r>
      <w:r>
        <w:rPr>
          <w:rStyle w:val="kleinschrift"/>
        </w:rPr>
        <w:t>2</w:t>
      </w:r>
      <w:r>
        <w:t>Sie können gesondert gekündigt werden, soweit dies einzelvertraglich vereinbart ist.</w:t>
      </w:r>
    </w:p>
    <w:p w:rsidR="00BE1EFE" w:rsidRDefault="00BE1EFE">
      <w:pPr>
        <w:pStyle w:val="berschrift5"/>
      </w:pPr>
      <w:bookmarkStart w:id="1120" w:name="_Toc523926637"/>
      <w:r>
        <w:t>§ 3 Probezeit</w:t>
      </w:r>
      <w:bookmarkEnd w:id="1120"/>
    </w:p>
    <w:p w:rsidR="00BE1EFE" w:rsidRPr="00B76821" w:rsidRDefault="00BE1EFE" w:rsidP="00B76821">
      <w:pPr>
        <w:pStyle w:val="berschrift6"/>
        <w:keepNext w:val="0"/>
        <w:spacing w:before="0" w:after="0"/>
        <w:rPr>
          <w:sz w:val="2"/>
        </w:rPr>
      </w:pPr>
    </w:p>
    <w:p w:rsidR="00BE1EFE" w:rsidRPr="000B1AF8" w:rsidRDefault="00BE1EFE">
      <w:pPr>
        <w:pStyle w:val="StandardWeb"/>
      </w:pPr>
      <w:r>
        <w:t>(1) Die Probezeit beträgt drei Monate.</w:t>
      </w:r>
    </w:p>
    <w:p w:rsidR="00BE1EFE" w:rsidRPr="000B1AF8" w:rsidRDefault="00BE1EFE">
      <w:pPr>
        <w:pStyle w:val="StandardWeb"/>
      </w:pPr>
    </w:p>
    <w:p w:rsidR="00BE1EFE" w:rsidRDefault="00BE1EFE">
      <w:pPr>
        <w:pStyle w:val="StandardWeb"/>
      </w:pPr>
      <w:r>
        <w:t>(2) Während der Probezeit kann das Praktikantenverhältnis von beiden Seiten jederzeit ohne Einhalten einer Kündigungsfrist gekündigt werden.</w:t>
      </w:r>
    </w:p>
    <w:p w:rsidR="00BE1EFE" w:rsidRDefault="00BE1EFE">
      <w:pPr>
        <w:pStyle w:val="berschrift5"/>
      </w:pPr>
      <w:bookmarkStart w:id="1121" w:name="_Toc523926638"/>
      <w:r>
        <w:t>§ 4 Ärztliche Untersuchungen</w:t>
      </w:r>
      <w:bookmarkEnd w:id="1121"/>
    </w:p>
    <w:p w:rsidR="00BE1EFE" w:rsidRPr="00B76821" w:rsidRDefault="00BE1EFE" w:rsidP="00B76821">
      <w:pPr>
        <w:pStyle w:val="berschrift6"/>
        <w:keepNext w:val="0"/>
        <w:spacing w:before="0" w:after="0"/>
        <w:rPr>
          <w:sz w:val="2"/>
        </w:rPr>
      </w:pPr>
    </w:p>
    <w:p w:rsidR="00BE1EFE" w:rsidRDefault="00BE1EFE">
      <w:pPr>
        <w:pStyle w:val="StandardWeb"/>
      </w:pPr>
      <w:r>
        <w:t>(1) </w:t>
      </w:r>
      <w:r>
        <w:rPr>
          <w:rStyle w:val="kleinschrift"/>
        </w:rPr>
        <w:t>1</w:t>
      </w:r>
      <w:r>
        <w:t>Der Arbeitgeber ist bei begründeter Veranlassung berechtigt, Praktikantinnen/Prakti</w:t>
      </w:r>
      <w:r>
        <w:softHyphen/>
        <w:t xml:space="preserve">kanten zu verpflichten, durch ärztliche Bescheinigung nachzuweisen, dass sie in der Lage sind, die nach </w:t>
      </w:r>
      <w:hyperlink r:id="rId1714" w:history="1">
        <w:r w:rsidRPr="002D1F1D">
          <w:rPr>
            <w:rStyle w:val="Hyperlink"/>
          </w:rPr>
          <w:t>§ 1 Absatz 1</w:t>
        </w:r>
      </w:hyperlink>
      <w:r>
        <w:t xml:space="preserve"> erforderliche praktische Tätigkeit auszuüben. </w:t>
      </w:r>
      <w:r>
        <w:rPr>
          <w:rStyle w:val="kleinschrift"/>
        </w:rPr>
        <w:t>2</w:t>
      </w:r>
      <w:r>
        <w:t>Bei der beauf</w:t>
      </w:r>
      <w:r>
        <w:softHyphen/>
        <w:t xml:space="preserve">tragten Ärztin/dem beauftragten Arzt kann es sich um eine Vertrauensärztin/ einen Vertrauensarzt oder um eine Betriebsärztin/einen Betriebsarzt handeln, soweit sich die </w:t>
      </w:r>
      <w:r>
        <w:lastRenderedPageBreak/>
        <w:t xml:space="preserve">Betriebsparteien nicht auf eine andere Ärztin/einen anderen Arzt geeinigt haben. </w:t>
      </w:r>
      <w:r>
        <w:rPr>
          <w:rStyle w:val="kleinschrift"/>
        </w:rPr>
        <w:t>3</w:t>
      </w:r>
      <w:r>
        <w:t>Die Kosten dieser Untersuchung trägt der Arbeitgeber.</w:t>
      </w:r>
    </w:p>
    <w:p w:rsidR="00BE1EFE" w:rsidRDefault="00BE1EFE">
      <w:pPr>
        <w:pStyle w:val="StandardWeb"/>
      </w:pPr>
    </w:p>
    <w:p w:rsidR="00BE1EFE" w:rsidRPr="000B1AF8" w:rsidRDefault="00BE1EFE">
      <w:pPr>
        <w:pStyle w:val="StandardWeb"/>
      </w:pPr>
      <w:r>
        <w:t>(2) Praktikantinnen/Praktikanten, die besonderen Ansteckungsgefahren ausgesetzt, mit gesundheitsgefährdenden Tätigkeiten beschäftigt oder mit der Zubereitung von Speisen beauftragt sind, sind auf ihren Antrag bei Beendigung des Praktikantenverhältnisses ärztlich zu untersuchen.</w:t>
      </w:r>
    </w:p>
    <w:p w:rsidR="00BE1EFE" w:rsidRDefault="00BE1EFE">
      <w:pPr>
        <w:pStyle w:val="berschrift5"/>
      </w:pPr>
      <w:bookmarkStart w:id="1122" w:name="_Toc523926639"/>
      <w:r>
        <w:t>§ 5 Schweigepflicht, Nebentätigkeiten, Haftung, Schutzkleidung</w:t>
      </w:r>
      <w:bookmarkEnd w:id="1122"/>
    </w:p>
    <w:p w:rsidR="00BE1EFE" w:rsidRPr="00B76821" w:rsidRDefault="00BE1EFE" w:rsidP="00B76821">
      <w:pPr>
        <w:pStyle w:val="berschrift6"/>
        <w:keepNext w:val="0"/>
        <w:spacing w:before="0" w:after="0"/>
        <w:rPr>
          <w:sz w:val="2"/>
        </w:rPr>
      </w:pPr>
    </w:p>
    <w:p w:rsidR="00BE1EFE" w:rsidRPr="000B1AF8" w:rsidRDefault="00BE1EFE">
      <w:pPr>
        <w:pStyle w:val="StandardWeb"/>
      </w:pPr>
      <w:r>
        <w:t>(1) Praktikantinnen/Praktikanten haben in demselben Umfang Verschwiegenheit zu wahren wie die Beschäftigten des Arbeitgebers.</w:t>
      </w:r>
    </w:p>
    <w:p w:rsidR="00BE1EFE" w:rsidRPr="000B1AF8" w:rsidRDefault="00BE1EFE">
      <w:pPr>
        <w:pStyle w:val="StandardWeb"/>
      </w:pPr>
    </w:p>
    <w:p w:rsidR="00BE1EFE" w:rsidRDefault="00BE1EFE">
      <w:pPr>
        <w:pStyle w:val="StandardWeb"/>
      </w:pPr>
      <w:r>
        <w:t>(2) </w:t>
      </w:r>
      <w:r>
        <w:rPr>
          <w:rStyle w:val="kleinschrift"/>
        </w:rPr>
        <w:t>1</w:t>
      </w:r>
      <w:r>
        <w:t xml:space="preserve">Nebentätigkeiten gegen Entgelt haben Praktikantinnen/Praktikanten ihrem Arbeitgeber rechtzeitig vorher schriftlich anzuzeigen. </w:t>
      </w:r>
      <w:r>
        <w:rPr>
          <w:rStyle w:val="kleinschrift"/>
        </w:rPr>
        <w:t>2</w:t>
      </w:r>
      <w:r>
        <w:t xml:space="preserve">Der Arbeitgeber kann die Nebentätigkeit untersagen oder mit Auflagen versehen, wenn diese geeignet ist, die nach </w:t>
      </w:r>
      <w:hyperlink r:id="rId1715" w:history="1">
        <w:r w:rsidRPr="002D1F1D">
          <w:rPr>
            <w:rStyle w:val="Hyperlink"/>
          </w:rPr>
          <w:t>§ 1 Absatz 1</w:t>
        </w:r>
      </w:hyperlink>
      <w:r>
        <w:t xml:space="preserve"> erforderliche praktische Tätigkeit der Praktikantinnen/Praktikanten oder berechtigte Interessen des Arbeitgebers zu beeinträchtigen.</w:t>
      </w:r>
    </w:p>
    <w:p w:rsidR="00BE1EFE" w:rsidRDefault="00BE1EFE">
      <w:pPr>
        <w:pStyle w:val="StandardWeb"/>
      </w:pPr>
    </w:p>
    <w:p w:rsidR="00BE1EFE" w:rsidRDefault="00BE1EFE">
      <w:pPr>
        <w:pStyle w:val="StandardWeb"/>
      </w:pPr>
      <w:r>
        <w:t>(3) Für die Schadenshaftung der Praktikantinnen/Praktikanten finden die für die Beschäftigten des Arbeitgebers geltenden Bestimmungen des ABD entsprechende Anwendung.</w:t>
      </w:r>
    </w:p>
    <w:p w:rsidR="00BE1EFE" w:rsidRDefault="00BE1EFE">
      <w:pPr>
        <w:pStyle w:val="StandardWeb"/>
      </w:pPr>
    </w:p>
    <w:p w:rsidR="00BE1EFE" w:rsidRDefault="00BE1EFE">
      <w:pPr>
        <w:pStyle w:val="StandardWeb"/>
      </w:pPr>
      <w:r>
        <w:t>(4) Soweit das Tragen von Schutzkleidung gesetzlich vorgeschrieben oder angeordnet ist, wird sie unentgeltlich zur Verfügung gestellt und bleibt Eigentum des Arbeitgebers.</w:t>
      </w:r>
    </w:p>
    <w:p w:rsidR="00BE1EFE" w:rsidRDefault="00BE1EFE">
      <w:pPr>
        <w:pStyle w:val="berschrift5"/>
      </w:pPr>
      <w:bookmarkStart w:id="1123" w:name="_Toc523926640"/>
      <w:r>
        <w:t>§ 6 Personalakten</w:t>
      </w:r>
      <w:bookmarkEnd w:id="112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Praktikantinnen/Praktikanten haben ein Recht auf Einsicht in ihre vollständigen Personalakten. </w:t>
      </w:r>
      <w:r>
        <w:rPr>
          <w:rStyle w:val="kleinschrift"/>
        </w:rPr>
        <w:t>2</w:t>
      </w:r>
      <w:r>
        <w:t xml:space="preserve">Sie können das Recht auf Einsicht durch eine/einen hierzu schriftlich Bevollmächtigte/Bevollmächtigten ausüben lassen. </w:t>
      </w:r>
      <w:r>
        <w:rPr>
          <w:rStyle w:val="kleinschrift"/>
        </w:rPr>
        <w:t>3</w:t>
      </w:r>
      <w:r>
        <w:t>Sie können Auszüge oder Kopien aus ihren Personalakten erhalten.</w:t>
      </w:r>
    </w:p>
    <w:p w:rsidR="00BE1EFE" w:rsidRDefault="00BE1EFE">
      <w:pPr>
        <w:pStyle w:val="StandardWeb"/>
      </w:pPr>
      <w:r>
        <w:rPr>
          <w:sz w:val="12"/>
          <w:szCs w:val="12"/>
        </w:rPr>
        <w:t>Protokollnotiz zu § 6:</w:t>
      </w:r>
    </w:p>
    <w:p w:rsidR="00BE1EFE" w:rsidRDefault="00BE1EFE">
      <w:pPr>
        <w:pStyle w:val="StandardWeb"/>
      </w:pPr>
      <w:r>
        <w:rPr>
          <w:sz w:val="12"/>
          <w:szCs w:val="12"/>
        </w:rPr>
        <w:t>1. Der Arbeitgeber kann eine Bevollmächtigte/einen Bevollmächtigten zurückweisen, wenn es aus dienstlichen oder betrieblichen Gründen geboten ist.</w:t>
      </w:r>
    </w:p>
    <w:p w:rsidR="00BE1EFE" w:rsidRDefault="00BE1EFE">
      <w:pPr>
        <w:pStyle w:val="StandardWeb"/>
      </w:pPr>
      <w:r>
        <w:rPr>
          <w:sz w:val="12"/>
          <w:szCs w:val="12"/>
        </w:rPr>
        <w:t>2. Praktikantinnen/Praktikanten müssen zu Beschwerden und Behauptungen tatsächlicher Art, die für sie ungünstig sind oder ihnen nachteilig werden können, vor Aufnahme in die Personalakten gehört werden. Ihre Äußerung ist zu den Personalakten zu nehmen.</w:t>
      </w:r>
    </w:p>
    <w:p w:rsidR="00BE1EFE" w:rsidRDefault="00BE1EFE">
      <w:pPr>
        <w:pStyle w:val="berschrift5"/>
      </w:pPr>
      <w:bookmarkStart w:id="1124" w:name="_Toc523926641"/>
      <w:r>
        <w:t>§ 7 Wöchentliche und tägliche Arbeitszeit</w:t>
      </w:r>
      <w:bookmarkEnd w:id="1124"/>
    </w:p>
    <w:p w:rsidR="00BE1EFE" w:rsidRPr="00B76821" w:rsidRDefault="00BE1EFE" w:rsidP="00B76821">
      <w:pPr>
        <w:pStyle w:val="berschrift6"/>
        <w:keepNext w:val="0"/>
        <w:spacing w:before="0" w:after="0"/>
        <w:rPr>
          <w:sz w:val="2"/>
        </w:rPr>
      </w:pPr>
    </w:p>
    <w:p w:rsidR="00BE1EFE" w:rsidRDefault="00BE1EFE" w:rsidP="00397F30">
      <w:pPr>
        <w:pStyle w:val="StandardWeb"/>
      </w:pPr>
      <w:r>
        <w:t>Die durchschnittliche regelmäßige wöchentliche Arbeitszeit und die tägliche Arbeitszeit der Praktikantinnen/Praktikanten richten sich nach den Bestimmungen, die für die Arbeitszeit der bei dem Arbeitgeber in dem künftigen Beruf der Praktikantinnen/Praktikanten Beschäftigten gelten.</w:t>
      </w:r>
    </w:p>
    <w:p w:rsidR="00BE1EFE" w:rsidRDefault="00BE1EFE">
      <w:pPr>
        <w:pStyle w:val="berschrift5"/>
      </w:pPr>
      <w:bookmarkStart w:id="1125" w:name="_Toc523926642"/>
      <w:r>
        <w:t>§ 8 Entgelt</w:t>
      </w:r>
      <w:bookmarkEnd w:id="1125"/>
    </w:p>
    <w:tbl>
      <w:tblPr>
        <w:tblW w:w="5000" w:type="pct"/>
        <w:tblCellMar>
          <w:left w:w="0" w:type="dxa"/>
          <w:right w:w="0" w:type="dxa"/>
        </w:tblCellMar>
        <w:tblLook w:val="04A0" w:firstRow="1" w:lastRow="0" w:firstColumn="1" w:lastColumn="0" w:noHBand="0" w:noVBand="1"/>
      </w:tblPr>
      <w:tblGrid>
        <w:gridCol w:w="1224"/>
        <w:gridCol w:w="1173"/>
        <w:gridCol w:w="1173"/>
        <w:gridCol w:w="261"/>
        <w:gridCol w:w="1966"/>
        <w:gridCol w:w="1110"/>
      </w:tblGrid>
      <w:tr w:rsidR="00BE1EFE" w:rsidTr="002E7CF4">
        <w:tc>
          <w:tcPr>
            <w:tcW w:w="6907" w:type="dxa"/>
            <w:gridSpan w:val="6"/>
            <w:tcMar>
              <w:top w:w="0" w:type="dxa"/>
              <w:left w:w="108" w:type="dxa"/>
              <w:bottom w:w="0" w:type="dxa"/>
              <w:right w:w="108" w:type="dxa"/>
            </w:tcMar>
            <w:hideMark/>
          </w:tcPr>
          <w:p w:rsidR="00BE1EFE" w:rsidRPr="00B76821" w:rsidRDefault="00BE1EFE" w:rsidP="00B76821">
            <w:pPr>
              <w:pStyle w:val="berschrift6"/>
              <w:keepNext w:val="0"/>
              <w:spacing w:before="0" w:after="0"/>
              <w:rPr>
                <w:sz w:val="2"/>
              </w:rPr>
            </w:pPr>
          </w:p>
          <w:p w:rsidR="00BE1EFE" w:rsidRPr="000B1AF8" w:rsidRDefault="00BE1EFE">
            <w:pPr>
              <w:pStyle w:val="StandardWeb"/>
            </w:pPr>
            <w:r>
              <w:t>(1) Das monatliche Entgelt beträgt für Praktikantinnen/Praktikanten für den Beruf</w:t>
            </w:r>
          </w:p>
        </w:tc>
      </w:tr>
      <w:tr w:rsidR="00BE1EFE" w:rsidTr="00086E45">
        <w:tc>
          <w:tcPr>
            <w:tcW w:w="6907" w:type="dxa"/>
            <w:gridSpan w:val="6"/>
            <w:tcMar>
              <w:top w:w="0" w:type="dxa"/>
              <w:left w:w="108" w:type="dxa"/>
              <w:bottom w:w="0" w:type="dxa"/>
              <w:right w:w="108" w:type="dxa"/>
            </w:tcMar>
            <w:hideMark/>
          </w:tcPr>
          <w:p w:rsidR="00BE1EFE" w:rsidRDefault="00BE1EFE">
            <w:pPr>
              <w:rPr>
                <w:sz w:val="24"/>
              </w:rPr>
            </w:pPr>
            <w:r>
              <w:lastRenderedPageBreak/>
              <w:t> </w:t>
            </w:r>
          </w:p>
        </w:tc>
      </w:tr>
      <w:tr w:rsidR="00BE1EFE" w:rsidTr="002E7CF4">
        <w:trPr>
          <w:trHeight w:val="736"/>
        </w:trPr>
        <w:tc>
          <w:tcPr>
            <w:tcW w:w="3831" w:type="dxa"/>
            <w:gridSpan w:val="4"/>
            <w:tcMar>
              <w:top w:w="0" w:type="dxa"/>
              <w:left w:w="108" w:type="dxa"/>
              <w:bottom w:w="0" w:type="dxa"/>
              <w:right w:w="108" w:type="dxa"/>
            </w:tcMar>
            <w:hideMark/>
          </w:tcPr>
          <w:p w:rsidR="00BE1EFE" w:rsidRDefault="00BE1EFE" w:rsidP="002E7CF4">
            <w:pPr>
              <w:pStyle w:val="StandardWeb"/>
              <w:jc w:val="left"/>
            </w:pPr>
            <w:r>
              <w:t xml:space="preserve">– der Sozialarbeiterin/des Sozialarbeiters, </w:t>
            </w:r>
            <w:r>
              <w:br/>
              <w:t>der Sozialpädagogin/des Sozialpädagogen,</w:t>
            </w:r>
          </w:p>
          <w:p w:rsidR="00BE1EFE" w:rsidRPr="000B1AF8" w:rsidRDefault="00BE1EFE" w:rsidP="002E7CF4">
            <w:pPr>
              <w:pStyle w:val="StandardWeb"/>
              <w:jc w:val="left"/>
            </w:pPr>
            <w:r>
              <w:t xml:space="preserve">der Heilpädagogin/des Heilpädagogen, </w:t>
            </w:r>
            <w:r>
              <w:br/>
              <w:t>der Religionspädagogin/des Religionspädagogen</w:t>
            </w:r>
          </w:p>
        </w:tc>
        <w:tc>
          <w:tcPr>
            <w:tcW w:w="3076" w:type="dxa"/>
            <w:gridSpan w:val="2"/>
            <w:tcMar>
              <w:top w:w="0" w:type="dxa"/>
              <w:left w:w="108" w:type="dxa"/>
              <w:bottom w:w="0" w:type="dxa"/>
              <w:right w:w="108" w:type="dxa"/>
            </w:tcMar>
            <w:vAlign w:val="center"/>
            <w:hideMark/>
          </w:tcPr>
          <w:p w:rsidR="00BE1EFE" w:rsidRPr="000B1AF8" w:rsidRDefault="00BE1EFE" w:rsidP="002E7CF4">
            <w:pPr>
              <w:pStyle w:val="StandardWeb"/>
              <w:jc w:val="left"/>
            </w:pPr>
            <w:r>
              <w:t xml:space="preserve">ab 1. März 2018           </w:t>
            </w:r>
            <w:r w:rsidRPr="009E4723">
              <w:t>1.776,21</w:t>
            </w:r>
            <w:r>
              <w:t xml:space="preserve"> Euro,</w:t>
            </w:r>
          </w:p>
          <w:p w:rsidR="00BE1EFE" w:rsidRPr="000B1AF8" w:rsidRDefault="00BE1EFE" w:rsidP="002E7CF4">
            <w:pPr>
              <w:pStyle w:val="StandardWeb"/>
              <w:jc w:val="left"/>
            </w:pPr>
            <w:r>
              <w:t>ab 1. Februar 2019      1.826,21 Euro,</w:t>
            </w:r>
          </w:p>
        </w:tc>
      </w:tr>
      <w:tr w:rsidR="00BE1EFE" w:rsidTr="00086E45">
        <w:tc>
          <w:tcPr>
            <w:tcW w:w="6907" w:type="dxa"/>
            <w:gridSpan w:val="6"/>
            <w:tcMar>
              <w:top w:w="0" w:type="dxa"/>
              <w:left w:w="108" w:type="dxa"/>
              <w:bottom w:w="0" w:type="dxa"/>
              <w:right w:w="108" w:type="dxa"/>
            </w:tcMar>
            <w:hideMark/>
          </w:tcPr>
          <w:p w:rsidR="00BE1EFE" w:rsidRDefault="00BE1EFE" w:rsidP="00086E45">
            <w:pPr>
              <w:rPr>
                <w:sz w:val="24"/>
              </w:rPr>
            </w:pPr>
            <w:r>
              <w:t> </w:t>
            </w:r>
          </w:p>
        </w:tc>
      </w:tr>
      <w:tr w:rsidR="00BE1EFE" w:rsidTr="002E7CF4">
        <w:tc>
          <w:tcPr>
            <w:tcW w:w="3570" w:type="dxa"/>
            <w:gridSpan w:val="3"/>
            <w:tcMar>
              <w:top w:w="0" w:type="dxa"/>
              <w:left w:w="108" w:type="dxa"/>
              <w:bottom w:w="0" w:type="dxa"/>
              <w:right w:w="108" w:type="dxa"/>
            </w:tcMar>
            <w:hideMark/>
          </w:tcPr>
          <w:p w:rsidR="00BE1EFE" w:rsidRPr="000B1AF8" w:rsidRDefault="00BE1EFE">
            <w:pPr>
              <w:pStyle w:val="StandardWeb"/>
            </w:pPr>
            <w:r>
              <w:t>– der Erzieherin/des Erziehers</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val="restart"/>
            <w:tcMar>
              <w:top w:w="0" w:type="dxa"/>
              <w:left w:w="108" w:type="dxa"/>
              <w:bottom w:w="0" w:type="dxa"/>
              <w:right w:w="108" w:type="dxa"/>
            </w:tcMar>
            <w:hideMark/>
          </w:tcPr>
          <w:p w:rsidR="00BE1EFE" w:rsidRPr="000B1AF8" w:rsidRDefault="00BE1EFE">
            <w:pPr>
              <w:pStyle w:val="StandardWeb"/>
            </w:pPr>
            <w:r>
              <w:t>ab 1. März 2018           1.552,02 Euro,</w:t>
            </w:r>
          </w:p>
          <w:p w:rsidR="00BE1EFE" w:rsidRPr="000B1AF8" w:rsidRDefault="00BE1EFE" w:rsidP="008E27B1">
            <w:pPr>
              <w:pStyle w:val="StandardWeb"/>
            </w:pPr>
            <w:r>
              <w:t>ab 1. Februar 2019      1.602,02 Euro,</w:t>
            </w: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tcMar>
              <w:top w:w="0" w:type="dxa"/>
              <w:left w:w="108" w:type="dxa"/>
              <w:bottom w:w="0" w:type="dxa"/>
              <w:right w:w="108" w:type="dxa"/>
            </w:tcMar>
            <w:hideMark/>
          </w:tcPr>
          <w:p w:rsidR="00BE1EFE" w:rsidRPr="000B1AF8" w:rsidRDefault="00BE1EFE">
            <w:pPr>
              <w:pStyle w:val="StandardWeb"/>
            </w:pP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1966" w:type="dxa"/>
            <w:tcMar>
              <w:top w:w="0" w:type="dxa"/>
              <w:left w:w="108" w:type="dxa"/>
              <w:bottom w:w="0" w:type="dxa"/>
              <w:right w:w="108" w:type="dxa"/>
            </w:tcMar>
            <w:hideMark/>
          </w:tcPr>
          <w:p w:rsidR="00BE1EFE" w:rsidRDefault="00BE1EFE">
            <w:pPr>
              <w:rPr>
                <w:sz w:val="24"/>
              </w:rPr>
            </w:pPr>
            <w:r>
              <w:t> </w:t>
            </w:r>
          </w:p>
        </w:tc>
        <w:tc>
          <w:tcPr>
            <w:tcW w:w="1110" w:type="dxa"/>
            <w:tcMar>
              <w:top w:w="0" w:type="dxa"/>
              <w:left w:w="108" w:type="dxa"/>
              <w:bottom w:w="0" w:type="dxa"/>
              <w:right w:w="108" w:type="dxa"/>
            </w:tcMar>
            <w:hideMark/>
          </w:tcPr>
          <w:p w:rsidR="00BE1EFE" w:rsidRDefault="00BE1EFE">
            <w:pPr>
              <w:rPr>
                <w:sz w:val="24"/>
              </w:rPr>
            </w:pPr>
            <w:r>
              <w:t> </w:t>
            </w:r>
          </w:p>
        </w:tc>
      </w:tr>
      <w:tr w:rsidR="00BE1EFE" w:rsidTr="002E7CF4">
        <w:tc>
          <w:tcPr>
            <w:tcW w:w="3570" w:type="dxa"/>
            <w:gridSpan w:val="3"/>
            <w:tcMar>
              <w:top w:w="0" w:type="dxa"/>
              <w:left w:w="108" w:type="dxa"/>
              <w:bottom w:w="0" w:type="dxa"/>
              <w:right w:w="108" w:type="dxa"/>
            </w:tcMar>
            <w:hideMark/>
          </w:tcPr>
          <w:p w:rsidR="00BE1EFE" w:rsidRPr="000B1AF8" w:rsidRDefault="00BE1EFE">
            <w:pPr>
              <w:pStyle w:val="StandardWeb"/>
            </w:pPr>
            <w:r>
              <w:t>– der Kinderpflegerin/des Kinderpflegers,</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val="restart"/>
            <w:tcMar>
              <w:top w:w="0" w:type="dxa"/>
              <w:left w:w="108" w:type="dxa"/>
              <w:bottom w:w="0" w:type="dxa"/>
              <w:right w:w="108" w:type="dxa"/>
            </w:tcMar>
            <w:hideMark/>
          </w:tcPr>
          <w:p w:rsidR="00BE1EFE" w:rsidRPr="000B1AF8" w:rsidRDefault="00BE1EFE">
            <w:pPr>
              <w:pStyle w:val="StandardWeb"/>
            </w:pPr>
            <w:r>
              <w:t>ab 1. März 2018            1.495,36 Euro,</w:t>
            </w:r>
          </w:p>
          <w:p w:rsidR="00BE1EFE" w:rsidRPr="000B1AF8" w:rsidRDefault="00BE1EFE" w:rsidP="003F74A9">
            <w:pPr>
              <w:pStyle w:val="StandardWeb"/>
            </w:pPr>
            <w:r>
              <w:t>ab 1. Februar 2019       1.545,36 Euro.</w:t>
            </w:r>
          </w:p>
        </w:tc>
      </w:tr>
      <w:tr w:rsidR="00BE1EFE" w:rsidTr="002E7CF4">
        <w:tc>
          <w:tcPr>
            <w:tcW w:w="1224"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1173" w:type="dxa"/>
            <w:tcMar>
              <w:top w:w="0" w:type="dxa"/>
              <w:left w:w="108" w:type="dxa"/>
              <w:bottom w:w="0" w:type="dxa"/>
              <w:right w:w="108" w:type="dxa"/>
            </w:tcMar>
            <w:hideMark/>
          </w:tcPr>
          <w:p w:rsidR="00BE1EFE" w:rsidRDefault="00BE1EFE">
            <w:pPr>
              <w:rPr>
                <w:sz w:val="24"/>
              </w:rPr>
            </w:pPr>
            <w:r>
              <w:t> </w:t>
            </w:r>
          </w:p>
        </w:tc>
        <w:tc>
          <w:tcPr>
            <w:tcW w:w="261" w:type="dxa"/>
            <w:tcMar>
              <w:top w:w="0" w:type="dxa"/>
              <w:left w:w="108" w:type="dxa"/>
              <w:bottom w:w="0" w:type="dxa"/>
              <w:right w:w="108" w:type="dxa"/>
            </w:tcMar>
            <w:hideMark/>
          </w:tcPr>
          <w:p w:rsidR="00BE1EFE" w:rsidRDefault="00BE1EFE">
            <w:pPr>
              <w:rPr>
                <w:sz w:val="24"/>
              </w:rPr>
            </w:pPr>
            <w:r>
              <w:t> </w:t>
            </w:r>
          </w:p>
        </w:tc>
        <w:tc>
          <w:tcPr>
            <w:tcW w:w="3076" w:type="dxa"/>
            <w:gridSpan w:val="2"/>
            <w:vMerge/>
            <w:tcMar>
              <w:top w:w="0" w:type="dxa"/>
              <w:left w:w="108" w:type="dxa"/>
              <w:bottom w:w="0" w:type="dxa"/>
              <w:right w:w="108" w:type="dxa"/>
            </w:tcMar>
            <w:hideMark/>
          </w:tcPr>
          <w:p w:rsidR="00BE1EFE" w:rsidRPr="000B1AF8" w:rsidRDefault="00BE1EFE">
            <w:pPr>
              <w:pStyle w:val="StandardWeb"/>
            </w:pPr>
          </w:p>
        </w:tc>
      </w:tr>
      <w:tr w:rsidR="00BE1EFE" w:rsidTr="00086E45">
        <w:tc>
          <w:tcPr>
            <w:tcW w:w="6907" w:type="dxa"/>
            <w:gridSpan w:val="6"/>
            <w:tcMar>
              <w:top w:w="0" w:type="dxa"/>
              <w:left w:w="108" w:type="dxa"/>
              <w:bottom w:w="0" w:type="dxa"/>
              <w:right w:w="108" w:type="dxa"/>
            </w:tcMar>
            <w:hideMark/>
          </w:tcPr>
          <w:p w:rsidR="00BE1EFE" w:rsidRDefault="00BE1EFE" w:rsidP="00086E45">
            <w:pPr>
              <w:rPr>
                <w:sz w:val="24"/>
              </w:rPr>
            </w:pPr>
            <w:r>
              <w:t> </w:t>
            </w:r>
          </w:p>
        </w:tc>
      </w:tr>
      <w:tr w:rsidR="00BE1EFE" w:rsidTr="002E7CF4">
        <w:tc>
          <w:tcPr>
            <w:tcW w:w="6907" w:type="dxa"/>
            <w:gridSpan w:val="6"/>
            <w:tcMar>
              <w:top w:w="0" w:type="dxa"/>
              <w:left w:w="108" w:type="dxa"/>
              <w:bottom w:w="0" w:type="dxa"/>
              <w:right w:w="108" w:type="dxa"/>
            </w:tcMar>
            <w:hideMark/>
          </w:tcPr>
          <w:p w:rsidR="00BE1EFE" w:rsidRPr="000B1AF8" w:rsidRDefault="00BE1EFE">
            <w:pPr>
              <w:pStyle w:val="StandardWeb"/>
            </w:pPr>
            <w:r>
              <w:t>(2) Das Entgelt nach Absatz 1 ist zu demselben Zeitpunkt fällig wie das den Beschäftigten des Arbeitgebers gezahlte Entgelt.</w:t>
            </w:r>
          </w:p>
        </w:tc>
      </w:tr>
    </w:tbl>
    <w:p w:rsidR="00BE1EFE" w:rsidRDefault="00BE1EFE">
      <w:pPr>
        <w:pStyle w:val="berschrift5"/>
      </w:pPr>
      <w:bookmarkStart w:id="1126" w:name="_Toc523926643"/>
      <w:r>
        <w:t>§ 9 Sonstige Entgeltregelungen</w:t>
      </w:r>
      <w:bookmarkEnd w:id="1126"/>
    </w:p>
    <w:p w:rsidR="00BE1EFE" w:rsidRPr="00B76821" w:rsidRDefault="00BE1EFE" w:rsidP="00B76821">
      <w:pPr>
        <w:pStyle w:val="berschrift6"/>
        <w:keepNext w:val="0"/>
        <w:spacing w:before="0" w:after="0"/>
        <w:rPr>
          <w:sz w:val="2"/>
        </w:rPr>
      </w:pPr>
    </w:p>
    <w:p w:rsidR="00BE1EFE" w:rsidRPr="000B1AF8" w:rsidRDefault="00BE1EFE">
      <w:pPr>
        <w:pStyle w:val="StandardWeb"/>
      </w:pPr>
      <w:r>
        <w:t>(1) Für die praktische Tätigkeit an Samstagen, Sonntagen, Feiertagen und Vorfesttagen, für den Bereitschaftsdienst und die Rufbereitschaft, für die Überstunden und für die Zeitzuschläge gelten die für die Beschäftigten des Arbeitgebers geltenden Regelungen sinngemäß.</w:t>
      </w:r>
    </w:p>
    <w:p w:rsidR="00BE1EFE" w:rsidRDefault="00BE1EFE">
      <w:pPr>
        <w:pStyle w:val="StandardWeb"/>
      </w:pPr>
    </w:p>
    <w:p w:rsidR="00BE1EFE" w:rsidRDefault="00BE1EFE">
      <w:pPr>
        <w:pStyle w:val="StandardWeb"/>
      </w:pPr>
      <w:r>
        <w:t xml:space="preserve">(2) Soweit Beschäftigten im Sinne von </w:t>
      </w:r>
      <w:hyperlink r:id="rId1716" w:history="1">
        <w:r w:rsidRPr="002D1F1D">
          <w:rPr>
            <w:rStyle w:val="Hyperlink"/>
          </w:rPr>
          <w:t>§ 38 Absatz 5 Satz 1 ABD Teil A, 1.</w:t>
        </w:r>
      </w:hyperlink>
      <w:r>
        <w:t xml:space="preserve"> gemäß </w:t>
      </w:r>
      <w:hyperlink r:id="rId1717" w:history="1">
        <w:r w:rsidRPr="002D1F1D">
          <w:rPr>
            <w:rStyle w:val="Hyperlink"/>
          </w:rPr>
          <w:t>§ 19 Absatz 5 Satz 2 ABD Teil A, 1.</w:t>
        </w:r>
      </w:hyperlink>
      <w:r>
        <w:t xml:space="preserve"> eine Zulage zusteht, erhalten Praktikantinnen und Praktikanten unter denselben Voraussetzungen die entsprechende Zulage in voller Höhe.</w:t>
      </w:r>
    </w:p>
    <w:p w:rsidR="00BE1EFE" w:rsidRDefault="00BE1EFE">
      <w:pPr>
        <w:pStyle w:val="StandardWeb"/>
      </w:pPr>
    </w:p>
    <w:p w:rsidR="00BE1EFE" w:rsidRDefault="00BE1EFE">
      <w:pPr>
        <w:pStyle w:val="StandardWeb"/>
      </w:pPr>
      <w:r>
        <w:t xml:space="preserve">(3) Soweit Beschäftigten, die im Heimerziehungsdienst tätig sind, eine Zulage nach der </w:t>
      </w:r>
      <w:hyperlink r:id="rId1718" w:history="1">
        <w:r w:rsidRPr="004F548A">
          <w:rPr>
            <w:rStyle w:val="Hyperlink"/>
          </w:rPr>
          <w:t>Nummer 30 (Beschäftigte im Sozial- und Erziehungsdienst) der zusätzlichen Tätigkeitsmerkmale für bestimmte Angestelltengruppen (ABD Teil A, 2.3.)</w:t>
        </w:r>
      </w:hyperlink>
      <w:r>
        <w:t xml:space="preserve"> zusteht, erhalten Praktikantinnen und Praktikanten unter denselben Voraussetzungen die entsprechende Zulage in voller Höhe.</w:t>
      </w:r>
    </w:p>
    <w:p w:rsidR="00BE1EFE" w:rsidRDefault="00BE1EFE">
      <w:pPr>
        <w:pStyle w:val="StandardWeb"/>
      </w:pPr>
    </w:p>
    <w:p w:rsidR="00BE1EFE" w:rsidRDefault="00BE1EFE">
      <w:pPr>
        <w:pStyle w:val="StandardWeb"/>
      </w:pPr>
      <w:r>
        <w:t xml:space="preserve">(4) Soweit Beschäftigten gemäß </w:t>
      </w:r>
      <w:hyperlink r:id="rId1719" w:history="1">
        <w:r w:rsidRPr="002D1F1D">
          <w:rPr>
            <w:rStyle w:val="Hyperlink"/>
          </w:rPr>
          <w:t>§ 8 Absatz 5 bzw. 6 ABD Teil A, 1.</w:t>
        </w:r>
      </w:hyperlink>
      <w:r>
        <w:t xml:space="preserve"> eine Wechselschicht bzw. Schichtzulage zusteht, erhalten Praktikantinnen und Praktikanten unter denselben Voraus</w:t>
      </w:r>
      <w:r>
        <w:softHyphen/>
        <w:t>setzungen 75 v.H. des entsprechenden Zulagenbetrages.</w:t>
      </w:r>
    </w:p>
    <w:p w:rsidR="00BE1EFE" w:rsidRDefault="00BE1EFE">
      <w:pPr>
        <w:pStyle w:val="StandardWeb"/>
      </w:pPr>
    </w:p>
    <w:p w:rsidR="00BE1EFE" w:rsidRDefault="00BE1EFE">
      <w:pPr>
        <w:pStyle w:val="StandardWeb"/>
      </w:pPr>
      <w:r>
        <w:t>(5) </w:t>
      </w:r>
      <w:r>
        <w:rPr>
          <w:rStyle w:val="kleinschrift"/>
        </w:rPr>
        <w:t>1</w:t>
      </w:r>
      <w:r>
        <w:t xml:space="preserve">Falls im Bereich der Arbeitgeber im Sinne von </w:t>
      </w:r>
      <w:hyperlink r:id="rId1720" w:history="1">
        <w:r w:rsidRPr="002D1F1D">
          <w:rPr>
            <w:rStyle w:val="Hyperlink"/>
          </w:rPr>
          <w:t>§ 1 Absatz 1 ABD Teil A, 1.</w:t>
        </w:r>
      </w:hyperlink>
      <w:r>
        <w:t xml:space="preserve"> im Rahmen des Praktikantenvertrages eine Vereinbarung über die Gewährung einer Personalunterkunft getroffen wird, ist dies in einer gesondert kündbaren Nebenabrede (</w:t>
      </w:r>
      <w:hyperlink r:id="rId1721" w:history="1">
        <w:r w:rsidRPr="002D1F1D">
          <w:rPr>
            <w:rStyle w:val="Hyperlink"/>
          </w:rPr>
          <w:t>§ 2 Absatz 2</w:t>
        </w:r>
      </w:hyperlink>
      <w:r>
        <w:t xml:space="preserve">) festzulegen. </w:t>
      </w:r>
      <w:r>
        <w:rPr>
          <w:rStyle w:val="kleinschrift"/>
        </w:rPr>
        <w:t>2</w:t>
      </w:r>
      <w:r>
        <w:t xml:space="preserve">Der Wert der Personalunterkunft wird im Bereich der Arbeitgeber im Sinne von </w:t>
      </w:r>
      <w:hyperlink r:id="rId1722" w:history="1">
        <w:r w:rsidRPr="002D1F1D">
          <w:rPr>
            <w:rStyle w:val="Hyperlink"/>
          </w:rPr>
          <w:t>§ 1 Absatz 1 ABD Teil A, 1.</w:t>
        </w:r>
      </w:hyperlink>
      <w:r>
        <w:t xml:space="preserve"> nach der Regelung über die Bewertung der Personalunterkünfte für Beschäftigte (</w:t>
      </w:r>
      <w:hyperlink r:id="rId1723" w:history="1">
        <w:r w:rsidRPr="002D1F1D">
          <w:rPr>
            <w:rStyle w:val="Hyperlink"/>
          </w:rPr>
          <w:t>ABD Teil D, 7.</w:t>
        </w:r>
      </w:hyperlink>
      <w:r>
        <w:t>) in der jeweils geltenden Fassung auf das Entgelt (</w:t>
      </w:r>
      <w:hyperlink r:id="rId1724" w:history="1">
        <w:r w:rsidRPr="002D1F1D">
          <w:rPr>
            <w:rStyle w:val="Hyperlink"/>
          </w:rPr>
          <w:t>§ 8</w:t>
        </w:r>
      </w:hyperlink>
      <w:r>
        <w:t xml:space="preserve">) mit der Maßgabe angerechnet, dass der nach </w:t>
      </w:r>
      <w:hyperlink r:id="rId1725" w:history="1">
        <w:r w:rsidRPr="002D1F1D">
          <w:rPr>
            <w:rStyle w:val="Hyperlink"/>
          </w:rPr>
          <w:t>§ 3 Absatz 1 Unterabsatz 1</w:t>
        </w:r>
      </w:hyperlink>
      <w:r>
        <w:t xml:space="preserve"> der genannten Regelung maßgebende Quadratmetersatz um 15 v.H. zu kürzen ist.</w:t>
      </w:r>
    </w:p>
    <w:p w:rsidR="00BE1EFE" w:rsidRDefault="00BE1EFE">
      <w:pPr>
        <w:pStyle w:val="berschrift5"/>
      </w:pPr>
      <w:bookmarkStart w:id="1127" w:name="_Toc523926644"/>
      <w:r>
        <w:t>§ 10 Urlaub</w:t>
      </w:r>
      <w:bookmarkEnd w:id="1127"/>
    </w:p>
    <w:p w:rsidR="00BE1EFE" w:rsidRPr="00B76821" w:rsidRDefault="00BE1EFE" w:rsidP="00B76821">
      <w:pPr>
        <w:pStyle w:val="berschrift6"/>
        <w:keepNext w:val="0"/>
        <w:spacing w:before="0" w:after="0"/>
        <w:rPr>
          <w:sz w:val="2"/>
        </w:rPr>
      </w:pPr>
    </w:p>
    <w:p w:rsidR="00BE1EFE" w:rsidRPr="000B1AF8" w:rsidRDefault="00BE1EFE">
      <w:pPr>
        <w:pStyle w:val="StandardWeb"/>
      </w:pPr>
      <w:r>
        <w:t xml:space="preserve">Praktikantinnen/Praktikanten erhalten Erholungsurlaub unter Fortzahlung ihres Entgelts </w:t>
      </w:r>
      <w:hyperlink r:id="rId1726" w:history="1">
        <w:r w:rsidRPr="002D1F1D">
          <w:rPr>
            <w:rStyle w:val="Hyperlink"/>
          </w:rPr>
          <w:t>(§ 8 Absatz 1)</w:t>
        </w:r>
      </w:hyperlink>
      <w:r>
        <w:t xml:space="preserve"> in entsprechender Anwendung der für die Beschäftigten des Arbeitgebers geltenden Regelungen mit der Maßgabe, dass der Urlaubsanspruch bei Verteilung der wöchentlichen Arbeitszeit auf fünf Tage in der Kalenderwoche in jedem Urlaubsjahr 29 Arbeitstage beträgt.</w:t>
      </w:r>
    </w:p>
    <w:p w:rsidR="00BE1EFE" w:rsidRDefault="00BE1EFE">
      <w:pPr>
        <w:pStyle w:val="berschrift5"/>
      </w:pPr>
      <w:bookmarkStart w:id="1128" w:name="_Toc523926645"/>
      <w:r>
        <w:lastRenderedPageBreak/>
        <w:t>§ 11 Entgelt im Krankheitsfall</w:t>
      </w:r>
      <w:bookmarkEnd w:id="1128"/>
    </w:p>
    <w:p w:rsidR="00BE1EFE" w:rsidRPr="00B76821" w:rsidRDefault="00BE1EFE" w:rsidP="00B76821">
      <w:pPr>
        <w:pStyle w:val="berschrift6"/>
        <w:keepNext w:val="0"/>
        <w:spacing w:before="0" w:after="0"/>
        <w:rPr>
          <w:sz w:val="2"/>
        </w:rPr>
      </w:pPr>
    </w:p>
    <w:p w:rsidR="00BE1EFE" w:rsidRDefault="00BE1EFE">
      <w:pPr>
        <w:pStyle w:val="StandardWeb"/>
      </w:pPr>
      <w:r>
        <w:t xml:space="preserve">(1) Werden Praktikantinnen/Praktikanten durch Arbeitsunfähigkeit infolge Krankheit ohne ihr Verschulden verhindert, die nach </w:t>
      </w:r>
      <w:hyperlink r:id="rId1727" w:history="1">
        <w:r w:rsidRPr="002D1F1D">
          <w:rPr>
            <w:rStyle w:val="Hyperlink"/>
          </w:rPr>
          <w:t>§ 1 Absatz 1</w:t>
        </w:r>
      </w:hyperlink>
      <w:r>
        <w:t xml:space="preserve"> erforderliche praktische Tätigkeit auszuüben, erhalten sie für die Zeit der Arbeitsunfähigkeit für die Dauer von bis zu sechs Wochen sowie nach Maßgabe der gesetzlichen Bestimmungen bei Wiederholungserkrankungen das Entgelt (</w:t>
      </w:r>
      <w:hyperlink r:id="rId1728" w:history="1">
        <w:r w:rsidRPr="002D1F1D">
          <w:rPr>
            <w:rStyle w:val="Hyperlink"/>
          </w:rPr>
          <w:t>§ 8 Absatz 1</w:t>
        </w:r>
      </w:hyperlink>
      <w:r>
        <w:t>) in entsprechender Anwendung der für die Beschäftigten des Arbeitgebers geltenden Regelungen fortgezahlt.</w:t>
      </w:r>
    </w:p>
    <w:p w:rsidR="00BE1EFE" w:rsidRDefault="00BE1EFE">
      <w:pPr>
        <w:pStyle w:val="StandardWeb"/>
      </w:pPr>
    </w:p>
    <w:p w:rsidR="00BE1EFE" w:rsidRDefault="00BE1EFE">
      <w:pPr>
        <w:pStyle w:val="StandardWeb"/>
      </w:pPr>
      <w:r>
        <w:t>(2) Im Übrigen gilt das Entgeltfortzahlungsgesetz.</w:t>
      </w:r>
    </w:p>
    <w:p w:rsidR="00BE1EFE" w:rsidRDefault="00BE1EFE">
      <w:pPr>
        <w:pStyle w:val="StandardWeb"/>
      </w:pPr>
    </w:p>
    <w:p w:rsidR="00BE1EFE" w:rsidRPr="000B1AF8" w:rsidRDefault="00BE1EFE">
      <w:pPr>
        <w:pStyle w:val="StandardWeb"/>
      </w:pPr>
      <w:r>
        <w:t>(3) Bei der jeweils ersten Arbeitsunfähigkeit, die durch einen bei dem Arbeitgeber erlittenen Arbeitsunfall oder durch eine bei dem Arbeitgeber zugezogene Berufskrankheit verursacht ist, erhält die Praktikantin/der Praktikant nach Ablauf des nach Absatz 1 maßgebenden Zeitraums bis zum Ende der 26. Woche seit dem Beginn der Arbeitsunfähigkeit einen Krankengeld</w:t>
      </w:r>
      <w:r>
        <w:softHyphen/>
        <w:t>zuschuss in Höhe des Unterschiedsbetrages zwischen dem Bruttokrankengeld und dem sich nach Absatz 1 ergebenden Nettoentgelt, wenn der zuständige Unfallversicherungsträger den Arbeitsunfall oder die Berufskrankheit anerkennt.</w:t>
      </w:r>
    </w:p>
    <w:p w:rsidR="00BE1EFE" w:rsidRDefault="00BE1EFE">
      <w:pPr>
        <w:pStyle w:val="berschrift5"/>
      </w:pPr>
      <w:bookmarkStart w:id="1129" w:name="_Toc523926646"/>
      <w:r>
        <w:t>§ 12 Entgeltfortzahlung in anderen Fällen</w:t>
      </w:r>
      <w:bookmarkEnd w:id="1129"/>
    </w:p>
    <w:p w:rsidR="00BE1EFE" w:rsidRPr="00B76821" w:rsidRDefault="00BE1EFE" w:rsidP="00B76821">
      <w:pPr>
        <w:pStyle w:val="berschrift6"/>
        <w:keepNext w:val="0"/>
        <w:spacing w:before="0" w:after="0"/>
        <w:rPr>
          <w:sz w:val="2"/>
        </w:rPr>
      </w:pPr>
    </w:p>
    <w:p w:rsidR="00BE1EFE" w:rsidRPr="000B1AF8" w:rsidRDefault="00BE1EFE">
      <w:pPr>
        <w:pStyle w:val="StandardWeb"/>
      </w:pPr>
      <w:r>
        <w:t>Praktikantinnen/Praktikanten haben Anspruch auf Arbeitsbefreiung unter Fortzahlung ihres Entgelts (</w:t>
      </w:r>
      <w:hyperlink r:id="rId1729" w:history="1">
        <w:r w:rsidRPr="002D1F1D">
          <w:rPr>
            <w:rStyle w:val="Hyperlink"/>
          </w:rPr>
          <w:t>§ 8 Absatz 1</w:t>
        </w:r>
      </w:hyperlink>
      <w:r>
        <w:t>) unter denselben Voraussetzungen wie die Beschäftigten des Arbeitgebers.</w:t>
      </w:r>
    </w:p>
    <w:p w:rsidR="00BE1EFE" w:rsidRDefault="00BE1EFE">
      <w:pPr>
        <w:pStyle w:val="berschrift5"/>
      </w:pPr>
      <w:bookmarkStart w:id="1130" w:name="_Toc523926647"/>
      <w:r>
        <w:t>§ 13 Vermögenswirksame Leistungen</w:t>
      </w:r>
      <w:bookmarkEnd w:id="1130"/>
    </w:p>
    <w:p w:rsidR="00BE1EFE" w:rsidRPr="00B76821" w:rsidRDefault="00BE1EFE" w:rsidP="00B76821">
      <w:pPr>
        <w:pStyle w:val="berschrift6"/>
        <w:keepNext w:val="0"/>
        <w:spacing w:before="0" w:after="0"/>
        <w:rPr>
          <w:rStyle w:val="kleinschrift"/>
          <w:sz w:val="2"/>
        </w:rPr>
      </w:pPr>
    </w:p>
    <w:p w:rsidR="00BE1EFE" w:rsidRDefault="00BE1EFE" w:rsidP="00397F30">
      <w:pPr>
        <w:pStyle w:val="StandardWeb"/>
      </w:pPr>
      <w:r>
        <w:rPr>
          <w:rStyle w:val="kleinschrift"/>
        </w:rPr>
        <w:t>1</w:t>
      </w:r>
      <w:r>
        <w:t xml:space="preserve">Nach Maßgabe des Vermögensbildungsgesetzes in seiner jeweiligen Fassung erhalten Praktikantinnen/Praktikanten eine vermögenswirksame Leistung in Höhe von 13,29 Euro monatlich. </w:t>
      </w:r>
      <w:r>
        <w:rPr>
          <w:rStyle w:val="kleinschrift"/>
        </w:rPr>
        <w:t>2</w:t>
      </w:r>
      <w:r>
        <w:t>Der Anspruch auf vermögenswirksame Leistungen entsteht frühestens für den Kalendermonat, in dem dem Arbeitgeber die erforderlichen Angaben mitgeteilt werden, und für die beiden vorangegangenen Monate desselben Kalenderjahres.</w:t>
      </w:r>
    </w:p>
    <w:p w:rsidR="00BE1EFE" w:rsidRDefault="00BE1EFE">
      <w:pPr>
        <w:pStyle w:val="berschrift5"/>
      </w:pPr>
      <w:bookmarkStart w:id="1131" w:name="_Toc523926648"/>
      <w:r>
        <w:t>§ 14 Jahressonderzahlung</w:t>
      </w:r>
      <w:bookmarkEnd w:id="1131"/>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 xml:space="preserve">Praktikantinnen/Praktikanten, die am 1. Dezember in einem Praktikantenverhältnis stehen, haben Anspruch auf eine Jahressonderzahlung. </w:t>
      </w:r>
      <w:r>
        <w:rPr>
          <w:rStyle w:val="kleinschrift"/>
        </w:rPr>
        <w:t>2</w:t>
      </w:r>
      <w:r>
        <w:t>Diese beträgt bei Praktikantinnen/ Praktikanten 82,14 v.H. des den Praktikantinnen/Praktikanten für November zustehenden Entgelts (</w:t>
      </w:r>
      <w:hyperlink r:id="rId1730" w:history="1">
        <w:r w:rsidRPr="002D1F1D">
          <w:rPr>
            <w:rStyle w:val="Hyperlink"/>
          </w:rPr>
          <w:t>§ 8 Absatz 1</w:t>
        </w:r>
      </w:hyperlink>
      <w:r>
        <w:t>).</w:t>
      </w:r>
    </w:p>
    <w:p w:rsidR="00BE1EFE" w:rsidRPr="000B1AF8" w:rsidRDefault="00BE1EFE">
      <w:pPr>
        <w:pStyle w:val="StandardWeb"/>
      </w:pPr>
    </w:p>
    <w:p w:rsidR="00BE1EFE" w:rsidRDefault="00BE1EFE">
      <w:pPr>
        <w:pStyle w:val="StandardWeb"/>
      </w:pPr>
      <w:r>
        <w:t>(2) </w:t>
      </w:r>
      <w:r>
        <w:rPr>
          <w:rStyle w:val="kleinschrift"/>
        </w:rPr>
        <w:t>1</w:t>
      </w:r>
      <w:r>
        <w:t>Der Anspruch ermäßigt sich um ein Zwölftel für jeden Kalendermonat, in dem Praktikan</w:t>
      </w:r>
      <w:r>
        <w:softHyphen/>
        <w:t>tinnen/Praktikanten keinen Anspruch auf Entgelt (</w:t>
      </w:r>
      <w:hyperlink r:id="rId1731" w:history="1">
        <w:r w:rsidRPr="002D1F1D">
          <w:rPr>
            <w:rStyle w:val="Hyperlink"/>
          </w:rPr>
          <w:t>§ 8 Absatz 1</w:t>
        </w:r>
      </w:hyperlink>
      <w:r>
        <w:t>), Fortzahlung des Entgelts während des Erholungsurlaubs (</w:t>
      </w:r>
      <w:hyperlink r:id="rId1732" w:history="1">
        <w:r w:rsidRPr="002D1F1D">
          <w:rPr>
            <w:rStyle w:val="Hyperlink"/>
          </w:rPr>
          <w:t>§ 10</w:t>
        </w:r>
      </w:hyperlink>
      <w:r>
        <w:t>) oder im Krankheitsfall (</w:t>
      </w:r>
      <w:hyperlink r:id="rId1733" w:history="1">
        <w:r w:rsidRPr="002D1F1D">
          <w:rPr>
            <w:rStyle w:val="Hyperlink"/>
          </w:rPr>
          <w:t>§ 11</w:t>
        </w:r>
      </w:hyperlink>
      <w:r>
        <w:t xml:space="preserve">) haben. </w:t>
      </w:r>
      <w:r>
        <w:rPr>
          <w:rStyle w:val="kleinschrift"/>
        </w:rPr>
        <w:t>2</w:t>
      </w:r>
      <w:r>
        <w:t xml:space="preserve">Die Verminderung unterbleibt für Kalendermonate, für die Praktikantinnen wegen Beschäftigungsverboten nach </w:t>
      </w:r>
      <w:hyperlink r:id="rId1734" w:tgtFrame="_blank" w:history="1">
        <w:r>
          <w:rPr>
            <w:rStyle w:val="Hyperlink"/>
          </w:rPr>
          <w:t>§ 3 Absatz 2</w:t>
        </w:r>
      </w:hyperlink>
      <w:r>
        <w:t xml:space="preserve"> und </w:t>
      </w:r>
      <w:hyperlink r:id="rId1735" w:tgtFrame="_blank" w:history="1">
        <w:r>
          <w:rPr>
            <w:rStyle w:val="Hyperlink"/>
          </w:rPr>
          <w:t>§ 6 Absatz 1 des Mutterschutzgesetzes</w:t>
        </w:r>
      </w:hyperlink>
      <w:r>
        <w:t xml:space="preserve"> kein Entgelt erhalten haben, sowie für Kalendermonate der Inanspruchnahme der Elternzeit nach dem </w:t>
      </w:r>
      <w:hyperlink r:id="rId1736" w:tgtFrame="_blank" w:history="1">
        <w:r>
          <w:rPr>
            <w:rStyle w:val="Hyperlink"/>
          </w:rPr>
          <w:t>Bundeselterngeld- und Elternzeitgesetz (BEEG)</w:t>
        </w:r>
      </w:hyperlink>
      <w:r>
        <w:t xml:space="preserve"> bis zum Ende des Kalenderjahres, in dem das Kind geboren ist, wenn am Tag vor Antritt der Elternzeit Entgeltanspruch bestanden hat.</w:t>
      </w:r>
    </w:p>
    <w:p w:rsidR="00BE1EFE" w:rsidRDefault="00BE1EFE">
      <w:pPr>
        <w:pStyle w:val="StandardWeb"/>
      </w:pPr>
    </w:p>
    <w:p w:rsidR="00BE1EFE" w:rsidRDefault="00BE1EFE">
      <w:pPr>
        <w:pStyle w:val="StandardWeb"/>
      </w:pPr>
      <w:r>
        <w:t>(3) Die Jahressonderzahlung wird mit dem für November zustehenden Entgelt ausgezahlt.</w:t>
      </w:r>
    </w:p>
    <w:p w:rsidR="00BE1EFE" w:rsidRDefault="00BE1EFE">
      <w:pPr>
        <w:pStyle w:val="StandardWeb"/>
      </w:pPr>
    </w:p>
    <w:p w:rsidR="00BE1EFE" w:rsidRDefault="00BE1EFE">
      <w:pPr>
        <w:pStyle w:val="StandardWeb"/>
      </w:pPr>
      <w:r>
        <w:t>(4) </w:t>
      </w:r>
      <w:r>
        <w:rPr>
          <w:rStyle w:val="kleinschrift"/>
        </w:rPr>
        <w:t>1</w:t>
      </w:r>
      <w:r>
        <w:t>Praktikantinnen/Praktikanten, die im unmittelbaren Anschluss an das Praktikantenverhält</w:t>
      </w:r>
      <w:r>
        <w:softHyphen/>
        <w:t xml:space="preserve">nis von ihrem Arbeitgeber in ein Arbeitsverhältnis übernommen werden und am 1. Dezember noch in diesem Arbeitsverhältnis stehen, erhalten zusammen mit der anteiligen Jahressonderzahlung aus dem Arbeitsverhältnis eine anteilige Jahressonderzahlung aus dem Praktikantenverhältnis. </w:t>
      </w:r>
      <w:r>
        <w:rPr>
          <w:rStyle w:val="kleinschrift"/>
        </w:rPr>
        <w:t>2</w:t>
      </w:r>
      <w:r>
        <w:t>Erfolgt die Übernahme im Laufe eines Kalendermonats, wird für diesen Monat nur die anteilige Jahressonderzahlung aus dem Arbeitsverhältnis gezahlt.</w:t>
      </w:r>
    </w:p>
    <w:p w:rsidR="00BE1EFE" w:rsidRDefault="00BE1EFE">
      <w:pPr>
        <w:pStyle w:val="berschrift5"/>
      </w:pPr>
      <w:bookmarkStart w:id="1132" w:name="_Toc523926649"/>
      <w:r>
        <w:t>§ 14a Praktikantenentgeltbezugsgröße</w:t>
      </w:r>
      <w:bookmarkEnd w:id="1132"/>
    </w:p>
    <w:p w:rsidR="00BE1EFE" w:rsidRPr="00B76821" w:rsidRDefault="00BE1EFE" w:rsidP="00B76821">
      <w:pPr>
        <w:pStyle w:val="berschrift6"/>
        <w:keepNext w:val="0"/>
        <w:spacing w:before="0" w:after="0"/>
        <w:rPr>
          <w:rStyle w:val="kleinschrift"/>
          <w:sz w:val="2"/>
        </w:rPr>
      </w:pPr>
    </w:p>
    <w:p w:rsidR="00BE1EFE" w:rsidRDefault="00BE1EFE">
      <w:pPr>
        <w:pStyle w:val="StandardWeb"/>
      </w:pPr>
      <w:r>
        <w:rPr>
          <w:rStyle w:val="kleinschrift"/>
        </w:rPr>
        <w:t>1</w:t>
      </w:r>
      <w:r>
        <w:t>Bestandteil des ABD werden zum jeweiligen Zeitpunkt des In-Kraft-Tretens im TVPöD – Fassung VKA – die Einführung oder Änderung</w:t>
      </w:r>
    </w:p>
    <w:p w:rsidR="00BE1EFE" w:rsidRDefault="00BE1EFE">
      <w:pPr>
        <w:pStyle w:val="StandardWeb"/>
      </w:pPr>
      <w:r>
        <w:t>a) der Praktikantenentgelte (§ 8 TVPöD – Fassung VKA)</w:t>
      </w:r>
    </w:p>
    <w:p w:rsidR="00BE1EFE" w:rsidRDefault="00BE1EFE">
      <w:pPr>
        <w:pStyle w:val="StandardWeb"/>
      </w:pPr>
      <w:r>
        <w:t>b) der Wert der Bemessungsgrundlage für die Jahressonderzahlung (§ 14 Absatz1 TVPöD - Fassung VKA).</w:t>
      </w:r>
    </w:p>
    <w:p w:rsidR="00BE1EFE" w:rsidRPr="000B1AF8" w:rsidRDefault="00BE1EFE">
      <w:pPr>
        <w:pStyle w:val="StandardWeb"/>
      </w:pPr>
      <w:r>
        <w:t>c) sonstiger Entgeltbestandteile, die in einem den TVPöD – Fassung VKA – ändernden oder ergänzenden Tarifvertrag geregelt werden, insbesondere Einmalzahlungen, soweit die Bayerische Regional-KODA nichts anderes beschließt.</w:t>
      </w:r>
    </w:p>
    <w:p w:rsidR="00BE1EFE" w:rsidRPr="000B1AF8" w:rsidRDefault="00BE1EFE">
      <w:pPr>
        <w:pStyle w:val="StandardWeb"/>
      </w:pPr>
    </w:p>
    <w:p w:rsidR="00BE1EFE" w:rsidRDefault="00BE1EFE">
      <w:pPr>
        <w:pStyle w:val="StandardWeb"/>
      </w:pPr>
      <w:r>
        <w:rPr>
          <w:rStyle w:val="kleinschrift"/>
        </w:rPr>
        <w:t>2</w:t>
      </w:r>
      <w:r>
        <w:t>Satz 1 gilt auch im Falle, dass der TVPöD – Fassung VKA durch einen neuen Tarifvertrag ersetzt wird.</w:t>
      </w:r>
    </w:p>
    <w:p w:rsidR="00BE1EFE" w:rsidRDefault="00BE1EFE">
      <w:pPr>
        <w:pStyle w:val="berschrift5"/>
      </w:pPr>
      <w:bookmarkStart w:id="1133" w:name="_Toc523926650"/>
      <w:r>
        <w:t>§ 15 Beendigung des Praktikantenverhältnisses</w:t>
      </w:r>
      <w:bookmarkEnd w:id="1133"/>
    </w:p>
    <w:p w:rsidR="00BE1EFE" w:rsidRPr="00B76821" w:rsidRDefault="00BE1EFE" w:rsidP="00B76821">
      <w:pPr>
        <w:pStyle w:val="berschrift6"/>
        <w:keepNext w:val="0"/>
        <w:spacing w:before="0" w:after="0"/>
        <w:rPr>
          <w:sz w:val="2"/>
        </w:rPr>
      </w:pPr>
    </w:p>
    <w:p w:rsidR="00BE1EFE" w:rsidRPr="000B1AF8" w:rsidRDefault="00BE1EFE">
      <w:pPr>
        <w:pStyle w:val="StandardWeb"/>
      </w:pPr>
      <w:r>
        <w:t>(1 Das Praktikantenverhältnis endet mit dem im Praktikantenvertrag vereinbarten Zeitpunkt, ohne dass es einer Kündigung bedarf.</w:t>
      </w:r>
    </w:p>
    <w:p w:rsidR="00BE1EFE" w:rsidRPr="000B1AF8" w:rsidRDefault="00BE1EFE">
      <w:pPr>
        <w:pStyle w:val="StandardWeb"/>
      </w:pPr>
    </w:p>
    <w:p w:rsidR="00BE1EFE" w:rsidRDefault="00BE1EFE">
      <w:pPr>
        <w:pStyle w:val="StandardWeb"/>
      </w:pPr>
      <w:r>
        <w:t>(2) Nach der Probezeit (</w:t>
      </w:r>
      <w:hyperlink r:id="rId1737" w:history="1">
        <w:r w:rsidRPr="002D1F1D">
          <w:rPr>
            <w:rStyle w:val="Hyperlink"/>
          </w:rPr>
          <w:t>§ 3</w:t>
        </w:r>
      </w:hyperlink>
      <w:r>
        <w:t>) kann das Praktikantenverhältnis unbeschadet der gesetzlichen Kündigungsgründe nur gekündigt werden</w:t>
      </w:r>
    </w:p>
    <w:p w:rsidR="00BE1EFE" w:rsidRDefault="00BE1EFE">
      <w:pPr>
        <w:pStyle w:val="StandardWeb"/>
      </w:pPr>
      <w:r>
        <w:t>a) aus einem sonstigen wichtigen Grund ohne Einhalten einer Kündigungsfrist,</w:t>
      </w:r>
    </w:p>
    <w:p w:rsidR="00BE1EFE" w:rsidRDefault="00BE1EFE">
      <w:pPr>
        <w:pStyle w:val="StandardWeb"/>
      </w:pPr>
      <w:r>
        <w:t>b) von der Praktikantin/ dem Praktikanten mit einer Kündigungsfrist von vier Wochen.</w:t>
      </w:r>
    </w:p>
    <w:p w:rsidR="00BE1EFE" w:rsidRDefault="00BE1EFE">
      <w:pPr>
        <w:pStyle w:val="berschrift5"/>
      </w:pPr>
      <w:bookmarkStart w:id="1134" w:name="_Toc523926651"/>
      <w:r>
        <w:t>§ 16 Zeugnis</w:t>
      </w:r>
      <w:bookmarkEnd w:id="1134"/>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Der Arbeitgeber hat den Praktikantinnen/Praktikanten bei Beendigung des Praktikantenverhältnisses ein Zeugnis auszustellen. </w:t>
      </w:r>
      <w:r>
        <w:rPr>
          <w:rStyle w:val="kleinschrift"/>
        </w:rPr>
        <w:t>2</w:t>
      </w:r>
      <w:r>
        <w:t xml:space="preserve">Das Zeugnis muss Angaben über Art, Dauer und Ziel des Praktikums sowie über die erworbenen Fertigkeiten und Kenntnisse enthalten. </w:t>
      </w:r>
      <w:r>
        <w:rPr>
          <w:rStyle w:val="kleinschrift"/>
        </w:rPr>
        <w:t>3</w:t>
      </w:r>
      <w:r>
        <w:t>Auf Verlangen der Praktikantinnen/Praktikanten sind auch Angaben über Führung, Leistung und besondere fachliche Fähigkeiten aufzunehmen.</w:t>
      </w:r>
    </w:p>
    <w:p w:rsidR="00BE1EFE" w:rsidRDefault="00BE1EFE">
      <w:pPr>
        <w:pStyle w:val="berschrift5"/>
      </w:pPr>
      <w:bookmarkStart w:id="1135" w:name="_Toc523926652"/>
      <w:r>
        <w:t>§ 17 Ausschlussfrist</w:t>
      </w:r>
      <w:bookmarkEnd w:id="1135"/>
    </w:p>
    <w:p w:rsidR="00BE1EFE" w:rsidRPr="00B76821" w:rsidRDefault="00BE1EFE" w:rsidP="00B76821">
      <w:pPr>
        <w:pStyle w:val="berschrift6"/>
        <w:keepNext w:val="0"/>
        <w:spacing w:before="0" w:after="0"/>
        <w:rPr>
          <w:sz w:val="2"/>
        </w:rPr>
      </w:pPr>
    </w:p>
    <w:p w:rsidR="00BE1EFE" w:rsidRDefault="00BE1EFE">
      <w:pPr>
        <w:pStyle w:val="StandardWeb"/>
      </w:pPr>
      <w:r>
        <w:t>Ansprüche aus dem Praktikantenverhältnis verfallen, wenn sie nicht innerhalb einer Ausschlussfrist von sechs Monaten nach Fälligkeit von der Praktikantin/dem Praktikanten oder vom Arbeitgeber schriftlich geltend gemacht werden.</w:t>
      </w:r>
    </w:p>
    <w:p w:rsidR="00BE1EFE" w:rsidRDefault="00BE1EFE" w:rsidP="00E87479">
      <w:pPr>
        <w:pStyle w:val="berschrift4"/>
        <w:spacing w:before="0"/>
      </w:pPr>
      <w:r>
        <w:br w:type="page"/>
      </w:r>
      <w:bookmarkStart w:id="1136" w:name="_Toc523926653"/>
      <w:r>
        <w:rPr>
          <w:lang w:eastAsia="x-none"/>
        </w:rPr>
        <w:lastRenderedPageBreak/>
        <w:t xml:space="preserve">E, 3. </w:t>
      </w:r>
      <w:r>
        <w:t>Richtlinien für die Gewährung von Praktikantenvergütungen (Praktikanten-Richtlinien)</w:t>
      </w:r>
      <w:bookmarkEnd w:id="1136"/>
    </w:p>
    <w:p w:rsidR="00BE1EFE" w:rsidRDefault="00BE1EFE" w:rsidP="00511CCF">
      <w:pPr>
        <w:pStyle w:val="berschrift5"/>
      </w:pPr>
      <w:bookmarkStart w:id="1137" w:name="_Toc523926654"/>
      <w:r>
        <w:t>I. Geltungsbereich</w:t>
      </w:r>
      <w:bookmarkEnd w:id="1137"/>
    </w:p>
    <w:p w:rsidR="00BE1EFE" w:rsidRPr="00B76821" w:rsidRDefault="00BE1EFE" w:rsidP="00B76821">
      <w:pPr>
        <w:pStyle w:val="berschrift6"/>
        <w:keepNext w:val="0"/>
        <w:spacing w:before="0" w:after="0"/>
        <w:rPr>
          <w:sz w:val="2"/>
        </w:rPr>
      </w:pPr>
    </w:p>
    <w:p w:rsidR="00BE1EFE" w:rsidRDefault="00BE1EFE" w:rsidP="00511CCF">
      <w:pPr>
        <w:pStyle w:val="StandardWeb"/>
      </w:pPr>
      <w:r>
        <w:t>(1) Diese Richtlinien gelten für Praktikantinnen und Praktikanten,</w:t>
      </w:r>
    </w:p>
    <w:p w:rsidR="00BE1EFE" w:rsidRDefault="00BE1EFE" w:rsidP="00511CCF">
      <w:pPr>
        <w:pStyle w:val="StandardWeb"/>
      </w:pPr>
      <w:r>
        <w:t>a) die ein Praktikum von bis zu drei Monaten</w:t>
      </w:r>
    </w:p>
    <w:p w:rsidR="00BE1EFE" w:rsidRDefault="00BE1EFE" w:rsidP="00511CCF">
      <w:pPr>
        <w:pStyle w:val="StandardWeb"/>
      </w:pPr>
      <w:r>
        <w:t>aa) zur Orientierung für eine Berufsausbildung oder für die Aufnahme eines Studiums leisten oder</w:t>
      </w:r>
    </w:p>
    <w:p w:rsidR="00BE1EFE" w:rsidRDefault="00BE1EFE" w:rsidP="00511CCF">
      <w:pPr>
        <w:pStyle w:val="StandardWeb"/>
      </w:pPr>
      <w:r>
        <w:t>bb) begleitend zu einer Berufs- oder Hochschulausbildung leisten, wenn nicht zuvor ein solches Praktikumsverhältnis mit demselben Arbeitgeber bestanden hat,</w:t>
      </w:r>
    </w:p>
    <w:p w:rsidR="00BE1EFE" w:rsidRPr="000B1AF8" w:rsidRDefault="00BE1EFE" w:rsidP="00511CCF">
      <w:pPr>
        <w:pStyle w:val="StandardWeb"/>
      </w:pPr>
      <w:r>
        <w:t>b) die ein Pflichtpraktikum auf Grund einer schulrechtlichen Bestimmung, einer Ausbildungs</w:t>
      </w:r>
      <w:r>
        <w:softHyphen/>
        <w:t>ordnung, einer hochschulrechtlichen Bestimmung oder im Rahmen einer Ausbildung an einer gesetzlich geregelten Berufsakademie leisten.</w:t>
      </w:r>
    </w:p>
    <w:p w:rsidR="00BE1EFE" w:rsidRPr="000B1AF8" w:rsidRDefault="00BE1EFE" w:rsidP="00511CCF">
      <w:pPr>
        <w:pStyle w:val="StandardWeb"/>
      </w:pPr>
    </w:p>
    <w:p w:rsidR="00BE1EFE" w:rsidRDefault="00BE1EFE" w:rsidP="00511CCF">
      <w:pPr>
        <w:pStyle w:val="StandardWeb"/>
      </w:pPr>
      <w:r>
        <w:t>(2) </w:t>
      </w:r>
      <w:r>
        <w:rPr>
          <w:rStyle w:val="kleinschrift"/>
        </w:rPr>
        <w:t>1</w:t>
      </w:r>
      <w:r>
        <w:t xml:space="preserve">Praktikantinnen/Praktikanten müssen in die Verwaltung oder den Betrieb eingegliedert sein. </w:t>
      </w:r>
      <w:r>
        <w:rPr>
          <w:rStyle w:val="kleinschrift"/>
        </w:rPr>
        <w:t>2</w:t>
      </w:r>
      <w:r>
        <w:t xml:space="preserve">Das ist nur dann der Fall, wenn die Praktikantin/der Praktikant während der gesamten täglichen Arbeitszeit in der Verwaltung oder dem Betrieb praktisch tätig ist. </w:t>
      </w:r>
      <w:r>
        <w:rPr>
          <w:rStyle w:val="kleinschrift"/>
        </w:rPr>
        <w:t>3</w:t>
      </w:r>
      <w:r>
        <w:t>Gelegentliche, die praktische Tätigkeit begleitende Unterrichtsveranstaltungen sind unschädlich.</w:t>
      </w:r>
    </w:p>
    <w:p w:rsidR="00BE1EFE" w:rsidRDefault="00BE1EFE" w:rsidP="00511CCF">
      <w:pPr>
        <w:pStyle w:val="StandardWeb"/>
      </w:pPr>
    </w:p>
    <w:p w:rsidR="00BE1EFE" w:rsidRDefault="00BE1EFE" w:rsidP="00511CCF">
      <w:pPr>
        <w:pStyle w:val="StandardWeb"/>
      </w:pPr>
      <w:r>
        <w:t>(3) Diese Richtlinien gelten nicht für Praktikantinnen/Praktikanten,</w:t>
      </w:r>
    </w:p>
    <w:p w:rsidR="00BE1EFE" w:rsidRDefault="00BE1EFE" w:rsidP="00511CCF">
      <w:pPr>
        <w:pStyle w:val="StandardWeb"/>
      </w:pPr>
      <w:r>
        <w:t>a) auf deren Rechtsverhältnis die Regelung für Praktikantinnen und Praktikanten (PraktR) (</w:t>
      </w:r>
      <w:hyperlink r:id="rId1738" w:history="1">
        <w:r w:rsidRPr="00E525EE">
          <w:rPr>
            <w:rStyle w:val="Hyperlink"/>
          </w:rPr>
          <w:t>ABD Teil E, 2.</w:t>
        </w:r>
      </w:hyperlink>
      <w:r>
        <w:t>) in der jeweils geltenden Fassung Anwendung findet,</w:t>
      </w:r>
    </w:p>
    <w:p w:rsidR="00BE1EFE" w:rsidRDefault="00BE1EFE" w:rsidP="00511CCF">
      <w:pPr>
        <w:pStyle w:val="StandardWeb"/>
      </w:pPr>
      <w:r>
        <w:t>b) die als Arbeitnehmerinnen/Arbeitnehmer im Sinne des Gesetzes zur Regelung eines allgemeinen Mindestlohnes (Mindestlohngesetz – MiLoG) gelten (</w:t>
      </w:r>
      <w:hyperlink r:id="rId1739" w:history="1">
        <w:r w:rsidRPr="00E525EE">
          <w:rPr>
            <w:rStyle w:val="Hyperlink"/>
          </w:rPr>
          <w:t>§ 22 Absatz 1 Satz 2 MiLoG</w:t>
        </w:r>
      </w:hyperlink>
      <w:r>
        <w:t>),</w:t>
      </w:r>
    </w:p>
    <w:p w:rsidR="00BE1EFE" w:rsidRDefault="00BE1EFE" w:rsidP="00511CCF">
      <w:pPr>
        <w:pStyle w:val="StandardWeb"/>
      </w:pPr>
      <w:r>
        <w:t>c) die aufgrund anderweitiger Regelungen in einem öffentlich-rechtlichen Dienstverhältnis stehen oder Leistungen eines anderen öffentlichen Trägers (z. B. im Rahmen der beruflichen Rehabilitation oder Wiedereingliederung in den Beruf) erhalten.</w:t>
      </w:r>
    </w:p>
    <w:p w:rsidR="00BE1EFE" w:rsidRDefault="00BE1EFE" w:rsidP="00511CCF">
      <w:pPr>
        <w:pStyle w:val="berschrift5"/>
      </w:pPr>
      <w:bookmarkStart w:id="1138" w:name="_Toc523926655"/>
      <w:r>
        <w:t>II. Praktikantenvergütung</w:t>
      </w:r>
      <w:bookmarkEnd w:id="1138"/>
    </w:p>
    <w:p w:rsidR="00BE1EFE" w:rsidRPr="00B76821" w:rsidRDefault="00BE1EFE" w:rsidP="00B76821">
      <w:pPr>
        <w:pStyle w:val="berschrift6"/>
        <w:keepNext w:val="0"/>
        <w:spacing w:before="0" w:after="0"/>
        <w:rPr>
          <w:rStyle w:val="Fett"/>
          <w:bCs w:val="0"/>
          <w:sz w:val="2"/>
        </w:rPr>
      </w:pPr>
    </w:p>
    <w:p w:rsidR="00BE1EFE" w:rsidRDefault="00BE1EFE" w:rsidP="00511CCF">
      <w:pPr>
        <w:pStyle w:val="StandardWeb"/>
        <w:autoSpaceDE w:val="0"/>
        <w:rPr>
          <w:b/>
          <w:bCs/>
        </w:rPr>
      </w:pPr>
      <w:r>
        <w:rPr>
          <w:rStyle w:val="Fett"/>
          <w:bCs/>
        </w:rPr>
        <w:t>1. Grundsätze</w:t>
      </w:r>
    </w:p>
    <w:p w:rsidR="00BE1EFE" w:rsidRPr="000B1AF8" w:rsidRDefault="00BE1EFE" w:rsidP="00511CCF">
      <w:pPr>
        <w:pStyle w:val="StandardWeb"/>
      </w:pPr>
      <w:r>
        <w:rPr>
          <w:rStyle w:val="kleinschrift"/>
        </w:rPr>
        <w:t>1</w:t>
      </w:r>
      <w:r>
        <w:t xml:space="preserve">Die nachfolgenden Höchstbeträge gelten für vollbeschäftigte Praktikantinnen und Praktikanten. </w:t>
      </w:r>
      <w:r>
        <w:rPr>
          <w:rStyle w:val="kleinschrift"/>
        </w:rPr>
        <w:t>2</w:t>
      </w:r>
      <w:r>
        <w:t xml:space="preserve">Für teilzeitbeschäftigte Praktikantinnen und Praktikanten gilt </w:t>
      </w:r>
      <w:hyperlink r:id="rId1740" w:history="1">
        <w:r w:rsidRPr="002D1F1D">
          <w:rPr>
            <w:rStyle w:val="Hyperlink"/>
          </w:rPr>
          <w:t>§ 24 Absatz 2 ABD Teil A, 1.</w:t>
        </w:r>
      </w:hyperlink>
      <w:r>
        <w:t xml:space="preserve"> entsprechend. </w:t>
      </w:r>
      <w:r>
        <w:rPr>
          <w:rStyle w:val="kleinschrift"/>
        </w:rPr>
        <w:t>3</w:t>
      </w:r>
      <w:r>
        <w:t>Bei der Berechnung der Vergütung für einzelne Tage wird der Monat mit 30 Tagen gerechnet.</w:t>
      </w:r>
    </w:p>
    <w:p w:rsidR="00BE1EFE" w:rsidRDefault="00BE1EFE" w:rsidP="00511CCF">
      <w:pPr>
        <w:pStyle w:val="StandardWeb"/>
      </w:pPr>
    </w:p>
    <w:p w:rsidR="00BE1EFE" w:rsidRDefault="00BE1EFE" w:rsidP="00511CCF">
      <w:pPr>
        <w:pStyle w:val="StandardWeb"/>
        <w:autoSpaceDE w:val="0"/>
        <w:rPr>
          <w:b/>
          <w:bCs/>
        </w:rPr>
      </w:pPr>
      <w:r>
        <w:rPr>
          <w:rStyle w:val="Fett"/>
          <w:bCs/>
        </w:rPr>
        <w:t>2. Praktikantinnen und Praktikanten, die unter den Geltungsbereich des BBiG fallen</w:t>
      </w:r>
    </w:p>
    <w:p w:rsidR="00BE1EFE" w:rsidRDefault="00BE1EFE" w:rsidP="00511CCF">
      <w:pPr>
        <w:pStyle w:val="StandardWeb"/>
      </w:pPr>
    </w:p>
    <w:p w:rsidR="00BE1EFE" w:rsidRDefault="00BE1EFE" w:rsidP="00511CCF">
      <w:pPr>
        <w:pStyle w:val="StandardWeb"/>
        <w:autoSpaceDE w:val="0"/>
        <w:rPr>
          <w:b/>
          <w:bCs/>
        </w:rPr>
      </w:pPr>
      <w:r>
        <w:rPr>
          <w:rStyle w:val="Fett"/>
          <w:bCs/>
        </w:rPr>
        <w:t>2.1 Begriffsbestimmungen</w:t>
      </w:r>
    </w:p>
    <w:p w:rsidR="00BE1EFE" w:rsidRDefault="00BE1EFE" w:rsidP="00511CCF">
      <w:pPr>
        <w:pStyle w:val="StandardWeb"/>
      </w:pPr>
      <w:r>
        <w:rPr>
          <w:rStyle w:val="kleinschrift"/>
        </w:rPr>
        <w:t>1</w:t>
      </w:r>
      <w:r>
        <w:t xml:space="preserve">Praktikantinnen und Praktikanten die unter den Geltungsbereich des BBiG fallen, sind nach </w:t>
      </w:r>
      <w:r w:rsidRPr="00E525EE">
        <w:t xml:space="preserve">§ 26 BBiG </w:t>
      </w:r>
      <w:r>
        <w:t>Personen, die eingestellt werden, um berufliche Fertigkeiten, Kenntnisse, Fähigkeiten oder berufliche Erfahrungen zu erwerben ohne dass es sich um eine Berufsausbildung im Sinne des BBiG oder um ein Arbeitsverhältnis handelt .</w:t>
      </w:r>
      <w:r>
        <w:rPr>
          <w:rStyle w:val="kleinschrift"/>
        </w:rPr>
        <w:t>2</w:t>
      </w:r>
      <w:r>
        <w:t xml:space="preserve">Das Praktikum darf jedoch nicht Bestandteil eines den Schulgesetzen der Länder unterliegenden Schulverhältnisses sein (Praktikanten als Schülerin/Schüler bzw. Studierende von allgemeinbildenden Schulen, Fach-, Berufsfach-, Fachober-, Fachhoch- und Hochschulen). </w:t>
      </w:r>
      <w:r>
        <w:rPr>
          <w:rStyle w:val="kleinschrift"/>
        </w:rPr>
        <w:lastRenderedPageBreak/>
        <w:t>3</w:t>
      </w:r>
      <w:r>
        <w:t xml:space="preserve">Für Praktikantinnen und Praktikanten, die unter das BBiG fallen, gelten nach </w:t>
      </w:r>
      <w:hyperlink r:id="rId1741" w:tgtFrame="_blank" w:history="1">
        <w:r>
          <w:rPr>
            <w:rStyle w:val="Hyperlink"/>
          </w:rPr>
          <w:t xml:space="preserve">§ 26 BBiG </w:t>
        </w:r>
      </w:hyperlink>
      <w:r>
        <w:t xml:space="preserve">die Vorschriften der </w:t>
      </w:r>
      <w:hyperlink r:id="rId1742" w:tgtFrame="_blank" w:history="1">
        <w:r>
          <w:rPr>
            <w:rStyle w:val="Hyperlink"/>
          </w:rPr>
          <w:t xml:space="preserve">§§ 10 bis 23 und 25 </w:t>
        </w:r>
      </w:hyperlink>
      <w:r>
        <w:t>dieses Gesetzes mit bestimmten Maßgaben.</w:t>
      </w:r>
    </w:p>
    <w:p w:rsidR="00BE1EFE" w:rsidRDefault="00BE1EFE" w:rsidP="00511CCF">
      <w:pPr>
        <w:pStyle w:val="StandardWeb"/>
      </w:pPr>
    </w:p>
    <w:p w:rsidR="00BE1EFE" w:rsidRDefault="00BE1EFE" w:rsidP="00511CCF">
      <w:pPr>
        <w:pStyle w:val="StandardWeb"/>
        <w:autoSpaceDE w:val="0"/>
        <w:rPr>
          <w:b/>
          <w:bCs/>
        </w:rPr>
      </w:pPr>
      <w:r>
        <w:rPr>
          <w:rStyle w:val="Fett"/>
          <w:bCs/>
        </w:rPr>
        <w:t>2.2 Höhe der Vergütung</w:t>
      </w:r>
    </w:p>
    <w:p w:rsidR="00BE1EFE" w:rsidRDefault="00BE1EFE" w:rsidP="00511CCF">
      <w:pPr>
        <w:pStyle w:val="StandardWeb"/>
      </w:pPr>
      <w:r>
        <w:rPr>
          <w:rStyle w:val="kleinschrift"/>
        </w:rPr>
        <w:t>1</w:t>
      </w:r>
      <w:r>
        <w:t>Praktikantinnen und Praktikanten, die unter den Geltungsbereich des BBiG fallen, haben nach</w:t>
      </w:r>
      <w:hyperlink r:id="rId1743" w:tgtFrame="_blank" w:history="1">
        <w:r>
          <w:rPr>
            <w:rStyle w:val="Hyperlink"/>
          </w:rPr>
          <w:t xml:space="preserve"> § 26 </w:t>
        </w:r>
      </w:hyperlink>
      <w:r>
        <w:t>i.V.m. </w:t>
      </w:r>
      <w:hyperlink r:id="rId1744" w:tgtFrame="_blank" w:history="1">
        <w:r>
          <w:rPr>
            <w:rStyle w:val="Hyperlink"/>
          </w:rPr>
          <w:t xml:space="preserve">§ 17 BBiG </w:t>
        </w:r>
      </w:hyperlink>
      <w:r>
        <w:t xml:space="preserve">Anspruch auf eine angemessene Vergütung, die jeweils im Einzelnen zu vereinbaren ist. </w:t>
      </w:r>
      <w:r>
        <w:rPr>
          <w:rStyle w:val="kleinschrift"/>
        </w:rPr>
        <w:t>2</w:t>
      </w:r>
      <w:r>
        <w:t xml:space="preserve">Bei den nachfolgend aufgeführten Praktika wird eine Vergütung in der angegebenen Höhe als angemessen angesehen. </w:t>
      </w:r>
      <w:r>
        <w:rPr>
          <w:rStyle w:val="kleinschrift"/>
        </w:rPr>
        <w:t>3</w:t>
      </w:r>
      <w:r>
        <w:t>Bei sonstigen unter das BBiG fallenden Praktika kann die angemessene Vergütung in Anlehnung an diese Sätze festgelegt werden.</w:t>
      </w:r>
    </w:p>
    <w:p w:rsidR="00BE1EFE" w:rsidRDefault="00BE1EFE" w:rsidP="00511CCF">
      <w:pPr>
        <w:pStyle w:val="StandardWeb"/>
      </w:pPr>
    </w:p>
    <w:p w:rsidR="00BE1EFE" w:rsidRDefault="00BE1EFE" w:rsidP="00511CCF">
      <w:pPr>
        <w:pStyle w:val="StandardWeb"/>
        <w:autoSpaceDE w:val="0"/>
        <w:rPr>
          <w:b/>
          <w:bCs/>
        </w:rPr>
      </w:pPr>
      <w:r>
        <w:rPr>
          <w:rStyle w:val="Fett"/>
          <w:bCs/>
        </w:rPr>
        <w:t>2.2.1 Vorpraktika</w:t>
      </w:r>
    </w:p>
    <w:p w:rsidR="00BE1EFE" w:rsidRDefault="00BE1EFE" w:rsidP="00511CCF">
      <w:pPr>
        <w:pStyle w:val="StandardWeb"/>
      </w:pPr>
      <w:r>
        <w:rPr>
          <w:rStyle w:val="kleinschrift"/>
        </w:rPr>
        <w:t>1</w:t>
      </w:r>
      <w:r>
        <w:t>Vorpraktika sind solche, die in Ausbildungs-, Studien- und Prüfungsordnungen oder ähnlichen Vorschriften als Zulassungsvoraussetzungen für den Beginn einer Schul-, Fachhochschul- oder Hochschulausbildung gefordert werden, oder solche, die auf Veran</w:t>
      </w:r>
      <w:r>
        <w:softHyphen/>
        <w:t xml:space="preserve">lassung der jeweiligen Ausbildungsstätte als Zulassungsvoraussetzung abgeleistet werden müssen, ohne dass die vorgenannten Voraussetzungen vorliegen. </w:t>
      </w:r>
    </w:p>
    <w:p w:rsidR="00BE1EFE" w:rsidRDefault="00BE1EFE" w:rsidP="00511CCF">
      <w:pPr>
        <w:pStyle w:val="StandardWeb"/>
      </w:pPr>
    </w:p>
    <w:p w:rsidR="00BE1EFE" w:rsidRDefault="00BE1EFE" w:rsidP="00511CCF">
      <w:pPr>
        <w:pStyle w:val="StandardWeb"/>
      </w:pPr>
      <w:r>
        <w:rPr>
          <w:rStyle w:val="kleinschrift"/>
        </w:rPr>
        <w:t>2</w:t>
      </w:r>
      <w:r>
        <w:t>Vorpraktikantinnen und Vorpraktikanten können folgende Vergütung erhalten:</w:t>
      </w:r>
    </w:p>
    <w:p w:rsidR="00BE1EFE" w:rsidRDefault="00BE1EFE" w:rsidP="00511CCF">
      <w:pPr>
        <w:pStyle w:val="StandardWeb"/>
      </w:pPr>
      <w:r>
        <w:t>a) bis zum vollendeten 18. Lebensjahr</w:t>
      </w:r>
    </w:p>
    <w:p w:rsidR="00BE1EFE" w:rsidRDefault="00BE1EFE" w:rsidP="00511CCF">
      <w:pPr>
        <w:pStyle w:val="StandardWeb"/>
      </w:pPr>
      <w:r>
        <w:t>aa) höchstens 400,00 EURO monatlich,</w:t>
      </w:r>
    </w:p>
    <w:p w:rsidR="00BE1EFE" w:rsidRDefault="00BE1EFE" w:rsidP="00511CCF">
      <w:pPr>
        <w:pStyle w:val="StandardWeb"/>
      </w:pPr>
      <w:r>
        <w:t>bb) die jeweilige Ausbildungsvergütung für das erste bzw. zweite Ausbildungsjahr nach der Regelung über eine Vergütung für Auszubildende (</w:t>
      </w:r>
      <w:hyperlink r:id="rId1745" w:history="1">
        <w:r w:rsidRPr="002D1F1D">
          <w:rPr>
            <w:rStyle w:val="Hyperlink"/>
          </w:rPr>
          <w:t>§ 8 Absatz 1 ABD Teil E, 1.</w:t>
        </w:r>
      </w:hyperlink>
      <w:r>
        <w:t>), wenn das Vorpraktikum länger als ein Jahr dauert,</w:t>
      </w:r>
    </w:p>
    <w:p w:rsidR="00BE1EFE" w:rsidRDefault="00BE1EFE" w:rsidP="00511CCF">
      <w:pPr>
        <w:pStyle w:val="StandardWeb"/>
      </w:pPr>
    </w:p>
    <w:p w:rsidR="00BE1EFE" w:rsidRDefault="00BE1EFE" w:rsidP="00511CCF">
      <w:pPr>
        <w:pStyle w:val="StandardWeb"/>
      </w:pPr>
      <w:r>
        <w:t>b) nach vollendetem 18. Lebensjahr</w:t>
      </w:r>
    </w:p>
    <w:p w:rsidR="00BE1EFE" w:rsidRDefault="00BE1EFE" w:rsidP="00511CCF">
      <w:pPr>
        <w:pStyle w:val="StandardWeb"/>
      </w:pPr>
      <w:r>
        <w:t>aa) höchstens 450,00 EURO monatlich,</w:t>
      </w:r>
    </w:p>
    <w:p w:rsidR="00BE1EFE" w:rsidRDefault="00BE1EFE" w:rsidP="00511CCF">
      <w:pPr>
        <w:pStyle w:val="StandardWeb"/>
      </w:pPr>
      <w:r>
        <w:t>bb) die jeweilige Ausbildungsvergütung für das erste bzw. zweite Ausbildungsjahr nach der Regelung über eine Vergütung für Auszubildende (</w:t>
      </w:r>
      <w:hyperlink r:id="rId1746" w:history="1">
        <w:r w:rsidRPr="002D1F1D">
          <w:rPr>
            <w:rStyle w:val="Hyperlink"/>
          </w:rPr>
          <w:t>§ 8 Absatz 1 ABD Teil E, 1</w:t>
        </w:r>
      </w:hyperlink>
      <w:r>
        <w:t>.), wenn das Vorpraktikum länger als ein Jahr dauert.</w:t>
      </w:r>
    </w:p>
    <w:p w:rsidR="00BE1EFE" w:rsidRDefault="00BE1EFE" w:rsidP="00511CCF">
      <w:pPr>
        <w:pStyle w:val="StandardWeb"/>
      </w:pPr>
    </w:p>
    <w:p w:rsidR="00BE1EFE" w:rsidRDefault="00BE1EFE" w:rsidP="00511CCF">
      <w:pPr>
        <w:pStyle w:val="StandardWeb"/>
        <w:autoSpaceDE w:val="0"/>
        <w:rPr>
          <w:b/>
          <w:bCs/>
        </w:rPr>
      </w:pPr>
      <w:r>
        <w:rPr>
          <w:rStyle w:val="Fett"/>
          <w:bCs/>
        </w:rPr>
        <w:t>2.2.2 Praktikantinnen und Praktikanten im Sozialpädagogischen Seminar</w:t>
      </w:r>
    </w:p>
    <w:p w:rsidR="00BE1EFE" w:rsidRDefault="00BE1EFE" w:rsidP="00511CCF">
      <w:pPr>
        <w:pStyle w:val="StandardWeb"/>
      </w:pPr>
      <w:r>
        <w:rPr>
          <w:rStyle w:val="kleinschrift"/>
        </w:rPr>
        <w:t>1</w:t>
      </w:r>
      <w:r>
        <w:t xml:space="preserve">Praktikantinnen und Praktikanten im Sozialpädagogischen Seminar nach Anlage 3 der </w:t>
      </w:r>
      <w:hyperlink r:id="rId1747" w:history="1">
        <w:r w:rsidRPr="005015C6">
          <w:rPr>
            <w:rStyle w:val="Hyperlink"/>
          </w:rPr>
          <w:t>Schulordnung für die Fachakademien</w:t>
        </w:r>
      </w:hyperlink>
      <w:r>
        <w:t xml:space="preserve"> (Fachakademieordnung – FakO) erhalten</w:t>
      </w:r>
    </w:p>
    <w:p w:rsidR="00BE1EFE" w:rsidRDefault="00BE1EFE" w:rsidP="00511CCF">
      <w:pPr>
        <w:pStyle w:val="StandardWeb"/>
      </w:pPr>
      <w:r>
        <w:t>a) im ersten Ausbildungsjahr mindestens 50 % der Ausbildungsvergütung für das erste Ausbil</w:t>
      </w:r>
      <w:r>
        <w:softHyphen/>
        <w:t xml:space="preserve">dungsjahr nach der Regelung über eine Vergütung für Auszubildende </w:t>
      </w:r>
      <w:hyperlink r:id="rId1748" w:history="1">
        <w:r w:rsidRPr="00330B02">
          <w:rPr>
            <w:rStyle w:val="Hyperlink"/>
          </w:rPr>
          <w:t>(§ 8 Absatz 1 ABD Teil E, 1.)</w:t>
        </w:r>
      </w:hyperlink>
      <w:r>
        <w:t>,</w:t>
      </w:r>
    </w:p>
    <w:p w:rsidR="00BE1EFE" w:rsidRPr="002D1F1D" w:rsidRDefault="00BE1EFE" w:rsidP="00511CCF">
      <w:pPr>
        <w:pStyle w:val="StandardWeb"/>
        <w:rPr>
          <w:rStyle w:val="Hyperlink"/>
        </w:rPr>
      </w:pPr>
      <w:r>
        <w:t xml:space="preserve">b) im zweiten Ausbildungsjahr mindestens 50 % der Ausbildungsvergütung für das zweite Ausbildungsjahr nach der Regelung über eine Vergütung für Auszubildende </w:t>
      </w:r>
      <w:r>
        <w:fldChar w:fldCharType="begin"/>
      </w:r>
      <w:r>
        <w:instrText>HYPERLINK "https://onlineabd.de/online-abd/abd?DatumAuswahl=&amp;Kat=27672"</w:instrText>
      </w:r>
      <w:r>
        <w:fldChar w:fldCharType="separate"/>
      </w:r>
      <w:r w:rsidRPr="002D1F1D">
        <w:rPr>
          <w:rStyle w:val="Hyperlink"/>
        </w:rPr>
        <w:t>(§ 8 Absatz 1. ABD Teil E, 1.).</w:t>
      </w:r>
    </w:p>
    <w:p w:rsidR="00BE1EFE" w:rsidRDefault="00BE1EFE" w:rsidP="00511CCF">
      <w:pPr>
        <w:pStyle w:val="StandardWeb"/>
      </w:pPr>
      <w:r>
        <w:fldChar w:fldCharType="end"/>
      </w:r>
      <w:r>
        <w:rPr>
          <w:rStyle w:val="kleinschrift"/>
        </w:rPr>
        <w:t>2</w:t>
      </w:r>
      <w:r>
        <w:t xml:space="preserve">Praktikantinnen und Praktikanten, deren Ausbildungsdauer gemäß </w:t>
      </w:r>
      <w:hyperlink r:id="rId1749" w:history="1">
        <w:r w:rsidRPr="005015C6">
          <w:rPr>
            <w:rStyle w:val="Hyperlink"/>
          </w:rPr>
          <w:t>§ 6 Absatz 2 Satz 1 FakO</w:t>
        </w:r>
      </w:hyperlink>
      <w:r>
        <w:t xml:space="preserve"> auf ein Jahr gekürzt wird, gelten als im 2. Ausbildungsjahr stehend.</w:t>
      </w:r>
    </w:p>
    <w:p w:rsidR="00BE1EFE" w:rsidRDefault="00BE1EFE" w:rsidP="00511CCF">
      <w:pPr>
        <w:pStyle w:val="StandardWeb"/>
      </w:pPr>
    </w:p>
    <w:p w:rsidR="00BE1EFE" w:rsidRDefault="00BE1EFE" w:rsidP="00511CCF">
      <w:pPr>
        <w:pStyle w:val="StandardWeb"/>
        <w:autoSpaceDE w:val="0"/>
        <w:rPr>
          <w:b/>
          <w:bCs/>
        </w:rPr>
      </w:pPr>
      <w:r>
        <w:rPr>
          <w:rStyle w:val="Fett"/>
          <w:bCs/>
        </w:rPr>
        <w:t>2.2.3 Berufspraktika</w:t>
      </w:r>
    </w:p>
    <w:p w:rsidR="00BE1EFE" w:rsidRDefault="00BE1EFE" w:rsidP="00511CCF">
      <w:pPr>
        <w:pStyle w:val="StandardWeb"/>
      </w:pPr>
      <w:r>
        <w:t>Praktikantinnen und Praktikanten, die nach Abschluss der schulischen Ausbildung</w:t>
      </w:r>
    </w:p>
    <w:p w:rsidR="00BE1EFE" w:rsidRDefault="00BE1EFE" w:rsidP="00511CCF">
      <w:pPr>
        <w:pStyle w:val="StandardWeb"/>
      </w:pPr>
      <w:r>
        <w:t>a) für den Beruf der Haus- und Familienpflegerin/ des Haus- und Familienpflegers,</w:t>
      </w:r>
    </w:p>
    <w:p w:rsidR="00BE1EFE" w:rsidRDefault="00BE1EFE" w:rsidP="00511CCF">
      <w:pPr>
        <w:pStyle w:val="StandardWeb"/>
      </w:pPr>
      <w:r>
        <w:t>b) für den Beruf der Wirtschafterin/ des Wirtschafters</w:t>
      </w:r>
    </w:p>
    <w:p w:rsidR="00BE1EFE" w:rsidRDefault="00BE1EFE" w:rsidP="00511CCF">
      <w:pPr>
        <w:pStyle w:val="StandardWeb"/>
      </w:pPr>
      <w:r>
        <w:t>ein Berufspraktikum ableisten, kann eine Vergütung wie an Praktikantinnen und Praktikanten für den Beruf der Kinderpflegerin/ des Kinderpflegers,</w:t>
      </w:r>
    </w:p>
    <w:p w:rsidR="00BE1EFE" w:rsidRDefault="00BE1EFE" w:rsidP="00511CCF">
      <w:pPr>
        <w:pStyle w:val="StandardWeb"/>
      </w:pPr>
    </w:p>
    <w:p w:rsidR="00BE1EFE" w:rsidRDefault="00BE1EFE" w:rsidP="00511CCF">
      <w:pPr>
        <w:pStyle w:val="StandardWeb"/>
      </w:pPr>
      <w:r>
        <w:t>c) für den Beruf der Altenpflegerin/ des Altenpflegers,</w:t>
      </w:r>
    </w:p>
    <w:p w:rsidR="00BE1EFE" w:rsidRDefault="00BE1EFE" w:rsidP="00511CCF">
      <w:pPr>
        <w:pStyle w:val="StandardWeb"/>
      </w:pPr>
      <w:r>
        <w:t>d) für den Beruf der hauswirtschaftlichen Betriebsleiterin/ des hauswirtschaftlichen Betriebs</w:t>
      </w:r>
      <w:r>
        <w:softHyphen/>
        <w:t>leiters</w:t>
      </w:r>
    </w:p>
    <w:p w:rsidR="00BE1EFE" w:rsidRDefault="00BE1EFE" w:rsidP="00511CCF">
      <w:pPr>
        <w:pStyle w:val="StandardWeb"/>
      </w:pPr>
      <w:r>
        <w:lastRenderedPageBreak/>
        <w:t>ein Berufspraktikum ableisten, kann eine Vergütung wie an Praktikantinnen und Praktikanten für den Beruf der Erzieherin/ des Erziehers und</w:t>
      </w:r>
    </w:p>
    <w:p w:rsidR="00BE1EFE" w:rsidRDefault="00BE1EFE" w:rsidP="00511CCF">
      <w:pPr>
        <w:pStyle w:val="StandardWeb"/>
      </w:pPr>
    </w:p>
    <w:p w:rsidR="00BE1EFE" w:rsidRDefault="00BE1EFE" w:rsidP="00511CCF">
      <w:pPr>
        <w:pStyle w:val="StandardWeb"/>
      </w:pPr>
      <w:r>
        <w:t>e) für den Beruf der Psychagogin/ des Psychagogen</w:t>
      </w:r>
    </w:p>
    <w:p w:rsidR="00BE1EFE" w:rsidRDefault="00BE1EFE" w:rsidP="00511CCF">
      <w:pPr>
        <w:pStyle w:val="StandardWeb"/>
      </w:pPr>
      <w:r>
        <w:t xml:space="preserve">ein Berufspraktikum ableisten, kann eine Vergütung wie an Praktikantinnen und Praktikanten für den Beruf des Sozialarbeiters </w:t>
      </w:r>
    </w:p>
    <w:p w:rsidR="00BE1EFE" w:rsidRDefault="00BE1EFE" w:rsidP="00511CCF">
      <w:pPr>
        <w:pStyle w:val="StandardWeb"/>
      </w:pPr>
    </w:p>
    <w:p w:rsidR="00BE1EFE" w:rsidRDefault="00BE1EFE" w:rsidP="00511CCF">
      <w:pPr>
        <w:pStyle w:val="StandardWeb"/>
      </w:pPr>
      <w:r>
        <w:t>nach der Regelung für Praktikantinnen und Praktikanten (</w:t>
      </w:r>
      <w:hyperlink r:id="rId1750" w:history="1">
        <w:r w:rsidRPr="002D1F1D">
          <w:rPr>
            <w:rStyle w:val="Hyperlink"/>
          </w:rPr>
          <w:t>ABD Teil E, 2.</w:t>
        </w:r>
      </w:hyperlink>
      <w:r>
        <w:t>) gewährt werden.</w:t>
      </w:r>
    </w:p>
    <w:p w:rsidR="00BE1EFE" w:rsidRDefault="00BE1EFE" w:rsidP="00511CCF">
      <w:pPr>
        <w:pStyle w:val="StandardWeb"/>
      </w:pPr>
    </w:p>
    <w:p w:rsidR="00BE1EFE" w:rsidRDefault="00BE1EFE" w:rsidP="00511CCF">
      <w:pPr>
        <w:pStyle w:val="StandardWeb"/>
        <w:autoSpaceDE w:val="0"/>
        <w:rPr>
          <w:b/>
          <w:bCs/>
        </w:rPr>
      </w:pPr>
      <w:r>
        <w:rPr>
          <w:rStyle w:val="Fett"/>
          <w:bCs/>
        </w:rPr>
        <w:t>2.3 Fortzahlung der Vergütung</w:t>
      </w:r>
    </w:p>
    <w:p w:rsidR="00BE1EFE" w:rsidRDefault="00BE1EFE" w:rsidP="00511CCF">
      <w:pPr>
        <w:pStyle w:val="StandardWeb"/>
        <w:rPr>
          <w:b/>
          <w:bCs/>
        </w:rPr>
      </w:pPr>
    </w:p>
    <w:p w:rsidR="00BE1EFE" w:rsidRDefault="00BE1EFE" w:rsidP="00511CCF">
      <w:pPr>
        <w:pStyle w:val="StandardWeb"/>
        <w:autoSpaceDE w:val="0"/>
        <w:rPr>
          <w:b/>
          <w:bCs/>
        </w:rPr>
      </w:pPr>
      <w:r>
        <w:rPr>
          <w:rStyle w:val="Fett"/>
          <w:bCs/>
        </w:rPr>
        <w:t>2.3.1 Urlaub</w:t>
      </w:r>
    </w:p>
    <w:p w:rsidR="00BE1EFE" w:rsidRDefault="00BE1EFE" w:rsidP="00511CCF">
      <w:pPr>
        <w:pStyle w:val="StandardWeb"/>
      </w:pPr>
      <w:r>
        <w:t xml:space="preserve">Für Praktikantinnen und Praktikanten besteht Anspruch auf die Gewährung von Urlaub nach den Vorschriften für Auszubildende </w:t>
      </w:r>
      <w:hyperlink r:id="rId1751" w:history="1">
        <w:r w:rsidRPr="002D1F1D">
          <w:rPr>
            <w:rStyle w:val="Hyperlink"/>
          </w:rPr>
          <w:t>(§ 9 ABD Teil E, 1.1.).</w:t>
        </w:r>
      </w:hyperlink>
    </w:p>
    <w:p w:rsidR="00BE1EFE" w:rsidRDefault="00BE1EFE" w:rsidP="00511CCF">
      <w:pPr>
        <w:pStyle w:val="StandardWeb"/>
      </w:pPr>
    </w:p>
    <w:p w:rsidR="00BE1EFE" w:rsidRDefault="00BE1EFE" w:rsidP="00511CCF">
      <w:pPr>
        <w:pStyle w:val="StandardWeb"/>
        <w:autoSpaceDE w:val="0"/>
        <w:rPr>
          <w:b/>
          <w:bCs/>
        </w:rPr>
      </w:pPr>
      <w:r>
        <w:rPr>
          <w:rStyle w:val="Fett"/>
          <w:bCs/>
        </w:rPr>
        <w:t>2.3.2 Sonstige Fälle</w:t>
      </w:r>
    </w:p>
    <w:p w:rsidR="00BE1EFE" w:rsidRDefault="00BE1EFE" w:rsidP="00511CCF">
      <w:pPr>
        <w:pStyle w:val="StandardWeb"/>
      </w:pPr>
      <w:r>
        <w:t xml:space="preserve">Im Übrigen gilt </w:t>
      </w:r>
      <w:hyperlink r:id="rId1752" w:tgtFrame="_blank" w:history="1">
        <w:r>
          <w:rPr>
            <w:rStyle w:val="Hyperlink"/>
          </w:rPr>
          <w:t>§ 19 Absatz 1 Nr. 2 BBiG</w:t>
        </w:r>
      </w:hyperlink>
      <w:r>
        <w:t xml:space="preserve"> entsprechend.</w:t>
      </w:r>
    </w:p>
    <w:p w:rsidR="00BE1EFE" w:rsidRDefault="00BE1EFE" w:rsidP="00511CCF">
      <w:pPr>
        <w:pStyle w:val="StandardWeb"/>
      </w:pPr>
    </w:p>
    <w:p w:rsidR="00BE1EFE" w:rsidRDefault="00BE1EFE" w:rsidP="00511CCF">
      <w:pPr>
        <w:pStyle w:val="StandardWeb"/>
        <w:rPr>
          <w:rStyle w:val="Fett"/>
          <w:bCs/>
        </w:rPr>
      </w:pPr>
    </w:p>
    <w:p w:rsidR="00BE1EFE" w:rsidRDefault="00BE1EFE" w:rsidP="00511CCF">
      <w:pPr>
        <w:pStyle w:val="StandardWeb"/>
        <w:autoSpaceDE w:val="0"/>
        <w:rPr>
          <w:rStyle w:val="Fett"/>
          <w:bCs/>
        </w:rPr>
      </w:pPr>
      <w:r>
        <w:rPr>
          <w:rStyle w:val="Fett"/>
          <w:bCs/>
        </w:rPr>
        <w:t>3. Praktikantinnen und Praktikanten, die nicht unter den Geltungsbereich des BBiG fallen</w:t>
      </w:r>
    </w:p>
    <w:p w:rsidR="00BE1EFE" w:rsidRDefault="00BE1EFE" w:rsidP="00511CCF">
      <w:pPr>
        <w:pStyle w:val="StandardWeb"/>
        <w:autoSpaceDE w:val="0"/>
        <w:rPr>
          <w:b/>
          <w:bCs/>
        </w:rPr>
      </w:pPr>
    </w:p>
    <w:p w:rsidR="00BE1EFE" w:rsidRDefault="00BE1EFE" w:rsidP="00511CCF">
      <w:pPr>
        <w:pStyle w:val="StandardWeb"/>
        <w:autoSpaceDE w:val="0"/>
        <w:rPr>
          <w:b/>
          <w:bCs/>
        </w:rPr>
      </w:pPr>
      <w:r>
        <w:rPr>
          <w:rStyle w:val="Fett"/>
          <w:bCs/>
        </w:rPr>
        <w:t>3.1 Begriffsbestimmungen</w:t>
      </w:r>
    </w:p>
    <w:p w:rsidR="00BE1EFE" w:rsidRDefault="00BE1EFE" w:rsidP="00511CCF">
      <w:pPr>
        <w:pStyle w:val="StandardWeb"/>
      </w:pPr>
      <w:r>
        <w:rPr>
          <w:rStyle w:val="kleinschrift"/>
        </w:rPr>
        <w:t>1</w:t>
      </w:r>
      <w:r>
        <w:t xml:space="preserve">Praktikantinnen und Praktikanten, die nicht unter den Geltungsbereich des </w:t>
      </w:r>
      <w:r w:rsidRPr="00CE4EDC">
        <w:t>BBIG</w:t>
      </w:r>
      <w:r>
        <w:t xml:space="preserve"> fallen, sind insbesondere solche, die ein Praktikum ableisten, das Bestandteil einer Schul- oder Hochschulausbildung ist (vgl. auch Urteil des BAG vom 19. Juni 1974 – 4 AZR 436/73 – AP Nr. 3 zu § 3 BAT). </w:t>
      </w:r>
      <w:r>
        <w:rPr>
          <w:rStyle w:val="kleinschrift"/>
        </w:rPr>
        <w:t>2</w:t>
      </w:r>
      <w:r>
        <w:t>Dazu gehören z. B. Praktika von Studierenden der Fachhochschulen während der Praxissemester, Praktika von Fachoberschülerinnen/Fachoberschülern, Praktika, die Schülerinnen/Schüler von allgemeinbildenden Schulen, von Fachschulen oder von Berufs</w:t>
      </w:r>
      <w:r>
        <w:softHyphen/>
        <w:t xml:space="preserve">fachschulen (Erzieherinnen/Erzieher, Kinderpflegerinnen/Kinderpfleger usw.) abzuleisten haben, sowie Zwischen- oder Blockpraktika von Studierenden der Fachhochschulen und der Hochschulen, die in Studien- oder Prüfungsordnungen vorgeschrieben sind. </w:t>
      </w:r>
      <w:r>
        <w:rPr>
          <w:rStyle w:val="kleinschrift"/>
        </w:rPr>
        <w:t>3</w:t>
      </w:r>
      <w:r>
        <w:t>Dies gilt auch für die praktische Ausbildung der Studierenden der Medizin in Krankenhäusern (Urteil des BAG vom 25. März 1981 – 5 AZR 353/79 – AP Nr. 1 zu § 19 BBiG).</w:t>
      </w:r>
    </w:p>
    <w:p w:rsidR="00BE1EFE" w:rsidRDefault="00BE1EFE" w:rsidP="00511CCF">
      <w:pPr>
        <w:pStyle w:val="StandardWeb"/>
      </w:pPr>
    </w:p>
    <w:p w:rsidR="00BE1EFE" w:rsidRDefault="00BE1EFE" w:rsidP="00511CCF">
      <w:pPr>
        <w:pStyle w:val="StandardWeb"/>
        <w:autoSpaceDE w:val="0"/>
        <w:rPr>
          <w:b/>
          <w:bCs/>
        </w:rPr>
      </w:pPr>
      <w:r>
        <w:rPr>
          <w:rStyle w:val="Fett"/>
          <w:bCs/>
        </w:rPr>
        <w:t>3.2 Höhe der Vergütung</w:t>
      </w:r>
    </w:p>
    <w:p w:rsidR="00BE1EFE" w:rsidRDefault="00BE1EFE" w:rsidP="00511CCF">
      <w:pPr>
        <w:pStyle w:val="StandardWeb"/>
        <w:spacing w:after="60"/>
      </w:pPr>
      <w:r>
        <w:rPr>
          <w:rStyle w:val="kleinschrift"/>
        </w:rPr>
        <w:t>1</w:t>
      </w:r>
      <w:r>
        <w:t xml:space="preserve">Eine gesetzliche Verpflichtung zur Zahlung einer Vergütung besteht nicht. </w:t>
      </w:r>
      <w:r>
        <w:rPr>
          <w:rStyle w:val="kleinschrift"/>
        </w:rPr>
        <w:t>2</w:t>
      </w:r>
      <w:r>
        <w:t xml:space="preserve">Von einer Zahlung der Vergütung ist ganz oder teilweise abzusehen, wenn kein besonderes Interesse an der Beschäftigung der Praktikantinnen und Praktikanten besteht. </w:t>
      </w:r>
      <w:r>
        <w:rPr>
          <w:rStyle w:val="kleinschrift"/>
        </w:rPr>
        <w:t>3</w:t>
      </w:r>
      <w:r>
        <w:t>Mit Rücksicht auf die Arbeitsleistung, die von den nachstehend genannten Praktikantinnen und Praktikanten vor Abschluss der Schulausbildung in der Fach- bzw. Berufsfachschule teilweise erbracht wird, kann während des Praktikums eine Vergütung wie folgt gezahlt werden:</w:t>
      </w:r>
    </w:p>
    <w:p w:rsidR="00BE1EFE" w:rsidRDefault="00BE1EFE" w:rsidP="00511CCF">
      <w:pPr>
        <w:pStyle w:val="StandardWeb"/>
        <w:spacing w:after="60"/>
      </w:pPr>
    </w:p>
    <w:tbl>
      <w:tblPr>
        <w:tblW w:w="0" w:type="auto"/>
        <w:tblCellSpacing w:w="15" w:type="dxa"/>
        <w:tblCellMar>
          <w:left w:w="0" w:type="dxa"/>
          <w:right w:w="0" w:type="dxa"/>
        </w:tblCellMar>
        <w:tblLook w:val="04A0" w:firstRow="1" w:lastRow="0" w:firstColumn="1" w:lastColumn="0" w:noHBand="0" w:noVBand="1"/>
      </w:tblPr>
      <w:tblGrid>
        <w:gridCol w:w="2761"/>
        <w:gridCol w:w="2619"/>
      </w:tblGrid>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a) Erzieherin/ Erzieher</w:t>
            </w:r>
          </w:p>
        </w:tc>
        <w:tc>
          <w:tcPr>
            <w:tcW w:w="0" w:type="auto"/>
            <w:tcMar>
              <w:top w:w="15" w:type="dxa"/>
              <w:left w:w="15" w:type="dxa"/>
              <w:bottom w:w="15" w:type="dxa"/>
              <w:right w:w="15" w:type="dxa"/>
            </w:tcMar>
            <w:vAlign w:val="center"/>
            <w:hideMark/>
          </w:tcPr>
          <w:p w:rsidR="00BE1EFE" w:rsidRDefault="00BE1EFE" w:rsidP="00511CCF">
            <w:pPr>
              <w:rPr>
                <w:sz w:val="24"/>
              </w:rPr>
            </w:pPr>
            <w:r>
              <w:t>höchstens 570,00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r>
              <w:t>b) hauswirtschaftliche Betriebsleiterin/</w:t>
            </w:r>
          </w:p>
          <w:p w:rsidR="00BE1EFE" w:rsidRDefault="00BE1EFE" w:rsidP="00511CCF">
            <w:pPr>
              <w:rPr>
                <w:sz w:val="24"/>
              </w:rPr>
            </w:pPr>
            <w:r>
              <w:t>    hauswirtschaftlicher Betriebsleiter</w:t>
            </w:r>
          </w:p>
        </w:tc>
        <w:tc>
          <w:tcPr>
            <w:tcW w:w="0" w:type="auto"/>
            <w:tcMar>
              <w:top w:w="15" w:type="dxa"/>
              <w:left w:w="15" w:type="dxa"/>
              <w:bottom w:w="15" w:type="dxa"/>
              <w:right w:w="15" w:type="dxa"/>
            </w:tcMar>
            <w:vAlign w:val="center"/>
            <w:hideMark/>
          </w:tcPr>
          <w:p w:rsidR="00BE1EFE" w:rsidRDefault="00BE1EFE" w:rsidP="00511CCF">
            <w:pPr>
              <w:rPr>
                <w:sz w:val="24"/>
              </w:rPr>
            </w:pPr>
            <w:r>
              <w:t>höchstens 570,00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c) Altenpflegerin/Altenpfleger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r>
              <w:t>d) Haus- und Familienpflegerin/</w:t>
            </w:r>
          </w:p>
          <w:p w:rsidR="00BE1EFE" w:rsidRDefault="00BE1EFE" w:rsidP="00511CCF">
            <w:pPr>
              <w:rPr>
                <w:sz w:val="24"/>
              </w:rPr>
            </w:pPr>
            <w:r>
              <w:t>    Haus- und Familienpfleger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r w:rsidR="00BE1EFE" w:rsidTr="00511CCF">
        <w:trPr>
          <w:tblCellSpacing w:w="15" w:type="dxa"/>
        </w:trPr>
        <w:tc>
          <w:tcPr>
            <w:tcW w:w="0" w:type="auto"/>
            <w:tcMar>
              <w:top w:w="15" w:type="dxa"/>
              <w:left w:w="15" w:type="dxa"/>
              <w:bottom w:w="15" w:type="dxa"/>
              <w:right w:w="15" w:type="dxa"/>
            </w:tcMar>
            <w:vAlign w:val="center"/>
            <w:hideMark/>
          </w:tcPr>
          <w:p w:rsidR="00BE1EFE" w:rsidRDefault="00BE1EFE" w:rsidP="00511CCF">
            <w:pPr>
              <w:rPr>
                <w:sz w:val="24"/>
              </w:rPr>
            </w:pPr>
            <w:r>
              <w:t>e) Kinderpflegerin/ Kinderpfleger</w:t>
            </w:r>
          </w:p>
        </w:tc>
        <w:tc>
          <w:tcPr>
            <w:tcW w:w="0" w:type="auto"/>
            <w:tcMar>
              <w:top w:w="15" w:type="dxa"/>
              <w:left w:w="15" w:type="dxa"/>
              <w:bottom w:w="15" w:type="dxa"/>
              <w:right w:w="15" w:type="dxa"/>
            </w:tcMar>
            <w:vAlign w:val="center"/>
            <w:hideMark/>
          </w:tcPr>
          <w:p w:rsidR="00BE1EFE" w:rsidRDefault="00BE1EFE" w:rsidP="00511CCF">
            <w:pPr>
              <w:rPr>
                <w:sz w:val="24"/>
              </w:rPr>
            </w:pPr>
            <w:r>
              <w:t>höchstens 520,00 EURO monatlich.</w:t>
            </w:r>
          </w:p>
        </w:tc>
      </w:tr>
    </w:tbl>
    <w:p w:rsidR="00BE1EFE" w:rsidRDefault="00BE1EFE" w:rsidP="00511CCF">
      <w:pPr>
        <w:pStyle w:val="StandardWeb"/>
        <w:spacing w:before="60"/>
      </w:pPr>
      <w:r>
        <w:rPr>
          <w:rStyle w:val="kleinschrift"/>
        </w:rPr>
        <w:lastRenderedPageBreak/>
        <w:t>4</w:t>
      </w:r>
      <w:r>
        <w:t>Ferner kann an Studierende von Fachhochschulen, die während der Praxissemester eine berufspraktische Tätigkeit ausüben, eine Vergütung wie folgt gezahlt werden:</w:t>
      </w:r>
    </w:p>
    <w:p w:rsidR="00BE1EFE" w:rsidRDefault="00BE1EFE" w:rsidP="00511CCF">
      <w:pPr>
        <w:pStyle w:val="StandardWeb"/>
      </w:pPr>
    </w:p>
    <w:p w:rsidR="00BE1EFE" w:rsidRDefault="00BE1EFE" w:rsidP="00511CCF">
      <w:pPr>
        <w:pStyle w:val="StandardWeb"/>
      </w:pPr>
      <w:r>
        <w:t>a) im ersten Praxissemester</w:t>
      </w:r>
      <w:r>
        <w:tab/>
      </w:r>
      <w:r>
        <w:tab/>
        <w:t>höchstens 500,00 EURO monatlich,</w:t>
      </w:r>
    </w:p>
    <w:p w:rsidR="00BE1EFE" w:rsidRDefault="00BE1EFE" w:rsidP="00511CCF">
      <w:pPr>
        <w:pStyle w:val="StandardWeb"/>
      </w:pPr>
      <w:r>
        <w:t>b)  m zweiten Praxissemester</w:t>
      </w:r>
      <w:r>
        <w:tab/>
      </w:r>
      <w:r>
        <w:tab/>
        <w:t>höchstens 650,00 EURO monatlich.</w:t>
      </w:r>
    </w:p>
    <w:p w:rsidR="00BE1EFE" w:rsidRDefault="00BE1EFE" w:rsidP="00511CCF">
      <w:pPr>
        <w:pStyle w:val="StandardWeb"/>
      </w:pPr>
    </w:p>
    <w:p w:rsidR="00BE1EFE" w:rsidRDefault="00BE1EFE" w:rsidP="00511CCF">
      <w:pPr>
        <w:pStyle w:val="StandardWeb"/>
      </w:pPr>
      <w:r>
        <w:rPr>
          <w:rStyle w:val="kleinschrift"/>
        </w:rPr>
        <w:t>5</w:t>
      </w:r>
      <w:r>
        <w:t>Für Studierende von Fachhochschulen und Hochschulen, die während ihres Studiums ein kurzfristiges Praktikum ableisten, das in Studien- oder Prüfungsordnungen als Prüfungs</w:t>
      </w:r>
      <w:r>
        <w:softHyphen/>
        <w:t>voraussetzung gefordert und nicht Teil des Studiums ist, kann eine Vergütung von höchstens 450,00 EURO monatlich gezahlt werden.</w:t>
      </w:r>
    </w:p>
    <w:p w:rsidR="00BE1EFE" w:rsidRDefault="00BE1EFE" w:rsidP="00511CCF">
      <w:pPr>
        <w:pStyle w:val="StandardWeb"/>
      </w:pPr>
    </w:p>
    <w:p w:rsidR="00BE1EFE" w:rsidRDefault="00BE1EFE" w:rsidP="00511CCF">
      <w:pPr>
        <w:pStyle w:val="StandardWeb"/>
        <w:autoSpaceDE w:val="0"/>
        <w:rPr>
          <w:b/>
          <w:bCs/>
        </w:rPr>
      </w:pPr>
      <w:r>
        <w:rPr>
          <w:rStyle w:val="Fett"/>
          <w:bCs/>
        </w:rPr>
        <w:t>3.3 Fortzahlung der Vergütung</w:t>
      </w:r>
    </w:p>
    <w:p w:rsidR="00BE1EFE" w:rsidRPr="000B1AF8" w:rsidRDefault="00BE1EFE" w:rsidP="00511CCF">
      <w:pPr>
        <w:pStyle w:val="StandardWeb"/>
      </w:pPr>
      <w:r>
        <w:t>Wird eine Vergütung gezahlt, kann entsprechend Ziffer II.2.3 verfahren werden.</w:t>
      </w:r>
    </w:p>
    <w:p w:rsidR="00BE1EFE" w:rsidRDefault="00BE1EFE" w:rsidP="00511CCF">
      <w:pPr>
        <w:pStyle w:val="berschrift5"/>
      </w:pPr>
      <w:bookmarkStart w:id="1139" w:name="_Toc523926656"/>
      <w:r>
        <w:t>III. Gewährung sonstiger Leistungen</w:t>
      </w:r>
      <w:bookmarkEnd w:id="1139"/>
    </w:p>
    <w:p w:rsidR="00BE1EFE" w:rsidRPr="00B76821" w:rsidRDefault="00BE1EFE" w:rsidP="00B76821">
      <w:pPr>
        <w:pStyle w:val="berschrift6"/>
        <w:keepNext w:val="0"/>
        <w:spacing w:before="0" w:after="0"/>
        <w:rPr>
          <w:rStyle w:val="Fett"/>
          <w:bCs w:val="0"/>
          <w:sz w:val="2"/>
        </w:rPr>
      </w:pPr>
    </w:p>
    <w:p w:rsidR="00BE1EFE" w:rsidRPr="000B1AF8" w:rsidRDefault="00BE1EFE" w:rsidP="00511CCF">
      <w:pPr>
        <w:pStyle w:val="StandardWeb"/>
        <w:autoSpaceDE w:val="0"/>
      </w:pPr>
      <w:r>
        <w:rPr>
          <w:rStyle w:val="Fett"/>
          <w:bCs/>
        </w:rPr>
        <w:t>1. Reisekosten usw.</w:t>
      </w:r>
    </w:p>
    <w:p w:rsidR="00BE1EFE" w:rsidRDefault="00BE1EFE" w:rsidP="00511CCF">
      <w:pPr>
        <w:pStyle w:val="StandardWeb"/>
      </w:pPr>
      <w:r>
        <w:rPr>
          <w:rStyle w:val="kleinschrift"/>
        </w:rPr>
        <w:t>1</w:t>
      </w:r>
      <w:r>
        <w:t>Bei Dienstreisen können Praktikantinnen und Praktikanten eine Entschädigung in ent</w:t>
      </w:r>
      <w:r>
        <w:softHyphen/>
        <w:t>sprechender Anwendung der für die Beschäftigten des Arbeitgebers geltenden Reise</w:t>
      </w:r>
      <w:r>
        <w:softHyphen/>
        <w:t xml:space="preserve">kostenbestimmungen in der jeweiligen Fassung erhalten. </w:t>
      </w:r>
      <w:r>
        <w:rPr>
          <w:rStyle w:val="kleinschrift"/>
        </w:rPr>
        <w:t>2</w:t>
      </w:r>
      <w:r>
        <w:t xml:space="preserve">Für die erstmalige Anreise zu und die letztmalige Abreise von der Praktikantenstelle kann eine Aufwandsentschädigung entsprechend der in </w:t>
      </w:r>
      <w:hyperlink r:id="rId1753" w:history="1">
        <w:r w:rsidRPr="002D1F1D">
          <w:rPr>
            <w:rStyle w:val="Hyperlink"/>
          </w:rPr>
          <w:t>§ 10 Absatz 2 Satz 1 ABD Teil E, 1.</w:t>
        </w:r>
      </w:hyperlink>
      <w:r>
        <w:t xml:space="preserve"> enthaltenen Regelung gezahlt werden. </w:t>
      </w:r>
      <w:r>
        <w:rPr>
          <w:rStyle w:val="kleinschrift"/>
        </w:rPr>
        <w:t>3</w:t>
      </w:r>
      <w:r>
        <w:t xml:space="preserve">Für Familienheimfahrten kann in entsprechender Anwendung von </w:t>
      </w:r>
      <w:hyperlink r:id="rId1754" w:history="1">
        <w:r>
          <w:rPr>
            <w:rStyle w:val="Hyperlink"/>
          </w:rPr>
          <w:t>§ 10a ABD Teil E, </w:t>
        </w:r>
        <w:r w:rsidRPr="002D1F1D">
          <w:rPr>
            <w:rStyle w:val="Hyperlink"/>
          </w:rPr>
          <w:t>1.</w:t>
        </w:r>
      </w:hyperlink>
      <w:r>
        <w:t xml:space="preserve"> verfahren werden.</w:t>
      </w:r>
    </w:p>
    <w:p w:rsidR="00BE1EFE" w:rsidRDefault="00BE1EFE" w:rsidP="00511CCF">
      <w:pPr>
        <w:pStyle w:val="StandardWeb"/>
      </w:pPr>
    </w:p>
    <w:p w:rsidR="00BE1EFE" w:rsidRDefault="00BE1EFE" w:rsidP="00511CCF">
      <w:pPr>
        <w:pStyle w:val="StandardWeb"/>
        <w:autoSpaceDE w:val="0"/>
      </w:pPr>
      <w:r>
        <w:rPr>
          <w:rStyle w:val="Fett"/>
          <w:bCs/>
        </w:rPr>
        <w:t>2. Sachleistungen</w:t>
      </w:r>
    </w:p>
    <w:p w:rsidR="00BE1EFE" w:rsidRDefault="00BE1EFE" w:rsidP="00511CCF">
      <w:pPr>
        <w:pStyle w:val="StandardWeb"/>
      </w:pPr>
      <w:r>
        <w:rPr>
          <w:rStyle w:val="kleinschrift"/>
        </w:rPr>
        <w:t>1</w:t>
      </w:r>
      <w:r>
        <w:t xml:space="preserve">Werden den Praktikanten Sachleistungen (z. B. freie Unterkunft oder Verpflegung) gewährt, sind diese Leistungen in Höhe der nach </w:t>
      </w:r>
      <w:hyperlink r:id="rId1755" w:tgtFrame="_blank" w:history="1">
        <w:r>
          <w:rPr>
            <w:rStyle w:val="Hyperlink"/>
          </w:rPr>
          <w:t>§ 17 Absatz 1 Nr. 4 SGB IV</w:t>
        </w:r>
      </w:hyperlink>
      <w:r>
        <w:t xml:space="preserve"> festgesetzten Sachbezugswerte anzurechnen. </w:t>
      </w:r>
      <w:r>
        <w:rPr>
          <w:rStyle w:val="kleinschrift"/>
        </w:rPr>
        <w:t>2</w:t>
      </w:r>
      <w:r>
        <w:t xml:space="preserve">Soweit nach </w:t>
      </w:r>
      <w:hyperlink r:id="rId1756" w:tgtFrame="_blank" w:history="1">
        <w:r>
          <w:rPr>
            <w:rStyle w:val="Hyperlink"/>
          </w:rPr>
          <w:t>§ 26 i.V.m. § 17 Absatz 1 BBiG</w:t>
        </w:r>
      </w:hyperlink>
      <w:r>
        <w:t xml:space="preserve"> ein Anspruch auf Vergütung besteht, ist </w:t>
      </w:r>
      <w:hyperlink r:id="rId1757" w:tgtFrame="_blank" w:history="1">
        <w:r>
          <w:rPr>
            <w:rStyle w:val="Hyperlink"/>
          </w:rPr>
          <w:t xml:space="preserve">§ 17 Absatz 2 BBiG </w:t>
        </w:r>
      </w:hyperlink>
      <w:r>
        <w:t>zu beachten.</w:t>
      </w:r>
    </w:p>
    <w:p w:rsidR="00BE1EFE" w:rsidRDefault="00BE1EFE" w:rsidP="00511CCF">
      <w:pPr>
        <w:pStyle w:val="StandardWeb"/>
      </w:pPr>
    </w:p>
    <w:p w:rsidR="00BE1EFE" w:rsidRDefault="00BE1EFE" w:rsidP="00511CCF">
      <w:pPr>
        <w:pStyle w:val="StandardWeb"/>
        <w:autoSpaceDE w:val="0"/>
      </w:pPr>
      <w:r>
        <w:rPr>
          <w:rStyle w:val="Fett"/>
          <w:bCs/>
        </w:rPr>
        <w:t>3. Sonstige Leistungen</w:t>
      </w:r>
    </w:p>
    <w:p w:rsidR="00BE1EFE" w:rsidRDefault="00BE1EFE" w:rsidP="00511CCF">
      <w:pPr>
        <w:pStyle w:val="StandardWeb"/>
      </w:pPr>
      <w:r>
        <w:t>Andere als die vorgenannten Geld- und Sachleistungen (z. B. Jahressonderzahlung, vermögenswirksame Leistungen) kommen nicht in Betracht.</w:t>
      </w: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A303D9" w:rsidRDefault="00A303D9" w:rsidP="00511CCF">
      <w:pPr>
        <w:pStyle w:val="StandardWeb"/>
      </w:pPr>
    </w:p>
    <w:p w:rsidR="00BE1EFE" w:rsidRPr="00A303D9" w:rsidRDefault="00BE1EFE" w:rsidP="00BF51C4">
      <w:pPr>
        <w:pStyle w:val="Leerzeile"/>
        <w:rPr>
          <w:sz w:val="2"/>
          <w:szCs w:val="2"/>
        </w:rPr>
      </w:pPr>
      <w:r>
        <w:br w:type="page"/>
      </w:r>
    </w:p>
    <w:p w:rsidR="00BE1EFE" w:rsidRDefault="00BE1EFE" w:rsidP="00086E45">
      <w:pPr>
        <w:pStyle w:val="berschrift3"/>
        <w:spacing w:before="0"/>
      </w:pPr>
      <w:bookmarkStart w:id="1140" w:name="_Toc523926657"/>
      <w:r>
        <w:lastRenderedPageBreak/>
        <w:t>Teil F: Beschlüsse der Bayerischen Regional-KODA,</w:t>
      </w:r>
      <w:r>
        <w:rPr>
          <w:lang w:eastAsia="x-none"/>
        </w:rPr>
        <w:t xml:space="preserve"> </w:t>
      </w:r>
      <w:r>
        <w:t>einzelne Diözesen betreffend (seit 14. 02. 1996)</w:t>
      </w:r>
      <w:bookmarkEnd w:id="1140"/>
    </w:p>
    <w:p w:rsidR="00BE1EFE" w:rsidRDefault="00BE1EFE" w:rsidP="00EC6183">
      <w:pPr>
        <w:pStyle w:val="berschrift4"/>
      </w:pPr>
      <w:bookmarkStart w:id="1141" w:name="_Toc453678256"/>
      <w:bookmarkStart w:id="1142" w:name="_Toc523926658"/>
      <w:r>
        <w:t>F, 1. Zulage für Mentorentätigkeit in Schule und Gemeinde</w:t>
      </w:r>
      <w:bookmarkEnd w:id="1141"/>
      <w:bookmarkEnd w:id="1142"/>
    </w:p>
    <w:p w:rsidR="00BE1EFE" w:rsidRDefault="00BE1EFE" w:rsidP="00EC6183">
      <w:pPr>
        <w:pStyle w:val="berschrift5"/>
        <w:spacing w:before="0" w:after="0"/>
        <w:rPr>
          <w:sz w:val="2"/>
        </w:rPr>
      </w:pPr>
    </w:p>
    <w:p w:rsidR="00BE1EFE" w:rsidRDefault="00BE1EFE" w:rsidP="00EC6183">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EC6183">
      <w:pPr>
        <w:pStyle w:val="StandardWeb"/>
      </w:pPr>
      <w:r>
        <w:t>Die BayRK genehmigt die Regelung über Zulagen für Mentorentätigkeit in der Diözese Passau.</w:t>
      </w:r>
    </w:p>
    <w:p w:rsidR="00BE1EFE" w:rsidRPr="000B1AF8" w:rsidRDefault="00BE1EFE">
      <w:pPr>
        <w:pStyle w:val="StandardWeb"/>
      </w:pPr>
    </w:p>
    <w:p w:rsidR="00BE1EFE" w:rsidRPr="001A11F1" w:rsidRDefault="00BE1EFE">
      <w:pPr>
        <w:pStyle w:val="StandardWeb"/>
        <w:rPr>
          <w:i/>
        </w:rPr>
      </w:pPr>
      <w:r w:rsidRPr="001A11F1">
        <w:rPr>
          <w:i/>
        </w:rPr>
        <w:t>(Beschluss vom 07./08.05.1996)</w:t>
      </w:r>
    </w:p>
    <w:p w:rsidR="00BE1EFE" w:rsidRDefault="00BE1EFE" w:rsidP="0062165B">
      <w:pPr>
        <w:pStyle w:val="berschrift4"/>
      </w:pPr>
      <w:bookmarkStart w:id="1143" w:name="_Toc523926659"/>
      <w:r>
        <w:t>F, 2. Stundenanrechnung für den Unterricht an Förderschulen</w:t>
      </w:r>
      <w:bookmarkEnd w:id="1143"/>
    </w:p>
    <w:p w:rsidR="00BE1EFE" w:rsidRPr="00B76821" w:rsidRDefault="00BE1EFE" w:rsidP="00B76821">
      <w:pPr>
        <w:pStyle w:val="berschrift5"/>
        <w:keepNext w:val="0"/>
        <w:spacing w:before="0" w:after="0"/>
        <w:rPr>
          <w:sz w:val="2"/>
        </w:rPr>
      </w:pPr>
    </w:p>
    <w:p w:rsidR="00BE1EFE" w:rsidRPr="00CC586E" w:rsidRDefault="00BE1EFE" w:rsidP="00CC586E">
      <w:pPr>
        <w:pStyle w:val="StandardWeb"/>
        <w:rPr>
          <w:b/>
          <w:bCs/>
          <w:i/>
        </w:rPr>
      </w:pPr>
      <w:r w:rsidRPr="00CC586E">
        <w:rPr>
          <w:i/>
        </w:rPr>
        <w:t>(Die Regelung wurde zum 31.08.1996 aufgehoben.)</w:t>
      </w:r>
    </w:p>
    <w:p w:rsidR="00BE1EFE" w:rsidRDefault="00BE1EFE" w:rsidP="0062165B">
      <w:pPr>
        <w:pStyle w:val="berschrift4"/>
      </w:pPr>
      <w:bookmarkStart w:id="1144" w:name="_Toc523926660"/>
      <w:r>
        <w:t>F, 3. Ordnung der Fort- und Weiterbildung für Mitarbeiter im pastoralen Dienst des Erzbistums München und Freising</w:t>
      </w:r>
      <w:bookmarkEnd w:id="1144"/>
    </w:p>
    <w:p w:rsidR="00BE1EFE" w:rsidRPr="00B76821" w:rsidRDefault="00BE1EFE" w:rsidP="00B76821">
      <w:pPr>
        <w:pStyle w:val="berschrift5"/>
        <w:keepNext w:val="0"/>
        <w:spacing w:before="0" w:after="0"/>
        <w:rPr>
          <w:sz w:val="2"/>
        </w:rPr>
      </w:pPr>
    </w:p>
    <w:p w:rsidR="00BE1EFE" w:rsidRDefault="00BE1EFE" w:rsidP="0013191F">
      <w:pPr>
        <w:pStyle w:val="StandardWeb"/>
      </w:pPr>
      <w:r>
        <w:t>Die Bayerische Regional-KODA genehmigt die in der vorgelegten Ordnung der Fort- und Weiterbildung für Mitarbeiter im pastoralen Dienst im Erzbistum München und Freising vom 1. November 1996 getroffenen Regelungen zur Dienstbefreiung für die Teilnahme an Fort- und Weiterbildungsveranstaltungen.</w:t>
      </w:r>
    </w:p>
    <w:p w:rsidR="00BE1EFE" w:rsidRDefault="00BE1EFE" w:rsidP="0013191F">
      <w:pPr>
        <w:pStyle w:val="StandardWeb"/>
      </w:pPr>
      <w:r>
        <w:t>(Beschluss vom 29./30. 04. 1997)</w:t>
      </w:r>
    </w:p>
    <w:p w:rsidR="00BE1EFE" w:rsidRDefault="00BE1EFE" w:rsidP="0013191F">
      <w:pPr>
        <w:pStyle w:val="StandardWeb"/>
      </w:pPr>
    </w:p>
    <w:p w:rsidR="00BE1EFE" w:rsidRPr="0013191F" w:rsidRDefault="00BE1EFE" w:rsidP="0013191F">
      <w:pPr>
        <w:pStyle w:val="StandardWeb"/>
        <w:rPr>
          <w:b/>
        </w:rPr>
      </w:pPr>
      <w:r w:rsidRPr="0013191F">
        <w:rPr>
          <w:b/>
        </w:rPr>
        <w:t>Ordnung der Fort- und Weiterbildung für Priester, Diakone und hauptamtliche Mitarbeiter/-innen im pastoralen Dienst des Erz­ bistums München und Freising</w:t>
      </w:r>
    </w:p>
    <w:p w:rsidR="00BE1EFE" w:rsidRDefault="00BE1EFE" w:rsidP="0013191F">
      <w:pPr>
        <w:pStyle w:val="StandardWeb"/>
      </w:pPr>
    </w:p>
    <w:p w:rsidR="00BE1EFE" w:rsidRDefault="00BE1EFE" w:rsidP="0013191F">
      <w:pPr>
        <w:pStyle w:val="StandardWeb"/>
      </w:pPr>
      <w:r>
        <w:t>Diese Ordnung gilt für alle Priester, Pastoralreferenten/-innen und Gemeindere­ ferenten/-innen nach der Zweiten Dienstprüfung, für Ständige Diakone, für Seel­ sorgehelfer/-innen nach Abschluss der Ausbildung.</w:t>
      </w:r>
    </w:p>
    <w:p w:rsidR="00BE1EFE" w:rsidRDefault="00BE1EFE" w:rsidP="0013191F">
      <w:pPr>
        <w:pStyle w:val="StandardWeb"/>
      </w:pPr>
    </w:p>
    <w:p w:rsidR="00BE1EFE" w:rsidRDefault="00BE1EFE" w:rsidP="0013191F">
      <w:pPr>
        <w:pStyle w:val="StandardWeb"/>
      </w:pPr>
      <w:r>
        <w:t>1. Begriffsbestimmungen</w:t>
      </w:r>
    </w:p>
    <w:p w:rsidR="00BE1EFE" w:rsidRDefault="00BE1EFE" w:rsidP="0013191F">
      <w:pPr>
        <w:pStyle w:val="StandardWeb"/>
      </w:pPr>
    </w:p>
    <w:p w:rsidR="00BE1EFE" w:rsidRDefault="00BE1EFE" w:rsidP="0013191F">
      <w:pPr>
        <w:pStyle w:val="StandardWeb"/>
      </w:pPr>
      <w:r>
        <w:t>1.1 Fortbildung ist derjenige Teil beruflicher Bildung, der die im Studium und in der Ausbildung erworbenen Kenntnisse erweitert, ergänzt und vertieft.</w:t>
      </w:r>
    </w:p>
    <w:p w:rsidR="00BE1EFE" w:rsidRDefault="00BE1EFE" w:rsidP="0013191F">
      <w:pPr>
        <w:pStyle w:val="StandardWeb"/>
      </w:pPr>
    </w:p>
    <w:p w:rsidR="00BE1EFE" w:rsidRDefault="00BE1EFE" w:rsidP="0013191F">
      <w:pPr>
        <w:pStyle w:val="StandardWeb"/>
      </w:pPr>
      <w:r>
        <w:t>1.2 Weiterbildung ist derjenige Teil beruflicher Bildung, der auf eine Zusatzqualifikation innerhalb der beruflichen Aufgabenbereiche der Priester, Ständigen Diakone, Pastoralreferenten/-innen, Gemeindereferenten/-innen und Seelsorgehelfer/-innen vorbereitet und die Grundausbildung und eine entsprechende Beruferfahrung voraussetz1.</w:t>
      </w:r>
    </w:p>
    <w:p w:rsidR="00BE1EFE" w:rsidRDefault="00BE1EFE" w:rsidP="0013191F">
      <w:pPr>
        <w:pStyle w:val="StandardWeb"/>
      </w:pPr>
    </w:p>
    <w:p w:rsidR="00BE1EFE" w:rsidRDefault="00BE1EFE" w:rsidP="0013191F">
      <w:pPr>
        <w:pStyle w:val="StandardWeb"/>
      </w:pPr>
      <w:r>
        <w:t>1.3 Zusatzausbildung ist derjenige Teil beruflicher Bildung, der eine Spezialisierung für besondere Aufgaben zum Ziel hat. Sie ist von dieser Ordnung nicht betroffen.</w:t>
      </w:r>
    </w:p>
    <w:p w:rsidR="00BE1EFE" w:rsidRDefault="00BE1EFE" w:rsidP="0013191F">
      <w:pPr>
        <w:pStyle w:val="StandardWeb"/>
      </w:pPr>
    </w:p>
    <w:p w:rsidR="00BE1EFE" w:rsidRDefault="00BE1EFE" w:rsidP="0013191F">
      <w:pPr>
        <w:pStyle w:val="StandardWeb"/>
      </w:pPr>
      <w:r>
        <w:t>2. Ziele und Aufgaben</w:t>
      </w:r>
    </w:p>
    <w:p w:rsidR="00BE1EFE" w:rsidRDefault="00BE1EFE" w:rsidP="0013191F">
      <w:pPr>
        <w:pStyle w:val="StandardWeb"/>
      </w:pPr>
    </w:p>
    <w:p w:rsidR="00BE1EFE" w:rsidRDefault="00BE1EFE" w:rsidP="0013191F">
      <w:pPr>
        <w:pStyle w:val="StandardWeb"/>
      </w:pPr>
      <w:r>
        <w:lastRenderedPageBreak/>
        <w:t>2.1 Die berufliche Qualifikation der Mitarbeiter/-innen im pastoralen Dienst ist eine wichtige Voraussetzung für das pastorale Handeln der Kirche. Das grundlegende Ziel ist die Vertiefung der eigenen Berufung und die Befähigung der Priester, Ständigen Diakone. Pastoralrefe</w:t>
      </w:r>
      <w:r w:rsidR="00223E8D">
        <w:t>renten/-innen, Gemeindereferen</w:t>
      </w:r>
      <w:r>
        <w:t>ten/-innen und Seelsorgehelfer/-innen, ihren Dienst besser zu erfüllen.</w:t>
      </w:r>
    </w:p>
    <w:p w:rsidR="00BE1EFE" w:rsidRDefault="00BE1EFE" w:rsidP="0013191F">
      <w:pPr>
        <w:pStyle w:val="StandardWeb"/>
      </w:pPr>
      <w:r>
        <w:t>ln der Fort- und Weiterbildung der pastoralen Berufe sind drei Dimensionen unverzichtbar: Geistliches Leben und menschliche Reifung, theologische Bildung, pastorale Befähigung.</w:t>
      </w:r>
    </w:p>
    <w:p w:rsidR="00BE1EFE" w:rsidRDefault="00BE1EFE" w:rsidP="0013191F">
      <w:pPr>
        <w:pStyle w:val="StandardWeb"/>
      </w:pPr>
      <w:r>
        <w:t>Im Rahmen der Fortbildung werden deshalb Möglichkeiten angeboten, die für den jeweiligen Dienst erforderliche spirituelle, persönliche und fachliche Qualifikation zu erhalten und zu vertiefen.</w:t>
      </w:r>
    </w:p>
    <w:p w:rsidR="00BE1EFE" w:rsidRDefault="00BE1EFE" w:rsidP="0013191F">
      <w:pPr>
        <w:pStyle w:val="StandardWeb"/>
      </w:pPr>
      <w:r>
        <w:t>Die Maßnahmen der Weiterbildung zielen auf eine den verschiedenen pastoralen Handlungsfeldern entsprechende berufsspezifische Qualifikation.</w:t>
      </w:r>
    </w:p>
    <w:p w:rsidR="00BE1EFE" w:rsidRDefault="00BE1EFE" w:rsidP="0013191F">
      <w:pPr>
        <w:pStyle w:val="StandardWeb"/>
      </w:pPr>
      <w:r>
        <w:t>Die berufsbegleitende Fortbildung ist Bestandteil des pastoralen Dienstes</w:t>
      </w:r>
    </w:p>
    <w:p w:rsidR="00BE1EFE" w:rsidRDefault="00BE1EFE" w:rsidP="0013191F">
      <w:pPr>
        <w:pStyle w:val="StandardWeb"/>
      </w:pPr>
      <w:r>
        <w:t>und gehört damit auch zur Dienstpflicht der einzelnen Mitarbeiter/-innen.</w:t>
      </w:r>
    </w:p>
    <w:p w:rsidR="00BE1EFE" w:rsidRDefault="00BE1EFE" w:rsidP="0013191F">
      <w:pPr>
        <w:pStyle w:val="StandardWeb"/>
      </w:pPr>
    </w:p>
    <w:p w:rsidR="00BE1EFE" w:rsidRDefault="00BE1EFE" w:rsidP="0013191F">
      <w:pPr>
        <w:pStyle w:val="StandardWeb"/>
      </w:pPr>
      <w:r>
        <w:t>2.2 Der grundlegende Ansatz der Fortbildung ist die Analyse und kritische Reflexion der eigenen seelsorgerlichen Praxis. Aufgabenschwerpunkte sind die Beobachtung der Weiterentwicklung theologischer Fragestellungen und die Vermittlung neuer Erkenntnisse.</w:t>
      </w:r>
    </w:p>
    <w:p w:rsidR="00BE1EFE" w:rsidRDefault="00BE1EFE" w:rsidP="0013191F">
      <w:pPr>
        <w:pStyle w:val="StandardWeb"/>
      </w:pPr>
    </w:p>
    <w:p w:rsidR="00BE1EFE" w:rsidRDefault="00BE1EFE" w:rsidP="0013191F">
      <w:pPr>
        <w:pStyle w:val="StandardWeb"/>
      </w:pPr>
      <w:r>
        <w:t>Die Aufgabe der Weiterbildung ist die Ermöglichung einer zusätzlichen, den je verschiedenen pastoralen Handlungsfeldern entsprechenden beruflichen Qualifikation.</w:t>
      </w:r>
    </w:p>
    <w:p w:rsidR="00BE1EFE" w:rsidRDefault="00BE1EFE" w:rsidP="0013191F">
      <w:pPr>
        <w:pStyle w:val="StandardWeb"/>
      </w:pPr>
    </w:p>
    <w:p w:rsidR="00BE1EFE" w:rsidRDefault="00BE1EFE" w:rsidP="0013191F">
      <w:pPr>
        <w:pStyle w:val="StandardWeb"/>
      </w:pPr>
      <w:r>
        <w:t>2.3 Der pastorale Auftrag der Kirche wird von allen Mitarbeiter/-innen im pastoralen Dienst gemeinsam erfüllt. ln der pastoralen Praxis arbeiten Personen mit unterschiedlichem Auftrag und mit unterschiedlicher Ausbildung zusammen. Die Fort- und Weiterbildung geschieht deshalb</w:t>
      </w:r>
    </w:p>
    <w:p w:rsidR="00BE1EFE" w:rsidRDefault="00BE1EFE" w:rsidP="0013191F">
      <w:pPr>
        <w:pStyle w:val="StandardWeb"/>
      </w:pPr>
      <w:r>
        <w:t>• in gemeinsamen Veranstaltungen für die verschiedenen Berufsgruppen, damit gemeinsames Handeln in der Pastoral gefördert wird;</w:t>
      </w:r>
    </w:p>
    <w:p w:rsidR="00BE1EFE" w:rsidRDefault="00BE1EFE" w:rsidP="0013191F">
      <w:pPr>
        <w:pStyle w:val="StandardWeb"/>
      </w:pPr>
      <w:r>
        <w:t>• in spezifischen Veranstaltungen für die einzelnen Berufsgruppen, damit der je spezifische Auftrag verdeutlicht und bestärkt wird;</w:t>
      </w:r>
    </w:p>
    <w:p w:rsidR="00BE1EFE" w:rsidRDefault="00BE1EFE" w:rsidP="0013191F">
      <w:pPr>
        <w:pStyle w:val="StandardWeb"/>
      </w:pPr>
      <w:r>
        <w:t>• in Veranstaltungen für bestimmte Zielgruppen pastoraler Mitarbeiter/­innen, damit ihre Qualifikationen für spezielle Seelsorgsbereiche und Seelsorgsaufgaben vertieft werden.</w:t>
      </w:r>
    </w:p>
    <w:p w:rsidR="00BE1EFE" w:rsidRDefault="00BE1EFE" w:rsidP="0013191F">
      <w:pPr>
        <w:pStyle w:val="StandardWeb"/>
      </w:pPr>
    </w:p>
    <w:p w:rsidR="00BE1EFE" w:rsidRDefault="00BE1EFE" w:rsidP="0013191F">
      <w:pPr>
        <w:pStyle w:val="StandardWeb"/>
      </w:pPr>
      <w:r>
        <w:t>3. Grundsätze, Rechte und Pflichten für alle pastoralen Berufe hinsichtlich der Fort- und Weiterbildung</w:t>
      </w:r>
    </w:p>
    <w:p w:rsidR="00BE1EFE" w:rsidRDefault="00BE1EFE" w:rsidP="0013191F">
      <w:pPr>
        <w:pStyle w:val="StandardWeb"/>
      </w:pPr>
    </w:p>
    <w:p w:rsidR="00BE1EFE" w:rsidRDefault="00BE1EFE" w:rsidP="0013191F">
      <w:pPr>
        <w:pStyle w:val="StandardWeb"/>
      </w:pPr>
      <w:r>
        <w:t>3.1 Zum pastoralen Dienst gehört unabdingbar eine kontinuierliche Fortbildung. Ihr dient das Institut für Fort- und Weiterbildung der pastoralen Berufe in der Erzdiözese München und Freising. Die Mitarbeiter/-innen sind zur Fortbildung verpflichtet. Hierbei wird die persönliche und die berufliche Situation berücksichtigt.</w:t>
      </w:r>
    </w:p>
    <w:p w:rsidR="00BE1EFE" w:rsidRDefault="00BE1EFE" w:rsidP="0013191F">
      <w:pPr>
        <w:pStyle w:val="StandardWeb"/>
      </w:pPr>
    </w:p>
    <w:p w:rsidR="00BE1EFE" w:rsidRDefault="00BE1EFE" w:rsidP="0013191F">
      <w:pPr>
        <w:pStyle w:val="StandardWeb"/>
      </w:pPr>
      <w:r>
        <w:t>3.2 Fortbildung</w:t>
      </w:r>
    </w:p>
    <w:p w:rsidR="00BE1EFE" w:rsidRDefault="00BE1EFE" w:rsidP="0013191F">
      <w:pPr>
        <w:pStyle w:val="StandardWeb"/>
      </w:pPr>
      <w:r>
        <w:t>3.2.1 Die Fortbildung beginnt für Priester, Pastoralreferenten/-innen und Gemeindereferenten/-innen nach der Zweiten Dienstprüfung, für Ständige Diakone nach der Weihe und für Seelsorgehelfer/-innen nach Abschluss der Ausbildung.</w:t>
      </w:r>
    </w:p>
    <w:p w:rsidR="00BE1EFE" w:rsidRDefault="00BE1EFE" w:rsidP="0013191F">
      <w:pPr>
        <w:pStyle w:val="StandardWeb"/>
      </w:pPr>
      <w:r>
        <w:t>3.2.2 Fortbildung ist eine lebenslange Aufgabe. Die Verpflichtung zur Teilnahme an Fortbildungsveranstaltungen gilt für alle pastoralen Berufe bis zum Erreichen des 60.Lebensjahres. Darüber hinaus ist die Teilnahme an entsprechenden Maßnahmen wünschenswert und empfohlen.</w:t>
      </w:r>
    </w:p>
    <w:p w:rsidR="00BE1EFE" w:rsidRDefault="00BE1EFE" w:rsidP="0013191F">
      <w:pPr>
        <w:pStyle w:val="StandardWeb"/>
      </w:pPr>
      <w:r>
        <w:t>3.2.3 Für die Teilnahme an Fortbildungsveranstaltungen werden pro Jahr bis zu fünf Tagen Dienstbefreiung gewährt.</w:t>
      </w:r>
    </w:p>
    <w:p w:rsidR="00BE1EFE" w:rsidRDefault="00BE1EFE" w:rsidP="0013191F">
      <w:pPr>
        <w:pStyle w:val="StandardWeb"/>
      </w:pPr>
      <w:r>
        <w:lastRenderedPageBreak/>
        <w:t>3.2.4 Alle 10 Jahre sollen alle pastoralen Mitarbeiter/-innen an einer längerfristigen Fortbildungsveranstaltung teilnehmen (Blockkurs, Intervallkurs o.ä.). Die dazu erforderliche Freistellung vom Dienst wird unter Anrechnung des Anspruchs in Ziffer 3.2.3 gewährt.</w:t>
      </w:r>
    </w:p>
    <w:p w:rsidR="00BE1EFE" w:rsidRDefault="00BE1EFE" w:rsidP="0013191F">
      <w:pPr>
        <w:pStyle w:val="StandardWeb"/>
      </w:pPr>
      <w:r>
        <w:t>3.2.5 Mitarbeiter/-innen im Erziehungsurlaub bzw. Sonderurlaub können jährlich an bis zu 5 Tagen an Fortbildungsmaßnahmen teilnehmen, die im Jahresprogramm des Instituts für Fort- und Weiterbildung enthalten sind. Gleiches gilt auch für Teilzeitbeschäftigte (unter 50%).</w:t>
      </w:r>
    </w:p>
    <w:p w:rsidR="00BE1EFE" w:rsidRDefault="00BE1EFE" w:rsidP="0013191F">
      <w:pPr>
        <w:pStyle w:val="StandardWeb"/>
      </w:pPr>
    </w:p>
    <w:p w:rsidR="00BE1EFE" w:rsidRDefault="00BE1EFE" w:rsidP="0013191F">
      <w:pPr>
        <w:pStyle w:val="StandardWeb"/>
      </w:pPr>
      <w:r>
        <w:t>3.3 Weiterbildung</w:t>
      </w:r>
    </w:p>
    <w:p w:rsidR="00BE1EFE" w:rsidRDefault="00BE1EFE" w:rsidP="0013191F">
      <w:pPr>
        <w:pStyle w:val="StandardWeb"/>
      </w:pPr>
      <w:r>
        <w:t>3.3.1 Die Teilnahme an Maßnahmen der Weiterbildung ist nur in Absprache mit der Erzdiözese möglich.</w:t>
      </w:r>
    </w:p>
    <w:p w:rsidR="00BE1EFE" w:rsidRDefault="00BE1EFE" w:rsidP="0013191F">
      <w:pPr>
        <w:pStyle w:val="StandardWeb"/>
      </w:pPr>
      <w:r>
        <w:t>3.3.2 Weiterbildung kann einerseits von den Mitarbeiter/-innen im pastoralen Dienst beantragt, andererseits von der Erzdiözese angeboten oder angeordnet werden.</w:t>
      </w:r>
    </w:p>
    <w:p w:rsidR="00BE1EFE" w:rsidRDefault="00BE1EFE" w:rsidP="0013191F">
      <w:pPr>
        <w:pStyle w:val="StandardWeb"/>
      </w:pPr>
    </w:p>
    <w:p w:rsidR="00BE1EFE" w:rsidRDefault="00BE1EFE" w:rsidP="0013191F">
      <w:pPr>
        <w:pStyle w:val="StandardWeb"/>
      </w:pPr>
      <w:r>
        <w:t>3.4 Anmeldungen und Anträge</w:t>
      </w:r>
    </w:p>
    <w:p w:rsidR="00BE1EFE" w:rsidRDefault="00BE1EFE" w:rsidP="0013191F">
      <w:pPr>
        <w:pStyle w:val="StandardWeb"/>
      </w:pPr>
      <w:r>
        <w:t>3.4.1 Anmeldungen zu Fortbildungen sind beim Institut für Fort- und Weiterbildung bzw. beim jeweiligen Veranstalter einzureichen.</w:t>
      </w:r>
    </w:p>
    <w:p w:rsidR="00BE1EFE" w:rsidRDefault="00BE1EFE" w:rsidP="0013191F">
      <w:pPr>
        <w:pStyle w:val="StandardWeb"/>
      </w:pPr>
      <w:r>
        <w:t>Der Termin der Fortbildung ist mit dem Vorgesetzten und den anderen Mitarbeiter/-innen an der Seelsorgestelle abzusprechen.</w:t>
      </w:r>
    </w:p>
    <w:p w:rsidR="00BE1EFE" w:rsidRDefault="00BE1EFE" w:rsidP="0013191F">
      <w:pPr>
        <w:pStyle w:val="StandardWeb"/>
      </w:pPr>
      <w:r>
        <w:t>Für Vertretungen hat der/die Antragsteller/-in selbst zu sorgen.</w:t>
      </w:r>
    </w:p>
    <w:p w:rsidR="00BE1EFE" w:rsidRDefault="00BE1EFE" w:rsidP="0013191F">
      <w:pPr>
        <w:pStyle w:val="StandardWeb"/>
      </w:pPr>
      <w:r>
        <w:t>Die Schulleitung/-en ist/sind rechtzeitig von den Mitarbeiter/-innen zu informieren.</w:t>
      </w:r>
    </w:p>
    <w:p w:rsidR="00BE1EFE" w:rsidRDefault="00BE1EFE" w:rsidP="0013191F">
      <w:pPr>
        <w:pStyle w:val="StandardWeb"/>
      </w:pPr>
      <w:r>
        <w:t>3.4.2 Ein Antrag ist einzureichen, wenn die Teilnahme an einem Kurs beabsichtigt ist, der nicht vom Institut für Fort- und Weiterbildung veranstaltet wird oder wenn für die Fortbildung mehr als die zustehenden fünf Tage beansprucht werden.</w:t>
      </w:r>
    </w:p>
    <w:p w:rsidR="00BE1EFE" w:rsidRDefault="00BE1EFE" w:rsidP="0013191F">
      <w:pPr>
        <w:pStyle w:val="StandardWeb"/>
      </w:pPr>
      <w:r>
        <w:t>Für Mitarbeiter/-innen im kategorialen Dienst ist dazu die Befürwortung des zuständigen Referates notwendig.</w:t>
      </w:r>
    </w:p>
    <w:p w:rsidR="00BE1EFE" w:rsidRDefault="00BE1EFE" w:rsidP="0013191F">
      <w:pPr>
        <w:pStyle w:val="StandardWeb"/>
      </w:pPr>
      <w:r>
        <w:t>Dieser Antrag ist mindestens sechs Wochen vor Anmeldeschluss der jeweiligen Veranstaltung mit Zustimmung des unmittelbaren Dienstvorgesetzten beim Institut für Fort- und Weiterbildung einzureichen, das ihn an den zuständigen Fachbereich im Personalreferat I weiterleitet.</w:t>
      </w:r>
    </w:p>
    <w:p w:rsidR="00BE1EFE" w:rsidRDefault="00BE1EFE" w:rsidP="0013191F">
      <w:pPr>
        <w:pStyle w:val="StandardWeb"/>
      </w:pPr>
    </w:p>
    <w:p w:rsidR="00BE1EFE" w:rsidRDefault="00BE1EFE" w:rsidP="0013191F">
      <w:pPr>
        <w:pStyle w:val="StandardWeb"/>
      </w:pPr>
      <w:r>
        <w:t>4. Maßnahmen</w:t>
      </w:r>
    </w:p>
    <w:p w:rsidR="00BE1EFE" w:rsidRDefault="00BE1EFE" w:rsidP="0013191F">
      <w:pPr>
        <w:pStyle w:val="StandardWeb"/>
      </w:pPr>
      <w:r>
        <w:t>4.1 Das Institut für Fort- und Weiterbildung führt gemäß seiner Satzung Fort­ und Weiterbildungsmaßnahmen zu spirituellen, theologischen und pasto­ ralpraktischen Themen durch oder vermittelt entsprechende Angebote anderer Veranstalter.</w:t>
      </w:r>
    </w:p>
    <w:p w:rsidR="00BE1EFE" w:rsidRDefault="00BE1EFE" w:rsidP="0013191F">
      <w:pPr>
        <w:pStyle w:val="StandardWeb"/>
      </w:pPr>
    </w:p>
    <w:p w:rsidR="00BE1EFE" w:rsidRDefault="00BE1EFE" w:rsidP="0013191F">
      <w:pPr>
        <w:pStyle w:val="StandardWeb"/>
      </w:pPr>
      <w:r>
        <w:t>4.2. Regelung für Priester</w:t>
      </w:r>
    </w:p>
    <w:p w:rsidR="00BE1EFE" w:rsidRDefault="00BE1EFE" w:rsidP="0013191F">
      <w:pPr>
        <w:pStyle w:val="StandardWeb"/>
      </w:pPr>
      <w:r>
        <w:t>4.2.1 …</w:t>
      </w:r>
    </w:p>
    <w:p w:rsidR="00BE1EFE" w:rsidRDefault="00BE1EFE" w:rsidP="0013191F">
      <w:pPr>
        <w:pStyle w:val="StandardWeb"/>
      </w:pPr>
      <w:r>
        <w:t xml:space="preserve">4.2.2 Die in Weihe-/Jahrgangskursen bewährte Praxis der Fortbildung soll weiterhin gepflegt werden. Der/die Kurssprecher/-in beantragt eine geplante Kursfortbildung beim Institut für Fort- und Weiterbildung. </w:t>
      </w:r>
    </w:p>
    <w:p w:rsidR="00BE1EFE" w:rsidRDefault="00BE1EFE" w:rsidP="0013191F">
      <w:pPr>
        <w:pStyle w:val="StandardWeb"/>
      </w:pPr>
      <w:r>
        <w:t>Das Institut für Fort- und Weiterbildung ist bei der Planung, Durchführung und Auswertung von Fortbildungsveranstaltungen der Weihe-/Jahrgangskurse behilflich. Es berät die dafür Verantwortlichen bei inhaltlichen und methodischen Fragen, bei der Gewinnung von geeigneten Referenten/-innen und bei der Auswahl von geeigneten Bildungshäusern.</w:t>
      </w:r>
    </w:p>
    <w:p w:rsidR="00BE1EFE" w:rsidRDefault="00BE1EFE" w:rsidP="0013191F">
      <w:pPr>
        <w:pStyle w:val="StandardWeb"/>
      </w:pPr>
      <w:r>
        <w:t>Die Verpflichtung von Referenten/-innen sowie die Belegung von Bildungshäusern ist rechtzeitig mit dem Institut für Fort- und Weiterbildung abzustimmen.</w:t>
      </w:r>
    </w:p>
    <w:p w:rsidR="00BE1EFE" w:rsidRDefault="00BE1EFE" w:rsidP="0013191F">
      <w:pPr>
        <w:pStyle w:val="StandardWeb"/>
      </w:pPr>
      <w:r>
        <w:t>4.2.3 …</w:t>
      </w:r>
    </w:p>
    <w:p w:rsidR="00BE1EFE" w:rsidRDefault="00BE1EFE" w:rsidP="0013191F">
      <w:pPr>
        <w:pStyle w:val="StandardWeb"/>
      </w:pPr>
      <w:r>
        <w:t>4.2.4 …</w:t>
      </w:r>
    </w:p>
    <w:p w:rsidR="00BE1EFE" w:rsidRDefault="00BE1EFE" w:rsidP="0013191F">
      <w:pPr>
        <w:pStyle w:val="StandardWeb"/>
      </w:pPr>
    </w:p>
    <w:p w:rsidR="00BE1EFE" w:rsidRDefault="00BE1EFE" w:rsidP="0013191F">
      <w:pPr>
        <w:pStyle w:val="StandardWeb"/>
      </w:pPr>
      <w:r>
        <w:t>4.3 Regelung für Ständige Diakone</w:t>
      </w:r>
    </w:p>
    <w:p w:rsidR="00BE1EFE" w:rsidRDefault="00BE1EFE" w:rsidP="0013191F">
      <w:pPr>
        <w:pStyle w:val="StandardWeb"/>
      </w:pPr>
      <w:r>
        <w:t>4.3.1 …</w:t>
      </w:r>
    </w:p>
    <w:p w:rsidR="00BE1EFE" w:rsidRDefault="00BE1EFE" w:rsidP="0013191F">
      <w:pPr>
        <w:pStyle w:val="StandardWeb"/>
      </w:pPr>
      <w:r>
        <w:t>4.3.2 …</w:t>
      </w:r>
    </w:p>
    <w:p w:rsidR="00BE1EFE" w:rsidRDefault="00BE1EFE" w:rsidP="0013191F">
      <w:pPr>
        <w:pStyle w:val="StandardWeb"/>
      </w:pPr>
    </w:p>
    <w:p w:rsidR="00BE1EFE" w:rsidRDefault="00BE1EFE" w:rsidP="0013191F">
      <w:pPr>
        <w:pStyle w:val="StandardWeb"/>
      </w:pPr>
      <w:r>
        <w:lastRenderedPageBreak/>
        <w:t>4.4 Regelung für Pastoralreferenten/-innen</w:t>
      </w:r>
    </w:p>
    <w:p w:rsidR="00BE1EFE" w:rsidRDefault="00BE1EFE" w:rsidP="0013191F">
      <w:pPr>
        <w:pStyle w:val="StandardWeb"/>
      </w:pPr>
      <w:r>
        <w:t>4.4.1 Pastoralreferenten/-innen sollen jedes Jahr an Fortbildungsveranstaltungen bis zu fünf Tagen teilnehmen. Innerhalb eines Zeitraums von drei Jahren ist die Teilnahme an einer Fortbildungsmaßnahme aus dem Programm des Instituts für Fort- und Weiterbildung verpflichtend. Mit Zustimmung des Personalreferats I ist auch eine Teilnahme an einer anderen vom Institut für Fort- und Weiterbildung empfohlenen Bildungsmaßnahme möglich.</w:t>
      </w:r>
    </w:p>
    <w:p w:rsidR="00BE1EFE" w:rsidRDefault="00BE1EFE" w:rsidP="0013191F">
      <w:pPr>
        <w:pStyle w:val="StandardWeb"/>
      </w:pPr>
      <w:r>
        <w:t>4.4.2 Die in den Jahrgangskursen bewährte Praxis der Fortbildung soll weiterhin gepflegt werden. Es gilt Ziffer 4.2.2.</w:t>
      </w:r>
    </w:p>
    <w:p w:rsidR="00BE1EFE" w:rsidRDefault="00BE1EFE" w:rsidP="0013191F">
      <w:pPr>
        <w:pStyle w:val="StandardWeb"/>
      </w:pPr>
    </w:p>
    <w:p w:rsidR="00BE1EFE" w:rsidRDefault="00BE1EFE" w:rsidP="0013191F">
      <w:pPr>
        <w:pStyle w:val="StandardWeb"/>
      </w:pPr>
      <w:r>
        <w:t>4.5 Regelung für Gemeindereferenten/-innen und für Seelsorgehelfer/-innen Gemeindereferenten/-innen und Seelsorgehelfer/-innen sind jährlich zu bis zu fünf Tagen Fortbildung verpflichtet. Sie wählen dazu eine Maßnahme aus dem Programm des Instituts für Fort- und Weiterbildung aus. Mit Zustimmung des Personalreferats I ist auch eine Teilnahme an einer anderen vom Institut für Fort- und Weiterbildung empfohlenen Bildungsmaßnahme möglich.</w:t>
      </w:r>
    </w:p>
    <w:p w:rsidR="00BE1EFE" w:rsidRDefault="00BE1EFE" w:rsidP="0013191F">
      <w:pPr>
        <w:pStyle w:val="StandardWeb"/>
      </w:pPr>
    </w:p>
    <w:p w:rsidR="00BE1EFE" w:rsidRDefault="00BE1EFE" w:rsidP="0013191F">
      <w:pPr>
        <w:pStyle w:val="StandardWeb"/>
      </w:pPr>
      <w:r>
        <w:t>5. Kostenregelung</w:t>
      </w:r>
    </w:p>
    <w:p w:rsidR="00BE1EFE" w:rsidRDefault="00BE1EFE" w:rsidP="0013191F">
      <w:pPr>
        <w:pStyle w:val="StandardWeb"/>
      </w:pPr>
      <w:r>
        <w:t>5.1 Für die genehmigte Teilnahme an einer Fortbildungsmaßnahme gewährt die Erzdiözese München und Freising einen Zuschuss zu den Tagungskosten (Unterkunft, Verpflegung, Kursgebühren). Die näheren Regelungen hierfür werden im Jahresprogramm des Instituts für Fort- und Weiterbildung bekannt gegeben, ebenso die bestehenden Richtlinien für die Kostenübernahme bei der Teilnahme an einer verpflichtenden Fortbildungsmaßnahme der Gemeindereferenten/-innen und der Ständigen Diakone. Dort sind auch die jeweils geltenden Richtlinien für die Reisekostenerstattung veröffentlicht. Tage- und Übernachtungsgelder werden nicht gewährt. Lohnausfallkosten für Ständige Diakone mit Zivilberuf werden nicht erstattet.</w:t>
      </w:r>
    </w:p>
    <w:p w:rsidR="00BE1EFE" w:rsidRDefault="00BE1EFE" w:rsidP="0013191F">
      <w:pPr>
        <w:pStyle w:val="StandardWeb"/>
      </w:pPr>
      <w:r>
        <w:t>5.2 Bei einer Weiterbildung, die im Interesse der Erzdiözese liegt (s. 3.3), werden in der Regel die Kosten bis zu 50% von der Erzdiözese übernommen.</w:t>
      </w:r>
    </w:p>
    <w:p w:rsidR="00BE1EFE" w:rsidRDefault="00BE1EFE" w:rsidP="0013191F">
      <w:pPr>
        <w:pStyle w:val="StandardWeb"/>
      </w:pPr>
      <w:r>
        <w:t>5.3 Für die Teilnahme an Bildungsmaßnahmen, die überwiegend im privaten Interesse einer Mitarbeiterin oder eines Mitarbeiters liegen, werden in der Regel keine Kosten erstattet.</w:t>
      </w:r>
    </w:p>
    <w:p w:rsidR="00BE1EFE" w:rsidRDefault="00BE1EFE" w:rsidP="0013191F">
      <w:pPr>
        <w:pStyle w:val="StandardWeb"/>
      </w:pPr>
    </w:p>
    <w:p w:rsidR="00BE1EFE" w:rsidRDefault="00BE1EFE" w:rsidP="0013191F">
      <w:pPr>
        <w:pStyle w:val="StandardWeb"/>
      </w:pPr>
      <w:r>
        <w:t>6. Regelung der vergütungs- und versicherungsrechtlichen Fragen</w:t>
      </w:r>
    </w:p>
    <w:p w:rsidR="00BE1EFE" w:rsidRDefault="00BE1EFE" w:rsidP="0013191F">
      <w:pPr>
        <w:pStyle w:val="StandardWeb"/>
      </w:pPr>
      <w:r>
        <w:t>6.1 Regelung für Priester</w:t>
      </w:r>
    </w:p>
    <w:p w:rsidR="00BE1EFE" w:rsidRDefault="00BE1EFE" w:rsidP="0013191F">
      <w:pPr>
        <w:pStyle w:val="StandardWeb"/>
      </w:pPr>
      <w:r>
        <w:t>…</w:t>
      </w:r>
    </w:p>
    <w:p w:rsidR="00BE1EFE" w:rsidRDefault="00BE1EFE" w:rsidP="0013191F">
      <w:pPr>
        <w:pStyle w:val="StandardWeb"/>
      </w:pPr>
    </w:p>
    <w:p w:rsidR="00BE1EFE" w:rsidRDefault="00BE1EFE" w:rsidP="0013191F">
      <w:pPr>
        <w:pStyle w:val="StandardWeb"/>
      </w:pPr>
      <w:r>
        <w:t>6.2 Regelung für Ständige Diakone und alle hauptamtlichen Mitarbeiter/-innen im pastoralen Dienst</w:t>
      </w:r>
    </w:p>
    <w:p w:rsidR="00BE1EFE" w:rsidRDefault="00BE1EFE" w:rsidP="0013191F">
      <w:pPr>
        <w:pStyle w:val="StandardWeb"/>
      </w:pPr>
      <w:r>
        <w:t>6.2.1 Für hauptamtliche Ständige Diakone und hauptamtliche Mitarbeiter/-innen im pastoralen Dienst besteht bei allen von der Erzdiözese genehmigten Fort- und Weiterbildungsmaßnahmen Gehaltsfortzahlung.</w:t>
      </w:r>
    </w:p>
    <w:p w:rsidR="00BE1EFE" w:rsidRDefault="00BE1EFE" w:rsidP="0013191F">
      <w:pPr>
        <w:pStyle w:val="StandardWeb"/>
      </w:pPr>
      <w:r>
        <w:t>6.2.2 Verpflichtende Bildungsmaßnahmen gelten als Dienst (Dienstreise). Es besteht deshalb in gleicher Weise wie bei sonstiger dienstlicher Inanspruchnahme ein voller Unfallversicherungsschutz über die Berufsgenossenschaft, der sich auch auf die Fahrt zur bzw. von der Bildungsstätte erstreckt. Bei Kfz-Unfällen sind Leistungen aus der Kfz-Schadens-Versicherung der Erzdiözese im Rahmen der jeweils geltenden Richtlinien möglich (vgl. Amtsblatt für das Erzbistum München und Freising, Jahrgang 1995 Nr. 7 vom 27. April1995, Nr.67).</w:t>
      </w:r>
    </w:p>
    <w:p w:rsidR="00BE1EFE" w:rsidRDefault="00BE1EFE" w:rsidP="0013191F">
      <w:pPr>
        <w:pStyle w:val="StandardWeb"/>
      </w:pPr>
      <w:r>
        <w:t>6.2.3 Darüber hinaus besteht bei allen Bildungsmaßnahmen, die in kirchlichen Gebäuden der Erzdiözese stattfinden, ein Unfallschutz während des Aufenthaltes in der Bildungsstätte.</w:t>
      </w:r>
    </w:p>
    <w:p w:rsidR="00BE1EFE" w:rsidRDefault="00BE1EFE" w:rsidP="0013191F">
      <w:pPr>
        <w:pStyle w:val="StandardWeb"/>
      </w:pPr>
    </w:p>
    <w:p w:rsidR="00BE1EFE" w:rsidRDefault="00BE1EFE" w:rsidP="0013191F">
      <w:pPr>
        <w:pStyle w:val="StandardWeb"/>
      </w:pPr>
      <w:r>
        <w:t>7. Schlussbemerkung</w:t>
      </w:r>
    </w:p>
    <w:p w:rsidR="00BE1EFE" w:rsidRDefault="00BE1EFE" w:rsidP="0013191F">
      <w:pPr>
        <w:pStyle w:val="StandardWeb"/>
      </w:pPr>
      <w:r>
        <w:lastRenderedPageBreak/>
        <w:t>Die vorliegende Ordnung wird rückwirkend mit Wirkung vom 1. November 1999 in Kraft gesetzt. Die vorläufige Ordnung vom 1. November 1996 (vgl. Amtsblatt 1996, S.383-388) verliert zum gleichen Zeitpunkt ihre Gültigkeit.</w:t>
      </w:r>
    </w:p>
    <w:p w:rsidR="00BE1EFE" w:rsidRDefault="00BE1EFE">
      <w:pPr>
        <w:pStyle w:val="StandardWeb"/>
      </w:pPr>
    </w:p>
    <w:p w:rsidR="00BE1EFE" w:rsidRDefault="00BE1EFE" w:rsidP="0062165B">
      <w:pPr>
        <w:pStyle w:val="berschrift4"/>
      </w:pPr>
      <w:bookmarkStart w:id="1145" w:name="_Toc523926661"/>
      <w:r>
        <w:t>F, 4. Statut für den Schulbeauftragten bzw. für den Fachmitarbeiter Kath. Religion für Grund-, Haupt- und Förderschulen in den (Erz-)Bistümern Bamberg, München und Freising und Passau</w:t>
      </w:r>
      <w:bookmarkEnd w:id="1145"/>
    </w:p>
    <w:p w:rsidR="00BE1EFE" w:rsidRPr="00B76821" w:rsidRDefault="00BE1EFE" w:rsidP="00B76821">
      <w:pPr>
        <w:pStyle w:val="berschrift5"/>
        <w:keepNext w:val="0"/>
        <w:spacing w:before="0" w:after="0"/>
        <w:rPr>
          <w:sz w:val="2"/>
        </w:rPr>
      </w:pPr>
    </w:p>
    <w:p w:rsidR="00BE1EFE" w:rsidRDefault="00BE1EFE" w:rsidP="0054275E">
      <w:pPr>
        <w:pStyle w:val="StandardWeb"/>
        <w:autoSpaceDE w:val="0"/>
      </w:pPr>
      <w:r>
        <w:t xml:space="preserve">– Die BayRK genehmigt eine Stundenanrechnung von zwei bis vier Wochenstunden für den Schulbeauftragten in der </w:t>
      </w:r>
      <w:r>
        <w:rPr>
          <w:rStyle w:val="Fett"/>
          <w:bCs/>
        </w:rPr>
        <w:t>Erzdiözese München und Freising</w:t>
      </w:r>
      <w:r>
        <w:t>.</w:t>
      </w:r>
    </w:p>
    <w:p w:rsidR="00BE1EFE" w:rsidRPr="000B1AF8" w:rsidRDefault="00BE1EFE" w:rsidP="0054275E">
      <w:pPr>
        <w:pStyle w:val="StandardWeb"/>
        <w:autoSpaceDE w:val="0"/>
      </w:pPr>
    </w:p>
    <w:p w:rsidR="00BE1EFE" w:rsidRDefault="00BE1EFE" w:rsidP="0054275E">
      <w:pPr>
        <w:pStyle w:val="StandardWeb"/>
        <w:autoSpaceDE w:val="0"/>
      </w:pPr>
      <w:r>
        <w:t xml:space="preserve">– Für kirchliche Fachmitarbeiter für den kath. Religionsunterricht in der </w:t>
      </w:r>
      <w:r>
        <w:rPr>
          <w:rStyle w:val="Fett"/>
          <w:bCs/>
        </w:rPr>
        <w:t>Erzdiözese Bamberg</w:t>
      </w:r>
      <w:r>
        <w:t xml:space="preserve">: </w:t>
      </w:r>
    </w:p>
    <w:p w:rsidR="00BE1EFE" w:rsidRDefault="00BE1EFE">
      <w:pPr>
        <w:pStyle w:val="StandardWeb"/>
      </w:pPr>
    </w:p>
    <w:p w:rsidR="00BE1EFE" w:rsidRDefault="00BE1EFE" w:rsidP="00CC586E">
      <w:pPr>
        <w:pStyle w:val="StandardWeb"/>
      </w:pPr>
      <w:r>
        <w:t>Für die Übernahme der Tätigkeit als Fachmitarbeiter in der Erzdiözese Bamberg wird eine Stundenanrechnung gewährt sowie eine Zulage in Höhe von 19,21 € je Anrechnungsstunde gezahlt, wobei die Zulage an prozentualen Entgeltsteigerungen teilnimmt (Statut für den kirchlichen Schulbeauftragten der Erzdiözese Bamberg vom 19.12.2000, Amtsblatt für das Erzbistum Bamberg 2001,</w:t>
      </w:r>
      <w:r w:rsidR="00CE16AD">
        <w:t xml:space="preserve"> Seite 3 ff.) zuletzt geändert </w:t>
      </w:r>
      <w:r>
        <w:t>mit Wirkung vom 22.02.2005 (Amtsblatt für das Erzbistum Bamberg 2005, Seite 135) und Dienstordnung der kirchlichen Fachmitarbeiter für den kath. Religionsunterricht III. 7 (Amtsblatt für das Erzbistum Bamberg 2001, Seite 10) und Durchführungsbestimmungen vom 15.03.2016 zu III. 7. Dienstordnung der kirchlichen Fachmitarbeiter für den kath. Religionsunterricht vom 19.12.2000.</w:t>
      </w:r>
    </w:p>
    <w:p w:rsidR="00BE1EFE" w:rsidRDefault="00BE1EFE">
      <w:pPr>
        <w:pStyle w:val="StandardWeb"/>
      </w:pPr>
    </w:p>
    <w:p w:rsidR="00BE1EFE" w:rsidRPr="00CC586E" w:rsidRDefault="00BE1EFE">
      <w:pPr>
        <w:pStyle w:val="StandardWeb"/>
        <w:rPr>
          <w:i/>
        </w:rPr>
      </w:pPr>
      <w:r w:rsidRPr="00CC586E">
        <w:rPr>
          <w:i/>
        </w:rPr>
        <w:t>(Beschluss vom 24./25.04.2001 veröffentlicht im Amtsblatt für das Erzbistum Bamberg Nr. 10 vom 31. August 2001 mit Inkraftsetzung zum 01.01.2001)</w:t>
      </w:r>
    </w:p>
    <w:p w:rsidR="00BE1EFE" w:rsidRDefault="00BE1EFE">
      <w:pPr>
        <w:pStyle w:val="StandardWeb"/>
      </w:pPr>
    </w:p>
    <w:p w:rsidR="00BE1EFE" w:rsidRDefault="00BE1EFE">
      <w:pPr>
        <w:pStyle w:val="StandardWeb"/>
      </w:pPr>
    </w:p>
    <w:p w:rsidR="00BE1EFE" w:rsidRDefault="00BE1EFE" w:rsidP="0054275E">
      <w:pPr>
        <w:pStyle w:val="StandardWeb"/>
        <w:autoSpaceDE w:val="0"/>
      </w:pPr>
      <w:r>
        <w:t xml:space="preserve">– Für Schulbeauftragte in der </w:t>
      </w:r>
      <w:r>
        <w:rPr>
          <w:rStyle w:val="Fett"/>
          <w:bCs/>
        </w:rPr>
        <w:t>Diözese Passau</w:t>
      </w:r>
      <w:r>
        <w:t xml:space="preserve">: </w:t>
      </w:r>
    </w:p>
    <w:p w:rsidR="00BE1EFE" w:rsidRDefault="00BE1EFE">
      <w:pPr>
        <w:pStyle w:val="StandardWeb"/>
      </w:pPr>
      <w:r>
        <w:t>veröffentlicht im Amtsblatt für das Bistum Passau Folge 7 vom 25. Juli 2008 mit Inkraftsetzung zum 01.10.2008</w:t>
      </w:r>
    </w:p>
    <w:p w:rsidR="00BE1EFE" w:rsidRDefault="00BE1EFE">
      <w:pPr>
        <w:pStyle w:val="StandardWeb"/>
      </w:pPr>
    </w:p>
    <w:p w:rsidR="00BE1EFE" w:rsidRPr="001A11F1" w:rsidRDefault="00BE1EFE">
      <w:pPr>
        <w:pStyle w:val="StandardWeb"/>
        <w:rPr>
          <w:rStyle w:val="kleinschrift1"/>
          <w:i/>
          <w:sz w:val="16"/>
          <w:szCs w:val="16"/>
        </w:rPr>
      </w:pPr>
      <w:r w:rsidRPr="001A11F1">
        <w:rPr>
          <w:rStyle w:val="kleinschrift1"/>
          <w:i/>
          <w:sz w:val="16"/>
          <w:szCs w:val="16"/>
        </w:rPr>
        <w:t>(Beschluss vom 24./25.04.2001)</w:t>
      </w:r>
    </w:p>
    <w:p w:rsidR="00BE1EFE" w:rsidRDefault="00BE1EFE">
      <w:pPr>
        <w:pStyle w:val="StandardWeb"/>
        <w:rPr>
          <w:rStyle w:val="kleinschrift1"/>
          <w:sz w:val="16"/>
          <w:szCs w:val="16"/>
        </w:rPr>
      </w:pPr>
    </w:p>
    <w:p w:rsidR="00BE1EFE" w:rsidRDefault="00BE1EFE" w:rsidP="0062165B">
      <w:pPr>
        <w:pStyle w:val="berschrift4"/>
      </w:pPr>
      <w:bookmarkStart w:id="1146" w:name="_Toc523926662"/>
      <w:r>
        <w:t>F, 5. Änderung der Fahrtkostenzuschussordnung für die Mitarbeiter der Erzdiözese München und Freising</w:t>
      </w:r>
      <w:bookmarkEnd w:id="1146"/>
    </w:p>
    <w:p w:rsidR="00BE1EFE" w:rsidRDefault="00BE1EFE"/>
    <w:p w:rsidR="00BE1EFE" w:rsidRDefault="00BE1EFE" w:rsidP="0013191F">
      <w:r>
        <w:t>A.</w:t>
      </w:r>
    </w:p>
    <w:p w:rsidR="00BE1EFE" w:rsidRDefault="00BE1EFE" w:rsidP="0013191F">
      <w:r>
        <w:t>frei</w:t>
      </w:r>
    </w:p>
    <w:p w:rsidR="00BE1EFE" w:rsidRDefault="00BE1EFE" w:rsidP="0013191F"/>
    <w:p w:rsidR="00BE1EFE" w:rsidRDefault="00BE1EFE" w:rsidP="0013191F">
      <w:r>
        <w:t>B.</w:t>
      </w:r>
    </w:p>
    <w:p w:rsidR="00BE1EFE" w:rsidRDefault="00BE1EFE" w:rsidP="0013191F"/>
    <w:p w:rsidR="00BE1EFE" w:rsidRDefault="00BE1EFE" w:rsidP="00397F30">
      <w:pPr>
        <w:jc w:val="both"/>
      </w:pPr>
      <w:r>
        <w:t xml:space="preserve">Der Erzdiözese München und Freising ist es erlaubt, bis zur Schaffung einer einheitlichen KODA-Regelung in dieser Angelegenheit, die diözesaneigene Fahrtkostenzuschussordnung </w:t>
      </w:r>
      <w:r>
        <w:lastRenderedPageBreak/>
        <w:t>jeweils entsprechend den Änderungen der Fahrtkostenzuschussregelung beim Freistaat Bayern zu ändern und anzupassen.</w:t>
      </w:r>
    </w:p>
    <w:p w:rsidR="00BE1EFE" w:rsidRDefault="00BE1EFE" w:rsidP="00397F30">
      <w:pPr>
        <w:jc w:val="both"/>
      </w:pPr>
      <w:r>
        <w:t>(Protokollnotiz zum Protokoll der Vollversammlung am 21./22. 07. 1998)</w:t>
      </w:r>
    </w:p>
    <w:p w:rsidR="00BE1EFE" w:rsidRDefault="00BE1EFE" w:rsidP="00397F30"/>
    <w:p w:rsidR="00BE1EFE" w:rsidRDefault="00BE1EFE" w:rsidP="00397F30">
      <w:r>
        <w:t>C.</w:t>
      </w:r>
    </w:p>
    <w:p w:rsidR="00BE1EFE" w:rsidRDefault="00BE1EFE" w:rsidP="00397F30"/>
    <w:p w:rsidR="00BE1EFE" w:rsidRDefault="00BE1EFE" w:rsidP="00397F30">
      <w:pPr>
        <w:jc w:val="both"/>
      </w:pPr>
      <w:r>
        <w:t>1. Die auf Grund des Beschlusses B Ziffer 2 der Bayerischen Regional-KODA vom 25. 01.1995 als diözesane Regelung geltende Fahrtkostenzuschussordnung für die Mitarbeiter der Erzdiözese München und Freising, in der Fassung vom 01. 11. 1998, wird wie folgt geändert:</w:t>
      </w:r>
    </w:p>
    <w:p w:rsidR="00BE1EFE" w:rsidRDefault="00BE1EFE" w:rsidP="00397F30">
      <w:r>
        <w:t>1.1 Ziffer 3 Satz 2 wird aufgehoben.</w:t>
      </w:r>
    </w:p>
    <w:p w:rsidR="00BE1EFE" w:rsidRDefault="00BE1EFE" w:rsidP="00397F30">
      <w:r>
        <w:t>1.2 Ziffer 4 Satz 3 und 4 werden aufgehoben.</w:t>
      </w:r>
    </w:p>
    <w:p w:rsidR="00BE1EFE" w:rsidRDefault="00BE1EFE" w:rsidP="00397F30">
      <w:r>
        <w:t>1.3 Nach Ziffer 8 wird folgende neue Ziffer aufgenommen:</w:t>
      </w:r>
    </w:p>
    <w:p w:rsidR="00BE1EFE" w:rsidRDefault="00BE1EFE" w:rsidP="00397F30">
      <w:pPr>
        <w:jc w:val="both"/>
      </w:pPr>
      <w:r>
        <w:t>„„9. Übergangsregelung</w:t>
      </w:r>
    </w:p>
    <w:p w:rsidR="00BE1EFE" w:rsidRDefault="00BE1EFE" w:rsidP="00397F30">
      <w:pPr>
        <w:jc w:val="both"/>
      </w:pPr>
      <w:r>
        <w:t>Zur Wahrung des Besitzstandes wird den Beamten/-innen der Besoldungsgruppen A9 – A16 BBesG und den Angestellten der Vergütungsgruppen Vb – I ABD, die bereits am 31. 08. 2000 in einem Beamten- oder Arbeitsverhältnis zur Erzdiözese standen, das am 01. 09. 2000 fortbestand und seitdem ununterbrochen weiterbe-steht, ein Fahrtkostenzuschuss nach der bisherigen Klasse B gewährt.</w:t>
      </w:r>
    </w:p>
    <w:p w:rsidR="00BE1EFE" w:rsidRDefault="00BE1EFE" w:rsidP="00397F30">
      <w:pPr>
        <w:jc w:val="both"/>
      </w:pPr>
      <w:r>
        <w:t>Der Fahrtkostenzuschuss beträgt bei einer Mindestbelastung von 100,00 DM 10/12 der den jeweils geltenden Eigenanteil (vgl. Ziffer 4) übersteigenden regelmäßigen monatlichen Fahrtkosten. Als Höchstbetrag wird ein Zuschuss in Höhe von 70,00 DM festgesetzt.“</w:t>
      </w:r>
    </w:p>
    <w:p w:rsidR="00BE1EFE" w:rsidRDefault="00BE1EFE" w:rsidP="00397F30">
      <w:pPr>
        <w:jc w:val="both"/>
      </w:pPr>
      <w:r>
        <w:t>1.4 In Ziffer 4 letzter Satz wird die Zahl „5,00 DM“ durch die Zahl „14,00 DM“ ersetzt.</w:t>
      </w:r>
    </w:p>
    <w:p w:rsidR="00BE1EFE" w:rsidRDefault="00BE1EFE" w:rsidP="00397F30">
      <w:r>
        <w:t>2. Diese Änderungen treten am 01. 09. 2000 in Kraft.</w:t>
      </w:r>
    </w:p>
    <w:p w:rsidR="00BE1EFE" w:rsidRDefault="00BE1EFE" w:rsidP="00397F30"/>
    <w:p w:rsidR="00BE1EFE" w:rsidRDefault="00BE1EFE" w:rsidP="00397F30">
      <w:r>
        <w:t>(Beschluss vom 11./12. 07. 2000)</w:t>
      </w:r>
    </w:p>
    <w:p w:rsidR="00BE1EFE" w:rsidRDefault="00BE1EFE" w:rsidP="00397F30"/>
    <w:p w:rsidR="00BE1EFE" w:rsidRPr="001A11F1" w:rsidRDefault="00BE1EFE" w:rsidP="00397F30">
      <w:pPr>
        <w:pStyle w:val="StandardWeb"/>
        <w:rPr>
          <w:i/>
        </w:rPr>
      </w:pPr>
      <w:r w:rsidRPr="001A11F1">
        <w:rPr>
          <w:i/>
        </w:rPr>
        <w:t xml:space="preserve">(Veröffentlicht im Amtsblatt für das Erzbistum München und Freising Nr. 11 vom 30. August 2000 mit Inkraftsetzung zum 01.09.2000) </w:t>
      </w:r>
    </w:p>
    <w:p w:rsidR="00BE1EFE" w:rsidRPr="001A11F1" w:rsidRDefault="00BE1EFE" w:rsidP="00397F30">
      <w:pPr>
        <w:pStyle w:val="StandardWeb"/>
        <w:jc w:val="left"/>
        <w:rPr>
          <w:i/>
        </w:rPr>
      </w:pPr>
    </w:p>
    <w:p w:rsidR="00BE1EFE" w:rsidRPr="001A11F1" w:rsidRDefault="00BE1EFE" w:rsidP="00397F30">
      <w:pPr>
        <w:rPr>
          <w:i/>
        </w:rPr>
      </w:pPr>
      <w:r w:rsidRPr="001A11F1">
        <w:rPr>
          <w:i/>
          <w:iCs/>
        </w:rPr>
        <w:t>(zuletzt geändert mit Wirkung vom 1. Januar 2018, Amtsblatt 4/2018, S. 125)</w:t>
      </w:r>
      <w:r w:rsidRPr="001A11F1">
        <w:rPr>
          <w:i/>
        </w:rPr>
        <w:t xml:space="preserve"> </w:t>
      </w:r>
    </w:p>
    <w:p w:rsidR="00BE1EFE" w:rsidRDefault="00BE1EFE" w:rsidP="0062165B">
      <w:pPr>
        <w:pStyle w:val="berschrift4"/>
        <w:rPr>
          <w:lang w:eastAsia="x-none"/>
        </w:rPr>
      </w:pPr>
      <w:bookmarkStart w:id="1147" w:name="_Toc523926663"/>
      <w:r>
        <w:t>F, 6. Statut für den kirchlichen Schulbeauftragten im Bistum Regensburg</w:t>
      </w:r>
      <w:bookmarkEnd w:id="1147"/>
    </w:p>
    <w:p w:rsidR="00BE1EFE" w:rsidRPr="00B76821" w:rsidRDefault="00BE1EFE" w:rsidP="00B76821">
      <w:pPr>
        <w:pStyle w:val="berschrift5"/>
        <w:keepNext w:val="0"/>
        <w:spacing w:before="0" w:after="0"/>
        <w:rPr>
          <w:sz w:val="2"/>
        </w:rPr>
      </w:pPr>
    </w:p>
    <w:p w:rsidR="00BE1EFE" w:rsidRDefault="00BE1EFE" w:rsidP="0054243F">
      <w:pPr>
        <w:pStyle w:val="StandardWeb"/>
      </w:pPr>
      <w:r>
        <w:t>1. </w:t>
      </w:r>
      <w:r w:rsidR="00D22E61">
        <w:t>Die Bayer. Regional</w:t>
      </w:r>
      <w:r w:rsidRPr="000F60E2">
        <w:t>-KODA genehmigt das Statut für den kirchlichen Schulbeauftragten im Bistum Regensburg und die Ausführungsbestimmungen gem. Art. 4 Abs. 3, soweit arbeitsvertragsrechtliche Regelungen enthalten sind.</w:t>
      </w:r>
    </w:p>
    <w:p w:rsidR="00BE1EFE" w:rsidRDefault="00BE1EFE" w:rsidP="0054243F">
      <w:pPr>
        <w:pStyle w:val="StandardWeb"/>
      </w:pPr>
      <w:r>
        <w:t>2. </w:t>
      </w:r>
      <w:r w:rsidRPr="000F60E2">
        <w:t>Diese Regelung tritt rückwirkend zum 03. Juni 2001 in Kraft.</w:t>
      </w:r>
    </w:p>
    <w:p w:rsidR="00BE1EFE" w:rsidRPr="000F60E2" w:rsidRDefault="00BE1EFE" w:rsidP="0054243F">
      <w:pPr>
        <w:pStyle w:val="StandardWeb"/>
        <w:rPr>
          <w:szCs w:val="16"/>
        </w:rPr>
      </w:pPr>
    </w:p>
    <w:p w:rsidR="00BE1EFE" w:rsidRPr="001A11F1" w:rsidRDefault="00BE1EFE" w:rsidP="0054243F">
      <w:pPr>
        <w:pStyle w:val="StandardWeb"/>
        <w:rPr>
          <w:i/>
        </w:rPr>
      </w:pPr>
      <w:r w:rsidRPr="001A11F1">
        <w:rPr>
          <w:i/>
        </w:rPr>
        <w:t>(Beschluss vom 10./11.07.2001)</w:t>
      </w:r>
    </w:p>
    <w:p w:rsidR="00BE1EFE" w:rsidRDefault="00BE1EFE" w:rsidP="0062165B">
      <w:pPr>
        <w:pStyle w:val="berschrift4"/>
      </w:pPr>
      <w:bookmarkStart w:id="1148" w:name="_Toc523926664"/>
      <w:r>
        <w:t>F, 7. Neuregelung der Praktikumsvergütung für Vorpraktikanten in den Kindertagesstätten der Erzdiözese München und Freising</w:t>
      </w:r>
      <w:bookmarkEnd w:id="1148"/>
    </w:p>
    <w:p w:rsidR="00BE1EFE" w:rsidRPr="00B76821" w:rsidRDefault="00BE1EFE" w:rsidP="00B76821">
      <w:pPr>
        <w:pStyle w:val="berschrift5"/>
        <w:keepNext w:val="0"/>
        <w:spacing w:before="0" w:after="0"/>
        <w:rPr>
          <w:sz w:val="2"/>
        </w:rPr>
      </w:pPr>
    </w:p>
    <w:p w:rsidR="00BE1EFE" w:rsidRPr="001A11F1" w:rsidRDefault="00BE1EFE">
      <w:pPr>
        <w:pStyle w:val="StandardWeb"/>
        <w:rPr>
          <w:i/>
        </w:rPr>
      </w:pPr>
      <w:r w:rsidRPr="001A11F1">
        <w:rPr>
          <w:i/>
        </w:rPr>
        <w:t>(aufgehoben durch Beschluss der Bayerischen Regional-KODA vom 10./11.12. 2002)</w:t>
      </w:r>
    </w:p>
    <w:p w:rsidR="00BE1EFE" w:rsidRDefault="00BE1EFE" w:rsidP="0062165B">
      <w:pPr>
        <w:pStyle w:val="berschrift4"/>
      </w:pPr>
      <w:bookmarkStart w:id="1149" w:name="_Toc523926665"/>
      <w:r>
        <w:lastRenderedPageBreak/>
        <w:t>F, 8. Diözesane Ordnung für die Fortbildung, Weiterbildung, Zusatzausbildung der pädagogischen Fach- und Zweitkräfte in den Katholischen Tagesstätten für Kinder in der Diözese Augsburg</w:t>
      </w:r>
      <w:bookmarkEnd w:id="1149"/>
    </w:p>
    <w:p w:rsidR="00BE1EFE" w:rsidRPr="00B76821" w:rsidRDefault="00BE1EFE" w:rsidP="00B76821">
      <w:pPr>
        <w:pStyle w:val="berschrift5"/>
        <w:keepNext w:val="0"/>
        <w:spacing w:before="0" w:after="0"/>
        <w:rPr>
          <w:sz w:val="2"/>
        </w:rPr>
      </w:pPr>
    </w:p>
    <w:p w:rsidR="00BE1EFE" w:rsidRPr="007C264F" w:rsidRDefault="00BE1EFE">
      <w:pPr>
        <w:pStyle w:val="StandardWeb"/>
        <w:rPr>
          <w:i/>
        </w:rPr>
      </w:pPr>
      <w:r>
        <w:rPr>
          <w:i/>
        </w:rPr>
        <w:t>(außer Kraft getreten zum 31. August 2007</w:t>
      </w:r>
      <w:r w:rsidRPr="007C264F">
        <w:rPr>
          <w:i/>
        </w:rPr>
        <w:t>)</w:t>
      </w:r>
    </w:p>
    <w:p w:rsidR="00BE1EFE" w:rsidRPr="000B1AF8" w:rsidRDefault="00BE1EFE">
      <w:pPr>
        <w:pStyle w:val="StandardWeb"/>
      </w:pPr>
    </w:p>
    <w:p w:rsidR="00BE1EFE" w:rsidRDefault="00BE1EFE" w:rsidP="0062165B">
      <w:pPr>
        <w:pStyle w:val="berschrift4"/>
      </w:pPr>
      <w:bookmarkStart w:id="1150" w:name="_Toc523926666"/>
      <w:r>
        <w:t>F, 9. Sonderregelung zum Entgelt für Pastoralassistentinnen/ Pastoralassistenten im Vorbereitungsdienst in der Erzdiözese München und Freising</w:t>
      </w:r>
      <w:bookmarkEnd w:id="1150"/>
    </w:p>
    <w:p w:rsidR="00BE1EFE" w:rsidRPr="00B76821" w:rsidRDefault="00BE1EFE" w:rsidP="00B76821">
      <w:pPr>
        <w:pStyle w:val="berschrift5"/>
        <w:keepNext w:val="0"/>
        <w:spacing w:before="0" w:after="0"/>
        <w:rPr>
          <w:sz w:val="2"/>
        </w:rPr>
      </w:pPr>
    </w:p>
    <w:p w:rsidR="00BE1EFE" w:rsidRPr="000B1AF8" w:rsidRDefault="00BE1EFE">
      <w:pPr>
        <w:pStyle w:val="StandardWeb"/>
      </w:pPr>
      <w:r>
        <w:t xml:space="preserve">Pastoralassistentinnen/Pastoralassistenten im Vorbereitungsdienst werden abweichend von </w:t>
      </w:r>
      <w:hyperlink r:id="rId1758" w:history="1">
        <w:r>
          <w:rPr>
            <w:rStyle w:val="Hyperlink"/>
          </w:rPr>
          <w:t>§ </w:t>
        </w:r>
        <w:r w:rsidRPr="002D1F1D">
          <w:rPr>
            <w:rStyle w:val="Hyperlink"/>
          </w:rPr>
          <w:t>15 Absatz 2 ABD Teil A, 1.</w:t>
        </w:r>
      </w:hyperlink>
      <w:r>
        <w:t xml:space="preserve"> in eine spezielle Laufbahnentgeltgruppe „90% aus EG 11“1 eingruppiert.</w:t>
      </w:r>
    </w:p>
    <w:p w:rsidR="00BE1EFE" w:rsidRPr="000B1AF8" w:rsidRDefault="00BE1EFE">
      <w:pPr>
        <w:pStyle w:val="StandardWeb"/>
      </w:pPr>
    </w:p>
    <w:p w:rsidR="00BE1EFE" w:rsidRDefault="00BE1EFE" w:rsidP="002E7CF4">
      <w:pPr>
        <w:pStyle w:val="StandardWeb"/>
        <w:spacing w:after="60"/>
      </w:pPr>
      <w:r>
        <w:t>Die Entgeltgruppe „90% aus EG 11“ gestaltet sich derzeit wie folgt:</w:t>
      </w:r>
    </w:p>
    <w:tbl>
      <w:tblPr>
        <w:tblW w:w="5400" w:type="dxa"/>
        <w:jc w:val="center"/>
        <w:tblInd w:w="55" w:type="dxa"/>
        <w:tblCellMar>
          <w:left w:w="0" w:type="dxa"/>
          <w:right w:w="0" w:type="dxa"/>
        </w:tblCellMar>
        <w:tblLook w:val="04A0" w:firstRow="1" w:lastRow="0" w:firstColumn="1" w:lastColumn="0" w:noHBand="0" w:noVBand="1"/>
      </w:tblPr>
      <w:tblGrid>
        <w:gridCol w:w="1225"/>
        <w:gridCol w:w="760"/>
        <w:gridCol w:w="760"/>
        <w:gridCol w:w="760"/>
        <w:gridCol w:w="760"/>
        <w:gridCol w:w="760"/>
        <w:gridCol w:w="760"/>
      </w:tblGrid>
      <w:tr w:rsidR="00BE1EFE" w:rsidTr="00E87479">
        <w:trPr>
          <w:trHeight w:val="300"/>
          <w:jc w:val="center"/>
        </w:trPr>
        <w:tc>
          <w:tcPr>
            <w:tcW w:w="84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BE1EFE" w:rsidRPr="0006013E" w:rsidRDefault="00BE1EFE" w:rsidP="00394846">
            <w:pPr>
              <w:pStyle w:val="StandardWeb"/>
              <w:jc w:val="center"/>
              <w:rPr>
                <w:b/>
              </w:rPr>
            </w:pPr>
            <w:r w:rsidRPr="0006013E">
              <w:rPr>
                <w:b/>
              </w:rPr>
              <w:t>Entgeltgruppe</w:t>
            </w:r>
          </w:p>
        </w:tc>
        <w:tc>
          <w:tcPr>
            <w:tcW w:w="1520"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E1EFE" w:rsidRPr="0006013E" w:rsidRDefault="00BE1EFE" w:rsidP="00394846">
            <w:pPr>
              <w:pStyle w:val="StandardWeb"/>
              <w:jc w:val="center"/>
              <w:rPr>
                <w:b/>
              </w:rPr>
            </w:pPr>
            <w:r w:rsidRPr="0006013E">
              <w:rPr>
                <w:b/>
              </w:rPr>
              <w:t>Grundentgelt</w:t>
            </w:r>
          </w:p>
        </w:tc>
        <w:tc>
          <w:tcPr>
            <w:tcW w:w="3040" w:type="dxa"/>
            <w:gridSpan w:val="4"/>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BE1EFE" w:rsidRPr="0006013E" w:rsidRDefault="00BE1EFE" w:rsidP="00394846">
            <w:pPr>
              <w:pStyle w:val="StandardWeb"/>
              <w:jc w:val="center"/>
              <w:rPr>
                <w:b/>
              </w:rPr>
            </w:pPr>
            <w:r w:rsidRPr="0006013E">
              <w:rPr>
                <w:b/>
              </w:rPr>
              <w:t>Entwicklungsstufen</w:t>
            </w:r>
          </w:p>
        </w:tc>
      </w:tr>
      <w:tr w:rsidR="00BE1EFE" w:rsidTr="00E87479">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1EFE" w:rsidRPr="0006013E" w:rsidRDefault="00BE1EFE" w:rsidP="00394846">
            <w:pPr>
              <w:jc w:val="center"/>
              <w:rPr>
                <w:b/>
                <w:sz w:val="24"/>
              </w:rPr>
            </w:pP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Stufe 1</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Stufe 2</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Stufe 3</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Stufe 4</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Stufe 5</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Stufe 6</w:t>
            </w:r>
          </w:p>
        </w:tc>
      </w:tr>
      <w:tr w:rsidR="00BE1EFE" w:rsidTr="00E87479">
        <w:trPr>
          <w:trHeight w:val="300"/>
          <w:jc w:val="center"/>
        </w:trPr>
        <w:tc>
          <w:tcPr>
            <w:tcW w:w="8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BE1EFE" w:rsidRPr="0006013E" w:rsidRDefault="00BE1EFE" w:rsidP="00394846">
            <w:pPr>
              <w:pStyle w:val="StandardWeb"/>
              <w:jc w:val="center"/>
              <w:rPr>
                <w:b/>
              </w:rPr>
            </w:pPr>
            <w:r w:rsidRPr="0006013E">
              <w:rPr>
                <w:b/>
              </w:rPr>
              <w:t>90%/11</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2.187</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2.430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2.610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2.880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Pr="000B1AF8" w:rsidRDefault="00BE1EFE" w:rsidP="00394846">
            <w:pPr>
              <w:pStyle w:val="StandardWeb"/>
              <w:jc w:val="center"/>
            </w:pPr>
            <w:r>
              <w:t>3.272</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BE1EFE" w:rsidRDefault="00BE1EFE" w:rsidP="00394846">
            <w:pPr>
              <w:jc w:val="center"/>
              <w:rPr>
                <w:sz w:val="24"/>
              </w:rPr>
            </w:pPr>
          </w:p>
        </w:tc>
      </w:tr>
    </w:tbl>
    <w:p w:rsidR="00BE1EFE" w:rsidRDefault="00BE1EFE" w:rsidP="00277812">
      <w:pPr>
        <w:pStyle w:val="StandardWeb"/>
        <w:spacing w:before="60"/>
      </w:pPr>
    </w:p>
    <w:p w:rsidR="00BE1EFE" w:rsidRPr="007C264F" w:rsidRDefault="00BE1EFE" w:rsidP="00277812">
      <w:pPr>
        <w:pStyle w:val="StandardWeb"/>
        <w:spacing w:before="60"/>
        <w:rPr>
          <w:i/>
        </w:rPr>
      </w:pPr>
      <w:r w:rsidRPr="007C264F">
        <w:rPr>
          <w:i/>
        </w:rPr>
        <w:t>(Beschluss vom 13./14.02.2007 mit Inkraftsetzung zum 01.04.2007)</w:t>
      </w:r>
    </w:p>
    <w:p w:rsidR="00BE1EFE" w:rsidRDefault="00BE1EFE" w:rsidP="0062165B">
      <w:pPr>
        <w:pStyle w:val="berschrift4"/>
      </w:pPr>
      <w:bookmarkStart w:id="1151" w:name="_Toc523926667"/>
      <w:r>
        <w:t>F, 10. Sonderregelung zum Entgelt für Pastoralassistentinnen/ Pastoralassistenten im Vorbereitungsdienst in der Diözese Eichstätt</w:t>
      </w:r>
      <w:bookmarkEnd w:id="1151"/>
    </w:p>
    <w:p w:rsidR="00BE1EFE" w:rsidRPr="00B76821" w:rsidRDefault="00BE1EFE" w:rsidP="00B76821">
      <w:pPr>
        <w:pStyle w:val="berschrift5"/>
        <w:keepNext w:val="0"/>
        <w:spacing w:before="0" w:after="0"/>
        <w:rPr>
          <w:sz w:val="2"/>
        </w:rPr>
      </w:pPr>
    </w:p>
    <w:p w:rsidR="00BE1EFE" w:rsidRPr="007C264F" w:rsidRDefault="00BE1EFE">
      <w:pPr>
        <w:pStyle w:val="StandardWeb"/>
        <w:rPr>
          <w:i/>
        </w:rPr>
      </w:pPr>
      <w:r w:rsidRPr="007C264F">
        <w:rPr>
          <w:i/>
        </w:rPr>
        <w:t>(frei)</w:t>
      </w:r>
    </w:p>
    <w:p w:rsidR="00BE1EFE" w:rsidRPr="000B1AF8" w:rsidRDefault="00BE1EFE">
      <w:pPr>
        <w:pStyle w:val="StandardWeb"/>
      </w:pPr>
    </w:p>
    <w:p w:rsidR="00BE1EFE" w:rsidRDefault="00BE1EFE" w:rsidP="00993F28">
      <w:pPr>
        <w:pStyle w:val="berschrift4"/>
        <w:spacing w:before="240"/>
      </w:pPr>
      <w:bookmarkStart w:id="1152" w:name="_Toc523926668"/>
      <w:r>
        <w:t>F, 11. Sonderregelung zum Entgelt für Pastoralpraktikantinnen/ Pastoralpraktikanten in den Diözesen Regensburg, Passau und Würzburg</w:t>
      </w:r>
      <w:bookmarkEnd w:id="1152"/>
    </w:p>
    <w:p w:rsidR="00BE1EFE" w:rsidRPr="00B76821" w:rsidRDefault="00BE1EFE" w:rsidP="00B76821">
      <w:pPr>
        <w:pStyle w:val="berschrift5"/>
        <w:keepNext w:val="0"/>
        <w:spacing w:before="0" w:after="0"/>
        <w:rPr>
          <w:rStyle w:val="Fett"/>
          <w:bCs w:val="0"/>
          <w:sz w:val="2"/>
        </w:rPr>
      </w:pPr>
    </w:p>
    <w:p w:rsidR="00BE1EFE" w:rsidRPr="000B1AF8" w:rsidRDefault="00BE1EFE" w:rsidP="0054275E">
      <w:pPr>
        <w:pStyle w:val="StandardWeb"/>
        <w:autoSpaceDE w:val="0"/>
      </w:pPr>
      <w:r>
        <w:rPr>
          <w:rStyle w:val="Fett"/>
          <w:bCs/>
        </w:rPr>
        <w:t>– Diözese Regensburg</w:t>
      </w:r>
    </w:p>
    <w:p w:rsidR="00BE1EFE" w:rsidRPr="000B1AF8" w:rsidRDefault="00BE1EFE">
      <w:pPr>
        <w:pStyle w:val="StandardWeb"/>
      </w:pPr>
    </w:p>
    <w:p w:rsidR="00BE1EFE" w:rsidRDefault="00BE1EFE" w:rsidP="001A11F1">
      <w:pPr>
        <w:pStyle w:val="StandardWeb"/>
      </w:pPr>
      <w:r>
        <w:t>Pastoralpraktikanten (Pastoralassistenten i.V.) erhalten EG 11 zu 90 %. Pastoralassistenten erhalten EG 11 zu 100 %, Höhergruppierung in EG 13 ab dem 4. Dienstjahr. Die 2. Dienstprüfung findet nur alle zwei Jahre statt, also im 3. oder 4. Dienstjahr.</w:t>
      </w:r>
    </w:p>
    <w:p w:rsidR="00BE1EFE" w:rsidRDefault="00BE1EFE" w:rsidP="001A11F1">
      <w:pPr>
        <w:pStyle w:val="StandardWeb"/>
      </w:pPr>
    </w:p>
    <w:p w:rsidR="00BE1EFE" w:rsidRPr="001A11F1" w:rsidRDefault="00BE1EFE" w:rsidP="001A11F1">
      <w:pPr>
        <w:pStyle w:val="StandardWeb"/>
        <w:rPr>
          <w:i/>
        </w:rPr>
      </w:pPr>
      <w:r w:rsidRPr="001A11F1">
        <w:rPr>
          <w:i/>
        </w:rPr>
        <w:lastRenderedPageBreak/>
        <w:t>(Veröffentlicht im Amtsblatt für die Diözese Regenburg Nr. 9 vom 26.Oktober 2007 mit Inkraftsetzung zum 01.09.2007)</w:t>
      </w:r>
    </w:p>
    <w:p w:rsidR="00BE1EFE" w:rsidRDefault="00BE1EFE">
      <w:pPr>
        <w:pStyle w:val="StandardWeb"/>
      </w:pPr>
    </w:p>
    <w:p w:rsidR="00BE1EFE" w:rsidRDefault="00BE1EFE" w:rsidP="0054275E">
      <w:pPr>
        <w:pStyle w:val="StandardWeb"/>
        <w:autoSpaceDE w:val="0"/>
      </w:pPr>
      <w:r>
        <w:rPr>
          <w:rStyle w:val="Fett"/>
          <w:bCs/>
        </w:rPr>
        <w:t>– Diözese Passau</w:t>
      </w:r>
    </w:p>
    <w:p w:rsidR="00BE1EFE" w:rsidRDefault="00BE1EFE">
      <w:pPr>
        <w:pStyle w:val="StandardWeb"/>
      </w:pPr>
    </w:p>
    <w:p w:rsidR="00BE1EFE" w:rsidRDefault="00BE1EFE" w:rsidP="001A11F1">
      <w:pPr>
        <w:pStyle w:val="StandardWeb"/>
      </w:pPr>
      <w:r>
        <w:t>I. Pastoralassistentinnen/Pastoralassistenten im Vorbereitungsdienst in der Diözese Eichstätt und Pastoralpraktikantinnen/Pastoralpraktikanten in den Diözesen Regensburg, Passau und Würzburg werden abweichend von § 15 Absatz 2 Teil A, 1. in eine spezielle Laufbahnentgeltgruppe „90 % aus EG 11“</w:t>
      </w:r>
      <w:r w:rsidRPr="001A11F1">
        <w:rPr>
          <w:vertAlign w:val="superscript"/>
        </w:rPr>
        <w:t>1</w:t>
      </w:r>
      <w:r>
        <w:t xml:space="preserve"> eingruppiert.</w:t>
      </w:r>
    </w:p>
    <w:p w:rsidR="00BE1EFE" w:rsidRDefault="00BE1EFE" w:rsidP="001A11F1">
      <w:pPr>
        <w:pStyle w:val="StandardWeb"/>
      </w:pPr>
    </w:p>
    <w:p w:rsidR="00BE1EFE" w:rsidRDefault="00BE1EFE" w:rsidP="001A11F1">
      <w:pPr>
        <w:pStyle w:val="StandardWeb"/>
      </w:pPr>
      <w:r w:rsidRPr="001A11F1">
        <w:rPr>
          <w:vertAlign w:val="superscript"/>
        </w:rPr>
        <w:t>1</w:t>
      </w:r>
      <w:r>
        <w:t xml:space="preserve"> Die spezielle Laufbahnentgeltgruppe „90% aus EG 11“ gestaltet sich derzeit wie folgt:</w:t>
      </w:r>
    </w:p>
    <w:p w:rsidR="00BE1EFE" w:rsidRDefault="00BE1EFE" w:rsidP="001A11F1">
      <w:pPr>
        <w:pStyle w:val="StandardWeb"/>
      </w:pPr>
    </w:p>
    <w:tbl>
      <w:tblPr>
        <w:tblW w:w="5400" w:type="dxa"/>
        <w:jc w:val="center"/>
        <w:tblInd w:w="55" w:type="dxa"/>
        <w:tblCellMar>
          <w:left w:w="0" w:type="dxa"/>
          <w:right w:w="0" w:type="dxa"/>
        </w:tblCellMar>
        <w:tblLook w:val="04A0" w:firstRow="1" w:lastRow="0" w:firstColumn="1" w:lastColumn="0" w:noHBand="0" w:noVBand="1"/>
      </w:tblPr>
      <w:tblGrid>
        <w:gridCol w:w="1225"/>
        <w:gridCol w:w="760"/>
        <w:gridCol w:w="760"/>
        <w:gridCol w:w="760"/>
        <w:gridCol w:w="760"/>
        <w:gridCol w:w="760"/>
        <w:gridCol w:w="760"/>
      </w:tblGrid>
      <w:tr w:rsidR="00394D8A" w:rsidTr="00CA1C32">
        <w:trPr>
          <w:trHeight w:val="300"/>
          <w:jc w:val="center"/>
        </w:trPr>
        <w:tc>
          <w:tcPr>
            <w:tcW w:w="84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4D8A" w:rsidRPr="0006013E" w:rsidRDefault="00394D8A" w:rsidP="00CA1C32">
            <w:pPr>
              <w:pStyle w:val="StandardWeb"/>
              <w:jc w:val="center"/>
              <w:rPr>
                <w:b/>
              </w:rPr>
            </w:pPr>
            <w:r w:rsidRPr="0006013E">
              <w:rPr>
                <w:b/>
              </w:rPr>
              <w:t>Entgeltgruppe</w:t>
            </w:r>
          </w:p>
        </w:tc>
        <w:tc>
          <w:tcPr>
            <w:tcW w:w="1520"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394D8A" w:rsidRPr="0006013E" w:rsidRDefault="00394D8A" w:rsidP="00CA1C32">
            <w:pPr>
              <w:pStyle w:val="StandardWeb"/>
              <w:jc w:val="center"/>
              <w:rPr>
                <w:b/>
              </w:rPr>
            </w:pPr>
            <w:r w:rsidRPr="0006013E">
              <w:rPr>
                <w:b/>
              </w:rPr>
              <w:t>Grundentgelt</w:t>
            </w:r>
          </w:p>
        </w:tc>
        <w:tc>
          <w:tcPr>
            <w:tcW w:w="3040" w:type="dxa"/>
            <w:gridSpan w:val="4"/>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394D8A" w:rsidRPr="0006013E" w:rsidRDefault="00394D8A" w:rsidP="00CA1C32">
            <w:pPr>
              <w:pStyle w:val="StandardWeb"/>
              <w:jc w:val="center"/>
              <w:rPr>
                <w:b/>
              </w:rPr>
            </w:pPr>
            <w:r w:rsidRPr="0006013E">
              <w:rPr>
                <w:b/>
              </w:rPr>
              <w:t>Entwicklungsstufen</w:t>
            </w:r>
          </w:p>
        </w:tc>
      </w:tr>
      <w:tr w:rsidR="00394D8A" w:rsidTr="00CA1C32">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94D8A" w:rsidRPr="0006013E" w:rsidRDefault="00394D8A" w:rsidP="00CA1C32">
            <w:pPr>
              <w:jc w:val="center"/>
              <w:rPr>
                <w:b/>
                <w:sz w:val="24"/>
              </w:rPr>
            </w:pP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1</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2</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3</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4</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5</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6</w:t>
            </w:r>
          </w:p>
        </w:tc>
      </w:tr>
      <w:tr w:rsidR="00394D8A" w:rsidTr="00CA1C32">
        <w:trPr>
          <w:trHeight w:val="300"/>
          <w:jc w:val="center"/>
        </w:trPr>
        <w:tc>
          <w:tcPr>
            <w:tcW w:w="8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94D8A" w:rsidRPr="0006013E" w:rsidRDefault="00394D8A" w:rsidP="00CA1C32">
            <w:pPr>
              <w:pStyle w:val="StandardWeb"/>
              <w:jc w:val="center"/>
              <w:rPr>
                <w:b/>
              </w:rPr>
            </w:pPr>
            <w:r w:rsidRPr="0006013E">
              <w:rPr>
                <w:b/>
              </w:rPr>
              <w:t>90%/11</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2.187</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2.430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2.610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2.880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3.272</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394D8A" w:rsidRDefault="00394D8A" w:rsidP="00CA1C32">
            <w:pPr>
              <w:jc w:val="center"/>
              <w:rPr>
                <w:szCs w:val="16"/>
              </w:rPr>
            </w:pPr>
            <w:r w:rsidRPr="00394D8A">
              <w:rPr>
                <w:szCs w:val="16"/>
              </w:rPr>
              <w:t>3.452</w:t>
            </w:r>
          </w:p>
        </w:tc>
      </w:tr>
    </w:tbl>
    <w:p w:rsidR="00BE1EFE" w:rsidRDefault="00BE1EFE" w:rsidP="001A11F1">
      <w:pPr>
        <w:pStyle w:val="StandardWeb"/>
      </w:pPr>
    </w:p>
    <w:p w:rsidR="00BE1EFE" w:rsidRDefault="00BE1EFE" w:rsidP="001A11F1">
      <w:pPr>
        <w:pStyle w:val="StandardWeb"/>
      </w:pPr>
      <w:r>
        <w:t>II. Diese Regelung tritt zum 01.09.2007 in Kraft.</w:t>
      </w:r>
    </w:p>
    <w:p w:rsidR="00BE1EFE" w:rsidRDefault="00BE1EFE" w:rsidP="001A11F1">
      <w:pPr>
        <w:pStyle w:val="StandardWeb"/>
      </w:pPr>
    </w:p>
    <w:p w:rsidR="00BE1EFE" w:rsidRPr="001B2881" w:rsidRDefault="00BE1EFE" w:rsidP="001A11F1">
      <w:pPr>
        <w:pStyle w:val="StandardWeb"/>
        <w:rPr>
          <w:i/>
        </w:rPr>
      </w:pPr>
      <w:r w:rsidRPr="001A11F1">
        <w:rPr>
          <w:i/>
        </w:rPr>
        <w:t>(Veröffentlicht im Amtsblatt für das Bistum Passau Folge 10 vom 26.November 2007 mit</w:t>
      </w:r>
      <w:r>
        <w:rPr>
          <w:i/>
        </w:rPr>
        <w:t xml:space="preserve"> Inkraftsetzung zum 01.09.2007)</w:t>
      </w:r>
    </w:p>
    <w:p w:rsidR="00BE1EFE" w:rsidRDefault="00BE1EFE">
      <w:pPr>
        <w:pStyle w:val="StandardWeb"/>
      </w:pPr>
    </w:p>
    <w:p w:rsidR="00BE1EFE" w:rsidRDefault="00BE1EFE" w:rsidP="0054275E">
      <w:pPr>
        <w:pStyle w:val="StandardWeb"/>
        <w:autoSpaceDE w:val="0"/>
      </w:pPr>
      <w:r>
        <w:rPr>
          <w:rStyle w:val="Fett"/>
          <w:bCs/>
        </w:rPr>
        <w:t>– Diözese Würzburg</w:t>
      </w:r>
    </w:p>
    <w:p w:rsidR="00BE1EFE" w:rsidRDefault="00BE1EFE">
      <w:pPr>
        <w:pStyle w:val="StandardWeb"/>
      </w:pPr>
    </w:p>
    <w:p w:rsidR="00BE1EFE" w:rsidRDefault="00BE1EFE" w:rsidP="001A11F1">
      <w:pPr>
        <w:pStyle w:val="StandardWeb"/>
      </w:pPr>
      <w:r>
        <w:t>I. Pastoralassistentinnen/Pastoralassistenten im Vorbereitungsdienst in der Diözese Eichstätt und Pastoralpraktikantinnen/Pastoralpraktikanten in den Diözesen Regensburg, Passau und Würzburg werden abweichend von § 15 Absatz 2 Teil A, 1. in eine spezielle Laufbahnentgeltgruppe „90 % aus EG 11“</w:t>
      </w:r>
      <w:r w:rsidRPr="001A11F1">
        <w:rPr>
          <w:vertAlign w:val="superscript"/>
        </w:rPr>
        <w:t>1</w:t>
      </w:r>
      <w:r>
        <w:t xml:space="preserve"> eingruppiert.</w:t>
      </w:r>
    </w:p>
    <w:p w:rsidR="00BE1EFE" w:rsidRDefault="00BE1EFE" w:rsidP="001A11F1">
      <w:pPr>
        <w:pStyle w:val="StandardWeb"/>
      </w:pPr>
    </w:p>
    <w:p w:rsidR="00BE1EFE" w:rsidRDefault="00BE1EFE" w:rsidP="001A11F1">
      <w:pPr>
        <w:pStyle w:val="StandardWeb"/>
      </w:pPr>
      <w:r w:rsidRPr="001A11F1">
        <w:rPr>
          <w:vertAlign w:val="superscript"/>
        </w:rPr>
        <w:t>1</w:t>
      </w:r>
      <w:r>
        <w:t xml:space="preserve"> Die spezielle Laufbahnentgeltgruppe „90% aus EG 11“ gestaltet sich derzeit wie folgt:</w:t>
      </w:r>
    </w:p>
    <w:p w:rsidR="00BE1EFE" w:rsidRDefault="00BE1EFE" w:rsidP="001A11F1">
      <w:pPr>
        <w:pStyle w:val="StandardWeb"/>
      </w:pPr>
    </w:p>
    <w:tbl>
      <w:tblPr>
        <w:tblW w:w="5400" w:type="dxa"/>
        <w:jc w:val="center"/>
        <w:tblInd w:w="55" w:type="dxa"/>
        <w:tblCellMar>
          <w:left w:w="0" w:type="dxa"/>
          <w:right w:w="0" w:type="dxa"/>
        </w:tblCellMar>
        <w:tblLook w:val="04A0" w:firstRow="1" w:lastRow="0" w:firstColumn="1" w:lastColumn="0" w:noHBand="0" w:noVBand="1"/>
      </w:tblPr>
      <w:tblGrid>
        <w:gridCol w:w="1225"/>
        <w:gridCol w:w="760"/>
        <w:gridCol w:w="760"/>
        <w:gridCol w:w="760"/>
        <w:gridCol w:w="760"/>
        <w:gridCol w:w="760"/>
        <w:gridCol w:w="760"/>
      </w:tblGrid>
      <w:tr w:rsidR="00394D8A" w:rsidTr="00CA1C32">
        <w:trPr>
          <w:trHeight w:val="300"/>
          <w:jc w:val="center"/>
        </w:trPr>
        <w:tc>
          <w:tcPr>
            <w:tcW w:w="840" w:type="dxa"/>
            <w:vMerge w:val="restart"/>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394D8A" w:rsidRPr="0006013E" w:rsidRDefault="00394D8A" w:rsidP="00CA1C32">
            <w:pPr>
              <w:pStyle w:val="StandardWeb"/>
              <w:jc w:val="center"/>
              <w:rPr>
                <w:b/>
              </w:rPr>
            </w:pPr>
            <w:r w:rsidRPr="0006013E">
              <w:rPr>
                <w:b/>
              </w:rPr>
              <w:t>Entgeltgruppe</w:t>
            </w:r>
          </w:p>
        </w:tc>
        <w:tc>
          <w:tcPr>
            <w:tcW w:w="1520" w:type="dxa"/>
            <w:gridSpan w:val="2"/>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394D8A" w:rsidRPr="0006013E" w:rsidRDefault="00394D8A" w:rsidP="00CA1C32">
            <w:pPr>
              <w:pStyle w:val="StandardWeb"/>
              <w:jc w:val="center"/>
              <w:rPr>
                <w:b/>
              </w:rPr>
            </w:pPr>
            <w:r w:rsidRPr="0006013E">
              <w:rPr>
                <w:b/>
              </w:rPr>
              <w:t>Grundentgelt</w:t>
            </w:r>
          </w:p>
        </w:tc>
        <w:tc>
          <w:tcPr>
            <w:tcW w:w="3040" w:type="dxa"/>
            <w:gridSpan w:val="4"/>
            <w:tcBorders>
              <w:top w:val="single" w:sz="8" w:space="0" w:color="auto"/>
              <w:left w:val="nil"/>
              <w:bottom w:val="single" w:sz="8" w:space="0" w:color="auto"/>
              <w:right w:val="single" w:sz="8" w:space="0" w:color="auto"/>
            </w:tcBorders>
            <w:noWrap/>
            <w:tcMar>
              <w:top w:w="0" w:type="dxa"/>
              <w:left w:w="70" w:type="dxa"/>
              <w:bottom w:w="0" w:type="dxa"/>
              <w:right w:w="70" w:type="dxa"/>
            </w:tcMar>
            <w:vAlign w:val="center"/>
            <w:hideMark/>
          </w:tcPr>
          <w:p w:rsidR="00394D8A" w:rsidRPr="0006013E" w:rsidRDefault="00394D8A" w:rsidP="00CA1C32">
            <w:pPr>
              <w:pStyle w:val="StandardWeb"/>
              <w:jc w:val="center"/>
              <w:rPr>
                <w:b/>
              </w:rPr>
            </w:pPr>
            <w:r w:rsidRPr="0006013E">
              <w:rPr>
                <w:b/>
              </w:rPr>
              <w:t>Entwicklungsstufen</w:t>
            </w:r>
          </w:p>
        </w:tc>
      </w:tr>
      <w:tr w:rsidR="00394D8A" w:rsidTr="00CA1C32">
        <w:trPr>
          <w:trHeight w:val="300"/>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94D8A" w:rsidRPr="0006013E" w:rsidRDefault="00394D8A" w:rsidP="00CA1C32">
            <w:pPr>
              <w:jc w:val="center"/>
              <w:rPr>
                <w:b/>
                <w:sz w:val="24"/>
              </w:rPr>
            </w:pP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1</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2</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3</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4</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5</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Stufe 6</w:t>
            </w:r>
          </w:p>
        </w:tc>
      </w:tr>
      <w:tr w:rsidR="00394D8A" w:rsidTr="00CA1C32">
        <w:trPr>
          <w:trHeight w:val="300"/>
          <w:jc w:val="center"/>
        </w:trPr>
        <w:tc>
          <w:tcPr>
            <w:tcW w:w="84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394D8A" w:rsidRPr="0006013E" w:rsidRDefault="00394D8A" w:rsidP="00CA1C32">
            <w:pPr>
              <w:pStyle w:val="StandardWeb"/>
              <w:jc w:val="center"/>
              <w:rPr>
                <w:b/>
              </w:rPr>
            </w:pPr>
            <w:r w:rsidRPr="0006013E">
              <w:rPr>
                <w:b/>
              </w:rPr>
              <w:t>90%/11</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2.187</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2.430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2.610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2.880</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0B1AF8" w:rsidRDefault="00394D8A" w:rsidP="00CA1C32">
            <w:pPr>
              <w:pStyle w:val="StandardWeb"/>
              <w:jc w:val="center"/>
            </w:pPr>
            <w:r>
              <w:t>3.272</w:t>
            </w:r>
          </w:p>
        </w:tc>
        <w:tc>
          <w:tcPr>
            <w:tcW w:w="760"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394D8A" w:rsidRPr="00394D8A" w:rsidRDefault="00394D8A" w:rsidP="00CA1C32">
            <w:pPr>
              <w:jc w:val="center"/>
              <w:rPr>
                <w:szCs w:val="16"/>
              </w:rPr>
            </w:pPr>
            <w:r w:rsidRPr="00394D8A">
              <w:rPr>
                <w:szCs w:val="16"/>
              </w:rPr>
              <w:t>3.452</w:t>
            </w:r>
          </w:p>
        </w:tc>
      </w:tr>
    </w:tbl>
    <w:p w:rsidR="00BE1EFE" w:rsidRDefault="00BE1EFE" w:rsidP="001A11F1">
      <w:pPr>
        <w:pStyle w:val="StandardWeb"/>
      </w:pPr>
    </w:p>
    <w:p w:rsidR="00BE1EFE" w:rsidRDefault="00BE1EFE" w:rsidP="001A11F1">
      <w:pPr>
        <w:pStyle w:val="StandardWeb"/>
      </w:pPr>
      <w:r>
        <w:t>II. Diese Regelung tritt zum 01.09.2007 in Kraft.</w:t>
      </w:r>
    </w:p>
    <w:p w:rsidR="00BE1EFE" w:rsidRDefault="00BE1EFE" w:rsidP="00993F28">
      <w:pPr>
        <w:pStyle w:val="StandardWeb"/>
      </w:pPr>
    </w:p>
    <w:p w:rsidR="00BE1EFE" w:rsidRPr="001A11F1" w:rsidRDefault="00BE1EFE" w:rsidP="00993F28">
      <w:pPr>
        <w:pStyle w:val="StandardWeb"/>
        <w:rPr>
          <w:i/>
        </w:rPr>
      </w:pPr>
      <w:r w:rsidRPr="001A11F1">
        <w:rPr>
          <w:i/>
        </w:rPr>
        <w:t>(Veröffentlicht im Würzburger Diözesanblatt Nr. 19 vom 16.11.2007 mit Inkraftsetzung zum 1.9.2007)</w:t>
      </w:r>
    </w:p>
    <w:p w:rsidR="00BE1EFE" w:rsidRPr="00766F2C" w:rsidRDefault="00BE1EFE" w:rsidP="00766F2C">
      <w:pPr>
        <w:pStyle w:val="berschrift4"/>
      </w:pPr>
      <w:bookmarkStart w:id="1153" w:name="_Toc523926669"/>
      <w:r>
        <w:t>F, 1</w:t>
      </w:r>
      <w:r>
        <w:rPr>
          <w:lang w:eastAsia="x-none"/>
        </w:rPr>
        <w:t>2</w:t>
      </w:r>
      <w:r>
        <w:t xml:space="preserve">. </w:t>
      </w:r>
      <w:r w:rsidRPr="00766F2C">
        <w:t>Sonderregelung zum Entgelt für Religionslehrkräfte im Kirchendienst in der Diözese Augsburg</w:t>
      </w:r>
      <w:bookmarkEnd w:id="1153"/>
      <w:r w:rsidRPr="00766F2C">
        <w:t xml:space="preserve"> </w:t>
      </w:r>
    </w:p>
    <w:p w:rsidR="00BE1EFE" w:rsidRPr="00B76821" w:rsidRDefault="00BE1EFE" w:rsidP="00B76821">
      <w:pPr>
        <w:pStyle w:val="berschrift5"/>
        <w:keepNext w:val="0"/>
        <w:spacing w:before="0" w:after="0"/>
        <w:rPr>
          <w:sz w:val="2"/>
        </w:rPr>
      </w:pPr>
    </w:p>
    <w:p w:rsidR="00A303D9" w:rsidRDefault="00BE1EFE" w:rsidP="00F32499">
      <w:pPr>
        <w:pStyle w:val="StandardWeb"/>
      </w:pPr>
      <w:r w:rsidRPr="001350FB">
        <w:t xml:space="preserve">(veröffentlicht im Amtsblatt </w:t>
      </w:r>
      <w:r>
        <w:t xml:space="preserve">Nr. 11 für die </w:t>
      </w:r>
      <w:r w:rsidRPr="001350FB">
        <w:t>Diözese Augsburg</w:t>
      </w:r>
      <w:r>
        <w:t xml:space="preserve"> vom 7. November 2017, Seite 399 ff.</w:t>
      </w:r>
      <w:r w:rsidRPr="001350FB">
        <w:t>)</w:t>
      </w:r>
    </w:p>
    <w:p w:rsidR="00A303D9" w:rsidRDefault="00A303D9" w:rsidP="00F32499">
      <w:pPr>
        <w:pStyle w:val="StandardWeb"/>
      </w:pPr>
    </w:p>
    <w:p w:rsidR="00A303D9" w:rsidRDefault="00A303D9" w:rsidP="00F32499">
      <w:pPr>
        <w:pStyle w:val="StandardWeb"/>
      </w:pPr>
    </w:p>
    <w:p w:rsidR="00A303D9" w:rsidRDefault="00A303D9" w:rsidP="00F32499">
      <w:pPr>
        <w:pStyle w:val="StandardWeb"/>
      </w:pPr>
    </w:p>
    <w:p w:rsidR="00BE1EFE" w:rsidRPr="00F32499" w:rsidRDefault="00BE1EFE" w:rsidP="00F32499">
      <w:pPr>
        <w:pStyle w:val="StandardWeb"/>
        <w:rPr>
          <w:sz w:val="2"/>
          <w:szCs w:val="2"/>
        </w:rPr>
      </w:pPr>
    </w:p>
    <w:p w:rsidR="00BE1EFE" w:rsidRDefault="00BE1EFE" w:rsidP="00027A01">
      <w:pPr>
        <w:pStyle w:val="berschrift3"/>
        <w:spacing w:before="0"/>
        <w:rPr>
          <w:lang w:eastAsia="x-none"/>
        </w:rPr>
      </w:pPr>
      <w:bookmarkStart w:id="1154" w:name="_Toc523926670"/>
      <w:r>
        <w:rPr>
          <w:lang w:eastAsia="x-none"/>
        </w:rPr>
        <w:t>Teil G: Weitere Beschlüsse</w:t>
      </w:r>
      <w:bookmarkEnd w:id="1154"/>
    </w:p>
    <w:p w:rsidR="00BE1EFE" w:rsidRDefault="00BE1EFE" w:rsidP="00162622">
      <w:pPr>
        <w:pStyle w:val="berschrift4"/>
        <w:spacing w:before="240"/>
        <w:rPr>
          <w:lang w:eastAsia="x-none"/>
        </w:rPr>
      </w:pPr>
      <w:bookmarkStart w:id="1155" w:name="_Toc523926671"/>
      <w:r>
        <w:rPr>
          <w:lang w:eastAsia="x-none"/>
        </w:rPr>
        <w:t>G</w:t>
      </w:r>
      <w:r>
        <w:t xml:space="preserve">, 1. </w:t>
      </w:r>
      <w:r>
        <w:rPr>
          <w:lang w:eastAsia="x-none"/>
        </w:rPr>
        <w:t>Kinderbetreuungszuschuss</w:t>
      </w:r>
      <w:bookmarkEnd w:id="1155"/>
    </w:p>
    <w:p w:rsidR="00BE1EFE" w:rsidRPr="00B76821" w:rsidRDefault="00BE1EFE" w:rsidP="00162622">
      <w:pPr>
        <w:pStyle w:val="berschrift5"/>
        <w:keepNext w:val="0"/>
        <w:spacing w:before="0" w:after="0"/>
        <w:rPr>
          <w:sz w:val="2"/>
        </w:rPr>
      </w:pPr>
    </w:p>
    <w:p w:rsidR="00BE1EFE" w:rsidRPr="00AB57FE" w:rsidRDefault="00BE1EFE" w:rsidP="00162622">
      <w:pPr>
        <w:jc w:val="center"/>
        <w:rPr>
          <w:rFonts w:cs="Arial"/>
          <w:b/>
          <w:szCs w:val="16"/>
        </w:rPr>
      </w:pPr>
      <w:r w:rsidRPr="00AB57FE">
        <w:rPr>
          <w:rFonts w:cs="Arial"/>
          <w:b/>
          <w:szCs w:val="16"/>
        </w:rPr>
        <w:t>Empfehlung der Kommission für eine freiwillige Gewährung eines Kinderbetreuungszuschusses an alle Rechtsträger</w:t>
      </w:r>
    </w:p>
    <w:p w:rsidR="00BE1EFE" w:rsidRPr="00AB57FE" w:rsidRDefault="00BE1EFE" w:rsidP="00162622">
      <w:pPr>
        <w:jc w:val="both"/>
        <w:rPr>
          <w:rFonts w:cs="Arial"/>
          <w:b/>
          <w:szCs w:val="16"/>
        </w:rPr>
      </w:pPr>
    </w:p>
    <w:p w:rsidR="00BE1EFE" w:rsidRPr="00AB57FE" w:rsidRDefault="00BE1EFE" w:rsidP="00162622">
      <w:pPr>
        <w:jc w:val="both"/>
        <w:rPr>
          <w:rFonts w:cs="Arial"/>
          <w:szCs w:val="16"/>
        </w:rPr>
      </w:pPr>
      <w:r w:rsidRPr="00AB57FE">
        <w:rPr>
          <w:rFonts w:cs="Arial"/>
          <w:szCs w:val="16"/>
        </w:rPr>
        <w:t>Die Katholische Kirche als Dienstgeber fühlt sich in besonderer Weise der Förderung der Familie und der Vereinbarkeit von Beruf und Familie verpflichtet. In diesem Bereich sind schon wichtige Dinge umgesetzt worden. Es bestehen jedoch noch ungenutzte Handlungsspiel</w:t>
      </w:r>
      <w:r>
        <w:rPr>
          <w:rFonts w:cs="Arial"/>
          <w:szCs w:val="16"/>
        </w:rPr>
        <w:softHyphen/>
      </w:r>
      <w:r w:rsidRPr="00AB57FE">
        <w:rPr>
          <w:rFonts w:cs="Arial"/>
          <w:szCs w:val="16"/>
        </w:rPr>
        <w:t>räume.</w:t>
      </w:r>
    </w:p>
    <w:p w:rsidR="00BE1EFE" w:rsidRPr="00AB57FE" w:rsidRDefault="00BE1EFE" w:rsidP="00162622">
      <w:pPr>
        <w:jc w:val="both"/>
        <w:rPr>
          <w:rFonts w:cs="Arial"/>
          <w:szCs w:val="16"/>
        </w:rPr>
      </w:pPr>
      <w:r w:rsidRPr="00AB57FE">
        <w:rPr>
          <w:rFonts w:cs="Arial"/>
          <w:szCs w:val="16"/>
        </w:rPr>
        <w:t xml:space="preserve">Vor diesem Hintergrund empfiehlt die Kommission für das Arbeitsvertragsrecht der bayerischen Diözesen („Kommission“) den das ABD anwendenden Rechtsträgern, ihren Beschäftigten als freiwillige Leistung für Unterbringung, Betreuung und Verpflegung eines noch nicht schulpflichtigen Kindes in einer Kindertagesstätte oder einer vergleichbaren Einrichtung gem. § </w:t>
      </w:r>
      <w:r>
        <w:rPr>
          <w:rFonts w:cs="Arial"/>
          <w:szCs w:val="16"/>
        </w:rPr>
        <w:t>3 Nummer 33 EStG einen Kinderbe</w:t>
      </w:r>
      <w:r w:rsidRPr="00AB57FE">
        <w:rPr>
          <w:rFonts w:cs="Arial"/>
          <w:szCs w:val="16"/>
        </w:rPr>
        <w:t>treuungszuschuss zu gewähren.</w:t>
      </w:r>
    </w:p>
    <w:p w:rsidR="00BE1EFE" w:rsidRDefault="00BE1EFE" w:rsidP="00162622">
      <w:pPr>
        <w:jc w:val="both"/>
        <w:rPr>
          <w:rFonts w:cs="Arial"/>
          <w:szCs w:val="16"/>
        </w:rPr>
      </w:pPr>
      <w:r w:rsidRPr="00AB57FE">
        <w:rPr>
          <w:rFonts w:cs="Arial"/>
          <w:szCs w:val="16"/>
        </w:rPr>
        <w:t>Um die Umsetzung zu erleichtern, hält es die Kommission für sinnvoll, wenn die Diözesen geeignete Rahmenrichtlinien für ihren Bereich formulieren.</w:t>
      </w:r>
    </w:p>
    <w:p w:rsidR="00974C26" w:rsidRDefault="00974C26" w:rsidP="00162622">
      <w:pPr>
        <w:jc w:val="both"/>
        <w:rPr>
          <w:rFonts w:cs="Arial"/>
          <w:szCs w:val="16"/>
        </w:rPr>
      </w:pPr>
      <w:r>
        <w:rPr>
          <w:rFonts w:cs="Arial"/>
          <w:szCs w:val="16"/>
        </w:rPr>
        <w:br w:type="page"/>
      </w:r>
    </w:p>
    <w:p w:rsidR="00BE1EFE" w:rsidRDefault="00BE1EFE" w:rsidP="00162622">
      <w:pPr>
        <w:pStyle w:val="StandardWeb"/>
      </w:pPr>
      <w:r>
        <w:lastRenderedPageBreak/>
        <w:br w:type="page"/>
      </w:r>
    </w:p>
    <w:p w:rsidR="00BE1EFE" w:rsidRPr="00F32499" w:rsidRDefault="00BE1EFE" w:rsidP="00027A01">
      <w:pPr>
        <w:pStyle w:val="berschrift3"/>
        <w:spacing w:before="0"/>
      </w:pPr>
      <w:bookmarkStart w:id="1156" w:name="_Toc523926672"/>
      <w:r w:rsidRPr="00F32499">
        <w:lastRenderedPageBreak/>
        <w:t>Anhang: Beschluss der Freisinger Bischofskonferenz</w:t>
      </w:r>
      <w:bookmarkEnd w:id="1156"/>
    </w:p>
    <w:p w:rsidR="00BE1EFE" w:rsidRPr="00AF72AC" w:rsidRDefault="00BE1EFE" w:rsidP="00AF72AC">
      <w:pPr>
        <w:pStyle w:val="berschrift4"/>
        <w:spacing w:before="0" w:after="0"/>
        <w:rPr>
          <w:sz w:val="2"/>
          <w:szCs w:val="2"/>
        </w:rPr>
      </w:pPr>
    </w:p>
    <w:p w:rsidR="00BE1EFE" w:rsidRPr="00B76821" w:rsidRDefault="00BE1EFE" w:rsidP="00B76821">
      <w:pPr>
        <w:pStyle w:val="berschrift5"/>
        <w:keepNext w:val="0"/>
        <w:spacing w:before="0" w:after="0"/>
        <w:rPr>
          <w:sz w:val="2"/>
        </w:rPr>
      </w:pPr>
    </w:p>
    <w:p w:rsidR="00BE1EFE" w:rsidRPr="000B1AF8" w:rsidRDefault="00BE1EFE">
      <w:pPr>
        <w:pStyle w:val="StandardWeb"/>
      </w:pPr>
      <w:r>
        <w:t>Die Freisinger Bischofskonferenz hat am 14./15. März 2007 den folgenden Beschluss gefasst:</w:t>
      </w:r>
    </w:p>
    <w:p w:rsidR="00BE1EFE" w:rsidRPr="000B1AF8" w:rsidRDefault="00BE1EFE">
      <w:pPr>
        <w:pStyle w:val="StandardWeb"/>
      </w:pPr>
    </w:p>
    <w:p w:rsidR="00BE1EFE" w:rsidRDefault="00BE1EFE" w:rsidP="0054275E">
      <w:pPr>
        <w:pStyle w:val="StandardWeb"/>
        <w:autoSpaceDE w:val="0"/>
        <w:jc w:val="center"/>
      </w:pPr>
      <w:r>
        <w:rPr>
          <w:rStyle w:val="Fett"/>
          <w:bCs/>
        </w:rPr>
        <w:t xml:space="preserve">Erklärung zum Arbeitsvertragsrecht der Bayerischen (Erz-)Diözesen </w:t>
      </w:r>
    </w:p>
    <w:p w:rsidR="00BE1EFE" w:rsidRDefault="00BE1EFE">
      <w:pPr>
        <w:pStyle w:val="StandardWeb"/>
        <w:jc w:val="center"/>
      </w:pPr>
    </w:p>
    <w:p w:rsidR="00BE1EFE" w:rsidRDefault="00BE1EFE">
      <w:pPr>
        <w:pStyle w:val="StandardWeb"/>
      </w:pPr>
      <w:r>
        <w:t>I. Die bayerischen Bischöfe beauftragen die Bayerische Regional-KODA gemäß Art. 7 der Grundordnung des kirchlichen Dienstes im Rahmen kirchlicher Arbeitsverhältnisse mit der weiteren Gestaltung des auf der Grundlage der Tarifverträge des Öffentlichen Dienstes im Freistaat Bayern stehenden Arbeitsvertragsrechts der bayerischen (Erz-)Diözesen (ABD) als einheitliches, regionales und eigenständiges kirchliches Arbeitsvertragsrecht.</w:t>
      </w:r>
    </w:p>
    <w:p w:rsidR="00BE1EFE" w:rsidRDefault="00BE1EFE">
      <w:pPr>
        <w:pStyle w:val="StandardWeb"/>
      </w:pPr>
    </w:p>
    <w:p w:rsidR="00BE1EFE" w:rsidRDefault="00BE1EFE">
      <w:pPr>
        <w:pStyle w:val="StandardWeb"/>
      </w:pPr>
      <w:r>
        <w:t xml:space="preserve">II. Diese Erklärung tritt mit Wirkung vom 1. Juli 2007 an die Stelle der Grundlagenbeschlüsse der Freisinger Bischofskonferenz vom 22. März 1995 (Amtsblatt für das Erzbistum München und Freising 1997, Seite 174 f.). </w:t>
      </w:r>
    </w:p>
    <w:p w:rsidR="00A303D9" w:rsidRDefault="00A303D9">
      <w:pPr>
        <w:pStyle w:val="StandardWeb"/>
      </w:pPr>
      <w:r>
        <w:br w:type="page"/>
      </w:r>
    </w:p>
    <w:p w:rsidR="00BE1EFE" w:rsidRDefault="00BE1EFE">
      <w:pPr>
        <w:pStyle w:val="StandardWeb"/>
      </w:pPr>
      <w:r>
        <w:lastRenderedPageBreak/>
        <w:br w:type="page"/>
      </w:r>
    </w:p>
    <w:p w:rsidR="00BE1EFE" w:rsidRPr="00F32499" w:rsidRDefault="00BE1EFE" w:rsidP="00F32499">
      <w:pPr>
        <w:pStyle w:val="StandardWeb"/>
        <w:rPr>
          <w:sz w:val="2"/>
          <w:szCs w:val="2"/>
        </w:rPr>
      </w:pPr>
    </w:p>
    <w:p w:rsidR="00BE1EFE" w:rsidRDefault="00BE1EFE" w:rsidP="00027A01">
      <w:pPr>
        <w:pStyle w:val="berschrift3"/>
        <w:spacing w:before="0"/>
      </w:pPr>
      <w:bookmarkStart w:id="1157" w:name="_Toc523926673"/>
      <w:r>
        <w:t xml:space="preserve">Anhang I: </w:t>
      </w:r>
      <w:r w:rsidRPr="00631E37">
        <w:t>Beschlüsse</w:t>
      </w:r>
      <w:bookmarkEnd w:id="1157"/>
    </w:p>
    <w:p w:rsidR="00BE1EFE" w:rsidRPr="00B76821" w:rsidRDefault="00BE1EFE" w:rsidP="00B76821">
      <w:pPr>
        <w:pStyle w:val="berschrift4"/>
        <w:keepNext w:val="0"/>
        <w:spacing w:before="0" w:after="0"/>
        <w:rPr>
          <w:sz w:val="2"/>
        </w:rPr>
      </w:pPr>
    </w:p>
    <w:p w:rsidR="00BE1EFE" w:rsidRDefault="00BE1EFE" w:rsidP="00631E37">
      <w:pPr>
        <w:pStyle w:val="StandardWeb"/>
      </w:pPr>
      <w:r w:rsidRPr="00D61BCB">
        <w:t>Hinweis: Dies ist eine nicht-amtliche Version des jeweiligen Beschlusses. Es gelten die Veröffentlichungen in den jeweiligen Amtsblättern.</w:t>
      </w:r>
    </w:p>
    <w:p w:rsidR="00BE1EFE" w:rsidRPr="00D61BCB" w:rsidRDefault="00BE1EFE" w:rsidP="00631E37">
      <w:pPr>
        <w:pStyle w:val="StandardWeb"/>
      </w:pPr>
    </w:p>
    <w:p w:rsidR="00BE1EFE" w:rsidRPr="00281770" w:rsidRDefault="00BE1EFE" w:rsidP="00E60E45">
      <w:pPr>
        <w:pStyle w:val="berschrift4"/>
        <w:spacing w:before="0"/>
        <w:jc w:val="both"/>
      </w:pPr>
      <w:bookmarkStart w:id="1158" w:name="_Toc523926674"/>
      <w:r w:rsidRPr="00993F28">
        <w:t>Kommission für das Arbeitsvertragsrecht der bayerischen Diözesen</w:t>
      </w:r>
      <w:bookmarkEnd w:id="1158"/>
    </w:p>
    <w:p w:rsidR="00BE1EFE" w:rsidRDefault="00BE1EFE" w:rsidP="00E60E45">
      <w:pPr>
        <w:pStyle w:val="berschrift5"/>
      </w:pPr>
      <w:bookmarkStart w:id="1159" w:name="_Toc523926675"/>
      <w:r>
        <w:t>Beschlüsse 2018</w:t>
      </w:r>
      <w:bookmarkEnd w:id="1159"/>
    </w:p>
    <w:p w:rsidR="00BE1EFE" w:rsidRPr="003E6C2F" w:rsidRDefault="00BE1EFE" w:rsidP="003E6C2F">
      <w:pPr>
        <w:pStyle w:val="StandardWeb"/>
        <w:rPr>
          <w:b/>
        </w:rPr>
      </w:pPr>
      <w:r w:rsidRPr="003E6C2F">
        <w:rPr>
          <w:b/>
        </w:rPr>
        <w:t>Anlage 123</w:t>
      </w:r>
    </w:p>
    <w:p w:rsidR="00BE1EFE" w:rsidRDefault="00BE1EFE" w:rsidP="001B08D1">
      <w:pPr>
        <w:pStyle w:val="StandardWeb"/>
        <w:rPr>
          <w:b/>
        </w:rPr>
      </w:pPr>
    </w:p>
    <w:p w:rsidR="00BE1EFE" w:rsidRPr="00DE0136" w:rsidRDefault="00BE1EFE" w:rsidP="00D35E52">
      <w:pPr>
        <w:pStyle w:val="StandardWeb"/>
        <w:rPr>
          <w:b/>
        </w:rPr>
      </w:pPr>
      <w:r w:rsidRPr="00DE0136">
        <w:rPr>
          <w:b/>
        </w:rPr>
        <w:t>Beschlüsse der Kommission für das Arbeitsvertragsrech</w:t>
      </w:r>
      <w:r>
        <w:rPr>
          <w:b/>
        </w:rPr>
        <w:t>t der bayerischen Diözesen vom 20./21. Juni</w:t>
      </w:r>
      <w:r w:rsidRPr="00DE0136">
        <w:rPr>
          <w:b/>
        </w:rPr>
        <w:t xml:space="preserve"> 2018</w:t>
      </w:r>
    </w:p>
    <w:p w:rsidR="00BE1EFE" w:rsidRDefault="00BE1EFE" w:rsidP="001B08D1">
      <w:pPr>
        <w:pStyle w:val="StandardWeb"/>
        <w:rPr>
          <w:b/>
        </w:rPr>
      </w:pPr>
    </w:p>
    <w:p w:rsidR="00BE1EFE" w:rsidRDefault="00BE1EFE" w:rsidP="001B08D1">
      <w:pPr>
        <w:pStyle w:val="StandardWeb"/>
        <w:rPr>
          <w:b/>
        </w:rPr>
      </w:pPr>
    </w:p>
    <w:p w:rsidR="00BE1EFE" w:rsidRPr="00D35E52" w:rsidRDefault="00BE1EFE" w:rsidP="00D35E52">
      <w:pPr>
        <w:pStyle w:val="StandardWeb"/>
      </w:pPr>
      <w:r w:rsidRPr="00D35E52">
        <w:t>- § 18a ABD Teil A, 1. (Besondere Einmalzahlung)</w:t>
      </w:r>
    </w:p>
    <w:p w:rsidR="00BE1EFE" w:rsidRPr="00D35E52" w:rsidRDefault="00BE1EFE" w:rsidP="00D35E52">
      <w:pPr>
        <w:pStyle w:val="StandardWeb"/>
      </w:pPr>
      <w:r w:rsidRPr="00D35E52">
        <w:t>hier: Änderung des Absatzes 2</w:t>
      </w:r>
    </w:p>
    <w:p w:rsidR="00BE1EFE" w:rsidRPr="00D35E52" w:rsidRDefault="00BE1EFE" w:rsidP="00D35E52">
      <w:pPr>
        <w:pStyle w:val="StandardWeb"/>
        <w:jc w:val="right"/>
      </w:pPr>
      <w:r w:rsidRPr="00D35E52">
        <w:t>rückwirkend zum 1. Januar 2018</w:t>
      </w:r>
    </w:p>
    <w:p w:rsidR="00BE1EFE" w:rsidRPr="00D35E52" w:rsidRDefault="00BE1EFE" w:rsidP="00D35E52">
      <w:pPr>
        <w:pStyle w:val="StandardWeb"/>
      </w:pPr>
    </w:p>
    <w:p w:rsidR="00BE1EFE" w:rsidRPr="00D35E52" w:rsidRDefault="00BE1EFE" w:rsidP="00D35E52">
      <w:pPr>
        <w:pStyle w:val="StandardWeb"/>
      </w:pPr>
      <w:r w:rsidRPr="00D35E52">
        <w:t>- § 29 ABD Teil A, 1. (Arbeitsbefreiung)</w:t>
      </w:r>
    </w:p>
    <w:p w:rsidR="00BE1EFE" w:rsidRPr="00D35E52" w:rsidRDefault="00BE1EFE" w:rsidP="00D35E52">
      <w:pPr>
        <w:pStyle w:val="StandardWeb"/>
      </w:pPr>
      <w:r w:rsidRPr="00D35E52">
        <w:t>hier: Freistellung für Zwecke der Jugendarbeit</w:t>
      </w:r>
    </w:p>
    <w:p w:rsidR="00BE1EFE" w:rsidRPr="00D35E52" w:rsidRDefault="00BE1EFE" w:rsidP="00D35E52">
      <w:pPr>
        <w:pStyle w:val="StandardWeb"/>
        <w:jc w:val="right"/>
      </w:pPr>
      <w:r w:rsidRPr="00D35E52">
        <w:t xml:space="preserve">zum 1. September 2018 </w:t>
      </w:r>
    </w:p>
    <w:p w:rsidR="00BE1EFE" w:rsidRPr="00D35E52" w:rsidRDefault="00BE1EFE" w:rsidP="00D35E52">
      <w:pPr>
        <w:pStyle w:val="StandardWeb"/>
      </w:pPr>
    </w:p>
    <w:p w:rsidR="00BE1EFE" w:rsidRPr="00D35E52" w:rsidRDefault="00BE1EFE" w:rsidP="00D35E52">
      <w:pPr>
        <w:pStyle w:val="StandardWeb"/>
      </w:pPr>
      <w:r w:rsidRPr="00D35E52">
        <w:t>- ABD Teil A, 1. (Allgemeiner Teil)</w:t>
      </w:r>
    </w:p>
    <w:p w:rsidR="00BE1EFE" w:rsidRPr="00D35E52" w:rsidRDefault="00BE1EFE" w:rsidP="00D35E52">
      <w:pPr>
        <w:pStyle w:val="StandardWeb"/>
      </w:pPr>
      <w:r w:rsidRPr="00D35E52">
        <w:t>hier: Rechtsfolgen eines Arbeitgeberwechsels im Geltungsbereich</w:t>
      </w:r>
      <w:r w:rsidR="00CE16AD">
        <w:t xml:space="preserve"> </w:t>
      </w:r>
      <w:r w:rsidRPr="00D35E52">
        <w:t>des ABD</w:t>
      </w:r>
    </w:p>
    <w:p w:rsidR="00BE1EFE" w:rsidRPr="00D35E52" w:rsidRDefault="00BE1EFE" w:rsidP="00D35E52">
      <w:pPr>
        <w:pStyle w:val="StandardWeb"/>
        <w:jc w:val="right"/>
      </w:pPr>
      <w:r w:rsidRPr="00D35E52">
        <w:t xml:space="preserve">rückwirkend zum 1. Januar 2017 </w:t>
      </w:r>
    </w:p>
    <w:p w:rsidR="00BE1EFE" w:rsidRPr="00D35E52" w:rsidRDefault="00BE1EFE" w:rsidP="00D35E52">
      <w:pPr>
        <w:pStyle w:val="StandardWeb"/>
      </w:pPr>
    </w:p>
    <w:p w:rsidR="00BE1EFE" w:rsidRPr="00D35E52" w:rsidRDefault="00BE1EFE" w:rsidP="00D35E52">
      <w:pPr>
        <w:pStyle w:val="StandardWeb"/>
      </w:pPr>
      <w:r w:rsidRPr="00D35E52">
        <w:t>- ABD Teil A, 2.1. (Grundsätzliche Eingruppierungsregelungen [Vorbemerkungen])</w:t>
      </w:r>
    </w:p>
    <w:p w:rsidR="00BE1EFE" w:rsidRPr="00D35E52" w:rsidRDefault="00BE1EFE" w:rsidP="00D35E52">
      <w:pPr>
        <w:pStyle w:val="StandardWeb"/>
      </w:pPr>
      <w:r w:rsidRPr="00D35E52">
        <w:t>hier: Änderungen</w:t>
      </w:r>
    </w:p>
    <w:p w:rsidR="00BE1EFE" w:rsidRPr="00D35E52" w:rsidRDefault="00BE1EFE" w:rsidP="00D35E52">
      <w:pPr>
        <w:pStyle w:val="StandardWeb"/>
        <w:jc w:val="right"/>
      </w:pPr>
      <w:r w:rsidRPr="00D35E52">
        <w:t xml:space="preserve">zum 1. September 2018 </w:t>
      </w:r>
    </w:p>
    <w:p w:rsidR="00BE1EFE" w:rsidRPr="00D35E52" w:rsidRDefault="00BE1EFE" w:rsidP="00D35E52">
      <w:pPr>
        <w:pStyle w:val="StandardWeb"/>
      </w:pPr>
    </w:p>
    <w:p w:rsidR="00BE1EFE" w:rsidRPr="00D35E52" w:rsidRDefault="00BE1EFE" w:rsidP="00D35E52">
      <w:pPr>
        <w:pStyle w:val="StandardWeb"/>
      </w:pPr>
      <w:r w:rsidRPr="00D35E52">
        <w:t>- ABD Teil A, 2.12. (Entgeltordnung für Beschäftigte im Pfarrbüro)</w:t>
      </w:r>
    </w:p>
    <w:p w:rsidR="00BE1EFE" w:rsidRPr="00D35E52" w:rsidRDefault="00BE1EFE" w:rsidP="00D35E52">
      <w:pPr>
        <w:pStyle w:val="StandardWeb"/>
      </w:pPr>
      <w:r w:rsidRPr="00D35E52">
        <w:t>hier: Aufnahme der Tätigkeitsmerkmale gemäß EG 3 und EG 5 für Beschäftigte im Pfarrbüro</w:t>
      </w:r>
    </w:p>
    <w:p w:rsidR="00BE1EFE" w:rsidRPr="00D35E52" w:rsidRDefault="00BE1EFE" w:rsidP="00D35E52">
      <w:pPr>
        <w:pStyle w:val="StandardWeb"/>
        <w:jc w:val="right"/>
      </w:pPr>
      <w:r w:rsidRPr="00D35E52">
        <w:t xml:space="preserve">zum 1. August 2018 </w:t>
      </w:r>
    </w:p>
    <w:p w:rsidR="00BE1EFE" w:rsidRPr="00D35E52" w:rsidRDefault="00BE1EFE" w:rsidP="00D35E52">
      <w:pPr>
        <w:pStyle w:val="StandardWeb"/>
      </w:pPr>
    </w:p>
    <w:p w:rsidR="00BE1EFE" w:rsidRPr="00D35E52" w:rsidRDefault="00BE1EFE" w:rsidP="00D35E52">
      <w:pPr>
        <w:pStyle w:val="StandardWeb"/>
      </w:pPr>
      <w:r w:rsidRPr="00D35E52">
        <w:t xml:space="preserve">- ABD Teil B, 4.1. </w:t>
      </w:r>
    </w:p>
    <w:p w:rsidR="00BE1EFE" w:rsidRPr="00D35E52" w:rsidRDefault="00BE1EFE" w:rsidP="00D35E52">
      <w:pPr>
        <w:pStyle w:val="StandardWeb"/>
      </w:pPr>
      <w:r w:rsidRPr="00D35E52">
        <w:t>(Sonderregelungen für die Arbeitsverhältnisse arbeit</w:t>
      </w:r>
      <w:r>
        <w:t>svertraglich beschäftigter Lehr</w:t>
      </w:r>
      <w:r w:rsidRPr="00D35E52">
        <w:t>kräfte an Schulen in kirchlicher Trägerschaft)</w:t>
      </w:r>
    </w:p>
    <w:p w:rsidR="00BE1EFE" w:rsidRPr="00D35E52" w:rsidRDefault="00BE1EFE" w:rsidP="00D35E52">
      <w:pPr>
        <w:pStyle w:val="StandardWeb"/>
      </w:pPr>
      <w:r w:rsidRPr="00D35E52">
        <w:t>hier: Sonderurlaub aus familienpolitischen Gründen</w:t>
      </w:r>
    </w:p>
    <w:p w:rsidR="00BE1EFE" w:rsidRPr="00D35E52" w:rsidRDefault="00BE1EFE" w:rsidP="00D35E52">
      <w:pPr>
        <w:pStyle w:val="StandardWeb"/>
        <w:jc w:val="right"/>
      </w:pPr>
      <w:r w:rsidRPr="00D35E52">
        <w:t>zum 1. August 2018</w:t>
      </w:r>
    </w:p>
    <w:p w:rsidR="00BE1EFE" w:rsidRPr="00D35E52" w:rsidRDefault="00BE1EFE" w:rsidP="00D35E52">
      <w:pPr>
        <w:pStyle w:val="StandardWeb"/>
      </w:pPr>
    </w:p>
    <w:p w:rsidR="00BE1EFE" w:rsidRPr="00D35E52" w:rsidRDefault="00BE1EFE" w:rsidP="00D35E52">
      <w:pPr>
        <w:pStyle w:val="StandardWeb"/>
      </w:pPr>
      <w:r w:rsidRPr="00D35E52">
        <w:t>- ABD Teil B, 4.1.1. (Sonderregelungen für die Arbeitsverhältnisse von Lehrkräften an Realschulen und Gymnasien)</w:t>
      </w:r>
    </w:p>
    <w:p w:rsidR="00BE1EFE" w:rsidRPr="00D35E52" w:rsidRDefault="00BE1EFE" w:rsidP="00D35E52">
      <w:pPr>
        <w:pStyle w:val="StandardWeb"/>
      </w:pPr>
      <w:r w:rsidRPr="00D35E52">
        <w:t>hier: Anrechnungsstunden für Schulpsychologen</w:t>
      </w:r>
    </w:p>
    <w:p w:rsidR="00BE1EFE" w:rsidRDefault="00BE1EFE" w:rsidP="00D35E52">
      <w:pPr>
        <w:pStyle w:val="StandardWeb"/>
        <w:jc w:val="right"/>
      </w:pPr>
      <w:r w:rsidRPr="00D35E52">
        <w:t>zum 1. August 2018</w:t>
      </w:r>
    </w:p>
    <w:p w:rsidR="00C07D17" w:rsidRDefault="00C07D17" w:rsidP="00D35E52">
      <w:pPr>
        <w:pStyle w:val="StandardWeb"/>
        <w:jc w:val="right"/>
      </w:pPr>
      <w:r>
        <w:br w:type="page"/>
      </w:r>
    </w:p>
    <w:p w:rsidR="00BE1EFE" w:rsidRDefault="00BE1EFE" w:rsidP="001B08D1">
      <w:pPr>
        <w:pStyle w:val="StandardWeb"/>
      </w:pPr>
    </w:p>
    <w:p w:rsidR="00BE1EFE" w:rsidRDefault="00BE1EFE" w:rsidP="001B08D1">
      <w:pPr>
        <w:pStyle w:val="StandardWeb"/>
      </w:pPr>
      <w:r w:rsidRPr="0070374D">
        <w:rPr>
          <w:b/>
        </w:rPr>
        <w:t>Anlage 122</w:t>
      </w:r>
      <w:r>
        <w:t xml:space="preserve"> </w:t>
      </w:r>
      <w:hyperlink r:id="rId1759" w:history="1">
        <w:r w:rsidRPr="00B80578">
          <w:rPr>
            <w:rStyle w:val="Hyperlink"/>
          </w:rPr>
          <w:t>[herunterladen]</w:t>
        </w:r>
      </w:hyperlink>
    </w:p>
    <w:p w:rsidR="00BE1EFE" w:rsidRPr="00DE0136" w:rsidRDefault="00BE1EFE" w:rsidP="00DE0136">
      <w:pPr>
        <w:pStyle w:val="StandardWeb"/>
        <w:rPr>
          <w:b/>
        </w:rPr>
      </w:pPr>
      <w:r w:rsidRPr="00DE0136">
        <w:rPr>
          <w:b/>
        </w:rPr>
        <w:t>Beschlüsse der Kommission für das Arbeitsvertragsrecht der bayerischen Diözesen vom 7./8. März 2018</w:t>
      </w:r>
    </w:p>
    <w:p w:rsidR="00BE1EFE" w:rsidRPr="002C170B" w:rsidRDefault="00BE1EFE" w:rsidP="0070374D">
      <w:pPr>
        <w:pStyle w:val="StandardWeb"/>
      </w:pPr>
    </w:p>
    <w:p w:rsidR="00BE1EFE" w:rsidRPr="002C170B" w:rsidRDefault="00BE1EFE" w:rsidP="00DE0136">
      <w:pPr>
        <w:pStyle w:val="StandardWeb"/>
      </w:pPr>
      <w:r>
        <w:t xml:space="preserve">- </w:t>
      </w:r>
      <w:r w:rsidRPr="002C170B">
        <w:t>ABD Teil A. 1. (Allgemeiner Teil)</w:t>
      </w:r>
    </w:p>
    <w:p w:rsidR="00BE1EFE" w:rsidRPr="002C170B" w:rsidRDefault="00BE1EFE" w:rsidP="00DE0136">
      <w:pPr>
        <w:pStyle w:val="StandardWeb"/>
      </w:pPr>
      <w:r w:rsidRPr="002C170B">
        <w:t>hier: Umsetzung des Änderungstarifvertrags Nr. 14 vom 7. Februar 2017 zum Tarifvertrag für den öffentlichen Dienst (TVöD) vom 13. September 2005</w:t>
      </w:r>
    </w:p>
    <w:p w:rsidR="00BE1EFE" w:rsidRPr="002C170B" w:rsidRDefault="00BE1EFE" w:rsidP="00DE0136">
      <w:pPr>
        <w:pStyle w:val="StandardWeb"/>
        <w:jc w:val="right"/>
      </w:pPr>
      <w:r w:rsidRPr="002C170B">
        <w:t>verschiedene Inkraftsetzungsdaten</w:t>
      </w:r>
    </w:p>
    <w:p w:rsidR="00BE1EFE" w:rsidRPr="002C170B" w:rsidRDefault="00BE1EFE" w:rsidP="00DE0136">
      <w:pPr>
        <w:pStyle w:val="StandardWeb"/>
      </w:pPr>
    </w:p>
    <w:p w:rsidR="00BE1EFE" w:rsidRPr="002C170B" w:rsidRDefault="00BE1EFE" w:rsidP="00DE0136">
      <w:pPr>
        <w:pStyle w:val="StandardWeb"/>
      </w:pPr>
      <w:r>
        <w:t>- </w:t>
      </w:r>
      <w:r w:rsidRPr="002C170B">
        <w:t>ABD Teil A. 1. (Allgemeiner Teil)</w:t>
      </w:r>
    </w:p>
    <w:p w:rsidR="00BE1EFE" w:rsidRPr="002C170B" w:rsidRDefault="00BE1EFE" w:rsidP="00DE0136">
      <w:pPr>
        <w:pStyle w:val="StandardWeb"/>
      </w:pPr>
      <w:r w:rsidRPr="002C170B">
        <w:t>hier: Umsetzung des Änderungstarifvertrags Nr. 24 vom 17. Juni 2017 zum Tarifvertrag für den öffentlichen Dienst (TVöD) – Besonderer Teil Verwaltung – (BT-V) vom 13. September 2005</w:t>
      </w:r>
    </w:p>
    <w:p w:rsidR="00BE1EFE" w:rsidRPr="002C170B" w:rsidRDefault="00BE1EFE" w:rsidP="00DE0136">
      <w:pPr>
        <w:pStyle w:val="StandardWeb"/>
        <w:jc w:val="right"/>
      </w:pPr>
      <w:r w:rsidRPr="002C170B">
        <w:t>zum 1. März 2017</w:t>
      </w:r>
    </w:p>
    <w:p w:rsidR="00BE1EFE" w:rsidRPr="002C170B" w:rsidRDefault="00BE1EFE" w:rsidP="00DE0136">
      <w:pPr>
        <w:pStyle w:val="StandardWeb"/>
      </w:pPr>
    </w:p>
    <w:p w:rsidR="00BE1EFE" w:rsidRPr="002C170B" w:rsidRDefault="00BE1EFE" w:rsidP="00DE0136">
      <w:pPr>
        <w:pStyle w:val="StandardWeb"/>
      </w:pPr>
      <w:r>
        <w:t>- </w:t>
      </w:r>
      <w:r w:rsidRPr="002C170B">
        <w:t>ABD Teil A. 1. (Allgemeiner Teil)</w:t>
      </w:r>
    </w:p>
    <w:p w:rsidR="00BE1EFE" w:rsidRPr="002C170B" w:rsidRDefault="00BE1EFE" w:rsidP="00DE0136">
      <w:pPr>
        <w:pStyle w:val="StandardWeb"/>
      </w:pPr>
      <w:r w:rsidRPr="002C170B">
        <w:t>hier: Umsetzung des Änderungstarifvertrags Nr. 15 vom 17. Juli 2017 zum Tarifvertrag für den öffentlichen Dienst (TVöD) vom 13. September 2005</w:t>
      </w:r>
    </w:p>
    <w:p w:rsidR="00BE1EFE" w:rsidRPr="002C170B" w:rsidRDefault="00BE1EFE" w:rsidP="00DE0136">
      <w:pPr>
        <w:pStyle w:val="StandardWeb"/>
        <w:jc w:val="right"/>
      </w:pPr>
      <w:r w:rsidRPr="002C170B">
        <w:t>zum 1. April 2017</w:t>
      </w:r>
    </w:p>
    <w:p w:rsidR="00BE1EFE" w:rsidRPr="002C170B" w:rsidRDefault="00BE1EFE" w:rsidP="00DE0136">
      <w:pPr>
        <w:pStyle w:val="StandardWeb"/>
      </w:pPr>
    </w:p>
    <w:p w:rsidR="00BE1EFE" w:rsidRPr="002C170B" w:rsidRDefault="00BE1EFE" w:rsidP="00DE0136">
      <w:pPr>
        <w:pStyle w:val="StandardWeb"/>
      </w:pPr>
      <w:r>
        <w:t>- </w:t>
      </w:r>
      <w:r w:rsidRPr="002C170B">
        <w:t>ABD Teil A. 3. (Regelung zur Überleitung der Beschäftigten und des Übergangsrechts)</w:t>
      </w:r>
    </w:p>
    <w:p w:rsidR="00BE1EFE" w:rsidRPr="002C170B" w:rsidRDefault="00BE1EFE" w:rsidP="00DE0136">
      <w:pPr>
        <w:pStyle w:val="StandardWeb"/>
      </w:pPr>
      <w:r w:rsidRPr="002C170B">
        <w:t>hier: Umsetzung des Änderungstarifvertrags Nr. 13 vom 7. Februar 2017 zum Tarifvertrag zur Überleitung der Beschäftigten der kommunalen Arbeitgeber in den TVöD und zur Regelung des Übergangsrechts (TVÜ-VKA) vom</w:t>
      </w:r>
      <w:r>
        <w:t xml:space="preserve"> 13. Septem</w:t>
      </w:r>
      <w:r w:rsidRPr="002C170B">
        <w:t xml:space="preserve">ber 2005 </w:t>
      </w:r>
    </w:p>
    <w:p w:rsidR="00BE1EFE" w:rsidRPr="002C170B" w:rsidRDefault="00BE1EFE" w:rsidP="00DE0136">
      <w:pPr>
        <w:pStyle w:val="StandardWeb"/>
      </w:pPr>
      <w:r w:rsidRPr="002C170B">
        <w:t>zum 1. März 2018</w:t>
      </w:r>
    </w:p>
    <w:p w:rsidR="00BE1EFE" w:rsidRPr="002C170B" w:rsidRDefault="00BE1EFE" w:rsidP="00DE0136">
      <w:pPr>
        <w:pStyle w:val="StandardWeb"/>
      </w:pPr>
    </w:p>
    <w:p w:rsidR="00BE1EFE" w:rsidRPr="002C170B" w:rsidRDefault="00BE1EFE" w:rsidP="00DE0136">
      <w:pPr>
        <w:pStyle w:val="StandardWeb"/>
      </w:pPr>
      <w:r>
        <w:t>- </w:t>
      </w:r>
      <w:r w:rsidRPr="002C170B">
        <w:t>ABD Teil A. 3. (Regelung zur Überleitung der Beschäftigten und des Übergangsrechts)</w:t>
      </w:r>
    </w:p>
    <w:p w:rsidR="00BE1EFE" w:rsidRPr="002C170B" w:rsidRDefault="00BE1EFE" w:rsidP="00DE0136">
      <w:pPr>
        <w:pStyle w:val="StandardWeb"/>
      </w:pPr>
      <w:r w:rsidRPr="002C170B">
        <w:t>hier: Umsetzung des Änderungstarifvertrags Nr. 14 vom 17. Juli 2017 zum Tarifvertrag zur Überleitung der Beschäftigten der kommunalen Arbeitgeber in den TVöD und zur Regelung des Übergangs</w:t>
      </w:r>
      <w:r>
        <w:t>rechts (TVÜ-VKA) vom 13. Septem</w:t>
      </w:r>
      <w:r w:rsidRPr="002C170B">
        <w:t xml:space="preserve">ber 2005 </w:t>
      </w:r>
    </w:p>
    <w:p w:rsidR="00BE1EFE" w:rsidRPr="002C170B" w:rsidRDefault="00BE1EFE" w:rsidP="00DE0136">
      <w:pPr>
        <w:pStyle w:val="StandardWeb"/>
        <w:jc w:val="right"/>
      </w:pPr>
      <w:r w:rsidRPr="002C170B">
        <w:t>zum 1. Januar 2017</w:t>
      </w:r>
    </w:p>
    <w:p w:rsidR="00BE1EFE" w:rsidRPr="002C170B" w:rsidRDefault="00BE1EFE" w:rsidP="00DE0136">
      <w:pPr>
        <w:pStyle w:val="StandardWeb"/>
      </w:pPr>
    </w:p>
    <w:p w:rsidR="00BE1EFE" w:rsidRPr="002C170B" w:rsidRDefault="00BE1EFE" w:rsidP="00DE0136">
      <w:pPr>
        <w:pStyle w:val="StandardWeb"/>
      </w:pPr>
      <w:r>
        <w:t>- </w:t>
      </w:r>
      <w:r w:rsidRPr="002C170B">
        <w:t xml:space="preserve">ABD Teil B, 4.1.1. (Sonderregelungen für die Arbeitsverhältnisse von Lehrkräften an Realschulen und Gymnasien) </w:t>
      </w:r>
    </w:p>
    <w:p w:rsidR="00BE1EFE" w:rsidRPr="002C170B" w:rsidRDefault="00BE1EFE" w:rsidP="00DE0136">
      <w:pPr>
        <w:pStyle w:val="StandardWeb"/>
      </w:pPr>
      <w:r w:rsidRPr="002C170B">
        <w:t>und</w:t>
      </w:r>
    </w:p>
    <w:p w:rsidR="00BE1EFE" w:rsidRPr="002C170B" w:rsidRDefault="00BE1EFE" w:rsidP="00DE0136">
      <w:pPr>
        <w:pStyle w:val="StandardWeb"/>
      </w:pPr>
      <w:r w:rsidRPr="002C170B">
        <w:t>ABD Teil B, 4.1.3. (Sonderregelungen für die Arbeitsverhältnisse von Lehrkräften an Grund- und Mittelschulen)</w:t>
      </w:r>
    </w:p>
    <w:p w:rsidR="00BE1EFE" w:rsidRPr="002C170B" w:rsidRDefault="00BE1EFE" w:rsidP="00DE0136">
      <w:pPr>
        <w:pStyle w:val="StandardWeb"/>
      </w:pPr>
      <w:r w:rsidRPr="002C170B">
        <w:t>hier: Redaktionelle Änderungen</w:t>
      </w:r>
    </w:p>
    <w:p w:rsidR="00BE1EFE" w:rsidRPr="002C170B" w:rsidRDefault="00BE1EFE" w:rsidP="00DE0136">
      <w:pPr>
        <w:pStyle w:val="StandardWeb"/>
        <w:jc w:val="right"/>
      </w:pPr>
      <w:r w:rsidRPr="002C170B">
        <w:t>zum 1. Januar 2018</w:t>
      </w:r>
    </w:p>
    <w:p w:rsidR="00BE1EFE" w:rsidRPr="002C170B" w:rsidRDefault="00BE1EFE" w:rsidP="00DE0136">
      <w:pPr>
        <w:pStyle w:val="StandardWeb"/>
      </w:pPr>
    </w:p>
    <w:p w:rsidR="00BE1EFE" w:rsidRPr="002C170B" w:rsidRDefault="00BE1EFE" w:rsidP="00DE0136">
      <w:pPr>
        <w:pStyle w:val="StandardWeb"/>
      </w:pPr>
      <w:r>
        <w:t>- </w:t>
      </w:r>
      <w:r w:rsidRPr="002C170B">
        <w:t>ABD Teil D. 10a. (Ordnung über die betriebliche Altersversorgung der bei der Bayerischen Versorgungskammer - Zusatzversorgungskasse der bayerischen Gemeinden - versicherten Beschäftigten im kirchlichen Dienst)</w:t>
      </w:r>
    </w:p>
    <w:p w:rsidR="00BE1EFE" w:rsidRPr="002C170B" w:rsidRDefault="00BE1EFE" w:rsidP="00DE0136">
      <w:pPr>
        <w:pStyle w:val="StandardWeb"/>
      </w:pPr>
      <w:r w:rsidRPr="002C170B">
        <w:t xml:space="preserve">hier: Umsetzung des Änderungstarifvertrags Nr. </w:t>
      </w:r>
      <w:r>
        <w:t>7 vom 8. Juni 2017 zum Tarifver</w:t>
      </w:r>
      <w:r w:rsidRPr="002C170B">
        <w:t xml:space="preserve">trag über die zusätzliche Altersversorge der Beschäftigten des öffentlichen Dienstes – Altersversorge-TV-Kommunal – (ATV-K) </w:t>
      </w:r>
    </w:p>
    <w:p w:rsidR="00BE1EFE" w:rsidRDefault="00BE1EFE" w:rsidP="00DE0136">
      <w:pPr>
        <w:pStyle w:val="StandardWeb"/>
        <w:jc w:val="right"/>
      </w:pPr>
      <w:r w:rsidRPr="002C170B">
        <w:t>verschiedene Inkraftsetzungsdaten</w:t>
      </w:r>
    </w:p>
    <w:p w:rsidR="00C07D17" w:rsidRDefault="00C07D17" w:rsidP="00DE0136">
      <w:pPr>
        <w:pStyle w:val="StandardWeb"/>
        <w:jc w:val="right"/>
      </w:pPr>
      <w:r>
        <w:br w:type="page"/>
      </w:r>
    </w:p>
    <w:p w:rsidR="00BE1EFE" w:rsidRPr="002C170B" w:rsidRDefault="00BE1EFE" w:rsidP="00DE0136">
      <w:pPr>
        <w:pStyle w:val="StandardWeb"/>
        <w:jc w:val="right"/>
      </w:pPr>
    </w:p>
    <w:p w:rsidR="00BE1EFE" w:rsidRDefault="00BE1EFE" w:rsidP="00946258">
      <w:pPr>
        <w:pStyle w:val="StandardWeb"/>
      </w:pPr>
    </w:p>
    <w:p w:rsidR="00BE1EFE" w:rsidRPr="00D05F26" w:rsidRDefault="00BE1EFE" w:rsidP="00946258">
      <w:pPr>
        <w:pStyle w:val="StandardWeb"/>
        <w:rPr>
          <w:b/>
        </w:rPr>
      </w:pPr>
      <w:r>
        <w:rPr>
          <w:b/>
        </w:rPr>
        <w:t xml:space="preserve">Anlage 121 </w:t>
      </w:r>
      <w:hyperlink r:id="rId1760" w:history="1">
        <w:r w:rsidRPr="00CC5CCA">
          <w:rPr>
            <w:rStyle w:val="Hyperlink"/>
          </w:rPr>
          <w:t>[herunterladen]</w:t>
        </w:r>
      </w:hyperlink>
    </w:p>
    <w:p w:rsidR="00BE1EFE" w:rsidRDefault="00BE1EFE" w:rsidP="00946258">
      <w:pPr>
        <w:pStyle w:val="StandardWeb"/>
      </w:pPr>
    </w:p>
    <w:p w:rsidR="00BE1EFE" w:rsidRPr="00946258" w:rsidRDefault="00BE1EFE" w:rsidP="00946258">
      <w:pPr>
        <w:pStyle w:val="StandardWeb"/>
        <w:rPr>
          <w:b/>
        </w:rPr>
      </w:pPr>
      <w:r w:rsidRPr="00946258">
        <w:rPr>
          <w:b/>
        </w:rPr>
        <w:t>Beschluss des Vermittlungsausschusses der Kommission für das Arbeitsvertragsrecht der bayerischen Diözesen vom 18. Januar 2018</w:t>
      </w:r>
    </w:p>
    <w:p w:rsidR="00BE1EFE" w:rsidRPr="00A35E3A" w:rsidRDefault="00BE1EFE" w:rsidP="00946258">
      <w:pPr>
        <w:pStyle w:val="StandardWeb"/>
      </w:pPr>
    </w:p>
    <w:p w:rsidR="00BE1EFE" w:rsidRPr="00A35E3A" w:rsidRDefault="00BE1EFE" w:rsidP="00A35E3A">
      <w:pPr>
        <w:pStyle w:val="StandardWeb"/>
      </w:pPr>
      <w:r w:rsidRPr="00A35E3A">
        <w:t>- ABD Teil B, 4.1. (Sonderregelungen für die Arbeitsverhältnisse arbeitsvertraglich beschäftig-ter Lehrkräfte an Schulen in kirchlicher Tägerschaft)</w:t>
      </w:r>
    </w:p>
    <w:p w:rsidR="00BE1EFE" w:rsidRPr="00A35E3A" w:rsidRDefault="00BE1EFE" w:rsidP="00A35E3A">
      <w:pPr>
        <w:pStyle w:val="StandardWeb"/>
      </w:pPr>
      <w:r w:rsidRPr="00A35E3A">
        <w:t>hier: Umsetzung des Vermittlungsverfahrens V01-2018</w:t>
      </w:r>
    </w:p>
    <w:p w:rsidR="00BE1EFE" w:rsidRPr="00A35E3A" w:rsidRDefault="00BE1EFE" w:rsidP="00A35E3A">
      <w:pPr>
        <w:pStyle w:val="StandardWeb"/>
      </w:pPr>
    </w:p>
    <w:p w:rsidR="00BE1EFE" w:rsidRPr="00814352" w:rsidRDefault="00BE1EFE" w:rsidP="00F32499">
      <w:pPr>
        <w:pStyle w:val="StandardWeb"/>
        <w:jc w:val="right"/>
      </w:pPr>
      <w:r w:rsidRPr="00814352">
        <w:t>zum 1. Mai 2018</w:t>
      </w:r>
      <w:r>
        <w:br w:type="page"/>
      </w:r>
    </w:p>
    <w:p w:rsidR="00BE1EFE" w:rsidRDefault="00BE1EFE" w:rsidP="00E60E45">
      <w:pPr>
        <w:pStyle w:val="berschrift5"/>
        <w:spacing w:before="0"/>
      </w:pPr>
      <w:bookmarkStart w:id="1160" w:name="_Toc523926676"/>
      <w:r>
        <w:lastRenderedPageBreak/>
        <w:t>Beschlüsse 2017</w:t>
      </w:r>
      <w:bookmarkEnd w:id="1160"/>
    </w:p>
    <w:p w:rsidR="00BE1EFE" w:rsidRPr="00B76821" w:rsidRDefault="00BE1EFE" w:rsidP="00B76821">
      <w:pPr>
        <w:pStyle w:val="berschrift6"/>
        <w:keepNext w:val="0"/>
        <w:spacing w:before="0" w:after="0"/>
        <w:rPr>
          <w:sz w:val="2"/>
        </w:rPr>
      </w:pPr>
    </w:p>
    <w:p w:rsidR="00BE1EFE" w:rsidRPr="00D05F26" w:rsidRDefault="00BE1EFE" w:rsidP="004B119F">
      <w:pPr>
        <w:pStyle w:val="StandardWeb"/>
        <w:rPr>
          <w:b/>
        </w:rPr>
      </w:pPr>
      <w:r>
        <w:rPr>
          <w:b/>
        </w:rPr>
        <w:t xml:space="preserve">Anlage 120 </w:t>
      </w:r>
      <w:hyperlink r:id="rId1761" w:history="1">
        <w:r w:rsidRPr="00A60C25">
          <w:rPr>
            <w:rStyle w:val="Hyperlink"/>
          </w:rPr>
          <w:t>[herunterladen]</w:t>
        </w:r>
      </w:hyperlink>
    </w:p>
    <w:p w:rsidR="00BE1EFE" w:rsidRDefault="00BE1EFE" w:rsidP="004B119F">
      <w:pPr>
        <w:pStyle w:val="StandardWeb"/>
        <w:rPr>
          <w:b/>
        </w:rPr>
      </w:pPr>
    </w:p>
    <w:p w:rsidR="00BE1EFE" w:rsidRDefault="00BE1EFE" w:rsidP="004B119F">
      <w:pPr>
        <w:pStyle w:val="StandardWeb"/>
        <w:rPr>
          <w:b/>
        </w:rPr>
      </w:pPr>
      <w:r w:rsidRPr="00405EAB">
        <w:rPr>
          <w:b/>
        </w:rPr>
        <w:t>Beschlüsse der Kommission f</w:t>
      </w:r>
      <w:r>
        <w:rPr>
          <w:b/>
        </w:rPr>
        <w:t>ür das Arbeitsvertragsrecht der bayerischen Diözesen vom 29. Nov</w:t>
      </w:r>
      <w:r w:rsidRPr="00405EAB">
        <w:rPr>
          <w:b/>
        </w:rPr>
        <w:t>ember 2017</w:t>
      </w:r>
    </w:p>
    <w:p w:rsidR="00BE1EFE" w:rsidRDefault="00BE1EFE" w:rsidP="004B119F">
      <w:pPr>
        <w:pStyle w:val="StandardWeb"/>
        <w:rPr>
          <w:b/>
        </w:rPr>
      </w:pPr>
    </w:p>
    <w:p w:rsidR="00BE1EFE" w:rsidRPr="004B119F" w:rsidRDefault="00BE1EFE" w:rsidP="004B119F">
      <w:pPr>
        <w:pStyle w:val="StandardWeb"/>
      </w:pPr>
      <w:r>
        <w:t>- </w:t>
      </w:r>
      <w:r w:rsidRPr="004B119F">
        <w:t>§ 28 ABD Teil A 1. (Sonderurlaub)</w:t>
      </w:r>
    </w:p>
    <w:p w:rsidR="00BE1EFE" w:rsidRDefault="00BE1EFE" w:rsidP="004B119F">
      <w:pPr>
        <w:pStyle w:val="StandardWeb"/>
      </w:pPr>
      <w:r w:rsidRPr="004B119F">
        <w:t>hier: Änderung in Folge der Neufassung des Mutterschutzgesetzes (MuSchG) vom 23. Mai 2017</w:t>
      </w:r>
    </w:p>
    <w:p w:rsidR="00BE1EFE" w:rsidRPr="004B119F" w:rsidRDefault="00BE1EFE" w:rsidP="004B119F">
      <w:pPr>
        <w:pStyle w:val="StandardWeb"/>
      </w:pPr>
    </w:p>
    <w:p w:rsidR="00BE1EFE" w:rsidRPr="004B119F" w:rsidRDefault="00BE1EFE" w:rsidP="004B119F">
      <w:pPr>
        <w:pStyle w:val="StandardWeb"/>
        <w:jc w:val="right"/>
      </w:pPr>
      <w:r w:rsidRPr="004B119F">
        <w:t>zum 1. Januar 2018</w:t>
      </w:r>
    </w:p>
    <w:p w:rsidR="00BE1EFE" w:rsidRPr="004B119F" w:rsidRDefault="00BE1EFE" w:rsidP="004B119F">
      <w:pPr>
        <w:pStyle w:val="StandardWeb"/>
      </w:pPr>
    </w:p>
    <w:p w:rsidR="00BE1EFE" w:rsidRPr="004B119F" w:rsidRDefault="00BE1EFE" w:rsidP="004B119F">
      <w:pPr>
        <w:pStyle w:val="StandardWeb"/>
      </w:pPr>
      <w:r>
        <w:t>- </w:t>
      </w:r>
      <w:r w:rsidRPr="004B119F">
        <w:t xml:space="preserve">ABD Teil A, 1. (Allgemeiner Teil) </w:t>
      </w:r>
    </w:p>
    <w:p w:rsidR="00BE1EFE" w:rsidRPr="004B119F" w:rsidRDefault="00BE1EFE" w:rsidP="004B119F">
      <w:pPr>
        <w:pStyle w:val="StandardWeb"/>
      </w:pPr>
      <w:r w:rsidRPr="004B119F">
        <w:t>und</w:t>
      </w:r>
    </w:p>
    <w:p w:rsidR="00BE1EFE" w:rsidRPr="004B119F" w:rsidRDefault="00BE1EFE" w:rsidP="004B119F">
      <w:pPr>
        <w:pStyle w:val="StandardWeb"/>
      </w:pPr>
      <w:r w:rsidRPr="004B119F">
        <w:t>ABD Teil D, 10a. (Ordnung über die betriebliche Altersversorgung der bei der Bayerischen Versorgungskammer – Zusatzversorgungskasse der bayerischen Gemeinden – versicherten Beschäftigten im kirchlichen Dienst – Versorgungsordnung A)</w:t>
      </w:r>
    </w:p>
    <w:p w:rsidR="00BE1EFE" w:rsidRDefault="00BE1EFE" w:rsidP="004B119F">
      <w:pPr>
        <w:pStyle w:val="StandardWeb"/>
      </w:pPr>
      <w:r w:rsidRPr="004B119F">
        <w:t>hier: Umsetzung des Änderungstarifvertrags Nr. 6 vom 29. April 2016 zum Tarifvertrag über die zusätzliche Altersvorsorge der Beschäftigten des öffentlichen Dienstes – Altersvors</w:t>
      </w:r>
      <w:r>
        <w:t xml:space="preserve">orge-TV-Kommunal – (ATV-K) vom </w:t>
      </w:r>
      <w:r w:rsidRPr="004B119F">
        <w:t>1. März 2002 und Anpassung der betrieblichen Alters</w:t>
      </w:r>
      <w:r>
        <w:softHyphen/>
      </w:r>
      <w:r w:rsidRPr="004B119F">
        <w:t>versorgung an die KZVK</w:t>
      </w:r>
    </w:p>
    <w:p w:rsidR="00BE1EFE" w:rsidRPr="004B119F" w:rsidRDefault="00BE1EFE" w:rsidP="004B119F">
      <w:pPr>
        <w:pStyle w:val="StandardWeb"/>
      </w:pPr>
    </w:p>
    <w:p w:rsidR="00BE1EFE" w:rsidRPr="004B119F" w:rsidRDefault="00BE1EFE" w:rsidP="004B119F">
      <w:pPr>
        <w:pStyle w:val="StandardWeb"/>
        <w:jc w:val="right"/>
      </w:pPr>
      <w:r w:rsidRPr="004B119F">
        <w:t>rückwirkend zum 1. März 2016</w:t>
      </w:r>
    </w:p>
    <w:p w:rsidR="00BE1EFE" w:rsidRPr="004B119F" w:rsidRDefault="00BE1EFE" w:rsidP="004B119F">
      <w:pPr>
        <w:pStyle w:val="StandardWeb"/>
      </w:pPr>
    </w:p>
    <w:p w:rsidR="00BE1EFE" w:rsidRPr="004B119F" w:rsidRDefault="00BE1EFE" w:rsidP="004B119F">
      <w:pPr>
        <w:pStyle w:val="StandardWeb"/>
      </w:pPr>
      <w:r>
        <w:t>- </w:t>
      </w:r>
      <w:r w:rsidRPr="004B119F">
        <w:t>ABD Teil A, 2.6. (Entgeltordnung für Religionslehrerinnen und Religionslehrer im Kirchendienst)</w:t>
      </w:r>
    </w:p>
    <w:p w:rsidR="00BE1EFE" w:rsidRDefault="00BE1EFE" w:rsidP="004B119F">
      <w:pPr>
        <w:pStyle w:val="StandardWeb"/>
      </w:pPr>
      <w:r w:rsidRPr="004B119F">
        <w:t>hier: Erhöhung der Förderschulzulage in Umsetzung der Tarifeinigung in den Tarifverhandlungen für die Beschäftigten des öffentlichen Dienstes von Bund und kommunalen Arbeitgebern vom 29. April 2016</w:t>
      </w:r>
    </w:p>
    <w:p w:rsidR="00BE1EFE" w:rsidRPr="004B119F" w:rsidRDefault="00BE1EFE" w:rsidP="004B119F">
      <w:pPr>
        <w:pStyle w:val="StandardWeb"/>
      </w:pPr>
    </w:p>
    <w:p w:rsidR="00BE1EFE" w:rsidRPr="004B119F" w:rsidRDefault="00BE1EFE" w:rsidP="004B119F">
      <w:pPr>
        <w:pStyle w:val="StandardWeb"/>
        <w:jc w:val="right"/>
      </w:pPr>
      <w:r w:rsidRPr="004B119F">
        <w:t>zum 1. September 2017</w:t>
      </w:r>
    </w:p>
    <w:p w:rsidR="00BE1EFE" w:rsidRPr="004B119F" w:rsidRDefault="00BE1EFE" w:rsidP="004B119F">
      <w:pPr>
        <w:pStyle w:val="StandardWeb"/>
      </w:pPr>
    </w:p>
    <w:p w:rsidR="00BE1EFE" w:rsidRPr="004B119F" w:rsidRDefault="00BE1EFE" w:rsidP="004B119F">
      <w:pPr>
        <w:pStyle w:val="StandardWeb"/>
      </w:pPr>
      <w:r>
        <w:t>- </w:t>
      </w:r>
      <w:r w:rsidRPr="004B119F">
        <w:t>ABD Teil B, 4.1. (Sonderregelungen für die Arbeitsverhältnisse arbeitsvertraglich beschäftigter Lehrkräfte an Schulen in kirchlicher Trägerschaft)</w:t>
      </w:r>
    </w:p>
    <w:p w:rsidR="00BE1EFE" w:rsidRDefault="00BE1EFE" w:rsidP="004B119F">
      <w:pPr>
        <w:pStyle w:val="StandardWeb"/>
      </w:pPr>
      <w:r w:rsidRPr="004B119F">
        <w:t>hier: Redaktionelle Korrekturen</w:t>
      </w:r>
    </w:p>
    <w:p w:rsidR="00BE1EFE" w:rsidRPr="004B119F" w:rsidRDefault="00BE1EFE" w:rsidP="004B119F">
      <w:pPr>
        <w:pStyle w:val="StandardWeb"/>
      </w:pPr>
    </w:p>
    <w:p w:rsidR="00BE1EFE" w:rsidRPr="004B119F" w:rsidRDefault="00BE1EFE" w:rsidP="004B119F">
      <w:pPr>
        <w:pStyle w:val="StandardWeb"/>
        <w:jc w:val="right"/>
      </w:pPr>
      <w:r w:rsidRPr="004B119F">
        <w:t>zum 1. Januar 2018</w:t>
      </w:r>
    </w:p>
    <w:p w:rsidR="00BE1EFE" w:rsidRPr="004B119F" w:rsidRDefault="00BE1EFE" w:rsidP="004B119F">
      <w:pPr>
        <w:pStyle w:val="StandardWeb"/>
      </w:pPr>
    </w:p>
    <w:p w:rsidR="00BE1EFE" w:rsidRPr="004B119F" w:rsidRDefault="00BE1EFE" w:rsidP="004B119F">
      <w:pPr>
        <w:pStyle w:val="StandardWeb"/>
      </w:pPr>
      <w:r>
        <w:t>- </w:t>
      </w:r>
      <w:r w:rsidRPr="004B119F">
        <w:t>ABD Teil B, 4.1. (Sonderregelungen für die Arbeitsverhältnisse arbeitsvertraglich beschäftigter Lehrkräfte an Schulen in kirchlicher Trägerschaft)</w:t>
      </w:r>
    </w:p>
    <w:p w:rsidR="00BE1EFE" w:rsidRDefault="00BE1EFE" w:rsidP="004B119F">
      <w:pPr>
        <w:pStyle w:val="StandardWeb"/>
      </w:pPr>
      <w:r w:rsidRPr="004B119F">
        <w:t>hier: Folgeänderungen wegen der Neufassung der Ordnung für Berufsbezeichnungen – Lehrkräfte mit Führungsaufgaben; Systembetreuer, Beratungslehrkräfte und Schul</w:t>
      </w:r>
      <w:r>
        <w:softHyphen/>
      </w:r>
      <w:r w:rsidRPr="004B119F">
        <w:t>psychologen</w:t>
      </w:r>
    </w:p>
    <w:p w:rsidR="00BE1EFE" w:rsidRPr="004B119F" w:rsidRDefault="00BE1EFE" w:rsidP="004B119F">
      <w:pPr>
        <w:pStyle w:val="StandardWeb"/>
      </w:pPr>
    </w:p>
    <w:p w:rsidR="00BE1EFE" w:rsidRPr="004B119F" w:rsidRDefault="00BE1EFE" w:rsidP="004B119F">
      <w:pPr>
        <w:pStyle w:val="StandardWeb"/>
        <w:jc w:val="right"/>
      </w:pPr>
      <w:r w:rsidRPr="004B119F">
        <w:tab/>
        <w:t>zum 1. Januar 2018</w:t>
      </w:r>
    </w:p>
    <w:p w:rsidR="00BE1EFE" w:rsidRPr="004B119F" w:rsidRDefault="00BE1EFE" w:rsidP="004B119F">
      <w:pPr>
        <w:pStyle w:val="StandardWeb"/>
      </w:pPr>
    </w:p>
    <w:p w:rsidR="00BE1EFE" w:rsidRPr="004B119F" w:rsidRDefault="00BE1EFE" w:rsidP="004B119F">
      <w:pPr>
        <w:pStyle w:val="StandardWeb"/>
      </w:pPr>
      <w:r>
        <w:t>- </w:t>
      </w:r>
      <w:r w:rsidRPr="004B119F">
        <w:t>ABD Teil E, 2. (Regelung für Praktikantinnen und Praktikanten)</w:t>
      </w:r>
    </w:p>
    <w:p w:rsidR="00BE1EFE" w:rsidRDefault="00BE1EFE" w:rsidP="004B119F">
      <w:pPr>
        <w:pStyle w:val="StandardWeb"/>
      </w:pPr>
      <w:r w:rsidRPr="004B119F">
        <w:t>hier: Umsetzung des Änderungstarifvertrag Nr. 6 vom 29. April 2016 zum Tarifvertrag für Praktikantinnen/Praktikanten des öffentlichen Dienstes (TVPöD) vom 27. Oktober 2009</w:t>
      </w:r>
    </w:p>
    <w:p w:rsidR="00BE1EFE" w:rsidRPr="004B119F" w:rsidRDefault="00BE1EFE" w:rsidP="004B119F">
      <w:pPr>
        <w:pStyle w:val="StandardWeb"/>
      </w:pPr>
    </w:p>
    <w:p w:rsidR="00BE1EFE" w:rsidRPr="004B119F" w:rsidRDefault="00BE1EFE" w:rsidP="004B119F">
      <w:pPr>
        <w:pStyle w:val="StandardWeb"/>
        <w:jc w:val="right"/>
      </w:pPr>
      <w:r w:rsidRPr="004B119F">
        <w:t>zum 1. Januar 2017</w:t>
      </w:r>
    </w:p>
    <w:p w:rsidR="00BE1EFE" w:rsidRPr="004B119F" w:rsidRDefault="00BE1EFE" w:rsidP="004B119F">
      <w:pPr>
        <w:pStyle w:val="StandardWeb"/>
      </w:pPr>
    </w:p>
    <w:p w:rsidR="00BE1EFE" w:rsidRPr="004B119F" w:rsidRDefault="00BE1EFE" w:rsidP="004B119F">
      <w:pPr>
        <w:pStyle w:val="StandardWeb"/>
      </w:pPr>
      <w:r>
        <w:lastRenderedPageBreak/>
        <w:t>- </w:t>
      </w:r>
      <w:r w:rsidRPr="004B119F">
        <w:t>ABD Teil E, 3. [Richtlinien für die Gewährung von Praktikantenvergütungen (Praktikanten-Richtlinien)]</w:t>
      </w:r>
    </w:p>
    <w:p w:rsidR="00BE1EFE" w:rsidRDefault="00BE1EFE" w:rsidP="004B119F">
      <w:pPr>
        <w:pStyle w:val="StandardWeb"/>
      </w:pPr>
      <w:r w:rsidRPr="004B119F">
        <w:t>hier: Änderung von Verweisen durch die Umsetzung der neuen Schulordnung für die Fach</w:t>
      </w:r>
      <w:r>
        <w:softHyphen/>
      </w:r>
      <w:r w:rsidRPr="004B119F">
        <w:t xml:space="preserve">akademien (Fachakademieordnung – FakO) vom 9. Mai 2017 </w:t>
      </w:r>
    </w:p>
    <w:p w:rsidR="00BE1EFE" w:rsidRPr="004B119F" w:rsidRDefault="00BE1EFE" w:rsidP="004B119F">
      <w:pPr>
        <w:pStyle w:val="StandardWeb"/>
      </w:pPr>
    </w:p>
    <w:p w:rsidR="00BE1EFE" w:rsidRPr="004B119F" w:rsidRDefault="00BE1EFE" w:rsidP="004B119F">
      <w:pPr>
        <w:pStyle w:val="StandardWeb"/>
        <w:jc w:val="right"/>
      </w:pPr>
      <w:r w:rsidRPr="004B119F">
        <w:t>zum 1. August 2017</w:t>
      </w:r>
    </w:p>
    <w:p w:rsidR="00BE1EFE" w:rsidRDefault="00BE1EFE" w:rsidP="004B119F">
      <w:pPr>
        <w:pStyle w:val="StandardWeb"/>
        <w:rPr>
          <w:b/>
        </w:rPr>
      </w:pPr>
    </w:p>
    <w:p w:rsidR="00BE1EFE" w:rsidRDefault="00BE1EFE" w:rsidP="00405EAB">
      <w:pPr>
        <w:pStyle w:val="StandardWeb"/>
        <w:rPr>
          <w:b/>
        </w:rPr>
      </w:pPr>
    </w:p>
    <w:p w:rsidR="00BE1EFE" w:rsidRPr="00D05F26" w:rsidRDefault="00BE1EFE" w:rsidP="00405EAB">
      <w:pPr>
        <w:pStyle w:val="StandardWeb"/>
        <w:rPr>
          <w:b/>
        </w:rPr>
      </w:pPr>
      <w:r>
        <w:rPr>
          <w:b/>
        </w:rPr>
        <w:t xml:space="preserve">Anlage 119 </w:t>
      </w:r>
      <w:hyperlink r:id="rId1762" w:history="1">
        <w:r w:rsidRPr="00A60C25">
          <w:rPr>
            <w:rStyle w:val="Hyperlink"/>
          </w:rPr>
          <w:t>[herunterladen]</w:t>
        </w:r>
      </w:hyperlink>
    </w:p>
    <w:p w:rsidR="00BE1EFE" w:rsidRDefault="00BE1EFE" w:rsidP="00405EAB">
      <w:pPr>
        <w:pStyle w:val="StandardWeb"/>
        <w:rPr>
          <w:b/>
        </w:rPr>
      </w:pPr>
    </w:p>
    <w:p w:rsidR="00BE1EFE" w:rsidRDefault="00BE1EFE" w:rsidP="00405EAB">
      <w:pPr>
        <w:pStyle w:val="StandardWeb"/>
        <w:rPr>
          <w:b/>
        </w:rPr>
      </w:pPr>
      <w:r w:rsidRPr="00405EAB">
        <w:rPr>
          <w:b/>
        </w:rPr>
        <w:t>Beschlüsse der Kommission f</w:t>
      </w:r>
      <w:r>
        <w:rPr>
          <w:b/>
        </w:rPr>
        <w:t xml:space="preserve">ür das Arbeitsvertragsrecht der </w:t>
      </w:r>
      <w:r w:rsidRPr="00405EAB">
        <w:rPr>
          <w:b/>
        </w:rPr>
        <w:t>bayerischen Diözesen vom 20. September 2017</w:t>
      </w:r>
    </w:p>
    <w:p w:rsidR="00BE1EFE" w:rsidRPr="00405EAB" w:rsidRDefault="00BE1EFE" w:rsidP="00405EAB">
      <w:pPr>
        <w:pStyle w:val="StandardWeb"/>
        <w:rPr>
          <w:b/>
        </w:rPr>
      </w:pPr>
    </w:p>
    <w:p w:rsidR="00BE1EFE" w:rsidRPr="00405EAB" w:rsidRDefault="00BE1EFE" w:rsidP="00405EAB">
      <w:pPr>
        <w:pStyle w:val="StandardWeb"/>
      </w:pPr>
      <w:r w:rsidRPr="00405EAB">
        <w:t>– ABD Teil A, 2.3. Nummer 30 (Beschäftigte im Sozial- und Erziehungsdienst)</w:t>
      </w:r>
    </w:p>
    <w:p w:rsidR="00BE1EFE" w:rsidRPr="00405EAB" w:rsidRDefault="00BE1EFE" w:rsidP="00405EAB">
      <w:pPr>
        <w:pStyle w:val="StandardWeb"/>
      </w:pPr>
      <w:r w:rsidRPr="00405EAB">
        <w:t>hier: Eingruppierung von Leiterinnen/Leite</w:t>
      </w:r>
      <w:r>
        <w:t xml:space="preserve">rn von Kindertageseinrichtungen </w:t>
      </w:r>
      <w:r w:rsidRPr="00405EAB">
        <w:t>– Durchschnitts</w:t>
      </w:r>
      <w:r>
        <w:softHyphen/>
      </w:r>
      <w:r w:rsidRPr="00405EAB">
        <w:t>belegung –</w:t>
      </w:r>
    </w:p>
    <w:p w:rsidR="00BE1EFE" w:rsidRPr="00405EAB" w:rsidRDefault="00BE1EFE" w:rsidP="00405EAB">
      <w:pPr>
        <w:pStyle w:val="StandardWeb"/>
        <w:jc w:val="right"/>
      </w:pPr>
      <w:r w:rsidRPr="00405EAB">
        <w:t>zum 1. Oktober 2017</w:t>
      </w:r>
    </w:p>
    <w:p w:rsidR="00BE1EFE" w:rsidRDefault="00BE1EFE" w:rsidP="00405EAB">
      <w:pPr>
        <w:pStyle w:val="StandardWeb"/>
      </w:pPr>
    </w:p>
    <w:p w:rsidR="00BE1EFE" w:rsidRPr="00405EAB" w:rsidRDefault="00BE1EFE" w:rsidP="00405EAB">
      <w:pPr>
        <w:pStyle w:val="StandardWeb"/>
      </w:pPr>
      <w:r w:rsidRPr="00405EAB">
        <w:t>– ABD Teil A, 2.10. (Vergütungsordnung für B</w:t>
      </w:r>
      <w:r>
        <w:t>eschäftigte in der Verbands und/</w:t>
      </w:r>
      <w:r w:rsidRPr="00405EAB">
        <w:t>oder Bildungs</w:t>
      </w:r>
      <w:r>
        <w:softHyphen/>
      </w:r>
      <w:r w:rsidRPr="00405EAB">
        <w:t>arbeit für Erwachsene)</w:t>
      </w:r>
    </w:p>
    <w:p w:rsidR="00BE1EFE" w:rsidRPr="00405EAB" w:rsidRDefault="00BE1EFE" w:rsidP="00405EAB">
      <w:pPr>
        <w:pStyle w:val="StandardWeb"/>
      </w:pPr>
      <w:r w:rsidRPr="00405EAB">
        <w:t>und</w:t>
      </w:r>
    </w:p>
    <w:p w:rsidR="00BE1EFE" w:rsidRPr="00405EAB" w:rsidRDefault="00BE1EFE" w:rsidP="00405EAB">
      <w:pPr>
        <w:pStyle w:val="StandardWeb"/>
      </w:pPr>
      <w:r w:rsidRPr="00405EAB">
        <w:t>ABD Teil A, 2.11. (Vergütungsordnung für Beschäftigte in der Verbands</w:t>
      </w:r>
      <w:r>
        <w:t xml:space="preserve"> und/</w:t>
      </w:r>
      <w:r w:rsidRPr="00405EAB">
        <w:t>oder Bildungs</w:t>
      </w:r>
      <w:r>
        <w:softHyphen/>
      </w:r>
      <w:r w:rsidRPr="00405EAB">
        <w:t>arbeit für Jugendliche)</w:t>
      </w:r>
    </w:p>
    <w:p w:rsidR="00BE1EFE" w:rsidRPr="00405EAB" w:rsidRDefault="00BE1EFE" w:rsidP="00405EAB">
      <w:pPr>
        <w:pStyle w:val="StandardWeb"/>
      </w:pPr>
      <w:r w:rsidRPr="00405EAB">
        <w:t>hier: Neufassung und Anpassung an die n</w:t>
      </w:r>
      <w:r>
        <w:t xml:space="preserve">euen Eingruppierungsrichtlinien </w:t>
      </w:r>
      <w:r w:rsidRPr="00405EAB">
        <w:t>gemäß Entgeltord</w:t>
      </w:r>
      <w:r>
        <w:softHyphen/>
      </w:r>
      <w:r w:rsidRPr="00405EAB">
        <w:t>nung im ABD</w:t>
      </w:r>
    </w:p>
    <w:p w:rsidR="00BE1EFE" w:rsidRDefault="00BE1EFE" w:rsidP="00405EAB">
      <w:pPr>
        <w:pStyle w:val="StandardWeb"/>
        <w:jc w:val="right"/>
      </w:pPr>
      <w:r w:rsidRPr="00405EAB">
        <w:t>verschiedene Inkraftsetzungsdaten</w:t>
      </w:r>
    </w:p>
    <w:p w:rsidR="00BE1EFE" w:rsidRPr="00405EAB" w:rsidRDefault="00BE1EFE" w:rsidP="00405EAB">
      <w:pPr>
        <w:pStyle w:val="StandardWeb"/>
        <w:jc w:val="right"/>
      </w:pPr>
    </w:p>
    <w:p w:rsidR="00BE1EFE" w:rsidRPr="00405EAB" w:rsidRDefault="00BE1EFE" w:rsidP="00405EAB">
      <w:pPr>
        <w:pStyle w:val="StandardWeb"/>
      </w:pPr>
      <w:r w:rsidRPr="00405EAB">
        <w:t>– ABD Teil D, 6a. (Regelung zu flexiblen A</w:t>
      </w:r>
      <w:r>
        <w:t xml:space="preserve">rbeitszeitregelungen für ältere </w:t>
      </w:r>
      <w:r w:rsidRPr="00405EAB">
        <w:t xml:space="preserve">Beschäftigte </w:t>
      </w:r>
      <w:r>
        <w:br/>
      </w:r>
      <w:r w:rsidRPr="00405EAB">
        <w:t>– FlexAZR –)</w:t>
      </w:r>
    </w:p>
    <w:p w:rsidR="00BE1EFE" w:rsidRPr="00405EAB" w:rsidRDefault="00BE1EFE" w:rsidP="00405EAB">
      <w:pPr>
        <w:pStyle w:val="StandardWeb"/>
      </w:pPr>
      <w:r w:rsidRPr="00405EAB">
        <w:t>hier: Altersteilzeit für schwerbehinderte Beschäftigte</w:t>
      </w:r>
    </w:p>
    <w:p w:rsidR="00BE1EFE" w:rsidRDefault="00BE1EFE" w:rsidP="00405EAB">
      <w:pPr>
        <w:pStyle w:val="StandardWeb"/>
        <w:jc w:val="right"/>
      </w:pPr>
      <w:r w:rsidRPr="00405EAB">
        <w:t>zum 1. Januar 2018</w:t>
      </w:r>
    </w:p>
    <w:p w:rsidR="00BE1EFE" w:rsidRPr="00405EAB" w:rsidRDefault="00BE1EFE" w:rsidP="00405EAB">
      <w:pPr>
        <w:pStyle w:val="StandardWeb"/>
        <w:jc w:val="right"/>
      </w:pPr>
    </w:p>
    <w:p w:rsidR="00BE1EFE" w:rsidRPr="00D05F26" w:rsidRDefault="00BE1EFE" w:rsidP="006454D1">
      <w:pPr>
        <w:pStyle w:val="StandardWeb"/>
        <w:rPr>
          <w:b/>
        </w:rPr>
      </w:pPr>
      <w:r w:rsidRPr="00D05F26">
        <w:rPr>
          <w:b/>
        </w:rPr>
        <w:t xml:space="preserve">Anlage 118 </w:t>
      </w:r>
      <w:hyperlink r:id="rId1763" w:history="1">
        <w:r w:rsidRPr="00A60C25">
          <w:rPr>
            <w:rStyle w:val="Hyperlink"/>
          </w:rPr>
          <w:t>[herunterladen]</w:t>
        </w:r>
      </w:hyperlink>
    </w:p>
    <w:p w:rsidR="00BE1EFE" w:rsidRDefault="00BE1EFE" w:rsidP="00AA40BF">
      <w:pPr>
        <w:pStyle w:val="StandardWeb"/>
        <w:rPr>
          <w:b/>
        </w:rPr>
      </w:pPr>
    </w:p>
    <w:p w:rsidR="00BE1EFE" w:rsidRDefault="00BE1EFE" w:rsidP="00AA40BF">
      <w:pPr>
        <w:pStyle w:val="StandardWeb"/>
        <w:rPr>
          <w:b/>
        </w:rPr>
      </w:pPr>
      <w:r w:rsidRPr="00D05F26">
        <w:rPr>
          <w:b/>
        </w:rPr>
        <w:t>Beschlüsse der Kommission für das Arbeitsvertragsrecht der bayerischen Diözesen vom 13. Juli 2017</w:t>
      </w:r>
    </w:p>
    <w:p w:rsidR="00BE1EFE" w:rsidRPr="00D05F26" w:rsidRDefault="00BE1EFE" w:rsidP="00AA40BF">
      <w:pPr>
        <w:pStyle w:val="StandardWeb"/>
        <w:rPr>
          <w:b/>
        </w:rPr>
      </w:pPr>
    </w:p>
    <w:p w:rsidR="00BE1EFE" w:rsidRPr="00D05F26" w:rsidRDefault="00BE1EFE" w:rsidP="00AA40BF">
      <w:pPr>
        <w:pStyle w:val="StandardWeb"/>
      </w:pPr>
      <w:r>
        <w:t>- </w:t>
      </w:r>
      <w:r w:rsidRPr="00D05F26">
        <w:t xml:space="preserve">ABD </w:t>
      </w:r>
    </w:p>
    <w:p w:rsidR="00BE1EFE" w:rsidRPr="00D05F26" w:rsidRDefault="00BE1EFE" w:rsidP="00AA40BF">
      <w:pPr>
        <w:pStyle w:val="StandardWeb"/>
      </w:pPr>
      <w:r w:rsidRPr="00D05F26">
        <w:t>hier: Änderungen in Umsetzung der Ordnung der Kommission für das Arbeitsvertragsrecht der bayerischen Diözesen (Bayerische Regional-KODA-Ordnung – BayRKO)</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 xml:space="preserve">ABD Teil A, 1. </w:t>
      </w:r>
    </w:p>
    <w:p w:rsidR="00BE1EFE" w:rsidRPr="00D05F26" w:rsidRDefault="00BE1EFE" w:rsidP="00AA40BF">
      <w:pPr>
        <w:pStyle w:val="StandardWeb"/>
      </w:pPr>
      <w:r w:rsidRPr="00D05F26">
        <w:t>hier: Umsetzung des Änderungstarifvertrags Nr. 13 vom 24. November 2016 zum Tarifvertrag für den öffentlichen Dienst (TVöD) vom 13. September 2005</w:t>
      </w:r>
    </w:p>
    <w:p w:rsidR="00BE1EFE" w:rsidRPr="00D05F26" w:rsidRDefault="00BE1EFE" w:rsidP="00AA40BF">
      <w:pPr>
        <w:pStyle w:val="StandardWeb"/>
        <w:jc w:val="right"/>
      </w:pPr>
      <w:r w:rsidRPr="00D05F26">
        <w:t>zum 1. März 2017</w:t>
      </w:r>
    </w:p>
    <w:p w:rsidR="00BE1EFE" w:rsidRPr="00D05F26" w:rsidRDefault="00BE1EFE" w:rsidP="00AA40BF">
      <w:pPr>
        <w:pStyle w:val="StandardWeb"/>
      </w:pPr>
    </w:p>
    <w:p w:rsidR="00BE1EFE" w:rsidRPr="00D05F26" w:rsidRDefault="00BE1EFE" w:rsidP="00AA40BF">
      <w:pPr>
        <w:pStyle w:val="StandardWeb"/>
      </w:pPr>
      <w:r>
        <w:t>- </w:t>
      </w:r>
      <w:r w:rsidRPr="00D05F26">
        <w:t>Anlage H ABD Teil A, 1. (Selbstauskunft und Verpflichtungserklärung für Beschäftigte zur persönlichen Eignung für den Umgang mit Kindern und Jugendlichen gemäß § 3 Absatz 9)</w:t>
      </w:r>
    </w:p>
    <w:p w:rsidR="00BE1EFE" w:rsidRPr="00D05F26" w:rsidRDefault="00BE1EFE" w:rsidP="00AA40BF">
      <w:pPr>
        <w:pStyle w:val="StandardWeb"/>
      </w:pPr>
      <w:r w:rsidRPr="00D05F26">
        <w:t xml:space="preserve">hier: Anpassungen an die Änderungen des Sozialgesetzbuches – Achtes Buch – durch das Fünfzigste Gesetz zur Änderung des Strafgesetzbuches – Verbesserung des Schutzes der sexuellen Selbstbestimmung vom 4. November 2016 und durch das Gesetz zur Verbesserung </w:t>
      </w:r>
      <w:r w:rsidRPr="00D05F26">
        <w:lastRenderedPageBreak/>
        <w:t>der Bekämpfung des Menschenhandels und zur Änderung des Bundeszentralregistergesetzes sowie des Achten Buches Sozialgesetzbuch vom 11. Oktober 2016</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ABD Teil A, 2.1. Grundsätzliche Eingruppierungsregelungen (Vorbemerkungen)</w:t>
      </w:r>
    </w:p>
    <w:p w:rsidR="00BE1EFE" w:rsidRPr="00D05F26" w:rsidRDefault="00BE1EFE" w:rsidP="00AA40BF">
      <w:pPr>
        <w:pStyle w:val="StandardWeb"/>
      </w:pPr>
      <w:r w:rsidRPr="00D05F26">
        <w:t>hier: Ausbildungs- und Prüfpflicht</w:t>
      </w:r>
    </w:p>
    <w:p w:rsidR="00BE1EFE" w:rsidRPr="00D05F26" w:rsidRDefault="00BE1EFE" w:rsidP="00AA40BF">
      <w:pPr>
        <w:pStyle w:val="StandardWeb"/>
        <w:jc w:val="right"/>
      </w:pPr>
      <w:r w:rsidRPr="00D05F26">
        <w:t>zum 1. September 2017</w:t>
      </w:r>
    </w:p>
    <w:p w:rsidR="00BE1EFE" w:rsidRPr="00D05F26" w:rsidRDefault="00BE1EFE" w:rsidP="00AA40BF">
      <w:pPr>
        <w:pStyle w:val="StandardWeb"/>
      </w:pPr>
    </w:p>
    <w:p w:rsidR="00BE1EFE" w:rsidRPr="00D05F26" w:rsidRDefault="00BE1EFE" w:rsidP="00AA40BF">
      <w:pPr>
        <w:pStyle w:val="StandardWeb"/>
      </w:pPr>
      <w:r>
        <w:t>- </w:t>
      </w:r>
      <w:r w:rsidRPr="00D05F26">
        <w:t>ABD Teil A, 2.6. (Entgeltordnung für Religionslehrerinnen und Religionslehrer im Kirchendienst)</w:t>
      </w:r>
    </w:p>
    <w:p w:rsidR="00BE1EFE" w:rsidRPr="00D05F26" w:rsidRDefault="00BE1EFE" w:rsidP="00AA40BF">
      <w:pPr>
        <w:pStyle w:val="StandardWeb"/>
      </w:pPr>
      <w:r w:rsidRPr="00D05F26">
        <w:t>hier: Förderschulzulage für kirchliche Schulbeauftragte in der Erzdiözese München und Freising</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rsidRPr="00D05F26">
        <w:t>- ABD Teil A, 3. (Regelung zur Überleitung der Beschäftigten und des Übergansrechts)</w:t>
      </w:r>
    </w:p>
    <w:p w:rsidR="00BE1EFE" w:rsidRPr="00D05F26" w:rsidRDefault="00BE1EFE" w:rsidP="00AA40BF">
      <w:pPr>
        <w:pStyle w:val="StandardWeb"/>
      </w:pPr>
      <w:r w:rsidRPr="00D05F26">
        <w:t>hier: Umsetzung des Änderungstarifvertrags Nr. 12 vom 24. November 2016 zum Tarifvertrag zur Überleitung der Beschäftigten der kommunalen Arbeitgeber in den TVöD und zur Regelung des Übergangsrechts (TVÜ-VKA)</w:t>
      </w:r>
    </w:p>
    <w:p w:rsidR="00BE1EFE" w:rsidRPr="00D05F26" w:rsidRDefault="00BE1EFE" w:rsidP="006454D1">
      <w:pPr>
        <w:pStyle w:val="StandardWeb"/>
        <w:jc w:val="right"/>
      </w:pPr>
      <w:r w:rsidRPr="00D05F26">
        <w:t>zum 1. März 2017</w:t>
      </w:r>
    </w:p>
    <w:p w:rsidR="00BE1EFE" w:rsidRPr="00D05F26" w:rsidRDefault="00BE1EFE" w:rsidP="00AA40BF">
      <w:pPr>
        <w:pStyle w:val="StandardWeb"/>
      </w:pPr>
      <w:r>
        <w:t>- </w:t>
      </w:r>
      <w:r w:rsidRPr="00D05F26">
        <w:t>ABD Teil A, 3. (Regelung zur Überleitung der Beschäftigten und des Übergangsrechts)</w:t>
      </w:r>
    </w:p>
    <w:p w:rsidR="00BE1EFE" w:rsidRPr="00D05F26" w:rsidRDefault="00BE1EFE" w:rsidP="00AA40BF">
      <w:pPr>
        <w:pStyle w:val="StandardWeb"/>
      </w:pPr>
      <w:r w:rsidRPr="00D05F26">
        <w:t>hier: Folgeänderungen nach Umsetzung des Änderungstarifvertrags Nr. 22 vom 29. April 2016 zum Tarifvertrag für den öffentlichen Dienst (TVöD) – Besonderer Teil Verwaltung – (BT-V) vom 13. September 2005</w:t>
      </w:r>
    </w:p>
    <w:p w:rsidR="00BE1EFE" w:rsidRPr="00D05F26" w:rsidRDefault="00BE1EFE" w:rsidP="00AA40BF">
      <w:pPr>
        <w:pStyle w:val="StandardWeb"/>
        <w:jc w:val="right"/>
      </w:pPr>
      <w:r w:rsidRPr="00D05F26">
        <w:t>zum 1. Januar 2017</w:t>
      </w:r>
    </w:p>
    <w:p w:rsidR="00BE1EFE" w:rsidRPr="00D05F26" w:rsidRDefault="00BE1EFE" w:rsidP="00AA40BF">
      <w:pPr>
        <w:pStyle w:val="StandardWeb"/>
      </w:pPr>
    </w:p>
    <w:p w:rsidR="00BE1EFE" w:rsidRPr="00D05F26" w:rsidRDefault="00BE1EFE" w:rsidP="00AA40BF">
      <w:pPr>
        <w:pStyle w:val="StandardWeb"/>
      </w:pPr>
      <w:r>
        <w:t>- </w:t>
      </w:r>
      <w:r w:rsidRPr="00D05F26">
        <w:t>ABD Teil A, 4.1. (Sonderregelungen für die Arbeitsverhältnisse arbeitsvertraglich beschäf</w:t>
      </w:r>
      <w:r>
        <w:softHyphen/>
      </w:r>
      <w:r w:rsidRPr="00D05F26">
        <w:t>tigter Lehrkräfte an Schulen in kirchlicher Trägerschaft)</w:t>
      </w:r>
    </w:p>
    <w:p w:rsidR="00BE1EFE" w:rsidRPr="00D05F26" w:rsidRDefault="00BE1EFE" w:rsidP="00AA40BF">
      <w:pPr>
        <w:pStyle w:val="StandardWeb"/>
      </w:pPr>
      <w:r w:rsidRPr="00D05F26">
        <w:t>hier: Anrechnungsstunden für Beratungslehrkräfte und Schulpsychologinnen und Schul</w:t>
      </w:r>
      <w:r>
        <w:softHyphen/>
      </w:r>
      <w:r w:rsidRPr="00D05F26">
        <w:t>psychologen</w:t>
      </w:r>
    </w:p>
    <w:p w:rsidR="00BE1EFE" w:rsidRPr="00D05F26" w:rsidRDefault="00BE1EFE" w:rsidP="00AA40BF">
      <w:pPr>
        <w:pStyle w:val="StandardWeb"/>
        <w:jc w:val="right"/>
      </w:pPr>
      <w:r w:rsidRPr="00D05F26">
        <w:t>zum 1. August 2017</w:t>
      </w:r>
    </w:p>
    <w:p w:rsidR="00BE1EFE" w:rsidRPr="00D05F26" w:rsidRDefault="00BE1EFE" w:rsidP="00AA40BF">
      <w:pPr>
        <w:pStyle w:val="StandardWeb"/>
      </w:pPr>
    </w:p>
    <w:p w:rsidR="00BE1EFE" w:rsidRPr="00D05F26" w:rsidRDefault="00BE1EFE" w:rsidP="00AA40BF">
      <w:pPr>
        <w:pStyle w:val="StandardWeb"/>
      </w:pPr>
      <w:r>
        <w:t>- </w:t>
      </w:r>
      <w:r w:rsidRPr="00D05F26">
        <w:t>ABD Teil A, 4.3. (Ordnung für Berufsbezeichnungen von arbeitsvertraglich beschäftigten Lehrkräfte an Schulen in kirchlicher Trägerschaft)</w:t>
      </w:r>
    </w:p>
    <w:p w:rsidR="00BE1EFE" w:rsidRPr="00D05F26" w:rsidRDefault="00BE1EFE" w:rsidP="00AA40BF">
      <w:pPr>
        <w:pStyle w:val="StandardWeb"/>
      </w:pPr>
      <w:r w:rsidRPr="00D05F26">
        <w:t>hier: Neufassung</w:t>
      </w:r>
    </w:p>
    <w:p w:rsidR="00BE1EFE" w:rsidRPr="00D05F26" w:rsidRDefault="00BE1EFE" w:rsidP="000C3E4A">
      <w:pPr>
        <w:pStyle w:val="StandardWeb"/>
        <w:jc w:val="right"/>
      </w:pPr>
      <w:r w:rsidRPr="00D05F26">
        <w:t>zum 1. Januar 2018</w:t>
      </w:r>
    </w:p>
    <w:p w:rsidR="00BE1EFE" w:rsidRPr="00D05F26" w:rsidRDefault="00BE1EFE" w:rsidP="00AA40BF">
      <w:pPr>
        <w:pStyle w:val="StandardWeb"/>
      </w:pPr>
      <w:r>
        <w:t>- </w:t>
      </w:r>
      <w:r w:rsidRPr="00D05F26">
        <w:t>ABD Teil D, 4. (Arbeitszeitkontenregelung)</w:t>
      </w:r>
    </w:p>
    <w:p w:rsidR="00BE1EFE" w:rsidRPr="00D05F26" w:rsidRDefault="00BE1EFE" w:rsidP="00AA40BF">
      <w:pPr>
        <w:pStyle w:val="StandardWeb"/>
      </w:pPr>
      <w:r w:rsidRPr="00D05F26">
        <w:t>hier: Änderung der befristeten Laufzeit</w:t>
      </w:r>
    </w:p>
    <w:p w:rsidR="00BE1EFE" w:rsidRPr="00D05F26" w:rsidRDefault="00BE1EFE" w:rsidP="00AA40BF">
      <w:pPr>
        <w:pStyle w:val="StandardWeb"/>
        <w:jc w:val="right"/>
      </w:pPr>
      <w:r w:rsidRPr="00D05F26">
        <w:t>zum 1. August 2017</w:t>
      </w:r>
    </w:p>
    <w:p w:rsidR="00BE1EFE" w:rsidRDefault="00BE1EFE" w:rsidP="00281770">
      <w:pPr>
        <w:pStyle w:val="StandardWeb"/>
        <w:rPr>
          <w:b/>
        </w:rPr>
      </w:pPr>
    </w:p>
    <w:p w:rsidR="00BE1EFE" w:rsidRDefault="00BE1EFE" w:rsidP="00281770">
      <w:pPr>
        <w:pStyle w:val="StandardWeb"/>
        <w:rPr>
          <w:b/>
        </w:rPr>
      </w:pPr>
    </w:p>
    <w:p w:rsidR="00BE1EFE" w:rsidRDefault="00BE1EFE" w:rsidP="00281770">
      <w:pPr>
        <w:pStyle w:val="StandardWeb"/>
        <w:rPr>
          <w:b/>
        </w:rPr>
      </w:pPr>
    </w:p>
    <w:p w:rsidR="00BE1EFE" w:rsidRDefault="00BE1EFE" w:rsidP="00281770">
      <w:pPr>
        <w:pStyle w:val="StandardWeb"/>
        <w:rPr>
          <w:b/>
        </w:rPr>
      </w:pPr>
    </w:p>
    <w:p w:rsidR="00BE1EFE" w:rsidRPr="00723B28" w:rsidRDefault="00BE1EFE" w:rsidP="006454D1">
      <w:pPr>
        <w:pStyle w:val="StandardWeb"/>
        <w:rPr>
          <w:b/>
        </w:rPr>
      </w:pPr>
      <w:r w:rsidRPr="00723B28">
        <w:rPr>
          <w:b/>
        </w:rPr>
        <w:t xml:space="preserve">Anlage 117 </w:t>
      </w:r>
      <w:hyperlink r:id="rId1764" w:history="1">
        <w:r w:rsidRPr="00723B28">
          <w:rPr>
            <w:rStyle w:val="Hyperlink"/>
          </w:rPr>
          <w:t>[herunterladen]</w:t>
        </w:r>
      </w:hyperlink>
    </w:p>
    <w:p w:rsidR="00BE1EFE" w:rsidRDefault="00BE1EFE" w:rsidP="00281770">
      <w:pPr>
        <w:pStyle w:val="StandardWeb"/>
        <w:rPr>
          <w:b/>
        </w:rPr>
      </w:pPr>
    </w:p>
    <w:p w:rsidR="00BE1EFE" w:rsidRPr="00723B28" w:rsidRDefault="00BE1EFE" w:rsidP="00281770">
      <w:pPr>
        <w:pStyle w:val="StandardWeb"/>
        <w:rPr>
          <w:b/>
        </w:rPr>
      </w:pPr>
      <w:r w:rsidRPr="00723B28">
        <w:rPr>
          <w:b/>
        </w:rPr>
        <w:t>Beschlüsse der Kommission für das Arbeitsvertragsrecht der bayerischen Diözesen vom 16. März 2017</w:t>
      </w:r>
    </w:p>
    <w:p w:rsidR="00BE1EFE" w:rsidRDefault="00BE1EFE" w:rsidP="00281770">
      <w:pPr>
        <w:pStyle w:val="StandardWeb"/>
      </w:pPr>
    </w:p>
    <w:p w:rsidR="00BE1EFE" w:rsidRDefault="00BE1EFE" w:rsidP="00281770">
      <w:pPr>
        <w:pStyle w:val="StandardWeb"/>
      </w:pPr>
      <w:r>
        <w:t>§ 4 ABD Teil A, 1. (Versetzung, Abordnung, Zuweisung, Personalgestellung)</w:t>
      </w:r>
    </w:p>
    <w:p w:rsidR="00BE1EFE" w:rsidRDefault="00BE1EFE" w:rsidP="00281770">
      <w:pPr>
        <w:pStyle w:val="StandardWeb"/>
      </w:pPr>
      <w:r>
        <w:t>hier: Herstellung vergleichbarer Einsatzmöglichkeiten wie im öffentlichen</w:t>
      </w:r>
      <w:r w:rsidR="0055564F">
        <w:t xml:space="preserve"> </w:t>
      </w:r>
      <w:r>
        <w:t>Dienst</w:t>
      </w:r>
    </w:p>
    <w:p w:rsidR="00BE1EFE" w:rsidRDefault="00BE1EFE" w:rsidP="00723B28">
      <w:pPr>
        <w:pStyle w:val="StandardWeb"/>
        <w:jc w:val="right"/>
      </w:pPr>
      <w:r>
        <w:t>zum 1. Mai 2017</w:t>
      </w:r>
    </w:p>
    <w:p w:rsidR="00BE1EFE" w:rsidRDefault="00BE1EFE" w:rsidP="00281770">
      <w:pPr>
        <w:pStyle w:val="StandardWeb"/>
      </w:pPr>
    </w:p>
    <w:p w:rsidR="00BE1EFE" w:rsidRDefault="00BE1EFE" w:rsidP="00281770">
      <w:pPr>
        <w:pStyle w:val="StandardWeb"/>
      </w:pPr>
      <w:r>
        <w:t>– § 20 ABD Teil A, 1. (Jahressonderzahlung)</w:t>
      </w:r>
    </w:p>
    <w:p w:rsidR="00BE1EFE" w:rsidRDefault="00BE1EFE" w:rsidP="00281770">
      <w:pPr>
        <w:pStyle w:val="StandardWeb"/>
      </w:pPr>
      <w:r>
        <w:t>hier: anteilige Zahlung und Zahlung bei Altersteilzeit</w:t>
      </w:r>
    </w:p>
    <w:p w:rsidR="00BE1EFE" w:rsidRDefault="00BE1EFE" w:rsidP="00723B28">
      <w:pPr>
        <w:pStyle w:val="StandardWeb"/>
        <w:jc w:val="right"/>
      </w:pPr>
      <w:r>
        <w:lastRenderedPageBreak/>
        <w:t>zum 1. Mai 2017</w:t>
      </w:r>
    </w:p>
    <w:p w:rsidR="00BE1EFE" w:rsidRDefault="00BE1EFE" w:rsidP="00281770">
      <w:pPr>
        <w:pStyle w:val="StandardWeb"/>
      </w:pPr>
    </w:p>
    <w:p w:rsidR="00BE1EFE" w:rsidRDefault="00BE1EFE" w:rsidP="00281770">
      <w:pPr>
        <w:pStyle w:val="StandardWeb"/>
      </w:pPr>
      <w:r>
        <w:t>– ABD Teil A, 1.</w:t>
      </w:r>
    </w:p>
    <w:p w:rsidR="00BE1EFE" w:rsidRDefault="00BE1EFE" w:rsidP="00281770">
      <w:pPr>
        <w:pStyle w:val="StandardWeb"/>
      </w:pPr>
      <w:r>
        <w:t>hier: Regelungen für Beschäftigte in der Pflege in Umsetzung der neuen Entgeltordnung</w:t>
      </w:r>
    </w:p>
    <w:p w:rsidR="00BE1EFE" w:rsidRDefault="00BE1EFE" w:rsidP="00723B28">
      <w:pPr>
        <w:pStyle w:val="StandardWeb"/>
        <w:jc w:val="right"/>
      </w:pPr>
      <w:r>
        <w:t>zum 1. April 2017</w:t>
      </w:r>
    </w:p>
    <w:p w:rsidR="00BE1EFE" w:rsidRDefault="00BE1EFE" w:rsidP="00281770">
      <w:pPr>
        <w:pStyle w:val="StandardWeb"/>
      </w:pPr>
    </w:p>
    <w:p w:rsidR="00BE1EFE" w:rsidRDefault="00BE1EFE" w:rsidP="00281770">
      <w:pPr>
        <w:pStyle w:val="StandardWeb"/>
      </w:pPr>
      <w:r>
        <w:t>– ABD Teil A, 2.3. Nummer 30 (Beschäftigte im Sozial- und Erziehungsdienst)</w:t>
      </w:r>
    </w:p>
    <w:p w:rsidR="00BE1EFE" w:rsidRDefault="00BE1EFE" w:rsidP="00281770">
      <w:pPr>
        <w:pStyle w:val="StandardWeb"/>
      </w:pPr>
      <w:r>
        <w:t>hier: Eingruppierung von Erzieherinnen/Erziehern – Betreuung/Erziehung der Kinder von Flüchtlingen in Kindertageseinrichtungen</w:t>
      </w:r>
    </w:p>
    <w:p w:rsidR="00BE1EFE" w:rsidRDefault="00BE1EFE" w:rsidP="00723B28">
      <w:pPr>
        <w:pStyle w:val="StandardWeb"/>
        <w:jc w:val="right"/>
      </w:pPr>
      <w:r>
        <w:t>zum 1. Mai 2017</w:t>
      </w:r>
    </w:p>
    <w:p w:rsidR="00BE1EFE" w:rsidRDefault="00BE1EFE" w:rsidP="00281770">
      <w:pPr>
        <w:pStyle w:val="StandardWeb"/>
      </w:pPr>
    </w:p>
    <w:p w:rsidR="00BE1EFE" w:rsidRDefault="00BE1EFE" w:rsidP="00281770">
      <w:pPr>
        <w:pStyle w:val="StandardWeb"/>
      </w:pPr>
      <w:r>
        <w:t>– ABD Teil C, 7. (Dienstordnung für das pädagogische Personal in den katholischen Kindertageseinrichtungen)</w:t>
      </w:r>
    </w:p>
    <w:p w:rsidR="00BE1EFE" w:rsidRDefault="00BE1EFE" w:rsidP="00281770">
      <w:pPr>
        <w:pStyle w:val="StandardWeb"/>
      </w:pPr>
      <w:r>
        <w:t>hier: Anpassung der Dienstordnung an die Änderungen der Verordnung zur Ausführung des Bayerischen Kinderbildungs- und -betreuungsgesetzes (AVBayKiBiG) vom 12. September 2013</w:t>
      </w:r>
    </w:p>
    <w:p w:rsidR="00BE1EFE" w:rsidRDefault="00BE1EFE" w:rsidP="00723B28">
      <w:pPr>
        <w:pStyle w:val="StandardWeb"/>
        <w:jc w:val="right"/>
      </w:pPr>
      <w:r>
        <w:t>zum 1. Mai 2017</w:t>
      </w:r>
    </w:p>
    <w:p w:rsidR="0055564F" w:rsidRDefault="0055564F" w:rsidP="00723B28">
      <w:pPr>
        <w:pStyle w:val="StandardWeb"/>
        <w:jc w:val="right"/>
      </w:pPr>
    </w:p>
    <w:p w:rsidR="0055564F" w:rsidRDefault="0055564F" w:rsidP="000C3E4A">
      <w:pPr>
        <w:pStyle w:val="StandardWeb"/>
        <w:jc w:val="left"/>
      </w:pPr>
      <w:r w:rsidRPr="0055564F">
        <w:t>B e s c h l u s s  b e t r i f f t  n u r  D i ö z e s e  A u g s b u r g</w:t>
      </w:r>
    </w:p>
    <w:p w:rsidR="0055564F" w:rsidRDefault="0055564F" w:rsidP="000C3E4A">
      <w:pPr>
        <w:pStyle w:val="StandardWeb"/>
        <w:jc w:val="left"/>
      </w:pPr>
    </w:p>
    <w:p w:rsidR="00BE1EFE" w:rsidRDefault="00BE1EFE" w:rsidP="000C3E4A">
      <w:pPr>
        <w:pStyle w:val="StandardWeb"/>
      </w:pPr>
      <w:r>
        <w:t>– ABD Teil F, 13. (Sonderregelung zum Entgelt für Religionslehrkräfte im Kirchendienst in der Diözese Augsburg)</w:t>
      </w:r>
    </w:p>
    <w:p w:rsidR="00BE1EFE" w:rsidRDefault="00BE1EFE" w:rsidP="000C3E4A">
      <w:pPr>
        <w:pStyle w:val="StandardWeb"/>
      </w:pPr>
      <w:r>
        <w:t>hier: Billigung von Zulagenregelungen</w:t>
      </w:r>
    </w:p>
    <w:p w:rsidR="00BE1EFE" w:rsidRDefault="00BE1EFE" w:rsidP="000C3E4A">
      <w:pPr>
        <w:pStyle w:val="StandardWeb"/>
        <w:jc w:val="right"/>
      </w:pPr>
      <w:r>
        <w:t>zum 1. September 2017</w:t>
      </w:r>
    </w:p>
    <w:p w:rsidR="00BE1EFE" w:rsidRDefault="00BE1EFE" w:rsidP="000C3E4A">
      <w:pPr>
        <w:pStyle w:val="StandardWeb"/>
        <w:jc w:val="right"/>
      </w:pPr>
    </w:p>
    <w:p w:rsidR="00BE1EFE" w:rsidRDefault="00BE1EFE" w:rsidP="000C3E4A">
      <w:pPr>
        <w:pStyle w:val="StandardWeb"/>
        <w:jc w:val="right"/>
        <w:sectPr w:rsidR="00BE1EFE" w:rsidSect="00386681">
          <w:headerReference w:type="default" r:id="rId1765"/>
          <w:pgSz w:w="8392" w:h="11907" w:code="11"/>
          <w:pgMar w:top="1418" w:right="567" w:bottom="567" w:left="1134" w:header="284" w:footer="284" w:gutter="0"/>
          <w:cols w:space="708"/>
          <w:docGrid w:linePitch="360"/>
        </w:sectPr>
      </w:pPr>
    </w:p>
    <w:p w:rsidR="00BE1EFE" w:rsidRDefault="00BE1EFE" w:rsidP="00E60E45">
      <w:pPr>
        <w:pStyle w:val="berschrift5"/>
        <w:spacing w:before="0"/>
        <w:rPr>
          <w:lang w:eastAsia="x-none"/>
        </w:rPr>
      </w:pPr>
      <w:bookmarkStart w:id="1161" w:name="_Toc523926677"/>
      <w:r>
        <w:lastRenderedPageBreak/>
        <w:t>Beschlüsse 201</w:t>
      </w:r>
      <w:r>
        <w:rPr>
          <w:lang w:eastAsia="x-none"/>
        </w:rPr>
        <w:t>6</w:t>
      </w:r>
      <w:bookmarkEnd w:id="1161"/>
    </w:p>
    <w:p w:rsidR="00BE1EFE" w:rsidRPr="00B76821" w:rsidRDefault="00BE1EFE" w:rsidP="00B76821">
      <w:pPr>
        <w:pStyle w:val="berschrift6"/>
        <w:keepNext w:val="0"/>
        <w:spacing w:before="0" w:after="0"/>
        <w:rPr>
          <w:sz w:val="2"/>
        </w:rPr>
      </w:pPr>
    </w:p>
    <w:p w:rsidR="00BE1EFE" w:rsidRPr="00FC102D" w:rsidRDefault="00BE1EFE" w:rsidP="006454D1">
      <w:pPr>
        <w:pStyle w:val="StandardWeb"/>
        <w:rPr>
          <w:b/>
        </w:rPr>
      </w:pPr>
      <w:r>
        <w:rPr>
          <w:b/>
        </w:rPr>
        <w:t xml:space="preserve">Anlage 116 </w:t>
      </w:r>
      <w:r w:rsidRPr="007D6DFB">
        <w:t>[</w:t>
      </w:r>
      <w:hyperlink r:id="rId1766" w:history="1">
        <w:r w:rsidRPr="00281770">
          <w:rPr>
            <w:rStyle w:val="Hyperlink"/>
          </w:rPr>
          <w:t>herunterladen</w:t>
        </w:r>
      </w:hyperlink>
      <w:r w:rsidRPr="007D6DFB">
        <w:t>]</w:t>
      </w:r>
    </w:p>
    <w:p w:rsidR="00BE1EFE" w:rsidRDefault="00BE1EFE" w:rsidP="00FC102D">
      <w:pPr>
        <w:pStyle w:val="StandardWeb"/>
        <w:rPr>
          <w:b/>
        </w:rPr>
      </w:pPr>
    </w:p>
    <w:p w:rsidR="00BE1EFE" w:rsidRDefault="00BE1EFE" w:rsidP="00FC102D">
      <w:pPr>
        <w:pStyle w:val="StandardWeb"/>
        <w:rPr>
          <w:b/>
        </w:rPr>
      </w:pPr>
      <w:r w:rsidRPr="00FC102D">
        <w:rPr>
          <w:b/>
        </w:rPr>
        <w:t>Beschlüsse der Kommission für das Arbeitsvertragsrecht der bayerischen Diözesen vom 30.11./01.12.2016 und vom 21.12.2016</w:t>
      </w:r>
    </w:p>
    <w:p w:rsidR="00BE1EFE" w:rsidRPr="00FC102D" w:rsidRDefault="00BE1EFE" w:rsidP="00FC102D">
      <w:pPr>
        <w:pStyle w:val="StandardWeb"/>
        <w:rPr>
          <w:b/>
        </w:rPr>
      </w:pPr>
    </w:p>
    <w:p w:rsidR="00BE1EFE" w:rsidRDefault="00BE1EFE" w:rsidP="00C02DBD">
      <w:pPr>
        <w:pStyle w:val="StandardWeb"/>
      </w:pPr>
      <w:r>
        <w:t>– ABD Teil A und ABD Teil B</w:t>
      </w:r>
    </w:p>
    <w:p w:rsidR="00BE1EFE" w:rsidRDefault="00BE1EFE" w:rsidP="00C02DBD">
      <w:pPr>
        <w:pStyle w:val="StandardWeb"/>
      </w:pPr>
      <w:r>
        <w:t>hier: Umsetzung des Änderungstarifvertrags Nr. 12 vom 29. April 2016 zum Tarifvertrag für den öffentlichen Dienst (TVöD) vom 13. September 2005</w:t>
      </w:r>
    </w:p>
    <w:p w:rsidR="00BE1EFE" w:rsidRDefault="00BE1EFE" w:rsidP="00FC102D">
      <w:pPr>
        <w:pStyle w:val="StandardWeb"/>
        <w:jc w:val="right"/>
      </w:pPr>
      <w:r>
        <w:t>verschiedene Inkraftsetzungsdaten</w:t>
      </w:r>
    </w:p>
    <w:p w:rsidR="00BE1EFE" w:rsidRDefault="00BE1EFE" w:rsidP="00FC102D">
      <w:pPr>
        <w:pStyle w:val="StandardWeb"/>
      </w:pPr>
    </w:p>
    <w:p w:rsidR="00BE1EFE" w:rsidRDefault="00BE1EFE" w:rsidP="00C02DBD">
      <w:pPr>
        <w:pStyle w:val="StandardWeb"/>
      </w:pPr>
      <w:r>
        <w:t xml:space="preserve">– ABD Teil A, 1. </w:t>
      </w:r>
    </w:p>
    <w:p w:rsidR="00BE1EFE" w:rsidRDefault="00BE1EFE" w:rsidP="00C02DBD">
      <w:pPr>
        <w:pStyle w:val="StandardWeb"/>
      </w:pPr>
      <w:r>
        <w:t>hier: Umsetzung des Änderungstarifvertrags Nr. 22 vom 29. April 2016 zum Tarifvertrag für den öffentlichen Dienst (TVöD) – Besonderer Teil Verwaltung – (BT-V) – vom 13. September 2005</w:t>
      </w:r>
    </w:p>
    <w:p w:rsidR="00BE1EFE" w:rsidRDefault="00BE1EFE" w:rsidP="00FC102D">
      <w:pPr>
        <w:pStyle w:val="StandardWeb"/>
        <w:jc w:val="right"/>
      </w:pPr>
      <w:r>
        <w:t>verschiedene Inkraftsetzungsdaten</w:t>
      </w:r>
    </w:p>
    <w:p w:rsidR="00BE1EFE" w:rsidRDefault="00BE1EFE" w:rsidP="00FC102D">
      <w:pPr>
        <w:pStyle w:val="StandardWeb"/>
      </w:pPr>
    </w:p>
    <w:p w:rsidR="00BE1EFE" w:rsidRDefault="00BE1EFE" w:rsidP="00C02DBD">
      <w:pPr>
        <w:pStyle w:val="StandardWeb"/>
      </w:pPr>
      <w:r>
        <w:t>– ABD Teil A, 2.15. (Vorläufige Entgeltordnung für Pfarrhelferinnen und Pfarrhelfer)</w:t>
      </w:r>
    </w:p>
    <w:p w:rsidR="00BE1EFE" w:rsidRDefault="00BE1EFE" w:rsidP="00C02DBD">
      <w:pPr>
        <w:pStyle w:val="StandardWeb"/>
      </w:pPr>
      <w:r>
        <w:t xml:space="preserve">hier: Anpassung an die neuen Eingruppierungvorschriften gemäß Entgeltordnung im ABD </w:t>
      </w:r>
    </w:p>
    <w:p w:rsidR="00BE1EFE" w:rsidRPr="00FC102D" w:rsidRDefault="00BE1EFE" w:rsidP="00984C0C">
      <w:pPr>
        <w:pStyle w:val="StandardWeb"/>
        <w:jc w:val="right"/>
      </w:pPr>
      <w:r>
        <w:t>zum 1. Januar 2017</w:t>
      </w:r>
    </w:p>
    <w:p w:rsidR="00BE1EFE" w:rsidRDefault="00BE1EFE" w:rsidP="00C02DBD">
      <w:pPr>
        <w:pStyle w:val="StandardWeb"/>
      </w:pPr>
      <w:r>
        <w:t>– ABD Teil A. 3</w:t>
      </w:r>
    </w:p>
    <w:p w:rsidR="00BE1EFE" w:rsidRDefault="00BE1EFE" w:rsidP="00C02DBD">
      <w:pPr>
        <w:pStyle w:val="StandardWeb"/>
      </w:pPr>
      <w:r>
        <w:t>hier: Umsetzung des Änderungstarifvertrag Nr. 11 vom 29. April 2016 zum Tarifvertrag zur Überleitung der Beschäftigten der kommunalen Arbeitgeber in den TVöD und zur Regelung des Übergangsrechts (TVÜ-VKA) vom 13. September 2005</w:t>
      </w:r>
    </w:p>
    <w:p w:rsidR="00BE1EFE" w:rsidRDefault="00BE1EFE" w:rsidP="00FC102D">
      <w:pPr>
        <w:pStyle w:val="StandardWeb"/>
        <w:jc w:val="right"/>
      </w:pPr>
      <w:r>
        <w:t>verschiedene Inkraftsetzungsdaten</w:t>
      </w:r>
    </w:p>
    <w:p w:rsidR="00BE1EFE" w:rsidRDefault="00BE1EFE" w:rsidP="00FC102D">
      <w:pPr>
        <w:pStyle w:val="StandardWeb"/>
        <w:jc w:val="right"/>
      </w:pPr>
    </w:p>
    <w:p w:rsidR="00BE1EFE" w:rsidRDefault="00BE1EFE" w:rsidP="008354D8">
      <w:pPr>
        <w:pStyle w:val="StandardWeb"/>
        <w:rPr>
          <w:b/>
        </w:rPr>
      </w:pPr>
    </w:p>
    <w:p w:rsidR="00BE1EFE" w:rsidRDefault="00BE1EFE" w:rsidP="006454D1">
      <w:pPr>
        <w:pStyle w:val="StandardWeb"/>
      </w:pPr>
      <w:r>
        <w:rPr>
          <w:b/>
        </w:rPr>
        <w:t>Anlage 115</w:t>
      </w:r>
      <w:r>
        <w:t xml:space="preserve"> </w:t>
      </w:r>
      <w:hyperlink r:id="rId1767" w:history="1">
        <w:r w:rsidRPr="008354D8">
          <w:rPr>
            <w:rStyle w:val="Hyperlink"/>
          </w:rPr>
          <w:t>[herunterladen]</w:t>
        </w:r>
      </w:hyperlink>
    </w:p>
    <w:p w:rsidR="00BE1EFE" w:rsidRDefault="00BE1EFE" w:rsidP="00FC102D">
      <w:pPr>
        <w:pStyle w:val="StandardWeb"/>
        <w:jc w:val="left"/>
        <w:rPr>
          <w:b/>
        </w:rPr>
      </w:pPr>
    </w:p>
    <w:p w:rsidR="00BE1EFE" w:rsidRPr="008354D8" w:rsidRDefault="00BE1EFE" w:rsidP="00FC102D">
      <w:pPr>
        <w:pStyle w:val="StandardWeb"/>
        <w:jc w:val="left"/>
        <w:rPr>
          <w:b/>
        </w:rPr>
      </w:pPr>
      <w:r>
        <w:rPr>
          <w:b/>
        </w:rPr>
        <w:t xml:space="preserve">Beschlüsse </w:t>
      </w:r>
      <w:r w:rsidRPr="008354D8">
        <w:rPr>
          <w:b/>
        </w:rPr>
        <w:t xml:space="preserve">der Kommission für das Arbeitsvertragsrecht der bayerischen Diözesen </w:t>
      </w:r>
    </w:p>
    <w:p w:rsidR="00BE1EFE" w:rsidRPr="008354D8" w:rsidRDefault="00BE1EFE" w:rsidP="008354D8">
      <w:pPr>
        <w:pStyle w:val="StandardWeb"/>
        <w:rPr>
          <w:b/>
        </w:rPr>
      </w:pPr>
    </w:p>
    <w:p w:rsidR="00BE1EFE" w:rsidRDefault="00BE1EFE" w:rsidP="008354D8">
      <w:pPr>
        <w:pStyle w:val="StandardWeb"/>
        <w:rPr>
          <w:b/>
        </w:rPr>
      </w:pPr>
      <w:r>
        <w:rPr>
          <w:b/>
        </w:rPr>
        <w:t>a. Beschluss vom 21.09.2016</w:t>
      </w:r>
    </w:p>
    <w:p w:rsidR="00BE1EFE" w:rsidRDefault="00BE1EFE" w:rsidP="008354D8">
      <w:pPr>
        <w:pStyle w:val="StandardWeb"/>
        <w:rPr>
          <w:b/>
        </w:rPr>
      </w:pPr>
    </w:p>
    <w:p w:rsidR="00BE1EFE" w:rsidRPr="008354D8" w:rsidRDefault="00BE1EFE" w:rsidP="00C02DBD">
      <w:pPr>
        <w:pStyle w:val="StandardWeb"/>
      </w:pPr>
      <w:r>
        <w:t>ABD Teil D, </w:t>
      </w:r>
      <w:r w:rsidRPr="008354D8">
        <w:t>1. (Regelung zur Aufnahme kirchenspezifischer Bestandteile in die Arbeitsver</w:t>
      </w:r>
      <w:r>
        <w:softHyphen/>
      </w:r>
      <w:r w:rsidRPr="008354D8">
        <w:t>träge in den bayerischen (Erz-)Diözesen)</w:t>
      </w:r>
    </w:p>
    <w:p w:rsidR="00BE1EFE" w:rsidRPr="008354D8" w:rsidRDefault="00BE1EFE" w:rsidP="00C02DBD">
      <w:pPr>
        <w:pStyle w:val="StandardWeb"/>
      </w:pPr>
      <w:r>
        <w:t>hier: </w:t>
      </w:r>
      <w:r w:rsidRPr="008354D8">
        <w:t xml:space="preserve">redaktionelle Änderungen in Umsetzung der Änderung der </w:t>
      </w:r>
      <w:r>
        <w:t>Ordnung für das Arbeitsver</w:t>
      </w:r>
      <w:r>
        <w:softHyphen/>
        <w:t>tragsrecht der bayerischen Diözesen</w:t>
      </w:r>
    </w:p>
    <w:p w:rsidR="00BE1EFE" w:rsidRPr="008354D8" w:rsidRDefault="00BE1EFE" w:rsidP="00C51FCE">
      <w:pPr>
        <w:pStyle w:val="StandardWeb"/>
        <w:jc w:val="right"/>
      </w:pPr>
      <w:r w:rsidRPr="008354D8">
        <w:t>zum 1. Oktober 2016</w:t>
      </w:r>
    </w:p>
    <w:p w:rsidR="00BE1EFE" w:rsidRDefault="00BE1EFE" w:rsidP="008354D8">
      <w:pPr>
        <w:pStyle w:val="StandardWeb"/>
        <w:rPr>
          <w:b/>
        </w:rPr>
      </w:pPr>
    </w:p>
    <w:p w:rsidR="00BE1EFE" w:rsidRPr="008354D8" w:rsidRDefault="00BE1EFE" w:rsidP="00984C0C">
      <w:pPr>
        <w:pStyle w:val="StandardWeb"/>
        <w:rPr>
          <w:b/>
        </w:rPr>
      </w:pPr>
      <w:r>
        <w:rPr>
          <w:b/>
        </w:rPr>
        <w:t xml:space="preserve">b. </w:t>
      </w:r>
      <w:r w:rsidRPr="008354D8">
        <w:rPr>
          <w:b/>
        </w:rPr>
        <w:t>Beschlu</w:t>
      </w:r>
      <w:r>
        <w:rPr>
          <w:b/>
        </w:rPr>
        <w:t xml:space="preserve">ss </w:t>
      </w:r>
      <w:r w:rsidRPr="008354D8">
        <w:rPr>
          <w:b/>
        </w:rPr>
        <w:t>vom 09.11.2016</w:t>
      </w:r>
    </w:p>
    <w:p w:rsidR="00BE1EFE" w:rsidRPr="008354D8" w:rsidRDefault="00BE1EFE" w:rsidP="00984C0C">
      <w:pPr>
        <w:pStyle w:val="StandardWeb"/>
        <w:rPr>
          <w:b/>
        </w:rPr>
      </w:pPr>
    </w:p>
    <w:p w:rsidR="00BE1EFE" w:rsidRPr="00B516DE" w:rsidRDefault="00BE1EFE" w:rsidP="00B516DE">
      <w:pPr>
        <w:pStyle w:val="StandardWeb"/>
        <w:rPr>
          <w:b/>
        </w:rPr>
      </w:pPr>
      <w:r>
        <w:rPr>
          <w:b/>
        </w:rPr>
        <w:t>–</w:t>
      </w:r>
      <w:r w:rsidRPr="00B516DE">
        <w:rPr>
          <w:b/>
        </w:rPr>
        <w:t xml:space="preserve"> ABD Teil F, 12. (Kinderbetreuungszuschuss)</w:t>
      </w:r>
    </w:p>
    <w:p w:rsidR="00BE1EFE" w:rsidRPr="008354D8" w:rsidRDefault="00BE1EFE" w:rsidP="00984C0C">
      <w:pPr>
        <w:pStyle w:val="StandardWeb"/>
        <w:jc w:val="right"/>
      </w:pPr>
      <w:r w:rsidRPr="008354D8">
        <w:t>zum 1. Dezember 2016</w:t>
      </w:r>
    </w:p>
    <w:p w:rsidR="00BE1EFE" w:rsidRDefault="00BE1EFE" w:rsidP="008354D8">
      <w:pPr>
        <w:pStyle w:val="StandardWeb"/>
        <w:rPr>
          <w:b/>
        </w:rPr>
      </w:pPr>
    </w:p>
    <w:p w:rsidR="00BE1EFE" w:rsidRDefault="00BE1EFE" w:rsidP="008354D8">
      <w:pPr>
        <w:pStyle w:val="StandardWeb"/>
        <w:rPr>
          <w:b/>
        </w:rPr>
      </w:pPr>
      <w:r>
        <w:rPr>
          <w:b/>
        </w:rPr>
        <w:t>c. Beschlüsse vom 30.11./01.12.2016</w:t>
      </w:r>
    </w:p>
    <w:p w:rsidR="00BE1EFE" w:rsidRDefault="00BE1EFE" w:rsidP="008354D8">
      <w:pPr>
        <w:pStyle w:val="StandardWeb"/>
        <w:rPr>
          <w:b/>
        </w:rPr>
      </w:pPr>
    </w:p>
    <w:p w:rsidR="00BE1EFE" w:rsidRPr="008354D8" w:rsidRDefault="00BE1EFE" w:rsidP="008354D8">
      <w:pPr>
        <w:pStyle w:val="StandardWeb"/>
        <w:rPr>
          <w:b/>
        </w:rPr>
      </w:pPr>
      <w:r>
        <w:rPr>
          <w:b/>
        </w:rPr>
        <w:t>–</w:t>
      </w:r>
      <w:r w:rsidRPr="008354D8">
        <w:rPr>
          <w:b/>
        </w:rPr>
        <w:t xml:space="preserve"> ABD Teil B, 5. (Regelung für die Kraftfahrer und Kraftfahrerinnen)</w:t>
      </w:r>
      <w:r>
        <w:rPr>
          <w:b/>
        </w:rPr>
        <w:t xml:space="preserve"> </w:t>
      </w:r>
    </w:p>
    <w:p w:rsidR="00BE1EFE" w:rsidRPr="00FC102D" w:rsidRDefault="00BE1EFE" w:rsidP="008354D8">
      <w:pPr>
        <w:pStyle w:val="StandardWeb"/>
      </w:pPr>
      <w:r>
        <w:t>hier: </w:t>
      </w:r>
      <w:r w:rsidRPr="008354D8">
        <w:t>Erhöhung der Pa</w:t>
      </w:r>
      <w:r>
        <w:t>uschalentgelte in Umsetzung des</w:t>
      </w:r>
      <w:r w:rsidRPr="008354D8">
        <w:t xml:space="preserve"> Änderungstarifvertrags Nr. 5 vom 29</w:t>
      </w:r>
      <w:r>
        <w:t xml:space="preserve">. April 2016 zum Tarifvertrag </w:t>
      </w:r>
      <w:r w:rsidRPr="008354D8">
        <w:t xml:space="preserve">für die Kraftfahrer </w:t>
      </w:r>
      <w:r>
        <w:t>und Kraftfahrerinnen des Bundes</w:t>
      </w:r>
      <w:r w:rsidRPr="008354D8">
        <w:t xml:space="preserve"> (Kraftfahrer</w:t>
      </w:r>
      <w:r>
        <w:t>TV Bund) vom 13. September 2005</w:t>
      </w:r>
    </w:p>
    <w:p w:rsidR="00BE1EFE" w:rsidRPr="008354D8" w:rsidRDefault="00BE1EFE" w:rsidP="008354D8">
      <w:pPr>
        <w:pStyle w:val="StandardWeb"/>
        <w:jc w:val="right"/>
      </w:pPr>
      <w:r w:rsidRPr="008354D8">
        <w:t>verschiedene Inkraftsetzungsdaten</w:t>
      </w:r>
    </w:p>
    <w:p w:rsidR="00BE1EFE" w:rsidRPr="008354D8" w:rsidRDefault="00BE1EFE" w:rsidP="008354D8">
      <w:pPr>
        <w:pStyle w:val="StandardWeb"/>
        <w:rPr>
          <w:b/>
        </w:rPr>
      </w:pPr>
    </w:p>
    <w:p w:rsidR="00BE1EFE" w:rsidRPr="008354D8" w:rsidRDefault="00BE1EFE" w:rsidP="00C02DBD">
      <w:pPr>
        <w:pStyle w:val="StandardWeb"/>
        <w:rPr>
          <w:b/>
        </w:rPr>
      </w:pPr>
      <w:r>
        <w:rPr>
          <w:b/>
        </w:rPr>
        <w:lastRenderedPageBreak/>
        <w:t>– </w:t>
      </w:r>
      <w:r w:rsidRPr="008354D8">
        <w:rPr>
          <w:b/>
        </w:rPr>
        <w:t>ABD Teil C, 1. (Dienstordnung für Pastoralassistentinnen/ Pastoralassistenten und Pastoralref</w:t>
      </w:r>
      <w:r>
        <w:rPr>
          <w:b/>
        </w:rPr>
        <w:t>erentinnen/Pastoralreferenten) und</w:t>
      </w:r>
    </w:p>
    <w:p w:rsidR="00BE1EFE" w:rsidRPr="008354D8" w:rsidRDefault="00BE1EFE" w:rsidP="00C02DBD">
      <w:pPr>
        <w:pStyle w:val="StandardWeb"/>
        <w:rPr>
          <w:b/>
        </w:rPr>
      </w:pPr>
      <w:r>
        <w:rPr>
          <w:b/>
        </w:rPr>
        <w:t>ABD Teil C, 2.</w:t>
      </w:r>
      <w:r w:rsidRPr="008354D8">
        <w:rPr>
          <w:b/>
        </w:rPr>
        <w:t xml:space="preserve"> (Dienstordnung für Gemeindereferen</w:t>
      </w:r>
      <w:r>
        <w:rPr>
          <w:b/>
        </w:rPr>
        <w:t>tinnen und Gemeindereferenten)</w:t>
      </w:r>
    </w:p>
    <w:p w:rsidR="00BE1EFE" w:rsidRPr="008354D8" w:rsidRDefault="00BE1EFE" w:rsidP="00C02DBD">
      <w:pPr>
        <w:pStyle w:val="StandardWeb"/>
      </w:pPr>
      <w:r>
        <w:t>hier: </w:t>
      </w:r>
      <w:r w:rsidRPr="008354D8">
        <w:t>Vereinheitlichung de</w:t>
      </w:r>
      <w:r>
        <w:t>r Regelungen zur Qualifizierung</w:t>
      </w:r>
    </w:p>
    <w:p w:rsidR="00BE1EFE" w:rsidRPr="008354D8" w:rsidRDefault="00BE1EFE" w:rsidP="008354D8">
      <w:pPr>
        <w:pStyle w:val="StandardWeb"/>
        <w:jc w:val="right"/>
      </w:pPr>
      <w:r w:rsidRPr="008354D8">
        <w:t>zum 1. Dezember 2016</w:t>
      </w:r>
    </w:p>
    <w:p w:rsidR="00BE1EFE" w:rsidRPr="008354D8" w:rsidRDefault="00BE1EFE" w:rsidP="008354D8">
      <w:pPr>
        <w:pStyle w:val="StandardWeb"/>
        <w:rPr>
          <w:b/>
        </w:rPr>
      </w:pPr>
    </w:p>
    <w:p w:rsidR="00BE1EFE" w:rsidRDefault="00BE1EFE" w:rsidP="002D63EB">
      <w:pPr>
        <w:pStyle w:val="StandardWeb"/>
        <w:rPr>
          <w:b/>
        </w:rPr>
      </w:pPr>
    </w:p>
    <w:p w:rsidR="00BE1EFE" w:rsidRDefault="00BE1EFE" w:rsidP="006454D1">
      <w:pPr>
        <w:pStyle w:val="StandardWeb"/>
      </w:pPr>
      <w:r>
        <w:rPr>
          <w:b/>
        </w:rPr>
        <w:t>Anlage 114</w:t>
      </w:r>
      <w:r>
        <w:t xml:space="preserve"> </w:t>
      </w:r>
      <w:hyperlink r:id="rId1768" w:history="1">
        <w:r w:rsidRPr="008354D8">
          <w:rPr>
            <w:rStyle w:val="Hyperlink"/>
          </w:rPr>
          <w:t>[herunterladen]</w:t>
        </w:r>
      </w:hyperlink>
    </w:p>
    <w:p w:rsidR="00BE1EFE" w:rsidRDefault="00BE1EFE" w:rsidP="002D63EB">
      <w:pPr>
        <w:pStyle w:val="StandardWeb"/>
        <w:rPr>
          <w:b/>
        </w:rPr>
      </w:pPr>
    </w:p>
    <w:p w:rsidR="00BE1EFE" w:rsidRDefault="00BE1EFE" w:rsidP="002D63EB">
      <w:pPr>
        <w:pStyle w:val="StandardWeb"/>
        <w:rPr>
          <w:b/>
        </w:rPr>
      </w:pPr>
      <w:r w:rsidRPr="00D1147D">
        <w:rPr>
          <w:b/>
        </w:rPr>
        <w:t xml:space="preserve">Beschlüsse </w:t>
      </w:r>
      <w:r>
        <w:rPr>
          <w:b/>
        </w:rPr>
        <w:t xml:space="preserve">der </w:t>
      </w:r>
      <w:r w:rsidRPr="00993F28">
        <w:rPr>
          <w:b/>
        </w:rPr>
        <w:t>Kommission für das Arbeitsvertragsrecht der bayerischen Diözesen</w:t>
      </w:r>
      <w:r>
        <w:rPr>
          <w:b/>
        </w:rPr>
        <w:t xml:space="preserve"> vom 28.07.2016</w:t>
      </w:r>
    </w:p>
    <w:p w:rsidR="00BE1EFE" w:rsidRDefault="00BE1EFE" w:rsidP="002D63EB">
      <w:pPr>
        <w:pStyle w:val="StandardWeb"/>
        <w:rPr>
          <w:b/>
        </w:rPr>
      </w:pPr>
    </w:p>
    <w:p w:rsidR="00BE1EFE" w:rsidRPr="00B62321" w:rsidRDefault="00BE1EFE" w:rsidP="00B4751A">
      <w:pPr>
        <w:pStyle w:val="StandardWeb"/>
        <w:rPr>
          <w:b/>
        </w:rPr>
      </w:pPr>
      <w:r w:rsidRPr="00B62321">
        <w:rPr>
          <w:b/>
        </w:rPr>
        <w:t>I. Beschlüsse der Kommission für das Arbeitsvertragsrecht der bayerischen Diözesen vom 28.07.2016</w:t>
      </w:r>
    </w:p>
    <w:p w:rsidR="00BE1EFE" w:rsidRPr="00B4751A" w:rsidRDefault="00BE1EFE" w:rsidP="00B4751A">
      <w:pPr>
        <w:pStyle w:val="StandardWeb"/>
      </w:pPr>
    </w:p>
    <w:p w:rsidR="00BE1EFE" w:rsidRPr="00B4751A" w:rsidRDefault="00BE1EFE" w:rsidP="00B4751A">
      <w:pPr>
        <w:pStyle w:val="StandardWeb"/>
      </w:pPr>
      <w:r>
        <w:t>– </w:t>
      </w:r>
      <w:r w:rsidRPr="00B4751A">
        <w:t>§ 18a ABD Teil A, 1. (Besondere Einmalzahlung )</w:t>
      </w:r>
    </w:p>
    <w:p w:rsidR="00BE1EFE" w:rsidRPr="00B4751A" w:rsidRDefault="00BE1EFE" w:rsidP="00B4751A">
      <w:pPr>
        <w:pStyle w:val="StandardWeb"/>
      </w:pPr>
      <w:r>
        <w:t>hier: </w:t>
      </w:r>
      <w:r w:rsidRPr="00B4751A">
        <w:t xml:space="preserve">Änderung des Absatzes 2 </w:t>
      </w:r>
    </w:p>
    <w:p w:rsidR="00BE1EFE" w:rsidRPr="00B4751A" w:rsidRDefault="00BE1EFE" w:rsidP="00316B8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A, 2.5. (Vorläufige Entge</w:t>
      </w:r>
      <w:r>
        <w:t>ltordnung für Gemeindeassisten</w:t>
      </w:r>
      <w:r w:rsidRPr="00B4751A">
        <w:t>ten/Gemeindeassisten</w:t>
      </w:r>
      <w:r>
        <w:t>-</w:t>
      </w:r>
      <w:r w:rsidRPr="00B4751A">
        <w:t>tinnen und G</w:t>
      </w:r>
      <w:r>
        <w:t>emeindereferenten/Gemeinderefe</w:t>
      </w:r>
      <w:r w:rsidRPr="00B4751A">
        <w:t>rentinnen in den bayerischen (Erz-)Diözesen)</w:t>
      </w:r>
    </w:p>
    <w:p w:rsidR="00BE1EFE" w:rsidRPr="00B4751A" w:rsidRDefault="00BE1EFE" w:rsidP="00B4751A">
      <w:pPr>
        <w:pStyle w:val="StandardWeb"/>
      </w:pPr>
      <w:r w:rsidRPr="00B4751A">
        <w:t xml:space="preserve">hier: Erhöhung der Zulagen </w:t>
      </w:r>
    </w:p>
    <w:p w:rsidR="00BE1EFE" w:rsidRPr="00B4751A" w:rsidRDefault="00BE1EFE" w:rsidP="00316B8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xml:space="preserve">– </w:t>
      </w:r>
      <w:r w:rsidRPr="00B4751A">
        <w:t>§ 8a ABD Teil A, 3. (Mehrfachaufstiege bei kirchenspezifischen Berufen)</w:t>
      </w:r>
    </w:p>
    <w:p w:rsidR="00BE1EFE" w:rsidRPr="00B4751A" w:rsidRDefault="00BE1EFE" w:rsidP="00B4751A">
      <w:pPr>
        <w:pStyle w:val="StandardWeb"/>
      </w:pPr>
      <w:r w:rsidRPr="00B4751A">
        <w:t>hier: Änderung der vorläufigen Regelung b</w:t>
      </w:r>
      <w:r>
        <w:t xml:space="preserve">is zum Inkrafttreten der neuen </w:t>
      </w:r>
      <w:r w:rsidRPr="00B4751A">
        <w:t>Entgeltordnung</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D, 6a. (Regelung zu flexiblen Ar</w:t>
      </w:r>
      <w:r>
        <w:t xml:space="preserve">beitszeitregelungen für ältere Beschäftigte </w:t>
      </w:r>
      <w:r>
        <w:br/>
        <w:t xml:space="preserve">– </w:t>
      </w:r>
      <w:r w:rsidRPr="00B4751A">
        <w:t>FlexAZR –)</w:t>
      </w:r>
    </w:p>
    <w:p w:rsidR="00BE1EFE" w:rsidRPr="00B4751A" w:rsidRDefault="00BE1EFE" w:rsidP="00B4751A">
      <w:pPr>
        <w:pStyle w:val="StandardWeb"/>
      </w:pPr>
      <w:r>
        <w:t>hier: </w:t>
      </w:r>
      <w:r w:rsidRPr="00B4751A">
        <w:t>Umsetzung des Änderungstarifvertrags Nr. 5 vom 29. April 2019 zum Tarifvertrag zu flexiblen Arbeitszeitregelungen für ältere Beschäftigte – TV FlexAZ – vom 27. Februar 2010</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4751A" w:rsidRDefault="00BE1EFE" w:rsidP="00B4751A">
      <w:pPr>
        <w:pStyle w:val="StandardWeb"/>
      </w:pPr>
      <w:r>
        <w:t>– </w:t>
      </w:r>
      <w:r w:rsidRPr="00B4751A">
        <w:t>ABD Teil D, 9. [Reisekostenordnung der bayerischen (Erz-)Diözesen]</w:t>
      </w:r>
    </w:p>
    <w:p w:rsidR="00BE1EFE" w:rsidRPr="00B4751A" w:rsidRDefault="00BE1EFE" w:rsidP="00B4751A">
      <w:pPr>
        <w:pStyle w:val="StandardWeb"/>
      </w:pPr>
      <w:r w:rsidRPr="00B4751A">
        <w:t>hier: Änderung und Ergänzung der Präambel</w:t>
      </w:r>
    </w:p>
    <w:p w:rsidR="00BE1EFE" w:rsidRPr="00B4751A" w:rsidRDefault="00BE1EFE" w:rsidP="00B4751A">
      <w:pPr>
        <w:pStyle w:val="StandardWeb"/>
        <w:jc w:val="right"/>
      </w:pPr>
      <w:r w:rsidRPr="00B4751A">
        <w:t>zum 1. August 2016</w:t>
      </w:r>
    </w:p>
    <w:p w:rsidR="00BE1EFE" w:rsidRPr="00B4751A" w:rsidRDefault="00BE1EFE" w:rsidP="00B4751A">
      <w:pPr>
        <w:pStyle w:val="StandardWeb"/>
      </w:pPr>
    </w:p>
    <w:p w:rsidR="00BE1EFE" w:rsidRPr="00B4751A" w:rsidRDefault="00BE1EFE" w:rsidP="00B4751A">
      <w:pPr>
        <w:pStyle w:val="StandardWeb"/>
      </w:pPr>
      <w:r>
        <w:t>– </w:t>
      </w:r>
      <w:r w:rsidRPr="00B4751A">
        <w:t>ABD Teil E, 1.1. (Regelung für Auszubildende)</w:t>
      </w:r>
    </w:p>
    <w:p w:rsidR="00BE1EFE" w:rsidRPr="00B4751A" w:rsidRDefault="00BE1EFE" w:rsidP="00B4751A">
      <w:pPr>
        <w:pStyle w:val="StandardWeb"/>
      </w:pPr>
      <w:r>
        <w:t>hier: </w:t>
      </w:r>
      <w:r w:rsidRPr="00B4751A">
        <w:t>Umsetzung des Änderungstarifvertrags Nr. 5 vom 29. April 2016 zum Tarifvertrag für Auszubildende des</w:t>
      </w:r>
      <w:r>
        <w:t xml:space="preserve"> öffentlichen Dienstes (TVAöD) </w:t>
      </w:r>
      <w:r w:rsidRPr="00B4751A">
        <w:t>– Allgemeiner Teil – vom 13. September 2005</w:t>
      </w:r>
    </w:p>
    <w:p w:rsidR="00BE1EFE" w:rsidRPr="00B4751A" w:rsidRDefault="00BE1EFE" w:rsidP="00B4751A">
      <w:pPr>
        <w:pStyle w:val="StandardWeb"/>
        <w:jc w:val="right"/>
      </w:pPr>
      <w:r w:rsidRPr="00B4751A">
        <w:t>zum 1. März 2016</w:t>
      </w:r>
    </w:p>
    <w:p w:rsidR="00BE1EFE" w:rsidRPr="00B4751A" w:rsidRDefault="00BE1EFE" w:rsidP="00B4751A">
      <w:pPr>
        <w:pStyle w:val="StandardWeb"/>
      </w:pPr>
    </w:p>
    <w:p w:rsidR="00BE1EFE" w:rsidRPr="00B62321" w:rsidRDefault="00BE1EFE" w:rsidP="00B4751A">
      <w:pPr>
        <w:pStyle w:val="StandardWeb"/>
        <w:rPr>
          <w:b/>
        </w:rPr>
      </w:pPr>
      <w:r w:rsidRPr="00B62321">
        <w:rPr>
          <w:b/>
        </w:rPr>
        <w:t>II. Beschlüsse der Kommission für das Arbeitsvertragsrecht der bayerischen Diözesen vom 28.07.2016 mit Änderungen in Umsetzung des § 20a ABD Teil A, 1.</w:t>
      </w:r>
    </w:p>
    <w:p w:rsidR="00BE1EFE" w:rsidRPr="00B4751A" w:rsidRDefault="00BE1EFE" w:rsidP="00B4751A">
      <w:pPr>
        <w:pStyle w:val="StandardWeb"/>
      </w:pPr>
    </w:p>
    <w:p w:rsidR="00BE1EFE" w:rsidRPr="00B4751A" w:rsidRDefault="00BE1EFE" w:rsidP="00B4751A">
      <w:pPr>
        <w:pStyle w:val="StandardWeb"/>
      </w:pPr>
      <w:r>
        <w:t>– </w:t>
      </w:r>
      <w:r w:rsidRPr="00B4751A">
        <w:t>ABD Teil A, 1.</w:t>
      </w:r>
    </w:p>
    <w:p w:rsidR="00BE1EFE" w:rsidRPr="00B4751A" w:rsidRDefault="00BE1EFE" w:rsidP="00B4751A">
      <w:pPr>
        <w:pStyle w:val="StandardWeb"/>
      </w:pPr>
      <w:r>
        <w:t>hier: </w:t>
      </w:r>
      <w:r w:rsidRPr="00B4751A">
        <w:t>Umsetzung des Änderungstarifvertrags Nr. 11 vom 29. April 2016 zum Tarifvertrag für den öffentlichen Dienst (TVöD) vom 13. September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1.</w:t>
      </w:r>
    </w:p>
    <w:p w:rsidR="00BE1EFE" w:rsidRPr="00B4751A" w:rsidRDefault="00BE1EFE" w:rsidP="00B4751A">
      <w:pPr>
        <w:pStyle w:val="StandardWeb"/>
      </w:pPr>
      <w:r>
        <w:lastRenderedPageBreak/>
        <w:t>hier: </w:t>
      </w:r>
      <w:r w:rsidRPr="00B4751A">
        <w:t>Umsetzung des Änderungstarifvertrags Nr. 21 vom 29. April 2014 zum Tarifvertrag für den öffentlichen Dienst (TVöD) – Besonderer Teil Verwaltung – (BT-V) – vom 13. September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2.6. (Vorläufige Entgeltordnun</w:t>
      </w:r>
      <w:r>
        <w:t xml:space="preserve">g für Religionslehrerinnen und </w:t>
      </w:r>
      <w:r w:rsidRPr="00B4751A">
        <w:t>Religionslehrer im Kirchendienst)</w:t>
      </w:r>
    </w:p>
    <w:p w:rsidR="00BE1EFE" w:rsidRPr="00B4751A" w:rsidRDefault="00BE1EFE" w:rsidP="00B4751A">
      <w:pPr>
        <w:pStyle w:val="StandardWeb"/>
      </w:pPr>
      <w:r>
        <w:t>hier: </w:t>
      </w:r>
      <w:r w:rsidRPr="00B4751A">
        <w:t xml:space="preserve">Erhöhung der Zulagen und der Förderschulzulage </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 </w:t>
      </w:r>
      <w:r w:rsidRPr="00B4751A">
        <w:t>ABD Teil A, 3. (Regelung zur Überlei</w:t>
      </w:r>
      <w:r>
        <w:t xml:space="preserve">tung der Beschäftigten und des </w:t>
      </w:r>
      <w:r w:rsidRPr="00B4751A">
        <w:t>Übergangsrechts)</w:t>
      </w:r>
    </w:p>
    <w:p w:rsidR="00BE1EFE" w:rsidRPr="00B4751A" w:rsidRDefault="00BE1EFE" w:rsidP="00B4751A">
      <w:pPr>
        <w:pStyle w:val="StandardWeb"/>
      </w:pPr>
      <w:r w:rsidRPr="00B4751A">
        <w:t>hier</w:t>
      </w:r>
      <w:r>
        <w:t>: </w:t>
      </w:r>
      <w:r w:rsidRPr="00B4751A">
        <w:t xml:space="preserve">Umsetzung des Änderungstarifvertrags Nr. </w:t>
      </w:r>
      <w:r>
        <w:t>10 vom 29. April 2016 zum Tarif</w:t>
      </w:r>
      <w:r w:rsidRPr="00B4751A">
        <w:t>vertrag zur Überleitung der Beschäftigten der kommunalen Arbeitgeber in den TVöD und zur Regelung des Übergangsrechts (TVÜ-VKA) vom 13. September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III. Beschluss der Kommission für das Arbeitsvertragsrecht der bayerischen Diözesen vom 28.07.2016 mit Änderungen in Umsetzung der §§ 2 und 3 ABD Teil D, 8.</w:t>
      </w:r>
    </w:p>
    <w:p w:rsidR="00BE1EFE" w:rsidRPr="00B4751A" w:rsidRDefault="00BE1EFE" w:rsidP="00B4751A">
      <w:pPr>
        <w:pStyle w:val="StandardWeb"/>
      </w:pPr>
    </w:p>
    <w:p w:rsidR="00BE1EFE" w:rsidRPr="00B4751A" w:rsidRDefault="00BE1EFE" w:rsidP="00B4751A">
      <w:pPr>
        <w:pStyle w:val="StandardWeb"/>
      </w:pPr>
      <w:r>
        <w:t>– </w:t>
      </w:r>
      <w:r w:rsidRPr="00B4751A">
        <w:t>ABD Teil D, 8. (Regelung über eine ergänzend</w:t>
      </w:r>
      <w:r>
        <w:t xml:space="preserve">e Leistung an Beschäftigte und </w:t>
      </w:r>
      <w:r w:rsidRPr="00B4751A">
        <w:t>Auszubil</w:t>
      </w:r>
      <w:r>
        <w:softHyphen/>
      </w:r>
      <w:r w:rsidRPr="00B4751A">
        <w:t>dende)</w:t>
      </w:r>
    </w:p>
    <w:p w:rsidR="00BE1EFE" w:rsidRPr="00B4751A" w:rsidRDefault="00BE1EFE" w:rsidP="00B4751A">
      <w:pPr>
        <w:pStyle w:val="StandardWeb"/>
      </w:pPr>
      <w:r w:rsidRPr="00B4751A">
        <w:t xml:space="preserve">hier: Änderung von Bestimmungen </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IV. Beschluss der Kommission für das Arbeitsvertragsrecht der bayerischen Diözesen vom 28.07.2016 mit Änderungen in Umsetzung des § 8b ABD Teil E, 1.1.</w:t>
      </w:r>
    </w:p>
    <w:p w:rsidR="00BE1EFE" w:rsidRPr="00B4751A" w:rsidRDefault="00BE1EFE" w:rsidP="00B4751A">
      <w:pPr>
        <w:pStyle w:val="StandardWeb"/>
      </w:pPr>
    </w:p>
    <w:p w:rsidR="00BE1EFE" w:rsidRPr="00B4751A" w:rsidRDefault="00BE1EFE" w:rsidP="00B4751A">
      <w:pPr>
        <w:pStyle w:val="StandardWeb"/>
      </w:pPr>
      <w:r>
        <w:t>– </w:t>
      </w:r>
      <w:r w:rsidRPr="00B4751A">
        <w:t>ABD Teil E, 1.1. (Regelung für Auszubildende)</w:t>
      </w:r>
    </w:p>
    <w:p w:rsidR="00BE1EFE" w:rsidRPr="00B4751A" w:rsidRDefault="00BE1EFE" w:rsidP="00B4751A">
      <w:pPr>
        <w:pStyle w:val="StandardWeb"/>
      </w:pPr>
      <w:r>
        <w:t>hier: </w:t>
      </w:r>
      <w:r w:rsidRPr="00B4751A">
        <w:t>Umsetzung des Änderungstarifvertrags Nr. 6 vom 29. April 2016 zum Tarifvertrag für Auszubildende de</w:t>
      </w:r>
      <w:r>
        <w:t xml:space="preserve">s öffentlichen Dienstes (TVAöD) </w:t>
      </w:r>
      <w:r w:rsidRPr="00B4751A">
        <w:t>–</w:t>
      </w:r>
      <w:r>
        <w:t xml:space="preserve"> Besonderer Teil BBiG – vom 13. </w:t>
      </w:r>
      <w:r w:rsidRPr="00B4751A">
        <w:t>Septem</w:t>
      </w:r>
      <w:r>
        <w:softHyphen/>
      </w:r>
      <w:r w:rsidRPr="00B4751A">
        <w:t>ber 2005</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4751A" w:rsidRDefault="00BE1EFE" w:rsidP="00B4751A">
      <w:pPr>
        <w:pStyle w:val="StandardWeb"/>
      </w:pPr>
      <w:r>
        <w:t>V. </w:t>
      </w:r>
      <w:r w:rsidRPr="00B4751A">
        <w:t>Beschluss der Kommission für das Arbeitsvertragsrecht der bayerischen Diözesen vom 28.07.2016 mit Änderungen in Umsetzung des § 14a ABD Teil E, 2.</w:t>
      </w:r>
    </w:p>
    <w:p w:rsidR="00BE1EFE" w:rsidRPr="00B4751A" w:rsidRDefault="00BE1EFE" w:rsidP="00B4751A">
      <w:pPr>
        <w:pStyle w:val="StandardWeb"/>
      </w:pPr>
    </w:p>
    <w:p w:rsidR="00BE1EFE" w:rsidRDefault="00BE1EFE" w:rsidP="00B4751A">
      <w:pPr>
        <w:pStyle w:val="StandardWeb"/>
      </w:pPr>
      <w:r>
        <w:t>– </w:t>
      </w:r>
      <w:r w:rsidRPr="00B4751A">
        <w:t>ABD Teil E, 2. (Regelung für Praktikantinnen und Praktikanten)</w:t>
      </w:r>
    </w:p>
    <w:p w:rsidR="00BE1EFE" w:rsidRPr="00B4751A" w:rsidRDefault="00BE1EFE" w:rsidP="00B4751A">
      <w:pPr>
        <w:pStyle w:val="StandardWeb"/>
      </w:pPr>
      <w:r>
        <w:t>hier: </w:t>
      </w:r>
      <w:r w:rsidRPr="00B4751A">
        <w:t>Umsetzung des Änderungstarifvertra</w:t>
      </w:r>
      <w:r>
        <w:t xml:space="preserve">g Nr. 5 vom 29. April 2014 zum </w:t>
      </w:r>
      <w:r w:rsidRPr="00B4751A">
        <w:t>Tarifv</w:t>
      </w:r>
      <w:r>
        <w:t>ertrag für Praktikantinnen/Praktikan</w:t>
      </w:r>
      <w:r w:rsidRPr="00B4751A">
        <w:t>ten des öffentl</w:t>
      </w:r>
      <w:r>
        <w:t xml:space="preserve">ichen Dienstes (TVPöD) vom 27. </w:t>
      </w:r>
      <w:r w:rsidRPr="00B4751A">
        <w:t>Oktober 2009</w:t>
      </w:r>
    </w:p>
    <w:p w:rsidR="00BE1EFE" w:rsidRPr="00B4751A" w:rsidRDefault="00BE1EFE" w:rsidP="00B4751A">
      <w:pPr>
        <w:pStyle w:val="StandardWeb"/>
        <w:jc w:val="right"/>
      </w:pPr>
      <w:r w:rsidRPr="00B4751A">
        <w:t>verschiedene Inkraftsetzungsdaten</w:t>
      </w:r>
    </w:p>
    <w:p w:rsidR="00BE1EFE" w:rsidRPr="00B4751A" w:rsidRDefault="00BE1EFE" w:rsidP="00B4751A">
      <w:pPr>
        <w:pStyle w:val="StandardWeb"/>
      </w:pPr>
    </w:p>
    <w:p w:rsidR="00BE1EFE" w:rsidRPr="00B62321" w:rsidRDefault="00BE1EFE" w:rsidP="00B4751A">
      <w:pPr>
        <w:pStyle w:val="StandardWeb"/>
        <w:rPr>
          <w:b/>
        </w:rPr>
      </w:pPr>
      <w:r w:rsidRPr="00B62321">
        <w:rPr>
          <w:b/>
        </w:rPr>
        <w:t>VI. Bekanntmachung in Umsetzung des § 20a ABD Teil A, 1.</w:t>
      </w:r>
    </w:p>
    <w:p w:rsidR="00BE1EFE" w:rsidRPr="00B4751A" w:rsidRDefault="00BE1EFE" w:rsidP="00B4751A">
      <w:pPr>
        <w:pStyle w:val="StandardWeb"/>
      </w:pPr>
    </w:p>
    <w:p w:rsidR="00BE1EFE" w:rsidRPr="00B4751A" w:rsidRDefault="00BE1EFE" w:rsidP="00B4751A">
      <w:pPr>
        <w:pStyle w:val="StandardWeb"/>
      </w:pPr>
      <w:r>
        <w:t>– </w:t>
      </w:r>
      <w:r w:rsidRPr="00B4751A">
        <w:t>Bekanntmachung der Bereitschaftsd</w:t>
      </w:r>
      <w:r>
        <w:t xml:space="preserve">ienstentgelte in Umsetzung der </w:t>
      </w:r>
      <w:r w:rsidRPr="00B4751A">
        <w:t>Tarifeinigung in den Tarifverhandlungen für die Beschäfti</w:t>
      </w:r>
      <w:r>
        <w:t xml:space="preserve">gten des öffentlichen Dienstes </w:t>
      </w:r>
      <w:r w:rsidRPr="00B4751A">
        <w:t>von Bund und kommu</w:t>
      </w:r>
      <w:r>
        <w:softHyphen/>
      </w:r>
      <w:r w:rsidRPr="00B4751A">
        <w:t>nalen Arbeitgebern vom 29. April 2016</w:t>
      </w:r>
    </w:p>
    <w:p w:rsidR="00BE1EFE" w:rsidRPr="00B4751A" w:rsidRDefault="00BE1EFE" w:rsidP="00B4751A">
      <w:pPr>
        <w:pStyle w:val="StandardWeb"/>
      </w:pPr>
    </w:p>
    <w:p w:rsidR="00BE1EFE" w:rsidRPr="00B4751A" w:rsidRDefault="00BE1EFE" w:rsidP="00B4751A">
      <w:pPr>
        <w:pStyle w:val="StandardWeb"/>
      </w:pPr>
      <w:r>
        <w:t>– </w:t>
      </w:r>
      <w:r w:rsidRPr="00B4751A">
        <w:t>Bekanntmachung der Stundenentgelte in Umsetzung der Tarifeinigun</w:t>
      </w:r>
      <w:r>
        <w:t xml:space="preserve">g in </w:t>
      </w:r>
      <w:r w:rsidRPr="00B4751A">
        <w:t>den Tarifverhand</w:t>
      </w:r>
      <w:r>
        <w:softHyphen/>
      </w:r>
      <w:r w:rsidRPr="00B4751A">
        <w:t xml:space="preserve">lungen für die Beschäftigten des </w:t>
      </w:r>
      <w:r>
        <w:t xml:space="preserve">öffentlichen Dienstes von </w:t>
      </w:r>
      <w:r>
        <w:tab/>
        <w:t xml:space="preserve">Bund </w:t>
      </w:r>
      <w:r w:rsidRPr="00B4751A">
        <w:t>und kommunalen Arbeitge</w:t>
      </w:r>
      <w:r>
        <w:softHyphen/>
      </w:r>
      <w:r w:rsidRPr="00B4751A">
        <w:t>bern vom 29. April 2016</w:t>
      </w:r>
    </w:p>
    <w:p w:rsidR="00BE1EFE" w:rsidRPr="00B4751A" w:rsidRDefault="00BE1EFE" w:rsidP="00B4751A">
      <w:pPr>
        <w:pStyle w:val="StandardWeb"/>
        <w:rPr>
          <w:b/>
        </w:rPr>
      </w:pPr>
    </w:p>
    <w:p w:rsidR="00BE1EFE" w:rsidRDefault="00BE1EFE" w:rsidP="00993F28">
      <w:pPr>
        <w:pStyle w:val="StandardWeb"/>
        <w:rPr>
          <w:b/>
        </w:rPr>
      </w:pPr>
    </w:p>
    <w:p w:rsidR="00BE1EFE" w:rsidRPr="008354D8" w:rsidRDefault="00BE1EFE" w:rsidP="006454D1">
      <w:pPr>
        <w:pStyle w:val="StandardWeb"/>
        <w:rPr>
          <w:b/>
        </w:rPr>
      </w:pPr>
      <w:r>
        <w:rPr>
          <w:b/>
        </w:rPr>
        <w:t xml:space="preserve">Anlage 113 </w:t>
      </w:r>
      <w:hyperlink r:id="rId1769" w:history="1">
        <w:r w:rsidRPr="008354D8">
          <w:rPr>
            <w:rStyle w:val="Hyperlink"/>
          </w:rPr>
          <w:t>[herunterladen]</w:t>
        </w:r>
      </w:hyperlink>
    </w:p>
    <w:p w:rsidR="00BE1EFE" w:rsidRDefault="00BE1EFE" w:rsidP="00993F28">
      <w:pPr>
        <w:pStyle w:val="StandardWeb"/>
        <w:rPr>
          <w:b/>
        </w:rPr>
      </w:pPr>
    </w:p>
    <w:p w:rsidR="00BE1EFE" w:rsidRDefault="00BE1EFE" w:rsidP="00993F28">
      <w:pPr>
        <w:pStyle w:val="StandardWeb"/>
        <w:rPr>
          <w:b/>
        </w:rPr>
      </w:pPr>
      <w:r w:rsidRPr="00D1147D">
        <w:rPr>
          <w:b/>
        </w:rPr>
        <w:t xml:space="preserve">Beschlüsse der </w:t>
      </w:r>
      <w:r>
        <w:rPr>
          <w:b/>
        </w:rPr>
        <w:t xml:space="preserve">171. Vollversammlung der </w:t>
      </w:r>
      <w:r w:rsidRPr="00993F28">
        <w:rPr>
          <w:b/>
        </w:rPr>
        <w:t>Kommission für das Arbeitsvertragsrecht der bayerischen Diözesen</w:t>
      </w:r>
      <w:r>
        <w:rPr>
          <w:b/>
        </w:rPr>
        <w:t xml:space="preserve"> vom 30.06.2016</w:t>
      </w:r>
    </w:p>
    <w:p w:rsidR="00BE1EFE" w:rsidRDefault="00BE1EFE" w:rsidP="00993F28">
      <w:pPr>
        <w:pStyle w:val="StandardWeb"/>
        <w:rPr>
          <w:b/>
        </w:rPr>
      </w:pPr>
    </w:p>
    <w:p w:rsidR="00BE1EFE" w:rsidRPr="002D63EB" w:rsidRDefault="00BE1EFE" w:rsidP="002D63EB">
      <w:pPr>
        <w:pStyle w:val="StandardWeb"/>
      </w:pPr>
      <w:r>
        <w:t>– </w:t>
      </w:r>
      <w:r w:rsidRPr="002D63EB">
        <w:t>Anlage A ABD Teil B, 4.1. (Sonderregelungen für die Arbeitsverhältnisse arbeitsvertraglich beschäftigter Lehrkräfte an Schulen in kirchlicher Trägerschaft)</w:t>
      </w:r>
    </w:p>
    <w:p w:rsidR="00BE1EFE" w:rsidRPr="002D63EB" w:rsidRDefault="00BE1EFE" w:rsidP="002D63EB">
      <w:pPr>
        <w:pStyle w:val="StandardWeb"/>
      </w:pPr>
      <w:r>
        <w:t>hier: </w:t>
      </w:r>
      <w:r w:rsidRPr="002D63EB">
        <w:t>Änderung</w:t>
      </w:r>
    </w:p>
    <w:p w:rsidR="00BE1EFE" w:rsidRPr="002D63EB" w:rsidRDefault="00BE1EFE" w:rsidP="002D63EB">
      <w:pPr>
        <w:pStyle w:val="StandardWeb"/>
        <w:jc w:val="right"/>
      </w:pPr>
      <w:r w:rsidRPr="002D63EB">
        <w:t>rückwirkend zum 1. Januar 2016</w:t>
      </w:r>
    </w:p>
    <w:p w:rsidR="00BE1EFE" w:rsidRPr="002D63EB" w:rsidRDefault="00BE1EFE" w:rsidP="002D63EB">
      <w:pPr>
        <w:pStyle w:val="StandardWeb"/>
      </w:pPr>
    </w:p>
    <w:p w:rsidR="00BE1EFE" w:rsidRPr="002D63EB" w:rsidRDefault="00BE1EFE" w:rsidP="002D63EB">
      <w:pPr>
        <w:pStyle w:val="StandardWeb"/>
      </w:pPr>
      <w:r>
        <w:t>– </w:t>
      </w:r>
      <w:r w:rsidRPr="002D63EB">
        <w:t>ABD Teil B, 4.1. (Sonderregelungen für die Arbeitsverhältnisse arbeitsvertraglich beschäf</w:t>
      </w:r>
      <w:r>
        <w:softHyphen/>
      </w:r>
      <w:r w:rsidRPr="002D63EB">
        <w:t>tigter Lehrkräfte an Schulen in kirchlicher Trägerschaft)</w:t>
      </w:r>
    </w:p>
    <w:p w:rsidR="00BE1EFE" w:rsidRPr="002D63EB" w:rsidRDefault="00BE1EFE" w:rsidP="002D63EB">
      <w:pPr>
        <w:pStyle w:val="StandardWeb"/>
      </w:pPr>
      <w:r>
        <w:t>hier: </w:t>
      </w:r>
      <w:r w:rsidRPr="002D63EB">
        <w:t>Änderung der Anlage D in Folge der Änderung der Richtlinien für die dienstliche Beurteilung und die Leistungsfeststellung der staatlichen Lehrkräfte sowie der Schulleiterinnen und Schulleiter an Schulen in Bayern (Bekanntmachung des Bayerischen Staatsministeriums für Unterricht und Kultus vom 15. Juli 2015)</w:t>
      </w:r>
    </w:p>
    <w:p w:rsidR="00BE1EFE" w:rsidRPr="002D63EB" w:rsidRDefault="00BE1EFE" w:rsidP="002D63EB">
      <w:pPr>
        <w:pStyle w:val="StandardWeb"/>
        <w:jc w:val="right"/>
      </w:pPr>
      <w:r w:rsidRPr="002D63EB">
        <w:t>zum 1. August 2016</w:t>
      </w:r>
    </w:p>
    <w:p w:rsidR="00BE1EFE" w:rsidRPr="002D63EB" w:rsidRDefault="00BE1EFE" w:rsidP="002D63EB">
      <w:pPr>
        <w:pStyle w:val="StandardWeb"/>
      </w:pPr>
    </w:p>
    <w:p w:rsidR="00BE1EFE" w:rsidRPr="002D63EB" w:rsidRDefault="00BE1EFE" w:rsidP="002D63EB">
      <w:pPr>
        <w:pStyle w:val="StandardWeb"/>
      </w:pPr>
      <w:r>
        <w:t>– </w:t>
      </w:r>
      <w:r w:rsidRPr="002D63EB">
        <w:t>ABD Teil B, 4.1.2. (Sonderregelungen für die Arbeitsverhältnisse von Lehrkräften an beruf</w:t>
      </w:r>
      <w:r>
        <w:softHyphen/>
        <w:t>l</w:t>
      </w:r>
      <w:r w:rsidRPr="002D63EB">
        <w:t>ichen Schulen)</w:t>
      </w:r>
    </w:p>
    <w:p w:rsidR="00BE1EFE" w:rsidRPr="002D63EB" w:rsidRDefault="00BE1EFE" w:rsidP="002D63EB">
      <w:pPr>
        <w:pStyle w:val="StandardWeb"/>
      </w:pPr>
      <w:r>
        <w:t>hier: </w:t>
      </w:r>
      <w:r w:rsidRPr="002D63EB">
        <w:t>Lehrkräfte mit Führungsaufgaben</w:t>
      </w:r>
    </w:p>
    <w:p w:rsidR="00BE1EFE" w:rsidRPr="002D63EB" w:rsidRDefault="00BE1EFE" w:rsidP="002D63EB">
      <w:pPr>
        <w:pStyle w:val="StandardWeb"/>
        <w:jc w:val="right"/>
      </w:pPr>
      <w:r w:rsidRPr="002D63EB">
        <w:t>zum 1. August 2016</w:t>
      </w:r>
    </w:p>
    <w:p w:rsidR="00BE1EFE" w:rsidRPr="002D63EB" w:rsidRDefault="00BE1EFE" w:rsidP="002D63EB">
      <w:pPr>
        <w:pStyle w:val="StandardWeb"/>
      </w:pPr>
    </w:p>
    <w:p w:rsidR="00BE1EFE" w:rsidRPr="002D63EB" w:rsidRDefault="00BE1EFE" w:rsidP="002D63EB">
      <w:pPr>
        <w:pStyle w:val="StandardWeb"/>
      </w:pPr>
      <w:r>
        <w:t>– </w:t>
      </w:r>
      <w:r w:rsidRPr="002D63EB">
        <w:t xml:space="preserve">ABD Teil B, 4.1.3. (Sonderregelungen für die Arbeitsverhältnisse von Lehrkräften an Grund- und Mittelschulen) </w:t>
      </w:r>
    </w:p>
    <w:p w:rsidR="00BE1EFE" w:rsidRPr="002D63EB" w:rsidRDefault="00BE1EFE" w:rsidP="002D63EB">
      <w:pPr>
        <w:pStyle w:val="StandardWeb"/>
      </w:pPr>
      <w:r>
        <w:t>hier: </w:t>
      </w:r>
      <w:r w:rsidRPr="002D63EB">
        <w:t>Beratungslehrkräfte nach Nr. 5 b Absatz 4</w:t>
      </w:r>
    </w:p>
    <w:p w:rsidR="00BE1EFE" w:rsidRPr="002D63EB" w:rsidRDefault="00BE1EFE" w:rsidP="002D63EB">
      <w:pPr>
        <w:pStyle w:val="StandardWeb"/>
        <w:jc w:val="right"/>
      </w:pPr>
      <w:r w:rsidRPr="002D63EB">
        <w:t>rückwirkend zum 1. Januar 2016</w:t>
      </w:r>
    </w:p>
    <w:p w:rsidR="00BE1EFE" w:rsidRPr="002D63EB" w:rsidRDefault="00BE1EFE" w:rsidP="002D63EB">
      <w:pPr>
        <w:pStyle w:val="StandardWeb"/>
      </w:pPr>
    </w:p>
    <w:p w:rsidR="00BE1EFE" w:rsidRPr="002D63EB" w:rsidRDefault="00BE1EFE" w:rsidP="002D63EB">
      <w:pPr>
        <w:pStyle w:val="StandardWeb"/>
      </w:pPr>
      <w:r>
        <w:t>– </w:t>
      </w:r>
      <w:r w:rsidRPr="002D63EB">
        <w:t>ABD Teil B, 4.3. (Ordnung für Berufsbezeichnungen von arbeitsvertraglich beschäftigten Lehrkräfte</w:t>
      </w:r>
      <w:r>
        <w:t>n</w:t>
      </w:r>
      <w:r w:rsidRPr="002D63EB">
        <w:t xml:space="preserve"> an Schulen in kirchlicher Trägerschaft)</w:t>
      </w:r>
    </w:p>
    <w:p w:rsidR="00BE1EFE" w:rsidRPr="002D63EB" w:rsidRDefault="00BE1EFE" w:rsidP="002D63EB">
      <w:pPr>
        <w:pStyle w:val="StandardWeb"/>
      </w:pPr>
      <w:r w:rsidRPr="002D63EB">
        <w:t>hier: redaktionelle Anpassung</w:t>
      </w:r>
    </w:p>
    <w:p w:rsidR="00BE1EFE" w:rsidRPr="002D63EB" w:rsidRDefault="00BE1EFE" w:rsidP="002D63EB">
      <w:pPr>
        <w:pStyle w:val="StandardWeb"/>
        <w:jc w:val="right"/>
      </w:pPr>
      <w:r w:rsidRPr="002D63EB">
        <w:t>rückwirkend zum 1. Januar 2016</w:t>
      </w:r>
    </w:p>
    <w:p w:rsidR="00BE1EFE" w:rsidRDefault="00BE1EFE" w:rsidP="00A26023">
      <w:pPr>
        <w:pStyle w:val="StandardWeb"/>
        <w:rPr>
          <w:b/>
        </w:rPr>
      </w:pPr>
    </w:p>
    <w:p w:rsidR="00BE1EFE" w:rsidRDefault="00BE1EFE" w:rsidP="00A26023">
      <w:pPr>
        <w:pStyle w:val="StandardWeb"/>
        <w:rPr>
          <w:b/>
        </w:rPr>
      </w:pPr>
    </w:p>
    <w:p w:rsidR="00BE1EFE" w:rsidRDefault="00BE1EFE" w:rsidP="006454D1">
      <w:pPr>
        <w:pStyle w:val="StandardWeb"/>
      </w:pPr>
      <w:r>
        <w:rPr>
          <w:b/>
        </w:rPr>
        <w:t>Anlage 112</w:t>
      </w:r>
      <w:r>
        <w:t xml:space="preserve"> </w:t>
      </w:r>
      <w:hyperlink r:id="rId1770" w:history="1">
        <w:r w:rsidRPr="00103676">
          <w:rPr>
            <w:rStyle w:val="Hyperlink"/>
          </w:rPr>
          <w:t>[herunterladen]</w:t>
        </w:r>
      </w:hyperlink>
    </w:p>
    <w:p w:rsidR="00BE1EFE" w:rsidRDefault="00BE1EFE" w:rsidP="00A26023">
      <w:pPr>
        <w:pStyle w:val="StandardWeb"/>
        <w:rPr>
          <w:b/>
        </w:rPr>
      </w:pPr>
    </w:p>
    <w:p w:rsidR="00BE1EFE" w:rsidRDefault="00BE1EFE" w:rsidP="00A26023">
      <w:pPr>
        <w:pStyle w:val="StandardWeb"/>
        <w:rPr>
          <w:b/>
        </w:rPr>
      </w:pPr>
      <w:r w:rsidRPr="00D1147D">
        <w:rPr>
          <w:b/>
        </w:rPr>
        <w:t xml:space="preserve">Beschlüsse der </w:t>
      </w:r>
      <w:r>
        <w:rPr>
          <w:b/>
        </w:rPr>
        <w:t>170. Vollversammlung der Bayerischen Regional-KODA vom 10.03.2016</w:t>
      </w:r>
    </w:p>
    <w:p w:rsidR="00BE1EFE" w:rsidRDefault="00BE1EFE" w:rsidP="00A26023">
      <w:pPr>
        <w:pStyle w:val="StandardWeb"/>
      </w:pPr>
    </w:p>
    <w:p w:rsidR="00BE1EFE" w:rsidRDefault="00BE1EFE" w:rsidP="00A26023">
      <w:pPr>
        <w:pStyle w:val="StandardWeb"/>
      </w:pPr>
      <w:r>
        <w:t>– Änderung des ABD Teil A, 1. (Allgemeiner Teil)</w:t>
      </w:r>
    </w:p>
    <w:p w:rsidR="00BE1EFE" w:rsidRDefault="00BE1EFE" w:rsidP="00A26023">
      <w:pPr>
        <w:pStyle w:val="StandardWeb"/>
      </w:pPr>
      <w:r>
        <w:t>hier: Umsetzung des Änderungstarifvertrags Nr. 20 vom 30. September 2015 zum Tarifvertrag für den öffentlichen Dienst (TVöD) – Besonderer Teil Verwaltung – (BT-V) – vom 13. Septem</w:t>
      </w:r>
      <w:r>
        <w:softHyphen/>
        <w:t>ber 2005</w:t>
      </w:r>
    </w:p>
    <w:p w:rsidR="00BE1EFE" w:rsidRDefault="00BE1EFE" w:rsidP="00A26023">
      <w:pPr>
        <w:pStyle w:val="StandardWeb"/>
        <w:jc w:val="right"/>
      </w:pPr>
      <w:r>
        <w:t>rückwirkend zum 1. Juli 2015</w:t>
      </w:r>
    </w:p>
    <w:p w:rsidR="00BE1EFE" w:rsidRDefault="00BE1EFE" w:rsidP="00A26023">
      <w:pPr>
        <w:pStyle w:val="StandardWeb"/>
      </w:pPr>
    </w:p>
    <w:p w:rsidR="00BE1EFE" w:rsidRDefault="00BE1EFE" w:rsidP="00A26023">
      <w:pPr>
        <w:pStyle w:val="StandardWeb"/>
      </w:pPr>
      <w:r>
        <w:t>– Änderung des ABD Teil A, 3. [Regelung zur Überleitung der Beschäftigten und des Übergangsrechts (RÜÜ)]</w:t>
      </w:r>
    </w:p>
    <w:p w:rsidR="00BE1EFE" w:rsidRDefault="00BE1EFE" w:rsidP="00A26023">
      <w:pPr>
        <w:pStyle w:val="StandardWeb"/>
      </w:pPr>
      <w:r>
        <w:t>hier: Umsetzung des Änderungstarifvertrags Nr. 9 vom 30. September 2015 zum Tarifvertrag zur Überleitung der Beschäftigten der kommunalen Arbeitgeber in den TVöD und zur Regelung des Übergangsrechts (TVÜ-VKA) vom 13. September 2005</w:t>
      </w:r>
    </w:p>
    <w:p w:rsidR="00BE1EFE" w:rsidRDefault="00BE1EFE" w:rsidP="00A26023">
      <w:pPr>
        <w:pStyle w:val="StandardWeb"/>
        <w:jc w:val="right"/>
      </w:pPr>
      <w:r>
        <w:t>rückwirkend zum 1. Juli 2015</w:t>
      </w:r>
    </w:p>
    <w:p w:rsidR="00BE1EFE" w:rsidRPr="00D1147D" w:rsidRDefault="00BE1EFE" w:rsidP="003A7732">
      <w:pPr>
        <w:pStyle w:val="StandardWeb"/>
        <w:jc w:val="left"/>
      </w:pPr>
    </w:p>
    <w:p w:rsidR="00BE1EFE" w:rsidRDefault="00BE1EFE" w:rsidP="003A7732">
      <w:pPr>
        <w:pStyle w:val="StandardWeb"/>
      </w:pPr>
      <w:r>
        <w:t>– </w:t>
      </w:r>
      <w:r w:rsidRPr="00B4751A">
        <w:t>Bekanntmachung der Stundenentgelte in Umsetzung der Tarifeinigun</w:t>
      </w:r>
      <w:r>
        <w:t xml:space="preserve">g in </w:t>
      </w:r>
      <w:r w:rsidRPr="00B4751A">
        <w:t>den Tarifverhand</w:t>
      </w:r>
      <w:r>
        <w:softHyphen/>
      </w:r>
      <w:r w:rsidRPr="00B4751A">
        <w:t xml:space="preserve">lungen für die Beschäftigten des </w:t>
      </w:r>
      <w:r>
        <w:t xml:space="preserve">öffentlichen Dienstes von </w:t>
      </w:r>
      <w:r>
        <w:tab/>
        <w:t xml:space="preserve">Bund </w:t>
      </w:r>
      <w:r w:rsidRPr="00B4751A">
        <w:t>und kommunalen Arbeitge</w:t>
      </w:r>
      <w:r>
        <w:softHyphen/>
      </w:r>
      <w:r w:rsidRPr="00B4751A">
        <w:t>bern vom 29. April 2016</w:t>
      </w:r>
    </w:p>
    <w:p w:rsidR="00BE1EFE" w:rsidRDefault="00BE1EFE" w:rsidP="00E60E45">
      <w:pPr>
        <w:pStyle w:val="berschrift5"/>
        <w:spacing w:before="0"/>
      </w:pPr>
      <w:bookmarkStart w:id="1162" w:name="_Toc523926678"/>
      <w:r>
        <w:lastRenderedPageBreak/>
        <w:t>Beschlüsse 2015</w:t>
      </w:r>
      <w:bookmarkEnd w:id="1162"/>
    </w:p>
    <w:p w:rsidR="00BE1EFE" w:rsidRPr="00B76821" w:rsidRDefault="00BE1EFE" w:rsidP="00B76821">
      <w:pPr>
        <w:pStyle w:val="berschrift6"/>
        <w:keepNext w:val="0"/>
        <w:spacing w:before="0" w:after="0"/>
        <w:rPr>
          <w:sz w:val="2"/>
        </w:rPr>
      </w:pPr>
    </w:p>
    <w:p w:rsidR="00BE1EFE" w:rsidRPr="00D1147D" w:rsidRDefault="00BE1EFE" w:rsidP="006454D1">
      <w:pPr>
        <w:pStyle w:val="StandardWeb"/>
      </w:pPr>
      <w:r>
        <w:rPr>
          <w:b/>
        </w:rPr>
        <w:t>Anlage 111</w:t>
      </w:r>
      <w:r>
        <w:t xml:space="preserve"> </w:t>
      </w:r>
      <w:hyperlink r:id="rId1771" w:history="1">
        <w:r w:rsidRPr="00103676">
          <w:rPr>
            <w:rStyle w:val="Hyperlink"/>
          </w:rPr>
          <w:t>[herunterladen]</w:t>
        </w:r>
      </w:hyperlink>
    </w:p>
    <w:p w:rsidR="00BE1EFE" w:rsidRDefault="00BE1EFE" w:rsidP="00D1147D">
      <w:pPr>
        <w:pStyle w:val="StandardWeb"/>
        <w:rPr>
          <w:b/>
        </w:rPr>
      </w:pPr>
    </w:p>
    <w:p w:rsidR="00BE1EFE" w:rsidRDefault="00BE1EFE" w:rsidP="00D1147D">
      <w:pPr>
        <w:pStyle w:val="StandardWeb"/>
        <w:rPr>
          <w:b/>
        </w:rPr>
      </w:pPr>
      <w:r w:rsidRPr="00D1147D">
        <w:rPr>
          <w:b/>
        </w:rPr>
        <w:t xml:space="preserve">Beschlüsse der </w:t>
      </w:r>
      <w:r>
        <w:rPr>
          <w:b/>
        </w:rPr>
        <w:t xml:space="preserve">169. Vollversammlung der </w:t>
      </w:r>
      <w:r w:rsidRPr="00D1147D">
        <w:rPr>
          <w:b/>
        </w:rPr>
        <w:t>Bayerischen Regional-KODA vom 03.12.2015</w:t>
      </w:r>
    </w:p>
    <w:p w:rsidR="00BE1EFE" w:rsidRPr="00D1147D" w:rsidRDefault="00BE1EFE" w:rsidP="00D1147D">
      <w:pPr>
        <w:pStyle w:val="StandardWeb"/>
        <w:rPr>
          <w:b/>
        </w:rPr>
      </w:pPr>
    </w:p>
    <w:p w:rsidR="00BE1EFE" w:rsidRPr="00D1147D" w:rsidRDefault="00BE1EFE" w:rsidP="00D1147D">
      <w:pPr>
        <w:pStyle w:val="StandardWeb"/>
      </w:pPr>
      <w:r>
        <w:t>– </w:t>
      </w:r>
      <w:r w:rsidRPr="00D1147D">
        <w:t>ABD Teil A, 1. (Allgemeiner Teil) und ABD Teil E (Auszubildende und Praktikanten)</w:t>
      </w:r>
    </w:p>
    <w:p w:rsidR="00BE1EFE" w:rsidRPr="00D1147D" w:rsidRDefault="00BE1EFE" w:rsidP="00D1147D">
      <w:pPr>
        <w:pStyle w:val="StandardWeb"/>
      </w:pPr>
      <w:r w:rsidRPr="00D1147D">
        <w:t>hier: Neufassung des allgemeinen Geltungsbereichs und Folgeänderungen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xml:space="preserve">§ 17 ABD Teil A, 1. (Allgemeine Regelungen zu den Stufen) </w:t>
      </w:r>
    </w:p>
    <w:p w:rsidR="00BE1EFE" w:rsidRPr="00D1147D" w:rsidRDefault="00BE1EFE" w:rsidP="00D1147D">
      <w:pPr>
        <w:pStyle w:val="StandardWeb"/>
      </w:pPr>
      <w:r>
        <w:t>hier: </w:t>
      </w:r>
      <w:r w:rsidRPr="00D1147D">
        <w:t xml:space="preserve">Sonderregelung zur Vermeidung der Rückstufung bei Elternzeit und Sonderurlaub zur Kinderbetreuung und Pflege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36d ABD Teil A, 1. (Erstausstattung bei Geburten) und § 36e ABD Teil A, 1. (Kostenpau</w:t>
      </w:r>
      <w:r>
        <w:softHyphen/>
      </w:r>
      <w:r w:rsidRPr="00D1147D">
        <w:t>schale bei Fehl- oder Totgeburten)</w:t>
      </w:r>
    </w:p>
    <w:p w:rsidR="00BE1EFE" w:rsidRPr="00D1147D" w:rsidRDefault="00BE1EFE" w:rsidP="00D1147D">
      <w:pPr>
        <w:pStyle w:val="StandardWeb"/>
      </w:pPr>
      <w:r w:rsidRPr="00D1147D">
        <w:t>hier: 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A, 2.5. (Vorläufige Entgeltordnun</w:t>
      </w:r>
      <w:r>
        <w:t>g für Gemeindeassistentinnen/Ge</w:t>
      </w:r>
      <w:r w:rsidRPr="00D1147D">
        <w:t>meindeassis</w:t>
      </w:r>
      <w:r>
        <w:softHyphen/>
      </w:r>
      <w:r w:rsidRPr="00D1147D">
        <w:t>tenten und Gemeindereferentinnen/Gemeindereferenten in den bayerischen (Erz-)Diözesen)</w:t>
      </w:r>
    </w:p>
    <w:p w:rsidR="00BE1EFE" w:rsidRPr="00D1147D" w:rsidRDefault="00BE1EFE" w:rsidP="00D1147D">
      <w:pPr>
        <w:pStyle w:val="StandardWeb"/>
      </w:pPr>
      <w:r>
        <w:t>hier: </w:t>
      </w:r>
      <w:r w:rsidRPr="00D1147D">
        <w:t xml:space="preserve">Beschäftigungszeiten als Religionslehrerinnen und Religionslehrer im Kirchendienst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A, 2.6. (Vorläufige Entgeltordnung für Religionslehrerinnen und Religionslehrer im Kirchendienst)</w:t>
      </w:r>
    </w:p>
    <w:p w:rsidR="00BE1EFE" w:rsidRPr="00D1147D" w:rsidRDefault="00BE1EFE" w:rsidP="00D1147D">
      <w:pPr>
        <w:pStyle w:val="StandardWeb"/>
      </w:pPr>
      <w:r>
        <w:t>hier: </w:t>
      </w:r>
      <w:r w:rsidRPr="00D1147D">
        <w:t xml:space="preserve">Änderungen </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 11 ABD Teil A, 3. (Kinderbezogene Entgeltbestandteile)</w:t>
      </w:r>
    </w:p>
    <w:p w:rsidR="00BE1EFE" w:rsidRPr="00D1147D" w:rsidRDefault="00BE1EFE" w:rsidP="00D1147D">
      <w:pPr>
        <w:pStyle w:val="StandardWeb"/>
      </w:pPr>
      <w:r>
        <w:t>hier: </w:t>
      </w:r>
      <w:r w:rsidRPr="00D1147D">
        <w:t>Wiederaufleben Besitzstandszulage Kind bei weiterer Gewährung von Kindergeld</w:t>
      </w:r>
    </w:p>
    <w:p w:rsidR="00BE1EFE" w:rsidRPr="00D1147D" w:rsidRDefault="00BE1EFE" w:rsidP="00D1147D">
      <w:pPr>
        <w:pStyle w:val="StandardWeb"/>
        <w:jc w:val="right"/>
      </w:pPr>
      <w:r w:rsidRPr="00D1147D">
        <w:t>zum 1. Januar 2016</w:t>
      </w:r>
    </w:p>
    <w:p w:rsidR="00BE1EFE" w:rsidRPr="00D1147D" w:rsidRDefault="00BE1EFE" w:rsidP="00D1147D">
      <w:pPr>
        <w:pStyle w:val="StandardWeb"/>
        <w:rPr>
          <w:b/>
        </w:rPr>
      </w:pPr>
    </w:p>
    <w:p w:rsidR="00BE1EFE" w:rsidRPr="00D1147D" w:rsidRDefault="00BE1EFE" w:rsidP="00D1147D">
      <w:pPr>
        <w:pStyle w:val="StandardWeb"/>
      </w:pPr>
      <w:r>
        <w:t>– </w:t>
      </w:r>
      <w:r w:rsidRPr="00D1147D">
        <w:t>§ 17 ABD Teil A, 3. (Eingruppierung)</w:t>
      </w:r>
    </w:p>
    <w:p w:rsidR="00BE1EFE" w:rsidRPr="00D1147D" w:rsidRDefault="00BE1EFE" w:rsidP="00D1147D">
      <w:pPr>
        <w:pStyle w:val="StandardWeb"/>
      </w:pPr>
      <w:r>
        <w:t>hier: </w:t>
      </w:r>
      <w:r w:rsidRPr="00D1147D">
        <w:t xml:space="preserve">Eingruppierung zwischen dem 1. Oktober 2005 und dem Inkrafttreten der neuen Entgeltordnung </w:t>
      </w:r>
    </w:p>
    <w:p w:rsidR="00BE1EFE" w:rsidRPr="00D1147D" w:rsidRDefault="00BE1EFE" w:rsidP="00D1147D">
      <w:pPr>
        <w:pStyle w:val="StandardWeb"/>
        <w:jc w:val="right"/>
      </w:pPr>
      <w:r w:rsidRPr="00D1147D">
        <w:t>rückwirkend zum 1. Oktober 2005</w:t>
      </w:r>
    </w:p>
    <w:p w:rsidR="00BE1EFE" w:rsidRPr="00D1147D" w:rsidRDefault="00BE1EFE" w:rsidP="00D1147D">
      <w:pPr>
        <w:pStyle w:val="StandardWeb"/>
      </w:pPr>
    </w:p>
    <w:p w:rsidR="00BE1EFE" w:rsidRPr="00D1147D" w:rsidRDefault="00BE1EFE" w:rsidP="00D1147D">
      <w:pPr>
        <w:pStyle w:val="StandardWeb"/>
      </w:pPr>
      <w:r>
        <w:t>– </w:t>
      </w:r>
      <w:r w:rsidRPr="00D1147D">
        <w:t>ABD Teil B, 4.1.1. (Sonderregelungen für d</w:t>
      </w:r>
      <w:r>
        <w:t>ie Arbeitsverhältnisse von Lehr</w:t>
      </w:r>
      <w:r w:rsidRPr="00D1147D">
        <w:t>kräften an Real</w:t>
      </w:r>
      <w:r>
        <w:softHyphen/>
      </w:r>
      <w:r w:rsidRPr="00D1147D">
        <w:t xml:space="preserve">schulen und Gymnasien) </w:t>
      </w:r>
    </w:p>
    <w:p w:rsidR="00BE1EFE" w:rsidRPr="00D1147D" w:rsidRDefault="00BE1EFE" w:rsidP="00D1147D">
      <w:pPr>
        <w:pStyle w:val="StandardWeb"/>
      </w:pPr>
      <w:r>
        <w:t>hier: </w:t>
      </w:r>
      <w:r w:rsidRPr="00D1147D">
        <w:t>Beratungslehrkräfte nach Nr. 5 b Absatz 4</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C, 3. (Dienstordnung für Religionslehrerinnen und Religionslehrer im Kirchendienst)</w:t>
      </w:r>
    </w:p>
    <w:p w:rsidR="00BE1EFE" w:rsidRPr="00D1147D" w:rsidRDefault="00BE1EFE" w:rsidP="00D1147D">
      <w:pPr>
        <w:pStyle w:val="StandardWeb"/>
      </w:pPr>
      <w:r>
        <w:t>hier: </w:t>
      </w:r>
      <w:r w:rsidRPr="00D1147D">
        <w:t>Änderungen</w:t>
      </w:r>
    </w:p>
    <w:p w:rsidR="00BE1EFE" w:rsidRPr="00D1147D" w:rsidRDefault="00BE1EFE" w:rsidP="00D1147D">
      <w:pPr>
        <w:pStyle w:val="StandardWeb"/>
        <w:jc w:val="right"/>
      </w:pPr>
      <w:r w:rsidRPr="00D1147D">
        <w:t>zum 1. Januar 2016</w:t>
      </w:r>
    </w:p>
    <w:p w:rsidR="00BE1EFE" w:rsidRPr="00D1147D" w:rsidRDefault="00BE1EFE" w:rsidP="00D1147D">
      <w:pPr>
        <w:pStyle w:val="StandardWeb"/>
      </w:pPr>
    </w:p>
    <w:p w:rsidR="00BE1EFE" w:rsidRPr="00D1147D" w:rsidRDefault="00BE1EFE" w:rsidP="00D1147D">
      <w:pPr>
        <w:pStyle w:val="StandardWeb"/>
      </w:pPr>
      <w:r>
        <w:t>– </w:t>
      </w:r>
      <w:r w:rsidRPr="00D1147D">
        <w:t>ABD Teil D, 9. [Reisekostenordnung der bayerischen (Erz-)Diözesen]</w:t>
      </w:r>
    </w:p>
    <w:p w:rsidR="00BE1EFE" w:rsidRPr="00D1147D" w:rsidRDefault="00BE1EFE" w:rsidP="00D1147D">
      <w:pPr>
        <w:pStyle w:val="StandardWeb"/>
      </w:pPr>
      <w:r>
        <w:t>hier: </w:t>
      </w:r>
      <w:r w:rsidRPr="00D1147D">
        <w:t>Neufassung und Anpassung an das Bayerische Reisekostengesetz</w:t>
      </w:r>
    </w:p>
    <w:p w:rsidR="00BE1EFE" w:rsidRDefault="00BE1EFE" w:rsidP="00D1147D">
      <w:pPr>
        <w:pStyle w:val="StandardWeb"/>
        <w:jc w:val="right"/>
      </w:pPr>
      <w:r w:rsidRPr="00D1147D">
        <w:t>zum 1. Januar 2016</w:t>
      </w:r>
    </w:p>
    <w:p w:rsidR="00BE1EFE" w:rsidRDefault="00BE1EFE" w:rsidP="006454D1">
      <w:pPr>
        <w:pStyle w:val="StandardWeb"/>
        <w:rPr>
          <w:b/>
        </w:rPr>
      </w:pPr>
    </w:p>
    <w:p w:rsidR="00BE1EFE" w:rsidRPr="00D1147D" w:rsidRDefault="00BE1EFE" w:rsidP="006454D1">
      <w:pPr>
        <w:pStyle w:val="StandardWeb"/>
      </w:pPr>
      <w:r>
        <w:rPr>
          <w:b/>
        </w:rPr>
        <w:lastRenderedPageBreak/>
        <w:t>Anlage 110</w:t>
      </w:r>
      <w:r>
        <w:t xml:space="preserve"> </w:t>
      </w:r>
      <w:hyperlink r:id="rId1772" w:history="1">
        <w:r w:rsidRPr="009C783C">
          <w:rPr>
            <w:rStyle w:val="Hyperlink"/>
          </w:rPr>
          <w:t>[herunterladen]</w:t>
        </w:r>
      </w:hyperlink>
    </w:p>
    <w:p w:rsidR="00BE1EFE" w:rsidRDefault="00BE1EFE" w:rsidP="00ED7E10">
      <w:pPr>
        <w:pStyle w:val="StandardWeb"/>
        <w:rPr>
          <w:b/>
        </w:rPr>
      </w:pPr>
    </w:p>
    <w:p w:rsidR="00BE1EFE" w:rsidRDefault="00BE1EFE" w:rsidP="00ED7E10">
      <w:pPr>
        <w:pStyle w:val="StandardWeb"/>
        <w:rPr>
          <w:b/>
        </w:rPr>
      </w:pPr>
      <w:r w:rsidRPr="00032A99">
        <w:rPr>
          <w:b/>
        </w:rPr>
        <w:t xml:space="preserve">Beschlüsse der </w:t>
      </w:r>
      <w:r>
        <w:rPr>
          <w:b/>
        </w:rPr>
        <w:t>168</w:t>
      </w:r>
      <w:r w:rsidRPr="00032A99">
        <w:rPr>
          <w:b/>
        </w:rPr>
        <w:t>. Vollversammlung der Bayerischen Re</w:t>
      </w:r>
      <w:r>
        <w:rPr>
          <w:b/>
        </w:rPr>
        <w:t>gional-KODA vom 09.07.2015</w:t>
      </w:r>
    </w:p>
    <w:p w:rsidR="00BE1EFE" w:rsidRDefault="00BE1EFE" w:rsidP="00ED7E10">
      <w:pPr>
        <w:pStyle w:val="StandardWeb"/>
        <w:rPr>
          <w:b/>
        </w:rPr>
      </w:pPr>
    </w:p>
    <w:p w:rsidR="00BE1EFE" w:rsidRDefault="00BE1EFE" w:rsidP="00ED7E10">
      <w:pPr>
        <w:pStyle w:val="StandardWeb"/>
      </w:pPr>
      <w:r>
        <w:t>– ABD Teil B, 4. (Sonderregelungen für Beschäftigte als Lehrkräfte an Schulen in kirchlicher Trägerschaft)</w:t>
      </w:r>
    </w:p>
    <w:p w:rsidR="00BE1EFE" w:rsidRDefault="00BE1EFE" w:rsidP="00ED7E10">
      <w:pPr>
        <w:pStyle w:val="StandardWeb"/>
      </w:pPr>
      <w:r>
        <w:t>hier: Lehrkräfte mit Führungsaufgaben</w:t>
      </w:r>
    </w:p>
    <w:p w:rsidR="00BE1EFE" w:rsidRDefault="00BE1EFE" w:rsidP="00C815C5">
      <w:pPr>
        <w:pStyle w:val="StandardWeb"/>
        <w:jc w:val="right"/>
      </w:pPr>
      <w:r>
        <w:t>zum 1. August 2015</w:t>
      </w:r>
    </w:p>
    <w:p w:rsidR="00BE1EFE" w:rsidRDefault="00BE1EFE" w:rsidP="00ED7E10">
      <w:pPr>
        <w:pStyle w:val="StandardWeb"/>
      </w:pPr>
    </w:p>
    <w:p w:rsidR="00BE1EFE" w:rsidRDefault="00BE1EFE" w:rsidP="00ED7E10">
      <w:pPr>
        <w:pStyle w:val="StandardWeb"/>
      </w:pPr>
      <w:r>
        <w:t>– ABD Teil B, 4.1. (Sonderregelungen für die Arbeitsverhältnisse arbeitsvertraglich beschäftig</w:t>
      </w:r>
      <w:r>
        <w:softHyphen/>
        <w:t>ter Lehrkräfte an Schulen in kirchlicher Trägerschaft)</w:t>
      </w:r>
    </w:p>
    <w:p w:rsidR="00BE1EFE" w:rsidRDefault="00BE1EFE" w:rsidP="00ED7E10">
      <w:pPr>
        <w:pStyle w:val="StandardWeb"/>
      </w:pPr>
      <w:r>
        <w:t xml:space="preserve">hier: Klarstellung Beurteilungsverzicht </w:t>
      </w:r>
    </w:p>
    <w:p w:rsidR="00BE1EFE" w:rsidRDefault="00BE1EFE" w:rsidP="00ED7E10">
      <w:pPr>
        <w:pStyle w:val="StandardWeb"/>
        <w:jc w:val="right"/>
      </w:pPr>
      <w:r>
        <w:t>zum 1. August 2015</w:t>
      </w:r>
    </w:p>
    <w:p w:rsidR="00BE1EFE" w:rsidRDefault="00BE1EFE" w:rsidP="00ED7E10">
      <w:pPr>
        <w:pStyle w:val="StandardWeb"/>
      </w:pPr>
    </w:p>
    <w:p w:rsidR="00BE1EFE" w:rsidRDefault="00BE1EFE" w:rsidP="00ED7E10">
      <w:pPr>
        <w:pStyle w:val="StandardWeb"/>
      </w:pPr>
      <w:r>
        <w:t xml:space="preserve">– ABD Teil B, 4.1.3. (Sonderregelungen für die Arbeitsverhältnisse von Lehrkräften an Grund- und Mittelschulen) </w:t>
      </w:r>
    </w:p>
    <w:p w:rsidR="00BE1EFE" w:rsidRDefault="00BE1EFE" w:rsidP="00ED7E10">
      <w:pPr>
        <w:pStyle w:val="StandardWeb"/>
      </w:pPr>
      <w:r>
        <w:t>hier: Lehrkräfte an Grund- und Mittelschulen als Systembetreuer, Beratungslehrkräfte und Schulpsychologen</w:t>
      </w:r>
    </w:p>
    <w:p w:rsidR="00BE1EFE" w:rsidRDefault="00BE1EFE" w:rsidP="00ED7E10">
      <w:pPr>
        <w:pStyle w:val="StandardWeb"/>
        <w:jc w:val="right"/>
      </w:pPr>
      <w:r>
        <w:t>zum 1. August 2015</w:t>
      </w:r>
    </w:p>
    <w:p w:rsidR="00BE1EFE" w:rsidRDefault="00BE1EFE" w:rsidP="00ED7E10">
      <w:pPr>
        <w:pStyle w:val="StandardWeb"/>
      </w:pPr>
    </w:p>
    <w:p w:rsidR="00BE1EFE" w:rsidRDefault="00BE1EFE" w:rsidP="00ED7E10">
      <w:pPr>
        <w:pStyle w:val="StandardWeb"/>
      </w:pPr>
      <w:r>
        <w:t>– ABD Teil D, 11. (Regelung über den Rationalisierungsschutz für Beschäftigte)</w:t>
      </w:r>
    </w:p>
    <w:p w:rsidR="00BE1EFE" w:rsidRDefault="00BE1EFE" w:rsidP="00ED7E10">
      <w:pPr>
        <w:pStyle w:val="StandardWeb"/>
      </w:pPr>
      <w:r>
        <w:t>hier: Änderung</w:t>
      </w:r>
    </w:p>
    <w:p w:rsidR="00BE1EFE" w:rsidRDefault="00BE1EFE" w:rsidP="00ED7E10">
      <w:pPr>
        <w:pStyle w:val="StandardWeb"/>
        <w:jc w:val="right"/>
      </w:pPr>
      <w:r>
        <w:t>zum 1. September 2015</w:t>
      </w:r>
    </w:p>
    <w:p w:rsidR="00BE1EFE" w:rsidRDefault="00BE1EFE">
      <w:pPr>
        <w:pStyle w:val="StandardWeb"/>
        <w:rPr>
          <w:b/>
        </w:rPr>
      </w:pPr>
    </w:p>
    <w:p w:rsidR="00BE1EFE" w:rsidRDefault="00BE1EFE">
      <w:pPr>
        <w:pStyle w:val="StandardWeb"/>
        <w:rPr>
          <w:b/>
        </w:rPr>
      </w:pPr>
    </w:p>
    <w:p w:rsidR="00BE1EFE" w:rsidRDefault="00BE1EFE" w:rsidP="006454D1">
      <w:pPr>
        <w:pStyle w:val="StandardWeb"/>
      </w:pPr>
      <w:r>
        <w:rPr>
          <w:b/>
        </w:rPr>
        <w:t>Anlage 109</w:t>
      </w:r>
      <w:r>
        <w:t xml:space="preserve"> </w:t>
      </w:r>
      <w:hyperlink r:id="rId1773" w:history="1">
        <w:r w:rsidRPr="002D1F1D">
          <w:rPr>
            <w:rStyle w:val="Hyperlink"/>
          </w:rPr>
          <w:t>[herunterladen]</w:t>
        </w:r>
      </w:hyperlink>
    </w:p>
    <w:p w:rsidR="00BE1EFE" w:rsidRDefault="00BE1EFE">
      <w:pPr>
        <w:pStyle w:val="StandardWeb"/>
        <w:rPr>
          <w:b/>
        </w:rPr>
      </w:pPr>
    </w:p>
    <w:p w:rsidR="00BE1EFE" w:rsidRDefault="00BE1EFE">
      <w:pPr>
        <w:pStyle w:val="StandardWeb"/>
        <w:rPr>
          <w:b/>
        </w:rPr>
      </w:pPr>
      <w:r w:rsidRPr="00032A99">
        <w:rPr>
          <w:b/>
        </w:rPr>
        <w:t>Beschlüsse der 167. Vollversammlung der Bayerischen Re</w:t>
      </w:r>
      <w:r>
        <w:rPr>
          <w:b/>
        </w:rPr>
        <w:t>gional-KODA vom 25./26.03.2015</w:t>
      </w:r>
    </w:p>
    <w:p w:rsidR="00BE1EFE" w:rsidRPr="000B1AF8" w:rsidRDefault="00BE1EFE">
      <w:pPr>
        <w:pStyle w:val="StandardWeb"/>
      </w:pPr>
    </w:p>
    <w:p w:rsidR="00BE1EFE" w:rsidRDefault="00BE1EFE">
      <w:pPr>
        <w:pStyle w:val="StandardWeb"/>
      </w:pPr>
      <w:r>
        <w:t>– Anlage G ABD Teil A, 1. (Selbstauskunft und Verpflichtungserklärung für Beschäftigte zur persönlichen Eignung für den Umgang mit Kindern und Jugendlichen gemäß § 3 Absatz 9)</w:t>
      </w:r>
    </w:p>
    <w:p w:rsidR="00BE1EFE" w:rsidRDefault="00BE1EFE">
      <w:pPr>
        <w:pStyle w:val="StandardWeb"/>
      </w:pPr>
      <w:r>
        <w:t>hier: Anpassungen an Änderungen des Strafgesetzbuches (StGB) durch das Neunundvier</w:t>
      </w:r>
      <w:r>
        <w:softHyphen/>
        <w:t>zigste Gesetz zur Änderung des Strafgesetzbuches – Umsetzung europäischer Vorgaben zum Sexualstrafrecht vom 21. Januar 2015</w:t>
      </w:r>
    </w:p>
    <w:p w:rsidR="00BE1EFE" w:rsidRDefault="00BE1EFE">
      <w:pPr>
        <w:pStyle w:val="StandardWeb"/>
        <w:jc w:val="right"/>
      </w:pPr>
      <w:r>
        <w:t>rückwirkend zum 26. Januar 2015</w:t>
      </w:r>
    </w:p>
    <w:p w:rsidR="00BE1EFE" w:rsidRDefault="00BE1EFE" w:rsidP="00BA0E1B">
      <w:pPr>
        <w:pStyle w:val="StandardWeb"/>
        <w:jc w:val="left"/>
      </w:pPr>
    </w:p>
    <w:p w:rsidR="00BE1EFE" w:rsidRDefault="00BE1EFE">
      <w:pPr>
        <w:pStyle w:val="StandardWeb"/>
      </w:pPr>
      <w:r>
        <w:t>– ABD Teil A, 1. (Allgemeiner Teil) und ABD Teil A, 3. (Regelung zur Überleitung der Beschäf</w:t>
      </w:r>
      <w:r>
        <w:softHyphen/>
        <w:t xml:space="preserve">tigten und des Übergangsrechts) </w:t>
      </w:r>
    </w:p>
    <w:p w:rsidR="00BE1EFE" w:rsidRDefault="00BE1EFE">
      <w:pPr>
        <w:pStyle w:val="StandardWeb"/>
      </w:pPr>
      <w:r>
        <w:t>hier: Leistungsgeminderte Beschäftigte; Umsetzung des Änderungstarifvertrags Nr. 10 vom 1. April 2014 zum Tarifvertrag für den öffentlichen Dienst (TVöD) vom 13. September 2005 und des Änderungstarifvertrags Nr. 8 vom 1. April 2014 zum Tarifvertrag zur Überleitung der Beschäftigten der kommunalen Arbeitgeber in den TVöD und zur Regelung des Übergangs-rechts (TVÜ-VKA) vom 13. September 2005</w:t>
      </w:r>
    </w:p>
    <w:p w:rsidR="00BE1EFE" w:rsidRDefault="00BE1EFE">
      <w:pPr>
        <w:pStyle w:val="StandardWeb"/>
        <w:jc w:val="right"/>
      </w:pPr>
      <w:r>
        <w:t>rückwirkend zum 1. April 2014</w:t>
      </w:r>
    </w:p>
    <w:p w:rsidR="00BE1EFE" w:rsidRDefault="00BE1EFE" w:rsidP="00BA0E1B">
      <w:pPr>
        <w:pStyle w:val="StandardWeb"/>
        <w:jc w:val="left"/>
      </w:pPr>
    </w:p>
    <w:p w:rsidR="00BE1EFE" w:rsidRDefault="00BE1EFE" w:rsidP="00426781">
      <w:pPr>
        <w:pStyle w:val="Leerzeile"/>
        <w:jc w:val="both"/>
      </w:pPr>
      <w:r>
        <w:t>– ABD Teil B, 4.1. (Sonderregelungen für die Arbeitsverhältnisse arbeitsvertraglich beschäftig</w:t>
      </w:r>
      <w:r>
        <w:softHyphen/>
        <w:t>ter Lehrkräfte an Schulen in kirchlicher Trägerschaft)</w:t>
      </w:r>
    </w:p>
    <w:p w:rsidR="00BE1EFE" w:rsidRDefault="00BE1EFE">
      <w:pPr>
        <w:pStyle w:val="StandardWeb"/>
      </w:pPr>
      <w:r>
        <w:t>hier: weitere Dienstzulage</w:t>
      </w:r>
    </w:p>
    <w:p w:rsidR="00BE1EFE" w:rsidRDefault="00BE1EFE">
      <w:pPr>
        <w:pStyle w:val="StandardWeb"/>
        <w:jc w:val="right"/>
      </w:pPr>
      <w:r>
        <w:t>zum 1. August 2015</w:t>
      </w:r>
    </w:p>
    <w:p w:rsidR="00BE1EFE" w:rsidRDefault="00BE1EFE" w:rsidP="00BA0E1B">
      <w:pPr>
        <w:pStyle w:val="StandardWeb"/>
        <w:jc w:val="lef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lastRenderedPageBreak/>
        <w:t>hier: Vereinheitlichung des Beurteilungsturnus</w:t>
      </w:r>
    </w:p>
    <w:p w:rsidR="00BE1EFE" w:rsidRDefault="00BE1EFE">
      <w:pPr>
        <w:pStyle w:val="StandardWeb"/>
        <w:jc w:val="right"/>
      </w:pPr>
      <w:r>
        <w:t>rückwirkend zum 1. Januar 2015</w:t>
      </w:r>
    </w:p>
    <w:p w:rsidR="00BE1EFE" w:rsidRDefault="00BE1EFE" w:rsidP="00BA0E1B">
      <w:pPr>
        <w:pStyle w:val="StandardWeb"/>
        <w:jc w:val="left"/>
      </w:pPr>
    </w:p>
    <w:p w:rsidR="00BE1EFE" w:rsidRDefault="00BE1EFE">
      <w:pPr>
        <w:pStyle w:val="StandardWeb"/>
      </w:pPr>
      <w:r>
        <w:t>– ABD Teil C, 2. (Dienstordnung für Gemeindereferentinnen und Gemeindereferenten in den bayerischen (Erz-)Diözesen)</w:t>
      </w:r>
    </w:p>
    <w:p w:rsidR="00BE1EFE" w:rsidRDefault="00BE1EFE">
      <w:pPr>
        <w:pStyle w:val="StandardWeb"/>
      </w:pPr>
      <w:r>
        <w:t>hier: Berufseinführung und Vorbereitungsdienst in der Erzdiözese München und Freising</w:t>
      </w:r>
    </w:p>
    <w:p w:rsidR="00BE1EFE" w:rsidRDefault="00BE1EFE">
      <w:pPr>
        <w:pStyle w:val="StandardWeb"/>
      </w:pPr>
      <w:r>
        <w:t>und</w:t>
      </w:r>
    </w:p>
    <w:p w:rsidR="00BE1EFE" w:rsidRDefault="00BE1EFE" w:rsidP="00032A99">
      <w:pPr>
        <w:pStyle w:val="StandardWeb"/>
        <w:jc w:val="left"/>
      </w:pPr>
      <w:r>
        <w:t xml:space="preserve">ABD Teil C, 3. (Dienstordnung für Religionslehrerinnen und Religionslehrer im Kirchendienst) hier: Berufseinführung und Vorbereitungsdienst in der Erzdiözese München und Freising </w:t>
      </w:r>
    </w:p>
    <w:p w:rsidR="00BE1EFE" w:rsidRDefault="00BE1EFE" w:rsidP="00032A99">
      <w:pPr>
        <w:pStyle w:val="StandardWeb"/>
        <w:jc w:val="right"/>
      </w:pPr>
      <w:r>
        <w:t xml:space="preserve">rückwirkend zum 1. März 2015 </w:t>
      </w:r>
    </w:p>
    <w:p w:rsidR="00BE1EFE" w:rsidRDefault="00BE1EFE">
      <w:pPr>
        <w:pStyle w:val="StandardWeb"/>
      </w:pPr>
    </w:p>
    <w:p w:rsidR="00BE1EFE" w:rsidRDefault="00BE1EFE">
      <w:pPr>
        <w:pStyle w:val="StandardWeb"/>
      </w:pPr>
      <w:r>
        <w:t>– ABD Teil D, 6a. (Regelung zu flexiblen Arbeitszeitregelungen für ältere Beschäftigte – FlexAZR –)</w:t>
      </w:r>
    </w:p>
    <w:p w:rsidR="00BE1EFE" w:rsidRDefault="00BE1EFE">
      <w:pPr>
        <w:pStyle w:val="StandardWeb"/>
      </w:pPr>
      <w:r>
        <w:t>hier: Änderung von § 11</w:t>
      </w:r>
    </w:p>
    <w:p w:rsidR="00BE1EFE" w:rsidRDefault="00BE1EFE">
      <w:pPr>
        <w:pStyle w:val="StandardWeb"/>
        <w:jc w:val="right"/>
      </w:pPr>
      <w:r>
        <w:t>rückwirkend zum 1. Juli 2014</w:t>
      </w:r>
    </w:p>
    <w:p w:rsidR="00BE1EFE" w:rsidRDefault="00BE1EFE" w:rsidP="00BA0E1B">
      <w:pPr>
        <w:pStyle w:val="StandardWeb"/>
        <w:jc w:val="left"/>
      </w:pPr>
    </w:p>
    <w:p w:rsidR="00BE1EFE" w:rsidRDefault="00BE1EFE">
      <w:pPr>
        <w:pStyle w:val="StandardWeb"/>
      </w:pPr>
      <w:r>
        <w:t>– ABD Teil D, 9. (Reisekostenordnung der Bayerischen (Erz-)Diözesen)</w:t>
      </w:r>
    </w:p>
    <w:p w:rsidR="00BE1EFE" w:rsidRDefault="00BE1EFE">
      <w:pPr>
        <w:pStyle w:val="StandardWeb"/>
      </w:pPr>
      <w:r>
        <w:t>hier: Geltung des Bayerischen Reisekostengesetzes</w:t>
      </w:r>
    </w:p>
    <w:p w:rsidR="00BE1EFE" w:rsidRDefault="00BE1EFE">
      <w:pPr>
        <w:pStyle w:val="StandardWeb"/>
        <w:jc w:val="right"/>
      </w:pPr>
      <w:r>
        <w:t>zum 1. April 2015</w:t>
      </w:r>
    </w:p>
    <w:p w:rsidR="00BE1EFE" w:rsidRDefault="00BE1EFE" w:rsidP="00BA0E1B">
      <w:pPr>
        <w:pStyle w:val="StandardWeb"/>
        <w:jc w:val="left"/>
      </w:pPr>
    </w:p>
    <w:p w:rsidR="00BE1EFE" w:rsidRDefault="00BE1EFE">
      <w:pPr>
        <w:pStyle w:val="StandardWeb"/>
      </w:pPr>
      <w:r>
        <w:t>– Richtlinien für die Gewährung von Praktikantenvergütungen (Praktikanten-Richtlinien)</w:t>
      </w:r>
    </w:p>
    <w:p w:rsidR="00BE1EFE" w:rsidRDefault="00BE1EFE">
      <w:pPr>
        <w:pStyle w:val="StandardWeb"/>
      </w:pPr>
      <w:r>
        <w:t>hier: Umsetzung der Richtlinien der Vereinigung der kommunalen Arbeitgeberverbände (VKA) für die Zahlung von Praktikantenvergütungen (Praktikanten-Richtlinien der VKA) vom 21. November 2014 mit Anpassungen an das MiLoG</w:t>
      </w:r>
    </w:p>
    <w:p w:rsidR="00BE1EFE" w:rsidRDefault="00BE1EFE">
      <w:pPr>
        <w:pStyle w:val="StandardWeb"/>
        <w:jc w:val="right"/>
      </w:pPr>
      <w:r>
        <w:t>rückwirkend zum 1. Januar 2015</w:t>
      </w:r>
    </w:p>
    <w:p w:rsidR="00BE1EFE" w:rsidRDefault="00BE1EFE">
      <w:pPr>
        <w:pStyle w:val="StandardWeb"/>
        <w:jc w:val="right"/>
      </w:pPr>
    </w:p>
    <w:p w:rsidR="00BE1EFE" w:rsidRDefault="00BE1EFE">
      <w:pPr>
        <w:pStyle w:val="StandardWeb"/>
        <w:jc w:val="right"/>
      </w:pPr>
    </w:p>
    <w:p w:rsidR="00BE1EFE" w:rsidRDefault="00BE1EFE" w:rsidP="00E60E45">
      <w:pPr>
        <w:pStyle w:val="berschrift5"/>
        <w:spacing w:before="0"/>
      </w:pPr>
      <w:bookmarkStart w:id="1163" w:name="_Toc523926679"/>
      <w:r>
        <w:t>Beschlüsse 2014</w:t>
      </w:r>
      <w:bookmarkEnd w:id="1163"/>
    </w:p>
    <w:p w:rsidR="00BE1EFE" w:rsidRPr="00B76821" w:rsidRDefault="00BE1EFE" w:rsidP="00B76821">
      <w:pPr>
        <w:pStyle w:val="berschrift6"/>
        <w:keepNext w:val="0"/>
        <w:spacing w:before="0" w:after="0"/>
        <w:rPr>
          <w:sz w:val="2"/>
        </w:rPr>
      </w:pPr>
    </w:p>
    <w:p w:rsidR="00BE1EFE" w:rsidRDefault="00BE1EFE" w:rsidP="006454D1">
      <w:pPr>
        <w:pStyle w:val="StandardWeb"/>
      </w:pPr>
      <w:r w:rsidRPr="000C2C5A">
        <w:rPr>
          <w:b/>
        </w:rPr>
        <w:t>Anlage 108</w:t>
      </w:r>
      <w:r>
        <w:t xml:space="preserve"> </w:t>
      </w:r>
      <w:hyperlink r:id="rId1774" w:history="1">
        <w:r w:rsidRPr="002D1F1D">
          <w:rPr>
            <w:rStyle w:val="Hyperlink"/>
          </w:rPr>
          <w:t>[herunterladen]</w:t>
        </w:r>
      </w:hyperlink>
    </w:p>
    <w:p w:rsidR="00BE1EFE" w:rsidRDefault="00BE1EFE" w:rsidP="0054275E">
      <w:pPr>
        <w:pStyle w:val="StandardWeb"/>
        <w:autoSpaceDE w:val="0"/>
        <w:rPr>
          <w:rStyle w:val="Fett"/>
          <w:bCs/>
        </w:rPr>
      </w:pPr>
    </w:p>
    <w:p w:rsidR="00BE1EFE" w:rsidRPr="000B1AF8" w:rsidRDefault="00BE1EFE" w:rsidP="0054275E">
      <w:pPr>
        <w:pStyle w:val="StandardWeb"/>
        <w:autoSpaceDE w:val="0"/>
      </w:pPr>
      <w:r>
        <w:rPr>
          <w:rStyle w:val="Fett"/>
          <w:bCs/>
        </w:rPr>
        <w:t>Beschlüsse der 166. Vollversammlung der Bayerischen Regional-KODA vom 03./04.12.2014</w:t>
      </w:r>
    </w:p>
    <w:p w:rsidR="00BE1EFE" w:rsidRDefault="00BE1EFE">
      <w:pPr>
        <w:pStyle w:val="StandardWeb"/>
      </w:pPr>
    </w:p>
    <w:p w:rsidR="00BE1EFE" w:rsidRPr="00B62321" w:rsidRDefault="00BE1EFE">
      <w:pPr>
        <w:pStyle w:val="StandardWeb"/>
        <w:rPr>
          <w:b/>
        </w:rPr>
      </w:pPr>
      <w:r w:rsidRPr="00B62321">
        <w:rPr>
          <w:b/>
        </w:rPr>
        <w:t>I. Beschlüsse der Bayerischen Regional-KODA vom 03./04.12.2014</w:t>
      </w:r>
    </w:p>
    <w:p w:rsidR="00BE1EFE" w:rsidRDefault="00BE1EFE">
      <w:pPr>
        <w:pStyle w:val="StandardWeb"/>
      </w:pPr>
    </w:p>
    <w:p w:rsidR="00BE1EFE" w:rsidRDefault="00BE1EFE">
      <w:pPr>
        <w:pStyle w:val="StandardWeb"/>
      </w:pPr>
      <w:r>
        <w:t xml:space="preserve">– § 18a ABD Teil A, 1. (Besondere Einmalzahlung) </w:t>
      </w:r>
    </w:p>
    <w:p w:rsidR="00BE1EFE" w:rsidRDefault="00BE1EFE" w:rsidP="0044377C">
      <w:pPr>
        <w:pStyle w:val="StandardWeb"/>
      </w:pPr>
      <w:r>
        <w:t>hier: Änderung des Absatzes 1 in Umsetzung der Tarifeinigung in den Tarifverhandlungen für die Beschäftigten des öffentlichen Dienstes von Bund und kommunalen Arbeitgebern vom 1. April 2014 sowie redaktionelle Änderung</w:t>
      </w:r>
    </w:p>
    <w:p w:rsidR="00BE1EFE" w:rsidRDefault="00BE1EFE">
      <w:pPr>
        <w:pStyle w:val="StandardWeb"/>
        <w:jc w:val="right"/>
      </w:pPr>
      <w:r>
        <w:t>zum 1. März 2014</w:t>
      </w:r>
    </w:p>
    <w:p w:rsidR="00BE1EFE" w:rsidRDefault="00BE1EFE" w:rsidP="00BA0E1B">
      <w:pPr>
        <w:pStyle w:val="StandardWeb"/>
        <w:jc w:val="left"/>
      </w:pPr>
    </w:p>
    <w:p w:rsidR="00BE1EFE" w:rsidRDefault="00BE1EFE">
      <w:pPr>
        <w:pStyle w:val="StandardWeb"/>
      </w:pPr>
      <w:r>
        <w:t xml:space="preserve">– Anlage E ABD Teil A, 1. (Einführung, Leistungsfeststellung und Auszahlung des Leistungs-entgelts) </w:t>
      </w:r>
    </w:p>
    <w:p w:rsidR="00BE1EFE" w:rsidRDefault="00BE1EFE" w:rsidP="0044377C">
      <w:pPr>
        <w:pStyle w:val="StandardWeb"/>
      </w:pPr>
      <w:r>
        <w:t>hier: Streichung eines Hinweises</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ABD Teil A, 2.5. (Vorläufige Entgeltordnung für Gemeindeassistentinnen/Gemeindeassisten</w:t>
      </w:r>
      <w:r>
        <w:softHyphen/>
        <w:t xml:space="preserve">ten und Gemeindereferentinnen/Gemeindereferenten in den bayerischen (Erz-)Diözesen) </w:t>
      </w:r>
    </w:p>
    <w:p w:rsidR="00BE1EFE" w:rsidRDefault="00BE1EFE">
      <w:pPr>
        <w:pStyle w:val="StandardWeb"/>
      </w:pPr>
      <w:r>
        <w:t>hier: Anrechnung der allgemeinen Zulage auf die individuelle Endstufe bzw. der Wegfall der individuellen Endstufe mit Wirkung zum 01.03.201</w:t>
      </w:r>
    </w:p>
    <w:p w:rsidR="00BE1EFE" w:rsidRDefault="00BE1EFE">
      <w:pPr>
        <w:pStyle w:val="StandardWeb"/>
        <w:jc w:val="right"/>
      </w:pPr>
      <w:r>
        <w:t>zum 1. Januar 2014</w:t>
      </w:r>
    </w:p>
    <w:p w:rsidR="00BE1EFE" w:rsidRDefault="00BE1EFE" w:rsidP="00BA0E1B">
      <w:pPr>
        <w:pStyle w:val="StandardWeb"/>
        <w:jc w:val="left"/>
      </w:pPr>
    </w:p>
    <w:p w:rsidR="00BE1EFE" w:rsidRDefault="00BE1EFE">
      <w:pPr>
        <w:pStyle w:val="StandardWeb"/>
      </w:pPr>
      <w:r>
        <w:lastRenderedPageBreak/>
        <w:t>– Vergütung für Pfarrhelfer und Pfarrhelfer hier: Anhebung der Vergütung</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xml:space="preserve">– ABD Teil D, 6. (Regelung der Altersteilzeitarbeit) </w:t>
      </w:r>
    </w:p>
    <w:p w:rsidR="00BE1EFE" w:rsidRDefault="00BE1EFE" w:rsidP="0044377C">
      <w:pPr>
        <w:pStyle w:val="StandardWeb"/>
      </w:pPr>
      <w:r>
        <w:t>hier: Änderung</w:t>
      </w:r>
    </w:p>
    <w:p w:rsidR="00BE1EFE" w:rsidRDefault="00BE1EFE">
      <w:pPr>
        <w:pStyle w:val="StandardWeb"/>
        <w:jc w:val="right"/>
      </w:pPr>
      <w:r>
        <w:t>zum 1. April 2015</w:t>
      </w:r>
    </w:p>
    <w:p w:rsidR="00BE1EFE" w:rsidRDefault="00BE1EFE" w:rsidP="00BA0E1B">
      <w:pPr>
        <w:pStyle w:val="StandardWeb"/>
        <w:jc w:val="left"/>
      </w:pPr>
    </w:p>
    <w:p w:rsidR="00BE1EFE" w:rsidRDefault="00BE1EFE">
      <w:pPr>
        <w:pStyle w:val="StandardWeb"/>
      </w:pPr>
      <w:r>
        <w:t>– ABD Teil D, 8. (Regelung über eine ergänzende Leistung an Beschäftigte und Auszu</w:t>
      </w:r>
      <w:r>
        <w:softHyphen/>
        <w:t xml:space="preserve">bildende) </w:t>
      </w:r>
    </w:p>
    <w:p w:rsidR="00BE1EFE" w:rsidRDefault="00BE1EFE" w:rsidP="0044377C">
      <w:pPr>
        <w:pStyle w:val="StandardWeb"/>
      </w:pPr>
      <w:r>
        <w:t>hier: Anpassung der Ballungsraumzulage der Höhe nach an die Münchenzulage der Stadt München und Änderungen in Umsetzung des Änderungstarifvertrages Nr. 3 zum Tarifvertrag über eine ergänzende Leistung an Arbeitnehmerinnen, Arbeitnehmer und Auszubildende des Freistaates Bayern (TV-EL)</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xml:space="preserve">– ABD Teil D, 10a. (Ordnung über die betriebliche Altersversorgung der bei der Bayerischen Versorgungskammer – Zusatzversorgungskasse der bayerischen Gemeinden – versicherten Beschäftigten im kirchlichen Dienst – Versorgungsordnung A – in der Fassung vom 11. Dezember 2007) </w:t>
      </w:r>
    </w:p>
    <w:p w:rsidR="00BE1EFE" w:rsidRDefault="00BE1EFE">
      <w:pPr>
        <w:pStyle w:val="StandardWeb"/>
      </w:pPr>
      <w:r>
        <w:t>hier: Umsetzung des Änderungstarifvertrages Nr. 5 vom 30. Mai 2011 und des Änderungstarifvertrages Nr. 6 vom 24. November 2011 zum Tarifvertrag über die betriebliche Altersversorgung der Beschäftigten des öffentlichen Dienstes (Tarifvertrag Altersversorgung – ATV) vom 1. März 2002</w:t>
      </w:r>
    </w:p>
    <w:p w:rsidR="00BE1EFE" w:rsidRDefault="00BE1EFE">
      <w:pPr>
        <w:pStyle w:val="StandardWeb"/>
        <w:jc w:val="right"/>
      </w:pPr>
      <w:r>
        <w:t>verschiedene Inkraftsetzungsdaten</w:t>
      </w:r>
    </w:p>
    <w:p w:rsidR="00BE1EFE" w:rsidRDefault="00BE1EFE" w:rsidP="00C70D60">
      <w:pPr>
        <w:pStyle w:val="StandardWeb"/>
        <w:jc w:val="right"/>
      </w:pPr>
    </w:p>
    <w:p w:rsidR="00BE1EFE" w:rsidRDefault="00BE1EFE" w:rsidP="00C70D60">
      <w:pPr>
        <w:pStyle w:val="StandardWeb"/>
        <w:jc w:val="left"/>
      </w:pPr>
    </w:p>
    <w:p w:rsidR="00BE1EFE" w:rsidRPr="00B62321" w:rsidRDefault="00BE1EFE" w:rsidP="00C70D60">
      <w:pPr>
        <w:pStyle w:val="StandardWeb"/>
        <w:jc w:val="left"/>
        <w:rPr>
          <w:b/>
        </w:rPr>
      </w:pPr>
      <w:r w:rsidRPr="00B62321">
        <w:rPr>
          <w:b/>
        </w:rPr>
        <w:t>II. Beschlüsse der Bayerischen Regional-KODA vom 10.07.2014 und vom 03./04.12.2014</w:t>
      </w:r>
    </w:p>
    <w:p w:rsidR="00BE1EFE" w:rsidRDefault="00BE1EFE">
      <w:pPr>
        <w:pStyle w:val="StandardWeb"/>
      </w:pPr>
    </w:p>
    <w:p w:rsidR="00BE1EFE" w:rsidRDefault="00BE1EFE">
      <w:pPr>
        <w:pStyle w:val="StandardWeb"/>
      </w:pPr>
      <w:r>
        <w:t xml:space="preserve">– ABD Teil A, 2.2. (Allgemeine Tätigkeitsmerkmale) </w:t>
      </w:r>
    </w:p>
    <w:p w:rsidR="00BE1EFE" w:rsidRDefault="00BE1EFE">
      <w:pPr>
        <w:pStyle w:val="StandardWeb"/>
      </w:pPr>
      <w:r>
        <w:t>hier: Eingruppierung von Beschäftigten in der Ehe-, Familien- und Lebensberatung</w:t>
      </w: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t xml:space="preserve">– ABD Teil A, 2.9. (Vergütungsordnung für Kirchenmusiker) </w:t>
      </w:r>
    </w:p>
    <w:p w:rsidR="00BE1EFE" w:rsidRDefault="00BE1EFE">
      <w:pPr>
        <w:pStyle w:val="StandardWeb"/>
      </w:pPr>
      <w:r>
        <w:t>hier: Neufassung</w:t>
      </w:r>
    </w:p>
    <w:p w:rsidR="00BE1EFE" w:rsidRDefault="00BE1EFE">
      <w:pPr>
        <w:pStyle w:val="StandardWeb"/>
        <w:jc w:val="right"/>
      </w:pPr>
      <w:r>
        <w:t>zum 1. Januar 2015</w:t>
      </w:r>
    </w:p>
    <w:p w:rsidR="00BE1EFE" w:rsidRDefault="00BE1EFE" w:rsidP="00BA0E1B">
      <w:pPr>
        <w:pStyle w:val="StandardWeb"/>
        <w:jc w:val="left"/>
      </w:pPr>
    </w:p>
    <w:p w:rsidR="00BE1EFE" w:rsidRDefault="00BE1EFE">
      <w:pPr>
        <w:pStyle w:val="StandardWeb"/>
      </w:pPr>
      <w:r>
        <w:t>– ABD Teil C, 6. (Dienstordnung für Kirchenmusikerinnen und Kirchenmusiker)</w:t>
      </w:r>
    </w:p>
    <w:p w:rsidR="00BE1EFE" w:rsidRDefault="00BE1EFE">
      <w:pPr>
        <w:pStyle w:val="StandardWeb"/>
      </w:pPr>
      <w:r>
        <w:t>hier: Änderung</w:t>
      </w:r>
    </w:p>
    <w:p w:rsidR="00BE1EFE" w:rsidRDefault="00BE1EFE">
      <w:pPr>
        <w:pStyle w:val="StandardWeb"/>
        <w:jc w:val="right"/>
      </w:pPr>
      <w:r>
        <w:t>zum 1. Januar 2015</w:t>
      </w:r>
    </w:p>
    <w:p w:rsidR="00BE1EFE" w:rsidRDefault="00BE1EFE">
      <w:pPr>
        <w:pStyle w:val="StandardWeb"/>
      </w:pPr>
    </w:p>
    <w:p w:rsidR="00BE1EFE" w:rsidRDefault="00BE1EFE">
      <w:pPr>
        <w:pStyle w:val="StandardWeb"/>
      </w:pPr>
    </w:p>
    <w:p w:rsidR="00BE1EFE" w:rsidRDefault="00BE1EFE" w:rsidP="006454D1">
      <w:pPr>
        <w:pStyle w:val="StandardWeb"/>
      </w:pPr>
      <w:r w:rsidRPr="000C2C5A">
        <w:rPr>
          <w:b/>
        </w:rPr>
        <w:t>Anlage 107</w:t>
      </w:r>
      <w:r>
        <w:t xml:space="preserve"> </w:t>
      </w:r>
      <w:hyperlink r:id="rId1775"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164. Vollversammlung der Bayerischen Regional-KODA vom 10.07.2014</w:t>
      </w:r>
    </w:p>
    <w:p w:rsidR="00BE1EFE" w:rsidRDefault="00BE1EFE">
      <w:pPr>
        <w:pStyle w:val="StandardWeb"/>
      </w:pPr>
    </w:p>
    <w:p w:rsidR="00BE1EFE" w:rsidRDefault="00BE1EFE">
      <w:pPr>
        <w:pStyle w:val="StandardWeb"/>
      </w:pPr>
      <w:r>
        <w:t xml:space="preserve">– ABD Teil A, 2.6. (Vorläufige Entgeltordnung für Religionslehrerinnen und Religionslehrer im Kirchendienst) </w:t>
      </w:r>
    </w:p>
    <w:p w:rsidR="00BE1EFE" w:rsidRDefault="00BE1EFE">
      <w:pPr>
        <w:pStyle w:val="StandardWeb"/>
      </w:pPr>
      <w:r>
        <w:t>hier: Erhöhung der Förderschulzulage in Umsetzung der Tarifeinigung in den Tarifverhand</w:t>
      </w:r>
      <w:r>
        <w:softHyphen/>
        <w:t>lungen für die Beschäftigten des öffentlichen Dienstes von Bund und kommunalen Arbeitgebern vom 1. April 2014</w:t>
      </w: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lastRenderedPageBreak/>
        <w:t xml:space="preserve">– ABD Teil A, 2.6. (Vorläufige Entgeltordnung für Religionslehrerinnen und Religionslehrer im Kirchendienst) </w:t>
      </w:r>
    </w:p>
    <w:p w:rsidR="00BE1EFE" w:rsidRDefault="00BE1EFE">
      <w:pPr>
        <w:pStyle w:val="StandardWeb"/>
      </w:pPr>
      <w:r>
        <w:t>hier: Gewährung der Förderschulzulage an kirchliche Schulbeauftragte in der Erzdiözese München und Freising</w:t>
      </w:r>
    </w:p>
    <w:p w:rsidR="00BE1EFE" w:rsidRDefault="00BE1EFE">
      <w:pPr>
        <w:pStyle w:val="StandardWeb"/>
      </w:pPr>
    </w:p>
    <w:p w:rsidR="00BE1EFE" w:rsidRDefault="00BE1EFE">
      <w:pPr>
        <w:pStyle w:val="StandardWeb"/>
        <w:jc w:val="right"/>
      </w:pPr>
      <w:r>
        <w:t>zum 1. September 2014</w:t>
      </w:r>
    </w:p>
    <w:p w:rsidR="00BE1EFE" w:rsidRDefault="00BE1EFE" w:rsidP="00BA0E1B">
      <w:pPr>
        <w:pStyle w:val="StandardWeb"/>
        <w:jc w:val="left"/>
      </w:pPr>
    </w:p>
    <w:p w:rsidR="00BE1EFE" w:rsidRDefault="00BE1EFE">
      <w:pPr>
        <w:pStyle w:val="StandardWeb"/>
      </w:pPr>
      <w:r>
        <w:t xml:space="preserve">– ABD Teil B, 4. (Sonderregelungen für Beschäftigte als Lehrkräfte an Schulen in kirchlicher Trägerschaft) </w:t>
      </w:r>
    </w:p>
    <w:p w:rsidR="00BE1EFE" w:rsidRDefault="00BE1EFE">
      <w:pPr>
        <w:pStyle w:val="StandardWeb"/>
      </w:pPr>
      <w:r>
        <w:t>hier: Lehrkräfte an Realschulen als Systembetreuer</w:t>
      </w:r>
    </w:p>
    <w:p w:rsidR="00BE1EFE" w:rsidRDefault="00BE1EFE">
      <w:pPr>
        <w:pStyle w:val="StandardWeb"/>
        <w:jc w:val="right"/>
      </w:pPr>
      <w:r>
        <w:t>zum 1. August 2014</w:t>
      </w:r>
    </w:p>
    <w:p w:rsidR="00BE1EFE" w:rsidRDefault="00BE1EFE" w:rsidP="00BA0E1B">
      <w:pPr>
        <w:pStyle w:val="StandardWeb"/>
        <w:jc w:val="left"/>
      </w:pPr>
    </w:p>
    <w:p w:rsidR="00BE1EFE" w:rsidRDefault="00BE1EFE">
      <w:pPr>
        <w:pStyle w:val="StandardWeb"/>
      </w:pPr>
      <w:r>
        <w:t>– ABD Teil B, 6. (Regelung zur Eingruppierung von Beschäftigten an offenen und gebundenen Ganztagsschulen)</w:t>
      </w:r>
    </w:p>
    <w:p w:rsidR="00BE1EFE" w:rsidRDefault="00BE1EFE">
      <w:pPr>
        <w:pStyle w:val="StandardWeb"/>
        <w:jc w:val="right"/>
      </w:pPr>
      <w:r>
        <w:t>zum 1. September 2014</w:t>
      </w:r>
    </w:p>
    <w:p w:rsidR="00BE1EFE" w:rsidRDefault="00BE1EFE" w:rsidP="00BA0E1B">
      <w:pPr>
        <w:pStyle w:val="StandardWeb"/>
        <w:jc w:val="left"/>
      </w:pPr>
    </w:p>
    <w:p w:rsidR="00BE1EFE" w:rsidRDefault="00BE1EFE" w:rsidP="00C70D60">
      <w:pPr>
        <w:pStyle w:val="StandardWeb"/>
      </w:pPr>
      <w:r>
        <w:t>– ABD Teil D, 10b. (Ordnung über die betriebliche Altersversorgung der bei der SELBS</w:t>
      </w:r>
      <w:r>
        <w:softHyphen/>
        <w:t xml:space="preserve">THILFE, Pensionskasse der Caritas VVaG versicherten Mitarbeiter im kirchlichen Dienst – Versorgungsordnung B –) </w:t>
      </w:r>
    </w:p>
    <w:p w:rsidR="00BE1EFE" w:rsidRDefault="00BE1EFE">
      <w:pPr>
        <w:pStyle w:val="StandardWeb"/>
      </w:pPr>
      <w:r>
        <w:t>hier: Änderung zur Anerkennung der Mutterschutzzeiten in den Versorgungsregelungen der Zusatzversorgungskasse der SELBST-HILFE</w:t>
      </w:r>
    </w:p>
    <w:p w:rsidR="00BE1EFE" w:rsidRDefault="00BE1EFE">
      <w:pPr>
        <w:pStyle w:val="StandardWeb"/>
        <w:jc w:val="right"/>
      </w:pPr>
      <w:r>
        <w:t>zum 1. September 2014</w:t>
      </w:r>
    </w:p>
    <w:p w:rsidR="00BE1EFE" w:rsidRDefault="00BE1EFE" w:rsidP="00C02DBD">
      <w:pPr>
        <w:pStyle w:val="StandardWeb"/>
      </w:pPr>
    </w:p>
    <w:p w:rsidR="00BE1EFE" w:rsidRDefault="00BE1EFE" w:rsidP="00C02DBD">
      <w:pPr>
        <w:pStyle w:val="StandardWeb"/>
      </w:pPr>
    </w:p>
    <w:p w:rsidR="00BE1EFE" w:rsidRDefault="00BE1EFE" w:rsidP="006454D1">
      <w:pPr>
        <w:pStyle w:val="StandardWeb"/>
        <w:autoSpaceDE w:val="0"/>
      </w:pPr>
      <w:r>
        <w:rPr>
          <w:rStyle w:val="Fett"/>
          <w:bCs/>
        </w:rPr>
        <w:t>Anlage 106</w:t>
      </w:r>
      <w:r>
        <w:t xml:space="preserve"> </w:t>
      </w:r>
      <w:hyperlink r:id="rId1776"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163. Vollversammlung der Bayerischen Regional-KODA vom 04.06.2014</w:t>
      </w:r>
    </w:p>
    <w:p w:rsidR="00BE1EFE" w:rsidRDefault="00BE1EFE">
      <w:pPr>
        <w:pStyle w:val="StandardWeb"/>
      </w:pPr>
    </w:p>
    <w:p w:rsidR="00BE1EFE" w:rsidRPr="00C70D60" w:rsidRDefault="00BE1EFE">
      <w:pPr>
        <w:pStyle w:val="StandardWeb"/>
        <w:rPr>
          <w:b/>
        </w:rPr>
      </w:pPr>
      <w:r>
        <w:rPr>
          <w:b/>
        </w:rPr>
        <w:t>I. </w:t>
      </w:r>
      <w:r w:rsidRPr="00C70D60">
        <w:rPr>
          <w:b/>
        </w:rPr>
        <w:t>Beschlüsse der Bayerischen Regional-KODA vom 04.06.2014</w:t>
      </w:r>
    </w:p>
    <w:p w:rsidR="00BE1EFE" w:rsidRDefault="00BE1EFE">
      <w:pPr>
        <w:pStyle w:val="StandardWeb"/>
      </w:pPr>
    </w:p>
    <w:p w:rsidR="00BE1EFE" w:rsidRDefault="00BE1EFE">
      <w:pPr>
        <w:pStyle w:val="StandardWeb"/>
      </w:pPr>
      <w:r>
        <w:t xml:space="preserve">– § 18a ABD Teil A, 1. (Besondere Einmalzahlung ) </w:t>
      </w:r>
    </w:p>
    <w:p w:rsidR="00BE1EFE" w:rsidRDefault="00BE1EFE">
      <w:pPr>
        <w:pStyle w:val="StandardWeb"/>
      </w:pPr>
      <w:r>
        <w:t>hier: Änderung des Absatzes 2 in Umsetzung der Tarifeinigung in den Tarifverhandlungen für die Beschäftigten des öffentlichen Dienstes von Bund und kommunalen Arbeitgebern vom 1. April 2014</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ABD Teil A, 2.5. (Vorläufige Entgeltordnung für Gemeindeassistenten/Gemeindeassisten</w:t>
      </w:r>
      <w:r>
        <w:softHyphen/>
        <w:t xml:space="preserve">tinnen und Gemeindereferenten/Gemeindereferentinnen in den bayerischen (Erz-)Diözesen) </w:t>
      </w:r>
    </w:p>
    <w:p w:rsidR="00BE1EFE" w:rsidRDefault="00BE1EFE">
      <w:pPr>
        <w:pStyle w:val="StandardWeb"/>
      </w:pPr>
      <w:r>
        <w:t>hier: Erhöhung der Zulagen in Umsetzung der Tarifeinigung in den Tarifverhandlungen für die Beschäftigten des öffentlichen Dienstes von Bund und kommunalen Arbeitgebern vom 1. April 2014</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xml:space="preserve">– § 8a ABD Teil A, 3. (Mehrfachaufstiege bei kirchenspezifischen Berufen) </w:t>
      </w:r>
    </w:p>
    <w:p w:rsidR="00BE1EFE" w:rsidRDefault="00BE1EFE">
      <w:pPr>
        <w:pStyle w:val="StandardWeb"/>
      </w:pPr>
      <w:r>
        <w:t>hier: Änderung der vorläufigen Regelung bis zum Inkrafttreten der neuen Entgeltordnung</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t xml:space="preserve">– ABD Teil D, 6a. (Regelung zu flexiblen Arbeitszeitregelungen für ältere Beschäftigte – FlexAZR –) </w:t>
      </w:r>
    </w:p>
    <w:p w:rsidR="00BE1EFE" w:rsidRDefault="00BE1EFE">
      <w:pPr>
        <w:pStyle w:val="StandardWeb"/>
      </w:pPr>
      <w:r>
        <w:t>hier: Umsetzung des Änderungstarifvertrags Nr. 4 vom 1. April 2014 zum Tarifvertrag zu flexiblen Arbeitszeitregelungen für ältere Beschäftigte – TV FlexAZ – vom 27. Februar 2010</w:t>
      </w:r>
    </w:p>
    <w:p w:rsidR="00BE1EFE" w:rsidRDefault="00BE1EFE">
      <w:pPr>
        <w:pStyle w:val="StandardWeb"/>
        <w:jc w:val="right"/>
      </w:pPr>
      <w:r>
        <w:t>zum 1. März 2014</w:t>
      </w:r>
    </w:p>
    <w:p w:rsidR="00BE1EFE" w:rsidRDefault="00BE1EFE" w:rsidP="00F91FBD">
      <w:pPr>
        <w:pStyle w:val="StandardWeb"/>
        <w:jc w:val="left"/>
      </w:pPr>
    </w:p>
    <w:p w:rsidR="00BE1EFE" w:rsidRDefault="00BE1EFE">
      <w:pPr>
        <w:pStyle w:val="StandardWeb"/>
      </w:pPr>
      <w:r>
        <w:lastRenderedPageBreak/>
        <w:t xml:space="preserve">– ABD Teil E, 1.1. (Regelung für Auszubildende) </w:t>
      </w:r>
    </w:p>
    <w:p w:rsidR="00BE1EFE" w:rsidRDefault="00BE1EFE">
      <w:pPr>
        <w:pStyle w:val="StandardWeb"/>
      </w:pPr>
      <w:r>
        <w:t>hier: Umsetzung des Änderungstarifvertrags Nr. 4 vom 1. April 2014 zum Tarifvertrag für Auszubildende des öffentlichen Dienstes (TVAöD) – Allgemeiner Teil – vom 13. September 2005</w:t>
      </w:r>
    </w:p>
    <w:p w:rsidR="00BE1EFE" w:rsidRDefault="00BE1EFE">
      <w:pPr>
        <w:pStyle w:val="StandardWeb"/>
        <w:jc w:val="right"/>
      </w:pPr>
      <w:r>
        <w:t>verschiedene Inkraftsetzungsdaten</w:t>
      </w:r>
    </w:p>
    <w:p w:rsidR="00BE1EFE" w:rsidRDefault="00BE1EFE" w:rsidP="00C70D60">
      <w:pPr>
        <w:pStyle w:val="StandardWeb"/>
        <w:jc w:val="left"/>
      </w:pPr>
    </w:p>
    <w:p w:rsidR="00BE1EFE" w:rsidRPr="00C70D60" w:rsidRDefault="00BE1EFE" w:rsidP="00C70D60">
      <w:pPr>
        <w:pStyle w:val="StandardWeb"/>
        <w:jc w:val="left"/>
        <w:rPr>
          <w:b/>
        </w:rPr>
      </w:pPr>
      <w:r>
        <w:rPr>
          <w:b/>
        </w:rPr>
        <w:t>II. </w:t>
      </w:r>
      <w:r w:rsidRPr="00C70D60">
        <w:rPr>
          <w:b/>
        </w:rPr>
        <w:t>Beschlüsse der Bayerischen Regional-KODA vom 04.06.2014 mit Änderungen in Umsetzung des § 20a ABD Teil A, 1.</w:t>
      </w:r>
    </w:p>
    <w:p w:rsidR="00BE1EFE" w:rsidRDefault="00BE1EFE">
      <w:pPr>
        <w:pStyle w:val="StandardWeb"/>
      </w:pPr>
    </w:p>
    <w:p w:rsidR="00BE1EFE" w:rsidRDefault="00BE1EFE">
      <w:pPr>
        <w:pStyle w:val="StandardWeb"/>
      </w:pPr>
      <w:r>
        <w:t xml:space="preserve">– Änderungen des ABD Teil A, 1. </w:t>
      </w:r>
    </w:p>
    <w:p w:rsidR="00BE1EFE" w:rsidRDefault="00BE1EFE">
      <w:pPr>
        <w:pStyle w:val="StandardWeb"/>
      </w:pPr>
      <w:r>
        <w:t>hier: Umsetzung des Änderungstarifvertrags Nr. 10 vom 1. April 2014 zum Tarifvertrag für den öffentlichen Dienst (TVöD) vom 13. September 2005</w:t>
      </w:r>
    </w:p>
    <w:p w:rsidR="00BE1EFE" w:rsidRDefault="00BE1EFE">
      <w:pPr>
        <w:pStyle w:val="StandardWeb"/>
        <w:jc w:val="right"/>
      </w:pPr>
      <w:r>
        <w:t>verschiedene Inkraftsetzungsdaten</w:t>
      </w:r>
    </w:p>
    <w:p w:rsidR="00BE1EFE" w:rsidRDefault="00BE1EFE" w:rsidP="00BF51C4">
      <w:pPr>
        <w:pStyle w:val="Leerzeile"/>
      </w:pPr>
    </w:p>
    <w:p w:rsidR="00BE1EFE" w:rsidRDefault="00BE1EFE">
      <w:pPr>
        <w:pStyle w:val="StandardWeb"/>
      </w:pPr>
      <w:r>
        <w:t xml:space="preserve">– Änderungen des ABD Teil A, 1. </w:t>
      </w:r>
    </w:p>
    <w:p w:rsidR="00BE1EFE" w:rsidRDefault="00BE1EFE">
      <w:pPr>
        <w:pStyle w:val="StandardWeb"/>
      </w:pPr>
      <w:r>
        <w:t>hier: Umsetzung des Änderungstarifvertrags Nr. 17 vom 1. April 2014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pPr>
        <w:pStyle w:val="StandardWeb"/>
      </w:pPr>
      <w:r>
        <w:t xml:space="preserve">– Änderungen des ABD Teil A, 3. (Regelung zur Überleitung der Beschäftigten und des Übergangsrechts) </w:t>
      </w:r>
    </w:p>
    <w:p w:rsidR="00BE1EFE" w:rsidRDefault="00BE1EFE">
      <w:pPr>
        <w:pStyle w:val="StandardWeb"/>
      </w:pPr>
      <w:r>
        <w:t>hier: Umsetzung des Änderungstarifvertrags Nr. 8 vom 1. April 2014 zum Tarifvertrag zur Überleitung der Beschäftigten der kommunalen Arbeitgeber in den TVöD und zur Regelung des Übergangsrechts (TVÜ-VKA) vom 13. September 2005</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pPr>
        <w:pStyle w:val="StandardWeb"/>
      </w:pPr>
      <w:r>
        <w:t>– Regelung über eine einmalige Pauschalzahlung 2014 und 2015 in Umsetzung des Tarifvertrags über eine einmalige Pauschalzahlung 2014 und 2015 (VKA) vom 1. April 2014</w:t>
      </w:r>
    </w:p>
    <w:p w:rsidR="00BE1EFE" w:rsidRDefault="00BE1EFE" w:rsidP="0044377C">
      <w:pPr>
        <w:pStyle w:val="StandardWeb"/>
        <w:jc w:val="right"/>
      </w:pPr>
      <w:r>
        <w:t>verschiedene Inkraftsetzungsdaten</w:t>
      </w:r>
    </w:p>
    <w:p w:rsidR="00BE1EFE" w:rsidRPr="00C70D60" w:rsidRDefault="00BE1EFE">
      <w:pPr>
        <w:pStyle w:val="StandardWeb"/>
        <w:rPr>
          <w:b/>
        </w:rPr>
      </w:pPr>
      <w:r>
        <w:rPr>
          <w:b/>
        </w:rPr>
        <w:t>III. </w:t>
      </w:r>
      <w:r w:rsidRPr="00C70D60">
        <w:rPr>
          <w:b/>
        </w:rPr>
        <w:t>Beschluss der Bayerischen Regional-KODA vom 04.06.2014 mit Änderungen in Umsetzung des § 4 Absatz 5 ABD Teil B, 5.</w:t>
      </w:r>
    </w:p>
    <w:p w:rsidR="00BE1EFE" w:rsidRDefault="00BE1EFE">
      <w:pPr>
        <w:pStyle w:val="StandardWeb"/>
      </w:pPr>
    </w:p>
    <w:p w:rsidR="00BE1EFE" w:rsidRDefault="00BE1EFE">
      <w:pPr>
        <w:pStyle w:val="StandardWeb"/>
      </w:pPr>
      <w:r>
        <w:t xml:space="preserve">– Änderungen des ABD Teil B, 5. (Regelung für die Kraftfahrer und Kraftfahrerinnen) </w:t>
      </w:r>
    </w:p>
    <w:p w:rsidR="00BE1EFE" w:rsidRDefault="00BE1EFE">
      <w:pPr>
        <w:pStyle w:val="StandardWeb"/>
      </w:pPr>
      <w:r>
        <w:t>hier: Erhöhung der Pauschalentgelte in Umsetzung des Änderungstarifvertrags Nr. 4 vom 1. April 2014 zum Tarifvertrag für die Kraftfahrer und Kraftfahrerinnen des Bundes (KraftfahrerTV Bund) vom 13. September 2005</w:t>
      </w:r>
    </w:p>
    <w:p w:rsidR="00BE1EFE" w:rsidRDefault="00BE1EFE">
      <w:pPr>
        <w:pStyle w:val="StandardWeb"/>
        <w:jc w:val="right"/>
      </w:pPr>
      <w:r>
        <w:t>verschiedene Inkraftsetzungsdaten</w:t>
      </w:r>
    </w:p>
    <w:p w:rsidR="00BE1EFE" w:rsidRDefault="00BE1EFE">
      <w:pPr>
        <w:pStyle w:val="StandardWeb"/>
      </w:pPr>
    </w:p>
    <w:p w:rsidR="00BE1EFE" w:rsidRPr="00C70D60" w:rsidRDefault="00BE1EFE">
      <w:pPr>
        <w:pStyle w:val="StandardWeb"/>
        <w:rPr>
          <w:b/>
        </w:rPr>
      </w:pPr>
      <w:r w:rsidRPr="00C70D60">
        <w:rPr>
          <w:b/>
        </w:rPr>
        <w:t>IV. Beschluss der Bayerischen Regional-KODA vom 04.06.2014 mit Änderungen in Umsetzung des § 2 Absatz 3 Satz 4 ABD Teil D, 8.</w:t>
      </w:r>
    </w:p>
    <w:p w:rsidR="00BE1EFE" w:rsidRDefault="00BE1EFE">
      <w:pPr>
        <w:pStyle w:val="StandardWeb"/>
      </w:pPr>
    </w:p>
    <w:p w:rsidR="00BE1EFE" w:rsidRDefault="00BE1EFE">
      <w:pPr>
        <w:pStyle w:val="StandardWeb"/>
      </w:pPr>
      <w:r>
        <w:t>– ABD Teil D, 8. (Regelung über eine ergänzende Leistung an Beschäftigte und Auszubil</w:t>
      </w:r>
      <w:r>
        <w:softHyphen/>
        <w:t xml:space="preserve">dende) </w:t>
      </w:r>
    </w:p>
    <w:p w:rsidR="00BE1EFE" w:rsidRDefault="00BE1EFE">
      <w:pPr>
        <w:pStyle w:val="StandardWeb"/>
      </w:pPr>
      <w:r>
        <w:t>hier: Änderung von Bestimmungen in Umsetzung der Tarifeinigung in den Tarifverhandlungen für die Beschäftigten des öffentlichen Dienstes von Bund und kommunalen Arbeitgebern vom 1. April 2014</w:t>
      </w:r>
    </w:p>
    <w:p w:rsidR="00BE1EFE" w:rsidRDefault="00BE1EFE">
      <w:pPr>
        <w:pStyle w:val="StandardWeb"/>
        <w:jc w:val="right"/>
      </w:pPr>
      <w:r>
        <w:t>verschiedene Inkraftsetzungsdaten</w:t>
      </w:r>
    </w:p>
    <w:p w:rsidR="00BE1EFE" w:rsidRDefault="00BE1EFE" w:rsidP="00F91FBD">
      <w:pPr>
        <w:pStyle w:val="StandardWeb"/>
        <w:jc w:val="left"/>
      </w:pPr>
    </w:p>
    <w:p w:rsidR="00BE1EFE" w:rsidRPr="00C70D60" w:rsidRDefault="00BE1EFE">
      <w:pPr>
        <w:pStyle w:val="StandardWeb"/>
        <w:rPr>
          <w:b/>
        </w:rPr>
      </w:pPr>
      <w:r>
        <w:rPr>
          <w:b/>
        </w:rPr>
        <w:t>V. </w:t>
      </w:r>
      <w:r w:rsidRPr="00C70D60">
        <w:rPr>
          <w:b/>
        </w:rPr>
        <w:t>Beschluss der Bayerischen Regional-KODA vom 04.06.2014 mit Änderungen in Umsetzung des § 8b ABD Teil E, 1.1.</w:t>
      </w:r>
    </w:p>
    <w:p w:rsidR="00BE1EFE" w:rsidRDefault="00BE1EFE">
      <w:pPr>
        <w:pStyle w:val="StandardWeb"/>
      </w:pPr>
    </w:p>
    <w:p w:rsidR="00BE1EFE" w:rsidRDefault="00BE1EFE">
      <w:pPr>
        <w:pStyle w:val="StandardWeb"/>
      </w:pPr>
      <w:r>
        <w:t xml:space="preserve">– Änderungen des ABD Teil E, 1.1. (Regelung für Auszubildende) </w:t>
      </w:r>
    </w:p>
    <w:p w:rsidR="00BE1EFE" w:rsidRDefault="00BE1EFE">
      <w:pPr>
        <w:pStyle w:val="StandardWeb"/>
      </w:pPr>
      <w:r>
        <w:lastRenderedPageBreak/>
        <w:t>hier: Umsetzung des Änderungstarifvertrags Nr. 5 vom 1. April 2014 zum Tarifvertrag für Auszubildende des öffentlichen Dienstes (TVAöD) – Besonderer Teil BBiG – vom 13. Septem</w:t>
      </w:r>
      <w:r>
        <w:softHyphen/>
        <w:t>ber 2005</w:t>
      </w:r>
    </w:p>
    <w:p w:rsidR="00BE1EFE" w:rsidRDefault="00BE1EFE" w:rsidP="006B0E3C">
      <w:pPr>
        <w:pStyle w:val="StandardWeb"/>
        <w:jc w:val="right"/>
      </w:pPr>
      <w:r>
        <w:t>verschiedene Inkraftsetzungsdaten</w:t>
      </w:r>
    </w:p>
    <w:p w:rsidR="00BE1EFE" w:rsidRDefault="00BE1EFE">
      <w:pPr>
        <w:pStyle w:val="StandardWeb"/>
      </w:pPr>
    </w:p>
    <w:p w:rsidR="00BE1EFE" w:rsidRPr="00C70D60" w:rsidRDefault="00BE1EFE">
      <w:pPr>
        <w:pStyle w:val="StandardWeb"/>
        <w:rPr>
          <w:b/>
        </w:rPr>
      </w:pPr>
      <w:r>
        <w:rPr>
          <w:b/>
        </w:rPr>
        <w:t>VI. </w:t>
      </w:r>
      <w:r w:rsidRPr="00C70D60">
        <w:rPr>
          <w:b/>
        </w:rPr>
        <w:t>Beschluss der Bayerischen Regional-KODA mit Änderungen in Umsetzung des § 14a ABD Teil E, 2.</w:t>
      </w:r>
    </w:p>
    <w:p w:rsidR="00BE1EFE" w:rsidRDefault="00BE1EFE">
      <w:pPr>
        <w:pStyle w:val="StandardWeb"/>
      </w:pPr>
    </w:p>
    <w:p w:rsidR="00BE1EFE" w:rsidRDefault="00BE1EFE">
      <w:pPr>
        <w:pStyle w:val="StandardWeb"/>
      </w:pPr>
      <w:r>
        <w:t xml:space="preserve">– ABD Teil E, 2. (Regelung für Praktikantinnen und Praktikanten) </w:t>
      </w:r>
    </w:p>
    <w:p w:rsidR="00BE1EFE" w:rsidRDefault="00BE1EFE">
      <w:pPr>
        <w:pStyle w:val="StandardWeb"/>
      </w:pPr>
      <w:r>
        <w:t>hier: Umsetzung des Änderungstarifvertrags Nr. 4 vom 1. April 2014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rsidP="00F91FBD">
      <w:pPr>
        <w:pStyle w:val="StandardWeb"/>
        <w:jc w:val="left"/>
      </w:pPr>
    </w:p>
    <w:p w:rsidR="00BE1EFE" w:rsidRDefault="00BE1EFE" w:rsidP="00F91FBD">
      <w:pPr>
        <w:pStyle w:val="StandardWeb"/>
        <w:jc w:val="left"/>
      </w:pPr>
    </w:p>
    <w:p w:rsidR="00BE1EFE" w:rsidRDefault="00BE1EFE" w:rsidP="006454D1">
      <w:pPr>
        <w:pStyle w:val="StandardWeb"/>
        <w:autoSpaceDE w:val="0"/>
      </w:pPr>
      <w:r>
        <w:rPr>
          <w:rStyle w:val="Fett"/>
          <w:bCs/>
        </w:rPr>
        <w:t>Anlage 105</w:t>
      </w:r>
      <w:r>
        <w:t xml:space="preserve"> </w:t>
      </w:r>
      <w:hyperlink r:id="rId1777"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162. Vollversammlung der Bayerischen Regional-KODA vom 26./27.03.2014</w:t>
      </w:r>
    </w:p>
    <w:p w:rsidR="00BE1EFE" w:rsidRDefault="00BE1EFE">
      <w:pPr>
        <w:pStyle w:val="StandardWeb"/>
      </w:pPr>
    </w:p>
    <w:p w:rsidR="00BE1EFE" w:rsidRDefault="00BE1EFE">
      <w:pPr>
        <w:pStyle w:val="StandardWeb"/>
      </w:pPr>
      <w:r>
        <w:t xml:space="preserve">– § 29 ABD Teil A, 1. (Arbeitsbefreiung) </w:t>
      </w:r>
    </w:p>
    <w:p w:rsidR="00BE1EFE" w:rsidRDefault="00BE1EFE">
      <w:pPr>
        <w:pStyle w:val="StandardWeb"/>
      </w:pPr>
      <w:r>
        <w:t>hier: Erweiterung der kirchenspezifischen Regelungen</w:t>
      </w:r>
    </w:p>
    <w:p w:rsidR="00BE1EFE" w:rsidRDefault="00BE1EFE">
      <w:pPr>
        <w:pStyle w:val="StandardWeb"/>
        <w:jc w:val="right"/>
      </w:pPr>
      <w:r>
        <w:t>rückwirkend zum 1. Januar 2014</w:t>
      </w:r>
    </w:p>
    <w:p w:rsidR="00BE1EFE" w:rsidRDefault="00BE1EFE" w:rsidP="00F91FBD">
      <w:pPr>
        <w:pStyle w:val="StandardWeb"/>
        <w:jc w:val="left"/>
      </w:pPr>
    </w:p>
    <w:p w:rsidR="00BE1EFE" w:rsidRDefault="00BE1EFE">
      <w:pPr>
        <w:pStyle w:val="StandardWeb"/>
      </w:pPr>
      <w:r>
        <w:t>– ABD Teil B, 4.1. (Sonderregelungen für die Arbeitsverhältnisse arbeitsvertraglich beschäftig</w:t>
      </w:r>
      <w:r>
        <w:softHyphen/>
        <w:t xml:space="preserve">ter Lehrkräfte an Schulen in kirchlicher Trägerschaft) </w:t>
      </w:r>
    </w:p>
    <w:p w:rsidR="00BE1EFE" w:rsidRDefault="00BE1EFE">
      <w:pPr>
        <w:pStyle w:val="StandardWeb"/>
      </w:pPr>
      <w:r>
        <w:t>hier: Protokollnotiz zur Klarstellung der Nichtgewährung der Strukturzulage an sog. Nichterfüller</w:t>
      </w:r>
    </w:p>
    <w:p w:rsidR="00BE1EFE" w:rsidRDefault="00BE1EFE">
      <w:pPr>
        <w:pStyle w:val="StandardWeb"/>
        <w:jc w:val="right"/>
      </w:pPr>
      <w:r>
        <w:t>zum 1. August 2014</w:t>
      </w:r>
    </w:p>
    <w:p w:rsidR="00BE1EFE" w:rsidRDefault="00BE1EFE" w:rsidP="00F91FBD">
      <w:pPr>
        <w:pStyle w:val="StandardWeb"/>
        <w:jc w:val="left"/>
      </w:pPr>
    </w:p>
    <w:p w:rsidR="00BE1EFE" w:rsidRDefault="00BE1EFE">
      <w:pPr>
        <w:pStyle w:val="StandardWeb"/>
      </w:pPr>
      <w:r>
        <w:t>– ABD Teil B, 4.1.1. (Sonderregelungen für die Arbeitsverhältnisse von Lehrkräften an Real</w:t>
      </w:r>
      <w:r>
        <w:softHyphen/>
        <w:t xml:space="preserve">schulen und Gymnasien) </w:t>
      </w:r>
    </w:p>
    <w:p w:rsidR="00BE1EFE" w:rsidRDefault="00BE1EFE">
      <w:pPr>
        <w:pStyle w:val="StandardWeb"/>
      </w:pPr>
      <w:r>
        <w:t>hier: Fachoberlehrer als Systembetreuer</w:t>
      </w:r>
    </w:p>
    <w:p w:rsidR="00BE1EFE" w:rsidRDefault="00BE1EFE">
      <w:pPr>
        <w:pStyle w:val="StandardWeb"/>
        <w:jc w:val="right"/>
      </w:pPr>
      <w:r>
        <w:t>zum 1. August 2014</w:t>
      </w:r>
    </w:p>
    <w:p w:rsidR="00BE1EFE" w:rsidRDefault="00BE1EFE" w:rsidP="00F91FBD">
      <w:pPr>
        <w:pStyle w:val="StandardWeb"/>
        <w:jc w:val="left"/>
      </w:pPr>
    </w:p>
    <w:p w:rsidR="00BE1EFE" w:rsidRDefault="00BE1EFE">
      <w:pPr>
        <w:pStyle w:val="StandardWeb"/>
      </w:pPr>
      <w:r>
        <w:t>– ABD Teil B, 4.1.1. (Sonderregelungen für die Arbeitsverhältnisse von Lehrkräften an Real</w:t>
      </w:r>
      <w:r>
        <w:softHyphen/>
        <w:t xml:space="preserve">schulen und Gymnasien) </w:t>
      </w:r>
    </w:p>
    <w:p w:rsidR="00BE1EFE" w:rsidRDefault="00BE1EFE">
      <w:pPr>
        <w:pStyle w:val="StandardWeb"/>
      </w:pPr>
      <w:r>
        <w:t>hier: Lehrkräfte an Realschulen als Systembetreuer</w:t>
      </w:r>
    </w:p>
    <w:p w:rsidR="00BE1EFE" w:rsidRDefault="00BE1EFE" w:rsidP="0044377C">
      <w:pPr>
        <w:pStyle w:val="StandardWeb"/>
        <w:jc w:val="right"/>
      </w:pPr>
      <w:r>
        <w:t>zum 1. August 2014</w:t>
      </w:r>
    </w:p>
    <w:p w:rsidR="00BE1EFE" w:rsidRDefault="00BE1EFE" w:rsidP="00621611">
      <w:pPr>
        <w:pStyle w:val="berschrift5"/>
        <w:spacing w:before="0"/>
        <w:rPr>
          <w:lang w:eastAsia="x-none"/>
        </w:rPr>
      </w:pPr>
    </w:p>
    <w:p w:rsidR="00BE1EFE" w:rsidRDefault="00BE1EFE" w:rsidP="00621611">
      <w:pPr>
        <w:pStyle w:val="berschrift5"/>
        <w:spacing w:before="0"/>
      </w:pPr>
      <w:bookmarkStart w:id="1164" w:name="_Toc523926680"/>
      <w:r>
        <w:t>Beschlüsse 2013</w:t>
      </w:r>
      <w:bookmarkEnd w:id="1164"/>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105 </w:t>
      </w:r>
      <w:hyperlink r:id="rId1778" w:history="1">
        <w:r w:rsidRPr="002D1F1D">
          <w:rPr>
            <w:rStyle w:val="Hyperlink"/>
          </w:rPr>
          <w:t>[herunterladen]</w:t>
        </w:r>
      </w:hyperlink>
    </w:p>
    <w:p w:rsidR="00BE1EFE" w:rsidRPr="000B1AF8" w:rsidRDefault="00BE1EFE">
      <w:pPr>
        <w:pStyle w:val="StandardWeb"/>
      </w:pPr>
    </w:p>
    <w:p w:rsidR="00BE1EFE" w:rsidRDefault="00BE1EFE" w:rsidP="0054275E">
      <w:pPr>
        <w:pStyle w:val="StandardWeb"/>
        <w:autoSpaceDE w:val="0"/>
      </w:pPr>
      <w:r>
        <w:rPr>
          <w:rStyle w:val="Fett"/>
          <w:bCs/>
        </w:rPr>
        <w:t xml:space="preserve">Beschlüsse der 161. Vollversammlung der Bayerische Regional-KODA am 27./28.11.2013 </w:t>
      </w:r>
    </w:p>
    <w:p w:rsidR="00BE1EFE" w:rsidRDefault="00BE1EFE">
      <w:pPr>
        <w:pStyle w:val="StandardWeb"/>
      </w:pPr>
    </w:p>
    <w:p w:rsidR="00BE1EFE" w:rsidRDefault="00BE1EFE">
      <w:pPr>
        <w:pStyle w:val="StandardWeb"/>
      </w:pPr>
      <w:r>
        <w:t>– ABD Teil A, 1. Anlage E (Einführung, Leistungsfeststellung und Auszahlung des Leistungs</w:t>
      </w:r>
      <w:r>
        <w:softHyphen/>
        <w:t>entgelts)</w:t>
      </w:r>
    </w:p>
    <w:p w:rsidR="00BE1EFE" w:rsidRDefault="00BE1EFE">
      <w:pPr>
        <w:pStyle w:val="StandardWeb"/>
      </w:pPr>
      <w:r>
        <w:t>hier: Änderung eines Hinweises</w:t>
      </w:r>
    </w:p>
    <w:p w:rsidR="00BE1EFE" w:rsidRDefault="00BE1EFE">
      <w:pPr>
        <w:pStyle w:val="StandardWeb"/>
        <w:jc w:val="right"/>
      </w:pPr>
      <w:r>
        <w:t>rückwirkend zum 1. Januar 2013</w:t>
      </w:r>
    </w:p>
    <w:p w:rsidR="00BE1EFE" w:rsidRDefault="00BE1EFE" w:rsidP="00372610">
      <w:pPr>
        <w:pStyle w:val="StandardWeb"/>
        <w:jc w:val="left"/>
      </w:pPr>
    </w:p>
    <w:p w:rsidR="00BE1EFE" w:rsidRDefault="00BE1EFE">
      <w:pPr>
        <w:pStyle w:val="StandardWeb"/>
      </w:pPr>
      <w:r>
        <w:lastRenderedPageBreak/>
        <w:t>– ABD Teil B, 4.1.1. (Sonderregelungen für die Arbeitsverhältnisse von Lehrkräften an Real</w:t>
      </w:r>
      <w:r>
        <w:softHyphen/>
        <w:t xml:space="preserve">schulen und Gymnasien) </w:t>
      </w:r>
    </w:p>
    <w:p w:rsidR="00BE1EFE" w:rsidRDefault="00BE1EFE">
      <w:pPr>
        <w:pStyle w:val="StandardWeb"/>
      </w:pPr>
      <w:r>
        <w:t>hier: Klarstellung</w:t>
      </w:r>
    </w:p>
    <w:p w:rsidR="00BE1EFE" w:rsidRDefault="00BE1EFE">
      <w:pPr>
        <w:pStyle w:val="StandardWeb"/>
        <w:jc w:val="right"/>
      </w:pPr>
      <w:r>
        <w:t>rückwirkend zum 1. September 2006</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Anlage 104 </w:t>
      </w:r>
      <w:hyperlink r:id="rId1779"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I. Beschluss der Zentral-KODA vom 21.03.2013</w:t>
      </w:r>
    </w:p>
    <w:p w:rsidR="00BE1EFE" w:rsidRDefault="00BE1EFE">
      <w:pPr>
        <w:pStyle w:val="StandardWeb"/>
      </w:pPr>
    </w:p>
    <w:p w:rsidR="00BE1EFE" w:rsidRDefault="00BE1EFE">
      <w:pPr>
        <w:pStyle w:val="StandardWeb"/>
      </w:pPr>
      <w:r>
        <w:t>– Änderungsbeschluss zur Entgeltumwandlung</w:t>
      </w:r>
    </w:p>
    <w:p w:rsidR="00BE1EFE" w:rsidRDefault="00BE1EFE">
      <w:pPr>
        <w:pStyle w:val="StandardWeb"/>
        <w:jc w:val="right"/>
      </w:pPr>
      <w:r>
        <w:t>zum 1. November 2013</w:t>
      </w:r>
    </w:p>
    <w:p w:rsidR="00BE1EFE" w:rsidRDefault="00BE1EFE" w:rsidP="00372610">
      <w:pPr>
        <w:pStyle w:val="StandardWeb"/>
        <w:jc w:val="left"/>
      </w:pPr>
    </w:p>
    <w:p w:rsidR="00BE1EFE" w:rsidRDefault="00BE1EFE" w:rsidP="0054275E">
      <w:pPr>
        <w:pStyle w:val="StandardWeb"/>
        <w:autoSpaceDE w:val="0"/>
      </w:pPr>
      <w:r>
        <w:rPr>
          <w:rStyle w:val="Fett"/>
          <w:bCs/>
        </w:rPr>
        <w:t>II. Beschlüsse der 159. Vollversammlung der Bayerischen Regional-KODA vom 04.07.2013</w:t>
      </w:r>
    </w:p>
    <w:p w:rsidR="00BE1EFE" w:rsidRDefault="00BE1EFE">
      <w:pPr>
        <w:pStyle w:val="StandardWeb"/>
      </w:pPr>
    </w:p>
    <w:p w:rsidR="00BE1EFE" w:rsidRDefault="00BE1EFE">
      <w:pPr>
        <w:pStyle w:val="StandardWeb"/>
      </w:pPr>
      <w:r>
        <w:t>– ABD Teil A, 2.8. (Vergütungsordnung für Mesner)</w:t>
      </w:r>
    </w:p>
    <w:p w:rsidR="00BE1EFE" w:rsidRDefault="00BE1EFE">
      <w:pPr>
        <w:pStyle w:val="StandardWeb"/>
      </w:pPr>
      <w:r>
        <w:t>hier: Neufassung</w:t>
      </w:r>
    </w:p>
    <w:p w:rsidR="00BE1EFE" w:rsidRDefault="00BE1EFE">
      <w:pPr>
        <w:pStyle w:val="StandardWeb"/>
        <w:jc w:val="right"/>
      </w:pPr>
      <w:r>
        <w:t>zum 1. Oktober 2013</w:t>
      </w:r>
    </w:p>
    <w:p w:rsidR="00BE1EFE" w:rsidRDefault="00BE1EFE" w:rsidP="00372610">
      <w:pPr>
        <w:pStyle w:val="StandardWeb"/>
        <w:jc w:val="left"/>
      </w:pPr>
    </w:p>
    <w:p w:rsidR="00BE1EFE" w:rsidRDefault="00BE1EFE">
      <w:pPr>
        <w:pStyle w:val="StandardWeb"/>
      </w:pPr>
      <w:r>
        <w:t>– § 8 ABD Teil A, 3. (Bewährungs- und Fallgruppenaufstiege)</w:t>
      </w:r>
    </w:p>
    <w:p w:rsidR="00BE1EFE" w:rsidRDefault="00BE1EFE">
      <w:pPr>
        <w:pStyle w:val="StandardWeb"/>
      </w:pPr>
      <w:r>
        <w:t>hier: Änderung der Besitzstandsregelung</w:t>
      </w:r>
    </w:p>
    <w:p w:rsidR="00BE1EFE" w:rsidRDefault="00BE1EFE">
      <w:pPr>
        <w:pStyle w:val="StandardWeb"/>
        <w:jc w:val="right"/>
      </w:pPr>
      <w:r>
        <w:t>zum 1. August 2013</w:t>
      </w:r>
    </w:p>
    <w:p w:rsidR="00BE1EFE" w:rsidRDefault="00BE1EFE" w:rsidP="00372610">
      <w:pPr>
        <w:pStyle w:val="StandardWeb"/>
        <w:jc w:val="lef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t>hier: Änderungen infolge des Gesetzes zur Änderung des Bayerischen Gesetzes über das Erziehungs- und Unterrichtswesen, des Bayerischen Schulfinanzierungsgesetzes und weiterer Vorschriften, und redaktionelle Änderungen</w:t>
      </w:r>
    </w:p>
    <w:p w:rsidR="00BE1EFE" w:rsidRDefault="00BE1EFE">
      <w:pPr>
        <w:pStyle w:val="StandardWeb"/>
        <w:jc w:val="right"/>
      </w:pPr>
      <w:r>
        <w:t>zum 1. August 2013</w:t>
      </w:r>
      <w:r>
        <w:br/>
      </w:r>
    </w:p>
    <w:p w:rsidR="00BE1EFE" w:rsidRDefault="00BE1EFE" w:rsidP="00A26023">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Mindestanforderungen für den Stufenaufstieg</w:t>
      </w:r>
    </w:p>
    <w:p w:rsidR="00BE1EFE" w:rsidRDefault="00BE1EFE">
      <w:pPr>
        <w:pStyle w:val="StandardWeb"/>
        <w:jc w:val="right"/>
      </w:pPr>
      <w:r>
        <w:t>zum 1. August 2013</w:t>
      </w:r>
    </w:p>
    <w:p w:rsidR="00BE1EFE" w:rsidRDefault="00BE1EFE">
      <w:pPr>
        <w:pStyle w:val="StandardWeb"/>
        <w:jc w:val="right"/>
      </w:pPr>
    </w:p>
    <w:p w:rsidR="00BE1EFE" w:rsidRDefault="00BE1EFE">
      <w:pPr>
        <w:pStyle w:val="StandardWeb"/>
      </w:pPr>
      <w:r>
        <w:t>– ABD Teil C, 3. (Dienstordnung für Religionslehrerinnen und Religionslehrer im Kirchendienst)</w:t>
      </w:r>
    </w:p>
    <w:p w:rsidR="00BE1EFE" w:rsidRDefault="00BE1EFE">
      <w:pPr>
        <w:pStyle w:val="StandardWeb"/>
      </w:pPr>
      <w:r>
        <w:t>hier: Änderungen infolge des Gesetzes zur Änderung des Bayerischen Gesetzes über das Erziehungs- und Unterrichtswesen, des Bayerischen Schulfinanzierungsgesetzes und weiterer Vorschriften</w:t>
      </w:r>
    </w:p>
    <w:p w:rsidR="00BE1EFE" w:rsidRDefault="00BE1EFE" w:rsidP="0044377C">
      <w:pPr>
        <w:pStyle w:val="StandardWeb"/>
        <w:ind w:left="4254" w:firstLine="709"/>
        <w:jc w:val="center"/>
      </w:pPr>
      <w:r>
        <w:t>zum 1. September 2013</w:t>
      </w:r>
    </w:p>
    <w:p w:rsidR="00BE1EFE" w:rsidRDefault="00BE1EFE">
      <w:pPr>
        <w:pStyle w:val="StandardWeb"/>
        <w:jc w:val="right"/>
      </w:pPr>
    </w:p>
    <w:p w:rsidR="00BE1EFE" w:rsidRDefault="00BE1EFE">
      <w:pPr>
        <w:pStyle w:val="StandardWeb"/>
      </w:pPr>
      <w:r>
        <w:t>– ABD Teil D, 10 c. (Ordnung über die betriebliche Altersversorgung durch Entgeltum</w:t>
      </w:r>
      <w:r>
        <w:softHyphen/>
        <w:t>wandlung der Beschäftigten im kirchlichen Dienst)</w:t>
      </w:r>
    </w:p>
    <w:p w:rsidR="00BE1EFE" w:rsidRDefault="00BE1EFE">
      <w:pPr>
        <w:pStyle w:val="StandardWeb"/>
      </w:pPr>
      <w:r>
        <w:t>hier: Änderung des ABD in Umsetzung und Ergänzung des Änderungsbeschluss der Zentral-KODA vom 21.03.2013</w:t>
      </w:r>
    </w:p>
    <w:p w:rsidR="00BE1EFE" w:rsidRDefault="00BE1EFE" w:rsidP="006B0E3C">
      <w:pPr>
        <w:pStyle w:val="StandardWeb"/>
        <w:jc w:val="right"/>
      </w:pPr>
      <w:r>
        <w:t>zum 1. November 2013</w:t>
      </w:r>
    </w:p>
    <w:p w:rsidR="00BE1EFE" w:rsidRDefault="00BE1EFE" w:rsidP="0054275E">
      <w:pPr>
        <w:pStyle w:val="StandardWeb"/>
        <w:autoSpaceDE w:val="0"/>
      </w:pPr>
      <w:r>
        <w:rPr>
          <w:rStyle w:val="Fett"/>
          <w:bCs/>
        </w:rPr>
        <w:t xml:space="preserve">Anlage 103 </w:t>
      </w:r>
      <w:hyperlink r:id="rId1780" w:history="1">
        <w:r w:rsidRPr="002D1F1D">
          <w:rPr>
            <w:rStyle w:val="Hyperlink"/>
          </w:rPr>
          <w:t>[herunterladen]</w:t>
        </w:r>
      </w:hyperlink>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I. Beschluss der 157. Vollversammlung der Bayerischen Regional-KODA am 14.03.2013</w:t>
      </w:r>
    </w:p>
    <w:p w:rsidR="00BE1EFE" w:rsidRDefault="00BE1EFE">
      <w:pPr>
        <w:pStyle w:val="StandardWeb"/>
      </w:pPr>
    </w:p>
    <w:p w:rsidR="00BE1EFE" w:rsidRDefault="00BE1EFE">
      <w:pPr>
        <w:pStyle w:val="StandardWeb"/>
      </w:pPr>
      <w:r>
        <w:lastRenderedPageBreak/>
        <w:t>– ABD Teil D, 10 b. (Ordnung über die betriebliche Altersversorgung der bei der SELBST</w:t>
      </w:r>
      <w:r>
        <w:softHyphen/>
        <w:t>HILFE, Pensionskasse der Caritas VVaG versicherten Mitarbeiter im kirchlichen Dienst – Versorgungsordnung B –)</w:t>
      </w:r>
    </w:p>
    <w:p w:rsidR="00BE1EFE" w:rsidRDefault="00BE1EFE">
      <w:pPr>
        <w:pStyle w:val="StandardWeb"/>
      </w:pPr>
      <w:r>
        <w:t>hier: Änderung des Beitragsbezugspunktes und der Beitragshöhe</w:t>
      </w:r>
    </w:p>
    <w:p w:rsidR="00BE1EFE" w:rsidRDefault="00BE1EFE">
      <w:pPr>
        <w:pStyle w:val="StandardWeb"/>
        <w:jc w:val="right"/>
      </w:pPr>
      <w:r>
        <w:t>rückwirkend zum 1. Januar 2013</w:t>
      </w:r>
    </w:p>
    <w:p w:rsidR="00BE1EFE" w:rsidRDefault="00BE1EFE">
      <w:pPr>
        <w:pStyle w:val="StandardWeb"/>
        <w:jc w:val="right"/>
      </w:pPr>
    </w:p>
    <w:p w:rsidR="00BE1EFE" w:rsidRDefault="00BE1EFE" w:rsidP="0054275E">
      <w:pPr>
        <w:pStyle w:val="StandardWeb"/>
        <w:autoSpaceDE w:val="0"/>
      </w:pPr>
      <w:r>
        <w:rPr>
          <w:rStyle w:val="Fett"/>
          <w:bCs/>
        </w:rPr>
        <w:t xml:space="preserve">II. Beschluss der 158. Vollversammlung der Bayerischen Regional-KODA am 17.04.2013 </w:t>
      </w:r>
    </w:p>
    <w:p w:rsidR="00BE1EFE" w:rsidRDefault="00BE1EFE">
      <w:pPr>
        <w:pStyle w:val="StandardWeb"/>
      </w:pPr>
    </w:p>
    <w:p w:rsidR="00BE1EFE" w:rsidRDefault="00BE1EFE">
      <w:pPr>
        <w:pStyle w:val="StandardWeb"/>
      </w:pPr>
      <w:r>
        <w:t>– ABD Teil A, 2.5. [Vergütungsordnung für Gemeindeassistenten und Gemeindereferenten in den bayerischen (Erz-)Diözesen]</w:t>
      </w:r>
    </w:p>
    <w:p w:rsidR="00BE1EFE" w:rsidRDefault="00BE1EFE">
      <w:pPr>
        <w:pStyle w:val="StandardWeb"/>
      </w:pPr>
      <w:r>
        <w:t>hier: Neufassung</w:t>
      </w:r>
    </w:p>
    <w:p w:rsidR="00BE1EFE" w:rsidRDefault="00BE1EFE">
      <w:pPr>
        <w:pStyle w:val="StandardWeb"/>
        <w:jc w:val="right"/>
      </w:pPr>
      <w:r>
        <w:t>zum 1. Januar 2014</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III. In Umsetzung eines Beschlusses der Bayerischen Regional-KODA erfolgt außerdem folgende Änderung des ABD: </w:t>
      </w:r>
    </w:p>
    <w:p w:rsidR="00BE1EFE" w:rsidRDefault="00BE1EFE">
      <w:pPr>
        <w:pStyle w:val="StandardWeb"/>
      </w:pPr>
    </w:p>
    <w:p w:rsidR="00BE1EFE" w:rsidRDefault="00BE1EFE">
      <w:pPr>
        <w:pStyle w:val="StandardWeb"/>
      </w:pPr>
      <w:r>
        <w:t xml:space="preserve">– Änderungen des ABD Teil C, 3. (Dienstordnung für Religionslehrerinnen und Religionslehrer im Kirchendienst) </w:t>
      </w:r>
    </w:p>
    <w:p w:rsidR="00BE1EFE" w:rsidRDefault="00BE1EFE">
      <w:pPr>
        <w:pStyle w:val="StandardWeb"/>
      </w:pPr>
      <w:r>
        <w:t>hier: Stundenermäßigung aus Gründen des Alters oder der Schwerbehinderung ab dem Schuljahr 2013/2014</w:t>
      </w:r>
    </w:p>
    <w:p w:rsidR="00BE1EFE" w:rsidRDefault="00BE1EFE">
      <w:pPr>
        <w:pStyle w:val="StandardWeb"/>
        <w:jc w:val="right"/>
      </w:pPr>
      <w:r>
        <w:t>zum 1. September 2013</w:t>
      </w:r>
      <w:r>
        <w:br/>
      </w:r>
    </w:p>
    <w:p w:rsidR="00BE1EFE" w:rsidRDefault="00BE1EFE" w:rsidP="00A26023">
      <w:pPr>
        <w:pStyle w:val="StandardWeb"/>
      </w:pPr>
      <w:r>
        <w:rPr>
          <w:rStyle w:val="Fett"/>
          <w:bCs/>
        </w:rPr>
        <w:t>Beschlüsse nach Beratung in der Freisinger Bischofskonferenz vom 30./31.01.2013</w:t>
      </w:r>
    </w:p>
    <w:p w:rsidR="00BE1EFE" w:rsidRDefault="00BE1EFE">
      <w:pPr>
        <w:pStyle w:val="StandardWeb"/>
      </w:pPr>
    </w:p>
    <w:p w:rsidR="00BE1EFE" w:rsidRDefault="00BE1EFE">
      <w:pPr>
        <w:pStyle w:val="StandardWeb"/>
      </w:pPr>
      <w:r>
        <w:t>– Änderung der Ordnung für das Verfahren zur Wahl der Vertreter/Vertreterinnen der Beschäftigten in der Bayerischen Regional-KODA (Regional-KODA-Wahlordnung – WOBayRK)</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Änderung der Beihilfeordnung Teil A, Teil B, Teil C</w:t>
      </w:r>
    </w:p>
    <w:p w:rsidR="00BE1EFE" w:rsidRDefault="00BE1EFE" w:rsidP="0044377C">
      <w:pPr>
        <w:pStyle w:val="StandardWeb"/>
        <w:jc w:val="right"/>
      </w:pPr>
      <w:r>
        <w:t>zum 1. April 2013</w:t>
      </w:r>
    </w:p>
    <w:p w:rsidR="00BE1EFE" w:rsidRDefault="00BE1EFE" w:rsidP="0044377C">
      <w:pPr>
        <w:pStyle w:val="StandardWeb"/>
        <w:jc w:val="right"/>
      </w:pPr>
    </w:p>
    <w:p w:rsidR="00BE1EFE" w:rsidRDefault="00BE1EFE" w:rsidP="00561A79">
      <w:pPr>
        <w:pStyle w:val="StandardWeb"/>
      </w:pPr>
    </w:p>
    <w:p w:rsidR="00BE1EFE" w:rsidRDefault="00BE1EFE" w:rsidP="0044377C">
      <w:pPr>
        <w:pStyle w:val="StandardWeb"/>
        <w:jc w:val="right"/>
      </w:pPr>
    </w:p>
    <w:p w:rsidR="00BE1EFE" w:rsidRDefault="00BE1EFE" w:rsidP="00561A79">
      <w:pPr>
        <w:pStyle w:val="berschrift5"/>
        <w:spacing w:before="0"/>
      </w:pPr>
      <w:bookmarkStart w:id="1165" w:name="_Toc523926681"/>
      <w:r>
        <w:t>Beschlüsse 2012</w:t>
      </w:r>
      <w:bookmarkEnd w:id="1165"/>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102 </w:t>
      </w:r>
      <w:hyperlink r:id="rId1781" w:history="1">
        <w:r w:rsidRPr="002D1F1D">
          <w:rPr>
            <w:rStyle w:val="Hyperlink"/>
          </w:rPr>
          <w:t>[herunterladen]</w:t>
        </w:r>
      </w:hyperlink>
      <w:r w:rsidRPr="002D1F1D">
        <w:rPr>
          <w:rStyle w:val="Fett"/>
          <w:bCs/>
        </w:rPr>
        <w:t xml:space="preserve"> </w:t>
      </w:r>
    </w:p>
    <w:p w:rsidR="00BE1EFE" w:rsidRPr="000B1AF8" w:rsidRDefault="00BE1EFE">
      <w:pPr>
        <w:pStyle w:val="StandardWeb"/>
      </w:pPr>
    </w:p>
    <w:p w:rsidR="00BE1EFE" w:rsidRDefault="00BE1EFE" w:rsidP="0054275E">
      <w:pPr>
        <w:pStyle w:val="StandardWeb"/>
        <w:autoSpaceDE w:val="0"/>
      </w:pPr>
      <w:r>
        <w:rPr>
          <w:rStyle w:val="Fett"/>
          <w:bCs/>
        </w:rPr>
        <w:t>I. Beschlüsse der 156. Vollversammlung der Bayerischen Regional-KODA am 28./29.11.2012</w:t>
      </w:r>
    </w:p>
    <w:p w:rsidR="00BE1EFE" w:rsidRDefault="00BE1EFE">
      <w:pPr>
        <w:pStyle w:val="StandardWeb"/>
      </w:pPr>
    </w:p>
    <w:p w:rsidR="00BE1EFE" w:rsidRDefault="00BE1EFE">
      <w:pPr>
        <w:pStyle w:val="StandardWeb"/>
      </w:pPr>
      <w:r>
        <w:t>– § 19 ABD Teil A, 1. (Erschwerniszuschläge)</w:t>
      </w:r>
    </w:p>
    <w:p w:rsidR="00BE1EFE" w:rsidRDefault="00BE1EFE">
      <w:pPr>
        <w:pStyle w:val="StandardWeb"/>
        <w:jc w:val="right"/>
      </w:pPr>
      <w:r>
        <w:t>rückwirkend zum 1. März 2012</w:t>
      </w:r>
    </w:p>
    <w:p w:rsidR="00BE1EFE" w:rsidRDefault="00BE1EFE">
      <w:pPr>
        <w:pStyle w:val="StandardWeb"/>
        <w:jc w:val="right"/>
      </w:pPr>
    </w:p>
    <w:p w:rsidR="00BE1EFE" w:rsidRDefault="00BE1EFE">
      <w:pPr>
        <w:pStyle w:val="StandardWeb"/>
      </w:pPr>
      <w:r>
        <w:t>– Beihilfe</w:t>
      </w:r>
    </w:p>
    <w:p w:rsidR="00BE1EFE" w:rsidRDefault="00BE1EFE">
      <w:pPr>
        <w:pStyle w:val="StandardWeb"/>
      </w:pPr>
      <w:r>
        <w:t>hier: Kirchliche Höherversicherung II</w:t>
      </w:r>
    </w:p>
    <w:p w:rsidR="00BE1EFE" w:rsidRDefault="00BE1EFE">
      <w:pPr>
        <w:pStyle w:val="StandardWeb"/>
        <w:jc w:val="right"/>
      </w:pPr>
      <w:r>
        <w:t>zum 1. April 2013</w:t>
      </w:r>
    </w:p>
    <w:p w:rsidR="00BE1EFE" w:rsidRDefault="00BE1EFE">
      <w:pPr>
        <w:pStyle w:val="StandardWeb"/>
        <w:jc w:val="right"/>
      </w:pPr>
    </w:p>
    <w:p w:rsidR="00BE1EFE" w:rsidRDefault="00BE1EFE">
      <w:pPr>
        <w:pStyle w:val="StandardWeb"/>
      </w:pPr>
      <w:r>
        <w:t>– ABD Teil C, 3. (Dienstordnung für Religionslehrerinnen und Religionslehrer im Kirchen</w:t>
      </w:r>
      <w:r>
        <w:softHyphen/>
        <w:t>dienst)</w:t>
      </w:r>
    </w:p>
    <w:p w:rsidR="00BE1EFE" w:rsidRDefault="00BE1EFE">
      <w:pPr>
        <w:pStyle w:val="StandardWeb"/>
      </w:pPr>
      <w:r>
        <w:t xml:space="preserve">hier: Anpassung der Unterrichtspflichtzeit ab dem Schuljahr 2012/2013 [in Umsetzung der Änderung der Bestimmungen über die Unterrichtspflichtzeit der Lehrkräfte im öffentlichen </w:t>
      </w:r>
      <w:r>
        <w:lastRenderedPageBreak/>
        <w:t>Dienst an Grund- und Hauptschulen, Förderschulen, Realschulen, beruflichen Schulen und Gymnasien (Bekanntmachung des Bayerischen Staatsministeriums für Unterricht und Kultus vom 17. Februar 2012)]</w:t>
      </w:r>
    </w:p>
    <w:p w:rsidR="00BE1EFE" w:rsidRDefault="00BE1EFE">
      <w:pPr>
        <w:pStyle w:val="StandardWeb"/>
        <w:jc w:val="right"/>
      </w:pPr>
      <w:r>
        <w:t>rückwirkend zum 1. September 2012 </w:t>
      </w:r>
    </w:p>
    <w:p w:rsidR="00BE1EFE" w:rsidRDefault="00BE1EFE">
      <w:pPr>
        <w:pStyle w:val="StandardWeb"/>
        <w:jc w:val="right"/>
      </w:pPr>
    </w:p>
    <w:p w:rsidR="00BE1EFE" w:rsidRDefault="00BE1EFE">
      <w:pPr>
        <w:pStyle w:val="StandardWeb"/>
      </w:pPr>
      <w:r>
        <w:t>– ABD Teil C, 3. (Dienstordnung für Religionslehrerinnen und Religionslehrer im Kirchen</w:t>
      </w:r>
      <w:r>
        <w:softHyphen/>
        <w:t>dienst)</w:t>
      </w:r>
    </w:p>
    <w:p w:rsidR="00BE1EFE" w:rsidRDefault="00BE1EFE">
      <w:pPr>
        <w:pStyle w:val="StandardWeb"/>
      </w:pPr>
      <w:r>
        <w:t>hier: Anpassung der Unterrichtspflichtzeit ab dem Schuljahr 2012/2013 [in Umsetzung der Änderung der Bestimmungen über die Unterrichtspflichtzeit der Lehrkräfte im öffentlichen Dienst an Grund- und Hauptschulen, Förderschulen, Realschulen, beruflichen Schulen und Gymnasien (Bekanntmachung des Bayerischen Staatsministeriums für Unterricht und Kultus vom 17. Februar 2012)]</w:t>
      </w:r>
    </w:p>
    <w:p w:rsidR="00BE1EFE" w:rsidRDefault="00BE1EFE">
      <w:pPr>
        <w:pStyle w:val="StandardWeb"/>
        <w:jc w:val="right"/>
      </w:pPr>
      <w:r>
        <w:t>zum 1. September 2013</w:t>
      </w:r>
    </w:p>
    <w:p w:rsidR="00BE1EFE" w:rsidRDefault="00BE1EFE">
      <w:pPr>
        <w:pStyle w:val="StandardWeb"/>
        <w:jc w:val="right"/>
      </w:pPr>
    </w:p>
    <w:p w:rsidR="00BE1EFE" w:rsidRDefault="00BE1EFE">
      <w:pPr>
        <w:pStyle w:val="StandardWeb"/>
      </w:pPr>
      <w:r>
        <w:t>– Änderung des ABD Teil C, 7. (Dienstordnung für das pädagogische Personal in den katho</w:t>
      </w:r>
      <w:r>
        <w:softHyphen/>
        <w:t>lischen Kindertageseinrichtungen)</w:t>
      </w:r>
    </w:p>
    <w:p w:rsidR="00BE1EFE" w:rsidRDefault="00BE1EFE">
      <w:pPr>
        <w:pStyle w:val="StandardWeb"/>
      </w:pPr>
      <w:r>
        <w:t>hier: Entfristung der Regelung über die Verfügungszeit</w:t>
      </w:r>
    </w:p>
    <w:p w:rsidR="00BE1EFE" w:rsidRDefault="00BE1EFE">
      <w:pPr>
        <w:pStyle w:val="StandardWeb"/>
        <w:jc w:val="right"/>
      </w:pPr>
      <w:r>
        <w:t>zum 1. Januar 2013</w:t>
      </w:r>
      <w:r>
        <w:br/>
      </w:r>
    </w:p>
    <w:p w:rsidR="00BE1EFE" w:rsidRDefault="00BE1EFE">
      <w:pPr>
        <w:pStyle w:val="StandardWeb"/>
      </w:pPr>
      <w:r>
        <w:t>– ABD Teil D, 3. [Kirchliche Arbeitszeitordnung (KAZO)]</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ABD Teil D, 5. (Sabbatjahrregelung)</w:t>
      </w:r>
    </w:p>
    <w:p w:rsidR="00BE1EFE" w:rsidRDefault="00BE1EFE">
      <w:pPr>
        <w:pStyle w:val="StandardWeb"/>
      </w:pPr>
      <w:r>
        <w:t>hier: redaktionelle Änderung</w:t>
      </w:r>
    </w:p>
    <w:p w:rsidR="00BE1EFE" w:rsidRDefault="00BE1EFE">
      <w:pPr>
        <w:pStyle w:val="StandardWeb"/>
        <w:jc w:val="right"/>
      </w:pPr>
      <w:r>
        <w:t>zum 1. Januar 2013</w:t>
      </w:r>
    </w:p>
    <w:p w:rsidR="00BE1EFE" w:rsidRDefault="00BE1EFE">
      <w:pPr>
        <w:pStyle w:val="StandardWeb"/>
        <w:jc w:val="right"/>
      </w:pPr>
    </w:p>
    <w:p w:rsidR="00BE1EFE" w:rsidRDefault="00BE1EFE">
      <w:pPr>
        <w:pStyle w:val="StandardWeb"/>
      </w:pPr>
      <w:r>
        <w:t>– Richtlinien für die Gewährung von Praktikantenvergütungen (Praktikanten-Richtlinien)</w:t>
      </w:r>
    </w:p>
    <w:p w:rsidR="00BE1EFE" w:rsidRDefault="00BE1EFE">
      <w:pPr>
        <w:pStyle w:val="StandardWeb"/>
      </w:pPr>
      <w:r>
        <w:t>hier: Neuregelung Urlaub</w:t>
      </w:r>
    </w:p>
    <w:p w:rsidR="00BE1EFE" w:rsidRDefault="00BE1EFE">
      <w:pPr>
        <w:pStyle w:val="StandardWeb"/>
        <w:jc w:val="right"/>
      </w:pPr>
      <w:r>
        <w:t xml:space="preserve">zum 1. Januar 2013 </w:t>
      </w:r>
    </w:p>
    <w:p w:rsidR="00BE1EFE" w:rsidRPr="00277812" w:rsidRDefault="00BE1EFE">
      <w:pPr>
        <w:pStyle w:val="StandardWeb"/>
        <w:jc w:val="right"/>
        <w:rPr>
          <w:szCs w:val="16"/>
        </w:rPr>
      </w:pPr>
    </w:p>
    <w:p w:rsidR="00BE1EFE" w:rsidRPr="00277812" w:rsidRDefault="00BE1EFE" w:rsidP="0054275E">
      <w:pPr>
        <w:pStyle w:val="tarifvertragstext"/>
        <w:autoSpaceDE w:val="0"/>
        <w:ind w:left="510" w:hanging="510"/>
        <w:rPr>
          <w:sz w:val="16"/>
          <w:szCs w:val="16"/>
        </w:rPr>
      </w:pPr>
      <w:r w:rsidRPr="00277812">
        <w:rPr>
          <w:rStyle w:val="Fett"/>
          <w:bCs/>
          <w:sz w:val="16"/>
          <w:szCs w:val="16"/>
        </w:rPr>
        <w:t>II. Korrektur der Bekanntmachung in der Anlage Nr. 101</w:t>
      </w:r>
    </w:p>
    <w:p w:rsidR="00BE1EFE" w:rsidRDefault="00BE1EFE">
      <w:pPr>
        <w:pStyle w:val="tarifvertragstext"/>
        <w:ind w:left="510" w:hanging="510"/>
      </w:pPr>
    </w:p>
    <w:p w:rsidR="00BE1EFE" w:rsidRDefault="00BE1EFE">
      <w:pPr>
        <w:pStyle w:val="StandardWeb"/>
      </w:pPr>
      <w:r>
        <w:t>– Änderungen des ABD Teil B, 5. (Regelung für die Kraftfahrer und Kraftfahrerinnen)</w:t>
      </w:r>
    </w:p>
    <w:p w:rsidR="00BE1EFE" w:rsidRDefault="00BE1EFE">
      <w:pPr>
        <w:pStyle w:val="StandardWeb"/>
      </w:pPr>
      <w:r>
        <w:t>hier: Erhöhung der Pauschalentgelte in Umsetzung der Tarifeinigung in den Tarifverhand</w:t>
      </w:r>
      <w:r>
        <w:softHyphen/>
        <w:t>lungen für die Beschäftigten des öffentlichen Dienstes von Bund und kommunalen Arbeit</w:t>
      </w:r>
      <w:r>
        <w:softHyphen/>
        <w:t>gebern vom 31. März 2012</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xml:space="preserve">Anlage 101 </w:t>
      </w:r>
      <w:hyperlink r:id="rId1782" w:history="1">
        <w:r w:rsidRPr="002D1F1D">
          <w:rPr>
            <w:rStyle w:val="Hyperlink"/>
          </w:rPr>
          <w:t>[herunterladen]</w:t>
        </w:r>
      </w:hyperlink>
    </w:p>
    <w:p w:rsidR="00BE1EFE" w:rsidRDefault="00BE1EFE">
      <w:pPr>
        <w:pStyle w:val="StandardWeb"/>
      </w:pPr>
    </w:p>
    <w:p w:rsidR="00BE1EFE" w:rsidRPr="00B62321" w:rsidRDefault="00BE1EFE">
      <w:pPr>
        <w:pStyle w:val="StandardWeb"/>
        <w:rPr>
          <w:b/>
        </w:rPr>
      </w:pPr>
      <w:r w:rsidRPr="00B62321">
        <w:rPr>
          <w:b/>
        </w:rPr>
        <w:t xml:space="preserve">I. Beschlüsse der 155. Vollversammlung der Bayerischen Regional-KODA am 04./05.07.2012 </w:t>
      </w:r>
    </w:p>
    <w:p w:rsidR="00BE1EFE" w:rsidRDefault="00BE1EFE">
      <w:pPr>
        <w:pStyle w:val="StandardWeb"/>
      </w:pPr>
    </w:p>
    <w:p w:rsidR="00BE1EFE" w:rsidRDefault="00BE1EFE">
      <w:pPr>
        <w:pStyle w:val="StandardWeb"/>
      </w:pPr>
      <w:r>
        <w:t>– § 1 ABD Teil A, 1. (Allgemeiner Geltungsbereich)</w:t>
      </w:r>
    </w:p>
    <w:p w:rsidR="00BE1EFE" w:rsidRDefault="00BE1EFE">
      <w:pPr>
        <w:pStyle w:val="StandardWeb"/>
      </w:pPr>
      <w:r>
        <w:t>hier: Änderungen in Folge des Gesetzes zur Verbesserung der Eingliederungschancen am Arbeitsmarkt</w:t>
      </w:r>
    </w:p>
    <w:p w:rsidR="00BE1EFE" w:rsidRDefault="00BE1EFE">
      <w:pPr>
        <w:pStyle w:val="StandardWeb"/>
        <w:jc w:val="right"/>
      </w:pPr>
      <w:r>
        <w:t>rückwirkend zum 1. April 2012</w:t>
      </w:r>
    </w:p>
    <w:p w:rsidR="00BE1EFE" w:rsidRDefault="00BE1EFE">
      <w:pPr>
        <w:pStyle w:val="StandardWeb"/>
        <w:jc w:val="right"/>
      </w:pPr>
    </w:p>
    <w:p w:rsidR="00BE1EFE" w:rsidRDefault="00BE1EFE">
      <w:pPr>
        <w:pStyle w:val="StandardWeb"/>
      </w:pPr>
      <w:r>
        <w:t>– § 18a ABD Teil A, 1. (Besondere Einmalzahlung)</w:t>
      </w:r>
    </w:p>
    <w:p w:rsidR="00BE1EFE" w:rsidRDefault="00BE1EFE">
      <w:pPr>
        <w:pStyle w:val="StandardWeb"/>
      </w:pPr>
      <w:r>
        <w:t>hier: Änderung des Absatz 2 in Umsetzung der Tarifeinigung in den Tarifverhandlungen für die Beschäftigten des öffentlichen Dienstes von Bund und kommunalen Arbeitgebern vom 31. März 2012</w:t>
      </w:r>
    </w:p>
    <w:p w:rsidR="00BE1EFE" w:rsidRDefault="00BE1EFE">
      <w:pPr>
        <w:pStyle w:val="StandardWeb"/>
        <w:jc w:val="right"/>
      </w:pPr>
      <w:r>
        <w:t>rückwirkend zum 1. März 2012</w:t>
      </w:r>
    </w:p>
    <w:p w:rsidR="00BE1EFE" w:rsidRDefault="00BE1EFE">
      <w:pPr>
        <w:pStyle w:val="StandardWeb"/>
        <w:jc w:val="right"/>
      </w:pPr>
    </w:p>
    <w:p w:rsidR="00BE1EFE" w:rsidRDefault="00BE1EFE">
      <w:pPr>
        <w:pStyle w:val="StandardWeb"/>
      </w:pPr>
      <w:r>
        <w:lastRenderedPageBreak/>
        <w:t>– ABD Teil A, 2.6. (Vorläufige Entgeltordnung für Religionslehrerinnen/Religionslehrer i. K.)</w:t>
      </w:r>
    </w:p>
    <w:p w:rsidR="00BE1EFE" w:rsidRDefault="00BE1EFE">
      <w:pPr>
        <w:pStyle w:val="StandardWeb"/>
      </w:pPr>
      <w:r>
        <w:t>hier: Erhöhung der Förderschulzulage in Umsetzung der Tarifeinigung in den Tarifverhand</w:t>
      </w:r>
      <w:r>
        <w:softHyphen/>
        <w:t>lungen für die Beschäftigten des öffentlichen Dienstes von Bund und kommunalen Arbeitge</w:t>
      </w:r>
      <w:r>
        <w:softHyphen/>
        <w:t>bern vom 31. März 2012</w:t>
      </w:r>
    </w:p>
    <w:p w:rsidR="00BE1EFE" w:rsidRDefault="00BE1EFE">
      <w:pPr>
        <w:pStyle w:val="StandardWeb"/>
        <w:jc w:val="right"/>
      </w:pPr>
      <w:r>
        <w:t>zum 1. September 2012</w:t>
      </w:r>
    </w:p>
    <w:p w:rsidR="00BE1EFE" w:rsidRDefault="00BE1EFE">
      <w:pPr>
        <w:pStyle w:val="StandardWeb"/>
        <w:jc w:val="right"/>
      </w:pPr>
    </w:p>
    <w:p w:rsidR="00BE1EFE" w:rsidRDefault="00BE1EFE">
      <w:pPr>
        <w:pStyle w:val="StandardWeb"/>
      </w:pPr>
      <w:r>
        <w:t>– § 8a ABD Teil A, 3. (Mehrfachaufstiege bei kirchenspezifischen Berufen)</w:t>
      </w:r>
    </w:p>
    <w:p w:rsidR="00BE1EFE" w:rsidRDefault="00BE1EFE">
      <w:pPr>
        <w:pStyle w:val="StandardWeb"/>
      </w:pPr>
      <w:r>
        <w:t>hier: Vorläufige Regelung bis zum Inkrafttreten der neuen Entgeltordnung</w:t>
      </w:r>
    </w:p>
    <w:p w:rsidR="00BE1EFE" w:rsidRDefault="00BE1EFE">
      <w:pPr>
        <w:pStyle w:val="StandardWeb"/>
        <w:jc w:val="right"/>
      </w:pPr>
      <w:r>
        <w:t>rückwirkend zum 1. Oktober 2011</w:t>
      </w:r>
      <w:r>
        <w:br/>
      </w:r>
    </w:p>
    <w:p w:rsidR="00BE1EFE" w:rsidRDefault="00BE1EFE" w:rsidP="00A26023">
      <w:pPr>
        <w:pStyle w:val="StandardWeb"/>
      </w:pPr>
      <w:r>
        <w:t>– ABD Teil B, 4. (Sonderregelungen für Beschäftigte als Lehrkräfte an Schulen in kirchlicher Trägerschaft)</w:t>
      </w:r>
    </w:p>
    <w:p w:rsidR="00BE1EFE" w:rsidRDefault="00BE1EFE">
      <w:pPr>
        <w:pStyle w:val="StandardWeb"/>
      </w:pPr>
      <w:r>
        <w:t>hier: Anpassung an die neuen Bezeichnungen der Bewertungsstufen</w:t>
      </w:r>
    </w:p>
    <w:p w:rsidR="00BE1EFE" w:rsidRDefault="00BE1EFE">
      <w:pPr>
        <w:pStyle w:val="StandardWeb"/>
        <w:jc w:val="right"/>
      </w:pPr>
      <w:r>
        <w:t>rückwirkend zum 25. Oktober 2011</w:t>
      </w:r>
    </w:p>
    <w:p w:rsidR="00BE1EFE" w:rsidRDefault="00BE1EFE">
      <w:pPr>
        <w:pStyle w:val="StandardWeb"/>
        <w:jc w:val="righ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t>hier: Lehrkräfte an Realschulen als Systembetreuer</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Dienstliche Beurteilung und Leistungsfeststellung der Lehrkräfte, Schulleiterinnen und Schulleiter an katholischen Schulen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4.1(Sonderregelungen für die Arbeitsverhältnisse arbeitsvertraglich beschäftig</w:t>
      </w:r>
      <w:r>
        <w:softHyphen/>
        <w:t>ter Lehrkräfte an Schulen in kirchlicher Trägerschaft)</w:t>
      </w:r>
    </w:p>
    <w:p w:rsidR="00BE1EFE" w:rsidRDefault="00BE1EFE">
      <w:pPr>
        <w:pStyle w:val="StandardWeb"/>
      </w:pPr>
      <w:r>
        <w:t>hier: 90-Minuten-Regelung für Einsatz in offenen oder gebundenen Ganztagsangeboten</w:t>
      </w:r>
    </w:p>
    <w:p w:rsidR="00BE1EFE" w:rsidRDefault="00BE1EFE" w:rsidP="006B0E3C">
      <w:pPr>
        <w:pStyle w:val="StandardWeb"/>
        <w:jc w:val="right"/>
      </w:pPr>
      <w:r>
        <w:t>zum 1. August 2012</w:t>
      </w:r>
    </w:p>
    <w:p w:rsidR="00BE1EFE" w:rsidRDefault="00BE1EFE" w:rsidP="006B0E3C">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Entfristung der Vorschrift über Lehrkräfte an Realschulen mit Führungsaufgaben, Erweiterung auf Gymnasien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Regelung des Entgelts und der Zahl der Anrechnungsstunden von Schulpsychologen an Realschulen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Beurteilungsturnus für Systembetreuer und Beratungslehrkräfte</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Berufsbezeichnung „Beratungsrektorin/Beratungsrektor“ für qualifizierte Beratungslehr</w:t>
      </w:r>
      <w:r>
        <w:softHyphen/>
        <w:t>kräfte an Realschulen</w:t>
      </w:r>
    </w:p>
    <w:p w:rsidR="00BE1EFE" w:rsidRDefault="00BE1EFE">
      <w:pPr>
        <w:pStyle w:val="StandardWeb"/>
        <w:jc w:val="right"/>
      </w:pPr>
      <w:r>
        <w:lastRenderedPageBreak/>
        <w:t>zum 1. August 2012</w:t>
      </w:r>
      <w:r>
        <w:br/>
      </w:r>
    </w:p>
    <w:p w:rsidR="00BE1EFE" w:rsidRDefault="00BE1EFE" w:rsidP="00A26023">
      <w:pPr>
        <w:pStyle w:val="StandardWeb"/>
      </w:pPr>
      <w:r>
        <w:t>– ABD Teil E, 1.1. (Regelung für Auszubildende)</w:t>
      </w:r>
    </w:p>
    <w:p w:rsidR="00BE1EFE" w:rsidRDefault="00BE1EFE">
      <w:pPr>
        <w:pStyle w:val="StandardWeb"/>
      </w:pPr>
      <w:r>
        <w:t>hier: Umsetzung des Änderungstarifvertrags Nr. 3 vom 31. März 2012 zum Tarifvertrag für Auszubildende des öffentlichen Dienstes (TVAöD) – Allgemeiner Teil – vom 13. September 2005</w:t>
      </w:r>
    </w:p>
    <w:p w:rsidR="00BE1EFE" w:rsidRDefault="00BE1EFE" w:rsidP="006B0E3C">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t>II. Beschluss und zustimmende Kenntnisnahme der 155. Vollversammlung der Bayerischen Regional-KODA am 04./05.07.2012 mit Änderungen in Umsetzung des § 20a ABD Teil A, 1.</w:t>
      </w:r>
    </w:p>
    <w:p w:rsidR="00BE1EFE" w:rsidRDefault="00BE1EFE">
      <w:pPr>
        <w:pStyle w:val="StandardWeb"/>
      </w:pPr>
    </w:p>
    <w:p w:rsidR="00BE1EFE" w:rsidRDefault="00BE1EFE">
      <w:pPr>
        <w:pStyle w:val="StandardWeb"/>
      </w:pPr>
      <w:r>
        <w:t>– Änderungen des ABD Teil A, 1.</w:t>
      </w:r>
    </w:p>
    <w:p w:rsidR="00BE1EFE" w:rsidRDefault="00BE1EFE">
      <w:pPr>
        <w:pStyle w:val="StandardWeb"/>
      </w:pPr>
      <w:r>
        <w:t>hier: Umsetzung des Änderungstarifvertrags Nr. 7 vom 31. März 2012 zum Tarifvertrag für den öffentlichen Dienst (TVöD)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A, 1.</w:t>
      </w:r>
    </w:p>
    <w:p w:rsidR="00BE1EFE" w:rsidRDefault="00BE1EFE">
      <w:pPr>
        <w:pStyle w:val="StandardWeb"/>
      </w:pPr>
      <w:r>
        <w:t>hier: Umsetzung des Änderungstarifvertrags Nr. 12 vom 31. März 2012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Änderung des ABD Teil A, 3. (Regelung zur Überleitung der Beschäftigten und des Übergangsrechts)</w:t>
      </w:r>
    </w:p>
    <w:p w:rsidR="00BE1EFE" w:rsidRDefault="00BE1EFE">
      <w:pPr>
        <w:pStyle w:val="StandardWeb"/>
      </w:pPr>
      <w:r>
        <w:t>hier: Umsetzung des Änderungstarifvertrags Nr. 7 vom 31. März 2012 zum Tarifvertrag zur Überleitung der Beschäftigten der kommunalen Arbeitgeber in den TVöD und zur Regelung des Übergangsrechts (TVÜ-VKA) vom 13. September 2005</w:t>
      </w:r>
    </w:p>
    <w:p w:rsidR="00BE1EFE" w:rsidRDefault="00BE1EFE" w:rsidP="0044377C">
      <w:pPr>
        <w:pStyle w:val="StandardWeb"/>
        <w:ind w:left="3545"/>
        <w:jc w:val="right"/>
      </w:pPr>
      <w:r>
        <w:t>verschiedene Instandsetzungsdaten</w:t>
      </w:r>
    </w:p>
    <w:p w:rsidR="00BE1EFE" w:rsidRDefault="00BE1EFE">
      <w:pPr>
        <w:pStyle w:val="StandardWeb"/>
      </w:pPr>
    </w:p>
    <w:p w:rsidR="00BE1EFE" w:rsidRDefault="00BE1EFE">
      <w:pPr>
        <w:pStyle w:val="StandardWeb"/>
      </w:pPr>
    </w:p>
    <w:p w:rsidR="00BE1EFE" w:rsidRDefault="00BE1EFE" w:rsidP="0054275E">
      <w:pPr>
        <w:pStyle w:val="StandardWeb"/>
        <w:autoSpaceDE w:val="0"/>
      </w:pPr>
      <w:r>
        <w:rPr>
          <w:rStyle w:val="Fett"/>
          <w:bCs/>
        </w:rPr>
        <w:t xml:space="preserve">III. Beschluss und zustimmende Kenntnisnahme der 155. Vollversammlung der Bayerischen Regional-KODA am 04./05.07.2012 mit Änderung in Umsetzung des § 2 Absatz 3 Satz 4 ABD Teil D, 8. </w:t>
      </w:r>
    </w:p>
    <w:p w:rsidR="00BE1EFE" w:rsidRDefault="00BE1EFE">
      <w:pPr>
        <w:pStyle w:val="StandardWeb"/>
      </w:pPr>
    </w:p>
    <w:p w:rsidR="00BE1EFE" w:rsidRDefault="00BE1EFE">
      <w:pPr>
        <w:pStyle w:val="StandardWeb"/>
      </w:pPr>
      <w:r>
        <w:t>– ABD Teil D, 8. (Regelung über eine ergänzende Leistung an Beschäftigte und Auszu</w:t>
      </w:r>
      <w:r>
        <w:softHyphen/>
        <w:t>bildende)</w:t>
      </w:r>
    </w:p>
    <w:p w:rsidR="00BE1EFE" w:rsidRDefault="00BE1EFE">
      <w:pPr>
        <w:pStyle w:val="StandardWeb"/>
      </w:pPr>
      <w:r>
        <w:t>hier: Änderung von Bestimmungen in Umsetzung der Tarifeinigung in den Tarifverhandlungen für die Beschäftigten des öffentlichen Dienstes von Bund und kommunalen Arbeitgebern vom 31. März 2012</w:t>
      </w:r>
    </w:p>
    <w:p w:rsidR="00BE1EFE" w:rsidRDefault="00BE1EFE">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t>IV. Beschluss und zustimmende Kenntnisnahme der 155. Vollversammlung der Bayerischen Regional-KODA am 04./05.07.2012 mit Änderung in Umsetzung des § 8b ABD Teil E, 1.1.</w:t>
      </w:r>
    </w:p>
    <w:p w:rsidR="00BE1EFE" w:rsidRDefault="00BE1EFE">
      <w:pPr>
        <w:pStyle w:val="StandardWeb"/>
      </w:pPr>
    </w:p>
    <w:p w:rsidR="00BE1EFE" w:rsidRDefault="00BE1EFE">
      <w:pPr>
        <w:pStyle w:val="StandardWeb"/>
      </w:pPr>
      <w:r>
        <w:t>– ABD Teil E, 1.1. (Regelung für Auszubildende)</w:t>
      </w:r>
    </w:p>
    <w:p w:rsidR="00BE1EFE" w:rsidRDefault="00BE1EFE">
      <w:pPr>
        <w:pStyle w:val="StandardWeb"/>
      </w:pPr>
      <w:r>
        <w:t>hier: Umsetzung des Änderungstarifvertrags Nr. 4 vom 31. März 2012 zum Tarifvertrag für Auszubildende des öffentlichen Dienstes (TVAöD) – Besonderer Teil BBiG – vom 13. September 2005</w:t>
      </w:r>
    </w:p>
    <w:p w:rsidR="00BE1EFE" w:rsidRDefault="00BE1EFE" w:rsidP="006B0E3C">
      <w:pPr>
        <w:pStyle w:val="StandardWeb"/>
        <w:jc w:val="right"/>
      </w:pPr>
      <w:r>
        <w:t>verschiedene Inkraftsetzungsdaten</w:t>
      </w:r>
    </w:p>
    <w:p w:rsidR="00BE1EFE" w:rsidRDefault="00BE1EFE">
      <w:pPr>
        <w:pStyle w:val="StandardWeb"/>
      </w:pPr>
    </w:p>
    <w:p w:rsidR="00BE1EFE" w:rsidRDefault="00BE1EFE" w:rsidP="0054275E">
      <w:pPr>
        <w:pStyle w:val="StandardWeb"/>
        <w:autoSpaceDE w:val="0"/>
      </w:pPr>
      <w:r>
        <w:rPr>
          <w:rStyle w:val="Fett"/>
          <w:bCs/>
        </w:rPr>
        <w:lastRenderedPageBreak/>
        <w:t xml:space="preserve">V. Beschluss und zustimmende Kenntnisnahme der 155. Vollversammlung der Bayerischen Regional-KODA am 04./05.07.2012 mit Änderungen in Umsetzung des § 4 Absatz 5 ABD Teil B, 5. </w:t>
      </w:r>
    </w:p>
    <w:p w:rsidR="00BE1EFE" w:rsidRDefault="00BE1EFE">
      <w:pPr>
        <w:pStyle w:val="StandardWeb"/>
      </w:pPr>
    </w:p>
    <w:p w:rsidR="00BE1EFE" w:rsidRDefault="00BE1EFE">
      <w:pPr>
        <w:pStyle w:val="StandardWeb"/>
      </w:pPr>
      <w:r>
        <w:t>– Änderungen des ABD Teil B, 5. (Regelung für die Kraftfahrer und Kraftfahrerinnen)</w:t>
      </w:r>
    </w:p>
    <w:p w:rsidR="00BE1EFE" w:rsidRDefault="00BE1EFE">
      <w:pPr>
        <w:pStyle w:val="StandardWeb"/>
      </w:pPr>
      <w:r>
        <w:t>hier: Erhöhung der Pauschalentgelte in Umsetzung der Tarifeinigung in den Tarifverhand</w:t>
      </w:r>
      <w:r>
        <w:softHyphen/>
        <w:t>lungen für die Beschäftigten des öffentlichen Dienstes von Bund und kommunalen Arbeit</w:t>
      </w:r>
      <w:r>
        <w:softHyphen/>
        <w:t>gebern vom 31. März 2012</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VI. Beschluss und zustimmende Kenntnisnahme 155. Vollversammlung der Bayerischen Regional-KODA vom 04./05.07.2012 mit Änderungen in Umsetzung des § 20a ABD Teil A, 1.</w:t>
      </w:r>
    </w:p>
    <w:p w:rsidR="00BE1EFE" w:rsidRDefault="00BE1EFE">
      <w:pPr>
        <w:pStyle w:val="StandardWeb"/>
      </w:pPr>
    </w:p>
    <w:p w:rsidR="00BE1EFE" w:rsidRDefault="00BE1EFE">
      <w:pPr>
        <w:pStyle w:val="StandardWeb"/>
      </w:pPr>
      <w:r>
        <w:t>– Regelung über eine einmalige Pauschalzahlung 2012 und 2013 in Umsetzung des Tarifvertrages über eine einmalige Pauschalzahlung 2012 und 2013 (VKA) vom 31. März 2011</w:t>
      </w:r>
    </w:p>
    <w:p w:rsidR="00BE1EFE" w:rsidRDefault="00BE1EFE" w:rsidP="006B0E3C">
      <w:pPr>
        <w:pStyle w:val="StandardWeb"/>
        <w:jc w:val="right"/>
      </w:pPr>
      <w:r>
        <w:t>verschiedene Inkraftsetzungsdaten</w:t>
      </w:r>
    </w:p>
    <w:p w:rsidR="00BE1EFE" w:rsidRDefault="00BE1EFE" w:rsidP="006B0E3C">
      <w:pPr>
        <w:pStyle w:val="StandardWeb"/>
        <w:jc w:val="right"/>
      </w:pPr>
    </w:p>
    <w:p w:rsidR="00BE1EFE" w:rsidRDefault="00BE1EFE" w:rsidP="0054275E">
      <w:pPr>
        <w:pStyle w:val="StandardWeb"/>
        <w:autoSpaceDE w:val="0"/>
      </w:pPr>
      <w:r>
        <w:rPr>
          <w:rStyle w:val="Fett"/>
          <w:bCs/>
        </w:rPr>
        <w:t>VII. Beschluss und zustimmende Kenntnisnahme der 155. Vollversammlung der Bayerischen Regional-KODA am 04./05.07.2012 mit Änderung in Umsetzung des § 14a ABD Teil E, 2.</w:t>
      </w:r>
    </w:p>
    <w:p w:rsidR="00BE1EFE" w:rsidRDefault="00BE1EFE">
      <w:pPr>
        <w:pStyle w:val="StandardWeb"/>
      </w:pPr>
    </w:p>
    <w:p w:rsidR="00BE1EFE" w:rsidRDefault="00BE1EFE">
      <w:pPr>
        <w:pStyle w:val="StandardWeb"/>
      </w:pPr>
      <w:r>
        <w:t>– ABD Teil E, 2. (Regelung für Praktikantinnen und Praktikanten)</w:t>
      </w:r>
    </w:p>
    <w:p w:rsidR="00BE1EFE" w:rsidRDefault="00BE1EFE">
      <w:pPr>
        <w:pStyle w:val="StandardWeb"/>
      </w:pPr>
      <w:r>
        <w:t>hier: Umsetzung des Änderungstarifvertrag Nr. 3 vom 31. März 2012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VIII. Zustimmende Kenntnisnahme der Bayerischen Regional-KODA in Umsetzung des § 7 Absatz 2 Satz 2 ABD Teil D, 6a.</w:t>
      </w:r>
    </w:p>
    <w:p w:rsidR="00BE1EFE" w:rsidRDefault="00BE1EFE">
      <w:pPr>
        <w:pStyle w:val="StandardWeb"/>
      </w:pPr>
    </w:p>
    <w:p w:rsidR="00BE1EFE" w:rsidRDefault="00BE1EFE">
      <w:pPr>
        <w:pStyle w:val="StandardWeb"/>
      </w:pPr>
      <w:r>
        <w:t>– ABD Teil D, 6a. (Regelung zu flexiblen Arbeitszeitregelungen für ältere Beschäftigte – FlexAZR –)</w:t>
      </w:r>
    </w:p>
    <w:p w:rsidR="00BE1EFE" w:rsidRDefault="00BE1EFE">
      <w:pPr>
        <w:pStyle w:val="StandardWeb"/>
      </w:pPr>
      <w:r>
        <w:t>hier: Umsetzung des Änderungstarifvertrags Nr. 2 vom 31. März 2012 zum Tarifvertrag zu flexiblen Arbeitszeitregelungen für ältere Beschäftigte – TV FlexAZ – vom 27. Februar 2010</w:t>
      </w:r>
    </w:p>
    <w:p w:rsidR="00BE1EFE" w:rsidRDefault="00BE1EFE" w:rsidP="006B0E3C">
      <w:pPr>
        <w:pStyle w:val="StandardWeb"/>
        <w:jc w:val="right"/>
      </w:pPr>
      <w:r>
        <w:t>zum 1. März 2012</w:t>
      </w:r>
    </w:p>
    <w:p w:rsidR="00BE1EFE" w:rsidRDefault="00BE1EFE" w:rsidP="006B0E3C">
      <w:pPr>
        <w:pStyle w:val="StandardWeb"/>
        <w:jc w:val="right"/>
      </w:pPr>
    </w:p>
    <w:p w:rsidR="00BE1EFE" w:rsidRDefault="00BE1EFE" w:rsidP="006B0E3C">
      <w:pPr>
        <w:pStyle w:val="StandardWeb"/>
        <w:jc w:val="right"/>
      </w:pPr>
    </w:p>
    <w:p w:rsidR="00BE1EFE" w:rsidRPr="00C02DBD" w:rsidRDefault="00BE1EFE" w:rsidP="00C02DBD">
      <w:pPr>
        <w:pStyle w:val="StandardWeb"/>
      </w:pPr>
      <w:r>
        <w:rPr>
          <w:rStyle w:val="Fett"/>
          <w:bCs/>
        </w:rPr>
        <w:t xml:space="preserve">Anlage 100 </w:t>
      </w:r>
      <w:hyperlink r:id="rId1783" w:history="1">
        <w:r w:rsidRPr="002D1F1D">
          <w:rPr>
            <w:rStyle w:val="Hyperlink"/>
          </w:rPr>
          <w:t>[herunterladen]</w:t>
        </w:r>
      </w:hyperlink>
      <w:r>
        <w:rPr>
          <w:rStyle w:val="Fett"/>
          <w:bCs/>
        </w:rPr>
        <w:t xml:space="preserve"> </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Beschlüsse der 154. Vollversammlung vom 29.02.2012</w:t>
      </w:r>
    </w:p>
    <w:p w:rsidR="00BE1EFE" w:rsidRDefault="00BE1EFE">
      <w:pPr>
        <w:pStyle w:val="StandardWeb"/>
      </w:pPr>
    </w:p>
    <w:p w:rsidR="00BE1EFE" w:rsidRDefault="00BE1EFE">
      <w:pPr>
        <w:pStyle w:val="StandardWeb"/>
      </w:pPr>
      <w:r>
        <w:t>– Anlage zu § 1 zur Anlage zu § 44: Anlage F ABD Teil A, 1.</w:t>
      </w:r>
    </w:p>
    <w:p w:rsidR="00BE1EFE" w:rsidRDefault="00BE1EFE">
      <w:pPr>
        <w:pStyle w:val="StandardWeb"/>
      </w:pPr>
      <w:r>
        <w:t>hier: Eingruppierung von Beschäftigten als Leiterinnen/Leiter von Kindertagesstätten mit Integrationsplätzen</w:t>
      </w:r>
    </w:p>
    <w:p w:rsidR="00BE1EFE" w:rsidRDefault="00BE1EFE">
      <w:pPr>
        <w:pStyle w:val="StandardWeb"/>
      </w:pPr>
      <w:r>
        <w:t>Änderung der Anmerkung Nr. 9 im Anhang zu der Anlage F</w:t>
      </w:r>
    </w:p>
    <w:p w:rsidR="00BE1EFE" w:rsidRDefault="00BE1EFE">
      <w:pPr>
        <w:pStyle w:val="StandardWeb"/>
        <w:jc w:val="right"/>
      </w:pPr>
      <w:r>
        <w:t>rückwirkend zum 1. Januar 2012</w:t>
      </w:r>
    </w:p>
    <w:p w:rsidR="00BE1EFE" w:rsidRDefault="00BE1EFE">
      <w:pPr>
        <w:pStyle w:val="StandardWeb"/>
      </w:pPr>
    </w:p>
    <w:p w:rsidR="00BE1EFE" w:rsidRDefault="00BE1EFE">
      <w:pPr>
        <w:pStyle w:val="StandardWeb"/>
      </w:pPr>
      <w:r>
        <w:t>– § 16 ABD Teil E, 1. (Beendigung des Ausbildungsverhältnisses)</w:t>
      </w:r>
    </w:p>
    <w:p w:rsidR="00BE1EFE" w:rsidRDefault="00BE1EFE">
      <w:pPr>
        <w:pStyle w:val="StandardWeb"/>
      </w:pPr>
      <w:r>
        <w:t>hier: Fristverlängerung der Protokollnotiz</w:t>
      </w:r>
    </w:p>
    <w:p w:rsidR="00BE1EFE" w:rsidRDefault="00BE1EFE">
      <w:pPr>
        <w:pStyle w:val="StandardWeb"/>
        <w:jc w:val="right"/>
      </w:pPr>
      <w:r>
        <w:t>mit Wirkung zum 29. Februar 2012</w:t>
      </w:r>
    </w:p>
    <w:p w:rsidR="00BE1EFE" w:rsidRDefault="00BE1EFE">
      <w:pPr>
        <w:pStyle w:val="StandardWeb"/>
        <w:jc w:val="right"/>
      </w:pPr>
    </w:p>
    <w:p w:rsidR="00BE1EFE" w:rsidRDefault="00BE1EFE">
      <w:pPr>
        <w:pStyle w:val="StandardWeb"/>
      </w:pPr>
      <w:r>
        <w:t>– ABD Teil B, 4. (Sonderregelungen für Beschäftigte als Lehrkräfte an Schulen in kirchlicher Trägerschaft)</w:t>
      </w:r>
    </w:p>
    <w:p w:rsidR="00BE1EFE" w:rsidRDefault="00BE1EFE">
      <w:pPr>
        <w:pStyle w:val="StandardWeb"/>
      </w:pPr>
      <w:r>
        <w:lastRenderedPageBreak/>
        <w:t>hier: redaktionelle Änderungen in Umsetzung des neuen Dienstrechts in Bayern</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Streichung der Protokollnotiz zu Nr. 5 ABD Teile B, 4.1.1. mit B, 4.1.2.</w:t>
      </w:r>
    </w:p>
    <w:p w:rsidR="00BE1EFE" w:rsidRDefault="00BE1EFE">
      <w:pPr>
        <w:pStyle w:val="StandardWeb"/>
        <w:jc w:val="right"/>
      </w:pPr>
      <w:r>
        <w:t>zum 1. Mai 2012</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w:t>
      </w:r>
    </w:p>
    <w:p w:rsidR="00BE1EFE" w:rsidRDefault="00BE1EFE">
      <w:pPr>
        <w:pStyle w:val="StandardWeb"/>
      </w:pPr>
      <w:r>
        <w:t>hier: Klarstellung</w:t>
      </w:r>
    </w:p>
    <w:p w:rsidR="00BE1EFE" w:rsidRDefault="00BE1EFE" w:rsidP="006B0E3C">
      <w:pPr>
        <w:pStyle w:val="StandardWeb"/>
        <w:jc w:val="right"/>
      </w:pPr>
      <w:r>
        <w:t>zum 1. August 2012</w:t>
      </w: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Neuregelung Beratungslehrkraft</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Anpassung an die Lehrerberufsbezeichnungsverordnung</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Beurteilungsturnus für die Beurteilung von Schulleiterinnen und Schulleitern</w:t>
      </w:r>
    </w:p>
    <w:p w:rsidR="00BE1EFE" w:rsidRDefault="00BE1EFE">
      <w:pPr>
        <w:pStyle w:val="StandardWeb"/>
        <w:jc w:val="right"/>
      </w:pPr>
      <w:r>
        <w:t>zum 1. August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u. a. redaktionelle Änderungen</w:t>
      </w:r>
    </w:p>
    <w:p w:rsidR="00BE1EFE" w:rsidRDefault="00BE1EFE" w:rsidP="006B0E3C">
      <w:pPr>
        <w:pStyle w:val="StandardWeb"/>
        <w:jc w:val="right"/>
      </w:pPr>
      <w:r>
        <w:t>zum 1. August 2012</w:t>
      </w:r>
    </w:p>
    <w:p w:rsidR="00BE1EFE" w:rsidRDefault="00BE1EFE" w:rsidP="006B0E3C">
      <w:pPr>
        <w:pStyle w:val="StandardWeb"/>
        <w:jc w:val="right"/>
      </w:pPr>
    </w:p>
    <w:p w:rsidR="00BE1EFE" w:rsidRDefault="00BE1EFE" w:rsidP="006B0E3C">
      <w:pPr>
        <w:pStyle w:val="StandardWeb"/>
        <w:jc w:val="right"/>
      </w:pPr>
    </w:p>
    <w:p w:rsidR="00BE1EFE" w:rsidRDefault="00BE1EFE" w:rsidP="00561A79">
      <w:pPr>
        <w:pStyle w:val="berschrift5"/>
        <w:spacing w:before="0"/>
      </w:pPr>
      <w:bookmarkStart w:id="1166" w:name="_Toc523926682"/>
      <w:r>
        <w:t>Beschlüsse 2011</w:t>
      </w:r>
      <w:bookmarkEnd w:id="1166"/>
    </w:p>
    <w:p w:rsidR="00BE1EFE" w:rsidRPr="00B76821" w:rsidRDefault="00BE1EFE" w:rsidP="00B76821">
      <w:pPr>
        <w:pStyle w:val="berschrift6"/>
        <w:keepNext w:val="0"/>
        <w:spacing w:before="0" w:after="0"/>
        <w:rPr>
          <w:rStyle w:val="Fett"/>
          <w:bCs w:val="0"/>
          <w:sz w:val="2"/>
        </w:rPr>
      </w:pPr>
    </w:p>
    <w:p w:rsidR="00BE1EFE" w:rsidRPr="002D1F1D" w:rsidRDefault="00BE1EFE" w:rsidP="0054275E">
      <w:pPr>
        <w:pStyle w:val="StandardWeb"/>
        <w:autoSpaceDE w:val="0"/>
        <w:rPr>
          <w:rStyle w:val="Hyperlink"/>
          <w:b/>
          <w:bCs/>
        </w:rPr>
      </w:pPr>
      <w:r>
        <w:rPr>
          <w:rStyle w:val="Fett"/>
          <w:bCs/>
        </w:rPr>
        <w:t xml:space="preserve">Anlage 99 </w:t>
      </w:r>
      <w:r>
        <w:rPr>
          <w:rStyle w:val="Fett"/>
          <w:bCs/>
        </w:rPr>
        <w:fldChar w:fldCharType="begin"/>
      </w:r>
      <w:r w:rsidR="0083482A">
        <w:rPr>
          <w:rStyle w:val="Fett"/>
          <w:bCs/>
        </w:rPr>
        <w:instrText>HYPERLINK "https://onlineabd.de/images/Anlagen/Koda_Nr_99.pdf"</w:instrText>
      </w:r>
      <w:r>
        <w:rPr>
          <w:rStyle w:val="Fett"/>
          <w:bCs/>
        </w:rPr>
        <w:fldChar w:fldCharType="separate"/>
      </w:r>
      <w:r w:rsidRPr="002D1F1D">
        <w:rPr>
          <w:rStyle w:val="Hyperlink"/>
        </w:rPr>
        <w:t>[herunterladen]</w:t>
      </w:r>
    </w:p>
    <w:p w:rsidR="00BE1EFE" w:rsidRDefault="00BE1EFE" w:rsidP="0054275E">
      <w:pPr>
        <w:pStyle w:val="StandardWeb"/>
        <w:autoSpaceDE w:val="0"/>
        <w:rPr>
          <w:rStyle w:val="Fett"/>
          <w:bCs/>
        </w:rPr>
      </w:pPr>
      <w:r>
        <w:rPr>
          <w:rStyle w:val="Fett"/>
          <w:bCs/>
        </w:rPr>
        <w:fldChar w:fldCharType="end"/>
      </w:r>
    </w:p>
    <w:p w:rsidR="00BE1EFE" w:rsidRPr="000B1AF8" w:rsidRDefault="00BE1EFE" w:rsidP="0054275E">
      <w:pPr>
        <w:pStyle w:val="StandardWeb"/>
        <w:autoSpaceDE w:val="0"/>
      </w:pPr>
      <w:r>
        <w:rPr>
          <w:rStyle w:val="Fett"/>
          <w:bCs/>
        </w:rPr>
        <w:t>Beschlüsse der 153. Vollversammlung vom 30.11./01.12.2011</w:t>
      </w:r>
    </w:p>
    <w:p w:rsidR="00BE1EFE" w:rsidRPr="000B1AF8" w:rsidRDefault="00BE1EFE">
      <w:pPr>
        <w:pStyle w:val="StandardWeb"/>
      </w:pPr>
    </w:p>
    <w:p w:rsidR="00BE1EFE" w:rsidRDefault="00BE1EFE">
      <w:pPr>
        <w:pStyle w:val="StandardWeb"/>
      </w:pPr>
      <w:r>
        <w:t>– § 14 ABD Teil A, 1. (Vorübergehende Ausübung einer höherwertigen Tätigkeit)</w:t>
      </w:r>
    </w:p>
    <w:p w:rsidR="00BE1EFE" w:rsidRDefault="00BE1EFE">
      <w:pPr>
        <w:pStyle w:val="StandardWeb"/>
      </w:pPr>
      <w:r>
        <w:t>hier: Höhe der persönlichen Zulage</w:t>
      </w:r>
    </w:p>
    <w:p w:rsidR="00BE1EFE" w:rsidRDefault="00BE1EFE">
      <w:pPr>
        <w:pStyle w:val="StandardWeb"/>
        <w:jc w:val="right"/>
      </w:pPr>
      <w:r>
        <w:t xml:space="preserve">zum 1. Februar 2012 </w:t>
      </w:r>
    </w:p>
    <w:p w:rsidR="00BE1EFE" w:rsidRDefault="00BE1EFE">
      <w:pPr>
        <w:pStyle w:val="StandardWeb"/>
        <w:jc w:val="right"/>
      </w:pPr>
    </w:p>
    <w:p w:rsidR="00BE1EFE" w:rsidRDefault="00BE1EFE">
      <w:pPr>
        <w:pStyle w:val="StandardWeb"/>
      </w:pPr>
      <w:r>
        <w:t>– § 20b ABD Teil A, 1. (Einmalige Sonderzahlung 2009)</w:t>
      </w:r>
    </w:p>
    <w:p w:rsidR="00BE1EFE" w:rsidRDefault="00BE1EFE">
      <w:pPr>
        <w:pStyle w:val="StandardWeb"/>
      </w:pPr>
      <w:r>
        <w:t>hier: Aufhebung</w:t>
      </w:r>
    </w:p>
    <w:p w:rsidR="00BE1EFE" w:rsidRDefault="00BE1EFE">
      <w:pPr>
        <w:pStyle w:val="StandardWeb"/>
        <w:jc w:val="right"/>
      </w:pPr>
      <w:r>
        <w:t>zum 1. Februar 2012</w:t>
      </w:r>
    </w:p>
    <w:p w:rsidR="00BE1EFE" w:rsidRDefault="00BE1EFE">
      <w:pPr>
        <w:pStyle w:val="StandardWeb"/>
        <w:jc w:val="right"/>
      </w:pPr>
    </w:p>
    <w:p w:rsidR="00BE1EFE" w:rsidRDefault="00BE1EFE">
      <w:pPr>
        <w:pStyle w:val="StandardWeb"/>
      </w:pPr>
      <w:r>
        <w:t>– § 29 ABD Teil A, 1. (Arbeitsbefreiung)</w:t>
      </w:r>
    </w:p>
    <w:p w:rsidR="00BE1EFE" w:rsidRDefault="00BE1EFE">
      <w:pPr>
        <w:pStyle w:val="StandardWeb"/>
      </w:pPr>
      <w:r>
        <w:t>hier: Freistellung von der Arbeit</w:t>
      </w:r>
    </w:p>
    <w:p w:rsidR="00BE1EFE" w:rsidRDefault="00BE1EFE">
      <w:pPr>
        <w:pStyle w:val="StandardWeb"/>
        <w:jc w:val="right"/>
      </w:pPr>
      <w:r>
        <w:t>zum 1. Februar 2012</w:t>
      </w:r>
    </w:p>
    <w:p w:rsidR="00BE1EFE" w:rsidRDefault="00BE1EFE">
      <w:pPr>
        <w:pStyle w:val="StandardWeb"/>
        <w:jc w:val="right"/>
      </w:pPr>
    </w:p>
    <w:p w:rsidR="00BE1EFE" w:rsidRDefault="00BE1EFE">
      <w:pPr>
        <w:pStyle w:val="StandardWeb"/>
      </w:pPr>
      <w:r>
        <w:lastRenderedPageBreak/>
        <w:t>– Anlage 4 ABD Teil A, 3. (Vorläufige Zuordnung der Vergütungs- und Lohngruppen zu den Entgeltgruppen für zwischen dem 1. Oktober 2005 und dem In-Kraft-Treten der neuen Entgeltordnung stattfindende Eingruppierungs- und Einreihungsvorgänge)</w:t>
      </w:r>
    </w:p>
    <w:p w:rsidR="00BE1EFE" w:rsidRDefault="00BE1EFE">
      <w:pPr>
        <w:pStyle w:val="StandardWeb"/>
      </w:pPr>
      <w:r>
        <w:t>hier: Änderung in Anpassung an § 16 Absatz 2 ABD Teil A, 1.</w:t>
      </w:r>
    </w:p>
    <w:p w:rsidR="00BE1EFE" w:rsidRDefault="00BE1EFE" w:rsidP="0044377C">
      <w:pPr>
        <w:pStyle w:val="StandardWeb"/>
        <w:jc w:val="right"/>
      </w:pPr>
      <w:r>
        <w:t>zum 1. Februar 2012</w:t>
      </w:r>
    </w:p>
    <w:p w:rsidR="00BE1EFE" w:rsidRDefault="00BE1EFE">
      <w:pPr>
        <w:pStyle w:val="StandardWeb"/>
        <w:jc w:val="right"/>
      </w:pPr>
    </w:p>
    <w:p w:rsidR="00BE1EFE" w:rsidRDefault="00BE1EFE">
      <w:pPr>
        <w:pStyle w:val="StandardWeb"/>
      </w:pPr>
      <w:r>
        <w:t>– Richtlinien für die Gewährung von Praktikantenvergütungen (Praktikanten-Richtlinien)</w:t>
      </w:r>
    </w:p>
    <w:p w:rsidR="00BE1EFE" w:rsidRDefault="00BE1EFE">
      <w:pPr>
        <w:pStyle w:val="StandardWeb"/>
      </w:pPr>
      <w:r>
        <w:t>hier: Praktikanten im Sozialpädagogischen Seminar (SPS)</w:t>
      </w:r>
    </w:p>
    <w:p w:rsidR="00BE1EFE" w:rsidRDefault="00BE1EFE">
      <w:pPr>
        <w:pStyle w:val="StandardWeb"/>
        <w:jc w:val="right"/>
      </w:pPr>
      <w:r>
        <w:t xml:space="preserve">zum 1. Februar 2012 </w:t>
      </w:r>
    </w:p>
    <w:p w:rsidR="00BE1EFE" w:rsidRDefault="00BE1EFE">
      <w:pPr>
        <w:pStyle w:val="StandardWeb"/>
      </w:pPr>
    </w:p>
    <w:p w:rsidR="00BE1EFE" w:rsidRDefault="00BE1EFE" w:rsidP="0054275E">
      <w:pPr>
        <w:pStyle w:val="StandardWeb"/>
        <w:autoSpaceDE w:val="0"/>
      </w:pPr>
      <w:r>
        <w:rPr>
          <w:rStyle w:val="Fett"/>
          <w:bCs/>
        </w:rPr>
        <w:t xml:space="preserve">Anlage Nr. 98 </w:t>
      </w:r>
      <w:hyperlink r:id="rId1784"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I. Beschluss der Bayerischen Regional-KODA vom 26.10.2011</w:t>
      </w:r>
    </w:p>
    <w:p w:rsidR="00BE1EFE" w:rsidRDefault="00BE1EFE">
      <w:pPr>
        <w:pStyle w:val="StandardWeb"/>
      </w:pPr>
    </w:p>
    <w:p w:rsidR="00BE1EFE" w:rsidRDefault="00BE1EFE">
      <w:pPr>
        <w:pStyle w:val="StandardWeb"/>
      </w:pPr>
      <w:r>
        <w:t>– § 17 ABD Teil A, 3. (Eingruppierung)</w:t>
      </w:r>
    </w:p>
    <w:p w:rsidR="00BE1EFE" w:rsidRDefault="00BE1EFE">
      <w:pPr>
        <w:pStyle w:val="StandardWeb"/>
      </w:pPr>
      <w:r>
        <w:t>hier: Umsetzung des Vermittlungsvorschlages vom 07.10.2011</w:t>
      </w:r>
    </w:p>
    <w:p w:rsidR="00BE1EFE" w:rsidRDefault="00BE1EFE" w:rsidP="006B0E3C">
      <w:pPr>
        <w:pStyle w:val="StandardWeb"/>
        <w:jc w:val="right"/>
      </w:pPr>
      <w:r>
        <w:t>zum 1. Januar 2012</w:t>
      </w:r>
    </w:p>
    <w:p w:rsidR="00BE1EFE" w:rsidRDefault="00BE1EFE">
      <w:pPr>
        <w:pStyle w:val="StandardWeb"/>
        <w:jc w:val="right"/>
      </w:pPr>
    </w:p>
    <w:p w:rsidR="00BE1EFE" w:rsidRDefault="00BE1EFE" w:rsidP="0054275E">
      <w:pPr>
        <w:pStyle w:val="StandardWeb"/>
        <w:autoSpaceDE w:val="0"/>
        <w:rPr>
          <w:b/>
          <w:bCs/>
        </w:rPr>
      </w:pPr>
      <w:r>
        <w:rPr>
          <w:rStyle w:val="Fett"/>
          <w:bCs/>
        </w:rPr>
        <w:t>II. Beschluss und zustimmende Kenntnisnahme der Bayerischen Regional-KODA vom 26.10.2011 mit Änderungen in Umsetzung des § 20a ABD Teil A, 1.:</w:t>
      </w:r>
    </w:p>
    <w:p w:rsidR="00BE1EFE" w:rsidRDefault="00BE1EFE">
      <w:pPr>
        <w:pStyle w:val="StandardWeb"/>
      </w:pPr>
      <w:r>
        <w:t>– ABD Teil D, 12. (Regelung über eine einmalige Pauschalzahlung 2011 in Umsetzung des Tarifvertrages über eine einmalige Pauschalzahlung vom 2. August 2011)</w:t>
      </w:r>
    </w:p>
    <w:p w:rsidR="00BE1EFE" w:rsidRDefault="00BE1EFE" w:rsidP="006B0E3C">
      <w:pPr>
        <w:pStyle w:val="StandardWeb"/>
        <w:jc w:val="right"/>
      </w:pPr>
      <w:r>
        <w:t>rückwirkend zum 1. Januar 2011</w:t>
      </w:r>
    </w:p>
    <w:p w:rsidR="00BE1EFE" w:rsidRDefault="00BE1EFE">
      <w:pPr>
        <w:pStyle w:val="StandardWeb"/>
      </w:pPr>
    </w:p>
    <w:p w:rsidR="00BE1EFE" w:rsidRDefault="00BE1EFE" w:rsidP="0054275E">
      <w:pPr>
        <w:pStyle w:val="StandardWeb"/>
        <w:autoSpaceDE w:val="0"/>
        <w:rPr>
          <w:b/>
          <w:bCs/>
        </w:rPr>
      </w:pPr>
      <w:r>
        <w:rPr>
          <w:rStyle w:val="Fett"/>
          <w:bCs/>
        </w:rPr>
        <w:t xml:space="preserve">Anlage Nr. 97 </w:t>
      </w:r>
      <w:hyperlink r:id="rId1785" w:history="1">
        <w:r w:rsidRPr="002D1F1D">
          <w:rPr>
            <w:rStyle w:val="Hyperlink"/>
          </w:rPr>
          <w:t>[herunterladen]</w:t>
        </w:r>
      </w:hyperlink>
    </w:p>
    <w:p w:rsidR="00BE1EFE" w:rsidRDefault="00BE1EFE" w:rsidP="0054275E">
      <w:pPr>
        <w:pStyle w:val="StandardWeb"/>
        <w:autoSpaceDE w:val="0"/>
        <w:rPr>
          <w:rStyle w:val="Fett"/>
          <w:bCs/>
        </w:rPr>
      </w:pPr>
    </w:p>
    <w:p w:rsidR="00BE1EFE" w:rsidRDefault="00BE1EFE" w:rsidP="0054275E">
      <w:pPr>
        <w:pStyle w:val="StandardWeb"/>
        <w:autoSpaceDE w:val="0"/>
        <w:rPr>
          <w:b/>
          <w:bCs/>
        </w:rPr>
      </w:pPr>
      <w:r>
        <w:rPr>
          <w:rStyle w:val="Fett"/>
          <w:bCs/>
        </w:rPr>
        <w:t>Beschlüsse im schriftlichen Umlaufverfahren vom 29.07.2011:</w:t>
      </w:r>
    </w:p>
    <w:p w:rsidR="00BE1EFE" w:rsidRDefault="00BE1EFE">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Verzicht auf die dienstliche Beurteilung nach Vollendung des 58. Lebensjahres</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ABD Teil B, 4.1. [Sonderregelungen für die Arbeitsverhältnisse arbeitsvertraglich beschäftig</w:t>
      </w:r>
      <w:r>
        <w:softHyphen/>
        <w:t>ter Lehrkräfte an Schulen in kirchlicher Trägerschaft (SR-L)]</w:t>
      </w:r>
    </w:p>
    <w:p w:rsidR="00BE1EFE" w:rsidRDefault="00BE1EFE">
      <w:pPr>
        <w:pStyle w:val="StandardWeb"/>
      </w:pPr>
      <w:r>
        <w:t>hier: Verzicht auf die Absenkung der Eingangsbesoldung</w:t>
      </w:r>
    </w:p>
    <w:p w:rsidR="00BE1EFE" w:rsidRDefault="00BE1EFE">
      <w:pPr>
        <w:pStyle w:val="StandardWeb"/>
        <w:jc w:val="right"/>
      </w:pPr>
      <w:r>
        <w:t>rückwirkend zum 1. Mai 2011</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Erhöhung der Zulage für Realschuldirektorinnen/Realschuldirektoren – Übernahme der Regelungen für die entsprechenden Beamten des Katholischen Schulwerks in Bayern</w:t>
      </w:r>
    </w:p>
    <w:p w:rsidR="00BE1EFE" w:rsidRDefault="00BE1EFE">
      <w:pPr>
        <w:pStyle w:val="StandardWeb"/>
        <w:jc w:val="right"/>
      </w:pPr>
      <w:r>
        <w:t>zum 1. Januar 2012</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Klarstellung Dienstgeberveranlassung rückwirkend</w:t>
      </w:r>
    </w:p>
    <w:p w:rsidR="00BE1EFE" w:rsidRDefault="00BE1EFE">
      <w:pPr>
        <w:pStyle w:val="StandardWeb"/>
        <w:jc w:val="right"/>
      </w:pPr>
      <w:r>
        <w:t>zum 1. Januar 2011</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Einräumung des Rechts zum Führen einer höheren Berufsbezeichnung für Fachlehr</w:t>
      </w:r>
      <w:r>
        <w:softHyphen/>
        <w:t>kräfte entsprechend den Wartezeiten für die Beamten des Freistaats Bayern rückwirkend</w:t>
      </w:r>
    </w:p>
    <w:p w:rsidR="00BE1EFE" w:rsidRDefault="00BE1EFE" w:rsidP="006B0E3C">
      <w:pPr>
        <w:pStyle w:val="StandardWeb"/>
        <w:jc w:val="right"/>
      </w:pPr>
      <w:r>
        <w:t>zum 1. Januar 2011</w:t>
      </w:r>
    </w:p>
    <w:p w:rsidR="00BE1EFE" w:rsidRDefault="00BE1EFE">
      <w:pPr>
        <w:pStyle w:val="StandardWeb"/>
        <w:rPr>
          <w:rStyle w:val="Fett"/>
          <w:bCs/>
        </w:rPr>
      </w:pPr>
    </w:p>
    <w:p w:rsidR="00BE1EFE" w:rsidRDefault="00BE1EFE" w:rsidP="0054275E">
      <w:pPr>
        <w:pStyle w:val="StandardWeb"/>
        <w:autoSpaceDE w:val="0"/>
      </w:pPr>
      <w:r>
        <w:rPr>
          <w:rStyle w:val="Fett"/>
          <w:bCs/>
        </w:rPr>
        <w:t xml:space="preserve">Anlage Nr. 96 </w:t>
      </w:r>
      <w:hyperlink r:id="rId1786"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I. Beschlüsse der Bayerischen Regional-KODA vom 29./30.06.2011</w:t>
      </w:r>
    </w:p>
    <w:p w:rsidR="00BE1EFE" w:rsidRDefault="00BE1EFE">
      <w:pPr>
        <w:pStyle w:val="StandardWeb"/>
      </w:pPr>
    </w:p>
    <w:p w:rsidR="00BE1EFE" w:rsidRDefault="00BE1EFE">
      <w:pPr>
        <w:pStyle w:val="StandardWeb"/>
      </w:pPr>
      <w:r>
        <w:t>– § 3 ABD Teil A, 1. (Allgemeine Arbeitsbedingungen)</w:t>
      </w:r>
    </w:p>
    <w:p w:rsidR="00BE1EFE" w:rsidRDefault="00BE1EFE">
      <w:pPr>
        <w:pStyle w:val="StandardWeb"/>
      </w:pPr>
      <w:r>
        <w:t>hier: Prävention von sexuellem Missbrauch</w:t>
      </w:r>
    </w:p>
    <w:p w:rsidR="00BE1EFE" w:rsidRPr="00A303D9" w:rsidRDefault="00BE1EFE">
      <w:pPr>
        <w:pStyle w:val="StandardWeb"/>
        <w:jc w:val="right"/>
        <w:rPr>
          <w:lang w:val="en-US"/>
        </w:rPr>
      </w:pPr>
      <w:r>
        <w:t xml:space="preserve">zum 1. </w:t>
      </w:r>
      <w:r w:rsidRPr="00A303D9">
        <w:rPr>
          <w:lang w:val="en-US"/>
        </w:rPr>
        <w:t>September 2011</w:t>
      </w:r>
    </w:p>
    <w:p w:rsidR="00BE1EFE" w:rsidRPr="00A303D9" w:rsidRDefault="00BE1EFE">
      <w:pPr>
        <w:pStyle w:val="StandardWeb"/>
        <w:jc w:val="right"/>
        <w:rPr>
          <w:lang w:val="en-US"/>
        </w:rPr>
      </w:pPr>
    </w:p>
    <w:p w:rsidR="00BE1EFE" w:rsidRDefault="00BE1EFE">
      <w:pPr>
        <w:pStyle w:val="StandardWeb"/>
      </w:pPr>
      <w:r w:rsidRPr="00A303D9">
        <w:rPr>
          <w:lang w:val="en-US"/>
        </w:rPr>
        <w:t xml:space="preserve">– § 5a ABD Teil A, 1. </w:t>
      </w:r>
      <w:r>
        <w:t>(Freiwillige Qualifizierungsmaßnahmen)</w:t>
      </w:r>
    </w:p>
    <w:p w:rsidR="00BE1EFE" w:rsidRDefault="00BE1EFE">
      <w:pPr>
        <w:pStyle w:val="StandardWeb"/>
      </w:pPr>
      <w:r>
        <w:t>hier: Anfügen einer Protokollnotiz zu § 5a Absatz 1</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 36d ABD Teil A, 1. (Kostenpauschale bei Fehlgeburten)</w:t>
      </w:r>
    </w:p>
    <w:p w:rsidR="00BE1EFE" w:rsidRDefault="00BE1EFE">
      <w:pPr>
        <w:pStyle w:val="StandardWeb"/>
      </w:pPr>
      <w:r>
        <w:t>hier: Erweiterung der Zahlung der Kostenpauschale bei Fehl- oder Totgeburten</w:t>
      </w:r>
    </w:p>
    <w:p w:rsidR="00BE1EFE" w:rsidRDefault="00BE1EFE">
      <w:pPr>
        <w:pStyle w:val="StandardWeb"/>
      </w:pP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Abschnitt VIII „Anhänge und Anlagen“ ABD Teil A, 1.</w:t>
      </w:r>
    </w:p>
    <w:p w:rsidR="00BE1EFE" w:rsidRDefault="00BE1EFE">
      <w:pPr>
        <w:pStyle w:val="StandardWeb"/>
      </w:pPr>
      <w:r>
        <w:t>hier: Umsetzung des Änderungstarifvertrags Nr. 11 vom 24. Januar 2011 zum Tarifvertrag für den öffentlichen Dienst (TVöD) – Besonderer Teil Verwaltung – (BT-V) – vom 13. September 2005</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Vorläufige Entgeltordnung für Beschäftigte im Pfarrbüro</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Dienstordnung für Beschäftigte im Pfarrbüro</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ABD Teil D, 3. [Kirchliche Arbeitszeitordnung (KAZO)]</w:t>
      </w:r>
    </w:p>
    <w:p w:rsidR="00BE1EFE" w:rsidRDefault="00BE1EFE">
      <w:pPr>
        <w:pStyle w:val="StandardWeb"/>
      </w:pPr>
      <w:r>
        <w:t>hier: Verlängerung der Höchstdauer der täglichen Arbeitszeit in besonderen Fällen</w:t>
      </w:r>
    </w:p>
    <w:p w:rsidR="00BE1EFE" w:rsidRDefault="00BE1EFE">
      <w:pPr>
        <w:pStyle w:val="StandardWeb"/>
        <w:jc w:val="right"/>
      </w:pPr>
      <w:r>
        <w:t>zum 1. September 2011</w:t>
      </w:r>
    </w:p>
    <w:p w:rsidR="00BE1EFE" w:rsidRDefault="00BE1EFE">
      <w:pPr>
        <w:pStyle w:val="StandardWeb"/>
        <w:jc w:val="right"/>
      </w:pPr>
    </w:p>
    <w:p w:rsidR="00BE1EFE" w:rsidRDefault="00BE1EFE">
      <w:pPr>
        <w:pStyle w:val="StandardWeb"/>
      </w:pPr>
      <w:r>
        <w:t>– Änderung des ABD Teil D, 4. (Arbeitszeitkontenregelung)</w:t>
      </w:r>
    </w:p>
    <w:p w:rsidR="00BE1EFE" w:rsidRDefault="00BE1EFE">
      <w:pPr>
        <w:pStyle w:val="StandardWeb"/>
      </w:pPr>
      <w:r>
        <w:t>hier: Verlängerung der befristeten Regelung</w:t>
      </w:r>
    </w:p>
    <w:p w:rsidR="00BE1EFE" w:rsidRDefault="00BE1EFE">
      <w:pPr>
        <w:pStyle w:val="StandardWeb"/>
        <w:jc w:val="right"/>
      </w:pPr>
      <w:r>
        <w:t>zum 1. August 2011</w:t>
      </w:r>
    </w:p>
    <w:p w:rsidR="00BE1EFE" w:rsidRDefault="00BE1EFE">
      <w:pPr>
        <w:pStyle w:val="StandardWeb"/>
        <w:jc w:val="right"/>
      </w:pPr>
    </w:p>
    <w:p w:rsidR="00BE1EFE" w:rsidRDefault="00BE1EFE">
      <w:pPr>
        <w:pStyle w:val="StandardWeb"/>
      </w:pPr>
      <w:r>
        <w:t>– ABD Teil D, 6a. (Regelung zu flexiblen Arbeitszeitregelungen für ältere Beschäftigte – FlexAZR –)</w:t>
      </w:r>
    </w:p>
    <w:p w:rsidR="00BE1EFE" w:rsidRDefault="00BE1EFE">
      <w:pPr>
        <w:pStyle w:val="StandardWeb"/>
      </w:pPr>
      <w:r>
        <w:t>hier: Umsetzung des Änderungstarifvertrags Nr. 1 vom 8. Dezember 2010 zum Tarifvertrag zu flexiblen Arbeitszeitregelungen für ältere Beschäftigte – Tarifvertrag FlexAZ – vom 27. Februar 2010</w:t>
      </w:r>
    </w:p>
    <w:p w:rsidR="00BE1EFE" w:rsidRDefault="00BE1EFE">
      <w:pPr>
        <w:pStyle w:val="StandardWeb"/>
        <w:jc w:val="right"/>
      </w:pPr>
      <w:r>
        <w:t>rückwirkend zum 1. Januar 2011</w:t>
      </w:r>
    </w:p>
    <w:p w:rsidR="00BE1EFE" w:rsidRDefault="00BE1EFE">
      <w:pPr>
        <w:pStyle w:val="StandardWeb"/>
        <w:jc w:val="right"/>
      </w:pPr>
    </w:p>
    <w:p w:rsidR="00BE1EFE" w:rsidRDefault="00BE1EFE">
      <w:pPr>
        <w:pStyle w:val="StandardWeb"/>
      </w:pPr>
      <w:r>
        <w:t>– Bayerische Regional-KODA-Ordnung (BayRKO)</w:t>
      </w:r>
    </w:p>
    <w:p w:rsidR="00BE1EFE" w:rsidRDefault="00BE1EFE">
      <w:pPr>
        <w:pStyle w:val="StandardWeb"/>
      </w:pPr>
      <w:r>
        <w:t>hier: Ausführungsbestimmungen zu § 8 Absatz 3 BayRKO</w:t>
      </w:r>
    </w:p>
    <w:p w:rsidR="00BE1EFE" w:rsidRDefault="00BE1EFE" w:rsidP="006B0E3C">
      <w:pPr>
        <w:pStyle w:val="StandardWeb"/>
        <w:jc w:val="right"/>
      </w:pPr>
      <w:r>
        <w:t>zum 1. September 2011</w:t>
      </w:r>
    </w:p>
    <w:p w:rsidR="00BE1EFE" w:rsidRDefault="00BE1EFE">
      <w:pPr>
        <w:pStyle w:val="StandardWeb"/>
      </w:pPr>
    </w:p>
    <w:p w:rsidR="00BE1EFE" w:rsidRDefault="00BE1EFE" w:rsidP="0054275E">
      <w:pPr>
        <w:pStyle w:val="StandardWeb"/>
        <w:autoSpaceDE w:val="0"/>
      </w:pPr>
      <w:r>
        <w:rPr>
          <w:rStyle w:val="Fett"/>
          <w:bCs/>
        </w:rPr>
        <w:t>II. Beschluss und zustimmende Kenntnisnahme der Bayerischen Regional-KODA vom 29./30.06.2011</w:t>
      </w:r>
    </w:p>
    <w:p w:rsidR="00BE1EFE" w:rsidRDefault="00BE1EFE">
      <w:pPr>
        <w:pStyle w:val="StandardWeb"/>
      </w:pPr>
    </w:p>
    <w:p w:rsidR="00BE1EFE" w:rsidRDefault="00BE1EFE">
      <w:pPr>
        <w:pStyle w:val="StandardWeb"/>
      </w:pPr>
      <w:r>
        <w:t>– ABD Teil A, 1.</w:t>
      </w:r>
    </w:p>
    <w:p w:rsidR="00BE1EFE" w:rsidRDefault="00BE1EFE">
      <w:pPr>
        <w:pStyle w:val="StandardWeb"/>
      </w:pPr>
      <w:r>
        <w:lastRenderedPageBreak/>
        <w:t>hier: Umsetzung des Änderungstarifvertrags Nr. 6 vom 8. Dezember 2010 zum Tarifvertrag für den öffentlichen Dienst (TVöD) vom 13. September 2005</w:t>
      </w:r>
    </w:p>
    <w:p w:rsidR="00BE1EFE" w:rsidRDefault="00BE1EFE" w:rsidP="00C02DBD">
      <w:pPr>
        <w:pStyle w:val="StandardWeb"/>
        <w:jc w:val="right"/>
      </w:pPr>
      <w:r>
        <w:t>verschiedene Inkraftsetzungsdaten</w:t>
      </w:r>
    </w:p>
    <w:p w:rsidR="00BE1EFE" w:rsidRDefault="00BE1EFE" w:rsidP="00C02DBD">
      <w:pPr>
        <w:pStyle w:val="StandardWeb"/>
        <w:jc w:val="right"/>
      </w:pPr>
    </w:p>
    <w:p w:rsidR="00BE1EFE" w:rsidRDefault="00BE1EFE" w:rsidP="0054275E">
      <w:pPr>
        <w:pStyle w:val="StandardWeb"/>
        <w:autoSpaceDE w:val="0"/>
      </w:pPr>
      <w:r>
        <w:rPr>
          <w:rStyle w:val="Fett"/>
          <w:bCs/>
        </w:rPr>
        <w:t>III. Zustimmende Kenntnisnahme der Bayerischen Regional-KODA vom 29./30.06.2011</w:t>
      </w:r>
    </w:p>
    <w:p w:rsidR="00BE1EFE" w:rsidRDefault="00BE1EFE">
      <w:pPr>
        <w:pStyle w:val="StandardWeb"/>
      </w:pPr>
    </w:p>
    <w:p w:rsidR="00BE1EFE" w:rsidRDefault="00BE1EFE">
      <w:pPr>
        <w:pStyle w:val="StandardWeb"/>
      </w:pPr>
      <w:r>
        <w:t>– ABD Teil D, 12. (Regelung über eine einmalige Pauschalzahlung 2010)</w:t>
      </w:r>
    </w:p>
    <w:p w:rsidR="00BE1EFE" w:rsidRDefault="00BE1EFE">
      <w:pPr>
        <w:pStyle w:val="StandardWeb"/>
      </w:pPr>
      <w:r>
        <w:t>hier: Umsetzung des Änderungstarifvertrags Nr. 1 vom 8. Dezember 2010 zum Tarifvertrag über eine einmalige Pauschalzahlung 2010 vom 27. Februar 2011</w:t>
      </w:r>
    </w:p>
    <w:p w:rsidR="00BE1EFE" w:rsidRDefault="00BE1EFE" w:rsidP="00C51D24">
      <w:pPr>
        <w:pStyle w:val="StandardWeb"/>
        <w:jc w:val="right"/>
      </w:pPr>
      <w:r>
        <w:t>zum 1. Januar 2010</w:t>
      </w:r>
    </w:p>
    <w:p w:rsidR="00BE1EFE" w:rsidRDefault="00BE1EFE">
      <w:pPr>
        <w:pStyle w:val="StandardWeb"/>
      </w:pPr>
    </w:p>
    <w:p w:rsidR="00BE1EFE" w:rsidRDefault="00BE1EFE" w:rsidP="0054275E">
      <w:pPr>
        <w:pStyle w:val="StandardWeb"/>
        <w:autoSpaceDE w:val="0"/>
      </w:pPr>
      <w:r>
        <w:rPr>
          <w:rStyle w:val="Fett"/>
          <w:bCs/>
        </w:rPr>
        <w:t>IV. Beschluss der Bayerischen Regional-KODA im schriftlichen Umlaufverfahren vom 20.07.2011</w:t>
      </w:r>
    </w:p>
    <w:p w:rsidR="00BE1EFE" w:rsidRDefault="00BE1EFE">
      <w:pPr>
        <w:pStyle w:val="StandardWeb"/>
      </w:pPr>
    </w:p>
    <w:p w:rsidR="00BE1EFE" w:rsidRDefault="00BE1EFE">
      <w:pPr>
        <w:pStyle w:val="StandardWeb"/>
      </w:pPr>
      <w:r>
        <w:t>– ABD Teil C, 7. (Dienstordnung für das pädagogische Personal in den katholischen Kinder</w:t>
      </w:r>
      <w:r>
        <w:softHyphen/>
        <w:t>tageseinrichtungen)</w:t>
      </w:r>
    </w:p>
    <w:p w:rsidR="00BE1EFE" w:rsidRDefault="00BE1EFE">
      <w:pPr>
        <w:pStyle w:val="StandardWeb"/>
      </w:pPr>
      <w:r>
        <w:t>hier: Verlängerung der Befristung von § 7 Absatz 2</w:t>
      </w:r>
    </w:p>
    <w:p w:rsidR="0083482A" w:rsidRDefault="0083482A">
      <w:pPr>
        <w:pStyle w:val="StandardWeb"/>
      </w:pPr>
    </w:p>
    <w:p w:rsidR="00BE1EFE" w:rsidRDefault="00BE1EFE" w:rsidP="0054275E">
      <w:pPr>
        <w:pStyle w:val="StandardWeb"/>
        <w:autoSpaceDE w:val="0"/>
      </w:pPr>
      <w:r>
        <w:rPr>
          <w:rStyle w:val="Fett"/>
          <w:bCs/>
        </w:rPr>
        <w:t>Anlage Nr. 95</w:t>
      </w:r>
      <w:r w:rsidR="0083482A">
        <w:rPr>
          <w:rStyle w:val="Fett"/>
          <w:bCs/>
        </w:rPr>
        <w:t xml:space="preserve"> </w:t>
      </w:r>
      <w:hyperlink r:id="rId1787" w:history="1">
        <w:r w:rsidRPr="002D1F1D">
          <w:rPr>
            <w:rStyle w:val="Hyperlink"/>
          </w:rPr>
          <w:t>[herunterladen]</w:t>
        </w:r>
      </w:hyperlink>
    </w:p>
    <w:p w:rsidR="00BE1EFE" w:rsidRDefault="00BE1EFE">
      <w:pPr>
        <w:pStyle w:val="StandardWeb"/>
      </w:pPr>
    </w:p>
    <w:p w:rsidR="00BE1EFE" w:rsidRDefault="00BE1EFE" w:rsidP="0054275E">
      <w:pPr>
        <w:pStyle w:val="StandardWeb"/>
        <w:autoSpaceDE w:val="0"/>
      </w:pPr>
      <w:r>
        <w:rPr>
          <w:rStyle w:val="Fett"/>
          <w:bCs/>
        </w:rPr>
        <w:t>Beschlüsse der Bayerischen Regional-KODA vom 17.03.2011</w:t>
      </w:r>
    </w:p>
    <w:p w:rsidR="00BE1EFE" w:rsidRDefault="00BE1EFE">
      <w:pPr>
        <w:pStyle w:val="StandardWeb"/>
      </w:pPr>
    </w:p>
    <w:p w:rsidR="00BE1EFE" w:rsidRDefault="00BE1EFE">
      <w:pPr>
        <w:pStyle w:val="StandardWeb"/>
      </w:pPr>
      <w:r>
        <w:t>– § 19 ABD Teil A, 1. (Erschwerniszuschläge)</w:t>
      </w:r>
    </w:p>
    <w:p w:rsidR="00BE1EFE" w:rsidRDefault="00BE1EFE">
      <w:pPr>
        <w:pStyle w:val="StandardWeb"/>
      </w:pPr>
      <w:r>
        <w:t>hier: Erhöhung der Beträge ab 01.09.2010 rückwirkend</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Dienstordnung für das pädagogische Personal in den katholischen Kindertageseinrichtungen (ABD Teil C, 7.)</w:t>
      </w:r>
    </w:p>
    <w:p w:rsidR="00BE1EFE" w:rsidRDefault="00BE1EFE">
      <w:pPr>
        <w:pStyle w:val="StandardWeb"/>
      </w:pPr>
      <w:r>
        <w:t>hier: Verlängerung der bis zum 30. Juni 2011 geltenden Regelung zur Überprüfung der Bestimmungen zur Verfügungszeit</w:t>
      </w:r>
    </w:p>
    <w:p w:rsidR="00BE1EFE" w:rsidRDefault="00BE1EFE">
      <w:pPr>
        <w:pStyle w:val="StandardWeb"/>
        <w:jc w:val="right"/>
      </w:pPr>
      <w:r>
        <w:t>zum 30. Juni 2011</w:t>
      </w:r>
    </w:p>
    <w:p w:rsidR="00BE1EFE" w:rsidRDefault="00BE1EFE">
      <w:pPr>
        <w:pStyle w:val="StandardWeb"/>
        <w:jc w:val="right"/>
      </w:pPr>
    </w:p>
    <w:p w:rsidR="00BE1EFE" w:rsidRDefault="00BE1EFE">
      <w:pPr>
        <w:pStyle w:val="StandardWeb"/>
      </w:pPr>
      <w:r>
        <w:t>– Verlängerung der bis zum 31.12.2010 geltenden Regelung über eine ergänzende Leistung an Beschäftigte und Auszubildende (sog. Ballungsraumzulage) und Änderung von Bestimmungen (ABD Teil D, 8.)</w:t>
      </w:r>
    </w:p>
    <w:p w:rsidR="00BE1EFE" w:rsidRDefault="00BE1EFE" w:rsidP="006B0E3C">
      <w:pPr>
        <w:pStyle w:val="StandardWeb"/>
        <w:jc w:val="right"/>
      </w:pPr>
      <w:r>
        <w:t>verschiedene Inkraftsetzungsdaten</w:t>
      </w:r>
    </w:p>
    <w:p w:rsidR="00BE1EFE" w:rsidRDefault="00BE1EFE" w:rsidP="006B0E3C">
      <w:pPr>
        <w:pStyle w:val="StandardWeb"/>
        <w:jc w:val="right"/>
      </w:pPr>
    </w:p>
    <w:p w:rsidR="00BE1EFE" w:rsidRDefault="00BE1EFE" w:rsidP="006B0E3C">
      <w:pPr>
        <w:pStyle w:val="StandardWeb"/>
        <w:jc w:val="right"/>
      </w:pPr>
    </w:p>
    <w:p w:rsidR="00BE1EFE" w:rsidRDefault="00BE1EFE" w:rsidP="00561A79">
      <w:pPr>
        <w:pStyle w:val="berschrift5"/>
        <w:spacing w:before="0"/>
      </w:pPr>
      <w:bookmarkStart w:id="1167" w:name="_Toc523926683"/>
      <w:r>
        <w:t>Beschlüsse 2010</w:t>
      </w:r>
      <w:bookmarkEnd w:id="1167"/>
    </w:p>
    <w:p w:rsidR="00BE1EFE" w:rsidRPr="00B76821" w:rsidRDefault="00BE1EFE" w:rsidP="00B76821">
      <w:pPr>
        <w:pStyle w:val="berschrift6"/>
        <w:keepNext w:val="0"/>
        <w:spacing w:before="0" w:after="0"/>
        <w:rPr>
          <w:sz w:val="2"/>
        </w:rPr>
      </w:pPr>
    </w:p>
    <w:p w:rsidR="00BE1EFE" w:rsidRPr="002D1F1D" w:rsidRDefault="00BE1EFE">
      <w:pPr>
        <w:pStyle w:val="StandardWeb"/>
        <w:rPr>
          <w:rStyle w:val="Hyperlink"/>
        </w:rPr>
      </w:pPr>
      <w:r>
        <w:rPr>
          <w:b/>
          <w:bCs/>
        </w:rPr>
        <w:t>Richtlinien für die Gewährung von Praktikantenvergütungen</w:t>
      </w:r>
      <w:r w:rsidR="0083482A">
        <w:rPr>
          <w:b/>
          <w:bCs/>
        </w:rPr>
        <w:t xml:space="preserve"> </w:t>
      </w:r>
      <w:r>
        <w:rPr>
          <w:b/>
          <w:bCs/>
        </w:rPr>
        <w:fldChar w:fldCharType="begin"/>
      </w:r>
      <w:r w:rsidR="0083482A">
        <w:rPr>
          <w:b/>
          <w:bCs/>
        </w:rPr>
        <w:instrText>HYPERLINK "https://onlineabd.de/images/Anlagen/Richtlinien_f%C3%BCr_die_Gew%C3%A4hrung_von_Praktikantenverg%C3%BCtungen_vom_30.09.2010.pdf"</w:instrText>
      </w:r>
      <w:r>
        <w:rPr>
          <w:b/>
          <w:bCs/>
        </w:rPr>
        <w:fldChar w:fldCharType="separate"/>
      </w:r>
      <w:r w:rsidRPr="00E4084D">
        <w:rPr>
          <w:rStyle w:val="Hyperlink"/>
          <w:bCs/>
        </w:rPr>
        <w:t xml:space="preserve">[herunterladen] </w:t>
      </w:r>
    </w:p>
    <w:p w:rsidR="00BE1EFE" w:rsidRDefault="00BE1EFE">
      <w:pPr>
        <w:pStyle w:val="StandardWeb"/>
      </w:pPr>
      <w:r>
        <w:rPr>
          <w:b/>
          <w:bCs/>
        </w:rPr>
        <w:fldChar w:fldCharType="end"/>
      </w:r>
      <w:r>
        <w:t>hier: Änderung der Richtlinien in Anpassung an die Richtlinien der VKA für die Zahlung von Praktikantenvergütungen (Praktikanten-Richtlinien der VKA) vom 13. November 2009</w:t>
      </w:r>
    </w:p>
    <w:p w:rsidR="00BE1EFE" w:rsidRDefault="00BE1EFE">
      <w:pPr>
        <w:pStyle w:val="StandardWeb"/>
      </w:pPr>
    </w:p>
    <w:p w:rsidR="00BE1EFE" w:rsidRDefault="00BE1EFE">
      <w:pPr>
        <w:pStyle w:val="StandardWeb"/>
        <w:rPr>
          <w:b/>
          <w:bCs/>
        </w:rPr>
      </w:pPr>
      <w:r>
        <w:rPr>
          <w:b/>
          <w:bCs/>
        </w:rPr>
        <w:t xml:space="preserve">Anlage 94 </w:t>
      </w:r>
      <w:hyperlink r:id="rId1788" w:history="1">
        <w:r w:rsidRPr="0083482A">
          <w:rPr>
            <w:rStyle w:val="Hyperlink"/>
            <w:bCs/>
          </w:rPr>
          <w:t>[herunterladen]</w:t>
        </w:r>
      </w:hyperlink>
      <w:r w:rsidRPr="0083482A">
        <w:rPr>
          <w:bCs/>
        </w:rPr>
        <w:t> </w:t>
      </w:r>
    </w:p>
    <w:p w:rsidR="00BE1EFE" w:rsidRDefault="00BE1EFE">
      <w:pPr>
        <w:pStyle w:val="StandardWeb"/>
        <w:rPr>
          <w:b/>
          <w:bCs/>
        </w:rPr>
      </w:pPr>
    </w:p>
    <w:p w:rsidR="00BE1EFE" w:rsidRDefault="00BE1EFE" w:rsidP="0054275E">
      <w:pPr>
        <w:pStyle w:val="StandardWeb"/>
        <w:autoSpaceDE w:val="0"/>
      </w:pPr>
      <w:r>
        <w:rPr>
          <w:rStyle w:val="Fett"/>
          <w:bCs/>
        </w:rPr>
        <w:t xml:space="preserve">I. Beschluss der Bayerischen Regional-KODA vom 30.09.2010 </w:t>
      </w:r>
    </w:p>
    <w:p w:rsidR="00BE1EFE" w:rsidRDefault="00BE1EFE">
      <w:pPr>
        <w:pStyle w:val="StandardWeb"/>
      </w:pPr>
    </w:p>
    <w:p w:rsidR="00BE1EFE" w:rsidRDefault="00BE1EFE">
      <w:pPr>
        <w:pStyle w:val="StandardWeb"/>
      </w:pPr>
      <w:r>
        <w:t>– Anhang zu § 16 (Besondere Stufenregelungen) ABD Teil A, 1.</w:t>
      </w:r>
    </w:p>
    <w:p w:rsidR="00BE1EFE" w:rsidRDefault="00BE1EFE">
      <w:pPr>
        <w:pStyle w:val="StandardWeb"/>
      </w:pPr>
      <w:r>
        <w:t>hier: redaktionelle Änderung zu Entgeltgruppe 9</w:t>
      </w:r>
    </w:p>
    <w:p w:rsidR="00BE1EFE" w:rsidRDefault="00BE1EFE">
      <w:pPr>
        <w:pStyle w:val="StandardWeb"/>
        <w:jc w:val="right"/>
      </w:pPr>
      <w:r>
        <w:t>rückwirkend zum 1. Juli 2010</w:t>
      </w:r>
    </w:p>
    <w:p w:rsidR="00BE1EFE" w:rsidRDefault="00BE1EFE">
      <w:pPr>
        <w:pStyle w:val="StandardWeb"/>
        <w:jc w:val="right"/>
      </w:pPr>
    </w:p>
    <w:p w:rsidR="00BE1EFE" w:rsidRDefault="00BE1EFE" w:rsidP="0054275E">
      <w:pPr>
        <w:pStyle w:val="StandardWeb"/>
        <w:autoSpaceDE w:val="0"/>
      </w:pPr>
      <w:r>
        <w:rPr>
          <w:rStyle w:val="Fett"/>
          <w:bCs/>
        </w:rPr>
        <w:t>II. Beschlüsse der Bayerischen Regional-KODA vom 10.11.2010</w:t>
      </w:r>
    </w:p>
    <w:p w:rsidR="00BE1EFE" w:rsidRDefault="00BE1EFE">
      <w:pPr>
        <w:pStyle w:val="StandardWeb"/>
      </w:pPr>
    </w:p>
    <w:p w:rsidR="00BE1EFE" w:rsidRDefault="00BE1EFE">
      <w:pPr>
        <w:pStyle w:val="StandardWeb"/>
      </w:pPr>
      <w:r>
        <w:t>– § 18a ABD Teil A, 1. (Besondere Einmalzahlung für die Jahre 2007 bis 2012)</w:t>
      </w:r>
    </w:p>
    <w:p w:rsidR="00BE1EFE" w:rsidRDefault="00BE1EFE">
      <w:pPr>
        <w:pStyle w:val="StandardWeb"/>
      </w:pPr>
      <w:r>
        <w:t>hier: Änderungen und Neufassung</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A, 2.6. (Vorläufige Entgeltordnung für Religionslehrerinnen/Religionslehrer i. K.)</w:t>
      </w:r>
    </w:p>
    <w:p w:rsidR="00BE1EFE" w:rsidRDefault="00BE1EFE">
      <w:pPr>
        <w:pStyle w:val="StandardWeb"/>
      </w:pPr>
      <w:r>
        <w:t>hier: Erhöhung der Förderschulzulage in Umsetzung des Änderungstarifvertrages Nr. 5 vom 27. Februar 2010 zum Tarifvertrag für den öffentlichen Dienst (TVöD) vom 13. September 2005</w:t>
      </w:r>
    </w:p>
    <w:p w:rsidR="00BE1EFE" w:rsidRDefault="00BE1EFE">
      <w:pPr>
        <w:pStyle w:val="StandardWeb"/>
        <w:jc w:val="right"/>
      </w:pPr>
      <w:r>
        <w:t>rückwirkend zum 1. September 2010</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ABD Teil B, 4.1.2. (Sonderregelungen für die Arbeitsverhältnisse von Lehrkräften an beruf</w:t>
      </w:r>
      <w:r>
        <w:softHyphen/>
        <w:t xml:space="preserve">lichen Schulen </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xml:space="preserve">– ABD Teil B, 4.1.3. (Sonderregelungen für die Arbeitsverhältnisse von Lehrkräften an Grund- und Hauptschulen [Volksschulen]) </w:t>
      </w:r>
    </w:p>
    <w:p w:rsidR="00BE1EFE" w:rsidRDefault="00BE1EFE">
      <w:pPr>
        <w:pStyle w:val="StandardWeb"/>
      </w:pPr>
      <w:r>
        <w:t>hier: Anpassung der Vorschriften über das Entgelt an die durch die Dienstrechtsreform geänderten neuen beamtenrechtlichen Vorschriften und redaktionelle Änderungen</w:t>
      </w:r>
    </w:p>
    <w:p w:rsidR="00BE1EFE" w:rsidRDefault="00BE1EFE">
      <w:pPr>
        <w:pStyle w:val="StandardWeb"/>
        <w:jc w:val="right"/>
      </w:pPr>
      <w:r>
        <w:t>verschiedene Inkraftsetzungsdaten</w:t>
      </w:r>
    </w:p>
    <w:p w:rsidR="00BE1EFE" w:rsidRDefault="00BE1EFE">
      <w:pPr>
        <w:pStyle w:val="StandardWeb"/>
        <w:jc w:val="right"/>
      </w:pPr>
    </w:p>
    <w:p w:rsidR="00BE1EFE" w:rsidRDefault="00BE1EFE">
      <w:pPr>
        <w:pStyle w:val="StandardWeb"/>
      </w:pPr>
      <w:r>
        <w:t>– Änderungen des ABD Teil D</w:t>
      </w:r>
    </w:p>
    <w:p w:rsidR="00BE1EFE" w:rsidRDefault="00BE1EFE">
      <w:pPr>
        <w:pStyle w:val="StandardWeb"/>
      </w:pPr>
      <w:r>
        <w:t>hier: Übernahme der Regelung der Tarifeinigung in den Tarifverhandlungen für Beschäftigte der kommunalen Arbeitgeber vom 27. Februar 2010 zu flexiblen Arbeitszeitregelungen für ältere Beschäftigte</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 9 ABD Teil D, 9. (Übernachtungsgeld)</w:t>
      </w:r>
    </w:p>
    <w:p w:rsidR="00BE1EFE" w:rsidRDefault="00BE1EFE">
      <w:pPr>
        <w:pStyle w:val="StandardWeb"/>
      </w:pPr>
      <w:r>
        <w:t>hier: Klarstellung Dienstgeberveranlassung</w:t>
      </w:r>
    </w:p>
    <w:p w:rsidR="00BE1EFE" w:rsidRDefault="00BE1EFE" w:rsidP="006B0E3C">
      <w:pPr>
        <w:pStyle w:val="StandardWeb"/>
        <w:jc w:val="right"/>
      </w:pPr>
      <w:r>
        <w:t>rückwirkend zum 1. Januar 2010</w:t>
      </w:r>
    </w:p>
    <w:p w:rsidR="00BE1EFE" w:rsidRDefault="00BE1EFE">
      <w:pPr>
        <w:pStyle w:val="StandardWeb"/>
      </w:pPr>
    </w:p>
    <w:p w:rsidR="00BE1EFE" w:rsidRDefault="00BE1EFE">
      <w:pPr>
        <w:pStyle w:val="StandardWeb"/>
      </w:pPr>
    </w:p>
    <w:p w:rsidR="00BE1EFE" w:rsidRDefault="00BE1EFE">
      <w:pPr>
        <w:pStyle w:val="StandardWeb"/>
        <w:rPr>
          <w:b/>
          <w:bCs/>
        </w:rPr>
      </w:pPr>
      <w:r>
        <w:rPr>
          <w:b/>
          <w:bCs/>
        </w:rPr>
        <w:t xml:space="preserve">Anlage 93 </w:t>
      </w:r>
      <w:hyperlink r:id="rId1789" w:history="1">
        <w:r w:rsidRPr="00E4084D">
          <w:rPr>
            <w:rStyle w:val="Hyperlink"/>
            <w:bCs/>
          </w:rPr>
          <w:t>[herunterladen]</w:t>
        </w:r>
      </w:hyperlink>
    </w:p>
    <w:p w:rsidR="00BE1EFE" w:rsidRDefault="00BE1EFE">
      <w:pPr>
        <w:pStyle w:val="StandardWeb"/>
        <w:rPr>
          <w:b/>
          <w:bCs/>
        </w:rPr>
      </w:pPr>
    </w:p>
    <w:p w:rsidR="00BE1EFE" w:rsidRDefault="00BE1EFE" w:rsidP="0054275E">
      <w:pPr>
        <w:pStyle w:val="StandardWeb"/>
        <w:autoSpaceDE w:val="0"/>
      </w:pPr>
      <w:r>
        <w:rPr>
          <w:rStyle w:val="Fett"/>
          <w:bCs/>
        </w:rPr>
        <w:t>I. Beschlüsse der Bayerischen Regional-KODA vom 30.06./01.07.2010</w:t>
      </w:r>
    </w:p>
    <w:p w:rsidR="00BE1EFE" w:rsidRDefault="00BE1EFE">
      <w:pPr>
        <w:pStyle w:val="StandardWeb"/>
      </w:pPr>
    </w:p>
    <w:p w:rsidR="00BE1EFE" w:rsidRDefault="00BE1EFE">
      <w:pPr>
        <w:pStyle w:val="StandardWeb"/>
      </w:pPr>
      <w:r>
        <w:t>– § 11 ABD Teil A, 1. Teilzeitbeschäftigung</w:t>
      </w:r>
    </w:p>
    <w:p w:rsidR="00BE1EFE" w:rsidRDefault="00BE1EFE">
      <w:pPr>
        <w:pStyle w:val="StandardWeb"/>
      </w:pPr>
      <w:r>
        <w:t>hier: Hinweis</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Anrechnung von Vordienstzeiten zur Anerkennung von Stufenlaufzeiten</w:t>
      </w:r>
    </w:p>
    <w:p w:rsidR="00BE1EFE" w:rsidRDefault="00BE1EFE">
      <w:pPr>
        <w:pStyle w:val="StandardWeb"/>
      </w:pPr>
      <w:r>
        <w:t>hier: Einfügung eines § 16a in ABD Teil A, 1. zur Verortung des Zentral-KODA Beschlusses vom 12.11.2009</w:t>
      </w:r>
    </w:p>
    <w:p w:rsidR="00BE1EFE" w:rsidRDefault="00BE1EFE">
      <w:pPr>
        <w:pStyle w:val="StandardWeb"/>
        <w:jc w:val="right"/>
      </w:pPr>
      <w:r>
        <w:t>rückwirkend zum 1. März 2010</w:t>
      </w:r>
    </w:p>
    <w:p w:rsidR="00BE1EFE" w:rsidRDefault="00BE1EFE">
      <w:pPr>
        <w:pStyle w:val="StandardWeb"/>
        <w:jc w:val="right"/>
      </w:pPr>
    </w:p>
    <w:p w:rsidR="00BE1EFE" w:rsidRDefault="00BE1EFE">
      <w:pPr>
        <w:pStyle w:val="StandardWeb"/>
      </w:pPr>
      <w:r>
        <w:lastRenderedPageBreak/>
        <w:t>– § 28 ABD Teil A, 1. (Sonderurlaub)</w:t>
      </w:r>
    </w:p>
    <w:p w:rsidR="00BE1EFE" w:rsidRDefault="00BE1EFE">
      <w:pPr>
        <w:pStyle w:val="StandardWeb"/>
      </w:pPr>
      <w:r>
        <w:t>hier: Hinweis</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 36c ABD Teil A, 1. (Erstausstattung bei Geburten)</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Übernahme der Regelungen der Tarifeinigung im Sozial- und Erziehungsdienst</w:t>
      </w:r>
    </w:p>
    <w:p w:rsidR="00BE1EFE" w:rsidRDefault="00BE1EFE">
      <w:pPr>
        <w:pStyle w:val="StandardWeb"/>
      </w:pPr>
      <w:r>
        <w:t>hier: Gesundheitsvorsorge in kirchlichen Einrichtungen für Beschäftigte im Sozial- und Erziehungsdienst</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ABD Teil C, 1. Dienstordnung für Pastoralreferentinnen/Pastoralreferenten</w:t>
      </w:r>
    </w:p>
    <w:p w:rsidR="00BE1EFE" w:rsidRDefault="00BE1EFE">
      <w:pPr>
        <w:pStyle w:val="StandardWeb"/>
        <w:jc w:val="right"/>
      </w:pPr>
      <w:r>
        <w:t>zum 1. September 2010</w:t>
      </w:r>
    </w:p>
    <w:p w:rsidR="00BE1EFE" w:rsidRDefault="00BE1EFE">
      <w:pPr>
        <w:pStyle w:val="StandardWeb"/>
        <w:jc w:val="right"/>
      </w:pPr>
    </w:p>
    <w:p w:rsidR="00BE1EFE" w:rsidRDefault="00BE1EFE">
      <w:pPr>
        <w:pStyle w:val="StandardWeb"/>
      </w:pPr>
      <w:r>
        <w:t>– Regelungen für Praktikantinnen und Praktikanten</w:t>
      </w:r>
    </w:p>
    <w:p w:rsidR="00BE1EFE" w:rsidRDefault="00BE1EFE">
      <w:pPr>
        <w:pStyle w:val="StandardWeb"/>
      </w:pPr>
    </w:p>
    <w:p w:rsidR="00BE1EFE" w:rsidRDefault="00BE1EFE">
      <w:pPr>
        <w:pStyle w:val="StandardWeb"/>
      </w:pPr>
      <w:r>
        <w:t>hier: Änderung der Regelungen in Anpassung an den Tarifvertrag für Praktikantinnen/ Praktikanten des öffentlichen Dienstes (TVPöD) vom 27. Oktober 2009</w:t>
      </w:r>
    </w:p>
    <w:p w:rsidR="00BE1EFE" w:rsidRDefault="00BE1EFE" w:rsidP="006B0E3C">
      <w:pPr>
        <w:pStyle w:val="StandardWeb"/>
        <w:jc w:val="right"/>
      </w:pPr>
      <w:r>
        <w:t>rückwirkend zum 1. Dezember 2009</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xml:space="preserve">II. Beschlüsse der Bayerischen Regional-KODA vom 30.06./01.07.2010 mit Änderungen in Umsetzung des § 20a ABD Teil A, 1. </w:t>
      </w:r>
    </w:p>
    <w:p w:rsidR="00BE1EFE" w:rsidRDefault="00BE1EFE">
      <w:pPr>
        <w:pStyle w:val="StandardWeb"/>
      </w:pPr>
    </w:p>
    <w:p w:rsidR="00BE1EFE" w:rsidRDefault="00BE1EFE">
      <w:pPr>
        <w:pStyle w:val="StandardWeb"/>
      </w:pPr>
      <w:r>
        <w:t>– Änderungen des ABD Teil A, 1.</w:t>
      </w:r>
    </w:p>
    <w:p w:rsidR="00BE1EFE" w:rsidRDefault="00BE1EFE">
      <w:pPr>
        <w:pStyle w:val="StandardWeb"/>
      </w:pPr>
      <w:r>
        <w:t>hier: Umsetzung des Änderungstarifvertrags Nr. 5 vom 27. Februar 2010 zum Tarifvertrag für den öffentlichen Dienst (TVöD) vom 13. September 2005</w:t>
      </w:r>
    </w:p>
    <w:p w:rsidR="00BE1EFE" w:rsidRDefault="00BE1EFE">
      <w:pPr>
        <w:pStyle w:val="StandardWeb"/>
        <w:jc w:val="right"/>
      </w:pPr>
      <w:r>
        <w:t>verschiedene Inkraftsetzungsdaten</w:t>
      </w:r>
    </w:p>
    <w:p w:rsidR="00BE1EFE" w:rsidRDefault="00BE1EFE" w:rsidP="004F576C">
      <w:pPr>
        <w:pStyle w:val="StandardWeb"/>
      </w:pPr>
      <w:r>
        <w:t>– Änderungen des ABD Teil A, 1.</w:t>
      </w:r>
    </w:p>
    <w:p w:rsidR="00BE1EFE" w:rsidRDefault="00BE1EFE">
      <w:pPr>
        <w:pStyle w:val="StandardWeb"/>
      </w:pPr>
      <w:r>
        <w:t>hier: Umsetzung des Änderungstarifvertrags Nr. 9 vom 27. Februar 2010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4F576C">
      <w:pPr>
        <w:pStyle w:val="StandardWeb"/>
      </w:pPr>
      <w:r>
        <w:t>– Änderung des ABD Teil A, 3.</w:t>
      </w:r>
    </w:p>
    <w:p w:rsidR="00BE1EFE" w:rsidRDefault="00BE1EFE">
      <w:pPr>
        <w:pStyle w:val="StandardWeb"/>
      </w:pPr>
      <w:r>
        <w:t>hier: Umsetzung des Änderungstarifvertrags Nr. 5 vom 27. Februar 2010 zum Tarifvertrag zur Überleitung der Beschäftigten der kommunalen Arbeitgeber in den TVöD und zur Regelung des Übergangsrechts (TVÜ-VKA)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III. Beschluss der Bayerischen Regional-KODA vom 30.06./01.07.2010 mit Änderungen in Umsetzung des § 4 Absatz 5 ABD Teil B, 5. </w:t>
      </w:r>
    </w:p>
    <w:p w:rsidR="00BE1EFE" w:rsidRDefault="00BE1EFE">
      <w:pPr>
        <w:pStyle w:val="StandardWeb"/>
      </w:pPr>
    </w:p>
    <w:p w:rsidR="00BE1EFE" w:rsidRDefault="00BE1EFE">
      <w:pPr>
        <w:pStyle w:val="StandardWeb"/>
      </w:pPr>
      <w:r>
        <w:t xml:space="preserve">– Änderungen es ABD Teil B, 5. </w:t>
      </w:r>
    </w:p>
    <w:p w:rsidR="00BE1EFE" w:rsidRDefault="00BE1EFE">
      <w:pPr>
        <w:pStyle w:val="StandardWeb"/>
      </w:pPr>
      <w:r>
        <w:t>hier: Umsetzung des Änderungstarifvertrags Nr. 2 vom 27. Februar 2010 zum Tarifvertrag für die Kraftfahrer und Kraftfahrerinnen des Bundes (KraftfahrerTV Bund)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IV. Beschluss der Bayerischen Regional-KODA vom 30.06./01.07.2010 mit Änderungen in Umsetzung des § 8b ABD Teil E, 1.1. </w:t>
      </w:r>
    </w:p>
    <w:p w:rsidR="00BE1EFE" w:rsidRDefault="00BE1EFE">
      <w:pPr>
        <w:pStyle w:val="StandardWeb"/>
      </w:pPr>
    </w:p>
    <w:p w:rsidR="00BE1EFE" w:rsidRDefault="00BE1EFE">
      <w:pPr>
        <w:pStyle w:val="StandardWeb"/>
      </w:pPr>
      <w:r>
        <w:t xml:space="preserve">– Änderungen des ABD Teil E, 1.1. </w:t>
      </w:r>
    </w:p>
    <w:p w:rsidR="00BE1EFE" w:rsidRDefault="00BE1EFE">
      <w:pPr>
        <w:pStyle w:val="StandardWeb"/>
      </w:pPr>
      <w:r>
        <w:lastRenderedPageBreak/>
        <w:t>hier: Umsetzung des Änderungstarifvertrags Nr. 3 vom 27. Februar 2010 zum Tarifvertrag für Auszubildende des öffentlichen Dienstes (TVAöD) – Besonderer Teil BBiG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54275E">
      <w:pPr>
        <w:pStyle w:val="StandardWeb"/>
        <w:autoSpaceDE w:val="0"/>
      </w:pPr>
      <w:r>
        <w:rPr>
          <w:rStyle w:val="Fett"/>
          <w:bCs/>
        </w:rPr>
        <w:t xml:space="preserve">V. Beschluss der Bayerischen Regional-KODA vom 30.06./01.07.2010 mit Änderungen in Umsetzung des § 14a ABD Teil E, 2. </w:t>
      </w:r>
    </w:p>
    <w:p w:rsidR="00BE1EFE" w:rsidRDefault="00BE1EFE">
      <w:pPr>
        <w:pStyle w:val="StandardWeb"/>
      </w:pPr>
    </w:p>
    <w:p w:rsidR="00BE1EFE" w:rsidRDefault="00BE1EFE">
      <w:pPr>
        <w:pStyle w:val="StandardWeb"/>
      </w:pPr>
      <w:r>
        <w:t>– Änderungen des ABD Teil E, 2.</w:t>
      </w:r>
    </w:p>
    <w:p w:rsidR="00BE1EFE" w:rsidRDefault="00BE1EFE">
      <w:pPr>
        <w:pStyle w:val="StandardWeb"/>
      </w:pPr>
      <w:r>
        <w:t>hier: Umsetzung des Änderungstarifvertrag Nr. 1 vom 27. Februar 2010 zum Tarifvertrag für Praktikantinnen/Praktikanten des öffentlichen Dienstes (TVPöD) vom 27. Oktober 2009</w:t>
      </w:r>
    </w:p>
    <w:p w:rsidR="00BE1EFE" w:rsidRDefault="00BE1EFE">
      <w:pPr>
        <w:pStyle w:val="StandardWeb"/>
        <w:jc w:val="right"/>
      </w:pPr>
      <w:r>
        <w:t>verschiedene Inkraftsetzungsdaten</w:t>
      </w:r>
    </w:p>
    <w:p w:rsidR="00BE1EFE" w:rsidRDefault="00BE1EFE" w:rsidP="006B0E3C">
      <w:pPr>
        <w:pStyle w:val="StandardWeb"/>
      </w:pPr>
    </w:p>
    <w:p w:rsidR="00BE1EFE" w:rsidRDefault="00BE1EFE" w:rsidP="0054275E">
      <w:pPr>
        <w:pStyle w:val="StandardWeb"/>
        <w:autoSpaceDE w:val="0"/>
      </w:pPr>
      <w:r>
        <w:rPr>
          <w:rStyle w:val="Fett"/>
          <w:bCs/>
        </w:rPr>
        <w:t>VI. Änderungen des ABD in Umsetzung des § 20a ABD Teil A, 1.</w:t>
      </w:r>
    </w:p>
    <w:p w:rsidR="00BE1EFE" w:rsidRDefault="00BE1EFE">
      <w:pPr>
        <w:pStyle w:val="StandardWeb"/>
      </w:pPr>
    </w:p>
    <w:p w:rsidR="00BE1EFE" w:rsidRDefault="00BE1EFE">
      <w:pPr>
        <w:pStyle w:val="StandardWeb"/>
      </w:pPr>
      <w:r>
        <w:t>– Änderung des ABD</w:t>
      </w:r>
    </w:p>
    <w:p w:rsidR="00BE1EFE" w:rsidRDefault="00BE1EFE">
      <w:pPr>
        <w:pStyle w:val="StandardWeb"/>
      </w:pPr>
      <w:r>
        <w:t>hier: Umsetzung des Tarifvertrags über eine einmalige Pauschalzahlung 2010 vom 27. Februar 2010</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Änderungen des ABD</w:t>
      </w:r>
    </w:p>
    <w:p w:rsidR="00BE1EFE" w:rsidRDefault="00BE1EFE">
      <w:pPr>
        <w:pStyle w:val="StandardWeb"/>
      </w:pPr>
      <w:r>
        <w:t>hier: Umsetzung des Tarifvertrags über die einmalige Sonderzahlung 2011 vom 27. Februar 2010</w:t>
      </w:r>
    </w:p>
    <w:p w:rsidR="00BE1EFE" w:rsidRDefault="00BE1EFE">
      <w:pPr>
        <w:pStyle w:val="StandardWeb"/>
        <w:jc w:val="right"/>
      </w:pPr>
      <w:r>
        <w:t>zum 1. Januar 2010</w:t>
      </w:r>
    </w:p>
    <w:p w:rsidR="00BE1EFE" w:rsidRDefault="00BE1EFE">
      <w:pPr>
        <w:pStyle w:val="StandardWeb"/>
        <w:jc w:val="right"/>
      </w:pPr>
    </w:p>
    <w:p w:rsidR="00BE1EFE" w:rsidRDefault="00BE1EFE" w:rsidP="0054275E">
      <w:pPr>
        <w:pStyle w:val="StandardWeb"/>
        <w:autoSpaceDE w:val="0"/>
      </w:pPr>
      <w:r>
        <w:rPr>
          <w:rStyle w:val="Fett"/>
          <w:bCs/>
        </w:rPr>
        <w:t xml:space="preserve">VII. Bekanntmachung in Umsetzung des § 20a ABD Teil A, 1. </w:t>
      </w:r>
    </w:p>
    <w:p w:rsidR="00BE1EFE" w:rsidRDefault="00BE1EFE">
      <w:pPr>
        <w:pStyle w:val="StandardWeb"/>
      </w:pPr>
    </w:p>
    <w:p w:rsidR="00BE1EFE" w:rsidRDefault="00BE1EFE">
      <w:pPr>
        <w:pStyle w:val="StandardWeb"/>
      </w:pPr>
      <w:r>
        <w:t>– Bekanntmachung der Stundenentgelte gemäß dem Hinweis zu § 8 Absatz 1 Satz 3 ABD Teil A, 1. in Umsetzung der Tarifeinigung in den Tarifverhandlungen für die Beschäftigten des öffentlichen Dienstes von Bund und kommunalen Arbeitgebern vom 27. Februar 2010</w:t>
      </w:r>
    </w:p>
    <w:p w:rsidR="00BE1EFE" w:rsidRDefault="00BE1EFE">
      <w:pPr>
        <w:pStyle w:val="StandardWeb"/>
      </w:pPr>
    </w:p>
    <w:p w:rsidR="00BE1EFE" w:rsidRDefault="00BE1EFE">
      <w:pPr>
        <w:pStyle w:val="StandardWeb"/>
      </w:pPr>
    </w:p>
    <w:p w:rsidR="00BE1EFE" w:rsidRDefault="00BE1EFE">
      <w:pPr>
        <w:pStyle w:val="StandardWeb"/>
        <w:rPr>
          <w:b/>
          <w:bCs/>
        </w:rPr>
      </w:pPr>
      <w:r>
        <w:rPr>
          <w:b/>
          <w:bCs/>
        </w:rPr>
        <w:t xml:space="preserve">Anlage 92 </w:t>
      </w:r>
      <w:hyperlink r:id="rId1790" w:history="1">
        <w:r w:rsidRPr="00E4084D">
          <w:rPr>
            <w:rStyle w:val="Hyperlink"/>
            <w:bCs/>
          </w:rPr>
          <w:t>[herunterladen]</w:t>
        </w:r>
      </w:hyperlink>
    </w:p>
    <w:p w:rsidR="00BE1EFE" w:rsidRDefault="00BE1EFE">
      <w:pPr>
        <w:pStyle w:val="StandardWeb"/>
        <w:rPr>
          <w:b/>
          <w:bCs/>
        </w:rPr>
      </w:pPr>
    </w:p>
    <w:p w:rsidR="00BE1EFE" w:rsidRDefault="00BE1EFE" w:rsidP="0054275E">
      <w:pPr>
        <w:pStyle w:val="StandardWeb"/>
        <w:autoSpaceDE w:val="0"/>
      </w:pPr>
      <w:r>
        <w:rPr>
          <w:rStyle w:val="Fett"/>
          <w:bCs/>
        </w:rPr>
        <w:t>II. Beschlüsse der Bayerischen Regional-KODA vom 24./25.03.2010</w:t>
      </w:r>
    </w:p>
    <w:p w:rsidR="00BE1EFE" w:rsidRDefault="00BE1EFE">
      <w:pPr>
        <w:pStyle w:val="StandardWeb"/>
      </w:pPr>
    </w:p>
    <w:p w:rsidR="00BE1EFE" w:rsidRDefault="00BE1EFE">
      <w:pPr>
        <w:pStyle w:val="StandardWeb"/>
      </w:pPr>
      <w:r>
        <w:t>– Anlage 2 und 4 ABD Teil A, 3.</w:t>
      </w:r>
    </w:p>
    <w:p w:rsidR="00BE1EFE" w:rsidRDefault="00BE1EFE">
      <w:pPr>
        <w:pStyle w:val="StandardWeb"/>
      </w:pPr>
      <w:r>
        <w:t>hier: Regelung zu Entgeltgruppe 9</w:t>
      </w:r>
    </w:p>
    <w:p w:rsidR="00BE1EFE" w:rsidRDefault="00BE1EFE">
      <w:pPr>
        <w:pStyle w:val="StandardWeb"/>
        <w:jc w:val="right"/>
      </w:pPr>
      <w:r>
        <w:t>zum 1. Juli 2010</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Regelung der Dienstzulage für Lehrkräfte in der Ansparphase der Altersteilzeit im Blockmodell</w:t>
      </w:r>
    </w:p>
    <w:p w:rsidR="00BE1EFE" w:rsidRDefault="00BE1EFE">
      <w:pPr>
        <w:pStyle w:val="StandardWeb"/>
        <w:jc w:val="right"/>
      </w:pPr>
      <w:r>
        <w:t>zum 1. April 2010</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Beförderungen während Altersteilzeit</w:t>
      </w:r>
    </w:p>
    <w:p w:rsidR="00BE1EFE" w:rsidRDefault="00BE1EFE">
      <w:pPr>
        <w:pStyle w:val="StandardWeb"/>
        <w:jc w:val="right"/>
      </w:pPr>
      <w:r>
        <w:t>zum 1. Juni 2010</w:t>
      </w:r>
    </w:p>
    <w:p w:rsidR="00BE1EFE" w:rsidRDefault="00BE1EFE">
      <w:pPr>
        <w:pStyle w:val="StandardWeb"/>
        <w:jc w:val="right"/>
      </w:pPr>
    </w:p>
    <w:p w:rsidR="00BE1EFE" w:rsidRDefault="00BE1EFE">
      <w:pPr>
        <w:pStyle w:val="StandardWeb"/>
      </w:pPr>
      <w:r>
        <w:t>– Änderungen des ABD Teil D, 4. (Arbeitszeitkontenregelung)</w:t>
      </w:r>
    </w:p>
    <w:p w:rsidR="00BE1EFE" w:rsidRDefault="00BE1EFE">
      <w:pPr>
        <w:pStyle w:val="StandardWeb"/>
        <w:jc w:val="right"/>
      </w:pPr>
      <w:r>
        <w:t>zum 1. Juni 2010</w:t>
      </w:r>
    </w:p>
    <w:p w:rsidR="00BE1EFE" w:rsidRDefault="00BE1EFE">
      <w:pPr>
        <w:pStyle w:val="StandardWeb"/>
        <w:jc w:val="right"/>
      </w:pPr>
    </w:p>
    <w:p w:rsidR="00BE1EFE" w:rsidRDefault="00BE1EFE">
      <w:pPr>
        <w:pStyle w:val="StandardWeb"/>
      </w:pPr>
      <w:r>
        <w:t>– ABD Teil D, 8. (Regelung über eine ergänzende Leistung an Beschäftigte und Auszu</w:t>
      </w:r>
      <w:r>
        <w:softHyphen/>
        <w:t>bildende)</w:t>
      </w:r>
    </w:p>
    <w:p w:rsidR="00BE1EFE" w:rsidRDefault="00BE1EFE">
      <w:pPr>
        <w:pStyle w:val="StandardWeb"/>
      </w:pPr>
      <w:r>
        <w:t>hier: Änderung und Weitergeltung der Regelung</w:t>
      </w:r>
    </w:p>
    <w:p w:rsidR="00BE1EFE" w:rsidRDefault="00BE1EFE">
      <w:pPr>
        <w:pStyle w:val="StandardWeb"/>
        <w:jc w:val="right"/>
      </w:pPr>
      <w:r>
        <w:t>rückwirkend zum 1. Januar 2010</w:t>
      </w:r>
    </w:p>
    <w:p w:rsidR="00BE1EFE" w:rsidRDefault="00BE1EFE">
      <w:pPr>
        <w:pStyle w:val="StandardWeb"/>
        <w:jc w:val="right"/>
      </w:pPr>
    </w:p>
    <w:p w:rsidR="00BE1EFE" w:rsidRDefault="00BE1EFE">
      <w:pPr>
        <w:pStyle w:val="StandardWeb"/>
        <w:jc w:val="right"/>
      </w:pPr>
    </w:p>
    <w:p w:rsidR="00BE1EFE" w:rsidRDefault="00BE1EFE" w:rsidP="00561A79">
      <w:pPr>
        <w:pStyle w:val="berschrift5"/>
        <w:spacing w:before="0"/>
      </w:pPr>
      <w:bookmarkStart w:id="1168" w:name="_Toc523926684"/>
      <w:r>
        <w:t>Beschlüsse 2009</w:t>
      </w:r>
      <w:bookmarkEnd w:id="1168"/>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Anlage 91</w:t>
      </w:r>
      <w:r>
        <w:t xml:space="preserve"> </w:t>
      </w:r>
      <w:hyperlink r:id="rId1791" w:history="1">
        <w:r w:rsidRPr="002D1F1D">
          <w:rPr>
            <w:rStyle w:val="Hyperlink"/>
          </w:rPr>
          <w:t>[herunterladen]</w:t>
        </w:r>
      </w:hyperlink>
    </w:p>
    <w:p w:rsidR="00BE1EFE" w:rsidRPr="000B1AF8" w:rsidRDefault="00BE1EFE">
      <w:pPr>
        <w:pStyle w:val="StandardWeb"/>
      </w:pPr>
    </w:p>
    <w:p w:rsidR="00BE1EFE" w:rsidRDefault="00BE1EFE" w:rsidP="0054275E">
      <w:pPr>
        <w:pStyle w:val="StandardWeb"/>
        <w:autoSpaceDE w:val="0"/>
      </w:pPr>
      <w:r>
        <w:rPr>
          <w:rStyle w:val="Fett"/>
          <w:bCs/>
        </w:rPr>
        <w:t xml:space="preserve">I. Beschlüsse der Bayerischen Regional-KODA vom 10.12.2009 </w:t>
      </w:r>
    </w:p>
    <w:p w:rsidR="00BE1EFE" w:rsidRDefault="00BE1EFE">
      <w:pPr>
        <w:pStyle w:val="StandardWeb"/>
      </w:pPr>
    </w:p>
    <w:p w:rsidR="00BE1EFE" w:rsidRDefault="00BE1EFE">
      <w:pPr>
        <w:pStyle w:val="StandardWeb"/>
      </w:pPr>
      <w:r>
        <w:t xml:space="preserve">– Übernahme der Regelungen der Tarifeinigung im Sozial- und Erziehungsdienst </w:t>
      </w:r>
    </w:p>
    <w:p w:rsidR="00BE1EFE" w:rsidRDefault="00BE1EFE">
      <w:pPr>
        <w:pStyle w:val="StandardWeb"/>
      </w:pPr>
      <w:r>
        <w:t>hier: Änderungen des ABD Teil A, 1. und Teil A, 2.</w:t>
      </w:r>
    </w:p>
    <w:p w:rsidR="00BE1EFE" w:rsidRDefault="00BE1EFE" w:rsidP="0044377C">
      <w:pPr>
        <w:pStyle w:val="StandardWeb"/>
      </w:pPr>
      <w:r>
        <w:t>hier: Änderungen des ABD Teil A, 3.</w:t>
      </w:r>
    </w:p>
    <w:p w:rsidR="00BE1EFE" w:rsidRDefault="00BE1EFE">
      <w:pPr>
        <w:pStyle w:val="StandardWeb"/>
        <w:jc w:val="right"/>
      </w:pPr>
      <w:r>
        <w:t>rückwirkend zum 1. November 2009</w:t>
      </w:r>
    </w:p>
    <w:p w:rsidR="00BE1EFE" w:rsidRDefault="00BE1EFE">
      <w:pPr>
        <w:pStyle w:val="StandardWeb"/>
        <w:jc w:val="right"/>
      </w:pPr>
    </w:p>
    <w:p w:rsidR="00BE1EFE" w:rsidRDefault="00BE1EFE" w:rsidP="0044377C">
      <w:pPr>
        <w:pStyle w:val="StandardWeb"/>
      </w:pPr>
      <w:r>
        <w:t>– § 36c ABD Teil A, 1. (Erstausstattung bei Geburten)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 17a ABD Teil A, 3. (Sonderregelung bei Wechsel des Arbeitgebers)</w:t>
      </w:r>
    </w:p>
    <w:p w:rsidR="00BE1EFE" w:rsidRDefault="00BE1EFE">
      <w:pPr>
        <w:pStyle w:val="StandardWeb"/>
      </w:pPr>
      <w:r>
        <w:t>hier: Aufhebung der befristeten Geltung und Änderung von Nr. 4</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 (SR-L)]</w:t>
      </w:r>
    </w:p>
    <w:p w:rsidR="00BE1EFE" w:rsidRDefault="00BE1EFE" w:rsidP="0044377C">
      <w:pPr>
        <w:pStyle w:val="StandardWeb"/>
      </w:pPr>
      <w:r>
        <w:t>hier: Aufhebung der Sonderregelungen für Beschäftigte, die die Altersgrenze erreicht haben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ABD Teil D, 5. (Sabbatjahrregelung)</w:t>
      </w:r>
    </w:p>
    <w:p w:rsidR="00BE1EFE" w:rsidRDefault="00BE1EFE" w:rsidP="0044377C">
      <w:pPr>
        <w:pStyle w:val="StandardWeb"/>
      </w:pPr>
      <w:r>
        <w:t>hier: § 1 Geltungsbereich</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Redaktionelle Änderungen im ABD</w:t>
      </w:r>
    </w:p>
    <w:p w:rsidR="00BE1EFE" w:rsidRDefault="00BE1EFE" w:rsidP="0044377C">
      <w:pPr>
        <w:pStyle w:val="StandardWeb"/>
      </w:pPr>
      <w:r>
        <w:t>hier: Änderungen aufgrund der Neufassung der Dienstordnung für Religionslehrerinnen und Religionslehrer im Kirchendienst sowie der vorläufigen Entgeltordnung für Religions</w:t>
      </w:r>
      <w:r>
        <w:softHyphen/>
        <w:t>lehrerinnen und Religionslehrer im Kirchendienst</w:t>
      </w:r>
    </w:p>
    <w:p w:rsidR="00BE1EFE" w:rsidRDefault="00BE1EFE">
      <w:pPr>
        <w:pStyle w:val="StandardWeb"/>
        <w:jc w:val="right"/>
      </w:pPr>
      <w:r>
        <w:t>rückwirkend zum 1. September 2009</w:t>
      </w:r>
    </w:p>
    <w:p w:rsidR="00BE1EFE" w:rsidRDefault="00BE1EFE">
      <w:pPr>
        <w:pStyle w:val="StandardWeb"/>
        <w:jc w:val="right"/>
      </w:pPr>
    </w:p>
    <w:p w:rsidR="00BE1EFE" w:rsidRDefault="00BE1EFE" w:rsidP="0054275E">
      <w:pPr>
        <w:pStyle w:val="StandardWeb"/>
        <w:autoSpaceDE w:val="0"/>
      </w:pPr>
      <w:r>
        <w:rPr>
          <w:rStyle w:val="Fett"/>
          <w:bCs/>
        </w:rPr>
        <w:t>II. Beschluss im schriftlichen Umlaufverfahren vom 30.12.2009</w:t>
      </w:r>
    </w:p>
    <w:p w:rsidR="00BE1EFE" w:rsidRDefault="00BE1EFE">
      <w:pPr>
        <w:pStyle w:val="StandardWeb"/>
      </w:pPr>
    </w:p>
    <w:p w:rsidR="00BE1EFE" w:rsidRDefault="00BE1EFE">
      <w:pPr>
        <w:pStyle w:val="StandardWeb"/>
      </w:pPr>
      <w:r>
        <w:t>– Übergangsregelung für Angestellte im Sozial- und Erziehungsdienst im Kindertages</w:t>
      </w:r>
      <w:r>
        <w:softHyphen/>
        <w:t>stättenbereich</w:t>
      </w:r>
    </w:p>
    <w:p w:rsidR="00BE1EFE" w:rsidRDefault="00BE1EFE" w:rsidP="007B1622">
      <w:pPr>
        <w:pStyle w:val="StandardWeb"/>
        <w:jc w:val="right"/>
      </w:pPr>
      <w:r>
        <w:t>rückwirkend zum 1. November 2009</w:t>
      </w:r>
    </w:p>
    <w:p w:rsidR="00BE1EFE" w:rsidRDefault="00BE1EFE">
      <w:pPr>
        <w:pStyle w:val="StandardWeb"/>
        <w:jc w:val="right"/>
      </w:pPr>
    </w:p>
    <w:p w:rsidR="00BE1EFE" w:rsidRDefault="00BE1EFE" w:rsidP="0054275E">
      <w:pPr>
        <w:pStyle w:val="StandardWeb"/>
        <w:autoSpaceDE w:val="0"/>
      </w:pPr>
      <w:r>
        <w:rPr>
          <w:rStyle w:val="Fett"/>
          <w:bCs/>
        </w:rPr>
        <w:t>Anlage 90</w:t>
      </w:r>
      <w:r>
        <w:t xml:space="preserve"> </w:t>
      </w:r>
      <w:r w:rsidRPr="00E4084D">
        <w:t>[</w:t>
      </w:r>
      <w:hyperlink r:id="rId1792" w:history="1">
        <w:r w:rsidRPr="00E4084D">
          <w:rPr>
            <w:rStyle w:val="Hyperlink"/>
          </w:rPr>
          <w:t>herunterladen</w:t>
        </w:r>
      </w:hyperlink>
      <w:r>
        <w:rPr>
          <w:rStyle w:val="Fett"/>
          <w:b w:val="0"/>
          <w:color w:val="0000FF"/>
          <w:u w:val="single"/>
        </w:rPr>
        <w:t>]</w:t>
      </w:r>
    </w:p>
    <w:p w:rsidR="00BE1EFE" w:rsidRDefault="00BE1EFE">
      <w:pPr>
        <w:pStyle w:val="StandardWeb"/>
      </w:pPr>
    </w:p>
    <w:p w:rsidR="00BE1EFE" w:rsidRPr="00287413" w:rsidRDefault="00BE1EFE">
      <w:pPr>
        <w:pStyle w:val="StandardWeb"/>
        <w:rPr>
          <w:b/>
        </w:rPr>
      </w:pPr>
      <w:r w:rsidRPr="00287413">
        <w:rPr>
          <w:b/>
        </w:rPr>
        <w:t>Beschluss im schriftlichen Umlaufverfahren vom 24. Juli 2009</w:t>
      </w:r>
    </w:p>
    <w:p w:rsidR="00BE1EFE" w:rsidRDefault="00BE1EFE">
      <w:pPr>
        <w:pStyle w:val="StandardWeb"/>
      </w:pPr>
    </w:p>
    <w:p w:rsidR="00BE1EFE" w:rsidRDefault="00BE1EFE">
      <w:pPr>
        <w:pStyle w:val="StandardWeb"/>
      </w:pPr>
      <w:r>
        <w:t>– ABD Teil C, 7. (Dienstordnung für das pädagogische Personal in den katholischen Kinder</w:t>
      </w:r>
      <w:r>
        <w:softHyphen/>
        <w:t>tageseinrichtungen)</w:t>
      </w:r>
    </w:p>
    <w:p w:rsidR="00BE1EFE" w:rsidRDefault="00BE1EFE" w:rsidP="007B1622">
      <w:pPr>
        <w:pStyle w:val="StandardWeb"/>
        <w:jc w:val="right"/>
      </w:pPr>
      <w:r>
        <w:t>zum 1. September 2009</w:t>
      </w:r>
    </w:p>
    <w:p w:rsidR="00BE1EFE" w:rsidRDefault="00BE1EFE" w:rsidP="0054275E">
      <w:pPr>
        <w:pStyle w:val="StandardWeb"/>
        <w:autoSpaceDE w:val="0"/>
      </w:pPr>
      <w:r>
        <w:rPr>
          <w:rStyle w:val="Fett"/>
          <w:bCs/>
        </w:rPr>
        <w:lastRenderedPageBreak/>
        <w:t xml:space="preserve">Anlage 89 </w:t>
      </w:r>
      <w:hyperlink r:id="rId1793" w:history="1">
        <w:r w:rsidRPr="002D1F1D">
          <w:rPr>
            <w:rStyle w:val="Hyperlink"/>
          </w:rPr>
          <w:t>[herunterladen]</w:t>
        </w:r>
      </w:hyperlink>
    </w:p>
    <w:p w:rsidR="00BE1EFE" w:rsidRDefault="00BE1EFE">
      <w:pPr>
        <w:pStyle w:val="StandardWeb"/>
      </w:pPr>
    </w:p>
    <w:p w:rsidR="00BE1EFE" w:rsidRPr="00C02DBD" w:rsidRDefault="00BE1EFE">
      <w:pPr>
        <w:pStyle w:val="StandardWeb"/>
        <w:rPr>
          <w:b/>
        </w:rPr>
      </w:pPr>
      <w:r w:rsidRPr="00C02DBD">
        <w:rPr>
          <w:b/>
        </w:rPr>
        <w:t>I. Änderung in Umsetzung des § 20a ABD Teil A, 1.</w:t>
      </w:r>
    </w:p>
    <w:p w:rsidR="00BE1EFE" w:rsidRDefault="00BE1EFE">
      <w:pPr>
        <w:pStyle w:val="StandardWeb"/>
      </w:pPr>
    </w:p>
    <w:p w:rsidR="00BE1EFE" w:rsidRDefault="00BE1EFE" w:rsidP="0054275E">
      <w:pPr>
        <w:pStyle w:val="StandardWeb"/>
        <w:autoSpaceDE w:val="0"/>
      </w:pPr>
      <w:r>
        <w:rPr>
          <w:rStyle w:val="Fett"/>
          <w:b w:val="0"/>
          <w:bCs/>
        </w:rPr>
        <w:t>–</w:t>
      </w:r>
      <w:r>
        <w:rPr>
          <w:rStyle w:val="Fett"/>
          <w:bCs/>
        </w:rPr>
        <w:t> </w:t>
      </w:r>
      <w:r>
        <w:t xml:space="preserve">Änderung ABD Teil A, 1. </w:t>
      </w:r>
    </w:p>
    <w:p w:rsidR="00BE1EFE" w:rsidRDefault="00BE1EFE">
      <w:pPr>
        <w:pStyle w:val="StandardWeb"/>
      </w:pPr>
      <w:r>
        <w:t>hier: Entgelttabelle ab 1. Januar 2009</w:t>
      </w:r>
    </w:p>
    <w:p w:rsidR="00BE1EFE" w:rsidRDefault="00BE1EFE">
      <w:pPr>
        <w:pStyle w:val="StandardWeb"/>
      </w:pPr>
    </w:p>
    <w:p w:rsidR="00BE1EFE" w:rsidRDefault="00BE1EFE">
      <w:pPr>
        <w:pStyle w:val="StandardWeb"/>
      </w:pPr>
      <w:r>
        <w:t xml:space="preserve">– Änderung ABD Teil A, 1. </w:t>
      </w:r>
    </w:p>
    <w:p w:rsidR="00BE1EFE" w:rsidRDefault="00BE1EFE">
      <w:pPr>
        <w:pStyle w:val="StandardWeb"/>
      </w:pPr>
      <w:r>
        <w:t>hier: Stundenentgelt Vollbeschäftigung ab 1. Januar 2009</w:t>
      </w:r>
    </w:p>
    <w:p w:rsidR="00BE1EFE" w:rsidRDefault="00BE1EFE">
      <w:pPr>
        <w:pStyle w:val="StandardWeb"/>
      </w:pPr>
    </w:p>
    <w:p w:rsidR="00BE1EFE" w:rsidRPr="00287413" w:rsidRDefault="00BE1EFE">
      <w:pPr>
        <w:pStyle w:val="StandardWeb"/>
        <w:rPr>
          <w:b/>
        </w:rPr>
      </w:pPr>
      <w:r w:rsidRPr="00287413">
        <w:rPr>
          <w:b/>
        </w:rPr>
        <w:t>II. Beschlüsse der Bayerischen Regional-KODA vom 16. Juli 2009</w:t>
      </w:r>
    </w:p>
    <w:p w:rsidR="00BE1EFE" w:rsidRDefault="00BE1EFE">
      <w:pPr>
        <w:pStyle w:val="StandardWeb"/>
      </w:pPr>
    </w:p>
    <w:p w:rsidR="00BE1EFE" w:rsidRDefault="00BE1EFE">
      <w:pPr>
        <w:pStyle w:val="StandardWeb"/>
      </w:pPr>
      <w:r>
        <w:t>– § 18a ABD Teil A, 1. (Besondere Einmalzahlung für die Jahre 2007 bis 2012)</w:t>
      </w:r>
    </w:p>
    <w:p w:rsidR="00BE1EFE" w:rsidRDefault="00BE1EFE">
      <w:pPr>
        <w:pStyle w:val="StandardWeb"/>
      </w:pPr>
      <w:r>
        <w:t>hier: Auszahlungsweise</w:t>
      </w:r>
    </w:p>
    <w:p w:rsidR="00BE1EFE" w:rsidRDefault="00BE1EFE">
      <w:pPr>
        <w:pStyle w:val="StandardWeb"/>
        <w:jc w:val="right"/>
      </w:pPr>
      <w:r>
        <w:t>zum 1. August 2009</w:t>
      </w:r>
    </w:p>
    <w:p w:rsidR="00BE1EFE" w:rsidRDefault="00BE1EFE">
      <w:pPr>
        <w:pStyle w:val="StandardWeb"/>
        <w:jc w:val="right"/>
      </w:pPr>
    </w:p>
    <w:p w:rsidR="00BE1EFE" w:rsidRDefault="00BE1EFE">
      <w:pPr>
        <w:pStyle w:val="StandardWeb"/>
      </w:pPr>
      <w:r>
        <w:t>– Arbeitsverhältnisse von Renten- und Versorgungsempfängern</w:t>
      </w:r>
    </w:p>
    <w:p w:rsidR="00BE1EFE" w:rsidRDefault="00BE1EFE">
      <w:pPr>
        <w:pStyle w:val="StandardWeb"/>
        <w:jc w:val="right"/>
      </w:pPr>
      <w:r>
        <w:t>zum 1. Januar 2010</w:t>
      </w:r>
    </w:p>
    <w:p w:rsidR="00BE1EFE" w:rsidRDefault="00BE1EFE">
      <w:pPr>
        <w:pStyle w:val="StandardWeb"/>
        <w:jc w:val="right"/>
      </w:pPr>
    </w:p>
    <w:p w:rsidR="00BE1EFE" w:rsidRDefault="00BE1EFE">
      <w:pPr>
        <w:pStyle w:val="StandardWeb"/>
      </w:pPr>
      <w:r>
        <w:t>– Vorläufige Regelung des Entgelts für Religionslehrerinnen und Religionslehrer im Kirchen</w:t>
      </w:r>
      <w:r>
        <w:softHyphen/>
        <w:t>dienst</w:t>
      </w:r>
    </w:p>
    <w:p w:rsidR="00BE1EFE" w:rsidRDefault="00BE1EFE">
      <w:pPr>
        <w:pStyle w:val="StandardWeb"/>
        <w:jc w:val="right"/>
      </w:pPr>
      <w:r>
        <w:t>zum 1. September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 (SR-L)]</w:t>
      </w:r>
    </w:p>
    <w:p w:rsidR="00BE1EFE" w:rsidRDefault="00BE1EFE">
      <w:pPr>
        <w:pStyle w:val="StandardWeb"/>
      </w:pPr>
      <w:r>
        <w:t>hier: redaktionelle Änderungen</w:t>
      </w:r>
    </w:p>
    <w:p w:rsidR="00BE1EFE" w:rsidRDefault="00BE1EFE">
      <w:pPr>
        <w:pStyle w:val="StandardWeb"/>
        <w:jc w:val="right"/>
      </w:pPr>
      <w:r>
        <w:t>rückwirkend zum 1. Januar 2009</w:t>
      </w:r>
    </w:p>
    <w:p w:rsidR="00BE1EFE" w:rsidRDefault="00BE1EFE">
      <w:pPr>
        <w:pStyle w:val="StandardWeb"/>
        <w:jc w:val="right"/>
      </w:pPr>
    </w:p>
    <w:p w:rsidR="00BE1EFE" w:rsidRDefault="00BE1EFE">
      <w:pPr>
        <w:pStyle w:val="StandardWeb"/>
      </w:pPr>
      <w:r>
        <w:t>– ABD Teil B, 4.1.1. (Sonderregelungen für die Arbeitsverhältnisse von Lehrkräften an Real</w:t>
      </w:r>
      <w:r>
        <w:softHyphen/>
        <w:t>schulen und Gymnasien)</w:t>
      </w:r>
    </w:p>
    <w:p w:rsidR="00BE1EFE" w:rsidRDefault="00BE1EFE">
      <w:pPr>
        <w:pStyle w:val="StandardWeb"/>
      </w:pPr>
      <w:r>
        <w:t>hier: Einführung einer Dienstzulage an Realschulen</w:t>
      </w:r>
    </w:p>
    <w:p w:rsidR="00BE1EFE" w:rsidRDefault="00BE1EFE">
      <w:pPr>
        <w:pStyle w:val="StandardWeb"/>
        <w:jc w:val="right"/>
      </w:pPr>
      <w:r>
        <w:t>zum 1. April 2010</w:t>
      </w:r>
    </w:p>
    <w:p w:rsidR="00BE1EFE" w:rsidRDefault="00BE1EFE">
      <w:pPr>
        <w:pStyle w:val="StandardWeb"/>
        <w:jc w:val="right"/>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88</w:t>
      </w:r>
      <w:r>
        <w:t xml:space="preserve"> </w:t>
      </w:r>
      <w:hyperlink r:id="rId1794" w:history="1">
        <w:r w:rsidRPr="002D1F1D">
          <w:rPr>
            <w:rStyle w:val="Hyperlink"/>
          </w:rPr>
          <w:t>[herunterladen]</w:t>
        </w:r>
      </w:hyperlink>
    </w:p>
    <w:p w:rsidR="00BE1EFE" w:rsidRDefault="00BE1EFE">
      <w:pPr>
        <w:pStyle w:val="StandardWeb"/>
      </w:pPr>
    </w:p>
    <w:p w:rsidR="00BE1EFE" w:rsidRPr="00287413" w:rsidRDefault="00BE1EFE">
      <w:pPr>
        <w:pStyle w:val="StandardWeb"/>
        <w:rPr>
          <w:b/>
        </w:rPr>
      </w:pPr>
      <w:r w:rsidRPr="00287413">
        <w:rPr>
          <w:b/>
        </w:rPr>
        <w:t>I. Beschluss der Bayerischen Regional-KODA vom 12.02.2009</w:t>
      </w:r>
    </w:p>
    <w:p w:rsidR="00BE1EFE" w:rsidRDefault="00BE1EFE">
      <w:pPr>
        <w:pStyle w:val="StandardWeb"/>
      </w:pPr>
    </w:p>
    <w:p w:rsidR="00BE1EFE" w:rsidRDefault="00BE1EFE">
      <w:pPr>
        <w:pStyle w:val="StandardWeb"/>
      </w:pPr>
      <w:r>
        <w:t xml:space="preserve">– ABD Teil A, 2.5. (Vergütungsordnung für Gemeindeassistenten und Gemeindereferenten) </w:t>
      </w:r>
    </w:p>
    <w:p w:rsidR="00BE1EFE" w:rsidRDefault="00BE1EFE">
      <w:pPr>
        <w:pStyle w:val="StandardWeb"/>
      </w:pPr>
      <w:r>
        <w:t>hier: Aufhebung des § 2 Abs. 2</w:t>
      </w:r>
    </w:p>
    <w:p w:rsidR="00BE1EFE" w:rsidRDefault="00BE1EFE">
      <w:pPr>
        <w:pStyle w:val="StandardWeb"/>
        <w:jc w:val="right"/>
      </w:pPr>
      <w:r>
        <w:t>zum 1. September 2009</w:t>
      </w:r>
    </w:p>
    <w:p w:rsidR="00BE1EFE" w:rsidRDefault="00BE1EFE">
      <w:pPr>
        <w:pStyle w:val="StandardWeb"/>
        <w:jc w:val="right"/>
      </w:pPr>
    </w:p>
    <w:p w:rsidR="00BE1EFE" w:rsidRPr="00287413" w:rsidRDefault="00BE1EFE">
      <w:pPr>
        <w:pStyle w:val="StandardWeb"/>
        <w:rPr>
          <w:b/>
        </w:rPr>
      </w:pPr>
      <w:r w:rsidRPr="00287413">
        <w:rPr>
          <w:b/>
        </w:rPr>
        <w:t>II. Beschlüsse der Bayerischen Regional-KODA vom 29./30.03.2009</w:t>
      </w:r>
    </w:p>
    <w:p w:rsidR="00BE1EFE" w:rsidRDefault="00BE1EFE">
      <w:pPr>
        <w:pStyle w:val="StandardWeb"/>
      </w:pPr>
    </w:p>
    <w:p w:rsidR="00BE1EFE" w:rsidRDefault="00BE1EFE">
      <w:pPr>
        <w:pStyle w:val="StandardWeb"/>
      </w:pPr>
      <w:r>
        <w:t>– § 36b ABD Teil A, 1. (Übergangsregelung für die kirchliche Beihilfeversicherung bei Krank</w:t>
      </w:r>
      <w:r>
        <w:softHyphen/>
        <w:t>heitsfällen)</w:t>
      </w:r>
    </w:p>
    <w:p w:rsidR="00BE1EFE" w:rsidRDefault="00BE1EFE">
      <w:pPr>
        <w:pStyle w:val="StandardWeb"/>
      </w:pPr>
      <w:r>
        <w:t>hier: Berichtigung</w:t>
      </w:r>
    </w:p>
    <w:p w:rsidR="00BE1EFE" w:rsidRDefault="00BE1EFE">
      <w:pPr>
        <w:pStyle w:val="StandardWeb"/>
        <w:jc w:val="right"/>
      </w:pPr>
      <w:r>
        <w:t>zum 1. Oktober 2005</w:t>
      </w:r>
    </w:p>
    <w:p w:rsidR="00BE1EFE" w:rsidRDefault="00BE1EFE">
      <w:pPr>
        <w:pStyle w:val="StandardWeb"/>
        <w:jc w:val="right"/>
      </w:pPr>
    </w:p>
    <w:p w:rsidR="00BE1EFE" w:rsidRDefault="00BE1EFE">
      <w:pPr>
        <w:pStyle w:val="StandardWeb"/>
      </w:pPr>
      <w:r>
        <w:t xml:space="preserve">– § 43 ABD Teil A, 1. (Überstunden) </w:t>
      </w:r>
    </w:p>
    <w:p w:rsidR="00BE1EFE" w:rsidRDefault="00BE1EFE">
      <w:pPr>
        <w:pStyle w:val="StandardWeb"/>
      </w:pPr>
      <w:r>
        <w:t>hier: Änderung des Absatz 2</w:t>
      </w:r>
    </w:p>
    <w:p w:rsidR="00BE1EFE" w:rsidRDefault="00BE1EFE">
      <w:pPr>
        <w:pStyle w:val="StandardWeb"/>
        <w:jc w:val="right"/>
      </w:pPr>
      <w:r>
        <w:t>zum 1. Mai 2009</w:t>
      </w:r>
    </w:p>
    <w:p w:rsidR="00BE1EFE" w:rsidRDefault="00BE1EFE">
      <w:pPr>
        <w:pStyle w:val="StandardWeb"/>
        <w:jc w:val="right"/>
      </w:pPr>
    </w:p>
    <w:p w:rsidR="00BE1EFE" w:rsidRDefault="00BE1EFE">
      <w:pPr>
        <w:pStyle w:val="StandardWeb"/>
      </w:pPr>
      <w:r>
        <w:lastRenderedPageBreak/>
        <w:t>– ABD Teil C, 7. (Dienstordnung für pädagogische Fach- und Ergänzungskräfte an Kinder</w:t>
      </w:r>
      <w:r>
        <w:softHyphen/>
        <w:t>tageseinrichtungen)</w:t>
      </w:r>
    </w:p>
    <w:p w:rsidR="00BE1EFE" w:rsidRDefault="00BE1EFE">
      <w:pPr>
        <w:pStyle w:val="StandardWeb"/>
      </w:pPr>
      <w:r>
        <w:t>hier: 19,5 Stunden für Vorbereitung und Qualifizierung</w:t>
      </w:r>
    </w:p>
    <w:p w:rsidR="00BE1EFE" w:rsidRDefault="00BE1EFE">
      <w:pPr>
        <w:pStyle w:val="StandardWeb"/>
        <w:jc w:val="right"/>
      </w:pPr>
      <w:r>
        <w:t>zum 1. September 2009</w:t>
      </w:r>
    </w:p>
    <w:p w:rsidR="00BE1EFE" w:rsidRDefault="00BE1EFE">
      <w:pPr>
        <w:pStyle w:val="StandardWeb"/>
        <w:jc w:val="right"/>
      </w:pPr>
    </w:p>
    <w:p w:rsidR="00BE1EFE" w:rsidRDefault="00BE1EFE">
      <w:pPr>
        <w:pStyle w:val="StandardWeb"/>
      </w:pPr>
      <w:r>
        <w:t>– ABD Teil D, 10 c. Teil B [Ergänzende Regelungen zu den Beschlüssen der Zentral-KODA zur Entgeltumwandlung nach dem „Gesetz zur Verbesserung der betrieblichen Altersversorgung“ (BetrAVG)]</w:t>
      </w:r>
    </w:p>
    <w:p w:rsidR="00BE1EFE" w:rsidRDefault="00BE1EFE">
      <w:pPr>
        <w:pStyle w:val="StandardWeb"/>
      </w:pPr>
      <w:r>
        <w:t>hier: Ersetzung der Ergänzenden Regelungen durch Ergänzungen</w:t>
      </w:r>
    </w:p>
    <w:p w:rsidR="00BE1EFE" w:rsidRDefault="00BE1EFE" w:rsidP="00992372">
      <w:pPr>
        <w:pStyle w:val="StandardWeb"/>
        <w:jc w:val="right"/>
      </w:pPr>
      <w:r>
        <w:t>zum 1. August 2009</w:t>
      </w:r>
    </w:p>
    <w:p w:rsidR="00BE1EFE" w:rsidRDefault="00BE1EFE" w:rsidP="00992372">
      <w:pPr>
        <w:pStyle w:val="StandardWeb"/>
        <w:jc w:val="right"/>
      </w:pPr>
    </w:p>
    <w:p w:rsidR="00BE1EFE" w:rsidRDefault="00BE1EFE" w:rsidP="00992372">
      <w:pPr>
        <w:pStyle w:val="StandardWeb"/>
        <w:jc w:val="right"/>
      </w:pPr>
    </w:p>
    <w:p w:rsidR="00BE1EFE" w:rsidRPr="00551D02" w:rsidRDefault="00BE1EFE" w:rsidP="00561A79">
      <w:pPr>
        <w:pStyle w:val="berschrift5"/>
        <w:spacing w:before="0"/>
        <w:rPr>
          <w:lang w:eastAsia="x-none"/>
        </w:rPr>
      </w:pPr>
      <w:bookmarkStart w:id="1169" w:name="_Toc523926685"/>
      <w:r>
        <w:t>Beschlüsse 2008</w:t>
      </w:r>
      <w:bookmarkEnd w:id="1169"/>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xml:space="preserve">Anlage 87 </w:t>
      </w:r>
      <w:hyperlink r:id="rId1795" w:history="1">
        <w:r w:rsidRPr="002D1F1D">
          <w:rPr>
            <w:rStyle w:val="Hyperlink"/>
          </w:rPr>
          <w:t>[herunterladen]</w:t>
        </w:r>
      </w:hyperlink>
    </w:p>
    <w:p w:rsidR="00BE1EFE" w:rsidRDefault="00BE1EFE">
      <w:pPr>
        <w:pStyle w:val="StandardWeb"/>
      </w:pPr>
    </w:p>
    <w:p w:rsidR="00BE1EFE" w:rsidRDefault="00BE1EFE" w:rsidP="0095793E">
      <w:pPr>
        <w:pStyle w:val="StandardWeb"/>
        <w:rPr>
          <w:b/>
        </w:rPr>
      </w:pPr>
      <w:r>
        <w:rPr>
          <w:b/>
        </w:rPr>
        <w:t>I</w:t>
      </w:r>
      <w:r w:rsidRPr="0095793E">
        <w:rPr>
          <w:b/>
        </w:rPr>
        <w:t xml:space="preserve">I. Beschlüsse der </w:t>
      </w:r>
      <w:r>
        <w:rPr>
          <w:b/>
        </w:rPr>
        <w:t>Bayerischen Regional</w:t>
      </w:r>
      <w:r w:rsidRPr="0095793E">
        <w:rPr>
          <w:b/>
        </w:rPr>
        <w:t xml:space="preserve">-KODA vom </w:t>
      </w:r>
      <w:r>
        <w:rPr>
          <w:b/>
        </w:rPr>
        <w:t>09./10.12.</w:t>
      </w:r>
      <w:r w:rsidRPr="0095793E">
        <w:rPr>
          <w:b/>
        </w:rPr>
        <w:t>2008</w:t>
      </w:r>
    </w:p>
    <w:p w:rsidR="00BE1EFE" w:rsidRPr="000B1AF8" w:rsidRDefault="00BE1EFE">
      <w:pPr>
        <w:pStyle w:val="StandardWeb"/>
      </w:pPr>
    </w:p>
    <w:p w:rsidR="00BE1EFE" w:rsidRDefault="00BE1EFE">
      <w:pPr>
        <w:pStyle w:val="StandardWeb"/>
      </w:pPr>
      <w:r>
        <w:t>– Einbeziehung der Grundordnung des kirchlichen Dienstes im Rahmen kirchlicher Arbeits</w:t>
      </w:r>
      <w:r>
        <w:softHyphen/>
        <w:t>verhältnisse in den Arbeitsvertrag</w:t>
      </w:r>
    </w:p>
    <w:p w:rsidR="00BE1EFE" w:rsidRDefault="00BE1EFE">
      <w:pPr>
        <w:pStyle w:val="StandardWeb"/>
      </w:pPr>
      <w:r>
        <w:t>hier: Umsetzung des Beschlusses der Zentral-KODA in das ABD</w:t>
      </w:r>
    </w:p>
    <w:p w:rsidR="00BE1EFE" w:rsidRDefault="00BE1EFE">
      <w:pPr>
        <w:pStyle w:val="StandardWeb"/>
        <w:jc w:val="right"/>
      </w:pPr>
      <w:r>
        <w:t>zum 1. März 2009</w:t>
      </w:r>
    </w:p>
    <w:p w:rsidR="00BE1EFE" w:rsidRDefault="00BE1EFE">
      <w:pPr>
        <w:pStyle w:val="StandardWeb"/>
      </w:pPr>
      <w:r>
        <w:t>– § 8 ABD Teil A, 1. (Ausgleich für Sonderformen der Arbeit)</w:t>
      </w:r>
    </w:p>
    <w:p w:rsidR="00BE1EFE" w:rsidRDefault="00BE1EFE">
      <w:pPr>
        <w:pStyle w:val="StandardWeb"/>
      </w:pPr>
      <w:r>
        <w:t>hier: Ergänzung von Absatz 3 um Satz 12</w:t>
      </w:r>
    </w:p>
    <w:p w:rsidR="00BE1EFE" w:rsidRDefault="00BE1EFE">
      <w:pPr>
        <w:pStyle w:val="StandardWeb"/>
        <w:jc w:val="right"/>
      </w:pPr>
      <w:r>
        <w:t>zum 1. Januar 2009</w:t>
      </w:r>
    </w:p>
    <w:p w:rsidR="00BE1EFE" w:rsidRDefault="00BE1EFE">
      <w:pPr>
        <w:pStyle w:val="StandardWeb"/>
      </w:pPr>
      <w:r>
        <w:t xml:space="preserve">– Änderung des ABD Teil A, 1. </w:t>
      </w:r>
    </w:p>
    <w:p w:rsidR="00BE1EFE" w:rsidRDefault="00BE1EFE">
      <w:pPr>
        <w:pStyle w:val="StandardWeb"/>
      </w:pPr>
      <w:r>
        <w:t>§ 8 ABD Teil A, 1. (Ausgleich für Sonderformen der Arbeit)</w:t>
      </w:r>
    </w:p>
    <w:p w:rsidR="00BE1EFE" w:rsidRDefault="00BE1EFE">
      <w:pPr>
        <w:pStyle w:val="StandardWeb"/>
      </w:pPr>
      <w:r>
        <w:t>hier: redaktionelle Änderung</w:t>
      </w:r>
    </w:p>
    <w:p w:rsidR="00BE1EFE" w:rsidRDefault="00BE1EFE">
      <w:pPr>
        <w:pStyle w:val="StandardWeb"/>
      </w:pPr>
      <w:r>
        <w:t>und</w:t>
      </w:r>
    </w:p>
    <w:p w:rsidR="00BE1EFE" w:rsidRDefault="00BE1EFE">
      <w:pPr>
        <w:pStyle w:val="StandardWeb"/>
      </w:pPr>
      <w:r>
        <w:t>Änderung des ABD Teil A, 2.6.</w:t>
      </w:r>
    </w:p>
    <w:p w:rsidR="00BE1EFE" w:rsidRDefault="00BE1EFE">
      <w:pPr>
        <w:pStyle w:val="StandardWeb"/>
      </w:pPr>
      <w:r>
        <w:t>(Vergütungsordnung für Religionslehrer i. K. an Volks- und Förderschulen in den bayerischen (Erz-)Diözesen)</w:t>
      </w:r>
    </w:p>
    <w:p w:rsidR="00BE1EFE" w:rsidRDefault="00BE1EFE">
      <w:pPr>
        <w:pStyle w:val="StandardWeb"/>
      </w:pPr>
      <w:r>
        <w:t>hier: Korrektur der Anpassung der Förderschulzulage für Religionslehrerinnen und Religions</w:t>
      </w:r>
      <w:r>
        <w:softHyphen/>
        <w:t>lehrer i. K.</w:t>
      </w:r>
    </w:p>
    <w:p w:rsidR="00BE1EFE" w:rsidRDefault="00BE1EFE">
      <w:pPr>
        <w:pStyle w:val="StandardWeb"/>
        <w:jc w:val="right"/>
      </w:pPr>
      <w:r>
        <w:t>verschiedene Inkraftsetzungsdaten</w:t>
      </w:r>
    </w:p>
    <w:p w:rsidR="00BE1EFE" w:rsidRDefault="00BE1EFE">
      <w:pPr>
        <w:pStyle w:val="StandardWeb"/>
      </w:pPr>
    </w:p>
    <w:p w:rsidR="00BE1EFE" w:rsidRDefault="00BE1EFE">
      <w:pPr>
        <w:pStyle w:val="StandardWeb"/>
      </w:pPr>
      <w:r>
        <w:t>– § 14a ABD Teil A, 1. (Höher- bzw. Herabgruppierung von Leiterinnen/Leitern von Kinder</w:t>
      </w:r>
      <w:r>
        <w:softHyphen/>
        <w:t>tageseinrichtungen und Erzieherinnen/Erzieher mit besonders schwierigen fachlichen Tätigkeiten)</w:t>
      </w:r>
    </w:p>
    <w:p w:rsidR="00BE1EFE" w:rsidRDefault="00BE1EFE">
      <w:pPr>
        <w:pStyle w:val="StandardWeb"/>
      </w:pPr>
      <w:r>
        <w:t>hier: Kinderpflegerinnen/Kinderpfleger mit schwierigen fachlichen Tätigkeiten</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Stufenzuordnung und Eingruppierung bei Arbeitgeberwechsel</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Anspruch auf Entgeltumwandlung für geringfügig Beschäftigte</w:t>
      </w:r>
    </w:p>
    <w:p w:rsidR="00BE1EFE" w:rsidRDefault="00BE1EFE">
      <w:pPr>
        <w:pStyle w:val="StandardWeb"/>
        <w:jc w:val="right"/>
      </w:pPr>
      <w:r>
        <w:t>zum 1. Januar 2009</w:t>
      </w:r>
    </w:p>
    <w:p w:rsidR="00BE1EFE" w:rsidRDefault="00BE1EFE">
      <w:pPr>
        <w:pStyle w:val="StandardWeb"/>
      </w:pPr>
    </w:p>
    <w:p w:rsidR="00BE1EFE" w:rsidRDefault="00BE1EFE">
      <w:pPr>
        <w:pStyle w:val="StandardWeb"/>
      </w:pPr>
      <w:r>
        <w:t>– Besitzstandsregelung für kinderbezogene Entgeltbestandteile</w:t>
      </w:r>
    </w:p>
    <w:p w:rsidR="00BE1EFE" w:rsidRDefault="00BE1EFE">
      <w:pPr>
        <w:pStyle w:val="StandardWeb"/>
      </w:pPr>
      <w:r>
        <w:t>hier: Umsetzung des Beschlusses der Zentral-KODA in das ABD</w:t>
      </w:r>
    </w:p>
    <w:p w:rsidR="00BE1EFE" w:rsidRDefault="00BE1EFE">
      <w:pPr>
        <w:pStyle w:val="StandardWeb"/>
      </w:pPr>
    </w:p>
    <w:p w:rsidR="00BE1EFE" w:rsidRDefault="00BE1EFE">
      <w:pPr>
        <w:pStyle w:val="StandardWeb"/>
        <w:jc w:val="right"/>
      </w:pPr>
      <w:r>
        <w:t>zum 1. März 2009</w:t>
      </w:r>
    </w:p>
    <w:p w:rsidR="00BE1EFE" w:rsidRDefault="00BE1EFE">
      <w:pPr>
        <w:pStyle w:val="StandardWeb"/>
      </w:pPr>
    </w:p>
    <w:p w:rsidR="00BE1EFE" w:rsidRDefault="00BE1EFE">
      <w:pPr>
        <w:pStyle w:val="StandardWeb"/>
      </w:pPr>
      <w:r>
        <w:lastRenderedPageBreak/>
        <w:t>– ABD Teil B, 3. (Beschäftigte, die die Altersgrenze erreicht haben)</w:t>
      </w:r>
    </w:p>
    <w:p w:rsidR="00BE1EFE" w:rsidRDefault="00BE1EFE">
      <w:pPr>
        <w:pStyle w:val="StandardWeb"/>
      </w:pPr>
      <w:r>
        <w:t>hier: Verlängerung der Befristung von Nr. 7 Abs. 1</w:t>
      </w:r>
    </w:p>
    <w:p w:rsidR="00BE1EFE" w:rsidRDefault="00BE1EFE" w:rsidP="00992372">
      <w:pPr>
        <w:pStyle w:val="StandardWeb"/>
        <w:jc w:val="right"/>
      </w:pPr>
      <w:r>
        <w:t>zum 1. Januar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tigter Lehrkräfte an Schulen in kirchlicher Trägerschaft)</w:t>
      </w:r>
    </w:p>
    <w:p w:rsidR="00BE1EFE" w:rsidRDefault="00BE1EFE">
      <w:pPr>
        <w:pStyle w:val="StandardWeb"/>
      </w:pPr>
      <w:r>
        <w:t>hier: Reisekosten bei Fortbildungsreisen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4.1. (Sonderregelungen für die Arbeitsverhältnisse arbeitsvertraglich beschäf</w:t>
      </w:r>
      <w:r>
        <w:softHyphen/>
        <w:t xml:space="preserve">tigter Lehrkräfte an Schulen in kirchlicher Trägerschaft) </w:t>
      </w:r>
    </w:p>
    <w:p w:rsidR="00BE1EFE" w:rsidRDefault="00BE1EFE">
      <w:pPr>
        <w:pStyle w:val="StandardWeb"/>
      </w:pPr>
      <w:r>
        <w:t>hier: redaktionelle Änderung</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4.1.3. (Sonderregelungen für die Arbeitsverhältnisse von Lehrkräften an Grund- und Hauptschulen [Volksschulen])</w:t>
      </w:r>
    </w:p>
    <w:p w:rsidR="00BE1EFE" w:rsidRDefault="00BE1EFE">
      <w:pPr>
        <w:pStyle w:val="StandardWeb"/>
      </w:pPr>
      <w:r>
        <w:t>hier: Bezugnahme auf beamtenrechtliche Vorschriften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Beförderungswartezeiten bei Fachbetreuung</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ABD Teil B, 4.3. (Ordnung für Berufsbezeichnungen von arbeitsvertraglich beschäftigten Lehrkräften an Schulen in kirchlicher Trägerschaft)</w:t>
      </w:r>
    </w:p>
    <w:p w:rsidR="00BE1EFE" w:rsidRDefault="00BE1EFE">
      <w:pPr>
        <w:pStyle w:val="StandardWeb"/>
      </w:pPr>
      <w:r>
        <w:t>hier: Klarstellung zum Vorrang von Beurteilungen</w:t>
      </w:r>
    </w:p>
    <w:p w:rsidR="00BE1EFE" w:rsidRDefault="00BE1EFE">
      <w:pPr>
        <w:pStyle w:val="StandardWeb"/>
        <w:jc w:val="right"/>
      </w:pPr>
      <w:r>
        <w:t>zum 1. März 2009</w:t>
      </w:r>
    </w:p>
    <w:p w:rsidR="00BE1EFE" w:rsidRDefault="00BE1EFE">
      <w:pPr>
        <w:pStyle w:val="StandardWeb"/>
        <w:jc w:val="right"/>
      </w:pPr>
    </w:p>
    <w:p w:rsidR="00BE1EFE" w:rsidRDefault="00BE1EFE">
      <w:pPr>
        <w:pStyle w:val="StandardWeb"/>
      </w:pPr>
      <w:r>
        <w:t xml:space="preserve">– Entgeltumwandlung </w:t>
      </w:r>
    </w:p>
    <w:p w:rsidR="00BE1EFE" w:rsidRDefault="00BE1EFE">
      <w:pPr>
        <w:pStyle w:val="StandardWeb"/>
      </w:pPr>
      <w:r>
        <w:t>hier: Änderung der Befristung bei den Ergänzenden Regelungen zu den Beschlüssen der Zentral-KODA zur Entgeltumwandlung nach dem Gesetz zur Verbesserung der betrieblichen Altersversorgung (ABD Teil D,10 c Teil B)</w:t>
      </w:r>
    </w:p>
    <w:p w:rsidR="00BE1EFE" w:rsidRDefault="00BE1EFE">
      <w:pPr>
        <w:pStyle w:val="StandardWeb"/>
        <w:jc w:val="right"/>
      </w:pPr>
      <w:r>
        <w:t>zum 31. Dezember 2008</w:t>
      </w:r>
    </w:p>
    <w:p w:rsidR="00BE1EFE" w:rsidRDefault="00BE1EFE">
      <w:pPr>
        <w:pStyle w:val="StandardWeb"/>
        <w:jc w:val="right"/>
      </w:pPr>
    </w:p>
    <w:p w:rsidR="00BE1EFE" w:rsidRDefault="00BE1EFE">
      <w:pPr>
        <w:pStyle w:val="StandardWeb"/>
      </w:pPr>
      <w:r>
        <w:t xml:space="preserve">– Entgeltumwandlung </w:t>
      </w:r>
    </w:p>
    <w:p w:rsidR="00BE1EFE" w:rsidRDefault="00BE1EFE">
      <w:pPr>
        <w:pStyle w:val="StandardWeb"/>
      </w:pPr>
      <w:r>
        <w:t>hier: Änderungen bei „Zu Nr. 5 Zuschuss des Dienstgebers“ der Ergänzenden Regelungen zu der Beschlüssen der Zentral-KODA zur Entgeltumwandlung nach dem Gesetz zur Ver</w:t>
      </w:r>
      <w:r>
        <w:softHyphen/>
        <w:t>besserung der betrieblichen Altersversorgung (ABD Teil D,10 c Teil B)</w:t>
      </w:r>
    </w:p>
    <w:p w:rsidR="00BE1EFE" w:rsidRDefault="00BE1EFE">
      <w:pPr>
        <w:pStyle w:val="StandardWeb"/>
        <w:jc w:val="right"/>
      </w:pPr>
      <w:r>
        <w:t>zum 1. März 2009</w:t>
      </w:r>
    </w:p>
    <w:p w:rsidR="00BE1EFE" w:rsidRDefault="00BE1EFE">
      <w:pPr>
        <w:pStyle w:val="StandardWeb"/>
        <w:jc w:val="right"/>
      </w:pPr>
    </w:p>
    <w:p w:rsidR="00BE1EFE" w:rsidRDefault="00BE1EFE" w:rsidP="0054275E">
      <w:pPr>
        <w:pStyle w:val="StandardWeb"/>
        <w:autoSpaceDE w:val="0"/>
      </w:pPr>
      <w:r>
        <w:rPr>
          <w:rStyle w:val="Fett"/>
          <w:bCs/>
        </w:rPr>
        <w:t>Anlage 86</w:t>
      </w:r>
      <w:r>
        <w:t xml:space="preserve"> </w:t>
      </w:r>
      <w:hyperlink r:id="rId1796" w:history="1">
        <w:r w:rsidRPr="002D1F1D">
          <w:rPr>
            <w:rStyle w:val="Hyperlink"/>
          </w:rPr>
          <w:t>[herunterladen]</w:t>
        </w:r>
      </w:hyperlink>
    </w:p>
    <w:p w:rsidR="00BE1EFE" w:rsidRDefault="00BE1EFE">
      <w:pPr>
        <w:pStyle w:val="StandardWeb"/>
      </w:pPr>
    </w:p>
    <w:p w:rsidR="00BE1EFE" w:rsidRPr="00287413" w:rsidRDefault="00BE1EFE" w:rsidP="0054275E">
      <w:pPr>
        <w:pStyle w:val="StandardWeb"/>
        <w:autoSpaceDE w:val="0"/>
        <w:rPr>
          <w:b/>
          <w:i/>
        </w:rPr>
      </w:pPr>
      <w:r w:rsidRPr="00287413">
        <w:rPr>
          <w:rStyle w:val="Hervorhebung"/>
          <w:b/>
          <w:i w:val="0"/>
          <w:iCs/>
        </w:rPr>
        <w:t>I. Beschlüsse zur Umsetzung der Tarifeinigung vom 31. März 2008</w:t>
      </w:r>
    </w:p>
    <w:p w:rsidR="00BE1EFE" w:rsidRDefault="00BE1EFE" w:rsidP="00992372">
      <w:pPr>
        <w:pStyle w:val="StandardWeb"/>
      </w:pPr>
    </w:p>
    <w:p w:rsidR="00BE1EFE" w:rsidRDefault="00BE1EFE" w:rsidP="00992372">
      <w:pPr>
        <w:pStyle w:val="StandardWeb"/>
      </w:pPr>
      <w:r>
        <w:t>– Umsetzung des Änderungstarifvertrags Nr. 2 vom 31. März 2008 zum Tarifvertrag für den öffentlichen Dienst (TVöD)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992372">
      <w:pPr>
        <w:pStyle w:val="StandardWeb"/>
      </w:pPr>
      <w:r>
        <w:t>– Umsetzung des Änderungstarifvertrags Nr. 2 vom 31. März 2008 zum Tarifvertrag für den öffentlichen Dienst (TVöD) – Besonderer Teil Verwaltung – (BT-V) – vom 13. September 2005</w:t>
      </w:r>
    </w:p>
    <w:p w:rsidR="00BE1EFE" w:rsidRDefault="00BE1EFE">
      <w:pPr>
        <w:pStyle w:val="StandardWeb"/>
        <w:jc w:val="right"/>
      </w:pPr>
      <w:r>
        <w:t>verschiedene Inkraftsetzungsdaten</w:t>
      </w:r>
    </w:p>
    <w:p w:rsidR="00BE1EFE" w:rsidRDefault="00BE1EFE">
      <w:pPr>
        <w:pStyle w:val="StandardWeb"/>
        <w:jc w:val="right"/>
      </w:pPr>
    </w:p>
    <w:p w:rsidR="00BE1EFE" w:rsidRDefault="00BE1EFE" w:rsidP="00992372">
      <w:pPr>
        <w:pStyle w:val="StandardWeb"/>
      </w:pPr>
      <w:r>
        <w:lastRenderedPageBreak/>
        <w:t>– Umsetzung des Änderungstarifvertrags Nr. 1 vom 31. März 2008 zum Tarifvertrag zur Über</w:t>
      </w:r>
      <w:r>
        <w:softHyphen/>
        <w:t>leitung der Beschäftigten des Bundes in den TVöD und zur Regelung des Übergangsrechts (TVÜ-Bund) vom 13. September 2005 und des Änderungstarifvertrags Nr. 2 vom 31. März 2008 zum Tarifvertrag zur Überleitung der Beschäftigten der kommunalen Arbeitgeber in den TVöD und zur Regelung des Übergangsrechts (TVÜ-VKA) vom 13. September 2005</w:t>
      </w:r>
    </w:p>
    <w:p w:rsidR="00BE1EFE" w:rsidRDefault="00BE1EFE" w:rsidP="006B0E3C">
      <w:pPr>
        <w:pStyle w:val="StandardWeb"/>
        <w:jc w:val="right"/>
      </w:pPr>
      <w:r>
        <w:t>verschiedene Inkraftsetzungsdaten</w:t>
      </w:r>
    </w:p>
    <w:p w:rsidR="00BE1EFE" w:rsidRDefault="00BE1EFE">
      <w:pPr>
        <w:pStyle w:val="StandardWeb"/>
      </w:pPr>
      <w:r>
        <w:t>– Umsetzung des Änderungstarifvertrags Nr. 2 vom 31. März 2008 zum Tarifvertrag für Auszubildende des öffentlichen Dienstes (TVAöD) – Allgemeiner Teil – und des Änderungs</w:t>
      </w:r>
      <w:r>
        <w:softHyphen/>
        <w:t>tarifvertrags Nr. 2 vom 31. März 2008 zum Tarifvertrag für Auszubildende des öffentlichen Dienstes (TVAöD) – Besonderer Teil BBiG –</w:t>
      </w:r>
    </w:p>
    <w:p w:rsidR="00BE1EFE" w:rsidRDefault="00BE1EFE">
      <w:pPr>
        <w:pStyle w:val="StandardWeb"/>
        <w:jc w:val="right"/>
      </w:pPr>
      <w:r>
        <w:t>verschiedene Inkraftsetzungsdaten</w:t>
      </w:r>
    </w:p>
    <w:p w:rsidR="00BE1EFE" w:rsidRDefault="00BE1EFE">
      <w:pPr>
        <w:pStyle w:val="StandardWeb"/>
        <w:jc w:val="right"/>
      </w:pPr>
    </w:p>
    <w:p w:rsidR="00BE1EFE" w:rsidRPr="00287413" w:rsidRDefault="00BE1EFE" w:rsidP="0054275E">
      <w:pPr>
        <w:pStyle w:val="StandardWeb"/>
        <w:autoSpaceDE w:val="0"/>
        <w:rPr>
          <w:b/>
          <w:i/>
        </w:rPr>
      </w:pPr>
      <w:r w:rsidRPr="00287413">
        <w:rPr>
          <w:rStyle w:val="Hervorhebung"/>
          <w:b/>
          <w:i w:val="0"/>
          <w:iCs/>
        </w:rPr>
        <w:t>II. Beschlüsse zur Änderung des ABD Teil A</w:t>
      </w:r>
    </w:p>
    <w:p w:rsidR="00BE1EFE" w:rsidRDefault="00BE1EFE">
      <w:pPr>
        <w:pStyle w:val="StandardWeb"/>
      </w:pPr>
    </w:p>
    <w:p w:rsidR="00BE1EFE" w:rsidRDefault="00BE1EFE">
      <w:pPr>
        <w:pStyle w:val="StandardWeb"/>
      </w:pPr>
      <w:r>
        <w:t>– Änderung des ABD Teil A,1.</w:t>
      </w:r>
    </w:p>
    <w:p w:rsidR="00BE1EFE" w:rsidRDefault="00BE1EFE">
      <w:pPr>
        <w:pStyle w:val="StandardWeb"/>
      </w:pPr>
      <w:r>
        <w:t>hier: Änderung der Überschrift und Ergänzung des § 14 a um einen Absatz 3</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Änderung des ABD Teil A,1. (§ 18 a Besondere Einmalzahlung für die Jahre 2007 bis 2012)</w:t>
      </w:r>
    </w:p>
    <w:p w:rsidR="00BE1EFE" w:rsidRDefault="00BE1EFE">
      <w:pPr>
        <w:pStyle w:val="StandardWeb"/>
      </w:pPr>
      <w:r>
        <w:t>hier: Auszahlung der besonderen Einmalzahlung für das Jahr 2008</w:t>
      </w:r>
    </w:p>
    <w:p w:rsidR="00BE1EFE" w:rsidRDefault="00BE1EFE" w:rsidP="00FE4FBF">
      <w:pPr>
        <w:pStyle w:val="StandardWeb"/>
        <w:jc w:val="right"/>
      </w:pPr>
      <w:r>
        <w:t>zum 1. November 2008</w:t>
      </w:r>
    </w:p>
    <w:p w:rsidR="00BE1EFE" w:rsidRDefault="00BE1EFE">
      <w:pPr>
        <w:pStyle w:val="StandardWeb"/>
      </w:pPr>
    </w:p>
    <w:p w:rsidR="00BE1EFE" w:rsidRDefault="00BE1EFE">
      <w:pPr>
        <w:pStyle w:val="StandardWeb"/>
      </w:pPr>
      <w:r>
        <w:t>– Änderung des ABD Teil A, 2.3. / G. 2 (Angestellte im Sozial- und Erziehungsdienst im Kindertagesstättenbereich)</w:t>
      </w:r>
    </w:p>
    <w:p w:rsidR="00BE1EFE" w:rsidRDefault="00BE1EFE" w:rsidP="00992372">
      <w:pPr>
        <w:pStyle w:val="StandardWeb"/>
      </w:pPr>
      <w:r>
        <w:t>hier: Ergänzung der Anmerkung 10</w:t>
      </w:r>
    </w:p>
    <w:p w:rsidR="00BE1EFE" w:rsidRDefault="00BE1EFE">
      <w:pPr>
        <w:pStyle w:val="StandardWeb"/>
        <w:jc w:val="right"/>
      </w:pPr>
      <w:r>
        <w:t>rückwirkend zum 1. September 2008</w:t>
      </w:r>
    </w:p>
    <w:p w:rsidR="00BE1EFE" w:rsidRDefault="00BE1EFE">
      <w:pPr>
        <w:pStyle w:val="StandardWeb"/>
        <w:jc w:val="right"/>
      </w:pPr>
    </w:p>
    <w:p w:rsidR="00BE1EFE" w:rsidRDefault="00BE1EFE">
      <w:pPr>
        <w:pStyle w:val="StandardWeb"/>
      </w:pPr>
      <w:r>
        <w:t>– Änderung des ABD Teil A, 2.6. (Vergütungsordnung für Religionslehrer i. K. an Volks- und Förderschulen in den bayerischen (Erz-)Diözesen)</w:t>
      </w:r>
    </w:p>
    <w:p w:rsidR="00BE1EFE" w:rsidRDefault="00BE1EFE" w:rsidP="00992372">
      <w:pPr>
        <w:pStyle w:val="StandardWeb"/>
      </w:pPr>
      <w:r>
        <w:t>hier: Anpassung der Förderschulzulage für Religionslehrerinnen und Religionslehrer i. K.</w:t>
      </w:r>
    </w:p>
    <w:p w:rsidR="00BE1EFE" w:rsidRDefault="00BE1EFE" w:rsidP="00551D02">
      <w:pPr>
        <w:pStyle w:val="StandardWeb"/>
        <w:jc w:val="right"/>
      </w:pPr>
      <w:r>
        <w:t>rückwirkend zum 1. September 2008</w:t>
      </w:r>
    </w:p>
    <w:p w:rsidR="00BE1EFE" w:rsidRDefault="00BE1EFE" w:rsidP="00551D02">
      <w:pPr>
        <w:pStyle w:val="StandardWeb"/>
        <w:jc w:val="right"/>
      </w:pPr>
    </w:p>
    <w:p w:rsidR="00BE1EFE" w:rsidRDefault="00BE1EFE">
      <w:pPr>
        <w:pStyle w:val="StandardWeb"/>
      </w:pPr>
      <w:r>
        <w:t>– Änderung des ABD Teil A, 2.6. (Vergütungsordnung für Religionslehrer i. K. an Volks- und Förderschulen in den bayerischen (Erz-)Diözesen)</w:t>
      </w:r>
    </w:p>
    <w:p w:rsidR="00BE1EFE" w:rsidRDefault="00BE1EFE" w:rsidP="00992372">
      <w:pPr>
        <w:pStyle w:val="StandardWeb"/>
      </w:pPr>
      <w:r>
        <w:t>hier: Anpassung der Vergütung für gemäß § 8 Abs. 1 Unterabs. 2 SGB IV aushilfsweise beschäftigte Religionslehrerinnen und Religionslehrer i. K.</w:t>
      </w:r>
    </w:p>
    <w:p w:rsidR="00BE1EFE" w:rsidRDefault="00BE1EFE" w:rsidP="00551D02">
      <w:pPr>
        <w:pStyle w:val="StandardWeb"/>
        <w:jc w:val="right"/>
      </w:pPr>
      <w:r>
        <w:t>rückwirkend zum 1. September 2008</w:t>
      </w:r>
    </w:p>
    <w:p w:rsidR="00BE1EFE" w:rsidRDefault="00BE1EFE" w:rsidP="00551D02">
      <w:pPr>
        <w:pStyle w:val="StandardWeb"/>
        <w:jc w:val="right"/>
      </w:pPr>
    </w:p>
    <w:p w:rsidR="00BE1EFE" w:rsidRPr="00551D02" w:rsidRDefault="00BE1EFE" w:rsidP="0054275E">
      <w:pPr>
        <w:pStyle w:val="StandardWeb"/>
        <w:autoSpaceDE w:val="0"/>
        <w:rPr>
          <w:b/>
          <w:i/>
        </w:rPr>
      </w:pPr>
      <w:r w:rsidRPr="00551D02">
        <w:rPr>
          <w:rStyle w:val="Hervorhebung"/>
          <w:b/>
          <w:i w:val="0"/>
          <w:iCs/>
        </w:rPr>
        <w:t>III. Beschluss zur Änderung des ABD Teil B</w:t>
      </w:r>
    </w:p>
    <w:p w:rsidR="00BE1EFE" w:rsidRDefault="00BE1EFE">
      <w:pPr>
        <w:pStyle w:val="StandardWeb"/>
      </w:pPr>
      <w:r>
        <w:t>– Änderung des ABD Teil B, 5. (Regelung für die Kraftfahrer und Kraftfahrerinnen)</w:t>
      </w:r>
    </w:p>
    <w:p w:rsidR="00BE1EFE" w:rsidRDefault="00BE1EFE" w:rsidP="00FE4FBF">
      <w:pPr>
        <w:pStyle w:val="StandardWeb"/>
      </w:pPr>
      <w:r>
        <w:t>hier: Einfügen einer Automatikklausel</w:t>
      </w:r>
    </w:p>
    <w:p w:rsidR="00BE1EFE" w:rsidRDefault="00BE1EFE" w:rsidP="00551D02">
      <w:pPr>
        <w:pStyle w:val="StandardWeb"/>
        <w:jc w:val="right"/>
      </w:pPr>
      <w:r>
        <w:t>zum 1. Januar 2009</w:t>
      </w:r>
    </w:p>
    <w:p w:rsidR="00BE1EFE" w:rsidRDefault="00BE1EFE" w:rsidP="00551D02">
      <w:pPr>
        <w:pStyle w:val="StandardWeb"/>
        <w:jc w:val="right"/>
      </w:pPr>
    </w:p>
    <w:p w:rsidR="00BE1EFE" w:rsidRPr="00551D02" w:rsidRDefault="00BE1EFE" w:rsidP="0054275E">
      <w:pPr>
        <w:pStyle w:val="StandardWeb"/>
        <w:autoSpaceDE w:val="0"/>
        <w:rPr>
          <w:b/>
          <w:i/>
        </w:rPr>
      </w:pPr>
      <w:r>
        <w:rPr>
          <w:rStyle w:val="Hervorhebung"/>
          <w:b/>
          <w:i w:val="0"/>
          <w:iCs/>
        </w:rPr>
        <w:t>IV. </w:t>
      </w:r>
      <w:r w:rsidRPr="00551D02">
        <w:rPr>
          <w:rStyle w:val="Hervorhebung"/>
          <w:b/>
          <w:i w:val="0"/>
          <w:iCs/>
        </w:rPr>
        <w:t>Beschluss zur Änderung des ABD Teil E</w:t>
      </w:r>
    </w:p>
    <w:p w:rsidR="00BE1EFE" w:rsidRDefault="00BE1EFE">
      <w:pPr>
        <w:pStyle w:val="StandardWeb"/>
      </w:pPr>
      <w:r>
        <w:t>– Änderung des ABD Teil, E, 2. (Regelung über die vorläufige Weitergeltung der Regelungen für die Praktikantinnen/Praktikanten)</w:t>
      </w:r>
    </w:p>
    <w:p w:rsidR="00BE1EFE" w:rsidRDefault="00BE1EFE">
      <w:pPr>
        <w:pStyle w:val="StandardWeb"/>
      </w:pPr>
      <w:r>
        <w:t>hier: Anheben der Praktikantenentgelte</w:t>
      </w:r>
    </w:p>
    <w:p w:rsidR="00BE1EFE" w:rsidRDefault="00BE1EFE" w:rsidP="00992372">
      <w:pPr>
        <w:pStyle w:val="StandardWeb"/>
        <w:jc w:val="right"/>
      </w:pPr>
      <w:r>
        <w:t>zum 1. Januar 2009</w:t>
      </w:r>
    </w:p>
    <w:p w:rsidR="00BE1EFE" w:rsidRDefault="00BE1EFE" w:rsidP="0054275E">
      <w:pPr>
        <w:pStyle w:val="StandardWeb"/>
        <w:autoSpaceDE w:val="0"/>
        <w:rPr>
          <w:rStyle w:val="Fett"/>
          <w:bCs/>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85</w:t>
      </w:r>
      <w:r>
        <w:t xml:space="preserve"> </w:t>
      </w:r>
      <w:hyperlink r:id="rId1797" w:history="1">
        <w:r w:rsidRPr="002D1F1D">
          <w:rPr>
            <w:rStyle w:val="Hyperlink"/>
          </w:rPr>
          <w:t>[herunterladen]</w:t>
        </w:r>
      </w:hyperlink>
    </w:p>
    <w:p w:rsidR="00BE1EFE" w:rsidRDefault="00BE1EFE">
      <w:pPr>
        <w:pStyle w:val="StandardWeb"/>
      </w:pPr>
    </w:p>
    <w:p w:rsidR="00BE1EFE" w:rsidRPr="0095793E" w:rsidRDefault="00BE1EFE">
      <w:pPr>
        <w:pStyle w:val="StandardWeb"/>
        <w:rPr>
          <w:b/>
        </w:rPr>
      </w:pPr>
      <w:r w:rsidRPr="0095793E">
        <w:rPr>
          <w:b/>
        </w:rPr>
        <w:t>I. Beschlüsse der Bayerischen Regional-KODA vom 08./09.07.2008</w:t>
      </w:r>
    </w:p>
    <w:p w:rsidR="00BE1EFE" w:rsidRPr="0095793E" w:rsidRDefault="00BE1EFE">
      <w:pPr>
        <w:pStyle w:val="StandardWeb"/>
        <w:rPr>
          <w:b/>
        </w:rPr>
      </w:pPr>
    </w:p>
    <w:p w:rsidR="00BE1EFE" w:rsidRDefault="00BE1EFE">
      <w:pPr>
        <w:pStyle w:val="StandardWeb"/>
      </w:pPr>
      <w:r>
        <w:t>– Beschluss zur Umsetzung der Tarifeinigung vom 31. März 2008</w:t>
      </w:r>
    </w:p>
    <w:p w:rsidR="00BE1EFE" w:rsidRDefault="00BE1EFE" w:rsidP="00992372">
      <w:pPr>
        <w:pStyle w:val="StandardWeb"/>
      </w:pPr>
      <w:r>
        <w:t>hier: Änderung der Regelung für die Kraftfahrer und Kraftfahrerinnen und der Regelung der Arbeitsbedingungen</w:t>
      </w:r>
    </w:p>
    <w:p w:rsidR="00BE1EFE" w:rsidRDefault="00BE1EFE" w:rsidP="00551D02">
      <w:pPr>
        <w:pStyle w:val="StandardWeb"/>
        <w:jc w:val="right"/>
      </w:pPr>
      <w:r>
        <w:t>rückwirkend zum 01.01.2008</w:t>
      </w:r>
    </w:p>
    <w:p w:rsidR="00BE1EFE" w:rsidRDefault="00BE1EFE" w:rsidP="00551D02">
      <w:pPr>
        <w:pStyle w:val="StandardWeb"/>
        <w:jc w:val="right"/>
      </w:pPr>
    </w:p>
    <w:p w:rsidR="00BE1EFE" w:rsidRDefault="00BE1EFE">
      <w:pPr>
        <w:pStyle w:val="StandardWeb"/>
      </w:pPr>
      <w:r>
        <w:t>– Vergütungsregelung für Religionslehrer, die unter die Sonderregelung zur Dienstordnung für Religionslehrer im Kirchendienst fallen, vom 01.09.1998</w:t>
      </w:r>
    </w:p>
    <w:p w:rsidR="00BE1EFE" w:rsidRDefault="00BE1EFE" w:rsidP="00551D02">
      <w:pPr>
        <w:pStyle w:val="StandardWeb"/>
        <w:jc w:val="right"/>
      </w:pPr>
      <w:r>
        <w:t>zum 01.09.2008</w:t>
      </w:r>
    </w:p>
    <w:p w:rsidR="00BE1EFE" w:rsidRPr="0095793E" w:rsidRDefault="00BE1EFE" w:rsidP="0095793E">
      <w:pPr>
        <w:pStyle w:val="StandardWeb"/>
        <w:rPr>
          <w:b/>
        </w:rPr>
      </w:pPr>
      <w:r w:rsidRPr="0095793E">
        <w:rPr>
          <w:b/>
        </w:rPr>
        <w:t>I. Beschl</w:t>
      </w:r>
      <w:r>
        <w:rPr>
          <w:b/>
        </w:rPr>
        <w:t>u</w:t>
      </w:r>
      <w:r w:rsidRPr="0095793E">
        <w:rPr>
          <w:b/>
        </w:rPr>
        <w:t>ss der Bayerischen Regional-KODA vom 0</w:t>
      </w:r>
      <w:r>
        <w:rPr>
          <w:b/>
        </w:rPr>
        <w:t>4.</w:t>
      </w:r>
      <w:r w:rsidRPr="0095793E">
        <w:rPr>
          <w:b/>
        </w:rPr>
        <w:t>0</w:t>
      </w:r>
      <w:r>
        <w:rPr>
          <w:b/>
        </w:rPr>
        <w:t>8</w:t>
      </w:r>
      <w:r w:rsidRPr="0095793E">
        <w:rPr>
          <w:b/>
        </w:rPr>
        <w:t>.2008</w:t>
      </w:r>
    </w:p>
    <w:p w:rsidR="00BE1EFE" w:rsidRDefault="00BE1EFE">
      <w:pPr>
        <w:pStyle w:val="StandardWeb"/>
      </w:pPr>
    </w:p>
    <w:p w:rsidR="00BE1EFE" w:rsidRDefault="00BE1EFE">
      <w:pPr>
        <w:pStyle w:val="StandardWeb"/>
      </w:pPr>
      <w:r>
        <w:t>– Reisekostenordnung der bayerischen (Erz-)Diözesen (ABD Teil D,9.)</w:t>
      </w:r>
    </w:p>
    <w:p w:rsidR="00BE1EFE" w:rsidRDefault="00BE1EFE">
      <w:pPr>
        <w:pStyle w:val="StandardWeb"/>
      </w:pPr>
      <w:r>
        <w:t>hier: Anpassung der Wegstreckenentschädigung</w:t>
      </w:r>
    </w:p>
    <w:p w:rsidR="00BE1EFE" w:rsidRDefault="00BE1EFE">
      <w:pPr>
        <w:pStyle w:val="StandardWeb"/>
        <w:jc w:val="right"/>
      </w:pPr>
      <w:r>
        <w:t>zum 01.08.2008</w:t>
      </w:r>
    </w:p>
    <w:p w:rsidR="00BE1EFE" w:rsidRDefault="00BE1EFE">
      <w:pPr>
        <w:pStyle w:val="StandardWeb"/>
        <w:jc w:val="right"/>
      </w:pPr>
    </w:p>
    <w:p w:rsidR="00BE1EFE" w:rsidRDefault="00BE1EFE">
      <w:pPr>
        <w:pStyle w:val="StandardWeb"/>
      </w:pPr>
    </w:p>
    <w:p w:rsidR="00BE1EFE" w:rsidRDefault="00BE1EFE" w:rsidP="0054275E">
      <w:pPr>
        <w:pStyle w:val="StandardWeb"/>
        <w:autoSpaceDE w:val="0"/>
      </w:pPr>
      <w:r>
        <w:rPr>
          <w:rStyle w:val="Fett"/>
          <w:bCs/>
        </w:rPr>
        <w:t>Anlage 84</w:t>
      </w:r>
      <w:r>
        <w:t xml:space="preserve"> </w:t>
      </w:r>
      <w:hyperlink r:id="rId1798"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10.</w:t>
      </w:r>
      <w:r w:rsidRPr="0095793E">
        <w:rPr>
          <w:b/>
        </w:rPr>
        <w:t>0</w:t>
      </w:r>
      <w:r>
        <w:rPr>
          <w:b/>
        </w:rPr>
        <w:t>7</w:t>
      </w:r>
      <w:r w:rsidRPr="0095793E">
        <w:rPr>
          <w:b/>
        </w:rPr>
        <w:t>.2008</w:t>
      </w:r>
    </w:p>
    <w:p w:rsidR="00BE1EFE" w:rsidRDefault="00BE1EFE">
      <w:pPr>
        <w:pStyle w:val="StandardWeb"/>
      </w:pPr>
    </w:p>
    <w:p w:rsidR="00BE1EFE" w:rsidRDefault="00BE1EFE" w:rsidP="00992372">
      <w:pPr>
        <w:pStyle w:val="StandardWeb"/>
      </w:pPr>
      <w:r>
        <w:t>– Regelmäßige Mehrarbeit</w:t>
      </w:r>
    </w:p>
    <w:p w:rsidR="00BE1EFE" w:rsidRDefault="00BE1EFE" w:rsidP="00551D02">
      <w:pPr>
        <w:pStyle w:val="StandardWeb"/>
        <w:jc w:val="right"/>
      </w:pPr>
      <w:r>
        <w:t>zum 01.08.2008</w:t>
      </w:r>
    </w:p>
    <w:p w:rsidR="00BE1EFE" w:rsidRDefault="00BE1EFE">
      <w:pPr>
        <w:pStyle w:val="StandardWeb"/>
      </w:pPr>
      <w:r>
        <w:t>– Unterrichtspflichtzeit</w:t>
      </w:r>
    </w:p>
    <w:p w:rsidR="00BE1EFE" w:rsidRDefault="00BE1EFE">
      <w:pPr>
        <w:pStyle w:val="StandardWeb"/>
        <w:jc w:val="right"/>
      </w:pPr>
      <w:r>
        <w:t>zum 01.08.2008</w:t>
      </w:r>
    </w:p>
    <w:p w:rsidR="00BE1EFE" w:rsidRDefault="00BE1EFE" w:rsidP="0054275E">
      <w:pPr>
        <w:pStyle w:val="StandardWeb"/>
        <w:autoSpaceDE w:val="0"/>
      </w:pPr>
    </w:p>
    <w:p w:rsidR="00BE1EFE" w:rsidRDefault="00BE1EFE" w:rsidP="0054275E">
      <w:pPr>
        <w:pStyle w:val="StandardWeb"/>
        <w:autoSpaceDE w:val="0"/>
      </w:pPr>
      <w:r>
        <w:rPr>
          <w:rStyle w:val="Fett"/>
          <w:bCs/>
        </w:rPr>
        <w:t xml:space="preserve">Anlage 83 </w:t>
      </w:r>
      <w:hyperlink r:id="rId1799" w:history="1">
        <w:r w:rsidRPr="002D1F1D">
          <w:rPr>
            <w:rStyle w:val="Hyperlink"/>
          </w:rPr>
          <w:t>[herunterladen]</w:t>
        </w:r>
      </w:hyperlink>
    </w:p>
    <w:p w:rsidR="00BE1EFE" w:rsidRDefault="00BE1EFE">
      <w:pPr>
        <w:pStyle w:val="StandardWeb"/>
      </w:pPr>
    </w:p>
    <w:p w:rsidR="00BE1EFE" w:rsidRPr="00551D02" w:rsidRDefault="00BE1EFE" w:rsidP="0054275E">
      <w:pPr>
        <w:pStyle w:val="StandardWeb"/>
        <w:autoSpaceDE w:val="0"/>
        <w:rPr>
          <w:b/>
          <w:i/>
          <w:iCs/>
        </w:rPr>
      </w:pPr>
      <w:r>
        <w:rPr>
          <w:rStyle w:val="Hervorhebung"/>
          <w:b/>
          <w:i w:val="0"/>
          <w:iCs/>
        </w:rPr>
        <w:t>I. </w:t>
      </w:r>
      <w:r w:rsidRPr="00551D02">
        <w:rPr>
          <w:rStyle w:val="Hervorhebung"/>
          <w:b/>
          <w:i w:val="0"/>
          <w:iCs/>
        </w:rPr>
        <w:t xml:space="preserve">Änderungen in Umsetzung des § 20 a ABD Teil A, 1. </w:t>
      </w:r>
    </w:p>
    <w:p w:rsidR="00BE1EFE" w:rsidRDefault="00BE1EFE" w:rsidP="00073C2F">
      <w:pPr>
        <w:pStyle w:val="StandardWeb"/>
      </w:pPr>
      <w:r>
        <w:t>– Änderungen ABD Teil A, 1.</w:t>
      </w:r>
    </w:p>
    <w:p w:rsidR="00BE1EFE" w:rsidRDefault="00BE1EFE">
      <w:pPr>
        <w:pStyle w:val="StandardWeb"/>
        <w:jc w:val="right"/>
      </w:pPr>
      <w:r>
        <w:t>unterschiedliche Inkraftsetzungsdaten</w:t>
      </w:r>
    </w:p>
    <w:p w:rsidR="00BE1EFE" w:rsidRDefault="00BE1EFE">
      <w:pPr>
        <w:pStyle w:val="StandardWeb"/>
        <w:jc w:val="right"/>
      </w:pPr>
    </w:p>
    <w:p w:rsidR="00BE1EFE" w:rsidRDefault="00BE1EFE">
      <w:pPr>
        <w:pStyle w:val="StandardWeb"/>
      </w:pPr>
      <w:r>
        <w:t>– Änderungen ABD Teil A, 3.</w:t>
      </w:r>
    </w:p>
    <w:p w:rsidR="00BE1EFE" w:rsidRDefault="00BE1EFE">
      <w:pPr>
        <w:pStyle w:val="StandardWeb"/>
        <w:jc w:val="right"/>
      </w:pPr>
      <w:r>
        <w:t>unterschiedliche Inkraftsetzungsdaten</w:t>
      </w:r>
    </w:p>
    <w:p w:rsidR="00BE1EFE" w:rsidRDefault="00BE1EFE">
      <w:pPr>
        <w:pStyle w:val="StandardWeb"/>
        <w:jc w:val="right"/>
      </w:pPr>
    </w:p>
    <w:p w:rsidR="00BE1EFE" w:rsidRPr="00551D02" w:rsidRDefault="00BE1EFE" w:rsidP="0054275E">
      <w:pPr>
        <w:pStyle w:val="StandardWeb"/>
        <w:autoSpaceDE w:val="0"/>
        <w:rPr>
          <w:b/>
          <w:i/>
        </w:rPr>
      </w:pPr>
      <w:r>
        <w:rPr>
          <w:rStyle w:val="Hervorhebung"/>
          <w:b/>
          <w:i w:val="0"/>
          <w:iCs/>
        </w:rPr>
        <w:t>II. </w:t>
      </w:r>
      <w:r w:rsidRPr="00551D02">
        <w:rPr>
          <w:rStyle w:val="Hervorhebung"/>
          <w:b/>
          <w:i w:val="0"/>
          <w:iCs/>
        </w:rPr>
        <w:t>Änderungen in Umsetzung des § 8 b ABD Teil E, 1.</w:t>
      </w:r>
      <w:r w:rsidRPr="00551D02">
        <w:rPr>
          <w:b/>
          <w:i/>
        </w:rPr>
        <w:t xml:space="preserve"> </w:t>
      </w:r>
    </w:p>
    <w:p w:rsidR="00BE1EFE" w:rsidRDefault="00BE1EFE" w:rsidP="00073C2F">
      <w:pPr>
        <w:pStyle w:val="StandardWeb"/>
      </w:pPr>
      <w:r>
        <w:t>– Änderung ABD Teil E, 1.</w:t>
      </w:r>
    </w:p>
    <w:p w:rsidR="00BE1EFE" w:rsidRDefault="00BE1EFE">
      <w:pPr>
        <w:pStyle w:val="StandardWeb"/>
        <w:jc w:val="right"/>
      </w:pPr>
      <w:r>
        <w:t>rückwirkend zum 01.01.2008</w:t>
      </w:r>
    </w:p>
    <w:p w:rsidR="00BE1EFE" w:rsidRDefault="00BE1EFE">
      <w:pPr>
        <w:pStyle w:val="StandardWeb"/>
      </w:pPr>
    </w:p>
    <w:p w:rsidR="00BE1EFE" w:rsidRDefault="00BE1EFE" w:rsidP="0054275E">
      <w:pPr>
        <w:pStyle w:val="StandardWeb"/>
        <w:autoSpaceDE w:val="0"/>
      </w:pPr>
      <w:r>
        <w:rPr>
          <w:rStyle w:val="Fett"/>
          <w:bCs/>
        </w:rPr>
        <w:t>Anlage 82</w:t>
      </w:r>
      <w:r>
        <w:t xml:space="preserve"> </w:t>
      </w:r>
      <w:hyperlink r:id="rId1800"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24.</w:t>
      </w:r>
      <w:r w:rsidRPr="0095793E">
        <w:rPr>
          <w:b/>
        </w:rPr>
        <w:t>0</w:t>
      </w:r>
      <w:r>
        <w:rPr>
          <w:b/>
        </w:rPr>
        <w:t>4</w:t>
      </w:r>
      <w:r w:rsidRPr="0095793E">
        <w:rPr>
          <w:b/>
        </w:rPr>
        <w:t>.2008</w:t>
      </w:r>
    </w:p>
    <w:p w:rsidR="00BE1EFE" w:rsidRDefault="00BE1EFE">
      <w:pPr>
        <w:pStyle w:val="StandardWeb"/>
      </w:pPr>
    </w:p>
    <w:p w:rsidR="00BE1EFE" w:rsidRDefault="00BE1EFE">
      <w:pPr>
        <w:pStyle w:val="StandardWeb"/>
      </w:pPr>
      <w:r>
        <w:t>– Ergänzung der staatlichen Beurteilungsrichtlinien</w:t>
      </w:r>
    </w:p>
    <w:p w:rsidR="00BE1EFE" w:rsidRDefault="00BE1EFE" w:rsidP="00992372">
      <w:pPr>
        <w:pStyle w:val="StandardWeb"/>
      </w:pPr>
      <w:r>
        <w:t>hier: Ausgestaltung der Beurteilungskriterien „Beiträge zum kirchlichen Profil der Schule“</w:t>
      </w:r>
    </w:p>
    <w:p w:rsidR="00BE1EFE" w:rsidRDefault="00BE1EFE" w:rsidP="006B0E3C">
      <w:pPr>
        <w:pStyle w:val="StandardWeb"/>
        <w:jc w:val="right"/>
      </w:pPr>
      <w:r>
        <w:t>zum 01.07.2008</w:t>
      </w:r>
    </w:p>
    <w:p w:rsidR="00BE1EFE" w:rsidRDefault="00BE1EFE">
      <w:pPr>
        <w:pStyle w:val="StandardWeb"/>
      </w:pPr>
      <w:r>
        <w:t>– Kirchliche Lehrerdienstordnung (KLDO)</w:t>
      </w:r>
    </w:p>
    <w:p w:rsidR="00BE1EFE" w:rsidRDefault="00BE1EFE">
      <w:pPr>
        <w:pStyle w:val="StandardWeb"/>
      </w:pPr>
      <w:r>
        <w:t>hier: Aufnahme einer entsprechenden Formulierung ins ABD, dass die KLDO Bestandteil der Arbeitsverträge der Lehrkräfte ist</w:t>
      </w:r>
    </w:p>
    <w:p w:rsidR="00BE1EFE" w:rsidRDefault="00BE1EFE" w:rsidP="006B0E3C">
      <w:pPr>
        <w:pStyle w:val="StandardWeb"/>
        <w:spacing w:after="240"/>
        <w:jc w:val="right"/>
      </w:pPr>
      <w:r>
        <w:t>zum 01.07.2008</w:t>
      </w:r>
    </w:p>
    <w:p w:rsidR="00BE1EFE" w:rsidRDefault="00BE1EFE" w:rsidP="0054275E">
      <w:pPr>
        <w:pStyle w:val="StandardWeb"/>
        <w:autoSpaceDE w:val="0"/>
      </w:pPr>
      <w:r>
        <w:rPr>
          <w:rStyle w:val="Fett"/>
          <w:bCs/>
        </w:rPr>
        <w:t>Anlage 81</w:t>
      </w:r>
      <w:r>
        <w:t xml:space="preserve"> </w:t>
      </w:r>
      <w:hyperlink r:id="rId1801"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I. Beschlüsse der Bayerischen Regional-KODA vom </w:t>
      </w:r>
      <w:r>
        <w:rPr>
          <w:b/>
        </w:rPr>
        <w:t>23.04.</w:t>
      </w:r>
      <w:r w:rsidRPr="0095793E">
        <w:rPr>
          <w:b/>
        </w:rPr>
        <w:t>2008</w:t>
      </w:r>
    </w:p>
    <w:p w:rsidR="00BE1EFE" w:rsidRDefault="00BE1EFE">
      <w:pPr>
        <w:pStyle w:val="StandardWeb"/>
      </w:pPr>
    </w:p>
    <w:p w:rsidR="00BE1EFE" w:rsidRDefault="00BE1EFE">
      <w:pPr>
        <w:pStyle w:val="StandardWeb"/>
      </w:pPr>
      <w:r>
        <w:t>– § 6 ABD Teil A, 1. (Regelmäßige Arbeitszeit)</w:t>
      </w:r>
    </w:p>
    <w:p w:rsidR="00BE1EFE" w:rsidRDefault="00BE1EFE" w:rsidP="00992372">
      <w:pPr>
        <w:pStyle w:val="StandardWeb"/>
      </w:pPr>
      <w:r>
        <w:t>hier: Arbeitszeit zum 01.07.2008 bei Teilzeitbeschäftigten</w:t>
      </w:r>
    </w:p>
    <w:p w:rsidR="00BE1EFE" w:rsidRDefault="00BE1EFE">
      <w:pPr>
        <w:pStyle w:val="StandardWeb"/>
        <w:jc w:val="right"/>
      </w:pPr>
      <w:r>
        <w:t>zum 01.06.2008</w:t>
      </w:r>
    </w:p>
    <w:p w:rsidR="00BE1EFE" w:rsidRDefault="00BE1EFE">
      <w:pPr>
        <w:pStyle w:val="StandardWeb"/>
        <w:jc w:val="right"/>
      </w:pPr>
    </w:p>
    <w:p w:rsidR="00BE1EFE" w:rsidRDefault="00BE1EFE">
      <w:pPr>
        <w:pStyle w:val="StandardWeb"/>
      </w:pPr>
      <w:r>
        <w:t>– Änderung der Reisekostenordnung der bayerischen (Erz-) Diözesen (ABD Teil D, 9.)</w:t>
      </w:r>
    </w:p>
    <w:p w:rsidR="00BE1EFE" w:rsidRDefault="00BE1EFE" w:rsidP="00073C2F">
      <w:pPr>
        <w:pStyle w:val="StandardWeb"/>
        <w:jc w:val="right"/>
      </w:pPr>
      <w:r>
        <w:t>zum 01.07.2008</w:t>
      </w:r>
    </w:p>
    <w:p w:rsidR="00BE1EFE" w:rsidRDefault="00BE1EFE">
      <w:pPr>
        <w:pStyle w:val="StandardWeb"/>
      </w:pPr>
    </w:p>
    <w:p w:rsidR="00BE1EFE" w:rsidRDefault="00BE1EFE" w:rsidP="0054275E">
      <w:pPr>
        <w:pStyle w:val="StandardWeb"/>
        <w:autoSpaceDE w:val="0"/>
      </w:pPr>
      <w:r>
        <w:rPr>
          <w:rStyle w:val="Fett"/>
          <w:bCs/>
        </w:rPr>
        <w:t>Anlage 80</w:t>
      </w:r>
      <w:r>
        <w:t xml:space="preserve"> </w:t>
      </w:r>
      <w:hyperlink r:id="rId1802" w:history="1">
        <w:r w:rsidRPr="002D1F1D">
          <w:rPr>
            <w:rStyle w:val="Hyperlink"/>
          </w:rPr>
          <w:t>[herunterladen]</w:t>
        </w:r>
      </w:hyperlink>
    </w:p>
    <w:p w:rsidR="00BE1EFE" w:rsidRDefault="00BE1EFE" w:rsidP="00992372">
      <w:pPr>
        <w:pStyle w:val="StandardWeb"/>
      </w:pPr>
    </w:p>
    <w:p w:rsidR="00BE1EFE" w:rsidRPr="0095793E" w:rsidRDefault="00BE1EFE" w:rsidP="0095793E">
      <w:pPr>
        <w:pStyle w:val="StandardWeb"/>
        <w:rPr>
          <w:b/>
        </w:rPr>
      </w:pPr>
      <w:r w:rsidRPr="0095793E">
        <w:rPr>
          <w:b/>
        </w:rPr>
        <w:t xml:space="preserve">I. Beschlüsse der Bayerischen Regional-KODA vom </w:t>
      </w:r>
      <w:r>
        <w:rPr>
          <w:b/>
        </w:rPr>
        <w:t>12</w:t>
      </w:r>
      <w:r w:rsidRPr="0095793E">
        <w:rPr>
          <w:b/>
        </w:rPr>
        <w:t>./</w:t>
      </w:r>
      <w:r>
        <w:rPr>
          <w:b/>
        </w:rPr>
        <w:t>13</w:t>
      </w:r>
      <w:r w:rsidRPr="0095793E">
        <w:rPr>
          <w:b/>
        </w:rPr>
        <w:t>.0</w:t>
      </w:r>
      <w:r>
        <w:rPr>
          <w:b/>
        </w:rPr>
        <w:t>2</w:t>
      </w:r>
      <w:r w:rsidRPr="0095793E">
        <w:rPr>
          <w:b/>
        </w:rPr>
        <w:t>.2008</w:t>
      </w:r>
    </w:p>
    <w:p w:rsidR="00BE1EFE" w:rsidRDefault="00BE1EFE" w:rsidP="00992372">
      <w:pPr>
        <w:pStyle w:val="StandardWeb"/>
      </w:pPr>
    </w:p>
    <w:p w:rsidR="00BE1EFE" w:rsidRDefault="00BE1EFE" w:rsidP="00992372">
      <w:pPr>
        <w:pStyle w:val="StandardWeb"/>
      </w:pPr>
      <w:r>
        <w:t>– Änderung der Vorbemerkungen zu den Anlagen 3, 3 A und 3 K (ABD Teil A, 3.)</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 11 ABD Teil A, 3. (Kinderbezogene Entgeltbestandteile)</w:t>
      </w:r>
    </w:p>
    <w:p w:rsidR="00BE1EFE" w:rsidRDefault="00BE1EFE">
      <w:pPr>
        <w:pStyle w:val="StandardWeb"/>
        <w:jc w:val="right"/>
      </w:pPr>
      <w:r>
        <w:t>zum 02.01.2008</w:t>
      </w:r>
    </w:p>
    <w:p w:rsidR="00BE1EFE" w:rsidRDefault="00BE1EFE">
      <w:pPr>
        <w:pStyle w:val="StandardWeb"/>
        <w:jc w:val="right"/>
      </w:pPr>
    </w:p>
    <w:p w:rsidR="00BE1EFE" w:rsidRDefault="00BE1EFE">
      <w:pPr>
        <w:pStyle w:val="StandardWeb"/>
      </w:pPr>
      <w:r>
        <w:t>– § 8 ABD Teil A, 1. (Ausgleich für Sonderformen der Arbeit)</w:t>
      </w:r>
    </w:p>
    <w:p w:rsidR="00BE1EFE" w:rsidRDefault="00BE1EFE">
      <w:pPr>
        <w:pStyle w:val="StandardWeb"/>
      </w:pPr>
      <w:r>
        <w:t>hier: Änderung des Absatzes 1 im Sinne einer Anpassung an die Vorgaben des § 7 ABD Teil D, 4.(Arbeitszeitkontenregelung)</w:t>
      </w:r>
    </w:p>
    <w:p w:rsidR="00BE1EFE" w:rsidRDefault="00BE1EFE">
      <w:pPr>
        <w:pStyle w:val="StandardWeb"/>
        <w:jc w:val="right"/>
      </w:pPr>
      <w:r>
        <w:t>zum 01.05.2008</w:t>
      </w:r>
    </w:p>
    <w:p w:rsidR="00BE1EFE" w:rsidRDefault="00BE1EFE" w:rsidP="00551D02">
      <w:pPr>
        <w:pStyle w:val="StandardWeb"/>
        <w:jc w:val="left"/>
      </w:pPr>
    </w:p>
    <w:p w:rsidR="00BE1EFE" w:rsidRDefault="00BE1EFE" w:rsidP="0054275E">
      <w:pPr>
        <w:pStyle w:val="StandardWeb"/>
        <w:autoSpaceDE w:val="0"/>
      </w:pPr>
      <w:r>
        <w:rPr>
          <w:rStyle w:val="Fett"/>
          <w:bCs/>
        </w:rPr>
        <w:t>Anlage 79</w:t>
      </w:r>
      <w:r>
        <w:t xml:space="preserve"> </w:t>
      </w:r>
      <w:hyperlink r:id="rId1803"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u</w:t>
      </w:r>
      <w:r w:rsidRPr="0095793E">
        <w:rPr>
          <w:b/>
        </w:rPr>
        <w:t xml:space="preserve">ss der </w:t>
      </w:r>
      <w:r>
        <w:rPr>
          <w:b/>
        </w:rPr>
        <w:t xml:space="preserve">Lehrerkommission der </w:t>
      </w:r>
      <w:r w:rsidRPr="0095793E">
        <w:rPr>
          <w:b/>
        </w:rPr>
        <w:t xml:space="preserve">Bayerischen Regional-KODA vom </w:t>
      </w:r>
      <w:r>
        <w:rPr>
          <w:b/>
        </w:rPr>
        <w:t>14.</w:t>
      </w:r>
      <w:r w:rsidRPr="0095793E">
        <w:rPr>
          <w:b/>
        </w:rPr>
        <w:t>0</w:t>
      </w:r>
      <w:r>
        <w:rPr>
          <w:b/>
        </w:rPr>
        <w:t>2</w:t>
      </w:r>
      <w:r w:rsidRPr="0095793E">
        <w:rPr>
          <w:b/>
        </w:rPr>
        <w:t>.2008</w:t>
      </w:r>
    </w:p>
    <w:p w:rsidR="00BE1EFE" w:rsidRDefault="00BE1EFE" w:rsidP="00992372">
      <w:pPr>
        <w:pStyle w:val="StandardWeb"/>
      </w:pPr>
    </w:p>
    <w:p w:rsidR="00BE1EFE" w:rsidRDefault="00BE1EFE" w:rsidP="00992372">
      <w:pPr>
        <w:pStyle w:val="StandardWeb"/>
      </w:pPr>
      <w:r>
        <w:t>– Systembetreuer und qualifizierte Beratungslehrer an Realschulen</w:t>
      </w:r>
    </w:p>
    <w:p w:rsidR="00BE1EFE" w:rsidRDefault="00BE1EFE" w:rsidP="00073C2F">
      <w:pPr>
        <w:pStyle w:val="StandardWeb"/>
        <w:jc w:val="right"/>
      </w:pPr>
      <w:r>
        <w:t>zum 01.08.2008</w:t>
      </w:r>
    </w:p>
    <w:p w:rsidR="00BE1EFE" w:rsidRDefault="00BE1EFE" w:rsidP="00073C2F">
      <w:pPr>
        <w:pStyle w:val="StandardWeb"/>
        <w:jc w:val="right"/>
      </w:pPr>
    </w:p>
    <w:p w:rsidR="00BE1EFE" w:rsidRDefault="00BE1EFE" w:rsidP="00073C2F">
      <w:pPr>
        <w:pStyle w:val="StandardWeb"/>
        <w:jc w:val="right"/>
      </w:pPr>
    </w:p>
    <w:p w:rsidR="00BE1EFE" w:rsidRPr="007B1622" w:rsidRDefault="00BE1EFE" w:rsidP="00561A79">
      <w:pPr>
        <w:pStyle w:val="berschrift5"/>
        <w:spacing w:before="0"/>
        <w:rPr>
          <w:lang w:eastAsia="x-none"/>
        </w:rPr>
      </w:pPr>
      <w:bookmarkStart w:id="1170" w:name="_Toc523926686"/>
      <w:r>
        <w:t xml:space="preserve">Beschlüsse </w:t>
      </w:r>
      <w:r>
        <w:rPr>
          <w:lang w:eastAsia="x-none"/>
        </w:rPr>
        <w:t>20</w:t>
      </w:r>
      <w:r>
        <w:t>07</w:t>
      </w:r>
      <w:bookmarkEnd w:id="1170"/>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78</w:t>
      </w:r>
      <w:r>
        <w:t xml:space="preserve"> </w:t>
      </w:r>
      <w:hyperlink r:id="rId1804" w:history="1">
        <w:r w:rsidRPr="002D1F1D">
          <w:rPr>
            <w:rStyle w:val="Hyperlink"/>
          </w:rPr>
          <w:t>[herunterladen]</w:t>
        </w:r>
      </w:hyperlink>
    </w:p>
    <w:p w:rsidR="00BE1EFE" w:rsidRDefault="00BE1EFE">
      <w:pPr>
        <w:pStyle w:val="StandardWeb"/>
      </w:pPr>
    </w:p>
    <w:p w:rsidR="00BE1EFE" w:rsidRPr="0095793E" w:rsidRDefault="00BE1EFE">
      <w:pPr>
        <w:pStyle w:val="StandardWeb"/>
        <w:rPr>
          <w:b/>
        </w:rPr>
      </w:pPr>
      <w:r w:rsidRPr="0095793E">
        <w:rPr>
          <w:b/>
        </w:rPr>
        <w:t>I. Beschluss der Zentral-KODA vom 01.10.2007</w:t>
      </w:r>
    </w:p>
    <w:p w:rsidR="00BE1EFE" w:rsidRDefault="00BE1EFE">
      <w:pPr>
        <w:pStyle w:val="StandardWeb"/>
      </w:pPr>
    </w:p>
    <w:p w:rsidR="00BE1EFE" w:rsidRDefault="00BE1EFE">
      <w:pPr>
        <w:pStyle w:val="StandardWeb"/>
      </w:pPr>
      <w:r>
        <w:t>– Entgeltumwandlung</w:t>
      </w:r>
    </w:p>
    <w:p w:rsidR="00BE1EFE" w:rsidRDefault="00BE1EFE" w:rsidP="0095793E">
      <w:pPr>
        <w:pStyle w:val="StandardWeb"/>
        <w:jc w:val="right"/>
      </w:pPr>
      <w:r>
        <w:t>zum 01.02.2008</w:t>
      </w:r>
    </w:p>
    <w:p w:rsidR="00BE1EFE" w:rsidRDefault="00BE1EFE">
      <w:pPr>
        <w:pStyle w:val="StandardWeb"/>
      </w:pPr>
    </w:p>
    <w:p w:rsidR="00BE1EFE" w:rsidRPr="0095793E" w:rsidRDefault="00BE1EFE" w:rsidP="0095793E">
      <w:pPr>
        <w:pStyle w:val="StandardWeb"/>
        <w:rPr>
          <w:b/>
        </w:rPr>
      </w:pPr>
      <w:r>
        <w:rPr>
          <w:b/>
        </w:rPr>
        <w:t>I</w:t>
      </w:r>
      <w:r w:rsidRPr="0095793E">
        <w:rPr>
          <w:b/>
        </w:rPr>
        <w:t xml:space="preserve">I. Beschlüsse der Bayerischen Regional-KODA vom </w:t>
      </w:r>
      <w:r>
        <w:rPr>
          <w:b/>
        </w:rPr>
        <w:t>11</w:t>
      </w:r>
      <w:r w:rsidRPr="0095793E">
        <w:rPr>
          <w:b/>
        </w:rPr>
        <w:t>./</w:t>
      </w:r>
      <w:r>
        <w:rPr>
          <w:b/>
        </w:rPr>
        <w:t>12</w:t>
      </w:r>
      <w:r w:rsidRPr="0095793E">
        <w:rPr>
          <w:b/>
        </w:rPr>
        <w:t>.</w:t>
      </w:r>
      <w:r>
        <w:rPr>
          <w:b/>
        </w:rPr>
        <w:t>12</w:t>
      </w:r>
      <w:r w:rsidRPr="0095793E">
        <w:rPr>
          <w:b/>
        </w:rPr>
        <w:t>.200</w:t>
      </w:r>
      <w:r>
        <w:rPr>
          <w:b/>
        </w:rPr>
        <w:t>7</w:t>
      </w:r>
    </w:p>
    <w:p w:rsidR="00BE1EFE" w:rsidRDefault="00BE1EFE">
      <w:pPr>
        <w:pStyle w:val="StandardWeb"/>
      </w:pPr>
    </w:p>
    <w:p w:rsidR="00BE1EFE" w:rsidRDefault="00BE1EFE">
      <w:pPr>
        <w:pStyle w:val="StandardWeb"/>
      </w:pPr>
      <w:r>
        <w:t>– § 5 ABD Teil A, 1. (Qualifizierung)</w:t>
      </w:r>
    </w:p>
    <w:p w:rsidR="00BE1EFE" w:rsidRDefault="00BE1EFE">
      <w:pPr>
        <w:pStyle w:val="StandardWeb"/>
      </w:pPr>
      <w:r>
        <w:t>§ 39 ABD Teil A, 1. (Reisekosten)</w:t>
      </w:r>
    </w:p>
    <w:p w:rsidR="00BE1EFE" w:rsidRDefault="00BE1EFE">
      <w:pPr>
        <w:pStyle w:val="StandardWeb"/>
      </w:pPr>
      <w:r>
        <w:t>hier: Änderung reisekostenrechtlicher Vorschriften</w:t>
      </w:r>
    </w:p>
    <w:p w:rsidR="00BE1EFE" w:rsidRDefault="00BE1EFE">
      <w:pPr>
        <w:pStyle w:val="StandardWeb"/>
        <w:jc w:val="right"/>
      </w:pPr>
      <w:r>
        <w:t>zum 01.03.2008</w:t>
      </w:r>
    </w:p>
    <w:p w:rsidR="00BE1EFE" w:rsidRDefault="00BE1EFE">
      <w:pPr>
        <w:pStyle w:val="StandardWeb"/>
        <w:jc w:val="right"/>
      </w:pPr>
    </w:p>
    <w:p w:rsidR="00BE1EFE" w:rsidRDefault="00BE1EFE">
      <w:pPr>
        <w:pStyle w:val="StandardWeb"/>
      </w:pPr>
      <w:r>
        <w:t>– § 11 ABD Teil A, 3. (Kinderbezogene Entgeltbestandteile)</w:t>
      </w:r>
    </w:p>
    <w:p w:rsidR="00BE1EFE" w:rsidRDefault="00BE1EFE">
      <w:pPr>
        <w:pStyle w:val="StandardWeb"/>
      </w:pPr>
      <w:r>
        <w:t>hier: Änderung und Ergänzung des Absatzes 1</w:t>
      </w:r>
    </w:p>
    <w:p w:rsidR="00BE1EFE" w:rsidRDefault="00BE1EFE">
      <w:pPr>
        <w:pStyle w:val="StandardWeb"/>
        <w:jc w:val="right"/>
      </w:pPr>
      <w:r>
        <w:t>zum 01.01.2008</w:t>
      </w:r>
    </w:p>
    <w:p w:rsidR="00BE1EFE" w:rsidRDefault="00BE1EFE">
      <w:pPr>
        <w:pStyle w:val="StandardWeb"/>
        <w:jc w:val="right"/>
      </w:pPr>
    </w:p>
    <w:p w:rsidR="00BE1EFE" w:rsidRDefault="00BE1EFE">
      <w:pPr>
        <w:pStyle w:val="StandardWeb"/>
      </w:pPr>
      <w:r>
        <w:t>– § 17 a ABD Teil A, 3. (Sonderregelung bei Wechsel des Arbeitgebers)</w:t>
      </w:r>
    </w:p>
    <w:p w:rsidR="00BE1EFE" w:rsidRDefault="00BE1EFE">
      <w:pPr>
        <w:pStyle w:val="StandardWeb"/>
      </w:pPr>
      <w:r>
        <w:t>hier: Verlängerung der Befristung von Ziffer 4</w:t>
      </w:r>
    </w:p>
    <w:p w:rsidR="00BE1EFE" w:rsidRDefault="00BE1EFE">
      <w:pPr>
        <w:pStyle w:val="StandardWeb"/>
        <w:jc w:val="right"/>
      </w:pPr>
      <w:r>
        <w:lastRenderedPageBreak/>
        <w:t>zum 31.12.2007</w:t>
      </w:r>
    </w:p>
    <w:p w:rsidR="00BE1EFE" w:rsidRDefault="00BE1EFE">
      <w:pPr>
        <w:pStyle w:val="StandardWeb"/>
        <w:jc w:val="right"/>
      </w:pPr>
    </w:p>
    <w:p w:rsidR="00BE1EFE" w:rsidRDefault="00BE1EFE">
      <w:pPr>
        <w:pStyle w:val="StandardWeb"/>
      </w:pPr>
      <w:r>
        <w:t>– Anlage 3 K zu ABD Teil A, 3.</w:t>
      </w:r>
    </w:p>
    <w:p w:rsidR="00BE1EFE" w:rsidRDefault="00BE1EFE">
      <w:pPr>
        <w:pStyle w:val="StandardWeb"/>
      </w:pPr>
      <w:r>
        <w:t>Strukturausgleiche für nach Anlage 2 K übergeleitete Beschäftigte (kirchenspezifische Berufe)</w:t>
      </w:r>
    </w:p>
    <w:p w:rsidR="00BE1EFE" w:rsidRDefault="00BE1EFE">
      <w:pPr>
        <w:pStyle w:val="StandardWeb"/>
      </w:pPr>
      <w:r>
        <w:t>hier: Änderung der Vorbemerkungen</w:t>
      </w:r>
    </w:p>
    <w:p w:rsidR="00BE1EFE" w:rsidRDefault="00BE1EFE">
      <w:pPr>
        <w:pStyle w:val="StandardWeb"/>
        <w:jc w:val="right"/>
      </w:pPr>
      <w:r>
        <w:t>zum 01.10.2007</w:t>
      </w:r>
    </w:p>
    <w:p w:rsidR="00BE1EFE" w:rsidRDefault="00BE1EFE">
      <w:pPr>
        <w:pStyle w:val="StandardWeb"/>
        <w:jc w:val="right"/>
      </w:pPr>
    </w:p>
    <w:p w:rsidR="00BE1EFE" w:rsidRDefault="00BE1EFE">
      <w:pPr>
        <w:pStyle w:val="StandardWeb"/>
      </w:pPr>
      <w:r>
        <w:t>– Änderung von Bestimmungen der Regelung über eine ergänzende Leistung für Mitarbeiter (sog. Ballungsraumzulage) (ABD Teil D, 8.)</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Änderung von Bestimmungen der „Ordnung über die betriebliche Altersversorgung der bei der Bayerischen Versorgungskammer – Zusatzversorgungskasse der bayerischen Gemein</w:t>
      </w:r>
      <w:r>
        <w:softHyphen/>
        <w:t>den – versicherten Mitarbeiter im kirchlichen Dienst – Versorgungsordnung A –“ (ABD Teil D, 10 a)</w:t>
      </w:r>
    </w:p>
    <w:p w:rsidR="00BE1EFE" w:rsidRDefault="00BE1EFE">
      <w:pPr>
        <w:pStyle w:val="StandardWeb"/>
        <w:jc w:val="right"/>
      </w:pPr>
      <w:r>
        <w:t>Nrn. 1 – 12, 14, 16, 17 und 19 zum 01.01.2007</w:t>
      </w:r>
    </w:p>
    <w:p w:rsidR="00BE1EFE" w:rsidRDefault="00BE1EFE">
      <w:pPr>
        <w:pStyle w:val="StandardWeb"/>
        <w:jc w:val="right"/>
      </w:pPr>
      <w:r>
        <w:t>Nrn. 13 und 18 zum 01.01.2008</w:t>
      </w:r>
    </w:p>
    <w:p w:rsidR="00BE1EFE" w:rsidRDefault="00BE1EFE">
      <w:pPr>
        <w:pStyle w:val="StandardWeb"/>
        <w:jc w:val="right"/>
      </w:pPr>
      <w:r>
        <w:t>Nr. 15 zum 01.01.2001</w:t>
      </w:r>
    </w:p>
    <w:p w:rsidR="00BE1EFE" w:rsidRDefault="00BE1EFE" w:rsidP="0054275E">
      <w:pPr>
        <w:pStyle w:val="StandardWeb"/>
        <w:autoSpaceDE w:val="0"/>
      </w:pPr>
      <w:r>
        <w:rPr>
          <w:rStyle w:val="Fett"/>
          <w:bCs/>
        </w:rPr>
        <w:t>Anlage 77</w:t>
      </w:r>
      <w:r>
        <w:t xml:space="preserve"> </w:t>
      </w:r>
      <w:hyperlink r:id="rId1805"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13.12.2007</w:t>
      </w:r>
    </w:p>
    <w:p w:rsidR="00BE1EFE" w:rsidRDefault="00BE1EFE">
      <w:pPr>
        <w:pStyle w:val="StandardWeb"/>
      </w:pPr>
    </w:p>
    <w:p w:rsidR="00BE1EFE" w:rsidRDefault="00BE1EFE">
      <w:pPr>
        <w:pStyle w:val="StandardWeb"/>
      </w:pPr>
      <w:r>
        <w:t>Lehrkräfte an Realschulen mit Führungsaufgaben</w:t>
      </w:r>
    </w:p>
    <w:p w:rsidR="00BE1EFE" w:rsidRDefault="00BE1EFE" w:rsidP="0095793E">
      <w:pPr>
        <w:pStyle w:val="StandardWeb"/>
        <w:jc w:val="right"/>
      </w:pPr>
      <w:r>
        <w:t>zum 01.08.2008</w:t>
      </w:r>
    </w:p>
    <w:p w:rsidR="00BE1EFE" w:rsidRDefault="00BE1EFE">
      <w:pPr>
        <w:pStyle w:val="StandardWeb"/>
      </w:pPr>
    </w:p>
    <w:p w:rsidR="00BE1EFE" w:rsidRDefault="00BE1EFE">
      <w:pPr>
        <w:pStyle w:val="StandardWeb"/>
      </w:pPr>
      <w:r>
        <w:t>– Nr. 6 der Sonderregelungen für die Arbeitsverhältnisse von Lehrkräften an Realschulen und Gymnasien</w:t>
      </w:r>
    </w:p>
    <w:p w:rsidR="00BE1EFE" w:rsidRDefault="00BE1EFE" w:rsidP="00992372">
      <w:pPr>
        <w:pStyle w:val="StandardWeb"/>
      </w:pPr>
      <w:r>
        <w:t>hier: Ergänzung der Voraussetzungen zur Gewährung der Zulage</w:t>
      </w:r>
    </w:p>
    <w:p w:rsidR="00BE1EFE" w:rsidRDefault="00BE1EFE">
      <w:pPr>
        <w:pStyle w:val="StandardWeb"/>
        <w:jc w:val="right"/>
      </w:pPr>
      <w:r>
        <w:t>rückwirkend zum 01.11.2007</w:t>
      </w:r>
    </w:p>
    <w:p w:rsidR="00BE1EFE" w:rsidRDefault="00BE1EFE">
      <w:pPr>
        <w:pStyle w:val="StandardWeb"/>
      </w:pPr>
    </w:p>
    <w:p w:rsidR="00BE1EFE" w:rsidRDefault="00BE1EFE" w:rsidP="0054275E">
      <w:pPr>
        <w:pStyle w:val="StandardWeb"/>
        <w:autoSpaceDE w:val="0"/>
      </w:pPr>
      <w:r>
        <w:rPr>
          <w:rStyle w:val="Fett"/>
          <w:bCs/>
        </w:rPr>
        <w:t>Anlage 76</w:t>
      </w:r>
      <w:r>
        <w:t xml:space="preserve"> </w:t>
      </w:r>
      <w:hyperlink r:id="rId1806"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16.10.</w:t>
      </w:r>
      <w:r w:rsidRPr="0095793E">
        <w:rPr>
          <w:b/>
        </w:rPr>
        <w:t>200</w:t>
      </w:r>
      <w:r>
        <w:rPr>
          <w:b/>
        </w:rPr>
        <w:t>7</w:t>
      </w:r>
    </w:p>
    <w:p w:rsidR="00BE1EFE" w:rsidRDefault="00BE1EFE" w:rsidP="00992372">
      <w:pPr>
        <w:pStyle w:val="StandardWeb"/>
      </w:pPr>
    </w:p>
    <w:p w:rsidR="00BE1EFE" w:rsidRDefault="00BE1EFE" w:rsidP="00992372">
      <w:pPr>
        <w:pStyle w:val="StandardWeb"/>
      </w:pPr>
      <w:r>
        <w:t>– Beschluss zur Änderung von Bestimmungen über das Leistungsentgelt und zur Gewährung einer Besonderen Einmalzahlung</w:t>
      </w:r>
    </w:p>
    <w:p w:rsidR="00BE1EFE" w:rsidRDefault="00BE1EFE">
      <w:pPr>
        <w:pStyle w:val="StandardWeb"/>
        <w:jc w:val="right"/>
      </w:pPr>
      <w:r>
        <w:t>rückwirkend zum 01.01.2007 und zum 01.09.2007</w:t>
      </w:r>
    </w:p>
    <w:p w:rsidR="00BE1EFE" w:rsidRDefault="00BE1EFE">
      <w:pPr>
        <w:pStyle w:val="StandardWeb"/>
        <w:jc w:val="right"/>
      </w:pPr>
    </w:p>
    <w:p w:rsidR="00BE1EFE" w:rsidRDefault="00BE1EFE">
      <w:pPr>
        <w:pStyle w:val="StandardWeb"/>
      </w:pPr>
      <w:r>
        <w:t>– Anlage 3 K zu ABD Teil A, 3.</w:t>
      </w:r>
    </w:p>
    <w:p w:rsidR="00BE1EFE" w:rsidRDefault="00BE1EFE">
      <w:pPr>
        <w:pStyle w:val="StandardWeb"/>
      </w:pPr>
      <w:r>
        <w:t xml:space="preserve">Strukturausgleiche für nach Anlage 2 K übergeleitete Beschäftigte (kirchenspezifische Berufe) </w:t>
      </w:r>
    </w:p>
    <w:p w:rsidR="00BE1EFE" w:rsidRDefault="00BE1EFE">
      <w:pPr>
        <w:pStyle w:val="StandardWeb"/>
      </w:pPr>
      <w:r>
        <w:t>hier: Ergänzung der Vorbemerkungen; Umgang mit Strukturausgleichen bei kirchenspezi</w:t>
      </w:r>
      <w:r>
        <w:softHyphen/>
        <w:t>fischen Berufen</w:t>
      </w:r>
    </w:p>
    <w:p w:rsidR="00BE1EFE" w:rsidRDefault="00BE1EFE">
      <w:pPr>
        <w:pStyle w:val="StandardWeb"/>
        <w:jc w:val="right"/>
      </w:pPr>
      <w:r>
        <w:t>zum 01.10.2007</w:t>
      </w:r>
    </w:p>
    <w:p w:rsidR="00BE1EFE" w:rsidRDefault="00BE1EFE">
      <w:pPr>
        <w:pStyle w:val="StandardWeb"/>
      </w:pPr>
    </w:p>
    <w:p w:rsidR="00BE1EFE" w:rsidRDefault="00BE1EFE">
      <w:pPr>
        <w:pStyle w:val="StandardWeb"/>
      </w:pPr>
      <w:r>
        <w:t>– § 5 a ABD Teil A, 1. (Freiwillige Fortbildung) und § 9 Abs. 3 ABD Teil C, 2. (Dienstordnung für Gemeindereferentinnen und Gemeindereferenten in den bayerischen (Erz-)Diözesen)</w:t>
      </w:r>
    </w:p>
    <w:p w:rsidR="00BE1EFE" w:rsidRDefault="00BE1EFE">
      <w:pPr>
        <w:pStyle w:val="StandardWeb"/>
      </w:pPr>
      <w:r>
        <w:t>hier: Änderungen</w:t>
      </w:r>
    </w:p>
    <w:p w:rsidR="00BE1EFE" w:rsidRDefault="00BE1EFE" w:rsidP="006B0E3C">
      <w:pPr>
        <w:pStyle w:val="StandardWeb"/>
        <w:jc w:val="right"/>
      </w:pPr>
      <w:r>
        <w:t>zum 01.01.2008</w:t>
      </w:r>
    </w:p>
    <w:p w:rsidR="00BE1EFE" w:rsidRDefault="00BE1EFE" w:rsidP="006B0E3C">
      <w:pPr>
        <w:pStyle w:val="StandardWeb"/>
        <w:jc w:val="right"/>
      </w:pPr>
    </w:p>
    <w:p w:rsidR="00BE1EFE" w:rsidRDefault="00BE1EFE">
      <w:pPr>
        <w:pStyle w:val="StandardWeb"/>
      </w:pPr>
      <w:r>
        <w:t>– § 34 ABD Teil A, 1. (Kündigung des Arbeitsverhältnisses) und ABD Teil A, 2.14 (Lohn</w:t>
      </w:r>
      <w:r>
        <w:softHyphen/>
        <w:t>gruppenverzeichnis)</w:t>
      </w:r>
    </w:p>
    <w:p w:rsidR="00BE1EFE" w:rsidRDefault="00BE1EFE">
      <w:pPr>
        <w:pStyle w:val="StandardWeb"/>
      </w:pPr>
      <w:r>
        <w:t>hier: Anrechnung von Zeiten geringfügiger Beschäftigung vor dem 01.01.2001 bzw. 01.01.2002</w:t>
      </w:r>
    </w:p>
    <w:p w:rsidR="00BE1EFE" w:rsidRDefault="00BE1EFE">
      <w:pPr>
        <w:pStyle w:val="StandardWeb"/>
        <w:jc w:val="right"/>
      </w:pPr>
      <w:r>
        <w:lastRenderedPageBreak/>
        <w:t>zum 01.01.2008</w:t>
      </w:r>
    </w:p>
    <w:p w:rsidR="00BE1EFE" w:rsidRDefault="00BE1EFE">
      <w:pPr>
        <w:pStyle w:val="StandardWeb"/>
      </w:pPr>
      <w:r>
        <w:t>– § 24 ABD Teil A, 1. (Berechnung und Auszahlung des Entgelts)</w:t>
      </w:r>
    </w:p>
    <w:p w:rsidR="00BE1EFE" w:rsidRDefault="00BE1EFE">
      <w:pPr>
        <w:pStyle w:val="StandardWeb"/>
      </w:pPr>
      <w:r>
        <w:t>hier: Ergänzung des § 24 ABD Teil A, 1. um einen Absatz 8; Verzicht auf Entgeltbestandteile durch geringfügig Beschäftigte</w:t>
      </w:r>
    </w:p>
    <w:p w:rsidR="00BE1EFE" w:rsidRDefault="00BE1EFE">
      <w:pPr>
        <w:pStyle w:val="StandardWeb"/>
        <w:jc w:val="right"/>
      </w:pPr>
      <w:r>
        <w:t>rückwirkend zum 01.10.2007</w:t>
      </w:r>
    </w:p>
    <w:p w:rsidR="00BE1EFE" w:rsidRDefault="00BE1EFE">
      <w:pPr>
        <w:pStyle w:val="StandardWeb"/>
      </w:pPr>
      <w:r>
        <w:t>– Feststellungs- und Redaktionsbeschluss</w:t>
      </w:r>
    </w:p>
    <w:p w:rsidR="00BE1EFE" w:rsidRDefault="00BE1EFE">
      <w:pPr>
        <w:pStyle w:val="StandardWeb"/>
      </w:pPr>
      <w:r>
        <w:t>hier: Änderung in Umsetzung der Präambel</w:t>
      </w:r>
    </w:p>
    <w:p w:rsidR="00BE1EFE" w:rsidRDefault="00BE1EFE">
      <w:pPr>
        <w:pStyle w:val="StandardWeb"/>
        <w:jc w:val="right"/>
      </w:pPr>
      <w:r>
        <w:t>rückwirkend zum 01.09.2007</w:t>
      </w:r>
    </w:p>
    <w:p w:rsidR="00BE1EFE" w:rsidRDefault="00BE1EFE">
      <w:pPr>
        <w:pStyle w:val="StandardWeb"/>
      </w:pPr>
    </w:p>
    <w:p w:rsidR="00BE1EFE" w:rsidRDefault="00BE1EFE" w:rsidP="0054275E">
      <w:pPr>
        <w:pStyle w:val="StandardWeb"/>
        <w:autoSpaceDE w:val="0"/>
      </w:pPr>
      <w:r>
        <w:rPr>
          <w:rStyle w:val="Fett"/>
          <w:bCs/>
        </w:rPr>
        <w:t>Anlage 75</w:t>
      </w:r>
      <w:r>
        <w:t xml:space="preserve"> </w:t>
      </w:r>
      <w:hyperlink r:id="rId1807" w:history="1">
        <w:r w:rsidRPr="002D1F1D">
          <w:rPr>
            <w:rStyle w:val="Hyperlink"/>
          </w:rPr>
          <w:t>[herunterladen]</w:t>
        </w:r>
      </w:hyperlink>
    </w:p>
    <w:p w:rsidR="00BE1EFE" w:rsidRDefault="00BE1EFE">
      <w:pPr>
        <w:pStyle w:val="StandardWeb"/>
      </w:pPr>
    </w:p>
    <w:p w:rsidR="00BE1EFE" w:rsidRDefault="00BE1EFE" w:rsidP="0095793E">
      <w:pPr>
        <w:pStyle w:val="StandardWeb"/>
        <w:rPr>
          <w:b/>
        </w:rPr>
      </w:pPr>
      <w:r w:rsidRPr="0095793E">
        <w:rPr>
          <w:b/>
        </w:rPr>
        <w:t xml:space="preserve">Beschlüsse der Bayerischen Regional-KODA vom </w:t>
      </w:r>
      <w:r>
        <w:rPr>
          <w:b/>
        </w:rPr>
        <w:t>10./11</w:t>
      </w:r>
      <w:r w:rsidRPr="0095793E">
        <w:rPr>
          <w:b/>
        </w:rPr>
        <w:t>.</w:t>
      </w:r>
      <w:r>
        <w:rPr>
          <w:b/>
        </w:rPr>
        <w:t xml:space="preserve"> und 19</w:t>
      </w:r>
      <w:r w:rsidRPr="0095793E">
        <w:rPr>
          <w:b/>
        </w:rPr>
        <w:t>.</w:t>
      </w:r>
      <w:r>
        <w:rPr>
          <w:b/>
        </w:rPr>
        <w:t>07</w:t>
      </w:r>
      <w:r w:rsidRPr="0095793E">
        <w:rPr>
          <w:b/>
        </w:rPr>
        <w:t>.200</w:t>
      </w:r>
      <w:r>
        <w:rPr>
          <w:b/>
        </w:rPr>
        <w:t>7</w:t>
      </w:r>
    </w:p>
    <w:p w:rsidR="00BE1EFE" w:rsidRPr="0095793E" w:rsidRDefault="00BE1EFE" w:rsidP="0095793E">
      <w:pPr>
        <w:pStyle w:val="StandardWeb"/>
        <w:rPr>
          <w:b/>
        </w:rPr>
      </w:pPr>
    </w:p>
    <w:p w:rsidR="00BE1EFE" w:rsidRDefault="00BE1EFE">
      <w:pPr>
        <w:pStyle w:val="StandardWeb"/>
      </w:pPr>
      <w:r>
        <w:t>– § 3 ABD Teil A, 1. (Allgemeine Arbeitsbedingungen)</w:t>
      </w:r>
    </w:p>
    <w:p w:rsidR="00BE1EFE" w:rsidRDefault="00BE1EFE">
      <w:pPr>
        <w:pStyle w:val="StandardWeb"/>
      </w:pPr>
      <w:r>
        <w:t>hier: Ergänzung des Absatzes 5 um eine Protokollnotiz</w:t>
      </w:r>
    </w:p>
    <w:p w:rsidR="00BE1EFE" w:rsidRDefault="00BE1EFE">
      <w:pPr>
        <w:pStyle w:val="StandardWeb"/>
        <w:jc w:val="right"/>
      </w:pPr>
      <w:r>
        <w:t>zum 01.09.2007</w:t>
      </w:r>
    </w:p>
    <w:p w:rsidR="00BE1EFE" w:rsidRDefault="00BE1EFE">
      <w:pPr>
        <w:pStyle w:val="StandardWeb"/>
      </w:pPr>
      <w:r>
        <w:t>– § 16 ABD Teil A, 1. (Stufen der Entgelttabelle)</w:t>
      </w:r>
    </w:p>
    <w:p w:rsidR="00BE1EFE" w:rsidRDefault="00BE1EFE">
      <w:pPr>
        <w:pStyle w:val="StandardWeb"/>
        <w:jc w:val="right"/>
      </w:pPr>
      <w:r>
        <w:t>zum 01.09.2007</w:t>
      </w:r>
    </w:p>
    <w:p w:rsidR="00BE1EFE" w:rsidRDefault="00BE1EFE">
      <w:pPr>
        <w:pStyle w:val="StandardWeb"/>
      </w:pPr>
      <w:r>
        <w:t>– Anhang zu § 16 ABD Teil A, 1.</w:t>
      </w:r>
    </w:p>
    <w:p w:rsidR="00BE1EFE" w:rsidRDefault="00BE1EFE">
      <w:pPr>
        <w:pStyle w:val="StandardWeb"/>
        <w:jc w:val="right"/>
      </w:pPr>
      <w:r>
        <w:t>zum 01.09.2007</w:t>
      </w:r>
    </w:p>
    <w:p w:rsidR="00BE1EFE" w:rsidRDefault="00BE1EFE">
      <w:pPr>
        <w:pStyle w:val="StandardWeb"/>
      </w:pPr>
      <w:r>
        <w:t>– § 23 ABD Teil A, 1. (Besondere Zahlungen)</w:t>
      </w:r>
    </w:p>
    <w:p w:rsidR="00BE1EFE" w:rsidRDefault="00BE1EFE">
      <w:pPr>
        <w:pStyle w:val="StandardWeb"/>
      </w:pPr>
      <w:r>
        <w:t>hier: Gleichstellung von Praktikumszeiten mit Ausbildungszeiten</w:t>
      </w:r>
    </w:p>
    <w:p w:rsidR="00BE1EFE" w:rsidRDefault="00BE1EFE">
      <w:pPr>
        <w:pStyle w:val="StandardWeb"/>
        <w:jc w:val="right"/>
      </w:pPr>
      <w:r>
        <w:t>zum 01.09.2007</w:t>
      </w:r>
    </w:p>
    <w:p w:rsidR="00BE1EFE" w:rsidRDefault="00BE1EFE">
      <w:pPr>
        <w:pStyle w:val="StandardWeb"/>
      </w:pPr>
      <w:r>
        <w:t>– § 8 ABD Teil A, 3. (Bewährungs- und Fallgruppenaufstiege)</w:t>
      </w:r>
    </w:p>
    <w:p w:rsidR="00BE1EFE" w:rsidRDefault="00BE1EFE">
      <w:pPr>
        <w:pStyle w:val="StandardWeb"/>
      </w:pPr>
      <w:r>
        <w:t>hier: Ergänzung des Absatzes 2 um eine Protokollnotiz</w:t>
      </w:r>
    </w:p>
    <w:p w:rsidR="00BE1EFE" w:rsidRDefault="00BE1EFE">
      <w:pPr>
        <w:pStyle w:val="StandardWeb"/>
        <w:jc w:val="right"/>
      </w:pPr>
      <w:r>
        <w:t>zum 01.09.2007</w:t>
      </w:r>
    </w:p>
    <w:p w:rsidR="00BE1EFE" w:rsidRDefault="00BE1EFE">
      <w:pPr>
        <w:pStyle w:val="StandardWeb"/>
      </w:pPr>
      <w:r>
        <w:t>– § 8 a ABD Teil A, 3. (Mehrfachaufstiege bei kirchenspezifischen Berufen)</w:t>
      </w:r>
    </w:p>
    <w:p w:rsidR="00BE1EFE" w:rsidRDefault="00BE1EFE">
      <w:pPr>
        <w:pStyle w:val="StandardWeb"/>
        <w:jc w:val="right"/>
      </w:pPr>
      <w:r>
        <w:t>zum 01.10.2007</w:t>
      </w:r>
    </w:p>
    <w:p w:rsidR="00BE1EFE" w:rsidRDefault="00BE1EFE">
      <w:pPr>
        <w:pStyle w:val="StandardWeb"/>
      </w:pPr>
      <w:r>
        <w:t>– § 19 ABD Teil A, 3. (Entgeltgruppe 2 Ü und 15 Ü)</w:t>
      </w:r>
    </w:p>
    <w:p w:rsidR="00BE1EFE" w:rsidRDefault="00BE1EFE">
      <w:pPr>
        <w:pStyle w:val="StandardWeb"/>
      </w:pPr>
      <w:r>
        <w:t>hier: Änderung in Umsetzung der Präambel</w:t>
      </w:r>
    </w:p>
    <w:p w:rsidR="00BE1EFE" w:rsidRDefault="00BE1EFE" w:rsidP="00C02DBD">
      <w:pPr>
        <w:pStyle w:val="StandardWeb"/>
        <w:jc w:val="right"/>
      </w:pPr>
      <w:r>
        <w:t>zum 01.09.2007</w:t>
      </w:r>
    </w:p>
    <w:p w:rsidR="00BE1EFE" w:rsidRDefault="00BE1EFE">
      <w:pPr>
        <w:pStyle w:val="StandardWeb"/>
      </w:pPr>
      <w:r>
        <w:t>– Anlage 3 K zu ABD Teil A, 3.</w:t>
      </w:r>
    </w:p>
    <w:p w:rsidR="00BE1EFE" w:rsidRDefault="00BE1EFE">
      <w:pPr>
        <w:pStyle w:val="StandardWeb"/>
      </w:pPr>
      <w:r>
        <w:t>Strukturausgleiche für nach Anlage 2 K übergeleitete Beschäftigte (kirchenspezifische Berufe)</w:t>
      </w:r>
    </w:p>
    <w:p w:rsidR="00BE1EFE" w:rsidRDefault="00BE1EFE">
      <w:pPr>
        <w:pStyle w:val="StandardWeb"/>
      </w:pPr>
      <w:r>
        <w:t>hier: Ergänzung der Entgeltgruppe 14</w:t>
      </w:r>
    </w:p>
    <w:p w:rsidR="00BE1EFE" w:rsidRDefault="00BE1EFE">
      <w:pPr>
        <w:pStyle w:val="StandardWeb"/>
        <w:jc w:val="right"/>
      </w:pPr>
      <w:r>
        <w:t>zum 01.09.2007</w:t>
      </w:r>
    </w:p>
    <w:p w:rsidR="00BE1EFE" w:rsidRDefault="00BE1EFE">
      <w:pPr>
        <w:pStyle w:val="StandardWeb"/>
      </w:pPr>
      <w:r>
        <w:t>– Regelung der Altersteilzeitarbeit (ABD Teil D, 6.)</w:t>
      </w:r>
    </w:p>
    <w:p w:rsidR="00BE1EFE" w:rsidRDefault="00BE1EFE">
      <w:pPr>
        <w:pStyle w:val="StandardWeb"/>
      </w:pPr>
      <w:r>
        <w:t>hier: redaktionelle Änderungen</w:t>
      </w:r>
    </w:p>
    <w:p w:rsidR="00BE1EFE" w:rsidRDefault="00BE1EFE">
      <w:pPr>
        <w:pStyle w:val="StandardWeb"/>
        <w:jc w:val="right"/>
      </w:pPr>
      <w:r>
        <w:t>zum 01.09.2007</w:t>
      </w:r>
    </w:p>
    <w:p w:rsidR="00BE1EFE" w:rsidRDefault="00BE1EFE">
      <w:pPr>
        <w:pStyle w:val="StandardWeb"/>
      </w:pPr>
      <w:r>
        <w:t xml:space="preserve">– Sonderregelung zum Entgelt </w:t>
      </w:r>
    </w:p>
    <w:p w:rsidR="00BE1EFE" w:rsidRDefault="00BE1EFE">
      <w:pPr>
        <w:pStyle w:val="StandardWeb"/>
      </w:pPr>
      <w:r>
        <w:t xml:space="preserve">für Pastoralassistentinnen/Pastoralassistenten im Vorbereitungsdienst in der Diözese Eichstätt und </w:t>
      </w:r>
    </w:p>
    <w:p w:rsidR="00BE1EFE" w:rsidRDefault="00BE1EFE">
      <w:pPr>
        <w:pStyle w:val="StandardWeb"/>
      </w:pPr>
      <w:r>
        <w:t>für Pastoralpraktikantinnen/Pastoralpraktikanten in den Diözesen Regensburg, Passau und Würzburg</w:t>
      </w:r>
    </w:p>
    <w:p w:rsidR="00BE1EFE" w:rsidRDefault="00BE1EFE">
      <w:pPr>
        <w:pStyle w:val="StandardWeb"/>
        <w:jc w:val="right"/>
      </w:pPr>
      <w:r>
        <w:t>zum 01.09.2007</w:t>
      </w:r>
    </w:p>
    <w:p w:rsidR="00BE1EFE" w:rsidRDefault="00BE1EFE" w:rsidP="0054275E">
      <w:pPr>
        <w:pStyle w:val="StandardWeb"/>
        <w:autoSpaceDE w:val="0"/>
      </w:pPr>
      <w:r>
        <w:rPr>
          <w:rStyle w:val="Fett"/>
          <w:bCs/>
        </w:rPr>
        <w:t>Anlage 74</w:t>
      </w:r>
      <w:r>
        <w:t xml:space="preserve"> </w:t>
      </w:r>
      <w:hyperlink r:id="rId1808"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08./09.05.</w:t>
      </w:r>
      <w:r w:rsidRPr="0095793E">
        <w:rPr>
          <w:b/>
        </w:rPr>
        <w:t>200</w:t>
      </w:r>
      <w:r>
        <w:rPr>
          <w:b/>
        </w:rPr>
        <w:t>7</w:t>
      </w:r>
    </w:p>
    <w:p w:rsidR="00BE1EFE" w:rsidRDefault="00BE1EFE">
      <w:pPr>
        <w:pStyle w:val="StandardWeb"/>
      </w:pPr>
    </w:p>
    <w:p w:rsidR="00BE1EFE" w:rsidRDefault="00BE1EFE">
      <w:pPr>
        <w:pStyle w:val="StandardWeb"/>
      </w:pPr>
      <w:r>
        <w:t>– Entgeltumwandlung</w:t>
      </w:r>
    </w:p>
    <w:p w:rsidR="00BE1EFE" w:rsidRDefault="00BE1EFE" w:rsidP="00992372">
      <w:pPr>
        <w:pStyle w:val="StandardWeb"/>
      </w:pPr>
      <w:r>
        <w:t>hier: Umwandelbare Arbeitsentgeltbestandteile</w:t>
      </w:r>
    </w:p>
    <w:p w:rsidR="00BE1EFE" w:rsidRDefault="00BE1EFE">
      <w:pPr>
        <w:pStyle w:val="StandardWeb"/>
        <w:jc w:val="right"/>
      </w:pPr>
      <w:r>
        <w:t>rückwirkend zum 01.01.2007</w:t>
      </w:r>
    </w:p>
    <w:p w:rsidR="00BE1EFE" w:rsidRDefault="00BE1EFE">
      <w:pPr>
        <w:pStyle w:val="StandardWeb"/>
      </w:pPr>
      <w:r>
        <w:t>– Entgeltumwandlung</w:t>
      </w:r>
    </w:p>
    <w:p w:rsidR="00BE1EFE" w:rsidRDefault="00BE1EFE">
      <w:pPr>
        <w:pStyle w:val="StandardWeb"/>
      </w:pPr>
      <w:r>
        <w:t>hier: Klarstellung zur Umwandlung von Arbeitsentgeltbestandteilen</w:t>
      </w:r>
    </w:p>
    <w:p w:rsidR="00BE1EFE" w:rsidRDefault="00BE1EFE">
      <w:pPr>
        <w:pStyle w:val="StandardWeb"/>
        <w:jc w:val="right"/>
      </w:pPr>
      <w:r>
        <w:lastRenderedPageBreak/>
        <w:t>zum 01.09.2007</w:t>
      </w:r>
    </w:p>
    <w:p w:rsidR="00BE1EFE" w:rsidRDefault="00BE1EFE">
      <w:pPr>
        <w:pStyle w:val="StandardWeb"/>
      </w:pPr>
      <w:r>
        <w:t>– Arbeitsvertragsrecht der bayerischen (Erz-)Diözesen (ABD)</w:t>
      </w:r>
    </w:p>
    <w:p w:rsidR="00BE1EFE" w:rsidRDefault="00BE1EFE">
      <w:pPr>
        <w:pStyle w:val="StandardWeb"/>
      </w:pPr>
      <w:r>
        <w:t>hier: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6 Regelmäßige Arbeitszeit (ABD Teil A, 1.)</w:t>
      </w:r>
    </w:p>
    <w:p w:rsidR="00BE1EFE" w:rsidRDefault="00BE1EFE">
      <w:pPr>
        <w:pStyle w:val="StandardWeb"/>
      </w:pPr>
      <w:r>
        <w:t>hier: Änderungen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12 Strukturausgleich (ABD Teil A, 3.)</w:t>
      </w:r>
    </w:p>
    <w:p w:rsidR="00BE1EFE" w:rsidRDefault="00BE1EFE">
      <w:pPr>
        <w:pStyle w:val="StandardWeb"/>
      </w:pPr>
      <w:r>
        <w:t>hier: Änderung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 20 a Entgeltbezugsgröße (ABD Teil A, 1.)</w:t>
      </w:r>
    </w:p>
    <w:p w:rsidR="00BE1EFE" w:rsidRDefault="00BE1EFE">
      <w:pPr>
        <w:pStyle w:val="StandardWeb"/>
      </w:pPr>
      <w:r>
        <w:t>hier: Änderungen in Umsetzung der Präambel</w:t>
      </w:r>
    </w:p>
    <w:p w:rsidR="00BE1EFE" w:rsidRDefault="00BE1EFE">
      <w:pPr>
        <w:pStyle w:val="StandardWeb"/>
      </w:pPr>
    </w:p>
    <w:p w:rsidR="00BE1EFE" w:rsidRDefault="00BE1EFE">
      <w:pPr>
        <w:pStyle w:val="StandardWeb"/>
        <w:jc w:val="right"/>
      </w:pPr>
      <w:r>
        <w:t>zum 01.09.2007</w:t>
      </w:r>
    </w:p>
    <w:p w:rsidR="00BE1EFE" w:rsidRDefault="00BE1EFE">
      <w:pPr>
        <w:pStyle w:val="StandardWeb"/>
      </w:pPr>
      <w:r>
        <w:t>– Anlage A (ABD Teil A, 1.)</w:t>
      </w:r>
    </w:p>
    <w:p w:rsidR="00BE1EFE" w:rsidRDefault="00BE1EFE">
      <w:pPr>
        <w:pStyle w:val="StandardWeb"/>
      </w:pPr>
      <w:r>
        <w:t>hier: Änderung in Umsetzung der Präambel</w:t>
      </w:r>
    </w:p>
    <w:p w:rsidR="00BE1EFE" w:rsidRDefault="00BE1EFE" w:rsidP="006B0E3C">
      <w:pPr>
        <w:pStyle w:val="StandardWeb"/>
        <w:jc w:val="right"/>
      </w:pPr>
      <w:r>
        <w:t>zum 01.09.2007</w:t>
      </w:r>
    </w:p>
    <w:p w:rsidR="00BE1EFE" w:rsidRDefault="00BE1EFE">
      <w:pPr>
        <w:pStyle w:val="StandardWeb"/>
      </w:pPr>
      <w:r>
        <w:t>– Auszahlungsvolumen des Leistungsentgelts gemäß ABD</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Anlage 2, Anlage 2 K, Anlage 4, Anlage 4 A, Anlage 4 K (ABD Teil A, 3.)</w:t>
      </w:r>
    </w:p>
    <w:p w:rsidR="00BE1EFE" w:rsidRDefault="00BE1EFE">
      <w:pPr>
        <w:pStyle w:val="StandardWeb"/>
      </w:pPr>
      <w:r>
        <w:t>hier: Änderung in Umsetzung der Präambel</w:t>
      </w:r>
    </w:p>
    <w:p w:rsidR="00BE1EFE" w:rsidRDefault="00BE1EFE">
      <w:pPr>
        <w:pStyle w:val="StandardWeb"/>
        <w:jc w:val="right"/>
      </w:pPr>
      <w:r>
        <w:t>zum 01.09.2007</w:t>
      </w:r>
    </w:p>
    <w:p w:rsidR="00BE1EFE" w:rsidRDefault="00BE1EFE">
      <w:pPr>
        <w:pStyle w:val="StandardWeb"/>
      </w:pPr>
      <w:r>
        <w:t>– Anlage 3 (ABD Teil A, 3.)</w:t>
      </w:r>
    </w:p>
    <w:p w:rsidR="00BE1EFE" w:rsidRDefault="00BE1EFE">
      <w:pPr>
        <w:pStyle w:val="StandardWeb"/>
      </w:pPr>
      <w:r>
        <w:t>hier: Änderung</w:t>
      </w:r>
    </w:p>
    <w:p w:rsidR="00BE1EFE" w:rsidRDefault="00BE1EFE">
      <w:pPr>
        <w:pStyle w:val="StandardWeb"/>
        <w:jc w:val="right"/>
      </w:pPr>
      <w:r>
        <w:t>zum 01.09.2007</w:t>
      </w:r>
    </w:p>
    <w:p w:rsidR="00BE1EFE" w:rsidRDefault="00BE1EFE">
      <w:pPr>
        <w:pStyle w:val="StandardWeb"/>
      </w:pPr>
      <w:r>
        <w:t xml:space="preserve">– Anlage 3 K </w:t>
      </w:r>
    </w:p>
    <w:p w:rsidR="00BE1EFE" w:rsidRDefault="00BE1EFE">
      <w:pPr>
        <w:pStyle w:val="StandardWeb"/>
      </w:pPr>
      <w:r>
        <w:t>Strukturausgleiche für kirchenspezifische Berufe</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Anlage 5 zu § 23 (ABD Teil A, 3.)</w:t>
      </w:r>
    </w:p>
    <w:p w:rsidR="00BE1EFE" w:rsidRDefault="00BE1EFE">
      <w:pPr>
        <w:pStyle w:val="StandardWeb"/>
      </w:pPr>
      <w:r>
        <w:t>hier: Aufhebung der Niederschriftserklärung</w:t>
      </w:r>
    </w:p>
    <w:p w:rsidR="00BE1EFE" w:rsidRDefault="00BE1EFE">
      <w:pPr>
        <w:pStyle w:val="StandardWeb"/>
        <w:jc w:val="right"/>
      </w:pPr>
      <w:r>
        <w:t>zum 01.09.2007</w:t>
      </w:r>
    </w:p>
    <w:p w:rsidR="00BE1EFE" w:rsidRDefault="00BE1EFE">
      <w:pPr>
        <w:pStyle w:val="StandardWeb"/>
        <w:jc w:val="right"/>
      </w:pPr>
    </w:p>
    <w:p w:rsidR="00BE1EFE" w:rsidRDefault="00BE1EFE">
      <w:pPr>
        <w:pStyle w:val="StandardWeb"/>
      </w:pPr>
      <w:r>
        <w:t xml:space="preserve">– Herabgruppierungsschutz für Leiterinnen/Leiter von Kindertagesstätten </w:t>
      </w:r>
    </w:p>
    <w:p w:rsidR="00BE1EFE" w:rsidRDefault="00BE1EFE">
      <w:pPr>
        <w:pStyle w:val="StandardWeb"/>
      </w:pPr>
      <w:r>
        <w:t>hier: Änderung der Teile A, 1. und A, 3. des ABD</w:t>
      </w:r>
    </w:p>
    <w:p w:rsidR="00BE1EFE" w:rsidRDefault="00BE1EFE">
      <w:pPr>
        <w:pStyle w:val="StandardWeb"/>
        <w:jc w:val="right"/>
      </w:pPr>
      <w:r>
        <w:t>zum 01.09.2007</w:t>
      </w:r>
    </w:p>
    <w:p w:rsidR="00BE1EFE" w:rsidRDefault="00BE1EFE">
      <w:pPr>
        <w:pStyle w:val="StandardWeb"/>
      </w:pPr>
      <w:r>
        <w:t>– Sabbatjahrregelung</w:t>
      </w:r>
    </w:p>
    <w:p w:rsidR="00BE1EFE" w:rsidRDefault="00BE1EFE">
      <w:pPr>
        <w:pStyle w:val="StandardWeb"/>
      </w:pPr>
      <w:r>
        <w:t>hier: redaktionelle Änderungen</w:t>
      </w:r>
    </w:p>
    <w:p w:rsidR="00BE1EFE" w:rsidRDefault="00BE1EFE" w:rsidP="00C02DBD">
      <w:pPr>
        <w:pStyle w:val="StandardWeb"/>
        <w:jc w:val="right"/>
      </w:pPr>
      <w:r>
        <w:t>zum 01.09.2007</w:t>
      </w:r>
    </w:p>
    <w:p w:rsidR="00BE1EFE" w:rsidRDefault="00BE1EFE" w:rsidP="0054275E">
      <w:pPr>
        <w:pStyle w:val="StandardWeb"/>
        <w:autoSpaceDE w:val="0"/>
      </w:pPr>
      <w:r>
        <w:rPr>
          <w:rStyle w:val="Fett"/>
          <w:bCs/>
        </w:rPr>
        <w:t>Anlage 73</w:t>
      </w:r>
      <w:r>
        <w:t xml:space="preserve"> </w:t>
      </w:r>
      <w:hyperlink r:id="rId1809"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27.03.2007 und vom 23.04.2007</w:t>
      </w:r>
    </w:p>
    <w:p w:rsidR="00BE1EFE" w:rsidRDefault="00BE1EFE">
      <w:pPr>
        <w:pStyle w:val="StandardWeb"/>
      </w:pPr>
    </w:p>
    <w:p w:rsidR="00BE1EFE" w:rsidRDefault="00BE1EFE">
      <w:pPr>
        <w:pStyle w:val="StandardWeb"/>
      </w:pPr>
      <w:r>
        <w:t>– Regelung zur Überleitung von Lehrkräften an Schulen in kirchlicher Trägerschaft (RÜ-L)</w:t>
      </w:r>
    </w:p>
    <w:p w:rsidR="00BE1EFE" w:rsidRDefault="00BE1EFE">
      <w:pPr>
        <w:pStyle w:val="StandardWeb"/>
        <w:jc w:val="right"/>
      </w:pPr>
      <w:r>
        <w:t>rückwirkend zum 01.11.2006</w:t>
      </w:r>
    </w:p>
    <w:p w:rsidR="00BE1EFE" w:rsidRDefault="00BE1EFE">
      <w:pPr>
        <w:pStyle w:val="StandardWeb"/>
        <w:jc w:val="right"/>
      </w:pPr>
    </w:p>
    <w:p w:rsidR="00BE1EFE" w:rsidRDefault="00BE1EFE">
      <w:pPr>
        <w:pStyle w:val="StandardWeb"/>
      </w:pPr>
      <w:r>
        <w:t>– Neufassung des Arbeitsvertragsrechts der bayerischen (Erz-)Diözesen Teil B, 4.</w:t>
      </w:r>
    </w:p>
    <w:p w:rsidR="00BE1EFE" w:rsidRDefault="00BE1EFE">
      <w:pPr>
        <w:pStyle w:val="StandardWeb"/>
        <w:jc w:val="right"/>
      </w:pPr>
      <w:r>
        <w:t>rückwirkend zum 01.01.2007</w:t>
      </w:r>
    </w:p>
    <w:p w:rsidR="00BE1EFE" w:rsidRDefault="00BE1EFE">
      <w:pPr>
        <w:pStyle w:val="StandardWeb"/>
        <w:jc w:val="right"/>
      </w:pPr>
    </w:p>
    <w:p w:rsidR="00BE1EFE" w:rsidRDefault="00BE1EFE">
      <w:pPr>
        <w:pStyle w:val="StandardWeb"/>
      </w:pPr>
      <w:r>
        <w:t>– Ordnung für Berufsbezeichnungen von arbeitsvertraglich beschäftigten Lehrkräften an Schulen in kirchlicher Trägerschaft</w:t>
      </w:r>
    </w:p>
    <w:p w:rsidR="00BE1EFE" w:rsidRDefault="00BE1EFE">
      <w:pPr>
        <w:pStyle w:val="StandardWeb"/>
        <w:jc w:val="right"/>
      </w:pPr>
      <w:r>
        <w:t>rückwirkend zum 01.05.2007</w:t>
      </w:r>
    </w:p>
    <w:p w:rsidR="00BE1EFE" w:rsidRDefault="00BE1EFE">
      <w:pPr>
        <w:pStyle w:val="StandardWeb"/>
      </w:pPr>
    </w:p>
    <w:p w:rsidR="00BE1EFE" w:rsidRDefault="00BE1EFE" w:rsidP="0054275E">
      <w:pPr>
        <w:pStyle w:val="StandardWeb"/>
        <w:autoSpaceDE w:val="0"/>
      </w:pPr>
      <w:r>
        <w:rPr>
          <w:rStyle w:val="Fett"/>
          <w:bCs/>
        </w:rPr>
        <w:t>Anlage 72</w:t>
      </w:r>
      <w:r>
        <w:t xml:space="preserve"> </w:t>
      </w:r>
      <w:hyperlink r:id="rId1810"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13./14.02.</w:t>
      </w:r>
      <w:r w:rsidRPr="0095793E">
        <w:rPr>
          <w:b/>
        </w:rPr>
        <w:t>200</w:t>
      </w:r>
      <w:r>
        <w:rPr>
          <w:b/>
        </w:rPr>
        <w:t>7</w:t>
      </w:r>
    </w:p>
    <w:p w:rsidR="00BE1EFE" w:rsidRDefault="00BE1EFE">
      <w:pPr>
        <w:pStyle w:val="StandardWeb"/>
      </w:pPr>
    </w:p>
    <w:p w:rsidR="00BE1EFE" w:rsidRDefault="00BE1EFE">
      <w:pPr>
        <w:pStyle w:val="StandardWeb"/>
      </w:pPr>
      <w:r>
        <w:t>– Sabbatjahrregelung</w:t>
      </w:r>
    </w:p>
    <w:p w:rsidR="00BE1EFE" w:rsidRDefault="00BE1EFE">
      <w:pPr>
        <w:pStyle w:val="StandardWeb"/>
      </w:pPr>
      <w:r>
        <w:t>hier: Änderung</w:t>
      </w:r>
    </w:p>
    <w:p w:rsidR="00BE1EFE" w:rsidRDefault="00BE1EFE" w:rsidP="006B0E3C">
      <w:pPr>
        <w:pStyle w:val="StandardWeb"/>
        <w:jc w:val="right"/>
      </w:pPr>
      <w:r>
        <w:t>zum 01.04.2007</w:t>
      </w:r>
    </w:p>
    <w:p w:rsidR="00BE1EFE" w:rsidRDefault="00BE1EFE" w:rsidP="006B0E3C">
      <w:pPr>
        <w:pStyle w:val="StandardWeb"/>
        <w:jc w:val="right"/>
      </w:pPr>
    </w:p>
    <w:p w:rsidR="00BE1EFE" w:rsidRDefault="00BE1EFE">
      <w:pPr>
        <w:pStyle w:val="StandardWeb"/>
      </w:pPr>
      <w:r>
        <w:t>– Ersetzung der Richtlinie zur Vereinheitlichung der Arbeitsverträge in den bayerischen (Erz)Diözesen vom 01.03.1996 durch eine Regelung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Anlage 4 zu ABD Teil A, 3.</w:t>
      </w:r>
    </w:p>
    <w:p w:rsidR="00BE1EFE" w:rsidRDefault="00BE1EFE">
      <w:pPr>
        <w:pStyle w:val="StandardWeb"/>
      </w:pPr>
      <w:r>
        <w:t>hier: Änderung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Arbeitsvertragliche Regelungen für Beschäftigte, die die Altersgrenze erreicht haben</w:t>
      </w:r>
    </w:p>
    <w:p w:rsidR="00BE1EFE" w:rsidRDefault="00BE1EFE">
      <w:pPr>
        <w:pStyle w:val="StandardWeb"/>
      </w:pPr>
      <w:r>
        <w:t>hier: Änderung der Protokollnotiz zu Nr. 7</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xml:space="preserve">– Anlagen 2 K und 4 K zu ABD Teil A, 3. </w:t>
      </w:r>
    </w:p>
    <w:p w:rsidR="00BE1EFE" w:rsidRDefault="00BE1EFE">
      <w:pPr>
        <w:pStyle w:val="StandardWeb"/>
      </w:pPr>
      <w:r>
        <w:t>hier: Ergänzung um die Berufsgruppe der Pfarrhelfer</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xml:space="preserve">– § 5 ABD Teil A, 1. (Qualifizierung) </w:t>
      </w:r>
    </w:p>
    <w:p w:rsidR="00BE1EFE" w:rsidRDefault="00BE1EFE">
      <w:pPr>
        <w:pStyle w:val="StandardWeb"/>
      </w:pPr>
      <w:r>
        <w:t>hier: Änderung des Absatz 2</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 5 ABD Teil A, 1. (Qualifizierung)</w:t>
      </w:r>
    </w:p>
    <w:p w:rsidR="00BE1EFE" w:rsidRDefault="00BE1EFE">
      <w:pPr>
        <w:pStyle w:val="StandardWeb"/>
      </w:pPr>
      <w:r>
        <w:t>hier: Ergänzung des Absatz 3 Satz 1 um einen Buchstaben e)</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Regelung für die Kraftfahrer und Kraftfahrerinnen und Anpassung der Regelung der Altersteilzeit</w:t>
      </w:r>
    </w:p>
    <w:p w:rsidR="00BE1EFE" w:rsidRDefault="00BE1EFE">
      <w:pPr>
        <w:pStyle w:val="StandardWeb"/>
        <w:jc w:val="right"/>
      </w:pPr>
      <w:r>
        <w:t>rückwirkend zum 01.10.2005</w:t>
      </w:r>
    </w:p>
    <w:p w:rsidR="00BE1EFE" w:rsidRDefault="00BE1EFE">
      <w:pPr>
        <w:pStyle w:val="StandardWeb"/>
      </w:pPr>
      <w:r>
        <w:t>– § 11 ABD Teil A, 3. (Kinderbezogene Entgeltbestandteile)</w:t>
      </w:r>
    </w:p>
    <w:p w:rsidR="00BE1EFE" w:rsidRDefault="00BE1EFE">
      <w:pPr>
        <w:pStyle w:val="StandardWeb"/>
      </w:pPr>
      <w:r>
        <w:t>hier: Ergänzung des Absatz 1 Satz 4 um die Buchstaben c) und d)</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 8 ABD Teil A, 1. (Ausgleich für Sonderformen der Arbeit) und § 8 ABD Teil D, 4 (Arbeits</w:t>
      </w:r>
      <w:r>
        <w:softHyphen/>
        <w:t>zeitkontenregelung)</w:t>
      </w:r>
    </w:p>
    <w:p w:rsidR="00BE1EFE" w:rsidRDefault="00BE1EFE">
      <w:pPr>
        <w:pStyle w:val="StandardWeb"/>
      </w:pPr>
      <w:r>
        <w:t>hier: Änderung</w:t>
      </w:r>
    </w:p>
    <w:p w:rsidR="00BE1EFE" w:rsidRDefault="00BE1EFE">
      <w:pPr>
        <w:pStyle w:val="StandardWeb"/>
        <w:jc w:val="right"/>
      </w:pPr>
      <w:r>
        <w:t>zum 01.04.2007</w:t>
      </w:r>
    </w:p>
    <w:p w:rsidR="00BE1EFE" w:rsidRDefault="00BE1EFE">
      <w:pPr>
        <w:pStyle w:val="StandardWeb"/>
        <w:jc w:val="right"/>
      </w:pPr>
    </w:p>
    <w:p w:rsidR="00BE1EFE" w:rsidRDefault="00BE1EFE">
      <w:pPr>
        <w:pStyle w:val="StandardWeb"/>
      </w:pPr>
      <w:r>
        <w:t>– Sonderregelung zum Entgelt für Pastoralassistentinnen/Pastoralassistenten im Vorberei</w:t>
      </w:r>
      <w:r>
        <w:softHyphen/>
        <w:t>tungsdienst in der Erzdiözese München und Freising</w:t>
      </w:r>
    </w:p>
    <w:p w:rsidR="00BE1EFE" w:rsidRDefault="00BE1EFE" w:rsidP="009153B0">
      <w:pPr>
        <w:pStyle w:val="StandardWeb"/>
        <w:jc w:val="right"/>
      </w:pPr>
      <w:r>
        <w:t>zum 01.04.2007</w:t>
      </w:r>
    </w:p>
    <w:p w:rsidR="00BE1EFE" w:rsidRDefault="00BE1EFE" w:rsidP="009153B0">
      <w:pPr>
        <w:pStyle w:val="StandardWeb"/>
        <w:jc w:val="right"/>
      </w:pPr>
    </w:p>
    <w:p w:rsidR="00BE1EFE" w:rsidRDefault="00BE1EFE" w:rsidP="00561A79">
      <w:pPr>
        <w:pStyle w:val="StandardWeb"/>
        <w:jc w:val="left"/>
      </w:pPr>
      <w:r>
        <w:lastRenderedPageBreak/>
        <w:t>– Anpassung des ABD an das Gesetz zur Einführung des Elterngeldes vom 5. Dezember 2006</w:t>
      </w:r>
    </w:p>
    <w:p w:rsidR="00BE1EFE" w:rsidRDefault="00BE1EFE">
      <w:pPr>
        <w:pStyle w:val="StandardWeb"/>
        <w:jc w:val="right"/>
      </w:pPr>
      <w:r>
        <w:t>zum 01.01.2007</w:t>
      </w:r>
    </w:p>
    <w:p w:rsidR="00BE1EFE" w:rsidRDefault="00BE1EFE">
      <w:pPr>
        <w:pStyle w:val="StandardWeb"/>
      </w:pPr>
    </w:p>
    <w:p w:rsidR="00BE1EFE" w:rsidRDefault="00BE1EFE">
      <w:pPr>
        <w:pStyle w:val="StandardWeb"/>
      </w:pPr>
    </w:p>
    <w:p w:rsidR="00BE1EFE" w:rsidRPr="007B1622" w:rsidRDefault="00BE1EFE" w:rsidP="00561A79">
      <w:pPr>
        <w:pStyle w:val="berschrift5"/>
        <w:spacing w:before="0"/>
        <w:rPr>
          <w:lang w:eastAsia="x-none"/>
        </w:rPr>
      </w:pPr>
      <w:bookmarkStart w:id="1171" w:name="_Toc523926687"/>
      <w:r>
        <w:t xml:space="preserve">Beschlüsse </w:t>
      </w:r>
      <w:r>
        <w:rPr>
          <w:lang w:eastAsia="x-none"/>
        </w:rPr>
        <w:t>20</w:t>
      </w:r>
      <w:r>
        <w:t>0</w:t>
      </w:r>
      <w:r>
        <w:rPr>
          <w:lang w:eastAsia="x-none"/>
        </w:rPr>
        <w:t>6</w:t>
      </w:r>
      <w:bookmarkEnd w:id="1171"/>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71</w:t>
      </w:r>
      <w:r>
        <w:t xml:space="preserve"> </w:t>
      </w:r>
      <w:hyperlink r:id="rId1811"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12./13.12.</w:t>
      </w:r>
      <w:r w:rsidRPr="0095793E">
        <w:rPr>
          <w:b/>
        </w:rPr>
        <w:t>200</w:t>
      </w:r>
      <w:r>
        <w:rPr>
          <w:b/>
        </w:rPr>
        <w:t>6</w:t>
      </w:r>
    </w:p>
    <w:p w:rsidR="00BE1EFE" w:rsidRDefault="00BE1EFE">
      <w:pPr>
        <w:pStyle w:val="StandardWeb"/>
      </w:pPr>
    </w:p>
    <w:p w:rsidR="00BE1EFE" w:rsidRDefault="00BE1EFE">
      <w:pPr>
        <w:pStyle w:val="StandardWeb"/>
      </w:pPr>
      <w:r>
        <w:t>– § 3 ABD Teil A, 1. (Allgemeine Arbeitsbedingungen)</w:t>
      </w:r>
    </w:p>
    <w:p w:rsidR="00BE1EFE" w:rsidRDefault="00BE1EFE" w:rsidP="00992372">
      <w:pPr>
        <w:pStyle w:val="StandardWeb"/>
      </w:pPr>
      <w:r>
        <w:t>hier: Ergänzung um die Absätze 8 a mit 8 c (Schadenshaftung der Beschäftigten)</w:t>
      </w:r>
    </w:p>
    <w:p w:rsidR="00BE1EFE" w:rsidRDefault="00BE1EFE">
      <w:pPr>
        <w:pStyle w:val="StandardWeb"/>
        <w:jc w:val="right"/>
      </w:pPr>
      <w:r>
        <w:t>zum 01.01.2007</w:t>
      </w:r>
    </w:p>
    <w:p w:rsidR="00BE1EFE" w:rsidRDefault="00BE1EFE">
      <w:pPr>
        <w:pStyle w:val="StandardWeb"/>
      </w:pPr>
    </w:p>
    <w:p w:rsidR="00BE1EFE" w:rsidRDefault="00BE1EFE">
      <w:pPr>
        <w:pStyle w:val="StandardWeb"/>
      </w:pPr>
      <w:r>
        <w:t>– Dienstordnung für Gemeindereferenten in den bayerischen (Erz-)Diözesen</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xml:space="preserve">– Dienstordnung für Mesner vom 01.01.2001 </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Dienstordnung für Kirchenmusiker vom 01.01.2001</w:t>
      </w:r>
    </w:p>
    <w:p w:rsidR="00BE1EFE" w:rsidRDefault="00BE1EFE">
      <w:pPr>
        <w:pStyle w:val="StandardWeb"/>
      </w:pPr>
      <w:r>
        <w:t>hier: Änderung</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Dienstordnung für Pfarrsekretärinnen und Pfarrsekretäre vom 01.09.2003</w:t>
      </w:r>
    </w:p>
    <w:p w:rsidR="00BE1EFE" w:rsidRDefault="00BE1EFE" w:rsidP="00992372">
      <w:pPr>
        <w:pStyle w:val="StandardWeb"/>
      </w:pPr>
      <w:r>
        <w:t>hier: Änderung</w:t>
      </w:r>
    </w:p>
    <w:p w:rsidR="00BE1EFE" w:rsidRDefault="00BE1EFE" w:rsidP="00992372">
      <w:pPr>
        <w:pStyle w:val="StandardWeb"/>
        <w:jc w:val="right"/>
      </w:pPr>
      <w:r>
        <w:t>zum 01.02.2007</w:t>
      </w:r>
    </w:p>
    <w:p w:rsidR="00BE1EFE" w:rsidRDefault="00BE1EFE">
      <w:pPr>
        <w:pStyle w:val="StandardWeb"/>
        <w:jc w:val="right"/>
      </w:pPr>
    </w:p>
    <w:p w:rsidR="00BE1EFE" w:rsidRDefault="00BE1EFE">
      <w:pPr>
        <w:pStyle w:val="StandardWeb"/>
      </w:pPr>
      <w:r>
        <w:t>– Dienstordnung für Pastoralassistenten und Pastoralreferenten</w:t>
      </w:r>
    </w:p>
    <w:p w:rsidR="00BE1EFE" w:rsidRDefault="00BE1EFE">
      <w:pPr>
        <w:pStyle w:val="StandardWeb"/>
        <w:jc w:val="right"/>
      </w:pPr>
      <w:r>
        <w:t>zum 01.02.2007</w:t>
      </w:r>
    </w:p>
    <w:p w:rsidR="00BE1EFE" w:rsidRDefault="00BE1EFE">
      <w:pPr>
        <w:pStyle w:val="StandardWeb"/>
        <w:jc w:val="right"/>
      </w:pPr>
    </w:p>
    <w:p w:rsidR="00BE1EFE" w:rsidRDefault="00BE1EFE" w:rsidP="0054275E">
      <w:pPr>
        <w:pStyle w:val="StandardWeb"/>
        <w:autoSpaceDE w:val="0"/>
      </w:pPr>
      <w:r>
        <w:rPr>
          <w:rStyle w:val="Fett"/>
          <w:bCs/>
        </w:rPr>
        <w:t>Anlage 70</w:t>
      </w:r>
      <w:r>
        <w:t xml:space="preserve"> </w:t>
      </w:r>
      <w:hyperlink r:id="rId1812"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19.10.2006 </w:t>
      </w:r>
    </w:p>
    <w:p w:rsidR="00BE1EFE" w:rsidRDefault="00BE1EFE">
      <w:pPr>
        <w:pStyle w:val="StandardWeb"/>
      </w:pPr>
    </w:p>
    <w:p w:rsidR="00BE1EFE" w:rsidRDefault="00BE1EFE">
      <w:pPr>
        <w:pStyle w:val="StandardWeb"/>
      </w:pPr>
      <w:r>
        <w:t xml:space="preserve">– Konkurrenzregelung beim Ortszuschlag </w:t>
      </w:r>
    </w:p>
    <w:p w:rsidR="00BE1EFE" w:rsidRDefault="00BE1EFE">
      <w:pPr>
        <w:pStyle w:val="StandardWeb"/>
      </w:pPr>
      <w:r>
        <w:t>hier: Ergänzung der Nr. 6 SR 2 l Teil A bis C</w:t>
      </w:r>
    </w:p>
    <w:p w:rsidR="00BE1EFE" w:rsidRDefault="00BE1EFE">
      <w:pPr>
        <w:pStyle w:val="StandardWeb"/>
        <w:jc w:val="right"/>
      </w:pPr>
      <w:r>
        <w:t>zum 31.10.2006</w:t>
      </w:r>
    </w:p>
    <w:p w:rsidR="00BE1EFE" w:rsidRDefault="00BE1EFE">
      <w:pPr>
        <w:pStyle w:val="StandardWeb"/>
      </w:pPr>
    </w:p>
    <w:p w:rsidR="00BE1EFE" w:rsidRDefault="00BE1EFE" w:rsidP="0054275E">
      <w:pPr>
        <w:pStyle w:val="StandardWeb"/>
        <w:autoSpaceDE w:val="0"/>
      </w:pPr>
      <w:r>
        <w:rPr>
          <w:rStyle w:val="Fett"/>
          <w:bCs/>
        </w:rPr>
        <w:t>Anlage 69</w:t>
      </w:r>
      <w:r>
        <w:t xml:space="preserve"> </w:t>
      </w:r>
      <w:hyperlink r:id="rId1813"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17./18.10.</w:t>
      </w:r>
      <w:r w:rsidRPr="0095793E">
        <w:rPr>
          <w:b/>
        </w:rPr>
        <w:t>200</w:t>
      </w:r>
      <w:r>
        <w:rPr>
          <w:b/>
        </w:rPr>
        <w:t>6</w:t>
      </w:r>
    </w:p>
    <w:p w:rsidR="00BE1EFE" w:rsidRDefault="00BE1EFE">
      <w:pPr>
        <w:pStyle w:val="StandardWeb"/>
      </w:pPr>
    </w:p>
    <w:p w:rsidR="00BE1EFE" w:rsidRDefault="00BE1EFE">
      <w:pPr>
        <w:pStyle w:val="StandardWeb"/>
      </w:pPr>
      <w:r>
        <w:t>– § 8 ABD Teil A, 1. (Ausgleich für Sonderformen der Arbeit)</w:t>
      </w:r>
    </w:p>
    <w:p w:rsidR="00BE1EFE" w:rsidRDefault="00BE1EFE">
      <w:pPr>
        <w:pStyle w:val="StandardWeb"/>
      </w:pPr>
      <w:r>
        <w:t>hier: Änderung des Absatz 7</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Regelung über die Arbeitsbedingungen von Mitarbeitern an Bildschirmgeräten</w:t>
      </w:r>
    </w:p>
    <w:p w:rsidR="00BE1EFE" w:rsidRDefault="00BE1EFE">
      <w:pPr>
        <w:pStyle w:val="StandardWeb"/>
      </w:pPr>
      <w:r>
        <w:t xml:space="preserve">hier: Aufhebung der bestehenden Regelung </w:t>
      </w:r>
    </w:p>
    <w:p w:rsidR="00BE1EFE" w:rsidRDefault="00BE1EFE">
      <w:pPr>
        <w:pStyle w:val="StandardWeb"/>
        <w:jc w:val="right"/>
      </w:pPr>
      <w:r>
        <w:t>zum 01.01.2007</w:t>
      </w:r>
    </w:p>
    <w:p w:rsidR="00BE1EFE" w:rsidRDefault="00BE1EFE">
      <w:pPr>
        <w:pStyle w:val="StandardWeb"/>
        <w:jc w:val="right"/>
      </w:pPr>
    </w:p>
    <w:p w:rsidR="00BE1EFE" w:rsidRDefault="00BE1EFE">
      <w:pPr>
        <w:pStyle w:val="StandardWeb"/>
      </w:pPr>
      <w:r>
        <w:t xml:space="preserve">– § 11 ABD Teil A, 3. (Kinderbezogene Entgeltbestandteile) </w:t>
      </w:r>
    </w:p>
    <w:p w:rsidR="00BE1EFE" w:rsidRDefault="00BE1EFE">
      <w:pPr>
        <w:pStyle w:val="StandardWeb"/>
      </w:pPr>
      <w:r>
        <w:t xml:space="preserve">hier: Ergänzung des Absatz 1 Satz 2 um eine Protokollnotiz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 20 ABD Teil A, 1. (Jahressonderzahlung)</w:t>
      </w:r>
    </w:p>
    <w:p w:rsidR="00BE1EFE" w:rsidRDefault="00BE1EFE">
      <w:pPr>
        <w:pStyle w:val="StandardWeb"/>
      </w:pPr>
      <w:r>
        <w:t>hier: Ergänzung des Absatz 4 Ziffer 1 Buchstabe c) um eine Protokollnotiz</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Ordnung über die betriebliche Altersversorgung durch Entgeltumwandlung der Mitarbeiter im kirchlichen Dienst – Versorgungsordnung C – Teil B</w:t>
      </w:r>
    </w:p>
    <w:p w:rsidR="00BE1EFE" w:rsidRDefault="00BE1EFE">
      <w:pPr>
        <w:pStyle w:val="StandardWeb"/>
      </w:pPr>
      <w:r>
        <w:t>hier: Änderung der Bestimmungen zu Nr. 1 und zu Nr. 5 der Ergänzenden Regelungen zu den Beschlüssen der Zentral-KODA zur Entgeltumwandlung nach dem „Gesetz zur Verbesserung der betrieblichen Altersversorgung“ (BetrAVG)</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Vergütungsordnung für Religionslehrer i. K. an Volks- und Förderschulen</w:t>
      </w:r>
    </w:p>
    <w:p w:rsidR="00BE1EFE" w:rsidRDefault="00BE1EFE">
      <w:pPr>
        <w:pStyle w:val="StandardWeb"/>
      </w:pPr>
      <w:r>
        <w:t xml:space="preserve">hier: Hinweis der Erzdiözese München und Freising </w:t>
      </w:r>
    </w:p>
    <w:p w:rsidR="00BE1EFE" w:rsidRDefault="00BE1EFE">
      <w:pPr>
        <w:pStyle w:val="StandardWeb"/>
        <w:jc w:val="right"/>
      </w:pPr>
      <w:r>
        <w:t>zum 01.11.2006</w:t>
      </w:r>
    </w:p>
    <w:p w:rsidR="00BE1EFE" w:rsidRDefault="00BE1EFE">
      <w:pPr>
        <w:pStyle w:val="StandardWeb"/>
      </w:pPr>
    </w:p>
    <w:p w:rsidR="00BE1EFE" w:rsidRDefault="00BE1EFE" w:rsidP="0054275E">
      <w:pPr>
        <w:pStyle w:val="StandardWeb"/>
        <w:autoSpaceDE w:val="0"/>
      </w:pPr>
      <w:r>
        <w:rPr>
          <w:rStyle w:val="Fett"/>
          <w:bCs/>
        </w:rPr>
        <w:t>Anlage 68</w:t>
      </w:r>
      <w:r>
        <w:t xml:space="preserve"> </w:t>
      </w:r>
      <w:hyperlink r:id="rId1814"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11./12.07.</w:t>
      </w:r>
      <w:r w:rsidRPr="0095793E">
        <w:rPr>
          <w:b/>
        </w:rPr>
        <w:t>200</w:t>
      </w:r>
      <w:r>
        <w:rPr>
          <w:b/>
        </w:rPr>
        <w:t>6</w:t>
      </w:r>
    </w:p>
    <w:p w:rsidR="00BE1EFE" w:rsidRDefault="00BE1EFE">
      <w:pPr>
        <w:pStyle w:val="StandardWeb"/>
      </w:pPr>
    </w:p>
    <w:p w:rsidR="00BE1EFE" w:rsidRDefault="00BE1EFE">
      <w:pPr>
        <w:pStyle w:val="StandardWeb"/>
      </w:pPr>
      <w:r>
        <w:t>– Änderung der Ergänzung vom 26.09.2005 des Beschlusses der Bayerischen Regional-KODA zur Übernahme des neu gestalteten Tarifrechts des öffentlichen Dienstes vom 04./05.05.2004</w:t>
      </w:r>
    </w:p>
    <w:p w:rsidR="00BE1EFE" w:rsidRDefault="00BE1EFE">
      <w:pPr>
        <w:pStyle w:val="StandardWeb"/>
        <w:jc w:val="right"/>
      </w:pPr>
      <w:r>
        <w:t>zum 01.11.2006</w:t>
      </w:r>
    </w:p>
    <w:p w:rsidR="00BE1EFE" w:rsidRDefault="00BE1EFE">
      <w:pPr>
        <w:pStyle w:val="StandardWeb"/>
        <w:jc w:val="right"/>
      </w:pPr>
    </w:p>
    <w:p w:rsidR="00BE1EFE" w:rsidRDefault="00BE1EFE">
      <w:pPr>
        <w:pStyle w:val="StandardWeb"/>
      </w:pPr>
      <w:r>
        <w:t xml:space="preserve">– Arbeitszeitkontenregelung </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Änderung der Vergütungsregelung für Religionslehrer, die unter die Sonderregelung zur Dienstordnung für Religionslehrer im Kirchendienst fallen, vom 01.09.1998</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Änderung der Vergütungsordnung für Religionslehrer i. K. an Volks- und Förderschulen in den bayerischen (Erz-)Diözesen vom 01.09.1996</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xml:space="preserve">– Regelung für Auszubildende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Regelung über die vorläufige Weitergeltung der Regelungen für die Praktikantinnen/Prakti</w:t>
      </w:r>
      <w:r>
        <w:softHyphen/>
        <w:t>kanten</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Änderung des ABD Teil A, 1.</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Änderung des ABD Teil A, 3.</w:t>
      </w:r>
    </w:p>
    <w:p w:rsidR="00BE1EFE" w:rsidRDefault="00BE1EFE">
      <w:pPr>
        <w:pStyle w:val="StandardWeb"/>
      </w:pPr>
      <w:r>
        <w:t>hier: Ergänzung zu § 17 a (Sonderregelung bei Wechsel des Arbeitgebers)</w:t>
      </w:r>
    </w:p>
    <w:p w:rsidR="00BE1EFE" w:rsidRDefault="00BE1EFE">
      <w:pPr>
        <w:pStyle w:val="StandardWeb"/>
        <w:jc w:val="right"/>
      </w:pPr>
      <w:r>
        <w:t>zum 01.07.2006</w:t>
      </w:r>
    </w:p>
    <w:p w:rsidR="00BE1EFE" w:rsidRDefault="00BE1EFE">
      <w:pPr>
        <w:pStyle w:val="StandardWeb"/>
        <w:jc w:val="right"/>
      </w:pPr>
    </w:p>
    <w:p w:rsidR="00BE1EFE" w:rsidRDefault="00BE1EFE">
      <w:pPr>
        <w:pStyle w:val="StandardWeb"/>
      </w:pPr>
      <w:r>
        <w:t>– Änderung des ABD Teil A, 3.</w:t>
      </w:r>
    </w:p>
    <w:p w:rsidR="00BE1EFE" w:rsidRDefault="00BE1EFE">
      <w:pPr>
        <w:pStyle w:val="StandardWeb"/>
      </w:pPr>
      <w:r>
        <w:t xml:space="preserve">hier: Ergänzung des § 17 a um eine Protokollnotiz </w:t>
      </w:r>
    </w:p>
    <w:p w:rsidR="00BE1EFE" w:rsidRDefault="00BE1EFE">
      <w:pPr>
        <w:pStyle w:val="StandardWeb"/>
        <w:jc w:val="right"/>
      </w:pPr>
      <w:r>
        <w:t>rückwirkend zum 01.10.2005</w:t>
      </w:r>
    </w:p>
    <w:p w:rsidR="00BE1EFE" w:rsidRDefault="00BE1EFE">
      <w:pPr>
        <w:pStyle w:val="StandardWeb"/>
        <w:jc w:val="right"/>
      </w:pPr>
    </w:p>
    <w:p w:rsidR="00BE1EFE" w:rsidRDefault="00BE1EFE" w:rsidP="0054275E">
      <w:pPr>
        <w:pStyle w:val="StandardWeb"/>
        <w:autoSpaceDE w:val="0"/>
      </w:pPr>
      <w:r>
        <w:rPr>
          <w:rStyle w:val="Fett"/>
          <w:bCs/>
        </w:rPr>
        <w:t>Anlage 67</w:t>
      </w:r>
      <w:r>
        <w:t xml:space="preserve"> </w:t>
      </w:r>
      <w:hyperlink r:id="rId1815"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27.04.2006 </w:t>
      </w:r>
    </w:p>
    <w:p w:rsidR="00BE1EFE" w:rsidRDefault="00BE1EFE">
      <w:pPr>
        <w:pStyle w:val="StandardWeb"/>
      </w:pPr>
    </w:p>
    <w:p w:rsidR="00BE1EFE" w:rsidRDefault="00BE1EFE">
      <w:pPr>
        <w:pStyle w:val="StandardWeb"/>
      </w:pPr>
      <w:r>
        <w:t>– Pauschalierung der Altersversorgung bei Lehrkräften</w:t>
      </w:r>
    </w:p>
    <w:p w:rsidR="00BE1EFE" w:rsidRDefault="00BE1EFE">
      <w:pPr>
        <w:pStyle w:val="StandardWeb"/>
      </w:pPr>
      <w:r>
        <w:t>hier: Neufassung der Nr. 6 SR 2 l Teil A</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r>
        <w:t>– Ordentliche Kündigung</w:t>
      </w:r>
    </w:p>
    <w:p w:rsidR="00BE1EFE" w:rsidRDefault="00BE1EFE">
      <w:pPr>
        <w:pStyle w:val="StandardWeb"/>
      </w:pPr>
      <w:r>
        <w:t>hier: Neuregelung der Vertragsstrafe</w:t>
      </w:r>
    </w:p>
    <w:p w:rsidR="00BE1EFE" w:rsidRDefault="00BE1EFE">
      <w:pPr>
        <w:pStyle w:val="StandardWeb"/>
        <w:jc w:val="right"/>
      </w:pPr>
      <w:r>
        <w:t>zum 01.09.2006</w:t>
      </w:r>
    </w:p>
    <w:p w:rsidR="00BE1EFE" w:rsidRDefault="00BE1EFE">
      <w:pPr>
        <w:pStyle w:val="StandardWeb"/>
      </w:pPr>
    </w:p>
    <w:p w:rsidR="00BE1EFE" w:rsidRDefault="00BE1EFE" w:rsidP="0054275E">
      <w:pPr>
        <w:pStyle w:val="StandardWeb"/>
        <w:autoSpaceDE w:val="0"/>
      </w:pPr>
      <w:r>
        <w:rPr>
          <w:rStyle w:val="Fett"/>
          <w:bCs/>
        </w:rPr>
        <w:t>Anlage 66</w:t>
      </w:r>
      <w:r>
        <w:t xml:space="preserve"> </w:t>
      </w:r>
      <w:hyperlink r:id="rId1816"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25.01.2006, vom 07./08.02.2006, vom 09.03.2006 und vom 25./26.04. 2006</w:t>
      </w:r>
    </w:p>
    <w:p w:rsidR="00BE1EFE" w:rsidRDefault="00BE1EFE">
      <w:pPr>
        <w:pStyle w:val="StandardWeb"/>
      </w:pPr>
    </w:p>
    <w:p w:rsidR="00BE1EFE" w:rsidRDefault="00BE1EFE">
      <w:pPr>
        <w:pStyle w:val="StandardWeb"/>
      </w:pPr>
      <w:r>
        <w:t>– Neufassung des Arbeitsvertragsrechts der bayerischen (Erz-)Diözesen (ABD) Teil A, 1.</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xml:space="preserve">– Neufassung des Arbeitsvertragsrechts der bayerischen (Erz-)Diözesen (ABD) Teil A, 3. </w:t>
      </w:r>
    </w:p>
    <w:p w:rsidR="00BE1EFE" w:rsidRDefault="00BE1EFE">
      <w:pPr>
        <w:pStyle w:val="StandardWeb"/>
      </w:pPr>
      <w:r>
        <w:t xml:space="preserve">Regelung zur Überleitung der Beschäftigten und des Übergangsrechts (RÜÜ) </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Neufassung des Arbeitsvertragsrechts der bayerischen (Erz)Diözesen (ABD) Teil B, 1. bis Teil B, 3.</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pPr>
      <w:r>
        <w:t>– Feststellungs- bzw. Redaktionsbeschluss</w:t>
      </w:r>
    </w:p>
    <w:p w:rsidR="00BE1EFE" w:rsidRDefault="00BE1EFE">
      <w:pPr>
        <w:pStyle w:val="StandardWeb"/>
        <w:jc w:val="right"/>
      </w:pPr>
      <w:r>
        <w:t>rückwirkend zum 01.10.2005</w:t>
      </w:r>
    </w:p>
    <w:p w:rsidR="00BE1EFE" w:rsidRDefault="00BE1EFE">
      <w:pPr>
        <w:pStyle w:val="StandardWeb"/>
        <w:jc w:val="right"/>
      </w:pPr>
    </w:p>
    <w:p w:rsidR="00BE1EFE" w:rsidRDefault="00BE1EFE">
      <w:pPr>
        <w:pStyle w:val="StandardWeb"/>
        <w:rPr>
          <w:rStyle w:val="Fett"/>
          <w:bCs/>
        </w:rPr>
      </w:pPr>
    </w:p>
    <w:p w:rsidR="00BE1EFE" w:rsidRDefault="00BE1EFE" w:rsidP="0054275E">
      <w:pPr>
        <w:pStyle w:val="StandardWeb"/>
        <w:autoSpaceDE w:val="0"/>
      </w:pPr>
      <w:r>
        <w:rPr>
          <w:rStyle w:val="Fett"/>
          <w:bCs/>
        </w:rPr>
        <w:t>Anlage 65</w:t>
      </w:r>
      <w:r>
        <w:t xml:space="preserve"> </w:t>
      </w:r>
      <w:hyperlink r:id="rId1817"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25./26.04.</w:t>
      </w:r>
      <w:r w:rsidRPr="0095793E">
        <w:rPr>
          <w:b/>
        </w:rPr>
        <w:t>200</w:t>
      </w:r>
      <w:r>
        <w:rPr>
          <w:b/>
        </w:rPr>
        <w:t>6</w:t>
      </w:r>
    </w:p>
    <w:p w:rsidR="00BE1EFE" w:rsidRDefault="00BE1EFE">
      <w:pPr>
        <w:pStyle w:val="StandardWeb"/>
      </w:pPr>
    </w:p>
    <w:p w:rsidR="00BE1EFE" w:rsidRDefault="00BE1EFE">
      <w:pPr>
        <w:pStyle w:val="StandardWeb"/>
      </w:pPr>
      <w:r>
        <w:t>– Dienstordnung für Religionslehrer im Kirchendienst (RL i. K.) an Volksschulen und Förder</w:t>
      </w:r>
      <w:r>
        <w:softHyphen/>
        <w:t>schulen in den bayerischen (Erz-)Diözesen vom 01.09.1996</w:t>
      </w:r>
    </w:p>
    <w:p w:rsidR="00BE1EFE" w:rsidRDefault="00BE1EFE">
      <w:pPr>
        <w:pStyle w:val="StandardWeb"/>
      </w:pPr>
      <w:r>
        <w:t>hier: § 8 Umfang der Tätigkeit – Aufhebung der befristeten Erhöhung</w:t>
      </w:r>
    </w:p>
    <w:p w:rsidR="00BE1EFE" w:rsidRDefault="00BE1EFE">
      <w:pPr>
        <w:pStyle w:val="StandardWeb"/>
        <w:jc w:val="right"/>
      </w:pPr>
      <w:r>
        <w:t>zum 01.09.2006</w:t>
      </w:r>
    </w:p>
    <w:p w:rsidR="00BE1EFE" w:rsidRDefault="00BE1EFE">
      <w:pPr>
        <w:pStyle w:val="StandardWeb"/>
        <w:jc w:val="right"/>
      </w:pPr>
    </w:p>
    <w:p w:rsidR="00BE1EFE" w:rsidRDefault="00BE1EFE">
      <w:pPr>
        <w:pStyle w:val="StandardWeb"/>
      </w:pPr>
    </w:p>
    <w:p w:rsidR="00BE1EFE" w:rsidRDefault="00BE1EFE" w:rsidP="0054275E">
      <w:pPr>
        <w:pStyle w:val="StandardWeb"/>
        <w:autoSpaceDE w:val="0"/>
      </w:pPr>
      <w:r>
        <w:rPr>
          <w:rStyle w:val="Fett"/>
          <w:bCs/>
        </w:rPr>
        <w:t>Anlage 64</w:t>
      </w:r>
      <w:r>
        <w:t xml:space="preserve"> </w:t>
      </w:r>
      <w:hyperlink r:id="rId1818"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09.01.2006 </w:t>
      </w:r>
    </w:p>
    <w:p w:rsidR="00BE1EFE" w:rsidRDefault="00BE1EFE">
      <w:pPr>
        <w:pStyle w:val="StandardWeb"/>
      </w:pPr>
    </w:p>
    <w:p w:rsidR="00BE1EFE" w:rsidRDefault="00BE1EFE">
      <w:pPr>
        <w:pStyle w:val="StandardWeb"/>
      </w:pPr>
      <w:r>
        <w:t>– Zahlung von Krankenbezügen</w:t>
      </w:r>
    </w:p>
    <w:p w:rsidR="00BE1EFE" w:rsidRDefault="00BE1EFE">
      <w:pPr>
        <w:pStyle w:val="StandardWeb"/>
        <w:jc w:val="right"/>
      </w:pPr>
      <w:r>
        <w:t>zum 01.03.2006</w:t>
      </w:r>
    </w:p>
    <w:p w:rsidR="00BE1EFE" w:rsidRDefault="00BE1EFE">
      <w:pPr>
        <w:pStyle w:val="StandardWeb"/>
        <w:jc w:val="right"/>
      </w:pPr>
    </w:p>
    <w:p w:rsidR="00BE1EFE" w:rsidRDefault="00BE1EFE">
      <w:pPr>
        <w:pStyle w:val="StandardWeb"/>
      </w:pPr>
    </w:p>
    <w:p w:rsidR="00BE1EFE" w:rsidRPr="007B1622" w:rsidRDefault="00BE1EFE" w:rsidP="00561A79">
      <w:pPr>
        <w:pStyle w:val="berschrift5"/>
        <w:spacing w:before="0"/>
        <w:rPr>
          <w:lang w:eastAsia="x-none"/>
        </w:rPr>
      </w:pPr>
      <w:bookmarkStart w:id="1172" w:name="_Toc523926688"/>
      <w:r>
        <w:t xml:space="preserve">Beschlüsse </w:t>
      </w:r>
      <w:r>
        <w:rPr>
          <w:lang w:eastAsia="x-none"/>
        </w:rPr>
        <w:t>20</w:t>
      </w:r>
      <w:r>
        <w:t>0</w:t>
      </w:r>
      <w:r>
        <w:rPr>
          <w:lang w:eastAsia="x-none"/>
        </w:rPr>
        <w:t>5</w:t>
      </w:r>
      <w:bookmarkEnd w:id="1172"/>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63</w:t>
      </w:r>
      <w:r>
        <w:t xml:space="preserve"> </w:t>
      </w:r>
      <w:hyperlink r:id="rId1819"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20.10.2005 </w:t>
      </w:r>
    </w:p>
    <w:p w:rsidR="00BE1EFE" w:rsidRDefault="00BE1EFE">
      <w:pPr>
        <w:pStyle w:val="StandardWeb"/>
      </w:pPr>
    </w:p>
    <w:p w:rsidR="00BE1EFE" w:rsidRDefault="00BE1EFE">
      <w:pPr>
        <w:pStyle w:val="StandardWeb"/>
      </w:pPr>
      <w:r>
        <w:t>– SR 2 l</w:t>
      </w:r>
      <w:r w:rsidRPr="00356201">
        <w:rPr>
          <w:vertAlign w:val="superscript"/>
        </w:rPr>
        <w:t>1)</w:t>
      </w:r>
      <w:r>
        <w:t xml:space="preserve"> Teile A bis C</w:t>
      </w:r>
    </w:p>
    <w:p w:rsidR="00BE1EFE" w:rsidRDefault="00BE1EFE">
      <w:pPr>
        <w:pStyle w:val="StandardWeb"/>
      </w:pPr>
      <w:r>
        <w:t xml:space="preserve">hier: Änderung der Nr. 3 Abs. 2 </w:t>
      </w:r>
    </w:p>
    <w:p w:rsidR="00BE1EFE" w:rsidRDefault="00BE1EFE">
      <w:pPr>
        <w:pStyle w:val="StandardWeb"/>
        <w:jc w:val="right"/>
      </w:pPr>
      <w:r>
        <w:t>Schuljahr 2005/2006</w:t>
      </w:r>
    </w:p>
    <w:p w:rsidR="00BE1EFE" w:rsidRDefault="00BE1EFE">
      <w:pPr>
        <w:pStyle w:val="StandardWeb"/>
        <w:jc w:val="right"/>
      </w:pPr>
    </w:p>
    <w:p w:rsidR="00BE1EFE" w:rsidRDefault="00BE1EFE">
      <w:pPr>
        <w:pStyle w:val="StandardWeb"/>
      </w:pPr>
      <w:r>
        <w:t xml:space="preserve">– Auszahlung der Vergütung </w:t>
      </w:r>
    </w:p>
    <w:p w:rsidR="00BE1EFE" w:rsidRDefault="00BE1EFE">
      <w:pPr>
        <w:pStyle w:val="StandardWeb"/>
      </w:pPr>
      <w:r>
        <w:t xml:space="preserve">hier: Ergänzung der Nr. 3 der SR 2 l1) Teile A bis C </w:t>
      </w:r>
    </w:p>
    <w:p w:rsidR="00BE1EFE" w:rsidRDefault="00BE1EFE">
      <w:pPr>
        <w:pStyle w:val="StandardWeb"/>
        <w:jc w:val="right"/>
      </w:pPr>
      <w:r>
        <w:t>zum 01.01.2006</w:t>
      </w:r>
    </w:p>
    <w:p w:rsidR="00BE1EFE" w:rsidRPr="00B61F60" w:rsidRDefault="00BE1EFE" w:rsidP="00B61F60">
      <w:pPr>
        <w:pStyle w:val="StandardWeb"/>
        <w:jc w:val="left"/>
        <w:rPr>
          <w:sz w:val="12"/>
          <w:szCs w:val="12"/>
        </w:rPr>
      </w:pPr>
      <w:r w:rsidRPr="00B61F60">
        <w:rPr>
          <w:sz w:val="12"/>
          <w:szCs w:val="12"/>
          <w:vertAlign w:val="superscript"/>
        </w:rPr>
        <w:t>1)</w:t>
      </w:r>
      <w:r w:rsidRPr="00B61F60">
        <w:rPr>
          <w:sz w:val="12"/>
          <w:szCs w:val="12"/>
        </w:rPr>
        <w:t xml:space="preserve"> Hinweis: SR l in der Fassung vom 30.09.2005</w:t>
      </w:r>
    </w:p>
    <w:p w:rsidR="00BE1EFE" w:rsidRDefault="00BE1EFE" w:rsidP="0054275E">
      <w:pPr>
        <w:pStyle w:val="StandardWeb"/>
        <w:autoSpaceDE w:val="0"/>
        <w:rPr>
          <w:rStyle w:val="Fett"/>
          <w:bCs/>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Anlage 62</w:t>
      </w:r>
      <w:r>
        <w:t xml:space="preserve"> </w:t>
      </w:r>
      <w:hyperlink r:id="rId1820"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 xml:space="preserve">21.09.2005 </w:t>
      </w:r>
    </w:p>
    <w:p w:rsidR="00BE1EFE" w:rsidRDefault="00BE1EFE">
      <w:pPr>
        <w:pStyle w:val="StandardWeb"/>
      </w:pPr>
    </w:p>
    <w:p w:rsidR="00BE1EFE" w:rsidRDefault="00BE1EFE">
      <w:pPr>
        <w:pStyle w:val="StandardWeb"/>
      </w:pPr>
      <w:r>
        <w:t>– Regelung zur Mehrarbeit</w:t>
      </w:r>
    </w:p>
    <w:p w:rsidR="00BE1EFE" w:rsidRDefault="00BE1EFE" w:rsidP="009153B0">
      <w:pPr>
        <w:pStyle w:val="StandardWeb"/>
      </w:pPr>
      <w:r>
        <w:t>hier: Änderung der Protokollnotiz zu Nr. 3 Abs. 3 SR 2 l Teile A bis C</w:t>
      </w:r>
    </w:p>
    <w:p w:rsidR="00BE1EFE" w:rsidRDefault="00BE1EFE">
      <w:pPr>
        <w:pStyle w:val="StandardWeb"/>
        <w:jc w:val="right"/>
      </w:pPr>
      <w:r>
        <w:t>Schuljahr 2005/2006</w:t>
      </w:r>
    </w:p>
    <w:p w:rsidR="00BE1EFE" w:rsidRDefault="00BE1EFE">
      <w:pPr>
        <w:pStyle w:val="StandardWeb"/>
      </w:pPr>
    </w:p>
    <w:p w:rsidR="00BE1EFE" w:rsidRDefault="00BE1EFE" w:rsidP="0054275E">
      <w:pPr>
        <w:pStyle w:val="StandardWeb"/>
        <w:autoSpaceDE w:val="0"/>
      </w:pPr>
      <w:r>
        <w:rPr>
          <w:rStyle w:val="Fett"/>
          <w:bCs/>
        </w:rPr>
        <w:t>Anlage 61</w:t>
      </w:r>
      <w:r>
        <w:t xml:space="preserve"> </w:t>
      </w:r>
      <w:hyperlink r:id="rId1821" w:history="1">
        <w:r w:rsidRPr="002D1F1D">
          <w:rPr>
            <w:rStyle w:val="Hyperlink"/>
          </w:rPr>
          <w:t>[herunterladen]</w:t>
        </w:r>
      </w:hyperlink>
    </w:p>
    <w:p w:rsidR="00BE1EFE" w:rsidRDefault="00BE1EFE">
      <w:pPr>
        <w:pStyle w:val="StandardWeb"/>
      </w:pPr>
    </w:p>
    <w:p w:rsidR="00BE1EFE" w:rsidRDefault="00BE1EFE">
      <w:pPr>
        <w:pStyle w:val="StandardWeb"/>
        <w:rPr>
          <w:b/>
        </w:rPr>
      </w:pPr>
      <w:r w:rsidRPr="0095793E">
        <w:rPr>
          <w:b/>
        </w:rPr>
        <w:t xml:space="preserve">Beschlüsse der Bayerischen Regional-KODA vom </w:t>
      </w:r>
      <w:r>
        <w:rPr>
          <w:b/>
        </w:rPr>
        <w:t>26.09.</w:t>
      </w:r>
      <w:r w:rsidRPr="0095793E">
        <w:rPr>
          <w:b/>
        </w:rPr>
        <w:t>200</w:t>
      </w:r>
      <w:r>
        <w:rPr>
          <w:b/>
        </w:rPr>
        <w:t>5</w:t>
      </w:r>
    </w:p>
    <w:p w:rsidR="00BE1EFE" w:rsidRDefault="00BE1EFE">
      <w:pPr>
        <w:pStyle w:val="StandardWeb"/>
      </w:pPr>
    </w:p>
    <w:p w:rsidR="00BE1EFE" w:rsidRDefault="00BE1EFE">
      <w:pPr>
        <w:pStyle w:val="StandardWeb"/>
      </w:pPr>
      <w:r>
        <w:t>– Ergänzung des Übernahmebeschlusses vom 04./05.05.2004</w:t>
      </w:r>
    </w:p>
    <w:p w:rsidR="00BE1EFE" w:rsidRDefault="00BE1EFE">
      <w:pPr>
        <w:pStyle w:val="StandardWeb"/>
        <w:jc w:val="right"/>
      </w:pPr>
      <w:r>
        <w:t>zum 01.10.2005</w:t>
      </w:r>
    </w:p>
    <w:p w:rsidR="00BE1EFE" w:rsidRDefault="00BE1EFE">
      <w:pPr>
        <w:pStyle w:val="StandardWeb"/>
        <w:jc w:val="right"/>
      </w:pPr>
    </w:p>
    <w:p w:rsidR="00BE1EFE" w:rsidRDefault="00BE1EFE">
      <w:pPr>
        <w:pStyle w:val="StandardWeb"/>
      </w:pPr>
      <w:r>
        <w:t>– Übernahme der Regelung der Tarifverträge zur Überleitung der Beschäftigten vom 13. September 2005</w:t>
      </w:r>
    </w:p>
    <w:p w:rsidR="00BE1EFE" w:rsidRDefault="00BE1EFE" w:rsidP="00086E45">
      <w:pPr>
        <w:pStyle w:val="StandardWeb"/>
        <w:jc w:val="right"/>
      </w:pPr>
      <w:r>
        <w:t>zum 01.10.2005</w:t>
      </w:r>
    </w:p>
    <w:p w:rsidR="00BE1EFE" w:rsidRDefault="00BE1EFE">
      <w:pPr>
        <w:pStyle w:val="StandardWeb"/>
      </w:pPr>
    </w:p>
    <w:p w:rsidR="00BE1EFE" w:rsidRDefault="00BE1EFE" w:rsidP="0054275E">
      <w:pPr>
        <w:pStyle w:val="StandardWeb"/>
        <w:autoSpaceDE w:val="0"/>
      </w:pPr>
      <w:r>
        <w:rPr>
          <w:rStyle w:val="Fett"/>
          <w:bCs/>
        </w:rPr>
        <w:t>Anlage 60</w:t>
      </w:r>
      <w:r>
        <w:t xml:space="preserve"> </w:t>
      </w:r>
      <w:hyperlink r:id="rId1822"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12./13.07.2005</w:t>
      </w:r>
    </w:p>
    <w:p w:rsidR="00BE1EFE" w:rsidRDefault="00BE1EFE">
      <w:pPr>
        <w:pStyle w:val="StandardWeb"/>
      </w:pPr>
    </w:p>
    <w:p w:rsidR="00BE1EFE" w:rsidRDefault="00BE1EFE">
      <w:pPr>
        <w:pStyle w:val="StandardWeb"/>
      </w:pPr>
      <w:r>
        <w:t xml:space="preserve">– Sonderregelung für Religionslehrer, die nicht unter die Dienstordnung für Religionslehrer im Kirchendienst fallen, </w:t>
      </w:r>
    </w:p>
    <w:p w:rsidR="00BE1EFE" w:rsidRDefault="00BE1EFE">
      <w:pPr>
        <w:pStyle w:val="StandardWeb"/>
        <w:jc w:val="right"/>
      </w:pPr>
      <w:r>
        <w:t>vom 01.09.1998</w:t>
      </w:r>
    </w:p>
    <w:p w:rsidR="00BE1EFE" w:rsidRDefault="00BE1EFE">
      <w:pPr>
        <w:pStyle w:val="StandardWeb"/>
        <w:jc w:val="right"/>
      </w:pPr>
    </w:p>
    <w:p w:rsidR="00BE1EFE" w:rsidRDefault="00BE1EFE">
      <w:pPr>
        <w:pStyle w:val="StandardWeb"/>
      </w:pPr>
      <w:r>
        <w:t>hier: Änderung der Unterrichtspflichtzeit an Waldorfschulen und an ihnen gleichgestellten Schulen</w:t>
      </w:r>
    </w:p>
    <w:p w:rsidR="00BE1EFE" w:rsidRDefault="00BE1EFE" w:rsidP="009153B0">
      <w:pPr>
        <w:pStyle w:val="StandardWeb"/>
        <w:spacing w:after="240"/>
        <w:jc w:val="right"/>
      </w:pPr>
      <w:r>
        <w:t>zum 01.09.2005</w:t>
      </w:r>
    </w:p>
    <w:p w:rsidR="00BE1EFE" w:rsidRDefault="00BE1EFE" w:rsidP="0054275E">
      <w:pPr>
        <w:pStyle w:val="StandardWeb"/>
        <w:autoSpaceDE w:val="0"/>
      </w:pPr>
      <w:r>
        <w:rPr>
          <w:rStyle w:val="Fett"/>
          <w:bCs/>
        </w:rPr>
        <w:t>Anlage 59</w:t>
      </w:r>
      <w:r>
        <w:t xml:space="preserve"> </w:t>
      </w:r>
      <w:hyperlink r:id="rId1823" w:history="1">
        <w:r w:rsidRPr="002D1F1D">
          <w:rPr>
            <w:rStyle w:val="Hyperlink"/>
          </w:rPr>
          <w:t>[herunterladen]</w:t>
        </w:r>
      </w:hyperlink>
    </w:p>
    <w:p w:rsidR="00BE1EFE" w:rsidRDefault="00BE1EFE">
      <w:pPr>
        <w:pStyle w:val="StandardWeb"/>
      </w:pPr>
    </w:p>
    <w:p w:rsidR="00BE1EFE" w:rsidRPr="0095793E" w:rsidRDefault="00BE1EFE" w:rsidP="0095793E">
      <w:pPr>
        <w:pStyle w:val="StandardWeb"/>
        <w:rPr>
          <w:b/>
        </w:rPr>
      </w:pPr>
      <w:r w:rsidRPr="0095793E">
        <w:rPr>
          <w:b/>
        </w:rPr>
        <w:t xml:space="preserve">Beschlüsse der Bayerischen Regional-KODA vom </w:t>
      </w:r>
      <w:r>
        <w:rPr>
          <w:b/>
        </w:rPr>
        <w:t>08.12.2004 und vom 03./04.05.2005</w:t>
      </w:r>
    </w:p>
    <w:p w:rsidR="00BE1EFE" w:rsidRDefault="00BE1EFE">
      <w:pPr>
        <w:pStyle w:val="StandardWeb"/>
      </w:pPr>
    </w:p>
    <w:p w:rsidR="00BE1EFE" w:rsidRDefault="00BE1EFE">
      <w:pPr>
        <w:pStyle w:val="StandardWeb"/>
      </w:pPr>
      <w:r>
        <w:lastRenderedPageBreak/>
        <w:t xml:space="preserve">– Regelung über eine ergänzende Leistung für Mitarbeiter </w:t>
      </w:r>
    </w:p>
    <w:p w:rsidR="00BE1EFE" w:rsidRDefault="00BE1EFE">
      <w:pPr>
        <w:pStyle w:val="StandardWeb"/>
      </w:pPr>
      <w:r>
        <w:t>(sog. Ballungsraumzulage)</w:t>
      </w:r>
    </w:p>
    <w:p w:rsidR="00BE1EFE" w:rsidRDefault="00BE1EFE">
      <w:pPr>
        <w:pStyle w:val="StandardWeb"/>
        <w:jc w:val="right"/>
      </w:pPr>
      <w:r>
        <w:t>rückwirkend zum 01.01.2005</w:t>
      </w:r>
    </w:p>
    <w:p w:rsidR="00BE1EFE" w:rsidRDefault="00BE1EFE">
      <w:pPr>
        <w:pStyle w:val="StandardWeb"/>
        <w:jc w:val="right"/>
      </w:pPr>
    </w:p>
    <w:p w:rsidR="00BE1EFE" w:rsidRDefault="00BE1EFE">
      <w:pPr>
        <w:pStyle w:val="StandardWeb"/>
      </w:pPr>
      <w:r>
        <w:t xml:space="preserve">– Regelung über ein Urlaubsgeld für Mitarbeiter </w:t>
      </w:r>
    </w:p>
    <w:p w:rsidR="00BE1EFE" w:rsidRDefault="00BE1EFE">
      <w:pPr>
        <w:pStyle w:val="StandardWeb"/>
      </w:pPr>
      <w:r>
        <w:t>hier: Änderung der Ziffer 1 der Anmerkung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Regelung über eine Zuwendung für Mitarbeiter</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Zuwendung für Auszubildende </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Zuwendung für Praktikanten </w:t>
      </w:r>
    </w:p>
    <w:p w:rsidR="00BE1EFE" w:rsidRDefault="00BE1EFE">
      <w:pPr>
        <w:pStyle w:val="StandardWeb"/>
      </w:pPr>
      <w:r>
        <w:t>hier: Änderung der Nr. 1 der Anmerkungen zu § 2</w:t>
      </w:r>
    </w:p>
    <w:p w:rsidR="00BE1EFE" w:rsidRDefault="00BE1EFE">
      <w:pPr>
        <w:pStyle w:val="StandardWeb"/>
        <w:jc w:val="right"/>
      </w:pPr>
      <w:r>
        <w:t>zum 01.07.2005</w:t>
      </w:r>
    </w:p>
    <w:p w:rsidR="00BE1EFE" w:rsidRDefault="00BE1EFE">
      <w:pPr>
        <w:pStyle w:val="StandardWeb"/>
        <w:jc w:val="right"/>
      </w:pPr>
    </w:p>
    <w:p w:rsidR="00BE1EFE" w:rsidRDefault="00BE1EFE">
      <w:pPr>
        <w:pStyle w:val="StandardWeb"/>
      </w:pPr>
      <w:r>
        <w:t xml:space="preserve">– Regelung über eine Einmalzahlung für Mitarbeiter </w:t>
      </w:r>
    </w:p>
    <w:p w:rsidR="00BE1EFE" w:rsidRDefault="00BE1EFE" w:rsidP="00FD44C8">
      <w:pPr>
        <w:pStyle w:val="StandardWeb"/>
        <w:jc w:val="right"/>
      </w:pPr>
      <w:r>
        <w:t>zum 01.07.2005</w:t>
      </w:r>
    </w:p>
    <w:p w:rsidR="00BE1EFE" w:rsidRDefault="00BE1EFE" w:rsidP="00FD44C8">
      <w:pPr>
        <w:pStyle w:val="StandardWeb"/>
        <w:jc w:val="right"/>
      </w:pPr>
    </w:p>
    <w:p w:rsidR="00BE1EFE" w:rsidRDefault="00BE1EFE" w:rsidP="0054275E">
      <w:pPr>
        <w:pStyle w:val="StandardWeb"/>
        <w:autoSpaceDE w:val="0"/>
      </w:pPr>
      <w:r>
        <w:rPr>
          <w:rStyle w:val="Fett"/>
          <w:bCs/>
        </w:rPr>
        <w:t>Anlage 58</w:t>
      </w:r>
      <w:r>
        <w:t xml:space="preserve"> </w:t>
      </w:r>
      <w:hyperlink r:id="rId1824"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15./16.02.</w:t>
      </w:r>
      <w:r w:rsidRPr="0095793E">
        <w:rPr>
          <w:b/>
        </w:rPr>
        <w:t>200</w:t>
      </w:r>
      <w:r>
        <w:rPr>
          <w:b/>
        </w:rPr>
        <w:t>5</w:t>
      </w:r>
    </w:p>
    <w:p w:rsidR="00BE1EFE" w:rsidRDefault="00BE1EFE">
      <w:pPr>
        <w:pStyle w:val="StandardWeb"/>
      </w:pPr>
    </w:p>
    <w:p w:rsidR="00BE1EFE" w:rsidRDefault="00BE1EFE">
      <w:pPr>
        <w:pStyle w:val="StandardWeb"/>
      </w:pPr>
      <w:r>
        <w:t>– Dienstordnung für Religionslehrer im Kirchendienst (RL i. K.) an Volksschulen und Förder</w:t>
      </w:r>
      <w:r>
        <w:softHyphen/>
        <w:t>schulen in den bayerischen (Erz-)Diözesen vom 01.09.1996</w:t>
      </w:r>
    </w:p>
    <w:p w:rsidR="00BE1EFE" w:rsidRDefault="00BE1EFE">
      <w:pPr>
        <w:pStyle w:val="StandardWeb"/>
      </w:pPr>
      <w:r>
        <w:t>hier: Änderung des Umfangs der Tätigkeit</w:t>
      </w:r>
    </w:p>
    <w:p w:rsidR="00BE1EFE" w:rsidRDefault="00BE1EFE">
      <w:pPr>
        <w:pStyle w:val="StandardWeb"/>
        <w:jc w:val="right"/>
      </w:pPr>
      <w:r>
        <w:t>zum 01.09.2005</w:t>
      </w:r>
    </w:p>
    <w:p w:rsidR="00BE1EFE" w:rsidRDefault="00BE1EFE">
      <w:pPr>
        <w:pStyle w:val="StandardWeb"/>
        <w:jc w:val="right"/>
      </w:pPr>
    </w:p>
    <w:p w:rsidR="00BE1EFE" w:rsidRDefault="00BE1EFE">
      <w:pPr>
        <w:pStyle w:val="StandardWeb"/>
      </w:pPr>
      <w:r>
        <w:t>– Sonderregelung für Angestellte als Hausmeister SR 2 r Teil A, 2.</w:t>
      </w:r>
    </w:p>
    <w:p w:rsidR="00BE1EFE" w:rsidRDefault="00BE1EFE">
      <w:pPr>
        <w:pStyle w:val="StandardWeb"/>
      </w:pPr>
      <w:r>
        <w:t>hier: Änderung der regelmäßigen Arbeitszeit des Hausmeisters</w:t>
      </w:r>
    </w:p>
    <w:p w:rsidR="00BE1EFE" w:rsidRDefault="00BE1EFE">
      <w:pPr>
        <w:pStyle w:val="StandardWeb"/>
        <w:jc w:val="right"/>
      </w:pPr>
      <w:r>
        <w:t>zum 01.06.2005</w:t>
      </w:r>
    </w:p>
    <w:p w:rsidR="00BE1EFE" w:rsidRDefault="00BE1EFE">
      <w:pPr>
        <w:pStyle w:val="StandardWeb"/>
      </w:pPr>
    </w:p>
    <w:p w:rsidR="00BE1EFE" w:rsidRDefault="00BE1EFE">
      <w:pPr>
        <w:pStyle w:val="StandardWeb"/>
      </w:pPr>
    </w:p>
    <w:p w:rsidR="00BE1EFE" w:rsidRPr="007B1622" w:rsidRDefault="00BE1EFE" w:rsidP="00561A79">
      <w:pPr>
        <w:pStyle w:val="berschrift5"/>
        <w:spacing w:before="0"/>
        <w:rPr>
          <w:lang w:eastAsia="x-none"/>
        </w:rPr>
      </w:pPr>
      <w:bookmarkStart w:id="1173" w:name="_Toc523926689"/>
      <w:r>
        <w:t xml:space="preserve">Beschlüsse </w:t>
      </w:r>
      <w:r>
        <w:rPr>
          <w:lang w:eastAsia="x-none"/>
        </w:rPr>
        <w:t>20</w:t>
      </w:r>
      <w:r>
        <w:t>0</w:t>
      </w:r>
      <w:r>
        <w:rPr>
          <w:lang w:eastAsia="x-none"/>
        </w:rPr>
        <w:t>4</w:t>
      </w:r>
      <w:bookmarkEnd w:id="1173"/>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57</w:t>
      </w:r>
      <w:r>
        <w:t xml:space="preserve"> </w:t>
      </w:r>
      <w:hyperlink r:id="rId1825"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08.12.2004</w:t>
      </w:r>
    </w:p>
    <w:p w:rsidR="00BE1EFE" w:rsidRDefault="00BE1EFE">
      <w:pPr>
        <w:pStyle w:val="StandardWeb"/>
      </w:pPr>
    </w:p>
    <w:p w:rsidR="00BE1EFE" w:rsidRDefault="00BE1EFE">
      <w:pPr>
        <w:pStyle w:val="StandardWeb"/>
      </w:pPr>
      <w:r>
        <w:t>– Arbeitsvertragsrechtliche Regelungen für Angestellte und Arbeiter, die die Altersgrenze erreicht haben</w:t>
      </w:r>
    </w:p>
    <w:p w:rsidR="00BE1EFE" w:rsidRDefault="00BE1EFE">
      <w:pPr>
        <w:pStyle w:val="StandardWeb"/>
      </w:pPr>
      <w:r>
        <w:t>hier: Ausweitung des allgemeinen Geltungsbereiches</w:t>
      </w:r>
    </w:p>
    <w:p w:rsidR="00BE1EFE" w:rsidRDefault="00BE1EFE">
      <w:pPr>
        <w:pStyle w:val="StandardWeb"/>
        <w:jc w:val="right"/>
      </w:pPr>
      <w:r>
        <w:t>zum 01.01.2005</w:t>
      </w:r>
    </w:p>
    <w:p w:rsidR="00BE1EFE" w:rsidRDefault="00BE1EFE">
      <w:pPr>
        <w:pStyle w:val="StandardWeb"/>
        <w:jc w:val="right"/>
      </w:pPr>
    </w:p>
    <w:p w:rsidR="00BE1EFE" w:rsidRDefault="00BE1EFE">
      <w:pPr>
        <w:pStyle w:val="StandardWeb"/>
      </w:pPr>
      <w:r>
        <w:t>– Entgeltumwandlung</w:t>
      </w:r>
    </w:p>
    <w:p w:rsidR="00BE1EFE" w:rsidRDefault="00BE1EFE">
      <w:pPr>
        <w:pStyle w:val="StandardWeb"/>
      </w:pPr>
      <w:r>
        <w:t>hier: Verlängerung der bestehenden Ergänzenden Regelungen der Bayerischen Regional-KODA zu den Beschlüssen der Zentral-KODA zur Entgeltumwandlung</w:t>
      </w:r>
    </w:p>
    <w:p w:rsidR="00BE1EFE" w:rsidRDefault="00BE1EFE">
      <w:pPr>
        <w:pStyle w:val="StandardWeb"/>
        <w:jc w:val="right"/>
      </w:pPr>
      <w:r>
        <w:t>zum 01.01.2005</w:t>
      </w:r>
    </w:p>
    <w:p w:rsidR="00BE1EFE" w:rsidRDefault="00BE1EFE">
      <w:pPr>
        <w:pStyle w:val="StandardWeb"/>
        <w:jc w:val="right"/>
      </w:pPr>
    </w:p>
    <w:p w:rsidR="00BE1EFE" w:rsidRDefault="00BE1EFE">
      <w:pPr>
        <w:pStyle w:val="StandardWeb"/>
      </w:pPr>
      <w:r>
        <w:lastRenderedPageBreak/>
        <w:t>– Reisekostenordnung ABD Teil C, 14.</w:t>
      </w:r>
    </w:p>
    <w:p w:rsidR="00BE1EFE" w:rsidRDefault="00BE1EFE">
      <w:pPr>
        <w:pStyle w:val="StandardWeb"/>
      </w:pPr>
      <w:r>
        <w:t>hier: Änderung der §§ 4, 8, 11 und 13</w:t>
      </w:r>
    </w:p>
    <w:p w:rsidR="00BE1EFE" w:rsidRDefault="00BE1EFE" w:rsidP="00086E45">
      <w:pPr>
        <w:pStyle w:val="StandardWeb"/>
        <w:jc w:val="right"/>
      </w:pPr>
      <w:r>
        <w:t>zum 01.01.2005</w:t>
      </w:r>
    </w:p>
    <w:p w:rsidR="00BE1EFE" w:rsidRDefault="00BE1EFE">
      <w:pPr>
        <w:pStyle w:val="StandardWeb"/>
      </w:pPr>
    </w:p>
    <w:p w:rsidR="00BE1EFE" w:rsidRDefault="00BE1EFE" w:rsidP="0054275E">
      <w:pPr>
        <w:pStyle w:val="StandardWeb"/>
        <w:autoSpaceDE w:val="0"/>
      </w:pPr>
      <w:r>
        <w:rPr>
          <w:rStyle w:val="Fett"/>
          <w:bCs/>
        </w:rPr>
        <w:t>Anlage 56</w:t>
      </w:r>
      <w:r>
        <w:t xml:space="preserve"> </w:t>
      </w:r>
      <w:hyperlink r:id="rId1826" w:history="1">
        <w:r w:rsidRPr="002D1F1D">
          <w:rPr>
            <w:rStyle w:val="Hyperlink"/>
          </w:rPr>
          <w:t>[herunterladen]</w:t>
        </w:r>
      </w:hyperlink>
    </w:p>
    <w:p w:rsidR="00BE1EFE" w:rsidRDefault="00BE1EFE">
      <w:pPr>
        <w:pStyle w:val="StandardWeb"/>
      </w:pPr>
    </w:p>
    <w:p w:rsidR="00BE1EFE" w:rsidRDefault="00BE1EFE" w:rsidP="00245688">
      <w:pPr>
        <w:pStyle w:val="StandardWeb"/>
        <w:rPr>
          <w:b/>
        </w:rPr>
      </w:pPr>
      <w:r>
        <w:rPr>
          <w:b/>
        </w:rPr>
        <w:t xml:space="preserve">I. </w:t>
      </w:r>
      <w:r w:rsidRPr="0095793E">
        <w:rPr>
          <w:b/>
        </w:rPr>
        <w:t xml:space="preserve">Beschlüsse der </w:t>
      </w:r>
      <w:r>
        <w:rPr>
          <w:b/>
        </w:rPr>
        <w:t>Zentral</w:t>
      </w:r>
      <w:r w:rsidRPr="0095793E">
        <w:rPr>
          <w:b/>
        </w:rPr>
        <w:t xml:space="preserve">-KODA vom </w:t>
      </w:r>
      <w:r>
        <w:rPr>
          <w:b/>
        </w:rPr>
        <w:t>01.07.2004</w:t>
      </w:r>
    </w:p>
    <w:p w:rsidR="00BE1EFE" w:rsidRPr="0095793E" w:rsidRDefault="00BE1EFE" w:rsidP="00245688">
      <w:pPr>
        <w:pStyle w:val="StandardWeb"/>
        <w:rPr>
          <w:b/>
        </w:rPr>
      </w:pPr>
    </w:p>
    <w:p w:rsidR="00BE1EFE" w:rsidRDefault="00BE1EFE">
      <w:pPr>
        <w:pStyle w:val="StandardWeb"/>
      </w:pPr>
      <w:r>
        <w:t xml:space="preserve">– Beschluss zur Entgeltumwandlung </w:t>
      </w:r>
    </w:p>
    <w:p w:rsidR="00BE1EFE" w:rsidRDefault="00BE1EFE">
      <w:pPr>
        <w:pStyle w:val="StandardWeb"/>
        <w:jc w:val="right"/>
      </w:pPr>
      <w:r>
        <w:t xml:space="preserve">zum 01.10.2004 </w:t>
      </w:r>
    </w:p>
    <w:p w:rsidR="00BE1EFE" w:rsidRDefault="00BE1EFE">
      <w:pPr>
        <w:pStyle w:val="StandardWeb"/>
        <w:jc w:val="right"/>
      </w:pPr>
    </w:p>
    <w:p w:rsidR="00BE1EFE" w:rsidRDefault="00BE1EFE">
      <w:pPr>
        <w:pStyle w:val="StandardWeb"/>
      </w:pPr>
      <w:r>
        <w:t xml:space="preserve">– Ordnung für den Arbeitszeitschutz im liturgischen Bereich </w:t>
      </w:r>
    </w:p>
    <w:p w:rsidR="00BE1EFE" w:rsidRDefault="00BE1EFE">
      <w:pPr>
        <w:pStyle w:val="StandardWeb"/>
        <w:jc w:val="right"/>
      </w:pPr>
      <w:r>
        <w:t>zum 01.01.2006</w:t>
      </w:r>
    </w:p>
    <w:p w:rsidR="00BE1EFE" w:rsidRDefault="00BE1EFE">
      <w:pPr>
        <w:pStyle w:val="StandardWeb"/>
        <w:jc w:val="right"/>
      </w:pPr>
    </w:p>
    <w:p w:rsidR="00BE1EFE" w:rsidRPr="0095793E" w:rsidRDefault="00BE1EFE" w:rsidP="00245688">
      <w:pPr>
        <w:pStyle w:val="StandardWeb"/>
        <w:rPr>
          <w:b/>
        </w:rPr>
      </w:pPr>
      <w:r>
        <w:rPr>
          <w:b/>
        </w:rPr>
        <w:t xml:space="preserve">II. </w:t>
      </w:r>
      <w:r w:rsidRPr="0095793E">
        <w:rPr>
          <w:b/>
        </w:rPr>
        <w:t xml:space="preserve">Beschlüsse der Bayerischen Regional-KODA vom </w:t>
      </w:r>
      <w:r>
        <w:rPr>
          <w:b/>
        </w:rPr>
        <w:t>13./14.07.2004</w:t>
      </w:r>
    </w:p>
    <w:p w:rsidR="00BE1EFE" w:rsidRDefault="00BE1EFE">
      <w:pPr>
        <w:pStyle w:val="StandardWeb"/>
      </w:pPr>
    </w:p>
    <w:p w:rsidR="00BE1EFE" w:rsidRDefault="00BE1EFE">
      <w:pPr>
        <w:pStyle w:val="StandardWeb"/>
      </w:pPr>
      <w:r>
        <w:t>– Ergänzende Regelung zu den Beschlüssen der Zentral-KODA zur Entgeltumwandlung nach dem „Gesetz zur Verbesserung der betrieblichen Altersversorgung“ (BetrAVG)</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Betriebliche Altersversorgung (Entgeltumwandlung)</w:t>
      </w:r>
    </w:p>
    <w:p w:rsidR="00BE1EFE" w:rsidRDefault="00BE1EFE">
      <w:pPr>
        <w:pStyle w:val="StandardWeb"/>
      </w:pPr>
      <w:r>
        <w:t>hier: Aufnahme künftiger Ansprüche auf vermögenswirksame Leistungen in umwandelbare Arbeitgeberentgeltbestandteile</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Vergütungsordnung für Mitarbeiter in der kirchlichen Verbands- und Bildungsarbeit für Erwachsene vom 01.07.1994</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Vergütungsordnung für bestellte Jugendpfleger und gleichgestellte Mitarbeiter in der kirchlichen Jugendarbeit mit vergleichbaren Tätigkeitsmerkmalen vom 01.01.1994</w:t>
      </w:r>
    </w:p>
    <w:p w:rsidR="00BE1EFE" w:rsidRDefault="00BE1EFE">
      <w:pPr>
        <w:pStyle w:val="StandardWeb"/>
      </w:pP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 25 ABD A, 1. Ausnahmen von Abschnitt VI, Eingruppierung</w:t>
      </w:r>
    </w:p>
    <w:p w:rsidR="00BE1EFE" w:rsidRDefault="00BE1EFE">
      <w:pPr>
        <w:pStyle w:val="StandardWeb"/>
        <w:jc w:val="right"/>
      </w:pPr>
      <w:r>
        <w:t>zum 01.09.2004</w:t>
      </w:r>
    </w:p>
    <w:p w:rsidR="00BE1EFE" w:rsidRDefault="00BE1EFE" w:rsidP="00B61F60">
      <w:pPr>
        <w:pStyle w:val="StandardWeb"/>
        <w:jc w:val="right"/>
      </w:pPr>
    </w:p>
    <w:p w:rsidR="00BE1EFE" w:rsidRDefault="00BE1EFE">
      <w:pPr>
        <w:pStyle w:val="StandardWeb"/>
      </w:pPr>
      <w:r>
        <w:t>– ABD Teil A, 3.3., G. 1. Angestellte im Sozial- und Erziehungsdienst</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Vergütungsregelung für Religionslehrer, die unter die Sonderregelung zur Dienstordnung für Religionslehrer i. K. fallen vom 01.09.1998</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Übernahme der Regelungen des Tarifabschlusses des öffentlichen Dienstes vom 31.01.2003</w:t>
      </w:r>
    </w:p>
    <w:p w:rsidR="00BE1EFE" w:rsidRDefault="00BE1EFE">
      <w:pPr>
        <w:pStyle w:val="StandardWeb"/>
      </w:pPr>
      <w:r>
        <w:t>hier: Änderung des Zahltages für die Vergütung</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Umsetzung des Gesetzes zur Änderung des Bundeserziehungsgeldgesetzes (01.12.2000) sowie des Gesetzes zur Änderung des Begriffs „Erziehungsurlaub“ (30.11.2000)</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lastRenderedPageBreak/>
        <w:t xml:space="preserve">– Regelung über ein Urlaubsgeld für Mitarbeiter </w:t>
      </w:r>
    </w:p>
    <w:p w:rsidR="00BE1EFE" w:rsidRDefault="00BE1EFE">
      <w:pPr>
        <w:pStyle w:val="StandardWeb"/>
        <w:jc w:val="right"/>
      </w:pPr>
      <w:r>
        <w:t>zum 01.07.2004</w:t>
      </w:r>
    </w:p>
    <w:p w:rsidR="00BE1EFE" w:rsidRDefault="00BE1EFE">
      <w:pPr>
        <w:pStyle w:val="StandardWeb"/>
        <w:jc w:val="right"/>
      </w:pPr>
    </w:p>
    <w:p w:rsidR="00BE1EFE" w:rsidRDefault="00BE1EFE">
      <w:pPr>
        <w:pStyle w:val="StandardWeb"/>
      </w:pPr>
      <w:r>
        <w:t xml:space="preserve">– Anpassung an den EURO </w:t>
      </w: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xml:space="preserve">– Ordnung über die betriebliche Altersversorgung, der bei der SELBSTHILFE, Pensionskasse der Caritas VVaG versicherten Mitarbeiter im kirchlichen Dienst, Versorgungsordnung B, ABD Teil C, 3b </w:t>
      </w:r>
    </w:p>
    <w:p w:rsidR="00BE1EFE" w:rsidRDefault="00BE1EFE">
      <w:pPr>
        <w:pStyle w:val="StandardWeb"/>
        <w:jc w:val="right"/>
      </w:pPr>
      <w:r>
        <w:t>zum 01.09.2004</w:t>
      </w:r>
    </w:p>
    <w:p w:rsidR="00BE1EFE" w:rsidRDefault="00BE1EFE">
      <w:pPr>
        <w:pStyle w:val="StandardWeb"/>
      </w:pPr>
    </w:p>
    <w:p w:rsidR="00BE1EFE" w:rsidRPr="00B61F60" w:rsidRDefault="00BE1EFE">
      <w:pPr>
        <w:pStyle w:val="StandardWeb"/>
        <w:rPr>
          <w:b/>
          <w:spacing w:val="26"/>
        </w:rPr>
      </w:pPr>
      <w:r w:rsidRPr="00B61F60">
        <w:rPr>
          <w:b/>
          <w:spacing w:val="26"/>
        </w:rPr>
        <w:t>Beschluss betrifft nur Diözese Augsburg</w:t>
      </w:r>
    </w:p>
    <w:p w:rsidR="00BE1EFE" w:rsidRDefault="00BE1EFE">
      <w:pPr>
        <w:pStyle w:val="StandardWeb"/>
      </w:pPr>
    </w:p>
    <w:p w:rsidR="00BE1EFE" w:rsidRDefault="00BE1EFE">
      <w:pPr>
        <w:pStyle w:val="StandardWeb"/>
      </w:pPr>
      <w:r>
        <w:t>– Diözesane Ordnung für die Fortbildung, Weiterbildung, Zusatzausbildung der pädagogischen Fach- und Zweitkräfte in den katholischen Tagesstätten für Kinder in der Diözese Augsburg</w:t>
      </w:r>
    </w:p>
    <w:p w:rsidR="00BE1EFE" w:rsidRDefault="00BE1EFE">
      <w:pPr>
        <w:pStyle w:val="StandardWeb"/>
        <w:jc w:val="right"/>
      </w:pPr>
      <w:r>
        <w:t>zum 01.09.2004</w:t>
      </w:r>
    </w:p>
    <w:p w:rsidR="00BE1EFE" w:rsidRDefault="00BE1EFE" w:rsidP="009153B0">
      <w:pPr>
        <w:pStyle w:val="StandardWeb"/>
        <w:jc w:val="left"/>
      </w:pPr>
    </w:p>
    <w:p w:rsidR="00BE1EFE" w:rsidRPr="00B61F60" w:rsidRDefault="00BE1EFE" w:rsidP="009153B0">
      <w:pPr>
        <w:pStyle w:val="StandardWeb"/>
        <w:jc w:val="left"/>
        <w:rPr>
          <w:b/>
        </w:rPr>
      </w:pPr>
      <w:r w:rsidRPr="00B61F60">
        <w:rPr>
          <w:b/>
        </w:rPr>
        <w:t>Änderungen in Umsetzung von Beschlüssen der Bayerischen Regional-KODA:</w:t>
      </w:r>
    </w:p>
    <w:p w:rsidR="00BE1EFE" w:rsidRDefault="00BE1EFE">
      <w:pPr>
        <w:pStyle w:val="StandardWeb"/>
        <w:jc w:val="right"/>
      </w:pPr>
    </w:p>
    <w:p w:rsidR="00BE1EFE" w:rsidRDefault="00BE1EFE">
      <w:pPr>
        <w:pStyle w:val="StandardWeb"/>
      </w:pPr>
      <w:r>
        <w:t>– Ausfüllung des § 9 Abs. 2 Dienstordnung für Religionslehrer i. K.</w:t>
      </w:r>
    </w:p>
    <w:p w:rsidR="00BE1EFE" w:rsidRDefault="00BE1EFE">
      <w:pPr>
        <w:pStyle w:val="StandardWeb"/>
      </w:pPr>
      <w:r>
        <w:t>hier: Regelung der Stundenermäßigung bei Teilzeit wegen Alters oder wegen Schwer</w:t>
      </w:r>
      <w:r>
        <w:softHyphen/>
        <w:t>behinderung</w:t>
      </w:r>
    </w:p>
    <w:p w:rsidR="00BE1EFE" w:rsidRDefault="00BE1EFE">
      <w:pPr>
        <w:pStyle w:val="StandardWeb"/>
      </w:pPr>
    </w:p>
    <w:p w:rsidR="00BE1EFE" w:rsidRDefault="00BE1EFE">
      <w:pPr>
        <w:pStyle w:val="StandardWeb"/>
        <w:jc w:val="right"/>
      </w:pPr>
      <w:r>
        <w:t>zum 01.09.2004</w:t>
      </w:r>
    </w:p>
    <w:p w:rsidR="00BE1EFE" w:rsidRDefault="00BE1EFE">
      <w:pPr>
        <w:pStyle w:val="StandardWeb"/>
        <w:jc w:val="right"/>
      </w:pPr>
    </w:p>
    <w:p w:rsidR="00BE1EFE" w:rsidRDefault="00BE1EFE">
      <w:pPr>
        <w:pStyle w:val="StandardWeb"/>
      </w:pPr>
      <w:r>
        <w:t>– Änderung der Hochziffer des § 2 Abs. 1 (betr.: Vollbeschäftigung) der Sonderregelung für Religionslehrer, die nicht unter die Dienstordnung für Religionslehrer im Kirchendienst fallen, vom 01.09.1998</w:t>
      </w:r>
    </w:p>
    <w:p w:rsidR="00BE1EFE" w:rsidRDefault="00BE1EFE">
      <w:pPr>
        <w:pStyle w:val="StandardWeb"/>
      </w:pPr>
    </w:p>
    <w:p w:rsidR="00BE1EFE" w:rsidRDefault="00BE1EFE" w:rsidP="00C14C5F">
      <w:pPr>
        <w:pStyle w:val="StandardWeb"/>
        <w:jc w:val="right"/>
      </w:pPr>
      <w:r>
        <w:t>zum 01.09.2004</w:t>
      </w:r>
    </w:p>
    <w:p w:rsidR="00BE1EFE" w:rsidRDefault="00BE1EFE" w:rsidP="0054275E">
      <w:pPr>
        <w:pStyle w:val="StandardWeb"/>
        <w:autoSpaceDE w:val="0"/>
      </w:pPr>
      <w:r>
        <w:rPr>
          <w:rStyle w:val="Fett"/>
          <w:bCs/>
        </w:rPr>
        <w:t>Anlage 55</w:t>
      </w:r>
      <w:r>
        <w:t xml:space="preserve"> </w:t>
      </w:r>
      <w:hyperlink r:id="rId1827"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06.05.2004 und vom 15.07.2004</w:t>
      </w:r>
    </w:p>
    <w:p w:rsidR="00BE1EFE" w:rsidRDefault="00BE1EFE">
      <w:pPr>
        <w:pStyle w:val="StandardWeb"/>
      </w:pPr>
    </w:p>
    <w:p w:rsidR="00BE1EFE" w:rsidRDefault="00BE1EFE">
      <w:pPr>
        <w:pStyle w:val="StandardWeb"/>
      </w:pPr>
      <w:r>
        <w:t>– Regelung zur Mehrarbeit</w:t>
      </w:r>
    </w:p>
    <w:p w:rsidR="00BE1EFE" w:rsidRDefault="00BE1EFE">
      <w:pPr>
        <w:pStyle w:val="StandardWeb"/>
      </w:pPr>
      <w:r>
        <w:t xml:space="preserve">hier: Ergänzung der Protokollnotiz zu Nr. 3 Abs. 3 SR 2 l Teile A bis C </w:t>
      </w:r>
    </w:p>
    <w:p w:rsidR="00BE1EFE" w:rsidRDefault="00BE1EFE">
      <w:pPr>
        <w:pStyle w:val="StandardWeb"/>
      </w:pPr>
    </w:p>
    <w:p w:rsidR="00BE1EFE" w:rsidRDefault="00BE1EFE">
      <w:pPr>
        <w:pStyle w:val="StandardWeb"/>
        <w:jc w:val="right"/>
      </w:pPr>
      <w:r>
        <w:t>Schuljahr 2004/2005</w:t>
      </w:r>
    </w:p>
    <w:p w:rsidR="00BE1EFE" w:rsidRDefault="00BE1EFE">
      <w:pPr>
        <w:pStyle w:val="StandardWeb"/>
        <w:jc w:val="right"/>
      </w:pPr>
    </w:p>
    <w:p w:rsidR="00BE1EFE" w:rsidRDefault="00BE1EFE">
      <w:pPr>
        <w:pStyle w:val="StandardWeb"/>
      </w:pPr>
      <w:r>
        <w:t>– Arbeitszeitkonto</w:t>
      </w:r>
    </w:p>
    <w:p w:rsidR="00BE1EFE" w:rsidRDefault="00BE1EFE">
      <w:pPr>
        <w:pStyle w:val="StandardWeb"/>
      </w:pPr>
      <w:r>
        <w:t xml:space="preserve">hier: Ergänzung der Nr. 3 der SR 2 l Teile A bis C </w:t>
      </w:r>
    </w:p>
    <w:p w:rsidR="00BE1EFE" w:rsidRDefault="00BE1EFE">
      <w:pPr>
        <w:pStyle w:val="StandardWeb"/>
      </w:pPr>
    </w:p>
    <w:p w:rsidR="00BE1EFE" w:rsidRDefault="00BE1EFE">
      <w:pPr>
        <w:pStyle w:val="StandardWeb"/>
        <w:jc w:val="right"/>
      </w:pPr>
      <w:r>
        <w:t>zum 01.07.2004</w:t>
      </w:r>
    </w:p>
    <w:p w:rsidR="00BE1EFE" w:rsidRDefault="00BE1EFE">
      <w:pPr>
        <w:pStyle w:val="StandardWeb"/>
        <w:jc w:val="right"/>
      </w:pPr>
    </w:p>
    <w:p w:rsidR="00BE1EFE" w:rsidRDefault="00BE1EFE">
      <w:pPr>
        <w:pStyle w:val="StandardWeb"/>
      </w:pPr>
      <w:r>
        <w:t>– Beihilfen bei Krankheits-, Pflege-, Geburts- und Todesfällen, Unterstützungen</w:t>
      </w:r>
    </w:p>
    <w:p w:rsidR="00BE1EFE" w:rsidRDefault="00BE1EFE">
      <w:pPr>
        <w:pStyle w:val="StandardWeb"/>
      </w:pPr>
      <w:r>
        <w:t>hier: Ergänzung der Protokollnotiz zu Nr. 7 SR 2 l Teil A</w:t>
      </w:r>
    </w:p>
    <w:p w:rsidR="00BE1EFE" w:rsidRDefault="00BE1EFE">
      <w:pPr>
        <w:pStyle w:val="StandardWeb"/>
        <w:jc w:val="right"/>
      </w:pPr>
      <w:r>
        <w:t>zum 01.09.2004</w:t>
      </w:r>
    </w:p>
    <w:p w:rsidR="00BE1EFE" w:rsidRDefault="00BE1EFE">
      <w:pPr>
        <w:pStyle w:val="StandardWeb"/>
      </w:pPr>
    </w:p>
    <w:p w:rsidR="00BE1EFE" w:rsidRDefault="00BE1EFE" w:rsidP="0054275E">
      <w:pPr>
        <w:pStyle w:val="StandardWeb"/>
        <w:autoSpaceDE w:val="0"/>
      </w:pPr>
      <w:r>
        <w:rPr>
          <w:rStyle w:val="Fett"/>
          <w:bCs/>
        </w:rPr>
        <w:t>Anlage 54</w:t>
      </w:r>
      <w:r>
        <w:t xml:space="preserve"> </w:t>
      </w:r>
      <w:hyperlink r:id="rId1828"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04./05.05.2004</w:t>
      </w:r>
    </w:p>
    <w:p w:rsidR="00BE1EFE" w:rsidRDefault="00BE1EFE">
      <w:pPr>
        <w:pStyle w:val="StandardWeb"/>
      </w:pPr>
    </w:p>
    <w:p w:rsidR="00BE1EFE" w:rsidRDefault="00BE1EFE">
      <w:pPr>
        <w:pStyle w:val="StandardWeb"/>
      </w:pPr>
      <w:r>
        <w:t xml:space="preserve">– Regelung über ein Urlaubsgeld für Mitarbeiter </w:t>
      </w:r>
    </w:p>
    <w:p w:rsidR="00BE1EFE" w:rsidRDefault="00BE1EFE">
      <w:pPr>
        <w:pStyle w:val="StandardWeb"/>
      </w:pPr>
      <w:r>
        <w:t xml:space="preserve">hier: Anmerkung zu § 2 </w:t>
      </w:r>
    </w:p>
    <w:p w:rsidR="00BE1EFE" w:rsidRDefault="00BE1EFE">
      <w:pPr>
        <w:pStyle w:val="StandardWeb"/>
        <w:jc w:val="right"/>
      </w:pPr>
      <w:r>
        <w:t>zum 15.06.2004</w:t>
      </w:r>
    </w:p>
    <w:p w:rsidR="00BE1EFE" w:rsidRDefault="00BE1EFE">
      <w:pPr>
        <w:pStyle w:val="StandardWeb"/>
        <w:jc w:val="right"/>
      </w:pPr>
    </w:p>
    <w:p w:rsidR="00BE1EFE" w:rsidRDefault="00BE1EFE">
      <w:pPr>
        <w:pStyle w:val="StandardWeb"/>
      </w:pPr>
      <w:r>
        <w:t>– Übernahme von Regelungen des neugestalteten Tarifrechts des öffentlichen Dienstes</w:t>
      </w:r>
    </w:p>
    <w:p w:rsidR="00BE1EFE" w:rsidRDefault="00BE1EFE">
      <w:pPr>
        <w:pStyle w:val="StandardWeb"/>
        <w:jc w:val="right"/>
      </w:pPr>
      <w:r>
        <w:t>zum 15.06.2004</w:t>
      </w:r>
    </w:p>
    <w:p w:rsidR="00BE1EFE" w:rsidRDefault="00BE1EFE">
      <w:pPr>
        <w:pStyle w:val="StandardWeb"/>
      </w:pPr>
    </w:p>
    <w:p w:rsidR="00BE1EFE" w:rsidRDefault="00BE1EFE" w:rsidP="0054275E">
      <w:pPr>
        <w:pStyle w:val="StandardWeb"/>
        <w:autoSpaceDE w:val="0"/>
      </w:pPr>
      <w:r>
        <w:rPr>
          <w:rStyle w:val="Fett"/>
          <w:bCs/>
        </w:rPr>
        <w:t>Anlage 53</w:t>
      </w:r>
      <w:r>
        <w:t xml:space="preserve"> </w:t>
      </w:r>
      <w:hyperlink r:id="rId1829"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03./04.02.2004 und vom 25.03.2004</w:t>
      </w:r>
    </w:p>
    <w:p w:rsidR="00BE1EFE" w:rsidRDefault="00BE1EFE">
      <w:pPr>
        <w:pStyle w:val="StandardWeb"/>
      </w:pPr>
    </w:p>
    <w:p w:rsidR="00BE1EFE" w:rsidRDefault="00BE1EFE">
      <w:pPr>
        <w:pStyle w:val="StandardWeb"/>
      </w:pPr>
      <w:r>
        <w:t>– § 29 ABD Teil A, 1. Ortszuschlag/§ 41 ABD Teil B, 1. Sozialzuschlag</w:t>
      </w:r>
    </w:p>
    <w:p w:rsidR="00BE1EFE" w:rsidRDefault="00BE1EFE">
      <w:pPr>
        <w:pStyle w:val="StandardWeb"/>
      </w:pPr>
      <w:r>
        <w:t>hier: Konkurrenzregelung im Bereich geschiedener Ehegatten</w:t>
      </w:r>
    </w:p>
    <w:p w:rsidR="00BE1EFE" w:rsidRDefault="00BE1EFE">
      <w:pPr>
        <w:pStyle w:val="StandardWeb"/>
        <w:jc w:val="right"/>
      </w:pPr>
      <w:r>
        <w:t>zum 01.04.2004</w:t>
      </w:r>
    </w:p>
    <w:p w:rsidR="00BE1EFE" w:rsidRDefault="00BE1EFE">
      <w:pPr>
        <w:pStyle w:val="StandardWeb"/>
        <w:jc w:val="right"/>
      </w:pPr>
    </w:p>
    <w:p w:rsidR="00BE1EFE" w:rsidRDefault="00BE1EFE">
      <w:pPr>
        <w:pStyle w:val="StandardWeb"/>
      </w:pPr>
    </w:p>
    <w:p w:rsidR="00BE1EFE" w:rsidRPr="007B1622" w:rsidRDefault="00BE1EFE" w:rsidP="00561A79">
      <w:pPr>
        <w:pStyle w:val="berschrift5"/>
        <w:spacing w:before="0"/>
      </w:pPr>
      <w:bookmarkStart w:id="1174" w:name="_Toc523926690"/>
      <w:r>
        <w:t>Beschlüsse 10/2003 – 12/2003</w:t>
      </w:r>
      <w:bookmarkEnd w:id="1174"/>
    </w:p>
    <w:p w:rsidR="00BE1EFE" w:rsidRPr="00B76821" w:rsidRDefault="00BE1EFE" w:rsidP="00B76821">
      <w:pPr>
        <w:pStyle w:val="berschrift6"/>
        <w:keepNext w:val="0"/>
        <w:spacing w:before="0" w:after="0"/>
        <w:rPr>
          <w:rStyle w:val="Fett"/>
          <w:bCs w:val="0"/>
          <w:sz w:val="2"/>
        </w:rPr>
      </w:pPr>
    </w:p>
    <w:p w:rsidR="00BE1EFE" w:rsidRDefault="00BE1EFE" w:rsidP="0054275E">
      <w:pPr>
        <w:pStyle w:val="StandardWeb"/>
        <w:autoSpaceDE w:val="0"/>
      </w:pPr>
      <w:r>
        <w:rPr>
          <w:rStyle w:val="Fett"/>
          <w:bCs/>
        </w:rPr>
        <w:t>Anlage 52</w:t>
      </w:r>
      <w:r>
        <w:t xml:space="preserve"> </w:t>
      </w:r>
      <w:hyperlink r:id="rId1830"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Beschl</w:t>
      </w:r>
      <w:r>
        <w:rPr>
          <w:b/>
        </w:rPr>
        <w:t>ü</w:t>
      </w:r>
      <w:r w:rsidRPr="0095793E">
        <w:rPr>
          <w:b/>
        </w:rPr>
        <w:t>ss</w:t>
      </w:r>
      <w:r>
        <w:rPr>
          <w:b/>
        </w:rPr>
        <w:t>e</w:t>
      </w:r>
      <w:r w:rsidRPr="0095793E">
        <w:rPr>
          <w:b/>
        </w:rPr>
        <w:t xml:space="preserve"> der </w:t>
      </w:r>
      <w:r>
        <w:rPr>
          <w:b/>
        </w:rPr>
        <w:t xml:space="preserve">Lehrerkommission der </w:t>
      </w:r>
      <w:r w:rsidRPr="0095793E">
        <w:rPr>
          <w:b/>
        </w:rPr>
        <w:t xml:space="preserve">Bayerischen Regional-KODA vom </w:t>
      </w:r>
      <w:r>
        <w:rPr>
          <w:b/>
        </w:rPr>
        <w:t>09.10.2003 und vom 11.12.2003</w:t>
      </w:r>
    </w:p>
    <w:p w:rsidR="00BE1EFE" w:rsidRDefault="00BE1EFE">
      <w:pPr>
        <w:pStyle w:val="StandardWeb"/>
      </w:pPr>
    </w:p>
    <w:p w:rsidR="00BE1EFE" w:rsidRDefault="00BE1EFE">
      <w:pPr>
        <w:pStyle w:val="StandardWeb"/>
      </w:pPr>
      <w:r>
        <w:t>– SR 2 l Teil A</w:t>
      </w:r>
    </w:p>
    <w:p w:rsidR="00BE1EFE" w:rsidRDefault="00BE1EFE">
      <w:pPr>
        <w:pStyle w:val="StandardWeb"/>
      </w:pPr>
      <w:r>
        <w:t>hier: Anpassung der Nr. 6 Abs. 6 Satz 2 an die neue BayRKO</w:t>
      </w:r>
    </w:p>
    <w:p w:rsidR="00BE1EFE" w:rsidRDefault="00BE1EFE">
      <w:pPr>
        <w:pStyle w:val="StandardWeb"/>
        <w:jc w:val="right"/>
      </w:pPr>
      <w:r>
        <w:t>zum 01.10.2003</w:t>
      </w:r>
    </w:p>
    <w:p w:rsidR="00BE1EFE" w:rsidRDefault="00BE1EFE">
      <w:pPr>
        <w:pStyle w:val="StandardWeb"/>
        <w:jc w:val="right"/>
      </w:pPr>
    </w:p>
    <w:p w:rsidR="00BE1EFE" w:rsidRDefault="00BE1EFE">
      <w:pPr>
        <w:pStyle w:val="StandardWeb"/>
      </w:pPr>
      <w:r>
        <w:t>– Regelung zur Mehrarbeit</w:t>
      </w:r>
    </w:p>
    <w:p w:rsidR="00BE1EFE" w:rsidRDefault="00BE1EFE">
      <w:pPr>
        <w:pStyle w:val="StandardWeb"/>
      </w:pPr>
      <w:r>
        <w:t>hier: Änderung der SR 2 l Teile A bis C Nr. 3 Abs. 3</w:t>
      </w:r>
    </w:p>
    <w:p w:rsidR="00BE1EFE" w:rsidRDefault="00BE1EFE">
      <w:pPr>
        <w:pStyle w:val="StandardWeb"/>
        <w:jc w:val="right"/>
      </w:pPr>
      <w:r>
        <w:t>Schuljahr 2003/2004</w:t>
      </w:r>
    </w:p>
    <w:p w:rsidR="00BE1EFE" w:rsidRDefault="00BE1EFE">
      <w:pPr>
        <w:pStyle w:val="StandardWeb"/>
        <w:jc w:val="right"/>
      </w:pPr>
    </w:p>
    <w:p w:rsidR="00BE1EFE" w:rsidRDefault="00BE1EFE">
      <w:pPr>
        <w:pStyle w:val="StandardWeb"/>
      </w:pPr>
      <w:r>
        <w:t>– Regelungen zur Weihnachtszuwendung, zum Urlaubsgeld, zur vermögenswirksamen Leistung und zur sog. Ballungsraumzulage</w:t>
      </w:r>
    </w:p>
    <w:p w:rsidR="00BE1EFE" w:rsidRDefault="00BE1EFE">
      <w:pPr>
        <w:pStyle w:val="StandardWeb"/>
        <w:jc w:val="right"/>
      </w:pPr>
      <w:r>
        <w:t>zum 01.07.2003</w:t>
      </w:r>
    </w:p>
    <w:p w:rsidR="00BE1EFE" w:rsidRDefault="00BE1EFE">
      <w:pPr>
        <w:pStyle w:val="StandardWeb"/>
        <w:rPr>
          <w:rStyle w:val="Fett"/>
          <w:bCs/>
        </w:rPr>
      </w:pPr>
    </w:p>
    <w:p w:rsidR="00BE1EFE" w:rsidRDefault="00BE1EFE" w:rsidP="0054275E">
      <w:pPr>
        <w:pStyle w:val="StandardWeb"/>
        <w:autoSpaceDE w:val="0"/>
      </w:pPr>
      <w:r>
        <w:rPr>
          <w:rStyle w:val="Fett"/>
          <w:bCs/>
        </w:rPr>
        <w:t>Anlage 51</w:t>
      </w:r>
      <w:r>
        <w:t xml:space="preserve"> </w:t>
      </w:r>
      <w:hyperlink r:id="rId1831" w:history="1">
        <w:r w:rsidRPr="002D1F1D">
          <w:rPr>
            <w:rStyle w:val="Hyperlink"/>
          </w:rPr>
          <w:t>[herunterladen]</w:t>
        </w:r>
      </w:hyperlink>
    </w:p>
    <w:p w:rsidR="00BE1EFE" w:rsidRDefault="00BE1EFE">
      <w:pPr>
        <w:pStyle w:val="StandardWeb"/>
      </w:pPr>
    </w:p>
    <w:p w:rsidR="00BE1EFE" w:rsidRPr="0095793E" w:rsidRDefault="00BE1EFE" w:rsidP="00245688">
      <w:pPr>
        <w:pStyle w:val="StandardWeb"/>
        <w:rPr>
          <w:b/>
        </w:rPr>
      </w:pPr>
      <w:r w:rsidRPr="0095793E">
        <w:rPr>
          <w:b/>
        </w:rPr>
        <w:t xml:space="preserve">Beschlüsse der Bayerischen Regional-KODA vom </w:t>
      </w:r>
      <w:r>
        <w:rPr>
          <w:b/>
        </w:rPr>
        <w:t>07./08.10.2003 und vom 09./10.12.2003</w:t>
      </w:r>
    </w:p>
    <w:p w:rsidR="00BE1EFE" w:rsidRDefault="00BE1EFE">
      <w:pPr>
        <w:pStyle w:val="StandardWeb"/>
      </w:pPr>
    </w:p>
    <w:p w:rsidR="00BE1EFE" w:rsidRDefault="00BE1EFE">
      <w:pPr>
        <w:pStyle w:val="StandardWeb"/>
      </w:pPr>
      <w:r>
        <w:t>– § 1 ABD Teil A, 1./§ 1 ABD Teil B, 1. Allgemeiner Geltungsbereich</w:t>
      </w:r>
    </w:p>
    <w:p w:rsidR="00BE1EFE" w:rsidRDefault="00BE1EFE">
      <w:pPr>
        <w:pStyle w:val="StandardWeb"/>
      </w:pPr>
      <w:r>
        <w:t>hier: Anpassung an § 3 BayRKO zum 01.10.2003</w:t>
      </w:r>
    </w:p>
    <w:p w:rsidR="00BE1EFE" w:rsidRDefault="00BE1EFE">
      <w:pPr>
        <w:pStyle w:val="StandardWeb"/>
        <w:jc w:val="right"/>
      </w:pPr>
      <w:r>
        <w:t>zum 01.10.2003</w:t>
      </w:r>
    </w:p>
    <w:p w:rsidR="00BE1EFE" w:rsidRDefault="00BE1EFE">
      <w:pPr>
        <w:pStyle w:val="StandardWeb"/>
        <w:jc w:val="right"/>
      </w:pPr>
    </w:p>
    <w:p w:rsidR="00BE1EFE" w:rsidRDefault="00BE1EFE">
      <w:pPr>
        <w:pStyle w:val="StandardWeb"/>
      </w:pPr>
      <w:r>
        <w:t>– Regelung über eine Zuwendung für Mitarbeiter</w:t>
      </w:r>
    </w:p>
    <w:p w:rsidR="00BE1EFE" w:rsidRDefault="00BE1EFE">
      <w:pPr>
        <w:pStyle w:val="StandardWeb"/>
      </w:pPr>
      <w:r>
        <w:t>hier: Absenkung der Weihnachtszuwendung; (betr.: familienbezogene Komponente im Ortszu</w:t>
      </w:r>
      <w:r>
        <w:softHyphen/>
        <w:t>schlag)</w:t>
      </w:r>
    </w:p>
    <w:p w:rsidR="00BE1EFE" w:rsidRDefault="00BE1EFE" w:rsidP="00245688">
      <w:pPr>
        <w:pStyle w:val="StandardWeb"/>
        <w:jc w:val="right"/>
      </w:pPr>
      <w:r>
        <w:t>zum 01.01.2004</w:t>
      </w:r>
      <w:r>
        <w:br w:type="page"/>
      </w:r>
    </w:p>
    <w:p w:rsidR="00BE1EFE" w:rsidRDefault="00BE1EFE" w:rsidP="00561A79">
      <w:pPr>
        <w:pStyle w:val="berschrift4"/>
        <w:spacing w:before="0"/>
        <w:rPr>
          <w:lang w:eastAsia="x-none"/>
        </w:rPr>
      </w:pPr>
      <w:bookmarkStart w:id="1175" w:name="_Toc523926691"/>
      <w:r>
        <w:lastRenderedPageBreak/>
        <w:t>Zentral-KODA seit 2008</w:t>
      </w:r>
      <w:bookmarkEnd w:id="1175"/>
    </w:p>
    <w:p w:rsidR="00BE1EFE" w:rsidRDefault="00BE1EFE" w:rsidP="00561A79">
      <w:pPr>
        <w:pStyle w:val="berschrift5"/>
        <w:jc w:val="both"/>
        <w:rPr>
          <w:lang w:eastAsia="x-none"/>
        </w:rPr>
      </w:pPr>
      <w:bookmarkStart w:id="1176" w:name="_Toc523926692"/>
      <w:r>
        <w:t>Ordnung über die Rechtsfolgen eines Dienstgeberwechsels im Geltungsbereich der Grundordnung des kirchlichen Dienstes im Rahmen kirchlicher Arbeitsverhältnisse</w:t>
      </w:r>
      <w:bookmarkEnd w:id="1176"/>
    </w:p>
    <w:p w:rsidR="00BE1EFE" w:rsidRPr="00B76821" w:rsidRDefault="00BE1EFE" w:rsidP="00B76821">
      <w:pPr>
        <w:pStyle w:val="berschrift6"/>
        <w:keepNext w:val="0"/>
        <w:spacing w:before="0" w:after="0"/>
        <w:rPr>
          <w:rStyle w:val="Fett"/>
          <w:bCs w:val="0"/>
          <w:sz w:val="2"/>
        </w:rPr>
      </w:pPr>
    </w:p>
    <w:p w:rsidR="00BE1EFE" w:rsidRPr="000B1AF8" w:rsidRDefault="00BE1EFE" w:rsidP="00970168">
      <w:pPr>
        <w:pStyle w:val="StandardWeb"/>
        <w:autoSpaceDE w:val="0"/>
      </w:pPr>
      <w:r>
        <w:rPr>
          <w:rStyle w:val="Fett"/>
          <w:bCs/>
        </w:rPr>
        <w:t>Beschluss der Zentral-KODA vom 23.11.2016</w:t>
      </w:r>
    </w:p>
    <w:p w:rsidR="00BE1EFE" w:rsidRDefault="00BE1EFE" w:rsidP="00970168">
      <w:pPr>
        <w:pStyle w:val="StandardWeb"/>
      </w:pPr>
    </w:p>
    <w:p w:rsidR="00BE1EFE" w:rsidRDefault="00BE1EFE" w:rsidP="00970168">
      <w:pPr>
        <w:pStyle w:val="StandardWeb"/>
      </w:pPr>
      <w:r>
        <w:t>Bei jedem Wechsel eines oder einer Beschäftigten von einem Dienstgeber im Bereich der Grundordnung des kirchlichen Dienstes im Rahmen kirchlicher Arbeitsverhältnisse zu einem anderen Dienstgeber im Bereich der Grundordnung, für den ein anderer arbeitsrechtlicher Regelungsbereich gilt (Wechsel in der Zuständigkeit der nach Art. 7 Grundordnung gebildeten Kommission), gilt Folgendes:</w:t>
      </w:r>
    </w:p>
    <w:p w:rsidR="00BE1EFE" w:rsidRDefault="00BE1EFE" w:rsidP="00970168">
      <w:pPr>
        <w:pStyle w:val="StandardWeb"/>
      </w:pPr>
    </w:p>
    <w:p w:rsidR="00BE1EFE" w:rsidRDefault="00BE1EFE" w:rsidP="00970168">
      <w:pPr>
        <w:pStyle w:val="StandardWeb"/>
      </w:pPr>
      <w:r>
        <w:t>1. Bei der Zuordnung zur Stufe der Entgelttabelle erfolgt grundsätzlich keine Anrechnung von Vordienstzeiten. Soweit die Unterbrechung zwischen den Arbeitsverhältnissen nicht mehr als 6 Monate beträgt, darf der oder die Beschäftigte jedoch nicht mehr als eine Entwicklungsstufe gegenüber dem vorherigen Arbeitsverhältnis mit einschlägiger beruflicher Tätigkeit zurückgestuft werden.</w:t>
      </w:r>
    </w:p>
    <w:p w:rsidR="00BE1EFE" w:rsidRDefault="00BE1EFE" w:rsidP="00970168">
      <w:pPr>
        <w:pStyle w:val="StandardWeb"/>
      </w:pPr>
    </w:p>
    <w:p w:rsidR="00BE1EFE" w:rsidRDefault="00BE1EFE" w:rsidP="00970168">
      <w:pPr>
        <w:pStyle w:val="StandardWeb"/>
      </w:pPr>
      <w:r>
        <w:t>Weichen die Entgeltsysteme der verschiedenen Kommissionen hinsichtlich der Anzahl der Stufen und/oder hinsichtlich der regulären Verweildauer in den Stufen innerhalb derselben Entgeltgruppe voneinander ab, erfolgt die Stufenzuordnung im neuen Kommissionsrecht unter Anrechnung der einschlägigen beruflichen Tätigkeiten, soweit diese bei einem früheren Dienstgeber im Geltungsbereich der Grundordnung geleistet wurden und die Unterbrechung zwischen den Arbeitsverhältnissen nicht mehr als 6 Monate beträgt. Die sich daraus ergebende Stufenzuordnung kann um eine Stufe abgesenkt werden.</w:t>
      </w:r>
    </w:p>
    <w:p w:rsidR="00BE1EFE" w:rsidRDefault="00BE1EFE" w:rsidP="00970168">
      <w:pPr>
        <w:pStyle w:val="StandardWeb"/>
      </w:pPr>
    </w:p>
    <w:p w:rsidR="00BE1EFE" w:rsidRDefault="00BE1EFE" w:rsidP="00970168">
      <w:pPr>
        <w:pStyle w:val="StandardWeb"/>
      </w:pPr>
      <w:r>
        <w:t>2. Der oder die Beschäftigte erhält auf Antrag vom bisherigen Dienstgeber die Jahressonder</w:t>
      </w:r>
      <w:r>
        <w:softHyphen/>
        <w:t>zahlung bzw. das Weihnachtsgeld beim Ausscheiden anteilig auch dann, wenn das Arbeits</w:t>
      </w:r>
      <w:r>
        <w:softHyphen/>
        <w:t>verhältnis vor einem festgelegten Stichtag endet. Der Anspruch nach Satz 1 beträgt ein Zwölftel für jeden Kalendermonat, in dem der oder die Beschäftigte Anspruch auf Entgelt oder Fortzahlung des Entgelts hat. Als Monat gilt eine Beschäftigungszeit von mehr als 15 Kalendertagen.</w:t>
      </w:r>
    </w:p>
    <w:p w:rsidR="00BE1EFE" w:rsidRDefault="00BE1EFE" w:rsidP="00970168">
      <w:pPr>
        <w:pStyle w:val="StandardWeb"/>
      </w:pPr>
      <w:r>
        <w:t>Diese Regelungen zur Jahressonderzahlung bzw. zum Weihnachtsgeld sind sinngemäß auch auf Regelungen zum Leistungsentgelt bzw. zur Sozialkomponente bei Dienstgeberwechsel im oben genannten Sinne anzuwenden.</w:t>
      </w:r>
    </w:p>
    <w:p w:rsidR="00BE1EFE" w:rsidRDefault="00BE1EFE" w:rsidP="00970168">
      <w:pPr>
        <w:pStyle w:val="StandardWeb"/>
      </w:pPr>
    </w:p>
    <w:p w:rsidR="00BE1EFE" w:rsidRDefault="00BE1EFE" w:rsidP="00970168">
      <w:pPr>
        <w:pStyle w:val="StandardWeb"/>
      </w:pPr>
      <w:r>
        <w:t>3. Für die Berechnung von Kündigungsfristen werden Vorbeschäftigungszeiten aus einem vorherigen Arbeitsverhältnis mit einem Faktor von 0,5 berücksichtigt (Vorbeschäftigungszeiten von mehr als 6 Monaten werden hierbei wie ein volles Jahr angerechnet). Alle anderen Regelungen, welche darüber hinaus an die Beschäftigungszeit anknüpfen, bleiben hiervon unberührt; dies gilt insbesondere für die Unkündbarkeit und die Regelungen über die Probezeit.</w:t>
      </w:r>
    </w:p>
    <w:p w:rsidR="00BE1EFE" w:rsidRDefault="00BE1EFE" w:rsidP="00970168">
      <w:pPr>
        <w:pStyle w:val="StandardWeb"/>
      </w:pPr>
    </w:p>
    <w:p w:rsidR="00BE1EFE" w:rsidRDefault="00BE1EFE" w:rsidP="00970168">
      <w:pPr>
        <w:pStyle w:val="StandardWeb"/>
      </w:pPr>
      <w:r>
        <w:t>4. Von den vorstehenden Vorschriften abweichende, für die Beschäftigten günstigere Regelungen in den Arbeitsvertragsordnungen bleiben unberührt.</w:t>
      </w:r>
    </w:p>
    <w:p w:rsidR="00BE1EFE" w:rsidRDefault="00BE1EFE" w:rsidP="00970168">
      <w:pPr>
        <w:pStyle w:val="StandardWeb"/>
      </w:pPr>
    </w:p>
    <w:p w:rsidR="00BE1EFE" w:rsidRDefault="00BE1EFE" w:rsidP="00970168">
      <w:pPr>
        <w:pStyle w:val="StandardWeb"/>
      </w:pPr>
      <w:r>
        <w:t>5. Diese Ordnung tritt rückwirkend zum 01.06.2016 in Kraft. Sie tritt an die Stelle der „Ordnung über die Anrechnung von Vordienstzeiten zur Anerkennung von Stufenlaufzeiten“ (Beschluss der Zentral-KODA vom 12.11.2009).</w:t>
      </w:r>
    </w:p>
    <w:p w:rsidR="00F23131" w:rsidRDefault="00F23131" w:rsidP="00970168">
      <w:pPr>
        <w:pStyle w:val="StandardWeb"/>
      </w:pPr>
    </w:p>
    <w:p w:rsidR="00F23131" w:rsidRDefault="00F23131" w:rsidP="00970168">
      <w:pPr>
        <w:pStyle w:val="StandardWeb"/>
      </w:pPr>
    </w:p>
    <w:p w:rsidR="00BE1EFE" w:rsidRDefault="00BE1EFE" w:rsidP="00561A79">
      <w:pPr>
        <w:pStyle w:val="berschrift5"/>
        <w:spacing w:before="0"/>
      </w:pPr>
      <w:bookmarkStart w:id="1177" w:name="_Toc523926693"/>
      <w:r>
        <w:t>Änderungsbeschluss zur Entgeltumwandlung</w:t>
      </w:r>
      <w:bookmarkEnd w:id="1177"/>
    </w:p>
    <w:p w:rsidR="00BE1EFE" w:rsidRPr="00B76821" w:rsidRDefault="00BE1EFE" w:rsidP="00B76821">
      <w:pPr>
        <w:pStyle w:val="berschrift6"/>
        <w:keepNext w:val="0"/>
        <w:spacing w:before="0" w:after="0"/>
        <w:rPr>
          <w:sz w:val="2"/>
        </w:rPr>
      </w:pPr>
    </w:p>
    <w:p w:rsidR="00BE1EFE" w:rsidRDefault="00BE1EFE" w:rsidP="00970168">
      <w:pPr>
        <w:pStyle w:val="StandardWeb"/>
      </w:pPr>
      <w:r>
        <w:t>Die Zentral-KODA hat gemäß § 3 Abs. 1 Ziff. 3 lit. d ZKO folgenden Beschluss gefasst, dem die Bayerische Regional-KODA gemäß § 12 a Abs. 1 und 2 BayRKO zugestimmt hat.</w:t>
      </w:r>
    </w:p>
    <w:p w:rsidR="00BE1EFE" w:rsidRDefault="00BE1EFE" w:rsidP="00970168">
      <w:pPr>
        <w:pStyle w:val="StandardWeb"/>
      </w:pPr>
    </w:p>
    <w:p w:rsidR="00BE1EFE" w:rsidRDefault="00BE1EFE" w:rsidP="00970168">
      <w:pPr>
        <w:pStyle w:val="StandardWeb"/>
      </w:pPr>
    </w:p>
    <w:p w:rsidR="00BE1EFE" w:rsidRPr="00DF2AB8" w:rsidRDefault="00BE1EFE" w:rsidP="00970168">
      <w:pPr>
        <w:pStyle w:val="StandardWeb"/>
        <w:jc w:val="center"/>
        <w:rPr>
          <w:b/>
        </w:rPr>
      </w:pPr>
      <w:r w:rsidRPr="00DF2AB8">
        <w:rPr>
          <w:b/>
        </w:rPr>
        <w:t>Entgeltumwandlung</w:t>
      </w:r>
    </w:p>
    <w:p w:rsidR="00BE1EFE" w:rsidRDefault="00BE1EFE" w:rsidP="00970168">
      <w:pPr>
        <w:pStyle w:val="StandardWeb"/>
      </w:pPr>
      <w:r>
        <w:t>hier: Änderungsbeschluss der Zentral-KODA vom 21.03.2013 gemäß § 3 Absatz 1 Ziffer 1 Zentral-KODA-Ordnung (ZKO)</w:t>
      </w:r>
    </w:p>
    <w:p w:rsidR="00BE1EFE" w:rsidRDefault="00BE1EFE" w:rsidP="00970168">
      <w:pPr>
        <w:pStyle w:val="StandardWeb"/>
      </w:pPr>
    </w:p>
    <w:p w:rsidR="00BE1EFE" w:rsidRDefault="00BE1EFE" w:rsidP="00970168">
      <w:pPr>
        <w:pStyle w:val="StandardWeb"/>
      </w:pPr>
      <w:r>
        <w:t>Die Zentral-KODA beschließt, den Beschluss zur Entgeltumwandlung vom 15.04.2002, zuletzt geändert durch Beschluss vom 12.11.2009, wie folgt zu ändern:</w:t>
      </w:r>
    </w:p>
    <w:p w:rsidR="00BE1EFE" w:rsidRDefault="00BE1EFE" w:rsidP="00970168">
      <w:pPr>
        <w:pStyle w:val="StandardWeb"/>
      </w:pPr>
    </w:p>
    <w:p w:rsidR="00BE1EFE" w:rsidRDefault="00BE1EFE" w:rsidP="00970168">
      <w:pPr>
        <w:pStyle w:val="StandardWeb"/>
      </w:pPr>
      <w:r>
        <w:t>– Nr. 5.3 Satz 4 „Der Zuschuss wird vom Dienstgeber an die zuständige Altersvorsorge</w:t>
      </w:r>
      <w:r>
        <w:softHyphen/>
        <w:t>einrichtung abgeführt“ wird als Satz 2 in Nr. 5.1 eingefügt.</w:t>
      </w:r>
    </w:p>
    <w:p w:rsidR="00BE1EFE" w:rsidRDefault="00BE1EFE" w:rsidP="00970168">
      <w:pPr>
        <w:pStyle w:val="StandardWeb"/>
      </w:pPr>
    </w:p>
    <w:p w:rsidR="00BE1EFE" w:rsidRDefault="00BE1EFE" w:rsidP="00970168">
      <w:pPr>
        <w:pStyle w:val="StandardWeb"/>
      </w:pPr>
      <w:r>
        <w:t>Der bisherige Satz 2 in Nr. 5.1 wird Satz 3.</w:t>
      </w:r>
    </w:p>
    <w:p w:rsidR="00BE1EFE" w:rsidRDefault="00BE1EFE" w:rsidP="00970168">
      <w:pPr>
        <w:pStyle w:val="StandardWeb"/>
      </w:pPr>
    </w:p>
    <w:p w:rsidR="00BE1EFE" w:rsidRDefault="00BE1EFE" w:rsidP="00970168">
      <w:pPr>
        <w:pStyle w:val="StandardWeb"/>
      </w:pPr>
      <w:r>
        <w:t>– Nr. 5.2 wird wie folgt geändert:</w:t>
      </w:r>
    </w:p>
    <w:p w:rsidR="00BE1EFE" w:rsidRDefault="00BE1EFE" w:rsidP="00970168">
      <w:pPr>
        <w:pStyle w:val="StandardWeb"/>
      </w:pPr>
    </w:p>
    <w:p w:rsidR="00BE1EFE" w:rsidRDefault="00BE1EFE" w:rsidP="00970168">
      <w:pPr>
        <w:pStyle w:val="StandardWeb"/>
      </w:pPr>
      <w:r>
        <w:t>Für umgewandelte Beiträge, die unter Berücksichtigung des Höchstbetrages im Jahresdurch</w:t>
      </w:r>
      <w:r>
        <w:softHyphen/>
        <w:t xml:space="preserve">schnitt sozialversicherungspflichtig sind, besteht kein Anspruch auf Zuschuss. Der Zuschuss errechnet sich in diesem Fall aus dem höchstmöglichen zuschussfähigen Umwandlungsbetrag einschließlich des Zuschusses, so dass der Zuschuss zusammen mit den eingezahlten Beträgen </w:t>
      </w:r>
      <w:r>
        <w:tab/>
        <w:t>des Beschäftigten die sozialversicherungsfreie Höchstgrenze erreicht. Für darüber hinaus umgewandelte Beträge besteht kein Anspruch auf Zuschuss. Diese darüber hinaus vom Beschäftigten umgewandelten Beträge sind ggf. entsprechend den gesetzlichen Vorgaben zu verbeitragen und zu versteuern.</w:t>
      </w:r>
    </w:p>
    <w:p w:rsidR="00BE1EFE" w:rsidRDefault="00BE1EFE" w:rsidP="00970168">
      <w:pPr>
        <w:pStyle w:val="StandardWeb"/>
      </w:pPr>
    </w:p>
    <w:p w:rsidR="00BE1EFE" w:rsidRDefault="00BE1EFE" w:rsidP="00970168">
      <w:pPr>
        <w:pStyle w:val="StandardWeb"/>
        <w:jc w:val="right"/>
      </w:pPr>
      <w:r>
        <w:t>zum 1. November 2013</w:t>
      </w:r>
    </w:p>
    <w:p w:rsidR="00BE1EFE" w:rsidRDefault="00BE1EFE" w:rsidP="00561A79">
      <w:pPr>
        <w:pStyle w:val="berschrift5"/>
      </w:pPr>
      <w:bookmarkStart w:id="1178" w:name="_Toc523926694"/>
      <w:r>
        <w:t>Entgeltumwandlung</w:t>
      </w:r>
      <w:bookmarkEnd w:id="1178"/>
    </w:p>
    <w:p w:rsidR="00BE1EFE" w:rsidRPr="00B76821" w:rsidRDefault="00BE1EFE" w:rsidP="00B76821">
      <w:pPr>
        <w:pStyle w:val="berschrift6"/>
        <w:keepNext w:val="0"/>
        <w:spacing w:before="0" w:after="0"/>
        <w:rPr>
          <w:sz w:val="2"/>
        </w:rPr>
      </w:pPr>
    </w:p>
    <w:p w:rsidR="00BE1EFE" w:rsidRPr="000B1AF8" w:rsidRDefault="00BE1EFE">
      <w:pPr>
        <w:pStyle w:val="StandardWeb"/>
      </w:pPr>
      <w:r>
        <w:t>Die Zentral-KODA beschließt, den Beschluss zur Entgeltumwandlung vom 15.04.2002, zuletzt geändert am 01.10.2007, wie folgt zu ändern:</w:t>
      </w:r>
    </w:p>
    <w:p w:rsidR="00BE1EFE" w:rsidRPr="000B1AF8" w:rsidRDefault="00BE1EFE">
      <w:pPr>
        <w:pStyle w:val="StandardWeb"/>
      </w:pPr>
    </w:p>
    <w:p w:rsidR="00BE1EFE" w:rsidRDefault="00BE1EFE">
      <w:pPr>
        <w:pStyle w:val="StandardWeb"/>
      </w:pPr>
      <w:r>
        <w:t>Ziffer 1 b wird um folgenden Satz 2 ergänzt:</w:t>
      </w:r>
    </w:p>
    <w:p w:rsidR="00BE1EFE" w:rsidRDefault="00BE1EFE">
      <w:pPr>
        <w:pStyle w:val="StandardWeb"/>
      </w:pPr>
      <w:r>
        <w:t>"Im Einvernehmen zwischen Dienstgeber und Dienstnehmer können auch höhere Beträge umgewandelt werden.“</w:t>
      </w:r>
    </w:p>
    <w:p w:rsidR="00BE1EFE" w:rsidRDefault="00BE1EFE" w:rsidP="00FF002D">
      <w:pPr>
        <w:pStyle w:val="StandardWeb"/>
        <w:jc w:val="right"/>
      </w:pPr>
      <w:r>
        <w:t>zum 1. April 2010</w:t>
      </w:r>
    </w:p>
    <w:p w:rsidR="00BE1EFE" w:rsidRDefault="00BE1EFE" w:rsidP="00FF002D">
      <w:pPr>
        <w:pStyle w:val="StandardWeb"/>
        <w:jc w:val="right"/>
      </w:pPr>
    </w:p>
    <w:p w:rsidR="00BE1EFE" w:rsidRDefault="00BE1EFE" w:rsidP="00FF002D">
      <w:pPr>
        <w:pStyle w:val="StandardWeb"/>
        <w:jc w:val="right"/>
      </w:pPr>
    </w:p>
    <w:p w:rsidR="00BE1EFE" w:rsidRDefault="00BE1EFE" w:rsidP="00561A79">
      <w:pPr>
        <w:pStyle w:val="berschrift5"/>
      </w:pPr>
      <w:bookmarkStart w:id="1179" w:name="_Toc523926695"/>
      <w:r>
        <w:t>Ordnung über die Anrechnung von Vordienstzeiten zur Anerkennung von Stufenlaufzeiten</w:t>
      </w:r>
      <w:bookmarkEnd w:id="1179"/>
    </w:p>
    <w:p w:rsidR="00BE1EFE" w:rsidRPr="00B76821" w:rsidRDefault="00BE1EFE" w:rsidP="00B76821">
      <w:pPr>
        <w:pStyle w:val="berschrift6"/>
        <w:keepNext w:val="0"/>
        <w:spacing w:before="0" w:after="0"/>
        <w:rPr>
          <w:sz w:val="2"/>
        </w:rPr>
      </w:pPr>
    </w:p>
    <w:p w:rsidR="00BE1EFE" w:rsidRDefault="00BE1EFE">
      <w:pPr>
        <w:jc w:val="both"/>
      </w:pPr>
    </w:p>
    <w:p w:rsidR="00BE1EFE" w:rsidRDefault="00BE1EFE">
      <w:pPr>
        <w:pStyle w:val="StandardWeb"/>
      </w:pPr>
      <w:r>
        <w:lastRenderedPageBreak/>
        <w:t xml:space="preserve">1. </w:t>
      </w:r>
    </w:p>
    <w:p w:rsidR="00BE1EFE" w:rsidRDefault="00BE1EFE">
      <w:pPr>
        <w:pStyle w:val="StandardWeb"/>
      </w:pPr>
      <w:r>
        <w:t>Soweit in den kirchlichen Arbeitsvertragsordnungen Regelungen zur Anerkennung von sog. Stufenlaufzeiten zur Bestimmung der Stufe innerhalb einer Entgeltgruppe vorgesehen sind, gelten folgende Vorschriften:</w:t>
      </w:r>
    </w:p>
    <w:p w:rsidR="00BE1EFE" w:rsidRDefault="00BE1EFE">
      <w:pPr>
        <w:pStyle w:val="StandardWeb"/>
      </w:pPr>
    </w:p>
    <w:p w:rsidR="00BE1EFE" w:rsidRDefault="00BE1EFE">
      <w:pPr>
        <w:pStyle w:val="StandardWeb"/>
      </w:pPr>
      <w:r>
        <w:t>1.1 Bei aneinander gereihten befristeten Dienstverhältnissen mit demselben Dienstgeber, die nicht mehr als sieben Wochen unterbrochen sind, ist von einer ununterbrochen zurückgelegten Tätigkeit auszugehen.</w:t>
      </w:r>
    </w:p>
    <w:p w:rsidR="00BE1EFE" w:rsidRDefault="00BE1EFE">
      <w:pPr>
        <w:pStyle w:val="StandardWeb"/>
      </w:pPr>
    </w:p>
    <w:p w:rsidR="00BE1EFE" w:rsidRDefault="00BE1EFE">
      <w:pPr>
        <w:pStyle w:val="StandardWeb"/>
      </w:pPr>
      <w:r>
        <w:t>1.2 Bei dem Wechsel eines Dienstnehmers von einem Dienstgeber im Bereich der Grundordnung des kirchlichen Dienstes im Rahmen kirchlicher Arbeitsverhältnisse zu einem anderen Dienstgeber im Bereich der Grundordnung des kirchlichen Dienstes im Rahmen kirchlicher Arbeitsverhältnisse gilt:</w:t>
      </w:r>
    </w:p>
    <w:p w:rsidR="00BE1EFE" w:rsidRDefault="00BE1EFE">
      <w:pPr>
        <w:pStyle w:val="StandardWeb"/>
      </w:pPr>
      <w:r>
        <w:t>a) Vordienstzeiten bei einem früheren Dienstgeber im Geltungsbereich der Grundordnung können angerechnet werden.</w:t>
      </w:r>
    </w:p>
    <w:p w:rsidR="00BE1EFE" w:rsidRDefault="00BE1EFE">
      <w:pPr>
        <w:pStyle w:val="StandardWeb"/>
      </w:pPr>
      <w:r>
        <w:t>b) Beträgt die Unterbrechung nicht mehr als sechs Monate, sollen Vordienstzeiten anerkannt werden, wenn</w:t>
      </w:r>
    </w:p>
    <w:p w:rsidR="00BE1EFE" w:rsidRDefault="00BE1EFE">
      <w:pPr>
        <w:pStyle w:val="StandardWeb"/>
      </w:pPr>
      <w:r>
        <w:t>aa) der Dienstgeberwechsel aufgrund eines betriebsbedingten Wegfalls des Arbeitsplatzes bei dem früheren Dienstgeber erfolgt ist,</w:t>
      </w:r>
    </w:p>
    <w:p w:rsidR="00BE1EFE" w:rsidRDefault="00BE1EFE">
      <w:pPr>
        <w:pStyle w:val="StandardWeb"/>
      </w:pPr>
      <w:r>
        <w:t>bb) der Dienstgeberwechsel familiär (wie bspw. kirchliche Eheschließung, Pflege eines Angehörigen) bedingt ist oder</w:t>
      </w:r>
    </w:p>
    <w:p w:rsidR="00BE1EFE" w:rsidRDefault="00BE1EFE">
      <w:pPr>
        <w:pStyle w:val="StandardWeb"/>
      </w:pPr>
      <w:r>
        <w:t>cc) in der Vordienstzeit einschlägige Berufserfahrung gesammelt wurde.</w:t>
      </w:r>
    </w:p>
    <w:p w:rsidR="00BE1EFE" w:rsidRDefault="00BE1EFE">
      <w:pPr>
        <w:pStyle w:val="StandardWeb"/>
      </w:pPr>
      <w:r>
        <w:rPr>
          <w:rStyle w:val="kleinschrift"/>
        </w:rPr>
        <w:t>Protokollerklärung zu Ziffer 1.2</w:t>
      </w:r>
    </w:p>
    <w:p w:rsidR="00BE1EFE" w:rsidRDefault="00BE1EFE">
      <w:pPr>
        <w:pStyle w:val="StandardWeb"/>
      </w:pPr>
      <w:r>
        <w:rPr>
          <w:rStyle w:val="kleinschrift"/>
        </w:rPr>
        <w:t>Vordienstzeiten im Sinne dieser Ordnung sind Zeiten einer für die neue Beschäftigung einschlägigen beruflichen Tätigkeit bei einem vorherigen Dienstgeber.</w:t>
      </w:r>
    </w:p>
    <w:p w:rsidR="00BE1EFE" w:rsidRDefault="00BE1EFE">
      <w:pPr>
        <w:pStyle w:val="StandardWeb"/>
      </w:pPr>
    </w:p>
    <w:p w:rsidR="00BE1EFE" w:rsidRDefault="00BE1EFE">
      <w:pPr>
        <w:pStyle w:val="StandardWeb"/>
      </w:pPr>
      <w:r>
        <w:t>2. Bei der Entscheidung über die Anrechnung von Vordienstzeiten sind die Möglichkeiten der Refinanzierung aus der öffentlichen Hand mit abzuwägen.</w:t>
      </w:r>
    </w:p>
    <w:p w:rsidR="00BE1EFE" w:rsidRDefault="00BE1EFE">
      <w:pPr>
        <w:pStyle w:val="StandardWeb"/>
      </w:pPr>
    </w:p>
    <w:p w:rsidR="00BE1EFE" w:rsidRDefault="00BE1EFE">
      <w:pPr>
        <w:pStyle w:val="StandardWeb"/>
      </w:pPr>
      <w:r>
        <w:t>3. Von den vorstehenden Vorschriften abweichende, für die Mitarbeiterinnen und Mitarbeiter günstigere Regelungen in den Arbeitsvertragsordnungen bleiben unberührt.</w:t>
      </w:r>
    </w:p>
    <w:p w:rsidR="00BE1EFE" w:rsidRDefault="00BE1EFE">
      <w:pPr>
        <w:pStyle w:val="StandardWeb"/>
      </w:pPr>
    </w:p>
    <w:p w:rsidR="00BE1EFE" w:rsidRPr="000B1AF8" w:rsidRDefault="00BE1EFE">
      <w:pPr>
        <w:pStyle w:val="StandardWeb"/>
      </w:pPr>
      <w:r>
        <w:t>4. Diese Ordnung tritt am 1. März 2010 in Kraft.</w:t>
      </w:r>
    </w:p>
    <w:p w:rsidR="00BE1EFE" w:rsidRDefault="00BE1EFE" w:rsidP="00561A79">
      <w:pPr>
        <w:pStyle w:val="berschrift5"/>
      </w:pPr>
      <w:bookmarkStart w:id="1180" w:name="_Toc523926696"/>
      <w:r>
        <w:t>Kinderbezogene Entgeltbestandteile</w:t>
      </w:r>
      <w:bookmarkEnd w:id="1180"/>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jc w:val="center"/>
      </w:pPr>
      <w:r>
        <w:rPr>
          <w:rStyle w:val="Fett"/>
          <w:bCs/>
        </w:rPr>
        <w:t>Beschluss der Zentral-KODA: Kinderbezogene Entgeltbestandteile vom 06.11.2008</w:t>
      </w:r>
    </w:p>
    <w:p w:rsidR="00BE1EFE" w:rsidRPr="000B1AF8" w:rsidRDefault="00BE1EFE">
      <w:pPr>
        <w:pStyle w:val="StandardWeb"/>
        <w:jc w:val="center"/>
      </w:pPr>
    </w:p>
    <w:p w:rsidR="00BE1EFE" w:rsidRDefault="00BE1EFE">
      <w:pPr>
        <w:pStyle w:val="StandardWeb"/>
      </w:pPr>
      <w:r>
        <w:t>Die Zentral-KODA hat gem. § 10 Abs. 3 in Verbindung mit § 3 Abs. 1 Ziff. 3. lit. d ZKO folgenden Beschluss gefasst, dem die Bayerische Regional-KODA gem. § 12 a Abs. 1 und 2 BayRKO zugestimmt hat.</w:t>
      </w:r>
    </w:p>
    <w:p w:rsidR="00BE1EFE" w:rsidRDefault="00BE1EFE">
      <w:pPr>
        <w:pStyle w:val="StandardWeb"/>
      </w:pPr>
    </w:p>
    <w:p w:rsidR="00BE1EFE" w:rsidRDefault="00BE1EFE" w:rsidP="0054275E">
      <w:pPr>
        <w:pStyle w:val="StandardWeb"/>
        <w:autoSpaceDE w:val="0"/>
        <w:jc w:val="center"/>
      </w:pPr>
      <w:r>
        <w:rPr>
          <w:rStyle w:val="Fett"/>
          <w:bCs/>
        </w:rPr>
        <w:t>Kinderbezogene Entgeltbestandteile</w:t>
      </w:r>
    </w:p>
    <w:p w:rsidR="00BE1EFE" w:rsidRDefault="00BE1EFE">
      <w:pPr>
        <w:pStyle w:val="StandardWeb"/>
        <w:jc w:val="center"/>
      </w:pPr>
    </w:p>
    <w:p w:rsidR="00BE1EFE" w:rsidRDefault="00BE1EFE">
      <w:pPr>
        <w:pStyle w:val="StandardWeb"/>
      </w:pPr>
      <w:r>
        <w:t>„</w:t>
      </w:r>
      <w:r>
        <w:rPr>
          <w:rStyle w:val="kleinschrift"/>
        </w:rPr>
        <w:t>1</w:t>
      </w:r>
      <w:r>
        <w:t xml:space="preserve">Kinderbezogene Entgeltbestandteile, auf die zum Zeitpunkt des Wechsels von einem Dienstgeber im Bereich der Grundordnung des kirchlichen Dienstes im Rahmen kirchlicher Arbeitsverhältnisse (GrO) zu einem anderen Dienstgeber Anspruch besteht, werden vom neuen Dienstgeber als Besitzstand weitergezahlt, so lange den Beschäftigten nach dem </w:t>
      </w:r>
      <w:hyperlink r:id="rId1832" w:history="1">
        <w:r w:rsidRPr="005B2AB7">
          <w:rPr>
            <w:rStyle w:val="Hyperlink"/>
          </w:rPr>
          <w:t>Einkommensteuergesetz (EStG)</w:t>
        </w:r>
      </w:hyperlink>
      <w:r>
        <w:t xml:space="preserve"> oder nach dem </w:t>
      </w:r>
      <w:hyperlink r:id="rId1833" w:history="1">
        <w:r w:rsidRPr="005B2AB7">
          <w:rPr>
            <w:rStyle w:val="Hyperlink"/>
          </w:rPr>
          <w:t>Bundeskindergeldgesetz (BKGG)</w:t>
        </w:r>
      </w:hyperlink>
      <w:r>
        <w:t xml:space="preserve"> Kindergeld gezahlt wird oder ohne Berücksichtigung der §§ 64 oder 65 EStG oder der §§ 3 oder 4 BKGG gezahlt würde. </w:t>
      </w:r>
      <w:r>
        <w:rPr>
          <w:rStyle w:val="kleinschrift"/>
        </w:rPr>
        <w:t>2</w:t>
      </w:r>
      <w:r>
        <w:t xml:space="preserve">An die Stelle des bisherigen Besitzstands tritt eine andere geldwerte Leistung, wenn diese in der aufgrund von Art. 7 GrO errichteten zuständigen Kommission ausdrücklich als kinderbezogener Entgeltbestandteil gekennzeichnet worden ist. </w:t>
      </w:r>
      <w:r>
        <w:rPr>
          <w:rStyle w:val="kleinschrift"/>
        </w:rPr>
        <w:t>3</w:t>
      </w:r>
      <w:r>
        <w:t xml:space="preserve">Diese Regelung gilt für </w:t>
      </w:r>
      <w:r>
        <w:lastRenderedPageBreak/>
        <w:t xml:space="preserve">alle Mitarbeiterinnen und Mitarbeiter, die zwischen dem 01.01.2009 und dem 31.12.2012 den kirchlichen Dienstgeber wechseln, jeweils für die Dauer von insgesamt vier Jahren. </w:t>
      </w:r>
      <w:r>
        <w:rPr>
          <w:rStyle w:val="kleinschrift"/>
        </w:rPr>
        <w:t>4</w:t>
      </w:r>
      <w:r>
        <w:t>Nach zwei Jahren halbiert sich der jeweilige Besitzstandswahrungsanspruch.</w:t>
      </w:r>
    </w:p>
    <w:p w:rsidR="00BE1EFE" w:rsidRDefault="00BE1EFE">
      <w:pPr>
        <w:pStyle w:val="StandardWeb"/>
      </w:pPr>
      <w:r>
        <w:rPr>
          <w:rStyle w:val="kleinschrift"/>
        </w:rPr>
        <w:t>5</w:t>
      </w:r>
      <w:r>
        <w:t>Günstigere Besitzstandswahrungsklauseln in bestehenden und künftigen Regelungen der zuständigen Kommissionen bleiben unberührt.“</w:t>
      </w:r>
    </w:p>
    <w:p w:rsidR="00BE1EFE" w:rsidRDefault="00BE1EFE" w:rsidP="00FF002D">
      <w:pPr>
        <w:pStyle w:val="StandardWeb"/>
        <w:jc w:val="right"/>
      </w:pPr>
    </w:p>
    <w:p w:rsidR="00BE1EFE" w:rsidRDefault="00BE1EFE" w:rsidP="00FF002D">
      <w:pPr>
        <w:pStyle w:val="StandardWeb"/>
        <w:jc w:val="right"/>
      </w:pPr>
      <w:r>
        <w:t>zum 1. März 2009</w:t>
      </w:r>
    </w:p>
    <w:p w:rsidR="00BE1EFE" w:rsidRDefault="00BE1EFE" w:rsidP="00561A79">
      <w:pPr>
        <w:pStyle w:val="berschrift5"/>
      </w:pPr>
      <w:bookmarkStart w:id="1181" w:name="_Toc523926697"/>
      <w:r>
        <w:t>Einbeziehungsklauseln</w:t>
      </w:r>
      <w:bookmarkEnd w:id="1181"/>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Beschluss der Zentral-KODA: Einbeziehungsklauseln vom 06.11.2008</w:t>
      </w:r>
    </w:p>
    <w:p w:rsidR="00BE1EFE" w:rsidRPr="000B1AF8" w:rsidRDefault="00BE1EFE">
      <w:pPr>
        <w:pStyle w:val="StandardWeb"/>
      </w:pPr>
    </w:p>
    <w:p w:rsidR="00BE1EFE" w:rsidRDefault="00BE1EFE">
      <w:pPr>
        <w:pStyle w:val="StandardWeb"/>
      </w:pPr>
      <w:r>
        <w:t>Die Zentral-KODA hat gem. § 3 Abs.1 Ziff. 2 ZKO folgenden Beschluss gefasst, dem die Bayerische Regional-KODA gem. § 12 a Abs. 1 und 2 BayRKO zugestimmt hat.</w:t>
      </w:r>
    </w:p>
    <w:p w:rsidR="00BE1EFE" w:rsidRDefault="00BE1EFE">
      <w:pPr>
        <w:pStyle w:val="StandardWeb"/>
      </w:pPr>
    </w:p>
    <w:p w:rsidR="00BE1EFE" w:rsidRDefault="00BE1EFE" w:rsidP="0054275E">
      <w:pPr>
        <w:pStyle w:val="StandardWeb"/>
        <w:autoSpaceDE w:val="0"/>
        <w:jc w:val="center"/>
      </w:pPr>
      <w:r>
        <w:rPr>
          <w:rStyle w:val="Fett"/>
          <w:bCs/>
        </w:rPr>
        <w:t>Einbeziehungsklauseln</w:t>
      </w:r>
    </w:p>
    <w:p w:rsidR="00BE1EFE" w:rsidRDefault="00BE1EFE">
      <w:pPr>
        <w:pStyle w:val="StandardWeb"/>
        <w:jc w:val="center"/>
      </w:pPr>
    </w:p>
    <w:p w:rsidR="00BE1EFE" w:rsidRDefault="00BE1EFE">
      <w:pPr>
        <w:pStyle w:val="StandardWeb"/>
      </w:pPr>
      <w:r>
        <w:t>In die Arbeitsvertragsformulare ist folgender Passus aufzunehmen:</w:t>
      </w:r>
    </w:p>
    <w:p w:rsidR="00BE1EFE" w:rsidRDefault="00BE1EFE">
      <w:pPr>
        <w:pStyle w:val="StandardWeb"/>
      </w:pPr>
    </w:p>
    <w:p w:rsidR="00BE1EFE" w:rsidRDefault="00BE1EFE" w:rsidP="006F51DF">
      <w:pPr>
        <w:pStyle w:val="StandardWeb"/>
        <w:jc w:val="center"/>
      </w:pPr>
      <w:r>
        <w:t>„Die Grundordnung des kirchlichen Dienstes ist Bestandteil des Arbeitsvertrages.“</w:t>
      </w:r>
    </w:p>
    <w:p w:rsidR="00BE1EFE" w:rsidRDefault="00BE1EFE" w:rsidP="00DF2AB8">
      <w:pPr>
        <w:pStyle w:val="StandardWeb"/>
      </w:pPr>
    </w:p>
    <w:p w:rsidR="00BE1EFE" w:rsidRDefault="00BE1EFE" w:rsidP="00FF002D">
      <w:pPr>
        <w:pStyle w:val="StandardWeb"/>
        <w:jc w:val="right"/>
      </w:pPr>
    </w:p>
    <w:p w:rsidR="00BE1EFE" w:rsidRDefault="00BE1EFE" w:rsidP="00FF002D">
      <w:pPr>
        <w:pStyle w:val="StandardWeb"/>
        <w:jc w:val="right"/>
      </w:pPr>
      <w:r>
        <w:t>zum 1. März 2009</w:t>
      </w:r>
    </w:p>
    <w:p w:rsidR="006D5950" w:rsidRDefault="006D5950" w:rsidP="00FF002D">
      <w:pPr>
        <w:pStyle w:val="StandardWeb"/>
        <w:jc w:val="right"/>
      </w:pPr>
      <w:r>
        <w:br w:type="page"/>
      </w:r>
    </w:p>
    <w:p w:rsidR="00BE1EFE" w:rsidRDefault="00BE1EFE" w:rsidP="00E45682">
      <w:pPr>
        <w:pStyle w:val="berschrift3"/>
        <w:spacing w:before="0"/>
      </w:pPr>
      <w:r>
        <w:lastRenderedPageBreak/>
        <w:br w:type="page"/>
      </w:r>
      <w:bookmarkStart w:id="1182" w:name="_Toc523926698"/>
      <w:r>
        <w:lastRenderedPageBreak/>
        <w:t>Anhang II: Kirchengesetzliche Ordnungen mit arbeitsver</w:t>
      </w:r>
      <w:r>
        <w:softHyphen/>
        <w:t>tragsrechtlicher Relevanz</w:t>
      </w:r>
      <w:bookmarkEnd w:id="1182"/>
    </w:p>
    <w:p w:rsidR="00BE1EFE" w:rsidRDefault="00BE1EFE" w:rsidP="0062165B">
      <w:pPr>
        <w:pStyle w:val="berschrift4"/>
      </w:pPr>
      <w:bookmarkStart w:id="1183" w:name="_Toc523926699"/>
      <w:r>
        <w:t>1. Grundordnung des kirchlichen Dienstes im Rahmen kirch</w:t>
      </w:r>
      <w:r>
        <w:softHyphen/>
        <w:t>licher Arbeitsverhältnisse</w:t>
      </w:r>
      <w:bookmarkEnd w:id="1183"/>
    </w:p>
    <w:p w:rsidR="00BE1EFE" w:rsidRDefault="00BE1EFE" w:rsidP="0062165B">
      <w:pPr>
        <w:pStyle w:val="berschrift5"/>
      </w:pPr>
      <w:bookmarkStart w:id="1184" w:name="_Toc523926700"/>
      <w:r>
        <w:t>Grundordnung des kirchlichen Dienstes im Rahmen kirchlicher Arbeitsverhältnisse</w:t>
      </w:r>
      <w:bookmarkEnd w:id="1184"/>
    </w:p>
    <w:p w:rsidR="00BE1EFE" w:rsidRPr="00B76821" w:rsidRDefault="00BE1EFE" w:rsidP="00B76821">
      <w:pPr>
        <w:pStyle w:val="berschrift6"/>
        <w:keepNext w:val="0"/>
        <w:spacing w:before="0" w:after="0"/>
        <w:rPr>
          <w:sz w:val="2"/>
        </w:rPr>
      </w:pPr>
    </w:p>
    <w:p w:rsidR="00BE1EFE" w:rsidRDefault="00BE1EFE" w:rsidP="0054275E">
      <w:pPr>
        <w:autoSpaceDE w:val="0"/>
        <w:jc w:val="both"/>
      </w:pPr>
      <w:r w:rsidRPr="00876137">
        <w:rPr>
          <w:i/>
          <w:iCs/>
        </w:rPr>
        <w:t>[vom 22.09.1993 (Amtsblatt für die Diözese Augsburg S. 513), geändert durch KAGOAnpG vom 1.Juli 2005 (Amtsblatt für die Diözese Augsburg S. 345), geändert durch 1. GOÄndG vom 1. September 2011 (Amtsblatt für die Diözese Augsburg (S. 359), geändert durch 2. GOÄndG vom 1. August 2015 (Amtsblatt für die Diözese Augsburg (S. 227)]</w:t>
      </w:r>
      <w:r>
        <w:rPr>
          <w:rStyle w:val="Hervorhebung"/>
          <w:iCs/>
        </w:rPr>
        <w:t xml:space="preserve"> </w:t>
      </w:r>
    </w:p>
    <w:p w:rsidR="00BE1EFE" w:rsidRPr="000B1AF8" w:rsidRDefault="00BE1EFE">
      <w:pPr>
        <w:pStyle w:val="StandardWeb"/>
      </w:pPr>
    </w:p>
    <w:p w:rsidR="00BE1EFE" w:rsidRPr="000B1AF8" w:rsidRDefault="00BE1EFE">
      <w:pPr>
        <w:pStyle w:val="StandardWeb"/>
      </w:pPr>
    </w:p>
    <w:p w:rsidR="00BE1EFE" w:rsidRDefault="00BE1EFE">
      <w:pPr>
        <w:pStyle w:val="StandardWeb"/>
      </w:pPr>
      <w:r>
        <w:t>Die katholischen (Erz-)Bischöfe in der Bundesrepublik Deutschland erlassen, jeweils für ihren Bereich,</w:t>
      </w:r>
    </w:p>
    <w:p w:rsidR="00BE1EFE" w:rsidRDefault="00BE1EFE">
      <w:pPr>
        <w:pStyle w:val="StandardWeb"/>
      </w:pPr>
    </w:p>
    <w:p w:rsidR="00BE1EFE" w:rsidRDefault="00BE1EFE">
      <w:pPr>
        <w:pStyle w:val="StandardWeb"/>
      </w:pPr>
      <w:r>
        <w:t>– in Verantwortung für den Auftrag der Kirche, der Berufung aller Menschen zur Gemeinschaft mit Gott und untereinander zu dienen,</w:t>
      </w:r>
    </w:p>
    <w:p w:rsidR="00BE1EFE" w:rsidRDefault="00BE1EFE">
      <w:pPr>
        <w:pStyle w:val="StandardWeb"/>
      </w:pPr>
      <w:r>
        <w:t>– in Wahrnehmung der der Kirche durch das Grundgesetz garantierten Freiheit, ihre Angelegenheiten selbstständig innerhalb der Schranken des für alle geltenden Gesetzes zu ordnen,</w:t>
      </w:r>
    </w:p>
    <w:p w:rsidR="00BE1EFE" w:rsidRDefault="00BE1EFE">
      <w:pPr>
        <w:pStyle w:val="StandardWeb"/>
      </w:pPr>
      <w:r>
        <w:t>– zur Sicherung der Glaubwürdigkeit der Einrichtungen, die die Kirche unterhält und anerkennt, um ihren Auftrag in der Gesellschaft wirksam wahrnehmen zu können,</w:t>
      </w:r>
    </w:p>
    <w:p w:rsidR="00BE1EFE" w:rsidRDefault="00BE1EFE">
      <w:pPr>
        <w:pStyle w:val="StandardWeb"/>
      </w:pPr>
      <w:r>
        <w:t>– </w:t>
      </w:r>
      <w:r w:rsidR="00C84F09">
        <w:t>i</w:t>
      </w:r>
      <w:r>
        <w:t>n Erfüllung ihrer Pflicht, dass das kirchliche Arbeitsrecht außer den Erfordernissen, die durch die kirchlichen Aufgaben und Ziele gegeben sind, auch den Grundnormen gerecht werden muss, wie sie die katholische Soziallehre für die Arbeits- und Lohnverhältnisse herausgearbeitet hat,</w:t>
      </w:r>
    </w:p>
    <w:p w:rsidR="00BE1EFE" w:rsidRDefault="00BE1EFE">
      <w:pPr>
        <w:pStyle w:val="StandardWeb"/>
      </w:pPr>
    </w:p>
    <w:p w:rsidR="00BE1EFE" w:rsidRDefault="00BE1EFE">
      <w:pPr>
        <w:pStyle w:val="StandardWeb"/>
      </w:pPr>
      <w:r>
        <w:t>die folgende</w:t>
      </w:r>
    </w:p>
    <w:p w:rsidR="00BE1EFE" w:rsidRDefault="00BE1EFE">
      <w:pPr>
        <w:pStyle w:val="StandardWeb"/>
      </w:pPr>
    </w:p>
    <w:p w:rsidR="00BE1EFE" w:rsidRDefault="00BE1EFE" w:rsidP="0054275E">
      <w:pPr>
        <w:pStyle w:val="StandardWeb"/>
        <w:autoSpaceDE w:val="0"/>
      </w:pPr>
      <w:r>
        <w:rPr>
          <w:rStyle w:val="Fett"/>
          <w:bCs/>
        </w:rPr>
        <w:t>Grundordnung des kirchlichen Dienstes im Rahmen kirchlicher Arbeitsverhältnisse.</w:t>
      </w:r>
    </w:p>
    <w:p w:rsidR="00BE1EFE" w:rsidRDefault="00BE1EFE">
      <w:pPr>
        <w:pStyle w:val="StandardWeb"/>
      </w:pPr>
    </w:p>
    <w:p w:rsidR="00BE1EFE" w:rsidRDefault="00BE1EFE">
      <w:pPr>
        <w:pStyle w:val="berschrift6"/>
      </w:pPr>
      <w:bookmarkStart w:id="1185" w:name="_Toc523926701"/>
      <w:r>
        <w:t>Artikel 1 – Grundprinzipien des kirchlichen Dienstes –</w:t>
      </w:r>
      <w:bookmarkEnd w:id="1185"/>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Alle in einer Einrichtung der katholischen Kirche Tätigen tragen durch ihre Arbeit ohne Rücksicht auf die arbeitsrechtliche Stellung gemeinsam dazu bei, dass die Einrichtung ihren Teil am Sendungsauftrag der Kirche erfüllen kann (Dienstgemeinschaft). </w:t>
      </w:r>
      <w:r>
        <w:rPr>
          <w:rStyle w:val="kleinschrift"/>
        </w:rPr>
        <w:t>2</w:t>
      </w:r>
      <w:r>
        <w:t>Alle Beteiligten, Dienstgeber sowie leitende und ausführende Mitarbeiterinnen und Mitarbeiter, müssen anerkennen und ihrem Handeln zugrunde legen, dass Zielsetzung und Tätigkeit, Organisationsstruktur und Leitung der Einrichtung, für die sie tätig sind, sich an der Glaubens- und Sittenlehre und an der Rechtsordnung der katholischen Kirche auszurichten haben.</w:t>
      </w:r>
    </w:p>
    <w:p w:rsidR="00BE1EFE" w:rsidRDefault="00BE1EFE">
      <w:pPr>
        <w:pStyle w:val="berschrift6"/>
      </w:pPr>
      <w:bookmarkStart w:id="1186" w:name="_Toc523926702"/>
      <w:r>
        <w:lastRenderedPageBreak/>
        <w:t>Artikel 2 – Geltungsbereich –</w:t>
      </w:r>
      <w:bookmarkEnd w:id="1186"/>
    </w:p>
    <w:p w:rsidR="00BE1EFE" w:rsidRPr="00B76821" w:rsidRDefault="00BE1EFE" w:rsidP="00B76821">
      <w:pPr>
        <w:pStyle w:val="h7"/>
        <w:keepNext w:val="0"/>
        <w:spacing w:before="0" w:after="0"/>
        <w:jc w:val="left"/>
        <w:outlineLvl w:val="5"/>
        <w:rPr>
          <w:sz w:val="2"/>
        </w:rPr>
      </w:pPr>
    </w:p>
    <w:p w:rsidR="00BE1EFE" w:rsidRDefault="00BE1EFE">
      <w:pPr>
        <w:pStyle w:val="StandardWeb"/>
      </w:pPr>
      <w:r>
        <w:t>(1) Diese Grundordnung gilt für</w:t>
      </w:r>
    </w:p>
    <w:p w:rsidR="00BE1EFE" w:rsidRDefault="00BE1EFE">
      <w:pPr>
        <w:pStyle w:val="StandardWeb"/>
      </w:pPr>
      <w:r>
        <w:t>a) die (Erz-)Diözesen,</w:t>
      </w:r>
    </w:p>
    <w:p w:rsidR="00BE1EFE" w:rsidRDefault="00BE1EFE">
      <w:pPr>
        <w:pStyle w:val="StandardWeb"/>
      </w:pPr>
      <w:r>
        <w:t>b) die Kirchengemeinden und Kirchenstiftungen,</w:t>
      </w:r>
    </w:p>
    <w:p w:rsidR="00BE1EFE" w:rsidRDefault="00BE1EFE">
      <w:pPr>
        <w:pStyle w:val="StandardWeb"/>
      </w:pPr>
      <w:r>
        <w:t>c) die Verbände von Kirchengemeinden,</w:t>
      </w:r>
    </w:p>
    <w:p w:rsidR="00BE1EFE" w:rsidRDefault="00BE1EFE">
      <w:pPr>
        <w:pStyle w:val="StandardWeb"/>
      </w:pPr>
      <w:r>
        <w:t>d) die Diözesancaritasverbände und deren Gliederungen, soweit sie öffentliche juristische Personen des kanonischen Rechts sind,</w:t>
      </w:r>
    </w:p>
    <w:p w:rsidR="00BE1EFE" w:rsidRDefault="00BE1EFE">
      <w:pPr>
        <w:pStyle w:val="StandardWeb"/>
      </w:pPr>
      <w:r>
        <w:t>e) die sonstigen dem Diözesanbischof unterstellten öffentlichen juristischen Personen des kanonischen Rechts,</w:t>
      </w:r>
    </w:p>
    <w:p w:rsidR="00BE1EFE" w:rsidRDefault="00BE1EFE">
      <w:pPr>
        <w:pStyle w:val="StandardWeb"/>
      </w:pPr>
      <w:r>
        <w:t>f) die sonstigen kirchlichen Rechtsträger, unbeschadet ihrer Rechtsform, die der bischöflichen Gesetzgebungsgewalt unterliegen</w:t>
      </w:r>
    </w:p>
    <w:p w:rsidR="00BE1EFE" w:rsidRDefault="00BE1EFE">
      <w:pPr>
        <w:pStyle w:val="StandardWeb"/>
      </w:pPr>
      <w:r>
        <w:t>und deren Einrichtungen.</w:t>
      </w:r>
    </w:p>
    <w:p w:rsidR="00BE1EFE" w:rsidRDefault="00BE1EFE">
      <w:pPr>
        <w:pStyle w:val="StandardWeb"/>
      </w:pPr>
    </w:p>
    <w:p w:rsidR="00BE1EFE" w:rsidRDefault="00BE1EFE" w:rsidP="00561ACB">
      <w:pPr>
        <w:pStyle w:val="StandardWeb"/>
      </w:pPr>
      <w:r>
        <w:t>(2) </w:t>
      </w:r>
      <w:r>
        <w:rPr>
          <w:rStyle w:val="kleinschrift"/>
        </w:rPr>
        <w:t>1</w:t>
      </w:r>
      <w:r>
        <w:t xml:space="preserve">Kirchliche Rechtsträger, die nicht der bischöflichen Gesetzgebungsgewalt unterliegen, sind verpflichtet, diese Grundordnung in ihr Statut verbindlich zu übernehmen; sofern ein kirchlicher Rechtsträger in der Rechtsform einer Körperschaft des öffentlichen Rechts über kein Statut verfügt, ist eine notarielle Erklärung der Grundordnungsübernahme und anschließende Veröffentlichung dieser Erklärung ausreichend. </w:t>
      </w:r>
      <w:r>
        <w:rPr>
          <w:rStyle w:val="kleinschrift"/>
        </w:rPr>
        <w:t>2</w:t>
      </w:r>
      <w:r>
        <w:t>Wenn sie dieser Verpflichtung nicht nachkommen, haben sie im Hinblick auf die arbeitsrechtlichen Beziehungen nicht am Selbstbestimmungsrecht der Kirche gemäß Art. 140 GG i.V.m. Art. 137 Abs. 3 WRV teil.</w:t>
      </w:r>
    </w:p>
    <w:p w:rsidR="00BE1EFE" w:rsidRDefault="00BE1EFE">
      <w:pPr>
        <w:pStyle w:val="StandardWeb"/>
      </w:pPr>
    </w:p>
    <w:p w:rsidR="00BE1EFE" w:rsidRDefault="00BE1EFE" w:rsidP="000F4FB7">
      <w:pPr>
        <w:pStyle w:val="StandardWeb"/>
      </w:pPr>
      <w:r>
        <w:t>(3) Unter diese Grundordnung fallen nicht Mitarbeiter, die auf Grund eines Klerikerdienst</w:t>
      </w:r>
      <w:r>
        <w:softHyphen/>
        <w:t>verhältnisses oder ihrer Ordenszugehörigkeit tätig sind;</w:t>
      </w:r>
      <w:r w:rsidRPr="000F4FB7">
        <w:t xml:space="preserve"> </w:t>
      </w:r>
      <w:r>
        <w:t>dessen ungeachtet sind sie Teil der Dienstgemeinschaft.</w:t>
      </w:r>
    </w:p>
    <w:p w:rsidR="00BE1EFE" w:rsidRDefault="00BE1EFE" w:rsidP="000F4FB7">
      <w:pPr>
        <w:pStyle w:val="StandardWeb"/>
      </w:pPr>
    </w:p>
    <w:p w:rsidR="00BE1EFE" w:rsidRPr="000B1AF8" w:rsidRDefault="00BE1EFE" w:rsidP="000F4FB7">
      <w:pPr>
        <w:pStyle w:val="StandardWeb"/>
      </w:pPr>
      <w:r>
        <w:t>(4) Für vorwiegend gewinnorientierte kirchliche Einrichtungen findet diese Grundordnung keine Anwendung.</w:t>
      </w:r>
    </w:p>
    <w:p w:rsidR="00BE1EFE" w:rsidRDefault="00BE1EFE">
      <w:pPr>
        <w:pStyle w:val="berschrift6"/>
      </w:pPr>
      <w:bookmarkStart w:id="1187" w:name="_Toc523926703"/>
      <w:r>
        <w:t>Artikel 3 – Begründung des Arbeitsverhältnisses –</w:t>
      </w:r>
      <w:bookmarkEnd w:id="118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kirchliche Dienstgeber muss bei der Einstellung darauf achten, dass eine Mitarbeiterin und ein Mitarbeiter die Eigenart des kirchlichen Dienstes bejahen. </w:t>
      </w:r>
      <w:r>
        <w:rPr>
          <w:rStyle w:val="kleinschrift"/>
        </w:rPr>
        <w:t>2</w:t>
      </w:r>
      <w:r>
        <w:t>Er muss auch prüfen, ob die Bewerberin und der Bewerber geeignet und befähigt sind, die vorgesehene Aufgabe so zu erfüllen, dass sie der Stellung der Einrichtung in der Kirche und der übertragenen Funktion gerecht werden.</w:t>
      </w:r>
    </w:p>
    <w:p w:rsidR="00BE1EFE" w:rsidRPr="000B1AF8" w:rsidRDefault="00BE1EFE">
      <w:pPr>
        <w:pStyle w:val="StandardWeb"/>
      </w:pPr>
    </w:p>
    <w:p w:rsidR="00BE1EFE" w:rsidRDefault="00BE1EFE">
      <w:pPr>
        <w:pStyle w:val="StandardWeb"/>
      </w:pPr>
      <w:r>
        <w:t>(2) Der kirchliche Dienstgeber kann pastorale, katechetische sowie in der Regel erzieherische und leitende Aufgaben nur einer Person übertragen, die der katholischen Kirche angehört.</w:t>
      </w:r>
    </w:p>
    <w:p w:rsidR="00BE1EFE" w:rsidRDefault="00BE1EFE">
      <w:pPr>
        <w:pStyle w:val="StandardWeb"/>
      </w:pPr>
    </w:p>
    <w:p w:rsidR="00BE1EFE" w:rsidRDefault="00BE1EFE">
      <w:pPr>
        <w:pStyle w:val="StandardWeb"/>
      </w:pPr>
      <w:r>
        <w:t>(3) </w:t>
      </w:r>
      <w:r>
        <w:rPr>
          <w:rStyle w:val="kleinschrift"/>
        </w:rPr>
        <w:t>1</w:t>
      </w:r>
      <w:r>
        <w:t xml:space="preserve">Der kirchliche Dienstgeber muss bei allen Mitarbeiterinnen und Mitarbeitern durch Festlegung der entsprechenden Anforderungen sicherstellen, dass sie ihren besonderen Auftrag glaubwürdig erfüllen können. </w:t>
      </w:r>
      <w:r>
        <w:rPr>
          <w:rStyle w:val="kleinschrift"/>
        </w:rPr>
        <w:t>2</w:t>
      </w:r>
      <w:r>
        <w:t>Dazu gehören fachliche Tüchtigkeit, gewissenhafte Erfüllung der übertragenen Aufgaben und eine Zustimmung zu den Zielen der Einrichtung.</w:t>
      </w:r>
    </w:p>
    <w:p w:rsidR="00BE1EFE" w:rsidRDefault="00BE1EFE">
      <w:pPr>
        <w:pStyle w:val="StandardWeb"/>
      </w:pPr>
    </w:p>
    <w:p w:rsidR="00BE1EFE" w:rsidRDefault="00BE1EFE">
      <w:pPr>
        <w:pStyle w:val="StandardWeb"/>
      </w:pPr>
      <w:r>
        <w:t>(4) Für keinen Dienst in der Kirche geeignet ist, wer sich kirchenfeindlich betätigt oder aus der katholischen Kirche ausgetreten ist.</w:t>
      </w:r>
    </w:p>
    <w:p w:rsidR="00BE1EFE" w:rsidRDefault="00BE1EFE">
      <w:pPr>
        <w:pStyle w:val="StandardWeb"/>
      </w:pPr>
    </w:p>
    <w:p w:rsidR="00BE1EFE" w:rsidRDefault="00BE1EFE" w:rsidP="000F4FB7">
      <w:pPr>
        <w:pStyle w:val="StandardWeb"/>
      </w:pPr>
      <w:r>
        <w:t>(5) Der kirchliche Dienstgeber hat vor Abschluss des Arbeitsvertrages über die geltenden Loyalitätsobliegenheiten (</w:t>
      </w:r>
      <w:hyperlink r:id="rId1834" w:history="1">
        <w:r>
          <w:rPr>
            <w:rStyle w:val="Hyperlink"/>
          </w:rPr>
          <w:t>Art. </w:t>
        </w:r>
        <w:r w:rsidRPr="002D1F1D">
          <w:rPr>
            <w:rStyle w:val="Hyperlink"/>
          </w:rPr>
          <w:t>4</w:t>
        </w:r>
      </w:hyperlink>
      <w:r>
        <w:t>) aufzuklären und sich zu vergewissern, dass die Bewer</w:t>
      </w:r>
      <w:r>
        <w:softHyphen/>
        <w:t>berinnen oder Bewerber diese Loyalitätsobliegenheiten erfüllen.</w:t>
      </w:r>
    </w:p>
    <w:p w:rsidR="00BE1EFE" w:rsidRDefault="00BE1EFE" w:rsidP="00C51D24">
      <w:pPr>
        <w:pStyle w:val="Leerzeile"/>
      </w:pPr>
    </w:p>
    <w:p w:rsidR="00BE1EFE" w:rsidRDefault="00BE1EFE">
      <w:pPr>
        <w:pStyle w:val="berschrift6"/>
      </w:pPr>
      <w:bookmarkStart w:id="1188" w:name="_Toc523926704"/>
      <w:r>
        <w:t>Artikel 4 – Loyalitätsobliegenheiten –</w:t>
      </w:r>
      <w:bookmarkEnd w:id="118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Von den katholischen Mitarbeiterinnen und Mitarbeitern wird erwartet, dass sie die Grundsätze der katholischen Glaubens- und Sittenlehre anerkennen und beachten. </w:t>
      </w:r>
      <w:r>
        <w:rPr>
          <w:rStyle w:val="kleinschrift"/>
        </w:rPr>
        <w:t>2</w:t>
      </w:r>
      <w:r>
        <w:t xml:space="preserve">Insbesondere im pastoralen, katechetischen und erzieherischen Dienst sowie bei Mitarbeiterinnen und Mitarbeitern, die aufgrund einer Missio canonica tätig sind, ist das persönliche Lebenszeugnis im Sinne der Grundsätze der katholischen Glaubens- und Sittenlehre erforderlich. </w:t>
      </w:r>
      <w:r>
        <w:rPr>
          <w:rStyle w:val="kleinschrift"/>
        </w:rPr>
        <w:t>3</w:t>
      </w:r>
      <w:r>
        <w:t>Dies gilt auch für leitende Mitarbeiterinnen und Mitarbeiter,</w:t>
      </w:r>
      <w:r w:rsidRPr="000F4FB7">
        <w:t xml:space="preserve"> sowie für Mitarbeiterinnen und Mitarbeiter im erzieherischen Dienst.</w:t>
      </w:r>
    </w:p>
    <w:p w:rsidR="00BE1EFE" w:rsidRPr="000B1AF8" w:rsidRDefault="00BE1EFE">
      <w:pPr>
        <w:pStyle w:val="StandardWeb"/>
      </w:pPr>
    </w:p>
    <w:p w:rsidR="00BE1EFE" w:rsidRDefault="00BE1EFE">
      <w:pPr>
        <w:pStyle w:val="StandardWeb"/>
      </w:pPr>
      <w:r>
        <w:t>(2) Von nichtkatholischen christlichen Mitarbeiterinnen und Mitarbeitern wird erwartet, dass sie die Wahrheiten und Werte des Evangeliums achten und dazu beitragen, sie in der Einrichtung zur Geltung zu bringen.</w:t>
      </w:r>
    </w:p>
    <w:p w:rsidR="00BE1EFE" w:rsidRDefault="00BE1EFE">
      <w:pPr>
        <w:pStyle w:val="StandardWeb"/>
      </w:pPr>
    </w:p>
    <w:p w:rsidR="00BE1EFE" w:rsidRDefault="00BE1EFE">
      <w:pPr>
        <w:pStyle w:val="StandardWeb"/>
      </w:pPr>
      <w:r>
        <w:t>(3) Nichtchristliche Mitarbeiterinnen und Mitarbeiter müssen bereit sein, die ihnen in einer kirchlichen Einrichtung zu übertragenden Aufgaben im Sinne der Kirche zu erfüllen.</w:t>
      </w:r>
    </w:p>
    <w:p w:rsidR="00BE1EFE" w:rsidRDefault="00BE1EFE">
      <w:pPr>
        <w:pStyle w:val="StandardWeb"/>
      </w:pPr>
    </w:p>
    <w:p w:rsidR="00BE1EFE" w:rsidRDefault="00BE1EFE">
      <w:pPr>
        <w:pStyle w:val="StandardWeb"/>
      </w:pPr>
      <w:r>
        <w:t>(4) </w:t>
      </w:r>
      <w:r>
        <w:rPr>
          <w:rStyle w:val="kleinschrift"/>
        </w:rPr>
        <w:t>1</w:t>
      </w:r>
      <w:r>
        <w:t xml:space="preserve">Alle Mitarbeiterinnen und Mitarbeiter haben kirchenfeindliches Verhalten zu unterlassen. </w:t>
      </w:r>
      <w:r>
        <w:rPr>
          <w:rStyle w:val="kleinschrift"/>
        </w:rPr>
        <w:t>2</w:t>
      </w:r>
      <w:r>
        <w:t>Sie dürfen in ihrer persönlichen Lebensführung und in ihrem dienstlichen Verhalten die Glaubwürdigkeit der Kirche und der Einrichtung, in der sie beschäftigt sind, nicht gefährden.</w:t>
      </w:r>
    </w:p>
    <w:p w:rsidR="00BE1EFE" w:rsidRDefault="00BE1EFE">
      <w:pPr>
        <w:pStyle w:val="berschrift6"/>
      </w:pPr>
      <w:bookmarkStart w:id="1189" w:name="_Toc523926705"/>
      <w:r>
        <w:t>Artikel 5 – Verstöße gegen Loyalitätsobliegenheiten –</w:t>
      </w:r>
      <w:bookmarkEnd w:id="118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Erfüllt eine Mitarbeiterin oder ein Mitarbeiter die Beschäftigungsanforderungen nicht mehr, so muss der Dienstgeber durch Beratung versuchen, dass die Mitarbeiterin oder der Mitar</w:t>
      </w:r>
      <w:r>
        <w:softHyphen/>
        <w:t xml:space="preserve">beiter diesen Mangel auf Dauer beseitigt. </w:t>
      </w:r>
      <w:r>
        <w:rPr>
          <w:rStyle w:val="kleinschrift"/>
        </w:rPr>
        <w:t>2</w:t>
      </w:r>
      <w:r>
        <w:t xml:space="preserve">Im konkreten Fall ist zu prüfen, ob schon ein solches klärendes Gespräch oder eine Abmahnung, ein formeller Verweis oder eine andere Maßnahme (z. B. Versetzung, Änderungskündigung) geeignet sind, dem Obliegenheitsverstoß zu begegnen. </w:t>
      </w:r>
      <w:r>
        <w:rPr>
          <w:rStyle w:val="kleinschrift"/>
        </w:rPr>
        <w:t>3</w:t>
      </w:r>
      <w:r>
        <w:t>Als letzte Maßnahme kommt eine Kündigung in Betracht.</w:t>
      </w:r>
    </w:p>
    <w:p w:rsidR="00BE1EFE" w:rsidRPr="000B1AF8" w:rsidRDefault="00BE1EFE">
      <w:pPr>
        <w:pStyle w:val="StandardWeb"/>
      </w:pPr>
    </w:p>
    <w:p w:rsidR="00BE1EFE" w:rsidRDefault="00BE1EFE" w:rsidP="000F4FB7">
      <w:pPr>
        <w:pStyle w:val="StandardWeb"/>
      </w:pPr>
      <w:r>
        <w:t xml:space="preserve">(2) Für eine Kündigung aus kirchenspezifischen Gründen sieht die Kirche insbesondere folgende Verstöße gegen die Loyalitätsobliegenheiten im Sinn des </w:t>
      </w:r>
      <w:r w:rsidRPr="00C84F09">
        <w:t>Art. 4</w:t>
      </w:r>
      <w:r>
        <w:t xml:space="preserve"> als schwerwiegend an:</w:t>
      </w:r>
    </w:p>
    <w:p w:rsidR="00BE1EFE" w:rsidRDefault="00BE1EFE" w:rsidP="000F4FB7">
      <w:pPr>
        <w:pStyle w:val="StandardWeb"/>
      </w:pPr>
      <w:r>
        <w:t>1. Bei allen Mitarbeiterinnen und Mitarbeitern:</w:t>
      </w:r>
    </w:p>
    <w:p w:rsidR="00BE1EFE" w:rsidRDefault="00BE1EFE" w:rsidP="000F4FB7">
      <w:pPr>
        <w:pStyle w:val="StandardWeb"/>
      </w:pPr>
      <w:r>
        <w:t>a) das öffentliche Eintreten gegen tragende Grundsätze der katholischen Kirche (z. B. die Propagierung der Abtreibung oder von Fremdenhass),</w:t>
      </w:r>
    </w:p>
    <w:p w:rsidR="00BE1EFE" w:rsidRDefault="00BE1EFE" w:rsidP="000F4FB7">
      <w:pPr>
        <w:pStyle w:val="StandardWeb"/>
      </w:pPr>
      <w:r>
        <w:t>b) schwerwiegende persönliche sittliche Verfehlungen, die nach den konkreten Umständen objektiv geeignet sind, ein erhebliches Ärgernis in der Dienstgemeinschaft oder im beruflichen Wirkungskreis zu erregen und die Glaubwürdigkeit der Kirche zu beeinträchtigen,</w:t>
      </w:r>
    </w:p>
    <w:p w:rsidR="00BE1EFE" w:rsidRDefault="00BE1EFE" w:rsidP="000F4FB7">
      <w:pPr>
        <w:pStyle w:val="StandardWeb"/>
      </w:pPr>
      <w:r>
        <w:t xml:space="preserve">c) das Verunglimpfen oder Verhöhnen von katholischen Glaubensinhalten, Riten oder Gebräuchen; öffentliche Gotteslästerung und Hervorrufen von Hass und Verachtung gegen Religion und Kirche (vgl. </w:t>
      </w:r>
      <w:hyperlink r:id="rId1835" w:tgtFrame="_blank" w:history="1">
        <w:r>
          <w:rPr>
            <w:rStyle w:val="Hyperlink"/>
          </w:rPr>
          <w:t>c. 1369 CIC</w:t>
        </w:r>
      </w:hyperlink>
      <w:r>
        <w:t>); Straftaten gegen die kirchlichen Autoritäten und die Freiheit der Kirche (</w:t>
      </w:r>
      <w:hyperlink r:id="rId1836" w:history="1">
        <w:r w:rsidRPr="009F359B">
          <w:rPr>
            <w:rStyle w:val="Hyperlink"/>
          </w:rPr>
          <w:t>vgl. cc. 1373, 1374 CIC</w:t>
        </w:r>
      </w:hyperlink>
      <w:r>
        <w:t>),</w:t>
      </w:r>
    </w:p>
    <w:p w:rsidR="00BE1EFE" w:rsidRDefault="00BE1EFE" w:rsidP="000F4FB7">
      <w:pPr>
        <w:pStyle w:val="StandardWeb"/>
      </w:pPr>
      <w:r>
        <w:t>d) die Propagierung von religiösen und weltanschaulichen Überzeugungen, die im Widerspruch zu katholischen Glaubensinhalten stehen, während der Arbeitszeit oder im dienstlichen Zusammenhang, insbesondere die Werbung für andere Religions- oder Weltanschauungsgemeinschaften.</w:t>
      </w:r>
    </w:p>
    <w:p w:rsidR="00BE1EFE" w:rsidRDefault="00BE1EFE" w:rsidP="000F4FB7">
      <w:pPr>
        <w:pStyle w:val="StandardWeb"/>
      </w:pPr>
      <w:r>
        <w:t>2. Bei katholischen Mitarbeiterinnen und Mitarbeitern:</w:t>
      </w:r>
    </w:p>
    <w:p w:rsidR="00BE1EFE" w:rsidRDefault="00BE1EFE" w:rsidP="000F4FB7">
      <w:pPr>
        <w:pStyle w:val="StandardWeb"/>
      </w:pPr>
      <w:r>
        <w:t>a) den Austritt aus der katholischen Kirche,</w:t>
      </w:r>
    </w:p>
    <w:p w:rsidR="00BE1EFE" w:rsidRDefault="00BE1EFE" w:rsidP="000F4FB7">
      <w:pPr>
        <w:pStyle w:val="StandardWeb"/>
      </w:pPr>
      <w:r>
        <w:lastRenderedPageBreak/>
        <w:t xml:space="preserve">b) Handlungen, die kirchenrechtlich als eindeutige Distanzierung von der katholischen Kirche anzusehen sind, vor allem Abfall vom Glauben (Apostasie oder Häresie gemäß </w:t>
      </w:r>
      <w:hyperlink r:id="rId1837" w:tgtFrame="_blank" w:history="1">
        <w:r>
          <w:rPr>
            <w:rStyle w:val="Hyperlink"/>
          </w:rPr>
          <w:t>c. 1364 § 1 i.V. m. c. 751 CIC</w:t>
        </w:r>
      </w:hyperlink>
      <w:r>
        <w:t>),</w:t>
      </w:r>
    </w:p>
    <w:p w:rsidR="00BE1EFE" w:rsidRDefault="00BE1EFE" w:rsidP="000F4FB7">
      <w:pPr>
        <w:pStyle w:val="StandardWeb"/>
      </w:pPr>
      <w:r>
        <w:t>c) den kirchenrechtlich unzulässigen Abschluss einer Zivilehe, wenn diese Handlung nach den konkreten Umständen objektiv geeignet ist, ein erhebliches Ärgernis in der Dienstgemein</w:t>
      </w:r>
      <w:r>
        <w:softHyphen/>
        <w:t>schaft oder im beruflichen Wirkungskreis zu erregen und die Glaubwürdigkeit der Kirche zu beeinträchtigen; eine solche Eignung wird bei pastoral oder katechetisch tätigen Mitarbeiterinnen und Mitarbeitern sowie bei Mitarbeiterinnen und Mitarbeitern, die aufgrund einer Missio canonica oder einer sonstigen schriftlich erteilten bischöflichen Beauftragung beschäftigt werden, unwiderlegbar vermutet,</w:t>
      </w:r>
    </w:p>
    <w:p w:rsidR="00BE1EFE" w:rsidRDefault="00BE1EFE" w:rsidP="000F4FB7">
      <w:pPr>
        <w:pStyle w:val="StandardWeb"/>
      </w:pPr>
      <w:r>
        <w:t>d) das Eingehen einer eingetragenen Lebenspartnerschaft; bei diesem Loyalitätsverstoß findet Ziff. 2c) entsprechende Anwendung.</w:t>
      </w:r>
    </w:p>
    <w:p w:rsidR="00BE1EFE" w:rsidRDefault="00BE1EFE" w:rsidP="000F4FB7">
      <w:pPr>
        <w:pStyle w:val="StandardWeb"/>
      </w:pPr>
    </w:p>
    <w:p w:rsidR="00BE1EFE" w:rsidRDefault="00BE1EFE" w:rsidP="000F4FB7">
      <w:pPr>
        <w:pStyle w:val="StandardWeb"/>
      </w:pPr>
      <w:r>
        <w:t>(3) </w:t>
      </w:r>
      <w:r w:rsidRPr="00E04844">
        <w:rPr>
          <w:sz w:val="12"/>
          <w:szCs w:val="12"/>
        </w:rPr>
        <w:t>1</w:t>
      </w:r>
      <w:r>
        <w:t xml:space="preserve">Liegt ein schwerwiegender Loyalitätsverstoß nach Absatz 2 vor, so hängt die Möglichkeit der Weiterbeschäftigung von der Abwägung der Einzelfallumstände ab. </w:t>
      </w:r>
      <w:r w:rsidRPr="00E04844">
        <w:rPr>
          <w:sz w:val="12"/>
          <w:szCs w:val="12"/>
        </w:rPr>
        <w:t>2</w:t>
      </w:r>
      <w:r>
        <w:t>Dem Selbstverständ</w:t>
      </w:r>
      <w:r>
        <w:softHyphen/>
        <w:t xml:space="preserve">nis der Kirche ist dabei ein besonderes Gewicht beizumessen, ohne dass die Interessen der Kirche die Belange des Arbeitnehmers dabei prinzipiell überwiegen. </w:t>
      </w:r>
      <w:r w:rsidRPr="00E04844">
        <w:rPr>
          <w:sz w:val="12"/>
          <w:szCs w:val="12"/>
        </w:rPr>
        <w:t>3</w:t>
      </w:r>
      <w:r>
        <w:t>Angemessen zu berücksichtigen sind unter anderem das Bewusstsein der Mitarbeiterin oder des Mitarbeiters für die begangene Loyalitätspflichtverletzung, das Interesse an der Wahrung des Arbeits</w:t>
      </w:r>
      <w:r>
        <w:softHyphen/>
        <w:t xml:space="preserve">platzes, das Alter, die Beschäftigungsdauer und die Aussichten auf eine neue Beschäftigung. </w:t>
      </w:r>
      <w:r w:rsidRPr="00E04844">
        <w:rPr>
          <w:sz w:val="12"/>
          <w:szCs w:val="12"/>
        </w:rPr>
        <w:t>4</w:t>
      </w:r>
      <w:r>
        <w:t>Bei Mitarbeiterinnen und Mitarbeitern, die pastoral, katechetisch, aufgrund einer Missio canonica oder einer sonstigen schriftlich erteilten bischöflichen Beauftragung</w:t>
      </w:r>
    </w:p>
    <w:p w:rsidR="00BE1EFE" w:rsidRDefault="00BE1EFE" w:rsidP="00E04844">
      <w:pPr>
        <w:pStyle w:val="StandardWeb"/>
      </w:pPr>
      <w:r>
        <w:t xml:space="preserve">beschäftigt werden, schließt das Vorliegen eines schwerwiegenden Loyalitätsverstoßes nach Absatz 2 die Möglichkeit der Weiterbeschäftigung in der Regel aus. </w:t>
      </w:r>
      <w:r w:rsidRPr="00E04844">
        <w:rPr>
          <w:sz w:val="12"/>
          <w:szCs w:val="12"/>
        </w:rPr>
        <w:t>5</w:t>
      </w:r>
      <w:r>
        <w:t xml:space="preserve">Von einer Kündigung kann in diesen Fällen ausnahmsweise abgesehen werden, wenn schwerwiegende Gründe des Einzelfalles diese als unangemessen erscheinen lassen. </w:t>
      </w:r>
      <w:r w:rsidRPr="00E04844">
        <w:rPr>
          <w:sz w:val="12"/>
          <w:szCs w:val="12"/>
        </w:rPr>
        <w:t>6</w:t>
      </w:r>
      <w:r>
        <w:t>Gleiches gilt für den Austritt einer Mitarbeiterin oder eines Mitarbeiters aus der katholischen Kirche.</w:t>
      </w:r>
    </w:p>
    <w:p w:rsidR="00BE1EFE" w:rsidRDefault="00BE1EFE">
      <w:pPr>
        <w:pStyle w:val="StandardWeb"/>
      </w:pPr>
    </w:p>
    <w:p w:rsidR="00BE1EFE" w:rsidRDefault="00BE1EFE" w:rsidP="00E04844">
      <w:pPr>
        <w:pStyle w:val="StandardWeb"/>
      </w:pPr>
      <w:r>
        <w:t>(4) </w:t>
      </w:r>
      <w:r>
        <w:rPr>
          <w:rStyle w:val="kleinschrift"/>
        </w:rPr>
        <w:t>1</w:t>
      </w:r>
      <w:r>
        <w:t xml:space="preserve">Zur Sicherstellung einer einheitlichen Rechtsanwendung hinsichtlich dieser Ordnung wird in jeder (Erz-)Diözese oder (wahlweise) von mehreren (Erz-)Diözesen gemeinsam eine zentrale Stelle gebildet. </w:t>
      </w:r>
      <w:r w:rsidRPr="00E04844">
        <w:rPr>
          <w:sz w:val="12"/>
          <w:szCs w:val="12"/>
        </w:rPr>
        <w:t>2</w:t>
      </w:r>
      <w:r>
        <w:t>Deren Aufgabe ist von einer Person wahrzunehmen, die der katho</w:t>
      </w:r>
      <w:r>
        <w:softHyphen/>
        <w:t xml:space="preserve">lischen Kirche angehört, die Befähigung zum Richteramt besitzt und über fundierte Erfahrungen im kirchlichen und weltlichen Arbeitsrecht verfügt. </w:t>
      </w:r>
      <w:r w:rsidRPr="00E04844">
        <w:rPr>
          <w:sz w:val="12"/>
          <w:szCs w:val="12"/>
        </w:rPr>
        <w:t>3</w:t>
      </w:r>
      <w:r>
        <w:t>Beabsichtigt ein kirchlicher Dienstgeber eine Kündigung wegen eines schwerwiegenden Verstoßes gegen eine Loyalitäts</w:t>
      </w:r>
      <w:r>
        <w:softHyphen/>
        <w:t>obliegenheit auszusprechen, soll er bei der zentralen Stelle eine Stellungnahme zur beabsich</w:t>
      </w:r>
      <w:r>
        <w:softHyphen/>
        <w:t xml:space="preserve">tigten Kündigung einholen. </w:t>
      </w:r>
      <w:r w:rsidRPr="00E04844">
        <w:rPr>
          <w:sz w:val="12"/>
          <w:szCs w:val="12"/>
        </w:rPr>
        <w:t>4</w:t>
      </w:r>
      <w:r>
        <w:t>Die Einholung der Stellungnahme der zentralen Stelle ist keine Wirksamkeitsvoraussetzung für die Kündigung.</w:t>
      </w:r>
    </w:p>
    <w:p w:rsidR="00BE1EFE" w:rsidRDefault="00BE1EFE" w:rsidP="00E04844">
      <w:pPr>
        <w:pStyle w:val="StandardWeb"/>
      </w:pPr>
    </w:p>
    <w:p w:rsidR="00BE1EFE" w:rsidRDefault="00BE1EFE" w:rsidP="00E04844">
      <w:pPr>
        <w:pStyle w:val="StandardWeb"/>
      </w:pPr>
      <w:r>
        <w:t>(5) </w:t>
      </w:r>
      <w:r>
        <w:rPr>
          <w:rStyle w:val="kleinschrift"/>
        </w:rPr>
        <w:t>1</w:t>
      </w:r>
      <w:r>
        <w:t xml:space="preserve">Der Verband der Diözesen Deutschlands wird fünf Jahre nach Inkrafttreten dieser Ordnung unter Berücksichtigung der Erkenntnisse der zentralen Stellen nach Absatz 4 die Zweckmäßigkeit und Wirksamkeit der vorstehenden Regelungen einer Überprüfung unterziehen. </w:t>
      </w:r>
      <w:r w:rsidRPr="00E04844">
        <w:rPr>
          <w:sz w:val="12"/>
          <w:szCs w:val="12"/>
        </w:rPr>
        <w:t>2</w:t>
      </w:r>
      <w:r>
        <w:t>Er erstattet dem Ständigen Rat der Deutschen Bischofskonferenz Bericht und unterbreitet Vorschläge für mögliche Änderungen.</w:t>
      </w:r>
    </w:p>
    <w:p w:rsidR="00BE1EFE" w:rsidRDefault="00BE1EFE">
      <w:pPr>
        <w:pStyle w:val="StandardWeb"/>
      </w:pPr>
    </w:p>
    <w:p w:rsidR="00BE1EFE" w:rsidRDefault="00BE1EFE">
      <w:pPr>
        <w:pStyle w:val="berschrift6"/>
      </w:pPr>
      <w:bookmarkStart w:id="1190" w:name="_Toc523926706"/>
      <w:r>
        <w:t>Artikel 6 – Koalitionsfreiheit –</w:t>
      </w:r>
      <w:bookmarkEnd w:id="1190"/>
    </w:p>
    <w:p w:rsidR="00BE1EFE" w:rsidRPr="00B76821" w:rsidRDefault="00BE1EFE" w:rsidP="00B76821">
      <w:pPr>
        <w:pStyle w:val="h7"/>
        <w:keepNext w:val="0"/>
        <w:spacing w:before="0" w:after="0"/>
        <w:jc w:val="left"/>
        <w:outlineLvl w:val="5"/>
        <w:rPr>
          <w:rStyle w:val="kleinschrift"/>
          <w:sz w:val="2"/>
          <w:szCs w:val="16"/>
        </w:rPr>
      </w:pPr>
    </w:p>
    <w:p w:rsidR="00BE1EFE" w:rsidRDefault="00BE1EFE" w:rsidP="008E4709">
      <w:pPr>
        <w:pStyle w:val="StandardWeb"/>
      </w:pPr>
      <w:r w:rsidRPr="00DD1383">
        <w:rPr>
          <w:rStyle w:val="kleinschrift"/>
          <w:sz w:val="16"/>
          <w:szCs w:val="16"/>
        </w:rPr>
        <w:t>(1)</w:t>
      </w:r>
      <w:r>
        <w:rPr>
          <w:rStyle w:val="kleinschrift"/>
        </w:rPr>
        <w:t> </w:t>
      </w:r>
      <w:r>
        <w:t xml:space="preserve">Die Mitarbeiterinnen und Mitarbeiter des kirchlichen Dienstes können sich in Ausübung ihrer Koalitionsfreiheit als kirchliche Arbeitnehmer zur Beeinflussung der Gestaltung ihrer Arbeits- und Wirtschaftsbedingungen in Vereinigungen (Koalitionen) zusammenschließen, diesen beitreten und sich in ihnen betätigen. </w:t>
      </w:r>
    </w:p>
    <w:p w:rsidR="00BE1EFE" w:rsidRDefault="00BE1EFE" w:rsidP="008E4709">
      <w:pPr>
        <w:pStyle w:val="StandardWeb"/>
        <w:rPr>
          <w:rStyle w:val="kleinschrift"/>
        </w:rPr>
      </w:pPr>
    </w:p>
    <w:p w:rsidR="00BE1EFE" w:rsidRDefault="00BE1EFE" w:rsidP="008E4709">
      <w:pPr>
        <w:pStyle w:val="StandardWeb"/>
      </w:pPr>
      <w:r>
        <w:lastRenderedPageBreak/>
        <w:t>(2) Die Koalitionen sind berechtigt, im Rahmen der verfassungsrechtlichen Grenzen innerhalb der kirchlichen Einrichtung für den Beitritt zu diesen Koalitionen zu werben, über deren Aufgabe zu informieren sowie Koalitionsmitglieder zu betreuen.</w:t>
      </w:r>
    </w:p>
    <w:p w:rsidR="00BE1EFE" w:rsidRDefault="00BE1EFE" w:rsidP="008E4709">
      <w:pPr>
        <w:pStyle w:val="StandardWeb"/>
      </w:pPr>
    </w:p>
    <w:p w:rsidR="00BE1EFE" w:rsidRDefault="00BE1EFE" w:rsidP="008E4709">
      <w:pPr>
        <w:pStyle w:val="StandardWeb"/>
      </w:pPr>
      <w:r>
        <w:t>(3) </w:t>
      </w:r>
      <w:r w:rsidRPr="008E4709">
        <w:rPr>
          <w:sz w:val="12"/>
          <w:szCs w:val="12"/>
        </w:rPr>
        <w:t>1</w:t>
      </w:r>
      <w:r>
        <w:t>Die Mitwirkung von tariffähigen Arbeitnehmerkoalitionen (Gewerkschaften) in den arbeits</w:t>
      </w:r>
      <w:r>
        <w:softHyphen/>
        <w:t xml:space="preserve">rechtlichen Kommissionen des Dritten Weges ist gewährleistet. </w:t>
      </w:r>
      <w:r w:rsidRPr="008E4709">
        <w:rPr>
          <w:sz w:val="12"/>
          <w:szCs w:val="12"/>
        </w:rPr>
        <w:t>2</w:t>
      </w:r>
      <w:r>
        <w:t>Das Nähere regeln die einschlägigen Ordnungen.</w:t>
      </w:r>
    </w:p>
    <w:p w:rsidR="00BE1EFE" w:rsidRDefault="00BE1EFE" w:rsidP="008E4709">
      <w:pPr>
        <w:pStyle w:val="StandardWeb"/>
      </w:pPr>
    </w:p>
    <w:p w:rsidR="00BE1EFE" w:rsidRPr="000B1AF8" w:rsidRDefault="00BE1EFE" w:rsidP="008E4709">
      <w:pPr>
        <w:pStyle w:val="StandardWeb"/>
      </w:pPr>
      <w:r>
        <w:t>(4) </w:t>
      </w:r>
      <w:r w:rsidRPr="008E4709">
        <w:rPr>
          <w:sz w:val="12"/>
          <w:szCs w:val="12"/>
        </w:rPr>
        <w:t>1</w:t>
      </w:r>
      <w:r>
        <w:t xml:space="preserve">Die Koalitionsfreiheit entbindet die Vertreter der Koalition nicht von der Pflicht, das verfassungsmäßige Selbstbestimmungsrecht der Kirche zur Gestaltung der sozialen Ordnung ihres Dienstes zu achten und die Eigenart des kirchlichen Dienstes zu respektieren. </w:t>
      </w:r>
    </w:p>
    <w:p w:rsidR="00BE1EFE" w:rsidRPr="000B1AF8" w:rsidRDefault="00BE1EFE">
      <w:pPr>
        <w:pStyle w:val="StandardWeb"/>
      </w:pPr>
    </w:p>
    <w:p w:rsidR="00BE1EFE" w:rsidRDefault="00BE1EFE">
      <w:pPr>
        <w:pStyle w:val="berschrift6"/>
      </w:pPr>
      <w:bookmarkStart w:id="1191" w:name="_Toc523926707"/>
      <w:r>
        <w:t>Artikel 7 – Beteiligung der Mitarbeiterinnen und Mitarbeiter an der Gestaltung ihrer Arbeitsbedingungen –</w:t>
      </w:r>
      <w:bookmarkEnd w:id="119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Verhandlungsgleichgewicht ihrer abhängig beschäftigten Mitarbeiterinnen und Mitarbeiter bei Abschluss und Gestaltung der Arbeitsverträge sichert die katholische Kirche durch das ihr verfassungsmäßig gewährleistete Recht, ein eigenes Arbeitsrechts- Regelungsverfahren zu schaffen. </w:t>
      </w:r>
      <w:r>
        <w:rPr>
          <w:rStyle w:val="kleinschrift"/>
        </w:rPr>
        <w:t>2</w:t>
      </w:r>
      <w:r>
        <w:t xml:space="preserve">Rechtsnormen für den Inhalt der Arbeitsverhältnisse kommen zustande durch Beschlüsse von </w:t>
      </w:r>
      <w:r w:rsidRPr="00D6492B">
        <w:t>arbeitsrechtlichen</w:t>
      </w:r>
      <w:r>
        <w:t xml:space="preserve"> Kommissionen, die mit Vertretern der Dienstgeber und Vertretern der Mitarbeiter paritätisch besetzt sind. </w:t>
      </w:r>
      <w:r>
        <w:rPr>
          <w:rStyle w:val="kleinschrift"/>
        </w:rPr>
        <w:t>3</w:t>
      </w:r>
      <w:r>
        <w:t xml:space="preserve">Die Beschlüsse dieser </w:t>
      </w:r>
      <w:r w:rsidRPr="00D6492B">
        <w:t>arbeitsrechtlichen</w:t>
      </w:r>
      <w:r>
        <w:t xml:space="preserve"> Kommissionen bedürfen der bischöflichen Inkraftsetzung für das jeweilige Bistum. </w:t>
      </w:r>
      <w:r>
        <w:rPr>
          <w:rStyle w:val="kleinschrift"/>
        </w:rPr>
        <w:t>4</w:t>
      </w:r>
      <w:r>
        <w:t xml:space="preserve">Das Nähere, insbesondere die jeweiligen Zuständigkeiten, regeln die einschlägigen Ordnungen. </w:t>
      </w:r>
      <w:r>
        <w:rPr>
          <w:rStyle w:val="kleinschrift"/>
        </w:rPr>
        <w:t>5</w:t>
      </w:r>
      <w:r>
        <w:t xml:space="preserve">Die </w:t>
      </w:r>
      <w:r w:rsidRPr="00D6492B">
        <w:t>arbeitsrechtlichen</w:t>
      </w:r>
      <w:r>
        <w:t xml:space="preserve"> Kommissionen sind an diese Grundordnung gebunden.</w:t>
      </w:r>
    </w:p>
    <w:p w:rsidR="00BE1EFE" w:rsidRPr="000B1AF8" w:rsidRDefault="00BE1EFE">
      <w:pPr>
        <w:pStyle w:val="StandardWeb"/>
      </w:pPr>
    </w:p>
    <w:p w:rsidR="00BE1EFE" w:rsidRDefault="00BE1EFE">
      <w:pPr>
        <w:pStyle w:val="StandardWeb"/>
      </w:pPr>
      <w:r>
        <w:t>(2) </w:t>
      </w:r>
      <w:r>
        <w:rPr>
          <w:rStyle w:val="kleinschrift"/>
        </w:rPr>
        <w:t>1</w:t>
      </w:r>
      <w:r>
        <w:t xml:space="preserve">Wegen der Einheit des kirchlichen Dienstes und der Dienstgemeinschaft als Strukturprinzip des kirchlichen Arbeitsrechts schließen kirchliche Dienstgeber keine Tarifverträge mit Gewerkschaften ab. </w:t>
      </w:r>
      <w:r>
        <w:rPr>
          <w:rStyle w:val="kleinschrift"/>
        </w:rPr>
        <w:t>2</w:t>
      </w:r>
      <w:r>
        <w:t>Streik und Aussperrung scheiden ebenfalls aus.</w:t>
      </w:r>
    </w:p>
    <w:p w:rsidR="00BE1EFE" w:rsidRDefault="00BE1EFE">
      <w:pPr>
        <w:pStyle w:val="StandardWeb"/>
      </w:pPr>
    </w:p>
    <w:p w:rsidR="00BE1EFE" w:rsidRDefault="00BE1EFE">
      <w:pPr>
        <w:pStyle w:val="StandardWeb"/>
      </w:pPr>
    </w:p>
    <w:p w:rsidR="00BE1EFE" w:rsidRDefault="00BE1EFE">
      <w:pPr>
        <w:pStyle w:val="berschrift6"/>
      </w:pPr>
      <w:bookmarkStart w:id="1192" w:name="_Toc523926708"/>
      <w:r>
        <w:t>Artikel 8 – Mitarbeitervertretungsrecht als kirchliche Betriebsverfassung –</w:t>
      </w:r>
      <w:bookmarkEnd w:id="119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Zur Sicherung ihrer Selbstbestimmung in der Arbeitsorganisation kirchlicher Einrichtungen wählen die Mitarbeiterinnen und Mitarbeiter nach Maßgabe kirchengesetzlicher Regelung Mitarbeitervertretungen, die an Entscheidungen des Dienstgebers beteiligt werden. </w:t>
      </w:r>
      <w:r>
        <w:rPr>
          <w:rStyle w:val="kleinschrift"/>
        </w:rPr>
        <w:t>2</w:t>
      </w:r>
      <w:r>
        <w:t xml:space="preserve">Das Nähere regelt die jeweils geltende Mitarbeitervertretungsordnung (MAVO). </w:t>
      </w:r>
      <w:r>
        <w:rPr>
          <w:rStyle w:val="kleinschrift"/>
        </w:rPr>
        <w:t>3</w:t>
      </w:r>
      <w:r>
        <w:t>Die Gremien der Mitarbeitervertretungsordnung sind an diese Grundordnung gebunden.</w:t>
      </w:r>
    </w:p>
    <w:p w:rsidR="00BE1EFE" w:rsidRPr="000B1AF8" w:rsidRDefault="00BE1EFE">
      <w:pPr>
        <w:pStyle w:val="StandardWeb"/>
      </w:pPr>
    </w:p>
    <w:p w:rsidR="00BE1EFE" w:rsidRDefault="00BE1EFE">
      <w:pPr>
        <w:pStyle w:val="berschrift6"/>
      </w:pPr>
      <w:bookmarkStart w:id="1193" w:name="_Toc523926709"/>
      <w:r>
        <w:t>Artikel 9 – Fort- und Weiterbildung –</w:t>
      </w:r>
      <w:bookmarkEnd w:id="119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Mitarbeiterinnen und Mitarbeiter haben Anspruch auf berufliche Fort- und Weiterbildung. </w:t>
      </w:r>
      <w:r>
        <w:rPr>
          <w:rStyle w:val="kleinschrift"/>
        </w:rPr>
        <w:t>2</w:t>
      </w:r>
      <w:r>
        <w:t xml:space="preserve">Diese umfassen die fachlichen Erfordernisse, aber genauso die ethischen und religiösen Aspekte des Dienstes. </w:t>
      </w:r>
      <w:r>
        <w:rPr>
          <w:rStyle w:val="kleinschrift"/>
        </w:rPr>
        <w:t>3</w:t>
      </w:r>
      <w:r>
        <w:t>Hierbei müssen auch Fragen des Glaubens und der Wertorientierung sowie die Bewältigung der spezifischen Belastung der einzelnen Dienste angemessen berücksichtigt werden.</w:t>
      </w:r>
    </w:p>
    <w:p w:rsidR="00BE1EFE" w:rsidRPr="000B1AF8" w:rsidRDefault="00BE1EFE">
      <w:pPr>
        <w:pStyle w:val="StandardWeb"/>
      </w:pPr>
    </w:p>
    <w:p w:rsidR="00BE1EFE" w:rsidRDefault="00BE1EFE">
      <w:pPr>
        <w:pStyle w:val="berschrift6"/>
      </w:pPr>
      <w:bookmarkStart w:id="1194" w:name="_Toc523926710"/>
      <w:r>
        <w:lastRenderedPageBreak/>
        <w:t>Artikel 10 – Gerichtlicher Rechtsschutz –</w:t>
      </w:r>
      <w:bookmarkEnd w:id="119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die Arbeitsverhältnisse kirchlicher Mitarbeiterinnen und Mitarbeiter dem staatlichen Arbeitsrecht unterliegen, sind die staatlichen Arbeitsgerichte für den gerichtlichen Rechtsschutz zuständig.</w:t>
      </w:r>
    </w:p>
    <w:p w:rsidR="00BE1EFE" w:rsidRPr="000B1AF8" w:rsidRDefault="00BE1EFE">
      <w:pPr>
        <w:pStyle w:val="StandardWeb"/>
      </w:pPr>
    </w:p>
    <w:p w:rsidR="00BE1EFE" w:rsidRDefault="00BE1EFE">
      <w:pPr>
        <w:pStyle w:val="StandardWeb"/>
      </w:pPr>
      <w:r>
        <w:t>(2) Für Rechtsstreitigkeiten auf den Gebieten der kirchlichen Ordnungen für ein Arbeits</w:t>
      </w:r>
      <w:r>
        <w:softHyphen/>
        <w:t>vertrags- und des Mitarbeitervertretungsrechtes werden für den gerichtlichen Rechtsschutz unabhängige kirchliche Gerichte gebildet.</w:t>
      </w:r>
    </w:p>
    <w:p w:rsidR="00BE1EFE" w:rsidRDefault="00BE1EFE">
      <w:pPr>
        <w:pStyle w:val="StandardWeb"/>
      </w:pPr>
    </w:p>
    <w:p w:rsidR="00BE1EFE" w:rsidRDefault="00BE1EFE">
      <w:pPr>
        <w:pStyle w:val="StandardWeb"/>
      </w:pPr>
      <w:r>
        <w:t>(3) </w:t>
      </w:r>
      <w:r>
        <w:rPr>
          <w:rStyle w:val="kleinschrift"/>
        </w:rPr>
        <w:t>1</w:t>
      </w:r>
      <w:r>
        <w:t xml:space="preserve">Die Richter sind von Weisungen unabhängig und nur an Gesetz und Recht gebunden. </w:t>
      </w:r>
      <w:r>
        <w:rPr>
          <w:rStyle w:val="kleinschrift"/>
        </w:rPr>
        <w:t>2</w:t>
      </w:r>
      <w:r>
        <w:t>Zum Richter kann berufen werden, wer katholisch ist und in der Ausübung der allen Kirchenmitgliedern zustehenden Rechte nicht behindert ist sowie die Gewähr dafür bietet, jederzeit für das kirchliche Gemeinwohl einzutreten.</w:t>
      </w:r>
    </w:p>
    <w:p w:rsidR="00BE1EFE" w:rsidRDefault="00BE1EFE">
      <w:pPr>
        <w:pStyle w:val="StandardWeb"/>
      </w:pPr>
    </w:p>
    <w:p w:rsidR="00BE1EFE" w:rsidRPr="000B1AF8" w:rsidRDefault="00BE1EFE">
      <w:pPr>
        <w:pStyle w:val="StandardWeb"/>
      </w:pPr>
    </w:p>
    <w:p w:rsidR="00BE1EFE" w:rsidRDefault="00BE1EFE">
      <w:pPr>
        <w:pStyle w:val="berschrift5"/>
      </w:pPr>
      <w:bookmarkStart w:id="1195" w:name="_Toc523926711"/>
      <w:r>
        <w:t>Authentische Interpretation der Grundordnung des kirchlichen Dienstes im Rahmen kirchlicher Arbeitsverhältnisse</w:t>
      </w:r>
      <w:bookmarkEnd w:id="1195"/>
    </w:p>
    <w:p w:rsidR="00BE1EFE" w:rsidRPr="00B76821" w:rsidRDefault="00BE1EFE" w:rsidP="00B76821">
      <w:pPr>
        <w:pStyle w:val="berschrift6"/>
        <w:keepNext w:val="0"/>
        <w:spacing w:before="0" w:after="0"/>
        <w:rPr>
          <w:sz w:val="2"/>
        </w:rPr>
      </w:pPr>
    </w:p>
    <w:p w:rsidR="00BE1EFE" w:rsidRDefault="00BE1EFE" w:rsidP="00CE7026">
      <w:pPr>
        <w:pStyle w:val="StandardWeb"/>
        <w:spacing w:after="240"/>
      </w:pPr>
      <w:r>
        <w:t xml:space="preserve">Wegen der besonderen Schwere des Sachverhalts und der möglichen weitreichenden körperlichen und psychischen Schädigung der Betroffenen gilt der sexuelle Missbrauch Minderjähriger als schwerwiegender Loyalitätsverstoß im Sinne des </w:t>
      </w:r>
      <w:hyperlink r:id="rId1838" w:history="1">
        <w:r w:rsidRPr="002D1F1D">
          <w:rPr>
            <w:rStyle w:val="Hyperlink"/>
          </w:rPr>
          <w:t>Art. 5 Abs. 2</w:t>
        </w:r>
      </w:hyperlink>
      <w:r>
        <w:t xml:space="preserve"> der Grundordnung des kirchlichen Dienstes im Rahmen kirchlicher Arbeitsverhältnisse und rechtfertigt daher ohne weiteres eine Kündigung aus kirchenspezifischen Gründen.</w:t>
      </w:r>
    </w:p>
    <w:p w:rsidR="00BE1EFE" w:rsidRDefault="00BE1EFE" w:rsidP="00A264B5">
      <w:pPr>
        <w:pStyle w:val="StandardWeb"/>
      </w:pPr>
      <w:r>
        <w:br w:type="page"/>
      </w:r>
    </w:p>
    <w:p w:rsidR="00BE1EFE" w:rsidRDefault="00BE1EFE" w:rsidP="00A264B5">
      <w:pPr>
        <w:pStyle w:val="berschrift4"/>
        <w:spacing w:before="0"/>
      </w:pPr>
      <w:bookmarkStart w:id="1196" w:name="_Toc523926712"/>
      <w:r>
        <w:lastRenderedPageBreak/>
        <w:t>2. Ordnung für Schlichtungsverfahren</w:t>
      </w:r>
      <w:bookmarkEnd w:id="1196"/>
    </w:p>
    <w:p w:rsidR="00BE1EFE" w:rsidRPr="00CE7026" w:rsidRDefault="00BE1EFE" w:rsidP="00CE7026">
      <w:pPr>
        <w:pStyle w:val="StandardWeb"/>
        <w:spacing w:after="240"/>
      </w:pPr>
      <w:r w:rsidRPr="00055278">
        <w:rPr>
          <w:rStyle w:val="kleinschrift1"/>
          <w:sz w:val="16"/>
          <w:szCs w:val="16"/>
        </w:rPr>
        <w:t>Auf Beschluss der Bayerischen Regional-KODA und auf der Grundlage des c. 1714 CIC/83 mit dem Ziel, einvernehmlich Streitfragen aus dem kirchlichen Dienstverhältnis beizulegen, erlässt der (Erz-)Bischof von ________________________________ die</w:t>
      </w:r>
    </w:p>
    <w:p w:rsidR="00BE1EFE" w:rsidRPr="000B1AF8" w:rsidRDefault="00BE1EFE">
      <w:pPr>
        <w:pStyle w:val="StandardWeb"/>
      </w:pPr>
    </w:p>
    <w:p w:rsidR="00BE1EFE" w:rsidRDefault="00BE1EFE" w:rsidP="0054275E">
      <w:pPr>
        <w:pStyle w:val="StandardWeb"/>
        <w:autoSpaceDE w:val="0"/>
        <w:jc w:val="center"/>
      </w:pPr>
      <w:r>
        <w:rPr>
          <w:rStyle w:val="Fett"/>
          <w:bCs/>
        </w:rPr>
        <w:t>Ordnung für Schlichtungsverfahren</w:t>
      </w:r>
    </w:p>
    <w:p w:rsidR="00BE1EFE" w:rsidRDefault="00BE1EFE">
      <w:pPr>
        <w:pStyle w:val="StandardWeb"/>
        <w:jc w:val="center"/>
      </w:pPr>
    </w:p>
    <w:p w:rsidR="00BE1EFE" w:rsidRDefault="00BE1EFE">
      <w:pPr>
        <w:pStyle w:val="StandardWeb"/>
      </w:pPr>
      <w:r>
        <w:t>zur Beilegung von Streitigkeiten zwischen Dienstgebern und Mitarbeitern aus dem Arbeits</w:t>
      </w:r>
      <w:r>
        <w:softHyphen/>
        <w:t>verhältnis.</w:t>
      </w:r>
    </w:p>
    <w:p w:rsidR="00BE1EFE" w:rsidRDefault="00BE1EFE">
      <w:pPr>
        <w:pStyle w:val="berschrift5"/>
      </w:pPr>
      <w:bookmarkStart w:id="1197" w:name="_Toc523926713"/>
      <w:r>
        <w:t>I. Die Schlichtungsstelle</w:t>
      </w:r>
      <w:bookmarkEnd w:id="1197"/>
    </w:p>
    <w:p w:rsidR="00BE1EFE" w:rsidRDefault="00BE1EFE">
      <w:pPr>
        <w:pStyle w:val="berschrift6"/>
      </w:pPr>
      <w:bookmarkStart w:id="1198" w:name="_Toc523926714"/>
      <w:r>
        <w:t>§ 1 Name, Sitz, Geschäftsstelle</w:t>
      </w:r>
      <w:bookmarkEnd w:id="1198"/>
    </w:p>
    <w:p w:rsidR="00BE1EFE" w:rsidRPr="00B76821" w:rsidRDefault="00BE1EFE" w:rsidP="00B76821">
      <w:pPr>
        <w:pStyle w:val="h7"/>
        <w:keepNext w:val="0"/>
        <w:spacing w:before="0" w:after="0"/>
        <w:jc w:val="left"/>
        <w:outlineLvl w:val="5"/>
        <w:rPr>
          <w:sz w:val="2"/>
        </w:rPr>
      </w:pPr>
    </w:p>
    <w:p w:rsidR="00BE1EFE" w:rsidRDefault="00BE1EFE">
      <w:pPr>
        <w:pStyle w:val="StandardWeb"/>
      </w:pPr>
      <w:r>
        <w:t>(1) Die Schlichtungsstelle führt die Bezeichnung</w:t>
      </w:r>
    </w:p>
    <w:p w:rsidR="00BE1EFE" w:rsidRPr="000B1AF8" w:rsidRDefault="00BE1EFE">
      <w:pPr>
        <w:pStyle w:val="StandardWeb"/>
      </w:pPr>
      <w:r>
        <w:t>„Schlichtungsstelle für die (Erz-)Diözese ...“</w:t>
      </w:r>
    </w:p>
    <w:p w:rsidR="00BE1EFE" w:rsidRPr="000B1AF8" w:rsidRDefault="00BE1EFE">
      <w:pPr>
        <w:pStyle w:val="StandardWeb"/>
      </w:pPr>
    </w:p>
    <w:p w:rsidR="00BE1EFE" w:rsidRDefault="00BE1EFE">
      <w:pPr>
        <w:pStyle w:val="StandardWeb"/>
      </w:pPr>
      <w:r>
        <w:t>(2) Sie hat ihren Sitz beim (Erz-)Bischöflichen Ordinariat ...</w:t>
      </w:r>
    </w:p>
    <w:p w:rsidR="00BE1EFE" w:rsidRDefault="00BE1EFE">
      <w:pPr>
        <w:pStyle w:val="StandardWeb"/>
      </w:pPr>
    </w:p>
    <w:p w:rsidR="00BE1EFE" w:rsidRDefault="00BE1EFE">
      <w:pPr>
        <w:pStyle w:val="StandardWeb"/>
      </w:pPr>
      <w:r>
        <w:t>(3) Ihre Geschäftsstelle ist in ...</w:t>
      </w:r>
    </w:p>
    <w:p w:rsidR="00BE1EFE" w:rsidRDefault="00BE1EFE">
      <w:pPr>
        <w:pStyle w:val="berschrift6"/>
      </w:pPr>
      <w:bookmarkStart w:id="1199" w:name="_Toc523926715"/>
      <w:r>
        <w:t>§ 2 Zuständigkeit</w:t>
      </w:r>
      <w:bookmarkEnd w:id="119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Schlichtungsstelle ist zuständig im Bereich kirchlicher Einrichtungen in der (Erz-)Di</w:t>
      </w:r>
      <w:r w:rsidR="00D22E61">
        <w:softHyphen/>
      </w:r>
      <w:r>
        <w:t>özese und im Bereich überdiözesaner Einrichtungen, die ihren Sitz im Gebiet der (Erz-)Diöze</w:t>
      </w:r>
      <w:r w:rsidR="00D65D81">
        <w:softHyphen/>
      </w:r>
      <w:r>
        <w:t>se haben, für die Beilegung von Streitigkeiten zwischen kirchlichen Mitarbeitern und ihren Dienstgebern aus dem Arbeitsverhältnis, soweit diese dem Regelungsbereich der Bayer. Regional-KODA unterfallen.</w:t>
      </w:r>
    </w:p>
    <w:p w:rsidR="00BE1EFE" w:rsidRPr="00C14C5F" w:rsidRDefault="00BE1EFE">
      <w:pPr>
        <w:pStyle w:val="StandardWeb"/>
        <w:rPr>
          <w:sz w:val="14"/>
          <w:szCs w:val="14"/>
        </w:rPr>
      </w:pPr>
    </w:p>
    <w:p w:rsidR="00BE1EFE" w:rsidRDefault="00BE1EFE">
      <w:pPr>
        <w:pStyle w:val="StandardWeb"/>
      </w:pPr>
      <w:r>
        <w:t>(2) Die Schlichtungsstelle ist nicht zuständig bei Streitigkeiten im Zusammenhang mit der bischöflichen Sendung für pastorale Dienste oder religiöse Unterweisung.</w:t>
      </w:r>
    </w:p>
    <w:p w:rsidR="00BE1EFE" w:rsidRDefault="00BE1EFE">
      <w:pPr>
        <w:pStyle w:val="berschrift6"/>
      </w:pPr>
      <w:bookmarkStart w:id="1200" w:name="_Toc523926716"/>
      <w:r>
        <w:t>§ 3 Mitglieder</w:t>
      </w:r>
      <w:bookmarkEnd w:id="1200"/>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Die Schlichtungsstelle setzt sich aus einem Vorsitzenden und vier Beisitzern zusammen, die ehrenamtlich tätig werden. </w:t>
      </w:r>
      <w:r>
        <w:rPr>
          <w:rStyle w:val="kleinschrift"/>
        </w:rPr>
        <w:t>2</w:t>
      </w:r>
      <w:r>
        <w:t>Ist der Vorsitzende verhindert, tritt an seine Stelle der stellvertretende Vorsitzende.</w:t>
      </w:r>
    </w:p>
    <w:p w:rsidR="00BE1EFE" w:rsidRPr="000B1AF8" w:rsidRDefault="00BE1EFE">
      <w:pPr>
        <w:pStyle w:val="StandardWeb"/>
      </w:pPr>
      <w:r>
        <w:rPr>
          <w:rStyle w:val="kleinschrift"/>
        </w:rPr>
        <w:t>3</w:t>
      </w:r>
      <w:r>
        <w:t>Die bestellten Beisitzer werden im Verhinderungsfall von den stellvertretenden Beisitzern in der Reihenfolge ihrer Bestellung vertreten.</w:t>
      </w:r>
    </w:p>
    <w:p w:rsidR="00BE1EFE" w:rsidRPr="00C14C5F" w:rsidRDefault="00BE1EFE">
      <w:pPr>
        <w:pStyle w:val="StandardWeb"/>
        <w:rPr>
          <w:sz w:val="14"/>
          <w:szCs w:val="14"/>
        </w:rPr>
      </w:pPr>
    </w:p>
    <w:p w:rsidR="00BE1EFE" w:rsidRDefault="00BE1EFE">
      <w:pPr>
        <w:pStyle w:val="StandardWeb"/>
      </w:pPr>
      <w:r>
        <w:t>(2) </w:t>
      </w:r>
      <w:r>
        <w:rPr>
          <w:rStyle w:val="kleinschrift"/>
        </w:rPr>
        <w:t>1</w:t>
      </w:r>
      <w:r>
        <w:t xml:space="preserve">Der Vorsitzende und der stellvertretende Vorsitzende müssen der katholischen Kirche angehören und dürfen in der Ausübung ihrer allgemeinen Gliedschaftsrechte nicht gehindert sein. </w:t>
      </w:r>
      <w:r>
        <w:rPr>
          <w:rStyle w:val="kleinschrift"/>
        </w:rPr>
        <w:t>2</w:t>
      </w:r>
      <w:r>
        <w:t xml:space="preserve">Sie müssen die Befähigung zum Richteramt haben und dürfen weder im kirchlichen Dienst stehen, noch Mitglied eines kirchlichen Organs sein, das zur gesetzlichen Vertretung berufen ist. </w:t>
      </w:r>
    </w:p>
    <w:p w:rsidR="00BE1EFE" w:rsidRDefault="00BE1EFE">
      <w:pPr>
        <w:pStyle w:val="StandardWeb"/>
      </w:pPr>
      <w:r>
        <w:rPr>
          <w:rStyle w:val="kleinschrift"/>
        </w:rPr>
        <w:lastRenderedPageBreak/>
        <w:t>3</w:t>
      </w:r>
      <w:r>
        <w:t xml:space="preserve">Die Beisitzer und ihre Stellvertreter müssen der katholischen Kirche angehören und dürfen in der Ausübung ihrer allgemeinen Gliedschaftsrechte nicht gehindert sein. </w:t>
      </w:r>
      <w:r>
        <w:rPr>
          <w:rStyle w:val="kleinschrift"/>
        </w:rPr>
        <w:t>4</w:t>
      </w:r>
      <w:r>
        <w:t>Sie müssen im kirchlichen Dienst in der Diözese stehen.</w:t>
      </w:r>
    </w:p>
    <w:p w:rsidR="00BE1EFE" w:rsidRPr="00C14C5F" w:rsidRDefault="00BE1EFE">
      <w:pPr>
        <w:pStyle w:val="StandardWeb"/>
        <w:rPr>
          <w:sz w:val="14"/>
          <w:szCs w:val="14"/>
        </w:rPr>
      </w:pPr>
    </w:p>
    <w:p w:rsidR="00BE1EFE" w:rsidRDefault="00BE1EFE">
      <w:pPr>
        <w:pStyle w:val="StandardWeb"/>
      </w:pPr>
      <w:r>
        <w:t>(3) </w:t>
      </w:r>
      <w:r>
        <w:rPr>
          <w:rStyle w:val="kleinschrift"/>
        </w:rPr>
        <w:t>1</w:t>
      </w:r>
      <w:r>
        <w:t xml:space="preserve">Zwei Beisitzer und deren Stellvertreter werden vom Generalvikar bestellt. </w:t>
      </w:r>
      <w:r>
        <w:rPr>
          <w:rStyle w:val="kleinschrift"/>
        </w:rPr>
        <w:t>2</w:t>
      </w:r>
      <w:r>
        <w:t xml:space="preserve">Die weiteren Beisitzer und deren Stellvertreter bestellt der Vorstand der Diözesanen Arbeitsgemeinschaft (DiAG) Abteilung A. </w:t>
      </w:r>
      <w:r>
        <w:rPr>
          <w:rStyle w:val="kleinschrift"/>
        </w:rPr>
        <w:t>3</w:t>
      </w:r>
      <w:r>
        <w:t>Besteht keine DiAG, so wählt die beim (Erz-)Bischöflichen Ordinariat bestehende Mitarbeitervertretung (MAV) die Beisitzer und deren Stellvertreter.</w:t>
      </w:r>
    </w:p>
    <w:p w:rsidR="00BE1EFE" w:rsidRPr="00C14C5F" w:rsidRDefault="00BE1EFE">
      <w:pPr>
        <w:pStyle w:val="StandardWeb"/>
        <w:rPr>
          <w:sz w:val="14"/>
          <w:szCs w:val="14"/>
        </w:rPr>
      </w:pPr>
    </w:p>
    <w:p w:rsidR="00BE1EFE" w:rsidRDefault="00BE1EFE">
      <w:pPr>
        <w:pStyle w:val="StandardWeb"/>
      </w:pPr>
      <w:r>
        <w:t>(4) </w:t>
      </w:r>
      <w:r>
        <w:rPr>
          <w:rStyle w:val="kleinschrift"/>
        </w:rPr>
        <w:t>1</w:t>
      </w:r>
      <w:r>
        <w:t>Der Vorsitzende und der stellvertretende Vorsitzende werden aufgrund eines gemein</w:t>
      </w:r>
      <w:r>
        <w:softHyphen/>
        <w:t xml:space="preserve">samen Vorschlags der Beisitzer vom Diözesanbischof ernannt. </w:t>
      </w:r>
      <w:r>
        <w:rPr>
          <w:rStyle w:val="kleinschrift"/>
        </w:rPr>
        <w:t>2</w:t>
      </w:r>
      <w:r>
        <w:t>Kommt ein gemeinsamer Vorschlag innerhalb einer vom Diözesanbischof gesetzten Frist nicht zustande, ernennt der Diözesanbischof den Vorsitzenden und den stellvertretenden Vorsitzenden nach vorheriger Anhörung des Vorstandes der DiAG A bzw. der MAV beim (Erz-)Bischöflichen Ordinariat.</w:t>
      </w:r>
    </w:p>
    <w:p w:rsidR="00BE1EFE" w:rsidRDefault="00BE1EFE">
      <w:pPr>
        <w:pStyle w:val="berschrift6"/>
      </w:pPr>
      <w:bookmarkStart w:id="1201" w:name="_Toc523926717"/>
      <w:r>
        <w:t>§ 4 Unabhängigkeit, Schweigepflicht</w:t>
      </w:r>
      <w:bookmarkEnd w:id="120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Mitglieder der Schlichtungsstelle sind unabhängig. </w:t>
      </w:r>
      <w:r>
        <w:rPr>
          <w:rStyle w:val="kleinschrift"/>
        </w:rPr>
        <w:t>2</w:t>
      </w:r>
      <w:r>
        <w:t>Sie sind nur an Recht, Gesetz und ihr Gewissen gebunden.</w:t>
      </w:r>
    </w:p>
    <w:p w:rsidR="00BE1EFE" w:rsidRPr="00C14C5F" w:rsidRDefault="00BE1EFE">
      <w:pPr>
        <w:pStyle w:val="StandardWeb"/>
        <w:rPr>
          <w:sz w:val="14"/>
          <w:szCs w:val="14"/>
        </w:rPr>
      </w:pPr>
    </w:p>
    <w:p w:rsidR="00BE1EFE" w:rsidRDefault="00BE1EFE">
      <w:pPr>
        <w:pStyle w:val="StandardWeb"/>
      </w:pPr>
      <w:r>
        <w:t>(2) Sie unterliegen der Schweigepflicht; dies gilt auch für die Zeit nach ihrem Ausscheiden aus dem Amt.</w:t>
      </w:r>
    </w:p>
    <w:p w:rsidR="00BE1EFE" w:rsidRPr="00C14C5F" w:rsidRDefault="00BE1EFE">
      <w:pPr>
        <w:pStyle w:val="StandardWeb"/>
        <w:rPr>
          <w:sz w:val="14"/>
          <w:szCs w:val="14"/>
        </w:rPr>
      </w:pPr>
    </w:p>
    <w:p w:rsidR="00BE1EFE" w:rsidRDefault="00BE1EFE">
      <w:pPr>
        <w:pStyle w:val="StandardWeb"/>
      </w:pPr>
      <w:r>
        <w:t>(3) Der Vorsitzende belehrt die Mitglieder der Schlichtungsstelle über die Rechtsstellung nach Abs. 1 und über die Pflicht nach Abs. 2.</w:t>
      </w:r>
    </w:p>
    <w:p w:rsidR="00BE1EFE" w:rsidRDefault="00BE1EFE" w:rsidP="00C51D24">
      <w:pPr>
        <w:pStyle w:val="Leerzeile"/>
      </w:pPr>
    </w:p>
    <w:p w:rsidR="00BE1EFE" w:rsidRDefault="00BE1EFE">
      <w:pPr>
        <w:pStyle w:val="berschrift6"/>
      </w:pPr>
      <w:bookmarkStart w:id="1202" w:name="_Toc523926718"/>
      <w:r>
        <w:t>§ 5 Amtszeit</w:t>
      </w:r>
      <w:bookmarkEnd w:id="120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Amtszeit der Mitglieder der Schlichtungsstelle beträgt vier Jahre. </w:t>
      </w:r>
      <w:r>
        <w:rPr>
          <w:rStyle w:val="kleinschrift"/>
        </w:rPr>
        <w:t>2</w:t>
      </w:r>
      <w:r>
        <w:t xml:space="preserve">Sie beginnt mit der Ernennung des Vorsitzenden und des stellvertretenden Vorsitzenden durch den Diözesanbischof. </w:t>
      </w:r>
      <w:r>
        <w:rPr>
          <w:rStyle w:val="kleinschrift"/>
        </w:rPr>
        <w:t>3</w:t>
      </w:r>
      <w:r>
        <w:t>Die Mitglieder der Schlichtungsstelle bleiben nach Ablauf der Amtszeit bis zur Bestellung bzw. Ernennung eines Nachfolgers im Amt.</w:t>
      </w:r>
    </w:p>
    <w:p w:rsidR="00BE1EFE" w:rsidRDefault="00BE1EFE">
      <w:pPr>
        <w:pStyle w:val="berschrift6"/>
      </w:pPr>
      <w:bookmarkStart w:id="1203" w:name="_Toc523926719"/>
      <w:r>
        <w:t>§ 5a Abhängigkeit, Befangenheit, Ablehnung</w:t>
      </w:r>
      <w:bookmarkEnd w:id="120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Hinsichtlich eines Ausschlusses oder eine Ablehnung von Mitgliedern der Schlichtungs</w:t>
      </w:r>
      <w:r>
        <w:softHyphen/>
        <w:t xml:space="preserve">stelle gelten die </w:t>
      </w:r>
      <w:hyperlink r:id="rId1839" w:tgtFrame="_blank" w:history="1">
        <w:r>
          <w:rPr>
            <w:rStyle w:val="Hyperlink"/>
          </w:rPr>
          <w:t>§§ 41 bis 44 ZPO</w:t>
        </w:r>
      </w:hyperlink>
      <w:r>
        <w:t xml:space="preserve"> entsprechend.</w:t>
      </w:r>
    </w:p>
    <w:p w:rsidR="00BE1EFE" w:rsidRPr="000B1AF8" w:rsidRDefault="00BE1EFE">
      <w:pPr>
        <w:pStyle w:val="StandardWeb"/>
      </w:pPr>
    </w:p>
    <w:p w:rsidR="00BE1EFE" w:rsidRDefault="00BE1EFE">
      <w:pPr>
        <w:pStyle w:val="StandardWeb"/>
      </w:pPr>
      <w:r>
        <w:t>(2) Als Vorsitzender ist ferner ausgeschlossen, wer eine der Parteien vor Beginn des Verfahrens im Zusammenhang mit dem Streitgegenstand berät oder vertreten hat oder zu einer der beiden Parteien in einem direkten oder indirekten Abhängigkeitsverhältnis steht.</w:t>
      </w:r>
    </w:p>
    <w:p w:rsidR="00BE1EFE" w:rsidRDefault="00BE1EFE">
      <w:pPr>
        <w:pStyle w:val="StandardWeb"/>
      </w:pPr>
    </w:p>
    <w:p w:rsidR="00BE1EFE" w:rsidRDefault="00BE1EFE">
      <w:pPr>
        <w:pStyle w:val="StandardWeb"/>
      </w:pPr>
      <w:r>
        <w:t>(3) </w:t>
      </w:r>
      <w:r>
        <w:rPr>
          <w:rStyle w:val="kleinschrift"/>
        </w:rPr>
        <w:t>1</w:t>
      </w:r>
      <w:r>
        <w:t xml:space="preserve">Über den Ausschluss bzw. die Ablehnung nach Abs. 1 und den Ausschluss nach Abs. 2 befindet die Schlichtungsstelle nach Anhörung des Betroffenen ohne seine Beteiligung. </w:t>
      </w:r>
      <w:r>
        <w:rPr>
          <w:rStyle w:val="kleinschrift"/>
        </w:rPr>
        <w:t>2</w:t>
      </w:r>
      <w:r>
        <w:t>Ist der Vorsitzende der Schlichtungsstelle oder sein Stellvertreter Betroffener, so befindet die Schlichtungsstelle unter Vorsitz des jeweils nicht betroffenen Vorsitzenden endgültig.</w:t>
      </w:r>
    </w:p>
    <w:p w:rsidR="00BE1EFE" w:rsidRDefault="00BE1EFE">
      <w:pPr>
        <w:pStyle w:val="StandardWeb"/>
      </w:pPr>
    </w:p>
    <w:p w:rsidR="00BE1EFE" w:rsidRDefault="00BE1EFE">
      <w:pPr>
        <w:pStyle w:val="berschrift6"/>
      </w:pPr>
      <w:bookmarkStart w:id="1204" w:name="_Toc523926720"/>
      <w:r>
        <w:lastRenderedPageBreak/>
        <w:t>§ 6 Vorzeitige Beendigung, Ausscheiden, Abberufung</w:t>
      </w:r>
      <w:bookmarkEnd w:id="120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Ein Mitglied kann jederzeit aus wichtigem Grund durch schriftliche Erklärung sein Amt niederlegen.</w:t>
      </w:r>
    </w:p>
    <w:p w:rsidR="00BE1EFE" w:rsidRPr="000B1AF8" w:rsidRDefault="00BE1EFE">
      <w:pPr>
        <w:pStyle w:val="StandardWeb"/>
      </w:pPr>
    </w:p>
    <w:p w:rsidR="00BE1EFE" w:rsidRDefault="00BE1EFE">
      <w:pPr>
        <w:pStyle w:val="StandardWeb"/>
      </w:pPr>
      <w:r>
        <w:t>(2) Das Amt eines Mitglieds endet</w:t>
      </w:r>
    </w:p>
    <w:p w:rsidR="00BE1EFE" w:rsidRDefault="00BE1EFE">
      <w:pPr>
        <w:pStyle w:val="StandardWeb"/>
      </w:pPr>
      <w:r>
        <w:t>1. wenn eine Voraussetzung für seine Berufung fehlt oder wegfällt,</w:t>
      </w:r>
    </w:p>
    <w:p w:rsidR="00BE1EFE" w:rsidRDefault="00BE1EFE">
      <w:pPr>
        <w:pStyle w:val="StandardWeb"/>
      </w:pPr>
      <w:r>
        <w:t>2. wenn Gründe vorliegen, die bei einem Arbeitnehmer zur Kündigung eines Arbeitsverhältnisses aus wichtigem Grund berechtigen,</w:t>
      </w:r>
    </w:p>
    <w:p w:rsidR="00BE1EFE" w:rsidRDefault="00BE1EFE">
      <w:pPr>
        <w:pStyle w:val="StandardWeb"/>
      </w:pPr>
      <w:r>
        <w:t>3. im Falle des Verlustes der Geschäftsfähigkeit,</w:t>
      </w:r>
    </w:p>
    <w:p w:rsidR="00BE1EFE" w:rsidRDefault="00BE1EFE">
      <w:pPr>
        <w:pStyle w:val="StandardWeb"/>
      </w:pPr>
      <w:r>
        <w:t>4. bei fortgesetzter Verletzung seiner Pflichten nach dieser Ordnung.</w:t>
      </w:r>
    </w:p>
    <w:p w:rsidR="00BE1EFE" w:rsidRDefault="00BE1EFE">
      <w:pPr>
        <w:pStyle w:val="StandardWeb"/>
      </w:pPr>
    </w:p>
    <w:p w:rsidR="00BE1EFE" w:rsidRDefault="00BE1EFE">
      <w:pPr>
        <w:pStyle w:val="StandardWeb"/>
      </w:pPr>
      <w:r>
        <w:t xml:space="preserve">(3) Hinsichtlich der Beendigung ist </w:t>
      </w:r>
      <w:hyperlink r:id="rId1840" w:history="1">
        <w:r w:rsidRPr="002D1F1D">
          <w:rPr>
            <w:rStyle w:val="Hyperlink"/>
          </w:rPr>
          <w:t>§ 5 a Abs. 3</w:t>
        </w:r>
      </w:hyperlink>
      <w:r>
        <w:t xml:space="preserve"> entsprechend anzuwenden.</w:t>
      </w:r>
    </w:p>
    <w:p w:rsidR="00BE1EFE" w:rsidRDefault="00BE1EFE">
      <w:pPr>
        <w:pStyle w:val="StandardWeb"/>
      </w:pPr>
    </w:p>
    <w:p w:rsidR="00BE1EFE" w:rsidRDefault="00BE1EFE">
      <w:pPr>
        <w:pStyle w:val="berschrift5"/>
      </w:pPr>
      <w:bookmarkStart w:id="1205" w:name="_Toc523926721"/>
      <w:r>
        <w:t>II. Das Schlichtungsverfahren</w:t>
      </w:r>
      <w:bookmarkEnd w:id="1205"/>
    </w:p>
    <w:p w:rsidR="00BE1EFE" w:rsidRDefault="00BE1EFE">
      <w:pPr>
        <w:pStyle w:val="berschrift6"/>
      </w:pPr>
      <w:bookmarkStart w:id="1206" w:name="_Toc523926722"/>
      <w:r>
        <w:t>§ 7 Beteiligte</w:t>
      </w:r>
      <w:bookmarkEnd w:id="1206"/>
    </w:p>
    <w:p w:rsidR="00BE1EFE" w:rsidRPr="00B76821" w:rsidRDefault="00BE1EFE" w:rsidP="00B76821">
      <w:pPr>
        <w:pStyle w:val="h7"/>
        <w:keepNext w:val="0"/>
        <w:spacing w:before="0" w:after="0"/>
        <w:jc w:val="left"/>
        <w:outlineLvl w:val="5"/>
        <w:rPr>
          <w:sz w:val="2"/>
        </w:rPr>
      </w:pPr>
    </w:p>
    <w:p w:rsidR="00BE1EFE" w:rsidRDefault="00BE1EFE">
      <w:pPr>
        <w:pStyle w:val="StandardWeb"/>
      </w:pPr>
      <w:r>
        <w:t>(1) Beteiligte am Verfahren sind</w:t>
      </w:r>
    </w:p>
    <w:p w:rsidR="00BE1EFE" w:rsidRDefault="00BE1EFE">
      <w:pPr>
        <w:pStyle w:val="StandardWeb"/>
      </w:pPr>
      <w:r>
        <w:t>1. Antragsteller</w:t>
      </w:r>
    </w:p>
    <w:p w:rsidR="00BE1EFE" w:rsidRPr="000B1AF8" w:rsidRDefault="00BE1EFE">
      <w:pPr>
        <w:pStyle w:val="StandardWeb"/>
      </w:pPr>
      <w:r>
        <w:t>2. Antragsgegner.</w:t>
      </w:r>
    </w:p>
    <w:p w:rsidR="00BE1EFE" w:rsidRPr="000B1AF8" w:rsidRDefault="00BE1EFE">
      <w:pPr>
        <w:pStyle w:val="StandardWeb"/>
      </w:pPr>
    </w:p>
    <w:p w:rsidR="00BE1EFE" w:rsidRDefault="00BE1EFE">
      <w:pPr>
        <w:pStyle w:val="StandardWeb"/>
      </w:pPr>
      <w:r>
        <w:t>(2) Der Vorsitzende der Schlichtungsstelle hat von Amts wegen in Fällen, in denen eine stiftungsaufsichtliche Genehmigung für den Arbeitsvertrag erforderlich ist, die Bestimmungen der Kirchenstiftungsordnung zu beachten.</w:t>
      </w:r>
    </w:p>
    <w:p w:rsidR="00BE1EFE" w:rsidRDefault="00BE1EFE">
      <w:pPr>
        <w:pStyle w:val="StandardWeb"/>
      </w:pPr>
    </w:p>
    <w:p w:rsidR="00BE1EFE" w:rsidRDefault="00BE1EFE">
      <w:pPr>
        <w:pStyle w:val="berschrift6"/>
      </w:pPr>
      <w:bookmarkStart w:id="1207" w:name="_Toc523926723"/>
      <w:r>
        <w:t>§ 7a Zulassung von Bevollmächtigten</w:t>
      </w:r>
      <w:bookmarkEnd w:id="120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Beteiligten können das Schlichtungsverfahren selbst oder durch einen Bevollmächtigten nach einer freien Wahl führen.</w:t>
      </w:r>
    </w:p>
    <w:p w:rsidR="00BE1EFE" w:rsidRPr="000B1AF8" w:rsidRDefault="00BE1EFE">
      <w:pPr>
        <w:pStyle w:val="StandardWeb"/>
      </w:pPr>
    </w:p>
    <w:p w:rsidR="00BE1EFE" w:rsidRDefault="00BE1EFE">
      <w:pPr>
        <w:pStyle w:val="berschrift6"/>
      </w:pPr>
      <w:bookmarkStart w:id="1208" w:name="_Toc523926724"/>
      <w:r>
        <w:t>§ 7b Kostenhilfe</w:t>
      </w:r>
      <w:bookmarkEnd w:id="120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Beteiligte, die das Schlichtungsverfahren durch einen Bevollmächtigten führen, erhalten auf Antrag Kostenhilfe, wenn die Hinzuziehung notwendig oder zweckmäßig ist und der Antrag auf Schlichtung hinreichend Aussicht auf Erfolg bietet. </w:t>
      </w:r>
      <w:r>
        <w:rPr>
          <w:rStyle w:val="kleinschrift"/>
        </w:rPr>
        <w:t>2</w:t>
      </w:r>
      <w:r>
        <w:t xml:space="preserve">Der Antrag ist bei der Schlichtungsstelle zu stellen. </w:t>
      </w:r>
      <w:r>
        <w:rPr>
          <w:rStyle w:val="kleinschrift"/>
        </w:rPr>
        <w:t>3</w:t>
      </w:r>
      <w:r>
        <w:t>Der Vorsitzende entscheidet über die Bewilligung nach vorheriger Anhörung der Beteiligten.</w:t>
      </w:r>
    </w:p>
    <w:p w:rsidR="00BE1EFE" w:rsidRDefault="00BE1EFE">
      <w:pPr>
        <w:pStyle w:val="berschrift6"/>
      </w:pPr>
      <w:bookmarkStart w:id="1209" w:name="_Toc523926725"/>
      <w:r>
        <w:t>§ 8 Antragsgrundsatz</w:t>
      </w:r>
      <w:bookmarkEnd w:id="12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Schlichtungsstelle wird nur auf Antrag tätig. </w:t>
      </w:r>
      <w:r>
        <w:rPr>
          <w:rStyle w:val="kleinschrift"/>
        </w:rPr>
        <w:t>2</w:t>
      </w:r>
      <w:r>
        <w:t xml:space="preserve">Anträge sind schriftlich über die Geschäftsstelle an den Vorsitzenden der Schlichtungsstelle zu richten. </w:t>
      </w:r>
      <w:r>
        <w:rPr>
          <w:rStyle w:val="kleinschrift"/>
        </w:rPr>
        <w:t>3</w:t>
      </w:r>
      <w:r>
        <w:t>Dieser hat ggf. auf eine sachdienliche Ergänzung des Antrags hinzuwirken.</w:t>
      </w:r>
    </w:p>
    <w:p w:rsidR="00BE1EFE" w:rsidRPr="000B1AF8" w:rsidRDefault="00BE1EFE">
      <w:pPr>
        <w:pStyle w:val="StandardWeb"/>
      </w:pPr>
    </w:p>
    <w:p w:rsidR="00BE1EFE" w:rsidRDefault="00BE1EFE">
      <w:pPr>
        <w:pStyle w:val="StandardWeb"/>
      </w:pPr>
      <w:r>
        <w:lastRenderedPageBreak/>
        <w:t>(2) Ein Antrag auf Schlichtung kann nur gestellt werden, wenn das Antragsbegehren zuvor schriftlich gegenüber dem Dienstgeber gestellt und von diesem innerhalb von vier Wochen schriftlich abgelehnt worden ist.</w:t>
      </w:r>
    </w:p>
    <w:p w:rsidR="00BE1EFE" w:rsidRDefault="00BE1EFE">
      <w:pPr>
        <w:pStyle w:val="StandardWeb"/>
      </w:pPr>
    </w:p>
    <w:p w:rsidR="00BE1EFE" w:rsidRDefault="00BE1EFE">
      <w:pPr>
        <w:pStyle w:val="StandardWeb"/>
      </w:pPr>
      <w:r>
        <w:t>(3) Liegt innerhalb von vier Wochen keine schriftliche Antwort des Dienstgebers vor, wird eine negative Antwort vermutet.</w:t>
      </w:r>
    </w:p>
    <w:p w:rsidR="00BE1EFE" w:rsidRDefault="00BE1EFE">
      <w:pPr>
        <w:pStyle w:val="berschrift6"/>
      </w:pPr>
      <w:bookmarkStart w:id="1210" w:name="_Toc523926726"/>
      <w:r>
        <w:t>§ 9 Antragsinhalt</w:t>
      </w:r>
      <w:bookmarkEnd w:id="12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Antrag muss den Antragsteller, den Antragsgegner, die sonstigen Beteiligten und den Streitgegenstand bezeichnen und soll ein bestimmtes Antragsbegehren enthalten. </w:t>
      </w:r>
      <w:r>
        <w:rPr>
          <w:rStyle w:val="kleinschrift"/>
        </w:rPr>
        <w:t>2</w:t>
      </w:r>
      <w:r>
        <w:t>Zur Begründung dienende Tatsachen und Beweismittel (</w:t>
      </w:r>
      <w:hyperlink r:id="rId1841" w:history="1">
        <w:r>
          <w:rPr>
            <w:rStyle w:val="Hyperlink"/>
          </w:rPr>
          <w:t>§ 16 Abs. </w:t>
        </w:r>
        <w:r w:rsidRPr="002D1F1D">
          <w:rPr>
            <w:rStyle w:val="Hyperlink"/>
          </w:rPr>
          <w:t>1</w:t>
        </w:r>
      </w:hyperlink>
      <w:r>
        <w:t>) sollen angegeben, wesent</w:t>
      </w:r>
      <w:r>
        <w:softHyphen/>
        <w:t>liche Schriftstücke beigefügt werden.</w:t>
      </w:r>
    </w:p>
    <w:p w:rsidR="00BE1EFE" w:rsidRPr="000B1AF8" w:rsidRDefault="00BE1EFE">
      <w:pPr>
        <w:pStyle w:val="StandardWeb"/>
      </w:pPr>
    </w:p>
    <w:p w:rsidR="00BE1EFE" w:rsidRDefault="00BE1EFE">
      <w:pPr>
        <w:pStyle w:val="StandardWeb"/>
      </w:pPr>
      <w:r>
        <w:t>(2) </w:t>
      </w:r>
      <w:r>
        <w:rPr>
          <w:rStyle w:val="kleinschrift"/>
        </w:rPr>
        <w:t>1</w:t>
      </w:r>
      <w:r>
        <w:t xml:space="preserve">Entspricht der Antrag diesen Anforderungen nicht, so hat der Vorsitzende den Antragsteller zu der erforderlichen Ergänzung innerhalb einer Vier-Wochen-Frist aufzufordern. </w:t>
      </w:r>
      <w:r>
        <w:rPr>
          <w:rStyle w:val="kleinschrift"/>
        </w:rPr>
        <w:t>2</w:t>
      </w:r>
      <w:r>
        <w:t>Sachdienliche Ergänzungen und Änderungen können nur bis zur Entscheidung vorgebracht werden.</w:t>
      </w:r>
    </w:p>
    <w:p w:rsidR="00BE1EFE" w:rsidRDefault="00BE1EFE">
      <w:pPr>
        <w:pStyle w:val="berschrift6"/>
      </w:pPr>
      <w:bookmarkStart w:id="1211" w:name="_Toc523926727"/>
      <w:r>
        <w:t>§ 10 Zurücknahme, Änderung des Antrags</w:t>
      </w:r>
      <w:bookmarkEnd w:id="121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Antragsteller kann seinen Antrag jederzeit zurücknehmen. </w:t>
      </w:r>
      <w:r>
        <w:rPr>
          <w:rStyle w:val="kleinschrift"/>
        </w:rPr>
        <w:t>2</w:t>
      </w:r>
      <w:r>
        <w:t>Dies erfolgt durch schriftliche Erklärung gegenüber dem Vorsitzenden der Schlichtungsstelle.</w:t>
      </w:r>
    </w:p>
    <w:p w:rsidR="00BE1EFE" w:rsidRPr="000B1AF8" w:rsidRDefault="00BE1EFE">
      <w:pPr>
        <w:pStyle w:val="StandardWeb"/>
      </w:pPr>
    </w:p>
    <w:p w:rsidR="00BE1EFE" w:rsidRDefault="00BE1EFE" w:rsidP="00A04890">
      <w:pPr>
        <w:pStyle w:val="StandardWeb"/>
      </w:pPr>
      <w:r>
        <w:t>(2) Eine Änderung des Antrags durch den Antragsteller ist zulässig, wenn der Antragsgegner einwilligt oder die Schlichtungsstelle die Änderung für sachdienlich hält.</w:t>
      </w:r>
    </w:p>
    <w:p w:rsidR="00BE1EFE" w:rsidRDefault="00BE1EFE">
      <w:pPr>
        <w:pStyle w:val="berschrift6"/>
      </w:pPr>
      <w:bookmarkStart w:id="1212" w:name="_Toc523926728"/>
      <w:r>
        <w:t>§ 11 Zurückweisung des Antrags</w:t>
      </w:r>
      <w:bookmarkEnd w:id="121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Erweist sich ein Antrag als unzulässig oder als offensichtlich unbegründet, so kann ihn der Vorsitzende nach interner Beratung mit den übrigen Mitgliedern der Schlichtungsstelle ohne mündliche Verhandlung unter Angabe der Gründe abweisen.</w:t>
      </w:r>
    </w:p>
    <w:p w:rsidR="00BE1EFE" w:rsidRDefault="00BE1EFE">
      <w:pPr>
        <w:pStyle w:val="berschrift6"/>
      </w:pPr>
      <w:bookmarkStart w:id="1213" w:name="_Toc523926729"/>
      <w:r>
        <w:t>§ 12 Befugnisse des Vorsitzenden</w:t>
      </w:r>
      <w:bookmarkEnd w:id="121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Ohne die Beisitzer hinzuzuziehen kann der Vorsitzende solche Maßnahmen treffen, die der zügigen Abwicklung des Verfahrens dienen.</w:t>
      </w:r>
    </w:p>
    <w:p w:rsidR="00BE1EFE" w:rsidRPr="000B1AF8" w:rsidRDefault="00BE1EFE">
      <w:pPr>
        <w:pStyle w:val="StandardWeb"/>
      </w:pPr>
    </w:p>
    <w:p w:rsidR="00BE1EFE" w:rsidRDefault="00BE1EFE">
      <w:pPr>
        <w:pStyle w:val="StandardWeb"/>
      </w:pPr>
      <w:r>
        <w:t>(2) </w:t>
      </w:r>
      <w:r>
        <w:rPr>
          <w:rStyle w:val="kleinschrift"/>
        </w:rPr>
        <w:t>1</w:t>
      </w:r>
      <w:r>
        <w:t xml:space="preserve">Der Vorsitzende kann aus wichtigem Grund in Eilfällen sachdienliche einstweilige Anordnungen treffen. </w:t>
      </w:r>
      <w:r>
        <w:rPr>
          <w:rStyle w:val="kleinschrift"/>
        </w:rPr>
        <w:t>2</w:t>
      </w:r>
      <w:r>
        <w:t>Die einstweilige Anordnung ergeht ohne mündliche Verhandlung.</w:t>
      </w:r>
    </w:p>
    <w:p w:rsidR="00BE1EFE" w:rsidRDefault="00BE1EFE">
      <w:pPr>
        <w:pStyle w:val="StandardWeb"/>
      </w:pPr>
    </w:p>
    <w:p w:rsidR="00BE1EFE" w:rsidRDefault="00BE1EFE">
      <w:pPr>
        <w:pStyle w:val="StandardWeb"/>
      </w:pPr>
      <w:r>
        <w:t>(3) </w:t>
      </w:r>
      <w:r>
        <w:rPr>
          <w:rStyle w:val="kleinschrift"/>
        </w:rPr>
        <w:t>1</w:t>
      </w:r>
      <w:r>
        <w:t xml:space="preserve">Der Vorsitzende verfügt die Zustellung des Antrags an den Antragsgegner. </w:t>
      </w:r>
      <w:r>
        <w:rPr>
          <w:rStyle w:val="kleinschrift"/>
        </w:rPr>
        <w:t>2</w:t>
      </w:r>
      <w:r>
        <w:t>Zugleich ist der Antragsgegner aufzufordern, sich innerhalb einer festzusetzenden Frist schriftlich zu äußern.</w:t>
      </w:r>
    </w:p>
    <w:p w:rsidR="00BE1EFE" w:rsidRDefault="00BE1EFE">
      <w:pPr>
        <w:pStyle w:val="StandardWeb"/>
      </w:pPr>
    </w:p>
    <w:p w:rsidR="00BE1EFE" w:rsidRDefault="00BE1EFE" w:rsidP="00A04890">
      <w:pPr>
        <w:pStyle w:val="StandardWeb"/>
      </w:pPr>
      <w:r>
        <w:t>(4) </w:t>
      </w:r>
      <w:r>
        <w:rPr>
          <w:rStyle w:val="kleinschrift"/>
        </w:rPr>
        <w:t>1</w:t>
      </w:r>
      <w:r>
        <w:t xml:space="preserve">Der Vorsitzende hat das Recht, das persönliche Erscheinen der Beteiligten anzuordnen. </w:t>
      </w:r>
      <w:r>
        <w:rPr>
          <w:rStyle w:val="kleinschrift"/>
        </w:rPr>
        <w:t>2</w:t>
      </w:r>
      <w:r>
        <w:t xml:space="preserve">Diese können sich durch einen Bevollmächtigten vertreten lassen. </w:t>
      </w:r>
      <w:r>
        <w:rPr>
          <w:rStyle w:val="kleinschrift"/>
        </w:rPr>
        <w:t>3</w:t>
      </w:r>
      <w:r>
        <w:t xml:space="preserve">Bei Nichterscheinen des Antragstellers erklärt der Vorsitzende die Schlichtung für gescheitert. </w:t>
      </w:r>
      <w:r>
        <w:rPr>
          <w:rStyle w:val="kleinschrift"/>
        </w:rPr>
        <w:t>4</w:t>
      </w:r>
      <w:r>
        <w:t>Bei Nichterscheinen des Antragsgegners ergeht nach Aktenlage eine Entscheidung (Einigungsempfehlung).</w:t>
      </w:r>
    </w:p>
    <w:p w:rsidR="00BE1EFE" w:rsidRDefault="00BE1EFE">
      <w:pPr>
        <w:pStyle w:val="berschrift6"/>
      </w:pPr>
      <w:bookmarkStart w:id="1214" w:name="_Toc523926730"/>
      <w:r>
        <w:lastRenderedPageBreak/>
        <w:t>§ 13 Verhandlungsvorbereitung, mündliche Verhandlung</w:t>
      </w:r>
      <w:bookmarkEnd w:id="121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Schlichtungsverfahren ist in der Regel in einem umfassend vorbereiteten Termin zur mündlichen Verhandlung zu erledigen.</w:t>
      </w:r>
    </w:p>
    <w:p w:rsidR="00BE1EFE" w:rsidRPr="000B1AF8" w:rsidRDefault="00BE1EFE">
      <w:pPr>
        <w:pStyle w:val="StandardWeb"/>
      </w:pPr>
    </w:p>
    <w:p w:rsidR="00BE1EFE" w:rsidRDefault="00BE1EFE">
      <w:pPr>
        <w:pStyle w:val="StandardWeb"/>
      </w:pPr>
      <w:r>
        <w:t>(2) Der Vorsitzende hat erforderliche vorbereitende Maßnahmen rechtzeitig zu veranlassen.</w:t>
      </w:r>
    </w:p>
    <w:p w:rsidR="00BE1EFE" w:rsidRDefault="00BE1EFE">
      <w:pPr>
        <w:pStyle w:val="StandardWeb"/>
      </w:pPr>
    </w:p>
    <w:p w:rsidR="00BE1EFE" w:rsidRDefault="00BE1EFE">
      <w:pPr>
        <w:pStyle w:val="StandardWeb"/>
      </w:pPr>
      <w:r>
        <w:t>(3) Der Vorsitzende kann den Beteiligten im schriftlichen Verfahren einen Gütevorschlag unterbreiten und hierzu eine Äußerungsfrist festsetzen.</w:t>
      </w:r>
    </w:p>
    <w:p w:rsidR="00BE1EFE" w:rsidRDefault="00BE1EFE">
      <w:pPr>
        <w:pStyle w:val="StandardWeb"/>
      </w:pPr>
    </w:p>
    <w:p w:rsidR="00BE1EFE" w:rsidRDefault="00BE1EFE">
      <w:pPr>
        <w:pStyle w:val="StandardWeb"/>
      </w:pPr>
      <w:r>
        <w:t>(4) Kommt keine Einigung zustande, wird vom Vorsitzenden der Termin zur mündlichen Verhandlung anberaumt.</w:t>
      </w:r>
    </w:p>
    <w:p w:rsidR="00BE1EFE" w:rsidRDefault="00BE1EFE">
      <w:pPr>
        <w:pStyle w:val="berschrift6"/>
      </w:pPr>
      <w:bookmarkStart w:id="1215" w:name="_Toc523926731"/>
      <w:r>
        <w:t>§ 14 Ladung zur mündlichen Verhandlung</w:t>
      </w:r>
      <w:bookmarkEnd w:id="1215"/>
    </w:p>
    <w:p w:rsidR="00BE1EFE" w:rsidRPr="00B76821" w:rsidRDefault="00BE1EFE" w:rsidP="00B76821">
      <w:pPr>
        <w:pStyle w:val="h7"/>
        <w:keepNext w:val="0"/>
        <w:spacing w:before="0" w:after="0"/>
        <w:jc w:val="left"/>
        <w:outlineLvl w:val="5"/>
        <w:rPr>
          <w:rStyle w:val="kleinschrift"/>
          <w:sz w:val="2"/>
        </w:rPr>
      </w:pPr>
    </w:p>
    <w:p w:rsidR="00BE1EFE" w:rsidRDefault="00BE1EFE" w:rsidP="00A04890">
      <w:pPr>
        <w:pStyle w:val="StandardWeb"/>
      </w:pPr>
      <w:r>
        <w:rPr>
          <w:rStyle w:val="kleinschrift"/>
        </w:rPr>
        <w:t>1</w:t>
      </w:r>
      <w:r>
        <w:t xml:space="preserve">Der Vorsitzende bestimmt den Termin zur mündlichen Verhandlung und lädt Antragsteller, Antragsgegner und sonstige Beteiligte mit einer Frist von zwei Wochen. </w:t>
      </w:r>
      <w:r>
        <w:rPr>
          <w:rStyle w:val="kleinschrift"/>
        </w:rPr>
        <w:t>2</w:t>
      </w:r>
      <w:r>
        <w:t>Die Frist kann im Eilfall auf eine Woche verkürzt werden.</w:t>
      </w:r>
    </w:p>
    <w:p w:rsidR="00BE1EFE" w:rsidRDefault="00BE1EFE">
      <w:pPr>
        <w:pStyle w:val="berschrift6"/>
      </w:pPr>
      <w:bookmarkStart w:id="1216" w:name="_Toc523926732"/>
      <w:r>
        <w:t>§ 15 Ablauf der mündlichen Verhandlung</w:t>
      </w:r>
      <w:bookmarkEnd w:id="121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Verhandlungen der Schlichtungsstelle sind nicht öffentlich.</w:t>
      </w:r>
    </w:p>
    <w:p w:rsidR="00BE1EFE" w:rsidRPr="000B1AF8" w:rsidRDefault="00BE1EFE">
      <w:pPr>
        <w:pStyle w:val="StandardWeb"/>
      </w:pPr>
    </w:p>
    <w:p w:rsidR="00BE1EFE" w:rsidRDefault="00BE1EFE">
      <w:pPr>
        <w:pStyle w:val="StandardWeb"/>
      </w:pPr>
      <w:r>
        <w:t>(2) </w:t>
      </w:r>
      <w:r>
        <w:rPr>
          <w:rStyle w:val="kleinschrift"/>
        </w:rPr>
        <w:t>1</w:t>
      </w:r>
      <w:r>
        <w:t xml:space="preserve">Der Vorsitzende leitet die Verhandlung. </w:t>
      </w:r>
      <w:r>
        <w:rPr>
          <w:rStyle w:val="kleinschrift"/>
        </w:rPr>
        <w:t>2</w:t>
      </w:r>
      <w:r>
        <w:t>Der Vorsitzende trägt zu Beginn der Verhand</w:t>
      </w:r>
      <w:r>
        <w:softHyphen/>
        <w:t>lung den wesentlichen Inhalt der Akten vor.</w:t>
      </w:r>
    </w:p>
    <w:p w:rsidR="00BE1EFE" w:rsidRDefault="00BE1EFE">
      <w:pPr>
        <w:pStyle w:val="StandardWeb"/>
      </w:pPr>
    </w:p>
    <w:p w:rsidR="00BE1EFE" w:rsidRDefault="00BE1EFE">
      <w:pPr>
        <w:pStyle w:val="StandardWeb"/>
      </w:pPr>
      <w:r>
        <w:t>(3) Der Vorsitzende hat darauf hinzuwirken, dass unklare Anträge erläutert, sachdienliche Anträge gestellt, ungenügende tatsächliche Angaben ergänzt, ferner alle für die Festlegung und Beurteilung des Sachverhalts wesentlichen Erklärungen abgegeben werden.</w:t>
      </w:r>
    </w:p>
    <w:p w:rsidR="00BE1EFE" w:rsidRDefault="00BE1EFE">
      <w:pPr>
        <w:pStyle w:val="StandardWeb"/>
      </w:pPr>
    </w:p>
    <w:p w:rsidR="00BE1EFE" w:rsidRDefault="00BE1EFE">
      <w:pPr>
        <w:pStyle w:val="StandardWeb"/>
      </w:pPr>
      <w:r>
        <w:t>(4) Die Streitsache ist in tatsächlicher und rechtlicher Hinsicht zu erörtern.</w:t>
      </w:r>
    </w:p>
    <w:p w:rsidR="00BE1EFE" w:rsidRDefault="00BE1EFE">
      <w:pPr>
        <w:pStyle w:val="StandardWeb"/>
      </w:pPr>
    </w:p>
    <w:p w:rsidR="00BE1EFE" w:rsidRDefault="00BE1EFE">
      <w:pPr>
        <w:pStyle w:val="StandardWeb"/>
      </w:pPr>
      <w:r>
        <w:t>(5) Über die mündliche Verhandlung ist von einem damit Beauftragten ein Protokoll zu fertigen, welches den wesentlichen Verhandlungsablauf, die Ergebnisse einer Beweisauf</w:t>
      </w:r>
      <w:r>
        <w:softHyphen/>
        <w:t>nahme und die gestellten Anträge enthält.</w:t>
      </w:r>
    </w:p>
    <w:p w:rsidR="00BE1EFE" w:rsidRDefault="00BE1EFE">
      <w:pPr>
        <w:pStyle w:val="berschrift6"/>
      </w:pPr>
      <w:bookmarkStart w:id="1217" w:name="_Toc523926733"/>
      <w:r>
        <w:t>§ 16 Beweisaufnahme</w:t>
      </w:r>
      <w:bookmarkEnd w:id="121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es erforderlich ist, erhebt die Schlichtungsstelle Beweis durch Augenschein, hört Zeugen, von der Schlichtungsstelle angeforderte Sachverständige sowie die Beteiligten und sieht Urkunden ein.</w:t>
      </w:r>
    </w:p>
    <w:p w:rsidR="00BE1EFE" w:rsidRPr="000B1AF8" w:rsidRDefault="00BE1EFE">
      <w:pPr>
        <w:pStyle w:val="StandardWeb"/>
      </w:pPr>
    </w:p>
    <w:p w:rsidR="00BE1EFE" w:rsidRDefault="00BE1EFE">
      <w:pPr>
        <w:pStyle w:val="StandardWeb"/>
      </w:pPr>
      <w:r>
        <w:t>(2) </w:t>
      </w:r>
      <w:r>
        <w:rPr>
          <w:rStyle w:val="kleinschrift"/>
        </w:rPr>
        <w:t>1</w:t>
      </w:r>
      <w:r>
        <w:t xml:space="preserve">Die Beweisaufnahme hat in der mündlichen Verhandlung zu erfolgen. </w:t>
      </w:r>
      <w:r>
        <w:rPr>
          <w:rStyle w:val="kleinschrift"/>
        </w:rPr>
        <w:t>2</w:t>
      </w:r>
      <w:r>
        <w:t>Auf Anordnung des Vorsitzenden können ausnahmsweise Beweisaufnahmen vor der mündlichen Verhand</w:t>
      </w:r>
      <w:r>
        <w:softHyphen/>
        <w:t xml:space="preserve">lung durchgeführt werden. </w:t>
      </w:r>
      <w:r>
        <w:rPr>
          <w:rStyle w:val="kleinschrift"/>
        </w:rPr>
        <w:t>3</w:t>
      </w:r>
      <w:r>
        <w:t>Antragsteller, Antragsgegner und sonstige Beteiligte sind dazu zu laden.</w:t>
      </w:r>
    </w:p>
    <w:p w:rsidR="00BE1EFE" w:rsidRDefault="00BE1EFE" w:rsidP="00C51D24">
      <w:pPr>
        <w:pStyle w:val="Leerzeile"/>
      </w:pPr>
    </w:p>
    <w:p w:rsidR="00BE1EFE" w:rsidRDefault="00BE1EFE">
      <w:pPr>
        <w:pStyle w:val="berschrift6"/>
      </w:pPr>
      <w:bookmarkStart w:id="1218" w:name="_Toc523926734"/>
      <w:r>
        <w:lastRenderedPageBreak/>
        <w:t>§ 17 Einigungsempfehlung</w:t>
      </w:r>
      <w:bookmarkEnd w:id="121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Schlichtungsstelle hat eine Beilegung des Streitfalles anzustreben und soll deshalb den Parteien unter Würdigung der Sach- und Rechtslage eine begründete Einigungs</w:t>
      </w:r>
      <w:r>
        <w:softHyphen/>
        <w:t xml:space="preserve">empfehlung unterbreiten. </w:t>
      </w:r>
      <w:r>
        <w:rPr>
          <w:rStyle w:val="kleinschrift"/>
        </w:rPr>
        <w:t>2</w:t>
      </w:r>
      <w:r>
        <w:t>Die Einigungsempfehlung wird entweder während der mündlichen Verhandlung oder schriftlich mit einer zu bestimmenden Äußerungsfrist unterbreitet.</w:t>
      </w:r>
    </w:p>
    <w:p w:rsidR="00BE1EFE" w:rsidRPr="000B1AF8" w:rsidRDefault="00BE1EFE">
      <w:pPr>
        <w:pStyle w:val="StandardWeb"/>
      </w:pPr>
    </w:p>
    <w:p w:rsidR="00BE1EFE" w:rsidRDefault="00BE1EFE">
      <w:pPr>
        <w:pStyle w:val="StandardWeb"/>
      </w:pPr>
      <w:r>
        <w:t>(2) Wird die Einigungsempfehlung in der mündlichen Verhandlung unterbreitet, so ist auf Antrag eines Beteiligten eine zu bestimmende Äußerungsfrist zu gewähren.</w:t>
      </w:r>
    </w:p>
    <w:p w:rsidR="00BE1EFE" w:rsidRDefault="00BE1EFE">
      <w:pPr>
        <w:pStyle w:val="berschrift6"/>
      </w:pPr>
      <w:bookmarkStart w:id="1219" w:name="_Toc523926735"/>
      <w:r>
        <w:t>§ 18 Rechtscharakter der Einigungsempfehlung</w:t>
      </w:r>
      <w:bookmarkEnd w:id="121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Wird die Einigungsempfehlung von beiden Parteien angenommen, wird sie durch Unter</w:t>
      </w:r>
      <w:r>
        <w:softHyphen/>
        <w:t>schrift beider Seiten rechtsverbindlich.</w:t>
      </w:r>
    </w:p>
    <w:p w:rsidR="00BE1EFE" w:rsidRPr="000B1AF8" w:rsidRDefault="00BE1EFE">
      <w:pPr>
        <w:pStyle w:val="StandardWeb"/>
      </w:pPr>
    </w:p>
    <w:p w:rsidR="00BE1EFE" w:rsidRDefault="00BE1EFE" w:rsidP="00A04890">
      <w:pPr>
        <w:pStyle w:val="StandardWeb"/>
      </w:pPr>
      <w:r>
        <w:t>(2) Wird die Einigungsempfehlung von einer der beiden Parteien nicht angenommen, erklärt der Vorsitzende die Schlichtung für gescheitert.</w:t>
      </w:r>
    </w:p>
    <w:p w:rsidR="00BE1EFE" w:rsidRDefault="00BE1EFE">
      <w:pPr>
        <w:pStyle w:val="berschrift6"/>
      </w:pPr>
      <w:bookmarkStart w:id="1220" w:name="_Toc523926736"/>
      <w:r>
        <w:t>§ 19 Verfahrenskosten</w:t>
      </w:r>
      <w:bookmarkEnd w:id="12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Verfahrenskosten werden nicht erhoben.</w:t>
      </w:r>
    </w:p>
    <w:p w:rsidR="00BE1EFE" w:rsidRPr="000B1AF8" w:rsidRDefault="00BE1EFE">
      <w:pPr>
        <w:pStyle w:val="StandardWeb"/>
      </w:pPr>
    </w:p>
    <w:p w:rsidR="00BE1EFE" w:rsidRDefault="00BE1EFE">
      <w:pPr>
        <w:pStyle w:val="StandardWeb"/>
      </w:pPr>
      <w:r>
        <w:t>(2) </w:t>
      </w:r>
      <w:r>
        <w:rPr>
          <w:rStyle w:val="kleinschrift"/>
        </w:rPr>
        <w:t>1</w:t>
      </w:r>
      <w:r>
        <w:t>Beteiligten sowie Zeugen und Sachverständigen werden Fahrtkosten nach der diöze</w:t>
      </w:r>
      <w:r>
        <w:softHyphen/>
        <w:t xml:space="preserve">sanen Reisekostenordnung auf Antrag erstattet. </w:t>
      </w:r>
      <w:r>
        <w:rPr>
          <w:rStyle w:val="kleinschrift"/>
        </w:rPr>
        <w:t>2</w:t>
      </w:r>
      <w:r>
        <w:t xml:space="preserve">Zeugen und Sachverständige werden entsprechend den Bestimmungen für das Verfahren vor den staatlichen Arbeitsgerichten entschädigt. </w:t>
      </w:r>
      <w:r>
        <w:rPr>
          <w:rStyle w:val="kleinschrift"/>
        </w:rPr>
        <w:t>3</w:t>
      </w:r>
      <w:r>
        <w:t>Die Kosten hat der am Verfahren beteiligte Dienstgeber zu tragen.</w:t>
      </w:r>
    </w:p>
    <w:p w:rsidR="00BE1EFE" w:rsidRDefault="00BE1EFE">
      <w:pPr>
        <w:pStyle w:val="berschrift6"/>
      </w:pPr>
      <w:bookmarkStart w:id="1221" w:name="_Toc523926737"/>
      <w:r>
        <w:t>§ 20 Kosten der Schlichtungsstelle</w:t>
      </w:r>
      <w:bookmarkEnd w:id="1221"/>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Kosten der Schlichtungsstelle einschließlich einer Aufwandsentschädigung für den Vorsitzenden der Schlichtungsstelle bzw. für dessen Stellvertreter trägt die (Erz-)Diözese. </w:t>
      </w:r>
      <w:r>
        <w:rPr>
          <w:rStyle w:val="kleinschrift"/>
        </w:rPr>
        <w:t>2</w:t>
      </w:r>
      <w:r>
        <w:t>Anfallende Reisekosten werden gemäß der diözesanen Reisekostenordnung auf Antrag erstattet.</w:t>
      </w:r>
    </w:p>
    <w:p w:rsidR="00BE1EFE" w:rsidRDefault="00BE1EFE">
      <w:pPr>
        <w:pStyle w:val="berschrift6"/>
      </w:pPr>
      <w:bookmarkStart w:id="1222" w:name="_Toc523926738"/>
      <w:r>
        <w:t>§ 21 Übergangsregelung</w:t>
      </w:r>
      <w:bookmarkEnd w:id="122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Mitglieder der Schlichtungsstelle bleiben bis zur rechtswirksamen Neuberufung im Amt.</w:t>
      </w:r>
    </w:p>
    <w:p w:rsidR="00BE1EFE" w:rsidRDefault="00BE1EFE">
      <w:pPr>
        <w:pStyle w:val="berschrift6"/>
      </w:pPr>
      <w:bookmarkStart w:id="1223" w:name="_Toc523926739"/>
      <w:r>
        <w:t>§ 22 In-Kraft-Treten</w:t>
      </w:r>
      <w:bookmarkEnd w:id="1223"/>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Diese Ordnung tritt am 01.06.2001 in Kraft. </w:t>
      </w:r>
      <w:r>
        <w:rPr>
          <w:rStyle w:val="kleinschrift"/>
        </w:rPr>
        <w:t>2</w:t>
      </w:r>
      <w:r>
        <w:t>Gleichzeitig tritt die Ordnung für Schlichtungsverfahren für Streitigkeiten aus dem Dienstverhältnis vom (s. Amtsblatt Nr. .../19....) außer Kraft.</w:t>
      </w:r>
    </w:p>
    <w:p w:rsidR="00BE1EFE" w:rsidRDefault="00BE1EFE" w:rsidP="00D450B0">
      <w:pPr>
        <w:pStyle w:val="StandardWeb"/>
      </w:pPr>
      <w:r>
        <w:br w:type="page"/>
      </w:r>
    </w:p>
    <w:p w:rsidR="00BE1EFE" w:rsidRDefault="00BE1EFE" w:rsidP="00A04890">
      <w:pPr>
        <w:pStyle w:val="berschrift4"/>
        <w:spacing w:before="0"/>
      </w:pPr>
      <w:bookmarkStart w:id="1224" w:name="_Toc523926740"/>
      <w:r>
        <w:lastRenderedPageBreak/>
        <w:t>3. Ordnung zur Gewährung von Beihilfen in Krankheits-,</w:t>
      </w:r>
      <w:r>
        <w:br/>
        <w:t>Pflege-, Geburts- un</w:t>
      </w:r>
      <w:r>
        <w:rPr>
          <w:lang w:eastAsia="x-none"/>
        </w:rPr>
        <w:t>d sonstigen F</w:t>
      </w:r>
      <w:r>
        <w:t>ällen: Beihilfeordnung Teil A*</w:t>
      </w:r>
      <w:bookmarkEnd w:id="1224"/>
    </w:p>
    <w:p w:rsidR="00BE1EFE" w:rsidRPr="00B76821" w:rsidRDefault="00BE1EFE" w:rsidP="00B76821">
      <w:pPr>
        <w:pStyle w:val="berschrift5"/>
        <w:keepNext w:val="0"/>
        <w:spacing w:before="0" w:after="0"/>
        <w:rPr>
          <w:sz w:val="2"/>
        </w:rPr>
      </w:pPr>
    </w:p>
    <w:p w:rsidR="00BE1EFE" w:rsidRDefault="00BE1EFE">
      <w:pPr>
        <w:pStyle w:val="StandardWeb"/>
      </w:pPr>
      <w:r>
        <w:t>*Diese Ordnung wird gleichermaßen als Beihilfeordnung i.S.v. Nr. 2 der Anlage 11 zu den Richtlinien für Arbeitsverträge in den Einrichtungen des Deutschen Caritasverbandes (AVR) erlassen.</w:t>
      </w:r>
    </w:p>
    <w:p w:rsidR="00D70FD2" w:rsidRDefault="00D70FD2">
      <w:pPr>
        <w:pStyle w:val="StandardWeb"/>
      </w:pPr>
    </w:p>
    <w:p w:rsidR="00D70FD2" w:rsidRPr="00C34785" w:rsidRDefault="00C34785">
      <w:pPr>
        <w:pStyle w:val="StandardWeb"/>
        <w:rPr>
          <w:i/>
        </w:rPr>
      </w:pPr>
      <w:r w:rsidRPr="00C34785">
        <w:rPr>
          <w:i/>
        </w:rPr>
        <w:t>(zuletzt geändert durch Beschluss der Freisinger Bischofskonferenz vom 14./15. März 2018)</w:t>
      </w:r>
    </w:p>
    <w:p w:rsidR="00BE1EFE" w:rsidRDefault="00BE1EFE">
      <w:pPr>
        <w:pStyle w:val="berschrift5"/>
      </w:pPr>
      <w:bookmarkStart w:id="1225" w:name="_Toc523926741"/>
      <w:r>
        <w:t>§ 1 Regelungsbereich</w:t>
      </w:r>
      <w:bookmarkEnd w:id="1225"/>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t xml:space="preserve">Die Beihilfeordnung Teil A regelt die Gewährung von Beihilfen in Krankheits-, Geburts-, Pflege- und sonstigen Fällen nach beamtenrechtlichen Vorschriften oder Grundsätzen (Erster Abschnitt) und nach arbeitsvertragsrechtlichen Vorschriften (Zweiter Abschnitt). </w:t>
      </w:r>
      <w:r>
        <w:rPr>
          <w:rStyle w:val="kleinschrift"/>
        </w:rPr>
        <w:t>2</w:t>
      </w:r>
      <w:r>
        <w:t>Soweit diese Beihilfeordnung keine Bestimmungen enthält, gelten ergänzend die Bayerische Beihilfeverordnung (BayBhV) bzw. die Beihilferegelungen des Freistaates Bayern für die Arbeitnehmer und Auszubildenden und für den Tarif 820 K und 820 K Plus als Beihilfeablöseversicherung die Allgemeinen Versicherungsbedingungen für die Krankheitskostenversicherung nach Art der Schadenversicherung (AVB/KK-SV) der Bayerischen Beamtenkrankenkasse AG.</w:t>
      </w:r>
    </w:p>
    <w:p w:rsidR="00BE1EFE" w:rsidRDefault="00BE1EFE">
      <w:pPr>
        <w:pStyle w:val="berschrift5"/>
      </w:pPr>
      <w:bookmarkStart w:id="1226" w:name="_Toc523926742"/>
      <w:r>
        <w:t>Erster Abschnitt: Beihilfe nach beamtenrechtlichen Vorschriften oder Grundsätzen</w:t>
      </w:r>
      <w:bookmarkEnd w:id="1226"/>
    </w:p>
    <w:p w:rsidR="00BE1EFE" w:rsidRDefault="00BE1EFE">
      <w:pPr>
        <w:pStyle w:val="berschrift6"/>
      </w:pPr>
      <w:bookmarkStart w:id="1227" w:name="_Toc523926743"/>
      <w:r>
        <w:t>§ 2 Privat krankenversicherte Priester und Kirchenbeamte</w:t>
      </w:r>
      <w:bookmarkEnd w:id="122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Privat krankenversicherte Priester, die in einer deutschen (Erz-)Diözese inkardiniert sind, Priesteramtskandidaten ab der Diakonenweihe, Kirchenbeamte, Priester im Ruhestand, Ruhestandsbeamte und deren versorgungsberechtigte Hinterbliebene, sowie Dienstanfänger, solange diese von der (Erz-)Diözese, dem Bischöflichen Stuhl, einer kirchlichen Stiftung bzw. einer sonstigen Einrichtung im Geltungsbereich des ABD in der (Erz-)Diözese Dienstbezüge, Ruhegehalt, Anwärterbezüge bzw. entsprechende Vergütungen erhalten oder bis zu ihrem Eintritt in den Ruhestand erhalten haben, erhalten Beihilfeleistungen wie privat kranken</w:t>
      </w:r>
      <w:r>
        <w:softHyphen/>
        <w:t>versicherte Beamte des Freistaates Bayern.</w:t>
      </w:r>
    </w:p>
    <w:p w:rsidR="00BE1EFE" w:rsidRPr="005B65A7" w:rsidRDefault="00BE1EFE" w:rsidP="005B65A7">
      <w:pPr>
        <w:pStyle w:val="StandardWeb"/>
        <w:rPr>
          <w:sz w:val="12"/>
          <w:szCs w:val="12"/>
        </w:rPr>
      </w:pPr>
      <w:r>
        <w:rPr>
          <w:sz w:val="12"/>
          <w:szCs w:val="12"/>
        </w:rPr>
        <w:t>Anmerkung zu § 2 Abs.</w:t>
      </w:r>
      <w:r w:rsidRPr="005B65A7">
        <w:rPr>
          <w:sz w:val="12"/>
          <w:szCs w:val="12"/>
        </w:rPr>
        <w:t xml:space="preserve"> 1:</w:t>
      </w:r>
    </w:p>
    <w:p w:rsidR="00BE1EFE" w:rsidRPr="005B65A7" w:rsidRDefault="00BE1EFE" w:rsidP="005B65A7">
      <w:pPr>
        <w:pStyle w:val="StandardWeb"/>
        <w:rPr>
          <w:sz w:val="12"/>
          <w:szCs w:val="12"/>
        </w:rPr>
      </w:pPr>
      <w:r w:rsidRPr="005B65A7">
        <w:rPr>
          <w:sz w:val="12"/>
          <w:szCs w:val="12"/>
        </w:rPr>
        <w:t xml:space="preserve">Für Aufwendungen, die bis einschließlich 31.12.2018 entstehen, beträgt für privat krankenversicherte Priester im Ruhestand in </w:t>
      </w:r>
      <w:r>
        <w:rPr>
          <w:sz w:val="12"/>
          <w:szCs w:val="12"/>
        </w:rPr>
        <w:t>Krankheitsfällen der Bemessungs</w:t>
      </w:r>
      <w:r w:rsidRPr="005B65A7">
        <w:rPr>
          <w:sz w:val="12"/>
          <w:szCs w:val="12"/>
        </w:rPr>
        <w:t>satz der Beihilfeleistungen 50 v.H.. Für Aufwendungen, die ab 01.01.2019 entstehen, gelten bezüglich des Bemessungssatzes der Beihilfeleistungen für Priester im Ruhestand die Regelungen wie für privat k</w:t>
      </w:r>
      <w:r>
        <w:rPr>
          <w:sz w:val="12"/>
          <w:szCs w:val="12"/>
        </w:rPr>
        <w:t>rankenversicherte Beamte (im Ru</w:t>
      </w:r>
      <w:r w:rsidRPr="005B65A7">
        <w:rPr>
          <w:sz w:val="12"/>
          <w:szCs w:val="12"/>
        </w:rPr>
        <w:t>hestand) des Freistaates Bayern.</w:t>
      </w:r>
    </w:p>
    <w:p w:rsidR="00BE1EFE" w:rsidRDefault="00BE1EFE">
      <w:pPr>
        <w:pStyle w:val="StandardWeb"/>
      </w:pPr>
    </w:p>
    <w:p w:rsidR="00BE1EFE" w:rsidRDefault="00BE1EFE">
      <w:pPr>
        <w:pStyle w:val="StandardWeb"/>
      </w:pPr>
      <w:r>
        <w:t xml:space="preserve">(2) Privat krankenversicherte berücksichtigungsfähige Angehörige von Personen im Sinne des Abs. 1 erhalten Beihilfeleistungen wie Angehörige von Beamten des Freistaates Bayern mit der Maßgabe, dass sie bei Übersteigen der Einkommensgrenze des </w:t>
      </w:r>
      <w:hyperlink r:id="rId1842" w:tgtFrame="_blank" w:history="1">
        <w:r>
          <w:rPr>
            <w:rStyle w:val="Hyperlink"/>
          </w:rPr>
          <w:t>§ 7 Abs. 4 Nr. 2 BayBhV</w:t>
        </w:r>
      </w:hyperlink>
      <w:r>
        <w:t xml:space="preserve"> Beihilfeleistungen wie Angehörige eines privat krankenversicherten Arbeitnehmers des Freistaates Bayern mit Beitragszuschuss des Arbeitgebers nach </w:t>
      </w:r>
      <w:hyperlink r:id="rId1843" w:tgtFrame="_blank" w:history="1">
        <w:r>
          <w:rPr>
            <w:rStyle w:val="Hyperlink"/>
          </w:rPr>
          <w:t>§ 257 SGB V</w:t>
        </w:r>
      </w:hyperlink>
      <w:r>
        <w:t xml:space="preserve"> erhalten.</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w:t>
      </w:r>
      <w:r>
        <w:lastRenderedPageBreak/>
        <w:t xml:space="preserve">Krankenversicherung pflichtversicherten Arbeitnehmers des Freistaates Bayern. </w:t>
      </w:r>
      <w:r>
        <w:rPr>
          <w:rStyle w:val="kleinschrift"/>
        </w:rPr>
        <w:t>2</w:t>
      </w:r>
      <w:r>
        <w:t>Die Ein</w:t>
      </w:r>
      <w:r>
        <w:softHyphen/>
        <w:t>kommensgrenze des</w:t>
      </w:r>
      <w:hyperlink r:id="rId1844" w:tgtFrame="_blank" w:history="1">
        <w:r>
          <w:rPr>
            <w:rStyle w:val="Hyperlink"/>
          </w:rPr>
          <w:t xml:space="preserve"> § 7 Abs. 4 Nr. 2 BayBhV</w:t>
        </w:r>
      </w:hyperlink>
      <w:r>
        <w:t xml:space="preserve"> findet keine Anwendung.</w:t>
      </w:r>
    </w:p>
    <w:p w:rsidR="00BE1EFE" w:rsidRDefault="00BE1EFE">
      <w:pPr>
        <w:pStyle w:val="StandardWeb"/>
      </w:pP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Pr="000B1AF8" w:rsidRDefault="00BE1EFE" w:rsidP="005B65A7">
      <w:pPr>
        <w:pStyle w:val="StandardWeb"/>
      </w:pPr>
      <w:r>
        <w:t>(4) Für inkardinierte Priester beträgt in Krankheits- und Pflegefällen, die durch einen Dienstunfall verursacht sind, der Bemessungssatz der Beihilfeleistungen 100 v. H.</w:t>
      </w:r>
    </w:p>
    <w:p w:rsidR="00BE1EFE" w:rsidRDefault="00BE1EFE">
      <w:pPr>
        <w:pStyle w:val="StandardWeb"/>
      </w:pPr>
    </w:p>
    <w:p w:rsidR="00BE1EFE" w:rsidRDefault="00BE1EFE">
      <w:pPr>
        <w:pStyle w:val="berschrift6"/>
      </w:pPr>
      <w:bookmarkStart w:id="1228" w:name="_Toc523926744"/>
      <w:r>
        <w:t>§ 2a Privat krankenversicherte Mitarbeiter mit schriftlicher Zusage auf Beihilfe nach beamtenrechtlichen Grundsätzen</w:t>
      </w:r>
      <w:bookmarkEnd w:id="122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Privat krankenversicherte Mitarbeiter und Mitarbeiterinnen, denen ein Anspruch auf Beihilfe nach beamtenrechtlichen Grundsätzen durch den Dienstgeber schriftlich zugesichert wurde, erhalten Beihilfeleistungen wie privat krankenversicherte Personen im Sinne des </w:t>
      </w:r>
      <w:hyperlink r:id="rId1845" w:history="1">
        <w:r w:rsidRPr="002D1F1D">
          <w:rPr>
            <w:rStyle w:val="Hyperlink"/>
          </w:rPr>
          <w:t>§ 2 Abs. 1</w:t>
        </w:r>
      </w:hyperlink>
      <w:r>
        <w:t xml:space="preserve">. </w:t>
      </w:r>
      <w:r>
        <w:rPr>
          <w:rStyle w:val="kleinschrift"/>
        </w:rPr>
        <w:t>2</w:t>
      </w:r>
      <w:r>
        <w:t>Wenn sie dem Grunde nach in der gesetzlichen Krankenversicherung versicherungs</w:t>
      </w:r>
      <w:r>
        <w:softHyphen/>
        <w:t xml:space="preserve">pflichtig werden und sich von der Versicherungspflicht befreien lassen, erhalten sie Beihilfeleistungen wie privat krankenversicherte Arbeitnehmer des Freistaates Bayern mit Beitragszuschuss des Arbeitgebers nach </w:t>
      </w:r>
      <w:hyperlink r:id="rId1846" w:tgtFrame="_blank" w:history="1">
        <w:r>
          <w:rPr>
            <w:rStyle w:val="Hyperlink"/>
          </w:rPr>
          <w:t>§ 257 SGB V</w:t>
        </w:r>
      </w:hyperlink>
      <w:r>
        <w:t>. Satz 2 gilt nicht, wenn der Mitarbeiter/die Mitarbeiterin von der Regelung der Altersteilzeitarbeit nach dem ABD oder von der Möglichkeit einer Teilrente Gebrauch macht oder eine weitergehende Zusage erhalten hat.</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von Personen im Sinne des </w:t>
      </w:r>
      <w:hyperlink r:id="rId1847" w:history="1">
        <w:r w:rsidRPr="002D1F1D">
          <w:rPr>
            <w:rStyle w:val="Hyperlink"/>
          </w:rPr>
          <w:t>§ 2 Abs. 1</w:t>
        </w:r>
      </w:hyperlink>
      <w:r>
        <w:t xml:space="preserve">. </w:t>
      </w:r>
      <w:r>
        <w:rPr>
          <w:rStyle w:val="kleinschrift"/>
        </w:rPr>
        <w:t>2</w:t>
      </w:r>
      <w:r>
        <w:t xml:space="preserve">Bei Übersteigen der Einkommensgrenze des </w:t>
      </w:r>
      <w:hyperlink r:id="rId1848" w:tgtFrame="_blank" w:history="1">
        <w:r>
          <w:rPr>
            <w:rStyle w:val="Hyperlink"/>
          </w:rPr>
          <w:t>§ 7 Abs. 4 Nr. 2 BayBhV</w:t>
        </w:r>
      </w:hyperlink>
      <w:r>
        <w:t xml:space="preserve"> oder, wenn der Mitarbeiter/die Mitarbeiterin dem Grunde nach in der gesetzlichen Krankenversicherung versicherungspflichtig wird und sich von der Versicherungspflicht befreien lässt, erhalten sie Beihilfeleistungen wie Angehörige eines privat krankenversicherten Arbeitnehmers des Freistaates Bayern mit Beitragszuschuss des Arbeitgebers nach </w:t>
      </w:r>
      <w:hyperlink r:id="rId1849" w:tgtFrame="_blank" w:history="1">
        <w:r>
          <w:rPr>
            <w:rStyle w:val="Hyperlink"/>
          </w:rPr>
          <w:t>§ 257 SGB V. Satz 2 Alternative 2</w:t>
        </w:r>
      </w:hyperlink>
      <w:r>
        <w:t xml:space="preserve"> gilt nicht, wenn der Mitarbeiter/die Mitarbeiterin von der Regelung der Altersteilzeitarbeit nach dem ABD oder von der Möglichkeit einer Teilrente Gebrauch macht oder eine weitergehende Zusage erhalten hat.</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50"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Default="00BE1EFE" w:rsidP="005B65A7">
      <w:pPr>
        <w:pStyle w:val="berschrift6"/>
      </w:pPr>
      <w:bookmarkStart w:id="1229" w:name="_Toc523926745"/>
      <w:r>
        <w:t xml:space="preserve">§ </w:t>
      </w:r>
      <w:r>
        <w:rPr>
          <w:lang w:eastAsia="x-none"/>
        </w:rPr>
        <w:t>2</w:t>
      </w:r>
      <w:r>
        <w:t>b Beamte des Katholischen Schulwerks in Bayern</w:t>
      </w:r>
      <w:bookmarkEnd w:id="1229"/>
    </w:p>
    <w:p w:rsidR="00BE1EFE" w:rsidRPr="00B76821" w:rsidRDefault="00BE1EFE" w:rsidP="005B65A7">
      <w:pPr>
        <w:pStyle w:val="h7"/>
        <w:keepNext w:val="0"/>
        <w:spacing w:before="0" w:after="0"/>
        <w:jc w:val="left"/>
        <w:outlineLvl w:val="5"/>
        <w:rPr>
          <w:sz w:val="2"/>
        </w:rPr>
      </w:pPr>
    </w:p>
    <w:p w:rsidR="00BE1EFE" w:rsidRPr="000B1AF8" w:rsidRDefault="00BE1EFE" w:rsidP="005B65A7">
      <w:pPr>
        <w:pStyle w:val="StandardWeb"/>
      </w:pPr>
      <w:r>
        <w:t>(1) Beamte des Katholischen Schulwerks in Bayern erhalten Beihilfeleistungen wie Beamte des Freistaates Bayern.</w:t>
      </w:r>
    </w:p>
    <w:p w:rsidR="00BE1EFE" w:rsidRPr="000B1AF8" w:rsidRDefault="00BE1EFE" w:rsidP="005B65A7">
      <w:pPr>
        <w:pStyle w:val="StandardWeb"/>
      </w:pPr>
    </w:p>
    <w:p w:rsidR="00BE1EFE" w:rsidRDefault="00BE1EFE" w:rsidP="005B65A7">
      <w:pPr>
        <w:pStyle w:val="StandardWeb"/>
      </w:pPr>
      <w:r>
        <w:t>(2) </w:t>
      </w:r>
      <w:r>
        <w:rPr>
          <w:rStyle w:val="kleinschrift"/>
        </w:rPr>
        <w:t>1</w:t>
      </w:r>
      <w:r>
        <w:t xml:space="preserve">Berücksichtigungsfähige Angehörige von Beamten des katholischen Schulwerks in Bayern erhalten Beihilfeleistungen wie Angehörige von Beamten des Freistaates Bayern mit der Maßgabe, dass Angehörige, die in der gesetzlichen Krankenversicherung pflichtversichert oder freiwillig mit Arbeitgeberzuschuss versichert sind, Beihilfeleistungen wie Angehörige eines in der gesetzlichen Krankenversicherung pflichtversicherten Arbeitnehmers des </w:t>
      </w:r>
      <w:r>
        <w:lastRenderedPageBreak/>
        <w:t xml:space="preserve">Freistaates Bayern erhalten. </w:t>
      </w:r>
      <w:r>
        <w:rPr>
          <w:rStyle w:val="kleinschrift"/>
        </w:rPr>
        <w:t>2</w:t>
      </w:r>
      <w:r>
        <w:t xml:space="preserve">Diese Angehörigen erhalten darüber hinaus auf Kosten des kirchlichen Dienstgebers Beihilfeleistungen im jeweiligen Umfang des Tarifs 820 K. </w:t>
      </w:r>
      <w:r>
        <w:rPr>
          <w:rStyle w:val="kleinschrift"/>
        </w:rPr>
        <w:t>3</w:t>
      </w:r>
      <w:r>
        <w:t>Die Beihilfeleistungen im jeweiligen Umfang des Tarifs 820 K werden solange gewährt, wie Aufwendungen für Wahlleistungen im Krankenhaus [</w:t>
      </w:r>
      <w:hyperlink r:id="rId1851" w:tgtFrame="_blank" w:history="1">
        <w:r>
          <w:rPr>
            <w:rStyle w:val="Hyperlink"/>
          </w:rPr>
          <w:t>Art. 96 Abs. 2 Satz 5 Bayerisches Beamtengesetz (BayBG)</w:t>
        </w:r>
      </w:hyperlink>
      <w:r>
        <w:t>] für pflichtversicherte Angehörige von Beamten des Freistaates Bayern beihilfefähig sind.</w:t>
      </w:r>
    </w:p>
    <w:p w:rsidR="00BE1EFE" w:rsidRDefault="00BE1EFE">
      <w:pPr>
        <w:pStyle w:val="StandardWeb"/>
      </w:pPr>
    </w:p>
    <w:p w:rsidR="00BE1EFE" w:rsidRDefault="00BE1EFE">
      <w:pPr>
        <w:pStyle w:val="berschrift6"/>
      </w:pPr>
      <w:bookmarkStart w:id="1230" w:name="_Toc523926746"/>
      <w:r>
        <w:t>§ 3 Gesetzlich krankenversicherte Priester und Kirchenbeamte</w:t>
      </w:r>
      <w:bookmarkEnd w:id="123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Gesetzlich krankenversicherte Priester, die in einer deutschen (Erz-)Diözese inkardiniert sind, Priesteramtskandidaten ab der Diakonenweihe, Kirchenbeamte, Priester im Ruhestand, Ruhestandsbeamte und deren versorgungsberechtigte Hinterbliebene, sowie Dienstanfänger, solange diese von der (Erz-)Diözese, dem Bischöflichen Stuhl, einer kirchlichen Stiftung bzw. einer sonstigen Einrichtung im Geltungsbereich des ABD in der (Erz-)Diözese Dienstbezüge, Ruhegehalt, Anwärterbezüge bzw. entsprechende Vergütungen erhalten oder bis zu ihrem Eintritt in den Ruhestand erhalten haben, erhalten Beihilfeleistungen wie in der gesetzlichen Krankenversicherung pflichtversicherte Arbeitnehmer des Freistaates Bayern. </w:t>
      </w:r>
      <w:r>
        <w:rPr>
          <w:rStyle w:val="kleinschrift"/>
        </w:rPr>
        <w:t>2</w:t>
      </w:r>
      <w:r>
        <w:t>Darüber hinaus erhalten sie auf Kosten des kirchlichen Dienstgebers Beihilfeleistungen im jeweiligen Umfang des Tarifs 820 K.</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eines privat krankenversicherten Arbeitnehmers des Freistaates Bayern mit Beitragszuschuss des Arbeitgebers nach </w:t>
      </w:r>
      <w:hyperlink r:id="rId1852" w:tgtFrame="_blank" w:history="1">
        <w:r>
          <w:rPr>
            <w:rStyle w:val="Hyperlink"/>
          </w:rPr>
          <w:t>§ 257 SGB V</w:t>
        </w:r>
      </w:hyperlink>
      <w:r>
        <w:t xml:space="preserve">. </w:t>
      </w:r>
      <w:r>
        <w:rPr>
          <w:rStyle w:val="kleinschrift"/>
        </w:rPr>
        <w:t>2</w:t>
      </w:r>
      <w:r>
        <w:t xml:space="preserve">Die Einkommensgrenze des </w:t>
      </w:r>
      <w:hyperlink r:id="rId1853" w:tgtFrame="_blank" w:history="1">
        <w:r>
          <w:rPr>
            <w:rStyle w:val="Hyperlink"/>
          </w:rPr>
          <w:t>§ 7 Abs. 4 Nr. 2 BayBhV</w:t>
        </w:r>
      </w:hyperlink>
      <w:r>
        <w:t xml:space="preserve"> findet keine Anwendung.</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54"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Default="00BE1EFE">
      <w:pPr>
        <w:pStyle w:val="StandardWeb"/>
      </w:pPr>
    </w:p>
    <w:p w:rsidR="00BE1EFE" w:rsidRPr="000B1AF8" w:rsidRDefault="00BE1EFE" w:rsidP="005B65A7">
      <w:pPr>
        <w:pStyle w:val="StandardWeb"/>
      </w:pPr>
      <w:r>
        <w:t>(4) Für inkardinierte Priester beträgt in Krankheits- und Pflegefällen, die durch einen Dienstunfall verursacht sind, der Bemessungssatz der Beihilfeleistungen 100 v. H.</w:t>
      </w:r>
    </w:p>
    <w:p w:rsidR="00BE1EFE" w:rsidRDefault="00BE1EFE">
      <w:pPr>
        <w:pStyle w:val="StandardWeb"/>
      </w:pPr>
    </w:p>
    <w:p w:rsidR="00BE1EFE" w:rsidRDefault="00BE1EFE">
      <w:pPr>
        <w:pStyle w:val="berschrift6"/>
      </w:pPr>
      <w:bookmarkStart w:id="1231" w:name="_Toc523926747"/>
      <w:r>
        <w:t>§ 3a Gesetzlich krankenversicherte Mitarbeiter mit schriftlicher Zusage auf Beihilfe nach beamtenrechtlichen Grundsätzen</w:t>
      </w:r>
      <w:bookmarkEnd w:id="12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Gesetzlich krankenversicherte Mitarbeiter und Mitarbeiterinnen, denen ein Anspruch auf Beihilfe nach beamtenrechtlichen Grundsätzen durch den Dienstgeber schriftlich zugesichert wurde, erhalten Beihilfeleistungen wie in der gesetzlichen Krankenversicherung pflicht</w:t>
      </w:r>
      <w:r>
        <w:softHyphen/>
        <w:t xml:space="preserve">versicherte Arbeitnehmer des Freistaates Bayern. </w:t>
      </w:r>
      <w:r>
        <w:rPr>
          <w:rStyle w:val="kleinschrift"/>
        </w:rPr>
        <w:t>2</w:t>
      </w:r>
      <w:r>
        <w:t>Darüber hinaus erhalten sie auf Kosten des kirchlichen Dienstgebers Beihilfeleistungen im jeweiligen Umfang des Tarifs 820 K.</w:t>
      </w:r>
    </w:p>
    <w:p w:rsidR="00BE1EFE" w:rsidRPr="000B1AF8" w:rsidRDefault="00BE1EFE">
      <w:pPr>
        <w:pStyle w:val="StandardWeb"/>
      </w:pPr>
    </w:p>
    <w:p w:rsidR="00BE1EFE" w:rsidRDefault="00BE1EFE">
      <w:pPr>
        <w:pStyle w:val="StandardWeb"/>
      </w:pPr>
      <w:r>
        <w:t>(2) </w:t>
      </w:r>
      <w:r>
        <w:rPr>
          <w:rStyle w:val="kleinschrift"/>
        </w:rPr>
        <w:t>1</w:t>
      </w:r>
      <w:r>
        <w:t xml:space="preserve">Privat krankenversicherte berücksichtigungsfähige Angehörige von Personen im Sinne des Abs. 1 erhalten Beihilfeleistungen wie Angehörige eines privat krankenversicherten Arbeitnehmers des Freistaates Bayern mit Beitragszuschuss des Arbeitgebers nach </w:t>
      </w:r>
      <w:hyperlink r:id="rId1855" w:tgtFrame="_blank" w:history="1">
        <w:r>
          <w:rPr>
            <w:rStyle w:val="Hyperlink"/>
          </w:rPr>
          <w:t>§ 257 SGB V</w:t>
        </w:r>
      </w:hyperlink>
      <w:r>
        <w:t xml:space="preserve">. </w:t>
      </w:r>
      <w:r>
        <w:rPr>
          <w:rStyle w:val="kleinschrift"/>
        </w:rPr>
        <w:t>2</w:t>
      </w:r>
      <w:r>
        <w:t xml:space="preserve">Die Einkommensgrenze des </w:t>
      </w:r>
      <w:hyperlink r:id="rId1856" w:tgtFrame="_blank" w:history="1">
        <w:r>
          <w:rPr>
            <w:rStyle w:val="Hyperlink"/>
          </w:rPr>
          <w:t>§ 7 Abs. 4 Nr. 2 BayBhV</w:t>
        </w:r>
      </w:hyperlink>
      <w:r>
        <w:t xml:space="preserve"> findet keine Anwendung.</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Personen im Sinne des Abs. 1 erhalten Beihilfeleistungen wie Angehörige eines in der gesetzlichen Krankenversicherung pflichtversicherten Arbeitnehmers des Freistaates Bayern. </w:t>
      </w:r>
      <w:r>
        <w:rPr>
          <w:rStyle w:val="kleinschrift"/>
        </w:rPr>
        <w:t>2</w:t>
      </w:r>
      <w:r>
        <w:t xml:space="preserve">Die Einkommensgrenze des </w:t>
      </w:r>
      <w:hyperlink r:id="rId1857" w:tgtFrame="_blank" w:history="1">
        <w:r>
          <w:rPr>
            <w:rStyle w:val="Hyperlink"/>
          </w:rPr>
          <w:t>§ 7 Abs. 4 Nr. 2 BayBhV</w:t>
        </w:r>
      </w:hyperlink>
      <w:r>
        <w:t xml:space="preserve"> findet keine Anwendung. </w:t>
      </w:r>
      <w:r>
        <w:rPr>
          <w:rStyle w:val="kleinschrift"/>
        </w:rPr>
        <w:t>3</w:t>
      </w:r>
      <w:r>
        <w:t>Darüber hinaus erhalten sie auf Kosten des kirchlichen Dienstgebers Beihilfeleistungen im jeweiligen Umfang des Tarifs 820 K.</w:t>
      </w:r>
    </w:p>
    <w:p w:rsidR="00BE1EFE" w:rsidRPr="00B76821" w:rsidRDefault="00BE1EFE" w:rsidP="00B76821">
      <w:pPr>
        <w:pStyle w:val="h7"/>
        <w:keepNext w:val="0"/>
        <w:spacing w:before="0" w:after="0"/>
        <w:jc w:val="left"/>
        <w:outlineLvl w:val="5"/>
        <w:rPr>
          <w:sz w:val="2"/>
        </w:rPr>
      </w:pPr>
    </w:p>
    <w:p w:rsidR="00BE1EFE" w:rsidRDefault="00BE1EFE">
      <w:pPr>
        <w:pStyle w:val="berschrift6"/>
      </w:pPr>
      <w:bookmarkStart w:id="1232" w:name="_Toc523926748"/>
      <w:r>
        <w:t xml:space="preserve">§ </w:t>
      </w:r>
      <w:r>
        <w:rPr>
          <w:lang w:eastAsia="x-none"/>
        </w:rPr>
        <w:t>4</w:t>
      </w:r>
      <w:r>
        <w:t xml:space="preserve"> Zuständigkeit</w:t>
      </w:r>
      <w:bookmarkEnd w:id="1232"/>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Oberste Dienstbehörde bzw. sonstige Behörde im Sinne der </w:t>
      </w:r>
      <w:hyperlink r:id="rId1858" w:tgtFrame="_blank" w:history="1">
        <w:r>
          <w:rPr>
            <w:rStyle w:val="Hyperlink"/>
          </w:rPr>
          <w:t>Bayerischen Beihilfeverordnung</w:t>
        </w:r>
      </w:hyperlink>
      <w:r>
        <w:t xml:space="preserve"> ist das (Erz-)Bischöfliche Ordinariat.</w:t>
      </w:r>
    </w:p>
    <w:p w:rsidR="00BE1EFE" w:rsidRDefault="00BE1EFE">
      <w:pPr>
        <w:pStyle w:val="StandardWeb"/>
      </w:pPr>
      <w:r>
        <w:br w:type="page"/>
      </w:r>
    </w:p>
    <w:p w:rsidR="00BE1EFE" w:rsidRPr="00564A56" w:rsidRDefault="00BE1EFE" w:rsidP="00564A56">
      <w:pPr>
        <w:pStyle w:val="berschrift5"/>
        <w:spacing w:before="0"/>
      </w:pPr>
      <w:bookmarkStart w:id="1233" w:name="_Toc523926749"/>
      <w:r>
        <w:rPr>
          <w:lang w:eastAsia="x-none"/>
        </w:rPr>
        <w:lastRenderedPageBreak/>
        <w:t>Zwei</w:t>
      </w:r>
      <w:r>
        <w:t>ter Abschnitt: Beihilfe auf</w:t>
      </w:r>
      <w:r>
        <w:rPr>
          <w:lang w:eastAsia="x-none"/>
        </w:rPr>
        <w:t>g</w:t>
      </w:r>
      <w:r>
        <w:t xml:space="preserve">rund </w:t>
      </w:r>
      <w:r>
        <w:rPr>
          <w:lang w:eastAsia="x-none"/>
        </w:rPr>
        <w:t>der Dienst- und Vergütungsordnung für ständige Diakone</w:t>
      </w:r>
      <w:bookmarkEnd w:id="1233"/>
      <w:r>
        <w:rPr>
          <w:lang w:eastAsia="x-none"/>
        </w:rPr>
        <w:t xml:space="preserve"> </w:t>
      </w:r>
    </w:p>
    <w:p w:rsidR="00BE1EFE" w:rsidRDefault="00BE1EFE" w:rsidP="00777B71">
      <w:pPr>
        <w:pStyle w:val="berschrift6"/>
      </w:pPr>
      <w:bookmarkStart w:id="1234" w:name="_Toc523926750"/>
      <w:r>
        <w:t xml:space="preserve">§ </w:t>
      </w:r>
      <w:r>
        <w:rPr>
          <w:lang w:eastAsia="x-none"/>
        </w:rPr>
        <w:t>5</w:t>
      </w:r>
      <w:r>
        <w:t xml:space="preserve"> </w:t>
      </w:r>
      <w:r w:rsidRPr="00777B71">
        <w:t>Gesetzlich krankenversicherte hauptberufliche Diakone</w:t>
      </w:r>
      <w:bookmarkEnd w:id="1234"/>
    </w:p>
    <w:p w:rsidR="00BE1EFE" w:rsidRDefault="00BE1EFE" w:rsidP="00777B71">
      <w:pPr>
        <w:pStyle w:val="StandardWeb"/>
      </w:pPr>
      <w:r>
        <w:t>(1) </w:t>
      </w:r>
      <w:r w:rsidRPr="00777B71">
        <w:rPr>
          <w:sz w:val="12"/>
          <w:szCs w:val="12"/>
        </w:rPr>
        <w:t>1</w:t>
      </w:r>
      <w:r>
        <w:t>Gesetzlich krankenversicherte hauptberufliche Diakone erhalten Beihilfeleistungen wie in der gesetzlichen Krankenversicherung pflichtversicherte Arbeitnehmer des Freistaates Bayern auch im Falle der Elternzeit oder des Sonderurlaubs aus familienpolitischen Gründen sowie im Falle der Beendigung des Dienstverhältnisses wegen des Bezugs einer Rente wegen Erwerbsminderung</w:t>
      </w:r>
      <w:r w:rsidRPr="00777B71">
        <w:rPr>
          <w:vertAlign w:val="superscript"/>
        </w:rPr>
        <w:t>1</w:t>
      </w:r>
      <w:r>
        <w:t xml:space="preserve"> oder wegen Alters. </w:t>
      </w:r>
      <w:r w:rsidRPr="00777B71">
        <w:rPr>
          <w:sz w:val="12"/>
          <w:szCs w:val="12"/>
        </w:rPr>
        <w:t>2</w:t>
      </w:r>
      <w:r>
        <w:t>Darüber hinaus erhalten sie auf Kosten des kirchlichen Dienstgebers Beihilfeleistungen im jeweiligen Umfang des Tarifs 820 K.</w:t>
      </w:r>
    </w:p>
    <w:p w:rsidR="00BE1EFE" w:rsidRPr="00777B71" w:rsidRDefault="00BE1EFE" w:rsidP="00777B71">
      <w:pPr>
        <w:pStyle w:val="StandardWeb"/>
        <w:rPr>
          <w:sz w:val="12"/>
          <w:szCs w:val="12"/>
        </w:rPr>
      </w:pPr>
      <w:r w:rsidRPr="00777B71">
        <w:rPr>
          <w:vertAlign w:val="superscript"/>
        </w:rPr>
        <w:t>1</w:t>
      </w:r>
      <w:r w:rsidRPr="00777B71">
        <w:rPr>
          <w:sz w:val="12"/>
          <w:szCs w:val="12"/>
        </w:rPr>
        <w:t>d.h. Berufsunfähigkeit oder Erwerbsunfähigkeit</w:t>
      </w:r>
    </w:p>
    <w:p w:rsidR="00BE1EFE" w:rsidRDefault="00BE1EFE" w:rsidP="00777B71">
      <w:pPr>
        <w:pStyle w:val="StandardWeb"/>
      </w:pPr>
    </w:p>
    <w:p w:rsidR="00BE1EFE" w:rsidRDefault="00BE1EFE" w:rsidP="00777B71">
      <w:pPr>
        <w:pStyle w:val="StandardWeb"/>
      </w:pPr>
      <w:r>
        <w:t>(2) Gesetzlich krankenversicherte berücksichtigungsfähige Angehörige von Diakonen im Sinne von Abs. 1 erhalten Beihilfeleistungen wie der Diakon.</w:t>
      </w:r>
    </w:p>
    <w:p w:rsidR="00BE1EFE" w:rsidRDefault="00BE1EFE" w:rsidP="00777B71">
      <w:pPr>
        <w:pStyle w:val="StandardWeb"/>
      </w:pPr>
    </w:p>
    <w:p w:rsidR="00BE1EFE" w:rsidRDefault="00BE1EFE" w:rsidP="00777B71">
      <w:pPr>
        <w:pStyle w:val="StandardWeb"/>
      </w:pPr>
      <w:r>
        <w:t xml:space="preserve">(3) Solange der Diakon Beihilfeleistungen nach Abs. 1 erhält, erhalten seine privat krankenversicherten berücksichtigungsfähigen Angehörigen Beihilfeleistungen wie An-gehörige von privat krankenversicherten Arbeitnehmern des Freistaates Bayern mit Beitragszuschuss des Arbeitgebers nach </w:t>
      </w:r>
      <w:hyperlink r:id="rId1859" w:history="1">
        <w:r w:rsidRPr="00564A56">
          <w:rPr>
            <w:rStyle w:val="Hyperlink"/>
          </w:rPr>
          <w:t>§ 257 SGB V</w:t>
        </w:r>
      </w:hyperlink>
      <w:r>
        <w:t>.</w:t>
      </w:r>
    </w:p>
    <w:p w:rsidR="00BE1EFE" w:rsidRDefault="00BE1EFE" w:rsidP="00777B71">
      <w:pPr>
        <w:pStyle w:val="StandardWeb"/>
      </w:pPr>
    </w:p>
    <w:p w:rsidR="00BE1EFE" w:rsidRDefault="00BE1EFE" w:rsidP="00777B71">
      <w:pPr>
        <w:pStyle w:val="StandardWeb"/>
      </w:pPr>
      <w:r>
        <w:t xml:space="preserve">(4) Die Einkommensgrenze des </w:t>
      </w:r>
      <w:hyperlink r:id="rId1860" w:history="1">
        <w:r w:rsidRPr="00564A56">
          <w:rPr>
            <w:rStyle w:val="Hyperlink"/>
          </w:rPr>
          <w:t>§ 7 Abs. 4 Nr. 2 BayBhV</w:t>
        </w:r>
      </w:hyperlink>
      <w:r>
        <w:t xml:space="preserve"> findet keine Anwendung.</w:t>
      </w:r>
    </w:p>
    <w:p w:rsidR="00BE1EFE" w:rsidRDefault="00BE1EFE" w:rsidP="00777B71">
      <w:pPr>
        <w:pStyle w:val="StandardWeb"/>
      </w:pPr>
    </w:p>
    <w:p w:rsidR="00BE1EFE" w:rsidRDefault="00BE1EFE" w:rsidP="00777B71">
      <w:pPr>
        <w:pStyle w:val="StandardWeb"/>
      </w:pPr>
      <w:r>
        <w:t>(5) Unabhängig von der zeitlichen Gestaltung des Dienstes werden die jeweiligen Bei-hilfeleistungen in vollem Umfang erbracht.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w:t>
      </w:r>
    </w:p>
    <w:p w:rsidR="00BE1EFE" w:rsidRDefault="00BE1EFE" w:rsidP="00777B71">
      <w:pPr>
        <w:pStyle w:val="StandardWeb"/>
        <w:rPr>
          <w:sz w:val="12"/>
          <w:szCs w:val="12"/>
        </w:rPr>
      </w:pPr>
      <w:r w:rsidRPr="00777B71">
        <w:rPr>
          <w:sz w:val="12"/>
          <w:szCs w:val="12"/>
        </w:rPr>
        <w:t>§ 5 gilt nur für Diakone die am 01.08.2016 oder danach im aktiven Dienst stehen. Diakone, die am 01.08.2016 bereits im Ruhestand sind, erhalten Beihilfe n</w:t>
      </w:r>
      <w:r>
        <w:rPr>
          <w:sz w:val="12"/>
          <w:szCs w:val="12"/>
        </w:rPr>
        <w:t>ur, sofern und soweit gemäß diö</w:t>
      </w:r>
      <w:r w:rsidRPr="00777B71">
        <w:rPr>
          <w:sz w:val="12"/>
          <w:szCs w:val="12"/>
        </w:rPr>
        <w:t>zesanen Regelungen eine ents</w:t>
      </w:r>
      <w:r>
        <w:rPr>
          <w:sz w:val="12"/>
          <w:szCs w:val="12"/>
        </w:rPr>
        <w:t>prechende Zusage erteilt wurde.</w:t>
      </w:r>
    </w:p>
    <w:p w:rsidR="00BE1EFE" w:rsidRDefault="00BE1EFE" w:rsidP="00777B71">
      <w:pPr>
        <w:pStyle w:val="StandardWeb"/>
        <w:rPr>
          <w:sz w:val="12"/>
          <w:szCs w:val="12"/>
        </w:rPr>
      </w:pPr>
    </w:p>
    <w:p w:rsidR="00BE1EFE" w:rsidRDefault="00BE1EFE" w:rsidP="00777B71">
      <w:pPr>
        <w:pStyle w:val="berschrift6"/>
        <w:rPr>
          <w:lang w:eastAsia="x-none"/>
        </w:rPr>
      </w:pPr>
      <w:bookmarkStart w:id="1235" w:name="_Toc523926751"/>
      <w:r>
        <w:t xml:space="preserve">§ </w:t>
      </w:r>
      <w:r>
        <w:rPr>
          <w:lang w:eastAsia="x-none"/>
        </w:rPr>
        <w:t>5a</w:t>
      </w:r>
      <w:r>
        <w:t xml:space="preserve"> </w:t>
      </w:r>
      <w:r>
        <w:rPr>
          <w:lang w:eastAsia="x-none"/>
        </w:rPr>
        <w:t>Privat</w:t>
      </w:r>
      <w:r w:rsidRPr="00777B71">
        <w:t xml:space="preserve"> krankenversicherte hauptberufliche Diakone</w:t>
      </w:r>
      <w:bookmarkEnd w:id="1235"/>
    </w:p>
    <w:p w:rsidR="00BE1EFE" w:rsidRPr="00777B71" w:rsidRDefault="00BE1EFE" w:rsidP="00777B71">
      <w:pPr>
        <w:pStyle w:val="StandardWeb"/>
      </w:pPr>
      <w:r>
        <w:t>(1) </w:t>
      </w:r>
      <w:r w:rsidRPr="00777B71">
        <w:t xml:space="preserve">Privat krankenversicherte hauptberufliche Diakone erhalten Beihilfeleistungen wie in der privaten Krankenversicherung versicherte Arbeitnehmer des Freistaates Bayern mit Beitragszuschuss des Arbeitgebers nach </w:t>
      </w:r>
      <w:hyperlink r:id="rId1861" w:history="1">
        <w:r w:rsidRPr="00564A56">
          <w:rPr>
            <w:rStyle w:val="Hyperlink"/>
          </w:rPr>
          <w:t>§ 257 SGB V</w:t>
        </w:r>
      </w:hyperlink>
      <w:r w:rsidRPr="00777B71">
        <w:t xml:space="preserve"> auch im Falle der Elternzeit oder des Sonderurlaubs aus familienpolitischen Gründen sowie im Falle der Beendigung des Dienstverhältnisses wegen des Bezugs einer Rente wegen Erwerbsminderung</w:t>
      </w:r>
      <w:r w:rsidRPr="00777B71">
        <w:rPr>
          <w:vertAlign w:val="superscript"/>
        </w:rPr>
        <w:t>1</w:t>
      </w:r>
      <w:r w:rsidRPr="00777B71">
        <w:t xml:space="preserve"> oder wegen Alters.</w:t>
      </w:r>
    </w:p>
    <w:p w:rsidR="00BE1EFE" w:rsidRPr="00777B71" w:rsidRDefault="00BE1EFE" w:rsidP="00777B71">
      <w:pPr>
        <w:pStyle w:val="StandardWeb"/>
        <w:rPr>
          <w:sz w:val="12"/>
          <w:szCs w:val="12"/>
        </w:rPr>
      </w:pPr>
      <w:r w:rsidRPr="00777B71">
        <w:rPr>
          <w:szCs w:val="16"/>
          <w:vertAlign w:val="superscript"/>
        </w:rPr>
        <w:t>1</w:t>
      </w:r>
      <w:r w:rsidRPr="00777B71">
        <w:rPr>
          <w:sz w:val="12"/>
          <w:szCs w:val="12"/>
        </w:rPr>
        <w:t>d.h. Berufsunfähigkeit oder Erwerbsunfähigkeit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5a Abs. 1:</w:t>
      </w:r>
    </w:p>
    <w:p w:rsidR="00BE1EFE" w:rsidRPr="00777B71" w:rsidRDefault="00BE1EFE" w:rsidP="00777B71">
      <w:pPr>
        <w:pStyle w:val="StandardWeb"/>
        <w:rPr>
          <w:sz w:val="12"/>
          <w:szCs w:val="12"/>
        </w:rPr>
      </w:pPr>
      <w:r w:rsidRPr="00777B71">
        <w:rPr>
          <w:sz w:val="12"/>
          <w:szCs w:val="12"/>
        </w:rPr>
        <w:t>§ 5a Abs. 1 gilt im Falle der Elternzeit oder des Sonderurlaubs aus familienpolitischen Gründen sowie im Falle der Beendigung des Dienstverhältnisses wegen des Bezugs einer Rente wegen Erwerbsminderung oder wegen Alters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w:t>
      </w:r>
    </w:p>
    <w:p w:rsidR="00BE1EFE" w:rsidRDefault="00BE1EFE" w:rsidP="00777B71">
      <w:pPr>
        <w:pStyle w:val="StandardWeb"/>
      </w:pPr>
    </w:p>
    <w:p w:rsidR="00BE1EFE" w:rsidRPr="00777B71" w:rsidRDefault="00BE1EFE" w:rsidP="00777B71">
      <w:pPr>
        <w:pStyle w:val="StandardWeb"/>
      </w:pPr>
      <w:r w:rsidRPr="00777B71">
        <w:t>(2) Privat krankenversicherte berücksichtigungsfähige Angehörig</w:t>
      </w:r>
      <w:r>
        <w:t>e von Diakonen im Sinne des Abs.</w:t>
      </w:r>
      <w:r w:rsidRPr="00777B71">
        <w:t xml:space="preserve"> 1 erhalten Beihilfeleistungen wie der Diakon. </w:t>
      </w:r>
    </w:p>
    <w:p w:rsidR="00BE1EFE" w:rsidRDefault="00BE1EFE" w:rsidP="00777B71">
      <w:pPr>
        <w:pStyle w:val="StandardWeb"/>
      </w:pPr>
    </w:p>
    <w:p w:rsidR="00BE1EFE" w:rsidRPr="00777B71" w:rsidRDefault="00BE1EFE" w:rsidP="00777B71">
      <w:pPr>
        <w:pStyle w:val="StandardWeb"/>
      </w:pPr>
      <w:r w:rsidRPr="00777B71">
        <w:t>(3) Solange der Dia</w:t>
      </w:r>
      <w:r>
        <w:t>kon Beihilfeleistungen nach Abs.</w:t>
      </w:r>
      <w:r w:rsidRPr="00777B71">
        <w:t xml:space="preserve"> 1 erhält, erhalten seine gesetzlich krankenversicherten berücksichtigungsfähigen Angehörigen Beihilfeleistungen wie be-</w:t>
      </w:r>
      <w:r w:rsidRPr="00777B71">
        <w:lastRenderedPageBreak/>
        <w:t>rücksichtigungsfähige Angehörige von der gesetzlichen Krankenversicherung pflicht-versicherten Arbeitnehmern des Freistaates Bayern. Darüber hinaus erhalten Sie auf Kosten des kirchlichen Dienstgebers Beihilfeleistungen im jeweiligen Umfang des Tarifs 820 K.</w:t>
      </w:r>
    </w:p>
    <w:p w:rsidR="00BE1EFE" w:rsidRDefault="00BE1EFE" w:rsidP="00777B71">
      <w:pPr>
        <w:pStyle w:val="StandardWeb"/>
      </w:pPr>
    </w:p>
    <w:p w:rsidR="00BE1EFE" w:rsidRPr="00777B71" w:rsidRDefault="00BE1EFE" w:rsidP="00777B71">
      <w:pPr>
        <w:pStyle w:val="StandardWeb"/>
      </w:pPr>
      <w:r w:rsidRPr="00777B71">
        <w:t xml:space="preserve">(3) Die Einkommensgrenze des </w:t>
      </w:r>
      <w:hyperlink r:id="rId1862" w:history="1">
        <w:r w:rsidRPr="00564A56">
          <w:rPr>
            <w:rStyle w:val="Hyperlink"/>
          </w:rPr>
          <w:t>§ 7 Abs. 2 Nr. 2 BayBhV</w:t>
        </w:r>
      </w:hyperlink>
      <w:r w:rsidRPr="00777B71">
        <w:t xml:space="preserve"> findet keine Anwendung.</w:t>
      </w:r>
    </w:p>
    <w:p w:rsidR="00BE1EFE" w:rsidRDefault="00BE1EFE" w:rsidP="00777B71">
      <w:pPr>
        <w:pStyle w:val="StandardWeb"/>
      </w:pPr>
    </w:p>
    <w:p w:rsidR="00BE1EFE" w:rsidRPr="00777B71" w:rsidRDefault="00BE1EFE" w:rsidP="00777B71">
      <w:pPr>
        <w:pStyle w:val="StandardWeb"/>
      </w:pPr>
      <w:r w:rsidRPr="00777B71">
        <w:t>(4) Unabhängig von der zeitlichen Gestaltung des Dienstes werden die jeweiligen Bei-hilfeleistungen in vollem Umfang erbracht.</w:t>
      </w:r>
    </w:p>
    <w:p w:rsidR="00BE1EFE" w:rsidRDefault="00BE1EFE" w:rsidP="00777B71">
      <w:pPr>
        <w:pStyle w:val="StandardWeb"/>
      </w:pPr>
    </w:p>
    <w:p w:rsidR="00BE1EFE" w:rsidRPr="00777B71" w:rsidRDefault="00BE1EFE" w:rsidP="00777B71">
      <w:pPr>
        <w:pStyle w:val="StandardWeb"/>
        <w:rPr>
          <w:sz w:val="12"/>
          <w:szCs w:val="12"/>
        </w:rPr>
      </w:pPr>
      <w:r w:rsidRPr="00777B71">
        <w:rPr>
          <w:sz w:val="12"/>
          <w:szCs w:val="12"/>
        </w:rPr>
        <w:t>Anmerkung zu § 5a:</w:t>
      </w:r>
    </w:p>
    <w:p w:rsidR="00BE1EFE" w:rsidRPr="00777B71" w:rsidRDefault="00BE1EFE" w:rsidP="00777B71">
      <w:pPr>
        <w:pStyle w:val="StandardWeb"/>
        <w:rPr>
          <w:sz w:val="12"/>
          <w:szCs w:val="12"/>
        </w:rPr>
      </w:pPr>
      <w:r w:rsidRPr="00777B71">
        <w:rPr>
          <w:sz w:val="12"/>
          <w:szCs w:val="12"/>
        </w:rPr>
        <w:t>§ 5a gilt nur für Diakone, die am 01.08.2016 oder danach im aktiven Dienst stehen. Diakone, die am 01.08.2016 bereits im Ruhestand sind, erhalten Beihilfe n</w:t>
      </w:r>
      <w:r>
        <w:rPr>
          <w:sz w:val="12"/>
          <w:szCs w:val="12"/>
        </w:rPr>
        <w:t>ur, sofern und soweit gemäß diö</w:t>
      </w:r>
      <w:r w:rsidRPr="00777B71">
        <w:rPr>
          <w:sz w:val="12"/>
          <w:szCs w:val="12"/>
        </w:rPr>
        <w:t>zesanen Regelungen eine entsprechende Zusage erteilt wurde.“</w:t>
      </w:r>
    </w:p>
    <w:p w:rsidR="00BE1EFE" w:rsidRPr="00777B71" w:rsidRDefault="00BE1EFE" w:rsidP="00777B71">
      <w:pPr>
        <w:pStyle w:val="StandardWeb"/>
        <w:rPr>
          <w:sz w:val="12"/>
          <w:szCs w:val="12"/>
        </w:rPr>
      </w:pPr>
    </w:p>
    <w:p w:rsidR="00BE1EFE" w:rsidRPr="000B1AF8" w:rsidRDefault="00BE1EFE">
      <w:pPr>
        <w:pStyle w:val="StandardWeb"/>
      </w:pPr>
      <w:r>
        <w:br w:type="page"/>
      </w:r>
    </w:p>
    <w:p w:rsidR="00BE1EFE" w:rsidRDefault="00BE1EFE" w:rsidP="00777B71">
      <w:pPr>
        <w:pStyle w:val="berschrift5"/>
        <w:spacing w:before="0"/>
      </w:pPr>
      <w:bookmarkStart w:id="1236" w:name="_Toc523926752"/>
      <w:r>
        <w:rPr>
          <w:lang w:eastAsia="x-none"/>
        </w:rPr>
        <w:lastRenderedPageBreak/>
        <w:t>Drit</w:t>
      </w:r>
      <w:r>
        <w:t>ter Abschnitt: Beihilfe auf Grund arbeitsvertragsrechtlicher Vorschriften</w:t>
      </w:r>
      <w:bookmarkEnd w:id="1236"/>
    </w:p>
    <w:p w:rsidR="00BE1EFE" w:rsidRDefault="00BE1EFE">
      <w:pPr>
        <w:pStyle w:val="berschrift6"/>
      </w:pPr>
      <w:bookmarkStart w:id="1237" w:name="_Toc523926753"/>
      <w:r>
        <w:t>§ 6 Berechtigte Personen</w:t>
      </w:r>
      <w:bookmarkEnd w:id="123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Dieser Abschnitt regelt die Gewährung von Beihilfen an nicht in einer deutschen (Erz-)Diözese inkardinierte Priester, Mitarbeiter und Mitarbeiterinnen und Auszubildende – im Folgenden Beschäftigte – im Dienst der (Erz-)Diözese oder sonstiger Einrichtungen im Geltungsbereich des ABD.</w:t>
      </w:r>
    </w:p>
    <w:p w:rsidR="00BE1EFE" w:rsidRPr="000B1AF8" w:rsidRDefault="00BE1EFE">
      <w:pPr>
        <w:pStyle w:val="StandardWeb"/>
      </w:pPr>
    </w:p>
    <w:p w:rsidR="00BE1EFE" w:rsidRDefault="00BE1EFE">
      <w:pPr>
        <w:pStyle w:val="berschrift6"/>
      </w:pPr>
      <w:bookmarkStart w:id="1238" w:name="_Toc523926754"/>
      <w:r>
        <w:t>§ 7 Beihilfeleistungen</w:t>
      </w:r>
      <w:bookmarkEnd w:id="123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Gesetzlich krankenversicherte Beschäftigte erhalten Beihilfeleistungen wie in der gesetzlichen Krankenversicherung pflichtversicherte Arbeitnehmer des Freistaates Bayern.</w:t>
      </w:r>
    </w:p>
    <w:p w:rsidR="00BE1EFE" w:rsidRPr="000B1AF8" w:rsidRDefault="00BE1EFE">
      <w:pPr>
        <w:pStyle w:val="StandardWeb"/>
      </w:pPr>
    </w:p>
    <w:p w:rsidR="00BE1EFE" w:rsidRDefault="00BE1EFE">
      <w:pPr>
        <w:pStyle w:val="StandardWeb"/>
      </w:pPr>
      <w:r>
        <w:t>(1a) </w:t>
      </w:r>
      <w:r>
        <w:rPr>
          <w:rStyle w:val="kleinschrift"/>
        </w:rPr>
        <w:t>1</w:t>
      </w:r>
      <w:r>
        <w:t xml:space="preserve">Gesetzlich krankenversicherte berücksichtigungsfähige Angehörige von Beschäftigten im Sinne von Abs. 1 erhalten Beihilfeleistungen wie Angehörige von in der gesetzlichen Krankenversicherung pflichtversicherten Arbeitnehmern des Freistaates Bayern. </w:t>
      </w:r>
      <w:r>
        <w:rPr>
          <w:rStyle w:val="kleinschrift"/>
        </w:rPr>
        <w:t>2</w:t>
      </w:r>
      <w:r>
        <w:t>Privat krankenversicherte Angehörige erhalten keine Beihilfeleistungen.</w:t>
      </w:r>
    </w:p>
    <w:p w:rsidR="00BE1EFE" w:rsidRDefault="00BE1EFE">
      <w:pPr>
        <w:pStyle w:val="StandardWeb"/>
      </w:pPr>
    </w:p>
    <w:p w:rsidR="00BE1EFE" w:rsidRDefault="00BE1EFE">
      <w:pPr>
        <w:pStyle w:val="StandardWeb"/>
      </w:pPr>
      <w:r>
        <w:t>(2) Privat krankenversicherte Beschäftigte und deren privat krankenversicherte berücksichti</w:t>
      </w:r>
      <w:r>
        <w:softHyphen/>
        <w:t xml:space="preserve">gungsfähige Angehörige erhalten Beihilfeleistungen wie in der privaten Krankenversicherung versicherte Arbeitnehmer des Freistaates Bayern mit Beitragszuschuss des Arbeitgebers nach </w:t>
      </w:r>
      <w:hyperlink r:id="rId1863" w:tgtFrame="_blank" w:history="1">
        <w:r>
          <w:rPr>
            <w:rStyle w:val="Hyperlink"/>
          </w:rPr>
          <w:t>§ 257 SGB V</w:t>
        </w:r>
      </w:hyperlink>
      <w:r>
        <w:t>.</w:t>
      </w:r>
    </w:p>
    <w:p w:rsidR="00BE1EFE" w:rsidRDefault="00BE1EFE">
      <w:pPr>
        <w:pStyle w:val="StandardWeb"/>
      </w:pPr>
    </w:p>
    <w:p w:rsidR="00BE1EFE" w:rsidRDefault="00BE1EFE">
      <w:pPr>
        <w:pStyle w:val="StandardWeb"/>
      </w:pPr>
      <w:r>
        <w:t>(2a) </w:t>
      </w:r>
      <w:r>
        <w:rPr>
          <w:rStyle w:val="kleinschrift"/>
        </w:rPr>
        <w:t>1</w:t>
      </w:r>
      <w:r>
        <w:t>Ehegatten von Beschäftigten nach Abs. 2, die auf Grund eines eigenen Beschäfti</w:t>
      </w:r>
      <w:r>
        <w:softHyphen/>
        <w:t>gungsverhältnisses in der gesetzlichen Krankenversicherung versichert sind, und deren mitversicherte berücksichtigungsfähige Kinder sowie berücksichtigungsfähige Kinder, die selbst in der gesetzlichen Krankenversicherung versichert sind, erhalten Beihilfeleistungen wie berücksichtigungsfähige Angehörige von in der gesetzlichen Krankenversicherung pflicht</w:t>
      </w:r>
      <w:r>
        <w:softHyphen/>
        <w:t xml:space="preserve">versicherten Arbeitnehmern des Freistaates Bayern. </w:t>
      </w:r>
      <w:r>
        <w:rPr>
          <w:rStyle w:val="kleinschrift"/>
        </w:rPr>
        <w:t>2</w:t>
      </w:r>
      <w:r>
        <w:t>Privat krankenversicherte Ehegatten mit eigenem Beschäftigungsverhältnis erhalten keine Beihilfeleistungen.</w:t>
      </w:r>
    </w:p>
    <w:p w:rsidR="00BE1EFE" w:rsidRDefault="00BE1EFE">
      <w:pPr>
        <w:pStyle w:val="StandardWeb"/>
      </w:pPr>
    </w:p>
    <w:p w:rsidR="00BE1EFE" w:rsidRDefault="00BE1EFE">
      <w:pPr>
        <w:pStyle w:val="StandardWeb"/>
      </w:pPr>
      <w:r>
        <w:t>(3) Die Einkommensgrenze des</w:t>
      </w:r>
      <w:hyperlink r:id="rId1864" w:tgtFrame="_blank" w:history="1">
        <w:r>
          <w:rPr>
            <w:rStyle w:val="Hyperlink"/>
          </w:rPr>
          <w:t xml:space="preserve"> § 7 Abs. 4 Nr. 2 BayBhV</w:t>
        </w:r>
      </w:hyperlink>
      <w:r>
        <w:t xml:space="preserve"> findet keine Anwendung.</w:t>
      </w:r>
    </w:p>
    <w:p w:rsidR="00BE1EFE" w:rsidRDefault="00BE1EFE">
      <w:pPr>
        <w:pStyle w:val="StandardWeb"/>
      </w:pPr>
    </w:p>
    <w:p w:rsidR="00BE1EFE" w:rsidRDefault="00BE1EFE">
      <w:pPr>
        <w:pStyle w:val="StandardWeb"/>
      </w:pPr>
      <w:r>
        <w:t>(4) Unabhängig vom Beschäftigungsumfang werden die jeweiligen Beihilfeleistungen in vollem Umfang erbracht.</w:t>
      </w:r>
    </w:p>
    <w:p w:rsidR="00BE1EFE" w:rsidRDefault="00BE1EFE">
      <w:pPr>
        <w:pStyle w:val="StandardWeb"/>
      </w:pPr>
    </w:p>
    <w:p w:rsidR="00BE1EFE" w:rsidRDefault="00BE1EFE">
      <w:pPr>
        <w:pStyle w:val="StandardWeb"/>
      </w:pPr>
      <w:r>
        <w:t xml:space="preserve">(5) Mitarbeiter und Mitarbeiterinnen, die nach Erreichen der Altersgrenze des </w:t>
      </w:r>
      <w:hyperlink r:id="rId1865" w:history="1">
        <w:r w:rsidRPr="002D1F1D">
          <w:rPr>
            <w:rStyle w:val="Hyperlink"/>
          </w:rPr>
          <w:t>§ 33 Abs. 1 Buchst. a ABD Teil A, 1.</w:t>
        </w:r>
      </w:hyperlink>
      <w:r>
        <w:t xml:space="preserve"> weiter beschäftigt werden, erhalten aus dieser Beschäftigung keine Beihilfeleistungen.</w:t>
      </w:r>
    </w:p>
    <w:p w:rsidR="00BE1EFE" w:rsidRDefault="00BE1EFE">
      <w:pPr>
        <w:pStyle w:val="berschrift6"/>
      </w:pPr>
      <w:bookmarkStart w:id="1239" w:name="_Toc523926755"/>
      <w:r>
        <w:t>§ 7a Beschäftigte im Sinne des § 36 b Teil A, 1.</w:t>
      </w:r>
      <w:bookmarkEnd w:id="123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Beschäftigte im Sinne des </w:t>
      </w:r>
      <w:hyperlink r:id="rId1866" w:history="1">
        <w:r w:rsidRPr="002D1F1D">
          <w:rPr>
            <w:rStyle w:val="Hyperlink"/>
          </w:rPr>
          <w:t>§ 36 b</w:t>
        </w:r>
        <w:r>
          <w:rPr>
            <w:rStyle w:val="Hyperlink"/>
          </w:rPr>
          <w:t xml:space="preserve"> </w:t>
        </w:r>
        <w:r w:rsidRPr="002D1F1D">
          <w:rPr>
            <w:rStyle w:val="Hyperlink"/>
          </w:rPr>
          <w:t>ABD Teil A, 1.</w:t>
        </w:r>
      </w:hyperlink>
      <w:r>
        <w:t xml:space="preserve"> erhalten nach Ablauf der jeweiligen diözesanen Wartezeit auf Kosten des kirchlichen Dienstgebers für die Dauer der Beschäftigung, auch im Falle der Elternzeit oder des Sonderurlaubs aus familienpolitischen Gründen, Beihilfeleistungen im jeweiligen Umfang des Tarifs 820 K. </w:t>
      </w:r>
      <w:r>
        <w:rPr>
          <w:rStyle w:val="kleinschrift"/>
        </w:rPr>
        <w:t>2</w:t>
      </w:r>
      <w:r>
        <w:t xml:space="preserve">Bei entsprechender schriftlicher Zusage werden die Beihilfeleistungen auch im Falle der Beendigung des </w:t>
      </w:r>
      <w:r>
        <w:lastRenderedPageBreak/>
        <w:t>Arbeitsverhältnisses wegen des Bezugs einer Rente wegen Erwerbsminderung</w:t>
      </w:r>
      <w:r>
        <w:rPr>
          <w:vertAlign w:val="superscript"/>
        </w:rPr>
        <w:t xml:space="preserve"> 2</w:t>
      </w:r>
      <w:r>
        <w:t xml:space="preserve"> oder wegen Alters gewährt.</w:t>
      </w:r>
    </w:p>
    <w:p w:rsidR="00BE1EFE" w:rsidRPr="000B1AF8" w:rsidRDefault="00BE1EFE">
      <w:pPr>
        <w:pStyle w:val="StandardWeb"/>
      </w:pPr>
    </w:p>
    <w:p w:rsidR="00BE1EFE" w:rsidRDefault="00BE1EFE">
      <w:pPr>
        <w:jc w:val="both"/>
      </w:pPr>
      <w:r>
        <w:rPr>
          <w:vertAlign w:val="superscript"/>
        </w:rPr>
        <w:t>2</w:t>
      </w:r>
      <w:r w:rsidRPr="009C6551">
        <w:rPr>
          <w:rStyle w:val="kleinschrift1"/>
        </w:rPr>
        <w:t xml:space="preserve"> </w:t>
      </w:r>
      <w:r>
        <w:rPr>
          <w:rStyle w:val="kleinschrift"/>
        </w:rPr>
        <w:t>d. h. Berufsunfähigkeit oder Erwerbsunfähigkeit</w:t>
      </w:r>
    </w:p>
    <w:p w:rsidR="00BE1EFE" w:rsidRDefault="00BE1EFE">
      <w:pPr>
        <w:jc w:val="both"/>
      </w:pPr>
    </w:p>
    <w:p w:rsidR="00BE1EFE" w:rsidRDefault="00BE1EFE">
      <w:pPr>
        <w:pStyle w:val="StandardWeb"/>
      </w:pPr>
      <w:r>
        <w:t>(2) Gesetzlich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 xml:space="preserve">(3) Solange der/die Beschäftigte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67" w:tgtFrame="_blank" w:history="1">
        <w:r>
          <w:rPr>
            <w:rStyle w:val="Hyperlink"/>
          </w:rPr>
          <w:t>§ 257 SGB V</w:t>
        </w:r>
      </w:hyperlink>
      <w:r>
        <w:t>.</w:t>
      </w:r>
    </w:p>
    <w:p w:rsidR="00BE1EFE" w:rsidRDefault="00BE1EFE">
      <w:pPr>
        <w:pStyle w:val="StandardWeb"/>
      </w:pPr>
    </w:p>
    <w:p w:rsidR="00BE1EFE" w:rsidRDefault="00BE1EFE">
      <w:pPr>
        <w:pStyle w:val="StandardWeb"/>
      </w:pPr>
      <w:r>
        <w:t xml:space="preserve">(4) </w:t>
      </w:r>
      <w:hyperlink r:id="rId1868" w:history="1">
        <w:r w:rsidRPr="002D1F1D">
          <w:rPr>
            <w:rStyle w:val="Hyperlink"/>
          </w:rPr>
          <w:t>§ 7 Abs. 3 und Abs. 4</w:t>
        </w:r>
      </w:hyperlink>
      <w:r>
        <w:t xml:space="preserve"> gelten entsprechend.</w:t>
      </w:r>
    </w:p>
    <w:p w:rsidR="00BE1EFE" w:rsidRDefault="00BE1EFE">
      <w:pPr>
        <w:pStyle w:val="berschrift6"/>
      </w:pPr>
      <w:bookmarkStart w:id="1240" w:name="_Toc523926756"/>
      <w:r>
        <w:t>§ 7b Schriftliche Zusagen auf Beihilfeleistungen im jeweiligen Umfang des Tarifs 820 K</w:t>
      </w:r>
      <w:bookmarkEnd w:id="124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Gesetzlich krankenversicherte Beschäftigte erhalten bei entsprechender schriftlicher Zusage auf Kosten des kirchlichen Dienstgebers für die Dauer der Beschäftigung, auch im Falle der Elternzeit oder des Sonderurlaubs aus familienpolitischen Gründen, Beihilfe</w:t>
      </w:r>
      <w:r>
        <w:softHyphen/>
        <w:t xml:space="preserve">leistungen im jeweiligen Umfang des Tarifs 820 K sowie bei weitergehender Zusage auch im Falle der Beendigung des Arbeitsverhältnisses wegen des Bezugs einer Rente wegen Erwerbsminderung </w:t>
      </w:r>
      <w:r>
        <w:rPr>
          <w:vertAlign w:val="superscript"/>
        </w:rPr>
        <w:t>3</w:t>
      </w:r>
      <w:r w:rsidRPr="009C6551">
        <w:rPr>
          <w:rStyle w:val="kleinschrift1"/>
        </w:rPr>
        <w:t xml:space="preserve"> </w:t>
      </w:r>
      <w:r>
        <w:t>oder wegen Alters.</w:t>
      </w:r>
    </w:p>
    <w:p w:rsidR="00BE1EFE" w:rsidRPr="000B1AF8" w:rsidRDefault="00BE1EFE">
      <w:pPr>
        <w:pStyle w:val="StandardWeb"/>
      </w:pPr>
    </w:p>
    <w:p w:rsidR="00BE1EFE" w:rsidRDefault="00BE1EFE">
      <w:pPr>
        <w:pStyle w:val="StandardWeb"/>
      </w:pPr>
      <w:r>
        <w:t>(2) Gesetzlich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 xml:space="preserve">(3) Solange der/die Beschäftigte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69" w:tgtFrame="_blank" w:history="1">
        <w:r>
          <w:rPr>
            <w:rStyle w:val="Hyperlink"/>
          </w:rPr>
          <w:t>§ 257 SGB V</w:t>
        </w:r>
      </w:hyperlink>
      <w:r>
        <w:t>.</w:t>
      </w:r>
    </w:p>
    <w:p w:rsidR="00BE1EFE" w:rsidRDefault="00BE1EFE">
      <w:pPr>
        <w:pStyle w:val="StandardWeb"/>
      </w:pPr>
    </w:p>
    <w:p w:rsidR="00BE1EFE" w:rsidRDefault="00BE1EFE">
      <w:pPr>
        <w:pStyle w:val="StandardWeb"/>
      </w:pPr>
      <w:r>
        <w:t>(4) </w:t>
      </w:r>
      <w:hyperlink r:id="rId1870" w:history="1">
        <w:r w:rsidRPr="002D1F1D">
          <w:rPr>
            <w:rStyle w:val="Hyperlink"/>
          </w:rPr>
          <w:t>§ 7 Abs. 3 und Abs. 4</w:t>
        </w:r>
      </w:hyperlink>
      <w:r>
        <w:t xml:space="preserve"> gelten entsprechend.</w:t>
      </w:r>
    </w:p>
    <w:p w:rsidR="00BE1EFE" w:rsidRDefault="00BE1EFE">
      <w:pPr>
        <w:pStyle w:val="StandardWeb"/>
      </w:pPr>
    </w:p>
    <w:p w:rsidR="00BE1EFE" w:rsidRDefault="00BE1EFE">
      <w:pPr>
        <w:pStyle w:val="StandardWeb"/>
      </w:pPr>
      <w:r>
        <w:rPr>
          <w:vertAlign w:val="superscript"/>
        </w:rPr>
        <w:t>3</w:t>
      </w:r>
      <w:r w:rsidRPr="009C6551">
        <w:rPr>
          <w:rStyle w:val="kleinschrift1"/>
        </w:rPr>
        <w:t xml:space="preserve"> </w:t>
      </w:r>
      <w:r>
        <w:rPr>
          <w:rStyle w:val="kleinschrift"/>
        </w:rPr>
        <w:t>d. h. Berufsunfähigkeit oder Erwerbsunfähigkeit</w:t>
      </w:r>
    </w:p>
    <w:p w:rsidR="00BE1EFE" w:rsidRDefault="00BE1EFE">
      <w:pPr>
        <w:pStyle w:val="berschrift6"/>
      </w:pPr>
      <w:bookmarkStart w:id="1241" w:name="_Toc523926757"/>
      <w:r>
        <w:t>§ 7c Schriftliche Zusagen für Beschäftigte im Sinne des § 7 Abs. 2</w:t>
      </w:r>
      <w:bookmarkEnd w:id="124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Privat krankenversicherte Beschäftigte im Sinne des </w:t>
      </w:r>
      <w:hyperlink r:id="rId1871" w:history="1">
        <w:r w:rsidRPr="002D1F1D">
          <w:rPr>
            <w:rStyle w:val="Hyperlink"/>
          </w:rPr>
          <w:t>§ 7 Abs. 2</w:t>
        </w:r>
      </w:hyperlink>
      <w:r>
        <w:t xml:space="preserve"> erhalten bei entsprechen</w:t>
      </w:r>
      <w:r>
        <w:softHyphen/>
        <w:t>der schriftlicher Zusage Beihilfeleistungen auch im Falle der Elternzeit oder des Sonder</w:t>
      </w:r>
      <w:r>
        <w:softHyphen/>
        <w:t>urlaubs aus familienpolitischen Gründen sowie bei weitergehender Zusage auch im Falle der Beendigung des Arbeitsverhältnisses wegen des Bezugs einer Rente wegen Erwerbsminderung</w:t>
      </w:r>
      <w:r>
        <w:rPr>
          <w:vertAlign w:val="superscript"/>
        </w:rPr>
        <w:t xml:space="preserve">4 </w:t>
      </w:r>
      <w:r>
        <w:t>oder wegen Alters.</w:t>
      </w:r>
    </w:p>
    <w:p w:rsidR="00BE1EFE" w:rsidRPr="000B1AF8" w:rsidRDefault="00BE1EFE">
      <w:pPr>
        <w:pStyle w:val="StandardWeb"/>
      </w:pPr>
    </w:p>
    <w:p w:rsidR="00BE1EFE" w:rsidRDefault="00BE1EFE">
      <w:pPr>
        <w:pStyle w:val="StandardWeb"/>
      </w:pPr>
      <w:r>
        <w:t>(2) Privat krankenversicherte berücksichtigungsfähige Angehörige von Beschäftigten im Sinne des Abs. 1 erhalten Beihilfeleistungen wie der Beschäftigte.</w:t>
      </w:r>
    </w:p>
    <w:p w:rsidR="00BE1EFE" w:rsidRDefault="00BE1EFE">
      <w:pPr>
        <w:pStyle w:val="StandardWeb"/>
      </w:pPr>
    </w:p>
    <w:p w:rsidR="00BE1EFE" w:rsidRDefault="00BE1EFE">
      <w:pPr>
        <w:pStyle w:val="StandardWeb"/>
      </w:pPr>
      <w:r>
        <w:t>(3) Solange der/die Beschäftigte Beihilfeleistungen nach Abs. 1 erhält, erhalten seine/ihre gesetzlich krankenversicherten berücksichtigungsfähigen Angehörigen auf Kosten des kirchlichen Dienstgebers Beihilfeleistungen im jeweiligen Umfang des Tarifs 820 K.</w:t>
      </w:r>
    </w:p>
    <w:p w:rsidR="00BE1EFE" w:rsidRDefault="00BE1EFE">
      <w:pPr>
        <w:pStyle w:val="StandardWeb"/>
      </w:pPr>
    </w:p>
    <w:p w:rsidR="00BE1EFE" w:rsidRDefault="00BE1EFE">
      <w:pPr>
        <w:pStyle w:val="StandardWeb"/>
      </w:pPr>
      <w:r>
        <w:lastRenderedPageBreak/>
        <w:t xml:space="preserve">(4) </w:t>
      </w:r>
      <w:hyperlink r:id="rId1872" w:history="1">
        <w:r w:rsidRPr="002D1F1D">
          <w:rPr>
            <w:rStyle w:val="Hyperlink"/>
          </w:rPr>
          <w:t>§ 7 Abs. 3 und Abs. 4</w:t>
        </w:r>
      </w:hyperlink>
      <w:r>
        <w:t xml:space="preserve"> gelten entsprechend.</w:t>
      </w:r>
    </w:p>
    <w:p w:rsidR="00BE1EFE" w:rsidRDefault="00BE1EFE">
      <w:pPr>
        <w:pStyle w:val="StandardWeb"/>
      </w:pPr>
      <w:r>
        <w:rPr>
          <w:vertAlign w:val="superscript"/>
        </w:rPr>
        <w:t>4</w:t>
      </w:r>
      <w:r w:rsidRPr="009C6551">
        <w:rPr>
          <w:rStyle w:val="kleinschrift1"/>
        </w:rPr>
        <w:t xml:space="preserve"> </w:t>
      </w:r>
      <w:r>
        <w:rPr>
          <w:rStyle w:val="kleinschrift"/>
        </w:rPr>
        <w:t>d. h. Berufsunfähigkeit oder Erwerbsunfähigkeit</w:t>
      </w:r>
    </w:p>
    <w:p w:rsidR="00BE1EFE" w:rsidRDefault="00BE1EFE">
      <w:pPr>
        <w:pStyle w:val="berschrift6"/>
      </w:pPr>
      <w:bookmarkStart w:id="1242" w:name="_Toc523926758"/>
      <w:r>
        <w:t>§ 7d Übergangsregelung für privat krankenversicherte Arbeitnehmer, die den Arbeitgeberzuschuss nicht in Anspruch nehmen</w:t>
      </w:r>
      <w:bookmarkEnd w:id="124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Vor dem 01. 07. 1996 privat krankenversicherte Beschäftigte, die den Arbeitgeberzuschuss nicht in Anspruch nehmen, erhalten für die Dauer der Beschäftigung Beihilfeleistungen wie privat krankenversicherte Arbeitnehmer des Freistaates Bayern, die den Beitragszuschuss des Arbeitgebers nach </w:t>
      </w:r>
      <w:hyperlink r:id="rId1873" w:tgtFrame="_blank" w:history="1">
        <w:r>
          <w:rPr>
            <w:rStyle w:val="Hyperlink"/>
          </w:rPr>
          <w:t>§ 257 SGB V</w:t>
        </w:r>
      </w:hyperlink>
      <w:r>
        <w:t xml:space="preserve"> nicht in Anspruch nehmen, wobei Aufwendungen bei dauernder Pflegebedürftigkeit im Sinne der</w:t>
      </w:r>
      <w:hyperlink r:id="rId1874" w:tgtFrame="_blank" w:history="1">
        <w:r>
          <w:rPr>
            <w:rStyle w:val="Hyperlink"/>
          </w:rPr>
          <w:t xml:space="preserve"> §§ 31 bis 38 und 39 Satz 3 BayBhV</w:t>
        </w:r>
      </w:hyperlink>
      <w:r>
        <w:t xml:space="preserve"> nicht beihilfefähig sind.</w:t>
      </w:r>
    </w:p>
    <w:p w:rsidR="00BE1EFE" w:rsidRPr="000B1AF8" w:rsidRDefault="00BE1EFE">
      <w:pPr>
        <w:pStyle w:val="StandardWeb"/>
      </w:pPr>
    </w:p>
    <w:p w:rsidR="00BE1EFE" w:rsidRDefault="00BE1EFE">
      <w:pPr>
        <w:pStyle w:val="StandardWeb"/>
      </w:pPr>
      <w:r>
        <w:t>(2) Privat krankenversicherte berücksichtigungsfähige Angehörige von Beschäftigten im Sinne des Abs. 1 erhalten Beihilfeleistungen wie Angehörige eines in der privaten Krankenver</w:t>
      </w:r>
      <w:r>
        <w:softHyphen/>
        <w:t xml:space="preserve">sicherung versicherten Arbeitnehmers des Freistaates Bayern, der den Beitragszuschuss des Arbeitgebers nach </w:t>
      </w:r>
      <w:hyperlink r:id="rId1875" w:tgtFrame="_blank" w:history="1">
        <w:r>
          <w:rPr>
            <w:rStyle w:val="Hyperlink"/>
          </w:rPr>
          <w:t>§ 257 SGB V</w:t>
        </w:r>
      </w:hyperlink>
      <w:r>
        <w:t xml:space="preserve"> nicht in Anspruch nimmt, mit der Maßgabe, dass sie bei Übersteigen der Einkommensgrenze des </w:t>
      </w:r>
      <w:hyperlink r:id="rId1876" w:tgtFrame="_blank" w:history="1">
        <w:r>
          <w:rPr>
            <w:rStyle w:val="Hyperlink"/>
          </w:rPr>
          <w:t>§ 7 Abs. 4 Nr. 2 BayBhV</w:t>
        </w:r>
      </w:hyperlink>
      <w:r>
        <w:t xml:space="preserve"> Beihilfeleistungen wie Angehörige eines in der privaten Krankenversicherung versicherten Arbeitnehmers des Freistaates Bayern mit Beitragszuschuss des Arbeitgebers nach </w:t>
      </w:r>
      <w:hyperlink r:id="rId1877" w:tgtFrame="_blank" w:history="1">
        <w:r>
          <w:rPr>
            <w:rStyle w:val="Hyperlink"/>
          </w:rPr>
          <w:t>§ 257 SGB V</w:t>
        </w:r>
      </w:hyperlink>
      <w:r>
        <w:t xml:space="preserve"> erhalten.</w:t>
      </w:r>
    </w:p>
    <w:p w:rsidR="00BE1EFE" w:rsidRDefault="00BE1EFE">
      <w:pPr>
        <w:pStyle w:val="StandardWeb"/>
      </w:pPr>
    </w:p>
    <w:p w:rsidR="00BE1EFE" w:rsidRDefault="00BE1EFE">
      <w:pPr>
        <w:pStyle w:val="StandardWeb"/>
      </w:pPr>
      <w:r>
        <w:t>(3) </w:t>
      </w:r>
      <w:r>
        <w:rPr>
          <w:rStyle w:val="kleinschrift"/>
        </w:rPr>
        <w:t>1</w:t>
      </w:r>
      <w:r>
        <w:t xml:space="preserve">Gesetzlich krankenversicherte berücksichtigungsfähige Angehörige von Beschäftigten im Sinne des Abs. 1 erhalten Beihilfeleistungen wie Angehörige eines in der gesetzlichen Krankenversicherung pflichtversicherten Arbeitnehmers des Freistaates Bayern. </w:t>
      </w:r>
      <w:r>
        <w:rPr>
          <w:rStyle w:val="kleinschrift"/>
        </w:rPr>
        <w:t>2</w:t>
      </w:r>
      <w:r>
        <w:t xml:space="preserve">Darüber hinaus erhalten sie auf Kosten des kirchlichen Dienstgebers Beihilfeleistungen im jeweiligen Umfang des Tarifs 820 K. </w:t>
      </w:r>
      <w:r>
        <w:rPr>
          <w:rStyle w:val="kleinschrift"/>
        </w:rPr>
        <w:t>3</w:t>
      </w:r>
      <w:r>
        <w:t xml:space="preserve">Die Einkommensgrenze des </w:t>
      </w:r>
      <w:hyperlink r:id="rId1878" w:tgtFrame="_blank" w:history="1">
        <w:r>
          <w:rPr>
            <w:rStyle w:val="Hyperlink"/>
          </w:rPr>
          <w:t>§ 7 Abs. 4 Nr. 2 BayBhV</w:t>
        </w:r>
      </w:hyperlink>
      <w:r>
        <w:t xml:space="preserve"> findet keine Anwendung.</w:t>
      </w:r>
    </w:p>
    <w:p w:rsidR="00BE1EFE" w:rsidRDefault="00BE1EFE">
      <w:pPr>
        <w:pStyle w:val="StandardWeb"/>
      </w:pPr>
      <w:r>
        <w:t>(4) </w:t>
      </w:r>
      <w:r>
        <w:rPr>
          <w:rStyle w:val="kleinschrift"/>
        </w:rPr>
        <w:t>1</w:t>
      </w:r>
      <w:r>
        <w:t>Die Regelungen der Abs. 1-3 gelten, solange der Freistaat Bayern privat krankenver</w:t>
      </w:r>
      <w:r>
        <w:softHyphen/>
        <w:t xml:space="preserve">sicherten Arbeitnehmern, die den Beitragszuschuss des Arbeitgebers nach </w:t>
      </w:r>
      <w:hyperlink r:id="rId1879" w:tgtFrame="_blank" w:history="1">
        <w:r>
          <w:rPr>
            <w:rStyle w:val="Hyperlink"/>
          </w:rPr>
          <w:t>§ 257 SGB V</w:t>
        </w:r>
      </w:hyperlink>
      <w:r>
        <w:t xml:space="preserve"> nicht in Anspruch nehmen, und deren Angehörigen Beihilfeleistungen im derzeitigen Umfang gewährt. </w:t>
      </w:r>
      <w:r>
        <w:rPr>
          <w:rStyle w:val="kleinschrift"/>
        </w:rPr>
        <w:t>2</w:t>
      </w:r>
      <w:r>
        <w:t>Bei Wegfall der Beihilfeleistungen im jeweiligen Umfang des Tarifs 820 K (Abs. 3), kann der Angehörige auf Kosten des/der Beschäftigten im Tarif 820 K weiterversichert werden.</w:t>
      </w:r>
    </w:p>
    <w:p w:rsidR="00BE1EFE" w:rsidRDefault="00BE1EFE">
      <w:pPr>
        <w:pStyle w:val="StandardWeb"/>
      </w:pPr>
    </w:p>
    <w:p w:rsidR="00BE1EFE" w:rsidRDefault="00BE1EFE" w:rsidP="006F64DE">
      <w:pPr>
        <w:pStyle w:val="berschrift6"/>
        <w:rPr>
          <w:lang w:eastAsia="x-none"/>
        </w:rPr>
      </w:pPr>
      <w:bookmarkStart w:id="1243" w:name="_Toc523926759"/>
      <w:r>
        <w:t>§ 7</w:t>
      </w:r>
      <w:r>
        <w:rPr>
          <w:lang w:eastAsia="x-none"/>
        </w:rPr>
        <w:t>e</w:t>
      </w:r>
      <w:r>
        <w:t xml:space="preserve"> </w:t>
      </w:r>
      <w:r w:rsidRPr="006F64DE">
        <w:t>Schriftliche Zusagen für Lehrkräfte gemäß ABD Teil B, 4.1. an Schulen in kirchlicher Trägerschaft auf Beihilfeleis</w:t>
      </w:r>
      <w:r>
        <w:t>tungen im jeweiligen Umfang des</w:t>
      </w:r>
      <w:r>
        <w:rPr>
          <w:lang w:eastAsia="x-none"/>
        </w:rPr>
        <w:t xml:space="preserve"> </w:t>
      </w:r>
      <w:r w:rsidRPr="006F64DE">
        <w:t>Tarifs 820 K Plus (ab 01.05.2018)</w:t>
      </w:r>
      <w:bookmarkEnd w:id="1243"/>
    </w:p>
    <w:p w:rsidR="00BE1EFE" w:rsidRDefault="00BE1EFE" w:rsidP="006F64DE">
      <w:pPr>
        <w:pStyle w:val="StandardWeb"/>
      </w:pPr>
      <w:r>
        <w:t>(1) Gesetzlich krankenversicherte Lehrkräfte gemäß ABD Teil B, 4.1., auf deren Ar-beitsverhältnis das Arbeitsvertragsrecht der bayerischen Diözesen (ABD) Anwendung findet und deren Arbeitsverhältnis am 01.05.2018 besteht oder danach beginnt, erhalten bei entsprechender schriftlicher Zusage auf Kosten des kirchlichen Dienstgebers für die Dauer der Beschäftigung, auch im Falle der Elternzeit oder des Sonderurlaubs aus familienpolitischen Gründen, Beihilfeleistungen im jeweiligen Umfang des Tarifs 820 K Plus sowie bei weitergehender Zusage auch im Falle der Beendigung des Arbeitsverhältnisses wegen des Bezugs einer Rente wegen Erwerbsminderung</w:t>
      </w:r>
      <w:r w:rsidRPr="006F64DE">
        <w:rPr>
          <w:vertAlign w:val="superscript"/>
        </w:rPr>
        <w:t>1</w:t>
      </w:r>
      <w:r>
        <w:t xml:space="preserve"> oder wegen Alters.</w:t>
      </w:r>
    </w:p>
    <w:p w:rsidR="00BE1EFE" w:rsidRPr="006F64DE" w:rsidRDefault="00BE1EFE" w:rsidP="006F64DE">
      <w:pPr>
        <w:pStyle w:val="StandardWeb"/>
        <w:rPr>
          <w:sz w:val="12"/>
          <w:szCs w:val="12"/>
        </w:rPr>
      </w:pPr>
      <w:r w:rsidRPr="006F64DE">
        <w:rPr>
          <w:vertAlign w:val="superscript"/>
        </w:rPr>
        <w:t>1</w:t>
      </w:r>
      <w:r w:rsidRPr="006F64DE">
        <w:rPr>
          <w:sz w:val="12"/>
          <w:szCs w:val="12"/>
        </w:rPr>
        <w:t>d. h. Berufsunfähigkeit oder Erwerbsunfähigkeit</w:t>
      </w:r>
    </w:p>
    <w:p w:rsidR="00BE1EFE" w:rsidRDefault="00BE1EFE" w:rsidP="006F64DE">
      <w:pPr>
        <w:pStyle w:val="StandardWeb"/>
      </w:pPr>
      <w:r>
        <w:t>(2) Gesetzlich krankenversicherte berücksichtigungsfähige Angehörige von Lehrkräften im Sinne des Abs. 1 erhalten Beihilfeleistungen wie die Lehrkraft.</w:t>
      </w:r>
    </w:p>
    <w:p w:rsidR="00BE1EFE" w:rsidRDefault="00BE1EFE" w:rsidP="006F64DE">
      <w:pPr>
        <w:pStyle w:val="StandardWeb"/>
      </w:pPr>
    </w:p>
    <w:p w:rsidR="00BE1EFE" w:rsidRDefault="00BE1EFE" w:rsidP="006F64DE">
      <w:pPr>
        <w:pStyle w:val="StandardWeb"/>
      </w:pPr>
      <w:r>
        <w:t xml:space="preserve">(3) Solange die Lehrkraft Beihilfeleistungen nach Abs. 1 erhält, erhalten seine/ihre privat krankenversicherten berücksichtigungsfähigen Angehörigen Beihilfeleistungen wie Angehörige von privat krankenversicherten Arbeitnehmern des Freistaates Bayern mit Beitragszuschuss des Arbeitgebers nach </w:t>
      </w:r>
      <w:hyperlink r:id="rId1880" w:history="1">
        <w:r w:rsidRPr="006F64DE">
          <w:rPr>
            <w:rStyle w:val="Hyperlink"/>
          </w:rPr>
          <w:t>§ 257 SGB V</w:t>
        </w:r>
      </w:hyperlink>
      <w:r>
        <w:t>.</w:t>
      </w:r>
    </w:p>
    <w:p w:rsidR="00BE1EFE" w:rsidRDefault="00BE1EFE" w:rsidP="006F64DE">
      <w:pPr>
        <w:pStyle w:val="StandardWeb"/>
      </w:pPr>
    </w:p>
    <w:p w:rsidR="00BE1EFE" w:rsidRDefault="00BE1EFE" w:rsidP="006F64DE">
      <w:pPr>
        <w:pStyle w:val="StandardWeb"/>
      </w:pPr>
      <w:r>
        <w:t>(4) § 7 Abs. 3 und Abs. 4 gelten entsprechend.</w:t>
      </w:r>
    </w:p>
    <w:p w:rsidR="00BE1EFE" w:rsidRDefault="00BE1EFE" w:rsidP="006F64DE">
      <w:pPr>
        <w:pStyle w:val="StandardWeb"/>
      </w:pPr>
    </w:p>
    <w:p w:rsidR="00BE1EFE" w:rsidRPr="00F77342" w:rsidRDefault="00BE1EFE" w:rsidP="006F64DE">
      <w:pPr>
        <w:pStyle w:val="berschrift6"/>
        <w:rPr>
          <w:lang w:eastAsia="x-none"/>
        </w:rPr>
      </w:pPr>
      <w:bookmarkStart w:id="1244" w:name="_Toc523926760"/>
      <w:r>
        <w:t>§ 7</w:t>
      </w:r>
      <w:r>
        <w:rPr>
          <w:lang w:eastAsia="x-none"/>
        </w:rPr>
        <w:t>f</w:t>
      </w:r>
      <w:r>
        <w:t xml:space="preserve"> </w:t>
      </w:r>
      <w:r w:rsidRPr="00F77342">
        <w:t>Schriftliche Zusagen für Lehrkräfte gemäß ABD Teil B, 4.1 an Schulen in kirchlicher Trägerschaft im Sinne des § 7 Abs. 2 (ab 01.05.2018)</w:t>
      </w:r>
      <w:bookmarkEnd w:id="1244"/>
    </w:p>
    <w:p w:rsidR="00BE1EFE" w:rsidRDefault="00BE1EFE" w:rsidP="00F77342">
      <w:pPr>
        <w:pStyle w:val="StandardWeb"/>
      </w:pPr>
      <w:r>
        <w:t>(1) Privat krankenversicherte Lehrkräfte gemäß ABD Teil B, 4.1. im Sinne des § 7 Abs. 2, auf deren Arbeitsverhältnis das Arbeitsvertragsrecht der bayerischen Diözesen (ABD) Anwendung findet und deren Arbeitsverhältnis am 01.05.2018 besteht oder danach beginnt, erhalten bei entsprechender schriftlicher Zusage Beihilfeleistungen auch im Falle der Elternzeit oder des Sonderurlaubs aus familienpolitischen Gründen sowie bei weitergehender Zusage auch im Falle der Beendigung des Arbeitsverhältnisses wegen des Bezugs einer Rente wegen Erwerbsminderung</w:t>
      </w:r>
      <w:r w:rsidRPr="00F77342">
        <w:rPr>
          <w:vertAlign w:val="superscript"/>
        </w:rPr>
        <w:t>1</w:t>
      </w:r>
      <w:r>
        <w:t xml:space="preserve"> oder wegen Alters.</w:t>
      </w:r>
    </w:p>
    <w:p w:rsidR="00BE1EFE" w:rsidRPr="00F77342" w:rsidRDefault="00BE1EFE" w:rsidP="00F77342">
      <w:pPr>
        <w:pStyle w:val="StandardWeb"/>
        <w:rPr>
          <w:sz w:val="12"/>
          <w:szCs w:val="12"/>
        </w:rPr>
      </w:pPr>
      <w:r w:rsidRPr="00F77342">
        <w:rPr>
          <w:vertAlign w:val="superscript"/>
        </w:rPr>
        <w:t>1</w:t>
      </w:r>
      <w:r w:rsidRPr="00F77342">
        <w:rPr>
          <w:sz w:val="12"/>
          <w:szCs w:val="12"/>
        </w:rPr>
        <w:t>d. h. Berufsunfähigkeit oder Erwerbsunfähigkeit</w:t>
      </w:r>
    </w:p>
    <w:p w:rsidR="00BE1EFE" w:rsidRDefault="00BE1EFE" w:rsidP="00F77342">
      <w:pPr>
        <w:pStyle w:val="StandardWeb"/>
      </w:pPr>
    </w:p>
    <w:p w:rsidR="00BE1EFE" w:rsidRDefault="00BE1EFE" w:rsidP="00F77342">
      <w:pPr>
        <w:pStyle w:val="StandardWeb"/>
      </w:pPr>
      <w:r>
        <w:t>(2) Privat krankenversicherte berücksichtigungsfähige Angehörige von Beschäftigten im Sinne des Abs.1 erhalten Beihilfeleistungen wie die Lehrkraft.</w:t>
      </w:r>
    </w:p>
    <w:p w:rsidR="00BE1EFE" w:rsidRDefault="00BE1EFE" w:rsidP="00F77342">
      <w:pPr>
        <w:pStyle w:val="StandardWeb"/>
      </w:pPr>
    </w:p>
    <w:p w:rsidR="00BE1EFE" w:rsidRDefault="00BE1EFE" w:rsidP="00F77342">
      <w:pPr>
        <w:pStyle w:val="StandardWeb"/>
      </w:pPr>
      <w:r>
        <w:t>(3) Solange die Lehrkraft Beihilfeleistungen nach Abs. 1 erhält, erhalten ihre gesetzlich krankenversicherten berücksichtigungsfähigen Angehörigen auf Kosten des kirchlichen Dienstgebers Beihilfeleistungen im jeweiligen Umfang des Tarifs 820 K Plus.</w:t>
      </w:r>
    </w:p>
    <w:p w:rsidR="00BE1EFE" w:rsidRDefault="00BE1EFE" w:rsidP="00F77342">
      <w:pPr>
        <w:pStyle w:val="StandardWeb"/>
      </w:pPr>
    </w:p>
    <w:p w:rsidR="00BE1EFE" w:rsidRPr="006F64DE" w:rsidRDefault="00BE1EFE" w:rsidP="00F77342">
      <w:pPr>
        <w:pStyle w:val="StandardWeb"/>
      </w:pPr>
      <w:r>
        <w:t>(4) § 7 Abs. 3 und Abs. 4 gelten entsprechend.“</w:t>
      </w:r>
    </w:p>
    <w:p w:rsidR="00BE1EFE" w:rsidRDefault="00BE1EFE">
      <w:pPr>
        <w:pStyle w:val="berschrift6"/>
      </w:pPr>
      <w:bookmarkStart w:id="1245" w:name="_Toc523926761"/>
      <w:r>
        <w:t>§ 8 Sonderregelungen</w:t>
      </w:r>
      <w:bookmarkEnd w:id="124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Aufwendungen bei dauernder Pflegebedürftigkeit im Sinne der</w:t>
      </w:r>
      <w:hyperlink r:id="rId1881" w:tgtFrame="_blank" w:history="1">
        <w:r>
          <w:rPr>
            <w:rStyle w:val="Hyperlink"/>
          </w:rPr>
          <w:t xml:space="preserve"> §§ 31 bis 38 und 39 Satz 3 BayBhV</w:t>
        </w:r>
      </w:hyperlink>
      <w:r>
        <w:t xml:space="preserve"> sind nicht beihilfefähig.</w:t>
      </w:r>
    </w:p>
    <w:p w:rsidR="00BE1EFE" w:rsidRDefault="00BE1EFE">
      <w:pPr>
        <w:pStyle w:val="berschrift5"/>
      </w:pPr>
      <w:bookmarkStart w:id="1246" w:name="_Toc523926762"/>
      <w:r>
        <w:rPr>
          <w:lang w:eastAsia="x-none"/>
        </w:rPr>
        <w:t>Vier</w:t>
      </w:r>
      <w:r>
        <w:t>ter Abschnitt: Gemeinsame Vorschriften</w:t>
      </w:r>
      <w:bookmarkEnd w:id="1246"/>
    </w:p>
    <w:p w:rsidR="00BE1EFE" w:rsidRDefault="00BE1EFE">
      <w:pPr>
        <w:pStyle w:val="berschrift6"/>
      </w:pPr>
      <w:bookmarkStart w:id="1247" w:name="_Toc523926763"/>
      <w:r>
        <w:t>§ 9 Ausschluss von Beihilfeleistungen</w:t>
      </w:r>
      <w:bookmarkEnd w:id="1247"/>
    </w:p>
    <w:p w:rsidR="00BE1EFE" w:rsidRPr="00B76821" w:rsidRDefault="00BE1EFE" w:rsidP="00B76821">
      <w:pPr>
        <w:pStyle w:val="h7"/>
        <w:keepNext w:val="0"/>
        <w:spacing w:before="0" w:after="0"/>
        <w:jc w:val="left"/>
        <w:outlineLvl w:val="5"/>
        <w:rPr>
          <w:sz w:val="2"/>
        </w:rPr>
      </w:pPr>
    </w:p>
    <w:p w:rsidR="00BE1EFE" w:rsidRDefault="00BE1EFE">
      <w:pPr>
        <w:pStyle w:val="StandardWeb"/>
      </w:pPr>
      <w:r>
        <w:t>(1) Lebenspartnerinnen und Lebenspartner gem. LPartG und deren Kinder sind keine berücksichtigungsfähigen Angehörigen für Leistungen nach dieser Beihilfeordnung.</w:t>
      </w:r>
    </w:p>
    <w:p w:rsidR="00BE1EFE" w:rsidRDefault="00BE1EFE">
      <w:pPr>
        <w:pStyle w:val="StandardWeb"/>
      </w:pPr>
    </w:p>
    <w:p w:rsidR="00BE1EFE" w:rsidRDefault="00BE1EFE">
      <w:pPr>
        <w:pStyle w:val="StandardWeb"/>
      </w:pPr>
      <w:r>
        <w:t>(2) Beihilfen werden nicht gewährt zu Aufwendungen aus Anlass medizinischer Eingriffe (z. B. Schwangerschaftsabbrüche und Sterilisationen), die gegen kirchliche Grundsätze verstoßen.</w:t>
      </w:r>
    </w:p>
    <w:p w:rsidR="00BE1EFE" w:rsidRPr="000B1AF8" w:rsidRDefault="00BE1EFE">
      <w:pPr>
        <w:pStyle w:val="StandardWeb"/>
      </w:pPr>
    </w:p>
    <w:p w:rsidR="00BE1EFE" w:rsidRDefault="00BE1EFE">
      <w:pPr>
        <w:pStyle w:val="berschrift6"/>
      </w:pPr>
      <w:bookmarkStart w:id="1248" w:name="_Toc523926764"/>
      <w:r>
        <w:t>§ 10 Beihilfeablöseversicherung</w:t>
      </w:r>
      <w:bookmarkEnd w:id="124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lastRenderedPageBreak/>
        <w:t>(1) Zur Rückdeckung der Verpflichtung wird eine Versicherung abgeschlossen (Beihilfeablöse</w:t>
      </w:r>
      <w:r>
        <w:softHyphen/>
        <w:t>versicherung).</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pPr>
        <w:pStyle w:val="berschrift6"/>
      </w:pPr>
      <w:bookmarkStart w:id="1249" w:name="_Toc523926765"/>
      <w:r>
        <w:t>§ 11 Zusammentreffen mehrerer Beihilfeberechtigungen</w:t>
      </w:r>
      <w:bookmarkEnd w:id="124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Eine Beihilfeberechtigung oder ein vom Beschäftigungsumfang abhängiger Anspruch auf Leistungen entsprechend den Beihilfevorschriften des Bundes oder eines Bundeslan</w:t>
      </w:r>
      <w:r>
        <w:softHyphen/>
        <w:t xml:space="preserve">des schließt die Berücksichtigungsfähigkeit als Angehöriger nach kirchlichen Vorschriften aus. </w:t>
      </w:r>
      <w:r>
        <w:rPr>
          <w:rStyle w:val="kleinschrift"/>
        </w:rPr>
        <w:t>2</w:t>
      </w:r>
      <w:r>
        <w:t>Eine Beihilfeberechtigung ist gegeben, wenn ein Anspruch auf Beihilfe aufgrund beamten</w:t>
      </w:r>
      <w:r>
        <w:softHyphen/>
        <w:t>rechtlicher Vorschriften, kirchlicher Vorschriften oder privatrechtlicher Rechtsbeziehungen nach einer den Beihilfevorschriften des Bundes/Landes vergleichbaren Regelung besteht.</w:t>
      </w:r>
    </w:p>
    <w:p w:rsidR="00BE1EFE" w:rsidRPr="000B1AF8" w:rsidRDefault="00BE1EFE">
      <w:pPr>
        <w:pStyle w:val="StandardWeb"/>
      </w:pPr>
    </w:p>
    <w:p w:rsidR="00BE1EFE" w:rsidRDefault="00BE1EFE">
      <w:pPr>
        <w:pStyle w:val="StandardWeb"/>
      </w:pPr>
      <w:r>
        <w:t>(2) Personen, die vor Beginn einer Elternzeit oder eines Sonderurlaubs aus familienpolitischen Gründen Anspruch auf Beihilfe nach beamtenrechtlichen Vorschriften oder Grundsätzen haben, werden während der Beurlaubung nicht berücksichtigungsfähige Angehörige eines bei einem kirchlichen Dienstgeber Beschäftigten.</w:t>
      </w:r>
    </w:p>
    <w:p w:rsidR="00BE1EFE" w:rsidRDefault="00BE1EFE">
      <w:pPr>
        <w:pStyle w:val="StandardWeb"/>
      </w:pPr>
    </w:p>
    <w:p w:rsidR="00BE1EFE" w:rsidRDefault="00BE1EFE">
      <w:pPr>
        <w:pStyle w:val="StandardWeb"/>
      </w:pPr>
      <w:r>
        <w:t>(3) Die Berücksichtigungsfähigkeit als Angehöriger bei einem Beihilfeberechtigten, der nach anderen als kirchlichen Vorschriften Beihilfe erhält oder einen vom Beschäftigungsumfang abhängigen Anspruch auf Leistungen entsprechend den Beihilfevorschriften des Bundes oder eines Bundeslandes hat, schließt die Berücksichtigungsfähigkeit als Angehöriger nach kirchlichen Vorschriften aus.</w:t>
      </w:r>
    </w:p>
    <w:p w:rsidR="00BE1EFE" w:rsidRDefault="00BE1EFE">
      <w:pPr>
        <w:pStyle w:val="StandardWeb"/>
      </w:pPr>
    </w:p>
    <w:p w:rsidR="00BE1EFE" w:rsidRDefault="00BE1EFE">
      <w:pPr>
        <w:pStyle w:val="StandardWeb"/>
      </w:pPr>
      <w:r>
        <w:t xml:space="preserve">(4) Gesetzlich krankenversicherte Angehörige (Ehegatten und Kinder) von Beschäftigten im Sinne des </w:t>
      </w:r>
      <w:hyperlink r:id="rId1882" w:history="1">
        <w:r w:rsidRPr="002D1F1D">
          <w:rPr>
            <w:rStyle w:val="Hyperlink"/>
          </w:rPr>
          <w:t>§ 36b ABD Teil A, 1</w:t>
        </w:r>
      </w:hyperlink>
      <w:r>
        <w:t>. oder von Beschäftigten mit schriftlicher Zusage auf Beihilfe</w:t>
      </w:r>
      <w:r>
        <w:softHyphen/>
        <w:t>leistungen, die als berücksichtigungsfähige Angehörige Beihilfeleistungen im jeweiligen Umfang des Tarifs 820 K bzw. 820 K Plus erhalten, bleiben bezüglich dieser Leistungen berücksichtigungsfähige Angehörige, auch wenn sie eine eigene Beihilfeberechtigung wie ein in der gesetzlichen Krankenversicherung pflichtversicherter Arbeitnehmer des Freistaates Bayern erwerben oder berücksichtigungsfähige Angehörige eines anderen Beihilfeberechtigten werden, der Beihilfeleistungen wie ein in der gesetzlichen Krankenversicherung pflichtversicherter Arbeitnehmer des Freistaates Bayern erhält.</w:t>
      </w:r>
    </w:p>
    <w:p w:rsidR="00BE1EFE" w:rsidRDefault="00BE1EFE">
      <w:pPr>
        <w:pStyle w:val="StandardWeb"/>
      </w:pPr>
    </w:p>
    <w:p w:rsidR="00BE1EFE" w:rsidRDefault="00BE1EFE">
      <w:pPr>
        <w:pStyle w:val="StandardWeb"/>
      </w:pPr>
      <w:r>
        <w:t xml:space="preserve">(5) Die Berücksichtigungsfähigkeit eines privat krankenversicherten geringfügig oder gem. </w:t>
      </w:r>
      <w:hyperlink r:id="rId1883" w:tgtFrame="_blank" w:history="1">
        <w:r>
          <w:rPr>
            <w:rStyle w:val="Hyperlink"/>
          </w:rPr>
          <w:t>§ 6 Abs. 3a SGB V</w:t>
        </w:r>
      </w:hyperlink>
      <w:r>
        <w:t xml:space="preserve"> versicherungsfreien Beschäftigten als Angehöriger bei einem Beihilfebe</w:t>
      </w:r>
      <w:r>
        <w:softHyphen/>
        <w:t>rechtigten, der einen Beihilfeanspruch nach beamtenrechtlichen Grundsätzen hat, schließt die Beihilfeberechtigung nach kirchlichen Vorschriften aus.</w:t>
      </w:r>
    </w:p>
    <w:p w:rsidR="00BE1EFE" w:rsidRDefault="00BE1EFE">
      <w:pPr>
        <w:pStyle w:val="StandardWeb"/>
      </w:pPr>
    </w:p>
    <w:p w:rsidR="00BE1EFE" w:rsidRDefault="00BE1EFE">
      <w:pPr>
        <w:pStyle w:val="StandardWeb"/>
      </w:pPr>
      <w:r>
        <w:t>(6) </w:t>
      </w:r>
      <w:r>
        <w:rPr>
          <w:rStyle w:val="kleinschrift"/>
        </w:rPr>
        <w:t>1</w:t>
      </w:r>
      <w:r>
        <w:t>Beim Zusammentreffen mehrerer Beihilfeberechtigungen bzw. vom Beschäftigungs</w:t>
      </w:r>
      <w:r>
        <w:softHyphen/>
        <w:t xml:space="preserve">umfang abhängiger Ansprüche auf Leistungen entsprechend den Beihilfevorschriften des Bundes oder eines Bundeslandes schließt der Beihilfeanspruch aus dem Dienstverhältnis mit der höchsten Arbeitszeit jeden anderen Beihilfeanspruch aus. </w:t>
      </w:r>
      <w:r>
        <w:rPr>
          <w:rStyle w:val="kleinschrift"/>
        </w:rPr>
        <w:t>2</w:t>
      </w:r>
      <w:r>
        <w:t>Eine Beihilfeberechtigung ist gegeben, wenn ein Anspruch auf Beihilfe aufgrund beamtenrechtlicher Vorschriften, kirch</w:t>
      </w:r>
      <w:r>
        <w:softHyphen/>
        <w:t>licher Vorschriften oder privatrechtlicher Rechtsbeziehungen nach einer den Beihilfevorschrif</w:t>
      </w:r>
      <w:r>
        <w:softHyphen/>
        <w:t xml:space="preserve">ten des Bundes/Landes vergleichbaren Regelung besteht. </w:t>
      </w:r>
      <w:r>
        <w:rPr>
          <w:rStyle w:val="kleinschrift"/>
        </w:rPr>
        <w:t>3</w:t>
      </w:r>
      <w:r>
        <w:t>Bei gleicher Arbeitszeit schließt der Beihilfeanspruch aus dem ältesten Dienstverhältnis jeden anderen Beihilfeanspruch aus.</w:t>
      </w:r>
    </w:p>
    <w:p w:rsidR="00BE1EFE" w:rsidRDefault="00BE1EFE">
      <w:pPr>
        <w:pStyle w:val="StandardWeb"/>
      </w:pPr>
    </w:p>
    <w:p w:rsidR="00BE1EFE" w:rsidRDefault="00BE1EFE">
      <w:pPr>
        <w:pStyle w:val="StandardWeb"/>
      </w:pPr>
      <w:r>
        <w:t>(7) Die Abs. 1 – 6 gelten nicht für Beamte des Katholischen Schulwerks in Bayern.</w:t>
      </w:r>
    </w:p>
    <w:p w:rsidR="00BE1EFE" w:rsidRDefault="00BE1EFE">
      <w:pPr>
        <w:pStyle w:val="berschrift6"/>
      </w:pPr>
      <w:bookmarkStart w:id="1250" w:name="_Toc523926766"/>
      <w:r>
        <w:lastRenderedPageBreak/>
        <w:t>§ 12 Übergangsregelungen</w:t>
      </w:r>
      <w:bookmarkEnd w:id="125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Soweit bei unveränderten beihilferelevanten Sachverhalten in Bezug auf den Beihilfe</w:t>
      </w:r>
      <w:r>
        <w:softHyphen/>
        <w:t>berechtigten oder dessen Angehörige diese Beihilfeordnung eine von der Rechtslage vor ihrem Inkrafttreten zu Lasten des Beihilfeberechtigten oder dessen Angehöriger abweichende Behandlung vorsieht, bleibt der vor ihrem Inkrafttreten bestehende beihilferechtliche Status dieser Personen grundsätzlich unberührt.</w:t>
      </w:r>
    </w:p>
    <w:p w:rsidR="00BE1EFE" w:rsidRPr="000B1AF8" w:rsidRDefault="00BE1EFE">
      <w:pPr>
        <w:pStyle w:val="StandardWeb"/>
      </w:pPr>
    </w:p>
    <w:p w:rsidR="00BE1EFE" w:rsidRDefault="00BE1EFE">
      <w:pPr>
        <w:pStyle w:val="StandardWeb"/>
      </w:pPr>
      <w:r>
        <w:t>(2) Wenn bei beihilferelevanten Sachverhalten in Bezug auf den Beihilfeberechtigten oder dessen Angehörige nach dem Inkrafttreten der Beihilfeordnung Änderungen eintreten, werden diese Änderungen ausschließlich nach dieser Beihilfeordnung behandelt.</w:t>
      </w:r>
    </w:p>
    <w:p w:rsidR="00BE1EFE" w:rsidRDefault="00BE1EFE" w:rsidP="00D450B0">
      <w:pPr>
        <w:pStyle w:val="StandardWeb"/>
      </w:pPr>
      <w:r>
        <w:br w:type="page"/>
      </w:r>
    </w:p>
    <w:p w:rsidR="00BE1EFE" w:rsidRDefault="00BE1EFE" w:rsidP="000F0C78">
      <w:pPr>
        <w:pStyle w:val="berschrift4"/>
        <w:spacing w:before="0"/>
      </w:pPr>
      <w:bookmarkStart w:id="1251" w:name="_Toc523926767"/>
      <w:r>
        <w:lastRenderedPageBreak/>
        <w:t>4. Ordnung für eine kirchliche Höherversicherung I in Krank</w:t>
      </w:r>
      <w:r>
        <w:softHyphen/>
        <w:t>heitsfällen: Beihilfeordnung Teil B*</w:t>
      </w:r>
      <w:bookmarkEnd w:id="1251"/>
    </w:p>
    <w:p w:rsidR="00BE1EFE" w:rsidRPr="00B76821" w:rsidRDefault="00BE1EFE" w:rsidP="00B76821">
      <w:pPr>
        <w:pStyle w:val="berschrift5"/>
        <w:keepNext w:val="0"/>
        <w:spacing w:before="0" w:after="0"/>
        <w:rPr>
          <w:sz w:val="2"/>
        </w:rPr>
      </w:pPr>
    </w:p>
    <w:p w:rsidR="00BE1EFE" w:rsidRPr="000B1AF8" w:rsidRDefault="00BE1EFE">
      <w:pPr>
        <w:pStyle w:val="StandardWeb"/>
      </w:pPr>
      <w:r>
        <w:t>*Diese Ordnung wird gleichermaßen als Beihilfeordnung i.S.v. Nr. 2 der Anlage 11 zu den Richtlinien für Arbeitsverträge in den Einrichtungen des Deutschen Caritasverbandes (AVR) erlassen.</w:t>
      </w:r>
    </w:p>
    <w:p w:rsidR="00BE1EFE" w:rsidRDefault="00BE1EFE">
      <w:pPr>
        <w:pStyle w:val="berschrift5"/>
      </w:pPr>
      <w:bookmarkStart w:id="1252" w:name="_Toc523926768"/>
      <w:r>
        <w:t>§ 1 Regelungsbereich</w:t>
      </w:r>
      <w:bookmarkEnd w:id="1252"/>
    </w:p>
    <w:p w:rsidR="00BE1EFE" w:rsidRPr="00B76821" w:rsidRDefault="00BE1EFE" w:rsidP="00B76821">
      <w:pPr>
        <w:pStyle w:val="berschrift6"/>
        <w:keepNext w:val="0"/>
        <w:spacing w:before="0" w:after="0"/>
        <w:rPr>
          <w:sz w:val="2"/>
        </w:rPr>
      </w:pPr>
    </w:p>
    <w:p w:rsidR="00BE1EFE" w:rsidRPr="000B1AF8" w:rsidRDefault="00BE1EFE">
      <w:pPr>
        <w:pStyle w:val="StandardWeb"/>
      </w:pPr>
      <w:r>
        <w:t>Die Beihilfeordnung Teil B regelt die Voraussetzung für den Abschluss eines Versicherungs</w:t>
      </w:r>
      <w:r>
        <w:softHyphen/>
        <w:t>vertrages in der kirchlichen Höherversicherung Tarif 820 K bei der Bayerischen Beamten</w:t>
      </w:r>
      <w:r>
        <w:softHyphen/>
        <w:t xml:space="preserve">krankenkasse AG </w:t>
      </w:r>
      <w:r>
        <w:rPr>
          <w:vertAlign w:val="superscript"/>
        </w:rPr>
        <w:t xml:space="preserve">1 </w:t>
      </w:r>
      <w:r>
        <w:t xml:space="preserve">auf der Grundlage von </w:t>
      </w:r>
      <w:hyperlink r:id="rId1884" w:history="1">
        <w:r>
          <w:rPr>
            <w:rStyle w:val="Hyperlink"/>
          </w:rPr>
          <w:t>§ 36</w:t>
        </w:r>
        <w:r w:rsidRPr="002D1F1D">
          <w:rPr>
            <w:rStyle w:val="Hyperlink"/>
          </w:rPr>
          <w:t>a</w:t>
        </w:r>
        <w:r>
          <w:rPr>
            <w:rStyle w:val="Hyperlink"/>
          </w:rPr>
          <w:t xml:space="preserve"> </w:t>
        </w:r>
        <w:r w:rsidRPr="002D1F1D">
          <w:rPr>
            <w:rStyle w:val="Hyperlink"/>
          </w:rPr>
          <w:t>ABD Teil A, 1. (</w:t>
        </w:r>
      </w:hyperlink>
      <w:r>
        <w:t xml:space="preserve">Erster Abschnitt) bzw. in Ausführung von </w:t>
      </w:r>
      <w:hyperlink r:id="rId1885" w:history="1">
        <w:r>
          <w:rPr>
            <w:rStyle w:val="Hyperlink"/>
          </w:rPr>
          <w:t>§ 36</w:t>
        </w:r>
        <w:r w:rsidRPr="002D1F1D">
          <w:rPr>
            <w:rStyle w:val="Hyperlink"/>
          </w:rPr>
          <w:t>b ABD Teil A, 1.</w:t>
        </w:r>
      </w:hyperlink>
      <w:r>
        <w:t xml:space="preserve"> (Zweiter Abschnitt) für Mitarbeiter und Mitarbeiterinnen und Auszubildende im Dienst der (Erz-)Diözese oder sonstiger Einrichtungen im Geltungsbereich des ABD in der (Erz-)Diözese (Beschäftigte).</w:t>
      </w:r>
    </w:p>
    <w:p w:rsidR="00BE1EFE" w:rsidRPr="000B1AF8" w:rsidRDefault="00BE1EFE">
      <w:pPr>
        <w:pStyle w:val="StandardWeb"/>
      </w:pPr>
    </w:p>
    <w:p w:rsidR="00BE1EFE" w:rsidRDefault="00BE1EFE">
      <w:pPr>
        <w:pStyle w:val="StandardWeb"/>
      </w:pPr>
      <w:r>
        <w:rPr>
          <w:sz w:val="12"/>
          <w:szCs w:val="12"/>
          <w:vertAlign w:val="superscript"/>
        </w:rPr>
        <w:t>1</w:t>
      </w:r>
      <w:r>
        <w:rPr>
          <w:sz w:val="12"/>
          <w:szCs w:val="12"/>
        </w:rPr>
        <w:t xml:space="preserve"> Bei dem Tarif 820 K handelt es sich um einen von der Bayerischen Beamtenkrankenkasse AG nur für den kirchlichen Bereich eingerichteten Höherversicherungstarif in Krankheitsfällen, der im Folgenden als Tarif 820K bezeichnet wird.</w:t>
      </w:r>
    </w:p>
    <w:p w:rsidR="00BE1EFE" w:rsidRDefault="00BE1EFE">
      <w:pPr>
        <w:pStyle w:val="berschrift5"/>
      </w:pPr>
      <w:bookmarkStart w:id="1253" w:name="_Toc523926769"/>
      <w:r>
        <w:t>Erster Abschnitt: Kirchliche Höherversicherung I</w:t>
      </w:r>
      <w:bookmarkEnd w:id="1253"/>
    </w:p>
    <w:p w:rsidR="00BE1EFE" w:rsidRPr="00B76821" w:rsidRDefault="00BE1EFE" w:rsidP="00B76821">
      <w:pPr>
        <w:pStyle w:val="berschrift6"/>
        <w:keepNext w:val="0"/>
        <w:spacing w:before="0" w:after="0"/>
        <w:rPr>
          <w:rStyle w:val="Fett"/>
          <w:bCs w:val="0"/>
          <w:color w:val="0000FF"/>
          <w:sz w:val="2"/>
          <w:u w:val="single"/>
        </w:rPr>
      </w:pPr>
    </w:p>
    <w:p w:rsidR="00BE1EFE" w:rsidRPr="000B1AF8" w:rsidRDefault="00C23DFA" w:rsidP="0054275E">
      <w:pPr>
        <w:pStyle w:val="StandardWeb"/>
        <w:autoSpaceDE w:val="0"/>
        <w:jc w:val="center"/>
      </w:pPr>
      <w:hyperlink r:id="rId1886" w:history="1">
        <w:r w:rsidR="00BE1EFE" w:rsidRPr="002D1F1D">
          <w:rPr>
            <w:rStyle w:val="Hyperlink"/>
          </w:rPr>
          <w:t>(§ 36a ABD Teil A, 1.)</w:t>
        </w:r>
      </w:hyperlink>
      <w:r w:rsidR="00BE1EFE">
        <w:rPr>
          <w:rStyle w:val="Fett"/>
          <w:bCs/>
        </w:rPr>
        <w:t xml:space="preserve"> </w:t>
      </w:r>
    </w:p>
    <w:p w:rsidR="00BE1EFE" w:rsidRPr="000B1AF8" w:rsidRDefault="00BE1EFE">
      <w:pPr>
        <w:pStyle w:val="StandardWeb"/>
        <w:jc w:val="center"/>
      </w:pPr>
    </w:p>
    <w:p w:rsidR="00BE1EFE" w:rsidRDefault="00BE1EFE">
      <w:pPr>
        <w:pStyle w:val="berschrift6"/>
      </w:pPr>
      <w:bookmarkStart w:id="1254" w:name="_Toc523926770"/>
      <w:r>
        <w:t>§ 2 Geltungsbereich</w:t>
      </w:r>
      <w:bookmarkEnd w:id="1254"/>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Beschäftigte, bei denen die Dauer des Arbeitsverhältnisses, gegebenenfalls zusammen</w:t>
      </w:r>
      <w:r>
        <w:softHyphen/>
        <w:t xml:space="preserve">gerechnet mit unmittelbar vorausgegangenen Arbeitsverhältnissen, nicht auf weniger als ein Jahr befristet ist und die Beihilfeleistungen gemäß </w:t>
      </w:r>
      <w:hyperlink r:id="rId1887" w:history="1">
        <w:r w:rsidRPr="002D1F1D">
          <w:rPr>
            <w:rStyle w:val="Hyperlink"/>
          </w:rPr>
          <w:t>§ 7 Abs. 1 Beihilfeordnung Teil A</w:t>
        </w:r>
      </w:hyperlink>
      <w:r>
        <w:t xml:space="preserve"> erhalten, können sich zusätzlich, bei eigener Kostentragung des Beitrags, in der kirchlichen Höherversicherung Tarif 820 K versichern.</w:t>
      </w:r>
    </w:p>
    <w:p w:rsidR="00BE1EFE" w:rsidRPr="000B1AF8" w:rsidRDefault="00BE1EFE">
      <w:pPr>
        <w:pStyle w:val="StandardWeb"/>
      </w:pPr>
      <w:r>
        <w:rPr>
          <w:rStyle w:val="kleinschrift"/>
        </w:rPr>
        <w:t>2</w:t>
      </w:r>
      <w:r>
        <w:t>Falls diese Beschäftigten zum 31. 12. 1998</w:t>
      </w:r>
      <w:r>
        <w:rPr>
          <w:vertAlign w:val="superscript"/>
        </w:rPr>
        <w:t>2</w:t>
      </w:r>
      <w:r>
        <w:t xml:space="preserve"> Beihilfeansprüche wie in der gesetzlichen Krankenversicherung freiwillig Versicherte mit Arbeitgeberzuschuss (Tarif 825) hatten, trägt der kirchliche Dienstgeber bei einer Versicherung nach Satz 1 den Teil des Beitrags zum Tarif 820 K, der der Differenz aus dem Tarif 825 und dem Tarif 810 zum Stande vom 31.12.1998 2 entspricht.</w:t>
      </w:r>
    </w:p>
    <w:p w:rsidR="00BE1EFE" w:rsidRPr="000B1AF8" w:rsidRDefault="00BE1EFE">
      <w:pPr>
        <w:pStyle w:val="StandardWeb"/>
      </w:pPr>
    </w:p>
    <w:p w:rsidR="00BE1EFE" w:rsidRDefault="00BE1EFE">
      <w:pPr>
        <w:pStyle w:val="StandardWeb"/>
      </w:pPr>
      <w:r>
        <w:t>(2) Versicherungsfähig sind auch gesetzlich krankenversicherte Angehörige (Ehegatte, Kinder) der Beschäftigten im Sinne von Abs. 1, soweit sie berücksichtigungsfähige Angehörige im Sinne von § 3 Abs. 1 der Beihilfevorschriften (BhV) des Freistaates Bayern in der Fassung vom 08.01.1999 wären.</w:t>
      </w:r>
    </w:p>
    <w:p w:rsidR="00BE1EFE" w:rsidRDefault="00BE1EFE">
      <w:pPr>
        <w:pStyle w:val="StandardWeb"/>
      </w:pPr>
    </w:p>
    <w:p w:rsidR="00BE1EFE" w:rsidRDefault="00BE1EFE">
      <w:pPr>
        <w:pStyle w:val="StandardWeb"/>
      </w:pPr>
      <w:r>
        <w:t>(3) Die Versicherung endet mit Beendigung des Arbeitsverhältnisses des/der Beschäftigten, jedoch nicht bei Eintritt des/der Beschäftigten in die Elternzeit</w:t>
      </w:r>
      <w:r>
        <w:rPr>
          <w:vertAlign w:val="superscript"/>
        </w:rPr>
        <w:t>3</w:t>
      </w:r>
      <w:r>
        <w:t>, den Sonderurlaub, den Ruhestand, es sei denn, es erfolgt in diesen Fällen eine Abmeldung.</w:t>
      </w:r>
    </w:p>
    <w:p w:rsidR="00BE1EFE" w:rsidRDefault="00BE1EFE">
      <w:pPr>
        <w:pStyle w:val="StandardWeb"/>
      </w:pPr>
    </w:p>
    <w:p w:rsidR="00BE1EFE" w:rsidRDefault="00BE1EFE">
      <w:pPr>
        <w:pStyle w:val="StandardWeb"/>
      </w:pPr>
      <w:r>
        <w:rPr>
          <w:vertAlign w:val="superscript"/>
        </w:rPr>
        <w:t>2</w:t>
      </w:r>
      <w:r>
        <w:rPr>
          <w:rStyle w:val="kleinschrift"/>
        </w:rPr>
        <w:t>Für kirchliche Einrichtungen, die diese Beihilfeordnung erstmals ab 01.03.2000 anwenden, gilt als Stichtag anstelle des 31.12.1998 der 29.02.2000</w:t>
      </w:r>
      <w:r w:rsidRPr="009C6551">
        <w:rPr>
          <w:rStyle w:val="kleinschrift1"/>
        </w:rPr>
        <w:t xml:space="preserve">. </w:t>
      </w:r>
    </w:p>
    <w:p w:rsidR="00BE1EFE" w:rsidRDefault="00BE1EFE">
      <w:pPr>
        <w:pStyle w:val="StandardWeb"/>
      </w:pPr>
      <w:r>
        <w:rPr>
          <w:vertAlign w:val="superscript"/>
        </w:rPr>
        <w:t>3</w:t>
      </w:r>
      <w:r>
        <w:rPr>
          <w:rStyle w:val="kleinschrift"/>
        </w:rPr>
        <w:t>Für vor dem 01. 01.2001 geborene Kinder gelten die Regelungen des BErzGG a. F. fort.</w:t>
      </w:r>
    </w:p>
    <w:p w:rsidR="00BE1EFE" w:rsidRDefault="00BE1EFE">
      <w:pPr>
        <w:pStyle w:val="berschrift6"/>
      </w:pPr>
      <w:bookmarkStart w:id="1255" w:name="_Toc523926771"/>
      <w:r>
        <w:lastRenderedPageBreak/>
        <w:t>§ 3 An- und Abmeldung</w:t>
      </w:r>
      <w:bookmarkEnd w:id="125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Erklärungen, die zur An- und Abmeldung des/der Beschäftigten und seiner/ihrer Angehörigen bei der kirchlichen Höherversicherung I erforderlich sind, hat der/die Beschäftigte schriftlich und fristgemäß dem kirchlichen Arbeitgeber gegenüber abzugeben.</w:t>
      </w:r>
    </w:p>
    <w:p w:rsidR="00BE1EFE" w:rsidRPr="000B1AF8" w:rsidRDefault="00BE1EFE">
      <w:pPr>
        <w:pStyle w:val="StandardWeb"/>
      </w:pPr>
    </w:p>
    <w:p w:rsidR="00BE1EFE" w:rsidRDefault="00BE1EFE">
      <w:pPr>
        <w:pStyle w:val="berschrift5"/>
      </w:pPr>
      <w:bookmarkStart w:id="1256" w:name="_Toc523926772"/>
      <w:r>
        <w:t>Zweiter Abschnitt: Kirchliche Höherversicherung in Ausführung von § 36b ABD Teil A, 1.</w:t>
      </w:r>
      <w:bookmarkEnd w:id="1256"/>
    </w:p>
    <w:p w:rsidR="00BE1EFE" w:rsidRDefault="00BE1EFE">
      <w:pPr>
        <w:pStyle w:val="berschrift6"/>
      </w:pPr>
      <w:bookmarkStart w:id="1257" w:name="_Toc523926773"/>
      <w:r>
        <w:t>§ 4 Geltungsbereich</w:t>
      </w:r>
      <w:bookmarkEnd w:id="1257"/>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Beschäftigte im Sinne des </w:t>
      </w:r>
      <w:hyperlink r:id="rId1888" w:history="1">
        <w:r>
          <w:rPr>
            <w:rStyle w:val="Hyperlink"/>
          </w:rPr>
          <w:t>§ 36</w:t>
        </w:r>
        <w:r w:rsidRPr="002D1F1D">
          <w:rPr>
            <w:rStyle w:val="Hyperlink"/>
          </w:rPr>
          <w:t>b ABD Teil A, 1.</w:t>
        </w:r>
      </w:hyperlink>
      <w:r>
        <w:t xml:space="preserve"> und deren berücksichtigungsfähige Angehörige werden auf Kosten des kirchlichen Dienstgebers im Tarif 820 K versichert. </w:t>
      </w:r>
      <w:r>
        <w:rPr>
          <w:rStyle w:val="kleinschrift"/>
        </w:rPr>
        <w:t>2</w:t>
      </w:r>
      <w:r>
        <w:t xml:space="preserve">Die Versicherungsleistungen stehen dem Dienstgeber zu (Beihilfeablöseversicherung). </w:t>
      </w:r>
      <w:r>
        <w:rPr>
          <w:rStyle w:val="kleinschrift"/>
        </w:rPr>
        <w:t>3</w:t>
      </w:r>
      <w:r>
        <w:t xml:space="preserve">Im Übrigen gelten die Bestimmungen des </w:t>
      </w:r>
      <w:hyperlink r:id="rId1889" w:history="1">
        <w:r w:rsidRPr="002D1F1D">
          <w:rPr>
            <w:rStyle w:val="Hyperlink"/>
          </w:rPr>
          <w:t>§ 36 b ABD Teil A, 1.</w:t>
        </w:r>
      </w:hyperlink>
      <w:r>
        <w:t xml:space="preserve"> und die </w:t>
      </w:r>
      <w:hyperlink r:id="rId1890" w:history="1">
        <w:r w:rsidRPr="002D1F1D">
          <w:rPr>
            <w:rStyle w:val="Hyperlink"/>
          </w:rPr>
          <w:t>Beihilfeordnung Teil A</w:t>
        </w:r>
      </w:hyperlink>
      <w:r>
        <w:t>.</w:t>
      </w:r>
    </w:p>
    <w:p w:rsidR="00BE1EFE" w:rsidRDefault="00BE1EFE">
      <w:pPr>
        <w:pStyle w:val="berschrift5"/>
      </w:pPr>
      <w:bookmarkStart w:id="1258" w:name="_Toc523926774"/>
      <w:r>
        <w:t>Dritter Abschnitt: Gemeinsame Vorschriften</w:t>
      </w:r>
      <w:bookmarkEnd w:id="1258"/>
    </w:p>
    <w:p w:rsidR="00BE1EFE" w:rsidRDefault="00BE1EFE">
      <w:pPr>
        <w:pStyle w:val="berschrift6"/>
      </w:pPr>
      <w:bookmarkStart w:id="1259" w:name="_Toc523926775"/>
      <w:r>
        <w:t>§ 5 Versicherungsleistungen und -bedingungen</w:t>
      </w:r>
      <w:bookmarkEnd w:id="125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Versicherungsleistungen ergeben sich aus den Leistungsbeschreibungen des Tarifs 820 K bei der Bayerischen Beamtenkrankenkasse AG. </w:t>
      </w:r>
      <w:r>
        <w:rPr>
          <w:rStyle w:val="kleinschrift"/>
        </w:rPr>
        <w:t>2</w:t>
      </w:r>
      <w:r>
        <w:t>Die jeweils gültige Fassung ist Bestandteil der Beihilfeordnung Teil B.</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pPr>
        <w:pStyle w:val="berschrift5"/>
      </w:pPr>
      <w:bookmarkStart w:id="1260" w:name="_Toc523926776"/>
      <w:r>
        <w:t>Vierter Abschnitt: Übergangsvorschriften</w:t>
      </w:r>
      <w:bookmarkEnd w:id="1260"/>
    </w:p>
    <w:p w:rsidR="00BE1EFE" w:rsidRDefault="00BE1EFE">
      <w:pPr>
        <w:pStyle w:val="berschrift6"/>
      </w:pPr>
      <w:bookmarkStart w:id="1261" w:name="_Toc523926777"/>
      <w:r>
        <w:t>§ 6 Übergangsregelung</w:t>
      </w:r>
      <w:bookmarkEnd w:id="126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Beschäftigte und deren berücksichtigungsfähige Angehörige, die vor dem Inkrafttreten dieser Beihilfeordnung Beihilfeleistungen wie gesetzlich pflichtversicherte Arbeitnehmer des Freistaates Bayern oder wie in der privaten Krankenversicherung versicherte Arbeitnehmer des Freistaates Bayern mit Beitragszuschuss des Arbeitgebers nach </w:t>
      </w:r>
      <w:hyperlink r:id="rId1891" w:tgtFrame="_blank" w:history="1">
        <w:r>
          <w:rPr>
            <w:rStyle w:val="Hyperlink"/>
          </w:rPr>
          <w:t>§ 257 SGB V</w:t>
        </w:r>
      </w:hyperlink>
      <w:r>
        <w:t xml:space="preserve"> erhalten haben und die Beitragsleistungen zur Beihilfeversicherung selbst erbracht haben und erbringen, erhalten diese Beihilfeleistungen nach den für sie bisher geltenden Grundlagen weiter.</w:t>
      </w:r>
    </w:p>
    <w:p w:rsidR="00BE1EFE" w:rsidRPr="000B1AF8" w:rsidRDefault="00BE1EFE">
      <w:pPr>
        <w:pStyle w:val="StandardWeb"/>
      </w:pPr>
    </w:p>
    <w:p w:rsidR="00BE1EFE" w:rsidRDefault="00BE1EFE">
      <w:pPr>
        <w:pStyle w:val="StandardWeb"/>
      </w:pPr>
      <w:r>
        <w:t>(2) </w:t>
      </w:r>
      <w:r>
        <w:rPr>
          <w:rStyle w:val="kleinschrift"/>
        </w:rPr>
        <w:t>1</w:t>
      </w:r>
      <w:r>
        <w:t xml:space="preserve">Für Beschäftigte, die sich zum Zeitpunkt des Inkrafttretens dieser Beihilfeordnung im Erziehungs- oder Sonderurlaub befinden, bleiben für die Dauer des bestehenden Erziehungs- bzw. bestehenden Sonderurlaubs die Beihilfeleistungen unverändert. </w:t>
      </w:r>
      <w:r>
        <w:rPr>
          <w:rStyle w:val="kleinschrift"/>
        </w:rPr>
        <w:t>2</w:t>
      </w:r>
      <w:r>
        <w:t>Bestehende Höherver</w:t>
      </w:r>
      <w:r>
        <w:softHyphen/>
        <w:t xml:space="preserve">sicherungen werden in den Tarif 820 K überführt. </w:t>
      </w:r>
    </w:p>
    <w:p w:rsidR="00BE1EFE" w:rsidRDefault="00BE1EFE">
      <w:pPr>
        <w:pStyle w:val="StandardWeb"/>
      </w:pPr>
      <w:r>
        <w:rPr>
          <w:rStyle w:val="kleinschrift"/>
        </w:rPr>
        <w:lastRenderedPageBreak/>
        <w:t>3</w:t>
      </w:r>
      <w:r>
        <w:t xml:space="preserve">Die Beihilfeordnung für die (Erz-)Diözese ... (Teil </w:t>
      </w:r>
      <w:hyperlink r:id="rId1892" w:history="1">
        <w:r w:rsidRPr="002D1F1D">
          <w:rPr>
            <w:rStyle w:val="Hyperlink"/>
          </w:rPr>
          <w:t>A</w:t>
        </w:r>
      </w:hyperlink>
      <w:r>
        <w:t xml:space="preserve">, Teil </w:t>
      </w:r>
      <w:hyperlink r:id="rId1893" w:history="1">
        <w:r w:rsidRPr="002D1F1D">
          <w:rPr>
            <w:rStyle w:val="Hyperlink"/>
          </w:rPr>
          <w:t>B</w:t>
        </w:r>
      </w:hyperlink>
      <w:r>
        <w:t>) tritt zum 01.01.2004 in Kraft und ersetzt die Beihilfeordnung vom (verschiedene Inkraftsetzungsdaten).</w:t>
      </w:r>
    </w:p>
    <w:p w:rsidR="00BE1EFE" w:rsidRDefault="00BE1EFE" w:rsidP="00D450B0">
      <w:pPr>
        <w:pStyle w:val="StandardWeb"/>
      </w:pPr>
      <w:r>
        <w:br w:type="page"/>
      </w:r>
    </w:p>
    <w:p w:rsidR="00BE1EFE" w:rsidRDefault="00BE1EFE" w:rsidP="003B3A1E">
      <w:pPr>
        <w:pStyle w:val="berschrift4"/>
        <w:spacing w:before="0"/>
      </w:pPr>
      <w:bookmarkStart w:id="1262" w:name="_Toc523926778"/>
      <w:r>
        <w:lastRenderedPageBreak/>
        <w:t>5. Ordnung für eine kirchliche Höherversicherung II in Krankheitsfällen: Beihilfeordnung Teil C*</w:t>
      </w:r>
      <w:bookmarkEnd w:id="1262"/>
    </w:p>
    <w:p w:rsidR="00BE1EFE" w:rsidRPr="00B76821" w:rsidRDefault="00BE1EFE" w:rsidP="00B76821">
      <w:pPr>
        <w:pStyle w:val="berschrift5"/>
        <w:keepNext w:val="0"/>
        <w:spacing w:before="0" w:after="0"/>
        <w:rPr>
          <w:sz w:val="2"/>
        </w:rPr>
      </w:pPr>
    </w:p>
    <w:p w:rsidR="00BE1EFE" w:rsidRPr="000B1AF8" w:rsidRDefault="00BE1EFE">
      <w:pPr>
        <w:pStyle w:val="StandardWeb"/>
      </w:pPr>
      <w:r>
        <w:t>*Diese Ordnung wird gleichermaßen als Beihilfeordnung i.S.v. Nr. 2 der Anlage 11 zu den Richtlinien für Arbeitsverträge in den Einrichtungen des Deutschen Caritasverbandes (AVR) erlassen.</w:t>
      </w:r>
    </w:p>
    <w:p w:rsidR="00BE1EFE" w:rsidRPr="000B1AF8" w:rsidRDefault="00BE1EFE">
      <w:pPr>
        <w:pStyle w:val="StandardWeb"/>
      </w:pPr>
    </w:p>
    <w:p w:rsidR="00BE1EFE" w:rsidRDefault="00BE1EFE" w:rsidP="009D7CE4">
      <w:pPr>
        <w:pStyle w:val="berschrift5"/>
      </w:pPr>
      <w:bookmarkStart w:id="1263" w:name="_Toc453678364"/>
      <w:bookmarkStart w:id="1264" w:name="_Toc523926779"/>
      <w:r>
        <w:t>§ 1 Regelungsbereich</w:t>
      </w:r>
      <w:bookmarkEnd w:id="1263"/>
      <w:bookmarkEnd w:id="1264"/>
    </w:p>
    <w:p w:rsidR="00BE1EFE" w:rsidRDefault="00BE1EFE" w:rsidP="009D7CE4">
      <w:pPr>
        <w:pStyle w:val="berschrift6"/>
        <w:spacing w:before="0" w:after="0"/>
        <w:rPr>
          <w:sz w:val="2"/>
        </w:rPr>
      </w:pPr>
    </w:p>
    <w:p w:rsidR="00BE1EFE" w:rsidRDefault="00BE1EFE" w:rsidP="009D7CE4">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9D7CE4">
      <w:pPr>
        <w:pStyle w:val="StandardWeb"/>
      </w:pPr>
      <w:r>
        <w:t>Die Beihilfeordnung Teil C regelt die Voraussetzung für den Abschluss eines Versicherungs</w:t>
      </w:r>
      <w:r>
        <w:softHyphen/>
        <w:t>vertrages in der kirchlichen Höherversicherung Tarif 820 K Plus bei der Bayerischen Beamtenkrankenkasse AG</w:t>
      </w:r>
      <w:r>
        <w:rPr>
          <w:rStyle w:val="kleinschrift"/>
          <w:vertAlign w:val="superscript"/>
        </w:rPr>
        <w:t>2</w:t>
      </w:r>
      <w:r>
        <w:rPr>
          <w:vertAlign w:val="superscript"/>
        </w:rPr>
        <w:t xml:space="preserve"> </w:t>
      </w:r>
      <w:r>
        <w:t xml:space="preserve">auf der Grundlage von </w:t>
      </w:r>
      <w:hyperlink r:id="rId1894" w:history="1">
        <w:r w:rsidRPr="000A0DF9">
          <w:rPr>
            <w:rStyle w:val="Hyperlink"/>
          </w:rPr>
          <w:t>§ 36c ABD Teil A, 1</w:t>
        </w:r>
      </w:hyperlink>
      <w:r>
        <w:t>.</w:t>
      </w:r>
    </w:p>
    <w:p w:rsidR="00BE1EFE" w:rsidRPr="000B1AF8" w:rsidRDefault="00BE1EFE">
      <w:pPr>
        <w:pStyle w:val="StandardWeb"/>
      </w:pPr>
      <w:r>
        <w:rPr>
          <w:sz w:val="12"/>
          <w:szCs w:val="12"/>
          <w:vertAlign w:val="superscript"/>
        </w:rPr>
        <w:t>2</w:t>
      </w:r>
      <w:r>
        <w:rPr>
          <w:sz w:val="12"/>
          <w:szCs w:val="12"/>
        </w:rPr>
        <w:t>Bei dem Tarif 820 K Plus handelt es sich um einen von der Bayerischen Beamtenkrankenkasse AG nur für den kirchlichen Bereich eingerichteten Höherversicherungstarif in Krankheitsfällen, der im Folgenden als Tarif 820 K Plus bezeichnet wird</w:t>
      </w:r>
    </w:p>
    <w:p w:rsidR="00BE1EFE" w:rsidRPr="000B1AF8" w:rsidRDefault="00BE1EFE">
      <w:pPr>
        <w:pStyle w:val="StandardWeb"/>
      </w:pPr>
    </w:p>
    <w:p w:rsidR="00BE1EFE" w:rsidRDefault="00BE1EFE">
      <w:pPr>
        <w:pStyle w:val="berschrift5"/>
      </w:pPr>
      <w:bookmarkStart w:id="1265" w:name="_Toc523926780"/>
      <w:r>
        <w:t>§ 2 Geltungsbereich</w:t>
      </w:r>
      <w:bookmarkEnd w:id="1265"/>
    </w:p>
    <w:p w:rsidR="00BE1EFE" w:rsidRPr="00B76821" w:rsidRDefault="00BE1EFE" w:rsidP="00B76821">
      <w:pPr>
        <w:pStyle w:val="berschrift6"/>
        <w:keepNext w:val="0"/>
        <w:spacing w:before="0" w:after="0"/>
        <w:rPr>
          <w:sz w:val="2"/>
        </w:rPr>
      </w:pPr>
    </w:p>
    <w:p w:rsidR="00BE1EFE" w:rsidRPr="000B1AF8" w:rsidRDefault="00BE1EFE">
      <w:pPr>
        <w:pStyle w:val="StandardWeb"/>
      </w:pPr>
      <w:r>
        <w:t>(1) </w:t>
      </w:r>
      <w:r>
        <w:rPr>
          <w:rStyle w:val="kleinschrift"/>
        </w:rPr>
        <w:t>1</w:t>
      </w:r>
      <w:r>
        <w:t>Beschäftigte, bei denen die Dauer des Arbeitsverhältnisses, gegebenenfalls zusammen</w:t>
      </w:r>
      <w:r>
        <w:softHyphen/>
        <w:t xml:space="preserve">gerechnet mit unmittelbar vorausgegangenen Arbeitsverhältnissen, nicht auf weniger als ein Jahr befristet ist und die Beihilfeleistungen gemäß </w:t>
      </w:r>
      <w:hyperlink r:id="rId1895" w:history="1">
        <w:r w:rsidRPr="002D1F1D">
          <w:rPr>
            <w:rStyle w:val="Hyperlink"/>
          </w:rPr>
          <w:t>§ 7 Abs. 1 Beihilfeordnung Teil A</w:t>
        </w:r>
      </w:hyperlink>
      <w:r>
        <w:t xml:space="preserve"> erhalten, können sich zusätzlich, bei eigener Kostentragung des Beitrags, in der kirchlichen Höherversicherung Tarif 820 K Plus versichern. </w:t>
      </w:r>
      <w:r>
        <w:rPr>
          <w:rStyle w:val="kleinschrift"/>
        </w:rPr>
        <w:t>2</w:t>
      </w:r>
      <w:r>
        <w:t xml:space="preserve">Für Beschäftigte im Sinne der </w:t>
      </w:r>
      <w:hyperlink r:id="rId1896" w:history="1">
        <w:r>
          <w:rPr>
            <w:rStyle w:val="Hyperlink"/>
          </w:rPr>
          <w:t>§§ 7</w:t>
        </w:r>
        <w:r w:rsidRPr="002D1F1D">
          <w:rPr>
            <w:rStyle w:val="Hyperlink"/>
          </w:rPr>
          <w:t>a</w:t>
        </w:r>
      </w:hyperlink>
      <w:r>
        <w:t xml:space="preserve"> und </w:t>
      </w:r>
      <w:hyperlink r:id="rId1897" w:history="1">
        <w:r>
          <w:rPr>
            <w:rStyle w:val="Hyperlink"/>
          </w:rPr>
          <w:t>7</w:t>
        </w:r>
        <w:r w:rsidRPr="002D1F1D">
          <w:rPr>
            <w:rStyle w:val="Hyperlink"/>
          </w:rPr>
          <w:t>b Beihilfeordnung Teil A</w:t>
        </w:r>
      </w:hyperlink>
      <w:r>
        <w:t xml:space="preserve">, die von der Möglichkeit der kirchlichen Höherversicherung II (Tarif 820 K Plus) Gebrauch machen, bleibt der Anspruch auf Beihilfen gem. Beihilfeordnung Teil A unberührt. </w:t>
      </w:r>
      <w:r>
        <w:rPr>
          <w:rStyle w:val="kleinschrift"/>
        </w:rPr>
        <w:t>3</w:t>
      </w:r>
      <w:r>
        <w:t>Der/Die Beschäftigte trägt nur die über den Anspruch auf Beihilfen nach Beihilfeordnung Teil A hinausgehenden Kosten der Höherversicherung im Tarif 820 K Plus.</w:t>
      </w:r>
    </w:p>
    <w:p w:rsidR="00BE1EFE" w:rsidRPr="000B1AF8" w:rsidRDefault="00BE1EFE">
      <w:pPr>
        <w:pStyle w:val="StandardWeb"/>
      </w:pPr>
    </w:p>
    <w:p w:rsidR="00BE1EFE" w:rsidRDefault="00BE1EFE">
      <w:pPr>
        <w:pStyle w:val="StandardWeb"/>
      </w:pPr>
      <w:r>
        <w:t>(2) Versicherungsfähig sind auch gesetzlich krankenversicherte Angehörige (Ehegatte, Kinder) der Beschäftigten im Sinne von Abs. 1.</w:t>
      </w:r>
    </w:p>
    <w:p w:rsidR="00BE1EFE" w:rsidRDefault="00BE1EFE">
      <w:pPr>
        <w:pStyle w:val="StandardWeb"/>
      </w:pPr>
    </w:p>
    <w:p w:rsidR="00BE1EFE" w:rsidRDefault="00BE1EFE">
      <w:pPr>
        <w:pStyle w:val="StandardWeb"/>
      </w:pPr>
      <w:r>
        <w:t>(3) Die Versicherung endet mit Beendigung des Arbeitsverhältnisses des/der Beschäftigten, jedoch nicht bei Eintritt des/der Beschäftigten in die Elternzeit, den Sonderurlaub, den Ruhestand.</w:t>
      </w:r>
    </w:p>
    <w:p w:rsidR="00BE1EFE" w:rsidRDefault="00BE1EFE">
      <w:pPr>
        <w:pStyle w:val="berschrift5"/>
      </w:pPr>
      <w:bookmarkStart w:id="1266" w:name="_Toc523926781"/>
      <w:r>
        <w:t>§ 3 An- und Abmeldung</w:t>
      </w:r>
      <w:bookmarkEnd w:id="1266"/>
    </w:p>
    <w:p w:rsidR="00BE1EFE" w:rsidRPr="00B76821" w:rsidRDefault="00BE1EFE" w:rsidP="00B76821">
      <w:pPr>
        <w:pStyle w:val="berschrift6"/>
        <w:keepNext w:val="0"/>
        <w:spacing w:before="0" w:after="0"/>
        <w:rPr>
          <w:sz w:val="2"/>
        </w:rPr>
      </w:pPr>
    </w:p>
    <w:p w:rsidR="00BE1EFE" w:rsidRPr="000B1AF8" w:rsidRDefault="00BE1EFE">
      <w:pPr>
        <w:pStyle w:val="StandardWeb"/>
      </w:pPr>
      <w:r>
        <w:t>Die Erklärungen, die zur An- und Abmeldung des/der Beschäftigten und seiner/ihrer Angehörigen bei der kirchlichen Höherversicherung II erforderlich sind, hat der/die Beschäftigte schriftlich und fristgemäß abzugeben.</w:t>
      </w:r>
    </w:p>
    <w:p w:rsidR="00BE1EFE" w:rsidRPr="000B1AF8" w:rsidRDefault="00BE1EFE">
      <w:pPr>
        <w:pStyle w:val="StandardWeb"/>
      </w:pPr>
    </w:p>
    <w:p w:rsidR="00BE1EFE" w:rsidRDefault="00BE1EFE" w:rsidP="00C51D24">
      <w:pPr>
        <w:pStyle w:val="Leerzeile"/>
      </w:pPr>
    </w:p>
    <w:p w:rsidR="00BE1EFE" w:rsidRDefault="00BE1EFE">
      <w:pPr>
        <w:pStyle w:val="berschrift5"/>
      </w:pPr>
      <w:bookmarkStart w:id="1267" w:name="_Toc523926782"/>
      <w:r>
        <w:t>§ 4 Versicherungsleistungen und -bedingungen</w:t>
      </w:r>
      <w:bookmarkEnd w:id="1267"/>
    </w:p>
    <w:p w:rsidR="00BE1EFE" w:rsidRPr="00B76821" w:rsidRDefault="00BE1EFE" w:rsidP="00B76821">
      <w:pPr>
        <w:pStyle w:val="berschrift6"/>
        <w:keepNext w:val="0"/>
        <w:spacing w:before="0" w:after="0"/>
        <w:rPr>
          <w:sz w:val="2"/>
        </w:rPr>
      </w:pPr>
    </w:p>
    <w:p w:rsidR="00BE1EFE" w:rsidRPr="000B1AF8" w:rsidRDefault="00BE1EFE">
      <w:pPr>
        <w:pStyle w:val="StandardWeb"/>
      </w:pPr>
      <w:r>
        <w:lastRenderedPageBreak/>
        <w:t>(1) </w:t>
      </w:r>
      <w:r>
        <w:rPr>
          <w:rStyle w:val="kleinschrift"/>
        </w:rPr>
        <w:t>1</w:t>
      </w:r>
      <w:r>
        <w:t xml:space="preserve">Die Versicherungsleistungen ergeben sich aus den Leistungsbeschreibungen des Tarifs 820 K Plus bei der Bayerischen Beamtenkrankenkasse AG. </w:t>
      </w:r>
      <w:r>
        <w:rPr>
          <w:rStyle w:val="kleinschrift"/>
        </w:rPr>
        <w:t>2</w:t>
      </w:r>
      <w:r>
        <w:t>Die jeweils gültige Fassung ist Bestandteil der Beihilfeordnung Teil C.</w:t>
      </w:r>
    </w:p>
    <w:p w:rsidR="00BE1EFE" w:rsidRPr="000B1AF8" w:rsidRDefault="00BE1EFE">
      <w:pPr>
        <w:pStyle w:val="StandardWeb"/>
      </w:pPr>
    </w:p>
    <w:p w:rsidR="00BE1EFE" w:rsidRDefault="00BE1EFE">
      <w:pPr>
        <w:pStyle w:val="StandardWeb"/>
      </w:pPr>
      <w:r>
        <w:t>(2) Die Bestimmungen des Vertrags über die Beihilfeablöseversicherung und die kirchliche Höherversicherung zwischen der (Erz-)Diözese und der Bayerischen Beamtenkrankenkasse AG sind Bestandteil dieser Ordnung.</w:t>
      </w:r>
    </w:p>
    <w:p w:rsidR="00BE1EFE" w:rsidRDefault="00BE1EFE" w:rsidP="00D450B0">
      <w:pPr>
        <w:pStyle w:val="StandardWeb"/>
      </w:pPr>
      <w:r>
        <w:br w:type="page"/>
      </w:r>
    </w:p>
    <w:p w:rsidR="00BE1EFE" w:rsidRDefault="00BE1EFE" w:rsidP="003B3A1E">
      <w:pPr>
        <w:pStyle w:val="berschrift4"/>
        <w:spacing w:before="0"/>
        <w:rPr>
          <w:lang w:eastAsia="x-none"/>
        </w:rPr>
      </w:pPr>
      <w:bookmarkStart w:id="1268" w:name="_Toc523926783"/>
      <w:r>
        <w:lastRenderedPageBreak/>
        <w:t>Anhang zur Beihilfeordnung für die (Erz-)Diözese ... vom 01.01.2004</w:t>
      </w:r>
      <w:bookmarkEnd w:id="1268"/>
    </w:p>
    <w:p w:rsidR="00BE1EFE" w:rsidRPr="001E37EB" w:rsidRDefault="00BE1EFE" w:rsidP="001E37EB">
      <w:pPr>
        <w:pStyle w:val="StandardWeb"/>
        <w:rPr>
          <w:i/>
        </w:rPr>
      </w:pPr>
      <w:r w:rsidRPr="001E37EB">
        <w:rPr>
          <w:i/>
        </w:rPr>
        <w:t>(zuletzt geändert nach Beratung in der Freisinger Bischofskonferenz im Frühjahr 2018)</w:t>
      </w:r>
    </w:p>
    <w:p w:rsidR="00BE1EFE" w:rsidRDefault="00BE1EFE">
      <w:pPr>
        <w:pStyle w:val="berschrift5"/>
      </w:pPr>
      <w:bookmarkStart w:id="1269" w:name="_Toc523926784"/>
      <w:r>
        <w:t>I. Zusagen</w:t>
      </w:r>
      <w:bookmarkEnd w:id="1269"/>
    </w:p>
    <w:p w:rsidR="00BE1EFE" w:rsidRPr="00B76821" w:rsidRDefault="00BE1EFE" w:rsidP="00B76821">
      <w:pPr>
        <w:pStyle w:val="berschrift6"/>
        <w:keepNext w:val="0"/>
        <w:spacing w:before="0" w:after="0"/>
        <w:rPr>
          <w:sz w:val="2"/>
        </w:rPr>
      </w:pPr>
    </w:p>
    <w:p w:rsidR="00BE1EFE" w:rsidRPr="000B1AF8" w:rsidRDefault="00BE1EFE">
      <w:pPr>
        <w:pStyle w:val="StandardWeb"/>
      </w:pPr>
      <w:r>
        <w:t>Die im Rahmen der Beihilfeordnung Teil A zu vergebenden Zusagen haben folgenden Wortlaut:</w:t>
      </w:r>
    </w:p>
    <w:p w:rsidR="00BE1EFE" w:rsidRPr="000B1AF8" w:rsidRDefault="00BE1EFE">
      <w:pPr>
        <w:pStyle w:val="StandardWeb"/>
      </w:pPr>
    </w:p>
    <w:p w:rsidR="00BE1EFE" w:rsidRPr="00C54F2C" w:rsidRDefault="00BE1EFE" w:rsidP="0054275E">
      <w:pPr>
        <w:pStyle w:val="StandardWeb"/>
        <w:autoSpaceDE w:val="0"/>
        <w:rPr>
          <w:lang w:val="en-US"/>
        </w:rPr>
      </w:pPr>
      <w:r w:rsidRPr="00C54F2C">
        <w:rPr>
          <w:rStyle w:val="Fett"/>
          <w:bCs/>
          <w:lang w:val="en-US"/>
        </w:rPr>
        <w:t>1. Zusage nach § 2 a BO/A:</w:t>
      </w:r>
    </w:p>
    <w:p w:rsidR="00BE1EFE" w:rsidRPr="00C54F2C" w:rsidRDefault="00BE1EFE">
      <w:pPr>
        <w:pStyle w:val="StandardWeb"/>
        <w:rPr>
          <w:lang w:val="en-US"/>
        </w:rPr>
      </w:pPr>
    </w:p>
    <w:p w:rsidR="00BE1EFE" w:rsidRDefault="00BE1EFE">
      <w:pPr>
        <w:pStyle w:val="StandardWeb"/>
      </w:pPr>
      <w:r>
        <w:t xml:space="preserve">„Herr/Frau ... hat ab dem ... für sich und seine/ihre berücksichtigungsfähigen Familienangehörigen Anspruch auf Beihilfen nach beamtenrechtlichen Grundsätzen wie ein privat krankenversicherter Beamter des Freistaates Bayern, soweit nicht die Beihilfeordnung der (Erz-)Diözese ... von den für die Beamten des Freistaates Bayern geltenden Beihilfevorschriften abweichende Regelungen enthält. Ab diesem Zeitpunkt entfällt der Anspruch auf den Beitragszuschuss des Arbeitgebers nach </w:t>
      </w:r>
      <w:hyperlink r:id="rId1898" w:tgtFrame="_blank" w:history="1">
        <w:r>
          <w:rPr>
            <w:rStyle w:val="Hyperlink"/>
          </w:rPr>
          <w:t>§ 257 SGB V</w:t>
        </w:r>
      </w:hyperlink>
      <w:r>
        <w:t>. Der Anspruch besteht nur für die Zeit der beihilfekonformen Teilversicherung in der privaten Kranken</w:t>
      </w:r>
      <w:r>
        <w:softHyphen/>
        <w:t>versicherung.“</w:t>
      </w:r>
    </w:p>
    <w:p w:rsidR="00BE1EFE" w:rsidRDefault="00BE1EFE">
      <w:pPr>
        <w:pStyle w:val="StandardWeb"/>
      </w:pPr>
    </w:p>
    <w:p w:rsidR="00BE1EFE" w:rsidRDefault="00BE1EFE" w:rsidP="0054275E">
      <w:pPr>
        <w:pStyle w:val="StandardWeb"/>
        <w:autoSpaceDE w:val="0"/>
      </w:pPr>
      <w:r>
        <w:rPr>
          <w:rStyle w:val="Fett"/>
          <w:bCs/>
        </w:rPr>
        <w:t>2. Zusage nach § 7 b BO/A:</w:t>
      </w:r>
    </w:p>
    <w:p w:rsidR="00BE1EFE" w:rsidRDefault="00BE1EFE">
      <w:pPr>
        <w:pStyle w:val="StandardWeb"/>
      </w:pPr>
    </w:p>
    <w:p w:rsidR="00BE1EFE" w:rsidRDefault="00BE1EFE">
      <w:pPr>
        <w:pStyle w:val="StandardWeb"/>
      </w:pPr>
      <w:r>
        <w:t>a) für die Dauer der Beschäftigung, auch im Falle der Elternzeit oder des Sonderurlaubs aus familienpolitischen Gründen:</w:t>
      </w:r>
    </w:p>
    <w:p w:rsidR="00BE1EFE" w:rsidRDefault="00BE1EFE">
      <w:pPr>
        <w:pStyle w:val="StandardWeb"/>
      </w:pPr>
      <w:r>
        <w:t>„Herr/Frau ... erhält ab dem ... für sich und seine/ihre berücksichtigungsfähigen Familienangehörigen für die Dauer der Beschäftigung, auch im Falle der Elternzeit oder des Sonderurlaubs aus familienpolitischen Gründen, Beihilfeleistungen im jeweiligen Umfang des Tarifs 820 K. Die Beihilfeordnung der (Erz-)Diözese ... findet Anwendung.“</w:t>
      </w:r>
    </w:p>
    <w:p w:rsidR="00BE1EFE" w:rsidRDefault="00BE1EFE">
      <w:pPr>
        <w:pStyle w:val="StandardWeb"/>
      </w:pPr>
      <w:r>
        <w:t>b) zusätzlich zu a) im Falle der Beendigung des Arbeitsverhältnisses wegen des Bezugs einer Rente wegen Erwerbsminderung oder wegen Alters:</w:t>
      </w:r>
    </w:p>
    <w:p w:rsidR="00BE1EFE" w:rsidRDefault="00BE1EFE">
      <w:pPr>
        <w:pStyle w:val="StandardWeb"/>
      </w:pPr>
      <w:r>
        <w:t>„Der Anspruch auf Beihilfeleistungen im jeweiligen Umfang des Tarifs 820 K besteht auch im Falle der Beendigung des Arbeitsverhältnisses wegen des Bezugs einer Rente wegen Erwerbsminderung oder wegen Alters. Die Beihilfeordnung der (Erz-)Diözese ... findet Anwendung.“</w:t>
      </w:r>
    </w:p>
    <w:p w:rsidR="00BE1EFE" w:rsidRDefault="00BE1EFE">
      <w:pPr>
        <w:pStyle w:val="StandardWeb"/>
      </w:pPr>
    </w:p>
    <w:p w:rsidR="00BE1EFE" w:rsidRDefault="00BE1EFE" w:rsidP="0054275E">
      <w:pPr>
        <w:pStyle w:val="StandardWeb"/>
        <w:autoSpaceDE w:val="0"/>
      </w:pPr>
      <w:r>
        <w:rPr>
          <w:rStyle w:val="Fett"/>
          <w:bCs/>
        </w:rPr>
        <w:t>3. Zusage nach § 7c BO/A:</w:t>
      </w:r>
    </w:p>
    <w:p w:rsidR="00BE1EFE" w:rsidRDefault="00BE1EFE">
      <w:pPr>
        <w:pStyle w:val="StandardWeb"/>
      </w:pPr>
    </w:p>
    <w:p w:rsidR="00BE1EFE" w:rsidRDefault="00BE1EFE">
      <w:pPr>
        <w:pStyle w:val="StandardWeb"/>
      </w:pPr>
      <w:r>
        <w:t>a) auch im Falle der Elternzeit oder des Sonderurlaubs aus familienpolitischen Gründen:</w:t>
      </w:r>
    </w:p>
    <w:p w:rsidR="00BE1EFE" w:rsidRDefault="00BE1EFE">
      <w:pPr>
        <w:pStyle w:val="StandardWeb"/>
      </w:pPr>
      <w:r>
        <w:t>„Herr/Frau ... hat auch im Falle der Elternzeit oder des Sonderurlaubs aus familienpolitischen Gründen Anspruch auf Beihilfen bei Krankheits-, Geburts- und Todesfällen wie ein privat krankenversicherter Arbeitnehmer des Freistaates Bayern mit Beitragszuschuss nach</w:t>
      </w:r>
      <w:hyperlink r:id="rId1899" w:tgtFrame="_blank" w:history="1">
        <w:r>
          <w:rPr>
            <w:rStyle w:val="Hyperlink"/>
          </w:rPr>
          <w:t xml:space="preserve"> §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StandardWeb"/>
      </w:pPr>
      <w:r>
        <w:t>b) zusätzlich zu a) im Falle der Beendigung des Arbeitsverhältnisses wegen des Bezugs einer Rente wegen Erwerbsminderung oder wegen Alters:</w:t>
      </w:r>
    </w:p>
    <w:p w:rsidR="00BE1EFE" w:rsidRDefault="00BE1EFE">
      <w:pPr>
        <w:pStyle w:val="StandardWeb"/>
      </w:pPr>
      <w:r>
        <w:t xml:space="preserve">„Herr/Frau ... hat auch im Falle der Beendigung des Arbeitsverhältnisses wegen des Bezugs einer Rente wegen Erwerbsminderung oder wegen Alters Anspruch auf Beihilfen bei Krankheits-, Geburts- und Todesfällen wie ein privat krankenversicherter Arbeitnehmer des </w:t>
      </w:r>
      <w:r>
        <w:lastRenderedPageBreak/>
        <w:t xml:space="preserve">Freistaates Bayern mit Beitragszuschuss nach </w:t>
      </w:r>
      <w:hyperlink r:id="rId1900" w:tgtFrame="_blank" w:history="1">
        <w:r>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StandardWeb"/>
      </w:pPr>
    </w:p>
    <w:p w:rsidR="00BE1EFE" w:rsidRPr="00AF5B9C" w:rsidRDefault="00BE1EFE" w:rsidP="00AF5B9C">
      <w:pPr>
        <w:pStyle w:val="StandardWeb"/>
        <w:rPr>
          <w:b/>
        </w:rPr>
      </w:pPr>
      <w:r w:rsidRPr="00AF5B9C">
        <w:rPr>
          <w:b/>
        </w:rPr>
        <w:t>4. Zusage nach § 7e BO/A:</w:t>
      </w:r>
    </w:p>
    <w:p w:rsidR="00BE1EFE" w:rsidRDefault="00BE1EFE" w:rsidP="00AF5B9C">
      <w:pPr>
        <w:pStyle w:val="StandardWeb"/>
      </w:pPr>
      <w:r>
        <w:t>a) für die Dauer der Beschäftigung, auch im Falle der Elternzeit oder des Sonderurlaubs aus familienpolitischen Gründen:</w:t>
      </w:r>
    </w:p>
    <w:p w:rsidR="00BE1EFE" w:rsidRDefault="00BE1EFE" w:rsidP="00AF5B9C">
      <w:pPr>
        <w:pStyle w:val="StandardWeb"/>
      </w:pPr>
      <w:r>
        <w:t>„Herr/Frau ... erhält ab dem ... für sich und seine/ihre berücksichtigungsfähigen Familien</w:t>
      </w:r>
      <w:r>
        <w:softHyphen/>
        <w:t>angehörigen für die Dauer der Beschäftigung, auch im Falle der Elternzeit oder des Sonder</w:t>
      </w:r>
      <w:r>
        <w:softHyphen/>
        <w:t>urlaubs aus familienpolitischen Gründen, Beihilfeleistungen im jeweiligen Umfang des Tarifs 820 K Plus. Die Beihilfeordnung der (Erz-)Diözese ... findet Anwendung.“</w:t>
      </w:r>
    </w:p>
    <w:p w:rsidR="00BE1EFE" w:rsidRDefault="00BE1EFE" w:rsidP="00AF5B9C">
      <w:pPr>
        <w:pStyle w:val="StandardWeb"/>
      </w:pPr>
      <w:r>
        <w:t>b) zusätzlich zu a) im Falle der Beendigung des Arbeitsverhältnisses wegen des Bezugs einer Rente wegen Erwerbsminderung oder wegen Alters:</w:t>
      </w:r>
    </w:p>
    <w:p w:rsidR="00BE1EFE" w:rsidRDefault="00BE1EFE" w:rsidP="00AF5B9C">
      <w:pPr>
        <w:pStyle w:val="StandardWeb"/>
      </w:pPr>
      <w:r>
        <w:t>„Der Anspruch auf Beihilfeleistungen im jeweiligen Umfang des Tarifs 820 K Plus besteht auch im Falle der Beendigung des Arbeitsverhältnisses wegen des Bezugs einer Rente wegen Erwerbsminderung oder wegen Alters. Die Beihilfeordnung der (Erz-)Diözese ... findet Anwendung.“</w:t>
      </w:r>
    </w:p>
    <w:p w:rsidR="00BE1EFE" w:rsidRDefault="00BE1EFE" w:rsidP="00AF5B9C">
      <w:pPr>
        <w:pStyle w:val="StandardWeb"/>
      </w:pPr>
    </w:p>
    <w:p w:rsidR="00BE1EFE" w:rsidRPr="00AF5B9C" w:rsidRDefault="00BE1EFE" w:rsidP="00AF5B9C">
      <w:pPr>
        <w:pStyle w:val="StandardWeb"/>
        <w:rPr>
          <w:b/>
        </w:rPr>
      </w:pPr>
      <w:r w:rsidRPr="00AF5B9C">
        <w:rPr>
          <w:b/>
        </w:rPr>
        <w:t>5. Zusage nach § 7f BO/A:</w:t>
      </w:r>
    </w:p>
    <w:p w:rsidR="00BE1EFE" w:rsidRDefault="00BE1EFE" w:rsidP="00AF5B9C">
      <w:pPr>
        <w:pStyle w:val="StandardWeb"/>
      </w:pPr>
      <w:r>
        <w:t xml:space="preserve">a) auch im Falle der Elternzeit oder des Sonderurlaubs aus familienpolitischen Gründen: </w:t>
      </w:r>
    </w:p>
    <w:p w:rsidR="00BE1EFE" w:rsidRDefault="00BE1EFE" w:rsidP="00AF5B9C">
      <w:pPr>
        <w:pStyle w:val="StandardWeb"/>
      </w:pPr>
      <w:r>
        <w:t>„Herr/Frau ... hat auch im Falle der Elternzeit oder des Sonderurlaubs aus familienpolitischen Gründen Anspruch auf Beihilfen b</w:t>
      </w:r>
      <w:r w:rsidR="00402A9F">
        <w:t>ei Krankheits-, Geburts- und To</w:t>
      </w:r>
      <w:r>
        <w:t xml:space="preserve">desfällen wie ein privat krankenversicherter Arbeitnehmer des Freistaates Bayern mit Beitragszuschuss nach </w:t>
      </w:r>
      <w:hyperlink r:id="rId1901" w:history="1">
        <w:r w:rsidRPr="00AF5B9C">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rsidP="00AF5B9C">
      <w:pPr>
        <w:pStyle w:val="StandardWeb"/>
      </w:pPr>
      <w:r>
        <w:t>b) zusätzlich zu a) im Falle der Beendigung des Arbeitsverhältnisses wegen des Bezugs einer Rente wegen Erwerbsminderung oder wegen Alters:</w:t>
      </w:r>
    </w:p>
    <w:p w:rsidR="00BE1EFE" w:rsidRDefault="00BE1EFE" w:rsidP="00AF5B9C">
      <w:pPr>
        <w:pStyle w:val="StandardWeb"/>
      </w:pPr>
      <w:r>
        <w:t xml:space="preserve">„Herr/Frau ... hat auch im Falle der Beendigung des Arbeitsverhältnisses wegen des Bezugs einer Rente wegen Erwerbsminderung oder wegen Alters Anspruch auf Beihilfen bei Krankheits-, Geburts- und Todesfällen wie ein privat krankenversicherter Arbeitnehmer des Freistaates Bayern mit Beitragszuschuss nach </w:t>
      </w:r>
      <w:hyperlink r:id="rId1902" w:history="1">
        <w:r w:rsidRPr="00AF5B9C">
          <w:rPr>
            <w:rStyle w:val="Hyperlink"/>
          </w:rPr>
          <w:t>§ 257 SGB V</w:t>
        </w:r>
      </w:hyperlink>
      <w:r>
        <w:t xml:space="preserve"> mit der Maßgabe, dass Aufwendungen für stationäre Krankenhausbe-handlung nicht beihilfefähig und sonstige Aufwendungen, soweit sie zustehende Leistungen aus der privaten Krankenversicherung übersteigen, nur bis zu einem Betrag von maximal 1.000,- Euro pro Kalenderjahr beihilfefähig sind. Die Beihilfeordnung der (Erz-)Diözese ... findet Anwendung.““</w:t>
      </w:r>
    </w:p>
    <w:p w:rsidR="00BE1EFE" w:rsidRDefault="00BE1EFE">
      <w:pPr>
        <w:pStyle w:val="berschrift5"/>
      </w:pPr>
      <w:bookmarkStart w:id="1270" w:name="_Toc523926785"/>
      <w:r>
        <w:t>II. Lehrkräfte an Schulen in kirchlicher Trägerschaft</w:t>
      </w:r>
      <w:bookmarkEnd w:id="1270"/>
    </w:p>
    <w:p w:rsidR="00BE1EFE" w:rsidRPr="00B76821" w:rsidRDefault="00BE1EFE" w:rsidP="00B76821">
      <w:pPr>
        <w:pStyle w:val="berschrift6"/>
        <w:keepNext w:val="0"/>
        <w:spacing w:before="0" w:after="0"/>
        <w:rPr>
          <w:sz w:val="2"/>
        </w:rPr>
      </w:pPr>
    </w:p>
    <w:p w:rsidR="00BE1EFE" w:rsidRPr="000B1AF8" w:rsidRDefault="00BE1EFE">
      <w:pPr>
        <w:pStyle w:val="StandardWeb"/>
      </w:pPr>
      <w:r>
        <w:t>Für die Erteilung von Zusagen an Lehrkräfte an Schulen in kirchlicher Trägerschaft gelten folgende Regelungen:</w:t>
      </w:r>
    </w:p>
    <w:p w:rsidR="00BE1EFE" w:rsidRPr="000B1AF8" w:rsidRDefault="00BE1EFE">
      <w:pPr>
        <w:pStyle w:val="StandardWeb"/>
      </w:pPr>
    </w:p>
    <w:p w:rsidR="00BE1EFE" w:rsidRDefault="00BE1EFE">
      <w:pPr>
        <w:pStyle w:val="StandardWeb"/>
      </w:pPr>
      <w:r>
        <w:t>(1)</w:t>
      </w:r>
    </w:p>
    <w:p w:rsidR="00BE1EFE" w:rsidRDefault="00BE1EFE">
      <w:pPr>
        <w:pStyle w:val="StandardWeb"/>
      </w:pPr>
      <w:r>
        <w:t>1. Gesetzlich krankenversicherte Lehrkräfte erhalten mit Beginn eines unbefristeten Arbeits</w:t>
      </w:r>
      <w:r>
        <w:softHyphen/>
        <w:t xml:space="preserve">verhältnisses eine schriftliche Zusage gemäß </w:t>
      </w:r>
      <w:hyperlink r:id="rId1903" w:history="1">
        <w:r>
          <w:rPr>
            <w:rStyle w:val="Hyperlink"/>
          </w:rPr>
          <w:t>§ 7</w:t>
        </w:r>
        <w:r w:rsidRPr="002D1F1D">
          <w:rPr>
            <w:rStyle w:val="Hyperlink"/>
          </w:rPr>
          <w:t>b Beihilfeordnung Teil A</w:t>
        </w:r>
      </w:hyperlink>
      <w:r>
        <w:t xml:space="preserve"> mit der Maßgabe, dass Beihilfeleistungen für die Dauer der Beschäftigung, auch im Falle der Elternzeit oder des Sonderurlaubs aus familienpolitischen Gründen gewährt werden.</w:t>
      </w:r>
    </w:p>
    <w:p w:rsidR="00BE1EFE" w:rsidRDefault="00BE1EFE">
      <w:pPr>
        <w:pStyle w:val="StandardWeb"/>
      </w:pPr>
      <w:r>
        <w:t xml:space="preserve">Dies gilt nicht bei Lehrkräften, deren Beschäftigungsverhältnis bei dem jeweiligen kirchlichen Dienstgeber die Merkmale einer geringfügigen Beschäftigung nach </w:t>
      </w:r>
      <w:hyperlink r:id="rId1904" w:tgtFrame="_blank" w:history="1">
        <w:r>
          <w:rPr>
            <w:rStyle w:val="Hyperlink"/>
          </w:rPr>
          <w:t>§ 8 SGB IV</w:t>
        </w:r>
      </w:hyperlink>
      <w:r>
        <w:t xml:space="preserve"> erfüllt.</w:t>
      </w:r>
    </w:p>
    <w:p w:rsidR="00BE1EFE" w:rsidRDefault="00BE1EFE">
      <w:pPr>
        <w:pStyle w:val="StandardWeb"/>
      </w:pPr>
      <w:r>
        <w:lastRenderedPageBreak/>
        <w:t xml:space="preserve">2. Gesetzlich krankenversicherte Lehrkräfte erhalten vom Zeitpunkt der Übernahme der Arbeitnehmerbeiträge zur gesetzlichen Rentenversicherung eine schriftliche Zusage gemäß </w:t>
      </w:r>
      <w:hyperlink r:id="rId1905" w:history="1">
        <w:r>
          <w:rPr>
            <w:rStyle w:val="Hyperlink"/>
          </w:rPr>
          <w:t>§ 7</w:t>
        </w:r>
        <w:r w:rsidRPr="002D1F1D">
          <w:rPr>
            <w:rStyle w:val="Hyperlink"/>
          </w:rPr>
          <w:t>b Beihilfeordnung Teil A</w:t>
        </w:r>
      </w:hyperlink>
      <w:r>
        <w:t xml:space="preserve"> mit der Maßgabe, dass Beihilfeleistungen zusätzlich zu Nr. 1 auch im Falle der Beendigung des Arbeitsverhältnisses wegen des Bezugs einer Rente wegen verminderter Erwerbsfähigkeit oder wegen Alters gewährt werden.</w:t>
      </w:r>
    </w:p>
    <w:p w:rsidR="00BE1EFE" w:rsidRDefault="00BE1EFE">
      <w:pPr>
        <w:pStyle w:val="StandardWeb"/>
      </w:pPr>
      <w:r>
        <w:t>3. Privat krankenversicherte Lehrkräfte erhalten mit Beginn eines unbefristeten Arbeits</w:t>
      </w:r>
      <w:r>
        <w:softHyphen/>
        <w:t xml:space="preserve">verhältnisses eine schriftliche Zusage gemäß </w:t>
      </w:r>
      <w:hyperlink r:id="rId1906" w:history="1">
        <w:r>
          <w:rPr>
            <w:rStyle w:val="Hyperlink"/>
          </w:rPr>
          <w:t>§ 7</w:t>
        </w:r>
        <w:r w:rsidRPr="002D1F1D">
          <w:rPr>
            <w:rStyle w:val="Hyperlink"/>
          </w:rPr>
          <w:t>c Beihilfeordnung Teil A</w:t>
        </w:r>
      </w:hyperlink>
      <w:r>
        <w:t xml:space="preserve"> mit der Maßgabe, dass Beihilfeleistungen auch im Falle der Elternzeit oder des Sonderurlaubs aus familienpolitischen Gründen gewährt werden.</w:t>
      </w:r>
    </w:p>
    <w:p w:rsidR="00BE1EFE" w:rsidRDefault="00BE1EFE">
      <w:pPr>
        <w:pStyle w:val="StandardWeb"/>
      </w:pPr>
      <w:r>
        <w:t xml:space="preserve">Dies gilt nicht bei Lehrkräften, deren Beschäftigungsverhältnis bei dem jeweiligen kirchlichen Dienstgeber die Merkmale einer geringfügigen Beschäftigung nach </w:t>
      </w:r>
      <w:hyperlink r:id="rId1907" w:tgtFrame="_blank" w:history="1">
        <w:r>
          <w:rPr>
            <w:rStyle w:val="Hyperlink"/>
          </w:rPr>
          <w:t>§ 8 SGB IV</w:t>
        </w:r>
      </w:hyperlink>
      <w:r>
        <w:t xml:space="preserve"> erfüllt.</w:t>
      </w:r>
    </w:p>
    <w:p w:rsidR="00BE1EFE" w:rsidRDefault="00BE1EFE">
      <w:pPr>
        <w:pStyle w:val="StandardWeb"/>
      </w:pPr>
      <w:r>
        <w:t xml:space="preserve">4. Privat krankenversicherte Lehrkräfte erhalten vom Zeitpunkt der Übernahme der Arbeitnehmerbeiträge zur gesetzlichen Rentenversicherung eine schriftliche Zusage gemäß </w:t>
      </w:r>
      <w:hyperlink r:id="rId1908" w:history="1">
        <w:r>
          <w:rPr>
            <w:rStyle w:val="Hyperlink"/>
          </w:rPr>
          <w:t>§ 7</w:t>
        </w:r>
        <w:r w:rsidRPr="002D1F1D">
          <w:rPr>
            <w:rStyle w:val="Hyperlink"/>
          </w:rPr>
          <w:t>c Beihilfeordnung Teil A</w:t>
        </w:r>
      </w:hyperlink>
      <w:r>
        <w:t xml:space="preserve"> mit der Maßgabe, dass Beihilfeleistungen zusätzlich zu Nr. 3 auch im Falle der Beendigung des Arbeitsverhältnisses wegen des Bezugs einer Rente wegen verminderter Erwerbsfähigkeit oder wegen Alters gewährt werden.</w:t>
      </w:r>
    </w:p>
    <w:p w:rsidR="00BE1EFE" w:rsidRDefault="00BE1EFE">
      <w:pPr>
        <w:pStyle w:val="StandardWeb"/>
      </w:pPr>
    </w:p>
    <w:p w:rsidR="00BE1EFE" w:rsidRDefault="00BE1EFE" w:rsidP="001E37EB">
      <w:pPr>
        <w:pStyle w:val="StandardWeb"/>
      </w:pPr>
      <w:r>
        <w:t>(2) Für die Erteilung von Zusagen an Lehrkräfte gemäß ABD Teil B, 4.1. an Schulen in kirchlicher Trägerschaft, auf deren Arbeitsverhältnis das Arbeitsvertragsrecht der bayerischen Diözesen (ABD) Anwendung findet und deren Arbeitsverhältnis am 01.05.2018 besteht oder danach beginnt, gelten folgende Regelungen:</w:t>
      </w:r>
    </w:p>
    <w:p w:rsidR="00BE1EFE" w:rsidRDefault="00BE1EFE" w:rsidP="001E37EB">
      <w:pPr>
        <w:pStyle w:val="StandardWeb"/>
      </w:pPr>
      <w:r>
        <w:t>1. Gesetzlich krankenversicherte Lehrkräfte erhalten mit Beginn eines unbefristeten Arbeits</w:t>
      </w:r>
      <w:r>
        <w:softHyphen/>
        <w:t xml:space="preserve">verhältnisses eine schriftliche Zusage gemäß </w:t>
      </w:r>
      <w:hyperlink r:id="rId1909" w:history="1">
        <w:r w:rsidRPr="00C54F2C">
          <w:rPr>
            <w:rStyle w:val="Hyperlink"/>
          </w:rPr>
          <w:t>§ 7e Beihilfeordnung Teil A</w:t>
        </w:r>
      </w:hyperlink>
      <w:r>
        <w:t xml:space="preserve"> mit der Maßgabe, dass Beihilfeleistungen für die Dauer der Beschäftigung, auch im Falle der Elternzeit oder des Sonderurlaubs aus familienpolitischen Gründen gewährt werden. Dies gilt nicht bei Lehrkräften, deren Beschäftigungsverhältnis bei dem jeweiligen kirchlichen Dienstgeber die Merkmale einer geringfügigen Beschäftigung nach </w:t>
      </w:r>
      <w:hyperlink r:id="rId1910" w:history="1">
        <w:r w:rsidRPr="001E37EB">
          <w:rPr>
            <w:rStyle w:val="Hyperlink"/>
          </w:rPr>
          <w:t>§ 8 SGB IV</w:t>
        </w:r>
      </w:hyperlink>
      <w:r>
        <w:t xml:space="preserve"> erfüllt.</w:t>
      </w:r>
    </w:p>
    <w:p w:rsidR="00BE1EFE" w:rsidRDefault="00BE1EFE" w:rsidP="001E37EB">
      <w:pPr>
        <w:pStyle w:val="StandardWeb"/>
      </w:pPr>
      <w:r>
        <w:t xml:space="preserve">2. Gesetzlich krankenversicherte Lehrkräfte erhalten vom Zeitpunkt der Übernahme der Arbeitnehmerbeiträge zur gesetzlichen Rentenversicherung eine schriftliche Zusage gemäß </w:t>
      </w:r>
      <w:hyperlink r:id="rId1911" w:history="1">
        <w:r w:rsidRPr="00C54F2C">
          <w:rPr>
            <w:rStyle w:val="Hyperlink"/>
          </w:rPr>
          <w:t>§ 7e Beihilfeordnung Teil A</w:t>
        </w:r>
      </w:hyperlink>
      <w:r>
        <w:t xml:space="preserve"> mit der Maßgabe, dass Beihilfeleistungen zusätzlich zu Nr. 1 auch im Falle der Beendigung des Arbeitsverhältnisses wegen des Bezugs einer Rente wegen verminderter Erwerbsfähigkeit oder wegen Alters gewährt werden.</w:t>
      </w:r>
    </w:p>
    <w:p w:rsidR="00BE1EFE" w:rsidRDefault="00BE1EFE" w:rsidP="001E37EB">
      <w:pPr>
        <w:pStyle w:val="StandardWeb"/>
      </w:pPr>
      <w:r>
        <w:t>3. Privat krankenversicherte Lehrkräfte erhalten mit Beginn eines unbefristeten Arbeitsverhält</w:t>
      </w:r>
      <w:r>
        <w:softHyphen/>
        <w:t xml:space="preserve">nisses eine schriftliche Zusage gemäß </w:t>
      </w:r>
      <w:hyperlink r:id="rId1912" w:history="1">
        <w:r w:rsidRPr="00C54F2C">
          <w:rPr>
            <w:rStyle w:val="Hyperlink"/>
          </w:rPr>
          <w:t>§ 7f Beihilfeordnung Teil A</w:t>
        </w:r>
      </w:hyperlink>
      <w:r>
        <w:t xml:space="preserve"> mit der Maßgabe, dass Beihilfeleistungen auch im Falle der Elternzeit oder des Sonderurlaubs aus familienpolitischen Gründen gewährt werden. Dies gilt nicht bei Lehrkräften, deren Beschäftigungsverhältnis bei dem jeweiligen kirchlichen Dienstgeber die Merkmale einer geringfügigen Beschäftigung nach </w:t>
      </w:r>
      <w:hyperlink r:id="rId1913" w:history="1">
        <w:r w:rsidRPr="00C54F2C">
          <w:rPr>
            <w:rStyle w:val="Hyperlink"/>
          </w:rPr>
          <w:t>§ 8 SGB IV</w:t>
        </w:r>
      </w:hyperlink>
      <w:r>
        <w:t xml:space="preserve"> erfüllt.</w:t>
      </w:r>
    </w:p>
    <w:p w:rsidR="00BE1EFE" w:rsidRDefault="00BE1EFE" w:rsidP="001E37EB">
      <w:pPr>
        <w:pStyle w:val="StandardWeb"/>
      </w:pPr>
      <w:r>
        <w:t>4. Privat krankenversicherte Lehrkräfte erhalten vom Zeitpunkt der Übernahme der Arbeit</w:t>
      </w:r>
      <w:r>
        <w:softHyphen/>
        <w:t xml:space="preserve">nehmerbeiträge zur gesetzlichen Rentenversicherung eine schriftliche Zusage gemäß </w:t>
      </w:r>
      <w:hyperlink r:id="rId1914" w:history="1">
        <w:r w:rsidRPr="00C54F2C">
          <w:rPr>
            <w:rStyle w:val="Hyperlink"/>
          </w:rPr>
          <w:t>§ 7f Beihilfeordnung Teil A</w:t>
        </w:r>
      </w:hyperlink>
      <w:r>
        <w:t xml:space="preserve"> mit der Maßgabe, dass Beihilfeleistungen zusätzlich zu Nr. 3 auch im Falle der Beendigung des Arbeitsverhältnisses wegen des Bezugs einer Rente wegen verminderter Erwerbsfähigkeit oder wegen Alters gewährt werden.“</w:t>
      </w:r>
    </w:p>
    <w:p w:rsidR="00BE1EFE" w:rsidRDefault="00BE1EFE" w:rsidP="00D450B0">
      <w:pPr>
        <w:pStyle w:val="StandardWeb"/>
      </w:pPr>
      <w:r>
        <w:br w:type="page"/>
      </w:r>
      <w:bookmarkStart w:id="1271" w:name="_Toc453678371"/>
    </w:p>
    <w:p w:rsidR="00BE1EFE" w:rsidRDefault="00BE1EFE" w:rsidP="003B3A1E">
      <w:pPr>
        <w:pStyle w:val="berschrift4"/>
        <w:spacing w:before="0"/>
      </w:pPr>
      <w:bookmarkStart w:id="1272" w:name="_Toc523926786"/>
      <w:r>
        <w:lastRenderedPageBreak/>
        <w:t>Regelung zur Fortführung des kirchlichen Beihilferechts zum Stichtag 31.12.2000</w:t>
      </w:r>
      <w:bookmarkEnd w:id="1271"/>
      <w:bookmarkEnd w:id="1272"/>
    </w:p>
    <w:p w:rsidR="00BE1EFE" w:rsidRDefault="00BE1EFE" w:rsidP="009D7CE4">
      <w:pPr>
        <w:pStyle w:val="berschrift5"/>
        <w:spacing w:before="0" w:after="0"/>
        <w:rPr>
          <w:sz w:val="2"/>
        </w:rPr>
      </w:pPr>
    </w:p>
    <w:p w:rsidR="00BE1EFE" w:rsidRDefault="00BE1EFE" w:rsidP="009D7CE4">
      <w:pPr>
        <w:pStyle w:val="berschrift6"/>
        <w:spacing w:before="0" w:after="0"/>
        <w:rPr>
          <w:sz w:val="2"/>
        </w:rPr>
      </w:pPr>
    </w:p>
    <w:p w:rsidR="00BE1EFE" w:rsidRPr="00B76821" w:rsidRDefault="00BE1EFE" w:rsidP="00B76821">
      <w:pPr>
        <w:pStyle w:val="h7"/>
        <w:keepNext w:val="0"/>
        <w:spacing w:before="0" w:after="0"/>
        <w:jc w:val="left"/>
        <w:outlineLvl w:val="5"/>
        <w:rPr>
          <w:sz w:val="2"/>
        </w:rPr>
      </w:pPr>
    </w:p>
    <w:p w:rsidR="00BE1EFE" w:rsidRPr="000B1AF8" w:rsidRDefault="00BE1EFE" w:rsidP="009D7CE4">
      <w:pPr>
        <w:pStyle w:val="StandardWeb"/>
      </w:pPr>
      <w:r>
        <w:t>Durch das Gesetz zur Änderung besoldungsrechtlicher Vorschriften vom 22.12.2000 (GVBl. S. 928 ff.) hat der Freistaat Bayern u. a. die Gewährung von Beihilfen an Angestellte, Arbeiter und Auszubildende auf Arbeitsverhältnisse beschränkt, die bereits vor dem 01.01.2001 begründet wurden.</w:t>
      </w:r>
    </w:p>
    <w:p w:rsidR="00BE1EFE" w:rsidRPr="000B1AF8" w:rsidRDefault="00BE1EFE">
      <w:pPr>
        <w:pStyle w:val="StandardWeb"/>
      </w:pPr>
    </w:p>
    <w:p w:rsidR="00BE1EFE" w:rsidRDefault="00BE1EFE">
      <w:pPr>
        <w:pStyle w:val="StandardWeb"/>
      </w:pPr>
      <w:r>
        <w:t>Die Beihilfeordnung für die (Erz-)Diözese ... (vgl. Amtsblatt Nr. ... ) verweist ergänzend auf die Beihilferegelungen des Freistaates Bayern für die Arbeitnehmer und Auszubildenden.</w:t>
      </w:r>
    </w:p>
    <w:p w:rsidR="00BE1EFE" w:rsidRDefault="00BE1EFE">
      <w:pPr>
        <w:pStyle w:val="StandardWeb"/>
      </w:pPr>
    </w:p>
    <w:p w:rsidR="00BE1EFE" w:rsidRDefault="00BE1EFE">
      <w:pPr>
        <w:pStyle w:val="StandardWeb"/>
      </w:pPr>
      <w:r>
        <w:t>Die in Satz 1 bezeichnete Beschränkung der Gewährung von Beihilfen im Bereich des Freistaates Bayern wird für den Anwendungsbereich der kirchlichen Beihilfeordnung nicht übernommen.</w:t>
      </w:r>
    </w:p>
    <w:p w:rsidR="00BE1EFE" w:rsidRDefault="00BE1EFE">
      <w:pPr>
        <w:pStyle w:val="StandardWeb"/>
      </w:pPr>
    </w:p>
    <w:p w:rsidR="00BE1EFE" w:rsidRDefault="00BE1EFE">
      <w:pPr>
        <w:pStyle w:val="StandardWeb"/>
      </w:pPr>
      <w:r>
        <w:t>Sofern in der Beihilfeordnung für die (Erz-)Diözese ... auf Beihilfeleistungen, wie sie Arbeit</w:t>
      </w:r>
      <w:r>
        <w:softHyphen/>
        <w:t>nehmer des Freistaates Bayern oder deren Angehörige erhalten, verwiesen wird, bezieht sich die Verweisung auf Beihilfeleistungen an Arbeitnehmer des Freistaates Bayern, deren Arbeitsverhältnisse vor dem 01.01.2001 begründet wurde.</w:t>
      </w:r>
    </w:p>
    <w:p w:rsidR="00BE1EFE" w:rsidRDefault="00BE1EFE" w:rsidP="00D450B0">
      <w:pPr>
        <w:pStyle w:val="StandardWeb"/>
      </w:pPr>
      <w:r>
        <w:br w:type="page"/>
      </w:r>
    </w:p>
    <w:p w:rsidR="00BE1EFE" w:rsidRDefault="00BE1EFE" w:rsidP="003B3A1E">
      <w:pPr>
        <w:pStyle w:val="berschrift4"/>
        <w:spacing w:before="0"/>
      </w:pPr>
      <w:bookmarkStart w:id="1273" w:name="_Toc523926787"/>
      <w:r>
        <w:lastRenderedPageBreak/>
        <w:t>6. Dienstordnung für Gemeindereferentinnen/</w:t>
      </w:r>
      <w:r>
        <w:rPr>
          <w:lang w:eastAsia="x-none"/>
        </w:rPr>
        <w:t xml:space="preserve"> </w:t>
      </w:r>
      <w:r>
        <w:t>Gemeinderefe</w:t>
      </w:r>
      <w:r w:rsidR="00CA1C32">
        <w:softHyphen/>
      </w:r>
      <w:r>
        <w:t>renten in den bayerischen (Erz-)Diözesen</w:t>
      </w:r>
      <w:bookmarkEnd w:id="1273"/>
    </w:p>
    <w:p w:rsidR="00BE1EFE" w:rsidRDefault="00BE1EFE">
      <w:pPr>
        <w:pStyle w:val="berschrift5"/>
      </w:pPr>
      <w:bookmarkStart w:id="1274" w:name="_Toc523926788"/>
      <w:r>
        <w:t>I. Allgemeiner Teil</w:t>
      </w:r>
      <w:bookmarkEnd w:id="1274"/>
    </w:p>
    <w:p w:rsidR="00BE1EFE" w:rsidRDefault="00BE1EFE">
      <w:pPr>
        <w:pStyle w:val="berschrift6"/>
      </w:pPr>
      <w:bookmarkStart w:id="1275" w:name="_Toc523926789"/>
      <w:r>
        <w:t>1. Beruf und kirchliche Stellung</w:t>
      </w:r>
      <w:bookmarkEnd w:id="1275"/>
    </w:p>
    <w:p w:rsidR="00BE1EFE" w:rsidRPr="00B76821" w:rsidRDefault="00BE1EFE" w:rsidP="00B76821">
      <w:pPr>
        <w:pStyle w:val="h7"/>
        <w:keepNext w:val="0"/>
        <w:spacing w:before="0" w:after="0"/>
        <w:jc w:val="left"/>
        <w:outlineLvl w:val="5"/>
        <w:rPr>
          <w:sz w:val="2"/>
        </w:rPr>
      </w:pPr>
    </w:p>
    <w:p w:rsidR="00BE1EFE" w:rsidRDefault="00BE1EFE">
      <w:pPr>
        <w:pStyle w:val="StandardWeb"/>
      </w:pPr>
      <w:r>
        <w:t>1.1. „Gemeindereferentin/Gemeindereferent“ bezeichnet einen pastoralen Beruf im kirchlichen Dienst, der Frauen und Männern offen steht. Taufe und Firmung, die allen Gliedern der Kirche die Teilhabe am gemeinsamen Priestertum der Gläubigen vermitteln, sind die sakramentale Grundlage für diesen Dienst. Gemeinsam mit Priestern, anderen Mitarbeiterinnen und Mitarbeitern sowie Ehrenamtlichen arbeiten Gemeindereferentinnen/Gemeindereferenten beim Aufbau und bei der Bildung lebendiger Gemeinden mit. Durch die Teilnahme an den drei Grunddiensten Verkündigung, Liturgie und Diakonie tragen sie zur Wirksamkeit des Dienstes der Kirche in den verschiedenen Lebensbereichen bei.</w:t>
      </w:r>
    </w:p>
    <w:p w:rsidR="00BE1EFE" w:rsidRDefault="00BE1EFE">
      <w:pPr>
        <w:pStyle w:val="StandardWeb"/>
      </w:pPr>
      <w:r>
        <w:t>Für ihre Aufgaben bedürfen Gemeindereferentinnen/Gemeindereferenten entsprechender menschlicher und religiös-kirchlicher Voraussetzungen, einer theologisch- pastoralen Ausbildung sowie der Bereitschaft, sich mit den Lebensbedingungen der Gemeindemitglieder vertraut zu machen.</w:t>
      </w:r>
    </w:p>
    <w:p w:rsidR="00BE1EFE" w:rsidRPr="000B1AF8" w:rsidRDefault="00BE1EFE">
      <w:pPr>
        <w:pStyle w:val="StandardWeb"/>
      </w:pPr>
      <w:r>
        <w:t>Als kirchlicher Beruf steht ihr Dienst unter der Leitung des (Erz-)Bischofs, der sie auch zu ihrem Dienst sendet. Im jeweiligen Einsatzbereich ist die/der für die Leitung Verantwortliche die/der unmittelbare Dienstvorgesetzte.</w:t>
      </w:r>
    </w:p>
    <w:p w:rsidR="00BE1EFE" w:rsidRPr="000B1AF8" w:rsidRDefault="00BE1EFE">
      <w:pPr>
        <w:pStyle w:val="StandardWeb"/>
      </w:pPr>
    </w:p>
    <w:p w:rsidR="00BE1EFE" w:rsidRDefault="00BE1EFE">
      <w:pPr>
        <w:pStyle w:val="StandardWeb"/>
      </w:pPr>
      <w:r>
        <w:t>1.2. Innerhalb ihrer Mitwirkung in den Grunddiensten der Gemeindepastoral werden Gemeindereferentinnen/Gemeindereferenten mit Aufgaben auch eigenständig betraut. In diesen besonders übertragenen Aufgaben kommt ihnen Eigenverantwortlichkeit zu. Bei der Stellenzuweisung ist darauf zu achten, dass sowohl die Anforderungen der jeweiligen Einsatzstelle als auch die individuellen Fähigkeiten und erworbenen Kompetenzen der Gemeindereferentin/des Gemeindereferenten berücksichtigt werden. Die Arbeitszeit lässt sich wegen des besonderen Dienstes der Gemeindereferentin/des Gemeindereferenten in der Regel nicht nach gleichbleibenden Dienstplänen festlegen.</w:t>
      </w:r>
    </w:p>
    <w:p w:rsidR="00BE1EFE" w:rsidRDefault="00BE1EFE">
      <w:pPr>
        <w:pStyle w:val="StandardWeb"/>
      </w:pPr>
    </w:p>
    <w:p w:rsidR="00BE1EFE" w:rsidRDefault="00BE1EFE">
      <w:pPr>
        <w:pStyle w:val="StandardWeb"/>
      </w:pPr>
      <w:r>
        <w:t>1.3. Wo es erforderlich ist, kann bei entsprechender Eignung eine Gemeindereferentin/ ein Gemeindereferent neben dem ihr/ihm eigenen beruflichen Auftrag zur Übernahme einzelner Aufgaben des kirchlichen Amtes herangezogen werden.</w:t>
      </w:r>
    </w:p>
    <w:p w:rsidR="00BE1EFE" w:rsidRDefault="00BE1EFE">
      <w:pPr>
        <w:pStyle w:val="StandardWeb"/>
      </w:pPr>
      <w:r>
        <w:t>Solche Beauftragungen erfolgen durch den dazu bevollmächtigten Amtsträger. Längerfristige Beauftragungen werden vom (Erz-)Bischof ausgesprochen.</w:t>
      </w:r>
    </w:p>
    <w:p w:rsidR="00BE1EFE" w:rsidRDefault="00BE1EFE">
      <w:pPr>
        <w:pStyle w:val="StandardWeb"/>
      </w:pPr>
    </w:p>
    <w:p w:rsidR="00BE1EFE" w:rsidRDefault="00BE1EFE">
      <w:pPr>
        <w:pStyle w:val="StandardWeb"/>
      </w:pPr>
      <w:r>
        <w:t>1.4. Die Berufsbezeichnung „Gemeindereferentin/Gemeindereferent“ gilt nach erfolgreichem Abschluss der Zweiten Dienstprüfung und erfolgter Anstellung. Während der Berufseinführung lautet die Berufsbezeichnung „Gemeindeassistentin/Gemeindeassistent“.</w:t>
      </w:r>
    </w:p>
    <w:p w:rsidR="00BE1EFE" w:rsidRDefault="00BE1EFE">
      <w:pPr>
        <w:pStyle w:val="berschrift6"/>
      </w:pPr>
      <w:bookmarkStart w:id="1276" w:name="_Toc523926790"/>
      <w:r>
        <w:t>2. Einsatzorte und Aufgaben</w:t>
      </w:r>
      <w:bookmarkEnd w:id="1276"/>
    </w:p>
    <w:p w:rsidR="00BE1EFE" w:rsidRPr="00B76821" w:rsidRDefault="00BE1EFE" w:rsidP="00B76821">
      <w:pPr>
        <w:pStyle w:val="h7"/>
        <w:keepNext w:val="0"/>
        <w:spacing w:before="0" w:after="0"/>
        <w:jc w:val="left"/>
        <w:outlineLvl w:val="5"/>
        <w:rPr>
          <w:sz w:val="2"/>
        </w:rPr>
      </w:pPr>
    </w:p>
    <w:p w:rsidR="00BE1EFE" w:rsidRDefault="00BE1EFE">
      <w:pPr>
        <w:pStyle w:val="StandardWeb"/>
      </w:pPr>
      <w:r>
        <w:t>2.1. Der Einsatz erfolgt:</w:t>
      </w:r>
    </w:p>
    <w:p w:rsidR="00BE1EFE" w:rsidRDefault="00BE1EFE">
      <w:pPr>
        <w:pStyle w:val="StandardWeb"/>
      </w:pPr>
      <w:r>
        <w:t>– in der Regel in einer Pfarrgemeinde bzw. einer größeren Seelsorgeeinheit;</w:t>
      </w:r>
    </w:p>
    <w:p w:rsidR="00BE1EFE" w:rsidRDefault="00BE1EFE">
      <w:pPr>
        <w:pStyle w:val="StandardWeb"/>
      </w:pPr>
      <w:r>
        <w:t>– je nach pastoraler Situation auch im kategorialen Bereich (z. B. Kranken-, Jugend-, Familien-, Altenseelsorge, Verbandsarbeit, caritativer Dienst, Bildungsarbeit, Aus- und Fortbildung, geistliche Begleitung).</w:t>
      </w:r>
    </w:p>
    <w:p w:rsidR="00BE1EFE" w:rsidRDefault="00BE1EFE">
      <w:pPr>
        <w:pStyle w:val="StandardWeb"/>
      </w:pPr>
      <w:r>
        <w:t>Die Gemeindereferentin/der Gemeindereferent soll nach Möglichkeit am Einsatzort wohnen.</w:t>
      </w:r>
    </w:p>
    <w:p w:rsidR="00BE1EFE" w:rsidRDefault="00BE1EFE">
      <w:pPr>
        <w:pStyle w:val="StandardWeb"/>
      </w:pPr>
    </w:p>
    <w:p w:rsidR="00BE1EFE" w:rsidRDefault="00BE1EFE">
      <w:pPr>
        <w:pStyle w:val="StandardWeb"/>
      </w:pPr>
      <w:r>
        <w:t>2.2. Schwerpunkte der Tätigkeit sind:</w:t>
      </w:r>
    </w:p>
    <w:p w:rsidR="00BE1EFE" w:rsidRDefault="00BE1EFE">
      <w:pPr>
        <w:pStyle w:val="StandardWeb"/>
      </w:pPr>
      <w:r>
        <w:t>– das Zusammenführen der Gläubigen zum Aufbau lebendiger geschwisterlicher Gemeinden;</w:t>
      </w:r>
    </w:p>
    <w:p w:rsidR="00BE1EFE" w:rsidRDefault="00BE1EFE">
      <w:pPr>
        <w:pStyle w:val="StandardWeb"/>
      </w:pPr>
      <w:r>
        <w:t>– das Entdecken und Fördern der verschiedenen Charismen;</w:t>
      </w:r>
    </w:p>
    <w:p w:rsidR="00BE1EFE" w:rsidRDefault="00BE1EFE">
      <w:pPr>
        <w:pStyle w:val="StandardWeb"/>
      </w:pPr>
      <w:r>
        <w:t>– die Ermutigung, Qualifizierung und fachliche Begleitung ehrenamtlicher Mitarbeiterinnen/ Mitarbeiter;</w:t>
      </w:r>
    </w:p>
    <w:p w:rsidR="00BE1EFE" w:rsidRDefault="00BE1EFE">
      <w:pPr>
        <w:pStyle w:val="StandardWeb"/>
      </w:pPr>
      <w:r>
        <w:t>– die seelsorgliche Begleitung von Zielgruppen;</w:t>
      </w:r>
    </w:p>
    <w:p w:rsidR="00BE1EFE" w:rsidRDefault="00BE1EFE">
      <w:pPr>
        <w:pStyle w:val="StandardWeb"/>
      </w:pPr>
      <w:r>
        <w:t>– die Übernahme von besonderer Verantwortung in Teilbereichen des gemeindlichen Lebens.</w:t>
      </w:r>
    </w:p>
    <w:p w:rsidR="00BE1EFE" w:rsidRDefault="00BE1EFE">
      <w:pPr>
        <w:pStyle w:val="StandardWeb"/>
      </w:pPr>
    </w:p>
    <w:p w:rsidR="00BE1EFE" w:rsidRDefault="00BE1EFE">
      <w:pPr>
        <w:pStyle w:val="StandardWeb"/>
      </w:pPr>
      <w:r>
        <w:t>Die einzelnen seelsorglichen Tätigkeiten vollziehen sich in den drei Grunddiensten Verkündi</w:t>
      </w:r>
      <w:r>
        <w:softHyphen/>
        <w:t>gung, Liturgie und Diakonie.</w:t>
      </w:r>
    </w:p>
    <w:p w:rsidR="00BE1EFE" w:rsidRDefault="00BE1EFE">
      <w:pPr>
        <w:pStyle w:val="StandardWeb"/>
      </w:pPr>
    </w:p>
    <w:p w:rsidR="00BE1EFE" w:rsidRDefault="00BE1EFE" w:rsidP="0054275E">
      <w:pPr>
        <w:pStyle w:val="StandardWeb"/>
        <w:autoSpaceDE w:val="0"/>
      </w:pPr>
      <w:r>
        <w:t xml:space="preserve">Im Bereich </w:t>
      </w:r>
      <w:r>
        <w:rPr>
          <w:rStyle w:val="Fett"/>
          <w:bCs/>
        </w:rPr>
        <w:t>Verkündigung</w:t>
      </w:r>
      <w:r>
        <w:t xml:space="preserve"> (Verkündigung des Evangeliums in konkreten Lebenssituationen von Kindern, Jugendlichen und Erwachsenen) vor allem:</w:t>
      </w:r>
    </w:p>
    <w:p w:rsidR="00BE1EFE" w:rsidRDefault="00BE1EFE">
      <w:pPr>
        <w:pStyle w:val="StandardWeb"/>
      </w:pPr>
      <w:r>
        <w:t>– Gewinnung, Befähigung und Begleitung Einzelner und Gruppen zum Glaubensgespräch und Glaubenszeugnis und zur ehrenamtlichen Mitarbeit;</w:t>
      </w:r>
    </w:p>
    <w:p w:rsidR="00BE1EFE" w:rsidRDefault="00BE1EFE">
      <w:pPr>
        <w:pStyle w:val="StandardWeb"/>
      </w:pPr>
      <w:r>
        <w:t>– Befähigung von Eltern und anderen zu Einführung der Kinder in den Glauben und in das Leben mit der Kirche;</w:t>
      </w:r>
    </w:p>
    <w:p w:rsidR="00BE1EFE" w:rsidRDefault="00BE1EFE">
      <w:pPr>
        <w:pStyle w:val="StandardWeb"/>
      </w:pPr>
      <w:r>
        <w:t>– Vorbereitung zum Sakramentenempfang und Begleitung katechumenaler Wege;</w:t>
      </w:r>
    </w:p>
    <w:p w:rsidR="00BE1EFE" w:rsidRDefault="00BE1EFE">
      <w:pPr>
        <w:pStyle w:val="StandardWeb"/>
      </w:pPr>
      <w:r>
        <w:t>– schulischer Religionsunterricht und Schulpastoral;</w:t>
      </w:r>
    </w:p>
    <w:p w:rsidR="00BE1EFE" w:rsidRDefault="00BE1EFE">
      <w:pPr>
        <w:pStyle w:val="StandardWeb"/>
      </w:pPr>
      <w:r>
        <w:t>– Bibelarbeit und kirchliche Bildungsarbeit;</w:t>
      </w:r>
    </w:p>
    <w:p w:rsidR="00BE1EFE" w:rsidRDefault="00BE1EFE">
      <w:pPr>
        <w:pStyle w:val="StandardWeb"/>
      </w:pPr>
      <w:r>
        <w:t>– Vorbereitung und Durchführung von Glaubensseminaren, Besinnungstagen und Exerzitien;</w:t>
      </w:r>
    </w:p>
    <w:p w:rsidR="00BE1EFE" w:rsidRDefault="00BE1EFE">
      <w:pPr>
        <w:pStyle w:val="StandardWeb"/>
      </w:pPr>
      <w:r>
        <w:t>– geistliche Begleitung.</w:t>
      </w:r>
    </w:p>
    <w:p w:rsidR="00BE1EFE" w:rsidRDefault="00BE1EFE">
      <w:pPr>
        <w:pStyle w:val="StandardWeb"/>
      </w:pPr>
    </w:p>
    <w:p w:rsidR="00BE1EFE" w:rsidRDefault="00BE1EFE" w:rsidP="0054275E">
      <w:pPr>
        <w:pStyle w:val="StandardWeb"/>
        <w:autoSpaceDE w:val="0"/>
      </w:pPr>
      <w:r>
        <w:t>Im Bereich</w:t>
      </w:r>
      <w:r>
        <w:rPr>
          <w:rStyle w:val="Fett"/>
          <w:bCs/>
        </w:rPr>
        <w:t xml:space="preserve"> Liturgie</w:t>
      </w:r>
      <w:r>
        <w:t xml:space="preserve"> (Feier des Glaubens in Gemeinschaft) vor allem:</w:t>
      </w:r>
    </w:p>
    <w:p w:rsidR="00BE1EFE" w:rsidRDefault="00BE1EFE">
      <w:pPr>
        <w:pStyle w:val="StandardWeb"/>
      </w:pPr>
      <w:r>
        <w:t>– Mitwirkung bei der Planung, Vorbereitung und Gestaltung von Gottesdiensten;</w:t>
      </w:r>
    </w:p>
    <w:p w:rsidR="00BE1EFE" w:rsidRDefault="00BE1EFE">
      <w:pPr>
        <w:pStyle w:val="StandardWeb"/>
      </w:pPr>
      <w:r>
        <w:t>– Leitung von Wortgottesfeiern und anderen gottesdienstlichen Feiern;</w:t>
      </w:r>
    </w:p>
    <w:p w:rsidR="00BE1EFE" w:rsidRDefault="00BE1EFE">
      <w:pPr>
        <w:pStyle w:val="StandardWeb"/>
      </w:pPr>
      <w:r>
        <w:t>– Gewinnung, Befähigung und Begleitung ehrenamtlicher Mitarbeiterinnen/Mitarbeiter (Liturgiekreise);</w:t>
      </w:r>
    </w:p>
    <w:p w:rsidR="00BE1EFE" w:rsidRDefault="00BE1EFE">
      <w:pPr>
        <w:pStyle w:val="StandardWeb"/>
      </w:pPr>
      <w:r>
        <w:t>– Anregung und Befähigung zum Mitvollzug liturgischer Feiern.</w:t>
      </w:r>
    </w:p>
    <w:p w:rsidR="00BE1EFE" w:rsidRDefault="00BE1EFE">
      <w:pPr>
        <w:pStyle w:val="StandardWeb"/>
      </w:pPr>
    </w:p>
    <w:p w:rsidR="00BE1EFE" w:rsidRDefault="00BE1EFE" w:rsidP="0054275E">
      <w:pPr>
        <w:pStyle w:val="StandardWeb"/>
        <w:autoSpaceDE w:val="0"/>
      </w:pPr>
      <w:r>
        <w:t xml:space="preserve">Im Bereich </w:t>
      </w:r>
      <w:r>
        <w:rPr>
          <w:rStyle w:val="Fett"/>
          <w:bCs/>
        </w:rPr>
        <w:t>Diakonie</w:t>
      </w:r>
      <w:r>
        <w:t xml:space="preserve"> (Lebenshilfe aus dem Geist des Evangeliums) vor allem:</w:t>
      </w:r>
    </w:p>
    <w:p w:rsidR="00BE1EFE" w:rsidRDefault="00BE1EFE">
      <w:pPr>
        <w:pStyle w:val="StandardWeb"/>
      </w:pPr>
      <w:r>
        <w:t>– seelsorgliche Gespräche;</w:t>
      </w:r>
    </w:p>
    <w:p w:rsidR="00BE1EFE" w:rsidRDefault="00BE1EFE">
      <w:pPr>
        <w:pStyle w:val="StandardWeb"/>
      </w:pPr>
      <w:r>
        <w:t>– Hausbesuche im Sinne von nachgehender Seelsorge;</w:t>
      </w:r>
    </w:p>
    <w:p w:rsidR="00BE1EFE" w:rsidRDefault="00BE1EFE">
      <w:pPr>
        <w:pStyle w:val="StandardWeb"/>
      </w:pPr>
      <w:r>
        <w:t>– Krankenpastoral;</w:t>
      </w:r>
    </w:p>
    <w:p w:rsidR="00BE1EFE" w:rsidRDefault="00BE1EFE">
      <w:pPr>
        <w:pStyle w:val="StandardWeb"/>
      </w:pPr>
      <w:r>
        <w:t>– Begleitung von einzelnen und Gruppen in verschiedensten Lebenssituationen und Lebens</w:t>
      </w:r>
      <w:r>
        <w:softHyphen/>
        <w:t>phasen;</w:t>
      </w:r>
    </w:p>
    <w:p w:rsidR="00BE1EFE" w:rsidRDefault="00BE1EFE">
      <w:pPr>
        <w:pStyle w:val="StandardWeb"/>
      </w:pPr>
      <w:r>
        <w:t>– Gewinnung, Befähigung und Begleitung ehrenamtlicher Mitarbeiterinnen/Mitarbeiter;</w:t>
      </w:r>
    </w:p>
    <w:p w:rsidR="00BE1EFE" w:rsidRDefault="00BE1EFE">
      <w:pPr>
        <w:pStyle w:val="StandardWeb"/>
      </w:pPr>
      <w:r>
        <w:t>– Kooperation mit Verbänden sowie kirchlichen und kommunalen Einrichtungen im Bereich der Caritas und des Sozialwesens;</w:t>
      </w:r>
    </w:p>
    <w:p w:rsidR="00BE1EFE" w:rsidRDefault="00BE1EFE">
      <w:pPr>
        <w:pStyle w:val="StandardWeb"/>
      </w:pPr>
      <w:r>
        <w:t>– offene Jugendarbeit;</w:t>
      </w:r>
    </w:p>
    <w:p w:rsidR="00BE1EFE" w:rsidRPr="000B1AF8" w:rsidRDefault="00BE1EFE">
      <w:pPr>
        <w:pStyle w:val="StandardWeb"/>
      </w:pPr>
      <w:r>
        <w:t>– kirchliche Gremienarbeit.</w:t>
      </w:r>
    </w:p>
    <w:p w:rsidR="00BE1EFE" w:rsidRPr="000B1AF8" w:rsidRDefault="00BE1EFE">
      <w:pPr>
        <w:pStyle w:val="StandardWeb"/>
      </w:pPr>
    </w:p>
    <w:p w:rsidR="00BE1EFE" w:rsidRDefault="00BE1EFE">
      <w:pPr>
        <w:pStyle w:val="StandardWeb"/>
      </w:pPr>
      <w:r>
        <w:t>2.3. Je nach pastoraler Situation und Beauftragung können Gemeindereferentinnen/Gemein</w:t>
      </w:r>
      <w:r>
        <w:softHyphen/>
        <w:t>dereferenten im Rahmen der geltenden kirchenrechtlichen Bestimmungen bei folgenden Aufgaben des kirchlichen Amtes mitwirken: Kommunionspendung, Segnungen, Leitung von Wortgottesfeiern, Predigtdienst, Leitung von Trauer- und Begräbnisfeiern.</w:t>
      </w:r>
    </w:p>
    <w:p w:rsidR="00BE1EFE" w:rsidRDefault="00BE1EFE">
      <w:pPr>
        <w:pStyle w:val="StandardWeb"/>
      </w:pPr>
    </w:p>
    <w:p w:rsidR="00BE1EFE" w:rsidRDefault="00BE1EFE">
      <w:pPr>
        <w:pStyle w:val="StandardWeb"/>
      </w:pPr>
      <w:r>
        <w:t>2.4. Der zuständige Bischof kann in besonderen Fällen Gemeindereferentinnen/ Gemein</w:t>
      </w:r>
      <w:r>
        <w:softHyphen/>
        <w:t>dereferenten mit der Aufgabe eines Stellvertretenden Kirchenverwaltungsvorstandes (vgl. Kirchenstiftungsordnung) oder einer/eines Pfarrbeauftragten</w:t>
      </w:r>
    </w:p>
    <w:p w:rsidR="00BE1EFE" w:rsidRDefault="00BE1EFE">
      <w:pPr>
        <w:pStyle w:val="StandardWeb"/>
      </w:pPr>
      <w:r>
        <w:t xml:space="preserve">(vgl. </w:t>
      </w:r>
      <w:hyperlink r:id="rId1915" w:tgtFrame="_blank" w:history="1">
        <w:r>
          <w:rPr>
            <w:rStyle w:val="Hyperlink"/>
          </w:rPr>
          <w:t>c. 517 § 2 CIC</w:t>
        </w:r>
      </w:hyperlink>
      <w:r>
        <w:t>) betrauen.</w:t>
      </w:r>
    </w:p>
    <w:p w:rsidR="00BE1EFE" w:rsidRDefault="00BE1EFE">
      <w:pPr>
        <w:pStyle w:val="StandardWeb"/>
      </w:pPr>
    </w:p>
    <w:p w:rsidR="00BE1EFE" w:rsidRDefault="00BE1EFE">
      <w:pPr>
        <w:pStyle w:val="StandardWeb"/>
      </w:pPr>
      <w:r>
        <w:lastRenderedPageBreak/>
        <w:t>2.5. Die unter 2.2.–2.4. genannten Aufgaben können im Sinn einer kooperativen Pastoral nur unter der Leitung des/der für den jeweiligen Einsatzbereich Verantwortlichen und im Zusammenwirken mit den anderen Mitarbeiterinnen und Mitarbeitern sowie den Ehrenamtlichen erfüllt werden.</w:t>
      </w:r>
    </w:p>
    <w:p w:rsidR="00BE1EFE" w:rsidRDefault="00BE1EFE">
      <w:pPr>
        <w:pStyle w:val="StandardWeb"/>
      </w:pPr>
    </w:p>
    <w:p w:rsidR="00BE1EFE" w:rsidRDefault="00BE1EFE">
      <w:pPr>
        <w:pStyle w:val="StandardWeb"/>
      </w:pPr>
      <w:r>
        <w:t>2.6. Die Gemeindereferentin/der Gemeindereferent nimmt an den regelmäßigen Seelsorge- bzw. Dienstbesprechungen teil, ebenso an den Seelsorgekonferenzen auf Dekanatsebene.</w:t>
      </w:r>
    </w:p>
    <w:p w:rsidR="00BE1EFE" w:rsidRDefault="00BE1EFE">
      <w:pPr>
        <w:pStyle w:val="StandardWeb"/>
      </w:pPr>
    </w:p>
    <w:p w:rsidR="00BE1EFE" w:rsidRDefault="00BE1EFE">
      <w:pPr>
        <w:pStyle w:val="StandardWeb"/>
      </w:pPr>
      <w:r>
        <w:t>2.7. Die Mitgliedschaft in kirchlichen Gremien richtet sich nach den Bestimmungen der entsprechenden kirchlichen Ordnungen.</w:t>
      </w:r>
    </w:p>
    <w:p w:rsidR="00BE1EFE" w:rsidRDefault="00BE1EFE">
      <w:pPr>
        <w:pStyle w:val="berschrift6"/>
      </w:pPr>
      <w:bookmarkStart w:id="1277" w:name="_Toc523926791"/>
      <w:r>
        <w:t>3. Voraussetzungen für den Dienst</w:t>
      </w:r>
      <w:bookmarkEnd w:id="1277"/>
    </w:p>
    <w:p w:rsidR="00BE1EFE" w:rsidRPr="00B76821" w:rsidRDefault="00BE1EFE" w:rsidP="00B76821">
      <w:pPr>
        <w:pStyle w:val="h7"/>
        <w:keepNext w:val="0"/>
        <w:spacing w:before="0" w:after="0"/>
        <w:jc w:val="left"/>
        <w:outlineLvl w:val="5"/>
        <w:rPr>
          <w:sz w:val="2"/>
        </w:rPr>
      </w:pPr>
    </w:p>
    <w:p w:rsidR="00BE1EFE" w:rsidRDefault="00BE1EFE">
      <w:pPr>
        <w:pStyle w:val="StandardWeb"/>
      </w:pPr>
      <w:r>
        <w:t>Für die Anstellung als Gemeindereferentin/Gemeindereferent müssen bestimmte mensch</w:t>
      </w:r>
      <w:r>
        <w:softHyphen/>
        <w:t>liche, religiös-kirchliche und fachliche Voraussetzungen gegeben sein sowie die Bereitschaft, diese weiterzuentwickeln.</w:t>
      </w:r>
    </w:p>
    <w:p w:rsidR="00BE1EFE" w:rsidRDefault="00BE1EFE">
      <w:pPr>
        <w:pStyle w:val="StandardWeb"/>
      </w:pPr>
    </w:p>
    <w:p w:rsidR="00BE1EFE" w:rsidRDefault="00BE1EFE">
      <w:pPr>
        <w:pStyle w:val="StandardWeb"/>
      </w:pPr>
      <w:r>
        <w:t>3.1. Menschliche Voraussetzungen sind: die für den Beruf erforderliche körperliche und seelische Gesundheit, Kontakt- und Kommunikationsfähigkeit, Unterscheidungs- und Ent</w:t>
      </w:r>
      <w:r>
        <w:softHyphen/>
        <w:t>scheidungsfähigkeit, Fähigkeit zur Wahrnehmung eigener Verantwortung, Kooperations</w:t>
      </w:r>
      <w:r>
        <w:softHyphen/>
        <w:t>fähigkeit und -bereitschaft, Konflikt- und Kritikfähigkeit, Diskretion, Fähigkeit zu realistischer Selbsteinschätzung, organisatorische und gestalterische Fähigkeiten, Bereitschaft zum Eingehen auf unterschiedliche Lebenssituationen der Menschen, Fähigkeit zur Bewältigung der Aufgabenvielfalt.</w:t>
      </w:r>
    </w:p>
    <w:p w:rsidR="00BE1EFE" w:rsidRDefault="00BE1EFE">
      <w:pPr>
        <w:pStyle w:val="StandardWeb"/>
      </w:pPr>
    </w:p>
    <w:p w:rsidR="00BE1EFE" w:rsidRDefault="00BE1EFE">
      <w:pPr>
        <w:pStyle w:val="StandardWeb"/>
      </w:pPr>
      <w:r>
        <w:t>3.2. Religiös-kirchliche Voraussetzungen sind persönliche Gläubigkeit und das Bemühen um eine konkrete geistliche Lebensgestaltung, Gebet und Orientierung an der Heiligen Schrift, Leben aus der Kraft der Sakramente, aktive Teilnahme am Leben einer Gemeinde, Übereinstimmung mit der Glaubenslehre und Orientierung an der Lebensordnung der katholischen Kirche als Leitlinie für das persönliche Leben.</w:t>
      </w:r>
    </w:p>
    <w:p w:rsidR="00BE1EFE" w:rsidRDefault="00BE1EFE">
      <w:pPr>
        <w:pStyle w:val="StandardWeb"/>
      </w:pPr>
    </w:p>
    <w:p w:rsidR="00BE1EFE" w:rsidRDefault="00BE1EFE">
      <w:pPr>
        <w:pStyle w:val="StandardWeb"/>
      </w:pPr>
      <w:r>
        <w:t>3.3. Die fachlichen Voraussetzungen werden erworben:</w:t>
      </w:r>
    </w:p>
    <w:p w:rsidR="00BE1EFE" w:rsidRDefault="00BE1EFE">
      <w:pPr>
        <w:pStyle w:val="StandardWeb"/>
      </w:pPr>
      <w:r>
        <w:t>– in der Regel durch ein erfolgreich abgeschlossenes theologisch-religionspädagogisches Studium an einer Fachhochschule. Unter Berücksichtigung diözesaner Regelungen kann die Ausbildung auch an einer Fachakademie oder durch eine vergleichbare berufs- und praxisbegleitende Ausbildung erfolgen;</w:t>
      </w:r>
    </w:p>
    <w:p w:rsidR="00BE1EFE" w:rsidRDefault="00BE1EFE">
      <w:pPr>
        <w:pStyle w:val="StandardWeb"/>
      </w:pPr>
      <w:r>
        <w:t>– durch das erfolgreiche Absolvieren vorgeschriebener Praktika;</w:t>
      </w:r>
    </w:p>
    <w:p w:rsidR="00BE1EFE" w:rsidRDefault="00BE1EFE">
      <w:pPr>
        <w:pStyle w:val="StandardWeb"/>
      </w:pPr>
      <w:r>
        <w:t>– durch die Inanspruchnahme spiritueller Begleitung und die Teilnahme an gemeinsamen geistlichen Angeboten gemäß den diözesanen Vorgaben</w:t>
      </w:r>
    </w:p>
    <w:p w:rsidR="00BE1EFE" w:rsidRPr="000B1AF8" w:rsidRDefault="00BE1EFE">
      <w:pPr>
        <w:pStyle w:val="StandardWeb"/>
      </w:pPr>
      <w:r>
        <w:t>– sowie den erfolgreichen Abschluss der zweiten Bildungsphase.</w:t>
      </w:r>
    </w:p>
    <w:p w:rsidR="00BE1EFE" w:rsidRPr="000B1AF8" w:rsidRDefault="00BE1EFE">
      <w:pPr>
        <w:pStyle w:val="StandardWeb"/>
      </w:pPr>
    </w:p>
    <w:p w:rsidR="00BE1EFE" w:rsidRDefault="00BE1EFE">
      <w:pPr>
        <w:pStyle w:val="StandardWeb"/>
      </w:pPr>
      <w:r>
        <w:t>3.4. Voraussetzung für den Dienst als Gemeindereferentin/Gemeindereferent ist eine im Glauben angenommene und gestaltete Lebensform. Gemeindereferentinnen und Gemeinde</w:t>
      </w:r>
      <w:r>
        <w:softHyphen/>
        <w:t>referenten sollen in ihrem persönlichen Lebenskreis glaubwürdige Zeugen der Frohen Botschaft sein. Das Einverständnis des Ehepartners mit der Übernahme des pastoralen Dienstes wird vorausgesetzt.</w:t>
      </w:r>
    </w:p>
    <w:p w:rsidR="00BE1EFE" w:rsidRDefault="00BE1EFE">
      <w:pPr>
        <w:pStyle w:val="StandardWeb"/>
      </w:pPr>
    </w:p>
    <w:p w:rsidR="00BE1EFE" w:rsidRDefault="00BE1EFE">
      <w:pPr>
        <w:pStyle w:val="StandardWeb"/>
      </w:pPr>
      <w:r>
        <w:t>3.5. Im Übrigen gelten die „Richtlinien über persönliche Anforderungen an Diakone und Laien im pastoralen Dienst im Hinblick auf Ehe und Familie“.</w:t>
      </w:r>
    </w:p>
    <w:p w:rsidR="00BE1EFE" w:rsidRDefault="00BE1EFE" w:rsidP="001E6746">
      <w:pPr>
        <w:pStyle w:val="Leerzeile"/>
      </w:pPr>
    </w:p>
    <w:p w:rsidR="00BE1EFE" w:rsidRDefault="00BE1EFE">
      <w:pPr>
        <w:pStyle w:val="berschrift6"/>
      </w:pPr>
      <w:bookmarkStart w:id="1278" w:name="_Toc523926792"/>
      <w:r>
        <w:lastRenderedPageBreak/>
        <w:t>4. Ausbildung, Berufseinführung, Fortbildung</w:t>
      </w:r>
      <w:bookmarkEnd w:id="127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Bildung der Gemeindereferentin/des Gemeindereferenten gliedert sich in drei Phasen: die Ausbildung, die Berufseinführung und die Fortbildung nach der Zweiten Dienstprüfung. In jeder dieser Phasen sind die Dimensionen Persönlichkeitsentwicklung, Spiritualität, theologisches Wissen und pastoralpraktische Befähigung in je verschiedener Akzentuierung unverzichtbar.</w:t>
      </w:r>
    </w:p>
    <w:p w:rsidR="00BE1EFE" w:rsidRPr="000B1AF8" w:rsidRDefault="00BE1EFE">
      <w:pPr>
        <w:pStyle w:val="StandardWeb"/>
      </w:pPr>
    </w:p>
    <w:p w:rsidR="00BE1EFE" w:rsidRDefault="00BE1EFE">
      <w:pPr>
        <w:pStyle w:val="StandardWeb"/>
      </w:pPr>
      <w:r>
        <w:t>4.1. Die Phase der Ausbildung umfasst das vorgeschriebene Studium einschließlich der zwei praktischen Studiensemester bzw. dem Berufspraktischen Jahr; sie wird durch die erfolgreiche Erste Dienstprüfung beendet. Für das Jahrespraktikum wird ein Ausbildungsvertrag, für das berufspraktische Jahr wird ein Praktikantenvertrag abgeschlossen. Näheres regeln die jeweiligen diözesanen Ordnungen und die Ordnungen der Ausbildungsstätten. Die theologisch-religionspädagogische Ausbildung erfolgt in der Regel an einer Fachhochschule. Der Fachhochschulabschluss gilt als Erste Dienstprüfung. Die anderen Ausbildungswege sind gemäß den jeweiligen diözesanen Vorschriften Zulassungsvoraussetzungen für eine der Ersten Dienstprüfung vergleichbaren kirchlichen Prüfung. Soweit die Durchführung des berufspraktischen Jahres in der Verantwortung der Diözese liegt, gelten die jeweiligen diözesanen Bestimmungen. Nach dem erfolgreichen Abschluss der Ersten Dienstprüfung entscheidet die (Erz-)Diözese über die Anstellung als Gemeindeassistentin/Gemeinde</w:t>
      </w:r>
      <w:r>
        <w:softHyphen/>
        <w:t>assistent.</w:t>
      </w:r>
    </w:p>
    <w:p w:rsidR="00BE1EFE" w:rsidRDefault="00BE1EFE">
      <w:pPr>
        <w:pStyle w:val="StandardWeb"/>
      </w:pPr>
    </w:p>
    <w:p w:rsidR="00BE1EFE" w:rsidRDefault="00BE1EFE">
      <w:pPr>
        <w:pStyle w:val="StandardWeb"/>
      </w:pPr>
      <w:r>
        <w:t>4.2. Die Phase der Berufseinführung umfasst in der Regel die ersten beiden Dienstjahre. Die Gemeindeassistentin/der Gemeindeassistent erhält für diese Zeit eine vorläufige bischöfliche Beauftragung für die kirchliche Gemeindearbeit und die vorläufige Unterrichtserlaubnis für den Religionsunterricht. Die Phase der Berufseinführung wird mit der Zweiten Dienstprüfung abgeschlossen.</w:t>
      </w:r>
    </w:p>
    <w:p w:rsidR="00BE1EFE" w:rsidRDefault="00BE1EFE">
      <w:pPr>
        <w:pStyle w:val="StandardWeb"/>
      </w:pPr>
      <w:r>
        <w:t>Die Zweite Dienstprüfung kann bei Vollbeschäftigung frühestens am Ende des zweiten Dienstjahres und muss spätestens am Ende des vierten Dienstjahres abgelegt werden. Inhalt und Verfahren der Zweiten Dienstprüfung werden durch die Diözesen geregelt.</w:t>
      </w:r>
    </w:p>
    <w:p w:rsidR="00BE1EFE" w:rsidRDefault="00BE1EFE">
      <w:pPr>
        <w:pStyle w:val="StandardWeb"/>
      </w:pPr>
    </w:p>
    <w:p w:rsidR="00BE1EFE" w:rsidRDefault="00BE1EFE">
      <w:pPr>
        <w:pStyle w:val="StandardWeb"/>
      </w:pPr>
      <w:r>
        <w:t>4.3. Nach erfolgreichem Abschluss der Zweiten Dienstprüfung und Anstellung durch die Diözese erhält die Gemeindereferentin/der Gemeindereferent die bischöfliche Beauftragung für die kirchliche Gemeindearbeit und die Missio canonica für den Religionsunterricht. Die Erteilung der Beauftragung erfolgt im Rahmen einer gottesdienstlichen Feier.</w:t>
      </w:r>
    </w:p>
    <w:p w:rsidR="00BE1EFE" w:rsidRDefault="00BE1EFE">
      <w:pPr>
        <w:pStyle w:val="StandardWeb"/>
      </w:pPr>
      <w:r>
        <w:t>Zu Beginn ihrer/seiner Tätigkeit und bei einem Wechsel der Einsatzstelle wird die Gemeinde</w:t>
      </w:r>
      <w:r>
        <w:softHyphen/>
        <w:t>referentin/der Gemeindereferent durch den/die für die Leitung Verantwortliche/n in geeigneter Weise eingeführt (z. B. im Gottesdienst, im Pfarrbrief).</w:t>
      </w:r>
    </w:p>
    <w:p w:rsidR="00BE1EFE" w:rsidRDefault="00BE1EFE">
      <w:pPr>
        <w:pStyle w:val="StandardWeb"/>
      </w:pPr>
    </w:p>
    <w:p w:rsidR="00BE1EFE" w:rsidRDefault="00BE1EFE">
      <w:pPr>
        <w:pStyle w:val="StandardWeb"/>
      </w:pPr>
      <w:r>
        <w:t>4.4. Die Phase der Fortbildung beginnt mit der Anstellung und umfasst die gesamte Zeit des Dienstes als Gemeindereferentin/Gemeindereferent. Die Fortbildung dient der Reflexion (z. B. Praxisbegleitung, Supervision) und der Erweiterung der für die Ausübung des pastoralen Dienstes erforderlichen persönlichen, fachlichen und spirituellen Kompetenzen. Im Interesse einer fruchtbaren Zusammenarbeit der verschiedenen pastoralen Dienste sorgt die (Erz-)Diö</w:t>
      </w:r>
      <w:r w:rsidR="00D65D81">
        <w:softHyphen/>
      </w:r>
      <w:r>
        <w:t>zese neben speziellen Fortbildungsveranstaltungen für Gemeindereferentinnen/Gemein</w:t>
      </w:r>
      <w:r>
        <w:softHyphen/>
        <w:t>dereferenten auch für berufsgruppenübergreifende Fortbildungsangebote.</w:t>
      </w:r>
    </w:p>
    <w:p w:rsidR="00BE1EFE" w:rsidRDefault="00BE1EFE">
      <w:pPr>
        <w:pStyle w:val="StandardWeb"/>
      </w:pPr>
      <w:r>
        <w:t>Die Gemeindereferentin/der Gemeindereferent ist zur berufsbegleitenden Fortbildung verpflichtet. Die Teilnahme an Supervision wird empfohlen und unterstützt.</w:t>
      </w:r>
    </w:p>
    <w:p w:rsidR="00BE1EFE" w:rsidRDefault="00BE1EFE">
      <w:pPr>
        <w:pStyle w:val="StandardWeb"/>
      </w:pPr>
    </w:p>
    <w:p w:rsidR="00BE1EFE" w:rsidRDefault="00BE1EFE">
      <w:pPr>
        <w:pStyle w:val="StandardWeb"/>
      </w:pPr>
      <w:r>
        <w:t>Vorstehende Dienstordnung entspricht einem grundsätzlichen Übereinkommen der bayerischen Diözesen vom 19. 09. 2001.</w:t>
      </w:r>
    </w:p>
    <w:p w:rsidR="00BE1EFE" w:rsidRDefault="00BE1EFE">
      <w:pPr>
        <w:pStyle w:val="StandardWeb"/>
      </w:pPr>
    </w:p>
    <w:p w:rsidR="00BE1EFE" w:rsidRDefault="00BE1EFE">
      <w:pPr>
        <w:pStyle w:val="StandardWeb"/>
      </w:pPr>
      <w:r>
        <w:t>Sie wird für die (Erz-)Diözese .... mit Wirkung vom 01. 01. 2002 in Kraft gesetzt.</w:t>
      </w:r>
    </w:p>
    <w:p w:rsidR="00BE1EFE" w:rsidRDefault="00BE1EFE">
      <w:pPr>
        <w:pStyle w:val="StandardWeb"/>
      </w:pPr>
      <w:r>
        <w:lastRenderedPageBreak/>
        <w:t>Die Dienstordnung für Gemeindeassistenten/-innen und Gemeindereferenten/innen in der (Erz-)Diözese .... vom .... wird mit gleichem Datum außer Kraft gesetzt.</w:t>
      </w:r>
    </w:p>
    <w:p w:rsidR="00BE1EFE" w:rsidRDefault="00BE1EFE">
      <w:pPr>
        <w:pStyle w:val="StandardWeb"/>
      </w:pPr>
      <w:r>
        <w:t>(Erz-)Bischof</w:t>
      </w:r>
    </w:p>
    <w:p w:rsidR="00BE1EFE" w:rsidRDefault="00BE1EFE">
      <w:pPr>
        <w:pStyle w:val="berschrift6"/>
      </w:pPr>
      <w:bookmarkStart w:id="1279" w:name="_Toc523926793"/>
      <w:r>
        <w:t>Festst</w:t>
      </w:r>
      <w:r w:rsidR="00D22E61">
        <w:t>ellungsbeschluss der Bayer. Regional</w:t>
      </w:r>
      <w:r>
        <w:t>-KODA vom 11. Juli 2001:</w:t>
      </w:r>
      <w:bookmarkEnd w:id="1279"/>
    </w:p>
    <w:p w:rsidR="00BE1EFE" w:rsidRPr="00B76821" w:rsidRDefault="00BE1EFE" w:rsidP="00B76821">
      <w:pPr>
        <w:pStyle w:val="h7"/>
        <w:keepNext w:val="0"/>
        <w:spacing w:before="0" w:after="0"/>
        <w:jc w:val="left"/>
        <w:outlineLvl w:val="5"/>
        <w:rPr>
          <w:sz w:val="2"/>
        </w:rPr>
      </w:pPr>
    </w:p>
    <w:p w:rsidR="00BE1EFE" w:rsidRDefault="00BE1EFE">
      <w:pPr>
        <w:pStyle w:val="StandardWeb"/>
      </w:pPr>
      <w:r>
        <w:t xml:space="preserve">Die Bayer. </w:t>
      </w:r>
      <w:r w:rsidR="00CA1C32">
        <w:t>Regional</w:t>
      </w:r>
      <w:r>
        <w:t>-KODA stellt fest und bestätigt, dass die „Dienstordnung für Gemeinde</w:t>
      </w:r>
      <w:r>
        <w:softHyphen/>
        <w:t>referentinnen/Gemeindereferenten Teil I, Allgemeiner Teil“ in der Fassung vom 01. 01. 2002 Bestandteil der Arbeitsverträge der Mitarbeiter im Bereich des Arbeitsvertragsrechts der bayer. (Erz-)Diözesen ist.</w:t>
      </w:r>
    </w:p>
    <w:p w:rsidR="00BE1EFE" w:rsidRDefault="00BE1EFE" w:rsidP="00D450B0">
      <w:pPr>
        <w:pStyle w:val="StandardWeb"/>
      </w:pPr>
      <w:r>
        <w:br w:type="page"/>
      </w:r>
    </w:p>
    <w:p w:rsidR="00BE1EFE" w:rsidRDefault="00BE1EFE" w:rsidP="004041EB">
      <w:pPr>
        <w:pStyle w:val="berschrift4"/>
        <w:spacing w:before="0"/>
      </w:pPr>
      <w:bookmarkStart w:id="1280" w:name="_Toc523926794"/>
      <w:r>
        <w:lastRenderedPageBreak/>
        <w:t>7. Kirchliche Lehrerdienstordnung (KLDO)</w:t>
      </w:r>
      <w:bookmarkEnd w:id="1280"/>
    </w:p>
    <w:p w:rsidR="00BE1EFE" w:rsidRPr="00B76821" w:rsidRDefault="00BE1EFE" w:rsidP="00B76821">
      <w:pPr>
        <w:pStyle w:val="berschrift5"/>
        <w:keepNext w:val="0"/>
        <w:spacing w:before="0" w:after="0"/>
        <w:rPr>
          <w:sz w:val="2"/>
        </w:rPr>
      </w:pPr>
      <w:bookmarkStart w:id="1281" w:name="_Toc453678380"/>
    </w:p>
    <w:p w:rsidR="00BE1EFE" w:rsidRPr="001113BE" w:rsidRDefault="00BE1EFE" w:rsidP="001113BE">
      <w:pPr>
        <w:pStyle w:val="StandardWeb"/>
        <w:rPr>
          <w:i/>
        </w:rPr>
      </w:pPr>
      <w:r w:rsidRPr="001113BE">
        <w:rPr>
          <w:i/>
        </w:rPr>
        <w:t>(zuletzt geändert zum 1. August 2016)</w:t>
      </w:r>
    </w:p>
    <w:p w:rsidR="00BE1EFE" w:rsidRDefault="00BE1EFE" w:rsidP="00F63D92">
      <w:pPr>
        <w:pStyle w:val="berschrift5"/>
      </w:pPr>
      <w:bookmarkStart w:id="1282" w:name="_Toc523926795"/>
      <w:r>
        <w:t>Inhaltsübersicht</w:t>
      </w:r>
      <w:bookmarkEnd w:id="1281"/>
      <w:bookmarkEnd w:id="1282"/>
    </w:p>
    <w:p w:rsidR="00BE1EFE" w:rsidRPr="00B76821" w:rsidRDefault="00BE1EFE" w:rsidP="00B76821">
      <w:pPr>
        <w:pStyle w:val="berschrift6"/>
        <w:keepNext w:val="0"/>
        <w:spacing w:before="0" w:after="0"/>
        <w:rPr>
          <w:rStyle w:val="Fett"/>
          <w:bCs w:val="0"/>
          <w:sz w:val="2"/>
        </w:rPr>
      </w:pPr>
    </w:p>
    <w:p w:rsidR="00BE1EFE" w:rsidRDefault="00BE1EFE" w:rsidP="00F63D92">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F63D92">
      <w:pPr>
        <w:pStyle w:val="berschrift6"/>
        <w:spacing w:before="0" w:after="0"/>
        <w:rPr>
          <w:rStyle w:val="Fett"/>
          <w:bCs w:val="0"/>
          <w:sz w:val="2"/>
        </w:rPr>
      </w:pPr>
    </w:p>
    <w:p w:rsidR="00BE1EFE" w:rsidRPr="00B76821" w:rsidRDefault="00BE1EFE" w:rsidP="00B76821">
      <w:pPr>
        <w:pStyle w:val="h7"/>
        <w:keepNext w:val="0"/>
        <w:spacing w:before="0" w:after="0"/>
        <w:jc w:val="left"/>
        <w:outlineLvl w:val="5"/>
        <w:rPr>
          <w:rStyle w:val="Fett"/>
          <w:bCs/>
          <w:sz w:val="2"/>
        </w:rPr>
      </w:pPr>
    </w:p>
    <w:p w:rsidR="00BE1EFE" w:rsidRDefault="00BE1EFE" w:rsidP="00F63D92">
      <w:pPr>
        <w:pStyle w:val="h7"/>
        <w:spacing w:before="0" w:after="0"/>
        <w:jc w:val="left"/>
        <w:outlineLvl w:val="5"/>
        <w:rPr>
          <w:rStyle w:val="Fett"/>
          <w:bCs/>
          <w:sz w:val="2"/>
        </w:rPr>
      </w:pPr>
    </w:p>
    <w:p w:rsidR="00BE1EFE" w:rsidRPr="00B76821" w:rsidRDefault="00BE1EFE" w:rsidP="00B76821">
      <w:pPr>
        <w:pStyle w:val="h8"/>
        <w:keepNext w:val="0"/>
        <w:spacing w:before="0" w:after="0"/>
        <w:outlineLvl w:val="5"/>
        <w:rPr>
          <w:rStyle w:val="Fett"/>
          <w:bCs/>
          <w:sz w:val="2"/>
        </w:rPr>
      </w:pPr>
    </w:p>
    <w:p w:rsidR="00BE1EFE" w:rsidRDefault="00C23DFA" w:rsidP="00F63D92">
      <w:pPr>
        <w:pStyle w:val="StandardWeb"/>
      </w:pPr>
      <w:hyperlink r:id="rId1916" w:history="1">
        <w:r w:rsidR="00BE1EFE">
          <w:rPr>
            <w:rStyle w:val="Hyperlink"/>
          </w:rPr>
          <w:t>Präambel</w:t>
        </w:r>
      </w:hyperlink>
    </w:p>
    <w:p w:rsidR="00BE1EFE" w:rsidRDefault="00BE1EFE">
      <w:pPr>
        <w:pStyle w:val="StandardWeb"/>
      </w:pPr>
    </w:p>
    <w:p w:rsidR="00BE1EFE" w:rsidRPr="00D751CA" w:rsidRDefault="00BE1EFE" w:rsidP="00D751CA">
      <w:pPr>
        <w:pStyle w:val="StandardWeb"/>
        <w:rPr>
          <w:rStyle w:val="Hyperlink"/>
          <w:b/>
          <w:bCs/>
        </w:rPr>
      </w:pPr>
      <w:r w:rsidRPr="00D751CA">
        <w:rPr>
          <w:rStyle w:val="Fett"/>
          <w:bCs/>
        </w:rPr>
        <w:fldChar w:fldCharType="begin"/>
      </w:r>
      <w:r w:rsidRPr="00D751CA">
        <w:rPr>
          <w:rStyle w:val="Fett"/>
          <w:bCs/>
        </w:rPr>
        <w:instrText>HYPERLINK "</w:instrText>
      </w:r>
      <w:r>
        <w:rPr>
          <w:rStyle w:val="Fett"/>
          <w:bCs/>
        </w:rPr>
        <w:instrText>https://onlineabd.de/online-abd/abd?</w:instrText>
      </w:r>
      <w:r w:rsidRPr="00D751CA">
        <w:rPr>
          <w:rStyle w:val="Fett"/>
          <w:bCs/>
        </w:rPr>
        <w:instrText>DatumAuswahl=01.05.2015&amp;Kat=28208"</w:instrText>
      </w:r>
      <w:r w:rsidRPr="00D751CA">
        <w:rPr>
          <w:rStyle w:val="Fett"/>
          <w:bCs/>
        </w:rPr>
        <w:fldChar w:fldCharType="separate"/>
      </w:r>
      <w:r>
        <w:rPr>
          <w:rStyle w:val="Hyperlink"/>
          <w:b/>
        </w:rPr>
        <w:t>l. </w:t>
      </w:r>
      <w:r w:rsidRPr="00D751CA">
        <w:rPr>
          <w:rStyle w:val="Hyperlink"/>
          <w:b/>
        </w:rPr>
        <w:t>Abschnitt</w:t>
      </w:r>
    </w:p>
    <w:p w:rsidR="00BE1EFE" w:rsidRPr="00D751CA" w:rsidRDefault="00BE1EFE" w:rsidP="00D751CA">
      <w:pPr>
        <w:pStyle w:val="StandardWeb"/>
        <w:rPr>
          <w:b/>
        </w:rPr>
      </w:pPr>
      <w:r w:rsidRPr="00D751CA">
        <w:rPr>
          <w:rStyle w:val="Hyperlink"/>
          <w:b/>
        </w:rPr>
        <w:t>Allgemeines</w:t>
      </w:r>
      <w:r w:rsidRPr="00D751CA">
        <w:rPr>
          <w:rStyle w:val="Fett"/>
          <w:bCs/>
        </w:rPr>
        <w:fldChar w:fldCharType="end"/>
      </w:r>
    </w:p>
    <w:p w:rsidR="00BE1EFE" w:rsidRDefault="00BE1EFE">
      <w:pPr>
        <w:pStyle w:val="StandardWeb"/>
      </w:pPr>
    </w:p>
    <w:p w:rsidR="00BE1EFE" w:rsidRDefault="00C23DFA">
      <w:pPr>
        <w:pStyle w:val="StandardWeb"/>
      </w:pPr>
      <w:hyperlink r:id="rId1917" w:history="1">
        <w:r w:rsidR="00BE1EFE">
          <w:rPr>
            <w:rStyle w:val="Hyperlink"/>
          </w:rPr>
          <w:t>§ 1 </w:t>
        </w:r>
        <w:r w:rsidR="00BE1EFE" w:rsidRPr="002D1F1D">
          <w:rPr>
            <w:rStyle w:val="Hyperlink"/>
          </w:rPr>
          <w:t>Geltungsbereich</w:t>
        </w:r>
      </w:hyperlink>
    </w:p>
    <w:p w:rsidR="00BE1EFE" w:rsidRDefault="00BE1EFE">
      <w:pPr>
        <w:pStyle w:val="StandardWeb"/>
      </w:pPr>
    </w:p>
    <w:p w:rsidR="00BE1EFE" w:rsidRDefault="00BE1EFE" w:rsidP="00D751CA">
      <w:pPr>
        <w:pStyle w:val="StandardWeb"/>
      </w:pPr>
      <w:r>
        <w:rPr>
          <w:rStyle w:val="Fett"/>
          <w:bCs/>
        </w:rPr>
        <w:t>II. Abschnitt</w:t>
      </w:r>
    </w:p>
    <w:p w:rsidR="00BE1EFE" w:rsidRDefault="00BE1EFE" w:rsidP="00D751CA">
      <w:pPr>
        <w:pStyle w:val="StandardWeb"/>
      </w:pPr>
      <w:r>
        <w:rPr>
          <w:rStyle w:val="Fett"/>
          <w:bCs/>
        </w:rPr>
        <w:t>Die Lehrkraft</w:t>
      </w:r>
    </w:p>
    <w:p w:rsidR="00BE1EFE" w:rsidRDefault="00BE1EFE">
      <w:pPr>
        <w:pStyle w:val="StandardWeb"/>
      </w:pPr>
    </w:p>
    <w:p w:rsidR="00BE1EFE" w:rsidRDefault="00C23DFA">
      <w:pPr>
        <w:pStyle w:val="StandardWeb"/>
      </w:pPr>
      <w:hyperlink r:id="rId1918" w:history="1">
        <w:r w:rsidR="00BE1EFE">
          <w:rPr>
            <w:rStyle w:val="Hyperlink"/>
          </w:rPr>
          <w:t>1. </w:t>
        </w:r>
        <w:r w:rsidR="00BE1EFE" w:rsidRPr="002D1F1D">
          <w:rPr>
            <w:rStyle w:val="Hyperlink"/>
          </w:rPr>
          <w:t>Teil: Die Lehrkraft im Unterricht und bei sonstigen schulischen Veranstaltungen</w:t>
        </w:r>
      </w:hyperlink>
    </w:p>
    <w:p w:rsidR="00BE1EFE" w:rsidRDefault="00BE1EFE" w:rsidP="00D20C30">
      <w:pPr>
        <w:pStyle w:val="StandardWeb"/>
      </w:pPr>
      <w:r>
        <w:t>§ 2  Aufgaben und Verantwortung der Lehrkraft</w:t>
      </w:r>
    </w:p>
    <w:p w:rsidR="00BE1EFE" w:rsidRDefault="00BE1EFE" w:rsidP="00D20C30">
      <w:pPr>
        <w:pStyle w:val="StandardWeb"/>
      </w:pPr>
      <w:r>
        <w:t>§ 3  Unterricht</w:t>
      </w:r>
    </w:p>
    <w:p w:rsidR="00BE1EFE" w:rsidRDefault="00BE1EFE" w:rsidP="00067265">
      <w:pPr>
        <w:pStyle w:val="StandardWeb"/>
        <w:ind w:left="369" w:hanging="369"/>
      </w:pPr>
      <w:r>
        <w:t>§ 4  Sonstige schulische Veranstaltungen, schulische Veranstaltungen außerhalb der Schul</w:t>
      </w:r>
      <w:r>
        <w:softHyphen/>
        <w:t>anlage</w:t>
      </w:r>
    </w:p>
    <w:p w:rsidR="00BE1EFE" w:rsidRDefault="00BE1EFE" w:rsidP="00D20C30">
      <w:pPr>
        <w:pStyle w:val="StandardWeb"/>
      </w:pPr>
      <w:r>
        <w:t>§ 5  Aufsichtspflicht</w:t>
      </w:r>
    </w:p>
    <w:p w:rsidR="00BE1EFE" w:rsidRDefault="00BE1EFE" w:rsidP="00D20C30">
      <w:pPr>
        <w:pStyle w:val="StandardWeb"/>
      </w:pPr>
      <w:r>
        <w:t>§ 6  Klassenleitung und Kursleitung</w:t>
      </w:r>
    </w:p>
    <w:p w:rsidR="00BE1EFE" w:rsidRDefault="00BE1EFE" w:rsidP="00D20C30">
      <w:pPr>
        <w:pStyle w:val="StandardWeb"/>
      </w:pPr>
      <w:r>
        <w:t>§ 7  Schwerbehinderte Lehrkräfte</w:t>
      </w:r>
    </w:p>
    <w:p w:rsidR="00BE1EFE" w:rsidRDefault="00C23DFA">
      <w:pPr>
        <w:pStyle w:val="StandardWeb"/>
      </w:pPr>
      <w:hyperlink r:id="rId1919" w:history="1">
        <w:r w:rsidR="00BE1EFE">
          <w:rPr>
            <w:rStyle w:val="Hyperlink"/>
          </w:rPr>
          <w:t>2. </w:t>
        </w:r>
        <w:r w:rsidR="00BE1EFE" w:rsidRPr="002D1F1D">
          <w:rPr>
            <w:rStyle w:val="Hyperlink"/>
          </w:rPr>
          <w:t>Teil: Allgemeine Bestimmungen</w:t>
        </w:r>
      </w:hyperlink>
    </w:p>
    <w:p w:rsidR="00BE1EFE" w:rsidRDefault="00BE1EFE" w:rsidP="00D20C30">
      <w:pPr>
        <w:pStyle w:val="StandardWeb"/>
      </w:pPr>
      <w:r>
        <w:t>§ 8  Allgemeine Dienstpflichten der Lehrkraft</w:t>
      </w:r>
    </w:p>
    <w:p w:rsidR="00BE1EFE" w:rsidRDefault="00BE1EFE" w:rsidP="00D20C30">
      <w:pPr>
        <w:pStyle w:val="StandardWeb"/>
      </w:pPr>
      <w:r>
        <w:t>§ 9  Arbeitszeit</w:t>
      </w:r>
    </w:p>
    <w:p w:rsidR="00BE1EFE" w:rsidRDefault="00BE1EFE" w:rsidP="00D20C30">
      <w:pPr>
        <w:pStyle w:val="StandardWeb"/>
      </w:pPr>
      <w:r>
        <w:t>§ 10 Fernbleiben vom Dienst aus zwingenden Gründen</w:t>
      </w:r>
    </w:p>
    <w:p w:rsidR="00BE1EFE" w:rsidRDefault="00BE1EFE" w:rsidP="00D20C30">
      <w:pPr>
        <w:pStyle w:val="StandardWeb"/>
      </w:pPr>
      <w:r>
        <w:t>§ 11 Urlaub</w:t>
      </w:r>
    </w:p>
    <w:p w:rsidR="00BE1EFE" w:rsidRDefault="00BE1EFE" w:rsidP="00D20C30">
      <w:pPr>
        <w:pStyle w:val="StandardWeb"/>
      </w:pPr>
      <w:r>
        <w:t>§ 12 Nebentätigkeit</w:t>
      </w:r>
    </w:p>
    <w:p w:rsidR="00BE1EFE" w:rsidRDefault="00BE1EFE" w:rsidP="00D20C30">
      <w:pPr>
        <w:pStyle w:val="StandardWeb"/>
      </w:pPr>
      <w:r>
        <w:t>§ 13 Verschwiegenheitspflicht und Auskunftserteilung</w:t>
      </w:r>
    </w:p>
    <w:p w:rsidR="00BE1EFE" w:rsidRDefault="00BE1EFE" w:rsidP="00D20C30">
      <w:pPr>
        <w:pStyle w:val="StandardWeb"/>
      </w:pPr>
      <w:r>
        <w:t>§ 14 Dienstweg</w:t>
      </w:r>
    </w:p>
    <w:p w:rsidR="00BE1EFE" w:rsidRDefault="00BE1EFE" w:rsidP="00D20C30">
      <w:pPr>
        <w:pStyle w:val="StandardWeb"/>
      </w:pPr>
      <w:r>
        <w:t>§ 15 Unzulässige Tätigkeiten an der Schule</w:t>
      </w:r>
    </w:p>
    <w:p w:rsidR="00BE1EFE" w:rsidRDefault="00BE1EFE" w:rsidP="00067265">
      <w:pPr>
        <w:pStyle w:val="StandardWeb"/>
        <w:ind w:left="369" w:hanging="369"/>
      </w:pPr>
      <w:r>
        <w:t>§ 16 Geltung der Schulordnung, sonstiger öffentlich-rechtlicher Vorschriften und schulträger</w:t>
      </w:r>
      <w:r>
        <w:softHyphen/>
        <w:t>spezifischer Regelungen</w:t>
      </w:r>
    </w:p>
    <w:p w:rsidR="00BE1EFE" w:rsidRDefault="00BE1EFE" w:rsidP="00D20C30">
      <w:pPr>
        <w:pStyle w:val="StandardWeb"/>
      </w:pPr>
      <w:r>
        <w:t>§ 17 Hausrecht</w:t>
      </w:r>
    </w:p>
    <w:p w:rsidR="00BE1EFE" w:rsidRDefault="00C23DFA">
      <w:pPr>
        <w:pStyle w:val="StandardWeb"/>
      </w:pPr>
      <w:hyperlink r:id="rId1920" w:history="1">
        <w:r w:rsidR="00BE1EFE">
          <w:rPr>
            <w:rStyle w:val="Hyperlink"/>
          </w:rPr>
          <w:t>3. </w:t>
        </w:r>
        <w:r w:rsidR="00BE1EFE" w:rsidRPr="002D1F1D">
          <w:rPr>
            <w:rStyle w:val="Hyperlink"/>
          </w:rPr>
          <w:t>Teil: Die Lehrkraft im Kollegium</w:t>
        </w:r>
      </w:hyperlink>
    </w:p>
    <w:p w:rsidR="00BE1EFE" w:rsidRDefault="00BE1EFE">
      <w:pPr>
        <w:pStyle w:val="StandardWeb"/>
      </w:pPr>
      <w:r>
        <w:t>§ 18 Lehrerkonferenz</w:t>
      </w:r>
    </w:p>
    <w:p w:rsidR="00BE1EFE" w:rsidRDefault="00BE1EFE">
      <w:pPr>
        <w:pStyle w:val="StandardWeb"/>
      </w:pPr>
      <w:r>
        <w:t>§ 19 Klassenkonferenz</w:t>
      </w:r>
    </w:p>
    <w:p w:rsidR="00BE1EFE" w:rsidRDefault="00BE1EFE">
      <w:pPr>
        <w:pStyle w:val="StandardWeb"/>
      </w:pPr>
      <w:r>
        <w:t>§ 20 Fachliche Zusammenarbeit, Fortbildung</w:t>
      </w:r>
    </w:p>
    <w:p w:rsidR="00BE1EFE" w:rsidRDefault="00BE1EFE">
      <w:pPr>
        <w:pStyle w:val="StandardWeb"/>
      </w:pPr>
      <w:r>
        <w:t>§ 21 Fachbetreuung</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"https://onlineabd.de/online-abd/abd?DatumAuswahl=01.05.2015&amp;Kat=28210"</w:instrText>
      </w:r>
      <w:r>
        <w:rPr>
          <w:rStyle w:val="Fett"/>
          <w:bCs/>
        </w:rPr>
        <w:fldChar w:fldCharType="separate"/>
      </w:r>
      <w:r>
        <w:rPr>
          <w:rStyle w:val="Hyperlink"/>
        </w:rPr>
        <w:t>III. </w:t>
      </w:r>
      <w:r w:rsidRPr="002D1F1D">
        <w:rPr>
          <w:rStyle w:val="Hyperlink"/>
        </w:rPr>
        <w:t>Abschnitt</w:t>
      </w:r>
    </w:p>
    <w:p w:rsidR="00BE1EFE" w:rsidRDefault="00BE1EFE">
      <w:pPr>
        <w:pStyle w:val="StandardWeb"/>
      </w:pPr>
      <w:r w:rsidRPr="002D1F1D">
        <w:rPr>
          <w:rStyle w:val="Hyperlink"/>
        </w:rPr>
        <w:t>Schulleitung</w:t>
      </w:r>
      <w:r>
        <w:rPr>
          <w:rStyle w:val="Fett"/>
          <w:bCs/>
        </w:rPr>
        <w:fldChar w:fldCharType="end"/>
      </w:r>
    </w:p>
    <w:p w:rsidR="00BE1EFE" w:rsidRDefault="00BE1EFE">
      <w:pPr>
        <w:pStyle w:val="StandardWeb"/>
      </w:pPr>
    </w:p>
    <w:p w:rsidR="00BE1EFE" w:rsidRDefault="00BE1EFE">
      <w:pPr>
        <w:pStyle w:val="StandardWeb"/>
      </w:pPr>
      <w:r>
        <w:t>§ 22 Stellung und allgemeine Aufgaben der Schulleiterin bzw. des Schulleiters</w:t>
      </w:r>
    </w:p>
    <w:p w:rsidR="00BE1EFE" w:rsidRDefault="00BE1EFE">
      <w:pPr>
        <w:pStyle w:val="StandardWeb"/>
      </w:pPr>
      <w:r>
        <w:t>§ 23 Stellvertretung</w:t>
      </w:r>
    </w:p>
    <w:p w:rsidR="00BE1EFE" w:rsidRDefault="00BE1EFE">
      <w:pPr>
        <w:pStyle w:val="StandardWeb"/>
      </w:pPr>
      <w:r>
        <w:t>§ 24 Anwesenheit der Schulleiterin bzw. des Schulleiters</w:t>
      </w:r>
    </w:p>
    <w:p w:rsidR="00BE1EFE" w:rsidRDefault="00BE1EFE">
      <w:pPr>
        <w:pStyle w:val="StandardWeb"/>
      </w:pPr>
      <w:r>
        <w:t>§ 25 Einzelne Aufgaben der Schulleiterin bzw. des Schulleiters</w:t>
      </w:r>
    </w:p>
    <w:p w:rsidR="00BE1EFE" w:rsidRDefault="00BE1EFE">
      <w:pPr>
        <w:pStyle w:val="StandardWeb"/>
      </w:pPr>
      <w:r>
        <w:t>§ 26 Mittlere Führungsebene</w:t>
      </w:r>
    </w:p>
    <w:p w:rsidR="00BE1EFE" w:rsidRDefault="00BE1EFE" w:rsidP="00D20C30">
      <w:pPr>
        <w:pStyle w:val="StandardWeb"/>
      </w:pPr>
      <w:r>
        <w:lastRenderedPageBreak/>
        <w:t>§ 27 Schulseelsorgerinnen und Schulseelsorger</w:t>
      </w: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"https://onlineabd.de/online-abd/abd?DatumAuswahl=01.05.2015&amp;Kat=28211"</w:instrText>
      </w:r>
      <w:r>
        <w:rPr>
          <w:rStyle w:val="Fett"/>
          <w:bCs/>
        </w:rPr>
        <w:fldChar w:fldCharType="separate"/>
      </w:r>
      <w:r>
        <w:rPr>
          <w:rStyle w:val="Hyperlink"/>
        </w:rPr>
        <w:t>IV. </w:t>
      </w:r>
      <w:r w:rsidRPr="002D1F1D">
        <w:rPr>
          <w:rStyle w:val="Hyperlink"/>
        </w:rPr>
        <w:t>Abschnitt</w:t>
      </w:r>
    </w:p>
    <w:p w:rsidR="00BE1EFE" w:rsidRDefault="00BE1EFE">
      <w:pPr>
        <w:pStyle w:val="StandardWeb"/>
      </w:pPr>
      <w:r w:rsidRPr="002D1F1D">
        <w:rPr>
          <w:rStyle w:val="Hyperlink"/>
        </w:rPr>
        <w:t>Schulträger</w:t>
      </w:r>
      <w:r>
        <w:rPr>
          <w:rStyle w:val="Fett"/>
          <w:bCs/>
        </w:rPr>
        <w:fldChar w:fldCharType="end"/>
      </w:r>
    </w:p>
    <w:p w:rsidR="00BE1EFE" w:rsidRDefault="00BE1EFE">
      <w:pPr>
        <w:pStyle w:val="StandardWeb"/>
      </w:pPr>
    </w:p>
    <w:p w:rsidR="00BE1EFE" w:rsidRDefault="00BE1EFE">
      <w:pPr>
        <w:pStyle w:val="StandardWeb"/>
      </w:pPr>
      <w:r>
        <w:t>§ 28 Schulträger</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"https://onlineabd.de/online-abd/abd?DatumAuswahl=01.05.2015&amp;Kat=28212"</w:instrText>
      </w:r>
      <w:r>
        <w:rPr>
          <w:rStyle w:val="Fett"/>
          <w:bCs/>
        </w:rPr>
        <w:fldChar w:fldCharType="separate"/>
      </w:r>
      <w:r>
        <w:rPr>
          <w:rStyle w:val="Hyperlink"/>
        </w:rPr>
        <w:t>V. </w:t>
      </w:r>
      <w:r w:rsidRPr="002D1F1D">
        <w:rPr>
          <w:rStyle w:val="Hyperlink"/>
        </w:rPr>
        <w:t>Abschnitt</w:t>
      </w:r>
    </w:p>
    <w:p w:rsidR="00BE1EFE" w:rsidRDefault="00BE1EFE">
      <w:pPr>
        <w:pStyle w:val="StandardWeb"/>
      </w:pPr>
      <w:r w:rsidRPr="002D1F1D">
        <w:rPr>
          <w:rStyle w:val="Hyperlink"/>
        </w:rPr>
        <w:t>Schulverwaltung</w:t>
      </w:r>
      <w:r>
        <w:rPr>
          <w:rStyle w:val="Fett"/>
          <w:bCs/>
        </w:rPr>
        <w:fldChar w:fldCharType="end"/>
      </w:r>
    </w:p>
    <w:p w:rsidR="00BE1EFE" w:rsidRDefault="00BE1EFE">
      <w:pPr>
        <w:pStyle w:val="StandardWeb"/>
      </w:pPr>
    </w:p>
    <w:p w:rsidR="00BE1EFE" w:rsidRDefault="00BE1EFE">
      <w:pPr>
        <w:pStyle w:val="StandardWeb"/>
      </w:pPr>
      <w:r>
        <w:t>§ 29 Verwaltung des Schulvermögens und Sicherheitsvorkehrungen</w:t>
      </w:r>
    </w:p>
    <w:p w:rsidR="00BE1EFE" w:rsidRDefault="00BE1EFE">
      <w:pPr>
        <w:pStyle w:val="StandardWeb"/>
      </w:pPr>
      <w:r>
        <w:t>§ 30 Ärztliche und hygienische Betreuung</w:t>
      </w:r>
    </w:p>
    <w:p w:rsidR="00BE1EFE" w:rsidRDefault="00BE1EFE">
      <w:pPr>
        <w:pStyle w:val="StandardWeb"/>
      </w:pPr>
      <w:r>
        <w:t>§ 31 Personal</w:t>
      </w:r>
    </w:p>
    <w:p w:rsidR="00BE1EFE" w:rsidRDefault="00BE1EFE">
      <w:pPr>
        <w:pStyle w:val="StandardWeb"/>
      </w:pPr>
      <w:r>
        <w:t>§ 32 Dienstsiegel</w:t>
      </w:r>
    </w:p>
    <w:p w:rsidR="00BE1EFE" w:rsidRDefault="00BE1EFE">
      <w:pPr>
        <w:pStyle w:val="StandardWeb"/>
      </w:pPr>
      <w:r>
        <w:t>§ 33 Besondere Vorkommnisse</w:t>
      </w:r>
    </w:p>
    <w:p w:rsidR="00BE1EFE" w:rsidRDefault="00BE1EFE">
      <w:pPr>
        <w:pStyle w:val="StandardWeb"/>
      </w:pPr>
      <w:r>
        <w:t>§ 34 Forderungen gegen den Schulträger</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"https://onlineabd.de/online-abd/abd?DatumAuswahl=01.05.2015&amp;Kat=28213"</w:instrText>
      </w:r>
      <w:r>
        <w:rPr>
          <w:rStyle w:val="Fett"/>
          <w:bCs/>
        </w:rPr>
        <w:fldChar w:fldCharType="separate"/>
      </w:r>
      <w:r>
        <w:rPr>
          <w:rStyle w:val="Hyperlink"/>
        </w:rPr>
        <w:t>VI. </w:t>
      </w:r>
      <w:r w:rsidRPr="002D1F1D">
        <w:rPr>
          <w:rStyle w:val="Hyperlink"/>
        </w:rPr>
        <w:t>Abschnitt</w:t>
      </w:r>
    </w:p>
    <w:p w:rsidR="00BE1EFE" w:rsidRDefault="00BE1EFE">
      <w:pPr>
        <w:pStyle w:val="StandardWeb"/>
      </w:pPr>
      <w:r w:rsidRPr="002D1F1D">
        <w:rPr>
          <w:rStyle w:val="Hyperlink"/>
        </w:rPr>
        <w:t>Schulaufsicht</w:t>
      </w:r>
      <w:r>
        <w:rPr>
          <w:rStyle w:val="Fett"/>
          <w:bCs/>
        </w:rPr>
        <w:fldChar w:fldCharType="end"/>
      </w:r>
    </w:p>
    <w:p w:rsidR="00BE1EFE" w:rsidRDefault="00BE1EFE">
      <w:pPr>
        <w:pStyle w:val="StandardWeb"/>
      </w:pPr>
    </w:p>
    <w:p w:rsidR="00BE1EFE" w:rsidRDefault="00BE1EFE">
      <w:pPr>
        <w:pStyle w:val="StandardWeb"/>
      </w:pPr>
      <w:r>
        <w:t>§ 35 Kirchliche Schulaufsicht</w:t>
      </w:r>
    </w:p>
    <w:p w:rsidR="00BE1EFE" w:rsidRDefault="00BE1EFE">
      <w:pPr>
        <w:pStyle w:val="StandardWeb"/>
      </w:pPr>
      <w:r>
        <w:t>§ 36 Staatliche Schulaufsicht</w:t>
      </w:r>
    </w:p>
    <w:p w:rsidR="00BE1EFE" w:rsidRDefault="00BE1EFE">
      <w:pPr>
        <w:pStyle w:val="StandardWeb"/>
      </w:pPr>
      <w:r>
        <w:t>§ 37 Jahresbericht und Meldungen an die Schulaufsicht</w:t>
      </w:r>
    </w:p>
    <w:p w:rsidR="00BE1EFE" w:rsidRDefault="00BE1EFE">
      <w:pPr>
        <w:pStyle w:val="StandardWeb"/>
      </w:pPr>
    </w:p>
    <w:p w:rsidR="00BE1EFE" w:rsidRPr="002D1F1D" w:rsidRDefault="00BE1EFE">
      <w:pPr>
        <w:pStyle w:val="StandardWeb"/>
        <w:rPr>
          <w:rStyle w:val="Hyperlink"/>
          <w:b/>
          <w:bCs/>
        </w:rPr>
      </w:pPr>
      <w:r>
        <w:rPr>
          <w:rStyle w:val="Fett"/>
          <w:bCs/>
        </w:rPr>
        <w:fldChar w:fldCharType="begin"/>
      </w:r>
      <w:r>
        <w:rPr>
          <w:rStyle w:val="Fett"/>
          <w:bCs/>
        </w:rPr>
        <w:instrText>HYPERLINK "https://onlineabd.de/online-abd/abd?DatumAuswahl=01.05.2015&amp;Kat=28582"</w:instrText>
      </w:r>
      <w:r>
        <w:rPr>
          <w:rStyle w:val="Fett"/>
          <w:bCs/>
        </w:rPr>
        <w:fldChar w:fldCharType="separate"/>
      </w:r>
      <w:r>
        <w:rPr>
          <w:rStyle w:val="Hyperlink"/>
        </w:rPr>
        <w:t>VII. </w:t>
      </w:r>
      <w:r w:rsidRPr="002D1F1D">
        <w:rPr>
          <w:rStyle w:val="Hyperlink"/>
        </w:rPr>
        <w:t>Abschnitt</w:t>
      </w:r>
    </w:p>
    <w:p w:rsidR="00BE1EFE" w:rsidRDefault="00BE1EFE">
      <w:pPr>
        <w:pStyle w:val="StandardWeb"/>
      </w:pPr>
      <w:r w:rsidRPr="002D1F1D">
        <w:rPr>
          <w:rStyle w:val="Hyperlink"/>
        </w:rPr>
        <w:t>Schlussvorschriften</w:t>
      </w:r>
      <w:r>
        <w:rPr>
          <w:rStyle w:val="Fett"/>
          <w:bCs/>
        </w:rPr>
        <w:fldChar w:fldCharType="end"/>
      </w:r>
    </w:p>
    <w:p w:rsidR="00BE1EFE" w:rsidRDefault="00BE1EFE">
      <w:pPr>
        <w:pStyle w:val="StandardWeb"/>
      </w:pPr>
    </w:p>
    <w:p w:rsidR="00BE1EFE" w:rsidRDefault="00BE1EFE">
      <w:pPr>
        <w:pStyle w:val="StandardWeb"/>
      </w:pPr>
      <w:r>
        <w:t>§ 38 Bedeutung der KLDO für die Arbeitsverträge</w:t>
      </w:r>
    </w:p>
    <w:p w:rsidR="00BE1EFE" w:rsidRDefault="00BE1EFE">
      <w:pPr>
        <w:pStyle w:val="StandardWeb"/>
      </w:pPr>
      <w:r>
        <w:t>§ 39 In-Kraft-Treten</w:t>
      </w:r>
    </w:p>
    <w:p w:rsidR="00BE1EFE" w:rsidRPr="008948E7" w:rsidRDefault="00BE1EFE" w:rsidP="008948E7">
      <w:pPr>
        <w:pStyle w:val="berschrift5"/>
        <w:rPr>
          <w:lang w:eastAsia="x-none"/>
        </w:rPr>
      </w:pPr>
      <w:bookmarkStart w:id="1283" w:name="_Toc523926796"/>
      <w:r>
        <w:t>Präambel</w:t>
      </w:r>
      <w:bookmarkEnd w:id="1283"/>
    </w:p>
    <w:p w:rsidR="00BE1EFE" w:rsidRPr="00B76821" w:rsidRDefault="00BE1EFE" w:rsidP="00B76821">
      <w:pPr>
        <w:pStyle w:val="berschrift6"/>
        <w:keepNext w:val="0"/>
        <w:spacing w:before="0" w:after="0"/>
        <w:rPr>
          <w:rStyle w:val="Fett"/>
          <w:bCs w:val="0"/>
          <w:sz w:val="2"/>
          <w:szCs w:val="2"/>
        </w:rPr>
      </w:pPr>
    </w:p>
    <w:p w:rsidR="00BE1EFE" w:rsidRPr="00806F96" w:rsidRDefault="00BE1EFE" w:rsidP="00806F96">
      <w:pPr>
        <w:pStyle w:val="StandardWeb"/>
        <w:rPr>
          <w:rStyle w:val="Fett"/>
          <w:bCs/>
          <w:sz w:val="2"/>
          <w:szCs w:val="2"/>
        </w:rPr>
      </w:pPr>
    </w:p>
    <w:p w:rsidR="00BE1EFE" w:rsidRPr="00F251B2" w:rsidRDefault="00BE1EFE" w:rsidP="002B3806">
      <w:pPr>
        <w:spacing w:after="120"/>
        <w:jc w:val="both"/>
      </w:pPr>
      <w:r w:rsidRPr="00F251B2">
        <w:rPr>
          <w:vertAlign w:val="subscript"/>
        </w:rPr>
        <w:t>1</w:t>
      </w:r>
      <w:r w:rsidRPr="00F251B2">
        <w:t xml:space="preserve">Die katholische Schule* in freier Trägerschaft gestaltet den Unterricht und das Schulleben auf der Grundlage der Glaubens- und Wertvorstellungen, wie sie sich aus der biblischen Offenbarung und der kirchlichen Lehre ergeben. </w:t>
      </w:r>
      <w:r w:rsidRPr="00F251B2">
        <w:rPr>
          <w:vertAlign w:val="subscript"/>
        </w:rPr>
        <w:t>2</w:t>
      </w:r>
      <w:r w:rsidRPr="00F251B2">
        <w:t xml:space="preserve">Ihr Ziel ist es, den Schülerinnen, Schülern und Studierenden zu helfen, ihre individuellen Begabungen und Fähigkeiten zu entwickeln, notwendige Kenntnisse und Einsichten zu gewinnen, das bewährte Erbe der vergangenen Generationen aufzunehmen und zu pflegen und den Sinn für Werte zu entwickeln. </w:t>
      </w:r>
      <w:r w:rsidRPr="00F251B2">
        <w:rPr>
          <w:vertAlign w:val="subscript"/>
        </w:rPr>
        <w:t>3</w:t>
      </w:r>
      <w:r w:rsidRPr="00F251B2">
        <w:t xml:space="preserve">Die Schule will den Schülerinnen, Schülern und Studierenden nicht nur Wissen vermitteln, sondern sie unter Achtung der freien Entscheidung des Einzelnen auch befähigen, ein Leben aus dem Glauben zu führen und sich in der Welt als Christen zu bewähren sowie sich in Verantwortung für Kirche und Welt einzusetzen. </w:t>
      </w:r>
      <w:r w:rsidRPr="00F251B2">
        <w:rPr>
          <w:vertAlign w:val="subscript"/>
        </w:rPr>
        <w:t>4</w:t>
      </w:r>
      <w:r w:rsidRPr="00F251B2">
        <w:t xml:space="preserve">Schulträger, Schulleiterin </w:t>
      </w:r>
      <w:r>
        <w:t>bzw.</w:t>
      </w:r>
      <w:r w:rsidRPr="00F251B2">
        <w:t xml:space="preserve"> Schulleiter und Lehrkräfte wirken zur Erfüllung dieses Auftrags nach besten Kräften zusammen.</w:t>
      </w:r>
    </w:p>
    <w:p w:rsidR="00BE1EFE" w:rsidRDefault="00BE1EFE" w:rsidP="002B3806">
      <w:pPr>
        <w:jc w:val="both"/>
        <w:rPr>
          <w:i/>
        </w:rPr>
      </w:pPr>
      <w:r w:rsidRPr="00F251B2">
        <w:rPr>
          <w:i/>
        </w:rPr>
        <w:t>*Als katholische Schule versteht man gemäß Canon 803 § 1 des Codex des kirchlichen Rechtes jene Schule, welche die zuständige kirchliche Autorität oder eine kirchliche öffentliche juristische Person führt oder welche die kirchliche Autorität durch ein schriftliches Dokument als solche anerkennt.</w:t>
      </w:r>
    </w:p>
    <w:p w:rsidR="00BE1EFE" w:rsidRDefault="00BE1EFE" w:rsidP="002B3806">
      <w:pPr>
        <w:jc w:val="both"/>
        <w:rPr>
          <w:i/>
        </w:rPr>
      </w:pPr>
    </w:p>
    <w:p w:rsidR="00BE1EFE" w:rsidRDefault="00BE1EFE" w:rsidP="002B3806">
      <w:pPr>
        <w:jc w:val="both"/>
        <w:rPr>
          <w:i/>
        </w:rPr>
      </w:pPr>
    </w:p>
    <w:p w:rsidR="00BE1EFE" w:rsidRPr="00C521A0" w:rsidRDefault="00BE1EFE" w:rsidP="002B3806">
      <w:pPr>
        <w:jc w:val="both"/>
      </w:pPr>
    </w:p>
    <w:p w:rsidR="00BE1EFE" w:rsidRPr="008948E7" w:rsidRDefault="00BE1EFE" w:rsidP="00C521A0">
      <w:pPr>
        <w:pStyle w:val="berschrift5"/>
        <w:spacing w:before="100" w:beforeAutospacing="1"/>
        <w:rPr>
          <w:lang w:eastAsia="x-none"/>
        </w:rPr>
      </w:pPr>
      <w:bookmarkStart w:id="1284" w:name="_Toc523926797"/>
      <w:r>
        <w:lastRenderedPageBreak/>
        <w:t>I. Abschnitt: Allgemeines</w:t>
      </w:r>
      <w:bookmarkEnd w:id="1284"/>
    </w:p>
    <w:p w:rsidR="00BE1EFE" w:rsidRPr="00B76821" w:rsidRDefault="00BE1EFE" w:rsidP="00B76821">
      <w:pPr>
        <w:pStyle w:val="berschrift6"/>
        <w:keepNext w:val="0"/>
        <w:spacing w:before="0" w:after="0"/>
        <w:rPr>
          <w:rStyle w:val="Fett"/>
          <w:b/>
          <w:sz w:val="2"/>
          <w:szCs w:val="2"/>
        </w:rPr>
      </w:pPr>
    </w:p>
    <w:p w:rsidR="00BE1EFE" w:rsidRPr="00806F96" w:rsidRDefault="00BE1EFE" w:rsidP="00806F96">
      <w:pPr>
        <w:pStyle w:val="StandardWeb"/>
        <w:rPr>
          <w:rStyle w:val="Fett"/>
          <w:b w:val="0"/>
          <w:sz w:val="2"/>
          <w:szCs w:val="2"/>
        </w:rPr>
      </w:pPr>
    </w:p>
    <w:p w:rsidR="00BE1EFE" w:rsidRDefault="00BE1EFE" w:rsidP="0054275E">
      <w:pPr>
        <w:pStyle w:val="StandardWeb"/>
        <w:autoSpaceDE w:val="0"/>
      </w:pPr>
      <w:r>
        <w:rPr>
          <w:rStyle w:val="Fett"/>
          <w:bCs/>
        </w:rPr>
        <w:t>§ 1 Geltungsbereich</w:t>
      </w:r>
    </w:p>
    <w:p w:rsidR="00BE1EFE" w:rsidRDefault="00BE1EFE">
      <w:pPr>
        <w:pStyle w:val="StandardWeb"/>
      </w:pPr>
    </w:p>
    <w:p w:rsidR="00BE1EFE" w:rsidRPr="00F251B2" w:rsidRDefault="00BE1EFE" w:rsidP="008948E7">
      <w:pPr>
        <w:jc w:val="both"/>
      </w:pPr>
      <w:r w:rsidRPr="00F251B2">
        <w:t>(1)</w:t>
      </w:r>
      <w:r>
        <w:t> </w:t>
      </w:r>
      <w:r w:rsidRPr="00F251B2">
        <w:rPr>
          <w:vertAlign w:val="subscript"/>
        </w:rPr>
        <w:t>1</w:t>
      </w:r>
      <w:r w:rsidRPr="00F251B2">
        <w:t xml:space="preserve">Diese Dienstordnung gilt für alle an katholischen Schulen in freier Trägerschaft in Bayern tätigen Lehrkräfte. </w:t>
      </w:r>
      <w:r w:rsidRPr="00F251B2">
        <w:rPr>
          <w:vertAlign w:val="subscript"/>
        </w:rPr>
        <w:t>2</w:t>
      </w:r>
      <w:r w:rsidRPr="00F251B2">
        <w:t>Sie gilt ferner entsprechend für die Werkstattausbilderinnen und Werkstattausbilder an Fachoberschulen, die Heilpädagoginnen und Heilpädagogen im Förderschuldienst, die W</w:t>
      </w:r>
      <w:r>
        <w:t>erkmeisterinnen und Werkmeister und</w:t>
      </w:r>
      <w:r w:rsidRPr="00F251B2">
        <w:t xml:space="preserve"> das sonstige Personal für heilpädagogische Unterrichtshilfe an Förderschulen sowie sonstiges Lehrpersonal. </w:t>
      </w:r>
      <w:r w:rsidRPr="00F251B2">
        <w:rPr>
          <w:vertAlign w:val="subscript"/>
        </w:rPr>
        <w:t>3</w:t>
      </w:r>
      <w:r w:rsidRPr="00F251B2">
        <w:t>Sie gilt ferner für Schulträger und Schulleiterinnen und Schulleiter.</w:t>
      </w:r>
    </w:p>
    <w:p w:rsidR="00BE1EFE" w:rsidRDefault="00BE1EFE" w:rsidP="008948E7">
      <w:pPr>
        <w:jc w:val="both"/>
      </w:pPr>
    </w:p>
    <w:p w:rsidR="00BE1EFE" w:rsidRPr="00F251B2" w:rsidRDefault="00BE1EFE" w:rsidP="008948E7">
      <w:pPr>
        <w:jc w:val="both"/>
      </w:pPr>
      <w:r>
        <w:t>(2) </w:t>
      </w:r>
      <w:r w:rsidRPr="00F251B2">
        <w:t>Für Religionslehrkräfte im Kirchendienst (RL i. K.), die der Dienstordnung für Religions</w:t>
      </w:r>
      <w:r>
        <w:softHyphen/>
      </w:r>
      <w:r w:rsidRPr="00F251B2">
        <w:t>lehrerinnen und Religionslehrer im Kirchendienst (</w:t>
      </w:r>
      <w:hyperlink r:id="rId1921" w:history="1">
        <w:r w:rsidRPr="005B2AB7">
          <w:rPr>
            <w:rStyle w:val="Hyperlink"/>
          </w:rPr>
          <w:t>ABD Teil C, 3.</w:t>
        </w:r>
      </w:hyperlink>
      <w:r w:rsidRPr="00F251B2">
        <w:t>) unterliegen und die an katholischen Schulen in freier Trägerschaft unterrichten, gilt die Dienstordnung für Religions</w:t>
      </w:r>
      <w:r>
        <w:softHyphen/>
      </w:r>
      <w:r w:rsidRPr="00F251B2">
        <w:t>lehrerinnen und Religionslehrer im Kirchendienst vorrangig.</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Werden teilzeitbeschäftigte Lehrkräfte für schulische Aufgaben außerhalb ihrer unter</w:t>
      </w:r>
      <w:r>
        <w:softHyphen/>
      </w:r>
      <w:r w:rsidRPr="00F251B2">
        <w:t xml:space="preserve">richtlichen Verpflichtungen (§ 3) herangezogen, so sind dabei der geringere zeitliche Umfang ihrer Dienstverpflichtung und ihre etwa gegenüber Dritten bestehenden anderweitigen unabweisbaren Verpflichtungen angemessen zu berücksichtigen. </w:t>
      </w:r>
      <w:r w:rsidRPr="00F251B2">
        <w:rPr>
          <w:vertAlign w:val="subscript"/>
        </w:rPr>
        <w:t>2</w:t>
      </w:r>
      <w:r w:rsidRPr="00F251B2">
        <w:t>Zur Teilnahme an sonsti</w:t>
      </w:r>
      <w:r>
        <w:softHyphen/>
      </w:r>
      <w:r w:rsidRPr="00F251B2">
        <w:t xml:space="preserve">gen schulischen Veranstaltungen (§ 4 Abs. 1) sowie an Fachsitzungen und Sitzungen der Klassenkonferenz (§§ 19, 20) sind diese Lehrkräfte nur insoweit verpflichtet, als ein unmittelbarer Zusammenhang mit dem von ihnen erteilten Unterricht besteht. </w:t>
      </w:r>
      <w:r w:rsidRPr="00F251B2">
        <w:rPr>
          <w:vertAlign w:val="subscript"/>
        </w:rPr>
        <w:t>3</w:t>
      </w:r>
      <w:r w:rsidRPr="00F251B2">
        <w:t>Die Teilnahme an gottesdienstlichen Feiern wird auch von ihnen erwartet.</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Diese Dienstordnung gilt vorbehaltlich besonderer Regelungen im Einzelarbeitsvertrag sowie im Arbeitsvert</w:t>
      </w:r>
      <w:r>
        <w:t xml:space="preserve">ragsrecht der bayerischen </w:t>
      </w:r>
      <w:r w:rsidRPr="00F251B2">
        <w:t xml:space="preserve">Diözesen (ABD) und den Richtlinien für Arbeitsverträge in den Einrichtungen des Deutschen Caritasverbandes (AVR), in den Vorschriften für Beamtinnen und Beamte des Katholischen Schulwerks in Bayern und in vom Schulträger erlassener Dienst- oder Beschäftigungsordnungen. </w:t>
      </w:r>
      <w:r w:rsidRPr="00F251B2">
        <w:rPr>
          <w:vertAlign w:val="subscript"/>
        </w:rPr>
        <w:t>2</w:t>
      </w:r>
      <w:r w:rsidRPr="00F251B2">
        <w:t xml:space="preserve">Sie gilt im Rahmen der allgemeinen Rechtsvorschriften, des </w:t>
      </w:r>
      <w:hyperlink r:id="rId1922" w:history="1">
        <w:r w:rsidRPr="005B2AB7">
          <w:rPr>
            <w:rStyle w:val="Hyperlink"/>
          </w:rPr>
          <w:t>Bayerischen Gesetzes über das Erziehungs- und Unterrichtswesen (BayEUG)</w:t>
        </w:r>
      </w:hyperlink>
      <w:r w:rsidRPr="00F251B2">
        <w:t xml:space="preserve"> und der Schulordnungen, soweit sie an Schulen in freier Trägerschaft gelten, sowie der sonstigen für kirchliche Schulen in freier Trägerschaft einschlägigen Rechts- und Verwaltungsvorschriften.</w:t>
      </w:r>
    </w:p>
    <w:p w:rsidR="00BE1EFE" w:rsidRDefault="00BE1EFE">
      <w:pPr>
        <w:pStyle w:val="berschrift5"/>
      </w:pPr>
      <w:bookmarkStart w:id="1285" w:name="_Toc523926798"/>
      <w:r>
        <w:t>II. Abschnitt: Die Lehrkraft</w:t>
      </w:r>
      <w:bookmarkEnd w:id="1285"/>
    </w:p>
    <w:p w:rsidR="00BE1EFE" w:rsidRPr="00B76821" w:rsidRDefault="00BE1EFE" w:rsidP="00B76821">
      <w:pPr>
        <w:pStyle w:val="berschrift6"/>
        <w:keepNext w:val="0"/>
        <w:spacing w:before="0" w:after="0"/>
        <w:rPr>
          <w:rStyle w:val="Fett"/>
          <w:bCs w:val="0"/>
          <w:sz w:val="2"/>
          <w:szCs w:val="18"/>
        </w:rPr>
      </w:pPr>
    </w:p>
    <w:p w:rsidR="00BE1EFE" w:rsidRPr="00C63984" w:rsidRDefault="00BE1EFE" w:rsidP="00F45C8E">
      <w:pPr>
        <w:pStyle w:val="StandardWeb"/>
        <w:rPr>
          <w:rStyle w:val="Fett"/>
          <w:bCs/>
          <w:sz w:val="18"/>
          <w:szCs w:val="18"/>
        </w:rPr>
      </w:pPr>
      <w:r>
        <w:rPr>
          <w:rStyle w:val="Fett"/>
          <w:bCs/>
          <w:sz w:val="18"/>
          <w:szCs w:val="18"/>
        </w:rPr>
        <w:t>1. </w:t>
      </w:r>
      <w:r w:rsidRPr="00C63984">
        <w:rPr>
          <w:rStyle w:val="Fett"/>
          <w:bCs/>
          <w:sz w:val="18"/>
          <w:szCs w:val="18"/>
        </w:rPr>
        <w:t>Teil: Die Lehrkraft im Unterricht und bei sonstigen schulischen Veranstal</w:t>
      </w:r>
      <w:r>
        <w:rPr>
          <w:rStyle w:val="Fett"/>
          <w:bCs/>
          <w:sz w:val="18"/>
          <w:szCs w:val="18"/>
        </w:rPr>
        <w:softHyphen/>
      </w:r>
      <w:r w:rsidRPr="00C63984">
        <w:rPr>
          <w:rStyle w:val="Fett"/>
          <w:bCs/>
          <w:sz w:val="18"/>
          <w:szCs w:val="18"/>
        </w:rPr>
        <w:t>tungen</w:t>
      </w:r>
    </w:p>
    <w:p w:rsidR="00BE1EFE" w:rsidRPr="00806F96" w:rsidRDefault="00BE1EFE" w:rsidP="0054275E">
      <w:pPr>
        <w:pStyle w:val="StandardWeb"/>
        <w:autoSpaceDE w:val="0"/>
        <w:rPr>
          <w:rStyle w:val="Fett"/>
          <w:bCs/>
          <w:sz w:val="2"/>
          <w:szCs w:val="2"/>
        </w:rPr>
      </w:pP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2 Aufgaben und Verantwortung der Lehrkraft</w:t>
      </w:r>
    </w:p>
    <w:p w:rsidR="00BE1EFE" w:rsidRDefault="00BE1EFE">
      <w:pPr>
        <w:pStyle w:val="StandardWeb"/>
      </w:pPr>
    </w:p>
    <w:p w:rsidR="00BE1EFE" w:rsidRPr="00F251B2" w:rsidRDefault="00BE1EFE" w:rsidP="008948E7">
      <w:pPr>
        <w:jc w:val="both"/>
      </w:pPr>
      <w:r w:rsidRPr="00F251B2">
        <w:t>(1)</w:t>
      </w:r>
      <w:r>
        <w:t> </w:t>
      </w:r>
      <w:r w:rsidRPr="00F251B2">
        <w:rPr>
          <w:vertAlign w:val="subscript"/>
        </w:rPr>
        <w:t>1</w:t>
      </w:r>
      <w:r w:rsidRPr="00F251B2">
        <w:t xml:space="preserve">Die Lehrkraft hat eine Vorbildfunktion in Schule und Einrichtung und trägt die unmittelbare pädagogische Verantwortung für die Erziehung und den Unterricht ihrer Schülerinnen, Schüler und Studierenden. </w:t>
      </w:r>
      <w:r w:rsidRPr="00F251B2">
        <w:rPr>
          <w:vertAlign w:val="subscript"/>
        </w:rPr>
        <w:t>2</w:t>
      </w:r>
      <w:r w:rsidRPr="00F251B2">
        <w:t xml:space="preserve">Dabei sind insbesondere die in der Verfassung des Freistaates Bayern und im </w:t>
      </w:r>
      <w:hyperlink r:id="rId1923" w:history="1">
        <w:r w:rsidRPr="005B2AB7">
          <w:rPr>
            <w:rStyle w:val="Hyperlink"/>
          </w:rPr>
          <w:t>Bayerischen Gesetz über das Erziehungs- und Unterrichtswesen (BayEUG)</w:t>
        </w:r>
      </w:hyperlink>
      <w:r w:rsidRPr="00F251B2">
        <w:t xml:space="preserve"> nieder</w:t>
      </w:r>
      <w:r>
        <w:softHyphen/>
      </w:r>
      <w:r w:rsidRPr="00F251B2">
        <w:t xml:space="preserve">gelegten Bildungs- und Erziehungsziele der Schule sowie der in der Grundordnung für die katholischen Schulen in freier Trägerschaft in Bayern, im Leitbild des Schulträgers und der Konzeption der Einrichtung, und der gegebenenfalls in der Aufgabenbeschreibung und im Arbeitsvertrag der Lehrkraft festgelegte besondere Bildungs- und Erziehungsauftrag für ihre Arbeit bestimmend. </w:t>
      </w:r>
      <w:r w:rsidRPr="00F251B2">
        <w:rPr>
          <w:vertAlign w:val="subscript"/>
        </w:rPr>
        <w:t>3</w:t>
      </w:r>
      <w:r w:rsidRPr="00F251B2">
        <w:t xml:space="preserve">Die Lehrkraft ist mitverantwortlich für die Schule und setzt sich für die </w:t>
      </w:r>
      <w:r w:rsidRPr="00F251B2">
        <w:lastRenderedPageBreak/>
        <w:t>Verwirklichung deren Profils und deren besonderer Bil</w:t>
      </w:r>
      <w:r>
        <w:t>dungs-, Erziehungs-</w:t>
      </w:r>
      <w:r w:rsidRPr="00F251B2">
        <w:t xml:space="preserve"> und Förderziele ein. </w:t>
      </w:r>
      <w:r w:rsidRPr="00F251B2">
        <w:rPr>
          <w:vertAlign w:val="subscript"/>
        </w:rPr>
        <w:t>4</w:t>
      </w:r>
      <w:r w:rsidRPr="00F251B2">
        <w:t>Die Lehrkraft hat zur Qualitätsentwicklung sowie zur Entwicklung des katholischen Profils der Schule und Einrichtung beizutragen.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Heilpädagoginnen und Heilpädagogen im Förderschuldienst, Werkmeisterinnen und Werkmeister sowie sonstiges Personal für heilpädagogische Unterrichtshilfe an Förderschulen unterstützen die Erziehungs- und Unterrichtstätigkeit der Lehrkräfte. </w:t>
      </w:r>
      <w:r w:rsidRPr="00F251B2">
        <w:rPr>
          <w:vertAlign w:val="subscript"/>
        </w:rPr>
        <w:t>2</w:t>
      </w:r>
      <w:r w:rsidRPr="00F251B2">
        <w:t xml:space="preserve">Im Rahmen eines mit den Lehrkräften gemeinsam erstellten Gesamtplans wirken sie bei der Erziehung, Unterrichtung und Beratung von Schülerinnen und Schülern mit sonderpädagogischem Förderbedarf mit. </w:t>
      </w:r>
      <w:r w:rsidRPr="00F251B2">
        <w:rPr>
          <w:vertAlign w:val="subscript"/>
        </w:rPr>
        <w:t>3</w:t>
      </w:r>
      <w:r w:rsidRPr="00F251B2">
        <w:t xml:space="preserve">Sie nehmen diese Aufgaben selbstständig und eigenverantwortlich wahr und wirken bei sonstigen Schulveranstaltungen und bei Verwaltungstätigkeiten mit. </w:t>
      </w:r>
      <w:r w:rsidRPr="00F251B2">
        <w:rPr>
          <w:vertAlign w:val="subscript"/>
        </w:rPr>
        <w:t>4</w:t>
      </w:r>
      <w:r w:rsidRPr="00F251B2">
        <w:t>Heilpädagoginnen und Heilpädagogen im Förderschuldienst und das sonstige Personal für heilpädagogische Unterrichtshilfe leiten die Gruppen der schulvorbereitenden Einrichtungen im Einvernehmen mit den Lehrkräften und erfüllen in Absprache mit den Lehrkräften und schulischen Pflegekräften Aufgaben der sonderpädagogischen Förderung und Beratung im Rahmen der Mobilen Sonderpädagogischen Dienste und Hilfen.</w:t>
      </w:r>
    </w:p>
    <w:p w:rsidR="00BE1EFE" w:rsidRDefault="00BE1EFE">
      <w:pPr>
        <w:pStyle w:val="StandardWeb"/>
      </w:pPr>
    </w:p>
    <w:p w:rsidR="00BE1EFE" w:rsidRPr="002B3806" w:rsidRDefault="00BE1EFE" w:rsidP="002B3806">
      <w:pPr>
        <w:pStyle w:val="StandardWeb"/>
        <w:rPr>
          <w:b/>
        </w:rPr>
      </w:pPr>
      <w:r w:rsidRPr="002B3806">
        <w:rPr>
          <w:b/>
        </w:rPr>
        <w:t>§ 3 Unterricht</w:t>
      </w:r>
    </w:p>
    <w:p w:rsidR="00BE1EFE" w:rsidRDefault="00BE1EFE" w:rsidP="002B3806"/>
    <w:p w:rsidR="00BE1EFE" w:rsidRPr="00F251B2" w:rsidRDefault="00BE1EFE" w:rsidP="008948E7">
      <w:pPr>
        <w:jc w:val="both"/>
      </w:pPr>
      <w:r>
        <w:t>(1) </w:t>
      </w:r>
      <w:r w:rsidRPr="00F251B2">
        <w:rPr>
          <w:vertAlign w:val="subscript"/>
        </w:rPr>
        <w:t>1</w:t>
      </w:r>
      <w:r w:rsidRPr="00F251B2">
        <w:t xml:space="preserve">Die Lehrkraft ist bei ihrem Unterricht an die von der Schulleiterin bzw. dem Schulleiter im Einvernehmen mit dem Schulträger für verbindlich erklärten Lehrpläne und Stundentafeln gebunden. </w:t>
      </w:r>
      <w:r w:rsidRPr="00F251B2">
        <w:rPr>
          <w:vertAlign w:val="subscript"/>
        </w:rPr>
        <w:t>2</w:t>
      </w:r>
      <w:r w:rsidRPr="00F251B2">
        <w:t xml:space="preserve">Dem Förderbedarf von Schülerinnen und Schülern ist Rechnung zu tragen. </w:t>
      </w:r>
      <w:r w:rsidRPr="00F251B2">
        <w:rPr>
          <w:vertAlign w:val="subscript"/>
        </w:rPr>
        <w:t>3</w:t>
      </w:r>
      <w:r w:rsidRPr="00F251B2">
        <w:t xml:space="preserve">Die Lehrkraft achtet auf eine gleichmäßige Verteilung des Lehrstoffs und der schriftlichen Leistungserhebungen über das Schuljahr. </w:t>
      </w:r>
      <w:r w:rsidRPr="00F251B2">
        <w:rPr>
          <w:vertAlign w:val="subscript"/>
        </w:rPr>
        <w:t>4</w:t>
      </w:r>
      <w:r w:rsidRPr="00F251B2">
        <w:t>Die Schulleiterin bzw. der Schulleiter kann allgemein oder im Einzelfall verlangen, dass die Lehrkraft einen Plan hierüber schriftlich ausarbeitet und Nachweise über den behandelten Lehrstoff erbringt.</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Die Lehrkraft muss sich sorgfältig auf den Unterricht vorbereiten. </w:t>
      </w:r>
      <w:r w:rsidRPr="00F251B2">
        <w:rPr>
          <w:vertAlign w:val="subscript"/>
        </w:rPr>
        <w:t>2</w:t>
      </w:r>
      <w:r w:rsidRPr="00F251B2">
        <w:t>Sie hat dafür zu sorgen, dass die für die jeweilige Unterrichtsstunde benötigten Lehr- und Lernmittel rechtzeitig bereitstehen.</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Die Lehrkraft überprüft, ob die Lernziele erreicht worden sind und die Schülerinnen, Schüler und Studierenden sich den Lehrstoff in der Schule und zu Hause angeeignet haben. </w:t>
      </w:r>
      <w:r w:rsidRPr="00F251B2">
        <w:rPr>
          <w:vertAlign w:val="subscript"/>
        </w:rPr>
        <w:t>2</w:t>
      </w:r>
      <w:r w:rsidRPr="00F251B2">
        <w:t xml:space="preserve">Sie überwacht die Heftführung, kontrolliert die Arbeiten, wirkt durch regelmäßige Korrekturen auf die Beseitigung von Mängeln hin und fördert die positiven Ansätze und Entwicklungen; die Möglichkeit individueller Lernziele nach </w:t>
      </w:r>
      <w:hyperlink r:id="rId1924" w:history="1">
        <w:r w:rsidRPr="005B2AB7">
          <w:rPr>
            <w:rStyle w:val="Hyperlink"/>
          </w:rPr>
          <w:t>Art. 30a Abs. 5 Satz 3 BayEUG</w:t>
        </w:r>
      </w:hyperlink>
      <w:r w:rsidRPr="00F251B2">
        <w:t xml:space="preserve"> bei Schülerinnen und Schülern mit sonderpädagogischem Förderbedarf ist zu beachten. </w:t>
      </w:r>
      <w:r w:rsidRPr="00F251B2">
        <w:rPr>
          <w:vertAlign w:val="subscript"/>
        </w:rPr>
        <w:t>3</w:t>
      </w:r>
      <w:r w:rsidRPr="00F251B2">
        <w:t>Die Lehrkraft setzt sich für die individuelle Förderung der Schülerinnen und Schüler ein; soweit ein sonderpädagogischer Förderbedarf besteht, ist dieser im Rahmen der Möglichkeiten zu berücksichtigen.</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Um Über- oder Unterforderungen der Schülerinnen, Schüler und Studierenden zu vermei</w:t>
      </w:r>
      <w:r>
        <w:softHyphen/>
      </w:r>
      <w:r w:rsidRPr="00F251B2">
        <w:t xml:space="preserve">den, tauschen sich die Lehrkräfte jeder Klasse oder jedes Kurses untereinander aus und beraten das Maß der Aufgaben und die notwendige Arbeitszeit. </w:t>
      </w:r>
      <w:r w:rsidRPr="00F251B2">
        <w:rPr>
          <w:vertAlign w:val="subscript"/>
        </w:rPr>
        <w:t>2</w:t>
      </w:r>
      <w:r w:rsidRPr="00F251B2">
        <w:t>Die Lehrkräfte von Parallelklassen stimmen sich in ihren Leistungsanforderungen ab.</w:t>
      </w:r>
    </w:p>
    <w:p w:rsidR="00BE1EFE" w:rsidRDefault="00BE1EFE" w:rsidP="008948E7">
      <w:pPr>
        <w:jc w:val="both"/>
      </w:pPr>
    </w:p>
    <w:p w:rsidR="00BE1EFE" w:rsidRPr="00F251B2" w:rsidRDefault="00BE1EFE" w:rsidP="008948E7">
      <w:pPr>
        <w:jc w:val="both"/>
      </w:pPr>
      <w:r>
        <w:t>(5) </w:t>
      </w:r>
      <w:r w:rsidRPr="00F251B2">
        <w:rPr>
          <w:vertAlign w:val="subscript"/>
        </w:rPr>
        <w:t>1</w:t>
      </w:r>
      <w:r w:rsidRPr="00F251B2">
        <w:t xml:space="preserve">Soweit erforderlich, werden die Angaben zu den schriftlichen Leistungsnachweisen vervielfältigt. </w:t>
      </w:r>
      <w:r w:rsidRPr="00F251B2">
        <w:rPr>
          <w:vertAlign w:val="subscript"/>
        </w:rPr>
        <w:t>2</w:t>
      </w:r>
      <w:r w:rsidRPr="00F251B2">
        <w:t>Bei der Vervielfältigung und Aufbewahrung der Angaben muss deren Geheim</w:t>
      </w:r>
      <w:r>
        <w:softHyphen/>
      </w:r>
      <w:r w:rsidRPr="00F251B2">
        <w:t>haltung sichergestellt sein.</w:t>
      </w:r>
    </w:p>
    <w:p w:rsidR="00BE1EFE" w:rsidRDefault="00BE1EFE" w:rsidP="008948E7">
      <w:pPr>
        <w:jc w:val="both"/>
      </w:pPr>
    </w:p>
    <w:p w:rsidR="00BE1EFE" w:rsidRDefault="00BE1EFE" w:rsidP="008948E7">
      <w:pPr>
        <w:jc w:val="both"/>
      </w:pPr>
      <w:r>
        <w:t>(6) </w:t>
      </w:r>
      <w:r w:rsidRPr="00F251B2">
        <w:rPr>
          <w:vertAlign w:val="subscript"/>
        </w:rPr>
        <w:t>1</w:t>
      </w:r>
      <w:r w:rsidRPr="00F251B2">
        <w:t xml:space="preserve">Über die Leistungen der Schülerinnen, Schüler und Studierenden führt die Lehrkraft Aufzeichnungen, die beim Ausscheiden oder bei längerer Dienstverhinderung der Schulleiterin bzw. dem Schulleiter zur Weitergabe an die Nachfolgerin bzw. den Nachfolger oder an die Vertreterin bzw. den Vertreter zugänglich zu machen sind. </w:t>
      </w:r>
      <w:r w:rsidRPr="00F251B2">
        <w:rPr>
          <w:vertAlign w:val="subscript"/>
        </w:rPr>
        <w:t>2</w:t>
      </w:r>
      <w:r w:rsidRPr="00F251B2">
        <w:t xml:space="preserve">Unbeschadet der Verpflichtung zur </w:t>
      </w:r>
      <w:r w:rsidRPr="00F251B2">
        <w:lastRenderedPageBreak/>
        <w:t>Eintragung der Leistungsbewertungen in den Notenbogen oder vergleichbare Unterlagen hat die Lehrkraft ihre Aufzeichnungen mindestens zwei Jahre nach Ablauf des Schuljahres aufzubewahren und auf Anforderung der Schulleiterin bzw. dem Schulleiter Einsicht zu gewähren, die Aufzeichnungen zu erläutern oder zu übergeben.</w:t>
      </w:r>
    </w:p>
    <w:p w:rsidR="00BE1EFE" w:rsidRPr="00F251B2" w:rsidRDefault="00BE1EFE" w:rsidP="002B3806"/>
    <w:p w:rsidR="00BE1EFE" w:rsidRDefault="00BE1EFE" w:rsidP="002B3806">
      <w:pPr>
        <w:pStyle w:val="StandardWeb"/>
        <w:rPr>
          <w:b/>
        </w:rPr>
      </w:pPr>
      <w:r>
        <w:rPr>
          <w:b/>
        </w:rPr>
        <w:t>§ </w:t>
      </w:r>
      <w:r w:rsidRPr="002B3806">
        <w:rPr>
          <w:b/>
        </w:rPr>
        <w:t>4 Sonstige schulische Veranstaltungen, schulische Veranstaltungen außerhalb der Schulanlage</w:t>
      </w:r>
    </w:p>
    <w:p w:rsidR="00BE1EFE" w:rsidRPr="002B3806" w:rsidRDefault="00BE1EFE" w:rsidP="002B3806">
      <w:pPr>
        <w:pStyle w:val="StandardWeb"/>
        <w:rPr>
          <w:b/>
        </w:rPr>
      </w:pPr>
    </w:p>
    <w:p w:rsidR="00BE1EFE" w:rsidRPr="00F251B2" w:rsidRDefault="00BE1EFE" w:rsidP="008948E7">
      <w:pPr>
        <w:jc w:val="both"/>
      </w:pPr>
      <w:r>
        <w:t>(1) </w:t>
      </w:r>
      <w:r w:rsidRPr="00F251B2">
        <w:rPr>
          <w:vertAlign w:val="subscript"/>
        </w:rPr>
        <w:t>1</w:t>
      </w:r>
      <w:r w:rsidRPr="00F251B2">
        <w:t xml:space="preserve">Die Teilnahme an gottesdienstlichen Feiern und an Besinnungstagen, an Schüler- und Lehrwanderungen, an Lehr- und Studienfahrten, an Schullandheimaufenthalten, an Schulskikursen oder an sonstigen schulischen Veranstaltungen sowie deren Vorbereitung gehören zu den dienstlichen Verpflichtungen der Lehrkraft. </w:t>
      </w:r>
      <w:r w:rsidRPr="00F251B2">
        <w:rPr>
          <w:vertAlign w:val="subscript"/>
        </w:rPr>
        <w:t>2</w:t>
      </w:r>
      <w:r w:rsidRPr="00F251B2">
        <w:t xml:space="preserve">Lehrkräfte, die an solchen Veranstaltungen nicht teilnehmen, stehen für andere schulische Aufgaben zur Verfügung. </w:t>
      </w:r>
      <w:r w:rsidRPr="00F251B2">
        <w:rPr>
          <w:vertAlign w:val="subscript"/>
        </w:rPr>
        <w:t>3</w:t>
      </w:r>
      <w:r w:rsidRPr="00F251B2">
        <w:t>Neben der Teilnahme an den in Satz 1 genannten Veranstaltungen wird von der Lehrkraft erwartet, dass sie auch das religiöse und musische Schulleben mitträgt und mitgestaltet sowie bei sozialen Aktionen der Schule nach Kräften mitarbeitet und die Schulleitung unterstützt.</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Unterricht und sonstige schulische Veranstaltungen außerhalb der Schulanlage bedürfen auch bei kürzerer Abwesenheit von der Schule der Genehmigung der Schulleiterin bzw. des Schulleiters. </w:t>
      </w:r>
      <w:r w:rsidRPr="00F251B2">
        <w:rPr>
          <w:vertAlign w:val="subscript"/>
        </w:rPr>
        <w:t>2</w:t>
      </w:r>
      <w:r w:rsidRPr="00F251B2">
        <w:t xml:space="preserve">Die Zuständigkeiten für die Anordnung von Dienstreisen bleiben unberührt. </w:t>
      </w:r>
      <w:r w:rsidRPr="00F251B2">
        <w:rPr>
          <w:vertAlign w:val="subscript"/>
        </w:rPr>
        <w:t>3</w:t>
      </w:r>
      <w:r w:rsidRPr="00F251B2">
        <w:t>Die Schulleiterin bzw. der Schulleiter stellt sicher, dass die durch den Ausfall stundenplanmäßigen Unterrichts betroffenen Lehrkräfte rechtzeitig verständigt werden.</w:t>
      </w:r>
    </w:p>
    <w:p w:rsidR="00BE1EFE" w:rsidRDefault="00BE1EFE" w:rsidP="002B3806">
      <w:pPr>
        <w:pStyle w:val="StandardWeb"/>
        <w:rPr>
          <w:b/>
        </w:rPr>
      </w:pPr>
    </w:p>
    <w:p w:rsidR="00BE1EFE" w:rsidRDefault="00BE1EFE" w:rsidP="002B3806">
      <w:pPr>
        <w:pStyle w:val="StandardWeb"/>
        <w:rPr>
          <w:b/>
        </w:rPr>
      </w:pPr>
      <w:r w:rsidRPr="002B3806">
        <w:rPr>
          <w:b/>
        </w:rPr>
        <w:t>§ 5 Aufsichtspflicht</w:t>
      </w:r>
    </w:p>
    <w:p w:rsidR="00BE1EFE" w:rsidRPr="002B3806" w:rsidRDefault="00BE1EFE" w:rsidP="002B3806">
      <w:pPr>
        <w:pStyle w:val="StandardWeb"/>
        <w:rPr>
          <w:b/>
        </w:rPr>
      </w:pPr>
    </w:p>
    <w:p w:rsidR="00BE1EFE" w:rsidRPr="00F251B2" w:rsidRDefault="00BE1EFE" w:rsidP="008948E7">
      <w:pPr>
        <w:jc w:val="both"/>
      </w:pPr>
      <w:r>
        <w:t>(1) </w:t>
      </w:r>
      <w:r w:rsidRPr="00F251B2">
        <w:rPr>
          <w:vertAlign w:val="subscript"/>
        </w:rPr>
        <w:t>1</w:t>
      </w:r>
      <w:r w:rsidRPr="00F251B2">
        <w:t xml:space="preserve">Die Lehrkraft ist verpflichtet, bei der Wahrnehmung der Aufsichtspflicht der Schule mitzuwirken. </w:t>
      </w:r>
      <w:r w:rsidRPr="00F251B2">
        <w:rPr>
          <w:vertAlign w:val="subscript"/>
        </w:rPr>
        <w:t>2</w:t>
      </w:r>
      <w:r w:rsidRPr="00F251B2">
        <w:t xml:space="preserve">Dabei kann sie auch zur Aufsicht außerhalb ihres Unterrichts herangezogen werden. </w:t>
      </w:r>
      <w:r w:rsidRPr="00F251B2">
        <w:rPr>
          <w:vertAlign w:val="subscript"/>
        </w:rPr>
        <w:t>3</w:t>
      </w:r>
      <w:r w:rsidRPr="00F251B2">
        <w:t xml:space="preserve">Pünktlichkeit der Lehrkraft ist zur Wahrung der Aufsichtspflicht unbedingt notwendig. </w:t>
      </w:r>
      <w:r w:rsidRPr="00F251B2">
        <w:rPr>
          <w:vertAlign w:val="subscript"/>
        </w:rPr>
        <w:t>4</w:t>
      </w:r>
      <w:r w:rsidRPr="00F251B2">
        <w:t xml:space="preserve">Die Lehrkraft hat rechtzeitig im Unterrichtsraum anwesend zu sein und während der gesamten Dauer des von ihr erteilten Unterrichts, erforderlichenfalls bis zum Weggang der Schülerinnen, Schüler und Studierenden die Aufsicht zu führen. </w:t>
      </w:r>
      <w:r w:rsidRPr="00F251B2">
        <w:rPr>
          <w:vertAlign w:val="subscript"/>
        </w:rPr>
        <w:t>5</w:t>
      </w:r>
      <w:r w:rsidRPr="00F251B2">
        <w:t>Ist die Lehrkraft gezwungen, den Unterrichtsraum während dieser Zeit zu verlassen, so trifft sie, im Verhinderungsfall die Schulleiterin bzw. der Schulleiter, die notwendigen und möglichen Maßnahmen.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Eine besondere Einteilung der Lehrkräfte zur Wahrnehmung der Aufsichtspflicht der Schule erfolgt durch die Schulleiterin bzw. den Schulleiter. </w:t>
      </w:r>
      <w:r w:rsidRPr="00F251B2">
        <w:rPr>
          <w:vertAlign w:val="subscript"/>
        </w:rPr>
        <w:t>2</w:t>
      </w:r>
      <w:r w:rsidRPr="00F251B2">
        <w:t>Die für die Aufsicht ergehenden allgemeinen Regelungen und Einzelanweisungen sind zu beachten.</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Bei sonstigen schulischen Veranstaltungen gelten die Absätze 1 und 2 entsprechend. </w:t>
      </w:r>
      <w:r w:rsidRPr="00F251B2">
        <w:rPr>
          <w:vertAlign w:val="subscript"/>
        </w:rPr>
        <w:t>2</w:t>
      </w:r>
      <w:r w:rsidRPr="00F251B2">
        <w:t xml:space="preserve">Beginnt oder endet eine schulische Veranstaltung außerhalb der Schule, so beginnt und endet dort auch die Aufsichtspflicht der Lehrkraft. </w:t>
      </w:r>
      <w:r w:rsidRPr="00F251B2">
        <w:rPr>
          <w:vertAlign w:val="subscript"/>
        </w:rPr>
        <w:t>3</w:t>
      </w:r>
      <w:r w:rsidRPr="00F251B2">
        <w:t xml:space="preserve">Der Treff- und Endpunkt sollen möglichst in der Nähe erreichbarer und zumutbarer Verkehrsmittel liegen. </w:t>
      </w:r>
      <w:r w:rsidRPr="00F251B2">
        <w:rPr>
          <w:vertAlign w:val="subscript"/>
        </w:rPr>
        <w:t>4</w:t>
      </w:r>
      <w:r w:rsidRPr="00F251B2">
        <w:t>Für Schülerinnen und Schüler der Jahrgangsstufen eins bis vier müssen der Treff- und Endpunkt auf jeden Fall innerhalb des Schulsprengels liegen.</w:t>
      </w:r>
    </w:p>
    <w:p w:rsidR="00BE1EFE" w:rsidRDefault="00BE1EFE" w:rsidP="008948E7">
      <w:pPr>
        <w:jc w:val="both"/>
      </w:pPr>
    </w:p>
    <w:p w:rsidR="00BE1EFE" w:rsidRPr="00F251B2" w:rsidRDefault="00BE1EFE" w:rsidP="008948E7">
      <w:pPr>
        <w:jc w:val="both"/>
      </w:pPr>
      <w:r>
        <w:t>(4) </w:t>
      </w:r>
      <w:r w:rsidRPr="00F251B2">
        <w:t>Wenn im Rahmen des stundenplanmäßigen Unterrichts andere Personen (z. B. aus dem Gesundheitsbereich, dem Bereich der beruflichen Orientierung oder von der Polizei) mitwirken, soll eine Lehrkraft anwesend sein.</w:t>
      </w:r>
    </w:p>
    <w:p w:rsidR="00BE1EFE" w:rsidRDefault="00BE1EFE" w:rsidP="002B3806">
      <w:pPr>
        <w:pStyle w:val="StandardWeb"/>
        <w:rPr>
          <w:b/>
        </w:rPr>
      </w:pPr>
    </w:p>
    <w:p w:rsidR="00BE1EFE" w:rsidRDefault="00BE1EFE" w:rsidP="00067265">
      <w:pPr>
        <w:pStyle w:val="StandardWeb"/>
        <w:rPr>
          <w:b/>
        </w:rPr>
      </w:pPr>
      <w:r w:rsidRPr="002B3806">
        <w:rPr>
          <w:b/>
        </w:rPr>
        <w:t>§ 6 Klassenleitung und Kursleitung</w:t>
      </w:r>
    </w:p>
    <w:p w:rsidR="00BE1EFE" w:rsidRDefault="00BE1EFE" w:rsidP="002B3806">
      <w:pPr>
        <w:pStyle w:val="StandardWeb"/>
        <w:rPr>
          <w:b/>
        </w:rPr>
      </w:pPr>
    </w:p>
    <w:p w:rsidR="00BE1EFE" w:rsidRDefault="00BE1EFE" w:rsidP="002B3806">
      <w:pPr>
        <w:pStyle w:val="StandardWeb"/>
        <w:rPr>
          <w:b/>
        </w:rPr>
      </w:pPr>
      <w:r>
        <w:t>(1) </w:t>
      </w:r>
      <w:r w:rsidRPr="00F251B2">
        <w:rPr>
          <w:vertAlign w:val="subscript"/>
        </w:rPr>
        <w:t>1</w:t>
      </w:r>
      <w:r w:rsidRPr="00F251B2">
        <w:t xml:space="preserve">Für jede Klasse ist eine Lehrkraft mit der Leitung zu beauftragen (Klassenleiterin bzw. Klassenleiter). </w:t>
      </w:r>
      <w:r w:rsidRPr="00F251B2">
        <w:rPr>
          <w:vertAlign w:val="subscript"/>
        </w:rPr>
        <w:t>2</w:t>
      </w:r>
      <w:r w:rsidRPr="00F251B2">
        <w:t>Die Klassenleiterin bzw. der Klassenleiter wird von der Schulleiterin bzw. dem</w:t>
      </w:r>
    </w:p>
    <w:p w:rsidR="00BE1EFE" w:rsidRPr="00F251B2" w:rsidRDefault="00BE1EFE" w:rsidP="008948E7">
      <w:pPr>
        <w:jc w:val="both"/>
      </w:pPr>
      <w:r w:rsidRPr="00F251B2">
        <w:lastRenderedPageBreak/>
        <w:t xml:space="preserve">Schulleiter bestimmt. </w:t>
      </w:r>
      <w:r w:rsidRPr="00F251B2">
        <w:rPr>
          <w:vertAlign w:val="subscript"/>
        </w:rPr>
        <w:t>3</w:t>
      </w:r>
      <w:r w:rsidRPr="00F251B2">
        <w:t>Dabei sind vorrangig vollbeschäftigte Lehrkräfte einzusetzen.</w:t>
      </w:r>
    </w:p>
    <w:p w:rsidR="00BE1EFE" w:rsidRDefault="00BE1EFE" w:rsidP="008948E7">
      <w:pPr>
        <w:jc w:val="both"/>
      </w:pPr>
    </w:p>
    <w:p w:rsidR="00BE1EFE" w:rsidRPr="00F251B2" w:rsidRDefault="00BE1EFE" w:rsidP="008948E7">
      <w:pPr>
        <w:jc w:val="both"/>
      </w:pPr>
      <w:r>
        <w:t>(2) </w:t>
      </w:r>
      <w:r w:rsidRPr="00F251B2">
        <w:rPr>
          <w:vertAlign w:val="subscript"/>
        </w:rPr>
        <w:t>1</w:t>
      </w:r>
      <w:r w:rsidRPr="00F251B2">
        <w:t xml:space="preserve">Die mit der Klassenleitung beauftragte Lehrkraft trägt in besonderer Weise Verantwortung für die Erziehungsarbeit in der Klasse. </w:t>
      </w:r>
      <w:r w:rsidRPr="00F251B2">
        <w:rPr>
          <w:vertAlign w:val="subscript"/>
        </w:rPr>
        <w:t>2</w:t>
      </w:r>
      <w:r w:rsidRPr="00F251B2">
        <w:t>Sie vertritt ihre Klasse bei der Schulleitung, in der Lehrerkonferenz, in der Klassenkonferenz und bei den in ihrer Klasse unterrichtenden Lehr</w:t>
      </w:r>
      <w:r>
        <w:softHyphen/>
      </w:r>
      <w:r w:rsidRPr="00F251B2">
        <w:t xml:space="preserve">kräften. </w:t>
      </w:r>
      <w:r w:rsidRPr="00F251B2">
        <w:rPr>
          <w:vertAlign w:val="subscript"/>
        </w:rPr>
        <w:t>3</w:t>
      </w:r>
      <w:r w:rsidRPr="00F251B2">
        <w:t xml:space="preserve">Von diesen ist sie über alle wesentlichen die Klasse und einzelne Schülerinnen, Schüler und Studierende betreffenden Vorgänge zu unterrichten. </w:t>
      </w:r>
      <w:r w:rsidRPr="00F251B2">
        <w:rPr>
          <w:vertAlign w:val="subscript"/>
        </w:rPr>
        <w:t>4</w:t>
      </w:r>
      <w:r w:rsidRPr="00F251B2">
        <w:t xml:space="preserve">Sie wirkt darauf hin, dass sich die Lehrkräfte ihrer Klasse über das Maß der Aufgaben und die notwendige Arbeitszeit jeweils verständigen (§ 3 Abs. 4). </w:t>
      </w:r>
      <w:r w:rsidRPr="00F251B2">
        <w:rPr>
          <w:vertAlign w:val="subscript"/>
        </w:rPr>
        <w:t>5</w:t>
      </w:r>
      <w:r w:rsidRPr="00F251B2">
        <w:t xml:space="preserve">Die mit der Klassenleitung beauftragte Lehrkraft informiert die Klasse über wesentliche Angelegenheiten der Schule; sie regt die Schülerinnen, Schüler und Studierenden der Klasse zur Mitgestaltung des schulischen Lebens an und beteiligt dabei die Klassensprecherin bzw. den Klassensprecher. </w:t>
      </w:r>
      <w:r w:rsidRPr="00F251B2">
        <w:rPr>
          <w:vertAlign w:val="subscript"/>
        </w:rPr>
        <w:t>6</w:t>
      </w:r>
      <w:r w:rsidRPr="00F251B2">
        <w:t xml:space="preserve">Sie unterrichtet sich fortlaufend über die Einträge im Notenbogen oder in vergleichbaren Unterlagen. </w:t>
      </w:r>
      <w:r w:rsidRPr="00F251B2">
        <w:rPr>
          <w:vertAlign w:val="subscript"/>
        </w:rPr>
        <w:t>7</w:t>
      </w:r>
      <w:r w:rsidRPr="00F251B2">
        <w:t>Die mit der Klassenleitung beauftragte Lehrkraft überprüft in ihrer Klasse die Schulversäumnisse, soweit in der Schule keine andere Regelung getroffen ist.</w:t>
      </w:r>
    </w:p>
    <w:p w:rsidR="00BE1EFE" w:rsidRDefault="00BE1EFE" w:rsidP="008948E7">
      <w:pPr>
        <w:jc w:val="both"/>
      </w:pPr>
    </w:p>
    <w:p w:rsidR="00BE1EFE" w:rsidRPr="00F251B2" w:rsidRDefault="00BE1EFE" w:rsidP="008948E7">
      <w:pPr>
        <w:jc w:val="both"/>
      </w:pPr>
      <w:r>
        <w:t>(3) </w:t>
      </w:r>
      <w:r w:rsidRPr="00F251B2">
        <w:rPr>
          <w:vertAlign w:val="subscript"/>
        </w:rPr>
        <w:t>1</w:t>
      </w:r>
      <w:r w:rsidRPr="00F251B2">
        <w:t xml:space="preserve">Die mit der Klassenleitung beauftragte Lehrkraft berät die Erziehungsberechtigten in schulischen Fragen. </w:t>
      </w:r>
      <w:r w:rsidRPr="00F251B2">
        <w:rPr>
          <w:vertAlign w:val="subscript"/>
        </w:rPr>
        <w:t>2</w:t>
      </w:r>
      <w:r w:rsidRPr="00F251B2">
        <w:t xml:space="preserve">Bei einem auffallenden Absinken des Leistungsstandes und sonstigen wesentlichen, die Schülerinnen, Schüler und Studierenden betreffenden Vorgängen sorgt sie im Einvernehmen mit der Schulleitung für eine möglichst frühzeitige schriftliche Unterrichtung der Erziehungsberechtigten gegen Empfangsbestätigung. </w:t>
      </w:r>
      <w:r w:rsidRPr="00F251B2">
        <w:rPr>
          <w:vertAlign w:val="subscript"/>
        </w:rPr>
        <w:t>3</w:t>
      </w:r>
      <w:r w:rsidRPr="00F251B2">
        <w:t>Dies gilt besonders dann, wenn nach Aushändigung des Zwischenzeugnisses oder der schriftlichen Information über das Notenbild die Leistungen so stark absinken, dass eine Gefahr für das Vorrücken oder das Erreichen des schulischen Abschlusses erkennbar wird.</w:t>
      </w:r>
      <w:r w:rsidRPr="00F251B2">
        <w:rPr>
          <w:rFonts w:cs="Arial"/>
          <w:kern w:val="2"/>
          <w:sz w:val="20"/>
          <w:szCs w:val="20"/>
          <w:vertAlign w:val="subscript"/>
          <w:lang w:eastAsia="ar-SA"/>
        </w:rPr>
        <w:t xml:space="preserve"> </w:t>
      </w:r>
      <w:r w:rsidRPr="00F251B2">
        <w:rPr>
          <w:vertAlign w:val="subscript"/>
        </w:rPr>
        <w:t>4</w:t>
      </w:r>
      <w:r w:rsidRPr="00F251B2">
        <w:t xml:space="preserve">Die Sätze 1 bis 3 gelten entsprechend für die Unterrichtung früherer Erziehungsberechtigter volljähriger Schülerinnen, Schüler und Studierender, welche das 21. Lebensjahr noch nicht vollendet haben. </w:t>
      </w:r>
      <w:r w:rsidRPr="00F251B2">
        <w:rPr>
          <w:vertAlign w:val="subscript"/>
        </w:rPr>
        <w:t>5</w:t>
      </w:r>
      <w:r w:rsidRPr="00F251B2">
        <w:t xml:space="preserve">Hinsichtlich der Unterrichtung der früheren Erziehungsberechtigten volljähriger Schülerinnen, Schüler und Studierender über Ordnungsmaßnahmen gilt </w:t>
      </w:r>
      <w:hyperlink r:id="rId1925" w:history="1">
        <w:r w:rsidRPr="003151D3">
          <w:rPr>
            <w:rStyle w:val="Hyperlink"/>
          </w:rPr>
          <w:t>Art. 88a BayEUG</w:t>
        </w:r>
      </w:hyperlink>
      <w:r w:rsidRPr="00F251B2">
        <w:t xml:space="preserve"> entsprechend.</w:t>
      </w:r>
    </w:p>
    <w:p w:rsidR="00BE1EFE" w:rsidRDefault="00BE1EFE" w:rsidP="008948E7">
      <w:pPr>
        <w:jc w:val="both"/>
      </w:pPr>
    </w:p>
    <w:p w:rsidR="00BE1EFE" w:rsidRPr="00F251B2" w:rsidRDefault="00BE1EFE" w:rsidP="008948E7">
      <w:pPr>
        <w:jc w:val="both"/>
      </w:pPr>
      <w:r>
        <w:t>(4) </w:t>
      </w:r>
      <w:r w:rsidRPr="00F251B2">
        <w:rPr>
          <w:vertAlign w:val="subscript"/>
        </w:rPr>
        <w:t>1</w:t>
      </w:r>
      <w:r w:rsidRPr="00F251B2">
        <w:t xml:space="preserve">Die mit der Klassenleitung beauftragte Lehrkraft entwirft Zeugnisse im Zusammenwirken mit den übrigen Lehrkräften der Klasse. </w:t>
      </w:r>
      <w:r w:rsidRPr="00F251B2">
        <w:rPr>
          <w:vertAlign w:val="subscript"/>
        </w:rPr>
        <w:t>2</w:t>
      </w:r>
      <w:r w:rsidRPr="00F251B2">
        <w:t>Sie führt erforderlichenfalls den Schülerbogen und die Schülerakten.</w:t>
      </w:r>
    </w:p>
    <w:p w:rsidR="00BE1EFE" w:rsidRDefault="00BE1EFE" w:rsidP="008948E7">
      <w:pPr>
        <w:jc w:val="both"/>
      </w:pPr>
    </w:p>
    <w:p w:rsidR="00BE1EFE" w:rsidRPr="00F251B2" w:rsidRDefault="00BE1EFE" w:rsidP="008948E7">
      <w:pPr>
        <w:jc w:val="both"/>
      </w:pPr>
      <w:r>
        <w:t>(5) </w:t>
      </w:r>
      <w:r w:rsidRPr="00F251B2">
        <w:t>Die in der Klasse tätigen Lehrkräfte unterstützen die mit der Klassenleitung beauftragte Lehrkraft bei der Erfüllung ihrer Aufgaben.</w:t>
      </w:r>
    </w:p>
    <w:p w:rsidR="00BE1EFE" w:rsidRDefault="00BE1EFE" w:rsidP="008948E7">
      <w:pPr>
        <w:jc w:val="both"/>
      </w:pPr>
    </w:p>
    <w:p w:rsidR="00BE1EFE" w:rsidRPr="00F251B2" w:rsidRDefault="00BE1EFE" w:rsidP="008948E7">
      <w:pPr>
        <w:jc w:val="both"/>
      </w:pPr>
      <w:r>
        <w:t>(6) </w:t>
      </w:r>
      <w:r w:rsidRPr="00F251B2">
        <w:t>Soweit der Unterricht in Kursen erteilt wird und eine Lehrkraft zur Kursleitung bestimmt worden ist, gelten für diese die Absätze 1 bis 5 sinngemäß.</w:t>
      </w:r>
    </w:p>
    <w:p w:rsidR="00BE1EFE" w:rsidRDefault="00BE1EFE" w:rsidP="008948E7">
      <w:pPr>
        <w:pStyle w:val="StandardWeb"/>
        <w:rPr>
          <w:b/>
        </w:rPr>
      </w:pPr>
    </w:p>
    <w:p w:rsidR="00BE1EFE" w:rsidRDefault="00BE1EFE" w:rsidP="008948E7">
      <w:pPr>
        <w:pStyle w:val="StandardWeb"/>
        <w:rPr>
          <w:b/>
        </w:rPr>
      </w:pPr>
      <w:r w:rsidRPr="002B3806">
        <w:rPr>
          <w:b/>
        </w:rPr>
        <w:t>§ 7 Schwerbehinderte Lehrkräfte</w:t>
      </w:r>
    </w:p>
    <w:p w:rsidR="00BE1EFE" w:rsidRPr="002B3806" w:rsidRDefault="00BE1EFE" w:rsidP="008948E7">
      <w:pPr>
        <w:pStyle w:val="StandardWeb"/>
        <w:rPr>
          <w:b/>
        </w:rPr>
      </w:pPr>
    </w:p>
    <w:p w:rsidR="00BE1EFE" w:rsidRDefault="00BE1EFE" w:rsidP="008948E7">
      <w:pPr>
        <w:jc w:val="both"/>
      </w:pPr>
      <w:r w:rsidRPr="00F251B2">
        <w:rPr>
          <w:vertAlign w:val="subscript"/>
        </w:rPr>
        <w:t>1</w:t>
      </w:r>
      <w:r w:rsidRPr="00F251B2">
        <w:t xml:space="preserve">Bei der Organisation des Unterrichts und sonstiger schulischer Veranstaltungen sowie bei der Zuweisung besonderer Aufgaben ist die besondere Stellung der Lehrkräfte mit einem Grad der Behinderung von wenigstens 50 sowie der Lehrkräfte, die schwerbehinderten Menschen gleichgestellt sind, zu berücksichtigen, soweit dies ein ordnungsgemäßer Schulbetrieb zulässt. </w:t>
      </w:r>
      <w:r w:rsidRPr="00F251B2">
        <w:rPr>
          <w:vertAlign w:val="subscript"/>
        </w:rPr>
        <w:t>2</w:t>
      </w:r>
      <w:r w:rsidRPr="00F251B2">
        <w:t>Das gilt vor allem bei der Gestaltung des Stundenplans, bei der Zuweisung von zusätzlichen Vertretungsstunden oder bei der Einteilung der Aufsicht in den Pausen, für Schüler</w:t>
      </w:r>
      <w:r>
        <w:softHyphen/>
      </w:r>
      <w:r w:rsidRPr="00F251B2">
        <w:t xml:space="preserve">wanderungen und -fahrten. </w:t>
      </w:r>
      <w:r w:rsidRPr="00F251B2">
        <w:rPr>
          <w:vertAlign w:val="subscript"/>
        </w:rPr>
        <w:t>3</w:t>
      </w:r>
      <w:r w:rsidRPr="00F251B2">
        <w:t xml:space="preserve">Die für die einzelnen Schularten geregelten Ermäßigungen der Unterrichtspflichtzeit sind zu beachten. </w:t>
      </w:r>
      <w:r w:rsidRPr="00F251B2">
        <w:rPr>
          <w:vertAlign w:val="subscript"/>
        </w:rPr>
        <w:t>4</w:t>
      </w:r>
      <w:r w:rsidRPr="00F251B2">
        <w:t>Die Bekanntmachung des Bayerischen Staats</w:t>
      </w:r>
      <w:r>
        <w:softHyphen/>
      </w:r>
      <w:r w:rsidRPr="00F251B2">
        <w:t xml:space="preserve">ministeriums der Finanzen über die Inklusion behinderter Angehöriger des öffentlichen Dienstes in Bayern </w:t>
      </w:r>
      <w:hyperlink r:id="rId1926" w:history="1">
        <w:r w:rsidRPr="003151D3">
          <w:rPr>
            <w:rStyle w:val="Hyperlink"/>
          </w:rPr>
          <w:t>(Teilhaberichtlinien – TeilR) vom 19. November 2012</w:t>
        </w:r>
      </w:hyperlink>
      <w:r w:rsidRPr="00F251B2">
        <w:t xml:space="preserve"> in der jeweiligen Fassung und jede an deren Stelle tretende Bekanntmachung gleichen Betreffs gilt auch für die </w:t>
      </w:r>
      <w:r w:rsidRPr="00F251B2">
        <w:lastRenderedPageBreak/>
        <w:t>Fürsorge für schwerbehinderte Lehrkräfte entsprechend; soweit daneben beim einzelnen Schulträger eine Integrationsvereinbarung getroffen wurde, ist diese ebenfalls zu beachten.</w:t>
      </w:r>
    </w:p>
    <w:p w:rsidR="00BE1EFE" w:rsidRPr="00F251B2" w:rsidRDefault="00BE1EFE" w:rsidP="008948E7">
      <w:pPr>
        <w:jc w:val="both"/>
      </w:pPr>
    </w:p>
    <w:p w:rsidR="00BE1EFE" w:rsidRPr="00C63984" w:rsidRDefault="00BE1EFE" w:rsidP="00F45C8E">
      <w:pPr>
        <w:pStyle w:val="StandardWeb"/>
        <w:rPr>
          <w:rStyle w:val="Fett"/>
          <w:bCs/>
          <w:sz w:val="18"/>
          <w:szCs w:val="18"/>
        </w:rPr>
      </w:pPr>
      <w:r w:rsidRPr="00C63984">
        <w:rPr>
          <w:rStyle w:val="Fett"/>
          <w:bCs/>
          <w:sz w:val="18"/>
          <w:szCs w:val="18"/>
        </w:rPr>
        <w:t>2. Teil: Allgemeine Bestimmungen</w:t>
      </w:r>
    </w:p>
    <w:p w:rsidR="00BE1EFE" w:rsidRPr="00F45C8E" w:rsidRDefault="00BE1EFE" w:rsidP="00F45C8E">
      <w:pPr>
        <w:pStyle w:val="StandardWeb"/>
        <w:rPr>
          <w:rStyle w:val="Fett"/>
          <w:bCs/>
        </w:rPr>
      </w:pPr>
    </w:p>
    <w:p w:rsidR="00BE1EFE" w:rsidRPr="00806F96" w:rsidRDefault="00BE1EFE" w:rsidP="00990550">
      <w:pPr>
        <w:rPr>
          <w:rStyle w:val="Fett"/>
          <w:bCs/>
          <w:sz w:val="2"/>
          <w:szCs w:val="2"/>
        </w:rPr>
      </w:pPr>
    </w:p>
    <w:p w:rsidR="00BE1EFE" w:rsidRPr="008545F1" w:rsidRDefault="00BE1EFE" w:rsidP="00990550">
      <w:r w:rsidRPr="008545F1">
        <w:rPr>
          <w:rStyle w:val="Fett"/>
          <w:bCs/>
          <w:szCs w:val="16"/>
        </w:rPr>
        <w:t>§ 8 Allgemeine Dienstpflichten der Lehrkraft</w:t>
      </w:r>
    </w:p>
    <w:p w:rsidR="00BE1EFE" w:rsidRPr="008545F1" w:rsidRDefault="00BE1EFE">
      <w:pPr>
        <w:pStyle w:val="StandardWeb"/>
        <w:rPr>
          <w:szCs w:val="16"/>
        </w:rPr>
      </w:pPr>
    </w:p>
    <w:p w:rsidR="00BE1EFE" w:rsidRPr="008545F1" w:rsidRDefault="00BE1EFE" w:rsidP="00500AE5">
      <w:pPr>
        <w:pStyle w:val="StandardWeb"/>
        <w:rPr>
          <w:szCs w:val="16"/>
        </w:rPr>
      </w:pPr>
      <w:r>
        <w:rPr>
          <w:szCs w:val="16"/>
        </w:rPr>
        <w:t>(1) </w:t>
      </w:r>
      <w:r w:rsidRPr="008545F1">
        <w:rPr>
          <w:szCs w:val="16"/>
          <w:vertAlign w:val="subscript"/>
        </w:rPr>
        <w:t>1</w:t>
      </w:r>
      <w:r w:rsidRPr="008545F1">
        <w:rPr>
          <w:szCs w:val="16"/>
        </w:rPr>
        <w:t xml:space="preserve">Die Lehrkraft ist verpflichtet, ihre Arbeitskraft dem Dienst als Lehrkraft zu widmen; dies verlangt erzieherischen Einsatz der Lehrkraft auch außerhalb des Unterrichts. </w:t>
      </w:r>
      <w:r w:rsidRPr="008545F1">
        <w:rPr>
          <w:szCs w:val="16"/>
          <w:vertAlign w:val="subscript"/>
        </w:rPr>
        <w:t>2</w:t>
      </w:r>
      <w:r w:rsidRPr="008545F1">
        <w:rPr>
          <w:szCs w:val="16"/>
        </w:rPr>
        <w:t xml:space="preserve">Insbesondere ist auch mit anderen Lehr- und Fachkräften, die an der Erziehung, der Ausbildung und der Förderung der Schülerinnen, Schüler und Studierenden beteiligt sind, zusammenzuarbeiten. </w:t>
      </w:r>
      <w:r w:rsidRPr="008545F1">
        <w:rPr>
          <w:szCs w:val="16"/>
          <w:vertAlign w:val="subscript"/>
        </w:rPr>
        <w:t>3</w:t>
      </w:r>
      <w:r w:rsidRPr="008545F1">
        <w:rPr>
          <w:szCs w:val="16"/>
        </w:rPr>
        <w:t xml:space="preserve">Die Lehrkraft sucht die vertrauensvolle Zusammenarbeit mit den Erziehungsberechtigten der Schülerinnen, Schüler und Studierenden. </w:t>
      </w:r>
      <w:r w:rsidRPr="008545F1">
        <w:rPr>
          <w:szCs w:val="16"/>
          <w:vertAlign w:val="subscript"/>
        </w:rPr>
        <w:t>4</w:t>
      </w:r>
      <w:r w:rsidRPr="008545F1">
        <w:rPr>
          <w:szCs w:val="16"/>
        </w:rPr>
        <w:t>Bei teilzeitbeschäftigten Lehrkräften ist die vermin</w:t>
      </w:r>
      <w:r>
        <w:rPr>
          <w:szCs w:val="16"/>
        </w:rPr>
        <w:softHyphen/>
      </w:r>
      <w:r w:rsidRPr="008545F1">
        <w:rPr>
          <w:szCs w:val="16"/>
        </w:rPr>
        <w:t>derte Unterrichtspflichtzeit beim Heranziehen zu Unterrichtsvertretungen und außerunter</w:t>
      </w:r>
      <w:r>
        <w:rPr>
          <w:szCs w:val="16"/>
        </w:rPr>
        <w:softHyphen/>
      </w:r>
      <w:r w:rsidRPr="008545F1">
        <w:rPr>
          <w:szCs w:val="16"/>
        </w:rPr>
        <w:t>richtlichen Verpflichtungen zu berücksichtigen, soweit dies mit pädagogischen Erfordernissen vereinbar ist, die ordnungsgemäße Erledigung der Dienstgeschäfte nicht beeinträchtigt wird und schulrechtliche Bestimmungen nicht entgegenstehen.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(2) </w:t>
      </w:r>
      <w:r w:rsidRPr="008545F1">
        <w:rPr>
          <w:szCs w:val="16"/>
          <w:vertAlign w:val="subscript"/>
        </w:rPr>
        <w:t>1</w:t>
      </w:r>
      <w:r w:rsidRPr="008545F1">
        <w:rPr>
          <w:szCs w:val="16"/>
        </w:rPr>
        <w:t>Die Lehrkräfte sind verpflichtet, sich selbst fortzubilden und an Fortbildungsveranstal</w:t>
      </w:r>
      <w:r>
        <w:rPr>
          <w:szCs w:val="16"/>
        </w:rPr>
        <w:softHyphen/>
      </w:r>
      <w:r w:rsidRPr="008545F1">
        <w:rPr>
          <w:szCs w:val="16"/>
        </w:rPr>
        <w:t>tungen auch während der Ferien teilzunehmen.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(3) </w:t>
      </w:r>
      <w:r w:rsidRPr="008545F1">
        <w:rPr>
          <w:szCs w:val="16"/>
          <w:vertAlign w:val="subscript"/>
        </w:rPr>
        <w:t>1</w:t>
      </w:r>
      <w:r w:rsidRPr="008545F1">
        <w:rPr>
          <w:szCs w:val="16"/>
        </w:rPr>
        <w:t xml:space="preserve">Die Lehrkraft hat ihre Unterrichtszeiten einzuhalten. </w:t>
      </w:r>
      <w:r w:rsidRPr="008545F1">
        <w:rPr>
          <w:szCs w:val="16"/>
          <w:vertAlign w:val="subscript"/>
        </w:rPr>
        <w:t>2</w:t>
      </w:r>
      <w:r w:rsidRPr="008545F1">
        <w:rPr>
          <w:szCs w:val="16"/>
        </w:rPr>
        <w:t xml:space="preserve">Sie ist verpflichtet, auch außerhalb ihres planmäßigen Unterrichts, zur Übernahme von Vertretungen und </w:t>
      </w:r>
      <w:r>
        <w:rPr>
          <w:szCs w:val="16"/>
        </w:rPr>
        <w:t>–</w:t>
      </w:r>
      <w:r w:rsidRPr="008545F1">
        <w:rPr>
          <w:szCs w:val="16"/>
        </w:rPr>
        <w:t xml:space="preserve"> unbeschadet ihres Urlaubsanspruchs </w:t>
      </w:r>
      <w:r>
        <w:rPr>
          <w:szCs w:val="16"/>
        </w:rPr>
        <w:t>–</w:t>
      </w:r>
      <w:r w:rsidRPr="008545F1">
        <w:rPr>
          <w:szCs w:val="16"/>
        </w:rPr>
        <w:t xml:space="preserve"> in den Ferien aus dienstlichen Gründen in zumutbarem Umfang zur Verfügung zu stehen. </w:t>
      </w:r>
      <w:r w:rsidRPr="008545F1">
        <w:rPr>
          <w:szCs w:val="16"/>
          <w:vertAlign w:val="subscript"/>
        </w:rPr>
        <w:t>3</w:t>
      </w:r>
      <w:r w:rsidRPr="008545F1">
        <w:rPr>
          <w:szCs w:val="16"/>
        </w:rPr>
        <w:t xml:space="preserve">Die Anwesenheit in der Schule kann angeordnet werden; darüber sind die Lehrkräfte frühzeitig zu informieren. </w:t>
      </w:r>
      <w:r w:rsidRPr="008545F1">
        <w:rPr>
          <w:szCs w:val="16"/>
          <w:vertAlign w:val="subscript"/>
        </w:rPr>
        <w:t>4</w:t>
      </w:r>
      <w:r w:rsidRPr="008545F1">
        <w:rPr>
          <w:szCs w:val="16"/>
        </w:rPr>
        <w:t xml:space="preserve">Die Lehrkraft stellt ihre Erreichbarkeit mindestens dadurch sicher, dass sie der Schule Anschrift und Telefonnummer hinterlässt; der Schulträger kann darüber hinausgehende Anordnungen treffen. </w:t>
      </w:r>
      <w:r w:rsidRPr="008545F1">
        <w:rPr>
          <w:szCs w:val="16"/>
          <w:vertAlign w:val="subscript"/>
        </w:rPr>
        <w:t>5</w:t>
      </w:r>
      <w:r w:rsidRPr="008545F1">
        <w:rPr>
          <w:szCs w:val="16"/>
        </w:rPr>
        <w:t xml:space="preserve">Zur Wahrnehmung des Bildungs- und Erziehungsauftrags der Schule hat die Lehrkraft über den planmäßigen Unterricht und die damit in Zusammenhang stehenden dienstlichen Verpflichtungen hinaus in angemessenem Umfang außerunterrichtliche Aufgaben wahrzunehmen. </w:t>
      </w:r>
      <w:r w:rsidRPr="008545F1">
        <w:rPr>
          <w:szCs w:val="16"/>
          <w:vertAlign w:val="subscript"/>
        </w:rPr>
        <w:t>6</w:t>
      </w:r>
      <w:r w:rsidRPr="008545F1">
        <w:rPr>
          <w:szCs w:val="16"/>
        </w:rPr>
        <w:t>Neben den Verpflichtungen aus § 4 Abs. 1 gehören dazu insbesondere die Vorbereitung des neuen Schuljahres, die Erledigung von Verwaltungsgeschäften, die Aufsichtsführung, die Teilnahme an dienstlichen Besprechungen, an Veranstaltungen für die Erziehungsberechtigten, an Sprechstunden oder Sprechtagen für die Ausbildenden, Arbeitgeber- und Arbeitnehmervertreter der Beschäf</w:t>
      </w:r>
      <w:r>
        <w:rPr>
          <w:szCs w:val="16"/>
        </w:rPr>
        <w:softHyphen/>
      </w:r>
      <w:r w:rsidRPr="008545F1">
        <w:rPr>
          <w:szCs w:val="16"/>
        </w:rPr>
        <w:t>tigungsbetriebe, die Teilnahme an dienstlichen Fortbildungsveranstaltungen, die Mitwirkung an der Aus- und Fortbildung der Lehrkräfte und Praktikanten sowie an Sozial-, Betriebs- und anderen Praktika, die Weiterentwicklung und Sicherung der fachlichen und pädagogischen Qualität der Schule und der Einrichtung, die Planung, Durchführung und Evaluation von Maßnahmen im Rahmen der inneren Schulentwicklung, die Zusammenarbeit mit anderen Schulen und Schularten, die ständige Weiterentwicklung der Zusammenarbeit mit den Erziehungsberechtigten sowie des Kontakts zu den Ausbildenden, Arbeitgeber- und Arbeitnehmervertretern der Beschäftigungsbetriebe, die Zusammenarbeit mit außer</w:t>
      </w:r>
      <w:r>
        <w:rPr>
          <w:szCs w:val="16"/>
        </w:rPr>
        <w:softHyphen/>
      </w:r>
      <w:r w:rsidRPr="008545F1">
        <w:rPr>
          <w:szCs w:val="16"/>
        </w:rPr>
        <w:t>schulischen Partnern und die Gestaltung des Schullebens sowie des besonderen Profils der Schule (z. B. Ganztagsangebote, Inklusion).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(4) </w:t>
      </w:r>
      <w:r w:rsidRPr="008545F1">
        <w:rPr>
          <w:szCs w:val="16"/>
          <w:vertAlign w:val="subscript"/>
        </w:rPr>
        <w:t>1</w:t>
      </w:r>
      <w:r w:rsidRPr="008545F1">
        <w:rPr>
          <w:szCs w:val="16"/>
        </w:rPr>
        <w:t xml:space="preserve">Bei Bedarf kann die Lehrkraft auch für den Unterricht in Fächern eingesetzt werden, für die sie keine Prüfung abgelegt hat. </w:t>
      </w:r>
      <w:r w:rsidRPr="008545F1">
        <w:rPr>
          <w:szCs w:val="16"/>
          <w:vertAlign w:val="subscript"/>
        </w:rPr>
        <w:t>2</w:t>
      </w:r>
      <w:r w:rsidRPr="008545F1">
        <w:rPr>
          <w:szCs w:val="16"/>
        </w:rPr>
        <w:t xml:space="preserve">Dieser fachfremde Unterricht wird </w:t>
      </w:r>
      <w:r>
        <w:rPr>
          <w:szCs w:val="16"/>
        </w:rPr>
        <w:t>–</w:t>
      </w:r>
      <w:r w:rsidRPr="008545F1">
        <w:rPr>
          <w:szCs w:val="16"/>
        </w:rPr>
        <w:t xml:space="preserve"> was Fachkenntnisse und Fachdidaktik betrifft </w:t>
      </w:r>
      <w:r>
        <w:rPr>
          <w:szCs w:val="16"/>
        </w:rPr>
        <w:t>–</w:t>
      </w:r>
      <w:r w:rsidRPr="008545F1">
        <w:rPr>
          <w:szCs w:val="16"/>
        </w:rPr>
        <w:t xml:space="preserve"> bei der Beurteilung der Lehrkraft nicht zu deren Nachteil herangezogen.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(5) </w:t>
      </w:r>
      <w:r w:rsidRPr="008545F1">
        <w:rPr>
          <w:szCs w:val="16"/>
        </w:rPr>
        <w:t>Durch Anordnung des Schulträgers kann eine Lehrkraft nach Maßgabe des Arbeitsvertrags oder der Zuordnung verpflichtet werden, an mehreren Schulen Unterricht zu erteilen.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(6) </w:t>
      </w:r>
      <w:r w:rsidRPr="008545F1">
        <w:rPr>
          <w:szCs w:val="16"/>
        </w:rPr>
        <w:t>Die Lehrkräfte sind verpflichtet, im Rahmen der Zuständigkeit der Schule, an der sie tätig sind, Hausunterricht zu erteilen (§ 4 der Verordnung über den Hausunterricht vom 29. August 1989, GVBI S. 455, ber. S. 702 geändert durch Verordnung vom 4. März 2013, GVBl S. 161).</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(7) </w:t>
      </w:r>
      <w:r w:rsidRPr="008545F1">
        <w:rPr>
          <w:szCs w:val="16"/>
        </w:rPr>
        <w:t xml:space="preserve">Lehrkräfte der Förderschulen sind verpflichtet, die Aufgaben der Förderschulen in allen in </w:t>
      </w:r>
      <w:hyperlink r:id="rId1927" w:history="1">
        <w:r w:rsidRPr="003151D3">
          <w:rPr>
            <w:rStyle w:val="Hyperlink"/>
            <w:szCs w:val="16"/>
          </w:rPr>
          <w:t>Art. 19 Abs. 2 BayEUG</w:t>
        </w:r>
      </w:hyperlink>
      <w:r w:rsidRPr="008545F1">
        <w:rPr>
          <w:szCs w:val="16"/>
        </w:rPr>
        <w:t xml:space="preserve"> genannten Tätigkeitsbereichen wahrzunehmen.</w:t>
      </w:r>
    </w:p>
    <w:p w:rsidR="00BE1EFE" w:rsidRPr="008545F1" w:rsidRDefault="00BE1EFE" w:rsidP="00500AE5">
      <w:pPr>
        <w:pStyle w:val="StandardWeb"/>
        <w:rPr>
          <w:szCs w:val="16"/>
        </w:rPr>
      </w:pPr>
    </w:p>
    <w:p w:rsidR="00BE1EFE" w:rsidRPr="008545F1" w:rsidRDefault="00BE1EFE">
      <w:pPr>
        <w:pStyle w:val="StandardWeb"/>
        <w:rPr>
          <w:szCs w:val="16"/>
        </w:rPr>
      </w:pPr>
      <w:r>
        <w:rPr>
          <w:szCs w:val="16"/>
        </w:rPr>
        <w:t>(8) </w:t>
      </w:r>
      <w:r w:rsidRPr="008545F1">
        <w:rPr>
          <w:szCs w:val="16"/>
        </w:rPr>
        <w:t>Für das Rauchen und den Konsum alkoholischer Getränke in der Schule und auf dem Schulgelände und bei außerunterrichtlichen schulischen Veranstaltungen gelten die vom Schulträger im Rahmen der rechtlichen Vorgaben getroffenen Regelungen.</w:t>
      </w:r>
    </w:p>
    <w:p w:rsidR="00BE1EFE" w:rsidRPr="008545F1" w:rsidRDefault="00BE1EFE">
      <w:pPr>
        <w:pStyle w:val="StandardWeb"/>
        <w:rPr>
          <w:rStyle w:val="Fett"/>
          <w:bCs/>
          <w:szCs w:val="16"/>
        </w:rPr>
      </w:pPr>
    </w:p>
    <w:p w:rsidR="00BE1EFE" w:rsidRPr="008545F1" w:rsidRDefault="00BE1EFE" w:rsidP="0054275E">
      <w:pPr>
        <w:pStyle w:val="StandardWeb"/>
        <w:autoSpaceDE w:val="0"/>
        <w:rPr>
          <w:szCs w:val="16"/>
        </w:rPr>
      </w:pPr>
      <w:r w:rsidRPr="008545F1">
        <w:rPr>
          <w:rStyle w:val="Fett"/>
          <w:bCs/>
          <w:szCs w:val="16"/>
        </w:rPr>
        <w:t>§ 9 Arbeitszeit</w:t>
      </w:r>
    </w:p>
    <w:p w:rsidR="00BE1EFE" w:rsidRPr="008545F1" w:rsidRDefault="00BE1EFE">
      <w:pPr>
        <w:pStyle w:val="StandardWeb"/>
        <w:rPr>
          <w:szCs w:val="16"/>
        </w:rPr>
      </w:pPr>
    </w:p>
    <w:p w:rsidR="00BE1EFE" w:rsidRPr="008545F1" w:rsidRDefault="00BE1EFE">
      <w:pPr>
        <w:pStyle w:val="StandardWeb"/>
        <w:rPr>
          <w:szCs w:val="16"/>
        </w:rPr>
      </w:pPr>
      <w:r w:rsidRPr="008545F1">
        <w:rPr>
          <w:szCs w:val="16"/>
        </w:rPr>
        <w:t>Für die Arbeits- und Unterrichtspflichtzeit gelten die jeweiligen arbeits- bzw. dienstrechtlichen Regelungen des Arbeits- bzw. Dienstverhältnisses.</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10 Fernbleiben vom Dienst aus zwingenden Gründen</w:t>
      </w:r>
    </w:p>
    <w:p w:rsidR="00BE1EFE" w:rsidRPr="008545F1" w:rsidRDefault="00BE1EFE">
      <w:pPr>
        <w:pStyle w:val="StandardWeb"/>
        <w:rPr>
          <w:szCs w:val="16"/>
        </w:rPr>
      </w:pPr>
    </w:p>
    <w:p w:rsidR="00BE1EFE" w:rsidRPr="008545F1" w:rsidRDefault="00BE1EFE" w:rsidP="00500AE5">
      <w:pPr>
        <w:pStyle w:val="StandardWeb"/>
        <w:rPr>
          <w:szCs w:val="16"/>
        </w:rPr>
      </w:pPr>
      <w:r>
        <w:rPr>
          <w:szCs w:val="16"/>
        </w:rPr>
        <w:t>(1) </w:t>
      </w:r>
      <w:r w:rsidRPr="008545F1">
        <w:rPr>
          <w:szCs w:val="16"/>
          <w:vertAlign w:val="subscript"/>
        </w:rPr>
        <w:t>1</w:t>
      </w:r>
      <w:r w:rsidRPr="008545F1">
        <w:rPr>
          <w:szCs w:val="16"/>
        </w:rPr>
        <w:t xml:space="preserve">Ist die Lehrkraft wegen Krankheit dienstunfähig, so hat sie dies und die voraussichtliche Dauer ihres Fernbleibens vom Dienst der Schulleiterin bzw. dem Schulleiter unverzüglich anzuzeigen; die Lehrkräfte sind zur Anzeige der Arbeitsunfähigkeit auch in den Schulferien verpflichtet. </w:t>
      </w:r>
      <w:r w:rsidRPr="008545F1">
        <w:rPr>
          <w:szCs w:val="16"/>
          <w:vertAlign w:val="subscript"/>
        </w:rPr>
        <w:t>2</w:t>
      </w:r>
      <w:r w:rsidRPr="008545F1">
        <w:rPr>
          <w:szCs w:val="16"/>
        </w:rPr>
        <w:t xml:space="preserve">In gleicher Weise ist die Beendigung des Fernbleibens anzuzeigen. </w:t>
      </w:r>
      <w:r w:rsidRPr="008545F1">
        <w:rPr>
          <w:szCs w:val="16"/>
          <w:vertAlign w:val="subscript"/>
        </w:rPr>
        <w:t>3</w:t>
      </w:r>
      <w:r w:rsidRPr="008545F1">
        <w:rPr>
          <w:szCs w:val="16"/>
        </w:rPr>
        <w:t xml:space="preserve">Dauert die Erkrankung länger als drei Kalendertage, so hat die Lehrkraft eine ärztliche Bescheinigung über das Bestehen der Arbeitsunfähigkeit sowie deren voraussichtliche Dauer spätestens an dem darauffolgenden Arbeitstag vorzulegen. </w:t>
      </w:r>
      <w:r w:rsidRPr="008545F1">
        <w:rPr>
          <w:szCs w:val="16"/>
          <w:vertAlign w:val="subscript"/>
        </w:rPr>
        <w:t>4</w:t>
      </w:r>
      <w:r w:rsidRPr="008545F1">
        <w:rPr>
          <w:szCs w:val="16"/>
        </w:rPr>
        <w:t xml:space="preserve">Die Vorlage der ärztlichen Bescheinigung kann von der Schulleitung früher verlangt werden. </w:t>
      </w:r>
      <w:r w:rsidRPr="008545F1">
        <w:rPr>
          <w:szCs w:val="16"/>
          <w:vertAlign w:val="subscript"/>
        </w:rPr>
        <w:t>5</w:t>
      </w:r>
      <w:r w:rsidRPr="008545F1">
        <w:rPr>
          <w:szCs w:val="16"/>
        </w:rPr>
        <w:t xml:space="preserve">Dauert die Erkrankung länger als sechs Wochen, so hat die Lehrkraft dies unter Vorlage eines ärztlichen Zeugnisses über die Schule dem Schulträger, bei Beamtinnen, Beamten und Beschäftigten des öffentlichen Dienstes auch dem öffentlich-rechtlichen Dienstherrn, anzuzeigen. </w:t>
      </w:r>
      <w:r w:rsidRPr="008545F1">
        <w:rPr>
          <w:szCs w:val="16"/>
          <w:vertAlign w:val="subscript"/>
        </w:rPr>
        <w:t>6</w:t>
      </w:r>
      <w:r w:rsidRPr="008545F1">
        <w:rPr>
          <w:szCs w:val="16"/>
        </w:rPr>
        <w:t xml:space="preserve">Auf Anordnung der Schulleiterin bzw. des Schulleiters bzw. des zuständigen Dienstvorgesetzten oder des Schulträgers ist entsprechend den jeweiligen arbeits- bzw. dienstrechtlichen Regelungen ein ärztliches Zeugnis über die Arbeits- bzw. Dienstfähigkeit beizubringen. </w:t>
      </w:r>
      <w:r w:rsidRPr="008545F1">
        <w:rPr>
          <w:szCs w:val="16"/>
          <w:vertAlign w:val="subscript"/>
        </w:rPr>
        <w:t>7</w:t>
      </w:r>
      <w:r w:rsidRPr="008545F1">
        <w:rPr>
          <w:szCs w:val="16"/>
        </w:rPr>
        <w:t>Will die Lehrkraft während ihrer Krankheit ihren Wohnort verlassen, so hat sie dies vorher der Schulleiterin bzw. dem Schulleiter anzuzeigen und ihren Aufenthaltsort anzugeben.</w:t>
      </w:r>
    </w:p>
    <w:p w:rsidR="00BE1EFE" w:rsidRPr="008545F1" w:rsidRDefault="00BE1EFE" w:rsidP="00500AE5">
      <w:pPr>
        <w:pStyle w:val="StandardWeb"/>
        <w:rPr>
          <w:szCs w:val="16"/>
        </w:rPr>
      </w:pPr>
    </w:p>
    <w:p w:rsidR="00BE1EFE" w:rsidRPr="008545F1" w:rsidRDefault="00BE1EFE" w:rsidP="00500AE5">
      <w:pPr>
        <w:pStyle w:val="StandardWeb"/>
        <w:rPr>
          <w:szCs w:val="16"/>
        </w:rPr>
      </w:pPr>
      <w:r>
        <w:rPr>
          <w:szCs w:val="16"/>
        </w:rPr>
        <w:t>(2) </w:t>
      </w:r>
      <w:r w:rsidRPr="008545F1">
        <w:rPr>
          <w:szCs w:val="16"/>
        </w:rPr>
        <w:t>Absatz 1 Sätze 1 und 2 gelten entsprechend bei Fernbleiben aus anderen zwingenden Gründen.</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11 Urlaub</w:t>
      </w:r>
    </w:p>
    <w:p w:rsidR="00BE1EFE" w:rsidRPr="008545F1" w:rsidRDefault="00BE1EFE">
      <w:pPr>
        <w:pStyle w:val="StandardWeb"/>
        <w:rPr>
          <w:szCs w:val="16"/>
        </w:rPr>
      </w:pPr>
    </w:p>
    <w:p w:rsidR="00BE1EFE" w:rsidRPr="008545F1" w:rsidRDefault="00BE1EFE">
      <w:pPr>
        <w:pStyle w:val="StandardWeb"/>
        <w:rPr>
          <w:szCs w:val="16"/>
        </w:rPr>
      </w:pPr>
      <w:r w:rsidRPr="008545F1">
        <w:rPr>
          <w:szCs w:val="16"/>
        </w:rPr>
        <w:t>Für den Erholungsurlaub, die Elternzeit, den Urlaub in anderen Fällen und die Dienstbefreiung gelten die jeweiligen arbeits- bzw. dienstrechtlichen Regelungen des Arbeits- bzw. Dienstverhältnisses.</w:t>
      </w:r>
    </w:p>
    <w:p w:rsidR="00BE1EFE" w:rsidRPr="008545F1" w:rsidRDefault="00BE1EFE">
      <w:pPr>
        <w:pStyle w:val="StandardWeb"/>
        <w:rPr>
          <w:b/>
          <w:bCs/>
          <w:szCs w:val="16"/>
        </w:rPr>
      </w:pPr>
    </w:p>
    <w:p w:rsidR="00BE1EFE" w:rsidRPr="008545F1" w:rsidRDefault="00BE1EFE" w:rsidP="0054275E">
      <w:pPr>
        <w:pStyle w:val="StandardWeb"/>
        <w:autoSpaceDE w:val="0"/>
        <w:rPr>
          <w:szCs w:val="16"/>
        </w:rPr>
      </w:pPr>
      <w:r w:rsidRPr="008545F1">
        <w:rPr>
          <w:rStyle w:val="Fett"/>
          <w:bCs/>
          <w:szCs w:val="16"/>
        </w:rPr>
        <w:t>§ 12 Nebentätigkeit</w:t>
      </w:r>
    </w:p>
    <w:p w:rsidR="00BE1EFE" w:rsidRPr="008545F1" w:rsidRDefault="00BE1EFE">
      <w:pPr>
        <w:pStyle w:val="StandardWeb"/>
        <w:rPr>
          <w:szCs w:val="16"/>
        </w:rPr>
      </w:pPr>
    </w:p>
    <w:p w:rsidR="00BE1EFE" w:rsidRPr="008545F1" w:rsidRDefault="00BE1EFE" w:rsidP="008545F1">
      <w:pPr>
        <w:jc w:val="both"/>
        <w:rPr>
          <w:szCs w:val="16"/>
        </w:rPr>
      </w:pPr>
      <w:r>
        <w:rPr>
          <w:szCs w:val="16"/>
        </w:rPr>
        <w:t>(1) </w:t>
      </w:r>
      <w:r w:rsidRPr="008545F1">
        <w:rPr>
          <w:szCs w:val="16"/>
          <w:vertAlign w:val="subscript"/>
        </w:rPr>
        <w:t>1</w:t>
      </w:r>
      <w:r w:rsidRPr="008545F1">
        <w:rPr>
          <w:szCs w:val="16"/>
        </w:rPr>
        <w:t xml:space="preserve">Jede auf Erwerb oder Gewinn ausgerichtete Nebentätigkeit einer Lehrkraft ist dem Inhalt, dem zeitlichen Umfang sowie der beabsichtigten Dauer nach vor ihrer Aufnahme dem Schulträger schriftlich anzuzeigen. </w:t>
      </w:r>
      <w:r w:rsidRPr="008545F1">
        <w:rPr>
          <w:szCs w:val="16"/>
          <w:vertAlign w:val="subscript"/>
        </w:rPr>
        <w:t>2</w:t>
      </w:r>
      <w:r w:rsidRPr="008545F1">
        <w:rPr>
          <w:szCs w:val="16"/>
        </w:rPr>
        <w:t>Auch wesentliche Änderungen sind anzuzeigen.</w:t>
      </w:r>
    </w:p>
    <w:p w:rsidR="00BE1EFE" w:rsidRPr="008545F1" w:rsidRDefault="00BE1EFE" w:rsidP="008545F1">
      <w:pPr>
        <w:jc w:val="both"/>
        <w:rPr>
          <w:szCs w:val="16"/>
        </w:rPr>
      </w:pPr>
    </w:p>
    <w:p w:rsidR="00BE1EFE" w:rsidRPr="008545F1" w:rsidRDefault="00BE1EFE" w:rsidP="008545F1">
      <w:pPr>
        <w:jc w:val="both"/>
        <w:rPr>
          <w:szCs w:val="16"/>
        </w:rPr>
      </w:pPr>
      <w:r>
        <w:rPr>
          <w:szCs w:val="16"/>
        </w:rPr>
        <w:t>(2) </w:t>
      </w:r>
      <w:r w:rsidRPr="008545F1">
        <w:rPr>
          <w:szCs w:val="16"/>
          <w:vertAlign w:val="subscript"/>
        </w:rPr>
        <w:t>1</w:t>
      </w:r>
      <w:r w:rsidRPr="008545F1">
        <w:rPr>
          <w:szCs w:val="16"/>
        </w:rPr>
        <w:t xml:space="preserve">Eine Nebentätigkeit ist unzulässig, wenn dadurch die Arbeitskraft der Lehrkraft oder berechtigte Interessen der Schule oder des Schulträgers erheblich beeinträchtigt werden. </w:t>
      </w:r>
      <w:r w:rsidRPr="008545F1">
        <w:rPr>
          <w:szCs w:val="16"/>
          <w:vertAlign w:val="subscript"/>
        </w:rPr>
        <w:t>2</w:t>
      </w:r>
      <w:r w:rsidRPr="008545F1">
        <w:rPr>
          <w:szCs w:val="16"/>
        </w:rPr>
        <w:t xml:space="preserve">In </w:t>
      </w:r>
      <w:r w:rsidRPr="008545F1">
        <w:rPr>
          <w:szCs w:val="16"/>
        </w:rPr>
        <w:lastRenderedPageBreak/>
        <w:t>diesem Fall kann der Schulträger eine Nebentätigkeit untersagen bzw. Einschränkungen für die Nebentätigkeit anordnen.</w:t>
      </w:r>
    </w:p>
    <w:p w:rsidR="00BE1EFE" w:rsidRPr="008545F1" w:rsidRDefault="00BE1EFE" w:rsidP="008545F1">
      <w:pPr>
        <w:jc w:val="both"/>
        <w:rPr>
          <w:szCs w:val="16"/>
        </w:rPr>
      </w:pPr>
    </w:p>
    <w:p w:rsidR="00BE1EFE" w:rsidRPr="008545F1" w:rsidRDefault="00BE1EFE" w:rsidP="008545F1">
      <w:pPr>
        <w:jc w:val="both"/>
        <w:rPr>
          <w:szCs w:val="16"/>
        </w:rPr>
      </w:pPr>
      <w:r>
        <w:rPr>
          <w:szCs w:val="16"/>
        </w:rPr>
        <w:t>(3) </w:t>
      </w:r>
      <w:r w:rsidRPr="008545F1">
        <w:rPr>
          <w:szCs w:val="16"/>
        </w:rPr>
        <w:t>Im Übrigen gelten die jeweiligen arbeits- bzw. dienstrechtlichen Regelungen des Arbeits- bzw. Dienstverhältnisses.</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13 Verschwiegenheitspflicht und Auskunftserteilung</w:t>
      </w:r>
    </w:p>
    <w:p w:rsidR="00BE1EFE" w:rsidRPr="008545F1" w:rsidRDefault="00BE1EFE">
      <w:pPr>
        <w:pStyle w:val="StandardWeb"/>
        <w:rPr>
          <w:szCs w:val="16"/>
        </w:rPr>
      </w:pPr>
    </w:p>
    <w:p w:rsidR="00BE1EFE" w:rsidRPr="008545F1" w:rsidRDefault="00BE1EFE" w:rsidP="008545F1">
      <w:pPr>
        <w:pStyle w:val="StandardWeb"/>
        <w:rPr>
          <w:szCs w:val="16"/>
        </w:rPr>
      </w:pPr>
      <w:r>
        <w:rPr>
          <w:szCs w:val="16"/>
        </w:rPr>
        <w:t>(1) </w:t>
      </w:r>
      <w:r w:rsidRPr="008545F1">
        <w:rPr>
          <w:szCs w:val="16"/>
          <w:vertAlign w:val="subscript"/>
        </w:rPr>
        <w:t>1</w:t>
      </w:r>
      <w:r w:rsidRPr="008545F1">
        <w:rPr>
          <w:szCs w:val="16"/>
        </w:rPr>
        <w:t xml:space="preserve">Die Lehrkraft hat, auch nach Beendigung des Arbeits- oder Dienstverhältnisses, über die ihr bei ihrer dienstlichen Tätigkeit bekannt gewordenen Angelegenheiten Verschwiegenheit zu wahren. </w:t>
      </w:r>
      <w:r w:rsidRPr="008545F1">
        <w:rPr>
          <w:szCs w:val="16"/>
          <w:vertAlign w:val="subscript"/>
        </w:rPr>
        <w:t>2</w:t>
      </w:r>
      <w:r w:rsidRPr="008545F1">
        <w:rPr>
          <w:szCs w:val="16"/>
        </w:rPr>
        <w:t xml:space="preserve">Dies gilt nicht für Mitteilungen im dienstlichen Verkehr oder über Tatsachen, die offenkundig sind oder ihrer Bedeutung nach keiner Geheimhaltung bedürfen. </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(2) </w:t>
      </w:r>
      <w:r w:rsidRPr="008545F1">
        <w:rPr>
          <w:szCs w:val="16"/>
          <w:vertAlign w:val="subscript"/>
        </w:rPr>
        <w:t>1</w:t>
      </w:r>
      <w:r w:rsidRPr="008545F1">
        <w:rPr>
          <w:szCs w:val="16"/>
        </w:rPr>
        <w:t xml:space="preserve">Den Schülerinnen, Schülern und Studierenden ist regelmäßig Auskunft über ihren Leistungsstand zu geben. </w:t>
      </w:r>
      <w:r w:rsidRPr="008545F1">
        <w:rPr>
          <w:szCs w:val="16"/>
          <w:vertAlign w:val="subscript"/>
        </w:rPr>
        <w:t>2</w:t>
      </w:r>
      <w:r w:rsidRPr="008545F1">
        <w:rPr>
          <w:szCs w:val="16"/>
        </w:rPr>
        <w:t>Bis zur endgültigen Festlegung des Zeugnisses nach den für die einzelnen Schularten geltenden Bestimmungen dürfen Schülerinnen, Schülern und Studie</w:t>
      </w:r>
      <w:r>
        <w:rPr>
          <w:szCs w:val="16"/>
        </w:rPr>
        <w:softHyphen/>
      </w:r>
      <w:r w:rsidRPr="008545F1">
        <w:rPr>
          <w:szCs w:val="16"/>
        </w:rPr>
        <w:t xml:space="preserve">renden oder Erziehungsberechtigten aber keine Auskünfte über das Vorrücken oder über Zeugnisnoten erteilt werden. </w:t>
      </w:r>
      <w:r w:rsidRPr="008545F1">
        <w:rPr>
          <w:szCs w:val="16"/>
          <w:vertAlign w:val="subscript"/>
        </w:rPr>
        <w:t>3</w:t>
      </w:r>
      <w:r w:rsidRPr="008545F1">
        <w:rPr>
          <w:szCs w:val="16"/>
        </w:rPr>
        <w:t>§ 6 Abs. 3 bleibt unberührt.</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(3) </w:t>
      </w:r>
      <w:r w:rsidRPr="008545F1">
        <w:rPr>
          <w:szCs w:val="16"/>
        </w:rPr>
        <w:t>Auskünfte an Presse, Rundfunk und Fernsehen erteilt nur die Schulleiterin bzw. der Schulleiter oder die von ihr bzw. ihm beauftragte Lehrkraft, soweit sich nicht der Schulträger allgemein oder für den Einzelfall die Erteilung solcher Auskünfte vorbehalten hat.</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(4) </w:t>
      </w:r>
      <w:r w:rsidRPr="008545F1">
        <w:rPr>
          <w:szCs w:val="16"/>
          <w:vertAlign w:val="subscript"/>
        </w:rPr>
        <w:t>1</w:t>
      </w:r>
      <w:r w:rsidRPr="008545F1">
        <w:rPr>
          <w:szCs w:val="16"/>
        </w:rPr>
        <w:t xml:space="preserve">Auskünfte über Schülerinnen, Schüler und Studierende werden grundsätzlich nur an die Erziehungsberechtigten bzw. bei Volljährigen an diese selbst gegeben. </w:t>
      </w:r>
      <w:r w:rsidRPr="008545F1">
        <w:rPr>
          <w:szCs w:val="16"/>
          <w:vertAlign w:val="subscript"/>
        </w:rPr>
        <w:t>2</w:t>
      </w:r>
      <w:hyperlink r:id="rId1928" w:history="1">
        <w:r w:rsidRPr="003151D3">
          <w:rPr>
            <w:rStyle w:val="Hyperlink"/>
            <w:szCs w:val="16"/>
          </w:rPr>
          <w:t>Art. 88a BayEUG</w:t>
        </w:r>
      </w:hyperlink>
      <w:r w:rsidRPr="008545F1">
        <w:rPr>
          <w:szCs w:val="16"/>
        </w:rPr>
        <w:t xml:space="preserve"> gilt entsprechend. </w:t>
      </w:r>
      <w:r w:rsidRPr="008545F1">
        <w:rPr>
          <w:szCs w:val="16"/>
          <w:vertAlign w:val="subscript"/>
        </w:rPr>
        <w:t>3</w:t>
      </w:r>
      <w:r w:rsidRPr="008545F1">
        <w:rPr>
          <w:szCs w:val="16"/>
        </w:rPr>
        <w:t xml:space="preserve">Im Schulvertrag können weitere Regelungen über Auskünfte an frühere Erziehungsberechtigte getroffen werden. </w:t>
      </w:r>
      <w:r w:rsidRPr="008545F1">
        <w:rPr>
          <w:szCs w:val="16"/>
          <w:vertAlign w:val="subscript"/>
        </w:rPr>
        <w:t>4</w:t>
      </w:r>
      <w:r w:rsidRPr="008545F1">
        <w:rPr>
          <w:szCs w:val="16"/>
        </w:rPr>
        <w:t xml:space="preserve">Die Weitergabe von Informationen an Dritte durch die Schule oder den Schulträger bedarf der Zustimmung der Erziehungsberechtigten oder der bzw. des Volljährigen. </w:t>
      </w:r>
      <w:r w:rsidRPr="008545F1">
        <w:rPr>
          <w:szCs w:val="16"/>
          <w:vertAlign w:val="subscript"/>
        </w:rPr>
        <w:t>5</w:t>
      </w:r>
      <w:r w:rsidRPr="008545F1">
        <w:rPr>
          <w:szCs w:val="16"/>
        </w:rPr>
        <w:t>Die Kirchliche Datenschutzordnung (KDO) und die Ausführungs</w:t>
      </w:r>
      <w:r>
        <w:rPr>
          <w:szCs w:val="16"/>
        </w:rPr>
        <w:softHyphen/>
      </w:r>
      <w:r w:rsidRPr="008545F1">
        <w:rPr>
          <w:szCs w:val="16"/>
        </w:rPr>
        <w:t>vorschriften dazu sind zu beachten.</w:t>
      </w:r>
    </w:p>
    <w:p w:rsidR="00BE1EFE" w:rsidRPr="008545F1" w:rsidRDefault="00BE1EFE">
      <w:pPr>
        <w:pStyle w:val="StandardWeb"/>
        <w:rPr>
          <w:rStyle w:val="Fett"/>
          <w:bCs/>
          <w:szCs w:val="16"/>
        </w:rPr>
      </w:pPr>
    </w:p>
    <w:p w:rsidR="00BE1EFE" w:rsidRPr="008545F1" w:rsidRDefault="00BE1EFE" w:rsidP="0054275E">
      <w:pPr>
        <w:pStyle w:val="StandardWeb"/>
        <w:autoSpaceDE w:val="0"/>
        <w:rPr>
          <w:szCs w:val="16"/>
        </w:rPr>
      </w:pPr>
      <w:r w:rsidRPr="008545F1">
        <w:rPr>
          <w:rStyle w:val="Fett"/>
          <w:bCs/>
          <w:szCs w:val="16"/>
        </w:rPr>
        <w:t>§ 14 Dienstweg</w:t>
      </w:r>
    </w:p>
    <w:p w:rsidR="00BE1EFE" w:rsidRPr="008545F1" w:rsidRDefault="00BE1EFE">
      <w:pPr>
        <w:pStyle w:val="StandardWeb"/>
        <w:rPr>
          <w:szCs w:val="16"/>
        </w:rPr>
      </w:pPr>
    </w:p>
    <w:p w:rsidR="00BE1EFE" w:rsidRPr="008545F1" w:rsidRDefault="00BE1EFE" w:rsidP="008545F1">
      <w:pPr>
        <w:jc w:val="both"/>
        <w:rPr>
          <w:szCs w:val="16"/>
        </w:rPr>
      </w:pPr>
      <w:r>
        <w:rPr>
          <w:szCs w:val="16"/>
        </w:rPr>
        <w:t>(1) </w:t>
      </w:r>
      <w:r w:rsidRPr="008545F1">
        <w:rPr>
          <w:szCs w:val="16"/>
        </w:rPr>
        <w:t>Die Lehrkraft hat in dienstlichen Angelegenheiten den Weg über die Schulleiterin bzw. den Schulleiter (Dienstweg) einzuhalten.</w:t>
      </w:r>
    </w:p>
    <w:p w:rsidR="00BE1EFE" w:rsidRPr="008545F1" w:rsidRDefault="00BE1EFE" w:rsidP="008545F1">
      <w:pPr>
        <w:jc w:val="both"/>
        <w:rPr>
          <w:szCs w:val="16"/>
        </w:rPr>
      </w:pPr>
    </w:p>
    <w:p w:rsidR="00BE1EFE" w:rsidRPr="008545F1" w:rsidRDefault="00BE1EFE" w:rsidP="008545F1">
      <w:pPr>
        <w:jc w:val="both"/>
        <w:rPr>
          <w:szCs w:val="16"/>
        </w:rPr>
      </w:pPr>
      <w:r>
        <w:rPr>
          <w:szCs w:val="16"/>
        </w:rPr>
        <w:t>(2) </w:t>
      </w:r>
      <w:r w:rsidRPr="008545F1">
        <w:rPr>
          <w:szCs w:val="16"/>
          <w:vertAlign w:val="subscript"/>
        </w:rPr>
        <w:t>1</w:t>
      </w:r>
      <w:r w:rsidRPr="008545F1">
        <w:rPr>
          <w:szCs w:val="16"/>
        </w:rPr>
        <w:t xml:space="preserve">Die Lehrkraft kann sich an ihre Vorgesetzten oder Dienstvorgesetzten an der Schule mit der Bitte um Rat, Auskunft und Hilfe wenden. </w:t>
      </w:r>
      <w:r w:rsidRPr="008545F1">
        <w:rPr>
          <w:szCs w:val="16"/>
          <w:vertAlign w:val="subscript"/>
        </w:rPr>
        <w:t>2</w:t>
      </w:r>
      <w:r w:rsidRPr="008545F1">
        <w:rPr>
          <w:szCs w:val="16"/>
        </w:rPr>
        <w:t xml:space="preserve">Vorsprachen und Anfragen in dienstlichen Angelegenheiten beim Schulträger sollen der Schulleiterin bzw. dem Schulleiter vorher angezeigt werden. </w:t>
      </w:r>
      <w:r w:rsidRPr="008545F1">
        <w:rPr>
          <w:szCs w:val="16"/>
          <w:vertAlign w:val="subscript"/>
        </w:rPr>
        <w:t>3</w:t>
      </w:r>
      <w:r w:rsidRPr="008545F1">
        <w:rPr>
          <w:szCs w:val="16"/>
        </w:rPr>
        <w:t>Vorsprachen und Anfragen bei staatlichen Aufsichtsbehörden oder beim Katholischen Schulwerk in Bayern sind in dienstlichen Angelegenheiten der Schulleiterin bzw. dem Schulleiter und dem Schulträger vorbehalten.</w:t>
      </w:r>
    </w:p>
    <w:p w:rsidR="00BE1EFE" w:rsidRPr="008545F1" w:rsidRDefault="00BE1EFE" w:rsidP="008545F1">
      <w:pPr>
        <w:jc w:val="both"/>
        <w:rPr>
          <w:szCs w:val="16"/>
        </w:rPr>
      </w:pPr>
    </w:p>
    <w:p w:rsidR="00BE1EFE" w:rsidRPr="008545F1" w:rsidRDefault="00BE1EFE" w:rsidP="008545F1">
      <w:pPr>
        <w:jc w:val="both"/>
        <w:rPr>
          <w:szCs w:val="16"/>
        </w:rPr>
      </w:pPr>
      <w:r>
        <w:rPr>
          <w:szCs w:val="16"/>
        </w:rPr>
        <w:t>(3) </w:t>
      </w:r>
      <w:r w:rsidRPr="008545F1">
        <w:rPr>
          <w:szCs w:val="16"/>
        </w:rPr>
        <w:t>Beschwerden gegen unmittelbare Vorgesetzte können beim Schulträger, gegen Beam</w:t>
      </w:r>
      <w:r>
        <w:rPr>
          <w:szCs w:val="16"/>
        </w:rPr>
        <w:softHyphen/>
      </w:r>
      <w:r w:rsidRPr="008545F1">
        <w:rPr>
          <w:szCs w:val="16"/>
        </w:rPr>
        <w:t>tinnen und Beamte des Katholischen Schulwerks in Bayern beim Katholischen Schulwerk in Bayern unmittelbar eingereicht werden.</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15 Unzulässige Tätigkeiten an der Schule</w:t>
      </w:r>
    </w:p>
    <w:p w:rsidR="00BE1EFE" w:rsidRPr="008545F1" w:rsidRDefault="00BE1EFE">
      <w:pPr>
        <w:pStyle w:val="StandardWeb"/>
        <w:rPr>
          <w:szCs w:val="16"/>
        </w:rPr>
      </w:pPr>
    </w:p>
    <w:p w:rsidR="00BE1EFE" w:rsidRPr="008545F1" w:rsidRDefault="00BE1EFE" w:rsidP="008545F1">
      <w:pPr>
        <w:jc w:val="both"/>
        <w:rPr>
          <w:szCs w:val="16"/>
        </w:rPr>
      </w:pPr>
      <w:r w:rsidRPr="008545F1">
        <w:rPr>
          <w:szCs w:val="16"/>
          <w:vertAlign w:val="subscript"/>
        </w:rPr>
        <w:t>1</w:t>
      </w:r>
      <w:r w:rsidRPr="008545F1">
        <w:rPr>
          <w:szCs w:val="16"/>
        </w:rPr>
        <w:t xml:space="preserve">Parteipolitische Betätigung in Wort und Schrift ist im Unterricht und im schulischen Bereich unzulässig. </w:t>
      </w:r>
      <w:r w:rsidRPr="008545F1">
        <w:rPr>
          <w:szCs w:val="16"/>
          <w:vertAlign w:val="subscript"/>
        </w:rPr>
        <w:t>2</w:t>
      </w:r>
      <w:r w:rsidRPr="008545F1">
        <w:rPr>
          <w:szCs w:val="16"/>
        </w:rPr>
        <w:t xml:space="preserve">Parteipolitische Abzeichen dürfen im Dienst nicht getragen werden. </w:t>
      </w:r>
      <w:r w:rsidRPr="008545F1">
        <w:rPr>
          <w:szCs w:val="16"/>
          <w:vertAlign w:val="subscript"/>
        </w:rPr>
        <w:t>3</w:t>
      </w:r>
      <w:r w:rsidRPr="008545F1">
        <w:rPr>
          <w:szCs w:val="16"/>
        </w:rPr>
        <w:t xml:space="preserve">Im Übrigen gelten </w:t>
      </w:r>
      <w:hyperlink r:id="rId1929" w:history="1">
        <w:r w:rsidRPr="003151D3">
          <w:rPr>
            <w:rStyle w:val="Hyperlink"/>
            <w:szCs w:val="16"/>
          </w:rPr>
          <w:t>Art. 62 - 64 BayBG</w:t>
        </w:r>
      </w:hyperlink>
      <w:r w:rsidRPr="008545F1">
        <w:rPr>
          <w:szCs w:val="16"/>
        </w:rPr>
        <w:t xml:space="preserve"> auch für Lehrkräfte als Beschäftigte entsprechend. </w:t>
      </w:r>
      <w:r w:rsidRPr="008545F1">
        <w:rPr>
          <w:szCs w:val="16"/>
          <w:vertAlign w:val="subscript"/>
        </w:rPr>
        <w:t>4</w:t>
      </w:r>
      <w:r w:rsidRPr="008545F1">
        <w:rPr>
          <w:szCs w:val="16"/>
        </w:rPr>
        <w:t>Davon abweichende Regelungen obliegen dem Schulträger.</w:t>
      </w:r>
    </w:p>
    <w:p w:rsidR="00BE1EFE" w:rsidRPr="008545F1" w:rsidRDefault="00BE1EFE">
      <w:pPr>
        <w:pStyle w:val="StandardWeb"/>
        <w:rPr>
          <w:szCs w:val="16"/>
        </w:rPr>
      </w:pPr>
    </w:p>
    <w:p w:rsidR="00BE1EFE" w:rsidRPr="008545F1" w:rsidRDefault="00BE1EFE" w:rsidP="0054275E">
      <w:pPr>
        <w:pStyle w:val="StandardWeb"/>
        <w:autoSpaceDE w:val="0"/>
        <w:rPr>
          <w:szCs w:val="16"/>
        </w:rPr>
      </w:pPr>
      <w:r>
        <w:rPr>
          <w:rStyle w:val="Fett"/>
          <w:bCs/>
          <w:szCs w:val="16"/>
        </w:rPr>
        <w:t>§ </w:t>
      </w:r>
      <w:r w:rsidRPr="008545F1">
        <w:rPr>
          <w:rStyle w:val="Fett"/>
          <w:bCs/>
          <w:szCs w:val="16"/>
        </w:rPr>
        <w:t>16 Geltung der Schulordnung, sonstiger öffentlich-rechtlicher Vorschriften und schulträgerspezifischer Regelungen</w:t>
      </w:r>
    </w:p>
    <w:p w:rsidR="00BE1EFE" w:rsidRPr="008545F1" w:rsidRDefault="00BE1EFE">
      <w:pPr>
        <w:pStyle w:val="StandardWeb"/>
        <w:rPr>
          <w:szCs w:val="16"/>
        </w:rPr>
      </w:pPr>
    </w:p>
    <w:p w:rsidR="00BE1EFE" w:rsidRPr="008545F1" w:rsidRDefault="00BE1EFE" w:rsidP="008545F1">
      <w:pPr>
        <w:pStyle w:val="StandardWeb"/>
        <w:rPr>
          <w:szCs w:val="16"/>
        </w:rPr>
      </w:pPr>
      <w:r>
        <w:rPr>
          <w:szCs w:val="16"/>
        </w:rPr>
        <w:t>(1) </w:t>
      </w:r>
      <w:r w:rsidRPr="008545F1">
        <w:rPr>
          <w:szCs w:val="16"/>
          <w:vertAlign w:val="subscript"/>
        </w:rPr>
        <w:t>1</w:t>
      </w:r>
      <w:r w:rsidRPr="008545F1">
        <w:rPr>
          <w:szCs w:val="16"/>
        </w:rPr>
        <w:t xml:space="preserve">Die staatliche Schulordnung findet nach Maßgabe des Schulträgers entsprechend Anwendung, soweit nicht eigene Schulordnungen erlassen bzw. abweichende Regelungen vom Schulträger verfügt wurden. </w:t>
      </w:r>
      <w:r w:rsidRPr="008545F1">
        <w:rPr>
          <w:szCs w:val="16"/>
          <w:vertAlign w:val="subscript"/>
        </w:rPr>
        <w:t>2</w:t>
      </w:r>
      <w:r w:rsidRPr="008545F1">
        <w:rPr>
          <w:szCs w:val="16"/>
        </w:rPr>
        <w:t xml:space="preserve">Im Übrigen gilt bei staatlich anerkannten Ersatzschulen die staatliche Schulordnung bei der Aufnahme, dem Vorrücken und beim Schulwechsel von Schülerinnen, Schülern und Studierenden sowie bei der Abhaltung von Prüfungen. </w:t>
      </w:r>
      <w:r w:rsidRPr="008545F1">
        <w:rPr>
          <w:szCs w:val="16"/>
          <w:vertAlign w:val="subscript"/>
        </w:rPr>
        <w:t>3</w:t>
      </w:r>
      <w:r w:rsidRPr="008545F1">
        <w:rPr>
          <w:szCs w:val="16"/>
        </w:rPr>
        <w:t>Bei staatlichen Regelungen für den Schulbereich prüft der Schulträger, ob diese unter Berücksichtigung der Privatschulfreiheit auf die Schule entsprechende Anwendung finden.</w:t>
      </w:r>
    </w:p>
    <w:p w:rsidR="00BE1EFE" w:rsidRPr="008545F1" w:rsidRDefault="00BE1EFE" w:rsidP="008545F1">
      <w:pPr>
        <w:pStyle w:val="StandardWeb"/>
        <w:rPr>
          <w:szCs w:val="16"/>
        </w:rPr>
      </w:pPr>
    </w:p>
    <w:p w:rsidR="00BE1EFE" w:rsidRPr="008545F1" w:rsidRDefault="00BE1EFE" w:rsidP="008545F1">
      <w:pPr>
        <w:pStyle w:val="StandardWeb"/>
        <w:rPr>
          <w:szCs w:val="16"/>
        </w:rPr>
      </w:pPr>
      <w:r>
        <w:rPr>
          <w:szCs w:val="16"/>
        </w:rPr>
        <w:t>(2) </w:t>
      </w:r>
      <w:r w:rsidRPr="008545F1">
        <w:rPr>
          <w:szCs w:val="16"/>
          <w:vertAlign w:val="subscript"/>
        </w:rPr>
        <w:t>1</w:t>
      </w:r>
      <w:r w:rsidRPr="008545F1">
        <w:rPr>
          <w:szCs w:val="16"/>
        </w:rPr>
        <w:t xml:space="preserve">Über die Weitergabe, Verteilung und Bekanntgabe von Druckschriften und Informationsmaterial an Lehrkräfte in der Schulanlage entscheidet die Schulleiterin bzw. der Schulleiter. </w:t>
      </w:r>
      <w:r w:rsidRPr="008545F1">
        <w:rPr>
          <w:szCs w:val="16"/>
          <w:vertAlign w:val="subscript"/>
        </w:rPr>
        <w:t>2</w:t>
      </w:r>
      <w:r w:rsidRPr="008545F1">
        <w:rPr>
          <w:szCs w:val="16"/>
        </w:rPr>
        <w:t>Über politische und kommerzielle Werbung an der Schule entscheidet der Schulträger im Benehmen mit der Schulleiterin bzw. dem Schulleiter.</w:t>
      </w:r>
    </w:p>
    <w:p w:rsidR="00BE1EFE" w:rsidRPr="008545F1" w:rsidRDefault="00BE1EFE">
      <w:pPr>
        <w:pStyle w:val="StandardWeb"/>
        <w:rPr>
          <w:szCs w:val="16"/>
        </w:rPr>
      </w:pPr>
    </w:p>
    <w:p w:rsidR="00BE1EFE" w:rsidRPr="008545F1" w:rsidRDefault="00BE1EFE" w:rsidP="0054275E">
      <w:pPr>
        <w:pStyle w:val="StandardWeb"/>
        <w:autoSpaceDE w:val="0"/>
        <w:rPr>
          <w:szCs w:val="16"/>
        </w:rPr>
      </w:pPr>
      <w:r w:rsidRPr="008545F1">
        <w:rPr>
          <w:rStyle w:val="Fett"/>
          <w:bCs/>
          <w:szCs w:val="16"/>
        </w:rPr>
        <w:t>§ 17 Hausrecht</w:t>
      </w:r>
    </w:p>
    <w:p w:rsidR="00BE1EFE" w:rsidRPr="008545F1" w:rsidRDefault="00BE1EFE">
      <w:pPr>
        <w:pStyle w:val="StandardWeb"/>
        <w:rPr>
          <w:szCs w:val="16"/>
        </w:rPr>
      </w:pPr>
    </w:p>
    <w:p w:rsidR="00BE1EFE" w:rsidRDefault="00BE1EFE" w:rsidP="008545F1">
      <w:pPr>
        <w:pStyle w:val="StandardWeb"/>
        <w:rPr>
          <w:szCs w:val="16"/>
        </w:rPr>
      </w:pPr>
      <w:r w:rsidRPr="008545F1">
        <w:rPr>
          <w:szCs w:val="16"/>
          <w:vertAlign w:val="subscript"/>
        </w:rPr>
        <w:t>1</w:t>
      </w:r>
      <w:r w:rsidRPr="008545F1">
        <w:rPr>
          <w:szCs w:val="16"/>
        </w:rPr>
        <w:t xml:space="preserve">Die Schulleiterin bzw. der Schulleiter übt das Hausrecht in der Schulanlage im Auftrag des Schulträgers aus. </w:t>
      </w:r>
      <w:r w:rsidRPr="008545F1">
        <w:rPr>
          <w:szCs w:val="16"/>
          <w:vertAlign w:val="subscript"/>
        </w:rPr>
        <w:t>2</w:t>
      </w:r>
      <w:r w:rsidRPr="008545F1">
        <w:rPr>
          <w:szCs w:val="16"/>
        </w:rPr>
        <w:t>Unbeschadet dieses Rechts der Schulleiterin bzw. des Schulleiters hat die Lehrkraft in ihrem jeweiligen Unterrichtsraum das Hausrecht.</w:t>
      </w:r>
    </w:p>
    <w:p w:rsidR="00BE1EFE" w:rsidRPr="00990550" w:rsidRDefault="00BE1EFE" w:rsidP="008545F1">
      <w:pPr>
        <w:pStyle w:val="StandardWeb"/>
        <w:rPr>
          <w:sz w:val="2"/>
          <w:szCs w:val="2"/>
        </w:rPr>
      </w:pPr>
    </w:p>
    <w:p w:rsidR="00BE1EFE" w:rsidRDefault="00BE1EFE" w:rsidP="00F45C8E">
      <w:pPr>
        <w:pStyle w:val="StandardWeb"/>
        <w:rPr>
          <w:rStyle w:val="Fett"/>
          <w:bCs/>
        </w:rPr>
      </w:pPr>
    </w:p>
    <w:p w:rsidR="00BE1EFE" w:rsidRPr="00C63984" w:rsidRDefault="00BE1EFE" w:rsidP="00C63984">
      <w:pPr>
        <w:pStyle w:val="StandardWeb"/>
        <w:rPr>
          <w:rStyle w:val="Fett"/>
          <w:bCs/>
          <w:sz w:val="18"/>
          <w:szCs w:val="18"/>
        </w:rPr>
      </w:pPr>
      <w:r w:rsidRPr="00C63984">
        <w:rPr>
          <w:rStyle w:val="Fett"/>
          <w:bCs/>
          <w:sz w:val="18"/>
          <w:szCs w:val="18"/>
        </w:rPr>
        <w:t>3. Teil: Die Lehrkraft im Kollegium</w:t>
      </w:r>
    </w:p>
    <w:p w:rsidR="00BE1EFE" w:rsidRPr="00F45C8E" w:rsidRDefault="00BE1EFE" w:rsidP="00F45C8E">
      <w:pPr>
        <w:pStyle w:val="StandardWeb"/>
        <w:rPr>
          <w:rStyle w:val="Fett"/>
          <w:bCs/>
        </w:rPr>
      </w:pPr>
    </w:p>
    <w:p w:rsidR="00BE1EFE" w:rsidRPr="009915A3" w:rsidRDefault="00BE1EFE" w:rsidP="009915A3">
      <w:pPr>
        <w:pStyle w:val="StandardWeb"/>
        <w:rPr>
          <w:rStyle w:val="Fett"/>
          <w:b w:val="0"/>
          <w:sz w:val="2"/>
          <w:szCs w:val="2"/>
        </w:rPr>
      </w:pPr>
    </w:p>
    <w:p w:rsidR="00BE1EFE" w:rsidRPr="00D24F30" w:rsidRDefault="00BE1EFE" w:rsidP="0054275E">
      <w:pPr>
        <w:pStyle w:val="StandardWeb"/>
        <w:autoSpaceDE w:val="0"/>
        <w:rPr>
          <w:rStyle w:val="Fett"/>
          <w:bCs/>
          <w:sz w:val="2"/>
          <w:szCs w:val="2"/>
        </w:rPr>
      </w:pPr>
    </w:p>
    <w:p w:rsidR="00BE1EFE" w:rsidRDefault="00BE1EFE" w:rsidP="0054275E">
      <w:pPr>
        <w:pStyle w:val="StandardWeb"/>
        <w:autoSpaceDE w:val="0"/>
      </w:pPr>
      <w:r>
        <w:rPr>
          <w:rStyle w:val="Fett"/>
          <w:bCs/>
        </w:rPr>
        <w:t>§ 18 Lehrerkonferenz</w:t>
      </w:r>
    </w:p>
    <w:p w:rsidR="00BE1EFE" w:rsidRDefault="00BE1EFE">
      <w:pPr>
        <w:pStyle w:val="StandardWeb"/>
      </w:pPr>
    </w:p>
    <w:p w:rsidR="00BE1EFE" w:rsidRDefault="00BE1EFE">
      <w:pPr>
        <w:pStyle w:val="StandardWeb"/>
      </w:pPr>
      <w:r>
        <w:t>(1) </w:t>
      </w:r>
      <w:r>
        <w:rPr>
          <w:rStyle w:val="kleinschrift"/>
        </w:rPr>
        <w:t>1</w:t>
      </w:r>
      <w:r>
        <w:t xml:space="preserve">Die Aufgabe der Schule erfordert das vertrauensvolle und kollegiale Zusammenwirken aller Lehrkräfte. </w:t>
      </w:r>
      <w:r>
        <w:rPr>
          <w:rStyle w:val="kleinschrift"/>
        </w:rPr>
        <w:t>2</w:t>
      </w:r>
      <w:r>
        <w:t xml:space="preserve">Für die Lehrerkonferenz gelten im Rahmen von § 16 Abs. 1 die Vorschriften des </w:t>
      </w:r>
      <w:hyperlink r:id="rId1930" w:history="1">
        <w:r w:rsidRPr="00332FFB">
          <w:rPr>
            <w:rStyle w:val="Hyperlink"/>
          </w:rPr>
          <w:t>Art. 58 BayEUG</w:t>
        </w:r>
      </w:hyperlink>
      <w:r>
        <w:t xml:space="preserve"> und der Schulordnungen. </w:t>
      </w:r>
      <w:r>
        <w:rPr>
          <w:rStyle w:val="kleinschrift"/>
        </w:rPr>
        <w:t>3</w:t>
      </w:r>
      <w:r>
        <w:t>Der Schulträger kann an den Lehrerkonferenzen teilnehmen.</w:t>
      </w:r>
    </w:p>
    <w:p w:rsidR="00BE1EFE" w:rsidRDefault="00BE1EFE">
      <w:pPr>
        <w:pStyle w:val="StandardWeb"/>
      </w:pPr>
    </w:p>
    <w:p w:rsidR="00BE1EFE" w:rsidRDefault="00BE1EFE" w:rsidP="0054275E">
      <w:pPr>
        <w:pStyle w:val="StandardWeb"/>
        <w:autoSpaceDE w:val="0"/>
      </w:pPr>
      <w:r>
        <w:rPr>
          <w:rStyle w:val="Fett"/>
          <w:bCs/>
        </w:rPr>
        <w:t>§ 19 Klassenkonferenz</w:t>
      </w:r>
    </w:p>
    <w:p w:rsidR="00BE1EFE" w:rsidRDefault="00BE1EFE">
      <w:pPr>
        <w:pStyle w:val="StandardWeb"/>
      </w:pPr>
    </w:p>
    <w:p w:rsidR="00BE1EFE" w:rsidRPr="008545F1" w:rsidRDefault="00BE1EFE" w:rsidP="008545F1">
      <w:pPr>
        <w:pStyle w:val="StandardWeb"/>
      </w:pPr>
      <w:r>
        <w:t>(1) </w:t>
      </w:r>
      <w:r w:rsidRPr="008545F1">
        <w:t xml:space="preserve">Die Klassenkonferenz hat im Rahmen von § 16 Abs. 1 unbeschadet von </w:t>
      </w:r>
      <w:hyperlink r:id="rId1931" w:history="1">
        <w:r w:rsidRPr="00332FFB">
          <w:rPr>
            <w:rStyle w:val="Hyperlink"/>
          </w:rPr>
          <w:t>Art. 53 Abs. 4 BayEUG</w:t>
        </w:r>
      </w:hyperlink>
      <w:r w:rsidRPr="008545F1">
        <w:t xml:space="preserve"> und ihren Aufgaben nach den Schulordnungen auch den Zweck, die enge Zusammenarbeit und die gegenseitige Verständigung der in der Klasse tätigen Lehrkräfte zu fördern und die Anforderungen an die Schülerinnen, Schüler und Studierende abzustimmen.</w:t>
      </w:r>
    </w:p>
    <w:p w:rsidR="00BE1EFE" w:rsidRDefault="00BE1EFE" w:rsidP="008545F1">
      <w:pPr>
        <w:pStyle w:val="StandardWeb"/>
      </w:pPr>
    </w:p>
    <w:p w:rsidR="00BE1EFE" w:rsidRPr="008545F1" w:rsidRDefault="00BE1EFE" w:rsidP="008545F1">
      <w:pPr>
        <w:pStyle w:val="StandardWeb"/>
      </w:pPr>
      <w:r>
        <w:t>(2) </w:t>
      </w:r>
      <w:r w:rsidRPr="008545F1">
        <w:rPr>
          <w:vertAlign w:val="subscript"/>
        </w:rPr>
        <w:t>1</w:t>
      </w:r>
      <w:r w:rsidRPr="008545F1">
        <w:t xml:space="preserve">Die Schulleiterin bzw. der Schulleiter beruft die Klassenkonferenz bei Bedarf ein und führt den Vorsitz. </w:t>
      </w:r>
      <w:r w:rsidRPr="008545F1">
        <w:rPr>
          <w:vertAlign w:val="subscript"/>
        </w:rPr>
        <w:t>2</w:t>
      </w:r>
      <w:r w:rsidRPr="008545F1">
        <w:t xml:space="preserve">Sie bzw. er kann sich durch eine Stellvertreterin bzw. einen Stellvertreter oder durch eine von ihr bzw. ihm gemäß </w:t>
      </w:r>
      <w:hyperlink r:id="rId1932" w:history="1">
        <w:r w:rsidRPr="00332FFB">
          <w:rPr>
            <w:rStyle w:val="Hyperlink"/>
          </w:rPr>
          <w:t>Art. 53 Abs. 4 Satz 3 BayEUG</w:t>
        </w:r>
      </w:hyperlink>
      <w:r w:rsidRPr="008545F1">
        <w:t xml:space="preserve"> beauftragte Lehrkraft vertreten lassen. </w:t>
      </w:r>
      <w:r w:rsidRPr="008545F1">
        <w:rPr>
          <w:vertAlign w:val="subscript"/>
        </w:rPr>
        <w:t>3</w:t>
      </w:r>
      <w:r w:rsidRPr="008545F1">
        <w:t xml:space="preserve">Soweit nicht die Schulordnungen im Rahmen von § 16 Abs. 1 Bestimmungen über die Teilnahmepflicht enthalten, kann die Schulleiterin bzw. der Schulleiter alle in der Klasse tätigen Lehrkräfte zur Teilnahme an der Klassenkonferenz verpflichten; § 1 Abs. 3 Satz 2 bleibt unberührt. </w:t>
      </w:r>
      <w:r w:rsidRPr="008545F1">
        <w:rPr>
          <w:vertAlign w:val="subscript"/>
        </w:rPr>
        <w:t>4</w:t>
      </w:r>
      <w:r w:rsidRPr="008545F1">
        <w:t>Klassenkonferenzen finden in der Regel außerhalb der regelmäßigen Unterrichtszeit statt.</w:t>
      </w:r>
    </w:p>
    <w:p w:rsidR="00BE1EFE" w:rsidRDefault="00BE1EFE" w:rsidP="008545F1">
      <w:pPr>
        <w:pStyle w:val="StandardWeb"/>
      </w:pPr>
    </w:p>
    <w:p w:rsidR="00BE1EFE" w:rsidRPr="008545F1" w:rsidRDefault="00BE1EFE" w:rsidP="008545F1">
      <w:pPr>
        <w:pStyle w:val="StandardWeb"/>
      </w:pPr>
      <w:r>
        <w:t>(3) </w:t>
      </w:r>
      <w:r w:rsidRPr="008545F1">
        <w:rPr>
          <w:vertAlign w:val="subscript"/>
        </w:rPr>
        <w:t>1</w:t>
      </w:r>
      <w:r w:rsidRPr="008545F1">
        <w:t xml:space="preserve">Ebenso können Klassenkonferenzen einer oder mehrerer Jahrgangsstufen gemeinsam abgehalten werden, soweit es sich nicht um die Erfüllung von Aufgaben nach </w:t>
      </w:r>
      <w:hyperlink r:id="rId1933" w:history="1">
        <w:r w:rsidRPr="00332FFB">
          <w:rPr>
            <w:rStyle w:val="Hyperlink"/>
          </w:rPr>
          <w:t>Art. 53 Abs. 4 BayEUG</w:t>
        </w:r>
      </w:hyperlink>
      <w:r w:rsidRPr="008545F1">
        <w:t xml:space="preserve"> handelt. </w:t>
      </w:r>
      <w:r w:rsidRPr="008545F1">
        <w:rPr>
          <w:vertAlign w:val="subscript"/>
        </w:rPr>
        <w:t>2</w:t>
      </w:r>
      <w:r w:rsidRPr="008545F1">
        <w:t>Die Absätze 1 und 2 gelten entsprechend.</w:t>
      </w:r>
    </w:p>
    <w:p w:rsidR="00BE1EFE" w:rsidRDefault="00BE1EFE" w:rsidP="008545F1">
      <w:pPr>
        <w:pStyle w:val="StandardWeb"/>
      </w:pPr>
    </w:p>
    <w:p w:rsidR="00BE1EFE" w:rsidRDefault="00BE1EFE" w:rsidP="008545F1">
      <w:pPr>
        <w:pStyle w:val="StandardWeb"/>
      </w:pPr>
      <w:r>
        <w:t>(4) </w:t>
      </w:r>
      <w:r w:rsidRPr="008545F1">
        <w:rPr>
          <w:vertAlign w:val="subscript"/>
        </w:rPr>
        <w:t>1</w:t>
      </w:r>
      <w:r w:rsidRPr="008545F1">
        <w:t xml:space="preserve">Wenn der Unterricht nicht in Klassen erfolgt, können anstelle der Klassenkonferenzen </w:t>
      </w:r>
    </w:p>
    <w:p w:rsidR="00BE1EFE" w:rsidRPr="008545F1" w:rsidRDefault="00BE1EFE" w:rsidP="008545F1">
      <w:pPr>
        <w:pStyle w:val="StandardWeb"/>
      </w:pPr>
      <w:r w:rsidRPr="008545F1">
        <w:lastRenderedPageBreak/>
        <w:t xml:space="preserve">Kursbesprechungen abgehalten werden. </w:t>
      </w:r>
      <w:r w:rsidRPr="008545F1">
        <w:rPr>
          <w:vertAlign w:val="subscript"/>
        </w:rPr>
        <w:t>2</w:t>
      </w:r>
      <w:r w:rsidRPr="008545F1">
        <w:t>Die Absätze 1 bis 3 gelten entsprechend.</w:t>
      </w:r>
    </w:p>
    <w:p w:rsidR="00BE1EFE" w:rsidRDefault="00BE1EFE">
      <w:pPr>
        <w:pStyle w:val="StandardWeb"/>
      </w:pPr>
    </w:p>
    <w:p w:rsidR="00BE1EFE" w:rsidRDefault="00BE1EFE" w:rsidP="0054275E">
      <w:pPr>
        <w:pStyle w:val="StandardWeb"/>
        <w:autoSpaceDE w:val="0"/>
      </w:pPr>
      <w:r>
        <w:rPr>
          <w:rStyle w:val="Fett"/>
          <w:bCs/>
        </w:rPr>
        <w:t>§ 20 Fachliche Zusammenarbeit, Fortbildung</w:t>
      </w:r>
    </w:p>
    <w:p w:rsidR="00BE1EFE" w:rsidRDefault="00BE1EFE">
      <w:pPr>
        <w:pStyle w:val="StandardWeb"/>
      </w:pPr>
    </w:p>
    <w:p w:rsidR="00BE1EFE" w:rsidRPr="008545F1" w:rsidRDefault="00BE1EFE" w:rsidP="008545F1">
      <w:pPr>
        <w:pStyle w:val="StandardWeb"/>
      </w:pPr>
      <w:r>
        <w:t>(1) </w:t>
      </w:r>
      <w:r w:rsidRPr="008545F1">
        <w:rPr>
          <w:vertAlign w:val="subscript"/>
        </w:rPr>
        <w:t>1</w:t>
      </w:r>
      <w:r w:rsidRPr="008545F1">
        <w:t xml:space="preserve">Die Schulleiterin bzw. der Schulleiter kann auch für Zeiten außerhalb der regelmäßigen Unterrichtszeit die Lehrkräfte aller oder einzelner Jahrgangsstufen, der einzelnen Unterrichtsfächer oder der Fächergruppen zu Fachsitzungen einberufen, in denen insbesondere Fragen der Didaktik und der Lehrpläne, der Einführung neuer Lehr- und Lernmittel, der Verteilung des Unterrichtsstoffes auf das Schuljahr sowie der fächerübergreifenden Zusammenarbeit und der Schulentwicklung und der Profilbildung besprochen werden. </w:t>
      </w:r>
      <w:r w:rsidRPr="008545F1">
        <w:rPr>
          <w:vertAlign w:val="subscript"/>
        </w:rPr>
        <w:t>2</w:t>
      </w:r>
      <w:r w:rsidRPr="008545F1">
        <w:t xml:space="preserve">Außerdem dienen die Fachsitzungen der pädagogischen und fachlichen Fortbildung. </w:t>
      </w:r>
      <w:r w:rsidRPr="008545F1">
        <w:rPr>
          <w:vertAlign w:val="subscript"/>
        </w:rPr>
        <w:t>3</w:t>
      </w:r>
      <w:r w:rsidRPr="008545F1">
        <w:t xml:space="preserve">Die Zuständigkeit der Lehrerkonferenz bleibt unberührt. </w:t>
      </w:r>
      <w:r w:rsidRPr="008545F1">
        <w:rPr>
          <w:vertAlign w:val="subscript"/>
        </w:rPr>
        <w:t>4</w:t>
      </w:r>
      <w:r w:rsidRPr="008545F1">
        <w:t>Die Schulleiterin bzw. der Schulleiter kann die Leitung der Sitzung der ständigen Vertreterin bzw. dem ständigen Vertreter oder einer der beteiligten Lehrkräfte, gegebenenfalls der Fachbetreuerin bzw. dem Fachbetreuer oder einer Lehrkraft mit Führungsaufgaben, übertragen.</w:t>
      </w:r>
    </w:p>
    <w:p w:rsidR="00BE1EFE" w:rsidRDefault="00BE1EFE" w:rsidP="008545F1">
      <w:pPr>
        <w:pStyle w:val="StandardWeb"/>
      </w:pPr>
    </w:p>
    <w:p w:rsidR="00BE1EFE" w:rsidRPr="008545F1" w:rsidRDefault="00BE1EFE" w:rsidP="008545F1">
      <w:pPr>
        <w:pStyle w:val="StandardWeb"/>
      </w:pPr>
      <w:r>
        <w:t>(2) </w:t>
      </w:r>
      <w:r w:rsidRPr="008545F1">
        <w:t>Über die Fertigung von Niederschriften über Fachsitzungen entscheidet die Schulleiterin bzw. der Schulleiter.</w:t>
      </w:r>
    </w:p>
    <w:p w:rsidR="00BE1EFE" w:rsidRDefault="00BE1EFE">
      <w:pPr>
        <w:pStyle w:val="StandardWeb"/>
      </w:pPr>
    </w:p>
    <w:p w:rsidR="00BE1EFE" w:rsidRDefault="00BE1EFE" w:rsidP="0054275E">
      <w:pPr>
        <w:pStyle w:val="StandardWeb"/>
        <w:autoSpaceDE w:val="0"/>
      </w:pPr>
      <w:r>
        <w:rPr>
          <w:rStyle w:val="Fett"/>
          <w:bCs/>
        </w:rPr>
        <w:t>§ 21 Fachbetreuung</w:t>
      </w:r>
    </w:p>
    <w:p w:rsidR="00BE1EFE" w:rsidRDefault="00BE1EFE">
      <w:pPr>
        <w:pStyle w:val="StandardWeb"/>
      </w:pPr>
    </w:p>
    <w:p w:rsidR="00BE1EFE" w:rsidRPr="00F251B2" w:rsidRDefault="00BE1EFE" w:rsidP="008545F1">
      <w:pPr>
        <w:jc w:val="both"/>
      </w:pPr>
      <w:r>
        <w:t>(1) </w:t>
      </w:r>
      <w:r w:rsidRPr="00F251B2">
        <w:rPr>
          <w:vertAlign w:val="subscript"/>
        </w:rPr>
        <w:t>1</w:t>
      </w:r>
      <w:r w:rsidRPr="00F251B2">
        <w:t>Soweit Fachbetreuerinnen bzw. Fachbetreuer bestellt sind, unterstützen sie die Schul</w:t>
      </w:r>
      <w:r>
        <w:softHyphen/>
      </w:r>
      <w:r w:rsidRPr="00F251B2">
        <w:t xml:space="preserve">leiterin bzw. den Schulleiter in fachlichen Fragen, insbesondere bei der Koordinierung des Unterrichts. </w:t>
      </w:r>
      <w:r w:rsidRPr="00F251B2">
        <w:rPr>
          <w:vertAlign w:val="subscript"/>
        </w:rPr>
        <w:t>2</w:t>
      </w:r>
      <w:r w:rsidRPr="00F251B2">
        <w:t>Die Schulleiterin bzw. der Schulleiter kann ihnen für ihre Fachaufgaben Weisungsberechtigung übertragen.</w:t>
      </w:r>
    </w:p>
    <w:p w:rsidR="00BE1EFE" w:rsidRDefault="00BE1EFE" w:rsidP="008545F1">
      <w:pPr>
        <w:jc w:val="both"/>
      </w:pPr>
    </w:p>
    <w:p w:rsidR="00BE1EFE" w:rsidRPr="00F251B2" w:rsidRDefault="00BE1EFE" w:rsidP="008545F1">
      <w:pPr>
        <w:jc w:val="both"/>
      </w:pPr>
      <w:r>
        <w:t>(2) </w:t>
      </w:r>
      <w:r w:rsidRPr="00F251B2">
        <w:rPr>
          <w:vertAlign w:val="subscript"/>
        </w:rPr>
        <w:t>1</w:t>
      </w:r>
      <w:r w:rsidRPr="00F251B2">
        <w:t xml:space="preserve">Die Fachbetreuerin bzw. der Fachbetreuer berät die Lehrkräfte in fachlicher Hinsicht, bespricht mit ihnen didaktische Fragen und unterstützt die Schulleiterin bzw. den Schulleiter bei der Überprüfung von Leistungsnachweisen auf Angemessenheit und Benotung. </w:t>
      </w:r>
      <w:r w:rsidRPr="00F251B2">
        <w:rPr>
          <w:vertAlign w:val="subscript"/>
        </w:rPr>
        <w:t>2</w:t>
      </w:r>
      <w:r w:rsidRPr="00F251B2">
        <w:t>Die</w:t>
      </w:r>
      <w:r w:rsidRPr="00F251B2">
        <w:rPr>
          <w:vertAlign w:val="superscript"/>
        </w:rPr>
        <w:t xml:space="preserve"> </w:t>
      </w:r>
      <w:r w:rsidRPr="00F251B2">
        <w:t>Fachbetreuung darf nicht dazu führen, dass die Lehrkraft in der Freiheit ihrer Unterrichts</w:t>
      </w:r>
      <w:r>
        <w:softHyphen/>
      </w:r>
      <w:r w:rsidRPr="00F251B2">
        <w:t xml:space="preserve">gestaltung unnötig eingeengt wird. </w:t>
      </w:r>
      <w:r w:rsidRPr="00F251B2">
        <w:rPr>
          <w:vertAlign w:val="subscript"/>
        </w:rPr>
        <w:t>3</w:t>
      </w:r>
      <w:r w:rsidRPr="00F251B2">
        <w:t>Die Verantwortung der Lehrkraft wird durch die Tätigkeit der Fachbetreuerin bzw. des Fachbetreuers nicht aufgehoben.</w:t>
      </w:r>
    </w:p>
    <w:p w:rsidR="00BE1EFE" w:rsidRDefault="00BE1EFE" w:rsidP="008545F1">
      <w:pPr>
        <w:autoSpaceDE w:val="0"/>
        <w:autoSpaceDN w:val="0"/>
        <w:adjustRightInd w:val="0"/>
        <w:jc w:val="both"/>
      </w:pPr>
    </w:p>
    <w:p w:rsidR="00BE1EFE" w:rsidRDefault="00BE1EFE" w:rsidP="00C63984">
      <w:pPr>
        <w:jc w:val="both"/>
      </w:pPr>
      <w:r>
        <w:t>(3) </w:t>
      </w:r>
      <w:r w:rsidRPr="00F251B2">
        <w:rPr>
          <w:vertAlign w:val="subscript"/>
        </w:rPr>
        <w:t>1</w:t>
      </w:r>
      <w:r w:rsidRPr="00F251B2">
        <w:t>Die Fachbetreuerinnen und Fachbetreuer üben ihre beratende Tätigkeit dann als Vorgesetzte aus, wenn und soweit ihnen von der Schulleiterin bzw. dem Schulleiter ausdrück</w:t>
      </w:r>
      <w:r>
        <w:softHyphen/>
      </w:r>
      <w:r w:rsidRPr="00F251B2">
        <w:t xml:space="preserve">lich eine Weisungsberechtigung übertragen wurde. </w:t>
      </w:r>
      <w:r w:rsidRPr="00F251B2">
        <w:rPr>
          <w:vertAlign w:val="subscript"/>
        </w:rPr>
        <w:t>2</w:t>
      </w:r>
      <w:r w:rsidRPr="00F251B2">
        <w:t xml:space="preserve">Ein Besuch von Unterrichtsstunden durch die Fachbetreuerin bzw. den Fachbetreuer erfolgt nur auf Anordnung der Schulleiterin bzw. des Schulleiters; soweit Unterrichtsbesuche zu Zwecken der dienstlichen Beurteilung erfolgen sollen, richten sich deren Art und Umfang nach den Richtlinien für die dienstliche Beurteilung und die Leistungsfeststellung der kirchlichen Lehrkräfte an Schulen in Bayern </w:t>
      </w:r>
      <w:hyperlink r:id="rId1934" w:history="1">
        <w:r w:rsidRPr="00332FFB">
          <w:rPr>
            <w:rStyle w:val="Hyperlink"/>
          </w:rPr>
          <w:t>(ABD Teil B, 4.1. Anlage D – Dienstliche Beurteilung und Leistungsfeststellung der Lehrkräfte, Schul</w:t>
        </w:r>
        <w:r w:rsidRPr="00332FFB">
          <w:rPr>
            <w:rStyle w:val="Hyperlink"/>
          </w:rPr>
          <w:softHyphen/>
          <w:t>leiterinnen und Schulleiter an katholischen Schulen – Abschnitt A)</w:t>
        </w:r>
      </w:hyperlink>
      <w:r w:rsidRPr="00F251B2">
        <w:t xml:space="preserve"> in der jeweils gültigen Fassung; die Verantwortung für die Beurteilung trägt die Schul</w:t>
      </w:r>
      <w:r>
        <w:t xml:space="preserve">leiterin bzw. der Schulleiter. </w:t>
      </w:r>
    </w:p>
    <w:p w:rsidR="00BE1EFE" w:rsidRDefault="00BE1EFE" w:rsidP="00C63984">
      <w:pPr>
        <w:jc w:val="both"/>
      </w:pPr>
    </w:p>
    <w:p w:rsidR="00AF727A" w:rsidRDefault="00BE1EFE" w:rsidP="00C63984">
      <w:pPr>
        <w:jc w:val="both"/>
      </w:pPr>
      <w:r>
        <w:t>(4) </w:t>
      </w:r>
      <w:r w:rsidRPr="00F251B2">
        <w:t>Die Regelungen für Fachbetreuerinnen und Fachbetreuer gelten entsprechend für Stufenleiterinnen und Stufenleiter an Förderschulen.</w:t>
      </w:r>
    </w:p>
    <w:p w:rsidR="00BE1EFE" w:rsidRPr="00AF727A" w:rsidRDefault="00AF727A" w:rsidP="00C63984">
      <w:pPr>
        <w:jc w:val="both"/>
        <w:rPr>
          <w:sz w:val="2"/>
          <w:szCs w:val="2"/>
        </w:rPr>
      </w:pPr>
      <w:r>
        <w:br w:type="page"/>
      </w:r>
    </w:p>
    <w:p w:rsidR="00BE1EFE" w:rsidRPr="00F45C8E" w:rsidRDefault="00BE1EFE" w:rsidP="00AF727A">
      <w:pPr>
        <w:pStyle w:val="berschrift5"/>
        <w:spacing w:before="0"/>
        <w:rPr>
          <w:lang w:eastAsia="x-none"/>
        </w:rPr>
      </w:pPr>
      <w:bookmarkStart w:id="1286" w:name="_Toc523926799"/>
      <w:r>
        <w:lastRenderedPageBreak/>
        <w:t>III. Abschnit</w:t>
      </w:r>
      <w:r>
        <w:rPr>
          <w:lang w:eastAsia="x-none"/>
        </w:rPr>
        <w:t xml:space="preserve">t: </w:t>
      </w:r>
      <w:r>
        <w:t>Schulleit</w:t>
      </w:r>
      <w:r>
        <w:rPr>
          <w:lang w:eastAsia="x-none"/>
        </w:rPr>
        <w:t>ung</w:t>
      </w:r>
      <w:bookmarkEnd w:id="1286"/>
    </w:p>
    <w:p w:rsidR="00BE1EFE" w:rsidRPr="00B76821" w:rsidRDefault="00BE1EFE" w:rsidP="00B76821">
      <w:pPr>
        <w:pStyle w:val="berschrift6"/>
        <w:keepNext w:val="0"/>
        <w:spacing w:before="0" w:after="0"/>
        <w:rPr>
          <w:rStyle w:val="Fett"/>
          <w:bCs w:val="0"/>
          <w:sz w:val="2"/>
          <w:szCs w:val="2"/>
        </w:rPr>
      </w:pPr>
    </w:p>
    <w:p w:rsidR="00BE1EFE" w:rsidRPr="00806F96" w:rsidRDefault="00BE1EFE" w:rsidP="00D24F30">
      <w:pPr>
        <w:pStyle w:val="lh7"/>
        <w:ind w:left="0"/>
        <w:jc w:val="both"/>
        <w:rPr>
          <w:rStyle w:val="Fett"/>
          <w:bCs/>
          <w:sz w:val="2"/>
          <w:szCs w:val="2"/>
        </w:rPr>
      </w:pPr>
    </w:p>
    <w:p w:rsidR="00BE1EFE" w:rsidRPr="009915A3" w:rsidRDefault="00BE1EFE" w:rsidP="007137BB">
      <w:pPr>
        <w:pStyle w:val="lh7"/>
        <w:rPr>
          <w:rStyle w:val="Fett"/>
          <w:b w:val="0"/>
          <w:sz w:val="2"/>
          <w:szCs w:val="2"/>
        </w:rPr>
      </w:pPr>
    </w:p>
    <w:p w:rsidR="00BE1EFE" w:rsidRDefault="00BE1EFE" w:rsidP="0054275E">
      <w:pPr>
        <w:pStyle w:val="StandardWeb"/>
        <w:autoSpaceDE w:val="0"/>
      </w:pPr>
      <w:r>
        <w:rPr>
          <w:rStyle w:val="Fett"/>
          <w:bCs/>
        </w:rPr>
        <w:t>§ 22 Stellung und allgemeine Aufgaben der Schulleiterin bzw. des Schulleiters</w:t>
      </w:r>
    </w:p>
    <w:p w:rsidR="00BE1EFE" w:rsidRDefault="00BE1EFE">
      <w:pPr>
        <w:pStyle w:val="StandardWeb"/>
      </w:pPr>
    </w:p>
    <w:p w:rsidR="00BE1EFE" w:rsidRPr="008545F1" w:rsidRDefault="00BE1EFE" w:rsidP="008545F1">
      <w:pPr>
        <w:pStyle w:val="StandardWeb"/>
      </w:pPr>
      <w:r>
        <w:t>(1) </w:t>
      </w:r>
      <w:r w:rsidRPr="008545F1">
        <w:rPr>
          <w:vertAlign w:val="subscript"/>
        </w:rPr>
        <w:t>1</w:t>
      </w:r>
      <w:r w:rsidRPr="008545F1">
        <w:t xml:space="preserve">Die Schulleiterin bzw. der Schulleiter führt die Schule nach den gesetzlichen Vorgaben, der Grundordnung für die katholischen Schulen in Bayern sowie den Maßgaben und Weisungen des Schulträgers. </w:t>
      </w:r>
      <w:r w:rsidRPr="008545F1">
        <w:rPr>
          <w:vertAlign w:val="subscript"/>
        </w:rPr>
        <w:t>2</w:t>
      </w:r>
      <w:r w:rsidRPr="008545F1">
        <w:t>Die Schulleiterin bzw. der Schulleiter ist unmittelbare Vorge</w:t>
      </w:r>
      <w:r>
        <w:softHyphen/>
      </w:r>
      <w:r w:rsidRPr="008545F1">
        <w:t xml:space="preserve">setzte bzw. unmittelbarer Vorgesetzter der Lehrkräfte und des sonstigen Personals der Schule und übt das Weisungsrecht im Auftrag des Schulträgers aus. </w:t>
      </w:r>
      <w:r w:rsidRPr="008545F1">
        <w:rPr>
          <w:vertAlign w:val="subscript"/>
        </w:rPr>
        <w:t>3</w:t>
      </w:r>
      <w:r w:rsidRPr="008545F1">
        <w:t xml:space="preserve">Die Dienstherrnsatzung des Katholischen Schulwerks in Bayern bleibt davon unberührt. </w:t>
      </w:r>
      <w:r w:rsidRPr="008545F1">
        <w:rPr>
          <w:vertAlign w:val="subscript"/>
        </w:rPr>
        <w:t>4</w:t>
      </w:r>
      <w:r w:rsidRPr="008545F1">
        <w:t xml:space="preserve">Soweit nicht anderweitige Zuständigkeitsregelungen bestehen, gehören auch die Behandlung von Beschwerden, die Ausübung arbeitsrechtlicher Befugnisse wie Rügen, Abmahnung oder Kündigung, die Gewährung von Urlaub, die Genehmigung von Dienstreisen, die Erstellung der dienstlichen Beurteilung und die Übertragung von Führungsaufgaben mit Weisungsbefugnis zu den Aufgaben der Schulleiterin bzw. des Schulleiters. </w:t>
      </w:r>
      <w:r w:rsidRPr="008545F1">
        <w:rPr>
          <w:vertAlign w:val="subscript"/>
        </w:rPr>
        <w:t>5</w:t>
      </w:r>
      <w:r w:rsidRPr="008545F1">
        <w:t xml:space="preserve">Die Schulleiterin bzw. der Schulleiter handelt als Vertreterin bzw. Vertreter des Schulträgers. </w:t>
      </w:r>
      <w:r w:rsidRPr="008545F1">
        <w:rPr>
          <w:vertAlign w:val="subscript"/>
        </w:rPr>
        <w:t>6</w:t>
      </w:r>
      <w:r w:rsidRPr="008545F1">
        <w:t xml:space="preserve">Soweit es im Einzelfall erforderlich ist, machen sie dies kenntlich. </w:t>
      </w:r>
      <w:r w:rsidRPr="008545F1">
        <w:rPr>
          <w:vertAlign w:val="subscript"/>
        </w:rPr>
        <w:t>7</w:t>
      </w:r>
      <w:r w:rsidRPr="008545F1">
        <w:t>Dasselbe gilt, wenn die Schulleiterin bzw. der Schulleiter nicht als Vertreterin bzw. Vertreter des Schulträgers handelt.</w:t>
      </w:r>
    </w:p>
    <w:p w:rsidR="00BE1EFE" w:rsidRDefault="00BE1EFE" w:rsidP="008545F1">
      <w:pPr>
        <w:pStyle w:val="StandardWeb"/>
      </w:pPr>
    </w:p>
    <w:p w:rsidR="00BE1EFE" w:rsidRPr="008545F1" w:rsidRDefault="00BE1EFE" w:rsidP="008545F1">
      <w:pPr>
        <w:pStyle w:val="StandardWeb"/>
      </w:pPr>
      <w:r>
        <w:t>(2) </w:t>
      </w:r>
      <w:r w:rsidRPr="008545F1">
        <w:rPr>
          <w:vertAlign w:val="subscript"/>
        </w:rPr>
        <w:t>1</w:t>
      </w:r>
      <w:r w:rsidRPr="008545F1">
        <w:t xml:space="preserve">Die Schulleiterin bzw. der Schulleiter ist nur als Beamtin bzw. Beamter des Katholischen Schulwerks in Bayern Dienstvorgesetzte bzw. Dienstvorgesetzter der an der Schule tätigen Beamtinnen und Beamten des Katholischen Schulwerks in Bayern. </w:t>
      </w:r>
      <w:r w:rsidRPr="008545F1">
        <w:rPr>
          <w:vertAlign w:val="subscript"/>
        </w:rPr>
        <w:t>2</w:t>
      </w:r>
      <w:r>
        <w:t>Schul</w:t>
      </w:r>
      <w:r w:rsidRPr="008545F1">
        <w:t>leiterinnen bzw. Schulleitern, die zur Dienstleistung seitens des Freistaates Bayern dem Schulträger zugeordnet sind, können Befugnisse der Dienstaufsicht über die staatlichen Lehrkräfte übertragen werden.</w:t>
      </w:r>
    </w:p>
    <w:p w:rsidR="00BE1EFE" w:rsidRDefault="00BE1EFE" w:rsidP="008545F1">
      <w:pPr>
        <w:pStyle w:val="StandardWeb"/>
      </w:pPr>
    </w:p>
    <w:p w:rsidR="00BE1EFE" w:rsidRPr="008545F1" w:rsidRDefault="00BE1EFE" w:rsidP="008545F1">
      <w:pPr>
        <w:pStyle w:val="StandardWeb"/>
      </w:pPr>
      <w:r>
        <w:t>(3) </w:t>
      </w:r>
      <w:r w:rsidRPr="008545F1">
        <w:rPr>
          <w:vertAlign w:val="subscript"/>
        </w:rPr>
        <w:t>1</w:t>
      </w:r>
      <w:r w:rsidRPr="008545F1">
        <w:t xml:space="preserve">Die Schulleiterin bzw. der Schulleiter wirkt bei der Auswahl der Lehrkräfte und des sonstigen Personals mit. </w:t>
      </w:r>
      <w:r w:rsidRPr="008545F1">
        <w:rPr>
          <w:vertAlign w:val="subscript"/>
        </w:rPr>
        <w:t>2</w:t>
      </w:r>
      <w:r w:rsidRPr="008545F1">
        <w:t>Sie bzw. er sorgt für die Teilnahme der Lehrkräfte an Fortbildungsveranstaltungen.</w:t>
      </w:r>
    </w:p>
    <w:p w:rsidR="00BE1EFE" w:rsidRDefault="00BE1EFE" w:rsidP="008545F1">
      <w:pPr>
        <w:pStyle w:val="StandardWeb"/>
      </w:pPr>
    </w:p>
    <w:p w:rsidR="00BE1EFE" w:rsidRPr="008545F1" w:rsidRDefault="00BE1EFE" w:rsidP="008545F1">
      <w:pPr>
        <w:pStyle w:val="StandardWeb"/>
      </w:pPr>
      <w:r>
        <w:t>(4) </w:t>
      </w:r>
      <w:r w:rsidRPr="008545F1">
        <w:t xml:space="preserve">Die Schulleiterin bzw. der Schulleiter sorgt in Erfüllung der durch </w:t>
      </w:r>
      <w:hyperlink r:id="rId1935" w:history="1">
        <w:r w:rsidRPr="009752DF">
          <w:rPr>
            <w:rStyle w:val="Hyperlink"/>
          </w:rPr>
          <w:t>Art. 57 Abs. 2 BayEUG</w:t>
        </w:r>
      </w:hyperlink>
      <w:r w:rsidRPr="008545F1">
        <w:t xml:space="preserve"> und die jeweilige Schulordnung zugewiesenen Aufgaben sowie der arbeits- oder dienstrecht</w:t>
      </w:r>
      <w:r>
        <w:softHyphen/>
      </w:r>
      <w:r w:rsidRPr="008545F1">
        <w:t>lichen Verpflichtungen dafür, dass der nach der Grundordnung für die katholischen Schulen in Bayern sowie nach den Vorgaben und Weisungen des Schulträgers, in den Lehrplänen und sonstigen amtlichen Richtlinien gegebene Auftrag der Schule erfüllt, der Unterricht ordnungsgemäß erteilt, die Arbeit der einzelnen Lehrkräfte aufeinander abgestimmt wird und die Rechts- und Verwaltungsvorschriften, insbesondere das Bayerische Gesetz über das Erziehungs- und Unterrichtswesen und die jeweilige Schulordnung, soweit sie für die Schule verpflichtend sind, und diese Dienstordnung beachtet werden.</w:t>
      </w:r>
    </w:p>
    <w:p w:rsidR="00BE1EFE" w:rsidRDefault="00BE1EFE" w:rsidP="008545F1">
      <w:pPr>
        <w:pStyle w:val="StandardWeb"/>
      </w:pPr>
    </w:p>
    <w:p w:rsidR="00BE1EFE" w:rsidRPr="008545F1" w:rsidRDefault="00BE1EFE" w:rsidP="008545F1">
      <w:pPr>
        <w:pStyle w:val="StandardWeb"/>
      </w:pPr>
      <w:r>
        <w:t>(5) </w:t>
      </w:r>
      <w:r w:rsidRPr="008545F1">
        <w:rPr>
          <w:vertAlign w:val="subscript"/>
        </w:rPr>
        <w:t>1</w:t>
      </w:r>
      <w:r w:rsidRPr="008545F1">
        <w:t>Zu der Vertretung der Schule durch die Schulleiterin bzw. den Schulleiter nach außen (</w:t>
      </w:r>
      <w:hyperlink r:id="rId1936" w:history="1">
        <w:r w:rsidRPr="009752DF">
          <w:rPr>
            <w:rStyle w:val="Hyperlink"/>
          </w:rPr>
          <w:t>Art. 57 Abs. 3 BayEUG</w:t>
        </w:r>
      </w:hyperlink>
      <w:r w:rsidRPr="008545F1">
        <w:t>) gehört insbesondere die Vertretung gegenü</w:t>
      </w:r>
      <w:r>
        <w:t>ber den Erziehungs</w:t>
      </w:r>
      <w:r w:rsidRPr="008545F1">
        <w:t>berechtig</w:t>
      </w:r>
      <w:r>
        <w:softHyphen/>
      </w:r>
      <w:r w:rsidRPr="008545F1">
        <w:t xml:space="preserve">ten, dem Katholischen Schulwerk in Bayern, den Ausbildenden, den Arbeitgebern, den Aufsichtsbehörden und sonstigen Stellen. </w:t>
      </w:r>
      <w:r w:rsidRPr="008545F1">
        <w:rPr>
          <w:vertAlign w:val="subscript"/>
        </w:rPr>
        <w:t>2</w:t>
      </w:r>
      <w:r w:rsidRPr="008545F1">
        <w:t xml:space="preserve">Der Schulträger kann sich allgemein oder für den Einzelfall sowie für bestimmte Aufgaben die Vertretung der Schule nach außen vorbehalten. </w:t>
      </w:r>
      <w:r w:rsidRPr="008545F1">
        <w:rPr>
          <w:vertAlign w:val="subscript"/>
        </w:rPr>
        <w:t>3</w:t>
      </w:r>
      <w:r w:rsidRPr="008545F1">
        <w:t>Die Schulleiterin bzw. der Schulleiter spricht für die Schule beim Schulträger.</w:t>
      </w:r>
    </w:p>
    <w:p w:rsidR="00BE1EFE" w:rsidRDefault="00BE1EFE">
      <w:pPr>
        <w:pStyle w:val="StandardWeb"/>
      </w:pPr>
    </w:p>
    <w:p w:rsidR="00BE1EFE" w:rsidRDefault="00BE1EFE" w:rsidP="0054275E">
      <w:pPr>
        <w:pStyle w:val="StandardWeb"/>
        <w:autoSpaceDE w:val="0"/>
      </w:pPr>
      <w:r>
        <w:rPr>
          <w:rStyle w:val="Fett"/>
          <w:bCs/>
        </w:rPr>
        <w:t>§ 23 Stellvertretung</w:t>
      </w:r>
    </w:p>
    <w:p w:rsidR="00BE1EFE" w:rsidRDefault="00BE1EFE">
      <w:pPr>
        <w:pStyle w:val="StandardWeb"/>
      </w:pPr>
    </w:p>
    <w:p w:rsidR="00BE1EFE" w:rsidRPr="00F251B2" w:rsidRDefault="00BE1EFE" w:rsidP="008545F1">
      <w:pPr>
        <w:jc w:val="both"/>
      </w:pPr>
      <w:r>
        <w:t>(1) </w:t>
      </w:r>
      <w:r w:rsidRPr="00F251B2">
        <w:t>In der Regel wird durch den Schulträger für jede Schule eine ständige Vertreterin bzw. ein ständiger Vertreter der Schulleiterin bzw. des Schulleiters bestellt.</w:t>
      </w:r>
    </w:p>
    <w:p w:rsidR="00BE1EFE" w:rsidRPr="00F251B2" w:rsidRDefault="00BE1EFE" w:rsidP="008545F1">
      <w:pPr>
        <w:jc w:val="both"/>
      </w:pPr>
      <w:r>
        <w:lastRenderedPageBreak/>
        <w:t>(2) </w:t>
      </w:r>
      <w:r w:rsidRPr="00F251B2">
        <w:rPr>
          <w:vertAlign w:val="subscript"/>
        </w:rPr>
        <w:t>1</w:t>
      </w:r>
      <w:r w:rsidRPr="00F251B2">
        <w:t xml:space="preserve">Bei Abwesenheit der Schulleiterin bzw. des Schulleiters von der Schule werden die Aufgaben und Befugnisse der Schulleitung von der ständigen Vertreterin bzw. vom ständigen Vertreter im erforderlichen Umfang wahrgenommen. </w:t>
      </w:r>
      <w:r w:rsidRPr="00F251B2">
        <w:rPr>
          <w:vertAlign w:val="subscript"/>
        </w:rPr>
        <w:t>2</w:t>
      </w:r>
      <w:r w:rsidRPr="00F251B2">
        <w:t xml:space="preserve">Die Schulleiterin bzw. der Schulleiter muss die ständige Vertreterin bzw. den ständigen Vertreter über alle bedeutsamen Vorgänge laufend unterrichten. </w:t>
      </w:r>
      <w:r w:rsidRPr="00F251B2">
        <w:rPr>
          <w:vertAlign w:val="subscript"/>
        </w:rPr>
        <w:t>3</w:t>
      </w:r>
      <w:r w:rsidRPr="00F251B2">
        <w:t>Der ständigen Vertreterin bzw. dem ständigen Vertreter und etwaigen weiteren Stellvertreterinnen bzw. Stellvertretern werden von der Schulleiterin bzw. dem Schulleiter bestimmte Aufgaben in angemessenem Umfang zur Erledigung übertragen.</w:t>
      </w:r>
    </w:p>
    <w:p w:rsidR="00BE1EFE" w:rsidRDefault="00BE1EFE" w:rsidP="008545F1">
      <w:pPr>
        <w:jc w:val="both"/>
      </w:pPr>
    </w:p>
    <w:p w:rsidR="00BE1EFE" w:rsidRPr="00F251B2" w:rsidRDefault="00BE1EFE" w:rsidP="008545F1">
      <w:pPr>
        <w:jc w:val="both"/>
      </w:pPr>
      <w:r>
        <w:t>(3) </w:t>
      </w:r>
      <w:r w:rsidRPr="00F251B2">
        <w:rPr>
          <w:vertAlign w:val="subscript"/>
        </w:rPr>
        <w:t>1</w:t>
      </w:r>
      <w:r w:rsidRPr="00F251B2">
        <w:t xml:space="preserve">Soweit die Stellvertreterinnen bzw. Stellvertreter an der Wahrnehmung ihrer Aufgaben verhindert sind, übernimmt jeweils die dienstälteste Lehrkraft die Vertretungsaufgaben, wenn keine anderweitige Regelung getroffen ist. </w:t>
      </w:r>
      <w:r w:rsidRPr="00F251B2">
        <w:rPr>
          <w:vertAlign w:val="subscript"/>
        </w:rPr>
        <w:t>2</w:t>
      </w:r>
      <w:r w:rsidRPr="00F251B2">
        <w:t xml:space="preserve">Für die Zeit der Ferien oder in außergewöhnlichen Fällen kann die Schulleiterin bzw. der Schulleiter im Bedarfsfall andere Lehrkräfte mit der Vertretung beauftragen. </w:t>
      </w:r>
      <w:r w:rsidRPr="00F251B2">
        <w:rPr>
          <w:vertAlign w:val="subscript"/>
        </w:rPr>
        <w:t>3</w:t>
      </w:r>
      <w:r w:rsidRPr="00F251B2">
        <w:t>Zur Übernahme der Vertretung ist jede Lehrkraft verpflichtet.</w:t>
      </w:r>
    </w:p>
    <w:p w:rsidR="00BE1EFE" w:rsidRDefault="00BE1EFE">
      <w:pPr>
        <w:pStyle w:val="StandardWeb"/>
      </w:pPr>
    </w:p>
    <w:p w:rsidR="00BE1EFE" w:rsidRDefault="00BE1EFE" w:rsidP="0054275E">
      <w:pPr>
        <w:pStyle w:val="StandardWeb"/>
        <w:autoSpaceDE w:val="0"/>
      </w:pPr>
      <w:r>
        <w:rPr>
          <w:rStyle w:val="Fett"/>
          <w:bCs/>
        </w:rPr>
        <w:t>§ 24 Anwesenheit der Schulleiterin bzw. des Schulleiters</w:t>
      </w:r>
    </w:p>
    <w:p w:rsidR="00BE1EFE" w:rsidRDefault="00BE1EFE">
      <w:pPr>
        <w:pStyle w:val="StandardWeb"/>
      </w:pPr>
    </w:p>
    <w:p w:rsidR="00BE1EFE" w:rsidRPr="00F251B2" w:rsidRDefault="00BE1EFE" w:rsidP="008545F1">
      <w:pPr>
        <w:jc w:val="both"/>
      </w:pPr>
      <w:r>
        <w:t>(1) </w:t>
      </w:r>
      <w:r w:rsidRPr="00F251B2">
        <w:rPr>
          <w:vertAlign w:val="subscript"/>
        </w:rPr>
        <w:t>1</w:t>
      </w:r>
      <w:r w:rsidRPr="00F251B2">
        <w:t xml:space="preserve">Die Wahrnehmung der Geschäfte der Schulleitung muss während des gesamten Schuljahres einschließlich der Ferien gewährleistet sein. </w:t>
      </w:r>
      <w:r w:rsidRPr="00F251B2">
        <w:rPr>
          <w:vertAlign w:val="subscript"/>
        </w:rPr>
        <w:t>2</w:t>
      </w:r>
      <w:r w:rsidRPr="00F251B2">
        <w:t xml:space="preserve">Von Dienstzeiten ausgenommen sind der Erholungsurlaub der Schulleiterin bzw. des Schulleiters. </w:t>
      </w:r>
      <w:r w:rsidRPr="00F251B2">
        <w:rPr>
          <w:vertAlign w:val="subscript"/>
        </w:rPr>
        <w:t>3</w:t>
      </w:r>
      <w:r w:rsidRPr="00F251B2">
        <w:t xml:space="preserve">Die Schulleiterin bzw. der Schulleiter muss in der Regel während der Dienstzeit in der Schule anwesend sein. </w:t>
      </w:r>
      <w:r w:rsidRPr="00F251B2">
        <w:rPr>
          <w:vertAlign w:val="subscript"/>
        </w:rPr>
        <w:t>4</w:t>
      </w:r>
      <w:r w:rsidRPr="00F251B2">
        <w:t>Der Schulträger kann im Rahmen der rechtlichen Vorgaben nähere Regelungen insbesondere zur Wahrnehmung der Geschäfte während der Ferien, zur Dauer und Lage der täglichen Dienstzeit und zur Anwesenheit während der Unterrichtszeit treffen.</w:t>
      </w:r>
    </w:p>
    <w:p w:rsidR="00BE1EFE" w:rsidRDefault="00BE1EFE" w:rsidP="008545F1">
      <w:pPr>
        <w:jc w:val="both"/>
      </w:pPr>
    </w:p>
    <w:p w:rsidR="00BE1EFE" w:rsidRPr="00F251B2" w:rsidRDefault="00BE1EFE" w:rsidP="008545F1">
      <w:pPr>
        <w:jc w:val="both"/>
      </w:pPr>
      <w:r>
        <w:t>(2) </w:t>
      </w:r>
      <w:r w:rsidRPr="00F251B2">
        <w:rPr>
          <w:vertAlign w:val="subscript"/>
        </w:rPr>
        <w:t>1</w:t>
      </w:r>
      <w:r w:rsidRPr="00F251B2">
        <w:t xml:space="preserve">Die Schulleiterin bzw. der Schulleiter zeigt ihren bzw. seinen Erholungsurlaub unter Benennung der Vertreterin bzw. des Vertreters dem Schulträger an. </w:t>
      </w:r>
      <w:r w:rsidRPr="00F251B2">
        <w:rPr>
          <w:vertAlign w:val="subscript"/>
        </w:rPr>
        <w:t>2</w:t>
      </w:r>
      <w:r w:rsidRPr="00F251B2">
        <w:t>Der Erholungsurlaub der Schulleiterin bzw. des Schulleiters außerhalb der Ferien bedarf der Einwilligung des Schulträgers, bei Beamtinnen und Beamten des Katholischen Schulwerks in Bayern auch des Katholischen Schulwerks in Bayerns.</w:t>
      </w:r>
    </w:p>
    <w:p w:rsidR="00BE1EFE" w:rsidRDefault="00BE1EFE" w:rsidP="008545F1">
      <w:pPr>
        <w:jc w:val="both"/>
      </w:pPr>
    </w:p>
    <w:p w:rsidR="00BE1EFE" w:rsidRPr="00F251B2" w:rsidRDefault="00BE1EFE" w:rsidP="008545F1">
      <w:pPr>
        <w:jc w:val="both"/>
      </w:pPr>
      <w:r>
        <w:t>(3) </w:t>
      </w:r>
      <w:r w:rsidRPr="00F251B2">
        <w:t xml:space="preserve">Erkrankungen von mehr als drei Kalendertagen und die Wiederaufnahme des Dienstes der Schulleiterin bzw. des Schulleiters und im Vertretungsfall die der Vertreterin bzw. des Vertreters sind dem Schulträger, bei </w:t>
      </w:r>
      <w:r>
        <w:t xml:space="preserve">Beamtinnen und </w:t>
      </w:r>
      <w:r w:rsidRPr="00F251B2">
        <w:t>Beamten des Katholischen Schulwerks in Bayern auch dem Katholischen Schulwerk in Bayern anzuzeigen.</w:t>
      </w:r>
    </w:p>
    <w:p w:rsidR="00BE1EFE" w:rsidRDefault="00BE1EFE">
      <w:pPr>
        <w:pStyle w:val="StandardWeb"/>
      </w:pPr>
    </w:p>
    <w:p w:rsidR="00BE1EFE" w:rsidRDefault="00BE1EFE" w:rsidP="0054275E">
      <w:pPr>
        <w:pStyle w:val="StandardWeb"/>
        <w:autoSpaceDE w:val="0"/>
      </w:pPr>
      <w:r>
        <w:rPr>
          <w:rStyle w:val="Fett"/>
          <w:bCs/>
        </w:rPr>
        <w:t>§ 25 Einzelne Aufgaben der Schulleiterin bzw. des Schulleiters</w:t>
      </w:r>
    </w:p>
    <w:p w:rsidR="00BE1EFE" w:rsidRDefault="00BE1EFE">
      <w:pPr>
        <w:pStyle w:val="StandardWeb"/>
      </w:pPr>
    </w:p>
    <w:p w:rsidR="00BE1EFE" w:rsidRPr="00F251B2" w:rsidRDefault="00BE1EFE" w:rsidP="004F0B3D">
      <w:pPr>
        <w:jc w:val="both"/>
      </w:pPr>
      <w:r>
        <w:t>(1) </w:t>
      </w:r>
      <w:r w:rsidRPr="00F251B2">
        <w:rPr>
          <w:vertAlign w:val="subscript"/>
        </w:rPr>
        <w:t>1</w:t>
      </w:r>
      <w:r w:rsidRPr="00F251B2">
        <w:t xml:space="preserve">Die Schulleiterin bzw. der Schulleiter leitet die Aufnahme der Schülerinnen, Schüler und Studierenden, regelt ihre Zuteilung zu Klassen und Gruppen, sowie die Verteilung der Unterrichtsräume und verteilt den Unterricht und die sonstigen dienstlichen Aufgaben auf die Lehrkräfte, jeweils nach Maßgabe der bestehenden Vorschriften und der Vorgaben des Schulträgers. </w:t>
      </w:r>
      <w:r w:rsidRPr="00F251B2">
        <w:rPr>
          <w:vertAlign w:val="subscript"/>
        </w:rPr>
        <w:t>2</w:t>
      </w:r>
      <w:r w:rsidRPr="00F251B2">
        <w:t xml:space="preserve">Dabei sowie bei der Bestellung der Klassenleiterinnen bzw. Klassenleiter sollen die besonderen Gegebenheiten der Klasse und die fachliche und persönliche Eignung der Lehrkräfte sowie deren weitere Dienstaufgaben berücksichtigt werden. </w:t>
      </w:r>
      <w:r w:rsidRPr="00F251B2">
        <w:rPr>
          <w:vertAlign w:val="subscript"/>
        </w:rPr>
        <w:t>3</w:t>
      </w:r>
      <w:r w:rsidRPr="00F251B2">
        <w:t xml:space="preserve">Das Dienstalter und die Besonderheiten der Ausbildung sind zu beachten, begründen aber ebenso wenig Vorrechte wie eine etwaige Teilzeitbeschäftigung. </w:t>
      </w:r>
      <w:r w:rsidRPr="00F251B2">
        <w:rPr>
          <w:vertAlign w:val="subscript"/>
        </w:rPr>
        <w:t>4</w:t>
      </w:r>
      <w:r w:rsidRPr="00F251B2">
        <w:t xml:space="preserve">Die Schulleiterin bzw. der Schulleiter achtet auf eine möglichst gleichmäßige Belastung der Lehrkräfte, auch hinsichtlich ihrer außerunterrichtlichen Aufgaben und schulischer Veranstaltungen. </w:t>
      </w:r>
      <w:r w:rsidRPr="00F251B2">
        <w:rPr>
          <w:vertAlign w:val="subscript"/>
        </w:rPr>
        <w:t>5</w:t>
      </w:r>
      <w:r w:rsidRPr="00F251B2">
        <w:t xml:space="preserve">Begründeten Wünschen der Lehrkräfte bezüglich ihres Einsatzes kann im Rahmen des Möglichen Rechnung getragen werden. </w:t>
      </w:r>
      <w:r w:rsidRPr="00F251B2">
        <w:rPr>
          <w:vertAlign w:val="subscript"/>
        </w:rPr>
        <w:t>6</w:t>
      </w:r>
      <w:r w:rsidRPr="00F251B2">
        <w:t xml:space="preserve">Die Schulleiterin bzw. der Schulleiter trägt Sorge für regelmäßige Angebote zur Förderung der Lehrergesundheit. </w:t>
      </w:r>
      <w:r w:rsidRPr="00F251B2">
        <w:rPr>
          <w:vertAlign w:val="subscript"/>
        </w:rPr>
        <w:t>7</w:t>
      </w:r>
      <w:r w:rsidRPr="00F251B2">
        <w:t xml:space="preserve">Die Belange schwerbehinderter Lehrkräfte hat die Schulleiterin bzw. der Schulleiter zu beachten (§ 7). </w:t>
      </w:r>
      <w:r w:rsidRPr="00F251B2">
        <w:rPr>
          <w:vertAlign w:val="subscript"/>
        </w:rPr>
        <w:t>8</w:t>
      </w:r>
      <w:r w:rsidRPr="00F251B2">
        <w:t xml:space="preserve">Außerdem hat die Schulleiterin bzw. der Schulleiter dafür Sorge zu tragen, dass die Vereinbarkeit von Beruf und Familie beim </w:t>
      </w:r>
      <w:r w:rsidRPr="00F251B2">
        <w:lastRenderedPageBreak/>
        <w:t>Personaleinsatz berücksichtigt wird (z.</w:t>
      </w:r>
      <w:r>
        <w:t> </w:t>
      </w:r>
      <w:r w:rsidRPr="00F251B2">
        <w:t xml:space="preserve">B. bei Lehrkräften in familienpolitischer Teilzeit und Elternzeit hinsichtlich der Unterrichtsverteilung und der Heranziehung </w:t>
      </w:r>
      <w:r>
        <w:t>zu</w:t>
      </w:r>
      <w:r w:rsidRPr="00F251B2">
        <w:t xml:space="preserve"> außerunterrichtlichen Aufgaben). </w:t>
      </w:r>
      <w:r w:rsidRPr="00F251B2">
        <w:rPr>
          <w:vertAlign w:val="subscript"/>
        </w:rPr>
        <w:t>9</w:t>
      </w:r>
      <w:r w:rsidRPr="00F251B2">
        <w:t>Die Lehrkraft hat jedoch insbesondere keinen Anspruch auf den Unterricht in bestimmten Klassen oder Gruppen oder zu bestimmten Zeiten oder auf einen unterrichtsfreien Tag im Stundenplan.</w:t>
      </w:r>
    </w:p>
    <w:p w:rsidR="00BE1EFE" w:rsidRDefault="00BE1EFE" w:rsidP="004F0B3D">
      <w:pPr>
        <w:jc w:val="both"/>
      </w:pPr>
    </w:p>
    <w:p w:rsidR="00BE1EFE" w:rsidRPr="00F251B2" w:rsidRDefault="00BE1EFE" w:rsidP="004F0B3D">
      <w:pPr>
        <w:jc w:val="both"/>
      </w:pPr>
      <w:r>
        <w:t>(2) </w:t>
      </w:r>
      <w:r w:rsidRPr="00F251B2">
        <w:rPr>
          <w:vertAlign w:val="subscript"/>
        </w:rPr>
        <w:t>1</w:t>
      </w:r>
      <w:r w:rsidRPr="00F251B2">
        <w:t xml:space="preserve">Über die in der Dienstordnung und in den Schulordnungen geregelten Fälle hinaus kann die Schulleiterin bzw. der Schulleiter das Kollegium oder Teile des Kollegiums aus besonderen Gründen auch kurzfristig zu Dienstbesprechungen einberufen. </w:t>
      </w:r>
      <w:r w:rsidRPr="00F251B2">
        <w:rPr>
          <w:vertAlign w:val="subscript"/>
        </w:rPr>
        <w:t>2</w:t>
      </w:r>
      <w:r w:rsidRPr="00F251B2">
        <w:t xml:space="preserve">Die in den Schulordnungen geregelten Zuständigkeiten der Lehrerkonferenz bleiben davon unberührt. </w:t>
      </w:r>
      <w:r w:rsidRPr="00F251B2">
        <w:rPr>
          <w:vertAlign w:val="subscript"/>
        </w:rPr>
        <w:t>3</w:t>
      </w:r>
      <w:r w:rsidRPr="00F251B2">
        <w:t>Insbesondere können bei diesen Dienstbesprechungen keine Beschlüsse gefasst werden, die der Lehrerkonferenz vorbehalten sind.</w:t>
      </w:r>
    </w:p>
    <w:p w:rsidR="00BE1EFE" w:rsidRDefault="00BE1EFE" w:rsidP="004F0B3D">
      <w:pPr>
        <w:jc w:val="both"/>
      </w:pPr>
    </w:p>
    <w:p w:rsidR="00BE1EFE" w:rsidRPr="00F251B2" w:rsidRDefault="00BE1EFE" w:rsidP="004F0B3D">
      <w:pPr>
        <w:jc w:val="both"/>
      </w:pPr>
      <w:r>
        <w:t>(3) </w:t>
      </w:r>
      <w:r w:rsidRPr="00F251B2">
        <w:rPr>
          <w:vertAlign w:val="subscript"/>
        </w:rPr>
        <w:t>1</w:t>
      </w:r>
      <w:r w:rsidRPr="00F251B2">
        <w:t xml:space="preserve">Die Schulleiterin bzw. der Schulleiter informiert sich über das Unterrichtsgeschehen auch durch Besuch des Unterrichts. </w:t>
      </w:r>
      <w:r w:rsidRPr="00F251B2">
        <w:rPr>
          <w:vertAlign w:val="subscript"/>
        </w:rPr>
        <w:t>2</w:t>
      </w:r>
      <w:r w:rsidRPr="00F251B2">
        <w:t xml:space="preserve">Sie bzw. er achtet unter anderem darauf, dass die Anforderungen in den einzelnen Fächern das rechte Maß einhalten. </w:t>
      </w:r>
      <w:r w:rsidRPr="00F251B2">
        <w:rPr>
          <w:vertAlign w:val="subscript"/>
        </w:rPr>
        <w:t>3</w:t>
      </w:r>
      <w:r>
        <w:t xml:space="preserve">Die Beobachtungen werden </w:t>
      </w:r>
      <w:r w:rsidRPr="00F251B2">
        <w:t>mit der Lehrkraft besprochen.</w:t>
      </w:r>
    </w:p>
    <w:p w:rsidR="00BE1EFE" w:rsidRDefault="00BE1EFE" w:rsidP="004F0B3D">
      <w:pPr>
        <w:jc w:val="both"/>
      </w:pPr>
    </w:p>
    <w:p w:rsidR="00BE1EFE" w:rsidRPr="00F251B2" w:rsidRDefault="00BE1EFE" w:rsidP="004F0B3D">
      <w:pPr>
        <w:jc w:val="both"/>
      </w:pPr>
      <w:r>
        <w:t>(4) </w:t>
      </w:r>
      <w:r w:rsidRPr="00F251B2">
        <w:t>Die Führung von Mitarbeitergesprächen durch die Schulleiterin bzw. den Schulleiter richtet sich nach den jeweiligen arbeits- bzw. dienstrechtlichen Regelungen.</w:t>
      </w:r>
    </w:p>
    <w:p w:rsidR="00BE1EFE" w:rsidRDefault="00BE1EFE" w:rsidP="004F0B3D">
      <w:pPr>
        <w:jc w:val="both"/>
      </w:pPr>
    </w:p>
    <w:p w:rsidR="00BE1EFE" w:rsidRPr="00F251B2" w:rsidRDefault="00BE1EFE" w:rsidP="004F0B3D">
      <w:pPr>
        <w:jc w:val="both"/>
      </w:pPr>
      <w:r>
        <w:t>(5) </w:t>
      </w:r>
      <w:r w:rsidRPr="00F251B2">
        <w:rPr>
          <w:vertAlign w:val="subscript"/>
        </w:rPr>
        <w:t>1</w:t>
      </w:r>
      <w:r w:rsidRPr="00F251B2">
        <w:t xml:space="preserve">Die Schulleiterin bzw. der Schulleiter sorgt für eine gleichmäßige Verteilung der schriftlichen Aufgaben über das ganze Schuljahr sowie für die Angemessenheit der Aufgabenstellung und der Benotung durch die Lehrkräfte. </w:t>
      </w:r>
      <w:r w:rsidRPr="00F251B2">
        <w:rPr>
          <w:vertAlign w:val="subscript"/>
        </w:rPr>
        <w:t>2</w:t>
      </w:r>
      <w:r w:rsidRPr="00F251B2">
        <w:t xml:space="preserve">Hält die Schulleiterin bzw. der Schulleiter die Änderung einer Note für erforderlich, ohne ein Einverständnis mit der Lehrkraft hierüber erzielen zu können, so entscheidet die Lehrerkonferenz. </w:t>
      </w:r>
      <w:r w:rsidRPr="00F251B2">
        <w:rPr>
          <w:vertAlign w:val="subscript"/>
        </w:rPr>
        <w:t>3</w:t>
      </w:r>
      <w:r w:rsidRPr="00F251B2">
        <w:t>Stellt sie bzw. er nach Rücksprache mit der Lehrkraft und gegebenenfalls mit der Fachbetreuerin bzw. dem Fach</w:t>
      </w:r>
      <w:r>
        <w:softHyphen/>
      </w:r>
      <w:r w:rsidRPr="00F251B2">
        <w:t>betreuer der Schule fest, dass die Anforderungen in einer Schulaufgabe, Klausur, Kurzarbeit, Probearbeit, Stegreifaufgabe oder einem anderen schriftlichen Leistungsnachweis für die Jahrgangsstufe nicht angemessen waren oder der Lehrstoff nicht genügend vorbereitet war, so kann die Aufgabe für ungültig erklärt und die Anfertigung einer neuen angeordnet werden.</w:t>
      </w:r>
    </w:p>
    <w:p w:rsidR="00BE1EFE" w:rsidRDefault="00BE1EFE" w:rsidP="004F0B3D">
      <w:pPr>
        <w:jc w:val="both"/>
      </w:pPr>
    </w:p>
    <w:p w:rsidR="00BE1EFE" w:rsidRPr="00F251B2" w:rsidRDefault="00BE1EFE" w:rsidP="004F0B3D">
      <w:pPr>
        <w:jc w:val="both"/>
      </w:pPr>
      <w:r>
        <w:t>(6) </w:t>
      </w:r>
      <w:r w:rsidRPr="00F251B2">
        <w:rPr>
          <w:vertAlign w:val="subscript"/>
        </w:rPr>
        <w:t>1</w:t>
      </w:r>
      <w:r w:rsidRPr="00F251B2">
        <w:t xml:space="preserve">Die Schulleiterin bzw. der Schulleiter unterrichtet die Lehrkräfte über Regelungen und Weisungen des Schulträgers, berechtigte Anordnungen der Schulaufsichtsbehörden nach </w:t>
      </w:r>
      <w:hyperlink r:id="rId1937" w:history="1">
        <w:r w:rsidRPr="009D4125">
          <w:rPr>
            <w:rStyle w:val="Hyperlink"/>
          </w:rPr>
          <w:t>Art. 113 BayEUG</w:t>
        </w:r>
      </w:hyperlink>
      <w:r w:rsidRPr="00F251B2">
        <w:t>, Mitteilungen des Katholischen Schulwerks in Bayern oder des Landes-Caritas</w:t>
      </w:r>
      <w:r>
        <w:softHyphen/>
      </w:r>
      <w:r w:rsidRPr="00F251B2">
        <w:t xml:space="preserve">verbandes und im Rahmen der bestehenden Vorschriften über alle wesentlichen Angelegenheiten der Schule. </w:t>
      </w:r>
      <w:r w:rsidRPr="00F251B2">
        <w:rPr>
          <w:vertAlign w:val="subscript"/>
        </w:rPr>
        <w:t>2</w:t>
      </w:r>
      <w:r w:rsidRPr="00F251B2">
        <w:t xml:space="preserve">Für die Unterrichtung des Elternbeirats gilt die an der Schule bestehende Regelung der Elternmitwirkung. </w:t>
      </w:r>
      <w:r w:rsidRPr="00F251B2">
        <w:rPr>
          <w:vertAlign w:val="subscript"/>
        </w:rPr>
        <w:t>3</w:t>
      </w:r>
      <w:r w:rsidRPr="00F251B2">
        <w:t xml:space="preserve">Die Schulleiterin bzw. der Schulleiter sorgt für eine sachlich fundierte Erörterung pädagogischer und fachlicher Fragen in den Konferenzen, damit neue Erkenntnisse in Pädagogik, Didaktik und Fachwissenschaften in die Arbeit der Schule einbezogen werden. </w:t>
      </w:r>
      <w:r w:rsidRPr="00F251B2">
        <w:rPr>
          <w:vertAlign w:val="subscript"/>
        </w:rPr>
        <w:t>4</w:t>
      </w:r>
      <w:r w:rsidRPr="00F251B2">
        <w:t xml:space="preserve">Die Schulleiterin bzw. der Schulleiter ist verantwortlich für die Schulentwicklung. </w:t>
      </w:r>
      <w:r w:rsidRPr="00F251B2">
        <w:rPr>
          <w:vertAlign w:val="subscript"/>
        </w:rPr>
        <w:t>5</w:t>
      </w:r>
      <w:r w:rsidRPr="00F251B2">
        <w:t>Die Schulleiterin bzw. der Schulleiter achtet in den Konferenzen darauf, dass die umfassende religiöse Erziehung als Prinzip des Unterrichts und der Gestaltung des Schullebens Berücksichtigung findet.</w:t>
      </w:r>
    </w:p>
    <w:p w:rsidR="00BE1EFE" w:rsidRDefault="00BE1EFE" w:rsidP="004F0B3D">
      <w:pPr>
        <w:jc w:val="both"/>
      </w:pPr>
    </w:p>
    <w:p w:rsidR="00BE1EFE" w:rsidRPr="00F251B2" w:rsidRDefault="00BE1EFE" w:rsidP="004F0B3D">
      <w:pPr>
        <w:jc w:val="both"/>
      </w:pPr>
      <w:r>
        <w:t>(7) </w:t>
      </w:r>
      <w:r w:rsidRPr="00F251B2">
        <w:rPr>
          <w:vertAlign w:val="subscript"/>
        </w:rPr>
        <w:t>1</w:t>
      </w:r>
      <w:r w:rsidRPr="00F251B2">
        <w:t xml:space="preserve">Die Schulleiterin bzw. der Schulleiter überwacht die Ordnungsmaßnahmen. </w:t>
      </w:r>
      <w:r w:rsidRPr="00F251B2">
        <w:rPr>
          <w:vertAlign w:val="subscript"/>
        </w:rPr>
        <w:t>2</w:t>
      </w:r>
      <w:r w:rsidRPr="00F251B2">
        <w:t xml:space="preserve">Näheres kann eine an der Schule bestehende Regelung über Ordnungsmaßnahmen bestimmen. </w:t>
      </w:r>
      <w:r w:rsidRPr="00F251B2">
        <w:rPr>
          <w:vertAlign w:val="subscript"/>
        </w:rPr>
        <w:t>3</w:t>
      </w:r>
      <w:r w:rsidRPr="00F251B2">
        <w:t>Im Übrigen werden der Schulleiterin bzw. dem Schulleiter die schriftlichen Mitteilungen über Ordnungsmaßnahmen an die Erziehungsberechtigten, gegebenenfalls an die Ausbildenden oder Arbeitgeber, vor Auslauf vorgelegt.</w:t>
      </w:r>
    </w:p>
    <w:p w:rsidR="00BE1EFE" w:rsidRDefault="00BE1EFE" w:rsidP="004F0B3D">
      <w:pPr>
        <w:jc w:val="both"/>
      </w:pPr>
    </w:p>
    <w:p w:rsidR="00BE1EFE" w:rsidRPr="00F251B2" w:rsidRDefault="00BE1EFE" w:rsidP="004F0B3D">
      <w:pPr>
        <w:jc w:val="both"/>
      </w:pPr>
      <w:r>
        <w:t>(8) </w:t>
      </w:r>
      <w:r w:rsidRPr="00F251B2">
        <w:rPr>
          <w:vertAlign w:val="subscript"/>
        </w:rPr>
        <w:t>1</w:t>
      </w:r>
      <w:r w:rsidRPr="00F251B2">
        <w:t xml:space="preserve">Die Schulleiterin bzw. der Schulleiter hat für eine ordnungsgemäße Aufbewahrung der Akten, insbesondere für eine sichere Aufbewahrung von Prüfungsaufgaben, schutzwürdigen </w:t>
      </w:r>
      <w:r w:rsidRPr="00F251B2">
        <w:lastRenderedPageBreak/>
        <w:t xml:space="preserve">Formularen und ähnlichen Schriftstücken zu sorgen. </w:t>
      </w:r>
      <w:r w:rsidRPr="00F251B2">
        <w:rPr>
          <w:vertAlign w:val="subscript"/>
        </w:rPr>
        <w:t>2</w:t>
      </w:r>
      <w:r w:rsidRPr="00F251B2">
        <w:t>Soweit in der Schulanlage eine sichere Aufbewahrung nicht möglich ist, hat sie bzw. er sich an den Schulträger zu wenden.</w:t>
      </w:r>
    </w:p>
    <w:p w:rsidR="00BE1EFE" w:rsidRDefault="00BE1EFE" w:rsidP="004F0B3D">
      <w:pPr>
        <w:jc w:val="both"/>
      </w:pPr>
    </w:p>
    <w:p w:rsidR="00BE1EFE" w:rsidRPr="00F251B2" w:rsidRDefault="00BE1EFE" w:rsidP="004F0B3D">
      <w:pPr>
        <w:jc w:val="both"/>
      </w:pPr>
      <w:r>
        <w:t>(9) </w:t>
      </w:r>
      <w:r w:rsidRPr="00F251B2">
        <w:rPr>
          <w:vertAlign w:val="subscript"/>
        </w:rPr>
        <w:t>1</w:t>
      </w:r>
      <w:r w:rsidRPr="00F251B2">
        <w:t xml:space="preserve">Die Schulleiterin bzw. der Schulleiter arbeitet als Vertreterin bzw. Vertreter des Schulträgers unter Maßgabe der Beteiligungsrechte gemäß Mitarbeitervertretungsordnung mit der Mitarbeitervertretung vertrauensvoll zusammen. </w:t>
      </w:r>
      <w:r w:rsidRPr="00F251B2">
        <w:rPr>
          <w:vertAlign w:val="subscript"/>
        </w:rPr>
        <w:t>2</w:t>
      </w:r>
      <w:r w:rsidRPr="00F251B2">
        <w:t>Die Schulleiterin bzw. der Schulleiter und die Vertrauensperson der schwerbehinderten Mitarbeiterinnen und Mitarbeiter arbeiten außerdem in der Frage der Teilhabe schwerbehinderter Menschen im Arbeitsleben eng zusammen und bemühen sich um einvernehmliche Lösungen.</w:t>
      </w:r>
    </w:p>
    <w:p w:rsidR="00BE1EFE" w:rsidRDefault="00BE1EFE" w:rsidP="004F0B3D">
      <w:pPr>
        <w:jc w:val="both"/>
      </w:pPr>
    </w:p>
    <w:p w:rsidR="00BE1EFE" w:rsidRPr="00F251B2" w:rsidRDefault="00BE1EFE" w:rsidP="004F0B3D">
      <w:pPr>
        <w:jc w:val="both"/>
      </w:pPr>
      <w:r>
        <w:t>(10) </w:t>
      </w:r>
      <w:r w:rsidRPr="00F251B2">
        <w:t>Bei der Organisation von Maßnahmen der Jugendhilfe, insbesondere bei der Einrichtung und Durchführung von Jugendsozialarbeit an Schulen, kooperiert die Schulleiterin bzw. der Schulleiter mit den öffentlichen Trägern der Jugendhilfe.</w:t>
      </w:r>
    </w:p>
    <w:p w:rsidR="00BE1EFE" w:rsidRDefault="00BE1EFE" w:rsidP="004F0B3D">
      <w:pPr>
        <w:jc w:val="both"/>
      </w:pPr>
    </w:p>
    <w:p w:rsidR="00BE1EFE" w:rsidRPr="00F251B2" w:rsidRDefault="00BE1EFE" w:rsidP="004F0B3D">
      <w:pPr>
        <w:jc w:val="both"/>
      </w:pPr>
      <w:r>
        <w:t>(11) </w:t>
      </w:r>
      <w:r w:rsidRPr="00F251B2">
        <w:rPr>
          <w:vertAlign w:val="subscript"/>
        </w:rPr>
        <w:t>1</w:t>
      </w:r>
      <w:r w:rsidRPr="00F251B2">
        <w:t xml:space="preserve">Die Schulleiterin bzw. der Schulleiter informiert den Schulträger unverzüglich über alle die Schule betreffenden wesentlichen Vorgänge. </w:t>
      </w:r>
      <w:r w:rsidRPr="00F251B2">
        <w:rPr>
          <w:vertAlign w:val="subscript"/>
        </w:rPr>
        <w:t>2</w:t>
      </w:r>
      <w:r w:rsidRPr="00F251B2">
        <w:t xml:space="preserve">Dazu gehören insbesondere Probleme bei der Aufnahme von Schülerinnen, Schülern und Studierenden oder der Beendigung des Schulverhältnisses sowie solche Ereignisse, die für Rundfunk, Fernsehen oder Presse interessant sind, schwerwiegende Probleme mit Lehrkräften oder Erziehungsberechtigten, Informationen, die in den Medien über die Schule erscheinen sowie Besuche seitens der staatlichen Schulaufsicht und Ergebnisse daraus. </w:t>
      </w:r>
      <w:r w:rsidRPr="00F251B2">
        <w:rPr>
          <w:vertAlign w:val="subscript"/>
        </w:rPr>
        <w:t>3</w:t>
      </w:r>
      <w:r w:rsidRPr="00F251B2">
        <w:t>Die Schulleiterin bzw. der Schulleiter teilt Erkrankungen von Beamtinnen und Beamten des Katholischen Schulwerks in Bayern, die länger als sechs Wochen dauern, dem Katholischen Schulwerk in Bayern mit.</w:t>
      </w:r>
    </w:p>
    <w:p w:rsidR="00BE1EFE" w:rsidRDefault="00BE1EFE" w:rsidP="004F0B3D">
      <w:pPr>
        <w:jc w:val="both"/>
      </w:pPr>
    </w:p>
    <w:p w:rsidR="00BE1EFE" w:rsidRPr="00F251B2" w:rsidRDefault="00BE1EFE" w:rsidP="004F0B3D">
      <w:pPr>
        <w:jc w:val="both"/>
      </w:pPr>
      <w:r>
        <w:t>(12) </w:t>
      </w:r>
      <w:r w:rsidRPr="00F251B2">
        <w:rPr>
          <w:vertAlign w:val="subscript"/>
        </w:rPr>
        <w:t>1</w:t>
      </w:r>
      <w:r w:rsidRPr="00F251B2">
        <w:t xml:space="preserve">Die Schulleiterin bzw. der Schulleiter stellt dem Schulträger auf dessen Anforderung schriftliche Unterlagen, insbesondere Protokolle über Lehrer- und Klassenkonferenzen, Fachsitzungen, Sitzungen der Schülermitverantwortung oder Elternmitwirkung zur Verfügung. </w:t>
      </w:r>
      <w:r w:rsidRPr="00F251B2">
        <w:rPr>
          <w:vertAlign w:val="subscript"/>
        </w:rPr>
        <w:t>2</w:t>
      </w:r>
      <w:r w:rsidRPr="00F251B2">
        <w:t>Der Schulträger ist nach näherer Regelung durch den Schulträger von der Schulleiterin bzw. dem Schulleiter an schulischen Vorgängen zu beteiligen, z. B. bei bestimmten Ordnungs</w:t>
      </w:r>
      <w:r>
        <w:softHyphen/>
      </w:r>
      <w:r w:rsidRPr="00F251B2">
        <w:t>maßnahmen oder im Bereich der Elternmitwirkung.</w:t>
      </w:r>
    </w:p>
    <w:p w:rsidR="00BE1EFE" w:rsidRDefault="00BE1EFE">
      <w:pPr>
        <w:pStyle w:val="StandardWeb"/>
      </w:pPr>
    </w:p>
    <w:p w:rsidR="00BE1EFE" w:rsidRDefault="00BE1EFE" w:rsidP="004F0B3D">
      <w:pPr>
        <w:pStyle w:val="StandardWeb"/>
        <w:autoSpaceDE w:val="0"/>
        <w:rPr>
          <w:b/>
          <w:bCs/>
        </w:rPr>
      </w:pPr>
      <w:r w:rsidRPr="004F0B3D">
        <w:rPr>
          <w:b/>
          <w:bCs/>
        </w:rPr>
        <w:t>§ 26 Mittlere Führungsebene</w:t>
      </w:r>
    </w:p>
    <w:p w:rsidR="00BE1EFE" w:rsidRPr="004F0B3D" w:rsidRDefault="00BE1EFE" w:rsidP="004F0B3D">
      <w:pPr>
        <w:pStyle w:val="StandardWeb"/>
        <w:autoSpaceDE w:val="0"/>
        <w:rPr>
          <w:b/>
          <w:bCs/>
        </w:rPr>
      </w:pPr>
    </w:p>
    <w:p w:rsidR="00BE1EFE" w:rsidRPr="004F0B3D" w:rsidRDefault="00BE1EFE" w:rsidP="004F0B3D">
      <w:pPr>
        <w:pStyle w:val="StandardWeb"/>
        <w:autoSpaceDE w:val="0"/>
        <w:rPr>
          <w:bCs/>
        </w:rPr>
      </w:pPr>
      <w:r>
        <w:rPr>
          <w:bCs/>
        </w:rPr>
        <w:t>(1) </w:t>
      </w:r>
      <w:r w:rsidRPr="004F0B3D">
        <w:rPr>
          <w:bCs/>
        </w:rPr>
        <w:t>Soweit eine mittlere Führungsebene eingerichtet wurde, besteht diese aus den mit den Führungsaufgaben betrauten Lehrkräften.</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(2) </w:t>
      </w:r>
      <w:r w:rsidRPr="004F0B3D">
        <w:rPr>
          <w:bCs/>
        </w:rPr>
        <w:t>Die Schulleiterin bzw. der Schulleiter erstellt einen Geschäftsverteilungsplan, der jede Lehrkraft der Schule jeweils einem Mitglied der mittleren Führungsebene zuweist und die Aufgabenbereiche der Mitglieder der mittleren Führungsebene festlegt.</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(3) </w:t>
      </w:r>
      <w:r w:rsidRPr="004F0B3D">
        <w:rPr>
          <w:bCs/>
          <w:vertAlign w:val="subscript"/>
        </w:rPr>
        <w:t>1</w:t>
      </w:r>
      <w:r w:rsidRPr="004F0B3D">
        <w:rPr>
          <w:bCs/>
        </w:rPr>
        <w:t>Die Mitglieder der mittleren Führungsebene sind gegenüber den ihnen von der Schul</w:t>
      </w:r>
      <w:r>
        <w:rPr>
          <w:bCs/>
        </w:rPr>
        <w:softHyphen/>
      </w:r>
      <w:r w:rsidRPr="004F0B3D">
        <w:rPr>
          <w:bCs/>
        </w:rPr>
        <w:t>leiterin bzw. dem Schulleiter zugeordneten Lehrkräften weisungsberechtigt; das Weisungs</w:t>
      </w:r>
      <w:r>
        <w:rPr>
          <w:bCs/>
        </w:rPr>
        <w:softHyphen/>
      </w:r>
      <w:r w:rsidRPr="004F0B3D">
        <w:rPr>
          <w:bCs/>
        </w:rPr>
        <w:t xml:space="preserve">recht der Schulleiterin bzw. des Schulleiters gegenüber den Lehrkräften bleibt hiervon unberührt. </w:t>
      </w:r>
      <w:r w:rsidRPr="004F0B3D">
        <w:rPr>
          <w:bCs/>
          <w:vertAlign w:val="subscript"/>
        </w:rPr>
        <w:t>2</w:t>
      </w:r>
      <w:r w:rsidRPr="004F0B3D">
        <w:rPr>
          <w:bCs/>
        </w:rPr>
        <w:t>Die Schulleiterin bzw. der Schulleiter und die Mitglieder der mittleren Führungs</w:t>
      </w:r>
      <w:r>
        <w:rPr>
          <w:bCs/>
        </w:rPr>
        <w:softHyphen/>
      </w:r>
      <w:r w:rsidRPr="004F0B3D">
        <w:rPr>
          <w:bCs/>
        </w:rPr>
        <w:t>ebene informieren sich gegenseitig über bedeutsame laufende Vorgänge.</w:t>
      </w:r>
    </w:p>
    <w:p w:rsidR="00BE1EFE" w:rsidRDefault="00BE1EFE" w:rsidP="004F0B3D">
      <w:pPr>
        <w:pStyle w:val="StandardWeb"/>
        <w:autoSpaceDE w:val="0"/>
        <w:rPr>
          <w:bCs/>
        </w:rPr>
      </w:pPr>
    </w:p>
    <w:p w:rsidR="00BE1EFE" w:rsidRPr="004F0B3D" w:rsidRDefault="00BE1EFE" w:rsidP="004F0B3D">
      <w:pPr>
        <w:pStyle w:val="StandardWeb"/>
        <w:autoSpaceDE w:val="0"/>
        <w:rPr>
          <w:bCs/>
        </w:rPr>
      </w:pPr>
      <w:r>
        <w:rPr>
          <w:bCs/>
        </w:rPr>
        <w:t>(4) </w:t>
      </w:r>
      <w:r w:rsidRPr="004F0B3D">
        <w:rPr>
          <w:bCs/>
          <w:vertAlign w:val="subscript"/>
        </w:rPr>
        <w:t>1</w:t>
      </w:r>
      <w:r w:rsidRPr="004F0B3D">
        <w:rPr>
          <w:bCs/>
        </w:rPr>
        <w:t xml:space="preserve">Als Aufgaben der Personalführung kommen mit Bezug auf die zugeordneten Lehrkräften insbesondere die Wahrnehmung unterstützender Personalführungsinstrumente (z. B. Mitarbeitergespräche, Zielvereinbarungen, kollegiale Teambildung, Unterrichtsbesuche und deren beratende Nachbesprechung), die Durchführung von Teamsitzungen, die Begleitung von Berufsanfängerinnen und Berufsanfängern und die Mitwirkung bei der dienstlichen Beurteilung gemäß den Beurteilungsrichtlinien (ABD Teil B, 4.1. Anlage D </w:t>
      </w:r>
      <w:r>
        <w:rPr>
          <w:bCs/>
        </w:rPr>
        <w:t>–</w:t>
      </w:r>
      <w:r w:rsidRPr="004F0B3D">
        <w:rPr>
          <w:bCs/>
        </w:rPr>
        <w:t xml:space="preserve"> Dienstliche Beur</w:t>
      </w:r>
      <w:r>
        <w:rPr>
          <w:bCs/>
        </w:rPr>
        <w:softHyphen/>
      </w:r>
      <w:r w:rsidRPr="004F0B3D">
        <w:rPr>
          <w:bCs/>
        </w:rPr>
        <w:t>teilung und Leistungsfeststellung der Lehrkräfte, Schulleiterinnen und Schulleiter an katho</w:t>
      </w:r>
      <w:r>
        <w:rPr>
          <w:bCs/>
        </w:rPr>
        <w:softHyphen/>
      </w:r>
      <w:r w:rsidRPr="004F0B3D">
        <w:rPr>
          <w:bCs/>
        </w:rPr>
        <w:lastRenderedPageBreak/>
        <w:t xml:space="preserve">lischen Schulen </w:t>
      </w:r>
      <w:r>
        <w:rPr>
          <w:bCs/>
        </w:rPr>
        <w:t>–</w:t>
      </w:r>
      <w:r w:rsidRPr="004F0B3D">
        <w:rPr>
          <w:bCs/>
        </w:rPr>
        <w:t xml:space="preserve"> Abschnitt A) in der jeweils gültigen Fassung in Betracht. </w:t>
      </w:r>
      <w:r w:rsidRPr="004F0B3D">
        <w:rPr>
          <w:bCs/>
          <w:vertAlign w:val="subscript"/>
        </w:rPr>
        <w:t>2</w:t>
      </w:r>
      <w:r w:rsidRPr="004F0B3D">
        <w:rPr>
          <w:bCs/>
        </w:rPr>
        <w:t>Den Mitgliedern der mittleren Führungsebene können darüber hinaus Aufgaben nach Maßgabe der schulartspezifischen Funktionenkataloge übertragen werden, z. B. im Bereich der Schul</w:t>
      </w:r>
      <w:r>
        <w:rPr>
          <w:bCs/>
        </w:rPr>
        <w:softHyphen/>
      </w:r>
      <w:r w:rsidRPr="004F0B3D">
        <w:rPr>
          <w:bCs/>
        </w:rPr>
        <w:t>organisation, des Qualitätsmanagements, der Schulentwicklung, der pädagogischen Koordi</w:t>
      </w:r>
      <w:r>
        <w:rPr>
          <w:bCs/>
        </w:rPr>
        <w:softHyphen/>
      </w:r>
      <w:r w:rsidRPr="004F0B3D">
        <w:rPr>
          <w:bCs/>
        </w:rPr>
        <w:t xml:space="preserve">nation oder der Fachgruppenkoordination. </w:t>
      </w:r>
      <w:r w:rsidRPr="004F0B3D">
        <w:rPr>
          <w:bCs/>
          <w:vertAlign w:val="subscript"/>
        </w:rPr>
        <w:t>3</w:t>
      </w:r>
      <w:r w:rsidRPr="004F0B3D">
        <w:rPr>
          <w:bCs/>
        </w:rPr>
        <w:t>Daneben können Mitgliedern der mittleren Führungsebene Aufgaben im Rahmen der Umsetzung des kirchlichen Profils der Schule übertragen werden.</w:t>
      </w:r>
    </w:p>
    <w:p w:rsidR="00BE1EFE" w:rsidRDefault="00BE1EFE" w:rsidP="0054275E">
      <w:pPr>
        <w:pStyle w:val="StandardWeb"/>
        <w:autoSpaceDE w:val="0"/>
        <w:rPr>
          <w:rStyle w:val="Fett"/>
          <w:bCs/>
        </w:rPr>
      </w:pPr>
    </w:p>
    <w:p w:rsidR="00BE1EFE" w:rsidRDefault="00BE1EFE" w:rsidP="0054275E">
      <w:pPr>
        <w:pStyle w:val="StandardWeb"/>
        <w:autoSpaceDE w:val="0"/>
      </w:pPr>
      <w:r>
        <w:rPr>
          <w:rStyle w:val="Fett"/>
          <w:bCs/>
        </w:rPr>
        <w:t>§ 27 Schulseelsorgerinnen und Schulseelsorger</w:t>
      </w:r>
    </w:p>
    <w:p w:rsidR="00BE1EFE" w:rsidRDefault="00BE1EFE">
      <w:pPr>
        <w:pStyle w:val="StandardWeb"/>
      </w:pPr>
    </w:p>
    <w:p w:rsidR="00BE1EFE" w:rsidRPr="004F0B3D" w:rsidRDefault="00BE1EFE" w:rsidP="004F0B3D">
      <w:pPr>
        <w:pStyle w:val="StandardWeb"/>
      </w:pPr>
      <w:r w:rsidRPr="004F0B3D">
        <w:rPr>
          <w:vertAlign w:val="subscript"/>
        </w:rPr>
        <w:t>1</w:t>
      </w:r>
      <w:r w:rsidRPr="004F0B3D">
        <w:t xml:space="preserve">Die Schulseelsorgerin bzw. der Schulseelsorger ist in besonderer Weise für die religiöse Prägung der Schule verantwortlich. </w:t>
      </w:r>
      <w:r w:rsidRPr="004F0B3D">
        <w:rPr>
          <w:vertAlign w:val="subscript"/>
        </w:rPr>
        <w:t>2</w:t>
      </w:r>
      <w:r w:rsidRPr="004F0B3D">
        <w:t>Das gilt auch für andere Mitarbeiterinnen und Mitarbeiter in der Schulpastoral.</w:t>
      </w:r>
    </w:p>
    <w:p w:rsidR="00BE1EFE" w:rsidRDefault="00BE1EFE">
      <w:pPr>
        <w:pStyle w:val="berschrift5"/>
      </w:pPr>
      <w:bookmarkStart w:id="1287" w:name="_Toc523926800"/>
      <w:r>
        <w:t>IV. Abschnitt: Schulträger</w:t>
      </w:r>
      <w:bookmarkEnd w:id="1287"/>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28 Schulträger</w:t>
      </w:r>
    </w:p>
    <w:p w:rsidR="00BE1EFE" w:rsidRPr="000B1AF8" w:rsidRDefault="00BE1EFE">
      <w:pPr>
        <w:pStyle w:val="StandardWeb"/>
      </w:pPr>
    </w:p>
    <w:p w:rsidR="00BE1EFE" w:rsidRPr="004F0B3D" w:rsidRDefault="00BE1EFE" w:rsidP="004F0B3D">
      <w:pPr>
        <w:pStyle w:val="StandardWeb"/>
      </w:pPr>
      <w:r>
        <w:t>(1) </w:t>
      </w:r>
      <w:r w:rsidRPr="004F0B3D">
        <w:t>Schulträger ist die Erzdiözese bzw. die Diözese, das Ordensinstitut oder die sonstige juristische Person des öffentlichen oder privaten Rechts, von der die Schule als katholische Schule gemäß Canon 803 § 1 des Codex des kirchlichen Rechtes in eigener Verantwortung betrieben wird.</w:t>
      </w:r>
    </w:p>
    <w:p w:rsidR="00BE1EFE" w:rsidRPr="004F0B3D" w:rsidRDefault="00BE1EFE" w:rsidP="004F0B3D">
      <w:pPr>
        <w:pStyle w:val="StandardWeb"/>
      </w:pPr>
      <w:r>
        <w:t>(2) </w:t>
      </w:r>
      <w:r w:rsidRPr="004F0B3D">
        <w:rPr>
          <w:vertAlign w:val="subscript"/>
        </w:rPr>
        <w:t>1</w:t>
      </w:r>
      <w:r w:rsidRPr="004F0B3D">
        <w:t xml:space="preserve">Der Schulträger hat die Verantwortung für die Verwirklichung der Ziele der Schule und schafft hierfür die notwendigen Voraussetzungen. </w:t>
      </w:r>
      <w:r w:rsidRPr="004F0B3D">
        <w:rPr>
          <w:vertAlign w:val="subscript"/>
        </w:rPr>
        <w:t>2</w:t>
      </w:r>
      <w:r w:rsidRPr="004F0B3D">
        <w:t>Der Schulträger benennt eine Person als Vorgesetzte bzw. Vorgesetzten der Schulleiterin bzw. des Schulleiters.</w:t>
      </w:r>
    </w:p>
    <w:p w:rsidR="00BE1EFE" w:rsidRPr="004F0B3D" w:rsidRDefault="00BE1EFE" w:rsidP="004F0B3D">
      <w:pPr>
        <w:pStyle w:val="StandardWeb"/>
      </w:pPr>
      <w:r>
        <w:t>(3) </w:t>
      </w:r>
      <w:r w:rsidRPr="004F0B3D">
        <w:rPr>
          <w:vertAlign w:val="subscript"/>
        </w:rPr>
        <w:t>1</w:t>
      </w:r>
      <w:r w:rsidRPr="004F0B3D">
        <w:t xml:space="preserve">Der Schulträger nimmt seine Fürsorgepflicht gegenüber den Mitarbeiterinnen und Mitarbeitern an der Schule wahr und unterstützt die Schulleiterin bzw. den Schulleiter bei der Erfüllung von deren bzw. dessen Aufgaben. </w:t>
      </w:r>
      <w:r w:rsidRPr="004F0B3D">
        <w:rPr>
          <w:vertAlign w:val="subscript"/>
        </w:rPr>
        <w:t>2</w:t>
      </w:r>
      <w:r w:rsidRPr="004F0B3D">
        <w:t>Er kann an Lehrerkonferenzen, Sitzungen der Elternmitwirkung und ähnlichen Veranstaltungen teilnehmen sowie jederzeit den Unterricht besuchen.</w:t>
      </w:r>
    </w:p>
    <w:p w:rsidR="00BE1EFE" w:rsidRPr="004F0B3D" w:rsidRDefault="00BE1EFE" w:rsidP="004F0B3D">
      <w:pPr>
        <w:pStyle w:val="StandardWeb"/>
      </w:pPr>
      <w:r>
        <w:t>(4) </w:t>
      </w:r>
      <w:r w:rsidRPr="004F0B3D">
        <w:rPr>
          <w:vertAlign w:val="subscript"/>
        </w:rPr>
        <w:t>1</w:t>
      </w:r>
      <w:r w:rsidRPr="004F0B3D">
        <w:t xml:space="preserve">Der Schulträger ist gegenüber der Schulleiterin bzw. dem Schulleiter vorbehaltlich der Befugnisse des Katholischen Schulwerks in Bayern oder eines anderen Dienstherrn weisungsberechtigt. </w:t>
      </w:r>
      <w:r w:rsidRPr="004F0B3D">
        <w:rPr>
          <w:vertAlign w:val="subscript"/>
        </w:rPr>
        <w:t>2</w:t>
      </w:r>
      <w:r w:rsidRPr="004F0B3D">
        <w:t xml:space="preserve">Kommt die Schulleiterin bzw. der Schulleiter Weisungen des Schulträgers nicht nach, kann dieser die notwendigen Maßnahmen selbst vornehmen. </w:t>
      </w:r>
      <w:r w:rsidRPr="004F0B3D">
        <w:rPr>
          <w:vertAlign w:val="subscript"/>
        </w:rPr>
        <w:t>3</w:t>
      </w:r>
      <w:r w:rsidRPr="004F0B3D">
        <w:t>Die Schulleiterin bzw. der Schulleiter erstellt nach näherer Anweisung durch den Schulträger den Haushaltsplan.</w:t>
      </w:r>
    </w:p>
    <w:p w:rsidR="00BE1EFE" w:rsidRDefault="00BE1EFE">
      <w:pPr>
        <w:pStyle w:val="berschrift5"/>
      </w:pPr>
      <w:bookmarkStart w:id="1288" w:name="_Toc523926801"/>
      <w:r>
        <w:t>V. Abschnitt: Schulverwaltung</w:t>
      </w:r>
      <w:bookmarkEnd w:id="1288"/>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29 Verwaltung des Schulvermögens und Sicherheitsvorkehrungen</w:t>
      </w:r>
    </w:p>
    <w:p w:rsidR="00BE1EFE" w:rsidRPr="000B1AF8" w:rsidRDefault="00BE1EFE">
      <w:pPr>
        <w:pStyle w:val="StandardWeb"/>
      </w:pPr>
    </w:p>
    <w:p w:rsidR="00BE1EFE" w:rsidRPr="00F251B2" w:rsidRDefault="00BE1EFE" w:rsidP="00821B15">
      <w:pPr>
        <w:jc w:val="both"/>
      </w:pPr>
      <w:r>
        <w:t>(1) </w:t>
      </w:r>
      <w:r w:rsidRPr="00F251B2">
        <w:rPr>
          <w:vertAlign w:val="subscript"/>
        </w:rPr>
        <w:t>1</w:t>
      </w:r>
      <w:r w:rsidRPr="00F251B2">
        <w:t xml:space="preserve">Die Schulleiterin bzw. der Schulleiter verwaltet für den Schulträger und nach dessen Richtlinien oder Weisungen die Schulanlage und die zur Verfügung gestellten beweglichen Sachen. </w:t>
      </w:r>
      <w:r w:rsidRPr="00F251B2">
        <w:rPr>
          <w:vertAlign w:val="subscript"/>
        </w:rPr>
        <w:t>2</w:t>
      </w:r>
      <w:r w:rsidRPr="00F251B2">
        <w:t xml:space="preserve">Die Schulanlage bedarf dauernder Überwachung in baulicher Hinsicht. </w:t>
      </w:r>
      <w:r w:rsidRPr="00F251B2">
        <w:rPr>
          <w:vertAlign w:val="subscript"/>
        </w:rPr>
        <w:t>3</w:t>
      </w:r>
      <w:r w:rsidRPr="00F251B2">
        <w:t xml:space="preserve">Die Schulleiterin bzw. der Schulleiter hat dafür Sorge zu tragen, dass ihr bzw. ihm die Lehrkräfte sowie das Verwaltungs- und Hauspersonal über Mängel und Schäden unverzüglich berichten. </w:t>
      </w:r>
      <w:r w:rsidRPr="00F251B2">
        <w:rPr>
          <w:vertAlign w:val="subscript"/>
        </w:rPr>
        <w:t>4</w:t>
      </w:r>
      <w:r w:rsidRPr="00F251B2">
        <w:t>Alle bedeutsam erscheinenden Mängel und Schäden, die nicht vom Hauspersonal behoben werden können, teilt die Schulleiterin bzw. der Schulleiter unverzüglich dem Schulträger mit.</w:t>
      </w:r>
    </w:p>
    <w:p w:rsidR="00BE1EFE" w:rsidRDefault="00BE1EFE" w:rsidP="004F0B3D">
      <w:pPr>
        <w:jc w:val="both"/>
      </w:pPr>
    </w:p>
    <w:p w:rsidR="00BE1EFE" w:rsidRPr="00F251B2" w:rsidRDefault="00BE1EFE" w:rsidP="004F0B3D">
      <w:pPr>
        <w:jc w:val="both"/>
      </w:pPr>
      <w:r>
        <w:lastRenderedPageBreak/>
        <w:t>(2) </w:t>
      </w:r>
      <w:r w:rsidRPr="00F251B2">
        <w:t>Der Schulträger kann die Bewirtschaftung der für den Schulaufwand bereitgestellten Haushaltsmittel ganz oder teilweise der Schulleiterin bzw. dem Schulleiter oder nach deren bzw. dessen Vorschlag einer anderen Lehrkraft übertragen.</w:t>
      </w:r>
    </w:p>
    <w:p w:rsidR="00BE1EFE" w:rsidRDefault="00BE1EFE" w:rsidP="004F0B3D">
      <w:pPr>
        <w:jc w:val="both"/>
      </w:pPr>
    </w:p>
    <w:p w:rsidR="00BE1EFE" w:rsidRPr="00F251B2" w:rsidRDefault="00BE1EFE" w:rsidP="004F0B3D">
      <w:pPr>
        <w:jc w:val="both"/>
      </w:pPr>
      <w:r>
        <w:t>(3) </w:t>
      </w:r>
      <w:r w:rsidRPr="00F251B2">
        <w:rPr>
          <w:vertAlign w:val="subscript"/>
        </w:rPr>
        <w:t>1</w:t>
      </w:r>
      <w:r w:rsidRPr="00F251B2">
        <w:t xml:space="preserve">Nach </w:t>
      </w:r>
      <w:hyperlink r:id="rId1938" w:history="1">
        <w:r w:rsidRPr="009752DF">
          <w:rPr>
            <w:rStyle w:val="Hyperlink"/>
          </w:rPr>
          <w:t>§ 22 Abs. 1 des Sozialgesetzbuches (SGB) VII</w:t>
        </w:r>
      </w:hyperlink>
      <w:r w:rsidRPr="00F251B2">
        <w:t xml:space="preserve"> ist an jeder Schule von der Schulleiterin bzw. dem Schulleiter eine geeignete Person zum Sicherheitsbeauftragten zu bestellen. </w:t>
      </w:r>
      <w:r w:rsidRPr="00F251B2">
        <w:rPr>
          <w:vertAlign w:val="subscript"/>
        </w:rPr>
        <w:t>2</w:t>
      </w:r>
      <w:r w:rsidRPr="00F251B2">
        <w:t xml:space="preserve">Im Übrigen gilt die Bekanntmachung des Bayerischen Staatsministeriums für Unterricht und Kultus, Sicherheit in der Schule und gesetzliche Schülerunfallversicherung vom 11. Dezember 2002 Nr. III/1-54361-6/101 826, in der jeweils gültigen Fassung entsprechend. </w:t>
      </w:r>
      <w:r w:rsidRPr="00F251B2">
        <w:rPr>
          <w:vertAlign w:val="subscript"/>
        </w:rPr>
        <w:t>3</w:t>
      </w:r>
      <w:r w:rsidRPr="00F251B2">
        <w:t xml:space="preserve">Die Schulleiterin bzw. der Schulleiter hat für den Fall des Feueralarms und ähnliche Geschehnisse durch eine Regelung (Notfall-Ordnung) und entsprechende Übungen Vorsorge zu treffen. </w:t>
      </w:r>
      <w:r w:rsidRPr="00F251B2">
        <w:rPr>
          <w:vertAlign w:val="subscript"/>
        </w:rPr>
        <w:t>4</w:t>
      </w:r>
      <w:r w:rsidRPr="00F251B2">
        <w:t>Es ist sicherzustellen, dass auch bei einem Feueralarm während der Pause unverzüglich festgestellt werden kann, wie viele Schülerinnen, Schüler und Studierende in ihrer Klasse anwesend waren, ebenso ist zu regeln, wer die Klasse zum Sammelpunkt führt.</w:t>
      </w:r>
    </w:p>
    <w:p w:rsidR="00BE1EFE" w:rsidRDefault="00BE1EFE" w:rsidP="004F0B3D">
      <w:pPr>
        <w:jc w:val="both"/>
      </w:pPr>
    </w:p>
    <w:p w:rsidR="00BE1EFE" w:rsidRPr="00F251B2" w:rsidRDefault="00BE1EFE" w:rsidP="004F0B3D">
      <w:pPr>
        <w:jc w:val="both"/>
      </w:pPr>
      <w:r>
        <w:t>(4) </w:t>
      </w:r>
      <w:r w:rsidRPr="00F251B2">
        <w:rPr>
          <w:vertAlign w:val="subscript"/>
        </w:rPr>
        <w:t>1</w:t>
      </w:r>
      <w:r w:rsidRPr="00F251B2">
        <w:t xml:space="preserve">Über die Verwendung des Schulträgervermögens für schulfremde Zwecke, z. B. die Vermietung von Sporthallen, entscheidet unter Wahrung der schulischen Belange der Schulträger. </w:t>
      </w:r>
      <w:r w:rsidRPr="00F251B2">
        <w:rPr>
          <w:vertAlign w:val="subscript"/>
        </w:rPr>
        <w:t>2</w:t>
      </w:r>
      <w:r w:rsidRPr="00F251B2">
        <w:t>Beim Abschluss einschlägiger Vereinbarungen wirkt die Schulleiterin bzw. der Schulleiter darauf hin, dass dabei eine Schadenshaftung des Schulträgers, der Lehrkräfte und sonstiger Beschäftigter ausgeschlossen ist.</w:t>
      </w:r>
    </w:p>
    <w:p w:rsidR="00BE1EFE" w:rsidRDefault="00BE1EFE">
      <w:pPr>
        <w:pStyle w:val="StandardWeb"/>
      </w:pPr>
    </w:p>
    <w:p w:rsidR="00BE1EFE" w:rsidRDefault="00BE1EFE" w:rsidP="0054275E">
      <w:pPr>
        <w:pStyle w:val="StandardWeb"/>
        <w:autoSpaceDE w:val="0"/>
      </w:pPr>
      <w:r>
        <w:rPr>
          <w:rStyle w:val="Fett"/>
          <w:bCs/>
        </w:rPr>
        <w:t>§ 30 Ärztliche und hygienische Betreuung</w:t>
      </w:r>
    </w:p>
    <w:p w:rsidR="00BE1EFE" w:rsidRDefault="00BE1EFE">
      <w:pPr>
        <w:pStyle w:val="StandardWeb"/>
      </w:pPr>
    </w:p>
    <w:p w:rsidR="00BE1EFE" w:rsidRPr="004F0B3D" w:rsidRDefault="00BE1EFE" w:rsidP="004F0B3D">
      <w:pPr>
        <w:pStyle w:val="StandardWeb"/>
        <w:rPr>
          <w:szCs w:val="16"/>
        </w:rPr>
      </w:pPr>
      <w:r w:rsidRPr="004F0B3D">
        <w:rPr>
          <w:szCs w:val="16"/>
          <w:vertAlign w:val="subscript"/>
        </w:rPr>
        <w:t>1</w:t>
      </w:r>
      <w:r w:rsidRPr="004F0B3D">
        <w:rPr>
          <w:szCs w:val="16"/>
        </w:rPr>
        <w:t xml:space="preserve">Die hygienischen Verhältnisse überwacht die Schulleiterin bzw. der Schulleiter zusammen mit dem Gesundheitsamt. </w:t>
      </w:r>
      <w:r w:rsidRPr="004F0B3D">
        <w:rPr>
          <w:szCs w:val="16"/>
          <w:vertAlign w:val="subscript"/>
        </w:rPr>
        <w:t>2</w:t>
      </w:r>
      <w:r w:rsidRPr="004F0B3D">
        <w:rPr>
          <w:szCs w:val="16"/>
        </w:rPr>
        <w:t>Die Schulleiterin bzw. der Schulleiter wendet sich erforderlichenfalls an das zuständige Gesundheitsamt, soweit dieses die gesundheitliche Betreuung der Schülerinnen, Schüler und Studierenden unmittelbar wahrnimmt.</w:t>
      </w:r>
    </w:p>
    <w:p w:rsidR="00BE1EFE" w:rsidRDefault="00BE1EFE">
      <w:pPr>
        <w:pStyle w:val="StandardWeb"/>
      </w:pPr>
    </w:p>
    <w:p w:rsidR="00BE1EFE" w:rsidRDefault="00BE1EFE" w:rsidP="0054275E">
      <w:pPr>
        <w:pStyle w:val="StandardWeb"/>
        <w:autoSpaceDE w:val="0"/>
      </w:pPr>
      <w:r>
        <w:rPr>
          <w:rStyle w:val="Fett"/>
          <w:bCs/>
        </w:rPr>
        <w:t>§ 31 Personal</w:t>
      </w:r>
    </w:p>
    <w:p w:rsidR="00BE1EFE" w:rsidRDefault="00BE1EFE">
      <w:pPr>
        <w:pStyle w:val="StandardWeb"/>
      </w:pPr>
    </w:p>
    <w:p w:rsidR="00BE1EFE" w:rsidRDefault="00BE1EFE">
      <w:pPr>
        <w:pStyle w:val="StandardWeb"/>
      </w:pPr>
      <w:r>
        <w:t>Die Schulleiterin bzw. der Schulleiter ist in Erfüllung der Aufgaben bei der Verwaltung des Schulvermögens sowie in schulischen Angelegenheiten im Benehmen mit dem Schulträger dem Personal gegenüber weisungsberechtigt.</w:t>
      </w:r>
    </w:p>
    <w:p w:rsidR="00BE1EFE" w:rsidRDefault="00BE1EFE">
      <w:pPr>
        <w:pStyle w:val="StandardWeb"/>
      </w:pPr>
    </w:p>
    <w:p w:rsidR="00BE1EFE" w:rsidRDefault="00BE1EFE" w:rsidP="0054275E">
      <w:pPr>
        <w:pStyle w:val="StandardWeb"/>
        <w:autoSpaceDE w:val="0"/>
      </w:pPr>
      <w:r>
        <w:rPr>
          <w:rStyle w:val="Fett"/>
          <w:bCs/>
        </w:rPr>
        <w:t>§ 32 Dienstsiegel</w:t>
      </w:r>
    </w:p>
    <w:p w:rsidR="00BE1EFE" w:rsidRDefault="00BE1EFE">
      <w:pPr>
        <w:pStyle w:val="StandardWeb"/>
      </w:pPr>
    </w:p>
    <w:p w:rsidR="00BE1EFE" w:rsidRDefault="00BE1EFE">
      <w:pPr>
        <w:pStyle w:val="StandardWeb"/>
      </w:pPr>
      <w:r>
        <w:t>(1) Juristische Personen des öffentlichen Rechts als Schulträger führen ein Dienstsiegel.</w:t>
      </w:r>
    </w:p>
    <w:p w:rsidR="00BE1EFE" w:rsidRDefault="00BE1EFE">
      <w:pPr>
        <w:pStyle w:val="StandardWeb"/>
      </w:pPr>
    </w:p>
    <w:p w:rsidR="00BE1EFE" w:rsidRDefault="00BE1EFE">
      <w:pPr>
        <w:pStyle w:val="StandardWeb"/>
      </w:pPr>
      <w:r>
        <w:t>(2) </w:t>
      </w:r>
      <w:r>
        <w:rPr>
          <w:rStyle w:val="kleinschrift"/>
        </w:rPr>
        <w:t>1</w:t>
      </w:r>
      <w:r>
        <w:t xml:space="preserve">Das Dienstsiegel ist sicher aufzubewahren und vor Missbrauch und Verlust zu schützen. </w:t>
      </w:r>
      <w:r>
        <w:rPr>
          <w:rStyle w:val="kleinschrift"/>
        </w:rPr>
        <w:t>2</w:t>
      </w:r>
      <w:r>
        <w:t>Sein Gebrauch und seine Aufbewahrung sind von der Schulleiterin bzw. dem Schulleiter zu überwachen.</w:t>
      </w:r>
    </w:p>
    <w:p w:rsidR="00BE1EFE" w:rsidRDefault="00BE1EFE">
      <w:pPr>
        <w:pStyle w:val="StandardWeb"/>
      </w:pPr>
    </w:p>
    <w:p w:rsidR="00BE1EFE" w:rsidRDefault="00BE1EFE">
      <w:pPr>
        <w:pStyle w:val="StandardWeb"/>
      </w:pPr>
      <w:r>
        <w:t>(3) </w:t>
      </w:r>
      <w:r>
        <w:rPr>
          <w:rStyle w:val="kleinschrift"/>
        </w:rPr>
        <w:t>1</w:t>
      </w:r>
      <w:r>
        <w:t xml:space="preserve">Die Zeugnisse sind, soweit dies in den Schulordnungen vorgesehen ist, mit dem Dienstsiegel von Hand zu versehen. </w:t>
      </w:r>
      <w:r>
        <w:rPr>
          <w:rStyle w:val="kleinschrift"/>
        </w:rPr>
        <w:t>2</w:t>
      </w:r>
      <w:r>
        <w:t>Im übrigen darf das Dienstsiegel nur verwendet werden,</w:t>
      </w:r>
    </w:p>
    <w:p w:rsidR="00BE1EFE" w:rsidRDefault="00BE1EFE">
      <w:pPr>
        <w:pStyle w:val="StandardWeb"/>
      </w:pPr>
      <w:r>
        <w:t>1. in gesetzlich vorgeschriebenen Fällen,</w:t>
      </w:r>
    </w:p>
    <w:p w:rsidR="00BE1EFE" w:rsidRDefault="00BE1EFE">
      <w:pPr>
        <w:pStyle w:val="StandardWeb"/>
      </w:pPr>
      <w:r>
        <w:t>2. wenn an die Form und Beweiskraft des Dokuments besondere Anforderungen zu stellen sind (z. B. Urkunden, Ausweise).</w:t>
      </w:r>
    </w:p>
    <w:p w:rsidR="00BE1EFE" w:rsidRDefault="00BE1EFE">
      <w:pPr>
        <w:pStyle w:val="StandardWeb"/>
      </w:pPr>
    </w:p>
    <w:p w:rsidR="00BE1EFE" w:rsidRDefault="00BE1EFE" w:rsidP="0054275E">
      <w:pPr>
        <w:pStyle w:val="StandardWeb"/>
        <w:autoSpaceDE w:val="0"/>
      </w:pPr>
      <w:r>
        <w:rPr>
          <w:rStyle w:val="Fett"/>
          <w:bCs/>
        </w:rPr>
        <w:t>§ 33 Besondere Vorkommnisse</w:t>
      </w:r>
    </w:p>
    <w:p w:rsidR="00BE1EFE" w:rsidRDefault="00BE1EFE">
      <w:pPr>
        <w:pStyle w:val="StandardWeb"/>
      </w:pPr>
    </w:p>
    <w:p w:rsidR="00BE1EFE" w:rsidRPr="004F0B3D" w:rsidRDefault="00BE1EFE" w:rsidP="004F0B3D">
      <w:pPr>
        <w:pStyle w:val="StandardWeb"/>
        <w:rPr>
          <w:szCs w:val="16"/>
        </w:rPr>
      </w:pPr>
      <w:r w:rsidRPr="004F0B3D">
        <w:rPr>
          <w:szCs w:val="16"/>
          <w:vertAlign w:val="subscript"/>
        </w:rPr>
        <w:t>1</w:t>
      </w:r>
      <w:r w:rsidRPr="004F0B3D">
        <w:rPr>
          <w:szCs w:val="16"/>
        </w:rPr>
        <w:t xml:space="preserve">Bei Vorkommnissen von besonderer Bedeutung für die Schule, insbesondere während des Unterrichts, im Schulbereich oder bei außerschulischen Veranstaltungen, wie Straftaten oder deren Verdacht, Bränden, großen Wasserschäden, Einbrüchen im Schulhaus, schweren </w:t>
      </w:r>
      <w:r w:rsidRPr="004F0B3D">
        <w:rPr>
          <w:szCs w:val="16"/>
        </w:rPr>
        <w:lastRenderedPageBreak/>
        <w:t xml:space="preserve">Unfällen und Bombenfunden ist dem Schulträger unverzüglich zu berichten. </w:t>
      </w:r>
      <w:r w:rsidRPr="004F0B3D">
        <w:rPr>
          <w:szCs w:val="16"/>
          <w:vertAlign w:val="subscript"/>
        </w:rPr>
        <w:t>2</w:t>
      </w:r>
      <w:r w:rsidRPr="004F0B3D">
        <w:rPr>
          <w:szCs w:val="16"/>
        </w:rPr>
        <w:t xml:space="preserve">Dienstunfälle von Beamtinnen und Beamten des Katholischen Schulwerks in Bayern teilt die Schulleiterin bzw. der Schulleiter auch dem Katholischen Schulwerk in Bayern mit. </w:t>
      </w:r>
      <w:r w:rsidRPr="004F0B3D">
        <w:rPr>
          <w:szCs w:val="16"/>
          <w:vertAlign w:val="subscript"/>
        </w:rPr>
        <w:t>3</w:t>
      </w:r>
      <w:r w:rsidRPr="004F0B3D">
        <w:rPr>
          <w:szCs w:val="16"/>
        </w:rPr>
        <w:t>Satz 2 gilt entsprechend für hinreichende Anhaltspunkte von Dienstpflichtverletzungen.</w:t>
      </w:r>
    </w:p>
    <w:p w:rsidR="00BE1EFE" w:rsidRDefault="00BE1EFE" w:rsidP="00055278">
      <w:pPr>
        <w:pStyle w:val="StandardWeb"/>
      </w:pPr>
    </w:p>
    <w:p w:rsidR="00BE1EFE" w:rsidRDefault="00BE1EFE" w:rsidP="00055278">
      <w:pPr>
        <w:pStyle w:val="StandardWeb"/>
      </w:pPr>
      <w:r>
        <w:rPr>
          <w:rStyle w:val="Fett"/>
          <w:bCs/>
        </w:rPr>
        <w:t>§ 34 Forderungen gegen den Schulträger</w:t>
      </w:r>
    </w:p>
    <w:p w:rsidR="00BE1EFE" w:rsidRDefault="00BE1EFE">
      <w:pPr>
        <w:pStyle w:val="StandardWeb"/>
      </w:pPr>
    </w:p>
    <w:p w:rsidR="00BE1EFE" w:rsidRDefault="00BE1EFE">
      <w:pPr>
        <w:pStyle w:val="StandardWeb"/>
      </w:pPr>
      <w:r>
        <w:t>Werden bei der Schule Forderungen gegen dem Schulträger (z. B. auf Schadensersatz) geltend gemacht, die aus Erklärungen, Handlungen oder Unterlassungen der Schule oder von Beschäftigten der Schule hergeleitet werden, so setzt sich die Schulleiterin bzw. der Schulleiter unverzüglich mit dem Schulträger in Verbindung.</w:t>
      </w:r>
    </w:p>
    <w:p w:rsidR="00BE1EFE" w:rsidRDefault="00BE1EFE">
      <w:pPr>
        <w:pStyle w:val="berschrift5"/>
      </w:pPr>
      <w:bookmarkStart w:id="1289" w:name="_Toc523926802"/>
      <w:r>
        <w:t>VI. Abschnitt: Schulaufsicht</w:t>
      </w:r>
      <w:bookmarkEnd w:id="1289"/>
    </w:p>
    <w:p w:rsidR="00BE1EFE" w:rsidRPr="00B76821" w:rsidRDefault="00BE1EFE" w:rsidP="00B76821">
      <w:pPr>
        <w:pStyle w:val="berschrift6"/>
        <w:keepNext w:val="0"/>
        <w:spacing w:before="0" w:after="0"/>
        <w:rPr>
          <w:rStyle w:val="Fett"/>
          <w:bCs w:val="0"/>
          <w:sz w:val="2"/>
          <w:szCs w:val="2"/>
        </w:rPr>
      </w:pPr>
    </w:p>
    <w:p w:rsidR="00BE1EFE" w:rsidRPr="00216FDF" w:rsidRDefault="00BE1EFE" w:rsidP="0054275E">
      <w:pPr>
        <w:pStyle w:val="StandardWeb"/>
        <w:autoSpaceDE w:val="0"/>
        <w:rPr>
          <w:rStyle w:val="Fett"/>
          <w:bCs/>
          <w:sz w:val="2"/>
          <w:szCs w:val="2"/>
        </w:rPr>
      </w:pPr>
    </w:p>
    <w:p w:rsidR="00BE1EFE" w:rsidRPr="000B1AF8" w:rsidRDefault="00BE1EFE" w:rsidP="0054275E">
      <w:pPr>
        <w:pStyle w:val="StandardWeb"/>
        <w:autoSpaceDE w:val="0"/>
      </w:pPr>
      <w:r>
        <w:rPr>
          <w:rStyle w:val="Fett"/>
          <w:bCs/>
        </w:rPr>
        <w:t>§ 35 Kirchliche Schulaufsicht</w:t>
      </w:r>
    </w:p>
    <w:p w:rsidR="00BE1EFE" w:rsidRPr="000B1AF8" w:rsidRDefault="00BE1EFE">
      <w:pPr>
        <w:pStyle w:val="StandardWeb"/>
      </w:pPr>
    </w:p>
    <w:p w:rsidR="00BE1EFE" w:rsidRDefault="00BE1EFE">
      <w:pPr>
        <w:pStyle w:val="StandardWeb"/>
      </w:pPr>
      <w:r w:rsidRPr="001113BE">
        <w:t>Katholische Schulen in freier Trägerschaft unterliegen gemäß Canones 806 § 1, 683 § 1 und 397 § 1 des Codex des kirchlichen Rechts (CIC) dem Aufsichts- und Visitationsrecht des Diözesanbischofs.</w:t>
      </w:r>
    </w:p>
    <w:p w:rsidR="00BE1EFE" w:rsidRDefault="00BE1EFE">
      <w:pPr>
        <w:pStyle w:val="StandardWeb"/>
      </w:pPr>
    </w:p>
    <w:p w:rsidR="00BE1EFE" w:rsidRDefault="00BE1EFE" w:rsidP="0054275E">
      <w:pPr>
        <w:pStyle w:val="StandardWeb"/>
        <w:autoSpaceDE w:val="0"/>
      </w:pPr>
      <w:r>
        <w:rPr>
          <w:rStyle w:val="Fett"/>
          <w:bCs/>
        </w:rPr>
        <w:t>§ 36 Staatliche Schulaufsicht</w:t>
      </w:r>
    </w:p>
    <w:p w:rsidR="00BE1EFE" w:rsidRDefault="00BE1EFE">
      <w:pPr>
        <w:pStyle w:val="StandardWeb"/>
      </w:pPr>
    </w:p>
    <w:p w:rsidR="00BE1EFE" w:rsidRPr="001113BE" w:rsidRDefault="00BE1EFE" w:rsidP="001113BE">
      <w:pPr>
        <w:pStyle w:val="StandardWeb"/>
        <w:rPr>
          <w:szCs w:val="16"/>
        </w:rPr>
      </w:pPr>
      <w:r w:rsidRPr="001113BE">
        <w:rPr>
          <w:szCs w:val="16"/>
          <w:vertAlign w:val="subscript"/>
        </w:rPr>
        <w:t>1</w:t>
      </w:r>
      <w:r w:rsidRPr="001113BE">
        <w:rPr>
          <w:szCs w:val="16"/>
        </w:rPr>
        <w:t xml:space="preserve">Katholische Schulen in freier Trägerschaft nehmen die durch </w:t>
      </w:r>
      <w:hyperlink r:id="rId1939" w:history="1">
        <w:r w:rsidRPr="002B1024">
          <w:rPr>
            <w:rStyle w:val="Hyperlink"/>
            <w:szCs w:val="16"/>
          </w:rPr>
          <w:t>Art. 7 Grundgesetz</w:t>
        </w:r>
      </w:hyperlink>
      <w:r w:rsidRPr="001113BE">
        <w:rPr>
          <w:szCs w:val="16"/>
        </w:rPr>
        <w:t xml:space="preserve"> und </w:t>
      </w:r>
      <w:hyperlink r:id="rId1940" w:history="1">
        <w:r w:rsidRPr="002B1024">
          <w:rPr>
            <w:rStyle w:val="Hyperlink"/>
            <w:szCs w:val="16"/>
          </w:rPr>
          <w:t>Art. 134 der Bayerischen Verfassung</w:t>
        </w:r>
      </w:hyperlink>
      <w:r w:rsidRPr="001113BE">
        <w:rPr>
          <w:szCs w:val="16"/>
        </w:rPr>
        <w:t xml:space="preserve"> garantierte Privatschulfreiheit für sich in Anspruch. </w:t>
      </w:r>
      <w:r w:rsidRPr="001113BE">
        <w:rPr>
          <w:szCs w:val="16"/>
          <w:vertAlign w:val="subscript"/>
        </w:rPr>
        <w:t>2</w:t>
      </w:r>
      <w:r w:rsidRPr="001113BE">
        <w:rPr>
          <w:szCs w:val="16"/>
        </w:rPr>
        <w:t xml:space="preserve">Die Schulleiterin bzw. der Schulleiter achtet gegenüber der staatlichen Schulaufsicht auf die Wahrung der Freiheit in der Entscheidung über die besondere pädagogische oder religiöse Prägung der Schule, über Lehr- und Erziehungsmethoden, über Lehrstoff und Formen der Unterrichtsorganisation. </w:t>
      </w:r>
      <w:r w:rsidRPr="001113BE">
        <w:rPr>
          <w:szCs w:val="16"/>
          <w:vertAlign w:val="subscript"/>
        </w:rPr>
        <w:t>3</w:t>
      </w:r>
      <w:r w:rsidRPr="001113BE">
        <w:rPr>
          <w:szCs w:val="16"/>
        </w:rPr>
        <w:t>Die Schulleiterin bzw. der Schulleiter kann nur im Einvernehmen mit dem Schulträger die staatliche Schulaufsicht zur Teilnahme an Konferenzen der Schule einladen.</w:t>
      </w:r>
    </w:p>
    <w:p w:rsidR="00BE1EFE" w:rsidRDefault="00BE1EFE">
      <w:pPr>
        <w:pStyle w:val="StandardWeb"/>
      </w:pPr>
    </w:p>
    <w:p w:rsidR="00BE1EFE" w:rsidRDefault="00BE1EFE" w:rsidP="0054275E">
      <w:pPr>
        <w:pStyle w:val="StandardWeb"/>
        <w:autoSpaceDE w:val="0"/>
      </w:pPr>
      <w:r>
        <w:rPr>
          <w:rStyle w:val="Fett"/>
          <w:bCs/>
        </w:rPr>
        <w:t>§ 37 Jahresbericht und Meldungen an die Schulaufsicht</w:t>
      </w:r>
    </w:p>
    <w:p w:rsidR="00BE1EFE" w:rsidRDefault="00BE1EFE">
      <w:pPr>
        <w:pStyle w:val="StandardWeb"/>
      </w:pPr>
    </w:p>
    <w:p w:rsidR="00BE1EFE" w:rsidRDefault="00BE1EFE">
      <w:pPr>
        <w:pStyle w:val="StandardWeb"/>
      </w:pPr>
      <w:r>
        <w:t>(1) </w:t>
      </w:r>
      <w:r>
        <w:rPr>
          <w:rStyle w:val="kleinschrift"/>
        </w:rPr>
        <w:t>1</w:t>
      </w:r>
      <w:r>
        <w:t xml:space="preserve">Dem Schulträger steht es frei, an der Schule nach Maßgabe der Haushaltsmittel einen Jahresbericht erstellen zu lassen. </w:t>
      </w:r>
      <w:r>
        <w:rPr>
          <w:rStyle w:val="kleinschrift"/>
        </w:rPr>
        <w:t>2</w:t>
      </w:r>
      <w:r>
        <w:t>Die Jahresberichte sind über den Schulträger an die Schulaufsicht weiterzuleiten.</w:t>
      </w:r>
    </w:p>
    <w:p w:rsidR="00BE1EFE" w:rsidRDefault="00BE1EFE">
      <w:pPr>
        <w:pStyle w:val="StandardWeb"/>
      </w:pPr>
    </w:p>
    <w:p w:rsidR="00BE1EFE" w:rsidRDefault="00BE1EFE">
      <w:pPr>
        <w:pStyle w:val="StandardWeb"/>
      </w:pPr>
      <w:r>
        <w:t>(2) Die Angaben gegenüber der Schulaufsicht können sich auf die Zahl der Schülerinnen, Schüler und Studierenden und Lehrkräfte, die Stundentafeln, die Feriendaten, gegebenenfalls die Schulgeldhöhe und Stipendien beschränken.</w:t>
      </w:r>
    </w:p>
    <w:p w:rsidR="00BE1EFE" w:rsidRDefault="00BE1EFE" w:rsidP="00AF727A">
      <w:pPr>
        <w:pStyle w:val="berschrift5"/>
        <w:spacing w:before="240"/>
      </w:pPr>
      <w:bookmarkStart w:id="1290" w:name="_Toc523926803"/>
      <w:r>
        <w:t>VII. Abschnitt: Schlussvorschriften</w:t>
      </w:r>
      <w:bookmarkEnd w:id="1290"/>
    </w:p>
    <w:p w:rsidR="00BE1EFE" w:rsidRPr="00B76821" w:rsidRDefault="00BE1EFE" w:rsidP="00B76821">
      <w:pPr>
        <w:pStyle w:val="berschrift6"/>
        <w:keepNext w:val="0"/>
        <w:spacing w:before="0" w:after="0"/>
        <w:rPr>
          <w:rStyle w:val="Fett"/>
          <w:bCs w:val="0"/>
          <w:sz w:val="2"/>
        </w:rPr>
      </w:pPr>
    </w:p>
    <w:p w:rsidR="00BE1EFE" w:rsidRPr="000B1AF8" w:rsidRDefault="00BE1EFE" w:rsidP="0054275E">
      <w:pPr>
        <w:pStyle w:val="StandardWeb"/>
        <w:autoSpaceDE w:val="0"/>
      </w:pPr>
      <w:r>
        <w:rPr>
          <w:rStyle w:val="Fett"/>
          <w:bCs/>
        </w:rPr>
        <w:t>§ 38 Bedeutung der KLDO für die Arbeitsvertraäge</w:t>
      </w:r>
    </w:p>
    <w:p w:rsidR="00BE1EFE" w:rsidRPr="000B1AF8" w:rsidRDefault="00BE1EFE">
      <w:pPr>
        <w:pStyle w:val="StandardWeb"/>
      </w:pPr>
    </w:p>
    <w:p w:rsidR="00BE1EFE" w:rsidRDefault="00BE1EFE">
      <w:pPr>
        <w:pStyle w:val="StandardWeb"/>
      </w:pPr>
      <w:r>
        <w:rPr>
          <w:rStyle w:val="kleinschrift"/>
        </w:rPr>
        <w:t>1</w:t>
      </w:r>
      <w:r>
        <w:t xml:space="preserve">Auf diese Dienstordnung wird in den Arbeitsverträgen Bezug genommen. </w:t>
      </w:r>
      <w:r>
        <w:rPr>
          <w:rStyle w:val="kleinschrift"/>
        </w:rPr>
        <w:t>2</w:t>
      </w:r>
      <w:r>
        <w:t>Sie wird dadurch zum Inhalt des Arbeitsverhältnisses.</w:t>
      </w:r>
    </w:p>
    <w:p w:rsidR="00BE1EFE" w:rsidRDefault="00BE1EFE" w:rsidP="0054275E">
      <w:pPr>
        <w:pStyle w:val="StandardWeb"/>
        <w:autoSpaceDE w:val="0"/>
      </w:pPr>
    </w:p>
    <w:p w:rsidR="00BE1EFE" w:rsidRDefault="00BE1EFE" w:rsidP="0054275E">
      <w:pPr>
        <w:pStyle w:val="StandardWeb"/>
        <w:autoSpaceDE w:val="0"/>
      </w:pPr>
      <w:r w:rsidRPr="004E1D43">
        <w:rPr>
          <w:b/>
        </w:rPr>
        <w:t>§</w:t>
      </w:r>
      <w:r>
        <w:rPr>
          <w:rStyle w:val="Fett"/>
          <w:bCs/>
        </w:rPr>
        <w:t xml:space="preserve"> 39 In-Kraft-Treten</w:t>
      </w:r>
    </w:p>
    <w:p w:rsidR="00BE1EFE" w:rsidRDefault="00BE1EFE">
      <w:pPr>
        <w:pStyle w:val="StandardWeb"/>
      </w:pPr>
    </w:p>
    <w:p w:rsidR="00BE1EFE" w:rsidRPr="004E1D43" w:rsidRDefault="00BE1EFE">
      <w:pPr>
        <w:pStyle w:val="StandardWeb"/>
      </w:pPr>
      <w:r w:rsidRPr="004E1D43">
        <w:t>Diese Dienstordnung tritt am 01.05.2008 in Kraft.</w:t>
      </w:r>
    </w:p>
    <w:p w:rsidR="00BE1EFE" w:rsidRPr="00EC065E" w:rsidRDefault="00BE1EFE">
      <w:pPr>
        <w:pStyle w:val="StandardWeb"/>
        <w:rPr>
          <w:b/>
        </w:rPr>
      </w:pPr>
      <w:r>
        <w:rPr>
          <w:b/>
        </w:rPr>
        <w:lastRenderedPageBreak/>
        <w:br w:type="page"/>
      </w:r>
    </w:p>
    <w:p w:rsidR="00BE1EFE" w:rsidRPr="00EC065E" w:rsidRDefault="00BE1EFE" w:rsidP="00E87479">
      <w:pPr>
        <w:pStyle w:val="berschrift4"/>
        <w:spacing w:before="0"/>
        <w:rPr>
          <w:lang w:eastAsia="x-none"/>
        </w:rPr>
      </w:pPr>
      <w:bookmarkStart w:id="1291" w:name="_Toc523926804"/>
      <w:r w:rsidRPr="00EC065E">
        <w:lastRenderedPageBreak/>
        <w:t>8. Diözesane Regelungen</w:t>
      </w:r>
      <w:bookmarkEnd w:id="1291"/>
    </w:p>
    <w:p w:rsidR="00BE1EFE" w:rsidRPr="00B76821" w:rsidRDefault="00BE1EFE" w:rsidP="00B76821">
      <w:pPr>
        <w:pStyle w:val="berschrift5"/>
        <w:keepNext w:val="0"/>
        <w:spacing w:before="0" w:after="0"/>
        <w:rPr>
          <w:sz w:val="2"/>
        </w:rPr>
      </w:pPr>
    </w:p>
    <w:p w:rsidR="00BE1EFE" w:rsidRPr="008A15ED" w:rsidRDefault="00BE1EFE" w:rsidP="008A15ED">
      <w:pPr>
        <w:pStyle w:val="StandardWeb"/>
        <w:rPr>
          <w:i/>
        </w:rPr>
      </w:pPr>
      <w:r w:rsidRPr="008A15ED">
        <w:rPr>
          <w:i/>
        </w:rPr>
        <w:t>(zuletzt geändert am 03.12.2015 zum 01.01.2016)</w:t>
      </w:r>
    </w:p>
    <w:p w:rsidR="00BE1EFE" w:rsidRDefault="00BE1EFE" w:rsidP="003E6C2F">
      <w:pPr>
        <w:pStyle w:val="berschrift4"/>
      </w:pPr>
      <w:bookmarkStart w:id="1292" w:name="_Toc523926805"/>
      <w:r>
        <w:t>9. Kriterienkatalog für die Beteiligung von Koalitionen gemäß Art. 6 Grundordnung (GO) an der Beteiligung der Aufgaben gemäß Art. 7 Grundordnung</w:t>
      </w:r>
      <w:bookmarkEnd w:id="1292"/>
    </w:p>
    <w:p w:rsidR="00BE1EFE" w:rsidRPr="00B76821" w:rsidRDefault="00BE1EFE" w:rsidP="00B76821">
      <w:pPr>
        <w:pStyle w:val="berschrift5"/>
        <w:keepNext w:val="0"/>
        <w:spacing w:before="0" w:after="0"/>
        <w:rPr>
          <w:sz w:val="2"/>
        </w:rPr>
      </w:pPr>
    </w:p>
    <w:p w:rsidR="00BE1EFE" w:rsidRDefault="00BE1EFE" w:rsidP="00DF2AAC">
      <w:pPr>
        <w:pStyle w:val="StandardWeb"/>
        <w:rPr>
          <w:i/>
        </w:rPr>
      </w:pPr>
      <w:r w:rsidRPr="008354D8">
        <w:rPr>
          <w:i/>
        </w:rPr>
        <w:t>(außer Kraft getreten</w:t>
      </w:r>
      <w:r>
        <w:rPr>
          <w:i/>
        </w:rPr>
        <w:t xml:space="preserve"> zum 30. April </w:t>
      </w:r>
      <w:r w:rsidRPr="008354D8">
        <w:rPr>
          <w:i/>
        </w:rPr>
        <w:t>2016)</w:t>
      </w:r>
    </w:p>
    <w:p w:rsidR="00BE1EFE" w:rsidRDefault="00BE1EFE" w:rsidP="00D450B0">
      <w:pPr>
        <w:pStyle w:val="StandardWeb"/>
      </w:pPr>
      <w:r>
        <w:br w:type="page"/>
      </w:r>
    </w:p>
    <w:p w:rsidR="00BE1EFE" w:rsidRDefault="00BE1EFE" w:rsidP="00C521A0">
      <w:pPr>
        <w:pStyle w:val="berschrift4"/>
        <w:spacing w:before="0"/>
      </w:pPr>
      <w:bookmarkStart w:id="1293" w:name="_Toc523926806"/>
      <w:r>
        <w:lastRenderedPageBreak/>
        <w:t>10. Dienstordnung für Pastoralreferenten/Pastoralreferentinnen in den Bayerischen (Erz-)Diözesen</w:t>
      </w:r>
      <w:bookmarkEnd w:id="1293"/>
    </w:p>
    <w:p w:rsidR="00BE1EFE" w:rsidRDefault="00BE1EFE" w:rsidP="009E16E1">
      <w:pPr>
        <w:pStyle w:val="berschrift5"/>
      </w:pPr>
      <w:bookmarkStart w:id="1294" w:name="_Toc453678395"/>
      <w:bookmarkStart w:id="1295" w:name="_Toc523926807"/>
      <w:r>
        <w:t>Vorwort</w:t>
      </w:r>
      <w:bookmarkEnd w:id="1294"/>
      <w:bookmarkEnd w:id="1295"/>
    </w:p>
    <w:p w:rsidR="00BE1EFE" w:rsidRDefault="00BE1EFE" w:rsidP="009E16E1">
      <w:pPr>
        <w:pStyle w:val="berschrift6"/>
        <w:spacing w:before="0" w:after="0"/>
        <w:rPr>
          <w:sz w:val="2"/>
        </w:rPr>
      </w:pPr>
    </w:p>
    <w:p w:rsidR="00BE1EFE" w:rsidRDefault="00BE1EFE" w:rsidP="009E16E1">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Pr="000B1AF8" w:rsidRDefault="00BE1EFE" w:rsidP="009E16E1">
      <w:pPr>
        <w:pStyle w:val="StandardWeb"/>
      </w:pPr>
      <w:r>
        <w:t>Nachdem am 20./21.06.2011 der Ständige Rat der Deutschen Bischofskonferenz die Fortschreibung der „Rahmenstatuten für Gemeindereferenten/-referentinnen und Pastoral</w:t>
      </w:r>
      <w:r>
        <w:softHyphen/>
        <w:t>referenten/-referentinnen“ verabschiedet hatte</w:t>
      </w:r>
      <w:r>
        <w:rPr>
          <w:vertAlign w:val="superscript"/>
        </w:rPr>
        <w:t>1</w:t>
      </w:r>
      <w:r>
        <w:t>, konnte auf Grundlage der überarbeiteten Rahmenstatuten sowie der „Rahmenordnung für die Ausbildung, Berufseinführung und Fortbildung von Pastoralreferenten/-referentinnen“</w:t>
      </w:r>
      <w:r>
        <w:rPr>
          <w:vertAlign w:val="superscript"/>
        </w:rPr>
        <w:t>2</w:t>
      </w:r>
      <w:r>
        <w:t xml:space="preserve"> der Allgemeine Teil einer Dienstordnung entstehen. Mit Beschluss vom 30.06./01.07.2010 wurde von der Vollversammlung der Bayerischen Regional-KODA der Arbeitsrechtliche Teil der Dienstordnung für Pastoral</w:t>
      </w:r>
      <w:r>
        <w:softHyphen/>
        <w:t>referenten/-referentinnen (ABD Teil C, 1., II. Teil) für die Bayerischen (Erz-)Diözesen bereits neu gefasst. Diese von den Diözesanbischöfen in Kraft gesetzten Regelungen der Regional-KODA bilden zusammen mit dem Allgemeinen Teil die Dienstordnung für Pastoralreferenten/ Pastoralreferent</w:t>
      </w:r>
      <w:r w:rsidR="00402A9F">
        <w:t>innen in den Bayerischen (Erz-)</w:t>
      </w:r>
      <w:r>
        <w:t>Diözesen.</w:t>
      </w:r>
    </w:p>
    <w:p w:rsidR="00BE1EFE" w:rsidRPr="000B1AF8" w:rsidRDefault="00BE1EFE">
      <w:pPr>
        <w:pStyle w:val="StandardWeb"/>
      </w:pPr>
    </w:p>
    <w:p w:rsidR="00BE1EFE" w:rsidRDefault="00BE1EFE">
      <w:pPr>
        <w:pStyle w:val="StandardWeb"/>
      </w:pPr>
      <w:r>
        <w:t>In den Rahmenstatuten bekennen sich die deutschen Bischöfe „ausdrücklich zum hauptberuf</w:t>
      </w:r>
      <w:r>
        <w:softHyphen/>
        <w:t>lichen Dienst von Frauen und Männern als Gemeinde- und Pastoralreferenten“</w:t>
      </w:r>
      <w:r>
        <w:rPr>
          <w:vertAlign w:val="superscript"/>
        </w:rPr>
        <w:t>3</w:t>
      </w:r>
      <w:r>
        <w:t>. Es handelt sich um ein Dokument für beide Berufe. Im Text wird weder von den Voraussetzungen her noch im Blick auf die Aufgabenbereiche zwischen den pastoralen Diensten unterschieden. Vielmehr weisen es die Bischöfe den einzelnen (Erz-)Diözesen zu, „die Berufsbezeichnungen, Gemeindereferent und/oder Pastoralreferentin, auf die unterschiedlichen Ausbildungsab</w:t>
      </w:r>
      <w:r>
        <w:softHyphen/>
        <w:t>schlüsse anzuwenden und – falls erforderlich – innerhalb des vorgegebenen Rahmens eine weitere Profilierung der Berufe vorzunehmen“</w:t>
      </w:r>
      <w:r>
        <w:rPr>
          <w:vertAlign w:val="superscript"/>
        </w:rPr>
        <w:t>4</w:t>
      </w:r>
      <w:r>
        <w:t>.</w:t>
      </w:r>
    </w:p>
    <w:p w:rsidR="00BE1EFE" w:rsidRDefault="00BE1EFE">
      <w:pPr>
        <w:pStyle w:val="StandardWeb"/>
      </w:pPr>
    </w:p>
    <w:p w:rsidR="00BE1EFE" w:rsidRDefault="00BE1EFE">
      <w:pPr>
        <w:pStyle w:val="StandardWeb"/>
      </w:pPr>
      <w:r>
        <w:t>Seit Anfang der 1970er Jahre hat sich der Beruf des Pastoralreferenten/der Pastoralreferentin im Raum der bayerischen (Erz-)Diözesen stetig weiterentwickelt und bewährt. Die bayerischen (Erz-)Bischöfe beschließen in der vorliegenden Dienstordnung eine gemeinsame Konkretisierung der Rahmenstatuten und stellen damit eine weitgehend einheitliche Gestalt des Berufes für den Bereich der bayerischen (Erz-)Diözesen sicher. Der überdiözesane Austausch der Verantwortlichen für den Beruf, die Arbeit an übergreifenden Qualitätsstan</w:t>
      </w:r>
      <w:r>
        <w:softHyphen/>
        <w:t>dards und der Wechsel von Pastoralreferenten/-referentinnen in eine andere Diözese werden dadurch weiterhin ermöglicht. Ein einheitliches Berufsbild fördert darüber hinaus die Gewinnung von jungen Menschen für den pastoralen Dienst.</w:t>
      </w:r>
    </w:p>
    <w:p w:rsidR="00BE1EFE" w:rsidRDefault="00BE1EFE">
      <w:pPr>
        <w:pStyle w:val="StandardWeb"/>
      </w:pPr>
    </w:p>
    <w:p w:rsidR="00BE1EFE" w:rsidRDefault="00BE1EFE">
      <w:pPr>
        <w:pStyle w:val="StandardWeb"/>
        <w:rPr>
          <w:sz w:val="12"/>
          <w:szCs w:val="12"/>
        </w:rPr>
      </w:pPr>
      <w:r>
        <w:rPr>
          <w:sz w:val="12"/>
          <w:szCs w:val="12"/>
          <w:vertAlign w:val="superscript"/>
        </w:rPr>
        <w:t>1</w:t>
      </w:r>
      <w:r>
        <w:rPr>
          <w:sz w:val="12"/>
          <w:szCs w:val="12"/>
        </w:rPr>
        <w:t> Rahmenstatuten für Gemeindereferenten/-referentinnen und Pastoralreferenten/-referentinnen, hrsg. v. Sekretariat der Deutschen Bischofskonferenz, in: Rahmenstatuten und -ordnungen für Gemeinde- und Pastoral-Referenten/Referentinnen, Die deutschen Bischöfe, Nr. 96, Bonn 2011, S. 7–30.</w:t>
      </w:r>
    </w:p>
    <w:p w:rsidR="00BE1EFE" w:rsidRDefault="00BE1EFE">
      <w:pPr>
        <w:pStyle w:val="StandardWeb"/>
      </w:pPr>
      <w:r>
        <w:rPr>
          <w:sz w:val="12"/>
          <w:szCs w:val="12"/>
          <w:vertAlign w:val="superscript"/>
        </w:rPr>
        <w:t>2</w:t>
      </w:r>
      <w:r>
        <w:rPr>
          <w:sz w:val="12"/>
          <w:szCs w:val="12"/>
        </w:rPr>
        <w:t> Rahmenordnung für die Ausbildung, Berufseinführung und Fortbildung von Pastoralreferenten/Pastoralreferentinnen, hrsg. v. Sekretariat der Deutschen Bischofskonferenz, in: Rahmenstatuten und -ordnungen für Gemeinde- und Pastoral-Referenten/Referentinnen, Die deutschen Bischöfe, Nr. 41, 1987, S. 41–50.</w:t>
      </w:r>
    </w:p>
    <w:p w:rsidR="00BE1EFE" w:rsidRDefault="00BE1EFE">
      <w:pPr>
        <w:pStyle w:val="StandardWeb"/>
      </w:pPr>
      <w:r>
        <w:rPr>
          <w:sz w:val="12"/>
          <w:szCs w:val="12"/>
          <w:vertAlign w:val="superscript"/>
        </w:rPr>
        <w:t>3</w:t>
      </w:r>
      <w:r>
        <w:rPr>
          <w:sz w:val="12"/>
          <w:szCs w:val="12"/>
        </w:rPr>
        <w:t> Rahmenstatuten, Vorwort, S. 8.</w:t>
      </w:r>
    </w:p>
    <w:p w:rsidR="00BE1EFE" w:rsidRDefault="00BE1EFE">
      <w:pPr>
        <w:pStyle w:val="StandardWeb"/>
        <w:rPr>
          <w:sz w:val="12"/>
          <w:szCs w:val="12"/>
        </w:rPr>
      </w:pPr>
      <w:r>
        <w:rPr>
          <w:sz w:val="12"/>
          <w:szCs w:val="12"/>
          <w:vertAlign w:val="superscript"/>
        </w:rPr>
        <w:t>4</w:t>
      </w:r>
      <w:r>
        <w:rPr>
          <w:sz w:val="12"/>
          <w:szCs w:val="12"/>
        </w:rPr>
        <w:t> Rahmenstatuten, Vorwort, S. 10.</w:t>
      </w:r>
    </w:p>
    <w:p w:rsidR="00BE1EFE" w:rsidRDefault="00BE1EFE">
      <w:pPr>
        <w:pStyle w:val="StandardWeb"/>
        <w:rPr>
          <w:sz w:val="12"/>
          <w:szCs w:val="12"/>
        </w:rPr>
      </w:pPr>
    </w:p>
    <w:p w:rsidR="00BE1EFE" w:rsidRDefault="00BE1EFE">
      <w:pPr>
        <w:pStyle w:val="StandardWeb"/>
      </w:pPr>
    </w:p>
    <w:p w:rsidR="00BE1EFE" w:rsidRDefault="00BE1EFE">
      <w:pPr>
        <w:pStyle w:val="berschrift5"/>
      </w:pPr>
      <w:bookmarkStart w:id="1296" w:name="_Toc523926808"/>
      <w:r>
        <w:t>I. Allgemeiner Teil</w:t>
      </w:r>
      <w:bookmarkEnd w:id="1296"/>
      <w:r>
        <w:t xml:space="preserve"> </w:t>
      </w:r>
    </w:p>
    <w:p w:rsidR="00BE1EFE" w:rsidRDefault="00BE1EFE">
      <w:pPr>
        <w:pStyle w:val="berschrift6"/>
      </w:pPr>
      <w:bookmarkStart w:id="1297" w:name="_Toc523926809"/>
      <w:r>
        <w:t>1. Beruf und kirchliche Stellung</w:t>
      </w:r>
      <w:bookmarkEnd w:id="1297"/>
      <w:r>
        <w:t xml:space="preserve"> </w:t>
      </w:r>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lastRenderedPageBreak/>
        <w:t xml:space="preserve">1. Beruf und kirchliche Stellung </w:t>
      </w:r>
    </w:p>
    <w:p w:rsidR="00BE1EFE" w:rsidRPr="000B1AF8" w:rsidRDefault="00BE1EFE">
      <w:pPr>
        <w:pStyle w:val="StandardWeb"/>
      </w:pPr>
    </w:p>
    <w:p w:rsidR="00BE1EFE" w:rsidRDefault="00BE1EFE">
      <w:pPr>
        <w:pStyle w:val="StandardWeb"/>
      </w:pPr>
      <w:r>
        <w:t>1.1 „Pastoralreferent/Pastoralreferentin“ bezeichnet einen pastoralen Beruf im kirchlichen Dienst für Frauen und Männer mit erfolgreich abgeschlossenem Universitätsstudium der Katholischen Theologie (Magister; früher Diplom) und nach bestandener Zweiter Dienst</w:t>
      </w:r>
      <w:r>
        <w:softHyphen/>
        <w:t>prüfung. Während der Berufseinführung lautet die Berufsbezeichnung „Pastoralassis</w:t>
      </w:r>
      <w:r>
        <w:softHyphen/>
        <w:t>tent/Pastoralassistentin“ (§ 4 ABD Teil C, 1., II. Teil). Wird ein Pastoralreferent/eine Pastoral</w:t>
      </w:r>
      <w:r>
        <w:softHyphen/>
        <w:t>referentin in der Kategorialseelsorge oder für spezielle Aufgaben eingesetzt, kann sich seine/ihre Dienstbezeichnung nach der spezifischen Funktion richten.</w:t>
      </w:r>
    </w:p>
    <w:p w:rsidR="00BE1EFE" w:rsidRDefault="00BE1EFE">
      <w:pPr>
        <w:pStyle w:val="StandardWeb"/>
      </w:pPr>
    </w:p>
    <w:p w:rsidR="00BE1EFE" w:rsidRDefault="00BE1EFE">
      <w:pPr>
        <w:pStyle w:val="StandardWeb"/>
      </w:pPr>
      <w:r>
        <w:t>1.2 Die in den Rahmenstatuten angesprochene Profilierung des Berufes dient der beruflichen Identitätsbildung. Der Ausweis von spezifischen Schwerpunkten für Pastoralreferenten/-refe</w:t>
      </w:r>
      <w:r>
        <w:softHyphen/>
        <w:t>ren</w:t>
      </w:r>
      <w:r>
        <w:softHyphen/>
        <w:t>tinnen basiert auf dem Fundament eines gemeinsamen Auftrags aller pastoralen Berufe und ist nur in einer kooperativen Pastoral mit den anderen kirchlichen Diensten und den Ehrenamtlichen an den verschiedenen Einsatzorten aufbauend und sinnvoll</w:t>
      </w:r>
      <w:r>
        <w:rPr>
          <w:vertAlign w:val="superscript"/>
        </w:rPr>
        <w:t>5</w:t>
      </w:r>
      <w:r>
        <w:t>:</w:t>
      </w:r>
    </w:p>
    <w:p w:rsidR="00BE1EFE" w:rsidRDefault="00BE1EFE">
      <w:pPr>
        <w:pStyle w:val="StandardWeb"/>
      </w:pPr>
      <w:r>
        <w:t>– Im Mittelpunkt steht der Anspruch, die akademisch erworbene theologische Kompetenz in der Erfüllung aller, aber auch spezifischer Aufgaben einzusetzen, v. a. in der Reflexion, in der pastoralen Konzeptentwicklung, in der Bildungsarbeit, in der Begleitung von kirchlichen Entwicklungsprozessen und als Rede von Gott in der Verkündigung.</w:t>
      </w:r>
    </w:p>
    <w:p w:rsidR="00BE1EFE" w:rsidRDefault="00BE1EFE">
      <w:pPr>
        <w:pStyle w:val="StandardWeb"/>
      </w:pPr>
      <w:r>
        <w:t>– Auch in den Dienst an der Evangelisierung von Kirche und Gesellschaft bringen Pastoral</w:t>
      </w:r>
      <w:r>
        <w:softHyphen/>
        <w:t>referenten/-referentinnen das besondere Charisma ihrer Sendung ein: Mit ihrer wissenschaft</w:t>
      </w:r>
      <w:r>
        <w:softHyphen/>
        <w:t>lichen Kompetenz zum interdisziplinären Austausch und ihrer Befähigung zur Kommunikation des Glaubens in vielfältigen Lebenswelten suchen sie Wege, den Glauben an Jesus Christus in unserer pluralen Gesellschaft zu verkünden. Auch in umgekehrter Richtung versuchen sie das, was in der Welt von heute gut und wertvoll ist, für das Leben der Kirche fruchtbar zu machen.</w:t>
      </w:r>
    </w:p>
    <w:p w:rsidR="00BE1EFE" w:rsidRDefault="00BE1EFE">
      <w:pPr>
        <w:pStyle w:val="StandardWeb"/>
      </w:pPr>
      <w:r>
        <w:t>– Die theologische Kenntnis geistlicher Traditionen, die Befähigung zum Umgang mit Riten, die vertiefte spirituelle Ausbildung, die Erfahrung als Frauen und Männer in der Übung eines geistlichen Weges, vielfach im Kontext von Ehe und Familie, machen die persönliche Lebenssituation fruchtbar für das Leben der Kirche und qualifizieren Pastoralreferenten/-referentinnen in spezifischer Weise für die geistliche Begleitung von Menschen, die unter heutigen Lebensbedingungen ihren Weg vor Gott suchen.</w:t>
      </w:r>
    </w:p>
    <w:p w:rsidR="00BE1EFE" w:rsidRDefault="00BE1EFE">
      <w:pPr>
        <w:pStyle w:val="StandardWeb"/>
      </w:pPr>
      <w:r>
        <w:t>– Auf Grundlage ihrer universitären Ausbildung werden Pastoralreferenten/-referentinnen viel</w:t>
      </w:r>
      <w:r>
        <w:softHyphen/>
        <w:t>fach zu Führungsaufgaben in der kategoria</w:t>
      </w:r>
      <w:r w:rsidR="00402A9F">
        <w:t>len Seelsorge und in den (Erz-)</w:t>
      </w:r>
      <w:r>
        <w:t>Bischöflichen Ordinariaten herangezogen und dafür weiterqualifiziert.</w:t>
      </w:r>
    </w:p>
    <w:p w:rsidR="00BE1EFE" w:rsidRDefault="00BE1EFE">
      <w:pPr>
        <w:pStyle w:val="StandardWeb"/>
      </w:pPr>
    </w:p>
    <w:p w:rsidR="00BE1EFE" w:rsidRDefault="00BE1EFE">
      <w:pPr>
        <w:pStyle w:val="StandardWeb"/>
      </w:pPr>
      <w:r>
        <w:t>1.3 „Die bischöfliche Beauftragung ist konstitutive Voraussetzung dafür, dass Laien im haupt</w:t>
      </w:r>
      <w:r>
        <w:softHyphen/>
        <w:t>beruflich pastoralen Dienst beschäftigt werden können.“</w:t>
      </w:r>
      <w:r>
        <w:rPr>
          <w:vertAlign w:val="superscript"/>
        </w:rPr>
        <w:t>6</w:t>
      </w:r>
      <w:r>
        <w:t xml:space="preserve"> Im Rahmen einer Messfeier erhalten die Pastoralreferenten/-referentinnen durch die Beauftragung in spezifischer Weise Anteil an der Sendung der Kirche und am pastoralen Dienst in einer (Erz-)Diözese. Die Anerkennung des Berufs-Charismas und die In-Dienst-Nahme durch den Bischof treffen auf die Bereitschaft, sich in den Dienst nehmen zu lassen. So arbeiten die Pastoralreferenten/-referentinnen im Auftrag des (Erz-)Bischofs gem. den Richtlinien der Instruktion „Ecclesiae de mysterio“</w:t>
      </w:r>
      <w:r>
        <w:rPr>
          <w:vertAlign w:val="superscript"/>
        </w:rPr>
        <w:t>7</w:t>
      </w:r>
      <w:r>
        <w:t>. Unter der Leitung des/der jeweiligen Vorgesetzten sind sie in ihren Tätigkeitsfeldern eigenverant</w:t>
      </w:r>
      <w:r>
        <w:softHyphen/>
        <w:t>wortlich.</w:t>
      </w:r>
    </w:p>
    <w:p w:rsidR="00BE1EFE" w:rsidRDefault="00BE1EFE">
      <w:pPr>
        <w:pStyle w:val="StandardWeb"/>
      </w:pPr>
    </w:p>
    <w:p w:rsidR="00BE1EFE" w:rsidRDefault="00BE1EFE">
      <w:pPr>
        <w:pStyle w:val="StandardWeb"/>
      </w:pPr>
      <w:r>
        <w:t>Die Sakramente der Taufe, Firmung und Eucharistie sind Grundlage für jedes kirchliche Apostolat. Dieses Fundament in Verbindung mit der bischöflichen Beauftragung und Sendung, mit einer aus dem Glauben gestalteten Lebensform, mit der Zugehörigkeit zur Dienstgemeinschaft der Kirche, mit einem persönlichen geistlichen Weg und mit den je eigenen Charismen verleihen dem Dienst der Pastoralreferenten/-referentinnen seine geistliche Qualität.</w:t>
      </w:r>
      <w:r>
        <w:rPr>
          <w:vertAlign w:val="superscript"/>
        </w:rPr>
        <w:t>8</w:t>
      </w:r>
    </w:p>
    <w:p w:rsidR="00BE1EFE" w:rsidRDefault="00BE1EFE">
      <w:pPr>
        <w:pStyle w:val="StandardWeb"/>
      </w:pPr>
    </w:p>
    <w:p w:rsidR="00BE1EFE" w:rsidRDefault="00BE1EFE">
      <w:pPr>
        <w:pStyle w:val="StandardWeb"/>
        <w:rPr>
          <w:sz w:val="12"/>
          <w:szCs w:val="12"/>
        </w:rPr>
      </w:pPr>
      <w:r>
        <w:rPr>
          <w:sz w:val="12"/>
          <w:szCs w:val="12"/>
          <w:vertAlign w:val="superscript"/>
        </w:rPr>
        <w:t>5</w:t>
      </w:r>
      <w:r>
        <w:rPr>
          <w:sz w:val="12"/>
          <w:szCs w:val="12"/>
        </w:rPr>
        <w:t> Vgl. z. B. LG 10, 12, 32, 33; AA 22–24.</w:t>
      </w:r>
    </w:p>
    <w:p w:rsidR="00BE1EFE" w:rsidRDefault="00BE1EFE">
      <w:pPr>
        <w:pStyle w:val="StandardWeb"/>
        <w:rPr>
          <w:sz w:val="12"/>
          <w:szCs w:val="12"/>
        </w:rPr>
      </w:pPr>
      <w:r>
        <w:rPr>
          <w:sz w:val="12"/>
          <w:szCs w:val="12"/>
          <w:vertAlign w:val="superscript"/>
        </w:rPr>
        <w:lastRenderedPageBreak/>
        <w:t>6</w:t>
      </w:r>
      <w:r>
        <w:rPr>
          <w:sz w:val="12"/>
          <w:szCs w:val="12"/>
        </w:rPr>
        <w:t> Rahmenstatuten (s. o.), 6.2.</w:t>
      </w:r>
    </w:p>
    <w:p w:rsidR="00BE1EFE" w:rsidRDefault="00BE1EFE">
      <w:pPr>
        <w:pStyle w:val="StandardWeb"/>
        <w:rPr>
          <w:sz w:val="12"/>
          <w:szCs w:val="12"/>
        </w:rPr>
      </w:pPr>
      <w:r w:rsidRPr="00C97FEA">
        <w:rPr>
          <w:sz w:val="12"/>
          <w:szCs w:val="12"/>
          <w:vertAlign w:val="superscript"/>
          <w:lang w:val="en-US"/>
        </w:rPr>
        <w:t>7</w:t>
      </w:r>
      <w:r>
        <w:rPr>
          <w:sz w:val="12"/>
          <w:szCs w:val="12"/>
          <w:lang w:val="en-US"/>
        </w:rPr>
        <w:t> </w:t>
      </w:r>
      <w:r w:rsidRPr="00C97FEA">
        <w:rPr>
          <w:sz w:val="12"/>
          <w:szCs w:val="12"/>
          <w:lang w:val="en-US"/>
        </w:rPr>
        <w:t xml:space="preserve">Vgl. SC Cler. u. a., Instr. </w:t>
      </w:r>
      <w:r>
        <w:rPr>
          <w:sz w:val="12"/>
          <w:szCs w:val="12"/>
        </w:rPr>
        <w:t>„Ecclesiae de mysterio“ zu einigen Fragen über die Mitarbeit der Laien am Dienst der Priester, 15.08.1997, in: Verlautbarungen des Apostolischen Stuhls, Nr. 129 (AAS, Nr. 89, 1997, S. 852–877).</w:t>
      </w:r>
    </w:p>
    <w:p w:rsidR="00BE1EFE" w:rsidRDefault="00BE1EFE">
      <w:pPr>
        <w:pStyle w:val="StandardWeb"/>
      </w:pPr>
      <w:r>
        <w:rPr>
          <w:sz w:val="12"/>
          <w:szCs w:val="12"/>
          <w:vertAlign w:val="superscript"/>
        </w:rPr>
        <w:t>8</w:t>
      </w:r>
      <w:r>
        <w:rPr>
          <w:sz w:val="12"/>
          <w:szCs w:val="12"/>
        </w:rPr>
        <w:t xml:space="preserve"> Vgl. Rahmenstatuten (s. o.), Nr. 1.3.3., vgl. auch AA 1–4. </w:t>
      </w:r>
    </w:p>
    <w:p w:rsidR="00BE1EFE" w:rsidRDefault="00BE1EFE">
      <w:pPr>
        <w:pStyle w:val="berschrift6"/>
      </w:pPr>
      <w:bookmarkStart w:id="1298" w:name="_Toc523926810"/>
      <w:r>
        <w:t>2. Einsatzorte und Aufgaben</w:t>
      </w:r>
      <w:bookmarkEnd w:id="1298"/>
      <w:r>
        <w:t xml:space="preserve"> </w:t>
      </w:r>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2. Einsatzorte und Aufgaben</w:t>
      </w:r>
    </w:p>
    <w:p w:rsidR="00BE1EFE" w:rsidRPr="000B1AF8" w:rsidRDefault="00BE1EFE">
      <w:pPr>
        <w:pStyle w:val="StandardWeb"/>
      </w:pPr>
    </w:p>
    <w:p w:rsidR="00BE1EFE" w:rsidRDefault="00BE1EFE">
      <w:pPr>
        <w:pStyle w:val="StandardWeb"/>
      </w:pPr>
      <w:r>
        <w:t>2.1 Pastoralreferenten/-referentinnen erfüllen ihren Dienst</w:t>
      </w:r>
    </w:p>
    <w:p w:rsidR="00BE1EFE" w:rsidRDefault="00BE1EFE">
      <w:pPr>
        <w:pStyle w:val="StandardWeb"/>
      </w:pPr>
      <w:r>
        <w:t>– in kategorialen Seelsorgebereichen (z. B. Krankenhaus-, Hochschul-, Jugend-, Familien-, Gefängnisseelsorge), in Bildungseinrichtungen, Beratungsdiensten, Verbänden;</w:t>
      </w:r>
    </w:p>
    <w:p w:rsidR="00BE1EFE" w:rsidRDefault="00BE1EFE">
      <w:pPr>
        <w:pStyle w:val="StandardWeb"/>
      </w:pPr>
      <w:r>
        <w:t>– in größeren Pfarreien und Seelsorgeeinheiten;</w:t>
      </w:r>
    </w:p>
    <w:p w:rsidR="00BE1EFE" w:rsidRDefault="00BE1EFE">
      <w:pPr>
        <w:pStyle w:val="StandardWeb"/>
      </w:pPr>
      <w:r>
        <w:t>– auf Dekanats-, Regional-, Diözesanebene</w:t>
      </w:r>
      <w:r>
        <w:rPr>
          <w:vertAlign w:val="superscript"/>
        </w:rPr>
        <w:t>9</w:t>
      </w:r>
      <w:r>
        <w:t>;</w:t>
      </w:r>
    </w:p>
    <w:p w:rsidR="00BE1EFE" w:rsidRDefault="00BE1EFE">
      <w:pPr>
        <w:pStyle w:val="StandardWeb"/>
      </w:pPr>
      <w:r>
        <w:t>– im Verwaltungsbereich der (Erz-)Bischöflichen Ordinariate.</w:t>
      </w:r>
    </w:p>
    <w:p w:rsidR="00BE1EFE" w:rsidRDefault="00BE1EFE">
      <w:pPr>
        <w:pStyle w:val="StandardWeb"/>
      </w:pPr>
    </w:p>
    <w:p w:rsidR="00BE1EFE" w:rsidRDefault="00BE1EFE">
      <w:pPr>
        <w:pStyle w:val="StandardWeb"/>
      </w:pPr>
      <w:r>
        <w:t>2.2 Der Einsatz erfolgt v. a. in den folgenden pastoralen Aufgabenfeldern:</w:t>
      </w:r>
    </w:p>
    <w:p w:rsidR="00BE1EFE" w:rsidRDefault="00BE1EFE">
      <w:pPr>
        <w:pStyle w:val="StandardWeb"/>
      </w:pPr>
    </w:p>
    <w:p w:rsidR="00BE1EFE" w:rsidRDefault="00BE1EFE">
      <w:pPr>
        <w:pStyle w:val="StandardWeb"/>
      </w:pPr>
      <w:r>
        <w:t>2.2.1 im Bereich der Verkündigung</w:t>
      </w:r>
    </w:p>
    <w:p w:rsidR="00BE1EFE" w:rsidRDefault="00BE1EFE">
      <w:pPr>
        <w:pStyle w:val="StandardWeb"/>
      </w:pPr>
    </w:p>
    <w:p w:rsidR="00BE1EFE" w:rsidRDefault="00BE1EFE">
      <w:pPr>
        <w:pStyle w:val="StandardWeb"/>
      </w:pPr>
      <w:r>
        <w:t>a) Spezifische Aufgaben:</w:t>
      </w:r>
    </w:p>
    <w:p w:rsidR="00BE1EFE" w:rsidRDefault="00BE1EFE">
      <w:pPr>
        <w:pStyle w:val="StandardWeb"/>
      </w:pPr>
      <w:r>
        <w:t>– theologisch fundierte Vermittlung zwischen konkreter Lebenssituation und Verkündigung: z. B. in der Konzeptentwicklung und Durchführung von Glaubensseminaren, Bibelkreisen, Veranstaltungen im Bereich der Gemeindekatechese, der Ehe-/Familienpastoral, der Schul- und Hochschulseelsorge;</w:t>
      </w:r>
    </w:p>
    <w:p w:rsidR="00BE1EFE" w:rsidRDefault="00BE1EFE">
      <w:pPr>
        <w:pStyle w:val="StandardWeb"/>
      </w:pPr>
      <w:r>
        <w:t>– theologische und spirituelle Bildung;</w:t>
      </w:r>
    </w:p>
    <w:p w:rsidR="00BE1EFE" w:rsidRDefault="00BE1EFE">
      <w:pPr>
        <w:pStyle w:val="StandardWeb"/>
      </w:pPr>
      <w:r>
        <w:t>– Förderung, Konzeption und Leitung von pastoralen Initiativen und Aufgabenbereichen, v. a. für den christlichen Dienst in der Gesellschaft;</w:t>
      </w:r>
    </w:p>
    <w:p w:rsidR="00BE1EFE" w:rsidRDefault="00BE1EFE">
      <w:pPr>
        <w:pStyle w:val="StandardWeb"/>
      </w:pPr>
      <w:r>
        <w:t>– geistliche Begleitung;</w:t>
      </w:r>
    </w:p>
    <w:p w:rsidR="00BE1EFE" w:rsidRDefault="00BE1EFE">
      <w:pPr>
        <w:pStyle w:val="StandardWeb"/>
      </w:pPr>
      <w:r>
        <w:t>– Beratung in Glaubens- und Lebensfragen sowie in Krisen- und Konfliktsituationen;</w:t>
      </w:r>
    </w:p>
    <w:p w:rsidR="00BE1EFE" w:rsidRDefault="00BE1EFE">
      <w:pPr>
        <w:pStyle w:val="StandardWeb"/>
      </w:pPr>
      <w:r>
        <w:t>– Aufbau und Leitung missionarischer Arbeitsfelder: z. B. in der Cityseelsorge, Betriebsseel</w:t>
      </w:r>
      <w:r>
        <w:softHyphen/>
        <w:t>sorge, mit bestimmten Zielgruppen und in anderen milieuspezifischen Begegnungsfeldern</w:t>
      </w:r>
      <w:r>
        <w:rPr>
          <w:vertAlign w:val="superscript"/>
        </w:rPr>
        <w:t>10</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t>Vorbereitung auf den Sakramentenempfang; Aufbau und Begleitung von Gruppen: z. B. Gewinnung, Befähigung und Begleitung von ehrenamtlichen Mitarbeiterinnen und Mit</w:t>
      </w:r>
      <w:r>
        <w:softHyphen/>
        <w:t>arbeitern, regionale Koordination und Vernetzung entstehender und bestehender Aktivitäten;</w:t>
      </w:r>
    </w:p>
    <w:p w:rsidR="00BE1EFE" w:rsidRDefault="00BE1EFE">
      <w:pPr>
        <w:pStyle w:val="StandardWeb"/>
      </w:pPr>
      <w:r>
        <w:t>– Lebensalter bezogene Glaubensvertiefung: z. B. Jugend-, Seniorenpastoral;</w:t>
      </w:r>
    </w:p>
    <w:p w:rsidR="00BE1EFE" w:rsidRDefault="00BE1EFE">
      <w:pPr>
        <w:pStyle w:val="StandardWeb"/>
      </w:pPr>
      <w:r>
        <w:t>– schulischer Religionsunterricht;</w:t>
      </w:r>
    </w:p>
    <w:p w:rsidR="00BE1EFE" w:rsidRDefault="00BE1EFE">
      <w:pPr>
        <w:pStyle w:val="StandardWeb"/>
      </w:pPr>
      <w:r>
        <w:t>– Öffentlichkeits- und Medienarbeit;</w:t>
      </w:r>
    </w:p>
    <w:p w:rsidR="00BE1EFE" w:rsidRDefault="00BE1EFE">
      <w:pPr>
        <w:pStyle w:val="StandardWeb"/>
      </w:pPr>
      <w:r>
        <w:t>– und andere.</w:t>
      </w:r>
    </w:p>
    <w:p w:rsidR="00BE1EFE" w:rsidRDefault="00BE1EFE">
      <w:pPr>
        <w:pStyle w:val="StandardWeb"/>
      </w:pPr>
    </w:p>
    <w:p w:rsidR="00BE1EFE" w:rsidRDefault="00BE1EFE">
      <w:pPr>
        <w:pStyle w:val="StandardWeb"/>
      </w:pPr>
      <w:r>
        <w:t>2.2.2 im Bereich der Liturgie</w:t>
      </w:r>
    </w:p>
    <w:p w:rsidR="00BE1EFE" w:rsidRDefault="00BE1EFE">
      <w:pPr>
        <w:pStyle w:val="StandardWeb"/>
      </w:pPr>
    </w:p>
    <w:p w:rsidR="00BE1EFE" w:rsidRDefault="00BE1EFE">
      <w:pPr>
        <w:pStyle w:val="StandardWeb"/>
      </w:pPr>
      <w:r>
        <w:t>a) Spezifische Aufgaben:</w:t>
      </w:r>
    </w:p>
    <w:p w:rsidR="00BE1EFE" w:rsidRDefault="00BE1EFE">
      <w:pPr>
        <w:pStyle w:val="StandardWeb"/>
      </w:pPr>
      <w:r>
        <w:t>– Konzeptentwicklung und Durchführung von Maßnahmen in der liturgischen Bildung;</w:t>
      </w:r>
    </w:p>
    <w:p w:rsidR="00BE1EFE" w:rsidRDefault="00BE1EFE">
      <w:pPr>
        <w:pStyle w:val="StandardWeb"/>
      </w:pPr>
      <w:r>
        <w:t>– Qualifizierung und Begleitung von ehrenamtlichen Mitarbeitern und Mitarbeiterinnen für die Leitung von Wort-Gottes-Feiern gemäß diözesaner Regelung und anderen gottesdienstlichen Feiern;</w:t>
      </w:r>
    </w:p>
    <w:p w:rsidR="00BE1EFE" w:rsidRDefault="00BE1EFE">
      <w:pPr>
        <w:pStyle w:val="StandardWeb"/>
      </w:pPr>
      <w:r>
        <w:t>– Entwicklung zeitgemäßer Formen der Hinführung zum Gottesdienst</w:t>
      </w:r>
      <w:r>
        <w:rPr>
          <w:vertAlign w:val="superscript"/>
        </w:rPr>
        <w:t>11</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lastRenderedPageBreak/>
        <w:t>– Vorbereitung und Gestaltung von Gottesdiensten;</w:t>
      </w:r>
    </w:p>
    <w:p w:rsidR="00BE1EFE" w:rsidRDefault="00BE1EFE">
      <w:pPr>
        <w:pStyle w:val="StandardWeb"/>
      </w:pPr>
      <w:r>
        <w:t>– Leitung von Andachten, Tagzeitengebet und weiteren Formen kirchlichen Betens;</w:t>
      </w:r>
    </w:p>
    <w:p w:rsidR="00BE1EFE" w:rsidRDefault="00BE1EFE">
      <w:pPr>
        <w:pStyle w:val="StandardWeb"/>
      </w:pPr>
      <w:r>
        <w:t>– Mitwirkung bei der Ausübung einzelner Aufgaben des Weiheamtes gemäß diözesaner Vorgaben, z. B.: Übernahme von Katechesen in Kinder- und Familiengottesdiensten, Über</w:t>
      </w:r>
      <w:r>
        <w:softHyphen/>
        <w:t>nahme des Predigtdienstes im Rahmen der geltenden Ordnungen</w:t>
      </w:r>
      <w:r>
        <w:rPr>
          <w:vertAlign w:val="superscript"/>
        </w:rPr>
        <w:t>12</w:t>
      </w:r>
      <w:r>
        <w:t>; Mithilfe bei der Kommunionspendung</w:t>
      </w:r>
      <w:r>
        <w:rPr>
          <w:vertAlign w:val="superscript"/>
        </w:rPr>
        <w:t>13</w:t>
      </w:r>
      <w:r>
        <w:t>; Leitung von Wort-Gottes-Feiern</w:t>
      </w:r>
      <w:r>
        <w:rPr>
          <w:vertAlign w:val="superscript"/>
        </w:rPr>
        <w:t>14</w:t>
      </w:r>
      <w:r>
        <w:t>; Leitung von Begräbnisfeiern</w:t>
      </w:r>
      <w:r>
        <w:rPr>
          <w:vertAlign w:val="superscript"/>
        </w:rPr>
        <w:t>15</w:t>
      </w:r>
      <w:r>
        <w:t>; Segnungen</w:t>
      </w:r>
      <w:r>
        <w:rPr>
          <w:vertAlign w:val="superscript"/>
        </w:rPr>
        <w:t>16</w:t>
      </w:r>
      <w:r>
        <w:t>;</w:t>
      </w:r>
    </w:p>
    <w:p w:rsidR="00BE1EFE" w:rsidRDefault="00BE1EFE">
      <w:pPr>
        <w:pStyle w:val="StandardWeb"/>
      </w:pPr>
      <w:r>
        <w:t>– und andere.</w:t>
      </w:r>
    </w:p>
    <w:p w:rsidR="00BE1EFE" w:rsidRDefault="00BE1EFE">
      <w:pPr>
        <w:pStyle w:val="StandardWeb"/>
      </w:pPr>
    </w:p>
    <w:p w:rsidR="00BE1EFE" w:rsidRDefault="00BE1EFE">
      <w:pPr>
        <w:pStyle w:val="StandardWeb"/>
      </w:pPr>
      <w:r>
        <w:t>2.2.3 im Bereich der Diakonie</w:t>
      </w:r>
    </w:p>
    <w:p w:rsidR="00BE1EFE" w:rsidRDefault="00BE1EFE">
      <w:pPr>
        <w:pStyle w:val="StandardWeb"/>
      </w:pPr>
    </w:p>
    <w:p w:rsidR="00BE1EFE" w:rsidRDefault="00BE1EFE">
      <w:pPr>
        <w:pStyle w:val="StandardWeb"/>
      </w:pPr>
      <w:r>
        <w:t>a) Spezifische Aufgaben:</w:t>
      </w:r>
    </w:p>
    <w:p w:rsidR="00BE1EFE" w:rsidRDefault="00BE1EFE">
      <w:pPr>
        <w:pStyle w:val="StandardWeb"/>
      </w:pPr>
      <w:r>
        <w:t>– Aufbau und Weiterentwicklung zeitgemäßer Strukturen von Ehrenamtlichkeit;</w:t>
      </w:r>
    </w:p>
    <w:p w:rsidR="00BE1EFE" w:rsidRDefault="00BE1EFE">
      <w:pPr>
        <w:pStyle w:val="StandardWeb"/>
      </w:pPr>
      <w:r>
        <w:t>– sozialethische und theologische Bildungsangebote für Mitarbeiter und Mitarbeiterinnen in kirchlichen und nicht-kirchlichen Einrichtungen;</w:t>
      </w:r>
    </w:p>
    <w:p w:rsidR="00BE1EFE" w:rsidRDefault="00BE1EFE">
      <w:pPr>
        <w:pStyle w:val="StandardWeb"/>
      </w:pPr>
      <w:r>
        <w:t>– Seelsorge in Hospiz- und Palliativ-Diensten;</w:t>
      </w:r>
    </w:p>
    <w:p w:rsidR="00BE1EFE" w:rsidRDefault="00BE1EFE">
      <w:pPr>
        <w:pStyle w:val="StandardWeb"/>
      </w:pPr>
      <w:r>
        <w:t>– theologische Reflexion der diakonischen Aufgaben</w:t>
      </w:r>
      <w:r>
        <w:rPr>
          <w:vertAlign w:val="superscript"/>
        </w:rPr>
        <w:t>17</w:t>
      </w:r>
      <w:r>
        <w:t>;</w:t>
      </w:r>
    </w:p>
    <w:p w:rsidR="00BE1EFE" w:rsidRDefault="00BE1EFE">
      <w:pPr>
        <w:pStyle w:val="StandardWeb"/>
      </w:pPr>
      <w:r>
        <w:t>– pastorale Begleitung von Menschen im Kontext von Berufs- und Arbeitswelt bzw. Arbeitslosigkeit;</w:t>
      </w:r>
    </w:p>
    <w:p w:rsidR="00BE1EFE" w:rsidRDefault="00BE1EFE">
      <w:pPr>
        <w:pStyle w:val="StandardWeb"/>
      </w:pPr>
      <w:r>
        <w:t>– Angebote zur theologisch orientierten Auseinandersetzung mit Werken der Kunst und Kultur;</w:t>
      </w:r>
    </w:p>
    <w:p w:rsidR="00BE1EFE" w:rsidRDefault="00BE1EFE">
      <w:pPr>
        <w:pStyle w:val="StandardWeb"/>
      </w:pPr>
      <w:r>
        <w:t>– Positionierung der katholischen Kirche in Themen und an Orten des gesellschaftlichen Diskurses, z. B. in Ethikkommissionen, interdisziplinären Projekten, auf Fachkonferenzen;</w:t>
      </w:r>
    </w:p>
    <w:p w:rsidR="00BE1EFE" w:rsidRDefault="00BE1EFE">
      <w:pPr>
        <w:pStyle w:val="StandardWeb"/>
      </w:pPr>
      <w:r>
        <w:t>– und andere.</w:t>
      </w:r>
    </w:p>
    <w:p w:rsidR="00BE1EFE" w:rsidRDefault="00BE1EFE">
      <w:pPr>
        <w:pStyle w:val="StandardWeb"/>
      </w:pPr>
      <w:r>
        <w:t>b) Weitere Aufgaben:</w:t>
      </w:r>
    </w:p>
    <w:p w:rsidR="00BE1EFE" w:rsidRDefault="00BE1EFE">
      <w:pPr>
        <w:pStyle w:val="StandardWeb"/>
      </w:pPr>
      <w:r>
        <w:t>– Initiierung sozial-caritativer Projekte und Initiativen für Gerechtigkeit, Frieden und Bewahrung der Schöpfung</w:t>
      </w:r>
      <w:r>
        <w:rPr>
          <w:vertAlign w:val="superscript"/>
        </w:rPr>
        <w:t>18</w:t>
      </w:r>
      <w:r>
        <w:t>;</w:t>
      </w:r>
    </w:p>
    <w:p w:rsidR="00BE1EFE" w:rsidRDefault="00BE1EFE">
      <w:pPr>
        <w:pStyle w:val="StandardWeb"/>
      </w:pPr>
      <w:r>
        <w:t>– pastorale Begleitung von haupt- und ehrenamtlichen Mitarbeitern und Mitarbeiterinnen in sozial-caritativen Diensten und Einrichtungen;</w:t>
      </w:r>
    </w:p>
    <w:p w:rsidR="00BE1EFE" w:rsidRDefault="00BE1EFE">
      <w:pPr>
        <w:pStyle w:val="StandardWeb"/>
      </w:pPr>
      <w:r>
        <w:t>– Begleitung des ehrenamtlichen Engagements von Einzelnen und Gruppen;</w:t>
      </w:r>
    </w:p>
    <w:p w:rsidR="00BE1EFE" w:rsidRDefault="00BE1EFE">
      <w:pPr>
        <w:pStyle w:val="StandardWeb"/>
      </w:pPr>
      <w:r>
        <w:t>– Kooperation mit Verbänden sowie kirchlichen Einrichtungen im Bereich der Caritas und kommunalen Einrichtungen im Bereich des Sozialwesens;</w:t>
      </w:r>
    </w:p>
    <w:p w:rsidR="00BE1EFE" w:rsidRDefault="00BE1EFE">
      <w:pPr>
        <w:pStyle w:val="StandardWeb"/>
      </w:pPr>
      <w:r>
        <w:t>– Einsatz für gesellschaftliche Randgruppen;</w:t>
      </w:r>
    </w:p>
    <w:p w:rsidR="00BE1EFE" w:rsidRDefault="00BE1EFE">
      <w:pPr>
        <w:pStyle w:val="StandardWeb"/>
      </w:pPr>
      <w:r>
        <w:t>– Begleitung von Menschen in Trauer und Verlusterfahrung;</w:t>
      </w:r>
    </w:p>
    <w:p w:rsidR="00BE1EFE" w:rsidRDefault="00BE1EFE">
      <w:pPr>
        <w:pStyle w:val="StandardWeb"/>
      </w:pPr>
      <w:r>
        <w:t>– und andere.</w:t>
      </w:r>
    </w:p>
    <w:p w:rsidR="00BE1EFE" w:rsidRDefault="00BE1EFE">
      <w:pPr>
        <w:pStyle w:val="StandardWeb"/>
      </w:pPr>
    </w:p>
    <w:p w:rsidR="00BE1EFE" w:rsidRDefault="00BE1EFE">
      <w:pPr>
        <w:pStyle w:val="StandardWeb"/>
      </w:pPr>
      <w:r>
        <w:t>2.2.4 im Bereich des Gemeindeaufbaus und der Gemeinschaftsbildung</w:t>
      </w:r>
    </w:p>
    <w:p w:rsidR="00BE1EFE" w:rsidRDefault="00BE1EFE">
      <w:pPr>
        <w:pStyle w:val="StandardWeb"/>
      </w:pPr>
    </w:p>
    <w:p w:rsidR="00BE1EFE" w:rsidRDefault="00BE1EFE">
      <w:pPr>
        <w:pStyle w:val="StandardWeb"/>
      </w:pPr>
      <w:r>
        <w:t>a) Spezifische Aufgaben:</w:t>
      </w:r>
    </w:p>
    <w:p w:rsidR="00BE1EFE" w:rsidRDefault="00BE1EFE">
      <w:pPr>
        <w:pStyle w:val="StandardWeb"/>
      </w:pPr>
      <w:r>
        <w:t>– Mitwirkung bei der Entwicklung und Umsetzung von Pastoralplänen;</w:t>
      </w:r>
    </w:p>
    <w:p w:rsidR="00BE1EFE" w:rsidRDefault="00BE1EFE">
      <w:pPr>
        <w:pStyle w:val="StandardWeb"/>
      </w:pPr>
      <w:r>
        <w:t>– im kategorialen Bereich: Leitung von Seelsorgestellen und Teams;</w:t>
      </w:r>
    </w:p>
    <w:p w:rsidR="00BE1EFE" w:rsidRDefault="00BE1EFE">
      <w:pPr>
        <w:pStyle w:val="StandardWeb"/>
      </w:pPr>
      <w:r>
        <w:t>– Führung von haupt- und ehrenamtlichen Mitarbeitern/Mitarbeiterinnen in den übertragenen Leitungs- und Teilleitungsaufgaben;</w:t>
      </w:r>
    </w:p>
    <w:p w:rsidR="00BE1EFE" w:rsidRDefault="00BE1EFE">
      <w:pPr>
        <w:pStyle w:val="StandardWeb"/>
      </w:pPr>
      <w:r>
        <w:t>– Förderung und theologische Qualifizierung der ökumenischen Zusammenarbeit und der Begegnung mit anderen Kulturen und Religionen;</w:t>
      </w:r>
    </w:p>
    <w:p w:rsidR="00BE1EFE" w:rsidRDefault="00BE1EFE">
      <w:pPr>
        <w:pStyle w:val="StandardWeb"/>
      </w:pPr>
      <w:r>
        <w:t>– Unterstützung des weltkirchlichen Engagements und Erfahrungsaustausches, Förderung von weltkirchlicher Lerngemeinschaft</w:t>
      </w:r>
      <w:r>
        <w:rPr>
          <w:vertAlign w:val="superscript"/>
        </w:rPr>
        <w:t>19</w:t>
      </w:r>
      <w:r>
        <w:t>;</w:t>
      </w:r>
    </w:p>
    <w:p w:rsidR="00BE1EFE" w:rsidRDefault="00BE1EFE">
      <w:pPr>
        <w:pStyle w:val="StandardWeb"/>
      </w:pPr>
      <w:r>
        <w:t>– und andere.</w:t>
      </w:r>
    </w:p>
    <w:p w:rsidR="00BE1EFE" w:rsidRDefault="00BE1EFE">
      <w:pPr>
        <w:pStyle w:val="StandardWeb"/>
      </w:pPr>
    </w:p>
    <w:p w:rsidR="00BE1EFE" w:rsidRDefault="00BE1EFE">
      <w:pPr>
        <w:pStyle w:val="StandardWeb"/>
      </w:pPr>
      <w:r>
        <w:t>b) Weitere Aufgaben:</w:t>
      </w:r>
    </w:p>
    <w:p w:rsidR="00BE1EFE" w:rsidRDefault="00BE1EFE">
      <w:pPr>
        <w:pStyle w:val="StandardWeb"/>
      </w:pPr>
      <w:r>
        <w:t>– Vernetzung verschiedener Aktionen und Gruppierungen;</w:t>
      </w:r>
    </w:p>
    <w:p w:rsidR="00BE1EFE" w:rsidRDefault="00BE1EFE">
      <w:pPr>
        <w:pStyle w:val="StandardWeb"/>
      </w:pPr>
      <w:r>
        <w:t>– Teilnahme an den mit dem Einsatz verbundenen Dienstbesprechungen und Konferenzen;</w:t>
      </w:r>
    </w:p>
    <w:p w:rsidR="00BE1EFE" w:rsidRDefault="00BE1EFE">
      <w:pPr>
        <w:pStyle w:val="StandardWeb"/>
      </w:pPr>
      <w:r>
        <w:t>– Wahrnehmen der Mitgliedschaft im Pfarrgemeinderat und anderen Gremien der kirchlichen Mitverantwortung</w:t>
      </w:r>
      <w:r>
        <w:rPr>
          <w:vertAlign w:val="superscript"/>
        </w:rPr>
        <w:t>20</w:t>
      </w:r>
      <w:r>
        <w:t>;</w:t>
      </w:r>
    </w:p>
    <w:p w:rsidR="00BE1EFE" w:rsidRDefault="00BE1EFE">
      <w:pPr>
        <w:pStyle w:val="StandardWeb"/>
      </w:pPr>
      <w:r>
        <w:lastRenderedPageBreak/>
        <w:t>– in besonderen Fällen Übernahme der Aufgabe als stellvertretender Kirchenverwaltungs</w:t>
      </w:r>
      <w:r>
        <w:softHyphen/>
        <w:t>vorstand</w:t>
      </w:r>
      <w:r>
        <w:rPr>
          <w:vertAlign w:val="superscript"/>
        </w:rPr>
        <w:t>21</w:t>
      </w:r>
      <w:r>
        <w:t xml:space="preserve"> oder gegebenenfalls auch als Kirchenverwaltungsvorstand</w:t>
      </w:r>
      <w:r>
        <w:rPr>
          <w:vertAlign w:val="superscript"/>
        </w:rPr>
        <w:t>22</w:t>
      </w:r>
      <w:r>
        <w:t>;</w:t>
      </w:r>
    </w:p>
    <w:p w:rsidR="00BE1EFE" w:rsidRDefault="00BE1EFE">
      <w:pPr>
        <w:pStyle w:val="StandardWeb"/>
      </w:pPr>
      <w:r>
        <w:t>– Förderung der Zusammenarbeit in Pfarreien, überpfarrlichen Zusammenschlüssen und Verbänden, in der Diözese und in der Weltkirche</w:t>
      </w:r>
      <w:r>
        <w:rPr>
          <w:vertAlign w:val="superscript"/>
        </w:rPr>
        <w:t>23</w:t>
      </w:r>
      <w:r>
        <w:t>;</w:t>
      </w:r>
    </w:p>
    <w:p w:rsidR="00BE1EFE" w:rsidRDefault="00BE1EFE">
      <w:pPr>
        <w:pStyle w:val="StandardWeb"/>
      </w:pPr>
      <w:r>
        <w:t>– und andere.</w:t>
      </w:r>
    </w:p>
    <w:p w:rsidR="00BE1EFE" w:rsidRDefault="00BE1EFE">
      <w:pPr>
        <w:pStyle w:val="StandardWeb"/>
      </w:pPr>
    </w:p>
    <w:p w:rsidR="00BE1EFE" w:rsidRDefault="00BE1EFE">
      <w:pPr>
        <w:pStyle w:val="StandardWeb"/>
      </w:pPr>
      <w:r>
        <w:t>2.3 Darüber hinaus werden Pastoralreferenten/-referentinnen auch mit Aufgaben als Führungskräfte in der Verwaltung oder als Fachreferenten/-referentinnen in (Erz-)Bischöf</w:t>
      </w:r>
      <w:r>
        <w:softHyphen/>
        <w:t>lichen Ordinariaten betraut.</w:t>
      </w:r>
    </w:p>
    <w:p w:rsidR="00BE1EFE" w:rsidRDefault="00BE1EFE">
      <w:pPr>
        <w:pStyle w:val="StandardWeb"/>
      </w:pPr>
    </w:p>
    <w:p w:rsidR="00BE1EFE" w:rsidRDefault="00BE1EFE">
      <w:pPr>
        <w:pStyle w:val="StandardWeb"/>
      </w:pPr>
      <w:r>
        <w:t>2.4 Der Beruf ist darauf angelegt, Erfahrungen in verschiedenen Bereichen einzubringen, so dass im Laufe des Berufslebens der mehrmalige Wechsel der Einsatzstelle angezeigt ist.</w:t>
      </w:r>
    </w:p>
    <w:p w:rsidR="00BE1EFE" w:rsidRDefault="00BE1EFE">
      <w:pPr>
        <w:pStyle w:val="StandardWeb"/>
      </w:pPr>
    </w:p>
    <w:p w:rsidR="00BE1EFE" w:rsidRDefault="00BE1EFE">
      <w:pPr>
        <w:pStyle w:val="StandardWeb"/>
      </w:pPr>
      <w:r>
        <w:t>2.5 Gespräche des Pastoralreferenten/der Pastoralreferentin mit dem diözesanen Einsatz</w:t>
      </w:r>
      <w:r>
        <w:softHyphen/>
        <w:t>referenten/der diözesanen Einsatzreferentin dienen der Entwicklung und Klärung weiterer beruflicher Perspektiven. Dies gilt insbesondere im Vorfeld eines Wechsels der Einsatzstelle. Näheres regeln diözesane Ordnungen.</w:t>
      </w:r>
    </w:p>
    <w:p w:rsidR="00BE1EFE" w:rsidRDefault="00BE1EFE">
      <w:pPr>
        <w:pStyle w:val="StandardWeb"/>
      </w:pPr>
    </w:p>
    <w:p w:rsidR="00BE1EFE" w:rsidRDefault="00BE1EFE">
      <w:pPr>
        <w:pStyle w:val="StandardWeb"/>
      </w:pPr>
      <w:r>
        <w:rPr>
          <w:rStyle w:val="kleinschrift"/>
        </w:rPr>
        <w:t> </w:t>
      </w:r>
      <w:r>
        <w:rPr>
          <w:rStyle w:val="kleinschrift"/>
          <w:vertAlign w:val="superscript"/>
        </w:rPr>
        <w:t>9</w:t>
      </w:r>
      <w:r>
        <w:rPr>
          <w:rStyle w:val="kleinschrift"/>
        </w:rPr>
        <w:t> Vgl. Der pastorale Dienst in der Pfarrgemeinde, hrsg. v. Sekretariat der Deutschen Bischofskonferenz, in: Die Deutschen Bischöfe, Nr. 54, 1995, Art. II Nr. 2.3.2.</w:t>
      </w:r>
    </w:p>
    <w:p w:rsidR="00BE1EFE" w:rsidRDefault="00BE1EFE">
      <w:pPr>
        <w:pStyle w:val="StandardWeb"/>
      </w:pPr>
      <w:r>
        <w:rPr>
          <w:vertAlign w:val="superscript"/>
        </w:rPr>
        <w:t xml:space="preserve">10  </w:t>
      </w:r>
      <w:r>
        <w:rPr>
          <w:rStyle w:val="kleinschrift"/>
        </w:rPr>
        <w:t>Vgl. Rahmenstatuten (s. o.), Nr. 2.1.1.</w:t>
      </w:r>
    </w:p>
    <w:p w:rsidR="00BE1EFE" w:rsidRDefault="00BE1EFE">
      <w:pPr>
        <w:pStyle w:val="StandardWeb"/>
      </w:pPr>
      <w:r>
        <w:rPr>
          <w:vertAlign w:val="superscript"/>
        </w:rPr>
        <w:t>11</w:t>
      </w:r>
      <w:r>
        <w:t xml:space="preserve"> </w:t>
      </w:r>
      <w:r>
        <w:rPr>
          <w:rStyle w:val="kleinschrift"/>
        </w:rPr>
        <w:t>Vgl. Rahmenstatuten (s. o.), Nr. 2.1.2.</w:t>
      </w:r>
    </w:p>
    <w:p w:rsidR="00BE1EFE" w:rsidRPr="00C97FEA" w:rsidRDefault="00BE1EFE">
      <w:pPr>
        <w:pStyle w:val="StandardWeb"/>
        <w:rPr>
          <w:lang w:val="en-US"/>
        </w:rPr>
      </w:pPr>
      <w:r w:rsidRPr="00865C69">
        <w:rPr>
          <w:vertAlign w:val="superscript"/>
          <w:lang w:val="en-US"/>
        </w:rPr>
        <w:t>12</w:t>
      </w:r>
      <w:r>
        <w:rPr>
          <w:lang w:val="en-US"/>
        </w:rPr>
        <w:t> </w:t>
      </w:r>
      <w:r w:rsidRPr="00865C69">
        <w:rPr>
          <w:rStyle w:val="kleinschrift"/>
          <w:lang w:val="en-US"/>
        </w:rPr>
        <w:t xml:space="preserve">Vgl. cc. 765–772 CIC; PCI, Resp. v. 20.06.1987 (AAS, Nr. 79, 1987, S. 1249). </w:t>
      </w:r>
      <w:r>
        <w:rPr>
          <w:rStyle w:val="kleinschrift"/>
        </w:rPr>
        <w:t xml:space="preserve">Vgl. „Pastorales Wort der Deutschen Bischofskonferenz“ und „Ordnung des Predigtdienstes von Laien“ v. 24.02.1988, in: Amtsblatt für das Erzbistum München und Freising, Jg. 1988, Nr. 10 v. 11.05.1988, S. 235–241. </w:t>
      </w:r>
      <w:r>
        <w:rPr>
          <w:rStyle w:val="kleinschrift"/>
          <w:lang w:val="en-US"/>
        </w:rPr>
        <w:t>Vgl. SC </w:t>
      </w:r>
      <w:r w:rsidRPr="00C97FEA">
        <w:rPr>
          <w:rStyle w:val="kleinschrift"/>
          <w:lang w:val="en-US"/>
        </w:rPr>
        <w:t>Cler. u. a., Instr. „Ecclesiae de mysterio“ (s. o.), Artt. 2, 3.</w:t>
      </w:r>
    </w:p>
    <w:p w:rsidR="00BE1EFE" w:rsidRPr="00212919" w:rsidRDefault="00BE1EFE">
      <w:pPr>
        <w:pStyle w:val="StandardWeb"/>
        <w:rPr>
          <w:lang w:val="en-US"/>
        </w:rPr>
      </w:pPr>
      <w:r>
        <w:rPr>
          <w:vertAlign w:val="superscript"/>
        </w:rPr>
        <w:t>13</w:t>
      </w:r>
      <w:r>
        <w:t> </w:t>
      </w:r>
      <w:r>
        <w:rPr>
          <w:rStyle w:val="kleinschrift"/>
        </w:rPr>
        <w:t xml:space="preserve">Vgl. Allgemeine Einführung in das Römische Meßbuch, Nr. 68; SC Sacr., Instr. </w:t>
      </w:r>
      <w:r w:rsidRPr="00C97FEA">
        <w:rPr>
          <w:rStyle w:val="kleinschrift"/>
          <w:lang w:val="en-US"/>
        </w:rPr>
        <w:t xml:space="preserve">„Immensae caritatis“ v. 29.01.1973, Kap. 1, Art. I – IV (AAS, Nr. 65, 1973, S. 264–271); SC Sacr. Cult., Instr. </w:t>
      </w:r>
      <w:r w:rsidRPr="00212919">
        <w:rPr>
          <w:rStyle w:val="kleinschrift"/>
          <w:lang w:val="en-US"/>
        </w:rPr>
        <w:t>„Inaestimabile Donum“ v. 03.04.1980, Art. 10 (AAS, Nr. 72, 1980, S. 331–343).</w:t>
      </w:r>
    </w:p>
    <w:p w:rsidR="00BE1EFE" w:rsidRDefault="00BE1EFE">
      <w:pPr>
        <w:pStyle w:val="StandardWeb"/>
      </w:pPr>
      <w:r w:rsidRPr="00212919">
        <w:rPr>
          <w:vertAlign w:val="superscript"/>
          <w:lang w:val="en-US"/>
        </w:rPr>
        <w:t>14</w:t>
      </w:r>
      <w:r>
        <w:rPr>
          <w:lang w:val="en-US"/>
        </w:rPr>
        <w:t> </w:t>
      </w:r>
      <w:r w:rsidRPr="00212919">
        <w:rPr>
          <w:rStyle w:val="kleinschrift"/>
          <w:lang w:val="en-US"/>
        </w:rPr>
        <w:t xml:space="preserve">Vgl. </w:t>
      </w:r>
      <w:r w:rsidRPr="00F82168">
        <w:rPr>
          <w:rStyle w:val="kleinschrift"/>
          <w:lang w:val="en-US"/>
        </w:rPr>
        <w:t xml:space="preserve">SC Rit, Instr. </w:t>
      </w:r>
      <w:r>
        <w:rPr>
          <w:rStyle w:val="kleinschrift"/>
        </w:rPr>
        <w:t>„Inter Oecumenici“ v. 26.09.1964, 37 (AAS, Nr. 56, 1964, S. 884–885); Zum gemeinsamen Dienst berufen, hrsg. v. Sekretariat der Deutschen Bischofskonferenz, in: Die Deutschen Bischöfe Nr. 62, 1999.</w:t>
      </w:r>
      <w:r w:rsidRPr="009C6551">
        <w:rPr>
          <w:rStyle w:val="kleinschrift1"/>
        </w:rPr>
        <w:t xml:space="preserve"> </w:t>
      </w:r>
    </w:p>
    <w:p w:rsidR="00BE1EFE" w:rsidRDefault="00BE1EFE">
      <w:pPr>
        <w:pStyle w:val="StandardWeb"/>
      </w:pPr>
      <w:r>
        <w:rPr>
          <w:vertAlign w:val="superscript"/>
        </w:rPr>
        <w:t>15</w:t>
      </w:r>
      <w:r>
        <w:rPr>
          <w:rStyle w:val="kleinschrift"/>
        </w:rPr>
        <w:t> Vgl. Ordo exsequiarum (15.8.1969), Nr. 19; Die kirchliche Begräbnisfeier (29.06.2009), Praenotanda, Nr. 19.</w:t>
      </w:r>
    </w:p>
    <w:p w:rsidR="00BE1EFE" w:rsidRDefault="00BE1EFE">
      <w:pPr>
        <w:pStyle w:val="StandardWeb"/>
      </w:pPr>
      <w:r>
        <w:rPr>
          <w:vertAlign w:val="superscript"/>
        </w:rPr>
        <w:t>16</w:t>
      </w:r>
      <w:r>
        <w:rPr>
          <w:rStyle w:val="kleinschrift"/>
        </w:rPr>
        <w:t> Vgl. De Benedictionibus, 31. Mai 1984, Nr. 18 d. und Zum gemeinsamen Dienst berufen (s. o.), Nrn. 53–55.</w:t>
      </w:r>
    </w:p>
    <w:p w:rsidR="00BE1EFE" w:rsidRDefault="00BE1EFE">
      <w:pPr>
        <w:pStyle w:val="StandardWeb"/>
      </w:pPr>
      <w:r>
        <w:rPr>
          <w:vertAlign w:val="superscript"/>
        </w:rPr>
        <w:t>17</w:t>
      </w:r>
      <w:r>
        <w:t xml:space="preserve"> </w:t>
      </w:r>
      <w:r>
        <w:rPr>
          <w:rStyle w:val="kleinschrift"/>
        </w:rPr>
        <w:t>Rahmenstatuten (s. o.), Nr. 2.1.3.</w:t>
      </w:r>
      <w:r w:rsidRPr="009C6551">
        <w:rPr>
          <w:rStyle w:val="kleinschrift1"/>
        </w:rPr>
        <w:t xml:space="preserve"> </w:t>
      </w:r>
    </w:p>
    <w:p w:rsidR="00BE1EFE" w:rsidRDefault="00BE1EFE">
      <w:pPr>
        <w:pStyle w:val="StandardWeb"/>
      </w:pPr>
      <w:r>
        <w:rPr>
          <w:vertAlign w:val="superscript"/>
        </w:rPr>
        <w:t>18</w:t>
      </w:r>
      <w:r>
        <w:t xml:space="preserve"> </w:t>
      </w:r>
      <w:r>
        <w:rPr>
          <w:rStyle w:val="kleinschrift"/>
        </w:rPr>
        <w:t>Rahmenstatuten (s. o.), Nr. 2.1.3.</w:t>
      </w:r>
      <w:r w:rsidRPr="009C6551">
        <w:rPr>
          <w:rStyle w:val="kleinschrift1"/>
        </w:rPr>
        <w:t xml:space="preserve"> </w:t>
      </w:r>
    </w:p>
    <w:p w:rsidR="00BE1EFE" w:rsidRDefault="00BE1EFE">
      <w:pPr>
        <w:pStyle w:val="StandardWeb"/>
      </w:pPr>
      <w:r>
        <w:rPr>
          <w:vertAlign w:val="superscript"/>
        </w:rPr>
        <w:t>19</w:t>
      </w:r>
      <w:r>
        <w:t xml:space="preserve"> </w:t>
      </w:r>
      <w:r>
        <w:rPr>
          <w:rStyle w:val="kleinschrift"/>
        </w:rPr>
        <w:t>Rahmenstatuten (s. o.), Nr. 2.1.4.</w:t>
      </w:r>
    </w:p>
    <w:p w:rsidR="00BE1EFE" w:rsidRDefault="00BE1EFE">
      <w:pPr>
        <w:pStyle w:val="StandardWeb"/>
      </w:pPr>
      <w:r>
        <w:rPr>
          <w:vertAlign w:val="superscript"/>
        </w:rPr>
        <w:t>20</w:t>
      </w:r>
      <w:r>
        <w:rPr>
          <w:rStyle w:val="kleinschrift"/>
        </w:rPr>
        <w:t xml:space="preserve"> Entsprechend der jeweiligen diözesanen Satzung bzw. dem jeweiligen diözesanen Statut für diese Gremien.</w:t>
      </w:r>
    </w:p>
    <w:p w:rsidR="00BE1EFE" w:rsidRDefault="00BE1EFE">
      <w:pPr>
        <w:pStyle w:val="StandardWeb"/>
      </w:pPr>
      <w:r>
        <w:rPr>
          <w:vertAlign w:val="superscript"/>
        </w:rPr>
        <w:t>21</w:t>
      </w:r>
      <w:r>
        <w:t xml:space="preserve"> </w:t>
      </w:r>
      <w:r>
        <w:rPr>
          <w:rStyle w:val="kleinschrift"/>
        </w:rPr>
        <w:t>Gemäß Art. 10 Abs. 4 KiStiftO bzw. Art. 6 Abs. 3 GStVS.</w:t>
      </w:r>
    </w:p>
    <w:p w:rsidR="00BE1EFE" w:rsidRDefault="00BE1EFE">
      <w:pPr>
        <w:pStyle w:val="StandardWeb"/>
      </w:pPr>
      <w:r>
        <w:rPr>
          <w:vertAlign w:val="superscript"/>
        </w:rPr>
        <w:t>22</w:t>
      </w:r>
      <w:r>
        <w:t xml:space="preserve"> </w:t>
      </w:r>
      <w:r>
        <w:rPr>
          <w:rStyle w:val="kleinschrift"/>
        </w:rPr>
        <w:t>Gemäß Art. 43 Abs. 3 KiStiftO.</w:t>
      </w:r>
    </w:p>
    <w:p w:rsidR="00BE1EFE" w:rsidRDefault="00BE1EFE">
      <w:pPr>
        <w:pStyle w:val="StandardWeb"/>
      </w:pPr>
      <w:r>
        <w:rPr>
          <w:vertAlign w:val="superscript"/>
        </w:rPr>
        <w:t>23</w:t>
      </w:r>
      <w:r>
        <w:t xml:space="preserve"> </w:t>
      </w:r>
      <w:r>
        <w:rPr>
          <w:rStyle w:val="kleinschrift"/>
        </w:rPr>
        <w:t>Vgl. Rahmenstatuten (s. o.), Nr. 2.1.4.</w:t>
      </w:r>
      <w:r w:rsidRPr="009C6551">
        <w:rPr>
          <w:rStyle w:val="kleinschrift1"/>
        </w:rPr>
        <w:t xml:space="preserve"> </w:t>
      </w:r>
    </w:p>
    <w:p w:rsidR="00BE1EFE" w:rsidRDefault="00BE1EFE">
      <w:pPr>
        <w:pStyle w:val="berschrift6"/>
      </w:pPr>
      <w:bookmarkStart w:id="1299" w:name="_Toc523926811"/>
      <w:r>
        <w:t>3. Voraussetzungen für den Dienst</w:t>
      </w:r>
      <w:bookmarkEnd w:id="1299"/>
      <w:r>
        <w:t xml:space="preserve"> </w:t>
      </w:r>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 xml:space="preserve">3. Voraussetzungen für den Dienst </w:t>
      </w:r>
    </w:p>
    <w:p w:rsidR="00BE1EFE" w:rsidRPr="000B1AF8" w:rsidRDefault="00BE1EFE">
      <w:pPr>
        <w:pStyle w:val="StandardWeb"/>
      </w:pPr>
    </w:p>
    <w:p w:rsidR="00BE1EFE" w:rsidRDefault="00BE1EFE">
      <w:pPr>
        <w:pStyle w:val="StandardWeb"/>
      </w:pPr>
      <w:r>
        <w:t>Der Beruf des Pastoralreferenten/der Pastoralreferentin erfordert neben der für die Mitarbeit in der Seelsorge nötigen körperlichen, geistigen und seelischen Gesundheit bestimmte persönlich-soziale, kirchlich-geistliche und fachliche Voraussetzungen sowie die Bereitschaft, diese Fähigkeiten fortlaufend weiterzuentwickeln.</w:t>
      </w:r>
    </w:p>
    <w:p w:rsidR="00BE1EFE" w:rsidRDefault="00BE1EFE">
      <w:pPr>
        <w:pStyle w:val="StandardWeb"/>
      </w:pPr>
    </w:p>
    <w:p w:rsidR="00BE1EFE" w:rsidRDefault="00BE1EFE">
      <w:pPr>
        <w:pStyle w:val="StandardWeb"/>
      </w:pPr>
      <w:r>
        <w:t>3.1 Persönlich-soziale Voraussetzungen, die sich z. B. in folgenden Kompetenzen zeigen:</w:t>
      </w:r>
    </w:p>
    <w:p w:rsidR="00BE1EFE" w:rsidRDefault="00BE1EFE">
      <w:pPr>
        <w:pStyle w:val="StandardWeb"/>
      </w:pPr>
    </w:p>
    <w:p w:rsidR="00BE1EFE" w:rsidRDefault="00BE1EFE">
      <w:pPr>
        <w:pStyle w:val="StandardWeb"/>
      </w:pPr>
      <w:r>
        <w:t>- Kontakt- und Kommunikationsfähigkeit;</w:t>
      </w:r>
    </w:p>
    <w:p w:rsidR="00BE1EFE" w:rsidRDefault="00BE1EFE">
      <w:pPr>
        <w:pStyle w:val="StandardWeb"/>
      </w:pPr>
      <w:r>
        <w:t>– Fähigkeit und Bereitschaft zur Kooperation;</w:t>
      </w:r>
    </w:p>
    <w:p w:rsidR="00BE1EFE" w:rsidRDefault="00BE1EFE">
      <w:pPr>
        <w:pStyle w:val="StandardWeb"/>
      </w:pPr>
      <w:r>
        <w:t>– Kreativität und Innovationskraft;</w:t>
      </w:r>
    </w:p>
    <w:p w:rsidR="00BE1EFE" w:rsidRDefault="00BE1EFE">
      <w:pPr>
        <w:pStyle w:val="StandardWeb"/>
      </w:pPr>
      <w:r>
        <w:lastRenderedPageBreak/>
        <w:t>– Konflikt- und Kritikfähigkeit;</w:t>
      </w:r>
    </w:p>
    <w:p w:rsidR="00BE1EFE" w:rsidRDefault="00BE1EFE">
      <w:pPr>
        <w:pStyle w:val="StandardWeb"/>
      </w:pPr>
      <w:r>
        <w:t>– Diskretion;</w:t>
      </w:r>
    </w:p>
    <w:p w:rsidR="00BE1EFE" w:rsidRDefault="00BE1EFE">
      <w:pPr>
        <w:pStyle w:val="StandardWeb"/>
      </w:pPr>
      <w:r>
        <w:t>– Authentizität;</w:t>
      </w:r>
    </w:p>
    <w:p w:rsidR="00BE1EFE" w:rsidRDefault="00BE1EFE">
      <w:pPr>
        <w:pStyle w:val="StandardWeb"/>
      </w:pPr>
      <w:r>
        <w:t>– Fähigkeit zu realistischer Selbsteinschätzung;</w:t>
      </w:r>
    </w:p>
    <w:p w:rsidR="00BE1EFE" w:rsidRDefault="00BE1EFE">
      <w:pPr>
        <w:pStyle w:val="StandardWeb"/>
      </w:pPr>
      <w:r>
        <w:t>– Belastbarkeit;</w:t>
      </w:r>
    </w:p>
    <w:p w:rsidR="00BE1EFE" w:rsidRDefault="00BE1EFE">
      <w:pPr>
        <w:pStyle w:val="StandardWeb"/>
      </w:pPr>
      <w:r>
        <w:t>– Selbststeuerung in der Balance zwischen Arbeit und Freizeit.</w:t>
      </w:r>
    </w:p>
    <w:p w:rsidR="00BE1EFE" w:rsidRDefault="00BE1EFE">
      <w:pPr>
        <w:pStyle w:val="StandardWeb"/>
      </w:pPr>
    </w:p>
    <w:p w:rsidR="00BE1EFE" w:rsidRDefault="00BE1EFE">
      <w:pPr>
        <w:pStyle w:val="StandardWeb"/>
      </w:pPr>
      <w:r>
        <w:t>3.2 Kirchlich-geistliche Voraussetzungen, die sich z. B. in folgenden spirituellen Kompetenzen zeigen:</w:t>
      </w:r>
    </w:p>
    <w:p w:rsidR="00BE1EFE" w:rsidRDefault="00BE1EFE">
      <w:pPr>
        <w:pStyle w:val="StandardWeb"/>
      </w:pPr>
    </w:p>
    <w:p w:rsidR="00BE1EFE" w:rsidRDefault="00BE1EFE">
      <w:pPr>
        <w:pStyle w:val="StandardWeb"/>
      </w:pPr>
      <w:r>
        <w:t>– persönlich gelebter Glaube und das Bemühen um eine konkrete geistliche Lebensgestal</w:t>
      </w:r>
      <w:r>
        <w:softHyphen/>
        <w:t>tung;</w:t>
      </w:r>
    </w:p>
    <w:p w:rsidR="00BE1EFE" w:rsidRDefault="00BE1EFE">
      <w:pPr>
        <w:pStyle w:val="StandardWeb"/>
      </w:pPr>
      <w:r>
        <w:t>– Orientierung an der Heiligen Schrift;</w:t>
      </w:r>
    </w:p>
    <w:p w:rsidR="00BE1EFE" w:rsidRDefault="00BE1EFE">
      <w:pPr>
        <w:pStyle w:val="StandardWeb"/>
      </w:pPr>
      <w:r>
        <w:t>– Leben aus der Kraft der Sakramente;</w:t>
      </w:r>
    </w:p>
    <w:p w:rsidR="00BE1EFE" w:rsidRDefault="00BE1EFE">
      <w:pPr>
        <w:pStyle w:val="StandardWeb"/>
      </w:pPr>
      <w:r>
        <w:t>– Kenntnis von und Erfahrung mit geistlichen Traditionen;</w:t>
      </w:r>
    </w:p>
    <w:p w:rsidR="00BE1EFE" w:rsidRDefault="00BE1EFE">
      <w:pPr>
        <w:pStyle w:val="StandardWeb"/>
      </w:pPr>
      <w:r>
        <w:t>– Erfahrung in geistlichen Prozessen und Intensivzeiten (z. B. geistliche Begleitung und Exerzitien);</w:t>
      </w:r>
    </w:p>
    <w:p w:rsidR="00BE1EFE" w:rsidRDefault="00BE1EFE">
      <w:pPr>
        <w:pStyle w:val="StandardWeb"/>
      </w:pPr>
      <w:r>
        <w:t>– Erfahrung mit gelebter Spiritualität in Gemeinschaft (z. B. Partnerschaft, Familie, Gemeinde, geistliche Gemeinschaft);</w:t>
      </w:r>
    </w:p>
    <w:p w:rsidR="00BE1EFE" w:rsidRDefault="00BE1EFE">
      <w:pPr>
        <w:pStyle w:val="StandardWeb"/>
      </w:pPr>
      <w:r>
        <w:t>– Urteilsfähigkeit in der Vielfalt spiritueller Ausprägungen;</w:t>
      </w:r>
    </w:p>
    <w:p w:rsidR="00BE1EFE" w:rsidRDefault="00BE1EFE">
      <w:pPr>
        <w:pStyle w:val="StandardWeb"/>
      </w:pPr>
      <w:r>
        <w:t>– Pflege des Gebetslebens und einer persönlichen geistlichen Übung;</w:t>
      </w:r>
    </w:p>
    <w:p w:rsidR="00BE1EFE" w:rsidRDefault="00BE1EFE">
      <w:pPr>
        <w:pStyle w:val="StandardWeb"/>
      </w:pPr>
      <w:r>
        <w:t>– Kenntnis und Erfahrung im Umgang mit liturgischen Vollzügen;</w:t>
      </w:r>
    </w:p>
    <w:p w:rsidR="00BE1EFE" w:rsidRDefault="00BE1EFE">
      <w:pPr>
        <w:pStyle w:val="StandardWeb"/>
      </w:pPr>
      <w:r>
        <w:t>– Übereinstimmung mit der Glaubenslehre und der Lebensordnung der katholischen Kirche als Leitlinie für das eigene Leben.</w:t>
      </w:r>
    </w:p>
    <w:p w:rsidR="00BE1EFE" w:rsidRDefault="00BE1EFE">
      <w:pPr>
        <w:pStyle w:val="StandardWeb"/>
      </w:pPr>
    </w:p>
    <w:p w:rsidR="00BE1EFE" w:rsidRDefault="00BE1EFE">
      <w:pPr>
        <w:pStyle w:val="StandardWeb"/>
      </w:pPr>
      <w:r>
        <w:t>3.3 Fachliche Voraussetzungen, die sich z. B. in folgenden Kompetenzen zeigen:</w:t>
      </w:r>
    </w:p>
    <w:p w:rsidR="00BE1EFE" w:rsidRDefault="00BE1EFE">
      <w:pPr>
        <w:pStyle w:val="StandardWeb"/>
      </w:pPr>
    </w:p>
    <w:p w:rsidR="00BE1EFE" w:rsidRDefault="00BE1EFE">
      <w:pPr>
        <w:pStyle w:val="StandardWeb"/>
      </w:pPr>
      <w:r>
        <w:t>3.3.1 theologisch:</w:t>
      </w:r>
    </w:p>
    <w:p w:rsidR="00BE1EFE" w:rsidRDefault="00BE1EFE">
      <w:pPr>
        <w:pStyle w:val="StandardWeb"/>
      </w:pPr>
    </w:p>
    <w:p w:rsidR="00BE1EFE" w:rsidRDefault="00BE1EFE">
      <w:pPr>
        <w:pStyle w:val="StandardWeb"/>
      </w:pPr>
      <w:r>
        <w:t>– Fähigkeit, sich theologisches Wissen reflektierend anzueignen und einen eigenen theolo</w:t>
      </w:r>
      <w:r>
        <w:softHyphen/>
        <w:t>gischen Standpunkt zu gewinnen;</w:t>
      </w:r>
    </w:p>
    <w:p w:rsidR="00BE1EFE" w:rsidRDefault="00BE1EFE">
      <w:pPr>
        <w:pStyle w:val="StandardWeb"/>
      </w:pPr>
      <w:r>
        <w:t>– Fähigkeit, im Blick auf die pastorale Praxis theologisch verantwortete Optionen zu entwickeln;</w:t>
      </w:r>
    </w:p>
    <w:p w:rsidR="00BE1EFE" w:rsidRDefault="00BE1EFE">
      <w:pPr>
        <w:pStyle w:val="StandardWeb"/>
      </w:pPr>
      <w:r>
        <w:t>– Fähigkeit, theologische Inhalte in einer zeitgemäßen Sprache und mit kreativen Methoden zu vermitteln;</w:t>
      </w:r>
    </w:p>
    <w:p w:rsidR="00BE1EFE" w:rsidRDefault="00BE1EFE">
      <w:pPr>
        <w:pStyle w:val="StandardWeb"/>
      </w:pPr>
      <w:r>
        <w:t>– Fähigkeit zum Dialog mit anderen Kirchen und Religionsgemeinschaften sowie mit Verantwortlichen in Politik, Gesellschaft und Kultur.</w:t>
      </w:r>
    </w:p>
    <w:p w:rsidR="00BE1EFE" w:rsidRDefault="00BE1EFE">
      <w:pPr>
        <w:pStyle w:val="StandardWeb"/>
      </w:pPr>
    </w:p>
    <w:p w:rsidR="00BE1EFE" w:rsidRDefault="00BE1EFE">
      <w:pPr>
        <w:pStyle w:val="StandardWeb"/>
      </w:pPr>
      <w:r>
        <w:t>3.3.2 pastoral-praktisch:</w:t>
      </w:r>
    </w:p>
    <w:p w:rsidR="00BE1EFE" w:rsidRDefault="00BE1EFE">
      <w:pPr>
        <w:pStyle w:val="StandardWeb"/>
      </w:pPr>
    </w:p>
    <w:p w:rsidR="00BE1EFE" w:rsidRDefault="00BE1EFE">
      <w:pPr>
        <w:pStyle w:val="StandardWeb"/>
      </w:pPr>
      <w:r>
        <w:t>– Fähigkeit zur Organisation, Reflexion, Entscheidung, Vermittlung, Vernetzung;</w:t>
      </w:r>
    </w:p>
    <w:p w:rsidR="00BE1EFE" w:rsidRDefault="00BE1EFE">
      <w:pPr>
        <w:pStyle w:val="StandardWeb"/>
      </w:pPr>
      <w:r>
        <w:t>– Fähigkeit zur Analyse und Konzeptentwicklung;</w:t>
      </w:r>
    </w:p>
    <w:p w:rsidR="00BE1EFE" w:rsidRDefault="00BE1EFE">
      <w:pPr>
        <w:pStyle w:val="StandardWeb"/>
      </w:pPr>
      <w:r>
        <w:t>– methodisch-didaktische Kompetenzen;</w:t>
      </w:r>
    </w:p>
    <w:p w:rsidR="00BE1EFE" w:rsidRDefault="00BE1EFE">
      <w:pPr>
        <w:pStyle w:val="StandardWeb"/>
      </w:pPr>
      <w:r>
        <w:t>– Fähigkeit zur Leitung und Moderation;</w:t>
      </w:r>
    </w:p>
    <w:p w:rsidR="00BE1EFE" w:rsidRDefault="00BE1EFE">
      <w:pPr>
        <w:pStyle w:val="StandardWeb"/>
      </w:pPr>
      <w:r>
        <w:t>– Fähigkeit zu seelsorglicher Begleitung;</w:t>
      </w:r>
    </w:p>
    <w:p w:rsidR="00BE1EFE" w:rsidRDefault="00BE1EFE">
      <w:pPr>
        <w:pStyle w:val="StandardWeb"/>
      </w:pPr>
      <w:r>
        <w:t>– Kenntnis, Nutzung und Vermittlung diözesaner Einrichtungen/Fachdienste;</w:t>
      </w:r>
    </w:p>
    <w:p w:rsidR="00BE1EFE" w:rsidRDefault="00BE1EFE">
      <w:pPr>
        <w:pStyle w:val="StandardWeb"/>
      </w:pPr>
      <w:r>
        <w:t>– Fähigkeit zur effektiven Zeitgestaltung.  </w:t>
      </w:r>
    </w:p>
    <w:p w:rsidR="00BE1EFE" w:rsidRDefault="00BE1EFE">
      <w:pPr>
        <w:pStyle w:val="StandardWeb"/>
      </w:pPr>
    </w:p>
    <w:p w:rsidR="00BE1EFE" w:rsidRDefault="00BE1EFE">
      <w:pPr>
        <w:pStyle w:val="StandardWeb"/>
      </w:pPr>
      <w:r>
        <w:t>3.3.3 institutionell:</w:t>
      </w:r>
    </w:p>
    <w:p w:rsidR="00BE1EFE" w:rsidRDefault="00BE1EFE">
      <w:pPr>
        <w:pStyle w:val="StandardWeb"/>
      </w:pPr>
    </w:p>
    <w:p w:rsidR="00BE1EFE" w:rsidRDefault="00BE1EFE">
      <w:pPr>
        <w:pStyle w:val="StandardWeb"/>
      </w:pPr>
      <w:r>
        <w:t>Entwicklung eines beruflichen Selbstverständnisses als Theologe/Theologin im kirchlichen Dienst;</w:t>
      </w:r>
    </w:p>
    <w:p w:rsidR="00BE1EFE" w:rsidRDefault="00BE1EFE" w:rsidP="00387659">
      <w:pPr>
        <w:pStyle w:val="StandardWeb"/>
      </w:pPr>
      <w:r>
        <w:t>– Identifikation mit der eigenen Berufsrolle;</w:t>
      </w:r>
    </w:p>
    <w:p w:rsidR="00BE1EFE" w:rsidRDefault="00BE1EFE">
      <w:pPr>
        <w:pStyle w:val="StandardWeb"/>
      </w:pPr>
      <w:r>
        <w:lastRenderedPageBreak/>
        <w:t>– Flexibilität aufgrund der Arbeitsanforderungen und Bereitschaft zu Mobilität entsprechend den diözesanen Anforderungen;</w:t>
      </w:r>
    </w:p>
    <w:p w:rsidR="00BE1EFE" w:rsidRDefault="00BE1EFE">
      <w:pPr>
        <w:pStyle w:val="StandardWeb"/>
      </w:pPr>
      <w:r>
        <w:t>– Akzeptanz und Wertschätzung der sakramentalen Struktur der katholischen Kirche und der Spezifika aller kirchlichen Dienste;</w:t>
      </w:r>
    </w:p>
    <w:p w:rsidR="00BE1EFE" w:rsidRDefault="00BE1EFE">
      <w:pPr>
        <w:pStyle w:val="StandardWeb"/>
      </w:pPr>
      <w:r>
        <w:t>– Loyalität und Bereitschaft zum „Sentire cum ecclesia“;</w:t>
      </w:r>
    </w:p>
    <w:p w:rsidR="00BE1EFE" w:rsidRDefault="00BE1EFE">
      <w:pPr>
        <w:pStyle w:val="StandardWeb"/>
      </w:pPr>
      <w:r>
        <w:t>– Bereitschaft zur Mitverantwortung bei der Gestaltung und Umsetzung von Veränderungs</w:t>
      </w:r>
      <w:r>
        <w:softHyphen/>
        <w:t>prozessen in Gemeinde und Kirche.</w:t>
      </w:r>
    </w:p>
    <w:p w:rsidR="00BE1EFE" w:rsidRDefault="00BE1EFE">
      <w:pPr>
        <w:pStyle w:val="StandardWeb"/>
      </w:pPr>
    </w:p>
    <w:p w:rsidR="00BE1EFE" w:rsidRDefault="00BE1EFE">
      <w:pPr>
        <w:pStyle w:val="StandardWeb"/>
      </w:pPr>
      <w:r>
        <w:t>3.4 Die Kompetenzen und fachlichen Voraussetzungen werden in der Regel</w:t>
      </w:r>
      <w:r>
        <w:rPr>
          <w:vertAlign w:val="superscript"/>
        </w:rPr>
        <w:t>24</w:t>
      </w:r>
      <w:r>
        <w:t xml:space="preserve"> erworben durch ein erfolgreich abgeschlossenes Magister-Studium der Katholischen Theologie an einer Uni</w:t>
      </w:r>
      <w:r>
        <w:softHyphen/>
        <w:t>versität‚ durch die Teilnahme an den vorgeschriebenen Veranstaltungen zur spirituellen und praktischen Vorbereitung auf den Beruf gemäß den diözesanen Vorgaben sowie den erfolgreichen Abschluss der zweiten Bildungsphase (siehe 4.2).</w:t>
      </w:r>
    </w:p>
    <w:p w:rsidR="00BE1EFE" w:rsidRDefault="00BE1EFE">
      <w:pPr>
        <w:pStyle w:val="StandardWeb"/>
      </w:pPr>
    </w:p>
    <w:p w:rsidR="00BE1EFE" w:rsidRDefault="00BE1EFE">
      <w:pPr>
        <w:pStyle w:val="StandardWeb"/>
      </w:pPr>
      <w:r>
        <w:t>3.5 Grundlegend für den Dienst als Pastoralreferent/-referentin ist eine im Glauben angenom</w:t>
      </w:r>
      <w:r>
        <w:softHyphen/>
        <w:t xml:space="preserve">mene und gestaltete Lebensform. Pastoralreferenten/-referentinnen sollen in ihrem Leben und Arbeiten glaubwürdige Zeugen und Zeuginnen der Frohen Botschaft sein. Das Einverständnis des Ehepartners/der Ehepartnerin mit der Übernahme des pastoralen Dienstes wird vorausgesetzt. Im Übrigen gelten die „Grundordnung des kirchlichen Dienstes im Rahmen kirchlicher Arbeitsverhältnisse“ vom 20.10.1993 mit allen Änderungen sowie die „Richtlinien über persönliche Anforderungen an Diakone und Laien im pastoralen Dienst im Hinblick auf Ehe und Familie“ </w:t>
      </w:r>
      <w:r>
        <w:rPr>
          <w:vertAlign w:val="superscript"/>
        </w:rPr>
        <w:t>25</w:t>
      </w:r>
      <w:r>
        <w:t>.</w:t>
      </w:r>
    </w:p>
    <w:p w:rsidR="00BE1EFE" w:rsidRDefault="00BE1EFE">
      <w:pPr>
        <w:pStyle w:val="StandardWeb"/>
        <w:rPr>
          <w:sz w:val="12"/>
          <w:szCs w:val="12"/>
        </w:rPr>
      </w:pPr>
      <w:r>
        <w:rPr>
          <w:sz w:val="12"/>
          <w:szCs w:val="12"/>
          <w:vertAlign w:val="superscript"/>
        </w:rPr>
        <w:t>24</w:t>
      </w:r>
      <w:r>
        <w:rPr>
          <w:sz w:val="12"/>
          <w:szCs w:val="12"/>
        </w:rPr>
        <w:t xml:space="preserve"> Im Ausnahmefall kann die (Erz-)Diözese Absolventen/Absolventinnen eines Staatsexamens in Katholischer Theologie für das Lehramt an Gymnasien die Möglichkeit eröffnen, sich für den Beruf theologisch nachzuqualifizieren. Maßstab ist das theologische Vollstudium.</w:t>
      </w:r>
    </w:p>
    <w:p w:rsidR="00BE1EFE" w:rsidRDefault="00BE1EFE">
      <w:pPr>
        <w:pStyle w:val="StandardWeb"/>
      </w:pPr>
      <w:r>
        <w:rPr>
          <w:sz w:val="12"/>
          <w:szCs w:val="12"/>
          <w:vertAlign w:val="superscript"/>
        </w:rPr>
        <w:t>25</w:t>
      </w:r>
      <w:r>
        <w:rPr>
          <w:sz w:val="12"/>
          <w:szCs w:val="12"/>
        </w:rPr>
        <w:t xml:space="preserve"> Der pastorale Dienst in der Pfarrgemeinde (s. o.); Richtlinien über persönliche Anforderungen an Diakone und Laien im pastoralen Dienst im Hinblick auf Ehe und Familie, hrsg. v. Sekretariat der Deutschen Bischofskonferenz, in: Die Deutschen Bischöfe, Nr. 63, 2000, S. 37–47.</w:t>
      </w:r>
    </w:p>
    <w:p w:rsidR="00BE1EFE" w:rsidRDefault="00BE1EFE">
      <w:pPr>
        <w:pStyle w:val="berschrift6"/>
      </w:pPr>
      <w:bookmarkStart w:id="1300" w:name="_Toc523926812"/>
      <w:r>
        <w:t>4. Ausbildung, Berufseinführung, Fortbildung</w:t>
      </w:r>
      <w:bookmarkEnd w:id="1300"/>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t>4. Ausbildung, Berufseinführung, Fortbildung</w:t>
      </w:r>
    </w:p>
    <w:p w:rsidR="00BE1EFE" w:rsidRPr="000B1AF8" w:rsidRDefault="00BE1EFE">
      <w:pPr>
        <w:pStyle w:val="StandardWeb"/>
      </w:pPr>
    </w:p>
    <w:p w:rsidR="00BE1EFE" w:rsidRDefault="00BE1EFE">
      <w:pPr>
        <w:pStyle w:val="StandardWeb"/>
      </w:pPr>
      <w:r>
        <w:t>Die Bildung der Pastoralreferenten/-referentinnen gliedert sich in drei Phasen: Ausbildung, Berufseinführung, Fortbildung.</w:t>
      </w:r>
      <w:r>
        <w:rPr>
          <w:vertAlign w:val="superscript"/>
        </w:rPr>
        <w:t>26</w:t>
      </w:r>
      <w:r>
        <w:t xml:space="preserve"> In jeder dieser Phasen sind die Dimensionen Persönlichkeits</w:t>
      </w:r>
      <w:r>
        <w:softHyphen/>
        <w:t>entwicklung, soziale Kompetenz, Spiritualität, theologisches Wissen und pastoralpraktische Befähigung in den Blick zu nehmen, zu fördern und zu vertiefen.</w:t>
      </w:r>
    </w:p>
    <w:p w:rsidR="00BE1EFE" w:rsidRDefault="00BE1EFE">
      <w:pPr>
        <w:pStyle w:val="StandardWeb"/>
      </w:pPr>
    </w:p>
    <w:p w:rsidR="00BE1EFE" w:rsidRDefault="00BE1EFE">
      <w:pPr>
        <w:pStyle w:val="StandardWeb"/>
      </w:pPr>
      <w:r>
        <w:t>Die (Erz-)Diözese sorgt mit entsprechenden Aus- und Fortbildungseinrichtungen für differen</w:t>
      </w:r>
      <w:r>
        <w:softHyphen/>
        <w:t>zierte Bildungsmaßnahmen in den drei Phasen. Zugleich sind Berufsinteressenten/-interessentinnen, Pastoralassistenten/-assistentinnen und Pastoralreferenten/-referentinnen auch selbst für ihre kontinuierliche Bildung verantwortlich. Im Hinblick auf eine kooperative Pastoral sind in der Aus- und Fortbildung von Pastoralreferenten/-referentinnen auch gemein</w:t>
      </w:r>
      <w:r>
        <w:softHyphen/>
        <w:t>same Veranstaltungen mit Priestern, Diakonen, Gemeindereferenten/-referentinnen, Reli</w:t>
      </w:r>
      <w:r>
        <w:softHyphen/>
        <w:t>gionslehrern/-lehrerinnen und ggf. mit anderen Berufen und Fachdiensten vorzusehen.</w:t>
      </w:r>
    </w:p>
    <w:p w:rsidR="00BE1EFE" w:rsidRDefault="00BE1EFE">
      <w:pPr>
        <w:pStyle w:val="StandardWeb"/>
      </w:pPr>
    </w:p>
    <w:p w:rsidR="00BE1EFE" w:rsidRDefault="00BE1EFE">
      <w:pPr>
        <w:pStyle w:val="StandardWeb"/>
      </w:pPr>
      <w:r>
        <w:t>4.1 Erste Bildungsphase: Ausbildung</w:t>
      </w:r>
    </w:p>
    <w:p w:rsidR="00BE1EFE" w:rsidRDefault="00BE1EFE">
      <w:pPr>
        <w:pStyle w:val="StandardWeb"/>
      </w:pPr>
      <w:r>
        <w:t>Zur Phase der Ausbildung gehören das Studium an einer Katholisch-Theologischen Fakultät (Universität, Hochschule) sowie die diözesane Studienbegleitung.</w:t>
      </w:r>
    </w:p>
    <w:p w:rsidR="00BE1EFE" w:rsidRDefault="00BE1EFE">
      <w:pPr>
        <w:pStyle w:val="StandardWeb"/>
      </w:pPr>
    </w:p>
    <w:p w:rsidR="00BE1EFE" w:rsidRDefault="00BE1EFE">
      <w:pPr>
        <w:pStyle w:val="StandardWeb"/>
      </w:pPr>
      <w:r>
        <w:t>4.1.1 Studium</w:t>
      </w:r>
    </w:p>
    <w:p w:rsidR="00BE1EFE" w:rsidRDefault="00BE1EFE">
      <w:pPr>
        <w:pStyle w:val="StandardWeb"/>
      </w:pPr>
      <w:r>
        <w:t xml:space="preserve">Das Studium richtet sich nach der für den Magisterstudiengang Katholische Theologie (Nachfolgestudiengang des Diploms) geltenden Studienordnung und dauert in der Regel fünf </w:t>
      </w:r>
      <w:r>
        <w:lastRenderedPageBreak/>
        <w:t>Jahre</w:t>
      </w:r>
      <w:r>
        <w:rPr>
          <w:vertAlign w:val="superscript"/>
        </w:rPr>
        <w:t>27</w:t>
      </w:r>
      <w:r>
        <w:t>. Es endet mit der Magisterprüfung, durch deren Bestehen der akademische Grad eines Magister Theologiae bzw. einer Magistra Theologiae (vormals Diplom) erworben wird.</w:t>
      </w:r>
    </w:p>
    <w:p w:rsidR="00BE1EFE" w:rsidRDefault="00BE1EFE">
      <w:pPr>
        <w:pStyle w:val="StandardWeb"/>
      </w:pPr>
    </w:p>
    <w:p w:rsidR="00BE1EFE" w:rsidRDefault="00BE1EFE">
      <w:pPr>
        <w:pStyle w:val="StandardWeb"/>
      </w:pPr>
      <w:r>
        <w:t>4.1.2 Studienbegleitung</w:t>
      </w:r>
    </w:p>
    <w:p w:rsidR="00BE1EFE" w:rsidRDefault="00BE1EFE">
      <w:pPr>
        <w:pStyle w:val="StandardWeb"/>
      </w:pPr>
      <w:r>
        <w:t>Zu Beginn des Studiums melden sich die Berufsinteressenten/-interessentinnen bei der zuständigen Ausbildungsleitung der (Erz-)Diözese an. Die diözesane Ausbildungsordnung regelt die Bedingungen und Maßnahmen der studienbegleitenden Ausbildung (Bewerberkreis, Praktika, Veranstaltungen des Mentorats, geistliche Begleitung etc.).</w:t>
      </w:r>
    </w:p>
    <w:p w:rsidR="00BE1EFE" w:rsidRDefault="00BE1EFE">
      <w:pPr>
        <w:pStyle w:val="StandardWeb"/>
      </w:pPr>
    </w:p>
    <w:p w:rsidR="00BE1EFE" w:rsidRDefault="00BE1EFE">
      <w:pPr>
        <w:pStyle w:val="StandardWeb"/>
      </w:pPr>
      <w:r>
        <w:t>Nach dem erfolgreichen Abschluss des Studiums entscheidet der Ordinarius bzw. ein von ihm Beauftragter über die Zulassung zur zweiten Bildungsphase. Dazu werden Gutachten und Stellungnahmen eingeholt, wie sie die diözesanen Bestimmungen vorsehen. Der Studien</w:t>
      </w:r>
      <w:r>
        <w:softHyphen/>
        <w:t>abschluss gilt als Erste Dienstprüfung, sofern nicht eine eigene diözesane Prüfung dafür vorgesehen ist.</w:t>
      </w:r>
    </w:p>
    <w:p w:rsidR="00BE1EFE" w:rsidRDefault="00BE1EFE">
      <w:pPr>
        <w:pStyle w:val="StandardWeb"/>
      </w:pPr>
    </w:p>
    <w:p w:rsidR="00BE1EFE" w:rsidRDefault="00BE1EFE">
      <w:pPr>
        <w:pStyle w:val="StandardWeb"/>
      </w:pPr>
      <w:r>
        <w:t>4.2 Zweite Bildungsphase: Berufseinführung</w:t>
      </w:r>
    </w:p>
    <w:p w:rsidR="00BE1EFE" w:rsidRDefault="00BE1EFE">
      <w:pPr>
        <w:pStyle w:val="StandardWeb"/>
      </w:pPr>
      <w:r>
        <w:t>Die Berufseinführung umfasst die Dienstjahre als Pastoralassistent/-assistentin bis zum Abschluss der Zweiten Dienstprüfung. Im Rahmen diözesaner Regelungen kann ein Pastoralpraktikum bzw. Pastoralkurs, das/der sich an das Studium anschließt, vorgeschaltet sein.</w:t>
      </w:r>
    </w:p>
    <w:p w:rsidR="00BE1EFE" w:rsidRDefault="00BE1EFE">
      <w:pPr>
        <w:pStyle w:val="StandardWeb"/>
      </w:pPr>
    </w:p>
    <w:p w:rsidR="00BE1EFE" w:rsidRDefault="00BE1EFE">
      <w:pPr>
        <w:pStyle w:val="StandardWeb"/>
      </w:pPr>
      <w:r>
        <w:t>In dieser Phase trägt die vom (Erz-)Bischof bestellte Leitung der Berufseinführung Sorge für entsprechende Maßnahmen zur Weiterentwicklung der Kompetenzen. Die in den diözesanen Regelungen vorgesehenen Veranstaltungen und Maßnahmen der Berufseinführung sind im festgelegten Umfang für den Pastoralassistenten/die Pastoralassistentin verpflichtend.</w:t>
      </w:r>
    </w:p>
    <w:p w:rsidR="00BE1EFE" w:rsidRDefault="00BE1EFE">
      <w:pPr>
        <w:pStyle w:val="StandardWeb"/>
      </w:pPr>
    </w:p>
    <w:p w:rsidR="00BE1EFE" w:rsidRDefault="00BE1EFE">
      <w:pPr>
        <w:pStyle w:val="StandardWeb"/>
      </w:pPr>
      <w:r>
        <w:t>Die Zweite Dienstprüfung ist nach der gemeinsamen Ordn</w:t>
      </w:r>
      <w:r w:rsidR="00D65D81">
        <w:t>ung für alle bayerischen (Erz-)</w:t>
      </w:r>
      <w:r>
        <w:t>Diö</w:t>
      </w:r>
      <w:r w:rsidR="00D65D81">
        <w:softHyphen/>
      </w:r>
      <w:r>
        <w:t>zesen abzulegen. Nach ihrem erfolgreichen Abschluss entscheidet der Ordinarius über die Einstellung als Pastoralreferent/-referentin. Dazu werden Gutachten und Stellungnahmen eingeholt, wie sie die diözesanen Bestimmungen vorsehen.</w:t>
      </w:r>
    </w:p>
    <w:p w:rsidR="00BE1EFE" w:rsidRDefault="00BE1EFE">
      <w:pPr>
        <w:pStyle w:val="StandardWeb"/>
      </w:pPr>
    </w:p>
    <w:p w:rsidR="00BE1EFE" w:rsidRDefault="00BE1EFE">
      <w:pPr>
        <w:pStyle w:val="StandardWeb"/>
      </w:pPr>
      <w:r>
        <w:t>4.3 Dritte Bildungsphase: Fortbildung</w:t>
      </w:r>
    </w:p>
    <w:p w:rsidR="00BE1EFE" w:rsidRDefault="00BE1EFE">
      <w:pPr>
        <w:pStyle w:val="StandardWeb"/>
      </w:pPr>
      <w:r>
        <w:t>Die Phase der Fortbildung beginnt mit der unbefristeten Einstellung nach der Zweiten Dienst</w:t>
      </w:r>
      <w:r>
        <w:softHyphen/>
        <w:t>prüfung und umfasst die gesamte Zeit des hauptberuflichen Dienstes als Pastoralreferent/-referentin.</w:t>
      </w:r>
    </w:p>
    <w:p w:rsidR="00BE1EFE" w:rsidRDefault="00BE1EFE">
      <w:pPr>
        <w:pStyle w:val="StandardWeb"/>
      </w:pPr>
    </w:p>
    <w:p w:rsidR="00BE1EFE" w:rsidRDefault="00BE1EFE">
      <w:pPr>
        <w:pStyle w:val="StandardWeb"/>
      </w:pPr>
      <w:r>
        <w:t>Die kontinuierliche Vertiefung und Erweiterung der beruflichen Kompetenz ist angesichts der sich stetig verändernden Situationsbedingungen und Anforderungen in den verschiedenen pastoralen Aufgabenfeldern unerlässlich. Dies geschieht besonders durch Fort- und Weiterbildung sowie durch den Erwerb von Zusatzqualifikationen. Für bestimmte Aufgaben</w:t>
      </w:r>
      <w:r w:rsidR="00D65D81">
        <w:softHyphen/>
      </w:r>
      <w:r>
        <w:t>bereiche kann die Möglichkeit gegeben werden, die wissenschaftliche Qualifikation in einem zusätzlichen Master- oder Promotionsstudium zu vertiefen. Die Inanspruchnahme von Supe</w:t>
      </w:r>
      <w:r w:rsidR="00D65D81">
        <w:t>rvision wird seitens der (Erz-)</w:t>
      </w:r>
      <w:r>
        <w:t>Diözese empfohlen und unterstützt. Gleiches gilt für die Teilnahme an Exerzitien oder vergleichbaren geistlichen Angeboten. Die jeweiligen Rahmen</w:t>
      </w:r>
      <w:r w:rsidR="00D65D81">
        <w:softHyphen/>
      </w:r>
      <w:r>
        <w:t>bedingungen werden in diözesanen Regelungen festgelegt.</w:t>
      </w:r>
    </w:p>
    <w:p w:rsidR="00BE1EFE" w:rsidRDefault="00BE1EFE">
      <w:pPr>
        <w:pStyle w:val="StandardWeb"/>
      </w:pPr>
    </w:p>
    <w:p w:rsidR="00BE1EFE" w:rsidRDefault="00BE1EFE">
      <w:pPr>
        <w:pStyle w:val="StandardWeb"/>
        <w:rPr>
          <w:sz w:val="12"/>
          <w:szCs w:val="12"/>
        </w:rPr>
      </w:pPr>
      <w:r>
        <w:rPr>
          <w:sz w:val="12"/>
          <w:szCs w:val="12"/>
          <w:vertAlign w:val="superscript"/>
        </w:rPr>
        <w:t>26</w:t>
      </w:r>
      <w:r>
        <w:rPr>
          <w:sz w:val="12"/>
          <w:szCs w:val="12"/>
        </w:rPr>
        <w:t xml:space="preserve"> Vgl. zum Folgenden v. a. Rahmenstatuten (s. o.), Nr. 4 sowie Rahmenordnung (s. o.), Nrn. 4, 5.</w:t>
      </w:r>
    </w:p>
    <w:p w:rsidR="00BE1EFE" w:rsidRDefault="00BE1EFE">
      <w:pPr>
        <w:pStyle w:val="StandardWeb"/>
      </w:pPr>
      <w:r>
        <w:rPr>
          <w:sz w:val="12"/>
          <w:szCs w:val="12"/>
          <w:vertAlign w:val="superscript"/>
        </w:rPr>
        <w:t>27</w:t>
      </w:r>
      <w:r>
        <w:rPr>
          <w:sz w:val="12"/>
          <w:szCs w:val="12"/>
        </w:rPr>
        <w:t xml:space="preserve"> Für das Studium mit dem Berufsziel Pastoralreferent/-referentin finden derzeit in analoger Weise Anwendung die „Kirchlichen Anforderungen an die Modularisierung des Studiums der Katholischen Theologie (Theologisches Vollstudium) im Rahmen des Bologna-Prozesses“, in: Rahmenstatuten und -ordnungen für Gemeinde- und Pastoral-Referenten/Referentinnen (s. o.), S. 76–92.</w:t>
      </w:r>
    </w:p>
    <w:p w:rsidR="00BE1EFE" w:rsidRDefault="00BE1EFE">
      <w:pPr>
        <w:pStyle w:val="berschrift6"/>
      </w:pPr>
      <w:bookmarkStart w:id="1301" w:name="_Toc523926813"/>
      <w:r>
        <w:t>5. Bischöfliche Beauftragung und Dienst</w:t>
      </w:r>
      <w:bookmarkEnd w:id="1301"/>
    </w:p>
    <w:p w:rsidR="00BE1EFE" w:rsidRPr="00B76821" w:rsidRDefault="00BE1EFE" w:rsidP="00B76821">
      <w:pPr>
        <w:pStyle w:val="h7"/>
        <w:keepNext w:val="0"/>
        <w:spacing w:before="0" w:after="0"/>
        <w:jc w:val="left"/>
        <w:outlineLvl w:val="5"/>
        <w:rPr>
          <w:rStyle w:val="Fett"/>
          <w:bCs/>
          <w:sz w:val="2"/>
        </w:rPr>
      </w:pPr>
    </w:p>
    <w:p w:rsidR="00BE1EFE" w:rsidRPr="000B1AF8" w:rsidRDefault="00BE1EFE" w:rsidP="0054275E">
      <w:pPr>
        <w:pStyle w:val="StandardWeb"/>
        <w:autoSpaceDE w:val="0"/>
      </w:pPr>
      <w:r>
        <w:rPr>
          <w:rStyle w:val="Fett"/>
          <w:bCs/>
        </w:rPr>
        <w:lastRenderedPageBreak/>
        <w:t>5. Bischöfliche Beauftragung und Dienst</w:t>
      </w:r>
    </w:p>
    <w:p w:rsidR="00BE1EFE" w:rsidRPr="000B1AF8" w:rsidRDefault="00BE1EFE">
      <w:pPr>
        <w:pStyle w:val="StandardWeb"/>
      </w:pPr>
    </w:p>
    <w:p w:rsidR="00BE1EFE" w:rsidRDefault="00BE1EFE">
      <w:pPr>
        <w:pStyle w:val="StandardWeb"/>
      </w:pPr>
      <w:r>
        <w:t>5.1 Kirchliche Beauftragung zur Mitarbeit in der Seelsorge und Missio canonica</w:t>
      </w:r>
    </w:p>
    <w:p w:rsidR="00BE1EFE" w:rsidRDefault="00BE1EFE">
      <w:pPr>
        <w:pStyle w:val="StandardWeb"/>
      </w:pPr>
      <w:r>
        <w:t>Der Pastoralassistent/die Pastoralassistentin erhält mit Beginn der zweiten Bildungsphase die vorläufige Beauftragung zur Mitarbeit in der Seelsorge im Bereich der Verkündigung, der Liturgie und der Diakonie gemäß den jeweils geltenden kirchlichen Normen sowie die vorläufige Unterrichtserlaubnis. Mit der unbefristeten Einstellung werden ihm/ihr durch den (Erz-)Bischof die kirchliche Beauftragung zur Mitarbeit in der Seelsorge und die Missio canonica für den Religionsunterricht erteilt.</w:t>
      </w:r>
    </w:p>
    <w:p w:rsidR="00BE1EFE" w:rsidRDefault="00BE1EFE">
      <w:pPr>
        <w:pStyle w:val="StandardWeb"/>
      </w:pPr>
    </w:p>
    <w:p w:rsidR="00BE1EFE" w:rsidRDefault="00BE1EFE">
      <w:pPr>
        <w:pStyle w:val="StandardWeb"/>
      </w:pPr>
      <w:r>
        <w:t>5.2 Liturgische Beauftragungs- und Sendungsfeier</w:t>
      </w:r>
    </w:p>
    <w:p w:rsidR="00BE1EFE" w:rsidRDefault="00BE1EFE">
      <w:pPr>
        <w:pStyle w:val="StandardWeb"/>
      </w:pPr>
      <w:r>
        <w:t>Der Pastoralreferent/die Pastoralreferentin wird in einer Messfeier durch den (Erz-)Bischof oder einen von ihm beauftragten Vertreter zum pastoralen Dienst bestellt. Die Beauftragung und Sendung geschieht in einer verbindlichen Form.</w:t>
      </w:r>
    </w:p>
    <w:p w:rsidR="00BE1EFE" w:rsidRDefault="00BE1EFE">
      <w:pPr>
        <w:pStyle w:val="StandardWeb"/>
      </w:pPr>
    </w:p>
    <w:p w:rsidR="00BE1EFE" w:rsidRDefault="00BE1EFE">
      <w:pPr>
        <w:pStyle w:val="StandardWeb"/>
      </w:pPr>
      <w:r>
        <w:t>5.3 Diensteinführung</w:t>
      </w:r>
    </w:p>
    <w:p w:rsidR="00BE1EFE" w:rsidRDefault="00BE1EFE">
      <w:pPr>
        <w:pStyle w:val="StandardWeb"/>
      </w:pPr>
      <w:r>
        <w:t>Zu Beginn seiner/ihrer Tätigkeit und bei einem Stellenwechsel wird der Pastoralreferent/die Pastoralreferentin in seinem/ihrem Einsatzbereich durch den unmittelbaren Dienstvor</w:t>
      </w:r>
      <w:r>
        <w:softHyphen/>
        <w:t>gesetzten/die unmittelbare Dienstvorgesetzte in geeigneter Weise im Rahmen einer gottes</w:t>
      </w:r>
      <w:r>
        <w:softHyphen/>
        <w:t>dienstlichen Feier eingeführt. Näheres regeln die diözesanen Vorgaben.</w:t>
      </w:r>
    </w:p>
    <w:p w:rsidR="00BE1EFE" w:rsidRDefault="00BE1EFE">
      <w:pPr>
        <w:pStyle w:val="StandardWeb"/>
      </w:pPr>
    </w:p>
    <w:p w:rsidR="00BE1EFE" w:rsidRDefault="00BE1EFE">
      <w:pPr>
        <w:pStyle w:val="StandardWeb"/>
      </w:pPr>
      <w:r>
        <w:t>5.4 Aufgaben, Ziele, Delegationen</w:t>
      </w:r>
    </w:p>
    <w:p w:rsidR="00BE1EFE" w:rsidRDefault="00BE1EFE">
      <w:pPr>
        <w:pStyle w:val="StandardWeb"/>
      </w:pPr>
      <w:r>
        <w:t>Innerhalb eines Zeitraums von sechs Monaten nach Antritt einer neuen Einsatzstelle werden die Aufgaben und Ziele sowie die dazu erteilten Delegationen in transparenter Weise unter Beteiligung des Pastoralreferenten/der Pastoralreferentin festgelegt. Dabei finden der aktuelle pastorale Bedarf an der Einsatzstelle sowie die Charismen, die erworbenen Kompetenzen und die berufliche Laufbahnentwicklung des Pastoralreferenten/der Pastoralreferentin Berücksich</w:t>
      </w:r>
      <w:r>
        <w:softHyphen/>
        <w:t>tigung. Die Festlegung wird im Verlauf des Einsatzes fortgeschrieben. Näheres regeln diözesane Vorgaben.</w:t>
      </w:r>
    </w:p>
    <w:p w:rsidR="00BE1EFE" w:rsidRDefault="00BE1EFE" w:rsidP="004F0888">
      <w:pPr>
        <w:pStyle w:val="berschrift5"/>
        <w:jc w:val="both"/>
      </w:pPr>
      <w:bookmarkStart w:id="1302" w:name="_Toc523926814"/>
      <w:r>
        <w:t>Feststellungsbeschluss der Bayerischen Regional-KODA vom 26./27. März 2014</w:t>
      </w:r>
      <w:bookmarkEnd w:id="1302"/>
    </w:p>
    <w:p w:rsidR="00BE1EFE" w:rsidRPr="00B76821" w:rsidRDefault="00BE1EFE" w:rsidP="00B76821">
      <w:pPr>
        <w:pStyle w:val="berschrift6"/>
        <w:keepNext w:val="0"/>
        <w:spacing w:before="0" w:after="0"/>
        <w:rPr>
          <w:sz w:val="2"/>
        </w:rPr>
      </w:pPr>
    </w:p>
    <w:p w:rsidR="00BE1EFE" w:rsidRDefault="00BE1EFE">
      <w:pPr>
        <w:pStyle w:val="StandardWeb"/>
      </w:pPr>
      <w:r>
        <w:t>Die Bayerische Regional-KODA stellt fest und bestätigt, dass die „Dienstordnung für Pastoralreferenten/Pastoralreferentinnen in den Bayerischen (Erz-)Diözesen Teil I, Allgemei</w:t>
      </w:r>
      <w:r>
        <w:softHyphen/>
        <w:t>ner Teil" in der von der Freisinger Bischofskonferenz am 19./20.02.2014 beschlossenen Fassung Bestandteil der Arbeitsverträge der Beschäftigten im Bereich des Arbeitsvertragsrechts der Bayerischen (Erz-)Diözesen ist.</w:t>
      </w:r>
    </w:p>
    <w:p w:rsidR="00BE1EFE" w:rsidRPr="000B1AF8" w:rsidRDefault="00BE1EFE" w:rsidP="00FC4585">
      <w:pPr>
        <w:pStyle w:val="Leerzeile"/>
      </w:pPr>
      <w:r>
        <w:br w:type="page"/>
      </w:r>
    </w:p>
    <w:p w:rsidR="00BE1EFE" w:rsidRDefault="00BE1EFE" w:rsidP="0062165B">
      <w:pPr>
        <w:pStyle w:val="berschrift3"/>
        <w:spacing w:before="0"/>
      </w:pPr>
      <w:bookmarkStart w:id="1303" w:name="_Toc523926815"/>
      <w:r>
        <w:lastRenderedPageBreak/>
        <w:t>Anhang III: Ordnungen zur Gestaltung des Arbeitsver</w:t>
      </w:r>
      <w:r>
        <w:softHyphen/>
        <w:t>tragsrechts im Bereich der bayerischen Diözesen</w:t>
      </w:r>
      <w:bookmarkEnd w:id="1303"/>
    </w:p>
    <w:p w:rsidR="00BE1EFE" w:rsidRDefault="00BE1EFE">
      <w:pPr>
        <w:pStyle w:val="berschrift4"/>
      </w:pPr>
      <w:bookmarkStart w:id="1304" w:name="_Toc523926816"/>
      <w:r>
        <w:t>1. Zentral-KODA-Ordnung</w:t>
      </w:r>
      <w:bookmarkEnd w:id="1304"/>
    </w:p>
    <w:p w:rsidR="00BE1EFE" w:rsidRDefault="00BE1EFE" w:rsidP="00147069">
      <w:pPr>
        <w:pStyle w:val="berschrift5"/>
      </w:pPr>
      <w:bookmarkStart w:id="1305" w:name="_Toc453678405"/>
      <w:bookmarkStart w:id="1306" w:name="_Toc523926817"/>
      <w:r>
        <w:t>Präambel</w:t>
      </w:r>
      <w:bookmarkEnd w:id="1305"/>
      <w:bookmarkEnd w:id="1306"/>
    </w:p>
    <w:p w:rsidR="00BE1EFE" w:rsidRDefault="00BE1EFE" w:rsidP="00147069">
      <w:pPr>
        <w:pStyle w:val="berschrift6"/>
        <w:spacing w:before="0" w:after="0"/>
        <w:rPr>
          <w:sz w:val="2"/>
        </w:rPr>
      </w:pPr>
    </w:p>
    <w:p w:rsidR="00BE1EFE" w:rsidRDefault="00BE1EFE" w:rsidP="00147069">
      <w:pPr>
        <w:pStyle w:val="h7"/>
        <w:spacing w:before="0" w:after="0"/>
        <w:jc w:val="left"/>
        <w:outlineLvl w:val="5"/>
        <w:rPr>
          <w:sz w:val="2"/>
        </w:rPr>
      </w:pPr>
    </w:p>
    <w:p w:rsidR="00BE1EFE" w:rsidRPr="00B76821" w:rsidRDefault="00BE1EFE" w:rsidP="00B76821">
      <w:pPr>
        <w:pStyle w:val="h8"/>
        <w:keepNext w:val="0"/>
        <w:spacing w:before="0" w:after="0"/>
        <w:outlineLvl w:val="5"/>
        <w:rPr>
          <w:sz w:val="2"/>
        </w:rPr>
      </w:pPr>
    </w:p>
    <w:p w:rsidR="00BE1EFE" w:rsidRDefault="00BE1EFE" w:rsidP="0037154B">
      <w:pPr>
        <w:pStyle w:val="StandardWeb"/>
      </w:pPr>
      <w:r w:rsidRPr="00C17437">
        <w:rPr>
          <w:sz w:val="12"/>
          <w:szCs w:val="12"/>
        </w:rPr>
        <w:t>1</w:t>
      </w:r>
      <w:r>
        <w:t>Die katholische Kirche hat das verfassungsrechtlich abgesicherte Recht, die Arbeitsverhält</w:t>
      </w:r>
      <w:r>
        <w:softHyphen/>
        <w:t xml:space="preserve">nisse im kirchlichen Dienst als ihre Angelegenheit selbständig zu ordnen. </w:t>
      </w:r>
      <w:r w:rsidRPr="00C17437">
        <w:rPr>
          <w:sz w:val="12"/>
          <w:szCs w:val="12"/>
        </w:rPr>
        <w:t>2</w:t>
      </w:r>
      <w:r>
        <w:t>Um dem kirchlichen Sendungsauftrag und der daraus folgenden Besonderheit der Dienstgemeinschaft gerecht zu werden und um die Beteiligung der Mitarbeiterinnen und Mitarbeiter gemäß Art. 7 Grundordnung des kirchlichen Dienstes im Rahmen kirchlicher Arbeitsverhältnisse (Grund</w:t>
      </w:r>
      <w:r>
        <w:softHyphen/>
        <w:t>ordnung) an der Gestaltung ihrer Arbeitsbedingungen zu gewährleisten, wird zur Förderung und Aufrechterhaltung der Einheit des kirchlichen Arbeitsvertragsrechts und zur Sicherung der Glaubwürdigkeit des kirchlichen Dienstes auf der Ebene der Deutschen Bischofskonferenz folgende Ordnung erlassen:</w:t>
      </w:r>
    </w:p>
    <w:p w:rsidR="00BE1EFE" w:rsidRDefault="00BE1EFE" w:rsidP="0037154B">
      <w:pPr>
        <w:pStyle w:val="berschrift5"/>
      </w:pPr>
      <w:bookmarkStart w:id="1307" w:name="_Toc523926818"/>
      <w:r>
        <w:t>§ 1 Aufgabe der Zentral-KODA und Geltungsbereich</w:t>
      </w:r>
      <w:bookmarkEnd w:id="1307"/>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Die Zentral-KODA</w:t>
      </w:r>
      <w:r w:rsidRPr="00A1797A">
        <w:rPr>
          <w:vertAlign w:val="superscript"/>
        </w:rPr>
        <w:t>1</w:t>
      </w:r>
      <w:r>
        <w:t xml:space="preserve"> wirkt mit bei der Sicherung der Einheit und Glaubwürdigkeit des kirchlichen Dienstes in allen Diözesen und für alle der Kirche zugeordneten Einrichtungen im Bereich der Deutschen Bischofskonferenz.</w:t>
      </w:r>
    </w:p>
    <w:p w:rsidR="00BE1EFE" w:rsidRDefault="00BE1EFE" w:rsidP="0037154B">
      <w:pPr>
        <w:pStyle w:val="StandardWeb"/>
      </w:pPr>
    </w:p>
    <w:p w:rsidR="00BE1EFE" w:rsidRPr="00A1797A" w:rsidRDefault="00BE1EFE" w:rsidP="0037154B">
      <w:pPr>
        <w:pStyle w:val="StandardWeb"/>
        <w:rPr>
          <w:sz w:val="12"/>
          <w:szCs w:val="12"/>
        </w:rPr>
      </w:pPr>
      <w:r w:rsidRPr="00A1797A">
        <w:rPr>
          <w:sz w:val="12"/>
          <w:szCs w:val="12"/>
          <w:vertAlign w:val="superscript"/>
        </w:rPr>
        <w:t>1</w:t>
      </w:r>
      <w:r w:rsidRPr="00A1797A">
        <w:rPr>
          <w:sz w:val="12"/>
          <w:szCs w:val="12"/>
        </w:rPr>
        <w:t xml:space="preserve">Der Begriff „KODA“ ist ein Akronym und setzt sich aus den Anfangsbuchstaben folgender Wörter zusammen: </w:t>
      </w:r>
      <w:r w:rsidRPr="008417DE">
        <w:rPr>
          <w:b/>
          <w:sz w:val="12"/>
          <w:szCs w:val="12"/>
        </w:rPr>
        <w:t>K</w:t>
      </w:r>
      <w:r w:rsidRPr="00A1797A">
        <w:rPr>
          <w:sz w:val="12"/>
          <w:szCs w:val="12"/>
        </w:rPr>
        <w:t xml:space="preserve">ommission zur </w:t>
      </w:r>
      <w:r w:rsidRPr="008417DE">
        <w:rPr>
          <w:b/>
          <w:sz w:val="12"/>
          <w:szCs w:val="12"/>
        </w:rPr>
        <w:t>O</w:t>
      </w:r>
      <w:r w:rsidRPr="00A1797A">
        <w:rPr>
          <w:sz w:val="12"/>
          <w:szCs w:val="12"/>
        </w:rPr>
        <w:t xml:space="preserve">rdnung des </w:t>
      </w:r>
      <w:r w:rsidRPr="008417DE">
        <w:rPr>
          <w:b/>
          <w:sz w:val="12"/>
          <w:szCs w:val="12"/>
        </w:rPr>
        <w:t>d</w:t>
      </w:r>
      <w:r w:rsidRPr="00A1797A">
        <w:rPr>
          <w:sz w:val="12"/>
          <w:szCs w:val="12"/>
        </w:rPr>
        <w:t xml:space="preserve">iözesanen </w:t>
      </w:r>
      <w:r w:rsidRPr="008417DE">
        <w:rPr>
          <w:b/>
          <w:sz w:val="12"/>
          <w:szCs w:val="12"/>
        </w:rPr>
        <w:t>A</w:t>
      </w:r>
      <w:r w:rsidRPr="00A1797A">
        <w:rPr>
          <w:sz w:val="12"/>
          <w:szCs w:val="12"/>
        </w:rPr>
        <w:t>rbeitsrechts.</w:t>
      </w:r>
    </w:p>
    <w:p w:rsidR="00BE1EFE" w:rsidRDefault="00BE1EFE" w:rsidP="0037154B">
      <w:pPr>
        <w:pStyle w:val="berschrift5"/>
      </w:pPr>
      <w:bookmarkStart w:id="1308" w:name="_Toc523926819"/>
      <w:r>
        <w:t>§ 2 Organe der Zentral-KODA</w:t>
      </w:r>
      <w:bookmarkEnd w:id="1308"/>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Die Zentral-KODA erfüllt nach Maßgabe der in dieser Ordnung geregelten Zuständig</w:t>
      </w:r>
      <w:r>
        <w:softHyphen/>
        <w:t>keiten ihre Aufgaben durch</w:t>
      </w:r>
    </w:p>
    <w:p w:rsidR="00BE1EFE" w:rsidRDefault="00BE1EFE" w:rsidP="0037154B">
      <w:pPr>
        <w:pStyle w:val="StandardWeb"/>
      </w:pPr>
      <w:r>
        <w:t>a) die Zentrale Kommission (ZK) und</w:t>
      </w:r>
    </w:p>
    <w:p w:rsidR="00BE1EFE" w:rsidRDefault="00BE1EFE" w:rsidP="0037154B">
      <w:pPr>
        <w:pStyle w:val="StandardWeb"/>
      </w:pPr>
      <w:r>
        <w:t>b) den Arbeitsrechtsausschuss (ARA).</w:t>
      </w:r>
    </w:p>
    <w:p w:rsidR="00BE1EFE" w:rsidRDefault="00BE1EFE" w:rsidP="0037154B">
      <w:pPr>
        <w:pStyle w:val="StandardWeb"/>
      </w:pPr>
    </w:p>
    <w:p w:rsidR="00BE1EFE" w:rsidRDefault="00BE1EFE" w:rsidP="0037154B">
      <w:pPr>
        <w:pStyle w:val="StandardWeb"/>
      </w:pPr>
      <w:r>
        <w:t>(2) </w:t>
      </w:r>
      <w:r w:rsidRPr="00147069">
        <w:rPr>
          <w:sz w:val="12"/>
          <w:szCs w:val="12"/>
        </w:rPr>
        <w:t>1</w:t>
      </w:r>
      <w:r>
        <w:t>Die Mitglieder der Zentralen Kommission und des Arbeitsrechtsausschusses sind an die „Grundordnung des kirchlichen Dienstes im Rahmen kirchlicher Arbeitsverhältnisse“ und die anderen Kirchengesetze in ihrer jeweiligen Fassung gebunden.</w:t>
      </w:r>
    </w:p>
    <w:p w:rsidR="00BE1EFE" w:rsidRDefault="00BE1EFE" w:rsidP="0037154B">
      <w:pPr>
        <w:pStyle w:val="berschrift5"/>
      </w:pPr>
      <w:bookmarkStart w:id="1309" w:name="_Toc523926820"/>
      <w:r>
        <w:t>§ 3 Aufgaben der Zentralen Kommission</w:t>
      </w:r>
      <w:bookmarkEnd w:id="1309"/>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Aufgabe der Zentralen Kommission ist die Beschlussfassung von Rechtsnormen über Inhalt, Abschluss und Beendigung von Arbeitsverhältnissen mit kirchlichen Rechtsträgern im Geltungsbereich der Grundordnung in folgenden Angelegenheiten:</w:t>
      </w:r>
    </w:p>
    <w:p w:rsidR="00BE1EFE" w:rsidRDefault="00BE1EFE" w:rsidP="0037154B">
      <w:pPr>
        <w:pStyle w:val="StandardWeb"/>
      </w:pPr>
      <w:r>
        <w:t>1. Ausfüllung von Öffnungsklauseln in staatlichen Gesetzen,</w:t>
      </w:r>
    </w:p>
    <w:p w:rsidR="00BE1EFE" w:rsidRDefault="00BE1EFE" w:rsidP="0037154B">
      <w:pPr>
        <w:pStyle w:val="StandardWeb"/>
      </w:pPr>
      <w:r>
        <w:lastRenderedPageBreak/>
        <w:t>2. Fassung von Einbeziehungsabreden für Arbeitsverträge hinsichtlich der Loyalitätsobliegen-heiten und Nebenpflichten gemäß der Grundordnung,</w:t>
      </w:r>
    </w:p>
    <w:p w:rsidR="00BE1EFE" w:rsidRDefault="00BE1EFE" w:rsidP="0037154B">
      <w:pPr>
        <w:pStyle w:val="StandardWeb"/>
      </w:pPr>
      <w:r>
        <w:t>3. kirchenspezifische Regelungen</w:t>
      </w:r>
    </w:p>
    <w:p w:rsidR="00BE1EFE" w:rsidRDefault="00BE1EFE" w:rsidP="0037154B">
      <w:pPr>
        <w:pStyle w:val="StandardWeb"/>
      </w:pPr>
      <w:r>
        <w:t>a) für die Befristung von Arbeitsverhältnissen, soweit nicht bereits von Nr. 1 erfasst,</w:t>
      </w:r>
    </w:p>
    <w:p w:rsidR="00BE1EFE" w:rsidRDefault="00BE1EFE" w:rsidP="0037154B">
      <w:pPr>
        <w:pStyle w:val="StandardWeb"/>
      </w:pPr>
      <w:r>
        <w:t>b) Regelungen für den kirchlichen Arbeitszeitschutz, insbesondere für den liturgischen Dienst,</w:t>
      </w:r>
    </w:p>
    <w:p w:rsidR="00BE1EFE" w:rsidRDefault="00BE1EFE" w:rsidP="0037154B">
      <w:pPr>
        <w:pStyle w:val="StandardWeb"/>
      </w:pPr>
      <w:r>
        <w:t>c) für Mehrfacharbeitsverhältnisse bei verschiedenen Dienstgebern,</w:t>
      </w:r>
    </w:p>
    <w:p w:rsidR="00BE1EFE" w:rsidRDefault="00BE1EFE" w:rsidP="0037154B">
      <w:pPr>
        <w:pStyle w:val="StandardWeb"/>
      </w:pPr>
      <w:r>
        <w:t>d) für die Rechtsfolgen des Wechsels von einem Dienstgeber zu einem anderen Dienstgeber.</w:t>
      </w:r>
    </w:p>
    <w:p w:rsidR="00BE1EFE" w:rsidRDefault="00BE1EFE" w:rsidP="0037154B">
      <w:pPr>
        <w:pStyle w:val="StandardWeb"/>
      </w:pPr>
    </w:p>
    <w:p w:rsidR="00BE1EFE" w:rsidRDefault="00BE1EFE" w:rsidP="0037154B">
      <w:pPr>
        <w:pStyle w:val="StandardWeb"/>
      </w:pPr>
      <w:r>
        <w:t>(2) </w:t>
      </w:r>
      <w:r w:rsidRPr="00147069">
        <w:rPr>
          <w:sz w:val="12"/>
          <w:szCs w:val="12"/>
        </w:rPr>
        <w:t>1</w:t>
      </w:r>
      <w:r>
        <w:t>Solange und soweit die Zentrale Kommission von ihrer Regelungsbefugnis keinen Gebrauch gemacht hat oder macht, haben die anderen aufgrund Art. 7 Grundordnung errichteten Kommissionen die Befugnis zur Beschlussfassung über Rechtsnormen.</w:t>
      </w:r>
    </w:p>
    <w:p w:rsidR="00BE1EFE" w:rsidRDefault="00BE1EFE" w:rsidP="0037154B">
      <w:pPr>
        <w:pStyle w:val="StandardWeb"/>
      </w:pPr>
    </w:p>
    <w:p w:rsidR="00BE1EFE" w:rsidRDefault="00BE1EFE" w:rsidP="0037154B">
      <w:pPr>
        <w:pStyle w:val="StandardWeb"/>
      </w:pPr>
      <w:r>
        <w:t>(3) </w:t>
      </w:r>
      <w:r w:rsidRPr="00147069">
        <w:rPr>
          <w:sz w:val="12"/>
          <w:szCs w:val="12"/>
        </w:rPr>
        <w:t>1</w:t>
      </w:r>
      <w:r>
        <w:t>Die Zentrale Kommission kann den anderen nach Art. 7 Grundordnung gebildeten Kommissionen nach Maßgabe des § 4 Ziff. 7 Empfehlungen für die Beschlussfassung über Rechtsnormen geben.</w:t>
      </w:r>
    </w:p>
    <w:p w:rsidR="00BE1EFE" w:rsidRDefault="00BE1EFE" w:rsidP="0037154B">
      <w:pPr>
        <w:pStyle w:val="berschrift5"/>
      </w:pPr>
      <w:bookmarkStart w:id="1310" w:name="_Toc523926821"/>
      <w:r>
        <w:t>§ 4 Aufgaben des Arbeitsrechtsausschusses</w:t>
      </w:r>
      <w:bookmarkEnd w:id="1310"/>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Der Arbeitsrechtsausschuss hat im Bereich des Arbeitsrechts folgende Aufgaben:</w:t>
      </w:r>
    </w:p>
    <w:p w:rsidR="00BE1EFE" w:rsidRDefault="00BE1EFE" w:rsidP="0037154B">
      <w:pPr>
        <w:pStyle w:val="StandardWeb"/>
      </w:pPr>
      <w:r>
        <w:t>1. Informations- bzw. Meinungsaustausch zu allen Fragen und Auswirkungen des Arbeitsrechts,</w:t>
      </w:r>
    </w:p>
    <w:p w:rsidR="00BE1EFE" w:rsidRDefault="00BE1EFE" w:rsidP="0037154B">
      <w:pPr>
        <w:pStyle w:val="StandardWeb"/>
      </w:pPr>
      <w:r>
        <w:t>2. Koordinierung der Positionen,</w:t>
      </w:r>
    </w:p>
    <w:p w:rsidR="00BE1EFE" w:rsidRDefault="00BE1EFE" w:rsidP="0037154B">
      <w:pPr>
        <w:pStyle w:val="StandardWeb"/>
      </w:pPr>
      <w:r>
        <w:t>3. Beobachtung der arbeitsrechtlichen Landschaft (Monitoring),</w:t>
      </w:r>
    </w:p>
    <w:p w:rsidR="00BE1EFE" w:rsidRDefault="00BE1EFE" w:rsidP="0037154B">
      <w:pPr>
        <w:pStyle w:val="StandardWeb"/>
      </w:pPr>
      <w:r>
        <w:t>4. Erarbeitung von Positionen der Zentral-KODA; Information und Beratung des Katholischen Büros in Berlin,</w:t>
      </w:r>
    </w:p>
    <w:p w:rsidR="00BE1EFE" w:rsidRDefault="00BE1EFE" w:rsidP="0037154B">
      <w:pPr>
        <w:pStyle w:val="StandardWeb"/>
      </w:pPr>
      <w:r>
        <w:t>5. Mitwirkung bei der Gestaltung innerkirchlicher Ordnungen,</w:t>
      </w:r>
    </w:p>
    <w:p w:rsidR="00BE1EFE" w:rsidRDefault="00BE1EFE" w:rsidP="0037154B">
      <w:pPr>
        <w:pStyle w:val="StandardWeb"/>
      </w:pPr>
      <w:r>
        <w:t>6. Vorbereitung der Sitzungen der Zentralen Kommission,</w:t>
      </w:r>
    </w:p>
    <w:p w:rsidR="00BE1EFE" w:rsidRDefault="00BE1EFE" w:rsidP="0037154B">
      <w:pPr>
        <w:pStyle w:val="StandardWeb"/>
      </w:pPr>
      <w:r>
        <w:t>7. Entscheidung über die Zuweisung von Empfehlungsmaterien an die Zentrale Kommission.</w:t>
      </w:r>
    </w:p>
    <w:p w:rsidR="00BE1EFE" w:rsidRDefault="00BE1EFE" w:rsidP="009A3A8C">
      <w:pPr>
        <w:pStyle w:val="berschrift5"/>
      </w:pPr>
      <w:bookmarkStart w:id="1311" w:name="_Toc523926822"/>
      <w:r>
        <w:t>§ 5</w:t>
      </w:r>
      <w:r>
        <w:rPr>
          <w:lang w:eastAsia="x-none"/>
        </w:rPr>
        <w:t xml:space="preserve"> </w:t>
      </w:r>
      <w:r>
        <w:t>Zusammensetzung der Zentralen Kommission</w:t>
      </w:r>
      <w:bookmarkEnd w:id="1311"/>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Der Zentralen Kommission gehören jeweils 21 Vertreter der Dienstgeber und der Dienstnehmer an.</w:t>
      </w:r>
    </w:p>
    <w:p w:rsidR="00BE1EFE" w:rsidRDefault="00BE1EFE" w:rsidP="0037154B">
      <w:pPr>
        <w:pStyle w:val="StandardWeb"/>
      </w:pPr>
    </w:p>
    <w:p w:rsidR="00BE1EFE" w:rsidRDefault="00BE1EFE" w:rsidP="0037154B">
      <w:pPr>
        <w:pStyle w:val="StandardWeb"/>
      </w:pPr>
      <w:r>
        <w:t>(2) </w:t>
      </w:r>
      <w:r w:rsidRPr="00147069">
        <w:rPr>
          <w:sz w:val="12"/>
          <w:szCs w:val="12"/>
        </w:rPr>
        <w:t>1</w:t>
      </w:r>
      <w:r>
        <w:t>Die Bistümer entsenden insgesamt 14 Vertreter der Dienstgeber und 14 Vertreter der Dienstnehmer nach folgendem Schlüssel:</w:t>
      </w:r>
    </w:p>
    <w:p w:rsidR="00BE1EFE" w:rsidRDefault="00BE1EFE" w:rsidP="0037154B">
      <w:pPr>
        <w:pStyle w:val="StandardWeb"/>
      </w:pPr>
      <w:r>
        <w:t>a) Bayern mit den (Erz-)Bistümern Augsburg, Bamberg, Eichstätt, München-Freising, Passau, Regensburg, Würzburg</w:t>
      </w:r>
    </w:p>
    <w:p w:rsidR="00BE1EFE" w:rsidRDefault="00BE1EFE" w:rsidP="0037154B">
      <w:pPr>
        <w:pStyle w:val="StandardWeb"/>
      </w:pPr>
      <w:r>
        <w:t>3 Mitglieder</w:t>
      </w:r>
    </w:p>
    <w:p w:rsidR="00BE1EFE" w:rsidRDefault="00BE1EFE" w:rsidP="0037154B">
      <w:pPr>
        <w:pStyle w:val="StandardWeb"/>
      </w:pPr>
      <w:r>
        <w:t>b) Nordrhein-Westfalen mit den (Erz-)Bistümern Aachen, Essen, Köln, Münster, Paderborn</w:t>
      </w:r>
    </w:p>
    <w:p w:rsidR="00BE1EFE" w:rsidRDefault="00BE1EFE" w:rsidP="0037154B">
      <w:pPr>
        <w:pStyle w:val="StandardWeb"/>
      </w:pPr>
      <w:r>
        <w:t>3 Mitglieder</w:t>
      </w:r>
    </w:p>
    <w:p w:rsidR="00BE1EFE" w:rsidRDefault="00BE1EFE" w:rsidP="0037154B">
      <w:pPr>
        <w:pStyle w:val="StandardWeb"/>
      </w:pPr>
      <w:r>
        <w:t xml:space="preserve">c) Mittelraum mit den (Erz-)Bistümern Fulda, Limburg, Mainz, Speyer, Trier </w:t>
      </w:r>
    </w:p>
    <w:p w:rsidR="00BE1EFE" w:rsidRDefault="00BE1EFE" w:rsidP="0037154B">
      <w:pPr>
        <w:pStyle w:val="StandardWeb"/>
      </w:pPr>
      <w:r>
        <w:t>2 Mitglieder</w:t>
      </w:r>
    </w:p>
    <w:p w:rsidR="00BE1EFE" w:rsidRDefault="00BE1EFE" w:rsidP="0037154B">
      <w:pPr>
        <w:pStyle w:val="StandardWeb"/>
      </w:pPr>
      <w:r>
        <w:t xml:space="preserve">d) Nord-Ost mit den (Erz-)Bistümern Hamburg, Hildesheim, Osnabrück, Berlin, Erfurt, Dresden-Meißen, Görlitz, Magdeburg, Offizialatsbezirk Oldenburg </w:t>
      </w:r>
    </w:p>
    <w:p w:rsidR="00BE1EFE" w:rsidRDefault="00BE1EFE" w:rsidP="0037154B">
      <w:pPr>
        <w:pStyle w:val="StandardWeb"/>
      </w:pPr>
      <w:r>
        <w:t>4 Mitglieder</w:t>
      </w:r>
    </w:p>
    <w:p w:rsidR="00BE1EFE" w:rsidRDefault="00BE1EFE" w:rsidP="0037154B">
      <w:pPr>
        <w:pStyle w:val="StandardWeb"/>
      </w:pPr>
      <w:r>
        <w:t xml:space="preserve">e) Süd-West mit den (Erz-)Bistümern Freiburg und Rottenburg-Stuttgart </w:t>
      </w:r>
    </w:p>
    <w:p w:rsidR="00BE1EFE" w:rsidRDefault="00BE1EFE" w:rsidP="0037154B">
      <w:pPr>
        <w:pStyle w:val="StandardWeb"/>
      </w:pPr>
      <w:r>
        <w:t>2 Mitglieder.</w:t>
      </w:r>
    </w:p>
    <w:p w:rsidR="00BE1EFE" w:rsidRDefault="00BE1EFE" w:rsidP="0037154B">
      <w:pPr>
        <w:pStyle w:val="StandardWeb"/>
      </w:pPr>
      <w:r w:rsidRPr="00C17437">
        <w:rPr>
          <w:sz w:val="12"/>
          <w:szCs w:val="12"/>
        </w:rPr>
        <w:t>2</w:t>
      </w:r>
      <w:r>
        <w:t xml:space="preserve">Die Vertreter der Dienstgeber werden durch den Verwaltungsrat des Verbandes der Diözesen Deutschlands auf Vorschlag der Mitglieder der Kommission für Personalwesen des </w:t>
      </w:r>
      <w:r>
        <w:lastRenderedPageBreak/>
        <w:t xml:space="preserve">Verbandes der Diözesen Deutschlands aus deren Reihe bestellt. </w:t>
      </w:r>
      <w:r w:rsidRPr="00C17437">
        <w:rPr>
          <w:sz w:val="12"/>
          <w:szCs w:val="12"/>
        </w:rPr>
        <w:t>3</w:t>
      </w:r>
      <w:r>
        <w:t>Die Vertreter der Dienst</w:t>
      </w:r>
      <w:r>
        <w:softHyphen/>
        <w:t xml:space="preserve">nehmer werden von Vertretern der Mitarbeiterinnen und Mitarbeiter in den in der Region bestehenden Kommissionen nach Art. 7 Grundordnung aus ihrer Mitte gewählt. </w:t>
      </w:r>
      <w:r w:rsidRPr="00C17437">
        <w:rPr>
          <w:sz w:val="12"/>
          <w:szCs w:val="12"/>
        </w:rPr>
        <w:t>4</w:t>
      </w:r>
      <w:r>
        <w:t>Das Nähere wird in einer von den Bischöfen der jeweiligen Region zu erlassenden Wahlordnung geregelt.</w:t>
      </w:r>
    </w:p>
    <w:p w:rsidR="00BE1EFE" w:rsidRDefault="00BE1EFE" w:rsidP="0037154B">
      <w:pPr>
        <w:pStyle w:val="StandardWeb"/>
      </w:pPr>
    </w:p>
    <w:p w:rsidR="00BE1EFE" w:rsidRDefault="00BE1EFE" w:rsidP="0037154B">
      <w:pPr>
        <w:pStyle w:val="StandardWeb"/>
      </w:pPr>
      <w:r>
        <w:t>(3) </w:t>
      </w:r>
      <w:r w:rsidRPr="00147069">
        <w:rPr>
          <w:sz w:val="12"/>
          <w:szCs w:val="12"/>
        </w:rPr>
        <w:t>1</w:t>
      </w:r>
      <w:r>
        <w:t xml:space="preserve">Die Dienstgeber der arbeitsrechtlichen Kommission des Deutschen Caritasverbandes wählen aus ihrer Mitte sieben Vertreter. </w:t>
      </w:r>
      <w:r w:rsidRPr="00147069">
        <w:rPr>
          <w:sz w:val="12"/>
          <w:szCs w:val="12"/>
        </w:rPr>
        <w:t>2</w:t>
      </w:r>
      <w:r>
        <w:t>Die Dienstnehmer der Arbeitsrechtlichen Kommission des Deutschen Caritasverbandes wählen aus ihrer Mitte sieben Vertreter.</w:t>
      </w:r>
    </w:p>
    <w:p w:rsidR="00BE1EFE" w:rsidRDefault="00BE1EFE" w:rsidP="0037154B">
      <w:pPr>
        <w:pStyle w:val="StandardWeb"/>
      </w:pPr>
    </w:p>
    <w:p w:rsidR="00BE1EFE" w:rsidRDefault="00BE1EFE" w:rsidP="0037154B">
      <w:pPr>
        <w:pStyle w:val="StandardWeb"/>
      </w:pPr>
      <w:r>
        <w:t>(4) </w:t>
      </w:r>
      <w:r w:rsidRPr="00147069">
        <w:rPr>
          <w:sz w:val="12"/>
          <w:szCs w:val="12"/>
        </w:rPr>
        <w:t>1</w:t>
      </w:r>
      <w:r>
        <w:t xml:space="preserve">Die Amtszeit der einzelnen Mitglieder endet mit Ablauf der Amtsperiode der entsprechenden Bistums-/Regional-KODA bzw. der Arbeitsrechtlichen Kommission des Deutschen Caritasverbandes und mit Beendigung der Mitgliedschaft in diesen Kommissionen. </w:t>
      </w:r>
      <w:r w:rsidRPr="00147069">
        <w:rPr>
          <w:sz w:val="12"/>
          <w:szCs w:val="12"/>
        </w:rPr>
        <w:t>2</w:t>
      </w:r>
      <w:r>
        <w:t>Bei Ablauf der Amtszeit und bei vorzeitigem Ausscheiden erfolgen Berufung und Wahl sowie Entsendung nach Maßgabe der Bestimmungen in den Absätzen 2 bis 4.</w:t>
      </w:r>
    </w:p>
    <w:p w:rsidR="00BE1EFE" w:rsidRDefault="00BE1EFE" w:rsidP="0037154B">
      <w:pPr>
        <w:pStyle w:val="berschrift5"/>
      </w:pPr>
      <w:bookmarkStart w:id="1312" w:name="_Toc523926823"/>
      <w:r>
        <w:t>§ 6 Zusammensetzung des Arbeitsrechtsausschusses</w:t>
      </w:r>
      <w:bookmarkEnd w:id="1312"/>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Der Arbeitsrechtsausschuss besteht aus 24 stimmberechtigten Mitgliedern: Je sechs Vertretern der Dienstgeber und der Dienstnehmer jeweils aus dem verfassten Bereich und der Caritas, darunter der/dem Vorsitzenden und der/dem stellvertretenden Vorsitzenden der Zentralen Kommission. </w:t>
      </w:r>
      <w:r w:rsidRPr="00147069">
        <w:rPr>
          <w:sz w:val="12"/>
          <w:szCs w:val="12"/>
        </w:rPr>
        <w:t>2</w:t>
      </w:r>
      <w:r>
        <w:t xml:space="preserve">Die Vertreter werden von den jeweiligen Seiten aus ihrer Mitte gewählt. </w:t>
      </w:r>
      <w:r w:rsidRPr="00147069">
        <w:rPr>
          <w:sz w:val="12"/>
          <w:szCs w:val="12"/>
        </w:rPr>
        <w:t>3</w:t>
      </w:r>
      <w:r>
        <w:t>Es können nur Vertreter gewählt werden, die gleichzeitig Mitglied der Zentralen Kommission sind.</w:t>
      </w:r>
    </w:p>
    <w:p w:rsidR="00BE1EFE" w:rsidRDefault="00BE1EFE" w:rsidP="0037154B">
      <w:pPr>
        <w:pStyle w:val="StandardWeb"/>
      </w:pPr>
    </w:p>
    <w:p w:rsidR="00BE1EFE" w:rsidRDefault="00BE1EFE" w:rsidP="0037154B">
      <w:pPr>
        <w:pStyle w:val="StandardWeb"/>
      </w:pPr>
      <w:r>
        <w:t>(2) </w:t>
      </w:r>
      <w:r w:rsidRPr="00147069">
        <w:rPr>
          <w:sz w:val="12"/>
          <w:szCs w:val="12"/>
        </w:rPr>
        <w:t>1</w:t>
      </w:r>
      <w:r>
        <w:t xml:space="preserve">Als ständige Berater gehören dem Arbeitsrechtsausschuss an: Je ein Vertreter des Verbandes der Diözesen Deutschlands (VDD), des Deutschen Caritasverbandes (DCV), der Deutschen Ordensobernkonferenz (DOK) sowie des Katholischen Büros in Berlin und drei Vertreter der Bundesarbeitsgemeinschaft der Mitarbeitervertretungen (BAG-MAV). </w:t>
      </w:r>
      <w:r w:rsidRPr="00147069">
        <w:rPr>
          <w:sz w:val="12"/>
          <w:szCs w:val="12"/>
        </w:rPr>
        <w:t>2</w:t>
      </w:r>
      <w:r>
        <w:t>Die in diesem Absatz genannten Vertreter haben kein Stimmrecht.</w:t>
      </w:r>
    </w:p>
    <w:p w:rsidR="00BE1EFE" w:rsidRDefault="00BE1EFE" w:rsidP="0037154B">
      <w:pPr>
        <w:pStyle w:val="berschrift5"/>
      </w:pPr>
      <w:bookmarkStart w:id="1313" w:name="_Toc523926824"/>
      <w:r>
        <w:t>§ 7 Vorsitzende(r) und stellvertretende(r) Vorsitzende(r)</w:t>
      </w:r>
      <w:bookmarkEnd w:id="1313"/>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Die/Der Vorsitzende und die/der stellvertretende Vorsitzende werden von der Gesamtheit der Kommissionsmitglieder geheim gewählt, und zwar die/der Vorsitzende in zweijährigem Wechsel, einmal aus den Reihe der Dienstgebervertreter und das andere Mal aus der Reihe der Dienstnehmervertreter, die/der stellvertretende Vorsitzende aus der jeweils anderen Seite. </w:t>
      </w:r>
      <w:r w:rsidRPr="00147069">
        <w:rPr>
          <w:sz w:val="12"/>
          <w:szCs w:val="12"/>
        </w:rPr>
        <w:t>2</w:t>
      </w:r>
      <w:r>
        <w:t xml:space="preserve">§ 11 Abs. 3 findet Anwendung. </w:t>
      </w:r>
      <w:r w:rsidRPr="00147069">
        <w:rPr>
          <w:sz w:val="12"/>
          <w:szCs w:val="12"/>
        </w:rPr>
        <w:t>3</w:t>
      </w:r>
      <w:r>
        <w:t xml:space="preserve">Gewählt ist, wer die Stimmen der Mehrheit der Mitglieder der Zentralen Kommission auf sich vereinigt. </w:t>
      </w:r>
      <w:r w:rsidRPr="00147069">
        <w:rPr>
          <w:sz w:val="12"/>
          <w:szCs w:val="12"/>
        </w:rPr>
        <w:t>4</w:t>
      </w:r>
      <w:r>
        <w:t xml:space="preserve">Kommt in zwei Wahlgängen die erforderliche Mehrheit nicht zustande, so ist gewählt, wer in einem weiteren Wahlgang die meisten Stimmen auf sich vereinigt. </w:t>
      </w:r>
      <w:r w:rsidRPr="00147069">
        <w:rPr>
          <w:sz w:val="12"/>
          <w:szCs w:val="12"/>
        </w:rPr>
        <w:t>5</w:t>
      </w:r>
      <w:r>
        <w:t>Bis zur Wahl der/des Vorsitzenden und der/des stellvertretenden Vorsitzenden leitet das nach Lebensjahren älteste Mitglied die Sitzung.</w:t>
      </w:r>
    </w:p>
    <w:p w:rsidR="00BE1EFE" w:rsidRDefault="00BE1EFE" w:rsidP="0037154B">
      <w:pPr>
        <w:pStyle w:val="StandardWeb"/>
      </w:pPr>
    </w:p>
    <w:p w:rsidR="00BE1EFE" w:rsidRDefault="00BE1EFE" w:rsidP="0037154B">
      <w:pPr>
        <w:pStyle w:val="StandardWeb"/>
      </w:pPr>
      <w:r>
        <w:t>(2) </w:t>
      </w:r>
      <w:r w:rsidRPr="00147069">
        <w:rPr>
          <w:sz w:val="12"/>
          <w:szCs w:val="12"/>
        </w:rPr>
        <w:t>1</w:t>
      </w:r>
      <w:r>
        <w:t>Scheidet die/der Vorsitzende oder die/der stellvertretende Vorsitzende vorzeitig aus, findet für den Rest des Zwei-Jahres-Zeitraumes eine Nachwahl statt.</w:t>
      </w:r>
    </w:p>
    <w:p w:rsidR="00BE1EFE" w:rsidRDefault="00BE1EFE" w:rsidP="0037154B">
      <w:pPr>
        <w:pStyle w:val="StandardWeb"/>
      </w:pPr>
    </w:p>
    <w:p w:rsidR="00BE1EFE" w:rsidRDefault="00BE1EFE" w:rsidP="0037154B">
      <w:pPr>
        <w:pStyle w:val="StandardWeb"/>
      </w:pPr>
      <w:r>
        <w:t>(3) </w:t>
      </w:r>
      <w:r w:rsidRPr="00147069">
        <w:rPr>
          <w:sz w:val="12"/>
          <w:szCs w:val="12"/>
        </w:rPr>
        <w:t>1</w:t>
      </w:r>
      <w:r>
        <w:t>Die/Der Vorsitzende der Zentralen Kommission ist zugleich Vorsitzende(r) des Arbeitsrechtsausschusses, die/der stellvertretende Vorsitzende der Zentralen Kommission ist zugleich stellvertretende(r) Vorsitzende(r) des Arbeitsrechtsausschusses.</w:t>
      </w:r>
    </w:p>
    <w:p w:rsidR="00BE1EFE" w:rsidRDefault="00BE1EFE" w:rsidP="0037154B">
      <w:pPr>
        <w:pStyle w:val="berschrift5"/>
      </w:pPr>
      <w:bookmarkStart w:id="1314" w:name="_Toc523926825"/>
      <w:r>
        <w:lastRenderedPageBreak/>
        <w:t>§ 8 Rechtsstellung</w:t>
      </w:r>
      <w:bookmarkEnd w:id="1314"/>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Die Rechtsstellung der Mitglieder der Zentral-KODA richtet sich nach den Ordnungen der sie entsendenden Gremien.</w:t>
      </w:r>
    </w:p>
    <w:p w:rsidR="00BE1EFE" w:rsidRPr="00C17437" w:rsidRDefault="00BE1EFE" w:rsidP="00C17437">
      <w:pPr>
        <w:pStyle w:val="berschrift5"/>
        <w:rPr>
          <w:lang w:eastAsia="x-none"/>
        </w:rPr>
      </w:pPr>
      <w:bookmarkStart w:id="1315" w:name="_Toc523926826"/>
      <w:r>
        <w:t>9 Freistellung</w:t>
      </w:r>
      <w:bookmarkEnd w:id="1315"/>
    </w:p>
    <w:p w:rsidR="00BE1EFE" w:rsidRPr="00B76821" w:rsidRDefault="00BE1EFE" w:rsidP="00B76821">
      <w:pPr>
        <w:pStyle w:val="berschrift6"/>
        <w:keepNext w:val="0"/>
        <w:spacing w:before="0" w:after="0"/>
        <w:rPr>
          <w:sz w:val="2"/>
        </w:rPr>
      </w:pPr>
    </w:p>
    <w:p w:rsidR="00BE1EFE" w:rsidRPr="00C17437" w:rsidRDefault="00BE1EFE" w:rsidP="0037154B">
      <w:pPr>
        <w:pStyle w:val="StandardWeb"/>
      </w:pPr>
      <w:r w:rsidRPr="00147069">
        <w:rPr>
          <w:sz w:val="12"/>
          <w:szCs w:val="12"/>
        </w:rPr>
        <w:t>1</w:t>
      </w:r>
      <w:r>
        <w:t>Die Mitglieder der Zentral-KODA, die im kirchlichen Dienst stehen, sind zur ordnungs</w:t>
      </w:r>
      <w:r>
        <w:softHyphen/>
        <w:t xml:space="preserve">gemäßen Durchführung ihrer Aufgaben im notwendigen Umfang von der dienstlichen Tätigkeit freizustellen, insbesondere für die Teilnahme an den Sitzungen der Zentralen Kommission, des Arbeitsrechtsausschusses und der sonstigen Ausschüsse sowie für deren Vorbereitung. </w:t>
      </w:r>
      <w:r w:rsidRPr="00147069">
        <w:rPr>
          <w:sz w:val="12"/>
          <w:szCs w:val="12"/>
        </w:rPr>
        <w:t>2</w:t>
      </w:r>
      <w:r>
        <w:t xml:space="preserve">Die Freistellung beinhaltet den Anspruch auf Reduzierung der übertragenen </w:t>
      </w:r>
      <w:r w:rsidRPr="00C17437">
        <w:t>Aufgaben.</w:t>
      </w:r>
    </w:p>
    <w:p w:rsidR="00BE1EFE" w:rsidRDefault="00BE1EFE" w:rsidP="0037154B">
      <w:pPr>
        <w:pStyle w:val="berschrift5"/>
      </w:pPr>
      <w:bookmarkStart w:id="1316" w:name="_Toc523926827"/>
      <w:r>
        <w:t>§ 10 Beratung</w:t>
      </w:r>
      <w:bookmarkEnd w:id="1316"/>
    </w:p>
    <w:p w:rsidR="00BE1EFE" w:rsidRPr="00B76821" w:rsidRDefault="00BE1EFE" w:rsidP="00B76821">
      <w:pPr>
        <w:pStyle w:val="berschrift6"/>
        <w:keepNext w:val="0"/>
        <w:spacing w:before="0" w:after="0"/>
        <w:rPr>
          <w:sz w:val="2"/>
        </w:rPr>
      </w:pPr>
    </w:p>
    <w:p w:rsidR="00BE1EFE" w:rsidRDefault="00BE1EFE" w:rsidP="0037154B">
      <w:pPr>
        <w:pStyle w:val="StandardWeb"/>
      </w:pPr>
      <w:r w:rsidRPr="00147069">
        <w:rPr>
          <w:sz w:val="12"/>
          <w:szCs w:val="12"/>
        </w:rPr>
        <w:t>1</w:t>
      </w:r>
      <w:r>
        <w:t>Den Seiten werden zur Beratung im notwendigen Umfang dafür erforderliche Mittel zur Verfügung gestellt.</w:t>
      </w:r>
    </w:p>
    <w:p w:rsidR="00BE1EFE" w:rsidRDefault="00BE1EFE" w:rsidP="0037154B">
      <w:pPr>
        <w:pStyle w:val="berschrift5"/>
      </w:pPr>
      <w:bookmarkStart w:id="1317" w:name="_Toc523926828"/>
      <w:r>
        <w:t>§ 11 Arbeitsweise der Zentralen Kommission</w:t>
      </w:r>
      <w:bookmarkEnd w:id="1317"/>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147069">
        <w:rPr>
          <w:sz w:val="12"/>
          <w:szCs w:val="12"/>
        </w:rPr>
        <w:t>1</w:t>
      </w:r>
      <w:r>
        <w:t xml:space="preserve">Die/Der Vorsitzende lädt unter Angabe der Tagesordnung spätestens vier Wochen – in Eilfällen zwei Wochen – vor der Sitzung ein. </w:t>
      </w:r>
      <w:r w:rsidRPr="00147069">
        <w:rPr>
          <w:sz w:val="12"/>
          <w:szCs w:val="12"/>
        </w:rPr>
        <w:t>2</w:t>
      </w:r>
      <w:r>
        <w:t>Sie/Er entscheidet im Einvernehmen mit der/dem stellvertretenden Vorsitzenden über die Eilbedürftigkeit.</w:t>
      </w:r>
    </w:p>
    <w:p w:rsidR="00BE1EFE" w:rsidRDefault="00BE1EFE" w:rsidP="0037154B">
      <w:pPr>
        <w:pStyle w:val="StandardWeb"/>
      </w:pPr>
    </w:p>
    <w:p w:rsidR="00BE1EFE" w:rsidRDefault="00BE1EFE" w:rsidP="0037154B">
      <w:pPr>
        <w:pStyle w:val="StandardWeb"/>
      </w:pPr>
      <w:r>
        <w:t>(2) </w:t>
      </w:r>
      <w:r w:rsidRPr="00147069">
        <w:rPr>
          <w:sz w:val="12"/>
          <w:szCs w:val="12"/>
        </w:rPr>
        <w:t>1</w:t>
      </w:r>
      <w:r>
        <w:t>Die/Der Vorsitzende lädt ein, wenn</w:t>
      </w:r>
    </w:p>
    <w:p w:rsidR="00BE1EFE" w:rsidRDefault="00BE1EFE" w:rsidP="0037154B">
      <w:pPr>
        <w:pStyle w:val="StandardWeb"/>
      </w:pPr>
      <w:r>
        <w:t>a) der Arbeitsrechtsausschuss mit einer Mehrheit von mindestens drei Vierteln der Gesamt</w:t>
      </w:r>
      <w:r>
        <w:softHyphen/>
        <w:t>zahl seiner Mitglieder eine klärungsbedürftige Thematik in Form eines Antrags der Zentralen Kommission vorlegt,</w:t>
      </w:r>
    </w:p>
    <w:p w:rsidR="00BE1EFE" w:rsidRDefault="00BE1EFE" w:rsidP="0037154B">
      <w:pPr>
        <w:pStyle w:val="StandardWeb"/>
      </w:pPr>
      <w:r>
        <w:t xml:space="preserve">b) eine nach </w:t>
      </w:r>
      <w:hyperlink r:id="rId1941" w:history="1">
        <w:r w:rsidRPr="008417DE">
          <w:rPr>
            <w:rStyle w:val="Hyperlink"/>
          </w:rPr>
          <w:t>Art. 7 GrO</w:t>
        </w:r>
      </w:hyperlink>
      <w:r>
        <w:t xml:space="preserve"> gebildete Kommission mit einer Mehrheit von mindestens drei Vierteln der Gesamtzahl ihrer Mitglieder eine klärungsbedürftige Thematik in Form eines Antrags der Zentralen Kommission vorlegt,</w:t>
      </w:r>
    </w:p>
    <w:p w:rsidR="00BE1EFE" w:rsidRDefault="00BE1EFE" w:rsidP="0037154B">
      <w:pPr>
        <w:pStyle w:val="StandardWeb"/>
      </w:pPr>
      <w:r>
        <w:t xml:space="preserve">c) eine Seite der Zentralen Kommission einen Antrag auf Beschlussfassung gemäß </w:t>
      </w:r>
      <w:hyperlink r:id="rId1942" w:history="1">
        <w:r w:rsidRPr="00933929">
          <w:rPr>
            <w:rStyle w:val="Hyperlink"/>
          </w:rPr>
          <w:t>§ 3 Abs. 1</w:t>
        </w:r>
      </w:hyperlink>
      <w:r>
        <w:t xml:space="preserve"> stellt. Liegt ein Antrag vor, hat der Arbeitsrechtsausschuss zunächst drei Monate Zeit, sich mit dem Antrag zu befassen. Der Arbeitsrechtsausschuss kann eine Stellungnahme zu dem Antrag abgeben. Nach Ablauf der Dreimonatsfrist ist eine Sitzung der Zentralen Kommission einzuberufen, wenn nicht der Arbeitsrechtsauschuss mit einer Mehrheit von mindestens drei Vierteln der Gesamtzahl seiner Mitglieder eine Weiterleitung des Antrags an die Zentrale Kommission ablehnt,</w:t>
      </w:r>
    </w:p>
    <w:p w:rsidR="00BE1EFE" w:rsidRDefault="00BE1EFE" w:rsidP="0037154B">
      <w:pPr>
        <w:pStyle w:val="StandardWeb"/>
      </w:pPr>
      <w:r>
        <w:t xml:space="preserve">d) ein Diözesanbischof oder mehrere Diözesanbischöfe gegen einen Beschluss der Zentralen Kommission gemäß </w:t>
      </w:r>
      <w:hyperlink r:id="rId1943" w:history="1">
        <w:r w:rsidRPr="00933929">
          <w:rPr>
            <w:rStyle w:val="Hyperlink"/>
          </w:rPr>
          <w:t>§ 3 Abs. 1</w:t>
        </w:r>
      </w:hyperlink>
      <w:r>
        <w:t xml:space="preserve"> Einspruch einlegt/einlegen.</w:t>
      </w:r>
    </w:p>
    <w:p w:rsidR="00BE1EFE" w:rsidRDefault="00BE1EFE" w:rsidP="0037154B">
      <w:pPr>
        <w:pStyle w:val="StandardWeb"/>
      </w:pPr>
    </w:p>
    <w:p w:rsidR="00BE1EFE" w:rsidRDefault="00BE1EFE" w:rsidP="0037154B">
      <w:pPr>
        <w:pStyle w:val="StandardWeb"/>
      </w:pPr>
      <w:r>
        <w:t>(3) </w:t>
      </w:r>
      <w:r w:rsidRPr="00147069">
        <w:rPr>
          <w:sz w:val="12"/>
          <w:szCs w:val="12"/>
        </w:rPr>
        <w:t>1</w:t>
      </w:r>
      <w:r>
        <w:t xml:space="preserve">Ist ein Mitglied verhindert, an einer Sitzung teilzunehmen, so ist die Übertragung des Stimmrechtes auf ein anderes Mitglied derselben Seite zulässig. </w:t>
      </w:r>
      <w:r w:rsidRPr="00147069">
        <w:rPr>
          <w:sz w:val="12"/>
          <w:szCs w:val="12"/>
        </w:rPr>
        <w:t>2</w:t>
      </w:r>
      <w:r>
        <w:t xml:space="preserve">Ein Mitglied kann zusätzlich nicht mehr als ein übertragenes Stimmrecht ausüben. </w:t>
      </w:r>
      <w:r w:rsidRPr="00147069">
        <w:rPr>
          <w:sz w:val="12"/>
          <w:szCs w:val="12"/>
        </w:rPr>
        <w:t>3</w:t>
      </w:r>
      <w:r>
        <w:t>Die Übertragung des Stimmrechtes ist der/dem Vorsitzenden in geeigneter Form nachzuweisen.</w:t>
      </w:r>
    </w:p>
    <w:p w:rsidR="00BE1EFE" w:rsidRDefault="00BE1EFE" w:rsidP="0037154B">
      <w:pPr>
        <w:pStyle w:val="StandardWeb"/>
      </w:pPr>
    </w:p>
    <w:p w:rsidR="00BE1EFE" w:rsidRDefault="00BE1EFE" w:rsidP="0037154B">
      <w:pPr>
        <w:pStyle w:val="StandardWeb"/>
      </w:pPr>
      <w:r>
        <w:lastRenderedPageBreak/>
        <w:t>(4) </w:t>
      </w:r>
      <w:r w:rsidRPr="00147069">
        <w:rPr>
          <w:sz w:val="12"/>
          <w:szCs w:val="12"/>
        </w:rPr>
        <w:t>1</w:t>
      </w:r>
      <w:r>
        <w:t>Eine Sitzung kann nur stattfinden, wenn auf jeder Seite mindestens die Hälfte der Mitglieder, darunter die/der Vorsitzende oder die/der stellvertretende Vorsitzende anwesend sind.</w:t>
      </w:r>
    </w:p>
    <w:p w:rsidR="00BE1EFE" w:rsidRDefault="00BE1EFE" w:rsidP="0037154B">
      <w:pPr>
        <w:pStyle w:val="StandardWeb"/>
      </w:pPr>
    </w:p>
    <w:p w:rsidR="00BE1EFE" w:rsidRDefault="00BE1EFE" w:rsidP="0037154B">
      <w:pPr>
        <w:pStyle w:val="StandardWeb"/>
      </w:pPr>
      <w:r>
        <w:t>(5) </w:t>
      </w:r>
      <w:r w:rsidRPr="00147069">
        <w:rPr>
          <w:sz w:val="12"/>
          <w:szCs w:val="12"/>
        </w:rPr>
        <w:t>1</w:t>
      </w:r>
      <w:r>
        <w:t xml:space="preserve">Die Sitzungen sind nicht öffentlich. </w:t>
      </w:r>
      <w:r w:rsidRPr="00147069">
        <w:rPr>
          <w:sz w:val="12"/>
          <w:szCs w:val="12"/>
        </w:rPr>
        <w:t>2</w:t>
      </w:r>
      <w:r>
        <w:t xml:space="preserve">Unbeschadet von Satz 1 ist die Information der nicht in der Zentral-KODA vertretenen Kommissionen und die Beratung mit diesen möglich. </w:t>
      </w:r>
      <w:r w:rsidRPr="00147069">
        <w:rPr>
          <w:sz w:val="12"/>
          <w:szCs w:val="12"/>
        </w:rPr>
        <w:t>3</w:t>
      </w:r>
      <w:r>
        <w:t xml:space="preserve">Im Einvernehmen zwischen der/dem stellvertretenden Vorsitzenden und der/dem Vorsitzenden können Sachverständige teilnehmen. </w:t>
      </w:r>
      <w:r w:rsidRPr="00147069">
        <w:rPr>
          <w:sz w:val="12"/>
          <w:szCs w:val="12"/>
        </w:rPr>
        <w:t>4</w:t>
      </w:r>
      <w:r>
        <w:t>Diese haben kein Stimmrecht.</w:t>
      </w:r>
    </w:p>
    <w:p w:rsidR="00BE1EFE" w:rsidRDefault="00BE1EFE" w:rsidP="0037154B">
      <w:pPr>
        <w:pStyle w:val="StandardWeb"/>
      </w:pPr>
    </w:p>
    <w:p w:rsidR="00BE1EFE" w:rsidRDefault="00BE1EFE" w:rsidP="0037154B">
      <w:pPr>
        <w:pStyle w:val="StandardWeb"/>
      </w:pPr>
      <w:r>
        <w:t>(6) </w:t>
      </w:r>
      <w:r w:rsidRPr="00147069">
        <w:rPr>
          <w:sz w:val="12"/>
          <w:szCs w:val="12"/>
        </w:rPr>
        <w:t>1</w:t>
      </w:r>
      <w:r>
        <w:t>Die Zentrale Kommission gibt sich eine Geschäftsordnung.</w:t>
      </w:r>
    </w:p>
    <w:p w:rsidR="00BE1EFE" w:rsidRDefault="00BE1EFE" w:rsidP="0037154B">
      <w:pPr>
        <w:pStyle w:val="StandardWeb"/>
      </w:pPr>
    </w:p>
    <w:p w:rsidR="00BE1EFE" w:rsidRDefault="00BE1EFE" w:rsidP="0037154B">
      <w:pPr>
        <w:pStyle w:val="StandardWeb"/>
      </w:pPr>
      <w:r>
        <w:t>(7) </w:t>
      </w:r>
      <w:r w:rsidRPr="00147069">
        <w:rPr>
          <w:sz w:val="12"/>
          <w:szCs w:val="12"/>
        </w:rPr>
        <w:t>1</w:t>
      </w:r>
      <w:r>
        <w:t>Die Zentrale Kommission fasst Beschlüsse mit einer Mehrheit von mindestens drei Vierteln der Gesamtzahl ihrer Mitglieder.</w:t>
      </w:r>
    </w:p>
    <w:p w:rsidR="00BE1EFE" w:rsidRDefault="00BE1EFE" w:rsidP="0037154B">
      <w:pPr>
        <w:pStyle w:val="StandardWeb"/>
      </w:pPr>
    </w:p>
    <w:p w:rsidR="00BE1EFE" w:rsidRDefault="00BE1EFE" w:rsidP="0037154B">
      <w:pPr>
        <w:pStyle w:val="StandardWeb"/>
      </w:pPr>
      <w:r>
        <w:t>(8) </w:t>
      </w:r>
      <w:r w:rsidRPr="00147069">
        <w:rPr>
          <w:sz w:val="12"/>
          <w:szCs w:val="12"/>
        </w:rPr>
        <w:t>1</w:t>
      </w:r>
      <w:r>
        <w:t xml:space="preserve">In Angelegenheiten, die besonders eilbedürftig sind und für die eine mündliche Erörterung entbehrlich ist, können Beschlüsse schriftlich herbeigeführt werden. </w:t>
      </w:r>
      <w:r w:rsidRPr="00C17437">
        <w:rPr>
          <w:sz w:val="12"/>
          <w:szCs w:val="12"/>
        </w:rPr>
        <w:t>2</w:t>
      </w:r>
      <w:r>
        <w:t xml:space="preserve">Ein Beschluss kommt in diesem Fall nur zustande, wenn alle Mitglieder zustimmen. </w:t>
      </w:r>
      <w:r w:rsidRPr="00C17437">
        <w:rPr>
          <w:sz w:val="12"/>
          <w:szCs w:val="12"/>
        </w:rPr>
        <w:t>3</w:t>
      </w:r>
      <w:r>
        <w:t>Die/Der Vorsitzende entscheidet im Einvernehmen mit der/dem stellvertretenden Vorsitzenden über die Einleitung dieses Verfahrens.</w:t>
      </w:r>
    </w:p>
    <w:p w:rsidR="00BE1EFE" w:rsidRDefault="00BE1EFE" w:rsidP="0037154B">
      <w:pPr>
        <w:pStyle w:val="berschrift5"/>
      </w:pPr>
      <w:bookmarkStart w:id="1318" w:name="_Toc523926829"/>
      <w:r>
        <w:t>§ 12 Arbeitsweise des Arbeitsrechtsausschusses</w:t>
      </w:r>
      <w:bookmarkEnd w:id="1318"/>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Der Arbeitsrechtsausschuss tritt bei Bedarf zusammen; er soll mindestens zwei Mal im Jahr tagen. </w:t>
      </w:r>
      <w:r w:rsidRPr="00C17437">
        <w:rPr>
          <w:sz w:val="12"/>
          <w:szCs w:val="12"/>
        </w:rPr>
        <w:t>2</w:t>
      </w:r>
      <w:r>
        <w:t>Der Bedarf wird von der/dem Vorsitzenden im Einvernehmen mit der/dem stellvertretenden Vorsitzenden festgestellt.</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Die/Der Vorsitzende lädt unter Angabe der Tagesordnung spätestens vier Wochen vorher – in begründeten Eilfällen unter Abkürzung der Ladungsfrist im Einvernehmen mit der/dem stellvertretenden Vorsitzenden – zur Sitzung ein. </w:t>
      </w:r>
      <w:r w:rsidRPr="00C17437">
        <w:rPr>
          <w:sz w:val="12"/>
          <w:szCs w:val="12"/>
        </w:rPr>
        <w:t>2</w:t>
      </w:r>
      <w:r>
        <w:t>Sie/Er entscheidet im Einvernehmen mit der/dem stellvertretenden Vorsitzenden auch über die Eilbedürftigkeit.</w:t>
      </w:r>
    </w:p>
    <w:p w:rsidR="00BE1EFE" w:rsidRDefault="00BE1EFE" w:rsidP="0037154B">
      <w:pPr>
        <w:pStyle w:val="StandardWeb"/>
      </w:pPr>
    </w:p>
    <w:p w:rsidR="00BE1EFE" w:rsidRDefault="00BE1EFE" w:rsidP="0037154B">
      <w:pPr>
        <w:pStyle w:val="StandardWeb"/>
      </w:pPr>
      <w:r>
        <w:t>(3) </w:t>
      </w:r>
      <w:r w:rsidRPr="00C17437">
        <w:rPr>
          <w:sz w:val="12"/>
          <w:szCs w:val="12"/>
        </w:rPr>
        <w:t>1</w:t>
      </w:r>
      <w:r>
        <w:t xml:space="preserve">Für das Verfahren gilt </w:t>
      </w:r>
      <w:hyperlink r:id="rId1944" w:history="1">
        <w:r w:rsidRPr="00D45A78">
          <w:rPr>
            <w:rStyle w:val="Hyperlink"/>
          </w:rPr>
          <w:t>§ 11 Abs. 3 – 7</w:t>
        </w:r>
      </w:hyperlink>
      <w:r>
        <w:t xml:space="preserve"> sinngemäß, mit der Maßgabe, dass Sitzungen des Arbeitsrechtsausschuss auch stattfinden und Beschlüsse gemäß </w:t>
      </w:r>
      <w:hyperlink r:id="rId1945" w:history="1">
        <w:r w:rsidRPr="00D45A78">
          <w:rPr>
            <w:rStyle w:val="Hyperlink"/>
          </w:rPr>
          <w:t>§ 4</w:t>
        </w:r>
      </w:hyperlink>
      <w:r>
        <w:t xml:space="preserve"> gefasst werden können, wenn mindestens sechs Mitglieder der Dienstnehmer- und sechs Mitglieder der Dienst</w:t>
      </w:r>
      <w:r>
        <w:softHyphen/>
        <w:t xml:space="preserve">gebervertreter anwesend sind, darunter die/der Vorsitzende und/oder die/der stellvertretende Vorsitzende. </w:t>
      </w:r>
      <w:r w:rsidRPr="00C17437">
        <w:rPr>
          <w:sz w:val="12"/>
          <w:szCs w:val="12"/>
        </w:rPr>
        <w:t>2</w:t>
      </w:r>
      <w:r>
        <w:t xml:space="preserve">Die Vertreter nach </w:t>
      </w:r>
      <w:hyperlink r:id="rId1946" w:history="1">
        <w:r w:rsidRPr="00D45A78">
          <w:rPr>
            <w:rStyle w:val="Hyperlink"/>
          </w:rPr>
          <w:t>§ 6 Abs. 2</w:t>
        </w:r>
      </w:hyperlink>
      <w:r>
        <w:t xml:space="preserve"> sind bei der Bestimmung der Anwesenheit und der Beschlussfähigkeit nicht zu berücksichtigen.</w:t>
      </w:r>
    </w:p>
    <w:p w:rsidR="00BE1EFE" w:rsidRDefault="00BE1EFE" w:rsidP="0037154B">
      <w:pPr>
        <w:pStyle w:val="StandardWeb"/>
      </w:pPr>
    </w:p>
    <w:p w:rsidR="00BE1EFE" w:rsidRDefault="00BE1EFE" w:rsidP="0037154B">
      <w:pPr>
        <w:pStyle w:val="StandardWeb"/>
      </w:pPr>
      <w:r>
        <w:t>(4) </w:t>
      </w:r>
      <w:r w:rsidRPr="00C17437">
        <w:rPr>
          <w:sz w:val="12"/>
          <w:szCs w:val="12"/>
        </w:rPr>
        <w:t>1</w:t>
      </w:r>
      <w:r>
        <w:t>Bei Stellungnahmen zu staatlichen Gesetzgebungsvorhaben, die das Arbeitsrecht betreffen, soll das Katholische Büro den Arbeitsrechtsausschuss angemessen beteiligen.</w:t>
      </w:r>
    </w:p>
    <w:p w:rsidR="00BE1EFE" w:rsidRDefault="00BE1EFE" w:rsidP="0037154B">
      <w:pPr>
        <w:pStyle w:val="berschrift5"/>
      </w:pPr>
      <w:bookmarkStart w:id="1319" w:name="_Toc523926830"/>
      <w:r>
        <w:t>§ 13 Inkraftsetzung der Beschlüsse der Zentralen Kommission</w:t>
      </w:r>
      <w:bookmarkEnd w:id="1319"/>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Ein Beschluss der Zentralen Kommission gemäß § 3 Abs. 1, der den Erlass von Rechtsnormen zum Gegenstand hat, wird nach Unterzeichnung durch die Vorsitzende/den Vorsitzenden den zuständigen Diözesanbischöfen übermittelt.</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Sieht sich ein Diözesanbischof nicht in der Lage, einen Beschluss in Kraft zu setzen, weil er offensichtlich gegen kirchenrechtliche Normen oder gegen Vorgaben der katholischen Glaubens- und Sittenlehre verstößt, so legt er innerhalb von sechs Wochen nach Zugang des </w:t>
      </w:r>
      <w:r>
        <w:lastRenderedPageBreak/>
        <w:t>Beschlusses beim Bischöflichen Ordinariat unter Angabe von Gründen Einspruch bei der Zentralen Kommission ein; dabei können Gegenvorschläge unterbreitet werden.</w:t>
      </w:r>
    </w:p>
    <w:p w:rsidR="00BE1EFE" w:rsidRDefault="00BE1EFE" w:rsidP="0037154B">
      <w:pPr>
        <w:pStyle w:val="StandardWeb"/>
      </w:pPr>
    </w:p>
    <w:p w:rsidR="00BE1EFE" w:rsidRDefault="00BE1EFE" w:rsidP="0037154B">
      <w:pPr>
        <w:pStyle w:val="StandardWeb"/>
      </w:pPr>
      <w:r>
        <w:t>(3) </w:t>
      </w:r>
      <w:r w:rsidRPr="00C17437">
        <w:rPr>
          <w:sz w:val="12"/>
          <w:szCs w:val="12"/>
        </w:rPr>
        <w:t>1</w:t>
      </w:r>
      <w:r>
        <w:t>Wenn bis zum Ablauf der sechswöchigen Frist kein Einspruch erhoben worden ist, ist der Beschluss in allen Diözesen in Kraft zu setzen und in den Amtsblättern zu veröffentlichen.</w:t>
      </w:r>
    </w:p>
    <w:p w:rsidR="00BE1EFE" w:rsidRDefault="00BE1EFE" w:rsidP="0037154B">
      <w:pPr>
        <w:pStyle w:val="StandardWeb"/>
      </w:pPr>
    </w:p>
    <w:p w:rsidR="00BE1EFE" w:rsidRDefault="00BE1EFE" w:rsidP="0037154B">
      <w:pPr>
        <w:pStyle w:val="StandardWeb"/>
      </w:pPr>
      <w:r>
        <w:t>(4) </w:t>
      </w:r>
      <w:r w:rsidRPr="00C17437">
        <w:rPr>
          <w:sz w:val="12"/>
          <w:szCs w:val="12"/>
        </w:rPr>
        <w:t>1</w:t>
      </w:r>
      <w:r>
        <w:t xml:space="preserve">Im Falle eines Einspruchs berät die Zentrale Kommission die Angelegenheit nochmals. </w:t>
      </w:r>
      <w:r w:rsidRPr="00C17437">
        <w:rPr>
          <w:sz w:val="12"/>
          <w:szCs w:val="12"/>
        </w:rPr>
        <w:t>2</w:t>
      </w:r>
      <w:r>
        <w:t xml:space="preserve">Fasst sie einen neuen Beschluss oder bestätigt sie ihren bisherigen Beschluss, so leitet sie diesen allen Diözesanbischöfen zur Inkraftsetzung zu. </w:t>
      </w:r>
      <w:r w:rsidRPr="00C17437">
        <w:rPr>
          <w:sz w:val="12"/>
          <w:szCs w:val="12"/>
        </w:rPr>
        <w:t>3</w:t>
      </w:r>
      <w:r>
        <w:t>Kommt ein solcher Beschluss nicht zustande, so ist das Verfahren beendet.</w:t>
      </w:r>
    </w:p>
    <w:p w:rsidR="00BE1EFE" w:rsidRDefault="00BE1EFE" w:rsidP="0037154B">
      <w:pPr>
        <w:pStyle w:val="StandardWeb"/>
      </w:pPr>
    </w:p>
    <w:p w:rsidR="00BE1EFE" w:rsidRDefault="00BE1EFE" w:rsidP="0037154B">
      <w:pPr>
        <w:pStyle w:val="StandardWeb"/>
      </w:pPr>
      <w:r>
        <w:t>(5) </w:t>
      </w:r>
      <w:r w:rsidRPr="00C17437">
        <w:rPr>
          <w:sz w:val="12"/>
          <w:szCs w:val="12"/>
        </w:rPr>
        <w:t>1</w:t>
      </w:r>
      <w:r>
        <w:t>Das Verfahren ist auch dann beendet, wenn der Diözesanbischof sich nicht in der Lage sieht, einen bestätigten oder geänderten Beschluss in Kraft zu setzen.</w:t>
      </w:r>
    </w:p>
    <w:p w:rsidR="00BE1EFE" w:rsidRDefault="00BE1EFE" w:rsidP="0037154B">
      <w:pPr>
        <w:pStyle w:val="StandardWeb"/>
      </w:pPr>
    </w:p>
    <w:p w:rsidR="00BE1EFE" w:rsidRDefault="00BE1EFE" w:rsidP="0037154B">
      <w:pPr>
        <w:pStyle w:val="StandardWeb"/>
      </w:pPr>
      <w:r>
        <w:t>(6) </w:t>
      </w:r>
      <w:r w:rsidRPr="00C17437">
        <w:rPr>
          <w:sz w:val="12"/>
          <w:szCs w:val="12"/>
        </w:rPr>
        <w:t>1</w:t>
      </w:r>
      <w:r>
        <w:t>Soweit ein Beschluss von allen Diözesanbischöfen in Kraft gesetzt wird, findet er auch im Geltungsbereich der Arbeitsvertragsrichtlinien des Deutschen Caritasverbandes Anwendung.</w:t>
      </w:r>
    </w:p>
    <w:p w:rsidR="00BE1EFE" w:rsidRDefault="00BE1EFE" w:rsidP="0037154B">
      <w:pPr>
        <w:pStyle w:val="StandardWeb"/>
      </w:pPr>
    </w:p>
    <w:p w:rsidR="00BE1EFE" w:rsidRDefault="00BE1EFE" w:rsidP="0037154B">
      <w:pPr>
        <w:pStyle w:val="StandardWeb"/>
      </w:pPr>
      <w:r>
        <w:t>(7) </w:t>
      </w:r>
      <w:r w:rsidRPr="00C17437">
        <w:rPr>
          <w:sz w:val="12"/>
          <w:szCs w:val="12"/>
        </w:rPr>
        <w:t>1</w:t>
      </w:r>
      <w:r>
        <w:t xml:space="preserve">Ein Beschluss der Zentralen Kommission, der Empfehlungen gemäß § 3 Abs. 3 zum Gegenstand hat, wird allen aufgrund </w:t>
      </w:r>
      <w:hyperlink r:id="rId1947" w:history="1">
        <w:r w:rsidRPr="00D45A78">
          <w:rPr>
            <w:rStyle w:val="Hyperlink"/>
          </w:rPr>
          <w:t>Artikel 7 Grundordnung</w:t>
        </w:r>
      </w:hyperlink>
      <w:r>
        <w:t xml:space="preserve"> errichteten Kommissionen zur Beratung zugeleitet.</w:t>
      </w:r>
    </w:p>
    <w:p w:rsidR="00BE1EFE" w:rsidRDefault="00BE1EFE" w:rsidP="0037154B">
      <w:pPr>
        <w:pStyle w:val="berschrift5"/>
      </w:pPr>
      <w:bookmarkStart w:id="1320" w:name="_Toc523926831"/>
      <w:r>
        <w:t>§ 14 Vermittlungsausschuss</w:t>
      </w:r>
      <w:bookmarkEnd w:id="1320"/>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Für den Zuständigkeitsbereich der Zentralen Kommission wird ein Vermittlungsausschuss gebildet.</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Der Vermittlungsausschuss setzt sich unter Wahrung der Parität aus acht Personen zusammen – aus je einer/einem Vorsitzenden der beiden Seiten sowie sechs Beisitzerinnen und Beisitzern. </w:t>
      </w:r>
      <w:r w:rsidRPr="00C17437">
        <w:rPr>
          <w:sz w:val="12"/>
          <w:szCs w:val="12"/>
        </w:rPr>
        <w:t>2</w:t>
      </w:r>
      <w:r>
        <w:t>Von den Beisitzerinnen/Beisitzern gehören auf jeder Seite zwei der Zentralen Kommission an; die beiden weiteren Beisitzerinnen/Beisitzer dürfen nicht Mitglied der Zentralen Kommission sein.</w:t>
      </w:r>
    </w:p>
    <w:p w:rsidR="00BE1EFE" w:rsidRDefault="00BE1EFE" w:rsidP="0037154B">
      <w:pPr>
        <w:pStyle w:val="StandardWeb"/>
      </w:pPr>
    </w:p>
    <w:p w:rsidR="00BE1EFE" w:rsidRDefault="00BE1EFE" w:rsidP="0037154B">
      <w:pPr>
        <w:pStyle w:val="StandardWeb"/>
      </w:pPr>
      <w:r>
        <w:t>(3) </w:t>
      </w:r>
      <w:r w:rsidRPr="00C17437">
        <w:rPr>
          <w:sz w:val="12"/>
          <w:szCs w:val="12"/>
        </w:rPr>
        <w:t>1</w:t>
      </w:r>
      <w:r>
        <w:t>Die Mitglieder des Vermittlungsausschusses werden von der Zentralen Kommission für die Dauer von vier Jahren gewählt.</w:t>
      </w:r>
    </w:p>
    <w:p w:rsidR="00BE1EFE" w:rsidRDefault="00BE1EFE" w:rsidP="0037154B">
      <w:pPr>
        <w:pStyle w:val="StandardWeb"/>
      </w:pPr>
    </w:p>
    <w:p w:rsidR="00BE1EFE" w:rsidRDefault="00BE1EFE" w:rsidP="0037154B">
      <w:pPr>
        <w:pStyle w:val="StandardWeb"/>
      </w:pPr>
      <w:r>
        <w:t>(4) </w:t>
      </w:r>
      <w:r w:rsidRPr="00C17437">
        <w:rPr>
          <w:sz w:val="12"/>
          <w:szCs w:val="12"/>
        </w:rPr>
        <w:t>1</w:t>
      </w:r>
      <w:r>
        <w:t>Jede Beisitzerin/jeder Beisitzer hat für den Fall der Verhinderung einen Stellvertreter.</w:t>
      </w:r>
    </w:p>
    <w:p w:rsidR="00BE1EFE" w:rsidRDefault="00BE1EFE" w:rsidP="0037154B">
      <w:pPr>
        <w:pStyle w:val="berschrift5"/>
      </w:pPr>
      <w:bookmarkStart w:id="1321" w:name="_Toc523926832"/>
      <w:r>
        <w:t>§ 15 Voraussetzung und Mitgliedschaft im Vermittlungsausschuss</w:t>
      </w:r>
      <w:bookmarkEnd w:id="1321"/>
    </w:p>
    <w:p w:rsidR="00BE1EFE" w:rsidRPr="00B76821" w:rsidRDefault="00BE1EFE" w:rsidP="00B76821">
      <w:pPr>
        <w:pStyle w:val="berschrift6"/>
        <w:keepNext w:val="0"/>
        <w:spacing w:before="0" w:after="0"/>
        <w:rPr>
          <w:sz w:val="2"/>
        </w:rPr>
      </w:pPr>
    </w:p>
    <w:p w:rsidR="00BE1EFE" w:rsidRDefault="00BE1EFE" w:rsidP="0037154B">
      <w:pPr>
        <w:pStyle w:val="StandardWeb"/>
      </w:pPr>
      <w:r w:rsidRPr="00C17437">
        <w:rPr>
          <w:sz w:val="12"/>
          <w:szCs w:val="12"/>
        </w:rPr>
        <w:t>1</w:t>
      </w:r>
      <w:r>
        <w:t xml:space="preserve">Die nach § 16 Abs. 1 zu wählenden Vorsitzenden des Vermittlungsausschusses dürfen nicht dem kirchlichen Dienst angehören. </w:t>
      </w:r>
      <w:r w:rsidRPr="00C17437">
        <w:rPr>
          <w:sz w:val="12"/>
          <w:szCs w:val="12"/>
        </w:rPr>
        <w:t>2</w:t>
      </w:r>
      <w:r>
        <w:t xml:space="preserve">Sie sollen der katholischen Kirche angehören und über fundierte Kenntnisse und Erfahrungen im Arbeitsrecht verfügen. </w:t>
      </w:r>
      <w:r w:rsidRPr="00C17437">
        <w:rPr>
          <w:sz w:val="12"/>
          <w:szCs w:val="12"/>
        </w:rPr>
        <w:t>3</w:t>
      </w:r>
      <w:r>
        <w:t xml:space="preserve">Sie dürfen nicht in der Ausübung der allen Kirchenmitgliedern zustehenden Rechte behindert sein und müssen die Gewähr dafür bieten, dass sie jederzeit für das kirchliche Gemeinwohl eintreten. </w:t>
      </w:r>
      <w:r w:rsidRPr="00C17437">
        <w:rPr>
          <w:sz w:val="12"/>
          <w:szCs w:val="12"/>
        </w:rPr>
        <w:t>4</w:t>
      </w:r>
      <w:r>
        <w:t>Für sie gelten die Vorgaben der „Grundordnung des kirchlichen Dienstes im Rahmen kirchlicher Arbeitsverhältnisse“ entsprechend.</w:t>
      </w:r>
    </w:p>
    <w:p w:rsidR="00BE1EFE" w:rsidRDefault="00BE1EFE" w:rsidP="0037154B">
      <w:pPr>
        <w:pStyle w:val="StandardWeb"/>
      </w:pPr>
    </w:p>
    <w:p w:rsidR="00BE1EFE" w:rsidRDefault="00BE1EFE" w:rsidP="0037154B">
      <w:pPr>
        <w:pStyle w:val="berschrift5"/>
      </w:pPr>
      <w:bookmarkStart w:id="1322" w:name="_Toc523926833"/>
      <w:r>
        <w:lastRenderedPageBreak/>
        <w:t>§ 16 Wahl und Amtsperiode des Vermittlungsausschusses</w:t>
      </w:r>
      <w:bookmarkEnd w:id="1322"/>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Die Vorsitzenden werden von der Zentralen Kommission nach einer Aussprache mit einer Dreiviertelmehrheit der Gesamtheit ihrer Mitglieder gemeinsam geheim gewählt. </w:t>
      </w:r>
      <w:r w:rsidRPr="00C17437">
        <w:rPr>
          <w:sz w:val="12"/>
          <w:szCs w:val="12"/>
        </w:rPr>
        <w:t>2</w:t>
      </w:r>
      <w:r>
        <w:t xml:space="preserve">Kommt in den ersten beiden Wahlgängen diese Mehrheit nicht zustande, reicht im dritten Wahlgang die einfache Mehrheit der Stimmen. </w:t>
      </w:r>
      <w:r w:rsidRPr="00C17437">
        <w:rPr>
          <w:sz w:val="12"/>
          <w:szCs w:val="12"/>
        </w:rPr>
        <w:t>3</w:t>
      </w:r>
      <w:r>
        <w:t xml:space="preserve">Wird auch diese nicht erreicht, wählen die Dienstgeber- und die Dienstnehmervertreter getrennt je eine/einen Vorsitzende/Vorsitzenden mit mindestens der Mehrheit ihrer Stimmen. </w:t>
      </w:r>
      <w:r w:rsidRPr="00C17437">
        <w:rPr>
          <w:sz w:val="12"/>
          <w:szCs w:val="12"/>
        </w:rPr>
        <w:t>4</w:t>
      </w:r>
      <w:r>
        <w:t>Wählt eine Seite keine(n) Vorsitzende(n), ist nur die/der andere Vorsitzende/Vorsitzender des Vermittlungsausschusses.</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Jeweils drei Beisitzerinnen/Beisitzer und ihre Stellvertreter werden von den Dienstgeber- und Dienstnehmervertretern in der Zentralen Kommission gewählt. </w:t>
      </w:r>
      <w:r w:rsidRPr="00C17437">
        <w:rPr>
          <w:sz w:val="12"/>
          <w:szCs w:val="12"/>
        </w:rPr>
        <w:t>2</w:t>
      </w:r>
      <w:r>
        <w:t>Für die dabei erforder</w:t>
      </w:r>
      <w:r>
        <w:softHyphen/>
        <w:t>lichen Mehrheiten gilt Absatz 1 entsprechend.</w:t>
      </w:r>
    </w:p>
    <w:p w:rsidR="00BE1EFE" w:rsidRDefault="00BE1EFE" w:rsidP="0037154B">
      <w:pPr>
        <w:pStyle w:val="StandardWeb"/>
      </w:pPr>
    </w:p>
    <w:p w:rsidR="00BE1EFE" w:rsidRDefault="00BE1EFE" w:rsidP="0037154B">
      <w:pPr>
        <w:pStyle w:val="StandardWeb"/>
      </w:pPr>
      <w:r>
        <w:t>(3) </w:t>
      </w:r>
      <w:r w:rsidRPr="00C17437">
        <w:rPr>
          <w:sz w:val="12"/>
          <w:szCs w:val="12"/>
        </w:rPr>
        <w:t>1</w:t>
      </w:r>
      <w:r>
        <w:t xml:space="preserve">Die Amtsperiode der beiden Vorsitzenden sowie der Beisitzerinnen und Beisitzer und ihrer Stellvertreter beträgt vier Jahre. </w:t>
      </w:r>
      <w:r w:rsidRPr="00C17437">
        <w:rPr>
          <w:sz w:val="12"/>
          <w:szCs w:val="12"/>
        </w:rPr>
        <w:t>2</w:t>
      </w:r>
      <w:r>
        <w:t xml:space="preserve">Bis zur Wahl eines neuen Vermittlungsausschusses nimmt der bestehende Vermittlungsausschuss die Aufgaben wahr, jedoch nicht über die Dauer von sechs Monaten über das Ende seiner Amtsperiode hinaus. </w:t>
      </w:r>
      <w:r w:rsidRPr="00C17437">
        <w:rPr>
          <w:sz w:val="12"/>
          <w:szCs w:val="12"/>
        </w:rPr>
        <w:t>3</w:t>
      </w:r>
      <w:r>
        <w:t xml:space="preserve">Wiederwahl ist zulässig. </w:t>
      </w:r>
      <w:r w:rsidRPr="00C17437">
        <w:rPr>
          <w:sz w:val="12"/>
          <w:szCs w:val="12"/>
        </w:rPr>
        <w:t>4</w:t>
      </w:r>
      <w:r>
        <w:t xml:space="preserve">Das Amt eines Mitglieds erlischt mit seinem Ausscheiden aus der Zentralen Kommission, sofern es Mitglied der Zentralen Kommission ist. </w:t>
      </w:r>
      <w:r w:rsidRPr="00C17437">
        <w:rPr>
          <w:sz w:val="12"/>
          <w:szCs w:val="12"/>
        </w:rPr>
        <w:t>5</w:t>
      </w:r>
      <w:r>
        <w:t xml:space="preserve">Bei vorzeitigem Ausscheiden findet für den Rest der Amtsperiode eine Nachwahl statt. </w:t>
      </w:r>
      <w:r w:rsidRPr="00C17437">
        <w:rPr>
          <w:sz w:val="12"/>
          <w:szCs w:val="12"/>
        </w:rPr>
        <w:t>6</w:t>
      </w:r>
      <w:r>
        <w:t>Dazu gilt das Verfahren nach Abs.1.</w:t>
      </w:r>
    </w:p>
    <w:p w:rsidR="00BE1EFE" w:rsidRDefault="00BE1EFE" w:rsidP="0037154B">
      <w:pPr>
        <w:pStyle w:val="berschrift5"/>
      </w:pPr>
      <w:bookmarkStart w:id="1323" w:name="_Toc523926834"/>
      <w:r>
        <w:t>§ 17 Anrufung des Vermittlungsausschusses</w:t>
      </w:r>
      <w:bookmarkEnd w:id="1323"/>
    </w:p>
    <w:p w:rsidR="00BE1EFE" w:rsidRPr="00B76821" w:rsidRDefault="00BE1EFE" w:rsidP="00B76821">
      <w:pPr>
        <w:pStyle w:val="berschrift6"/>
        <w:keepNext w:val="0"/>
        <w:spacing w:before="0" w:after="0"/>
        <w:rPr>
          <w:sz w:val="2"/>
        </w:rPr>
      </w:pPr>
    </w:p>
    <w:p w:rsidR="00BE1EFE" w:rsidRDefault="00BE1EFE" w:rsidP="0037154B">
      <w:pPr>
        <w:pStyle w:val="StandardWeb"/>
      </w:pPr>
      <w:r w:rsidRPr="00C17437">
        <w:rPr>
          <w:sz w:val="12"/>
          <w:szCs w:val="12"/>
        </w:rPr>
        <w:t>1</w:t>
      </w:r>
      <w:r>
        <w:t>Falls im Aufgabenbereich des § 3 Abs. 1 ein Antrag in der Zentralen Kommission nicht die für einen Beschluss erforderliche Mehrheit von drei Vierteln der Gesamtzahl der Mitglieder erhalten hat, jedoch mindestens die Hälfte der Mitglieder dem Beschluss zugestimmt haben, legt die/der Vorsitzende diesen Antrag dem Vermittlungsausschuss vor, wenn auf Antrag wiederum mindestens die Hälfte der Mitglieder für die Anrufung des Vermittlungsausschusses stimmt.</w:t>
      </w:r>
    </w:p>
    <w:p w:rsidR="00BE1EFE" w:rsidRDefault="00BE1EFE" w:rsidP="0037154B">
      <w:pPr>
        <w:pStyle w:val="berschrift5"/>
      </w:pPr>
      <w:bookmarkStart w:id="1324" w:name="_Toc523926835"/>
      <w:r>
        <w:t>§ 18 Verfahren vor dem Vermittlungsausschuss</w:t>
      </w:r>
      <w:bookmarkEnd w:id="1324"/>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Die Einladungen zu den Sitzungen des Vermittlungsausschusses erfolgen auf Veran</w:t>
      </w:r>
      <w:r>
        <w:softHyphen/>
        <w:t xml:space="preserve">lassung der beiden Vorsitzenden. </w:t>
      </w:r>
      <w:r w:rsidRPr="00C17437">
        <w:rPr>
          <w:sz w:val="12"/>
          <w:szCs w:val="12"/>
        </w:rPr>
        <w:t>2</w:t>
      </w:r>
      <w:r>
        <w:t xml:space="preserve">Für jedes Vermittlungsverfahren wird jeweils zu Beginn des Verfahrens einvernehmlich von den Mitgliedern festgelegt, welche(r) der beiden Vorsitzenden die Sitzung nach pflichtgemäßem Ermessen leitet und welche(r) unterstützend teilnimmt. </w:t>
      </w:r>
      <w:r w:rsidRPr="00C17437">
        <w:rPr>
          <w:sz w:val="12"/>
          <w:szCs w:val="12"/>
        </w:rPr>
        <w:t>3</w:t>
      </w:r>
      <w:r>
        <w:t xml:space="preserve">Kommt keine solche einvernehmliche Festlegung zustande, entscheidet das Los. </w:t>
      </w:r>
      <w:r w:rsidRPr="00C17437">
        <w:rPr>
          <w:sz w:val="12"/>
          <w:szCs w:val="12"/>
        </w:rPr>
        <w:t>4</w:t>
      </w:r>
      <w:r>
        <w:t>Die/Der leitende Vorsitzende kann im Benehmen mit der/dem weiteren Vorsitzenden Sachverständige hinzuziehen.</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Die beiden Vorsitzenden unterbreiten dem Vermittlungsausschuss einen gemeinsamen Vermittlungsvorschlag. </w:t>
      </w:r>
      <w:r w:rsidRPr="00C17437">
        <w:rPr>
          <w:sz w:val="12"/>
          <w:szCs w:val="12"/>
        </w:rPr>
        <w:t>2</w:t>
      </w:r>
      <w:r>
        <w:t xml:space="preserve">Der Vermittlungsausschuss entscheidet mit einer Mehrheit von mindestens vier Stimmen über den Vermittlungsvorschlag. </w:t>
      </w:r>
      <w:r w:rsidRPr="00C17437">
        <w:rPr>
          <w:sz w:val="12"/>
          <w:szCs w:val="12"/>
        </w:rPr>
        <w:t>3</w:t>
      </w:r>
      <w:r>
        <w:t xml:space="preserve">Eine Stimmenthaltung ist nicht zulässig. </w:t>
      </w:r>
      <w:r w:rsidRPr="00C17437">
        <w:rPr>
          <w:sz w:val="12"/>
          <w:szCs w:val="12"/>
        </w:rPr>
        <w:t>4</w:t>
      </w:r>
      <w:r>
        <w:t xml:space="preserve">Bei der Abstimmung haben die beiden Vorsitzenden gemeinsam nur eine Stimme. </w:t>
      </w:r>
      <w:r w:rsidRPr="00C17437">
        <w:rPr>
          <w:sz w:val="12"/>
          <w:szCs w:val="12"/>
        </w:rPr>
        <w:t>5</w:t>
      </w:r>
      <w:r>
        <w:t>Sollten beide Vorsitzende sich nicht auf einen Vermittlungsvorschlag einigen können, ist das Verfahren beendet.</w:t>
      </w:r>
    </w:p>
    <w:p w:rsidR="00BE1EFE" w:rsidRDefault="00BE1EFE" w:rsidP="0037154B">
      <w:pPr>
        <w:pStyle w:val="StandardWeb"/>
      </w:pPr>
    </w:p>
    <w:p w:rsidR="00BE1EFE" w:rsidRDefault="00BE1EFE" w:rsidP="0037154B">
      <w:pPr>
        <w:pStyle w:val="StandardWeb"/>
      </w:pPr>
      <w:r>
        <w:lastRenderedPageBreak/>
        <w:t>(3) </w:t>
      </w:r>
      <w:r w:rsidRPr="00C17437">
        <w:rPr>
          <w:sz w:val="12"/>
          <w:szCs w:val="12"/>
        </w:rPr>
        <w:t>1</w:t>
      </w:r>
      <w:r>
        <w:t xml:space="preserve">Scheidet die/der leitende Vorsitzende während des Verfahrens aus dem Amt aus oder ist dauerhaft krankheitsbedingt oder aus anderen Gründen an der Wahrnehmung des Amtes verhindert, wird die/der andere leitende(r) Vorsitzende(r). </w:t>
      </w:r>
      <w:r w:rsidRPr="00C17437">
        <w:rPr>
          <w:sz w:val="12"/>
          <w:szCs w:val="12"/>
        </w:rPr>
        <w:t>2</w:t>
      </w:r>
      <w:r>
        <w:t xml:space="preserve">Die dauerhafte Verhinderung ist durch die/den Vorsitzende(n) und die/den stellvertretende(n) Vorsitzende(n) festzustellen. </w:t>
      </w:r>
      <w:r w:rsidRPr="00C17437">
        <w:rPr>
          <w:sz w:val="12"/>
          <w:szCs w:val="12"/>
        </w:rPr>
        <w:t>3</w:t>
      </w:r>
      <w:r>
        <w:t xml:space="preserve">Scheidet eine(r) der beiden Vorsitzenden aus dem Amt aus bzw. ist eine(r) der beiden Vorsitzenden dauerhaft verhindert, so hat binnen einer Frist von acht Wochen ab dem Zeitpunkt des Ausscheidens bzw. ab dem Zeitpunkt der Feststellung der dauerhaften Erkrankung oder Verhinderung eine Neuwahl zu erfolgen. </w:t>
      </w:r>
      <w:r w:rsidRPr="00C17437">
        <w:rPr>
          <w:sz w:val="12"/>
          <w:szCs w:val="12"/>
        </w:rPr>
        <w:t>4</w:t>
      </w:r>
      <w:r>
        <w:t xml:space="preserve">Solange ruht das Verfahren. </w:t>
      </w:r>
      <w:r w:rsidRPr="00C17437">
        <w:rPr>
          <w:sz w:val="12"/>
          <w:szCs w:val="12"/>
        </w:rPr>
        <w:t>5</w:t>
      </w:r>
      <w:r>
        <w:t>Eine Neuwahl für den Rest der Amtsperiode findet auch dann statt, wenn die/der Vorsitzende im Sinne des § 16 Abs. 1 S. 4 aus dem Amt ausgeschieden ist oder dauerhaft verhindert ist.</w:t>
      </w:r>
    </w:p>
    <w:p w:rsidR="00BE1EFE" w:rsidRDefault="00BE1EFE" w:rsidP="0037154B">
      <w:pPr>
        <w:pStyle w:val="StandardWeb"/>
      </w:pPr>
    </w:p>
    <w:p w:rsidR="00BE1EFE" w:rsidRDefault="00BE1EFE" w:rsidP="0037154B">
      <w:pPr>
        <w:pStyle w:val="StandardWeb"/>
      </w:pPr>
      <w:r>
        <w:t>(4) </w:t>
      </w:r>
      <w:r w:rsidRPr="00C17437">
        <w:rPr>
          <w:sz w:val="12"/>
          <w:szCs w:val="12"/>
        </w:rPr>
        <w:t>1</w:t>
      </w:r>
      <w:r>
        <w:t>Das Vermittlungsverfahren soll spätestens zehn Wochen nach Anrufung des Vermitt</w:t>
      </w:r>
      <w:r>
        <w:softHyphen/>
        <w:t>lungsausschusses mit einem Vermittlungsvorschlag oder mit der Feststellung abgeschlossen werden, keinen Vermittlungsvorschlag unterbreiten zu können.</w:t>
      </w:r>
    </w:p>
    <w:p w:rsidR="00BE1EFE" w:rsidRDefault="00BE1EFE" w:rsidP="0037154B">
      <w:pPr>
        <w:pStyle w:val="StandardWeb"/>
      </w:pPr>
    </w:p>
    <w:p w:rsidR="00BE1EFE" w:rsidRDefault="00BE1EFE" w:rsidP="0037154B">
      <w:pPr>
        <w:pStyle w:val="StandardWeb"/>
      </w:pPr>
      <w:r>
        <w:t>(5) </w:t>
      </w:r>
      <w:r w:rsidRPr="00C17437">
        <w:rPr>
          <w:sz w:val="12"/>
          <w:szCs w:val="12"/>
        </w:rPr>
        <w:t>1</w:t>
      </w:r>
      <w:r>
        <w:t>Der Vermittlungsausschuss kann im Einvernehmen mit beiden Vorsitzenden die Verbin</w:t>
      </w:r>
      <w:r>
        <w:softHyphen/>
        <w:t xml:space="preserve">dung verschiedener Vermittlungsverfahren beschließen, wenn die Verfahrensgegenstände in sachlichem oder rechtlichem Zusammenhang stehen. </w:t>
      </w:r>
      <w:r w:rsidRPr="00C17437">
        <w:rPr>
          <w:sz w:val="12"/>
          <w:szCs w:val="12"/>
        </w:rPr>
        <w:t>2</w:t>
      </w:r>
      <w:r>
        <w:t>Nach der Verbindung ist entsprechend Absatz 1 ein(e) leitende(r) Vorsitzende(r) zu bestimmen, wenn kein(e) solche(r) nach § 18 gewählt ist.</w:t>
      </w:r>
    </w:p>
    <w:p w:rsidR="00BE1EFE" w:rsidRDefault="00BE1EFE" w:rsidP="0037154B">
      <w:pPr>
        <w:pStyle w:val="StandardWeb"/>
      </w:pPr>
    </w:p>
    <w:p w:rsidR="00BE1EFE" w:rsidRDefault="00BE1EFE" w:rsidP="0037154B">
      <w:pPr>
        <w:pStyle w:val="StandardWeb"/>
      </w:pPr>
      <w:r>
        <w:t>(6) </w:t>
      </w:r>
      <w:r w:rsidRPr="00C17437">
        <w:rPr>
          <w:sz w:val="12"/>
          <w:szCs w:val="12"/>
        </w:rPr>
        <w:t>1</w:t>
      </w:r>
      <w:r>
        <w:t>Das Vermittlungsverfahren ist nicht öffentlich.</w:t>
      </w:r>
    </w:p>
    <w:p w:rsidR="00BE1EFE" w:rsidRDefault="00BE1EFE" w:rsidP="0037154B">
      <w:pPr>
        <w:pStyle w:val="berschrift5"/>
      </w:pPr>
      <w:bookmarkStart w:id="1325" w:name="_Toc523926836"/>
      <w:r>
        <w:t>§ 19 Verfahren zur ersetzenden Entscheidung</w:t>
      </w:r>
      <w:bookmarkEnd w:id="1325"/>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Stimmt die Zentrale Kommission im Falle des </w:t>
      </w:r>
      <w:hyperlink r:id="rId1948" w:history="1">
        <w:r w:rsidRPr="00AE3545">
          <w:rPr>
            <w:rStyle w:val="Hyperlink"/>
          </w:rPr>
          <w:t>§ 18</w:t>
        </w:r>
      </w:hyperlink>
      <w:r>
        <w:t xml:space="preserve"> dem Vermittlungsvorschlag nicht mit mindestens drei Viertel der Gesamtheit ihrer Mitglieder innerhalb einer Frist von acht Wochen zu oder entscheidet die Zentrale Kommission nicht gemäß </w:t>
      </w:r>
      <w:hyperlink r:id="rId1949" w:history="1">
        <w:r w:rsidRPr="00AE3545">
          <w:rPr>
            <w:rStyle w:val="Hyperlink"/>
          </w:rPr>
          <w:t>§ 11 Abs. 7 oder 8</w:t>
        </w:r>
      </w:hyperlink>
      <w:r>
        <w:t xml:space="preserve"> selbst über die Angelegenheit, hat sich der Vermittlungsausschuss erneut mit der Angelegenheit zu befassen, wenn mindestens die Hälfte der Gesamtzahl der Mitglieder der Zentralen Kommission dies beantragt. </w:t>
      </w:r>
      <w:r w:rsidRPr="00C17437">
        <w:rPr>
          <w:sz w:val="12"/>
          <w:szCs w:val="12"/>
        </w:rPr>
        <w:t>2</w:t>
      </w:r>
      <w:r>
        <w:t>Das Verfahren ist nicht öffentlich.</w:t>
      </w:r>
    </w:p>
    <w:p w:rsidR="00BE1EFE" w:rsidRDefault="00BE1EFE" w:rsidP="0037154B">
      <w:pPr>
        <w:pStyle w:val="StandardWeb"/>
      </w:pPr>
    </w:p>
    <w:p w:rsidR="00BE1EFE" w:rsidRDefault="00BE1EFE" w:rsidP="0037154B">
      <w:pPr>
        <w:pStyle w:val="StandardWeb"/>
      </w:pPr>
      <w:r>
        <w:t>(2) </w:t>
      </w:r>
      <w:r w:rsidRPr="00C17437">
        <w:rPr>
          <w:sz w:val="12"/>
          <w:szCs w:val="12"/>
        </w:rPr>
        <w:t>1</w:t>
      </w:r>
      <w:r>
        <w:t xml:space="preserve">Der Vermittlungsausschuss entscheidet mit einer Mehrheit von mindestens vier Stimmen über den Vermittlungsvorschlag. </w:t>
      </w:r>
      <w:r w:rsidRPr="00C17437">
        <w:rPr>
          <w:sz w:val="12"/>
          <w:szCs w:val="12"/>
        </w:rPr>
        <w:t>2</w:t>
      </w:r>
      <w:r>
        <w:t xml:space="preserve">Eine Stimmenthaltung ist nicht zulässig. </w:t>
      </w:r>
      <w:r w:rsidRPr="00C17437">
        <w:rPr>
          <w:sz w:val="12"/>
          <w:szCs w:val="12"/>
        </w:rPr>
        <w:t>3</w:t>
      </w:r>
      <w:r>
        <w:t xml:space="preserve">Die beiden Vorsitzenden haben gemeinsam nur eine Stimme. </w:t>
      </w:r>
      <w:r w:rsidRPr="00C17437">
        <w:rPr>
          <w:sz w:val="12"/>
          <w:szCs w:val="12"/>
        </w:rPr>
        <w:t>4</w:t>
      </w:r>
      <w:r>
        <w:t>Der Vermittlungsspruch tritt an die Stelle eines Beschlusses der Zentralen Kommission, der dann den Diözesanbischöfen zur Inkraft</w:t>
      </w:r>
      <w:r>
        <w:softHyphen/>
        <w:t xml:space="preserve">setzung gemäß </w:t>
      </w:r>
      <w:hyperlink r:id="rId1950" w:history="1">
        <w:r w:rsidRPr="00AE3545">
          <w:rPr>
            <w:rStyle w:val="Hyperlink"/>
          </w:rPr>
          <w:t>§ 13</w:t>
        </w:r>
      </w:hyperlink>
      <w:r>
        <w:t xml:space="preserve"> vorgelegt wird. </w:t>
      </w:r>
      <w:r w:rsidRPr="00C17437">
        <w:rPr>
          <w:sz w:val="12"/>
          <w:szCs w:val="12"/>
        </w:rPr>
        <w:t>5</w:t>
      </w:r>
      <w:r>
        <w:t>Die/Der Vorsitzende des Vermittlungsausschusses setzt die Zentrale Kommission unverzüglich über den Vermittlungsspruch, der dem Diözesanbischof zugeleitet wird, in Kenntnis.</w:t>
      </w:r>
    </w:p>
    <w:p w:rsidR="00BE1EFE" w:rsidRDefault="00BE1EFE" w:rsidP="0037154B">
      <w:pPr>
        <w:pStyle w:val="StandardWeb"/>
      </w:pPr>
    </w:p>
    <w:p w:rsidR="00BE1EFE" w:rsidRDefault="00BE1EFE" w:rsidP="0037154B">
      <w:pPr>
        <w:pStyle w:val="StandardWeb"/>
      </w:pPr>
      <w:r>
        <w:t xml:space="preserve">(3) </w:t>
      </w:r>
      <w:r w:rsidRPr="00C17437">
        <w:rPr>
          <w:sz w:val="12"/>
          <w:szCs w:val="12"/>
        </w:rPr>
        <w:t>1</w:t>
      </w:r>
      <w:r>
        <w:t>Kommt eine ersetzende Entscheidung im Vermittlungsausschuss nicht zustande, bleibt es bei der bisherigen Rechtslage.</w:t>
      </w:r>
    </w:p>
    <w:p w:rsidR="00BE1EFE" w:rsidRDefault="00BE1EFE" w:rsidP="0037154B">
      <w:pPr>
        <w:pStyle w:val="berschrift5"/>
      </w:pPr>
      <w:bookmarkStart w:id="1326" w:name="_Toc523926837"/>
      <w:r>
        <w:t>§ 20 Vorbereitung der Sitzungen</w:t>
      </w:r>
      <w:bookmarkEnd w:id="1326"/>
    </w:p>
    <w:p w:rsidR="00BE1EFE" w:rsidRPr="00B76821" w:rsidRDefault="00BE1EFE" w:rsidP="00B76821">
      <w:pPr>
        <w:pStyle w:val="berschrift6"/>
        <w:keepNext w:val="0"/>
        <w:spacing w:before="0" w:after="0"/>
        <w:rPr>
          <w:sz w:val="2"/>
        </w:rPr>
      </w:pPr>
    </w:p>
    <w:p w:rsidR="00BE1EFE" w:rsidRDefault="00BE1EFE" w:rsidP="0037154B">
      <w:pPr>
        <w:pStyle w:val="StandardWeb"/>
      </w:pPr>
      <w:r>
        <w:t>Der Arbeitsrechtsausschuss bereitet bei Bedarf die Sitzungen der Zentralen Kommission vor.</w:t>
      </w:r>
    </w:p>
    <w:p w:rsidR="00BE1EFE" w:rsidRDefault="00BE1EFE" w:rsidP="0037154B">
      <w:pPr>
        <w:pStyle w:val="StandardWeb"/>
      </w:pPr>
    </w:p>
    <w:p w:rsidR="00BE1EFE" w:rsidRDefault="00BE1EFE" w:rsidP="0037154B">
      <w:pPr>
        <w:pStyle w:val="StandardWeb"/>
      </w:pPr>
    </w:p>
    <w:p w:rsidR="00BE1EFE" w:rsidRDefault="00BE1EFE" w:rsidP="0037154B">
      <w:pPr>
        <w:pStyle w:val="berschrift5"/>
      </w:pPr>
      <w:bookmarkStart w:id="1327" w:name="_Toc523926838"/>
      <w:r>
        <w:lastRenderedPageBreak/>
        <w:t>§ 21 Ausschüsse</w:t>
      </w:r>
      <w:bookmarkEnd w:id="1327"/>
    </w:p>
    <w:p w:rsidR="00BE1EFE" w:rsidRPr="00B76821" w:rsidRDefault="00BE1EFE" w:rsidP="00B76821">
      <w:pPr>
        <w:pStyle w:val="berschrift6"/>
        <w:keepNext w:val="0"/>
        <w:spacing w:before="0" w:after="0"/>
        <w:rPr>
          <w:sz w:val="2"/>
        </w:rPr>
      </w:pPr>
    </w:p>
    <w:p w:rsidR="00BE1EFE" w:rsidRDefault="00BE1EFE" w:rsidP="0037154B">
      <w:pPr>
        <w:pStyle w:val="StandardWeb"/>
      </w:pPr>
      <w:r>
        <w:t>Für die Bearbeitung ihrer Aufgaben können die Zentrale Kommission und der Arbeitsrechtsausschuss ständige oder zeitlich befristete Ausschüsse einsetzen.</w:t>
      </w:r>
    </w:p>
    <w:p w:rsidR="00BE1EFE" w:rsidRDefault="00BE1EFE" w:rsidP="0037154B">
      <w:pPr>
        <w:pStyle w:val="berschrift5"/>
      </w:pPr>
      <w:bookmarkStart w:id="1328" w:name="_Toc523926839"/>
      <w:r>
        <w:t>§ 22 Kosten</w:t>
      </w:r>
      <w:bookmarkEnd w:id="1328"/>
    </w:p>
    <w:p w:rsidR="00BE1EFE" w:rsidRPr="00B76821" w:rsidRDefault="00BE1EFE" w:rsidP="00B76821">
      <w:pPr>
        <w:pStyle w:val="berschrift6"/>
        <w:keepNext w:val="0"/>
        <w:spacing w:before="0" w:after="0"/>
        <w:rPr>
          <w:sz w:val="2"/>
        </w:rPr>
      </w:pPr>
    </w:p>
    <w:p w:rsidR="00BE1EFE" w:rsidRDefault="00BE1EFE" w:rsidP="0037154B">
      <w:pPr>
        <w:pStyle w:val="StandardWeb"/>
      </w:pPr>
      <w:r>
        <w:t>(1) </w:t>
      </w:r>
      <w:r w:rsidRPr="00C17437">
        <w:rPr>
          <w:sz w:val="12"/>
          <w:szCs w:val="12"/>
        </w:rPr>
        <w:t>1</w:t>
      </w:r>
      <w:r>
        <w:t xml:space="preserve">Für die Sitzungen der Zentralen Kommission, des Arbeitsrechtsausschusses, der anderen Ausschüsse sowie für die laufende Geschäftsführung und die Beratung der Vertreter der Mitarbeiter stellt der Verband der Diözesen Deutschlands im erforderlichen Umfang Raum, Geschäftsbedarf und Personalkräfte zur Verfügung und trägt die notwendigen Kosten. </w:t>
      </w:r>
      <w:r w:rsidRPr="00C17437">
        <w:rPr>
          <w:sz w:val="12"/>
          <w:szCs w:val="12"/>
        </w:rPr>
        <w:t>2</w:t>
      </w:r>
      <w:r>
        <w:t xml:space="preserve">Zu den notwendigen Kosten gehören auch die Kosten für Unterbringung und Verpflegung. </w:t>
      </w:r>
      <w:r w:rsidRPr="00C17437">
        <w:rPr>
          <w:sz w:val="12"/>
          <w:szCs w:val="12"/>
        </w:rPr>
        <w:t>3</w:t>
      </w:r>
      <w:r>
        <w:t xml:space="preserve">Der Verband der Diözesen Deutschlands trägt auch die durch die Freistellung gemäß </w:t>
      </w:r>
      <w:hyperlink r:id="rId1951" w:history="1">
        <w:r w:rsidRPr="009A16CD">
          <w:rPr>
            <w:rStyle w:val="Hyperlink"/>
          </w:rPr>
          <w:t>§ 9</w:t>
        </w:r>
      </w:hyperlink>
      <w:r>
        <w:t xml:space="preserve"> dem jeweiligen Dienstgeber entstehenden Personalkosten.</w:t>
      </w:r>
    </w:p>
    <w:p w:rsidR="00BE1EFE" w:rsidRDefault="00BE1EFE" w:rsidP="0037154B">
      <w:pPr>
        <w:pStyle w:val="StandardWeb"/>
      </w:pPr>
    </w:p>
    <w:p w:rsidR="00BE1EFE" w:rsidRDefault="00BE1EFE" w:rsidP="0037154B">
      <w:pPr>
        <w:pStyle w:val="StandardWeb"/>
      </w:pPr>
      <w:r>
        <w:t>(2) </w:t>
      </w:r>
      <w:r w:rsidRPr="00C17437">
        <w:rPr>
          <w:sz w:val="12"/>
          <w:szCs w:val="12"/>
        </w:rPr>
        <w:t>1</w:t>
      </w:r>
      <w:r>
        <w:t>Im Übrigen trägt das entsendende Bistum bzw. der Deutsche Caritasverband nach Maßgabe der jeweils erlassenen Reisekostenordnung die Reisekosten für die Mitglieder.</w:t>
      </w:r>
    </w:p>
    <w:p w:rsidR="00BE1EFE" w:rsidRDefault="00BE1EFE" w:rsidP="0037154B">
      <w:pPr>
        <w:pStyle w:val="StandardWeb"/>
      </w:pPr>
    </w:p>
    <w:p w:rsidR="00BE1EFE" w:rsidRDefault="00BE1EFE" w:rsidP="0037154B">
      <w:pPr>
        <w:pStyle w:val="StandardWeb"/>
      </w:pPr>
      <w:r>
        <w:t>(3) </w:t>
      </w:r>
      <w:r w:rsidRPr="00C17437">
        <w:rPr>
          <w:sz w:val="12"/>
          <w:szCs w:val="12"/>
        </w:rPr>
        <w:t>1</w:t>
      </w:r>
      <w:r>
        <w:t>Der/dem Vorsitzenden und der/dem stellvertretenden Vorsitzenden des Vermittlungs</w:t>
      </w:r>
      <w:r>
        <w:softHyphen/>
        <w:t xml:space="preserve">ausschusses kann eine Aufwandsentschädigung oder eine Vergütung gewährt werden, wenn sie nicht im kirchlichen Dienst stehen. </w:t>
      </w:r>
      <w:r w:rsidRPr="00C17437">
        <w:rPr>
          <w:sz w:val="12"/>
          <w:szCs w:val="12"/>
        </w:rPr>
        <w:t>2</w:t>
      </w:r>
      <w:r>
        <w:t xml:space="preserve">Die Kosten hierfür trägt der Verband der Diözesen Deutschland. </w:t>
      </w:r>
      <w:r w:rsidRPr="00C17437">
        <w:rPr>
          <w:sz w:val="12"/>
          <w:szCs w:val="12"/>
        </w:rPr>
        <w:t>3</w:t>
      </w:r>
      <w:r>
        <w:t>Er trägt für diese Personen auch die während ihrer Amtsausübung anfallenden notwendigen Reisekosten.</w:t>
      </w:r>
    </w:p>
    <w:p w:rsidR="00BE1EFE" w:rsidRDefault="00BE1EFE" w:rsidP="0037154B">
      <w:pPr>
        <w:pStyle w:val="berschrift5"/>
      </w:pPr>
      <w:bookmarkStart w:id="1329" w:name="_Toc523926840"/>
      <w:r>
        <w:t>§ 23 Inkrafttreten</w:t>
      </w:r>
      <w:bookmarkEnd w:id="1329"/>
    </w:p>
    <w:p w:rsidR="00BE1EFE" w:rsidRPr="00B76821" w:rsidRDefault="00BE1EFE" w:rsidP="00B76821">
      <w:pPr>
        <w:pStyle w:val="berschrift6"/>
        <w:keepNext w:val="0"/>
        <w:spacing w:before="0" w:after="0"/>
        <w:rPr>
          <w:sz w:val="2"/>
        </w:rPr>
      </w:pPr>
    </w:p>
    <w:p w:rsidR="00BE1EFE" w:rsidRDefault="00BE1EFE" w:rsidP="0037154B">
      <w:pPr>
        <w:pStyle w:val="StandardWeb"/>
      </w:pPr>
      <w:r>
        <w:t>Diese Ordnung tritt zum 1.1.2014 in Kraft. Gleichzeitig tritt die Ordnung in der bisherigen Fassung außer Kraft.</w:t>
      </w:r>
    </w:p>
    <w:p w:rsidR="00BE1EFE" w:rsidRDefault="00BE1EFE" w:rsidP="0037154B">
      <w:pPr>
        <w:pStyle w:val="StandardWeb"/>
      </w:pPr>
      <w:r>
        <w:br w:type="page"/>
      </w:r>
    </w:p>
    <w:p w:rsidR="00BE1EFE" w:rsidRDefault="00BE1EFE" w:rsidP="00D450B0">
      <w:pPr>
        <w:pStyle w:val="berschrift4"/>
        <w:spacing w:before="0"/>
      </w:pPr>
      <w:bookmarkStart w:id="1330" w:name="_Toc523926841"/>
      <w:r>
        <w:lastRenderedPageBreak/>
        <w:t>2. Wahlordnung für die Vertreter und Vertreterinnen der Dienstnehmerseite in der Zentral-KODA aus den bayerischen Diözesen (Wahlordnung zur Zentralen Kommission – WOzZK)</w:t>
      </w:r>
      <w:bookmarkEnd w:id="1330"/>
    </w:p>
    <w:p w:rsidR="00BE1EFE" w:rsidRDefault="00BE1EFE">
      <w:pPr>
        <w:pStyle w:val="berschrift5"/>
      </w:pPr>
      <w:bookmarkStart w:id="1331" w:name="_Toc523926842"/>
      <w:r>
        <w:t>§ 1 Wahlversammlung</w:t>
      </w:r>
      <w:bookmarkEnd w:id="1331"/>
    </w:p>
    <w:p w:rsidR="00BE1EFE" w:rsidRPr="00B76821" w:rsidRDefault="00BE1EFE" w:rsidP="00B76821">
      <w:pPr>
        <w:pStyle w:val="berschrift6"/>
        <w:keepNext w:val="0"/>
        <w:spacing w:before="0" w:after="0"/>
        <w:rPr>
          <w:sz w:val="2"/>
        </w:rPr>
      </w:pPr>
    </w:p>
    <w:p w:rsidR="00BE1EFE" w:rsidRDefault="00BE1EFE" w:rsidP="009C058A">
      <w:pPr>
        <w:pStyle w:val="StandardWeb"/>
      </w:pPr>
      <w:r>
        <w:t xml:space="preserve">(1) Die Dienstnehmervertreterinnen/Dienstnehmervertreter in der Kommission für das Arbeitsvertragsrecht der bayerischen Diözesen – im Folgenden Kommission – bilden die Wahlversammlung zur Wahl der Vertreterinnen/Vertreter der Dienstnehmerseite in der Zentralen Kommission für die bayerischen Diözesen in Durchführung von </w:t>
      </w:r>
      <w:hyperlink r:id="rId1952" w:history="1">
        <w:r w:rsidRPr="008B5D98">
          <w:rPr>
            <w:rStyle w:val="Hyperlink"/>
          </w:rPr>
          <w:t>§ 5 Absatz 2 Buchstabe a) Zentral-KODA-Ordnung</w:t>
        </w:r>
      </w:hyperlink>
      <w:r>
        <w:t xml:space="preserve">. </w:t>
      </w:r>
    </w:p>
    <w:p w:rsidR="00BE1EFE" w:rsidRDefault="00BE1EFE" w:rsidP="009C058A">
      <w:pPr>
        <w:pStyle w:val="StandardWeb"/>
      </w:pPr>
    </w:p>
    <w:p w:rsidR="00BE1EFE" w:rsidRPr="000B1AF8" w:rsidRDefault="00BE1EFE">
      <w:pPr>
        <w:pStyle w:val="StandardWeb"/>
      </w:pPr>
      <w:r>
        <w:t xml:space="preserve">(2) </w:t>
      </w:r>
      <w:r>
        <w:rPr>
          <w:rStyle w:val="kleinschrift"/>
        </w:rPr>
        <w:t>1</w:t>
      </w:r>
      <w:r>
        <w:t xml:space="preserve">Die/der Vorsitzende des Regional-Wahlvorstandes für die Wahl zur Kommission lädt zur Wahlversammlung ein. </w:t>
      </w:r>
      <w:r>
        <w:rPr>
          <w:rStyle w:val="kleinschrift"/>
        </w:rPr>
        <w:t>2</w:t>
      </w:r>
      <w:r>
        <w:t>Diese findet nach der konstituierenden Sitzung der Kommission statt.</w:t>
      </w:r>
    </w:p>
    <w:p w:rsidR="00BE1EFE" w:rsidRDefault="00BE1EFE">
      <w:pPr>
        <w:pStyle w:val="berschrift5"/>
      </w:pPr>
      <w:bookmarkStart w:id="1332" w:name="_Toc523926843"/>
      <w:r>
        <w:t xml:space="preserve">§ 2 </w:t>
      </w:r>
      <w:r w:rsidRPr="008B5D98">
        <w:t>Eröffnung der Wahlversammlung und Wahlleitung</w:t>
      </w:r>
      <w:bookmarkEnd w:id="1332"/>
    </w:p>
    <w:p w:rsidR="00BE1EFE" w:rsidRPr="00B76821" w:rsidRDefault="00BE1EFE" w:rsidP="00B76821">
      <w:pPr>
        <w:pStyle w:val="berschrift6"/>
        <w:keepNext w:val="0"/>
        <w:spacing w:before="0" w:after="0"/>
        <w:rPr>
          <w:sz w:val="2"/>
        </w:rPr>
      </w:pPr>
    </w:p>
    <w:p w:rsidR="00BE1EFE" w:rsidRDefault="00BE1EFE" w:rsidP="000F4718">
      <w:pPr>
        <w:pStyle w:val="StandardWeb"/>
      </w:pPr>
      <w:r>
        <w:t xml:space="preserve">(1) </w:t>
      </w:r>
      <w:r>
        <w:rPr>
          <w:rStyle w:val="kleinschrift"/>
        </w:rPr>
        <w:t>1</w:t>
      </w:r>
      <w:r>
        <w:t xml:space="preserve">Die für die Leitung der konstituierenden Sitzung zuständige Person gemäß </w:t>
      </w:r>
      <w:hyperlink r:id="rId1953" w:history="1">
        <w:r w:rsidRPr="000F4718">
          <w:rPr>
            <w:rStyle w:val="Hyperlink"/>
          </w:rPr>
          <w:t>§ 7 Absatz 2 der Ordnung der Kommission für das Arbeitsvertragsrecht der bayerischen Diözesen</w:t>
        </w:r>
      </w:hyperlink>
      <w:r>
        <w:t xml:space="preserve"> – im Folgenden BayRKO – eröffnet die Wahlversammlung und stellt die ordnungsgemäße Einladung und die Erschienenen auf einer Anwesenheitsliste fest. </w:t>
      </w:r>
      <w:r>
        <w:rPr>
          <w:rStyle w:val="kleinschrift"/>
        </w:rPr>
        <w:t>2</w:t>
      </w:r>
      <w:r>
        <w:t>Sind bei der konstituierenden Sitzung nicht mindestens 75 % der Wahlberechtigten anwesend, wird die Wahl auf den nächstmöglichen Zeitpunkt verschoben.</w:t>
      </w:r>
    </w:p>
    <w:p w:rsidR="00BE1EFE" w:rsidRDefault="00BE1EFE" w:rsidP="000F4718">
      <w:pPr>
        <w:pStyle w:val="StandardWeb"/>
      </w:pPr>
    </w:p>
    <w:p w:rsidR="00BE1EFE" w:rsidRDefault="00BE1EFE">
      <w:pPr>
        <w:pStyle w:val="StandardWeb"/>
      </w:pPr>
      <w:r>
        <w:t>(2) Sie/Er leitet die Wahl einer Wahlleitung aus den anwesenden Personen. Die Wahl zur Wahlleitung erfolgt durch einfache Stimmenmehrheit.</w:t>
      </w:r>
    </w:p>
    <w:p w:rsidR="00BE1EFE" w:rsidRDefault="00BE1EFE">
      <w:pPr>
        <w:pStyle w:val="berschrift5"/>
      </w:pPr>
      <w:bookmarkStart w:id="1333" w:name="_Toc523926844"/>
      <w:r>
        <w:t>§ 3 Wählbarkeit</w:t>
      </w:r>
      <w:bookmarkEnd w:id="1333"/>
    </w:p>
    <w:p w:rsidR="00BE1EFE" w:rsidRPr="00B76821" w:rsidRDefault="00BE1EFE" w:rsidP="00B76821">
      <w:pPr>
        <w:pStyle w:val="berschrift6"/>
        <w:keepNext w:val="0"/>
        <w:spacing w:before="0" w:after="0"/>
        <w:rPr>
          <w:rStyle w:val="kleinschrift"/>
          <w:sz w:val="2"/>
        </w:rPr>
      </w:pPr>
    </w:p>
    <w:p w:rsidR="00BE1EFE" w:rsidRPr="000B1AF8" w:rsidRDefault="00BE1EFE">
      <w:pPr>
        <w:pStyle w:val="StandardWeb"/>
      </w:pPr>
      <w:r>
        <w:rPr>
          <w:rStyle w:val="kleinschrift"/>
        </w:rPr>
        <w:t>1</w:t>
      </w:r>
      <w:r w:rsidRPr="000F4718">
        <w:t>Wählbar als Mitglied in die Zentrale Kommissio</w:t>
      </w:r>
      <w:r>
        <w:t>n ist jedes Mitglied der Dienst</w:t>
      </w:r>
      <w:r w:rsidRPr="000F4718">
        <w:t>nehmerseite der Kommission, dessen Einverständniserklärung vorliegt.</w:t>
      </w:r>
      <w:r>
        <w:t xml:space="preserve"> </w:t>
      </w:r>
    </w:p>
    <w:p w:rsidR="00BE1EFE" w:rsidRPr="000F4718" w:rsidRDefault="00BE1EFE">
      <w:pPr>
        <w:pStyle w:val="berschrift5"/>
        <w:rPr>
          <w:lang w:eastAsia="x-none"/>
        </w:rPr>
      </w:pPr>
      <w:bookmarkStart w:id="1334" w:name="_Toc523926845"/>
      <w:r>
        <w:t xml:space="preserve">§ 4 </w:t>
      </w:r>
      <w:r>
        <w:rPr>
          <w:lang w:eastAsia="x-none"/>
        </w:rPr>
        <w:t>Amtszeit</w:t>
      </w:r>
      <w:bookmarkEnd w:id="1334"/>
    </w:p>
    <w:p w:rsidR="00BE1EFE" w:rsidRPr="00B76821" w:rsidRDefault="00BE1EFE" w:rsidP="00B76821">
      <w:pPr>
        <w:pStyle w:val="berschrift6"/>
        <w:keepNext w:val="0"/>
        <w:spacing w:before="0" w:after="0"/>
        <w:rPr>
          <w:sz w:val="2"/>
        </w:rPr>
      </w:pPr>
    </w:p>
    <w:p w:rsidR="00BE1EFE" w:rsidRDefault="00BE1EFE" w:rsidP="000F4718">
      <w:pPr>
        <w:pStyle w:val="StandardWeb"/>
      </w:pPr>
      <w:r>
        <w:t xml:space="preserve">(1) Die Amtszeit der gewählten Mitglieder in die Zentrale Kommission endet mit Ablauf der Amtsperiode der Kommission. </w:t>
      </w:r>
    </w:p>
    <w:p w:rsidR="00BE1EFE" w:rsidRDefault="00BE1EFE" w:rsidP="000F4718">
      <w:pPr>
        <w:pStyle w:val="StandardWeb"/>
      </w:pPr>
    </w:p>
    <w:p w:rsidR="00BE1EFE" w:rsidRDefault="00BE1EFE" w:rsidP="000F4718">
      <w:pPr>
        <w:pStyle w:val="StandardWeb"/>
      </w:pPr>
      <w:r>
        <w:t>(2) Bis zur Neuwahl der Mitglieder für die Zentrale Kommission üben die bisherigen Mitglieder der Zentralen Kommission ihr Amt unabhängig von der Wiederwahl in die Kommission aus, längstens aber sechs Monate.</w:t>
      </w:r>
    </w:p>
    <w:p w:rsidR="00BE1EFE" w:rsidRDefault="00BE1EFE" w:rsidP="000F4718">
      <w:pPr>
        <w:pStyle w:val="StandardWeb"/>
      </w:pPr>
    </w:p>
    <w:p w:rsidR="00BE1EFE" w:rsidRDefault="00BE1EFE">
      <w:pPr>
        <w:pStyle w:val="berschrift5"/>
      </w:pPr>
      <w:bookmarkStart w:id="1335" w:name="_Toc523926846"/>
      <w:r>
        <w:t>§ 5 Durchführung der Wahl</w:t>
      </w:r>
      <w:bookmarkEnd w:id="1335"/>
    </w:p>
    <w:p w:rsidR="00BE1EFE" w:rsidRPr="00B76821" w:rsidRDefault="00BE1EFE" w:rsidP="00B76821">
      <w:pPr>
        <w:pStyle w:val="berschrift6"/>
        <w:keepNext w:val="0"/>
        <w:spacing w:before="0" w:after="0"/>
        <w:rPr>
          <w:sz w:val="2"/>
        </w:rPr>
      </w:pPr>
    </w:p>
    <w:p w:rsidR="00BE1EFE" w:rsidRDefault="00BE1EFE" w:rsidP="000F4718">
      <w:pPr>
        <w:pStyle w:val="StandardWeb"/>
      </w:pPr>
      <w:r>
        <w:lastRenderedPageBreak/>
        <w:t>(1) Die Wahlversammlung wählt drei Vertreterinnen/Vertreter in die Zentrale Kommission.</w:t>
      </w:r>
    </w:p>
    <w:p w:rsidR="00BE1EFE" w:rsidRDefault="00BE1EFE" w:rsidP="000F4718">
      <w:pPr>
        <w:pStyle w:val="StandardWeb"/>
      </w:pPr>
    </w:p>
    <w:p w:rsidR="00BE1EFE" w:rsidRDefault="00BE1EFE" w:rsidP="000F4718">
      <w:pPr>
        <w:pStyle w:val="StandardWeb"/>
      </w:pPr>
      <w:r>
        <w:t xml:space="preserve">(2) </w:t>
      </w:r>
      <w:r>
        <w:rPr>
          <w:rStyle w:val="kleinschrift"/>
        </w:rPr>
        <w:t>1</w:t>
      </w:r>
      <w:r>
        <w:t>Wahlvorschlagsberechtigt ist jedes Mitglied der Dienstnehmerseite der Kommission. Der Wahlvorschlag kann bis zu drei Kandidatinnen/Kandidaten enthalten.</w:t>
      </w:r>
    </w:p>
    <w:p w:rsidR="00BE1EFE" w:rsidRDefault="00BE1EFE" w:rsidP="000F4718">
      <w:pPr>
        <w:pStyle w:val="StandardWeb"/>
      </w:pPr>
    </w:p>
    <w:p w:rsidR="00BE1EFE" w:rsidRDefault="00BE1EFE" w:rsidP="000F4718">
      <w:pPr>
        <w:pStyle w:val="StandardWeb"/>
      </w:pPr>
      <w:r>
        <w:t xml:space="preserve">(3) </w:t>
      </w:r>
      <w:r>
        <w:rPr>
          <w:rStyle w:val="kleinschrift"/>
        </w:rPr>
        <w:t>1</w:t>
      </w:r>
      <w:r>
        <w:t xml:space="preserve">Die Vertreterinnen/Vertreter in die Zentrale Kommission werden in bis zu fünf Wahlgängen aus den anwesenden Mitgliedern der Dienstnehmerseite geheim gewählt. </w:t>
      </w:r>
      <w:r>
        <w:rPr>
          <w:rStyle w:val="kleinschrift"/>
        </w:rPr>
        <w:t>2</w:t>
      </w:r>
      <w:r>
        <w:t>In jedem Wahlgang hat jeder/jede Stimmberechtigte so viele Stimmen, wie Kandida</w:t>
      </w:r>
      <w:r>
        <w:softHyphen/>
        <w:t xml:space="preserve">tinnen/Kandidaten zu wählen sind. </w:t>
      </w:r>
      <w:r>
        <w:rPr>
          <w:rStyle w:val="kleinschrift"/>
        </w:rPr>
        <w:t>3</w:t>
      </w:r>
      <w:r>
        <w:t>Je Kandidatin/Kandidat darf nur eine Stimme abgegeben werden.</w:t>
      </w:r>
    </w:p>
    <w:p w:rsidR="00BE1EFE" w:rsidRDefault="00BE1EFE" w:rsidP="000F4718">
      <w:pPr>
        <w:pStyle w:val="StandardWeb"/>
      </w:pPr>
    </w:p>
    <w:p w:rsidR="00BE1EFE" w:rsidRDefault="00BE1EFE" w:rsidP="000F4718">
      <w:pPr>
        <w:pStyle w:val="StandardWeb"/>
      </w:pPr>
      <w:r>
        <w:t xml:space="preserve">(4) </w:t>
      </w:r>
      <w:r>
        <w:rPr>
          <w:rStyle w:val="kleinschrift"/>
        </w:rPr>
        <w:t>1</w:t>
      </w:r>
      <w:r>
        <w:t xml:space="preserve">Gewählt ist, wer im ersten oder zweiten Wahlgang mehr als die Hälfte der Stimmen der Wahlberechtigten auf sich vereinigt. </w:t>
      </w:r>
      <w:r>
        <w:rPr>
          <w:rStyle w:val="kleinschrift"/>
        </w:rPr>
        <w:t>2</w:t>
      </w:r>
      <w:r>
        <w:t xml:space="preserve">Entfallen auf mehr Kandidatinnen/Kandidaten als die Höchstzahl der zu Wählenden mehr als die Hälfte der Stimmen der Wahlberechtigten, sind nur die Kandidatinnen/Kandidaten mit den meisten Stimmen bis zur Höchstzahl der zu Wählenden gewählt. </w:t>
      </w:r>
      <w:r>
        <w:rPr>
          <w:rStyle w:val="kleinschrift"/>
        </w:rPr>
        <w:t>3</w:t>
      </w:r>
      <w:r>
        <w:t>Besteht zwischen Kandidatinnen/Kandidaten, die mehr als die Hälfte der Stimmen der Wahlberechtigten auf sich vereinigen konnten, Stimmengleichheit über die Höchstzahl der zu Wählenden hinaus, findet zwischen ihnen eine Stichwahl statt.</w:t>
      </w:r>
    </w:p>
    <w:p w:rsidR="00BE1EFE" w:rsidRDefault="00BE1EFE" w:rsidP="000F4718">
      <w:pPr>
        <w:pStyle w:val="StandardWeb"/>
      </w:pPr>
    </w:p>
    <w:p w:rsidR="00BE1EFE" w:rsidRDefault="00BE1EFE" w:rsidP="000F4718">
      <w:pPr>
        <w:pStyle w:val="StandardWeb"/>
      </w:pPr>
      <w:r>
        <w:t xml:space="preserve">(5) </w:t>
      </w:r>
      <w:r>
        <w:rPr>
          <w:rStyle w:val="kleinschrift"/>
        </w:rPr>
        <w:t>1</w:t>
      </w:r>
      <w:r>
        <w:t xml:space="preserve">Sind nach zwei Wahlgängen nicht alle Vertreterinnen/Vertreter in die Zentrale Kommission gewählt worden, wird für den dritten und vierten Wahlgang jeweils nur eine Kandidatin/ein Kandidat mehr zur Wahl zugelassen als Kandidatinnen/Kandidaten zu wählen sind entsprechend der Stimmenzahl des vorhergehenden Wahlgangs. </w:t>
      </w:r>
      <w:r>
        <w:rPr>
          <w:rStyle w:val="kleinschrift"/>
        </w:rPr>
        <w:t>2</w:t>
      </w:r>
      <w:r>
        <w:t xml:space="preserve">Bei Stimmengleichheit entscheidet über die Zulassung das Los. </w:t>
      </w:r>
      <w:r>
        <w:rPr>
          <w:rStyle w:val="kleinschrift"/>
        </w:rPr>
        <w:t>3</w:t>
      </w:r>
      <w:r>
        <w:t>Gewählt ist, wer mehr als die Hälfte der Stimmen der Wahlberechtigten auf sich vereinigt.</w:t>
      </w:r>
    </w:p>
    <w:p w:rsidR="00BE1EFE" w:rsidRDefault="00BE1EFE" w:rsidP="000F4718">
      <w:pPr>
        <w:pStyle w:val="StandardWeb"/>
      </w:pPr>
    </w:p>
    <w:p w:rsidR="00BE1EFE" w:rsidRDefault="00BE1EFE" w:rsidP="000F4718">
      <w:pPr>
        <w:pStyle w:val="StandardWeb"/>
      </w:pPr>
      <w:r>
        <w:t xml:space="preserve">(6) </w:t>
      </w:r>
      <w:r>
        <w:rPr>
          <w:rStyle w:val="kleinschrift"/>
        </w:rPr>
        <w:t>1</w:t>
      </w:r>
      <w:r>
        <w:t xml:space="preserve">Im fünften Wahlgang entscheidet die relative Mehrheit. </w:t>
      </w:r>
      <w:r>
        <w:rPr>
          <w:rStyle w:val="kleinschrift"/>
        </w:rPr>
        <w:t>2</w:t>
      </w:r>
      <w:r>
        <w:t>Bei Stimmengleichheit entscheidet das Los.</w:t>
      </w:r>
    </w:p>
    <w:p w:rsidR="00BE1EFE" w:rsidRDefault="00BE1EFE" w:rsidP="000F4718">
      <w:pPr>
        <w:pStyle w:val="StandardWeb"/>
      </w:pPr>
    </w:p>
    <w:p w:rsidR="00BE1EFE" w:rsidRDefault="00BE1EFE">
      <w:pPr>
        <w:pStyle w:val="StandardWeb"/>
      </w:pPr>
      <w:r>
        <w:t xml:space="preserve">(7) </w:t>
      </w:r>
      <w:r>
        <w:rPr>
          <w:rStyle w:val="kleinschrift"/>
        </w:rPr>
        <w:t>1</w:t>
      </w:r>
      <w:r>
        <w:t xml:space="preserve">Die Wahlleitung stellt fest, ob die Gewählten die Wahl annehmen. </w:t>
      </w:r>
      <w:r>
        <w:rPr>
          <w:rStyle w:val="kleinschrift"/>
        </w:rPr>
        <w:t>2</w:t>
      </w:r>
      <w:r>
        <w:t>Bei Nichtannahme der Wahl gilt immer die/der mit der nächstfolgenden Stimmenzahl gewählte Kandidatin/Kandidat als gewählt.</w:t>
      </w:r>
    </w:p>
    <w:p w:rsidR="00BE1EFE" w:rsidRDefault="00BE1EFE">
      <w:pPr>
        <w:pStyle w:val="berschrift5"/>
      </w:pPr>
      <w:bookmarkStart w:id="1336" w:name="_Toc523926847"/>
      <w:r>
        <w:t>§ 6 Mitteilung des Wahlergebnisses</w:t>
      </w:r>
      <w:bookmarkEnd w:id="1336"/>
    </w:p>
    <w:p w:rsidR="00BE1EFE" w:rsidRPr="00B76821" w:rsidRDefault="00BE1EFE" w:rsidP="00B76821">
      <w:pPr>
        <w:pStyle w:val="berschrift6"/>
        <w:keepNext w:val="0"/>
        <w:spacing w:before="0" w:after="0"/>
        <w:rPr>
          <w:sz w:val="2"/>
        </w:rPr>
      </w:pPr>
    </w:p>
    <w:p w:rsidR="00BE1EFE" w:rsidRDefault="00BE1EFE" w:rsidP="00A324A9">
      <w:pPr>
        <w:pStyle w:val="StandardWeb"/>
      </w:pPr>
      <w:r>
        <w:t>(1) Die Wahlleitung teilt das Wahlergebnis umgehend der Geschäftsstelle der Kommission mit.</w:t>
      </w:r>
    </w:p>
    <w:p w:rsidR="00BE1EFE" w:rsidRDefault="00BE1EFE" w:rsidP="00A324A9">
      <w:pPr>
        <w:pStyle w:val="StandardWeb"/>
      </w:pPr>
    </w:p>
    <w:p w:rsidR="00BE1EFE" w:rsidRDefault="00BE1EFE" w:rsidP="00A324A9">
      <w:pPr>
        <w:pStyle w:val="StandardWeb"/>
      </w:pPr>
      <w:r>
        <w:t xml:space="preserve">(2) </w:t>
      </w:r>
      <w:r>
        <w:rPr>
          <w:rStyle w:val="kleinschrift"/>
        </w:rPr>
        <w:t>1</w:t>
      </w:r>
      <w:r>
        <w:t xml:space="preserve">Nach Ablauf der Fristen gem. § 7 teilt die Geschäftsstelle der Kommission das endgültige Wahlergebnis der Geschäftsstelle der Zentral-KODA schriftlich mit. </w:t>
      </w:r>
      <w:r>
        <w:rPr>
          <w:rStyle w:val="kleinschrift"/>
        </w:rPr>
        <w:t>2</w:t>
      </w:r>
      <w:r>
        <w:t>Das endgültige Wahlergebnis wird zum nächstmöglichen Zeitpunkt in den Amtsblättern der bayerischen Diözesen bekannt gegeben.</w:t>
      </w:r>
    </w:p>
    <w:p w:rsidR="00BE1EFE" w:rsidRDefault="00BE1EFE">
      <w:pPr>
        <w:pStyle w:val="berschrift5"/>
      </w:pPr>
      <w:bookmarkStart w:id="1337" w:name="_Toc523926848"/>
      <w:r>
        <w:t>§ 7 Anfechtung der Wahl</w:t>
      </w:r>
      <w:bookmarkEnd w:id="1337"/>
    </w:p>
    <w:p w:rsidR="00BE1EFE" w:rsidRPr="00B76821" w:rsidRDefault="00BE1EFE" w:rsidP="00B76821">
      <w:pPr>
        <w:pStyle w:val="berschrift6"/>
        <w:keepNext w:val="0"/>
        <w:spacing w:before="0" w:after="0"/>
        <w:rPr>
          <w:sz w:val="2"/>
        </w:rPr>
      </w:pPr>
    </w:p>
    <w:p w:rsidR="00BE1EFE" w:rsidRDefault="00BE1EFE" w:rsidP="00A324A9">
      <w:pPr>
        <w:pStyle w:val="StandardWeb"/>
      </w:pPr>
      <w:r>
        <w:t xml:space="preserve">(1) </w:t>
      </w:r>
      <w:r>
        <w:rPr>
          <w:rStyle w:val="kleinschrift"/>
        </w:rPr>
        <w:t>1</w:t>
      </w:r>
      <w:r>
        <w:t xml:space="preserve">Die Wahl kann innerhalb von zwei Wochen nach Bekanntgabe der Entscheidung beim Kirchlichen Arbeitsgericht der bayerischen Diözesen schriftlich unter Angabe von Gründen angefochten werden. </w:t>
      </w:r>
      <w:r>
        <w:rPr>
          <w:rStyle w:val="kleinschrift"/>
        </w:rPr>
        <w:t>2</w:t>
      </w:r>
      <w:r>
        <w:t>Anfechtungsberechtigt sind die stimmberechtigten Mitglieder der Wahlversammlung.</w:t>
      </w:r>
    </w:p>
    <w:p w:rsidR="00BE1EFE" w:rsidRDefault="00BE1EFE" w:rsidP="00A324A9">
      <w:pPr>
        <w:pStyle w:val="StandardWeb"/>
      </w:pPr>
    </w:p>
    <w:p w:rsidR="00BE1EFE" w:rsidRDefault="00BE1EFE" w:rsidP="00A324A9">
      <w:pPr>
        <w:pStyle w:val="StandardWeb"/>
      </w:pPr>
      <w:r>
        <w:lastRenderedPageBreak/>
        <w:t>(2) Wenn der Anfechtung stattgegeben wird, ist die Wahl in der nächsten Vollversammlung der Kommission zu wiederholen.</w:t>
      </w:r>
    </w:p>
    <w:p w:rsidR="00BE1EFE" w:rsidRDefault="00BE1EFE" w:rsidP="00A324A9">
      <w:pPr>
        <w:pStyle w:val="StandardWeb"/>
      </w:pPr>
    </w:p>
    <w:p w:rsidR="00BE1EFE" w:rsidRDefault="00BE1EFE" w:rsidP="00A324A9">
      <w:pPr>
        <w:pStyle w:val="StandardWeb"/>
      </w:pPr>
      <w:r>
        <w:t>(3) Die Wahlunterlagen sind bis zum Ende der Wahlperiode aufzubewahren.</w:t>
      </w:r>
    </w:p>
    <w:p w:rsidR="00BE1EFE" w:rsidRDefault="00BE1EFE">
      <w:pPr>
        <w:pStyle w:val="berschrift5"/>
      </w:pPr>
      <w:bookmarkStart w:id="1338" w:name="_Toc523926849"/>
      <w:r>
        <w:t xml:space="preserve">§ 8 </w:t>
      </w:r>
      <w:r w:rsidRPr="00A324A9">
        <w:t>Ausscheiden und Ruhen</w:t>
      </w:r>
      <w:bookmarkEnd w:id="1338"/>
    </w:p>
    <w:p w:rsidR="00BE1EFE" w:rsidRPr="00B76821" w:rsidRDefault="00BE1EFE" w:rsidP="00B76821">
      <w:pPr>
        <w:pStyle w:val="berschrift6"/>
        <w:keepNext w:val="0"/>
        <w:spacing w:before="0" w:after="0"/>
        <w:rPr>
          <w:sz w:val="2"/>
        </w:rPr>
      </w:pPr>
    </w:p>
    <w:p w:rsidR="00BE1EFE" w:rsidRPr="00CB7300" w:rsidRDefault="00BE1EFE" w:rsidP="00CB7300">
      <w:pPr>
        <w:pStyle w:val="StandardWeb"/>
        <w:rPr>
          <w:bCs/>
        </w:rPr>
      </w:pPr>
      <w:r w:rsidRPr="00CB7300">
        <w:rPr>
          <w:bCs/>
        </w:rPr>
        <w:t>(1) </w:t>
      </w:r>
      <w:r w:rsidRPr="00CB7300">
        <w:rPr>
          <w:rStyle w:val="kleinschrift"/>
        </w:rPr>
        <w:t>1</w:t>
      </w:r>
      <w:r w:rsidRPr="00CB7300">
        <w:t>Scheidet eine Vertreterin/ein Vertreter der Dienstnehmerseite aus der Zentralen Kom</w:t>
      </w:r>
      <w:r w:rsidRPr="00CB7300">
        <w:rPr>
          <w:bCs/>
        </w:rPr>
        <w:softHyphen/>
      </w:r>
      <w:r w:rsidRPr="00CB7300">
        <w:t>mission aus oder ruht seine Mitgliedschaft (§ 8 BayRKO), wird in der nächsten Vollversamm</w:t>
      </w:r>
      <w:r w:rsidRPr="00CB7300">
        <w:rPr>
          <w:bCs/>
        </w:rPr>
        <w:softHyphen/>
      </w:r>
      <w:r w:rsidRPr="00CB7300">
        <w:t xml:space="preserve">lung der Kommission ein Ersatzmitglied gewählt. </w:t>
      </w:r>
      <w:r w:rsidRPr="00CB7300">
        <w:rPr>
          <w:rStyle w:val="kleinschrift"/>
        </w:rPr>
        <w:t>2</w:t>
      </w:r>
      <w:r w:rsidRPr="00CB7300">
        <w:t>Die Nachwahl erfolgt für den Rest der Amts</w:t>
      </w:r>
      <w:r w:rsidRPr="00CB7300">
        <w:rPr>
          <w:bCs/>
        </w:rPr>
        <w:softHyphen/>
      </w:r>
      <w:r w:rsidRPr="00CB7300">
        <w:t xml:space="preserve">zeit der Kommission. </w:t>
      </w:r>
      <w:r w:rsidRPr="00CB7300">
        <w:rPr>
          <w:bCs/>
          <w:sz w:val="12"/>
          <w:szCs w:val="12"/>
        </w:rPr>
        <w:t>3</w:t>
      </w:r>
      <w:r w:rsidRPr="00CB7300">
        <w:t>Wahlleitung</w:t>
      </w:r>
      <w:r w:rsidRPr="00CB7300">
        <w:rPr>
          <w:bCs/>
        </w:rPr>
        <w:t xml:space="preserve"> ist die Versammlungsleiterin/</w:t>
      </w:r>
      <w:r w:rsidRPr="00CB7300">
        <w:t>der Versammlungsleiter; steht diese/dieser zur Wah</w:t>
      </w:r>
      <w:r w:rsidRPr="00CB7300">
        <w:rPr>
          <w:bCs/>
        </w:rPr>
        <w:t>l, ist die stellvertretende Versamm</w:t>
      </w:r>
      <w:r w:rsidRPr="00CB7300">
        <w:t>lungsleiterin/der stellvertretende Ver</w:t>
      </w:r>
      <w:r w:rsidRPr="00CB7300">
        <w:rPr>
          <w:bCs/>
        </w:rPr>
        <w:softHyphen/>
      </w:r>
      <w:r w:rsidRPr="00CB7300">
        <w:t>sammlun</w:t>
      </w:r>
      <w:r w:rsidRPr="00CB7300">
        <w:rPr>
          <w:bCs/>
        </w:rPr>
        <w:t>gsleiter, ggf. das an Lebensjah</w:t>
      </w:r>
      <w:r w:rsidRPr="00CB7300">
        <w:t>ren älteste Mitglied, Wahlleitung.</w:t>
      </w:r>
    </w:p>
    <w:p w:rsidR="00BE1EFE" w:rsidRPr="00CB7300" w:rsidRDefault="00BE1EFE" w:rsidP="00CB7300">
      <w:pPr>
        <w:pStyle w:val="StandardWeb"/>
      </w:pPr>
    </w:p>
    <w:p w:rsidR="00BE1EFE" w:rsidRPr="00CB7300" w:rsidRDefault="00BE1EFE" w:rsidP="00CB7300">
      <w:pPr>
        <w:pStyle w:val="StandardWeb"/>
        <w:rPr>
          <w:bCs/>
        </w:rPr>
      </w:pPr>
      <w:r w:rsidRPr="00CB7300">
        <w:rPr>
          <w:bCs/>
        </w:rPr>
        <w:t>(2) </w:t>
      </w:r>
      <w:r w:rsidRPr="00CB7300">
        <w:t>Bei grober Vernachlässigung seiner Pflichten al</w:t>
      </w:r>
      <w:r w:rsidRPr="00CB7300">
        <w:rPr>
          <w:bCs/>
        </w:rPr>
        <w:t>s Mitglied der Zentralen Kommis</w:t>
      </w:r>
      <w:r w:rsidRPr="00CB7300">
        <w:t>sion kann mit Hälfte der Mitglieder der Kommission oder der Mehrheit der Mitglieder einer Seite der Kommission Klage auf Amtsenthebung oder Klage auf Feststellung des Verlusts der Mitgliedschaft gestellt werden.</w:t>
      </w:r>
    </w:p>
    <w:p w:rsidR="00BE1EFE" w:rsidRDefault="00BE1EFE" w:rsidP="00A324A9">
      <w:pPr>
        <w:pStyle w:val="berschrift5"/>
      </w:pPr>
      <w:bookmarkStart w:id="1339" w:name="_Toc523926850"/>
      <w:r>
        <w:t>§ 9 In-Kraft-Treten</w:t>
      </w:r>
      <w:bookmarkEnd w:id="1339"/>
    </w:p>
    <w:p w:rsidR="00BE1EFE" w:rsidRPr="00B76821" w:rsidRDefault="00BE1EFE" w:rsidP="00B76821">
      <w:pPr>
        <w:pStyle w:val="berschrift6"/>
        <w:keepNext w:val="0"/>
        <w:spacing w:before="0" w:after="0"/>
        <w:rPr>
          <w:sz w:val="2"/>
        </w:rPr>
      </w:pPr>
    </w:p>
    <w:p w:rsidR="00BE1EFE" w:rsidRDefault="00BE1EFE">
      <w:pPr>
        <w:pStyle w:val="StandardWeb"/>
      </w:pPr>
      <w:r>
        <w:t>Diese Ordnung tritt zum 01.05.1999 in Kraft.</w:t>
      </w:r>
    </w:p>
    <w:p w:rsidR="00BE1EFE" w:rsidRPr="00AE7E5F" w:rsidRDefault="00BE1EFE" w:rsidP="00D450B0">
      <w:pPr>
        <w:pStyle w:val="StandardWeb"/>
      </w:pPr>
      <w:r>
        <w:br w:type="page"/>
      </w:r>
    </w:p>
    <w:p w:rsidR="00BE1EFE" w:rsidRPr="00CB7300" w:rsidRDefault="00BE1EFE" w:rsidP="00863002">
      <w:pPr>
        <w:pStyle w:val="berschrift4"/>
        <w:spacing w:before="0"/>
        <w:rPr>
          <w:rFonts w:cs="Arial"/>
          <w:sz w:val="2"/>
          <w:szCs w:val="2"/>
          <w:lang w:eastAsia="x-none"/>
        </w:rPr>
      </w:pPr>
      <w:bookmarkStart w:id="1340" w:name="_Toc523926851"/>
      <w:r>
        <w:lastRenderedPageBreak/>
        <w:t xml:space="preserve">3. Ordnung </w:t>
      </w:r>
      <w:r>
        <w:rPr>
          <w:lang w:eastAsia="x-none"/>
        </w:rPr>
        <w:t>der Kommission</w:t>
      </w:r>
      <w:r>
        <w:t xml:space="preserve"> </w:t>
      </w:r>
      <w:r>
        <w:rPr>
          <w:lang w:eastAsia="x-none"/>
        </w:rPr>
        <w:t xml:space="preserve">für </w:t>
      </w:r>
      <w:r>
        <w:t>d</w:t>
      </w:r>
      <w:r>
        <w:rPr>
          <w:lang w:eastAsia="x-none"/>
        </w:rPr>
        <w:t>a</w:t>
      </w:r>
      <w:r>
        <w:t>s Arbeitsvertragsrechts</w:t>
      </w:r>
      <w:r>
        <w:rPr>
          <w:lang w:eastAsia="x-none"/>
        </w:rPr>
        <w:t xml:space="preserve"> </w:t>
      </w:r>
      <w:r>
        <w:t>der bayerischen Diözesen (Bayerische Regional-KODA-Ordnung – BayRKO)</w:t>
      </w:r>
      <w:bookmarkEnd w:id="1340"/>
      <w:r>
        <w:t xml:space="preserve"> </w:t>
      </w:r>
    </w:p>
    <w:p w:rsidR="00BE1EFE" w:rsidRPr="003B65D3" w:rsidRDefault="00BE1EFE">
      <w:pPr>
        <w:pStyle w:val="berschrift5"/>
        <w:rPr>
          <w:lang w:eastAsia="x-none"/>
        </w:rPr>
      </w:pPr>
      <w:bookmarkStart w:id="1341" w:name="_Toc523926852"/>
      <w:r>
        <w:rPr>
          <w:lang w:eastAsia="x-none"/>
        </w:rPr>
        <w:t>Präambel</w:t>
      </w:r>
      <w:bookmarkEnd w:id="1341"/>
    </w:p>
    <w:p w:rsidR="00BE1EFE" w:rsidRDefault="00BE1EFE" w:rsidP="00B41A55">
      <w:pPr>
        <w:pStyle w:val="StandardWeb"/>
      </w:pPr>
      <w:bookmarkStart w:id="1342" w:name="_Toc451430539"/>
      <w:r w:rsidRPr="00B41A55">
        <w:rPr>
          <w:rStyle w:val="kleinschrift"/>
        </w:rPr>
        <w:t>1</w:t>
      </w:r>
      <w:r w:rsidRPr="003B65D3">
        <w:t xml:space="preserve">Die katholische Kirche hat gemäß </w:t>
      </w:r>
      <w:hyperlink r:id="rId1954" w:history="1">
        <w:r w:rsidRPr="00C422D9">
          <w:rPr>
            <w:rStyle w:val="Hyperlink"/>
          </w:rPr>
          <w:t>Artikel 140 GG</w:t>
        </w:r>
      </w:hyperlink>
      <w:r>
        <w:t xml:space="preserve">, </w:t>
      </w:r>
      <w:hyperlink r:id="rId1955" w:history="1">
        <w:r w:rsidRPr="00C422D9">
          <w:rPr>
            <w:rStyle w:val="Hyperlink"/>
          </w:rPr>
          <w:t>137 Absatz 3 WRV</w:t>
        </w:r>
      </w:hyperlink>
      <w:r>
        <w:t xml:space="preserve"> das verfas</w:t>
      </w:r>
      <w:r w:rsidRPr="003B65D3">
        <w:t>sungsrecht</w:t>
      </w:r>
      <w:r>
        <w:t>-</w:t>
      </w:r>
      <w:r w:rsidRPr="003B65D3">
        <w:t xml:space="preserve">lich anerkannte Recht, die Arbeitsverhältnisse im kirchlichen Dienst als ihre Angelegenheit selbstständig zu ordnen. </w:t>
      </w:r>
      <w:r w:rsidRPr="003B65D3">
        <w:rPr>
          <w:sz w:val="12"/>
          <w:szCs w:val="12"/>
        </w:rPr>
        <w:t>2</w:t>
      </w:r>
      <w:r w:rsidRPr="003B65D3">
        <w:t>Um dem kirchlichen Sendungsauftrag und der daraus folgenden Besonderheit der kirchlichen Dienstgemeinschaft gerecht zu werden und um die Beteiligung der Dienstne</w:t>
      </w:r>
      <w:r>
        <w:t xml:space="preserve">hmerseite gemäß </w:t>
      </w:r>
      <w:hyperlink r:id="rId1956" w:history="1">
        <w:r w:rsidRPr="00C422D9">
          <w:rPr>
            <w:rStyle w:val="Hyperlink"/>
          </w:rPr>
          <w:t>Artikel 7 Grundordnung</w:t>
        </w:r>
      </w:hyperlink>
      <w:r w:rsidRPr="003B65D3">
        <w:t xml:space="preserve"> des kirchlichen Dienstes im Rahmen kirchli</w:t>
      </w:r>
      <w:r>
        <w:t>cher Arbeitsverhältnisse (Grund</w:t>
      </w:r>
      <w:r w:rsidRPr="003B65D3">
        <w:t>ordnung) an der Gestaltung ihrer Arbeitsbedingungen zu gewährleisten, wird zur Sicherung der Einheit und Glaubwürdigkeit des kirchlichen Dienstes und zur Ausgestaltung eines einheitlichen, regionalen, kirchlichen Arbeitsvertragsrechts in den bayerischen Diözesen folgende Ordnung erlassen:</w:t>
      </w:r>
      <w:bookmarkEnd w:id="1342"/>
    </w:p>
    <w:p w:rsidR="00BE1EFE" w:rsidRDefault="00BE1EFE" w:rsidP="00B41A55">
      <w:pPr>
        <w:pStyle w:val="berschrift5"/>
        <w:rPr>
          <w:lang w:eastAsia="x-none"/>
        </w:rPr>
      </w:pPr>
      <w:bookmarkStart w:id="1343" w:name="_Toc523926853"/>
      <w:r>
        <w:t xml:space="preserve">§ 1 </w:t>
      </w:r>
      <w:r>
        <w:rPr>
          <w:lang w:eastAsia="x-none"/>
        </w:rPr>
        <w:t>Geltungsbereich</w:t>
      </w:r>
      <w:bookmarkEnd w:id="1343"/>
    </w:p>
    <w:p w:rsidR="00BE1EFE" w:rsidRPr="00B76821" w:rsidRDefault="00BE1EFE" w:rsidP="00B76821">
      <w:pPr>
        <w:pStyle w:val="berschrift6"/>
        <w:keepNext w:val="0"/>
        <w:spacing w:before="0" w:after="0"/>
        <w:rPr>
          <w:sz w:val="2"/>
        </w:rPr>
      </w:pPr>
    </w:p>
    <w:p w:rsidR="00BE1EFE" w:rsidRPr="00EC0BD6" w:rsidRDefault="00BE1EFE" w:rsidP="00EC0BD6">
      <w:pPr>
        <w:pStyle w:val="StandardWeb"/>
      </w:pPr>
      <w:r>
        <w:t>(1) </w:t>
      </w:r>
      <w:r w:rsidRPr="00EC0BD6">
        <w:t>Diese Ordnung regelt das Zustandekommen von Rechtsnormen über Inhalt, Abschluss und Beendigung von Arbeitsverhältnissen mit folgenden Rechtsträgern:</w:t>
      </w:r>
    </w:p>
    <w:p w:rsidR="00BE1EFE" w:rsidRPr="00EC0BD6" w:rsidRDefault="00BE1EFE" w:rsidP="00B41A55">
      <w:pPr>
        <w:pStyle w:val="StandardWeb"/>
      </w:pPr>
      <w:r w:rsidRPr="00EC0BD6">
        <w:t>1.</w:t>
      </w:r>
      <w:r>
        <w:rPr>
          <w:rStyle w:val="kleinschrift"/>
          <w:sz w:val="16"/>
        </w:rPr>
        <w:t> </w:t>
      </w:r>
      <w:r w:rsidRPr="00EC0BD6">
        <w:t>den bayerischen Diözesen,</w:t>
      </w:r>
    </w:p>
    <w:p w:rsidR="00BE1EFE" w:rsidRPr="00B41A55" w:rsidRDefault="00BE1EFE" w:rsidP="00B41A55">
      <w:pPr>
        <w:pStyle w:val="StandardWeb"/>
        <w:rPr>
          <w:rStyle w:val="kleinschrift"/>
          <w:sz w:val="16"/>
        </w:rPr>
      </w:pPr>
      <w:r w:rsidRPr="00EC0BD6">
        <w:t>2.</w:t>
      </w:r>
      <w:r>
        <w:rPr>
          <w:rStyle w:val="kleinschrift"/>
          <w:sz w:val="16"/>
        </w:rPr>
        <w:t> </w:t>
      </w:r>
      <w:r w:rsidRPr="00EC0BD6">
        <w:t>den Kirchengemeinden und Kirchenstiftungen,</w:t>
      </w:r>
    </w:p>
    <w:p w:rsidR="00BE1EFE" w:rsidRPr="00EC0BD6" w:rsidRDefault="00BE1EFE" w:rsidP="00B41A55">
      <w:pPr>
        <w:pStyle w:val="StandardWeb"/>
      </w:pPr>
      <w:r w:rsidRPr="00EC0BD6">
        <w:t>3.</w:t>
      </w:r>
      <w:r>
        <w:rPr>
          <w:rStyle w:val="kleinschrift"/>
          <w:sz w:val="16"/>
        </w:rPr>
        <w:t> </w:t>
      </w:r>
      <w:r w:rsidRPr="00EC0BD6">
        <w:t>den Verbänden von Kirchenstiftungen,</w:t>
      </w:r>
    </w:p>
    <w:p w:rsidR="00BE1EFE" w:rsidRPr="00EC0BD6" w:rsidRDefault="00BE1EFE" w:rsidP="00B41A55">
      <w:pPr>
        <w:pStyle w:val="StandardWeb"/>
      </w:pPr>
      <w:r w:rsidRPr="00EC0BD6">
        <w:t>4.</w:t>
      </w:r>
      <w:r>
        <w:rPr>
          <w:rStyle w:val="kleinschrift"/>
          <w:sz w:val="16"/>
        </w:rPr>
        <w:t> </w:t>
      </w:r>
      <w:r w:rsidRPr="00EC0BD6">
        <w:t>den Diözesancaritasverbänden und deren Gliederungen, soweit sie öffentliche juristische Personen des kanonischen Rechts sind,</w:t>
      </w:r>
    </w:p>
    <w:p w:rsidR="00BE1EFE" w:rsidRPr="00EC0BD6" w:rsidRDefault="00BE1EFE" w:rsidP="00B41A55">
      <w:pPr>
        <w:pStyle w:val="StandardWeb"/>
      </w:pPr>
      <w:r w:rsidRPr="00EC0BD6">
        <w:t>5.</w:t>
      </w:r>
      <w:r>
        <w:rPr>
          <w:rStyle w:val="kleinschrift"/>
          <w:sz w:val="16"/>
        </w:rPr>
        <w:t> </w:t>
      </w:r>
      <w:r w:rsidRPr="00EC0BD6">
        <w:t>den sonstigen dem Diözesanbischof unterstellten öffentlichen juristischen Personen des kanonischen Rechts,</w:t>
      </w:r>
    </w:p>
    <w:p w:rsidR="00BE1EFE" w:rsidRDefault="00BE1EFE" w:rsidP="00EC0BD6">
      <w:pPr>
        <w:pStyle w:val="StandardWeb"/>
      </w:pPr>
      <w:r w:rsidRPr="00EC0BD6">
        <w:t>6.</w:t>
      </w:r>
      <w:r>
        <w:rPr>
          <w:rStyle w:val="kleinschrift"/>
          <w:sz w:val="16"/>
        </w:rPr>
        <w:t> </w:t>
      </w:r>
      <w:r w:rsidRPr="00EC0BD6">
        <w:t>den sonstigen kirchlichen Rechtsträgern, unbeschadet ihrer Rechtsform, die der bischöf</w:t>
      </w:r>
      <w:r>
        <w:softHyphen/>
      </w:r>
      <w:r w:rsidRPr="00EC0BD6">
        <w:t>lichen Gesetzgebungsgewalt unterliegen</w:t>
      </w:r>
    </w:p>
    <w:p w:rsidR="00BE1EFE" w:rsidRPr="00EC0BD6" w:rsidRDefault="00BE1EFE" w:rsidP="00EC0BD6">
      <w:pPr>
        <w:pStyle w:val="StandardWeb"/>
      </w:pPr>
      <w:r w:rsidRPr="00EC0BD6">
        <w:t>und deren rechtlich unselbständigen Einrichtungen.</w:t>
      </w:r>
    </w:p>
    <w:p w:rsidR="00BE1EFE" w:rsidRPr="00B41A55" w:rsidRDefault="00BE1EFE" w:rsidP="00B41A55">
      <w:pPr>
        <w:pStyle w:val="StandardWeb"/>
        <w:rPr>
          <w:rStyle w:val="kleinschrift"/>
          <w:sz w:val="16"/>
        </w:rPr>
      </w:pPr>
    </w:p>
    <w:p w:rsidR="00BE1EFE" w:rsidRPr="00EC0BD6" w:rsidRDefault="00BE1EFE" w:rsidP="00EC0BD6">
      <w:pPr>
        <w:pStyle w:val="StandardWeb"/>
      </w:pPr>
      <w:r>
        <w:rPr>
          <w:rStyle w:val="kleinschrift"/>
          <w:sz w:val="16"/>
        </w:rPr>
        <w:t>(2) </w:t>
      </w:r>
      <w:r w:rsidRPr="00B41A55">
        <w:rPr>
          <w:rStyle w:val="kleinschrift"/>
        </w:rPr>
        <w:t>1</w:t>
      </w:r>
      <w:r w:rsidRPr="00EC0BD6">
        <w:t>Diese Ordnung regelt auch das Zustandekommen von Rechtsnormen über Inhalt, Abschluss und Beendigung von Arbeitsverhältnissen mit sonstigen kirchlichen Rechtsträgern unbeschadet ihrer Rechtsform, wenn sie</w:t>
      </w:r>
    </w:p>
    <w:p w:rsidR="00BE1EFE" w:rsidRPr="00EC0BD6" w:rsidRDefault="00BE1EFE" w:rsidP="00EC0BD6">
      <w:pPr>
        <w:pStyle w:val="StandardWeb"/>
        <w:rPr>
          <w:rStyle w:val="kleinschrift"/>
          <w:sz w:val="16"/>
        </w:rPr>
      </w:pPr>
      <w:r>
        <w:t>a) </w:t>
      </w:r>
      <w:r w:rsidRPr="00EC0BD6">
        <w:t>ihren Sitz in einer bayerischen Diözese haben,</w:t>
      </w:r>
      <w:r w:rsidRPr="00EC0BD6">
        <w:rPr>
          <w:rStyle w:val="kleinschrift"/>
          <w:sz w:val="16"/>
        </w:rPr>
        <w:t xml:space="preserve"> </w:t>
      </w:r>
    </w:p>
    <w:p w:rsidR="00BE1EFE" w:rsidRPr="00EC0BD6" w:rsidRDefault="00BE1EFE" w:rsidP="00EC0BD6">
      <w:pPr>
        <w:pStyle w:val="StandardWeb"/>
      </w:pPr>
      <w:r w:rsidRPr="00EC0BD6">
        <w:t>b)</w:t>
      </w:r>
      <w:r>
        <w:rPr>
          <w:rStyle w:val="kleinschrift"/>
          <w:sz w:val="16"/>
        </w:rPr>
        <w:t> </w:t>
      </w:r>
      <w:r w:rsidRPr="00EC0BD6">
        <w:t>die Grundordnung des kirchlichen Dienstes im Rahmen kirchlicher Arbeitsverhältnisse (Grundordnung) in ihrer jeweils geltenden Fassung für ihren Bereich rechtsverbindlich in ihr Statut übernommen haben,</w:t>
      </w:r>
    </w:p>
    <w:p w:rsidR="00BE1EFE" w:rsidRPr="00EC0BD6" w:rsidRDefault="00BE1EFE" w:rsidP="00EC0BD6">
      <w:pPr>
        <w:pStyle w:val="StandardWeb"/>
      </w:pPr>
      <w:r w:rsidRPr="00EC0BD6">
        <w:t>c)</w:t>
      </w:r>
      <w:r>
        <w:rPr>
          <w:rStyle w:val="kleinschrift"/>
          <w:sz w:val="16"/>
        </w:rPr>
        <w:t> </w:t>
      </w:r>
      <w:r w:rsidRPr="00EC0BD6">
        <w:t>die Übernahme der Grundordnung dem Diözesanbischof angezeigt haben.</w:t>
      </w:r>
    </w:p>
    <w:p w:rsidR="00BE1EFE" w:rsidRPr="00B41A55" w:rsidRDefault="00BE1EFE" w:rsidP="00B41A55">
      <w:pPr>
        <w:pStyle w:val="StandardWeb"/>
        <w:rPr>
          <w:rStyle w:val="kleinschrift"/>
          <w:sz w:val="16"/>
        </w:rPr>
      </w:pPr>
      <w:r w:rsidRPr="00B41A55">
        <w:rPr>
          <w:rStyle w:val="kleinschrift"/>
        </w:rPr>
        <w:t>2</w:t>
      </w:r>
      <w:r w:rsidRPr="00EC0BD6">
        <w:t>Voraussetzung ist, dass der Diözesanbischof, in dessen Diözese der Rechtsträger seinen Sitz hat, der erstmaligen Aufnahme des Rechtsträgers in den Zuständigkeitsbereich der Kommission schriftlich zugestimmt hat.</w:t>
      </w:r>
      <w:r w:rsidRPr="00B41A55">
        <w:rPr>
          <w:rStyle w:val="kleinschrift"/>
          <w:sz w:val="16"/>
        </w:rPr>
        <w:t xml:space="preserve"> </w:t>
      </w:r>
      <w:r w:rsidRPr="00B41A55">
        <w:rPr>
          <w:rStyle w:val="kleinschrift"/>
        </w:rPr>
        <w:t>3</w:t>
      </w:r>
      <w:r w:rsidRPr="00EC0BD6">
        <w:t>Vor der Entscheidung des Diözesanbischofs ist die Kommission anzuhören.</w:t>
      </w:r>
      <w:r w:rsidRPr="00B41A55">
        <w:rPr>
          <w:rStyle w:val="kleinschrift"/>
          <w:sz w:val="16"/>
        </w:rPr>
        <w:t xml:space="preserve"> </w:t>
      </w:r>
      <w:r w:rsidRPr="00B41A55">
        <w:rPr>
          <w:rStyle w:val="kleinschrift"/>
        </w:rPr>
        <w:t>4</w:t>
      </w:r>
      <w:r w:rsidRPr="00EC0BD6">
        <w:t>Wird die Aufnahme in den Zuständigkeitsbereich der Kommission vom Diözesanbischof abgelehnt, teilt der Diözesanbischof seine Entscheidung mit Begründung dem Rechtsträger und der Kommission mit und verweist den Rechtsträger an die zuständige Kommission nach vorheriger Absprache mit dem für diese Kommission zuständigen Diözesanbischof.</w:t>
      </w:r>
      <w:r w:rsidRPr="00B41A55">
        <w:rPr>
          <w:rStyle w:val="kleinschrift"/>
          <w:sz w:val="16"/>
        </w:rPr>
        <w:t xml:space="preserve"> </w:t>
      </w:r>
    </w:p>
    <w:p w:rsidR="00BE1EFE" w:rsidRPr="00B41A55" w:rsidRDefault="00BE1EFE" w:rsidP="00B41A55">
      <w:pPr>
        <w:pStyle w:val="StandardWeb"/>
        <w:rPr>
          <w:rStyle w:val="kleinschrift"/>
          <w:sz w:val="16"/>
        </w:rPr>
      </w:pPr>
    </w:p>
    <w:p w:rsidR="00BE1EFE" w:rsidRPr="00EC0BD6" w:rsidRDefault="00BE1EFE" w:rsidP="00B41A55">
      <w:pPr>
        <w:pStyle w:val="StandardWeb"/>
      </w:pPr>
      <w:r>
        <w:rPr>
          <w:rStyle w:val="kleinschrift"/>
          <w:sz w:val="16"/>
        </w:rPr>
        <w:lastRenderedPageBreak/>
        <w:t>(3) </w:t>
      </w:r>
      <w:r w:rsidRPr="00B41A55">
        <w:rPr>
          <w:rStyle w:val="kleinschrift"/>
        </w:rPr>
        <w:t>1</w:t>
      </w:r>
      <w:r w:rsidRPr="00EC0BD6">
        <w:t>Diese Ordnung findet keine Anwendung, wenn kirchliche Rechtsträger sich satzungs</w:t>
      </w:r>
      <w:r>
        <w:softHyphen/>
      </w:r>
      <w:r w:rsidRPr="00EC0BD6">
        <w:t>gemäß dafür entschieden haben, die Richtlinien für Arbeitsverträge in den Einrichtungen des Deutschen Caritasverbandes (AVR) anzuwenden.</w:t>
      </w:r>
      <w:r w:rsidRPr="00B41A55">
        <w:rPr>
          <w:rStyle w:val="kleinschrift"/>
          <w:sz w:val="16"/>
        </w:rPr>
        <w:t xml:space="preserve"> </w:t>
      </w:r>
      <w:r w:rsidRPr="00B41A55">
        <w:rPr>
          <w:rStyle w:val="kleinschrift"/>
        </w:rPr>
        <w:t>2</w:t>
      </w:r>
      <w:r w:rsidRPr="00EC0BD6">
        <w:t>Das Zustandekommen von Rechtsnormen über Inhalt, Abschluss und Beendigung von Arbeitsverhältnissen mit dem Verband der Diözesen Deutschlands (VDD) richtet sich unbeschadet seines Sitzes nach einer eigenen Ordnung.</w:t>
      </w:r>
      <w:r w:rsidRPr="00B41A55">
        <w:rPr>
          <w:rStyle w:val="kleinschrift"/>
          <w:sz w:val="16"/>
        </w:rPr>
        <w:t xml:space="preserve"> </w:t>
      </w:r>
      <w:r w:rsidRPr="00B41A55">
        <w:rPr>
          <w:rStyle w:val="kleinschrift"/>
        </w:rPr>
        <w:t>3</w:t>
      </w:r>
      <w:r w:rsidRPr="00B41A55">
        <w:t xml:space="preserve">Darüber hinaus findet diese Ordnung keine Anwendung in der Diözese Speyer unbeschadet ihrer Zugehörigkeit zur Freisinger Bischofskonferenz. </w:t>
      </w:r>
      <w:r w:rsidRPr="00B41A55">
        <w:rPr>
          <w:rStyle w:val="kleinschrift"/>
        </w:rPr>
        <w:t>4</w:t>
      </w:r>
      <w:r w:rsidRPr="00EC0BD6">
        <w:t>Im Übrigen findet sie auch keine Anwendung auf Kleriker, Dienst- und Beamtenverhältnisse.</w:t>
      </w:r>
    </w:p>
    <w:p w:rsidR="00BE1EFE" w:rsidRPr="00B41A55" w:rsidRDefault="00BE1EFE" w:rsidP="00B41A55">
      <w:pPr>
        <w:pStyle w:val="StandardWeb"/>
        <w:rPr>
          <w:rStyle w:val="kleinschrift"/>
          <w:sz w:val="16"/>
        </w:rPr>
      </w:pPr>
    </w:p>
    <w:p w:rsidR="00BE1EFE" w:rsidRPr="00B41A55" w:rsidRDefault="00BE1EFE" w:rsidP="00B41A55">
      <w:pPr>
        <w:pStyle w:val="StandardWeb"/>
        <w:rPr>
          <w:rStyle w:val="kleinschrift"/>
          <w:sz w:val="16"/>
        </w:rPr>
      </w:pPr>
      <w:r>
        <w:rPr>
          <w:rStyle w:val="kleinschrift"/>
          <w:sz w:val="16"/>
        </w:rPr>
        <w:t>(4) </w:t>
      </w:r>
      <w:r w:rsidRPr="00B41A55">
        <w:rPr>
          <w:rStyle w:val="kleinschrift"/>
        </w:rPr>
        <w:t>1</w:t>
      </w:r>
      <w:r w:rsidRPr="00B41A55">
        <w:t>Beantragt ein kirchlicher Rechtsträger den Wechsel in den Geltungsbereich einer anderen Ordnung, entscheidet der Diözesanbischof nach Zustimmung beider Seiten jeweils der abgebenden und der aufnehmenden Kommission.</w:t>
      </w:r>
      <w:r w:rsidRPr="00B41A55">
        <w:rPr>
          <w:rStyle w:val="kleinschrift"/>
          <w:sz w:val="16"/>
        </w:rPr>
        <w:t xml:space="preserve"> </w:t>
      </w:r>
      <w:r w:rsidRPr="00B41A55">
        <w:rPr>
          <w:rStyle w:val="kleinschrift"/>
        </w:rPr>
        <w:t>2</w:t>
      </w:r>
      <w:r w:rsidRPr="00B41A55">
        <w:t>Der Antrag bedarf der schriftlichen Begründung.</w:t>
      </w:r>
      <w:r w:rsidRPr="00B41A55">
        <w:rPr>
          <w:rStyle w:val="kleinschrift"/>
          <w:sz w:val="16"/>
        </w:rPr>
        <w:t xml:space="preserve"> </w:t>
      </w:r>
      <w:r w:rsidRPr="00B41A55">
        <w:rPr>
          <w:rStyle w:val="kleinschrift"/>
        </w:rPr>
        <w:t>3</w:t>
      </w:r>
      <w:r w:rsidRPr="00B41A55">
        <w:t>Die Entscheidung ist den Kommissionen mitzuteilen.</w:t>
      </w:r>
    </w:p>
    <w:p w:rsidR="00BE1EFE" w:rsidRPr="00B41A55" w:rsidRDefault="00BE1EFE" w:rsidP="00B41A55">
      <w:pPr>
        <w:pStyle w:val="StandardWeb"/>
        <w:rPr>
          <w:rStyle w:val="kleinschrift"/>
          <w:sz w:val="16"/>
        </w:rPr>
      </w:pPr>
    </w:p>
    <w:p w:rsidR="00BE1EFE" w:rsidRPr="00B41A55" w:rsidRDefault="00BE1EFE" w:rsidP="00B41A55">
      <w:pPr>
        <w:pStyle w:val="StandardWeb"/>
      </w:pPr>
      <w:r>
        <w:rPr>
          <w:rStyle w:val="kleinschrift"/>
          <w:sz w:val="16"/>
        </w:rPr>
        <w:t>(5) </w:t>
      </w:r>
      <w:r w:rsidRPr="00B41A55">
        <w:rPr>
          <w:rStyle w:val="kleinschrift"/>
        </w:rPr>
        <w:t>1</w:t>
      </w:r>
      <w:r w:rsidRPr="00B41A55">
        <w:t>Der Diözesanbischof kann für mehrere kirchliche Rechtsträger eine eigene Ordnung erlassen.</w:t>
      </w:r>
      <w:r w:rsidRPr="00B41A55">
        <w:rPr>
          <w:rStyle w:val="kleinschrift"/>
          <w:sz w:val="16"/>
        </w:rPr>
        <w:t xml:space="preserve"> </w:t>
      </w:r>
      <w:r w:rsidRPr="00B41A55">
        <w:rPr>
          <w:rStyle w:val="kleinschrift"/>
        </w:rPr>
        <w:t>2</w:t>
      </w:r>
      <w:r w:rsidRPr="00B41A55">
        <w:t>Die Entscheidung über den Erlass einer solchen Ordnung erfolgt im Benehmen mit beiden Seiten der ansonsten zuständigen Kommission.</w:t>
      </w:r>
    </w:p>
    <w:p w:rsidR="00BE1EFE" w:rsidRPr="005D4C74" w:rsidRDefault="00BE1EFE">
      <w:pPr>
        <w:pStyle w:val="berschrift5"/>
        <w:rPr>
          <w:lang w:eastAsia="x-none"/>
        </w:rPr>
      </w:pPr>
      <w:bookmarkStart w:id="1344" w:name="_Toc523926854"/>
      <w:r>
        <w:t xml:space="preserve">§ 2 </w:t>
      </w:r>
      <w:r>
        <w:rPr>
          <w:lang w:eastAsia="x-none"/>
        </w:rPr>
        <w:t>Kommission</w:t>
      </w:r>
      <w:bookmarkEnd w:id="1344"/>
    </w:p>
    <w:p w:rsidR="00BE1EFE" w:rsidRPr="00B76821" w:rsidRDefault="00BE1EFE" w:rsidP="00B76821">
      <w:pPr>
        <w:pStyle w:val="berschrift6"/>
        <w:keepNext w:val="0"/>
        <w:spacing w:before="0" w:after="0"/>
        <w:rPr>
          <w:sz w:val="2"/>
        </w:rPr>
      </w:pPr>
    </w:p>
    <w:p w:rsidR="00BE1EFE" w:rsidRPr="005D4C74" w:rsidRDefault="00BE1EFE" w:rsidP="00EC0BD6">
      <w:pPr>
        <w:pStyle w:val="StandardWeb"/>
      </w:pPr>
      <w:r>
        <w:t>(1) </w:t>
      </w:r>
      <w:r w:rsidRPr="005D4C74">
        <w:t>Für die in § 1 genannten Rechtsträger besteht eine Kommission mit der Bezeichnung „Kommission für das Arbeitsvertragsrecht der bayerischen Diözesen (Bayerische Regional-KODA) – im Folgenden Kommission.</w:t>
      </w:r>
    </w:p>
    <w:p w:rsidR="00BE1EFE" w:rsidRPr="005D4C74" w:rsidRDefault="00BE1EFE" w:rsidP="00EC0BD6">
      <w:pPr>
        <w:pStyle w:val="StandardWeb"/>
      </w:pPr>
    </w:p>
    <w:p w:rsidR="00BE1EFE" w:rsidRPr="005D4C74" w:rsidRDefault="00BE1EFE" w:rsidP="00EC0BD6">
      <w:pPr>
        <w:pStyle w:val="StandardWeb"/>
      </w:pPr>
      <w:r>
        <w:t>(2) </w:t>
      </w:r>
      <w:r w:rsidRPr="005D4C74">
        <w:rPr>
          <w:sz w:val="12"/>
          <w:szCs w:val="12"/>
        </w:rPr>
        <w:t>1</w:t>
      </w:r>
      <w:r w:rsidRPr="005D4C74">
        <w:t xml:space="preserve">Die Amtszeit der Kommission beträgt fünf Jahre. </w:t>
      </w:r>
      <w:r w:rsidRPr="005D4C74">
        <w:rPr>
          <w:sz w:val="12"/>
          <w:szCs w:val="12"/>
        </w:rPr>
        <w:t>2</w:t>
      </w:r>
      <w:r w:rsidRPr="005D4C74">
        <w:t xml:space="preserve">Sie beginnt mit der konstituierenden Sitzung, jedoch nicht vor dem 1. September des Wahljahres und endet mit Ablauf des 31. August des fünften auf die Wahl folgenden Jahres. </w:t>
      </w:r>
      <w:r w:rsidRPr="005D4C74">
        <w:rPr>
          <w:sz w:val="12"/>
          <w:szCs w:val="12"/>
        </w:rPr>
        <w:t>3</w:t>
      </w:r>
      <w:r w:rsidRPr="005D4C74">
        <w:t>Bis zur konstituierenden Sitzung der neuen Kommission nimmt die bestehende Kommission die Aufgaben geschäftsführend gemäß dieser Ordnung wahr, jedoch nicht über die Dauer von zwölf Monaten über das Ende ihrer Amtszeit hinaus.</w:t>
      </w:r>
    </w:p>
    <w:p w:rsidR="00BE1EFE" w:rsidRDefault="00BE1EFE">
      <w:pPr>
        <w:pStyle w:val="berschrift5"/>
      </w:pPr>
      <w:bookmarkStart w:id="1345" w:name="_Toc523926855"/>
      <w:r>
        <w:t>§ 3 Aufgabe</w:t>
      </w:r>
      <w:bookmarkEnd w:id="1345"/>
    </w:p>
    <w:p w:rsidR="00BE1EFE" w:rsidRPr="00B76821" w:rsidRDefault="00BE1EFE" w:rsidP="00B76821">
      <w:pPr>
        <w:pStyle w:val="berschrift6"/>
        <w:keepNext w:val="0"/>
        <w:spacing w:before="0" w:after="0"/>
        <w:rPr>
          <w:sz w:val="2"/>
        </w:rPr>
      </w:pPr>
    </w:p>
    <w:p w:rsidR="00BE1EFE" w:rsidRDefault="00BE1EFE" w:rsidP="005D4C74">
      <w:pPr>
        <w:pStyle w:val="StandardWeb"/>
      </w:pPr>
      <w:r>
        <w:t>(1) </w:t>
      </w:r>
      <w:r w:rsidRPr="005D4C74">
        <w:rPr>
          <w:sz w:val="12"/>
          <w:szCs w:val="12"/>
        </w:rPr>
        <w:t>1</w:t>
      </w:r>
      <w:r>
        <w:t xml:space="preserve">Aufgabe der Kommission ist die Beratung und Beschlussfassung von Rechtsnormen über Inhalt, Abschluss und Beendigung von Arbeitsverhältnissen, solange und soweit die Zentrale Kommission </w:t>
      </w:r>
      <w:hyperlink r:id="rId1957" w:history="1">
        <w:r w:rsidRPr="005D4C74">
          <w:rPr>
            <w:rStyle w:val="Hyperlink"/>
          </w:rPr>
          <w:t>(§ 2 Zentral-KODA-Ordnung)</w:t>
        </w:r>
      </w:hyperlink>
      <w:r>
        <w:t xml:space="preserve"> von ihrer Regelungsbefugnis gemäß </w:t>
      </w:r>
      <w:hyperlink r:id="rId1958" w:history="1">
        <w:r w:rsidRPr="005D4C74">
          <w:rPr>
            <w:rStyle w:val="Hyperlink"/>
          </w:rPr>
          <w:t>§ 3 Absatz 1 Zentral-KODA-Ordnung</w:t>
        </w:r>
      </w:hyperlink>
      <w:r>
        <w:t xml:space="preserve"> keinen Gebrauch gemacht hat oder macht. </w:t>
      </w:r>
      <w:r w:rsidRPr="005D4C74">
        <w:rPr>
          <w:sz w:val="12"/>
          <w:szCs w:val="12"/>
        </w:rPr>
        <w:t>2</w:t>
      </w:r>
      <w:r>
        <w:t>Die durch die Kommission nach Maßgabe dieser Ordnung beschlossenen und vom Diözesanbischof in Kraft gesetzten Beschlüsse gelten unmittelbar und zwingend.</w:t>
      </w:r>
    </w:p>
    <w:p w:rsidR="00BE1EFE" w:rsidRDefault="00BE1EFE" w:rsidP="005D4C74">
      <w:pPr>
        <w:pStyle w:val="StandardWeb"/>
      </w:pPr>
    </w:p>
    <w:p w:rsidR="00BE1EFE" w:rsidRDefault="00BE1EFE" w:rsidP="005D4C74">
      <w:pPr>
        <w:pStyle w:val="StandardWeb"/>
      </w:pPr>
      <w:r>
        <w:t xml:space="preserve">(2) Beschlüsse der Zentralen Kommission im Rahmen ihrer Beschlusskompetenz gemäß </w:t>
      </w:r>
      <w:hyperlink r:id="rId1959" w:history="1">
        <w:r w:rsidRPr="005D4C74">
          <w:rPr>
            <w:rStyle w:val="Hyperlink"/>
          </w:rPr>
          <w:t>§ 3 Absatz 1 Zentral-KODA-Ordnung</w:t>
        </w:r>
      </w:hyperlink>
      <w:r>
        <w:t xml:space="preserve"> gehen mit ihrer Inkraftsetzung den Beschlüssen der Kommission vor.</w:t>
      </w:r>
    </w:p>
    <w:p w:rsidR="00BE1EFE" w:rsidRDefault="00BE1EFE" w:rsidP="005D4C74">
      <w:pPr>
        <w:pStyle w:val="StandardWeb"/>
      </w:pPr>
    </w:p>
    <w:p w:rsidR="00BE1EFE" w:rsidRDefault="00BE1EFE" w:rsidP="005D4C74">
      <w:pPr>
        <w:pStyle w:val="StandardWeb"/>
      </w:pPr>
      <w:r>
        <w:t xml:space="preserve">(3) In Erfüllung ihrer Aufgabe soll die Kommission bei den Beratungen die Empfehlungen der Zentralen Kommission gemäß </w:t>
      </w:r>
      <w:hyperlink r:id="rId1960" w:history="1">
        <w:r w:rsidRPr="005D4C74">
          <w:rPr>
            <w:rStyle w:val="Hyperlink"/>
          </w:rPr>
          <w:t>§ 3 Absatz 3 Zentral-KODA-Ordnung</w:t>
        </w:r>
      </w:hyperlink>
      <w:r>
        <w:t xml:space="preserve"> berücksichtigen.</w:t>
      </w:r>
    </w:p>
    <w:p w:rsidR="00BE1EFE" w:rsidRDefault="00BE1EFE">
      <w:pPr>
        <w:pStyle w:val="StandardWeb"/>
      </w:pPr>
    </w:p>
    <w:p w:rsidR="00BE1EFE" w:rsidRDefault="00BE1EFE">
      <w:pPr>
        <w:pStyle w:val="StandardWeb"/>
      </w:pPr>
    </w:p>
    <w:p w:rsidR="00BE1EFE" w:rsidRPr="005D4C74" w:rsidRDefault="00BE1EFE">
      <w:pPr>
        <w:pStyle w:val="berschrift5"/>
        <w:rPr>
          <w:lang w:eastAsia="x-none"/>
        </w:rPr>
      </w:pPr>
      <w:bookmarkStart w:id="1346" w:name="_Toc523926856"/>
      <w:r>
        <w:lastRenderedPageBreak/>
        <w:t xml:space="preserve">§ 4 </w:t>
      </w:r>
      <w:r>
        <w:rPr>
          <w:lang w:eastAsia="x-none"/>
        </w:rPr>
        <w:t>Zusammensetzung</w:t>
      </w:r>
      <w:bookmarkEnd w:id="1346"/>
    </w:p>
    <w:p w:rsidR="00BE1EFE" w:rsidRPr="00B76821" w:rsidRDefault="00BE1EFE" w:rsidP="00B76821">
      <w:pPr>
        <w:pStyle w:val="berschrift6"/>
        <w:keepNext w:val="0"/>
        <w:spacing w:before="0" w:after="0"/>
        <w:rPr>
          <w:sz w:val="2"/>
        </w:rPr>
      </w:pPr>
    </w:p>
    <w:p w:rsidR="00BE1EFE" w:rsidRDefault="00BE1EFE" w:rsidP="005D4C74">
      <w:pPr>
        <w:pStyle w:val="StandardWeb"/>
      </w:pPr>
      <w:r>
        <w:t>(1) </w:t>
      </w:r>
      <w:r w:rsidRPr="005D4C74">
        <w:rPr>
          <w:sz w:val="12"/>
          <w:szCs w:val="12"/>
        </w:rPr>
        <w:t>1</w:t>
      </w:r>
      <w:r>
        <w:t xml:space="preserve">Die Kommission ist paritätisch besetzt. </w:t>
      </w:r>
      <w:r w:rsidRPr="0010009D">
        <w:rPr>
          <w:sz w:val="12"/>
          <w:szCs w:val="12"/>
        </w:rPr>
        <w:t>2</w:t>
      </w:r>
      <w:r>
        <w:t>Sie setzt sich aus 38 Mitgliedern (19 Dienstgeber</w:t>
      </w:r>
      <w:r>
        <w:softHyphen/>
        <w:t>vertreter/Dienstgebervertreterinnen und 19 Dienstnehmervertreter/Dienstnehmervertreterin</w:t>
      </w:r>
      <w:r>
        <w:softHyphen/>
        <w:t>nen) zusammen und zwar</w:t>
      </w:r>
    </w:p>
    <w:p w:rsidR="00BE1EFE" w:rsidRDefault="00BE1EFE" w:rsidP="005D4C74">
      <w:pPr>
        <w:pStyle w:val="StandardWeb"/>
      </w:pPr>
      <w:r>
        <w:t>a) jeweils zwei Dienstgebervertreter/Dienstgebervertreterinnen und zwei Dienstnehmerver-treter/Dienstnehmervertreterinnen aus der Erzdiözese Bamberg, sowie aus den Diözesen Eichstätt, Passau, Regensburg und Würzburg,</w:t>
      </w:r>
    </w:p>
    <w:p w:rsidR="00BE1EFE" w:rsidRDefault="00BE1EFE" w:rsidP="005D4C74">
      <w:pPr>
        <w:pStyle w:val="StandardWeb"/>
      </w:pPr>
      <w:r>
        <w:t>b) drei Dienstgebervertreter/Dienstgebervertreterinnen und drei Dienstnehmervertreter/Dienst-nehmervertreterinnen aus der Diözese Augsburg,</w:t>
      </w:r>
    </w:p>
    <w:p w:rsidR="00BE1EFE" w:rsidRDefault="00BE1EFE" w:rsidP="005D4C74">
      <w:pPr>
        <w:pStyle w:val="StandardWeb"/>
      </w:pPr>
      <w:r>
        <w:t>c) vier Dienstgebervertreter/Dienstgebervertreterinnen und vier Dienstnehmervertreter/ Dienst-nehmervertreterinnen aus der Erzdiözese München und Freising sowie</w:t>
      </w:r>
    </w:p>
    <w:p w:rsidR="00BE1EFE" w:rsidRDefault="00BE1EFE" w:rsidP="005D4C74">
      <w:pPr>
        <w:pStyle w:val="StandardWeb"/>
      </w:pPr>
      <w:r>
        <w:t xml:space="preserve">d) zwei Dienstnehmervertreter/Dienstnehmervertreterinnen aus dem Bereich der Lehrkräfte an katholischen Schulen gemäß </w:t>
      </w:r>
      <w:hyperlink r:id="rId1961" w:history="1">
        <w:r w:rsidRPr="0010009D">
          <w:rPr>
            <w:rStyle w:val="Hyperlink"/>
          </w:rPr>
          <w:t>can. 803 CIC</w:t>
        </w:r>
      </w:hyperlink>
      <w:r>
        <w:t xml:space="preserve"> und</w:t>
      </w:r>
    </w:p>
    <w:p w:rsidR="00BE1EFE" w:rsidRDefault="00BE1EFE" w:rsidP="005D4C74">
      <w:pPr>
        <w:pStyle w:val="StandardWeb"/>
      </w:pPr>
      <w:r>
        <w:t xml:space="preserve">e) zwei Vertreter/Vertreterinnen der Schulträger. </w:t>
      </w:r>
      <w:r w:rsidRPr="0010009D">
        <w:rPr>
          <w:sz w:val="12"/>
          <w:szCs w:val="12"/>
        </w:rPr>
        <w:t>3</w:t>
      </w:r>
      <w:r>
        <w:t>Einer davon kann auch ein Vertreter/eine Vertreterin des Katholischen Schulwerks in Bayern sein.</w:t>
      </w:r>
    </w:p>
    <w:p w:rsidR="00BE1EFE" w:rsidRDefault="00BE1EFE" w:rsidP="005D4C74">
      <w:pPr>
        <w:pStyle w:val="StandardWeb"/>
      </w:pPr>
    </w:p>
    <w:p w:rsidR="00BE1EFE" w:rsidRPr="000B1AF8" w:rsidRDefault="00BE1EFE">
      <w:pPr>
        <w:pStyle w:val="StandardWeb"/>
      </w:pPr>
      <w:r>
        <w:t>(2) </w:t>
      </w:r>
      <w:r w:rsidRPr="0010009D">
        <w:rPr>
          <w:sz w:val="12"/>
          <w:szCs w:val="12"/>
        </w:rPr>
        <w:t>1</w:t>
      </w:r>
      <w:r>
        <w:t xml:space="preserve">Zusätzlich zu den Mitgliedern auf Dienstnehmerseite nach Absatz 1 wird eine bestimmte Anzahl von Mitgliedern durch tariffähige Arbeitnehmerkoalitionen (Gewerkschaften) entsandt. </w:t>
      </w:r>
      <w:r w:rsidRPr="0010009D">
        <w:rPr>
          <w:sz w:val="12"/>
          <w:szCs w:val="12"/>
        </w:rPr>
        <w:t>2</w:t>
      </w:r>
      <w:r>
        <w:t xml:space="preserve">Das Nähere regelt </w:t>
      </w:r>
      <w:hyperlink r:id="rId1962" w:history="1">
        <w:r w:rsidRPr="0010009D">
          <w:rPr>
            <w:rStyle w:val="Hyperlink"/>
          </w:rPr>
          <w:t>§ 6</w:t>
        </w:r>
      </w:hyperlink>
      <w:r>
        <w:t xml:space="preserve">. </w:t>
      </w:r>
      <w:r w:rsidRPr="0010009D">
        <w:rPr>
          <w:sz w:val="12"/>
          <w:szCs w:val="12"/>
        </w:rPr>
        <w:t>3</w:t>
      </w:r>
      <w:r>
        <w:t>Im Fall der Entsendung ist die Dienstgeberseite durch die gleiche Zahl von Dienstgebervertretern/Dienstgebervertreterinnen zu erhöhen.</w:t>
      </w:r>
    </w:p>
    <w:p w:rsidR="00BE1EFE" w:rsidRPr="0010009D" w:rsidRDefault="00BE1EFE">
      <w:pPr>
        <w:pStyle w:val="berschrift5"/>
        <w:rPr>
          <w:lang w:eastAsia="x-none"/>
        </w:rPr>
      </w:pPr>
      <w:bookmarkStart w:id="1347" w:name="_Toc523926857"/>
      <w:r>
        <w:t>§ 5</w:t>
      </w:r>
      <w:r w:rsidRPr="0010009D">
        <w:t xml:space="preserve"> Berufung und Wahl der Mitglieder, Wahlrechtsgrundsätze</w:t>
      </w:r>
      <w:bookmarkEnd w:id="1347"/>
    </w:p>
    <w:p w:rsidR="00BE1EFE" w:rsidRPr="00B76821" w:rsidRDefault="00BE1EFE" w:rsidP="00B76821">
      <w:pPr>
        <w:pStyle w:val="berschrift6"/>
        <w:keepNext w:val="0"/>
        <w:spacing w:before="0" w:after="0"/>
        <w:rPr>
          <w:sz w:val="2"/>
        </w:rPr>
      </w:pPr>
    </w:p>
    <w:p w:rsidR="00BE1EFE" w:rsidRDefault="00BE1EFE" w:rsidP="0010009D">
      <w:pPr>
        <w:pStyle w:val="StandardWeb"/>
      </w:pPr>
      <w:r>
        <w:t>(1) </w:t>
      </w:r>
      <w:r w:rsidRPr="0010009D">
        <w:rPr>
          <w:sz w:val="12"/>
          <w:szCs w:val="12"/>
        </w:rPr>
        <w:t>1</w:t>
      </w:r>
      <w:r>
        <w:t xml:space="preserve">Die Dienstgebervertreter/Dienstgebervertreterinnen werden durch die Konferenz der bayerischen Generalvikare für die Dauer der Amtszeit berufen. </w:t>
      </w:r>
      <w:r w:rsidRPr="0010009D">
        <w:rPr>
          <w:sz w:val="12"/>
          <w:szCs w:val="12"/>
        </w:rPr>
        <w:t>2</w:t>
      </w:r>
      <w:r>
        <w:t xml:space="preserve">Als Dienstgeber-vertreter/Dienstgebervertreterin kann nicht berufen werden, wer aufgrund der Mitarbeiter-vertretungsordnung (MAVO) Mitglied der Mitarbeitervertretung sein kann. </w:t>
      </w:r>
      <w:r w:rsidRPr="0010009D">
        <w:rPr>
          <w:sz w:val="12"/>
          <w:szCs w:val="12"/>
        </w:rPr>
        <w:t>3</w:t>
      </w:r>
      <w:r>
        <w:t xml:space="preserve">Nicht im kirchlichen Dienst stehende Personen können Dienstgebervertreter/Dienstgebervertreterin sein, wenn sie als Mitglied eines kirchlichen Organs zur Entscheidung in arbeitsvertragsrechtlichen Angelegenheiten befugt sind. </w:t>
      </w:r>
      <w:r w:rsidRPr="0010009D">
        <w:rPr>
          <w:sz w:val="12"/>
          <w:szCs w:val="12"/>
        </w:rPr>
        <w:t>4</w:t>
      </w:r>
      <w:r>
        <w:t>Bei der Berufung der Dienstgebervertreter/Dienstgeber-vertreterinnen sollen die verschiedenen Bereiche des kirchlichen Dienstes einschließlich der Orden angemessen berücksichtigt werden.</w:t>
      </w:r>
    </w:p>
    <w:p w:rsidR="00BE1EFE" w:rsidRDefault="00BE1EFE" w:rsidP="0010009D">
      <w:pPr>
        <w:pStyle w:val="StandardWeb"/>
      </w:pPr>
    </w:p>
    <w:p w:rsidR="00BE1EFE" w:rsidRDefault="00BE1EFE">
      <w:pPr>
        <w:pStyle w:val="StandardWeb"/>
      </w:pPr>
      <w:r>
        <w:t>(2) </w:t>
      </w:r>
      <w:r w:rsidRPr="0010009D">
        <w:rPr>
          <w:sz w:val="12"/>
          <w:szCs w:val="12"/>
        </w:rPr>
        <w:t>1</w:t>
      </w:r>
      <w:r>
        <w:t xml:space="preserve">Die Dienstnehmervertreter/Dienstnehmervertreterinnen gemäß </w:t>
      </w:r>
      <w:hyperlink r:id="rId1963" w:history="1">
        <w:r w:rsidRPr="00AE6922">
          <w:rPr>
            <w:rStyle w:val="Hyperlink"/>
          </w:rPr>
          <w:t>§ 4 Absatz 1</w:t>
        </w:r>
      </w:hyperlink>
      <w:r>
        <w:t xml:space="preserve"> werden für die Dauer der Amtszeit gewählt. </w:t>
      </w:r>
      <w:r w:rsidRPr="0010009D">
        <w:rPr>
          <w:sz w:val="12"/>
          <w:szCs w:val="12"/>
        </w:rPr>
        <w:t>2</w:t>
      </w:r>
      <w:r>
        <w:t xml:space="preserve">Die verschiedenen Gruppen des kirchlichen Dienstes sollen dabei berücksichtigt werden. </w:t>
      </w:r>
      <w:r w:rsidRPr="0010009D">
        <w:rPr>
          <w:sz w:val="12"/>
          <w:szCs w:val="12"/>
        </w:rPr>
        <w:t>3</w:t>
      </w:r>
      <w:r>
        <w:t xml:space="preserve">Das Nähere regelt die Wahlordnung. </w:t>
      </w:r>
    </w:p>
    <w:p w:rsidR="00BE1EFE" w:rsidRPr="00AE6922" w:rsidRDefault="00BE1EFE">
      <w:pPr>
        <w:pStyle w:val="berschrift5"/>
        <w:rPr>
          <w:lang w:eastAsia="x-none"/>
        </w:rPr>
      </w:pPr>
      <w:bookmarkStart w:id="1348" w:name="_Toc523926858"/>
      <w:r>
        <w:t>§ 6</w:t>
      </w:r>
      <w:r w:rsidRPr="00AE6922">
        <w:t xml:space="preserve"> Entsendungsgrundsätze</w:t>
      </w:r>
      <w:bookmarkEnd w:id="1348"/>
    </w:p>
    <w:p w:rsidR="00BE1EFE" w:rsidRPr="00B76821" w:rsidRDefault="00BE1EFE" w:rsidP="00B76821">
      <w:pPr>
        <w:pStyle w:val="berschrift6"/>
        <w:keepNext w:val="0"/>
        <w:spacing w:before="0" w:after="0"/>
        <w:rPr>
          <w:sz w:val="2"/>
        </w:rPr>
      </w:pPr>
    </w:p>
    <w:p w:rsidR="00BE1EFE" w:rsidRDefault="00BE1EFE" w:rsidP="00AE6922">
      <w:pPr>
        <w:pStyle w:val="StandardWeb"/>
      </w:pPr>
      <w:r>
        <w:t>(1) </w:t>
      </w:r>
      <w:r w:rsidRPr="00AE6922">
        <w:rPr>
          <w:sz w:val="12"/>
          <w:szCs w:val="12"/>
        </w:rPr>
        <w:t>1</w:t>
      </w:r>
      <w:r>
        <w:t xml:space="preserve">Die Anzahl der Mitglieder gemäß </w:t>
      </w:r>
      <w:hyperlink r:id="rId1964" w:history="1">
        <w:r w:rsidRPr="00AE6922">
          <w:rPr>
            <w:rStyle w:val="Hyperlink"/>
          </w:rPr>
          <w:t>§ 4 Absatz 2 Satz 1</w:t>
        </w:r>
      </w:hyperlink>
      <w:r>
        <w:t xml:space="preserve">, die von den Gewerkschaften entsandt werden, richtet sich grundsätzlich nach dem zahlenmäßigen Verhältnis der im Zeitpunkt der Entsendung in den Gewerkschaften zusammengeschlossenen kirchlichen Dienstnehmer/Dienstnehmerinnen zur Gesamtzahl der kirchlichen Dienstnehmer/Dienst-nehmerinnen im Zuständigkeitsbereich der Kommission (Organisationsstärke). </w:t>
      </w:r>
      <w:r w:rsidRPr="00AE6922">
        <w:rPr>
          <w:sz w:val="12"/>
          <w:szCs w:val="12"/>
        </w:rPr>
        <w:t>2</w:t>
      </w:r>
      <w:r>
        <w:t xml:space="preserve">Ungeachtet der jeweiligen Organisationsstärke stehen für die Gewerkschaften mindestens zwei Sitze zur Verfügung. </w:t>
      </w:r>
      <w:r w:rsidRPr="00AE6922">
        <w:rPr>
          <w:sz w:val="12"/>
          <w:szCs w:val="12"/>
        </w:rPr>
        <w:t>3</w:t>
      </w:r>
      <w:r>
        <w:t>Satz 2 findet keine Anwendung, wenn die Mitarbeit in der Kommission von keiner Gewerkschaft beansprucht wird.</w:t>
      </w:r>
    </w:p>
    <w:p w:rsidR="00BE1EFE" w:rsidRDefault="00BE1EFE" w:rsidP="00AE6922">
      <w:pPr>
        <w:pStyle w:val="StandardWeb"/>
      </w:pPr>
    </w:p>
    <w:p w:rsidR="00BE1EFE" w:rsidRDefault="00BE1EFE" w:rsidP="00AE6922">
      <w:pPr>
        <w:pStyle w:val="StandardWeb"/>
      </w:pPr>
      <w:r>
        <w:lastRenderedPageBreak/>
        <w:t xml:space="preserve">(2) Berechtigt zur Entsendung von Mitgliedern in die Kommission sind nur Gewerkschaften, die nach ihrer Satzung für diesen Bereich zuständig sind. </w:t>
      </w:r>
    </w:p>
    <w:p w:rsidR="00BE1EFE" w:rsidRDefault="00BE1EFE" w:rsidP="00AE6922">
      <w:pPr>
        <w:pStyle w:val="StandardWeb"/>
      </w:pPr>
    </w:p>
    <w:p w:rsidR="00BE1EFE" w:rsidRDefault="00BE1EFE" w:rsidP="00AE6922">
      <w:pPr>
        <w:pStyle w:val="StandardWeb"/>
      </w:pPr>
      <w:r>
        <w:t>(3) Benennt nur eine Gewerkschaft Vertreter/Vertreterinnen für die Kommission, fallen alle Sitze nach Absatz 1 Satz 2 an diese Gewerkschaft.</w:t>
      </w:r>
    </w:p>
    <w:p w:rsidR="00BE1EFE" w:rsidRDefault="00BE1EFE" w:rsidP="00AE6922">
      <w:pPr>
        <w:pStyle w:val="StandardWeb"/>
      </w:pPr>
    </w:p>
    <w:p w:rsidR="00BE1EFE" w:rsidRDefault="00BE1EFE" w:rsidP="00AE6922">
      <w:pPr>
        <w:pStyle w:val="StandardWeb"/>
      </w:pPr>
      <w:r>
        <w:t>(4) </w:t>
      </w:r>
      <w:r w:rsidRPr="00AE6922">
        <w:rPr>
          <w:sz w:val="12"/>
          <w:szCs w:val="12"/>
        </w:rPr>
        <w:t>1</w:t>
      </w:r>
      <w:r>
        <w:t>Benennen mehrere Gewerkschaften Vertreter/Vertreterinnen für die Kommission, einigen sich die mitwirkungsberechtigten und mitwirkungswilligen Gewerkschaften auf die zahlen</w:t>
      </w:r>
      <w:r>
        <w:softHyphen/>
        <w:t xml:space="preserve">mäßige und namentliche Zusammensetzung der von der Gewerkschaft zu entsendenden Vertreter/Vertreterinnen. </w:t>
      </w:r>
      <w:r w:rsidRPr="00AE6922">
        <w:rPr>
          <w:sz w:val="12"/>
          <w:szCs w:val="12"/>
        </w:rPr>
        <w:t>2</w:t>
      </w:r>
      <w:r>
        <w:t xml:space="preserve">Kommt eine Einigung nicht zustande, entscheidet der/die Vorsitzende der Kommission im Einvernehmen mit dem/der stellvertretenden Vorsitzenden über die Verteilung der Plätze. </w:t>
      </w:r>
      <w:r w:rsidRPr="00AE6922">
        <w:rPr>
          <w:sz w:val="12"/>
          <w:szCs w:val="12"/>
        </w:rPr>
        <w:t>3</w:t>
      </w:r>
      <w:r>
        <w:t xml:space="preserve">Gegen die Entscheidung des/der Vorsitzenden der Kommission ist Klage beim kirchlichen Arbeitsgericht innerhalb einer Ausschlussfrist von zwei Wochen nach Bekanntgabe der Entscheidung zulässig. </w:t>
      </w:r>
      <w:r w:rsidRPr="00AE6922">
        <w:rPr>
          <w:sz w:val="12"/>
          <w:szCs w:val="12"/>
        </w:rPr>
        <w:t>4</w:t>
      </w:r>
      <w:r>
        <w:t xml:space="preserve">Die Frist beginnt nur zu laufen, wenn die Gewerkschaften über den Rechtsbehelf, das Gericht, bei dem der Rechtsbehelf anzubringen ist, den Sitz und die einzuhaltende Frist schriftlich belehrt worden sind. </w:t>
      </w:r>
      <w:r w:rsidRPr="00AE6922">
        <w:rPr>
          <w:sz w:val="12"/>
          <w:szCs w:val="12"/>
        </w:rPr>
        <w:t>5</w:t>
      </w:r>
      <w:r>
        <w:t xml:space="preserve">Das kirchliche Arbeitsgericht entscheidet auf Grund der Mitgliederzahlen, die ihm gegenüber glaubhaft zu machen sind. </w:t>
      </w:r>
      <w:r w:rsidRPr="00AE6922">
        <w:rPr>
          <w:sz w:val="12"/>
          <w:szCs w:val="12"/>
        </w:rPr>
        <w:t>6</w:t>
      </w:r>
      <w:r>
        <w:t xml:space="preserve">Die Glaubhaftmachung der Mitgliederzahl kann insbesondere durch eine eidesstattliche Versicherung erfolgen, die ein Mitglied des Vertretungsorgans der Gewerkschaft vor einem Notar abgibt. </w:t>
      </w:r>
    </w:p>
    <w:p w:rsidR="00BE1EFE" w:rsidRDefault="00BE1EFE" w:rsidP="00AE6922">
      <w:pPr>
        <w:pStyle w:val="StandardWeb"/>
      </w:pPr>
    </w:p>
    <w:p w:rsidR="00BE1EFE" w:rsidRDefault="00BE1EFE" w:rsidP="00AE6922">
      <w:pPr>
        <w:pStyle w:val="StandardWeb"/>
      </w:pPr>
      <w:r>
        <w:t xml:space="preserve">(5) Die entsandten Mitglieder müssen die Gewähr dafür bieten, dass sie das verfas-sungsmäßige Selbstbestimmungsrecht der Kirche zur Gestaltung der sozialen Ordnung ihres Dienstes achten und die Eigenart des kirchlichen Dienstes respektieren. </w:t>
      </w:r>
    </w:p>
    <w:p w:rsidR="00BE1EFE" w:rsidRDefault="00BE1EFE" w:rsidP="00AE6922">
      <w:pPr>
        <w:pStyle w:val="StandardWeb"/>
      </w:pPr>
    </w:p>
    <w:p w:rsidR="00BE1EFE" w:rsidRDefault="00BE1EFE" w:rsidP="00AE6922">
      <w:pPr>
        <w:pStyle w:val="StandardWeb"/>
      </w:pPr>
      <w:r>
        <w:t xml:space="preserve">(6) Scheidet ein entsandtes Mitglied aus der Kommission aus oder wird es abberufen, entsendet die Gewerkschaft, die durch das Mitglied vertreten wurde, unverzüglich ein neues Mitglied. </w:t>
      </w:r>
    </w:p>
    <w:p w:rsidR="00BE1EFE" w:rsidRDefault="00BE1EFE" w:rsidP="00AE6922">
      <w:pPr>
        <w:pStyle w:val="StandardWeb"/>
      </w:pPr>
    </w:p>
    <w:p w:rsidR="00BE1EFE" w:rsidRDefault="00BE1EFE" w:rsidP="00AE6922">
      <w:pPr>
        <w:pStyle w:val="StandardWeb"/>
      </w:pPr>
      <w:r>
        <w:t>(7) </w:t>
      </w:r>
      <w:r w:rsidRPr="00AE6922">
        <w:rPr>
          <w:sz w:val="12"/>
          <w:szCs w:val="12"/>
        </w:rPr>
        <w:t>1</w:t>
      </w:r>
      <w:r>
        <w:t xml:space="preserve">Kündigt eine Gewerkschaft ihre Mitarbeit in der Kommission auf, einigen sich die verbleibenden mitwirkungsberechtigten und mitwirkungswilligen Gewerkschaften darüber, wer für den Rest der Amtszeit die Stelle des ausscheidenden Mitglieds übernehmen soll. </w:t>
      </w:r>
      <w:r w:rsidRPr="00AE6922">
        <w:rPr>
          <w:sz w:val="12"/>
          <w:szCs w:val="12"/>
        </w:rPr>
        <w:t>2</w:t>
      </w:r>
      <w:r>
        <w:t xml:space="preserve">Kommt keine Einigung zustande, entscheidet der/die Vorsitzende der Kommission, welcher verbleibenden Gewerkschaft das Nachbesetzungsrecht zusteht. </w:t>
      </w:r>
      <w:r w:rsidRPr="00AE6922">
        <w:rPr>
          <w:sz w:val="12"/>
          <w:szCs w:val="12"/>
        </w:rPr>
        <w:t>3</w:t>
      </w:r>
      <w:r>
        <w:t xml:space="preserve">Gegen die Entscheidung des/der Vorsitzenden der Kommission ist Klage beim Kirchlichen Arbeitsgericht innerhalb einer Ausschlussfrist von zwei Wochen nach Bekanntgabe der Entscheidung zulässig. </w:t>
      </w:r>
      <w:r w:rsidRPr="00AE6922">
        <w:rPr>
          <w:sz w:val="12"/>
          <w:szCs w:val="12"/>
        </w:rPr>
        <w:t>4</w:t>
      </w:r>
      <w:r>
        <w:t xml:space="preserve">Die Frist beginnt nur zu laufen, wenn die Gewerkschaft über den Rechtsbehelf, das Gericht, bei dem der Rechtsbehelf anzubringen ist, den Sitz und die einzuhaltende Frist schriftlich belehrt worden ist. </w:t>
      </w:r>
    </w:p>
    <w:p w:rsidR="00BE1EFE" w:rsidRDefault="00BE1EFE" w:rsidP="00AE6922">
      <w:pPr>
        <w:pStyle w:val="StandardWeb"/>
      </w:pPr>
    </w:p>
    <w:p w:rsidR="00BE1EFE" w:rsidRDefault="00BE1EFE" w:rsidP="00AE6922">
      <w:pPr>
        <w:pStyle w:val="StandardWeb"/>
      </w:pPr>
      <w:r>
        <w:t xml:space="preserve">(8) Kündigen alle Gewerkschaften ihre Mitarbeit in der Kommission auf, rücken nach der Maßgabe des </w:t>
      </w:r>
      <w:hyperlink r:id="rId1965" w:history="1">
        <w:r w:rsidRPr="00AE6922">
          <w:rPr>
            <w:rStyle w:val="Hyperlink"/>
          </w:rPr>
          <w:t>§ 8 Absatz 7</w:t>
        </w:r>
      </w:hyperlink>
      <w:r>
        <w:t xml:space="preserve"> die nächstberechtigten Ersatzmitglieder für den Rest der Amtsperiode nach. </w:t>
      </w:r>
    </w:p>
    <w:p w:rsidR="00BE1EFE" w:rsidRDefault="00BE1EFE" w:rsidP="00AE6922">
      <w:pPr>
        <w:pStyle w:val="StandardWeb"/>
      </w:pPr>
    </w:p>
    <w:p w:rsidR="00BE1EFE" w:rsidRDefault="00BE1EFE" w:rsidP="00AE6922">
      <w:pPr>
        <w:pStyle w:val="StandardWeb"/>
      </w:pPr>
      <w:r>
        <w:t>(9) Das Nähere regelt die Entsendeordnung für die Vertreter/Vertreterinnen der tariffähigen Arbeitnehmerkoalitionen in die Kommission für das Arbeitsvertragsrecht der bayerischen Diözesen.</w:t>
      </w:r>
    </w:p>
    <w:p w:rsidR="00BE1EFE" w:rsidRDefault="00BE1EFE" w:rsidP="00AE6922">
      <w:pPr>
        <w:pStyle w:val="StandardWeb"/>
      </w:pPr>
    </w:p>
    <w:p w:rsidR="00BE1EFE" w:rsidRDefault="00BE1EFE" w:rsidP="00AE6922">
      <w:pPr>
        <w:pStyle w:val="StandardWeb"/>
      </w:pPr>
    </w:p>
    <w:p w:rsidR="00BE1EFE" w:rsidRPr="00275A1A" w:rsidRDefault="00BE1EFE">
      <w:pPr>
        <w:pStyle w:val="berschrift5"/>
        <w:rPr>
          <w:lang w:eastAsia="x-none"/>
        </w:rPr>
      </w:pPr>
      <w:bookmarkStart w:id="1349" w:name="_Toc523926859"/>
      <w:r>
        <w:lastRenderedPageBreak/>
        <w:t>§ 7</w:t>
      </w:r>
      <w:r w:rsidRPr="00275A1A">
        <w:t xml:space="preserve"> Konstituierende Sitzung und Wahl des/der Vorsitzenden und des/der stellvertretenden Vorsitzenden</w:t>
      </w:r>
      <w:bookmarkEnd w:id="1349"/>
    </w:p>
    <w:p w:rsidR="00BE1EFE" w:rsidRPr="00B76821" w:rsidRDefault="00BE1EFE" w:rsidP="00B76821">
      <w:pPr>
        <w:pStyle w:val="berschrift6"/>
        <w:keepNext w:val="0"/>
        <w:spacing w:before="0" w:after="0"/>
        <w:rPr>
          <w:sz w:val="2"/>
        </w:rPr>
      </w:pPr>
    </w:p>
    <w:p w:rsidR="00BE1EFE" w:rsidRDefault="00BE1EFE" w:rsidP="00275A1A">
      <w:pPr>
        <w:pStyle w:val="StandardWeb"/>
      </w:pPr>
      <w:r>
        <w:t>(1) Der/Die bisherige Vorsitzende, bei dessen/deren Verhinderung der/die bisherige stellver-tretende Vorsitzende, lädt zur konstituierenden Sitzung ein, die innerhalb von acht Wochen nach Ablauf der Amtszeit der bisherigen Kommission stattfindet.</w:t>
      </w:r>
    </w:p>
    <w:p w:rsidR="00BE1EFE" w:rsidRDefault="00BE1EFE" w:rsidP="00275A1A">
      <w:pPr>
        <w:pStyle w:val="StandardWeb"/>
      </w:pPr>
    </w:p>
    <w:p w:rsidR="00BE1EFE" w:rsidRDefault="00BE1EFE" w:rsidP="00275A1A">
      <w:pPr>
        <w:pStyle w:val="StandardWeb"/>
      </w:pPr>
      <w:r>
        <w:t>(2) Das nach Lebensjahren älteste Mitglied eröffnet und leitet die konstituierende Sitzung bis zum Abschluss der Wahl.</w:t>
      </w:r>
    </w:p>
    <w:p w:rsidR="00BE1EFE" w:rsidRDefault="00BE1EFE" w:rsidP="00275A1A">
      <w:pPr>
        <w:pStyle w:val="StandardWeb"/>
      </w:pPr>
    </w:p>
    <w:p w:rsidR="00BE1EFE" w:rsidRDefault="00BE1EFE" w:rsidP="00275A1A">
      <w:pPr>
        <w:pStyle w:val="StandardWeb"/>
      </w:pPr>
      <w:r>
        <w:t>(3) </w:t>
      </w:r>
      <w:r w:rsidRPr="00275A1A">
        <w:rPr>
          <w:sz w:val="12"/>
          <w:szCs w:val="12"/>
        </w:rPr>
        <w:t>1</w:t>
      </w:r>
      <w:r>
        <w:t>In der konstituierenden Sitzung werden ein Vorsitzender/eine Vorsitzende und ein stell</w:t>
      </w:r>
      <w:r>
        <w:softHyphen/>
        <w:t xml:space="preserve">vertretender Vorsitzender/eine stellvertretende Vorsitzende von der Kommission für die Hälfte der Amtszeit geheim gewählt. </w:t>
      </w:r>
      <w:r w:rsidRPr="00275A1A">
        <w:rPr>
          <w:sz w:val="12"/>
          <w:szCs w:val="12"/>
        </w:rPr>
        <w:t>2</w:t>
      </w:r>
      <w:r>
        <w:t xml:space="preserve">Gewählt ist, wer die Mehrheit der Stimmen aller Kommissionsmitglieder auf sich vereinigt. </w:t>
      </w:r>
      <w:r w:rsidRPr="00275A1A">
        <w:rPr>
          <w:sz w:val="12"/>
          <w:szCs w:val="12"/>
        </w:rPr>
        <w:t>3</w:t>
      </w:r>
      <w:r>
        <w:t xml:space="preserve">Kommt in zwei Wahlgängen die erforderliche Mehrheit nicht zustande, so ist gewählt, wer in einem weiteren Wahlgang die meisten Stimmen auf sich vereinigt. </w:t>
      </w:r>
      <w:r w:rsidRPr="00275A1A">
        <w:rPr>
          <w:sz w:val="12"/>
          <w:szCs w:val="12"/>
        </w:rPr>
        <w:t>4</w:t>
      </w:r>
      <w:r>
        <w:t xml:space="preserve">Je einer/eine muss der Dienstgeber- bzw. der Dienstnehmerseite angehören. </w:t>
      </w:r>
      <w:r w:rsidRPr="00275A1A">
        <w:rPr>
          <w:sz w:val="12"/>
          <w:szCs w:val="12"/>
        </w:rPr>
        <w:t>5</w:t>
      </w:r>
      <w:r>
        <w:t xml:space="preserve">Nach Ablauf der Hälfte der Amtszeit wechselt der Vorsitz zwischen Dienstgeber- und Dienstnehmerseite. </w:t>
      </w:r>
      <w:r w:rsidRPr="00275A1A">
        <w:rPr>
          <w:sz w:val="12"/>
          <w:szCs w:val="12"/>
        </w:rPr>
        <w:t>6</w:t>
      </w:r>
      <w:r>
        <w:t xml:space="preserve">Im Einvernehmen zwischen Dienstgeber- und Dienstnehmerseite kann die zeitliche Lage des Wechsels abweichend bestimmt werden. </w:t>
      </w:r>
      <w:r w:rsidRPr="00275A1A">
        <w:rPr>
          <w:sz w:val="12"/>
          <w:szCs w:val="12"/>
        </w:rPr>
        <w:t>7</w:t>
      </w:r>
      <w:r>
        <w:t>Bei jedem Wechsel findet eine Neuwahl statt.</w:t>
      </w:r>
    </w:p>
    <w:p w:rsidR="00BE1EFE" w:rsidRDefault="00BE1EFE" w:rsidP="00275A1A">
      <w:pPr>
        <w:pStyle w:val="StandardWeb"/>
      </w:pPr>
    </w:p>
    <w:p w:rsidR="00BE1EFE" w:rsidRDefault="00BE1EFE" w:rsidP="00275A1A">
      <w:pPr>
        <w:pStyle w:val="StandardWeb"/>
      </w:pPr>
      <w:r>
        <w:t>(4) Scheidet der/die Vorsitzende oder der/die stellvertretende Vorsitzende vorzeitig aus, findet für den Rest der jeweiligen Amtszeit nach Absatz 3 eine Nachwahl statt.</w:t>
      </w:r>
    </w:p>
    <w:p w:rsidR="00BE1EFE" w:rsidRPr="00275A1A" w:rsidRDefault="00BE1EFE" w:rsidP="00275A1A">
      <w:pPr>
        <w:pStyle w:val="berschrift5"/>
        <w:rPr>
          <w:lang w:eastAsia="x-none"/>
        </w:rPr>
      </w:pPr>
      <w:bookmarkStart w:id="1350" w:name="_Toc523926860"/>
      <w:r>
        <w:t xml:space="preserve">§ </w:t>
      </w:r>
      <w:r>
        <w:rPr>
          <w:lang w:eastAsia="x-none"/>
        </w:rPr>
        <w:t>8</w:t>
      </w:r>
      <w:r w:rsidRPr="00275A1A">
        <w:t xml:space="preserve"> Vorzeitiges Ausscheiden, Nachfolge für ausgeschiedene Mitglieder, Ruhen der Mitgliedschaft</w:t>
      </w:r>
      <w:bookmarkEnd w:id="1350"/>
    </w:p>
    <w:p w:rsidR="00BE1EFE" w:rsidRPr="00B76821" w:rsidRDefault="00BE1EFE" w:rsidP="00B76821">
      <w:pPr>
        <w:pStyle w:val="berschrift6"/>
        <w:keepNext w:val="0"/>
        <w:spacing w:before="0" w:after="0"/>
        <w:rPr>
          <w:sz w:val="2"/>
        </w:rPr>
      </w:pPr>
    </w:p>
    <w:p w:rsidR="00BE1EFE" w:rsidRDefault="00BE1EFE" w:rsidP="00275A1A">
      <w:pPr>
        <w:pStyle w:val="StandardWeb"/>
      </w:pPr>
      <w:r>
        <w:t>(1) </w:t>
      </w:r>
      <w:r w:rsidRPr="00275A1A">
        <w:rPr>
          <w:sz w:val="12"/>
          <w:szCs w:val="12"/>
        </w:rPr>
        <w:t>1</w:t>
      </w:r>
      <w:r>
        <w:t>Die Mitgliedschaft in der Kommission erlischt vor Ablauf der Amtszeit durch</w:t>
      </w:r>
    </w:p>
    <w:p w:rsidR="00BE1EFE" w:rsidRDefault="00BE1EFE" w:rsidP="00275A1A">
      <w:pPr>
        <w:pStyle w:val="StandardWeb"/>
      </w:pPr>
      <w:r>
        <w:t>1. Wegfall der Voraussetzungen für die Berufung oder Wählbarkeit; die Feststellung erfolgt durch den Vorsitzenden/die Vorsitzende im Einvernehmen mit dem/der stellvertretenden Vorsitzenden,</w:t>
      </w:r>
    </w:p>
    <w:p w:rsidR="00BE1EFE" w:rsidRDefault="00BE1EFE" w:rsidP="00275A1A">
      <w:pPr>
        <w:pStyle w:val="StandardWeb"/>
      </w:pPr>
      <w:r>
        <w:t>2. Niederlegung des Amtes, die dem/der Vorsitzenden gegenüber schriftlich zu erklären ist,</w:t>
      </w:r>
    </w:p>
    <w:p w:rsidR="00BE1EFE" w:rsidRDefault="00BE1EFE" w:rsidP="00275A1A">
      <w:pPr>
        <w:pStyle w:val="StandardWeb"/>
      </w:pPr>
      <w:r>
        <w:t>3. Ausscheiden aus dem kirchlichen Dienst in der Diözese, in der das Mitglied gewählt oder für die es berufen wurde oder Eintritt in die Freistellungsphase eines nach dem Blockmodell vereinbarten Altersteilzeitarbeitsverhältnisses oder Eintritt in die Freistellungsphase eines Sabbatjahrmodells unmittelbar vor dem Renteneintritt,</w:t>
      </w:r>
    </w:p>
    <w:p w:rsidR="00BE1EFE" w:rsidRDefault="00BE1EFE" w:rsidP="00275A1A">
      <w:pPr>
        <w:pStyle w:val="StandardWeb"/>
      </w:pPr>
      <w:r>
        <w:t xml:space="preserve">4. rechtskräftige Entscheidung der kirchlichen Gerichte für Arbeitssachen, die die grobe Vernachlässigung oder Verletzung der Befugnisse und Pflichten als Mitglied der Kommission festgestellt haben. </w:t>
      </w:r>
    </w:p>
    <w:p w:rsidR="00BE1EFE" w:rsidRDefault="00BE1EFE" w:rsidP="00275A1A">
      <w:pPr>
        <w:pStyle w:val="StandardWeb"/>
      </w:pPr>
      <w:r w:rsidRPr="00275A1A">
        <w:rPr>
          <w:sz w:val="12"/>
          <w:szCs w:val="12"/>
        </w:rPr>
        <w:t>2</w:t>
      </w:r>
      <w:r>
        <w:t>Satz 1 gilt entsprechend für Ersatzmitglieder.</w:t>
      </w:r>
    </w:p>
    <w:p w:rsidR="00BE1EFE" w:rsidRDefault="00BE1EFE" w:rsidP="00275A1A">
      <w:pPr>
        <w:pStyle w:val="StandardWeb"/>
      </w:pPr>
    </w:p>
    <w:p w:rsidR="00BE1EFE" w:rsidRDefault="00BE1EFE" w:rsidP="00275A1A">
      <w:pPr>
        <w:pStyle w:val="StandardWeb"/>
      </w:pPr>
      <w:r>
        <w:t>(2) Scheidet ein Dienstgebervertreter/eine Dienstgebervertreterin vorzeitig aus, so beruft die Konferenz der bayerischen Generalvikare für den Rest der Amtszeit ein neues Mitglied.</w:t>
      </w:r>
    </w:p>
    <w:p w:rsidR="00BE1EFE" w:rsidRDefault="00BE1EFE" w:rsidP="00275A1A">
      <w:pPr>
        <w:pStyle w:val="StandardWeb"/>
      </w:pPr>
    </w:p>
    <w:p w:rsidR="00BE1EFE" w:rsidRDefault="00BE1EFE" w:rsidP="00275A1A">
      <w:pPr>
        <w:pStyle w:val="StandardWeb"/>
      </w:pPr>
      <w:r>
        <w:t>(3) </w:t>
      </w:r>
      <w:r w:rsidRPr="00275A1A">
        <w:rPr>
          <w:sz w:val="12"/>
          <w:szCs w:val="12"/>
        </w:rPr>
        <w:t>1</w:t>
      </w:r>
      <w:r>
        <w:t xml:space="preserve">Auf Antrag des einzelnen Mitglieds kann dessen Mitgliedschaft in der Kommission aus wichtigem Grund für ruhend erklärt werden. </w:t>
      </w:r>
      <w:r w:rsidRPr="00275A1A">
        <w:rPr>
          <w:sz w:val="12"/>
          <w:szCs w:val="12"/>
        </w:rPr>
        <w:t>2</w:t>
      </w:r>
      <w:r>
        <w:t xml:space="preserve">Über den Antrag entscheidet der/die Vorsitzende im Einvernehmen mit dem/der stellvertretenden Vorsitzenden. </w:t>
      </w:r>
      <w:r w:rsidRPr="00275A1A">
        <w:rPr>
          <w:sz w:val="12"/>
          <w:szCs w:val="12"/>
        </w:rPr>
        <w:t>3</w:t>
      </w:r>
      <w:r>
        <w:t xml:space="preserve">Kommt eine einvernehmliche Entscheidung nicht zustande, ist der Antrag der Kommission vorzulegen. </w:t>
      </w:r>
      <w:r w:rsidRPr="00275A1A">
        <w:rPr>
          <w:sz w:val="12"/>
          <w:szCs w:val="12"/>
        </w:rPr>
        <w:t>4</w:t>
      </w:r>
      <w:r>
        <w:t xml:space="preserve">Die Entscheidung der Kommission ist endgültig. </w:t>
      </w:r>
      <w:r w:rsidRPr="00275A1A">
        <w:rPr>
          <w:sz w:val="12"/>
          <w:szCs w:val="12"/>
        </w:rPr>
        <w:t>5</w:t>
      </w:r>
      <w:r>
        <w:t xml:space="preserve">Ebenfalls ruht die Mitgliedschaft für den Fall, dass der/die Vorsitzende im Einvernehmen mit dem/der stellvertretenden Vorsitzenden die dauerhafte Verhinderung eines Mitglieds feststellt. </w:t>
      </w:r>
      <w:r w:rsidRPr="00275A1A">
        <w:rPr>
          <w:sz w:val="12"/>
          <w:szCs w:val="12"/>
        </w:rPr>
        <w:t>6</w:t>
      </w:r>
      <w:r>
        <w:t xml:space="preserve">Gegen die Entscheidung des/der Vorsitzenden und </w:t>
      </w:r>
      <w:r>
        <w:lastRenderedPageBreak/>
        <w:t xml:space="preserve">des/der stellvertretenden Vorsitzenden kann Beschwerde bei der Kommission erhoben werden; die Kommission entscheidet abschließend. </w:t>
      </w:r>
      <w:r w:rsidRPr="00275A1A">
        <w:rPr>
          <w:sz w:val="12"/>
          <w:szCs w:val="12"/>
        </w:rPr>
        <w:t>7</w:t>
      </w:r>
      <w:r>
        <w:t>Handelt es sich bei dem Mitglied, dessen Mitgliedschaft für ruhend erklärt wird, um einen Dienstnehmervertreter/eine Dienstnehmer-vertreterin, so rückt für die Dauer des Ruhens der Mitgliedschaft das nächstberechtigte Ersatzmitglied nach; handelt es sich um einen Dienstgebervertreter/eine Dienstgebervertre</w:t>
      </w:r>
      <w:r>
        <w:softHyphen/>
        <w:t xml:space="preserve">terin, beruft die Konferenz der bayerischen Generalvikare für die Dauer des Ruhens der Mitgliedschaft ein Ersatzmitglied. </w:t>
      </w:r>
      <w:r w:rsidRPr="00275A1A">
        <w:rPr>
          <w:sz w:val="12"/>
          <w:szCs w:val="12"/>
        </w:rPr>
        <w:t>8</w:t>
      </w:r>
      <w:r>
        <w:t>Handelt es sich um einen entsandten Dienstnehmer-vertreter/eine entsandte Dienstnehmervertreterin, benennt die Gewerkschaft, die durch das Mitglied vertreten wurde, für die Dauer des Ruhens der Mitgliedschaft ein neues Mitglied.</w:t>
      </w:r>
    </w:p>
    <w:p w:rsidR="00BE1EFE" w:rsidRDefault="00BE1EFE" w:rsidP="00275A1A">
      <w:pPr>
        <w:pStyle w:val="StandardWeb"/>
      </w:pPr>
    </w:p>
    <w:p w:rsidR="00BE1EFE" w:rsidRDefault="00BE1EFE" w:rsidP="00275A1A">
      <w:pPr>
        <w:pStyle w:val="StandardWeb"/>
      </w:pPr>
      <w:r>
        <w:t>(4) </w:t>
      </w:r>
      <w:r w:rsidRPr="00275A1A">
        <w:rPr>
          <w:sz w:val="12"/>
          <w:szCs w:val="12"/>
        </w:rPr>
        <w:t>1</w:t>
      </w:r>
      <w:r>
        <w:t xml:space="preserve">Wird einem Mitglied der Kommission die grobe Vernachlässigung oder Verletzung der Befugnisse und Pflichten als Mitglied der Kommission vorgeworfen, ruht die Mitgliedschaft, wenn die Kommission mit zwei Drittel der Gesamtheit ihrer Mitglieder das Ruhen der Mitgliedschaft beschließt. </w:t>
      </w:r>
      <w:r w:rsidRPr="00275A1A">
        <w:rPr>
          <w:sz w:val="12"/>
          <w:szCs w:val="12"/>
        </w:rPr>
        <w:t>2</w:t>
      </w:r>
      <w:r>
        <w:t xml:space="preserve">Das Ruhen der Mitgliedschaft endet, wenn das Kirchliche Arbeitsgericht in erster Instanz feststellt, dass das Mitglied seine Befugnisse und Pflichten nicht grob vernachlässigt oder verletzt hat. </w:t>
      </w:r>
      <w:r w:rsidRPr="00275A1A">
        <w:rPr>
          <w:sz w:val="12"/>
          <w:szCs w:val="12"/>
        </w:rPr>
        <w:t>3</w:t>
      </w:r>
      <w:r>
        <w:t>Handelt es sich bei dem Mitglied, dessen Mitgliedschaft für ruhend erklärt wird, um einen Dienstnehmervertreter/eine Dienstnehmer-vertreterin, so rückt für die Dauer des Ruhens der Mitgliedschaft das nächstberechtigte Ersatzmitglied nach; handelt es sich um einen Dienstgebervertreter/eine Dienstgebervertre</w:t>
      </w:r>
      <w:r>
        <w:softHyphen/>
        <w:t xml:space="preserve">terin, beruft die Konferenz der bayerischen Generalvikare für die Dauer des Ruhens der Mitgliedschaft ein Ersatzmitglied. </w:t>
      </w:r>
      <w:r w:rsidRPr="00275A1A">
        <w:rPr>
          <w:sz w:val="12"/>
          <w:szCs w:val="12"/>
        </w:rPr>
        <w:t>4</w:t>
      </w:r>
      <w:r>
        <w:t>Handelt es sich um einen entsandten Dienstnehmer-vertreter/eine entsandte Dienstnehmervertreterin, benennt die Gewerkschaft, die durch das Mitglied vertreten wurde, für die Dauer des Ruhens der Mitgliedschaft ein neues Mitglied.</w:t>
      </w:r>
    </w:p>
    <w:p w:rsidR="00BE1EFE" w:rsidRDefault="00BE1EFE" w:rsidP="00275A1A">
      <w:pPr>
        <w:pStyle w:val="StandardWeb"/>
      </w:pPr>
    </w:p>
    <w:p w:rsidR="00BE1EFE" w:rsidRDefault="00BE1EFE" w:rsidP="00275A1A">
      <w:pPr>
        <w:pStyle w:val="StandardWeb"/>
      </w:pPr>
      <w:r>
        <w:t>(5) </w:t>
      </w:r>
      <w:r w:rsidRPr="00275A1A">
        <w:rPr>
          <w:sz w:val="12"/>
          <w:szCs w:val="12"/>
        </w:rPr>
        <w:t>1</w:t>
      </w:r>
      <w:r>
        <w:t xml:space="preserve">Bei einer ordentlichen arbeitgeberseitigen Kündigung mit Freistellung von der Arbeit ruht die Mitgliedschaft in der Kommission ab dem Zeitpunkt der Freistellung. </w:t>
      </w:r>
      <w:r w:rsidRPr="00275A1A">
        <w:rPr>
          <w:sz w:val="12"/>
          <w:szCs w:val="12"/>
        </w:rPr>
        <w:t>2</w:t>
      </w:r>
      <w:r>
        <w:t xml:space="preserve">Im Falle einer außerordentlichen arbeitgeberseitigen Kündigung nach </w:t>
      </w:r>
      <w:hyperlink r:id="rId1966" w:history="1">
        <w:r w:rsidRPr="00275A1A">
          <w:rPr>
            <w:rStyle w:val="Hyperlink"/>
          </w:rPr>
          <w:t>§ 626 BGB</w:t>
        </w:r>
      </w:hyperlink>
      <w:r>
        <w:t xml:space="preserve"> ruht die Mitgliedschaft in der Kommission mit dem Zugang der außerordentlichen Kündigung. </w:t>
      </w:r>
      <w:r w:rsidRPr="00275A1A">
        <w:rPr>
          <w:sz w:val="12"/>
          <w:szCs w:val="12"/>
        </w:rPr>
        <w:t>3</w:t>
      </w:r>
      <w:r>
        <w:t xml:space="preserve">Absatz 4 Satz 3 findet entsprechende Anwendung. </w:t>
      </w:r>
      <w:r w:rsidRPr="00275A1A">
        <w:rPr>
          <w:sz w:val="12"/>
          <w:szCs w:val="12"/>
        </w:rPr>
        <w:t>4</w:t>
      </w:r>
      <w:r>
        <w:t>Die Mitgliedschaft in der Kommission endet gemäß Absatz 1 Nummer 3 mit der Rechtsbeständigkeit der Beendigung des Arbeitsverhältnisses.</w:t>
      </w:r>
    </w:p>
    <w:p w:rsidR="00BE1EFE" w:rsidRDefault="00BE1EFE" w:rsidP="00275A1A">
      <w:pPr>
        <w:pStyle w:val="StandardWeb"/>
      </w:pPr>
    </w:p>
    <w:p w:rsidR="00BE1EFE" w:rsidRDefault="00BE1EFE" w:rsidP="00275A1A">
      <w:pPr>
        <w:pStyle w:val="StandardWeb"/>
      </w:pPr>
      <w:r>
        <w:t>(6) </w:t>
      </w:r>
      <w:r w:rsidRPr="00275A1A">
        <w:rPr>
          <w:sz w:val="12"/>
          <w:szCs w:val="12"/>
        </w:rPr>
        <w:t>1</w:t>
      </w:r>
      <w:r>
        <w:t>Die Mitgliedschaft in der Kommission ruht ebenfalls für Zeiten, in denen die Haupt</w:t>
      </w:r>
      <w:r>
        <w:softHyphen/>
        <w:t xml:space="preserve">leistungspflichten des Arbeitsverhältnisses des Kommissionsmitglieds ruhen. </w:t>
      </w:r>
      <w:r w:rsidRPr="00275A1A">
        <w:rPr>
          <w:sz w:val="12"/>
          <w:szCs w:val="12"/>
        </w:rPr>
        <w:t>2</w:t>
      </w:r>
      <w:r>
        <w:t>Absatz 4 Satz 3 findet entsprechende Anwendung.</w:t>
      </w:r>
    </w:p>
    <w:p w:rsidR="00BE1EFE" w:rsidRDefault="00BE1EFE" w:rsidP="00275A1A">
      <w:pPr>
        <w:pStyle w:val="StandardWeb"/>
      </w:pPr>
    </w:p>
    <w:p w:rsidR="00BE1EFE" w:rsidRDefault="00BE1EFE" w:rsidP="00275A1A">
      <w:pPr>
        <w:pStyle w:val="StandardWeb"/>
      </w:pPr>
      <w:r>
        <w:t>(7) </w:t>
      </w:r>
      <w:r w:rsidRPr="00275A1A">
        <w:rPr>
          <w:sz w:val="12"/>
          <w:szCs w:val="12"/>
        </w:rPr>
        <w:t>1</w:t>
      </w:r>
      <w:r>
        <w:t xml:space="preserve">Scheidet ein Dienstnehmervertreter/eine Dienstnehmervertreterin vorzeitig aus, rückt das nach der Wahlordnung nächstberechtigte Ersatzmitglied für den Rest der Amtszeit nach. </w:t>
      </w:r>
      <w:r w:rsidRPr="00E4342B">
        <w:rPr>
          <w:sz w:val="12"/>
          <w:szCs w:val="12"/>
        </w:rPr>
        <w:t>2</w:t>
      </w:r>
      <w:r>
        <w:t xml:space="preserve">Steht kein Ersatzmitglied aus der jeweiligen Diözese bzw. kein Dienstnehmervertreter/keine Dienstnehmervertreterin aus dem Bereich der Lehrkräfte an katholischen Schulen gemäß </w:t>
      </w:r>
      <w:hyperlink r:id="rId1967" w:history="1">
        <w:r w:rsidRPr="00E4342B">
          <w:rPr>
            <w:rStyle w:val="Hyperlink"/>
          </w:rPr>
          <w:t>can. 803 CIC</w:t>
        </w:r>
      </w:hyperlink>
      <w:r>
        <w:t xml:space="preserve"> mehr zur Verfügung, wählt die Dienstnehmerseite mit der Mehrheit der Stimmen ihrer Mitglieder aus den übrigen Ersatzmitgliedern unabhängig von den Vorgaben des </w:t>
      </w:r>
      <w:hyperlink r:id="rId1968" w:history="1">
        <w:r w:rsidRPr="00E4342B">
          <w:rPr>
            <w:rStyle w:val="Hyperlink"/>
          </w:rPr>
          <w:t>§ 4 Absatz 1</w:t>
        </w:r>
      </w:hyperlink>
      <w:r>
        <w:t xml:space="preserve"> und den Vorgaben der Wahlordnung ein Mitglied für den Rest der Amtszeit nach. </w:t>
      </w:r>
    </w:p>
    <w:p w:rsidR="00BE1EFE" w:rsidRPr="00E4342B" w:rsidRDefault="00BE1EFE">
      <w:pPr>
        <w:pStyle w:val="berschrift5"/>
        <w:rPr>
          <w:lang w:eastAsia="x-none"/>
        </w:rPr>
      </w:pPr>
      <w:bookmarkStart w:id="1351" w:name="_Toc523926861"/>
      <w:r>
        <w:t>§ 9</w:t>
      </w:r>
      <w:r w:rsidRPr="00E4342B">
        <w:t xml:space="preserve"> Unterkommissionen</w:t>
      </w:r>
      <w:bookmarkEnd w:id="1351"/>
    </w:p>
    <w:p w:rsidR="00BE1EFE" w:rsidRPr="00B76821" w:rsidRDefault="00BE1EFE" w:rsidP="00B76821">
      <w:pPr>
        <w:pStyle w:val="berschrift6"/>
        <w:keepNext w:val="0"/>
        <w:spacing w:before="0" w:after="0"/>
        <w:rPr>
          <w:sz w:val="2"/>
        </w:rPr>
      </w:pPr>
    </w:p>
    <w:p w:rsidR="00BE1EFE" w:rsidRPr="00E4342B" w:rsidRDefault="00BE1EFE" w:rsidP="00E4342B">
      <w:pPr>
        <w:pStyle w:val="StandardWeb"/>
        <w:rPr>
          <w:spacing w:val="2"/>
        </w:rPr>
      </w:pPr>
      <w:r>
        <w:rPr>
          <w:spacing w:val="2"/>
        </w:rPr>
        <w:t>(1) </w:t>
      </w:r>
      <w:r w:rsidRPr="00E4342B">
        <w:rPr>
          <w:spacing w:val="2"/>
          <w:sz w:val="12"/>
          <w:szCs w:val="12"/>
        </w:rPr>
        <w:t>1</w:t>
      </w:r>
      <w:r w:rsidRPr="00E4342B">
        <w:rPr>
          <w:spacing w:val="2"/>
        </w:rPr>
        <w:t>Die Kommission kann für die Dauer ihrer Amtszeit oder zeitlich befristet zur Beschluss</w:t>
      </w:r>
      <w:r>
        <w:rPr>
          <w:spacing w:val="2"/>
        </w:rPr>
        <w:softHyphen/>
      </w:r>
      <w:r w:rsidRPr="00E4342B">
        <w:rPr>
          <w:spacing w:val="2"/>
        </w:rPr>
        <w:t>fassung von Rechtsnormen über Inhalt, Abschluss und Beendigung von Arbeitsverhält</w:t>
      </w:r>
      <w:r>
        <w:rPr>
          <w:spacing w:val="2"/>
        </w:rPr>
        <w:softHyphen/>
      </w:r>
      <w:r w:rsidRPr="00E4342B">
        <w:rPr>
          <w:spacing w:val="2"/>
        </w:rPr>
        <w:t xml:space="preserve">nissen bestimmter Rechtsträger </w:t>
      </w:r>
      <w:r>
        <w:rPr>
          <w:spacing w:val="2"/>
        </w:rPr>
        <w:t>oder bestimmter Berufs- und Auf</w:t>
      </w:r>
      <w:r w:rsidRPr="00E4342B">
        <w:rPr>
          <w:spacing w:val="2"/>
        </w:rPr>
        <w:t>gabenfelder in den kirchlichen Einrichtungen mit der Mehrheit der Stimmen ihrer Mitglieder Unter</w:t>
      </w:r>
      <w:r>
        <w:rPr>
          <w:spacing w:val="2"/>
        </w:rPr>
        <w:t>-</w:t>
      </w:r>
      <w:r w:rsidRPr="00E4342B">
        <w:rPr>
          <w:spacing w:val="2"/>
        </w:rPr>
        <w:t xml:space="preserve">kommissionen bilden. </w:t>
      </w:r>
      <w:r w:rsidRPr="00E4342B">
        <w:rPr>
          <w:spacing w:val="2"/>
          <w:sz w:val="12"/>
          <w:szCs w:val="12"/>
        </w:rPr>
        <w:t>2</w:t>
      </w:r>
      <w:r w:rsidRPr="00E4342B">
        <w:rPr>
          <w:spacing w:val="2"/>
        </w:rPr>
        <w:t xml:space="preserve">Die Reichweite der Handlungskompetenz der Unterkommission wird von der Kommission festgelegt. </w:t>
      </w:r>
      <w:r w:rsidRPr="00E4342B">
        <w:rPr>
          <w:spacing w:val="2"/>
          <w:sz w:val="12"/>
          <w:szCs w:val="12"/>
        </w:rPr>
        <w:t>3</w:t>
      </w:r>
      <w:r w:rsidRPr="00E4342B">
        <w:rPr>
          <w:spacing w:val="2"/>
        </w:rPr>
        <w:t xml:space="preserve">Vorschriften dieser Ordnung über die Kommission gelten </w:t>
      </w:r>
      <w:r w:rsidRPr="00E4342B">
        <w:rPr>
          <w:spacing w:val="2"/>
        </w:rPr>
        <w:lastRenderedPageBreak/>
        <w:t>für die Unterkommissionen und deren Mitglieder entsprechend, soweit sich nicht aus den Absätzen 2 bis 6 etwas anderes ergibt.</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(2) </w:t>
      </w:r>
      <w:r w:rsidRPr="00E4342B">
        <w:rPr>
          <w:spacing w:val="2"/>
          <w:sz w:val="12"/>
          <w:szCs w:val="12"/>
        </w:rPr>
        <w:t>1</w:t>
      </w:r>
      <w:r w:rsidRPr="00E4342B">
        <w:rPr>
          <w:spacing w:val="2"/>
        </w:rPr>
        <w:t xml:space="preserve">Die Unterkommissionen setzen sich paritätisch aus </w:t>
      </w:r>
      <w:r>
        <w:rPr>
          <w:spacing w:val="2"/>
        </w:rPr>
        <w:t>insgesamt vier oder sechs Vertre</w:t>
      </w:r>
      <w:r>
        <w:rPr>
          <w:spacing w:val="2"/>
        </w:rPr>
        <w:softHyphen/>
      </w:r>
      <w:r w:rsidRPr="00E4342B">
        <w:rPr>
          <w:spacing w:val="2"/>
        </w:rPr>
        <w:t xml:space="preserve">tern/Vertreterinnen aus der Reihe der Dienstnehmer und vier oder sechs Ver-tretern/Vertreterinnen aus der Reihe der Dienstgeber zusammen. </w:t>
      </w:r>
      <w:r w:rsidRPr="00E4342B">
        <w:rPr>
          <w:spacing w:val="2"/>
          <w:sz w:val="12"/>
          <w:szCs w:val="12"/>
        </w:rPr>
        <w:t>2</w:t>
      </w:r>
      <w:r w:rsidRPr="00E4342B">
        <w:rPr>
          <w:spacing w:val="2"/>
        </w:rPr>
        <w:t xml:space="preserve">Die Hälfte der Mitglieder jeder Seite wird von den Seiten der Kommission aus ihren Reihen gewählt. </w:t>
      </w:r>
      <w:r w:rsidRPr="00E4342B">
        <w:rPr>
          <w:spacing w:val="2"/>
          <w:sz w:val="12"/>
          <w:szCs w:val="12"/>
        </w:rPr>
        <w:t>3</w:t>
      </w:r>
      <w:r w:rsidRPr="00E4342B">
        <w:rPr>
          <w:spacing w:val="2"/>
        </w:rPr>
        <w:t>Die andere Hälfte der Mitglieder darf nicht Mitglied der Kommission sein; sie wird von der jeweiligen Seite der Kommission aus den b</w:t>
      </w:r>
      <w:r>
        <w:rPr>
          <w:spacing w:val="2"/>
        </w:rPr>
        <w:t>etroffenen Berufs- und Aufgaben</w:t>
      </w:r>
      <w:r w:rsidRPr="00E4342B">
        <w:rPr>
          <w:spacing w:val="2"/>
        </w:rPr>
        <w:t>feldern bzw. Rechtsträgern berufen, für die die Unterkommission gebildet wurde.</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(3) </w:t>
      </w:r>
      <w:r w:rsidRPr="00E4342B">
        <w:rPr>
          <w:spacing w:val="2"/>
          <w:sz w:val="12"/>
          <w:szCs w:val="12"/>
        </w:rPr>
        <w:t>1</w:t>
      </w:r>
      <w:r w:rsidRPr="00E4342B">
        <w:rPr>
          <w:spacing w:val="2"/>
        </w:rPr>
        <w:t>Die Mitglieder der Unterkommissionen bestimmen aus ihrer Mitte einen Vor-sitzenden/eine Vorsitzende, sowie einen stellvertr</w:t>
      </w:r>
      <w:r>
        <w:rPr>
          <w:spacing w:val="2"/>
        </w:rPr>
        <w:t>etenden Vorsitzenden/eine stell-</w:t>
      </w:r>
      <w:r w:rsidRPr="00E4342B">
        <w:rPr>
          <w:spacing w:val="2"/>
        </w:rPr>
        <w:t xml:space="preserve">vertretende Vorsitzende von der jeweils anderen Seite. </w:t>
      </w:r>
      <w:r w:rsidRPr="00E4342B">
        <w:rPr>
          <w:spacing w:val="2"/>
          <w:sz w:val="12"/>
          <w:szCs w:val="12"/>
        </w:rPr>
        <w:t>2</w:t>
      </w:r>
      <w:r w:rsidRPr="00E4342B">
        <w:rPr>
          <w:spacing w:val="2"/>
        </w:rPr>
        <w:t>Der/Die Vorsitzende und sein/ihr Vertreter bzw. seine/ihre Vertreterin müssen Mitglied der Kommission sein.</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(4) </w:t>
      </w:r>
      <w:r w:rsidRPr="00E4342B">
        <w:rPr>
          <w:spacing w:val="2"/>
        </w:rPr>
        <w:t>Die Sitzungen der Unterkommissionen werden von dem/der jeweiligen Vorsitzenden, bei dessen/deren Verhinderung v</w:t>
      </w:r>
      <w:r>
        <w:rPr>
          <w:spacing w:val="2"/>
        </w:rPr>
        <w:t>on dem Stellvertreter/der Stell</w:t>
      </w:r>
      <w:r w:rsidRPr="00E4342B">
        <w:rPr>
          <w:spacing w:val="2"/>
        </w:rPr>
        <w:t>vertreterin geleitet und einberufen.</w:t>
      </w:r>
    </w:p>
    <w:p w:rsidR="00BE1EFE" w:rsidRPr="00E4342B" w:rsidRDefault="00BE1EFE" w:rsidP="00E4342B">
      <w:pPr>
        <w:pStyle w:val="StandardWeb"/>
        <w:rPr>
          <w:spacing w:val="2"/>
        </w:rPr>
      </w:pPr>
    </w:p>
    <w:p w:rsidR="00BE1EFE" w:rsidRPr="00E4342B" w:rsidRDefault="00BE1EFE" w:rsidP="00E4342B">
      <w:pPr>
        <w:pStyle w:val="StandardWeb"/>
        <w:rPr>
          <w:spacing w:val="2"/>
        </w:rPr>
      </w:pPr>
      <w:r>
        <w:rPr>
          <w:spacing w:val="2"/>
        </w:rPr>
        <w:t>(5) </w:t>
      </w:r>
      <w:r w:rsidRPr="00E4342B">
        <w:rPr>
          <w:spacing w:val="2"/>
        </w:rPr>
        <w:t>Die Amtszeit der Unterkommission endet spätestens mit der Amtszeit der Kommission.</w:t>
      </w:r>
    </w:p>
    <w:p w:rsidR="00BE1EFE" w:rsidRPr="00E4342B" w:rsidRDefault="00BE1EFE" w:rsidP="00E4342B">
      <w:pPr>
        <w:pStyle w:val="StandardWeb"/>
        <w:rPr>
          <w:spacing w:val="2"/>
        </w:rPr>
      </w:pPr>
    </w:p>
    <w:p w:rsidR="00BE1EFE" w:rsidRDefault="00BE1EFE">
      <w:pPr>
        <w:pStyle w:val="StandardWeb"/>
      </w:pPr>
      <w:r>
        <w:rPr>
          <w:spacing w:val="2"/>
        </w:rPr>
        <w:t>(6) </w:t>
      </w:r>
      <w:r w:rsidRPr="00E4342B">
        <w:rPr>
          <w:spacing w:val="2"/>
          <w:sz w:val="12"/>
          <w:szCs w:val="12"/>
        </w:rPr>
        <w:t>1</w:t>
      </w:r>
      <w:r w:rsidRPr="00E4342B">
        <w:rPr>
          <w:spacing w:val="2"/>
        </w:rPr>
        <w:t xml:space="preserve">Die von der Unterkommission mit einer Mehrheit der Stimmen von zwei Drittel ihrer Mitglieder beschlossenen Regelungsvorschläge sind qualifizierte Beschlussempfehlungen. </w:t>
      </w:r>
      <w:r w:rsidRPr="00E4342B">
        <w:rPr>
          <w:spacing w:val="2"/>
          <w:sz w:val="12"/>
          <w:szCs w:val="12"/>
        </w:rPr>
        <w:t>2</w:t>
      </w:r>
      <w:r w:rsidRPr="00E4342B">
        <w:rPr>
          <w:spacing w:val="2"/>
        </w:rPr>
        <w:t>Diese werden dem Diözesanbischof nur dann zur Inkraftsetzung zugeleitet, wenn ihnen die Kommission mit einer Mehrheit der Stimmen von zwei Drittel ihrer Mitglieder zustimmt.</w:t>
      </w:r>
    </w:p>
    <w:p w:rsidR="00BE1EFE" w:rsidRPr="00E4342B" w:rsidRDefault="00BE1EFE">
      <w:pPr>
        <w:pStyle w:val="berschrift5"/>
        <w:rPr>
          <w:lang w:eastAsia="x-none"/>
        </w:rPr>
      </w:pPr>
      <w:bookmarkStart w:id="1352" w:name="_Toc523926862"/>
      <w:r>
        <w:t xml:space="preserve">§ </w:t>
      </w:r>
      <w:r>
        <w:rPr>
          <w:lang w:eastAsia="x-none"/>
        </w:rPr>
        <w:t>9a</w:t>
      </w:r>
      <w:r w:rsidRPr="00E4342B">
        <w:t xml:space="preserve"> </w:t>
      </w:r>
      <w:r w:rsidRPr="00E4342B">
        <w:rPr>
          <w:lang w:eastAsia="x-none"/>
        </w:rPr>
        <w:t>Ständige Arbeitsgruppe Lehrkräfte</w:t>
      </w:r>
      <w:bookmarkEnd w:id="1352"/>
    </w:p>
    <w:p w:rsidR="00BE1EFE" w:rsidRPr="00B76821" w:rsidRDefault="00BE1EFE" w:rsidP="00B76821">
      <w:pPr>
        <w:pStyle w:val="berschrift6"/>
        <w:keepNext w:val="0"/>
        <w:spacing w:before="0" w:after="0"/>
        <w:rPr>
          <w:sz w:val="2"/>
        </w:rPr>
      </w:pPr>
    </w:p>
    <w:p w:rsidR="00BE1EFE" w:rsidRDefault="00BE1EFE" w:rsidP="00E4342B">
      <w:pPr>
        <w:pStyle w:val="StandardWeb"/>
      </w:pPr>
      <w:r>
        <w:t xml:space="preserve">(1) Die Kommission bildet eine Ständige Arbeitsgruppe Lehrkräfte für die Lehrkräfte an katholischen Schulen gemäß </w:t>
      </w:r>
      <w:hyperlink r:id="rId1969" w:history="1">
        <w:r w:rsidRPr="00E4342B">
          <w:rPr>
            <w:rStyle w:val="Hyperlink"/>
          </w:rPr>
          <w:t>can. 803 CIC</w:t>
        </w:r>
      </w:hyperlink>
      <w:r>
        <w:t xml:space="preserve"> mit der Aufgabe, lehrerspezifische Beschlussem</w:t>
      </w:r>
      <w:r>
        <w:softHyphen/>
        <w:t>pfehlungen zu erarbeiten.</w:t>
      </w:r>
    </w:p>
    <w:p w:rsidR="00BE1EFE" w:rsidRDefault="00BE1EFE" w:rsidP="00E4342B">
      <w:pPr>
        <w:pStyle w:val="StandardWeb"/>
      </w:pPr>
    </w:p>
    <w:p w:rsidR="00BE1EFE" w:rsidRDefault="00BE1EFE" w:rsidP="00E4342B">
      <w:pPr>
        <w:pStyle w:val="StandardWeb"/>
      </w:pPr>
      <w:r>
        <w:t>(2) Die Ständige Arbeitsgruppe Lehrkräfte setzt sich aus acht Mitgliedern der Kommission zusammen und zwar aus</w:t>
      </w:r>
    </w:p>
    <w:p w:rsidR="00BE1EFE" w:rsidRDefault="00BE1EFE" w:rsidP="00E4342B">
      <w:pPr>
        <w:pStyle w:val="StandardWeb"/>
      </w:pPr>
      <w:r>
        <w:t>a) dem/der Vorsitzenden und dem/der stellvertretenden Vorsitzenden kraft Amtes,</w:t>
      </w:r>
    </w:p>
    <w:p w:rsidR="00BE1EFE" w:rsidRDefault="00BE1EFE" w:rsidP="00E4342B">
      <w:pPr>
        <w:pStyle w:val="StandardWeb"/>
      </w:pPr>
      <w:r>
        <w:t xml:space="preserve">b) den beiden für die katholischen Schulen gemäß </w:t>
      </w:r>
      <w:hyperlink r:id="rId1970" w:history="1">
        <w:r w:rsidRPr="00E4342B">
          <w:rPr>
            <w:rStyle w:val="Hyperlink"/>
          </w:rPr>
          <w:t>can. 803 CIC</w:t>
        </w:r>
      </w:hyperlink>
      <w:r>
        <w:t xml:space="preserve"> berufenen Dienstgeber</w:t>
      </w:r>
      <w:r>
        <w:softHyphen/>
        <w:t>vertretern/Dienstgebervertreterinnen,</w:t>
      </w:r>
    </w:p>
    <w:p w:rsidR="00BE1EFE" w:rsidRDefault="00BE1EFE" w:rsidP="00E4342B">
      <w:pPr>
        <w:pStyle w:val="StandardWeb"/>
      </w:pPr>
      <w:r>
        <w:t>c) den beiden gewählten Dienstnehmervertretern/Dienstnehmervertreterinnen aus dem Bereich der Lehrkräfte und</w:t>
      </w:r>
    </w:p>
    <w:p w:rsidR="00BE1EFE" w:rsidRDefault="00BE1EFE" w:rsidP="00E4342B">
      <w:pPr>
        <w:pStyle w:val="StandardWeb"/>
      </w:pPr>
      <w:r>
        <w:t>d) je einem von der Kommission mit der Mehrheit der abgegebenen Stimmen gewählten Mitglied jeder Seite.</w:t>
      </w:r>
    </w:p>
    <w:p w:rsidR="00BE1EFE" w:rsidRDefault="00BE1EFE" w:rsidP="00E4342B">
      <w:pPr>
        <w:pStyle w:val="StandardWeb"/>
      </w:pPr>
    </w:p>
    <w:p w:rsidR="00BE1EFE" w:rsidRDefault="00BE1EFE" w:rsidP="00E4342B">
      <w:pPr>
        <w:pStyle w:val="StandardWeb"/>
      </w:pPr>
      <w:r>
        <w:t>(3) Wird ein in Absatz 2 b) bis d) genanntes Mitglied der Kommission zum/zur Vorsitzenden gewählt, wird durch die Kommission ein anderes Mitglied aus der jeweiligen Seite in die Ständige Arbeitsgruppe Lehrkräfte gewählt.</w:t>
      </w:r>
    </w:p>
    <w:p w:rsidR="00BE1EFE" w:rsidRDefault="00BE1EFE" w:rsidP="00E4342B">
      <w:pPr>
        <w:pStyle w:val="StandardWeb"/>
      </w:pPr>
    </w:p>
    <w:p w:rsidR="00BE1EFE" w:rsidRDefault="00BE1EFE" w:rsidP="00E4342B">
      <w:pPr>
        <w:pStyle w:val="StandardWeb"/>
      </w:pPr>
      <w:r>
        <w:t>(4) Verabschiedet die Ständige Arbeitsgruppe Lehrkräfte mit einer Mehrheit der Stimmen von zwei Drittel ihrer Mitglieder eine Beschlussempfehlung, wird diese als „Beschlussempfehlung der Ständigen Arbeitsgruppe Lehrkräfte“ der Vollversammlung zur Beschlussfassung vorgelegt.</w:t>
      </w:r>
    </w:p>
    <w:p w:rsidR="00BE1EFE" w:rsidRDefault="00BE1EFE" w:rsidP="00E4342B">
      <w:pPr>
        <w:pStyle w:val="StandardWeb"/>
      </w:pPr>
    </w:p>
    <w:p w:rsidR="00BE1EFE" w:rsidRDefault="00BE1EFE" w:rsidP="00E4342B">
      <w:pPr>
        <w:pStyle w:val="StandardWeb"/>
      </w:pPr>
      <w:r>
        <w:lastRenderedPageBreak/>
        <w:t>(5) Antragsberechtigt sind die Mitglieder der Ständigen Arbeitsgruppe Lehrkräfte; die Anträge müssen schriftlich mit Begründung vorgelegt werden.</w:t>
      </w:r>
    </w:p>
    <w:p w:rsidR="00BE1EFE" w:rsidRDefault="00BE1EFE" w:rsidP="00E4342B">
      <w:pPr>
        <w:pStyle w:val="StandardWeb"/>
      </w:pPr>
    </w:p>
    <w:p w:rsidR="00BE1EFE" w:rsidRPr="000B1AF8" w:rsidRDefault="00BE1EFE" w:rsidP="00E4342B">
      <w:pPr>
        <w:pStyle w:val="StandardWeb"/>
      </w:pPr>
      <w:r>
        <w:t>(6) </w:t>
      </w:r>
      <w:hyperlink r:id="rId1971" w:history="1">
        <w:r w:rsidRPr="00E4342B">
          <w:rPr>
            <w:rStyle w:val="Hyperlink"/>
          </w:rPr>
          <w:t>§ 15 Absätze 3, 4 und 7</w:t>
        </w:r>
      </w:hyperlink>
      <w:r>
        <w:t xml:space="preserve"> gelten entsprechend.</w:t>
      </w:r>
    </w:p>
    <w:p w:rsidR="00BE1EFE" w:rsidRDefault="00BE1EFE">
      <w:pPr>
        <w:pStyle w:val="berschrift5"/>
      </w:pPr>
      <w:bookmarkStart w:id="1353" w:name="_Toc523926863"/>
      <w:r>
        <w:t>§ 1</w:t>
      </w:r>
      <w:r>
        <w:rPr>
          <w:lang w:eastAsia="x-none"/>
        </w:rPr>
        <w:t>0</w:t>
      </w:r>
      <w:r w:rsidRPr="00E4342B">
        <w:t xml:space="preserve"> </w:t>
      </w:r>
      <w:r w:rsidRPr="00E4342B">
        <w:rPr>
          <w:lang w:eastAsia="x-none"/>
        </w:rPr>
        <w:t>Rechtsstellung</w:t>
      </w:r>
      <w:bookmarkEnd w:id="1353"/>
      <w:r>
        <w:t xml:space="preserve"> </w:t>
      </w:r>
    </w:p>
    <w:p w:rsidR="00BE1EFE" w:rsidRPr="00B76821" w:rsidRDefault="00BE1EFE" w:rsidP="00B76821">
      <w:pPr>
        <w:pStyle w:val="berschrift6"/>
        <w:keepNext w:val="0"/>
        <w:spacing w:before="0" w:after="0"/>
        <w:rPr>
          <w:sz w:val="2"/>
        </w:rPr>
      </w:pPr>
    </w:p>
    <w:p w:rsidR="00BE1EFE" w:rsidRDefault="00BE1EFE" w:rsidP="00E4342B">
      <w:pPr>
        <w:pStyle w:val="StandardWeb"/>
      </w:pPr>
      <w:r>
        <w:t>(1) </w:t>
      </w:r>
      <w:r w:rsidRPr="000322A2">
        <w:rPr>
          <w:sz w:val="12"/>
          <w:szCs w:val="12"/>
        </w:rPr>
        <w:t>1</w:t>
      </w:r>
      <w:r>
        <w:t xml:space="preserve">Die Mitglieder der Kommission führen ihr Amt unentgeltlich als Ehrenamt. </w:t>
      </w:r>
      <w:r w:rsidRPr="000322A2">
        <w:rPr>
          <w:sz w:val="12"/>
          <w:szCs w:val="12"/>
        </w:rPr>
        <w:t>2</w:t>
      </w:r>
      <w:r>
        <w:t>Sie sind in ihrem Amt unabhängig und an keine Weisungen gebunden.</w:t>
      </w:r>
    </w:p>
    <w:p w:rsidR="00BE1EFE" w:rsidRDefault="00BE1EFE" w:rsidP="00E4342B">
      <w:pPr>
        <w:pStyle w:val="StandardWeb"/>
      </w:pPr>
    </w:p>
    <w:p w:rsidR="00BE1EFE" w:rsidRDefault="00BE1EFE" w:rsidP="00E4342B">
      <w:pPr>
        <w:pStyle w:val="StandardWeb"/>
      </w:pPr>
      <w:r>
        <w:t>(2) </w:t>
      </w:r>
      <w:r w:rsidRPr="000322A2">
        <w:rPr>
          <w:sz w:val="12"/>
          <w:szCs w:val="12"/>
        </w:rPr>
        <w:t>1</w:t>
      </w:r>
      <w:r>
        <w:t xml:space="preserve">Für die Mitglieder der Kommission steht die Wahrnehmung von Aufgaben als Mitglied der Kommission der arbeitsvertraglich vereinbarten Tätigkeit gleich. </w:t>
      </w:r>
      <w:r w:rsidRPr="000322A2">
        <w:rPr>
          <w:sz w:val="12"/>
          <w:szCs w:val="12"/>
        </w:rPr>
        <w:t>2</w:t>
      </w:r>
      <w:r>
        <w:t xml:space="preserve">Sie dürfen in der Ausübung ihres Amtes nicht gehindert und aufgrund ihrer Tätigkeit weder benachteiligt noch begünstigt werden. </w:t>
      </w:r>
      <w:r w:rsidRPr="000322A2">
        <w:rPr>
          <w:sz w:val="12"/>
          <w:szCs w:val="12"/>
        </w:rPr>
        <w:t>3</w:t>
      </w:r>
      <w:r>
        <w:t>Aus ihrer Tätigkeit dürfen ihnen keine beruflichen Nachteile erwachsen.</w:t>
      </w:r>
    </w:p>
    <w:p w:rsidR="00BE1EFE" w:rsidRDefault="00BE1EFE" w:rsidP="00E4342B">
      <w:pPr>
        <w:pStyle w:val="StandardWeb"/>
      </w:pPr>
    </w:p>
    <w:p w:rsidR="00BE1EFE" w:rsidRDefault="00BE1EFE">
      <w:pPr>
        <w:pStyle w:val="StandardWeb"/>
      </w:pPr>
      <w:r>
        <w:t>(3) Erleidet ein Mitglied der Kommission, das Anspruch auf Unfallfürsorge nach beamten-rechtlichen Grundsätzen hat, anlässlich der Wahrnehmung von Rechten oder in Erfüllung von Pflichten nach dieser Ordnung einen Unfall, der im Sinne der beamtenrechtlichen Unfallfürsorgevorschriften ein Dienstunfall wäre, so sind diese Vorschriften entsprechend anzuwenden.</w:t>
      </w:r>
    </w:p>
    <w:p w:rsidR="00BE1EFE" w:rsidRDefault="00BE1EFE">
      <w:pPr>
        <w:pStyle w:val="berschrift5"/>
      </w:pPr>
      <w:bookmarkStart w:id="1354" w:name="_Toc523926864"/>
      <w:r>
        <w:t>§ 11</w:t>
      </w:r>
      <w:r w:rsidRPr="000322A2">
        <w:t xml:space="preserve"> Freistellung</w:t>
      </w:r>
      <w:bookmarkEnd w:id="1354"/>
      <w:r>
        <w:t xml:space="preserve"> </w:t>
      </w:r>
    </w:p>
    <w:p w:rsidR="00BE1EFE" w:rsidRPr="00B76821" w:rsidRDefault="00BE1EFE" w:rsidP="00B76821">
      <w:pPr>
        <w:pStyle w:val="berschrift6"/>
        <w:keepNext w:val="0"/>
        <w:spacing w:before="0" w:after="0"/>
        <w:rPr>
          <w:sz w:val="2"/>
        </w:rPr>
      </w:pPr>
    </w:p>
    <w:p w:rsidR="00BE1EFE" w:rsidRDefault="00BE1EFE" w:rsidP="000322A2">
      <w:pPr>
        <w:pStyle w:val="StandardWeb"/>
      </w:pPr>
      <w:r>
        <w:t>(1) </w:t>
      </w:r>
      <w:r w:rsidRPr="000322A2">
        <w:rPr>
          <w:sz w:val="12"/>
          <w:szCs w:val="12"/>
        </w:rPr>
        <w:t>1</w:t>
      </w:r>
      <w:r>
        <w:t xml:space="preserve">Die Mitglieder der Kommission, die im kirchlichen Dienst stehen, sind zur ordnungs-gemäßen Durchführung ihrer Aufgaben im notwendigen Umfang von der dienstlichen Tätigkeit freizustellen, insbesondere für die Teilnahme an den Sitzungen der Vollversammlung und der Arbeitsgruppen und für deren Vorbereitung. </w:t>
      </w:r>
      <w:r w:rsidRPr="000322A2">
        <w:rPr>
          <w:sz w:val="12"/>
          <w:szCs w:val="12"/>
        </w:rPr>
        <w:t>2</w:t>
      </w:r>
      <w:r>
        <w:t xml:space="preserve">Zu den Aufgaben der Mitglieder der Kommission gehört auch die Pflege einer angemessenen Rückbindung zu denen, die sie repräsentieren sowie eine regelmäßige Informationsarbeit. </w:t>
      </w:r>
      <w:r w:rsidRPr="000322A2">
        <w:rPr>
          <w:sz w:val="12"/>
          <w:szCs w:val="12"/>
        </w:rPr>
        <w:t>3</w:t>
      </w:r>
      <w:r>
        <w:t xml:space="preserve">Die Freistellung umfasst den Anspruch auf Reduzierung der übertragenen Aufgaben. </w:t>
      </w:r>
      <w:r w:rsidRPr="000322A2">
        <w:rPr>
          <w:sz w:val="12"/>
          <w:szCs w:val="12"/>
        </w:rPr>
        <w:t>4</w:t>
      </w:r>
      <w:r>
        <w:t>Fällt eine Tätigkeit als Kommissionsmitglied auf einen außerhalb der persönlichen Arbeitszeit liegenden Zeitraum, hat das Mitglied Anspruch auf entsprechende Arbeitsbefreiung zu einem anderen Zeitpunkt unter Fortzahlung des Arbeitsentgelts.</w:t>
      </w:r>
    </w:p>
    <w:p w:rsidR="00BE1EFE" w:rsidRDefault="00BE1EFE" w:rsidP="000322A2">
      <w:pPr>
        <w:pStyle w:val="StandardWeb"/>
      </w:pPr>
    </w:p>
    <w:p w:rsidR="00BE1EFE" w:rsidRDefault="00BE1EFE" w:rsidP="000322A2">
      <w:pPr>
        <w:pStyle w:val="StandardWeb"/>
      </w:pPr>
      <w:r>
        <w:t>(2) Die gemäß den Bestimmungen der Wahlordnung gewählten Kandidaten/Kandidatinnen sind bis zur konstituierenden Sitzung im notwendigen Umfang für Veranstaltungen der Dienst-nehmerseite zur Vorbereitung auf ihre Tätigkeit freizustellen.</w:t>
      </w:r>
    </w:p>
    <w:p w:rsidR="00BE1EFE" w:rsidRDefault="00BE1EFE" w:rsidP="000322A2">
      <w:pPr>
        <w:pStyle w:val="StandardWeb"/>
      </w:pPr>
    </w:p>
    <w:p w:rsidR="00BE1EFE" w:rsidRDefault="00BE1EFE" w:rsidP="000322A2">
      <w:pPr>
        <w:pStyle w:val="StandardWeb"/>
      </w:pPr>
      <w:r>
        <w:t>(3) Das weitere Mitglied der Dienstgeber- und der Dienstnehmerseite im Vermittlungsaus-schuss wird für die Teilnahme an Verhandlungen im notwendigen Umfang freigestellt.</w:t>
      </w:r>
    </w:p>
    <w:p w:rsidR="00BE1EFE" w:rsidRDefault="00BE1EFE" w:rsidP="000322A2">
      <w:pPr>
        <w:pStyle w:val="StandardWeb"/>
      </w:pPr>
    </w:p>
    <w:p w:rsidR="00BE1EFE" w:rsidRDefault="00BE1EFE" w:rsidP="000322A2">
      <w:pPr>
        <w:pStyle w:val="StandardWeb"/>
      </w:pPr>
      <w:r>
        <w:t>(4) Das Nähere regeln Ausführungsbestimmungen der Kommission</w:t>
      </w:r>
      <w:r w:rsidRPr="00191BBD">
        <w:rPr>
          <w:vertAlign w:val="superscript"/>
        </w:rPr>
        <w:t>1</w:t>
      </w:r>
      <w:r>
        <w:t>.</w:t>
      </w:r>
    </w:p>
    <w:p w:rsidR="00BE1EFE" w:rsidRPr="00191BBD" w:rsidRDefault="00BE1EFE" w:rsidP="00191BBD">
      <w:pPr>
        <w:pStyle w:val="StandardWeb"/>
        <w:rPr>
          <w:sz w:val="12"/>
          <w:szCs w:val="12"/>
        </w:rPr>
      </w:pPr>
      <w:r w:rsidRPr="00191BBD">
        <w:rPr>
          <w:sz w:val="12"/>
          <w:szCs w:val="12"/>
          <w:vertAlign w:val="superscript"/>
        </w:rPr>
        <w:t>1</w:t>
      </w:r>
      <w:r w:rsidRPr="00191BBD">
        <w:rPr>
          <w:sz w:val="12"/>
          <w:szCs w:val="12"/>
        </w:rPr>
        <w:t>Ausführungsbestimmungen vom 20.09.2017 zu § 11 Absatz 4 BayRKO:</w:t>
      </w:r>
    </w:p>
    <w:p w:rsidR="00BE1EFE" w:rsidRPr="00191BBD" w:rsidRDefault="00BE1EFE" w:rsidP="00191BBD">
      <w:pPr>
        <w:pStyle w:val="StandardWeb"/>
        <w:rPr>
          <w:sz w:val="12"/>
          <w:szCs w:val="12"/>
        </w:rPr>
      </w:pPr>
      <w:r w:rsidRPr="00191BBD">
        <w:rPr>
          <w:sz w:val="12"/>
          <w:szCs w:val="12"/>
        </w:rPr>
        <w:t>1. Die Dienstnehmervertreter/Dienstnehmervertreterinnen in der Kommissio</w:t>
      </w:r>
      <w:r>
        <w:rPr>
          <w:sz w:val="12"/>
          <w:szCs w:val="12"/>
        </w:rPr>
        <w:t>n sind auf Antrag hin bis zu 30 </w:t>
      </w:r>
      <w:r w:rsidRPr="00191BBD">
        <w:rPr>
          <w:sz w:val="12"/>
          <w:szCs w:val="12"/>
        </w:rPr>
        <w:t>% der durch</w:t>
      </w:r>
      <w:r>
        <w:rPr>
          <w:sz w:val="12"/>
          <w:szCs w:val="12"/>
        </w:rPr>
        <w:softHyphen/>
      </w:r>
      <w:r w:rsidRPr="00191BBD">
        <w:rPr>
          <w:sz w:val="12"/>
          <w:szCs w:val="12"/>
        </w:rPr>
        <w:t>schnittlichen regelmäßigen wöchentlichen Arbeitszeit eines/einer Vollbeschäftigten freizustellen.</w:t>
      </w:r>
    </w:p>
    <w:p w:rsidR="00BE1EFE" w:rsidRPr="00191BBD" w:rsidRDefault="00BE1EFE" w:rsidP="00191BBD">
      <w:pPr>
        <w:pStyle w:val="StandardWeb"/>
        <w:rPr>
          <w:sz w:val="12"/>
          <w:szCs w:val="12"/>
        </w:rPr>
      </w:pPr>
      <w:r w:rsidRPr="00191BBD">
        <w:rPr>
          <w:sz w:val="12"/>
          <w:szCs w:val="12"/>
        </w:rPr>
        <w:t>2. Die Dienstnehmervertreter/Dienstnehmervertreterinnen in der Kommission im Vorbereitungsausschuss haben zusätzlich Anspruch auf eine Freistellung in Höhe von 25 % (einem Viertel) der durchschnittlichen regelmäßigen wöchentlichen Arbeitszeit eines/einer vergleichbaren Beschäftigten.</w:t>
      </w:r>
    </w:p>
    <w:p w:rsidR="00BE1EFE" w:rsidRPr="00191BBD" w:rsidRDefault="00BE1EFE" w:rsidP="00191BBD">
      <w:pPr>
        <w:pStyle w:val="StandardWeb"/>
        <w:rPr>
          <w:sz w:val="12"/>
          <w:szCs w:val="12"/>
        </w:rPr>
      </w:pPr>
      <w:r w:rsidRPr="00191BBD">
        <w:rPr>
          <w:sz w:val="12"/>
          <w:szCs w:val="12"/>
        </w:rPr>
        <w:t>3. Der Dienstnehmervertreter/die Dienstnehmervertreterin in der Kommission als Vorsitzender/Vorsitzende bzw. als stell</w:t>
      </w:r>
      <w:r>
        <w:rPr>
          <w:sz w:val="12"/>
          <w:szCs w:val="12"/>
        </w:rPr>
        <w:softHyphen/>
        <w:t>vertretender Vorsitzender/</w:t>
      </w:r>
      <w:r w:rsidRPr="00191BBD">
        <w:rPr>
          <w:sz w:val="12"/>
          <w:szCs w:val="12"/>
        </w:rPr>
        <w:t>stellvertretende Vorsitzende ist auf Antrag bis zu 75 % (drei Viertel) der durchschnittlichen regelmäßigen wöchentlichen Arbeitszeit eines/einer vergleichbaren Vollbeschäftigten freizustellen.</w:t>
      </w:r>
    </w:p>
    <w:p w:rsidR="00BE1EFE" w:rsidRPr="00191BBD" w:rsidRDefault="00BE1EFE" w:rsidP="00191BBD">
      <w:pPr>
        <w:pStyle w:val="StandardWeb"/>
        <w:rPr>
          <w:sz w:val="12"/>
          <w:szCs w:val="12"/>
        </w:rPr>
      </w:pPr>
      <w:r w:rsidRPr="00191BBD">
        <w:rPr>
          <w:sz w:val="12"/>
          <w:szCs w:val="12"/>
        </w:rPr>
        <w:lastRenderedPageBreak/>
        <w:t>4. Der/die von der Dienstnehmer-/Dienstnehmerinnenseite mit der leitenden Betreuung der Öffentlichkeitsarbeit beauftragte Dienstnehmervertreter/Dienstnehmervertreterin hat zusätzlich Anspruch auf eine Freistellung in Höhe von 25 % (einem Viertel) der durchschnittlichen regelmäßigen wöchentlichen Arbeitszeit eines/einer vergleichbaren Vollbeschäftigten.</w:t>
      </w:r>
    </w:p>
    <w:p w:rsidR="00BE1EFE" w:rsidRPr="00191BBD" w:rsidRDefault="00BE1EFE" w:rsidP="00191BBD">
      <w:pPr>
        <w:pStyle w:val="StandardWeb"/>
        <w:rPr>
          <w:sz w:val="12"/>
          <w:szCs w:val="12"/>
        </w:rPr>
      </w:pPr>
      <w:r w:rsidRPr="00191BBD">
        <w:rPr>
          <w:sz w:val="12"/>
          <w:szCs w:val="12"/>
        </w:rPr>
        <w:t>5. Der/die von der Dienstnehmer-/Dienstnehmerinnenseite mit der leitenden Betreuung der Webseite der Dienstnehmerseite beauftragte Dienstnehmervertreter/Dienstnehmervertreterin hat zusätzlich Anspruch auf eine Freistellung in Höhe von 10 % (einem Zehntel) der durchschnittlichen regelmäßigen wöchentlichen Arbeitszeit eines/einer vergleichbaren Vollbeschäftigten.</w:t>
      </w:r>
    </w:p>
    <w:p w:rsidR="00BE1EFE" w:rsidRPr="00191BBD" w:rsidRDefault="00BE1EFE" w:rsidP="00191BBD">
      <w:pPr>
        <w:pStyle w:val="StandardWeb"/>
        <w:rPr>
          <w:sz w:val="12"/>
          <w:szCs w:val="12"/>
        </w:rPr>
      </w:pPr>
      <w:r w:rsidRPr="00191BBD">
        <w:rPr>
          <w:sz w:val="12"/>
          <w:szCs w:val="12"/>
        </w:rPr>
        <w:t>6. 1Die gewählten Dienstnehmervertreter/Dienstnehmervertreterinnen aus dem Bereich der Lehrkräfte an katholischen Schulen in der Ständigen Arbeitsgruppe Lehrkräfte haben jeweils Anspruch auf eine zusätzliche Freistellung in Höhe von 10 % der durchschnittlichen regelmäßigen wöchentlichen Arbeitszeit eines/einer vergleichbaren Vollbeschäftigten. 2Der Freistellungsumfang beträgt insgesamt mindestens zehn Wochenstunden einschließlich der Freistellung nach Nr. 1.</w:t>
      </w:r>
    </w:p>
    <w:p w:rsidR="00BE1EFE" w:rsidRPr="00191BBD" w:rsidRDefault="00BE1EFE" w:rsidP="00191BBD">
      <w:pPr>
        <w:pStyle w:val="StandardWeb"/>
        <w:rPr>
          <w:sz w:val="12"/>
          <w:szCs w:val="12"/>
        </w:rPr>
      </w:pPr>
      <w:r w:rsidRPr="00191BBD">
        <w:rPr>
          <w:sz w:val="12"/>
          <w:szCs w:val="12"/>
        </w:rPr>
        <w:t>3Der/die von der Kommission in die Ständige Arbeitsgruppe Lehrkräfte gewählte Dienstn</w:t>
      </w:r>
      <w:r>
        <w:rPr>
          <w:sz w:val="12"/>
          <w:szCs w:val="12"/>
        </w:rPr>
        <w:t>ehmervertreter/</w:t>
      </w:r>
      <w:r w:rsidRPr="00191BBD">
        <w:rPr>
          <w:sz w:val="12"/>
          <w:szCs w:val="12"/>
        </w:rPr>
        <w:t>Dienstnehmer</w:t>
      </w:r>
      <w:r>
        <w:rPr>
          <w:sz w:val="12"/>
          <w:szCs w:val="12"/>
        </w:rPr>
        <w:softHyphen/>
      </w:r>
      <w:r w:rsidRPr="00191BBD">
        <w:rPr>
          <w:sz w:val="12"/>
          <w:szCs w:val="12"/>
        </w:rPr>
        <w:t>vertreterin hat Anspruch auf eine zusätzliche Freistellung in Höhe von 10 % der durchschnittlichen regelmäßigen wöchent</w:t>
      </w:r>
      <w:r>
        <w:rPr>
          <w:sz w:val="12"/>
          <w:szCs w:val="12"/>
        </w:rPr>
        <w:softHyphen/>
      </w:r>
      <w:r w:rsidRPr="00191BBD">
        <w:rPr>
          <w:sz w:val="12"/>
          <w:szCs w:val="12"/>
        </w:rPr>
        <w:t>lichen Arbeitszeit eines/einer vergleichbaren Vollbeschäftigten.</w:t>
      </w:r>
    </w:p>
    <w:p w:rsidR="00BE1EFE" w:rsidRPr="00191BBD" w:rsidRDefault="00BE1EFE" w:rsidP="00191BBD">
      <w:pPr>
        <w:pStyle w:val="StandardWeb"/>
        <w:rPr>
          <w:sz w:val="12"/>
          <w:szCs w:val="12"/>
        </w:rPr>
      </w:pPr>
      <w:r w:rsidRPr="00191BBD">
        <w:rPr>
          <w:sz w:val="12"/>
          <w:szCs w:val="12"/>
        </w:rPr>
        <w:t>7. Die durch die Freistellung der Vertreter/Vertreterinnen der Beschäftigten in der Kommission dem Anstellungsträger entstehenden Kosten trägt auf Antrag die jeweilige (Erz-)Diözese.</w:t>
      </w:r>
    </w:p>
    <w:p w:rsidR="00BE1EFE" w:rsidRDefault="00BE1EFE" w:rsidP="00191BBD">
      <w:pPr>
        <w:pStyle w:val="StandardWeb"/>
        <w:rPr>
          <w:sz w:val="12"/>
          <w:szCs w:val="12"/>
        </w:rPr>
      </w:pPr>
      <w:r w:rsidRPr="00191BBD">
        <w:rPr>
          <w:sz w:val="12"/>
          <w:szCs w:val="12"/>
        </w:rPr>
        <w:t>8. Die durch die Freistellung der Vertreter/der Vertreterinnen der Mitarbeiter/der Mitarbeiterinnen in der Ständigen Arbeits</w:t>
      </w:r>
      <w:r>
        <w:rPr>
          <w:sz w:val="12"/>
          <w:szCs w:val="12"/>
        </w:rPr>
        <w:softHyphen/>
      </w:r>
      <w:r w:rsidRPr="00191BBD">
        <w:rPr>
          <w:sz w:val="12"/>
          <w:szCs w:val="12"/>
        </w:rPr>
        <w:t>gruppe Lehrkräfte in der Kommission entstehenden Kosten tragen auf Antrag die bayerischen Diözesen.</w:t>
      </w:r>
    </w:p>
    <w:p w:rsidR="00BE1EFE" w:rsidRDefault="00BE1EFE" w:rsidP="00191BBD">
      <w:pPr>
        <w:pStyle w:val="StandardWeb"/>
        <w:rPr>
          <w:sz w:val="12"/>
          <w:szCs w:val="12"/>
        </w:rPr>
      </w:pPr>
    </w:p>
    <w:p w:rsidR="00BE1EFE" w:rsidRPr="006B6312" w:rsidRDefault="00BE1EFE" w:rsidP="006B6312">
      <w:pPr>
        <w:pStyle w:val="StandardWeb"/>
        <w:rPr>
          <w:sz w:val="12"/>
          <w:szCs w:val="12"/>
        </w:rPr>
      </w:pPr>
      <w:r w:rsidRPr="006B6312">
        <w:rPr>
          <w:sz w:val="12"/>
          <w:szCs w:val="12"/>
        </w:rPr>
        <w:t>Niederschriftserklärung:</w:t>
      </w:r>
    </w:p>
    <w:p w:rsidR="00BE1EFE" w:rsidRDefault="00BE1EFE" w:rsidP="006B6312">
      <w:pPr>
        <w:pStyle w:val="StandardWeb"/>
        <w:rPr>
          <w:sz w:val="12"/>
          <w:szCs w:val="12"/>
        </w:rPr>
      </w:pPr>
      <w:r w:rsidRPr="006B6312">
        <w:rPr>
          <w:sz w:val="12"/>
          <w:szCs w:val="12"/>
        </w:rPr>
        <w:t>Jeder Dienstnehmervertreter/jede Dienstnehmervertreterin beantragt bei seinem Arbeitgeber die Freistellung in dem Umfang, wie sie für den jeweiligen Arbeitsanfall für die Arbeit der Kommission notwendig ist. Das Höchstmaß der Freistellung (bei Lehrkräften Unterrichtsstunden) darf die angegebene Zahl in Prozentpunkten nicht übersteigen (Bsp.: bis</w:t>
      </w:r>
      <w:r>
        <w:rPr>
          <w:sz w:val="12"/>
          <w:szCs w:val="12"/>
        </w:rPr>
        <w:t xml:space="preserve"> zu 30 % Freistellung der durchschnitt</w:t>
      </w:r>
      <w:r w:rsidRPr="006B6312">
        <w:rPr>
          <w:sz w:val="12"/>
          <w:szCs w:val="12"/>
        </w:rPr>
        <w:t xml:space="preserve">lichen regelmäßigen wöchentlichen Arbeitszeit auf der Basis von 39 Wochenstunden eines/einer vergleichbaren Vollbeschäftigen ergibt max. 11,7 Zeitstunden). Soweit sich bei Lehrkräften Bruchteile von wöchentlich zu erteilenden Unterrichtsstunden (Jahreswochenstunden) ergeben, sind diese gegebenenfalls durch ein </w:t>
      </w:r>
      <w:r>
        <w:rPr>
          <w:sz w:val="12"/>
          <w:szCs w:val="12"/>
        </w:rPr>
        <w:t>Arbeitszeitkonto auszugleichen.</w:t>
      </w:r>
    </w:p>
    <w:p w:rsidR="00BE1EFE" w:rsidRDefault="00BE1EFE" w:rsidP="00191BBD">
      <w:pPr>
        <w:pStyle w:val="StandardWeb"/>
        <w:rPr>
          <w:sz w:val="12"/>
          <w:szCs w:val="12"/>
        </w:rPr>
      </w:pPr>
    </w:p>
    <w:p w:rsidR="00BE1EFE" w:rsidRPr="006B6312" w:rsidRDefault="00BE1EFE" w:rsidP="006B6312">
      <w:pPr>
        <w:pStyle w:val="StandardWeb"/>
        <w:rPr>
          <w:sz w:val="12"/>
          <w:szCs w:val="12"/>
        </w:rPr>
      </w:pPr>
      <w:r w:rsidRPr="006B6312">
        <w:rPr>
          <w:sz w:val="12"/>
          <w:szCs w:val="12"/>
        </w:rPr>
        <w:t>Ausführungsbestimmung vom 01.09.2018 zu § 11 Absatz 1 Satz 2 BayRKO</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Aufgabe der allgemeinen Informationsarbeit ist die</w:t>
      </w:r>
    </w:p>
    <w:p w:rsidR="00BE1EFE" w:rsidRPr="006B6312" w:rsidRDefault="00BE1EFE" w:rsidP="006B6312">
      <w:pPr>
        <w:pStyle w:val="StandardWeb"/>
        <w:rPr>
          <w:sz w:val="12"/>
          <w:szCs w:val="12"/>
        </w:rPr>
      </w:pPr>
      <w:r>
        <w:rPr>
          <w:sz w:val="12"/>
          <w:szCs w:val="12"/>
        </w:rPr>
        <w:t>• </w:t>
      </w:r>
      <w:r w:rsidRPr="006B6312">
        <w:rPr>
          <w:sz w:val="12"/>
          <w:szCs w:val="12"/>
        </w:rPr>
        <w:t>Information der Beschäftigten über tarifliche und damit im Zusammenhang stehende Themen aus Perspektive der Dienstnehmerseite sowie die</w:t>
      </w:r>
    </w:p>
    <w:p w:rsidR="00BE1EFE" w:rsidRPr="006B6312" w:rsidRDefault="00BE1EFE" w:rsidP="006B6312">
      <w:pPr>
        <w:pStyle w:val="StandardWeb"/>
        <w:rPr>
          <w:sz w:val="12"/>
          <w:szCs w:val="12"/>
        </w:rPr>
      </w:pPr>
      <w:r>
        <w:rPr>
          <w:sz w:val="12"/>
          <w:szCs w:val="12"/>
        </w:rPr>
        <w:t>• </w:t>
      </w:r>
      <w:r w:rsidRPr="006B6312">
        <w:rPr>
          <w:sz w:val="12"/>
          <w:szCs w:val="12"/>
        </w:rPr>
        <w:t>Kommunikation mit den Wählerinnen und Wählern um</w:t>
      </w:r>
    </w:p>
    <w:p w:rsidR="00BE1EFE" w:rsidRPr="006B6312" w:rsidRDefault="00BE1EFE" w:rsidP="006B6312">
      <w:pPr>
        <w:pStyle w:val="StandardWeb"/>
        <w:rPr>
          <w:sz w:val="12"/>
          <w:szCs w:val="12"/>
        </w:rPr>
      </w:pPr>
      <w:r>
        <w:rPr>
          <w:sz w:val="12"/>
          <w:szCs w:val="12"/>
        </w:rPr>
        <w:t>- </w:t>
      </w:r>
      <w:r w:rsidRPr="006B6312">
        <w:rPr>
          <w:sz w:val="12"/>
          <w:szCs w:val="12"/>
        </w:rPr>
        <w:t>diese über die Arbeit, Ziele und Planungen ihrer Vertreterinnen und Vertreter zu informieren und</w:t>
      </w:r>
    </w:p>
    <w:p w:rsidR="00BE1EFE" w:rsidRPr="006B6312" w:rsidRDefault="00BE1EFE" w:rsidP="006B6312">
      <w:pPr>
        <w:pStyle w:val="StandardWeb"/>
        <w:rPr>
          <w:sz w:val="12"/>
          <w:szCs w:val="12"/>
        </w:rPr>
      </w:pPr>
      <w:r>
        <w:rPr>
          <w:sz w:val="12"/>
          <w:szCs w:val="12"/>
        </w:rPr>
        <w:t>- </w:t>
      </w:r>
      <w:r w:rsidRPr="006B6312">
        <w:rPr>
          <w:sz w:val="12"/>
          <w:szCs w:val="12"/>
        </w:rPr>
        <w:t>ihnen die Möglichkeit zu geben, sich in die tarifpolitische Diskussion gegenüber den Gewählten einzubringen.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Verwirklicht wird die allgemeine Informationsarbeit insbesondere durch</w:t>
      </w:r>
    </w:p>
    <w:p w:rsidR="00BE1EFE" w:rsidRPr="006B6312" w:rsidRDefault="00BE1EFE" w:rsidP="006B6312">
      <w:pPr>
        <w:pStyle w:val="StandardWeb"/>
        <w:rPr>
          <w:sz w:val="12"/>
          <w:szCs w:val="12"/>
        </w:rPr>
      </w:pPr>
      <w:r>
        <w:rPr>
          <w:sz w:val="12"/>
          <w:szCs w:val="12"/>
        </w:rPr>
        <w:t>• </w:t>
      </w:r>
      <w:r w:rsidRPr="006B6312">
        <w:rPr>
          <w:sz w:val="12"/>
          <w:szCs w:val="12"/>
        </w:rPr>
        <w:t>die Herausgabe der Zeitschrift „KODA Kompass“ sowie</w:t>
      </w:r>
    </w:p>
    <w:p w:rsidR="00BE1EFE" w:rsidRPr="006B6312" w:rsidRDefault="00BE1EFE" w:rsidP="006B6312">
      <w:pPr>
        <w:pStyle w:val="StandardWeb"/>
        <w:rPr>
          <w:sz w:val="12"/>
          <w:szCs w:val="12"/>
        </w:rPr>
      </w:pPr>
      <w:r>
        <w:rPr>
          <w:sz w:val="12"/>
          <w:szCs w:val="12"/>
        </w:rPr>
        <w:t>• </w:t>
      </w:r>
      <w:r w:rsidRPr="006B6312">
        <w:rPr>
          <w:sz w:val="12"/>
          <w:szCs w:val="12"/>
        </w:rPr>
        <w:t>die Website „kodakompass.de“.</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Die notwendigen Kosten werden im Rahmen der Finanzierung der Kommission durch die Diözesen getragen.</w:t>
      </w:r>
    </w:p>
    <w:p w:rsidR="00BE1EFE" w:rsidRPr="006B6312" w:rsidRDefault="00BE1EFE" w:rsidP="006B6312">
      <w:pPr>
        <w:pStyle w:val="StandardWeb"/>
        <w:rPr>
          <w:sz w:val="12"/>
          <w:szCs w:val="12"/>
        </w:rPr>
      </w:pPr>
      <w:r w:rsidRPr="006B6312">
        <w:rPr>
          <w:sz w:val="12"/>
          <w:szCs w:val="12"/>
        </w:rPr>
        <w:t>Die Diözesen stellen die Adressen für den Versand an die Beschäftigten im Anwendungsbereich des ABD zur Verfügung, soweit sie über diese Adressen verfügen.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Eine der Diözesen stellt die Plattform für die Domain kodakompass.de zur Verfügung. Sie nimmt keinen Einfluss auf die redaktionelle Arbeit.</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Beteiligung der Dienstgeberseite</w:t>
      </w:r>
    </w:p>
    <w:p w:rsidR="00BE1EFE" w:rsidRPr="006B6312" w:rsidRDefault="00BE1EFE" w:rsidP="006B6312">
      <w:pPr>
        <w:pStyle w:val="StandardWeb"/>
        <w:rPr>
          <w:sz w:val="12"/>
          <w:szCs w:val="12"/>
        </w:rPr>
      </w:pPr>
      <w:r w:rsidRPr="006B6312">
        <w:rPr>
          <w:sz w:val="12"/>
          <w:szCs w:val="12"/>
        </w:rPr>
        <w:t xml:space="preserve">Die personelle und inhaltliche Beteiligung der Dienstgeberseite an der Informationsarbeit der Dienstnehmerseite hat in der Vergangenheit dazu beigetragen, eine hohe Informationsqualität zu erreichen, die Akzeptanz der Informationen auf Arbeitgeberseite und die praktische Anwendung der ABD-Regelungen in den Einrichtungen zu sichern und arbeitsvertragsrechtliche Konflikte auf betrieblicher Ebene zu vermeiden. </w:t>
      </w:r>
    </w:p>
    <w:p w:rsidR="00BE1EFE" w:rsidRPr="006B6312" w:rsidRDefault="00BE1EFE" w:rsidP="006B6312">
      <w:pPr>
        <w:pStyle w:val="StandardWeb"/>
        <w:rPr>
          <w:sz w:val="12"/>
          <w:szCs w:val="12"/>
        </w:rPr>
      </w:pPr>
      <w:r w:rsidRPr="006B6312">
        <w:rPr>
          <w:sz w:val="12"/>
          <w:szCs w:val="12"/>
        </w:rPr>
        <w:t>Deshalb befürwortet die Mitarbeiterseite ausdrücklich die Fortsetzung dieser Beteiligung. Sie ist ein wichtiger Baustein gelebter Dienstgemeinschaft innerhalb der Kommission.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Die Dienstgeberseite ist berechtigt</w:t>
      </w:r>
    </w:p>
    <w:p w:rsidR="00BE1EFE" w:rsidRPr="006B6312" w:rsidRDefault="00BE1EFE" w:rsidP="006B6312">
      <w:pPr>
        <w:pStyle w:val="StandardWeb"/>
        <w:rPr>
          <w:sz w:val="12"/>
          <w:szCs w:val="12"/>
        </w:rPr>
      </w:pPr>
      <w:r>
        <w:rPr>
          <w:sz w:val="12"/>
          <w:szCs w:val="12"/>
        </w:rPr>
        <w:t>• </w:t>
      </w:r>
      <w:r w:rsidRPr="006B6312">
        <w:rPr>
          <w:sz w:val="12"/>
          <w:szCs w:val="12"/>
        </w:rPr>
        <w:t>eine Vertreterin oder einen Vertreter in die Redaktion zu entsenden. Diese oder dieser hat Stimmrecht und wird in vollem Umfang an der Redaktionsarbeit beteiligt. Darüber hinaus hat die jeweilige Sprecherin oder der jeweilige Sprecher der Dienstgeberseite den Status eines „ständigen Gastes“, dem bei Bedarf auch die Stellvertretung des von der Dienstgeber-seite entsandten Redaktionsmitgliedes zufällt.</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Bei unterschiedlichen Auffassungen</w:t>
      </w:r>
    </w:p>
    <w:p w:rsidR="00BE1EFE" w:rsidRPr="006B6312" w:rsidRDefault="00BE1EFE" w:rsidP="006B6312">
      <w:pPr>
        <w:pStyle w:val="StandardWeb"/>
        <w:rPr>
          <w:sz w:val="12"/>
          <w:szCs w:val="12"/>
        </w:rPr>
      </w:pPr>
      <w:r>
        <w:rPr>
          <w:sz w:val="12"/>
          <w:szCs w:val="12"/>
        </w:rPr>
        <w:t>• </w:t>
      </w:r>
      <w:r w:rsidRPr="006B6312">
        <w:rPr>
          <w:sz w:val="12"/>
          <w:szCs w:val="12"/>
        </w:rPr>
        <w:t xml:space="preserve">innerhalb der Redaktion wird eine Konsenslösung angestrebt. </w:t>
      </w:r>
    </w:p>
    <w:p w:rsidR="00BE1EFE" w:rsidRPr="006B6312" w:rsidRDefault="00BE1EFE" w:rsidP="006B6312">
      <w:pPr>
        <w:pStyle w:val="StandardWeb"/>
        <w:rPr>
          <w:sz w:val="12"/>
          <w:szCs w:val="12"/>
        </w:rPr>
      </w:pPr>
      <w:r w:rsidRPr="006B6312">
        <w:rPr>
          <w:sz w:val="12"/>
          <w:szCs w:val="12"/>
        </w:rPr>
        <w:t xml:space="preserve">Handelt es sich um Rechtsfragen, wird versucht eine juristische Klärung gegebenenfalls mit Hilfe von Rechtsberaterinnen bzw. Rechtsberatern herbeizuführen. </w:t>
      </w:r>
    </w:p>
    <w:p w:rsidR="00BE1EFE" w:rsidRPr="006B6312" w:rsidRDefault="00BE1EFE" w:rsidP="006B6312">
      <w:pPr>
        <w:pStyle w:val="StandardWeb"/>
        <w:rPr>
          <w:sz w:val="12"/>
          <w:szCs w:val="12"/>
        </w:rPr>
      </w:pPr>
      <w:r w:rsidRPr="006B6312">
        <w:rPr>
          <w:sz w:val="12"/>
          <w:szCs w:val="12"/>
        </w:rPr>
        <w:t xml:space="preserve">Handelt es sich um politische Fragen, erhält gegebenenfalls die Dienstgeberseite beziehungsweise die Vertreterin oder der Vertreter der Dienstgeberseite die Möglichkeit die abweichende Position in entsprechenden Umfang in einem eigenen Beitrag der Auffassung der Dienstnehmerseite gegenüberzustellen.  </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Journalistische Vorgaben:</w:t>
      </w:r>
    </w:p>
    <w:p w:rsidR="00BE1EFE" w:rsidRPr="006B6312" w:rsidRDefault="00BE1EFE" w:rsidP="006B6312">
      <w:pPr>
        <w:pStyle w:val="StandardWeb"/>
        <w:rPr>
          <w:sz w:val="12"/>
          <w:szCs w:val="12"/>
        </w:rPr>
      </w:pPr>
      <w:r>
        <w:rPr>
          <w:sz w:val="12"/>
          <w:szCs w:val="12"/>
        </w:rPr>
        <w:t>• </w:t>
      </w:r>
      <w:r w:rsidRPr="006B6312">
        <w:rPr>
          <w:sz w:val="12"/>
          <w:szCs w:val="12"/>
        </w:rPr>
        <w:t xml:space="preserve">Bericht und Kommentar sind zu trennen. </w:t>
      </w:r>
    </w:p>
    <w:p w:rsidR="00BE1EFE" w:rsidRPr="006B6312" w:rsidRDefault="00BE1EFE" w:rsidP="006B6312">
      <w:pPr>
        <w:pStyle w:val="StandardWeb"/>
        <w:rPr>
          <w:sz w:val="12"/>
          <w:szCs w:val="12"/>
        </w:rPr>
      </w:pPr>
      <w:r>
        <w:rPr>
          <w:sz w:val="12"/>
          <w:szCs w:val="12"/>
        </w:rPr>
        <w:lastRenderedPageBreak/>
        <w:t>• </w:t>
      </w:r>
      <w:r w:rsidRPr="006B6312">
        <w:rPr>
          <w:sz w:val="12"/>
          <w:szCs w:val="12"/>
        </w:rPr>
        <w:t>Positionen und Rechtsauffassungen, die lediglich Ansichten der Dienstnehmerseite wiedergeben, werden als solche für die Leserinnen und Leser eindeutig kenntlich gemacht.</w:t>
      </w:r>
    </w:p>
    <w:p w:rsidR="00BE1EFE" w:rsidRPr="006B6312" w:rsidRDefault="00BE1EFE" w:rsidP="006B6312">
      <w:pPr>
        <w:pStyle w:val="StandardWeb"/>
        <w:rPr>
          <w:sz w:val="12"/>
          <w:szCs w:val="12"/>
        </w:rPr>
      </w:pPr>
      <w:r>
        <w:rPr>
          <w:sz w:val="12"/>
          <w:szCs w:val="12"/>
        </w:rPr>
        <w:t>• </w:t>
      </w:r>
      <w:r w:rsidRPr="006B6312">
        <w:rPr>
          <w:sz w:val="12"/>
          <w:szCs w:val="12"/>
        </w:rPr>
        <w:t>Die Dienstgeberseite hat in grundsätzlichen Fragen die Möglichkeit, ihre Auffassung gegenüber zu stellen.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Erscheinungsweise und Umfang der Zeitschrift KODA Kompass:</w:t>
      </w:r>
    </w:p>
    <w:p w:rsidR="00BE1EFE" w:rsidRPr="006B6312" w:rsidRDefault="00BE1EFE" w:rsidP="006B6312">
      <w:pPr>
        <w:pStyle w:val="StandardWeb"/>
        <w:rPr>
          <w:sz w:val="12"/>
          <w:szCs w:val="12"/>
        </w:rPr>
      </w:pPr>
      <w:r w:rsidRPr="006B6312">
        <w:rPr>
          <w:sz w:val="12"/>
          <w:szCs w:val="12"/>
        </w:rPr>
        <w:t>Die Informationsarbeit findet regelmäßig statt, um Aktualität und Akzeptanz des Mediums zu sichern. In der Vergangenheit wurden in der Regel vier Ausgaben pro Jahr veröffentlicht. In der weiteren Planung wird daher von vier Ausgaben pro Jahr ausgegangen, es kann auch zu drei Ausgaben pro Jahr kommen.</w:t>
      </w:r>
    </w:p>
    <w:p w:rsidR="00BE1EFE" w:rsidRPr="006B6312" w:rsidRDefault="00BE1EFE" w:rsidP="006B6312">
      <w:pPr>
        <w:pStyle w:val="StandardWeb"/>
        <w:rPr>
          <w:sz w:val="12"/>
          <w:szCs w:val="12"/>
        </w:rPr>
      </w:pPr>
      <w:r w:rsidRPr="006B6312">
        <w:rPr>
          <w:sz w:val="12"/>
          <w:szCs w:val="12"/>
        </w:rPr>
        <w:t>Der Umfang der Ausgaben richtet sich nach dem Bedarf und umfasst bei regulären Ausgaben in der Regel 16 bis 20 Seiten.</w:t>
      </w:r>
    </w:p>
    <w:p w:rsidR="00BE1EFE" w:rsidRPr="006B6312" w:rsidRDefault="00BE1EFE" w:rsidP="006B6312">
      <w:pPr>
        <w:pStyle w:val="StandardWeb"/>
        <w:rPr>
          <w:sz w:val="12"/>
          <w:szCs w:val="12"/>
        </w:rPr>
      </w:pPr>
    </w:p>
    <w:p w:rsidR="00BE1EFE" w:rsidRPr="006B6312" w:rsidRDefault="00BE1EFE" w:rsidP="006B6312">
      <w:pPr>
        <w:pStyle w:val="StandardWeb"/>
        <w:rPr>
          <w:sz w:val="12"/>
          <w:szCs w:val="12"/>
        </w:rPr>
      </w:pPr>
      <w:r w:rsidRPr="006B6312">
        <w:rPr>
          <w:sz w:val="12"/>
          <w:szCs w:val="12"/>
        </w:rPr>
        <w:t>Spezielle Informationsarbeit der einzelnen Dienstnehmervertreter und Dienstnehmervertreterinnen:</w:t>
      </w:r>
    </w:p>
    <w:p w:rsidR="00BE1EFE" w:rsidRPr="00191BBD" w:rsidRDefault="00BE1EFE" w:rsidP="006B6312">
      <w:pPr>
        <w:pStyle w:val="StandardWeb"/>
        <w:rPr>
          <w:sz w:val="12"/>
          <w:szCs w:val="12"/>
        </w:rPr>
      </w:pPr>
      <w:r w:rsidRPr="006B6312">
        <w:rPr>
          <w:sz w:val="12"/>
          <w:szCs w:val="12"/>
        </w:rPr>
        <w:t>Unbeschadet dieser Ausführungsbestimmungen ü</w:t>
      </w:r>
      <w:r>
        <w:rPr>
          <w:sz w:val="12"/>
          <w:szCs w:val="12"/>
        </w:rPr>
        <w:t>ber die gemeinsame Informations</w:t>
      </w:r>
      <w:r w:rsidRPr="006B6312">
        <w:rPr>
          <w:sz w:val="12"/>
          <w:szCs w:val="12"/>
        </w:rPr>
        <w:t>arbeit der Dienstnehmerseite h</w:t>
      </w:r>
      <w:r>
        <w:rPr>
          <w:sz w:val="12"/>
          <w:szCs w:val="12"/>
        </w:rPr>
        <w:t>aben die einzelnen Dienstnehmervertre</w:t>
      </w:r>
      <w:r w:rsidRPr="006B6312">
        <w:rPr>
          <w:sz w:val="12"/>
          <w:szCs w:val="12"/>
        </w:rPr>
        <w:t>terinnen und Dienstnehmervertreter weiterhin die Aufgabe mit ihren Wählerinnen und Wählern in Kontakt zu treten und über tarifliche Fragen Auskunft zu geben und politische Positionen zu vertreten.</w:t>
      </w:r>
    </w:p>
    <w:p w:rsidR="00BE1EFE" w:rsidRPr="000322A2" w:rsidRDefault="00BE1EFE">
      <w:pPr>
        <w:pStyle w:val="berschrift5"/>
        <w:rPr>
          <w:lang w:eastAsia="x-none"/>
        </w:rPr>
      </w:pPr>
      <w:bookmarkStart w:id="1355" w:name="_Toc523926865"/>
      <w:r>
        <w:t>§ 1</w:t>
      </w:r>
      <w:r>
        <w:rPr>
          <w:lang w:eastAsia="x-none"/>
        </w:rPr>
        <w:t>2</w:t>
      </w:r>
      <w:r w:rsidRPr="000322A2">
        <w:t xml:space="preserve"> </w:t>
      </w:r>
      <w:r w:rsidRPr="000322A2">
        <w:rPr>
          <w:lang w:eastAsia="x-none"/>
        </w:rPr>
        <w:t>Schulung</w:t>
      </w:r>
      <w:bookmarkEnd w:id="1355"/>
    </w:p>
    <w:p w:rsidR="00BE1EFE" w:rsidRPr="00B76821" w:rsidRDefault="00BE1EFE" w:rsidP="00B76821">
      <w:pPr>
        <w:pStyle w:val="berschrift6"/>
        <w:keepNext w:val="0"/>
        <w:spacing w:before="0" w:after="0"/>
        <w:rPr>
          <w:sz w:val="2"/>
        </w:rPr>
      </w:pPr>
    </w:p>
    <w:p w:rsidR="00BE1EFE" w:rsidRPr="000B1AF8" w:rsidRDefault="00BE1EFE">
      <w:pPr>
        <w:pStyle w:val="StandardWeb"/>
      </w:pPr>
      <w:r w:rsidRPr="000322A2">
        <w:rPr>
          <w:sz w:val="12"/>
          <w:szCs w:val="12"/>
        </w:rPr>
        <w:t>1</w:t>
      </w:r>
      <w:r w:rsidRPr="000322A2">
        <w:t xml:space="preserve">Die Mitglieder der Kommission werden im erforderlichen Umfang bis zu insgesamt einer Woche im Jahr für die Teilnahme an Schulungsveranstaltungen freigestellt, soweit diese Kenntnisse vermitteln, die für die Arbeit in der Kommission erforderlich sind. </w:t>
      </w:r>
      <w:r w:rsidRPr="000322A2">
        <w:rPr>
          <w:sz w:val="12"/>
          <w:szCs w:val="12"/>
        </w:rPr>
        <w:t>2</w:t>
      </w:r>
      <w:r w:rsidRPr="000322A2">
        <w:t>Jede Seite stellt für ihre Mitglieder die Erforderlichkeit fest.</w:t>
      </w:r>
      <w:r>
        <w:t xml:space="preserve"> </w:t>
      </w:r>
    </w:p>
    <w:p w:rsidR="00BE1EFE" w:rsidRPr="000322A2" w:rsidRDefault="00BE1EFE">
      <w:pPr>
        <w:pStyle w:val="berschrift5"/>
        <w:rPr>
          <w:lang w:eastAsia="x-none"/>
        </w:rPr>
      </w:pPr>
      <w:bookmarkStart w:id="1356" w:name="_Toc523926866"/>
      <w:r>
        <w:t>§ 1</w:t>
      </w:r>
      <w:r>
        <w:rPr>
          <w:lang w:eastAsia="x-none"/>
        </w:rPr>
        <w:t>3</w:t>
      </w:r>
      <w:r w:rsidRPr="000322A2">
        <w:t xml:space="preserve"> Kündigungsschutz der Mitglieder der Kommission</w:t>
      </w:r>
      <w:bookmarkEnd w:id="1356"/>
    </w:p>
    <w:p w:rsidR="00BE1EFE" w:rsidRPr="00B76821" w:rsidRDefault="00BE1EFE" w:rsidP="00B76821">
      <w:pPr>
        <w:pStyle w:val="berschrift6"/>
        <w:keepNext w:val="0"/>
        <w:spacing w:before="0" w:after="0"/>
        <w:rPr>
          <w:sz w:val="2"/>
        </w:rPr>
      </w:pPr>
    </w:p>
    <w:p w:rsidR="00BE1EFE" w:rsidRDefault="00BE1EFE" w:rsidP="000322A2">
      <w:pPr>
        <w:pStyle w:val="StandardWeb"/>
      </w:pPr>
      <w:r w:rsidRPr="000322A2">
        <w:rPr>
          <w:sz w:val="12"/>
          <w:szCs w:val="12"/>
        </w:rPr>
        <w:t>1</w:t>
      </w:r>
      <w:r w:rsidRPr="000322A2">
        <w:t xml:space="preserve">Einem Mitglied der Kommission kann nur gekündigt werden, wenn ein Grund für eine außerordentliche Kündigung vorliegt. </w:t>
      </w:r>
      <w:r w:rsidRPr="000322A2">
        <w:rPr>
          <w:sz w:val="12"/>
          <w:szCs w:val="12"/>
        </w:rPr>
        <w:t>2</w:t>
      </w:r>
      <w:r w:rsidRPr="000322A2">
        <w:t xml:space="preserve">Abweichend von Satz 1 kann in Fällen des </w:t>
      </w:r>
      <w:hyperlink r:id="rId1972" w:history="1">
        <w:r w:rsidRPr="000322A2">
          <w:rPr>
            <w:rStyle w:val="Hyperlink"/>
          </w:rPr>
          <w:t>Artikels 5 Grundordnung</w:t>
        </w:r>
      </w:hyperlink>
      <w:r w:rsidRPr="000322A2">
        <w:t xml:space="preserve"> auch eine ordentliche Kündigung ausgesprochen werden. </w:t>
      </w:r>
      <w:r w:rsidRPr="000322A2">
        <w:rPr>
          <w:sz w:val="12"/>
          <w:szCs w:val="12"/>
        </w:rPr>
        <w:t>3</w:t>
      </w:r>
      <w:r w:rsidRPr="000322A2">
        <w:t>Die Sätze 1 und 2 gelten ebenfalls innerhalb eines Jahres nach Ausscheiden aus der Kommission.</w:t>
      </w:r>
      <w:r>
        <w:t xml:space="preserve"> </w:t>
      </w:r>
    </w:p>
    <w:p w:rsidR="00BE1EFE" w:rsidRPr="000322A2" w:rsidRDefault="00BE1EFE">
      <w:pPr>
        <w:pStyle w:val="berschrift5"/>
        <w:rPr>
          <w:lang w:eastAsia="x-none"/>
        </w:rPr>
      </w:pPr>
      <w:bookmarkStart w:id="1357" w:name="_Toc523926867"/>
      <w:r>
        <w:t>§ 1</w:t>
      </w:r>
      <w:r>
        <w:rPr>
          <w:lang w:eastAsia="x-none"/>
        </w:rPr>
        <w:t>4</w:t>
      </w:r>
      <w:r w:rsidRPr="000322A2">
        <w:t xml:space="preserve"> </w:t>
      </w:r>
      <w:r w:rsidRPr="000322A2">
        <w:rPr>
          <w:lang w:eastAsia="x-none"/>
        </w:rPr>
        <w:t>Beratung</w:t>
      </w:r>
      <w:bookmarkEnd w:id="1357"/>
    </w:p>
    <w:p w:rsidR="00BE1EFE" w:rsidRPr="00B76821" w:rsidRDefault="00BE1EFE" w:rsidP="00B76821">
      <w:pPr>
        <w:pStyle w:val="berschrift6"/>
        <w:keepNext w:val="0"/>
        <w:spacing w:before="0" w:after="0"/>
        <w:rPr>
          <w:sz w:val="2"/>
        </w:rPr>
      </w:pPr>
    </w:p>
    <w:p w:rsidR="00BE1EFE" w:rsidRDefault="00BE1EFE" w:rsidP="000322A2">
      <w:pPr>
        <w:pStyle w:val="StandardWeb"/>
      </w:pPr>
      <w:r w:rsidRPr="000322A2">
        <w:rPr>
          <w:sz w:val="12"/>
          <w:szCs w:val="12"/>
        </w:rPr>
        <w:t>1</w:t>
      </w:r>
      <w:r w:rsidRPr="000322A2">
        <w:t xml:space="preserve">Der Dienstnehmerseite werden zur Beratung im notwendigen Umfang eine im Arbeitsrecht kundige Person oder die dafür erforderlichen Mittel zur Verfügung gestellt. </w:t>
      </w:r>
      <w:r w:rsidRPr="000322A2">
        <w:rPr>
          <w:sz w:val="12"/>
          <w:szCs w:val="12"/>
        </w:rPr>
        <w:t>2</w:t>
      </w:r>
      <w:r w:rsidRPr="000322A2">
        <w:t xml:space="preserve">Die Beauftragung einer Person erfolgt im Einvernehmen mit der Dienstnehmerseite. </w:t>
      </w:r>
      <w:r w:rsidRPr="000322A2">
        <w:rPr>
          <w:sz w:val="12"/>
          <w:szCs w:val="12"/>
        </w:rPr>
        <w:t>3</w:t>
      </w:r>
      <w:r w:rsidRPr="000322A2">
        <w:t xml:space="preserve">Der Berater/Die Beraterin ist nicht Mitglied der Kommission, kann jedoch an den Sitzungen der Kommission teilnehmen. </w:t>
      </w:r>
      <w:r w:rsidRPr="000322A2">
        <w:rPr>
          <w:sz w:val="12"/>
          <w:szCs w:val="12"/>
        </w:rPr>
        <w:t>4</w:t>
      </w:r>
      <w:r w:rsidRPr="000322A2">
        <w:t>Satz 3 gilt entsprechend für eine mit der Beratung der Dienstgeberseite beauftragte Person.</w:t>
      </w:r>
    </w:p>
    <w:p w:rsidR="00BE1EFE" w:rsidRPr="00214A83" w:rsidRDefault="00BE1EFE">
      <w:pPr>
        <w:pStyle w:val="berschrift5"/>
        <w:rPr>
          <w:lang w:eastAsia="x-none"/>
        </w:rPr>
      </w:pPr>
      <w:bookmarkStart w:id="1358" w:name="_Toc523926868"/>
      <w:r>
        <w:t>§ 1</w:t>
      </w:r>
      <w:r>
        <w:rPr>
          <w:lang w:eastAsia="x-none"/>
        </w:rPr>
        <w:t>5</w:t>
      </w:r>
      <w:r w:rsidRPr="00214A83">
        <w:t xml:space="preserve"> </w:t>
      </w:r>
      <w:r w:rsidRPr="00214A83">
        <w:rPr>
          <w:lang w:eastAsia="x-none"/>
        </w:rPr>
        <w:t>Sitzungen, Antragsstellung und Geschäftsordnung</w:t>
      </w:r>
      <w:bookmarkEnd w:id="1358"/>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Die Kommission tritt bei Bedarf zu Vollversammlungen zusammen. </w:t>
      </w:r>
      <w:r w:rsidRPr="00214A83">
        <w:rPr>
          <w:sz w:val="12"/>
          <w:szCs w:val="12"/>
        </w:rPr>
        <w:t>2</w:t>
      </w:r>
      <w:r>
        <w:t>Eine Vollversamm-lung hat stattzufinden, wenn dies von einem Drittel der Mitglieder schriftlich und unter Angabe von Gründen verlangt wird.</w:t>
      </w:r>
    </w:p>
    <w:p w:rsidR="00BE1EFE" w:rsidRDefault="00BE1EFE" w:rsidP="00214A83">
      <w:pPr>
        <w:pStyle w:val="StandardWeb"/>
      </w:pPr>
    </w:p>
    <w:p w:rsidR="00BE1EFE" w:rsidRDefault="00BE1EFE" w:rsidP="00214A83">
      <w:pPr>
        <w:pStyle w:val="StandardWeb"/>
      </w:pPr>
      <w:r>
        <w:t>(2) </w:t>
      </w:r>
      <w:r w:rsidRPr="00214A83">
        <w:rPr>
          <w:sz w:val="12"/>
          <w:szCs w:val="12"/>
        </w:rPr>
        <w:t>1</w:t>
      </w:r>
      <w:r>
        <w:t xml:space="preserve">Der/Die Vorsitzende der Kommission, bei Verhinderung der/die stellvertretende Vorsitzen-de, lädt unter Angabe der Tagesordnung spätestens zehn Tage – in Eilfällen sechs Tage – vor der Sitzung ein. </w:t>
      </w:r>
      <w:r w:rsidRPr="00214A83">
        <w:rPr>
          <w:sz w:val="12"/>
          <w:szCs w:val="12"/>
        </w:rPr>
        <w:t>2</w:t>
      </w:r>
      <w:r>
        <w:t>Er/Sie entscheidet im Einvernehmen mit dem/der stellvertretenden Vorsitzenden auch über die Eilbedürftigkeit.</w:t>
      </w:r>
    </w:p>
    <w:p w:rsidR="00BE1EFE" w:rsidRDefault="00BE1EFE" w:rsidP="00214A83">
      <w:pPr>
        <w:pStyle w:val="StandardWeb"/>
      </w:pPr>
    </w:p>
    <w:p w:rsidR="00BE1EFE" w:rsidRDefault="00BE1EFE" w:rsidP="00214A83">
      <w:pPr>
        <w:pStyle w:val="StandardWeb"/>
      </w:pPr>
      <w:r>
        <w:t>(3) </w:t>
      </w:r>
      <w:r w:rsidRPr="00214A83">
        <w:rPr>
          <w:sz w:val="12"/>
          <w:szCs w:val="12"/>
        </w:rPr>
        <w:t>1</w:t>
      </w:r>
      <w:r>
        <w:t xml:space="preserve">Sind Mitglieder verhindert, an einer Sitzung teilzunehmen, so ist die Übertragung des Stimmrechtes auf ein anderes Mitglied derselben Seite zulässig. </w:t>
      </w:r>
      <w:r w:rsidRPr="00214A83">
        <w:rPr>
          <w:sz w:val="12"/>
          <w:szCs w:val="12"/>
        </w:rPr>
        <w:t>2</w:t>
      </w:r>
      <w:r>
        <w:t xml:space="preserve">Ein Mitglied kann zusätzlich </w:t>
      </w:r>
      <w:r>
        <w:lastRenderedPageBreak/>
        <w:t xml:space="preserve">nicht mehr als ein übertragenes Stimmrecht ausüben. </w:t>
      </w:r>
      <w:r w:rsidRPr="00214A83">
        <w:rPr>
          <w:sz w:val="12"/>
          <w:szCs w:val="12"/>
        </w:rPr>
        <w:t>3</w:t>
      </w:r>
      <w:r>
        <w:t xml:space="preserve">Die Übertragung des Stimmrechtes erfolgt in Textform. </w:t>
      </w:r>
      <w:r w:rsidRPr="00214A83">
        <w:rPr>
          <w:sz w:val="12"/>
          <w:szCs w:val="12"/>
        </w:rPr>
        <w:t>4</w:t>
      </w:r>
      <w:r>
        <w:t>Bei Wahlen in der Kommission ist eine Stimmrechtsübertragung nicht zulässig.</w:t>
      </w:r>
    </w:p>
    <w:p w:rsidR="00BE1EFE" w:rsidRDefault="00BE1EFE" w:rsidP="00214A83">
      <w:pPr>
        <w:pStyle w:val="StandardWeb"/>
      </w:pPr>
    </w:p>
    <w:p w:rsidR="00BE1EFE" w:rsidRDefault="00BE1EFE" w:rsidP="00214A83">
      <w:pPr>
        <w:pStyle w:val="StandardWeb"/>
      </w:pPr>
      <w:r>
        <w:t xml:space="preserve">(4) Die Kommission ist beschlussfähig, wenn von jeder Seite mindestens die Hälfte der Mitglieder und der/die Vorsitzende oder der/die stellvertretende Vorsitzende anwesend sind. </w:t>
      </w:r>
    </w:p>
    <w:p w:rsidR="00BE1EFE" w:rsidRDefault="00BE1EFE" w:rsidP="00214A83">
      <w:pPr>
        <w:pStyle w:val="StandardWeb"/>
      </w:pPr>
    </w:p>
    <w:p w:rsidR="00BE1EFE" w:rsidRDefault="00BE1EFE" w:rsidP="00214A83">
      <w:pPr>
        <w:pStyle w:val="StandardWeb"/>
      </w:pPr>
      <w:r>
        <w:t>(5) Antragsberechtigt sind die Mitglieder der Kommission und der Vorbereitungsausschuss; die Anträge müssen schriftlich mit Begründung vorgelegt werden.</w:t>
      </w:r>
    </w:p>
    <w:p w:rsidR="00BE1EFE" w:rsidRDefault="00BE1EFE" w:rsidP="00214A83">
      <w:pPr>
        <w:pStyle w:val="StandardWeb"/>
      </w:pPr>
    </w:p>
    <w:p w:rsidR="00BE1EFE" w:rsidRDefault="00BE1EFE" w:rsidP="00214A83">
      <w:pPr>
        <w:pStyle w:val="StandardWeb"/>
      </w:pPr>
      <w:r>
        <w:t>(6) Empfehlungsbeschlüsse der Zentralen Kommission sind nach Zuleitung durch die Geschäftsstelle der Zentral-KODA in der nächsten Sitzung der Kommission zu behandeln.</w:t>
      </w:r>
    </w:p>
    <w:p w:rsidR="00BE1EFE" w:rsidRDefault="00BE1EFE" w:rsidP="00214A83">
      <w:pPr>
        <w:pStyle w:val="StandardWeb"/>
      </w:pPr>
    </w:p>
    <w:p w:rsidR="00BE1EFE" w:rsidRDefault="00BE1EFE" w:rsidP="00214A83">
      <w:pPr>
        <w:pStyle w:val="StandardWeb"/>
      </w:pPr>
      <w:r>
        <w:t>(7) </w:t>
      </w:r>
      <w:r w:rsidRPr="00214A83">
        <w:rPr>
          <w:sz w:val="12"/>
          <w:szCs w:val="12"/>
        </w:rPr>
        <w:t>1</w:t>
      </w:r>
      <w:r>
        <w:t xml:space="preserve">Die Sitzungen sind nicht öffentlich. </w:t>
      </w:r>
      <w:r w:rsidRPr="00214A83">
        <w:rPr>
          <w:sz w:val="12"/>
          <w:szCs w:val="12"/>
        </w:rPr>
        <w:t>2</w:t>
      </w:r>
      <w:r>
        <w:t>Der/die Vorsitzende kann im Einvernehmen mit dem/der stellvertretenden Vorsitzenden Sachverständige hinzuziehen.</w:t>
      </w:r>
    </w:p>
    <w:p w:rsidR="00BE1EFE" w:rsidRDefault="00BE1EFE" w:rsidP="00214A83">
      <w:pPr>
        <w:pStyle w:val="StandardWeb"/>
      </w:pPr>
    </w:p>
    <w:p w:rsidR="00BE1EFE" w:rsidRDefault="00BE1EFE">
      <w:pPr>
        <w:pStyle w:val="StandardWeb"/>
      </w:pPr>
      <w:r>
        <w:t>(8) Die Kommission gibt sich eine Geschäftsordnung.</w:t>
      </w:r>
    </w:p>
    <w:p w:rsidR="00BE1EFE" w:rsidRPr="00214A83" w:rsidRDefault="00BE1EFE">
      <w:pPr>
        <w:pStyle w:val="berschrift5"/>
        <w:rPr>
          <w:lang w:eastAsia="x-none"/>
        </w:rPr>
      </w:pPr>
      <w:bookmarkStart w:id="1359" w:name="_Toc523926869"/>
      <w:r>
        <w:t>§ 1</w:t>
      </w:r>
      <w:r>
        <w:rPr>
          <w:lang w:eastAsia="x-none"/>
        </w:rPr>
        <w:t>6</w:t>
      </w:r>
      <w:r w:rsidRPr="00214A83">
        <w:t xml:space="preserve"> </w:t>
      </w:r>
      <w:r w:rsidRPr="00214A83">
        <w:rPr>
          <w:lang w:eastAsia="x-none"/>
        </w:rPr>
        <w:t>Beschlüsse und ihre Inkraftsetzung</w:t>
      </w:r>
      <w:bookmarkEnd w:id="1359"/>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Die Kommission fasst Beschlüsse mit einer Mehrheit der Stimmen von zwei Drittel der Gesamtzahl ihrer Mitglieder. </w:t>
      </w:r>
      <w:r w:rsidRPr="00214A83">
        <w:rPr>
          <w:sz w:val="12"/>
          <w:szCs w:val="12"/>
        </w:rPr>
        <w:t>2</w:t>
      </w:r>
      <w:r>
        <w:t>Beschlüsse zu Beschlussempfehlungen der Ständigen Arbeits-gruppe Lehrkräfte werden mit der Mehrheit ihrer Mitglieder gefasst.</w:t>
      </w:r>
    </w:p>
    <w:p w:rsidR="00BE1EFE" w:rsidRDefault="00BE1EFE" w:rsidP="00214A83">
      <w:pPr>
        <w:pStyle w:val="StandardWeb"/>
      </w:pPr>
    </w:p>
    <w:p w:rsidR="00BE1EFE" w:rsidRDefault="00BE1EFE" w:rsidP="00214A83">
      <w:pPr>
        <w:pStyle w:val="StandardWeb"/>
      </w:pPr>
      <w:r>
        <w:t>(2) </w:t>
      </w:r>
      <w:r w:rsidRPr="00214A83">
        <w:rPr>
          <w:sz w:val="12"/>
          <w:szCs w:val="12"/>
        </w:rPr>
        <w:t>1</w:t>
      </w:r>
      <w:r>
        <w:t xml:space="preserve">In Angelegenheiten, die eilbedürftig sind und für die eine mündliche Behandlung entbehrlich ist, können Beschlüsse schriftlich herbeigeführt werden. </w:t>
      </w:r>
      <w:r w:rsidRPr="00214A83">
        <w:rPr>
          <w:sz w:val="12"/>
          <w:szCs w:val="12"/>
        </w:rPr>
        <w:t>2</w:t>
      </w:r>
      <w:r>
        <w:t xml:space="preserve">Ein Beschluss kommt nicht zustande, wenn mindestens vier Mitglieder der Kommission eine mündliche Erörterung verlangen. </w:t>
      </w:r>
      <w:r w:rsidRPr="00214A83">
        <w:rPr>
          <w:sz w:val="12"/>
          <w:szCs w:val="12"/>
        </w:rPr>
        <w:t>3</w:t>
      </w:r>
      <w:r>
        <w:t>Der/die Vorsitzende entscheidet im Einvernehmen mit dem/der stellvertretenden Vorsitzenden über die Einleitung dieses Verfahrens.</w:t>
      </w:r>
    </w:p>
    <w:p w:rsidR="00BE1EFE" w:rsidRDefault="00BE1EFE" w:rsidP="00214A83">
      <w:pPr>
        <w:pStyle w:val="StandardWeb"/>
      </w:pPr>
    </w:p>
    <w:p w:rsidR="00BE1EFE" w:rsidRDefault="00BE1EFE" w:rsidP="00214A83">
      <w:pPr>
        <w:pStyle w:val="StandardWeb"/>
      </w:pPr>
      <w:r>
        <w:t>(3) Die Beschlüsse werden nach Unterzeichnung durch den Vorsitzenden/die Vorsitzende oder den stellvertretenden Vorsitzenden/die stellvertretende Vorsitzende den Diözesan-bischöfen übermittelt.</w:t>
      </w:r>
    </w:p>
    <w:p w:rsidR="00BE1EFE" w:rsidRDefault="00BE1EFE" w:rsidP="00214A83">
      <w:pPr>
        <w:pStyle w:val="StandardWeb"/>
      </w:pPr>
    </w:p>
    <w:p w:rsidR="00BE1EFE" w:rsidRDefault="00BE1EFE" w:rsidP="00214A83">
      <w:pPr>
        <w:pStyle w:val="StandardWeb"/>
      </w:pPr>
      <w:r>
        <w:t>(4) Sieht sich ein Diözesanbischof nicht in der Lage, einen Beschluss in Kraft zu setzen, weil er offensichtlich gegen kirchenrechtliche Normen oder gegen Vorgaben der katholischen Glaubens- und Sittenlehre verstößt, so legt er innerhalb von sechs Wochen nach Zugang des Beschlusses beim Bischöflichen Ordinariat unter Angabe von Gründen Einspruch bei der Kommission ein.</w:t>
      </w:r>
    </w:p>
    <w:p w:rsidR="00BE1EFE" w:rsidRDefault="00BE1EFE" w:rsidP="00214A83">
      <w:pPr>
        <w:pStyle w:val="StandardWeb"/>
      </w:pPr>
    </w:p>
    <w:p w:rsidR="00BE1EFE" w:rsidRDefault="00BE1EFE" w:rsidP="00214A83">
      <w:pPr>
        <w:pStyle w:val="StandardWeb"/>
      </w:pPr>
      <w:r>
        <w:t>(5) Wenn bis zum Ablauf der sechswöchigen Frist kein Einspruch erhoben worden ist, sind die Beschlüsse für die einzelnen bayerischen Diözesen vom Diözesanbischof in Kraft zu setzen und im Amtsblatt der Diözese zu veröffentlichen.</w:t>
      </w:r>
    </w:p>
    <w:p w:rsidR="00BE1EFE" w:rsidRDefault="00BE1EFE" w:rsidP="00214A83">
      <w:pPr>
        <w:pStyle w:val="StandardWeb"/>
      </w:pPr>
    </w:p>
    <w:p w:rsidR="00BE1EFE" w:rsidRDefault="00BE1EFE" w:rsidP="00214A83">
      <w:pPr>
        <w:pStyle w:val="StandardWeb"/>
      </w:pPr>
      <w:r>
        <w:t>(6) </w:t>
      </w:r>
      <w:r w:rsidRPr="00214A83">
        <w:rPr>
          <w:sz w:val="12"/>
          <w:szCs w:val="12"/>
        </w:rPr>
        <w:t>1</w:t>
      </w:r>
      <w:r>
        <w:t xml:space="preserve">Im Falle eines Einspruchs berät die Kommission die Angelegenheit nochmals. </w:t>
      </w:r>
      <w:r w:rsidRPr="00214A83">
        <w:rPr>
          <w:sz w:val="12"/>
          <w:szCs w:val="12"/>
        </w:rPr>
        <w:t>2</w:t>
      </w:r>
      <w:r>
        <w:t xml:space="preserve">Fasst sie einen neuen Beschluss oder bestätigt sie ihren bisherigen Beschluss, so leitet sie diesen dem Diözesanbischof zur Inkraftsetzung zu. </w:t>
      </w:r>
      <w:r w:rsidRPr="00214A83">
        <w:rPr>
          <w:sz w:val="12"/>
          <w:szCs w:val="12"/>
        </w:rPr>
        <w:t>3</w:t>
      </w:r>
      <w:r>
        <w:t>Kommt ein solcher Beschluss nicht zustande, so ist das Verfahren beendet.</w:t>
      </w:r>
    </w:p>
    <w:p w:rsidR="00BE1EFE" w:rsidRDefault="00BE1EFE" w:rsidP="00214A83">
      <w:pPr>
        <w:pStyle w:val="StandardWeb"/>
      </w:pPr>
    </w:p>
    <w:p w:rsidR="00BE1EFE" w:rsidRDefault="00BE1EFE" w:rsidP="00214A83">
      <w:pPr>
        <w:pStyle w:val="StandardWeb"/>
      </w:pPr>
      <w:r>
        <w:t>(7) Das Verfahren ist auch dann beendet, wenn der Diözesanbischof sich aus den im Absatz 4 genannten Gründen nicht in der Lage sieht, einen bestätigten oder geänderten Beschluss in Kraft zu setzen.</w:t>
      </w:r>
    </w:p>
    <w:p w:rsidR="00BE1EFE" w:rsidRPr="00214A83" w:rsidRDefault="00BE1EFE">
      <w:pPr>
        <w:pStyle w:val="berschrift5"/>
        <w:rPr>
          <w:lang w:eastAsia="x-none"/>
        </w:rPr>
      </w:pPr>
      <w:bookmarkStart w:id="1360" w:name="_Toc523926870"/>
      <w:r>
        <w:lastRenderedPageBreak/>
        <w:t>§ 1</w:t>
      </w:r>
      <w:r>
        <w:rPr>
          <w:lang w:eastAsia="x-none"/>
        </w:rPr>
        <w:t>6a</w:t>
      </w:r>
      <w:r w:rsidRPr="00214A83">
        <w:t xml:space="preserve"> </w:t>
      </w:r>
      <w:r w:rsidRPr="00214A83">
        <w:rPr>
          <w:lang w:eastAsia="x-none"/>
        </w:rPr>
        <w:t>Beschlussfassung zu Beschlüssen der Zentralen Kommission</w:t>
      </w:r>
      <w:bookmarkEnd w:id="1360"/>
    </w:p>
    <w:p w:rsidR="00BE1EFE" w:rsidRPr="00B76821" w:rsidRDefault="00BE1EFE" w:rsidP="00B76821">
      <w:pPr>
        <w:pStyle w:val="berschrift6"/>
        <w:keepNext w:val="0"/>
        <w:spacing w:before="0" w:after="0"/>
        <w:rPr>
          <w:sz w:val="2"/>
        </w:rPr>
      </w:pPr>
    </w:p>
    <w:p w:rsidR="00BE1EFE" w:rsidRDefault="00BE1EFE" w:rsidP="00214A83">
      <w:pPr>
        <w:pStyle w:val="StandardWeb"/>
      </w:pPr>
      <w:r>
        <w:t xml:space="preserve">(1) Beschlüsse der Zentralen Kommission, die gemäß </w:t>
      </w:r>
      <w:hyperlink r:id="rId1973" w:history="1">
        <w:r w:rsidRPr="00214A83">
          <w:rPr>
            <w:rStyle w:val="Hyperlink"/>
          </w:rPr>
          <w:t>§ 3 Absatz 1 Zentral-KODA-Ordnung</w:t>
        </w:r>
      </w:hyperlink>
      <w:r>
        <w:t xml:space="preserve"> gefasst worden sind, werden von der Kommission innerhalb der Einspruchsfrist beraten.</w:t>
      </w:r>
    </w:p>
    <w:p w:rsidR="00BE1EFE" w:rsidRDefault="00BE1EFE" w:rsidP="00214A83">
      <w:pPr>
        <w:pStyle w:val="StandardWeb"/>
      </w:pPr>
    </w:p>
    <w:p w:rsidR="00BE1EFE" w:rsidRDefault="00BE1EFE" w:rsidP="00214A83">
      <w:pPr>
        <w:pStyle w:val="StandardWeb"/>
      </w:pPr>
      <w:r>
        <w:t>(2) Stimmt die Kommission einem Beschluss der Zentralen Kommission mit der Mehrheit der Stimmen ihrer Mitglieder zu, unterrichtet sie davon umgehend die Diözesanbischöfe.</w:t>
      </w:r>
    </w:p>
    <w:p w:rsidR="00BE1EFE" w:rsidRDefault="00BE1EFE" w:rsidP="00214A83">
      <w:pPr>
        <w:pStyle w:val="StandardWeb"/>
      </w:pPr>
    </w:p>
    <w:p w:rsidR="00BE1EFE" w:rsidRDefault="00BE1EFE" w:rsidP="00214A83">
      <w:pPr>
        <w:pStyle w:val="StandardWeb"/>
      </w:pPr>
      <w:r>
        <w:t>(3) </w:t>
      </w:r>
      <w:r w:rsidRPr="00214A83">
        <w:rPr>
          <w:sz w:val="12"/>
          <w:szCs w:val="12"/>
        </w:rPr>
        <w:t>1</w:t>
      </w:r>
      <w:r>
        <w:t xml:space="preserve">Stimmt die Kommission einem Beschluss der Zentralen Kommission nicht mit der Mehrheit der Stimmen ihrer Mitglieder zu, so unterrichtet sie davon unter Angabe der Gründe umgehend die Diözesanbischöfe. </w:t>
      </w:r>
      <w:r w:rsidRPr="00214A83">
        <w:rPr>
          <w:sz w:val="12"/>
          <w:szCs w:val="12"/>
        </w:rPr>
        <w:t>2</w:t>
      </w:r>
      <w:r>
        <w:t>Die Diözesanbischöfe legen in diesem Fall Einspruch gegen den Beschluss der Zentralen Kommission ein.</w:t>
      </w:r>
    </w:p>
    <w:p w:rsidR="00BE1EFE" w:rsidRPr="00214A83" w:rsidRDefault="00BE1EFE">
      <w:pPr>
        <w:pStyle w:val="berschrift5"/>
        <w:rPr>
          <w:lang w:eastAsia="x-none"/>
        </w:rPr>
      </w:pPr>
      <w:bookmarkStart w:id="1361" w:name="_Toc523926871"/>
      <w:r>
        <w:t>§ 1</w:t>
      </w:r>
      <w:r>
        <w:rPr>
          <w:lang w:eastAsia="x-none"/>
        </w:rPr>
        <w:t>7</w:t>
      </w:r>
      <w:r w:rsidRPr="00214A83">
        <w:t xml:space="preserve"> </w:t>
      </w:r>
      <w:r w:rsidRPr="00214A83">
        <w:rPr>
          <w:lang w:eastAsia="x-none"/>
        </w:rPr>
        <w:t>Vermittlungsausschuss</w:t>
      </w:r>
      <w:bookmarkEnd w:id="1361"/>
    </w:p>
    <w:p w:rsidR="00BE1EFE" w:rsidRPr="00B76821" w:rsidRDefault="00BE1EFE" w:rsidP="00B76821">
      <w:pPr>
        <w:pStyle w:val="berschrift6"/>
        <w:keepNext w:val="0"/>
        <w:spacing w:before="0" w:after="0"/>
        <w:rPr>
          <w:sz w:val="2"/>
        </w:rPr>
      </w:pPr>
    </w:p>
    <w:p w:rsidR="00BE1EFE" w:rsidRDefault="00BE1EFE" w:rsidP="00214A83">
      <w:pPr>
        <w:pStyle w:val="StandardWeb"/>
      </w:pPr>
      <w:r>
        <w:t>(1) Die Kommission bildet einen Vermittlungsausschuss.</w:t>
      </w:r>
    </w:p>
    <w:p w:rsidR="00BE1EFE" w:rsidRDefault="00BE1EFE" w:rsidP="00214A83">
      <w:pPr>
        <w:pStyle w:val="StandardWeb"/>
      </w:pPr>
    </w:p>
    <w:p w:rsidR="00BE1EFE" w:rsidRDefault="00BE1EFE" w:rsidP="00214A83">
      <w:pPr>
        <w:pStyle w:val="StandardWeb"/>
      </w:pPr>
      <w:r>
        <w:t>(2) Der Vermittlungsausschuss besteht aus</w:t>
      </w:r>
    </w:p>
    <w:p w:rsidR="00BE1EFE" w:rsidRDefault="00BE1EFE" w:rsidP="00214A83">
      <w:pPr>
        <w:pStyle w:val="StandardWeb"/>
      </w:pPr>
      <w:r>
        <w:t>a) dem/der Vorsitzenden des Vermittlungsausschusses,</w:t>
      </w:r>
    </w:p>
    <w:p w:rsidR="00BE1EFE" w:rsidRDefault="00BE1EFE" w:rsidP="00214A83">
      <w:pPr>
        <w:pStyle w:val="StandardWeb"/>
      </w:pPr>
      <w:r>
        <w:t>b) dem/der Vorsitzenden und dem/der stellvertretenden Vorsitzenden der Kommission kraft Amtes,</w:t>
      </w:r>
    </w:p>
    <w:p w:rsidR="00BE1EFE" w:rsidRDefault="00BE1EFE" w:rsidP="00214A83">
      <w:pPr>
        <w:pStyle w:val="StandardWeb"/>
      </w:pPr>
      <w:r>
        <w:t>c) je einem weiteren Mitglied der Dienstgeber- und der Dienstnehmerseite,</w:t>
      </w:r>
    </w:p>
    <w:p w:rsidR="00BE1EFE" w:rsidRDefault="00BE1EFE" w:rsidP="00214A83">
      <w:pPr>
        <w:pStyle w:val="StandardWeb"/>
      </w:pPr>
      <w:r>
        <w:t xml:space="preserve">d) zwei weiteren Beisitzern/Beisitzerinnen, die der Kommission nicht angehören. </w:t>
      </w:r>
    </w:p>
    <w:p w:rsidR="00BE1EFE" w:rsidRDefault="00BE1EFE" w:rsidP="00214A83">
      <w:pPr>
        <w:pStyle w:val="StandardWeb"/>
      </w:pPr>
    </w:p>
    <w:p w:rsidR="00BE1EFE" w:rsidRDefault="00BE1EFE" w:rsidP="00214A83">
      <w:pPr>
        <w:pStyle w:val="StandardWeb"/>
      </w:pPr>
      <w:r>
        <w:t xml:space="preserve">(3) Für die Mitglieder des Vermittlungsausschusses wird für den Fall der Verhinderung jeweils ein Stellvertreter/eine Stellvertreterin gewählt bzw. bestellt. </w:t>
      </w:r>
    </w:p>
    <w:p w:rsidR="00BE1EFE" w:rsidRPr="00214A83" w:rsidRDefault="00BE1EFE">
      <w:pPr>
        <w:pStyle w:val="berschrift5"/>
        <w:rPr>
          <w:lang w:eastAsia="x-none"/>
        </w:rPr>
      </w:pPr>
      <w:bookmarkStart w:id="1362" w:name="_Toc523926872"/>
      <w:r>
        <w:t xml:space="preserve">§ </w:t>
      </w:r>
      <w:r>
        <w:rPr>
          <w:lang w:eastAsia="x-none"/>
        </w:rPr>
        <w:t>18</w:t>
      </w:r>
      <w:r w:rsidRPr="00214A83">
        <w:t xml:space="preserve"> </w:t>
      </w:r>
      <w:r w:rsidRPr="00214A83">
        <w:rPr>
          <w:lang w:eastAsia="x-none"/>
        </w:rPr>
        <w:t>Voraussetzung der Mitgliedschaft im Vermittlungsausschuss</w:t>
      </w:r>
      <w:bookmarkEnd w:id="1362"/>
    </w:p>
    <w:p w:rsidR="00BE1EFE" w:rsidRPr="00B76821" w:rsidRDefault="00BE1EFE" w:rsidP="00B76821">
      <w:pPr>
        <w:pStyle w:val="berschrift6"/>
        <w:keepNext w:val="0"/>
        <w:spacing w:before="0" w:after="0"/>
        <w:rPr>
          <w:sz w:val="2"/>
        </w:rPr>
      </w:pPr>
    </w:p>
    <w:p w:rsidR="00BE1EFE" w:rsidRDefault="00BE1EFE" w:rsidP="00214A83">
      <w:pPr>
        <w:pStyle w:val="StandardWeb"/>
      </w:pPr>
      <w:r>
        <w:t>(1) </w:t>
      </w:r>
      <w:r w:rsidRPr="00214A83">
        <w:rPr>
          <w:sz w:val="12"/>
          <w:szCs w:val="12"/>
        </w:rPr>
        <w:t>1</w:t>
      </w:r>
      <w:r>
        <w:t xml:space="preserve">Der Vorsitzende des Vermittlungsausschusses und sein Stellvertreter/seine Stellvertre-terin bzw. die Vorsitzende des Vermittlungsausschusses und ihr Stellvertreter/ihre Stellvertreterin müssen die Befähigung zum Richteramt nach dem Deutschen Richtergesetz haben. </w:t>
      </w:r>
      <w:r w:rsidRPr="00214A83">
        <w:rPr>
          <w:sz w:val="12"/>
          <w:szCs w:val="12"/>
        </w:rPr>
        <w:t>2</w:t>
      </w:r>
      <w:r>
        <w:t xml:space="preserve">Sie dürfen weder im kirchlichen Dienst stehen, noch dem Vertretungsorgan einer kirchlichen Körperschaft oder eines anderen Trägers einer kirchlichen Einrichtung angehören. </w:t>
      </w:r>
      <w:r w:rsidRPr="00214A83">
        <w:rPr>
          <w:sz w:val="12"/>
          <w:szCs w:val="12"/>
        </w:rPr>
        <w:t>3</w:t>
      </w:r>
      <w:r>
        <w:t xml:space="preserve">Sie müssen der katholischen Kirche angehören und über fundierte Kenntnisse und Erfahrungen im Arbeitsrecht verfügen. </w:t>
      </w:r>
      <w:r w:rsidRPr="00214A83">
        <w:rPr>
          <w:sz w:val="12"/>
          <w:szCs w:val="12"/>
        </w:rPr>
        <w:t>4</w:t>
      </w:r>
      <w:r>
        <w:t xml:space="preserve">Sie dürfen nicht durch kirchenbehördliche Entscheidung in der Ausübung der allen Kirchenmitgliedern zustehenden Rechte gehindert sein und müssen die Gewähr dafür bieten, dass sie jederzeit für das kirchliche Gemeinwohl eintreten. </w:t>
      </w:r>
      <w:r w:rsidRPr="00214A83">
        <w:rPr>
          <w:sz w:val="12"/>
          <w:szCs w:val="12"/>
        </w:rPr>
        <w:t>5</w:t>
      </w:r>
      <w:r>
        <w:t>Für sie gelten die Vorgaben der Grundordnung entsprechend.</w:t>
      </w:r>
    </w:p>
    <w:p w:rsidR="00BE1EFE" w:rsidRDefault="00BE1EFE" w:rsidP="00214A83">
      <w:pPr>
        <w:pStyle w:val="StandardWeb"/>
      </w:pPr>
    </w:p>
    <w:p w:rsidR="00BE1EFE" w:rsidRDefault="00BE1EFE" w:rsidP="00214A83">
      <w:pPr>
        <w:pStyle w:val="StandardWeb"/>
      </w:pPr>
      <w:r>
        <w:t xml:space="preserve">(2) Die Mitglieder nach </w:t>
      </w:r>
      <w:hyperlink r:id="rId1974" w:history="1">
        <w:r w:rsidRPr="00214A83">
          <w:rPr>
            <w:rStyle w:val="Hyperlink"/>
          </w:rPr>
          <w:t>§ 17 Absatz 2 Buchstabe d)</w:t>
        </w:r>
      </w:hyperlink>
      <w:r>
        <w:t xml:space="preserve"> sollen Erfahrung in der Arbeit einer kirchlichen Arbeitsrechtskommission haben.  </w:t>
      </w:r>
    </w:p>
    <w:p w:rsidR="00BE1EFE" w:rsidRPr="00C20DEC" w:rsidRDefault="00BE1EFE">
      <w:pPr>
        <w:pStyle w:val="berschrift5"/>
        <w:rPr>
          <w:lang w:eastAsia="x-none"/>
        </w:rPr>
      </w:pPr>
      <w:bookmarkStart w:id="1363" w:name="_Toc523926873"/>
      <w:r>
        <w:t>§ 1</w:t>
      </w:r>
      <w:r>
        <w:rPr>
          <w:lang w:eastAsia="x-none"/>
        </w:rPr>
        <w:t>9</w:t>
      </w:r>
      <w:r w:rsidRPr="00C20DEC">
        <w:t xml:space="preserve"> </w:t>
      </w:r>
      <w:r w:rsidRPr="00C20DEC">
        <w:rPr>
          <w:lang w:eastAsia="x-none"/>
        </w:rPr>
        <w:t>Wahl und Amtszeit des Vermittlungsausschusses</w:t>
      </w:r>
      <w:bookmarkEnd w:id="1363"/>
    </w:p>
    <w:p w:rsidR="00BE1EFE" w:rsidRPr="00B76821" w:rsidRDefault="00BE1EFE" w:rsidP="00B76821">
      <w:pPr>
        <w:pStyle w:val="berschrift6"/>
        <w:keepNext w:val="0"/>
        <w:spacing w:before="0" w:after="0"/>
        <w:rPr>
          <w:sz w:val="2"/>
        </w:rPr>
      </w:pPr>
    </w:p>
    <w:p w:rsidR="00BE1EFE" w:rsidRDefault="00BE1EFE" w:rsidP="00C20DEC">
      <w:pPr>
        <w:pStyle w:val="StandardWeb"/>
      </w:pPr>
      <w:r>
        <w:t xml:space="preserve">(1) Der Vorsitzende und sein Stellvertreter/seine Stellvertreterin bzw. die Vorsitzende und ihr Stellvertreter/ihre Stellvertreterin werden von der Kommission mit zwei Drittel der Stimmen ihrer Mitglieder für die Dauer einer Amtszeit geheim gewählt. </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Kommt in den ersten beiden Wahlgängen diese Mehrheit nicht zustande, reicht im dritten Wahlgang die Mehrheit der Stimmen der Mitglieder der Kommission. </w:t>
      </w:r>
      <w:r w:rsidRPr="00C20DEC">
        <w:rPr>
          <w:sz w:val="12"/>
          <w:szCs w:val="12"/>
        </w:rPr>
        <w:t>2</w:t>
      </w:r>
      <w:r>
        <w:t xml:space="preserve">Wird auch diese nicht erreicht, wählen die Dienstgeber- und die Dienstnehmerseite getrennt je einen Vorsitzenden/ eine Vorsitzende mit mindestens der Mehrheit ihrer Stimmen. </w:t>
      </w:r>
      <w:r w:rsidRPr="00C20DEC">
        <w:rPr>
          <w:sz w:val="12"/>
          <w:szCs w:val="12"/>
        </w:rPr>
        <w:t>3</w:t>
      </w:r>
      <w:r>
        <w:t>Wählt eine Seite keinen Vorsitzenden/keine Vorsitzende ist nur der/die andere Vorsitzender/Vorsitzende des Vermittlungsausschusses.</w:t>
      </w:r>
    </w:p>
    <w:p w:rsidR="00BE1EFE" w:rsidRDefault="00BE1EFE" w:rsidP="00C20DEC">
      <w:pPr>
        <w:pStyle w:val="StandardWeb"/>
      </w:pPr>
    </w:p>
    <w:p w:rsidR="00BE1EFE" w:rsidRDefault="00BE1EFE" w:rsidP="00C20DEC">
      <w:pPr>
        <w:pStyle w:val="StandardWeb"/>
      </w:pPr>
      <w:r>
        <w:t>(3) </w:t>
      </w:r>
      <w:r w:rsidRPr="00C20DEC">
        <w:rPr>
          <w:sz w:val="12"/>
          <w:szCs w:val="12"/>
        </w:rPr>
        <w:t>1</w:t>
      </w:r>
      <w:r>
        <w:t xml:space="preserve">Werden im getrennten Verfahren zwei Vorsitzende des Vermittlungsausschusses gewählt, entscheidet jeweils nach Anrufung des Vermittlungsausschusses durch die Kommission das Los, wer den Vorsitz im jeweiligen Verfahren übernimmt. </w:t>
      </w:r>
      <w:r w:rsidRPr="00C20DEC">
        <w:rPr>
          <w:sz w:val="12"/>
          <w:szCs w:val="12"/>
        </w:rPr>
        <w:t>2</w:t>
      </w:r>
      <w:r>
        <w:t xml:space="preserve">Das Los wird in der Sitzung von dem/der an Lebensjahren ältesten Anwesenden geworfen. </w:t>
      </w:r>
      <w:r w:rsidRPr="00C20DEC">
        <w:rPr>
          <w:sz w:val="12"/>
          <w:szCs w:val="12"/>
        </w:rPr>
        <w:t>3</w:t>
      </w:r>
      <w:r>
        <w:t>Der/Die jeweils andere ist Stellvertreter/Stellvertreterin für dieses Verfahren.</w:t>
      </w:r>
    </w:p>
    <w:p w:rsidR="00BE1EFE" w:rsidRDefault="00BE1EFE" w:rsidP="00C20DEC">
      <w:pPr>
        <w:pStyle w:val="StandardWeb"/>
      </w:pPr>
    </w:p>
    <w:p w:rsidR="00BE1EFE" w:rsidRDefault="00BE1EFE" w:rsidP="00C20DEC">
      <w:pPr>
        <w:pStyle w:val="StandardWeb"/>
      </w:pPr>
      <w:r>
        <w:t>(4) </w:t>
      </w:r>
      <w:r w:rsidRPr="00C20DEC">
        <w:rPr>
          <w:sz w:val="12"/>
          <w:szCs w:val="12"/>
        </w:rPr>
        <w:t>1</w:t>
      </w:r>
      <w:r>
        <w:t xml:space="preserve">Scheidet der/die Vorsitzende des Vermittlungsausschusses vor dem Ende der Amtszeit aus, findet für den Rest der Amtszeit eine Nachwahl statt. </w:t>
      </w:r>
      <w:r w:rsidRPr="00C20DEC">
        <w:rPr>
          <w:sz w:val="12"/>
          <w:szCs w:val="12"/>
        </w:rPr>
        <w:t>2</w:t>
      </w:r>
      <w:r>
        <w:t xml:space="preserve">Wird bei dieser Nachwahl die Mehrheit des Absatzes 1 bzw. Absatzes 2 Satz 1 nicht erreicht, entscheidet das Los. </w:t>
      </w:r>
    </w:p>
    <w:p w:rsidR="00BE1EFE" w:rsidRDefault="00BE1EFE" w:rsidP="00C20DEC">
      <w:pPr>
        <w:pStyle w:val="StandardWeb"/>
      </w:pPr>
    </w:p>
    <w:p w:rsidR="00BE1EFE" w:rsidRDefault="00BE1EFE" w:rsidP="00C20DEC">
      <w:pPr>
        <w:pStyle w:val="StandardWeb"/>
      </w:pPr>
      <w:r>
        <w:t>(5) </w:t>
      </w:r>
      <w:r w:rsidRPr="00C20DEC">
        <w:rPr>
          <w:sz w:val="12"/>
          <w:szCs w:val="12"/>
        </w:rPr>
        <w:t>1</w:t>
      </w:r>
      <w:r>
        <w:t xml:space="preserve">Die Mitglieder des Vermittlungsausschusses nach </w:t>
      </w:r>
      <w:hyperlink r:id="rId1975" w:history="1">
        <w:r w:rsidRPr="00C20DEC">
          <w:rPr>
            <w:rStyle w:val="Hyperlink"/>
          </w:rPr>
          <w:t>§ 17 Absatz 2 Buchstabe c)</w:t>
        </w:r>
      </w:hyperlink>
      <w:r>
        <w:t xml:space="preserve"> und deren Stellvertreter/Stellvertreterinnen und die Stellvertreter/Stellvertreterinnen der Mitglieder des Vermittlungsausschusses nach </w:t>
      </w:r>
      <w:r w:rsidRPr="00DF05D1">
        <w:t>Buchstabe b)</w:t>
      </w:r>
      <w:r>
        <w:t xml:space="preserve"> werden zu Beginn der Amtszeit der Kommission von der jeweiligen Seite mit der Mehrheit der Stimmen ihrer Mitglieder gewählt. </w:t>
      </w:r>
      <w:r w:rsidRPr="00C20DEC">
        <w:rPr>
          <w:sz w:val="12"/>
          <w:szCs w:val="12"/>
        </w:rPr>
        <w:t>2</w:t>
      </w:r>
      <w:r>
        <w:t xml:space="preserve">Scheidet ein gewähltes Mitglied aus der Kommission aus oder kann das Amt im Vermittlungsausschuss nicht mehr wahrgenommen werden, findet eine Nachwahl statt. </w:t>
      </w:r>
    </w:p>
    <w:p w:rsidR="00BE1EFE" w:rsidRDefault="00BE1EFE" w:rsidP="00C20DEC">
      <w:pPr>
        <w:pStyle w:val="StandardWeb"/>
      </w:pPr>
    </w:p>
    <w:p w:rsidR="00BE1EFE" w:rsidRDefault="00BE1EFE" w:rsidP="00C20DEC">
      <w:pPr>
        <w:pStyle w:val="StandardWeb"/>
      </w:pPr>
      <w:r>
        <w:t>(6) </w:t>
      </w:r>
      <w:r w:rsidRPr="00C20DEC">
        <w:rPr>
          <w:sz w:val="12"/>
          <w:szCs w:val="12"/>
        </w:rPr>
        <w:t>1</w:t>
      </w:r>
      <w:r>
        <w:t xml:space="preserve">Die Mitglieder des Vermittlungsausschusses nach </w:t>
      </w:r>
      <w:hyperlink r:id="rId1976" w:history="1">
        <w:r w:rsidRPr="00C20DEC">
          <w:rPr>
            <w:rStyle w:val="Hyperlink"/>
          </w:rPr>
          <w:t>§ 17 Absatz 2 Buchstabe d)</w:t>
        </w:r>
      </w:hyperlink>
      <w:r>
        <w:t xml:space="preserve"> und deren Stellvertreter/Stellvertreterinnen werden von der Kommission mit einer Mehrheit der Stimmen von zwei Drittel ihrer Mitglieder gewählt. </w:t>
      </w:r>
      <w:r w:rsidRPr="00C20DEC">
        <w:rPr>
          <w:sz w:val="12"/>
          <w:szCs w:val="12"/>
        </w:rPr>
        <w:t>2</w:t>
      </w:r>
      <w:r>
        <w:t xml:space="preserve">Jede Seite schlägt ein Mitglied und einen Stellvertreter/eine Stellvertreterin vor. </w:t>
      </w:r>
      <w:r w:rsidRPr="00C20DEC">
        <w:rPr>
          <w:sz w:val="12"/>
          <w:szCs w:val="12"/>
        </w:rPr>
        <w:t>3</w:t>
      </w:r>
      <w:r>
        <w:t xml:space="preserve">Kommt in den ersten beiden Wahlgängen diese Mehrheit nicht zustande, reicht im dritten Wahlgang die Mehrheit der Stimmen der Mitglieder der Kommission. </w:t>
      </w:r>
      <w:r w:rsidRPr="00C20DEC">
        <w:rPr>
          <w:sz w:val="12"/>
          <w:szCs w:val="12"/>
        </w:rPr>
        <w:t>4</w:t>
      </w:r>
      <w:r>
        <w:t>Wird auch diese nicht erreicht, dann benennt die betreffende Seite das Mitglied und den Stellvertreter bzw. die Stellvertreterin.</w:t>
      </w:r>
    </w:p>
    <w:p w:rsidR="00BE1EFE" w:rsidRDefault="00BE1EFE" w:rsidP="00C20DEC">
      <w:pPr>
        <w:pStyle w:val="StandardWeb"/>
      </w:pPr>
    </w:p>
    <w:p w:rsidR="00BE1EFE" w:rsidRDefault="00BE1EFE" w:rsidP="00DF2AAC">
      <w:pPr>
        <w:pStyle w:val="StandardWeb"/>
      </w:pPr>
      <w:r>
        <w:t>(7) </w:t>
      </w:r>
      <w:r w:rsidRPr="00C20DEC">
        <w:rPr>
          <w:sz w:val="12"/>
          <w:szCs w:val="12"/>
        </w:rPr>
        <w:t>1</w:t>
      </w:r>
      <w:r>
        <w:t xml:space="preserve">Die Amtszeit des Vermittlungsausschusses entspricht derjenigen der Kommission. </w:t>
      </w:r>
      <w:r w:rsidRPr="00C20DEC">
        <w:rPr>
          <w:sz w:val="12"/>
          <w:szCs w:val="12"/>
        </w:rPr>
        <w:t>2</w:t>
      </w:r>
      <w:r>
        <w:t>Bis zur Wahl eines neuen Vermittlungsausschusses nimmt der bestehende Vermittlungsaus-schuss die Aufgaben wahr, jedoch nicht über die Dauer von zwölf Monaten hinaus; anhängige Verfahren werden von diesem bestehenden Vermittlungsausschuss in jedem Fall zu Ende geführt.</w:t>
      </w:r>
    </w:p>
    <w:p w:rsidR="00BE1EFE" w:rsidRPr="00C20DEC" w:rsidRDefault="00BE1EFE" w:rsidP="00C20DEC">
      <w:pPr>
        <w:pStyle w:val="berschrift5"/>
        <w:rPr>
          <w:lang w:eastAsia="x-none"/>
        </w:rPr>
      </w:pPr>
      <w:bookmarkStart w:id="1364" w:name="_Toc523926874"/>
      <w:r>
        <w:t xml:space="preserve">§ </w:t>
      </w:r>
      <w:r>
        <w:rPr>
          <w:lang w:eastAsia="x-none"/>
        </w:rPr>
        <w:t>20</w:t>
      </w:r>
      <w:r w:rsidRPr="00C20DEC">
        <w:t xml:space="preserve"> </w:t>
      </w:r>
      <w:r w:rsidRPr="00C20DEC">
        <w:rPr>
          <w:lang w:eastAsia="x-none"/>
        </w:rPr>
        <w:t>Anrufung des Vermittlungsausschusses</w:t>
      </w:r>
      <w:bookmarkEnd w:id="1364"/>
      <w:r w:rsidRPr="00C20DEC">
        <w:t xml:space="preserve"> </w:t>
      </w:r>
    </w:p>
    <w:p w:rsidR="00BE1EFE" w:rsidRPr="00B76821" w:rsidRDefault="00BE1EFE" w:rsidP="00B76821">
      <w:pPr>
        <w:pStyle w:val="berschrift6"/>
        <w:keepNext w:val="0"/>
        <w:spacing w:before="0" w:after="0"/>
        <w:rPr>
          <w:sz w:val="2"/>
        </w:rPr>
      </w:pPr>
    </w:p>
    <w:p w:rsidR="00BE1EFE" w:rsidRDefault="00BE1EFE" w:rsidP="00C20DEC">
      <w:pPr>
        <w:pStyle w:val="StandardWeb"/>
      </w:pPr>
      <w:r>
        <w:t>(1) Falls ein Antrag in der Kommission nicht die für einen Beschluss erforderliche Mehrheit der Stimmen von zwei Drittel ihrer Mitglieder erhalten hat, jedoch mindestens die Hälfte der Gesamtheit der Mitglieder dem Beschluss zugestimmt hat, legt der/die Vorsitzende diesen Antrag dem Vermittlungsausschuss vor, wenn auf Antrag wiederum mindestens die Hälfte der Mitglieder für die Anrufung des Vermittlungsausschusses stimmt.</w:t>
      </w:r>
    </w:p>
    <w:p w:rsidR="00BE1EFE" w:rsidRDefault="00BE1EFE" w:rsidP="00C20DEC">
      <w:pPr>
        <w:pStyle w:val="StandardWeb"/>
      </w:pPr>
    </w:p>
    <w:p w:rsidR="00BE1EFE" w:rsidRDefault="00BE1EFE" w:rsidP="00C20DEC">
      <w:pPr>
        <w:pStyle w:val="StandardWeb"/>
      </w:pPr>
      <w:r>
        <w:t>(2) Falls eine Beschlussempfehlung der Ständigen Arbeitsgruppe Lehrkräfte nicht die für einen Beschluss erforderliche Mehrheit der Stimmen erhalten hat, legt der/die Vorsitzende der Kommission diesen Antrag dem Vermittlungsausschuss dann vor, wenn wiederum mindestens die Hälfte der Mitglieder der Ständigen Arbeitsgruppe Lehrkräfte für die Anrufung des Vermittlungsausschusses stimmt.</w:t>
      </w:r>
    </w:p>
    <w:p w:rsidR="00BE1EFE" w:rsidRDefault="00BE1EFE" w:rsidP="00C20DEC">
      <w:pPr>
        <w:pStyle w:val="StandardWeb"/>
      </w:pPr>
    </w:p>
    <w:p w:rsidR="00BE1EFE" w:rsidRPr="00C20DEC" w:rsidRDefault="00BE1EFE" w:rsidP="00C20DEC">
      <w:pPr>
        <w:pStyle w:val="berschrift5"/>
        <w:rPr>
          <w:lang w:eastAsia="x-none"/>
        </w:rPr>
      </w:pPr>
      <w:bookmarkStart w:id="1365" w:name="_Toc523926875"/>
      <w:r>
        <w:t xml:space="preserve">§ </w:t>
      </w:r>
      <w:r>
        <w:rPr>
          <w:lang w:eastAsia="x-none"/>
        </w:rPr>
        <w:t>21</w:t>
      </w:r>
      <w:r w:rsidRPr="00C20DEC">
        <w:t xml:space="preserve"> </w:t>
      </w:r>
      <w:r w:rsidRPr="00C20DEC">
        <w:rPr>
          <w:lang w:eastAsia="x-none"/>
        </w:rPr>
        <w:t>Verfahren vor dem Vermittlungsausschuss</w:t>
      </w:r>
      <w:bookmarkEnd w:id="1365"/>
    </w:p>
    <w:p w:rsidR="00BE1EFE" w:rsidRPr="00B76821" w:rsidRDefault="00BE1EFE" w:rsidP="00B76821">
      <w:pPr>
        <w:pStyle w:val="berschrift6"/>
        <w:keepNext w:val="0"/>
        <w:spacing w:before="0" w:after="0"/>
        <w:rPr>
          <w:sz w:val="2"/>
        </w:rPr>
      </w:pPr>
    </w:p>
    <w:p w:rsidR="00BE1EFE" w:rsidRDefault="00BE1EFE" w:rsidP="00C20DEC">
      <w:pPr>
        <w:pStyle w:val="StandardWeb"/>
      </w:pPr>
      <w:r>
        <w:t>(1) </w:t>
      </w:r>
      <w:r w:rsidRPr="00C20DEC">
        <w:rPr>
          <w:sz w:val="12"/>
          <w:szCs w:val="12"/>
        </w:rPr>
        <w:t>1</w:t>
      </w:r>
      <w:r>
        <w:t>Die Einladungen zu den Sitzungen des Vermittlungsausschusses erfolgen auf Veran</w:t>
      </w:r>
      <w:r>
        <w:softHyphen/>
        <w:t xml:space="preserve">lassung des/der Vorsitzenden. </w:t>
      </w:r>
      <w:r w:rsidRPr="00C20DEC">
        <w:rPr>
          <w:sz w:val="12"/>
          <w:szCs w:val="12"/>
        </w:rPr>
        <w:t>2</w:t>
      </w:r>
      <w:r>
        <w:t xml:space="preserve">Er/Sie leitet das Vermittlungsverfahren nach pflichtgemäßem Ermessen. </w:t>
      </w:r>
      <w:r w:rsidRPr="00C20DEC">
        <w:rPr>
          <w:sz w:val="12"/>
          <w:szCs w:val="12"/>
        </w:rPr>
        <w:t>3</w:t>
      </w:r>
      <w:r>
        <w:t xml:space="preserve">Er/Sie kann Sachverständige hinzuziehen. </w:t>
      </w:r>
      <w:r w:rsidRPr="00C20DEC">
        <w:rPr>
          <w:sz w:val="12"/>
          <w:szCs w:val="12"/>
        </w:rPr>
        <w:t>4</w:t>
      </w:r>
      <w:r>
        <w:t xml:space="preserve">Der/Die Vorsitzende kann die Verbindung verschiedener Verfahren beschließen, wenn die Verfahrensgegenstände in sachlichem oder rechtlichem Zusammenhang stehen. </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Das Vermittlungsverfahren wird mit einem Vermittlungsvorschlag abgeschlossen, der innerhalb von acht Wochen nach der Anrufung des Vermittlungsausschusses zu erarbeiten ist. </w:t>
      </w:r>
      <w:r w:rsidRPr="00C20DEC">
        <w:rPr>
          <w:sz w:val="12"/>
          <w:szCs w:val="12"/>
        </w:rPr>
        <w:t>2</w:t>
      </w:r>
      <w:r>
        <w:t xml:space="preserve">Der Vermittlungsvorschlag soll einen beschlussfähigen Regelungsvorschlag enthalten. </w:t>
      </w:r>
      <w:r w:rsidRPr="00C20DEC">
        <w:rPr>
          <w:sz w:val="12"/>
          <w:szCs w:val="12"/>
        </w:rPr>
        <w:t>3</w:t>
      </w:r>
      <w:r>
        <w:t xml:space="preserve">Der Vermittlungsausschuss entscheidet mit einer Mehrheit von mindestens vier Stimmen. </w:t>
      </w:r>
      <w:r w:rsidRPr="00C20DEC">
        <w:rPr>
          <w:sz w:val="12"/>
          <w:szCs w:val="12"/>
        </w:rPr>
        <w:t>4</w:t>
      </w:r>
      <w:r>
        <w:t xml:space="preserve">Eine Stimmenthaltung ist nicht möglich. </w:t>
      </w:r>
      <w:r w:rsidRPr="00C20DEC">
        <w:rPr>
          <w:sz w:val="12"/>
          <w:szCs w:val="12"/>
        </w:rPr>
        <w:t>5</w:t>
      </w:r>
      <w:r>
        <w:t xml:space="preserve">Einigt sich der Vermittlungsausschuss nicht auf einen Regelungsvorschlag, kann auch ein Verfahrensvorschlag oder ein Hinweis beschlossen werden, für den die in Satz 3 geforderte Mehrheit erforderlich ist. </w:t>
      </w:r>
      <w:r w:rsidRPr="00C20DEC">
        <w:rPr>
          <w:sz w:val="12"/>
          <w:szCs w:val="12"/>
        </w:rPr>
        <w:t>6</w:t>
      </w:r>
      <w:r>
        <w:t xml:space="preserve">Andernfalls stellt der Vorsitzende das Scheitern des Vermittlungsverfahrens fest. </w:t>
      </w:r>
    </w:p>
    <w:p w:rsidR="00BE1EFE" w:rsidRDefault="00BE1EFE" w:rsidP="00C20DEC">
      <w:pPr>
        <w:pStyle w:val="StandardWeb"/>
      </w:pPr>
    </w:p>
    <w:p w:rsidR="00BE1EFE" w:rsidRDefault="00BE1EFE" w:rsidP="00C20DEC">
      <w:pPr>
        <w:pStyle w:val="StandardWeb"/>
      </w:pPr>
      <w:r>
        <w:t>(3) </w:t>
      </w:r>
      <w:r w:rsidRPr="00C20DEC">
        <w:rPr>
          <w:sz w:val="12"/>
          <w:szCs w:val="12"/>
        </w:rPr>
        <w:t>1</w:t>
      </w:r>
      <w:r>
        <w:t xml:space="preserve">Das Vermittlungsverfahren ist nicht öffentlich. </w:t>
      </w:r>
      <w:r w:rsidRPr="00C20DEC">
        <w:rPr>
          <w:sz w:val="12"/>
          <w:szCs w:val="12"/>
        </w:rPr>
        <w:t>2</w:t>
      </w:r>
      <w:r>
        <w:t>Über das Vermittlungsverfahren ist Dritten gegenüber, die nicht Mitglieder der Kommission sind, Stillschweigen zu bewahren.</w:t>
      </w:r>
    </w:p>
    <w:p w:rsidR="00BE1EFE" w:rsidRDefault="00BE1EFE" w:rsidP="00C20DEC">
      <w:pPr>
        <w:pStyle w:val="StandardWeb"/>
      </w:pPr>
    </w:p>
    <w:p w:rsidR="00BE1EFE" w:rsidRDefault="00BE1EFE" w:rsidP="00C20DEC">
      <w:pPr>
        <w:pStyle w:val="StandardWeb"/>
      </w:pPr>
      <w:r>
        <w:t>(4) Der Vermittlungsausschuss legt das Ergebnis des Vermittlungsverfahrens der Kommission vor, die hierüber innerhalb von sechs Wochen zu beraten und darüber gegebenenfalls Beschluss zu fassen hat.</w:t>
      </w:r>
    </w:p>
    <w:p w:rsidR="00BE1EFE" w:rsidRPr="00C20DEC" w:rsidRDefault="00BE1EFE" w:rsidP="00C20DEC">
      <w:pPr>
        <w:pStyle w:val="berschrift5"/>
        <w:rPr>
          <w:lang w:eastAsia="x-none"/>
        </w:rPr>
      </w:pPr>
      <w:bookmarkStart w:id="1366" w:name="_Toc523926876"/>
      <w:r>
        <w:t xml:space="preserve">§ </w:t>
      </w:r>
      <w:r>
        <w:rPr>
          <w:lang w:eastAsia="x-none"/>
        </w:rPr>
        <w:t>22</w:t>
      </w:r>
      <w:r w:rsidRPr="00C20DEC">
        <w:t xml:space="preserve"> </w:t>
      </w:r>
      <w:r w:rsidRPr="00C20DEC">
        <w:rPr>
          <w:lang w:eastAsia="x-none"/>
        </w:rPr>
        <w:t xml:space="preserve">Verfahren </w:t>
      </w:r>
      <w:r>
        <w:rPr>
          <w:lang w:eastAsia="x-none"/>
        </w:rPr>
        <w:t>zur ersetzenden Entscheidung</w:t>
      </w:r>
      <w:bookmarkEnd w:id="1366"/>
    </w:p>
    <w:p w:rsidR="00BE1EFE" w:rsidRPr="00B76821" w:rsidRDefault="00BE1EFE" w:rsidP="00B76821">
      <w:pPr>
        <w:pStyle w:val="berschrift6"/>
        <w:keepNext w:val="0"/>
        <w:spacing w:before="0" w:after="0"/>
        <w:rPr>
          <w:sz w:val="2"/>
        </w:rPr>
      </w:pPr>
    </w:p>
    <w:p w:rsidR="00BE1EFE" w:rsidRDefault="00BE1EFE" w:rsidP="00C20DEC">
      <w:pPr>
        <w:pStyle w:val="StandardWeb"/>
      </w:pPr>
      <w:r>
        <w:t>(1) </w:t>
      </w:r>
      <w:r w:rsidRPr="00C20DEC">
        <w:rPr>
          <w:sz w:val="12"/>
          <w:szCs w:val="12"/>
        </w:rPr>
        <w:t>1</w:t>
      </w:r>
      <w:r>
        <w:t xml:space="preserve">Stimmt die Kommission im Falle des § 20 dem Vermittlungsvorschlag nicht mit mindestens zwei Drittel der Stimmen ihrer Mitglieder innerhalb einer Frist von sechs Wochen zu oder entscheidet die Kommission nicht gemäß § 16 selbst über die Angelegenheit, hat sich der Vermittlungsausschuss erneut mit der Angelegenheit zu befassen, wenn mindestens die Hälfte der Gesamtzahl der Mitglieder dies beantragt. </w:t>
      </w:r>
      <w:r w:rsidRPr="00C20DEC">
        <w:rPr>
          <w:sz w:val="12"/>
          <w:szCs w:val="12"/>
        </w:rPr>
        <w:t>2</w:t>
      </w:r>
      <w:r>
        <w:t xml:space="preserve">Das Verfahren zur ersetzenden Entscheidung ist innerhalb einer Frist von vier Wochen nach erneuter Anrufung abzuschließen. </w:t>
      </w:r>
      <w:r w:rsidRPr="00C20DEC">
        <w:rPr>
          <w:sz w:val="12"/>
          <w:szCs w:val="12"/>
        </w:rPr>
        <w:t>3</w:t>
      </w:r>
      <w:r>
        <w:t>Das Verfahren ist nicht öffentlich.</w:t>
      </w:r>
    </w:p>
    <w:p w:rsidR="00BE1EFE" w:rsidRDefault="00BE1EFE" w:rsidP="00C20DEC">
      <w:pPr>
        <w:pStyle w:val="StandardWeb"/>
      </w:pPr>
    </w:p>
    <w:p w:rsidR="00BE1EFE" w:rsidRDefault="00BE1EFE" w:rsidP="00C20DEC">
      <w:pPr>
        <w:pStyle w:val="StandardWeb"/>
      </w:pPr>
      <w:r>
        <w:t>(2) </w:t>
      </w:r>
      <w:r w:rsidRPr="00C20DEC">
        <w:rPr>
          <w:sz w:val="12"/>
          <w:szCs w:val="12"/>
        </w:rPr>
        <w:t>1</w:t>
      </w:r>
      <w:r>
        <w:t xml:space="preserve">Der Vermittlungsausschuss beschließt eine Regelung mit der Mehrheit der Stimmen seiner Mitglieder. </w:t>
      </w:r>
      <w:r w:rsidRPr="00853057">
        <w:rPr>
          <w:sz w:val="12"/>
          <w:szCs w:val="12"/>
        </w:rPr>
        <w:t>2</w:t>
      </w:r>
      <w:r>
        <w:t xml:space="preserve">Eine Stimmenthaltung ist nicht zulässig. </w:t>
      </w:r>
      <w:r w:rsidRPr="00853057">
        <w:rPr>
          <w:sz w:val="12"/>
          <w:szCs w:val="12"/>
        </w:rPr>
        <w:t>3</w:t>
      </w:r>
      <w:r>
        <w:t xml:space="preserve">Wird eine Mehrheit nicht erreicht, bleibt es bei der bestehenden Rechtslage. </w:t>
      </w:r>
      <w:r w:rsidRPr="00853057">
        <w:rPr>
          <w:sz w:val="12"/>
          <w:szCs w:val="12"/>
        </w:rPr>
        <w:t>4</w:t>
      </w:r>
      <w:r>
        <w:t xml:space="preserve">Der Beschluss des Vermittlungsausschusses tritt an die Stelle eines Beschlusses der Kommission. </w:t>
      </w:r>
      <w:r w:rsidRPr="00853057">
        <w:rPr>
          <w:sz w:val="12"/>
          <w:szCs w:val="12"/>
        </w:rPr>
        <w:t>5</w:t>
      </w:r>
      <w:r>
        <w:t xml:space="preserve">Der/Die Vorsitzende des Vermittlungsaus-schusses setzt die Kommission unverzüglich über den Beschluss in Kenntnis. </w:t>
      </w:r>
      <w:r w:rsidRPr="00853057">
        <w:rPr>
          <w:sz w:val="12"/>
          <w:szCs w:val="12"/>
        </w:rPr>
        <w:t>6</w:t>
      </w:r>
      <w:r>
        <w:t xml:space="preserve">Die Inkraftsetzung erfolgt gemäß </w:t>
      </w:r>
      <w:hyperlink r:id="rId1977" w:history="1">
        <w:r w:rsidRPr="00853057">
          <w:rPr>
            <w:rStyle w:val="Hyperlink"/>
          </w:rPr>
          <w:t>§ 16 Absatz 3 bis 7</w:t>
        </w:r>
      </w:hyperlink>
      <w:r>
        <w:t>.</w:t>
      </w:r>
    </w:p>
    <w:p w:rsidR="00BE1EFE" w:rsidRPr="00C20DEC" w:rsidRDefault="00BE1EFE" w:rsidP="00853057">
      <w:pPr>
        <w:pStyle w:val="berschrift5"/>
        <w:rPr>
          <w:lang w:eastAsia="x-none"/>
        </w:rPr>
      </w:pPr>
      <w:bookmarkStart w:id="1367" w:name="_Toc523926877"/>
      <w:r>
        <w:t xml:space="preserve">§ </w:t>
      </w:r>
      <w:r>
        <w:rPr>
          <w:lang w:eastAsia="x-none"/>
        </w:rPr>
        <w:t>23</w:t>
      </w:r>
      <w:r w:rsidRPr="00C20DEC">
        <w:t xml:space="preserve"> </w:t>
      </w:r>
      <w:r w:rsidRPr="00C20DEC">
        <w:rPr>
          <w:lang w:eastAsia="x-none"/>
        </w:rPr>
        <w:t>V</w:t>
      </w:r>
      <w:r>
        <w:rPr>
          <w:lang w:eastAsia="x-none"/>
        </w:rPr>
        <w:t>orbereitungsausschuss</w:t>
      </w:r>
      <w:bookmarkEnd w:id="1367"/>
    </w:p>
    <w:p w:rsidR="00BE1EFE" w:rsidRPr="00B76821" w:rsidRDefault="00BE1EFE" w:rsidP="00B76821">
      <w:pPr>
        <w:pStyle w:val="berschrift6"/>
        <w:keepNext w:val="0"/>
        <w:spacing w:before="0" w:after="0"/>
        <w:rPr>
          <w:sz w:val="2"/>
        </w:rPr>
      </w:pPr>
    </w:p>
    <w:p w:rsidR="00BE1EFE" w:rsidRDefault="00BE1EFE" w:rsidP="00DF2AAC">
      <w:pPr>
        <w:pStyle w:val="StandardWeb"/>
      </w:pPr>
      <w:r w:rsidRPr="00853057">
        <w:rPr>
          <w:sz w:val="12"/>
          <w:szCs w:val="12"/>
        </w:rPr>
        <w:t>1</w:t>
      </w:r>
      <w:r w:rsidRPr="00853057">
        <w:t xml:space="preserve">Zur Vorbereitung der Sitzungen der Kommission wird ein Vorbereitungsausschuss gebildet. </w:t>
      </w:r>
      <w:r w:rsidRPr="00853057">
        <w:rPr>
          <w:sz w:val="12"/>
          <w:szCs w:val="12"/>
        </w:rPr>
        <w:t>2</w:t>
      </w:r>
      <w:r w:rsidRPr="00853057">
        <w:t xml:space="preserve">Er berät den Vorsitzenden/die Vorsitzende bei der Aufstellung der Tagesordnung. </w:t>
      </w:r>
      <w:r w:rsidRPr="00853057">
        <w:rPr>
          <w:sz w:val="12"/>
          <w:szCs w:val="12"/>
        </w:rPr>
        <w:t>3</w:t>
      </w:r>
      <w:r w:rsidRPr="00853057">
        <w:t>Er kann Beschlussanträge stellen und zu Beschlussvorschlägen von Arbeitsgruppen und Anträgen von Kommissionsmitgliedern Stellung nehmen.</w:t>
      </w:r>
    </w:p>
    <w:p w:rsidR="00BE1EFE" w:rsidRPr="00C20DEC" w:rsidRDefault="00BE1EFE" w:rsidP="00853057">
      <w:pPr>
        <w:pStyle w:val="berschrift5"/>
        <w:rPr>
          <w:lang w:eastAsia="x-none"/>
        </w:rPr>
      </w:pPr>
      <w:bookmarkStart w:id="1368" w:name="_Toc523926878"/>
      <w:r>
        <w:lastRenderedPageBreak/>
        <w:t xml:space="preserve">§ </w:t>
      </w:r>
      <w:r>
        <w:rPr>
          <w:lang w:eastAsia="x-none"/>
        </w:rPr>
        <w:t>24</w:t>
      </w:r>
      <w:r w:rsidRPr="00C20DEC">
        <w:t xml:space="preserve"> </w:t>
      </w:r>
      <w:r>
        <w:rPr>
          <w:lang w:eastAsia="x-none"/>
        </w:rPr>
        <w:t>Arbeitsgruppen</w:t>
      </w:r>
      <w:bookmarkEnd w:id="1368"/>
    </w:p>
    <w:p w:rsidR="00BE1EFE" w:rsidRPr="00B76821" w:rsidRDefault="00BE1EFE" w:rsidP="00B76821">
      <w:pPr>
        <w:pStyle w:val="berschrift6"/>
        <w:keepNext w:val="0"/>
        <w:spacing w:before="0" w:after="0"/>
        <w:rPr>
          <w:sz w:val="2"/>
        </w:rPr>
      </w:pPr>
    </w:p>
    <w:p w:rsidR="00BE1EFE" w:rsidRDefault="00BE1EFE" w:rsidP="00DF2AAC">
      <w:pPr>
        <w:pStyle w:val="StandardWeb"/>
      </w:pPr>
      <w:r w:rsidRPr="00853057">
        <w:t>Für die Vorbereitung von Beschlüssen zu einzelnen Sachgebieten kann die Kommission ständige oder zeitlich befristete Arbeitsgruppen einsetzen.</w:t>
      </w:r>
    </w:p>
    <w:p w:rsidR="00BE1EFE" w:rsidRPr="00853057" w:rsidRDefault="00BE1EFE" w:rsidP="00853057">
      <w:pPr>
        <w:pStyle w:val="berschrift5"/>
        <w:rPr>
          <w:lang w:eastAsia="x-none"/>
        </w:rPr>
      </w:pPr>
      <w:bookmarkStart w:id="1369" w:name="_Toc523926879"/>
      <w:r>
        <w:t xml:space="preserve">§ </w:t>
      </w:r>
      <w:r>
        <w:rPr>
          <w:lang w:eastAsia="x-none"/>
        </w:rPr>
        <w:t>25 Kosten</w:t>
      </w:r>
      <w:bookmarkEnd w:id="1369"/>
    </w:p>
    <w:p w:rsidR="00BE1EFE" w:rsidRPr="00B76821" w:rsidRDefault="00BE1EFE" w:rsidP="00B76821">
      <w:pPr>
        <w:pStyle w:val="berschrift6"/>
        <w:keepNext w:val="0"/>
        <w:spacing w:before="0" w:after="0"/>
        <w:rPr>
          <w:sz w:val="2"/>
        </w:rPr>
      </w:pPr>
    </w:p>
    <w:p w:rsidR="00BE1EFE" w:rsidRDefault="00BE1EFE" w:rsidP="00853057">
      <w:pPr>
        <w:pStyle w:val="StandardWeb"/>
      </w:pPr>
      <w:r>
        <w:t xml:space="preserve">(1) Die bayerischen Diözesen stellen für die Vorbereitung und Durchführung der Sitzungen der Kommission, der Unterkommissionen, des Vermittlungsausschusses, des Vorbereitungsaus-schusses, der Ständigen Arbeitsgruppe Lehrkräfte und der Arbeitsgruppen sowie für die laufende Geschäftsführung in dem erforderlichen Umfang Raum, Geschäftsbedarf und Personalkräfte zur Verfügung und tragen hierfür die notwendigen Kosten; dies gilt auch für die für Beratung und Gutachten anfallenden Kosten, die nach vorhergehender Bewilligung durch die Kommission über die Geschäftsstelle abgerechnet werden. </w:t>
      </w:r>
    </w:p>
    <w:p w:rsidR="00BE1EFE" w:rsidRDefault="00BE1EFE" w:rsidP="00853057">
      <w:pPr>
        <w:pStyle w:val="StandardWeb"/>
      </w:pPr>
    </w:p>
    <w:p w:rsidR="00BE1EFE" w:rsidRDefault="00BE1EFE" w:rsidP="00853057">
      <w:pPr>
        <w:pStyle w:val="StandardWeb"/>
      </w:pPr>
      <w:r>
        <w:t>(2) </w:t>
      </w:r>
      <w:r w:rsidRPr="00853057">
        <w:rPr>
          <w:sz w:val="12"/>
          <w:szCs w:val="12"/>
        </w:rPr>
        <w:t>1</w:t>
      </w:r>
      <w:r>
        <w:t xml:space="preserve">Für den Vorsitzenden/die Vorsitzende und den stellvertretenden Vorsitzenden/die stellvertretende Vorsitzende sowie für die Mitglieder nach </w:t>
      </w:r>
      <w:hyperlink r:id="rId1978" w:history="1">
        <w:r w:rsidRPr="00853057">
          <w:rPr>
            <w:rStyle w:val="Hyperlink"/>
          </w:rPr>
          <w:t>§ 4 Absatz 1 Buchstaben d) und e)</w:t>
        </w:r>
      </w:hyperlink>
      <w:r>
        <w:t xml:space="preserve"> und für die für die Informationsarbeit freigestellten Mitglieder der Dienstnehmerseite ersetzen die bayerischen Diözesen dem jeweiligen Arbeitgeber bzw. jeweiligen Schulträger die durch die Tätigkeit in der Kommission anfallenden Kosten einschließlich der Reisekosten. </w:t>
      </w:r>
      <w:r w:rsidRPr="00853057">
        <w:rPr>
          <w:sz w:val="12"/>
          <w:szCs w:val="12"/>
        </w:rPr>
        <w:t>2</w:t>
      </w:r>
      <w:r>
        <w:t xml:space="preserve">Die not-wendigen Kosten einschließlich der Reisekosten für die übrigen Mitglieder nach </w:t>
      </w:r>
      <w:hyperlink r:id="rId1979" w:history="1">
        <w:r w:rsidRPr="00853057">
          <w:rPr>
            <w:rStyle w:val="Hyperlink"/>
          </w:rPr>
          <w:t>§ 4 Absatz 1</w:t>
        </w:r>
      </w:hyperlink>
      <w:r>
        <w:t xml:space="preserve"> trägt die jeweilige Diözese. </w:t>
      </w:r>
      <w:r w:rsidRPr="00853057">
        <w:rPr>
          <w:sz w:val="12"/>
          <w:szCs w:val="12"/>
        </w:rPr>
        <w:t>3</w:t>
      </w:r>
      <w:r>
        <w:t xml:space="preserve">Die notwendigen Kosten einschließlich der Reisekosten für die Mitglieder nach </w:t>
      </w:r>
      <w:hyperlink r:id="rId1980" w:history="1">
        <w:r w:rsidRPr="00853057">
          <w:rPr>
            <w:rStyle w:val="Hyperlink"/>
          </w:rPr>
          <w:t>§ 4 Absatz 2 Satz 1</w:t>
        </w:r>
      </w:hyperlink>
      <w:r>
        <w:t xml:space="preserve"> tragen die entsendenden Gewerkschaften.</w:t>
      </w:r>
    </w:p>
    <w:p w:rsidR="00BE1EFE" w:rsidRDefault="00BE1EFE" w:rsidP="00853057">
      <w:pPr>
        <w:pStyle w:val="StandardWeb"/>
      </w:pPr>
    </w:p>
    <w:p w:rsidR="00BE1EFE" w:rsidRDefault="00BE1EFE" w:rsidP="00853057">
      <w:pPr>
        <w:pStyle w:val="StandardWeb"/>
      </w:pPr>
      <w:r>
        <w:t xml:space="preserve">(3) Dem/Der Vorsitzenden und dem/der stellvertretenden Vorsitzenden sowie Mitgliedern nach </w:t>
      </w:r>
      <w:hyperlink r:id="rId1981" w:history="1">
        <w:r w:rsidRPr="00853057">
          <w:rPr>
            <w:rStyle w:val="Hyperlink"/>
          </w:rPr>
          <w:t>§ 17 Absatz 2 Buchstabe d)</w:t>
        </w:r>
      </w:hyperlink>
      <w:r>
        <w:t xml:space="preserve"> des Vermittlungsausschusses kann eine Aufwandsentschädigung gewährt werden.</w:t>
      </w:r>
    </w:p>
    <w:p w:rsidR="00BE1EFE" w:rsidRDefault="00BE1EFE" w:rsidP="00853057">
      <w:pPr>
        <w:pStyle w:val="StandardWeb"/>
      </w:pPr>
      <w:r>
        <w:br w:type="page"/>
      </w:r>
    </w:p>
    <w:p w:rsidR="00BE1EFE" w:rsidRDefault="00BE1EFE" w:rsidP="00826D99">
      <w:pPr>
        <w:pStyle w:val="berschrift4"/>
        <w:spacing w:before="0"/>
      </w:pPr>
      <w:bookmarkStart w:id="1370" w:name="_Toc523926880"/>
      <w:r>
        <w:lastRenderedPageBreak/>
        <w:t>4. Ordnung für das Verfahren zur Wahl der Vertreter/Vertreter</w:t>
      </w:r>
      <w:r>
        <w:softHyphen/>
        <w:t xml:space="preserve">innen der Beschäftigten in der </w:t>
      </w:r>
      <w:r>
        <w:rPr>
          <w:lang w:eastAsia="x-none"/>
        </w:rPr>
        <w:t>Kommission für das Arbeits</w:t>
      </w:r>
      <w:r>
        <w:rPr>
          <w:lang w:eastAsia="x-none"/>
        </w:rPr>
        <w:softHyphen/>
        <w:t xml:space="preserve">vertragsrecht der bayerischen Diözesen </w:t>
      </w:r>
      <w:r>
        <w:t>(Regional-KODA-Wahlordnung – BayRK</w:t>
      </w:r>
      <w:r>
        <w:rPr>
          <w:lang w:eastAsia="x-none"/>
        </w:rPr>
        <w:t>WO</w:t>
      </w:r>
      <w:r>
        <w:t>)</w:t>
      </w:r>
      <w:bookmarkEnd w:id="1370"/>
    </w:p>
    <w:p w:rsidR="00BE1EFE" w:rsidRPr="00B76821" w:rsidRDefault="00BE1EFE" w:rsidP="00B76821">
      <w:pPr>
        <w:pStyle w:val="berschrift5"/>
        <w:keepNext w:val="0"/>
        <w:spacing w:before="0" w:after="0"/>
        <w:rPr>
          <w:sz w:val="2"/>
        </w:rPr>
      </w:pPr>
    </w:p>
    <w:p w:rsidR="00BE1EFE" w:rsidRPr="000B1AF8" w:rsidRDefault="00BE1EFE">
      <w:pPr>
        <w:spacing w:before="100" w:beforeAutospacing="1" w:after="100" w:afterAutospacing="1"/>
      </w:pPr>
      <w:r>
        <w:t>(zuletzt geändert am 9. März 2016 zum 1. Mai 2016)</w:t>
      </w:r>
    </w:p>
    <w:p w:rsidR="00BE1EFE" w:rsidRDefault="00BE1EFE">
      <w:pPr>
        <w:pStyle w:val="berschrift5"/>
      </w:pPr>
      <w:bookmarkStart w:id="1371" w:name="_Toc523926881"/>
      <w:r>
        <w:t>Erster Abschnitt – Grundsätze der Wahl</w:t>
      </w:r>
      <w:bookmarkEnd w:id="1371"/>
    </w:p>
    <w:p w:rsidR="00BE1EFE" w:rsidRDefault="00BE1EFE">
      <w:pPr>
        <w:pStyle w:val="berschrift6"/>
      </w:pPr>
      <w:bookmarkStart w:id="1372" w:name="_Toc523926882"/>
      <w:r>
        <w:t>§ 1 Wahlrechtsgrundsätze</w:t>
      </w:r>
      <w:bookmarkEnd w:id="1372"/>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8724D5">
        <w:t>Die Vertreter/Vertreterinnen der Beschäftigten in</w:t>
      </w:r>
      <w:r>
        <w:t xml:space="preserve"> der Kommission für das Arbeits</w:t>
      </w:r>
      <w:r w:rsidRPr="008724D5">
        <w:t>vertrags</w:t>
      </w:r>
      <w:r>
        <w:softHyphen/>
      </w:r>
      <w:r w:rsidRPr="008724D5">
        <w:t>recht der bayerischen Diözesen – im Folgenden Kommission genannt – (Dienstnehmerver</w:t>
      </w:r>
      <w:r>
        <w:softHyphen/>
      </w:r>
      <w:r w:rsidRPr="008724D5">
        <w:t>treter/Dienstnehmervertreterinnen) werden in unmittelbarer, freier und geheimer Wahl nach den Bestimmungen dieser Ordnung bestimmt.</w:t>
      </w:r>
    </w:p>
    <w:p w:rsidR="00BE1EFE" w:rsidRPr="000B1AF8" w:rsidRDefault="00BE1EFE">
      <w:pPr>
        <w:pStyle w:val="StandardWeb"/>
      </w:pPr>
    </w:p>
    <w:p w:rsidR="00BE1EFE" w:rsidRDefault="00BE1EFE">
      <w:pPr>
        <w:pStyle w:val="StandardWeb"/>
      </w:pPr>
      <w:r>
        <w:t>(2) Die Wahl findet durch Briefwahl statt.</w:t>
      </w:r>
    </w:p>
    <w:p w:rsidR="00BE1EFE" w:rsidRDefault="00BE1EFE">
      <w:pPr>
        <w:pStyle w:val="berschrift6"/>
      </w:pPr>
      <w:bookmarkStart w:id="1373" w:name="_Toc523926883"/>
      <w:r>
        <w:t>§ 2 Wahlbereiche</w:t>
      </w:r>
      <w:bookmarkEnd w:id="1373"/>
    </w:p>
    <w:p w:rsidR="00BE1EFE" w:rsidRPr="00B76821" w:rsidRDefault="00BE1EFE" w:rsidP="00B76821">
      <w:pPr>
        <w:pStyle w:val="h7"/>
        <w:keepNext w:val="0"/>
        <w:spacing w:before="0" w:after="0"/>
        <w:jc w:val="left"/>
        <w:outlineLvl w:val="5"/>
        <w:rPr>
          <w:sz w:val="2"/>
        </w:rPr>
      </w:pPr>
    </w:p>
    <w:p w:rsidR="00BE1EFE" w:rsidRPr="000B1AF8" w:rsidRDefault="00BE1EFE" w:rsidP="008724D5">
      <w:pPr>
        <w:pStyle w:val="StandardWeb"/>
      </w:pPr>
      <w:r>
        <w:t>(1) </w:t>
      </w:r>
      <w:r>
        <w:rPr>
          <w:rStyle w:val="kleinschrift"/>
        </w:rPr>
        <w:t>1</w:t>
      </w:r>
      <w:r>
        <w:t>Die Wahl der Dienstnehmervertreter/Dienstnehmervertreterinnen findet nach Wahl</w:t>
      </w:r>
      <w:r>
        <w:softHyphen/>
        <w:t xml:space="preserve">bereichen statt. </w:t>
      </w:r>
      <w:r>
        <w:rPr>
          <w:rStyle w:val="kleinschrift"/>
        </w:rPr>
        <w:t>2</w:t>
      </w:r>
      <w:r w:rsidRPr="007E043D">
        <w:t>Dazu werden die Kandidaten/Kandidatinnen den nachfolgenden Wahlbe</w:t>
      </w:r>
      <w:r>
        <w:softHyphen/>
      </w:r>
      <w:r w:rsidRPr="007E043D">
        <w:t>reichen zugeordnet:</w:t>
      </w:r>
    </w:p>
    <w:p w:rsidR="00BE1EFE" w:rsidRPr="000B1AF8" w:rsidRDefault="00BE1EFE" w:rsidP="008724D5">
      <w:pPr>
        <w:pStyle w:val="StandardWeb"/>
      </w:pPr>
    </w:p>
    <w:p w:rsidR="00BE1EFE" w:rsidRDefault="00BE1EFE" w:rsidP="008724D5">
      <w:pPr>
        <w:pStyle w:val="StandardWeb"/>
      </w:pPr>
      <w:r>
        <w:t>1. </w:t>
      </w:r>
      <w:r w:rsidRPr="007E043D">
        <w:t>Wahlbereich 1:</w:t>
      </w:r>
      <w:r>
        <w:t xml:space="preserve"> Lehrkräfte an katholischen Schulen gemäß </w:t>
      </w:r>
      <w:hyperlink r:id="rId1982" w:tgtFrame="_blank" w:history="1">
        <w:r>
          <w:rPr>
            <w:rStyle w:val="Hyperlink"/>
          </w:rPr>
          <w:t>can. 803 CIC</w:t>
        </w:r>
      </w:hyperlink>
      <w:r>
        <w:t>, wobei</w:t>
      </w:r>
    </w:p>
    <w:p w:rsidR="00BE1EFE" w:rsidRDefault="00BE1EFE" w:rsidP="008724D5">
      <w:pPr>
        <w:pStyle w:val="StandardWeb"/>
      </w:pPr>
      <w:r>
        <w:t>– Pastoralassistenten/Pastoralassistentinnen,</w:t>
      </w:r>
    </w:p>
    <w:p w:rsidR="00BE1EFE" w:rsidRDefault="00BE1EFE" w:rsidP="008724D5">
      <w:pPr>
        <w:pStyle w:val="StandardWeb"/>
      </w:pPr>
      <w:r>
        <w:t>– Pastoralreferenten/Pastoralreferentinnen,</w:t>
      </w:r>
    </w:p>
    <w:p w:rsidR="00BE1EFE" w:rsidRDefault="00BE1EFE" w:rsidP="008724D5">
      <w:pPr>
        <w:pStyle w:val="StandardWeb"/>
      </w:pPr>
      <w:r>
        <w:t>– Gemeindeassistenten/Gemeindeassistentinnen,</w:t>
      </w:r>
    </w:p>
    <w:p w:rsidR="00BE1EFE" w:rsidRDefault="00BE1EFE" w:rsidP="008724D5">
      <w:pPr>
        <w:pStyle w:val="StandardWeb"/>
      </w:pPr>
      <w:r>
        <w:t>– Gemeindereferenten/Gemeindereferentinnen,</w:t>
      </w:r>
    </w:p>
    <w:p w:rsidR="00BE1EFE" w:rsidRDefault="00BE1EFE" w:rsidP="008724D5">
      <w:pPr>
        <w:pStyle w:val="StandardWeb"/>
      </w:pPr>
      <w:r>
        <w:t>– und Religionslehrer/Religionslehrerinnen im Kirchendienst,</w:t>
      </w:r>
    </w:p>
    <w:p w:rsidR="00BE1EFE" w:rsidRDefault="00BE1EFE" w:rsidP="008724D5">
      <w:pPr>
        <w:pStyle w:val="StandardWeb"/>
      </w:pPr>
      <w:r>
        <w:t xml:space="preserve">die an eine katholische Schule gemäß </w:t>
      </w:r>
      <w:hyperlink r:id="rId1983" w:tgtFrame="_blank" w:history="1">
        <w:r>
          <w:rPr>
            <w:rStyle w:val="Hyperlink"/>
          </w:rPr>
          <w:t xml:space="preserve">can. 803 CIC </w:t>
        </w:r>
      </w:hyperlink>
      <w:r>
        <w:t>abgeordnet sind, dem Wahlbereich ihrer Berufsgruppe zugeordnet bleiben,</w:t>
      </w:r>
    </w:p>
    <w:p w:rsidR="00BE1EFE" w:rsidRDefault="00BE1EFE" w:rsidP="008724D5">
      <w:pPr>
        <w:pStyle w:val="StandardWeb"/>
      </w:pPr>
      <w:r>
        <w:t>2. Wahlbereich 2</w:t>
      </w:r>
      <w:r w:rsidRPr="007E043D">
        <w:t>:</w:t>
      </w:r>
      <w:r>
        <w:t xml:space="preserve"> Beschäftigte, die nach der Entgeltordnung für Beschäftigte in der kirchlichen Verbands- und/oder Bildungsarbeit für Jugendliche und für Erwachsene gemäß </w:t>
      </w:r>
      <w:hyperlink r:id="rId1984" w:history="1">
        <w:r>
          <w:rPr>
            <w:rStyle w:val="Hyperlink"/>
          </w:rPr>
          <w:t>ABD Teil A, </w:t>
        </w:r>
        <w:r w:rsidRPr="002D1F1D">
          <w:rPr>
            <w:rStyle w:val="Hyperlink"/>
          </w:rPr>
          <w:t>2.10.</w:t>
        </w:r>
      </w:hyperlink>
      <w:r>
        <w:t xml:space="preserve"> eingruppiert sind,</w:t>
      </w:r>
    </w:p>
    <w:p w:rsidR="00BE1EFE" w:rsidRDefault="00BE1EFE" w:rsidP="008724D5">
      <w:pPr>
        <w:pStyle w:val="StandardWeb"/>
      </w:pPr>
      <w:r>
        <w:t>3. Wahlbereich 3</w:t>
      </w:r>
      <w:r w:rsidRPr="007E043D">
        <w:t>:</w:t>
      </w:r>
      <w:r>
        <w:t xml:space="preserve"> Beschäftigte im Sozial- und Erziehungsdienst, die gemäß </w:t>
      </w:r>
      <w:hyperlink r:id="rId1985" w:history="1">
        <w:r w:rsidRPr="00811CB4">
          <w:rPr>
            <w:rStyle w:val="Hyperlink"/>
          </w:rPr>
          <w:t>ABD Teil A, 2.3. Nummer 30</w:t>
        </w:r>
      </w:hyperlink>
      <w:r>
        <w:t xml:space="preserve"> eingruppiert sind,</w:t>
      </w:r>
    </w:p>
    <w:p w:rsidR="00BE1EFE" w:rsidRDefault="00BE1EFE" w:rsidP="008724D5">
      <w:pPr>
        <w:pStyle w:val="StandardWeb"/>
      </w:pPr>
      <w:r>
        <w:t>4. Wahlbereich 4</w:t>
      </w:r>
      <w:r w:rsidRPr="007E043D">
        <w:t>:</w:t>
      </w:r>
      <w:r>
        <w:t xml:space="preserve"> Religionslehrkräfte, die gemäß der Entgeltordnung für Religionslehrerinnen und Religionslehrer im Kirchendienst gemäß </w:t>
      </w:r>
      <w:hyperlink r:id="rId1986" w:history="1">
        <w:r w:rsidRPr="002D1F1D">
          <w:rPr>
            <w:rStyle w:val="Hyperlink"/>
          </w:rPr>
          <w:t>ABD Teil A, 2.6.</w:t>
        </w:r>
      </w:hyperlink>
      <w:r>
        <w:t xml:space="preserve"> eingruppiert sind,</w:t>
      </w:r>
    </w:p>
    <w:p w:rsidR="00BE1EFE" w:rsidRDefault="00BE1EFE" w:rsidP="008724D5">
      <w:pPr>
        <w:pStyle w:val="StandardWeb"/>
      </w:pPr>
      <w:r>
        <w:t>5. Wahlbereich 5</w:t>
      </w:r>
      <w:r w:rsidRPr="007E043D">
        <w:t>:</w:t>
      </w:r>
      <w:r>
        <w:t xml:space="preserve"> Beschäftigte im pastoralen Dienst,</w:t>
      </w:r>
    </w:p>
    <w:p w:rsidR="00BE1EFE" w:rsidRDefault="00BE1EFE" w:rsidP="008724D5">
      <w:pPr>
        <w:pStyle w:val="StandardWeb"/>
      </w:pPr>
      <w:r>
        <w:t>6. Wahlbereich 6</w:t>
      </w:r>
      <w:r w:rsidRPr="007E043D">
        <w:t>:</w:t>
      </w:r>
      <w:r>
        <w:t> Mesner/Mesnerinnen und Kirchenmusiker/Kirchenmusikerinnen,</w:t>
      </w:r>
    </w:p>
    <w:p w:rsidR="00BE1EFE" w:rsidRDefault="00BE1EFE" w:rsidP="008724D5">
      <w:pPr>
        <w:pStyle w:val="StandardWeb"/>
      </w:pPr>
      <w:r>
        <w:t>7. Wahlbereich 7</w:t>
      </w:r>
      <w:r w:rsidRPr="007E043D">
        <w:t>:</w:t>
      </w:r>
      <w:r>
        <w:t> Beschäftigte in der Verwaltung sowie Beschäftigte, die keinem der Wahl</w:t>
      </w:r>
      <w:r>
        <w:softHyphen/>
        <w:t>bereiche 1 bis 6 zugeordnet sind.</w:t>
      </w:r>
    </w:p>
    <w:p w:rsidR="00BE1EFE" w:rsidRDefault="00BE1EFE" w:rsidP="008724D5">
      <w:pPr>
        <w:pStyle w:val="StandardWeb"/>
      </w:pPr>
    </w:p>
    <w:p w:rsidR="00BE1EFE" w:rsidRDefault="00BE1EFE" w:rsidP="008724D5">
      <w:pPr>
        <w:pStyle w:val="StandardWeb"/>
      </w:pPr>
      <w:r>
        <w:t>(2) </w:t>
      </w:r>
      <w:r>
        <w:rPr>
          <w:rStyle w:val="kleinschrift"/>
        </w:rPr>
        <w:t>1</w:t>
      </w:r>
      <w:r>
        <w:t xml:space="preserve">Im Übrigen werden Kandidaten/Kandidatinnen mit gemischten Tätigkeiten dem Wahlbereich zugeordnet, der dem überwiegenden zeitlichen Umfang der vertraglich </w:t>
      </w:r>
      <w:r>
        <w:lastRenderedPageBreak/>
        <w:t xml:space="preserve">vereinbarten Arbeitszeit entspricht; bei gleich hohen zeitlichen Anteilen entscheidet der/die Beschäftigte. </w:t>
      </w:r>
      <w:r>
        <w:rPr>
          <w:rStyle w:val="kleinschrift"/>
        </w:rPr>
        <w:t>2</w:t>
      </w:r>
      <w:r>
        <w:t>Ist ein Beschäftigter/eine Beschäftigte aufgrund mehrerer Arbeitsverhältnisse aktiv und/oder passiv wahlberechtigt, kann er/sie das aktive und/oder das passive Wahlrecht nur einmal in dem Wahlbereich ausüben, für den er/sie sich entschieden hat.</w:t>
      </w:r>
    </w:p>
    <w:p w:rsidR="00BE1EFE" w:rsidRDefault="00BE1EFE" w:rsidP="008724D5">
      <w:pPr>
        <w:pStyle w:val="StandardWeb"/>
      </w:pPr>
    </w:p>
    <w:p w:rsidR="00BE1EFE" w:rsidRDefault="00BE1EFE" w:rsidP="008724D5">
      <w:pPr>
        <w:pStyle w:val="StandardWeb"/>
      </w:pPr>
      <w:r>
        <w:t>(3) Im Zweifelsfall entscheidet der Wahlvorstand nach Anhörung des/der Betroffenen über die Zuordnung zu einem Wahlbereich.</w:t>
      </w:r>
    </w:p>
    <w:p w:rsidR="00BE1EFE" w:rsidRDefault="00BE1EFE" w:rsidP="008724D5">
      <w:pPr>
        <w:pStyle w:val="StandardWeb"/>
      </w:pPr>
    </w:p>
    <w:p w:rsidR="00BE1EFE" w:rsidRDefault="00BE1EFE">
      <w:pPr>
        <w:pStyle w:val="StandardWeb"/>
      </w:pPr>
      <w:r>
        <w:t>(4) </w:t>
      </w:r>
      <w:r>
        <w:rPr>
          <w:rStyle w:val="kleinschrift"/>
        </w:rPr>
        <w:t>1</w:t>
      </w:r>
      <w:r>
        <w:t xml:space="preserve">Der Wahlbereich 1 besteht diözesanübergreifend. </w:t>
      </w:r>
      <w:r>
        <w:rPr>
          <w:rStyle w:val="kleinschrift"/>
        </w:rPr>
        <w:t>2</w:t>
      </w:r>
      <w:r>
        <w:t>Die Wahlbereiche 2 bis 7 bestehen für jede Diözese gesondert.</w:t>
      </w:r>
    </w:p>
    <w:p w:rsidR="00BE1EFE" w:rsidRDefault="00BE1EFE">
      <w:pPr>
        <w:pStyle w:val="berschrift5"/>
      </w:pPr>
      <w:bookmarkStart w:id="1374" w:name="_Toc523926884"/>
      <w:r>
        <w:t>Zweiter Abschnitt – Wahlvorstände</w:t>
      </w:r>
      <w:bookmarkEnd w:id="1374"/>
    </w:p>
    <w:p w:rsidR="00BE1EFE" w:rsidRDefault="00BE1EFE">
      <w:pPr>
        <w:pStyle w:val="berschrift6"/>
      </w:pPr>
      <w:bookmarkStart w:id="1375" w:name="_Toc523926885"/>
      <w:r>
        <w:t>§ 3 Bildung von Wahlvorständen</w:t>
      </w:r>
      <w:bookmarkEnd w:id="1375"/>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Zur Vorbereitung und Durchführung der Wahl der Dienstnehmervertreter/Dienstnehmer</w:t>
      </w:r>
      <w:r>
        <w:softHyphen/>
        <w:t xml:space="preserve">vertreterinnen in der Kommission werden Wahlvorstände gebildet. </w:t>
      </w:r>
      <w:r>
        <w:rPr>
          <w:rStyle w:val="kleinschrift"/>
        </w:rPr>
        <w:t>2</w:t>
      </w:r>
      <w:r>
        <w:t>Wahlvorstände sind</w:t>
      </w:r>
    </w:p>
    <w:p w:rsidR="00BE1EFE" w:rsidRDefault="00BE1EFE">
      <w:pPr>
        <w:pStyle w:val="StandardWeb"/>
      </w:pPr>
      <w:r>
        <w:t>1. ein Diözesan-Wahlvorstand für jede Diözese,</w:t>
      </w:r>
    </w:p>
    <w:p w:rsidR="00BE1EFE" w:rsidRDefault="00BE1EFE">
      <w:pPr>
        <w:pStyle w:val="StandardWeb"/>
      </w:pPr>
      <w:r>
        <w:t xml:space="preserve">2. ein Lehrer-Wahlvorstand für die Wahl der Vertreter/Vertreterinnen der Lehrkräfte im Sinne des </w:t>
      </w:r>
      <w:hyperlink r:id="rId1987" w:history="1">
        <w:r w:rsidRPr="002D1F1D">
          <w:rPr>
            <w:rStyle w:val="Hyperlink"/>
          </w:rPr>
          <w:t>§ 2 Absatz 1 Nummer 1</w:t>
        </w:r>
      </w:hyperlink>
      <w:r>
        <w:t>,</w:t>
      </w:r>
    </w:p>
    <w:p w:rsidR="00BE1EFE" w:rsidRPr="000B1AF8" w:rsidRDefault="00BE1EFE">
      <w:pPr>
        <w:pStyle w:val="StandardWeb"/>
      </w:pPr>
      <w:r>
        <w:t>3. der Regional-Wahlvorstand.</w:t>
      </w:r>
    </w:p>
    <w:p w:rsidR="00BE1EFE" w:rsidRDefault="00BE1EFE">
      <w:pPr>
        <w:pStyle w:val="berschrift6"/>
      </w:pPr>
      <w:bookmarkStart w:id="1376" w:name="_Toc523926886"/>
      <w:r>
        <w:t>§ 4 Zusammensetzung der Wahlvorstände</w:t>
      </w:r>
      <w:bookmarkEnd w:id="137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Diözesan-Wahlvorstände bestehen aus fünf Personen, die vom jeweiligen Vorstand der zuständigen Diözesanen Arbeitsgemeinschaft der Mitarbeitervertretungen Bereich A (DiAG-MAV) gewählt werden.</w:t>
      </w:r>
    </w:p>
    <w:p w:rsidR="00BE1EFE" w:rsidRPr="000B1AF8" w:rsidRDefault="00BE1EFE">
      <w:pPr>
        <w:pStyle w:val="StandardWeb"/>
      </w:pPr>
    </w:p>
    <w:p w:rsidR="00BE1EFE" w:rsidRDefault="00BE1EFE">
      <w:pPr>
        <w:pStyle w:val="StandardWeb"/>
      </w:pPr>
      <w:r>
        <w:t xml:space="preserve">(2) Der Lehrer-Wahlvorstand besteht aus fünf Lehrkräften, die von den Vorsitzenden der jeweils für die Lehrkräfte an katholischen Schulen gemäß </w:t>
      </w:r>
      <w:hyperlink r:id="rId1988" w:tgtFrame="_blank" w:history="1">
        <w:r>
          <w:rPr>
            <w:rStyle w:val="Hyperlink"/>
          </w:rPr>
          <w:t xml:space="preserve">can. 803 CIC </w:t>
        </w:r>
      </w:hyperlink>
      <w:r>
        <w:t>zuständigen Diözesanen Arbeitsgemeinschaften der Mitarbeitervertretungen gewählt werden.</w:t>
      </w:r>
    </w:p>
    <w:p w:rsidR="00BE1EFE" w:rsidRDefault="00BE1EFE">
      <w:pPr>
        <w:pStyle w:val="StandardWeb"/>
      </w:pPr>
    </w:p>
    <w:p w:rsidR="00BE1EFE" w:rsidRDefault="00BE1EFE">
      <w:pPr>
        <w:pStyle w:val="StandardWeb"/>
      </w:pPr>
      <w:r>
        <w:t>(3) Der Regional-Wahlvorstand besteht aus den Vorsitzenden der Diözesan-Wahlvorstände, dem/der Vorsitzenden des Lehrer-Wahlvorstandes und einem/einer durch die Dienstgeber</w:t>
      </w:r>
      <w:r>
        <w:softHyphen/>
        <w:t>vertreter/Dienstgebervertreterinnen in der Kommission bestellten Vertreter/Vertreterin der bayerischen Diözesen mit der Befähigung zum Richteramt.</w:t>
      </w:r>
    </w:p>
    <w:p w:rsidR="00BE1EFE" w:rsidRDefault="00BE1EFE">
      <w:pPr>
        <w:pStyle w:val="StandardWeb"/>
      </w:pPr>
    </w:p>
    <w:p w:rsidR="00BE1EFE" w:rsidRDefault="00BE1EFE">
      <w:pPr>
        <w:pStyle w:val="StandardWeb"/>
      </w:pPr>
      <w:r>
        <w:t>(4) </w:t>
      </w:r>
      <w:r w:rsidRPr="00EA2EF1">
        <w:t>Nicht Mitglied des Wahlvorstandes kann sein, wer für die Kommission kandidiert.</w:t>
      </w:r>
    </w:p>
    <w:p w:rsidR="00BE1EFE" w:rsidRDefault="00BE1EFE">
      <w:pPr>
        <w:pStyle w:val="StandardWeb"/>
      </w:pPr>
    </w:p>
    <w:p w:rsidR="00BE1EFE" w:rsidRDefault="00BE1EFE">
      <w:pPr>
        <w:pStyle w:val="StandardWeb"/>
      </w:pPr>
      <w:r>
        <w:t>(5) Scheidet ein Mitglied eines Wahlvorstandes aus dem Wahlvorstand aus, ist durch das nach Absatz 1 und 2 zuständige Gremium unverzüglich ein neues Mitglied zu wählen.</w:t>
      </w:r>
    </w:p>
    <w:p w:rsidR="00BE1EFE" w:rsidRDefault="00BE1EFE">
      <w:pPr>
        <w:pStyle w:val="berschrift6"/>
      </w:pPr>
      <w:bookmarkStart w:id="1377" w:name="_Toc523926887"/>
      <w:r>
        <w:t>§ 5 Konstituierung der Wahlvorstände, Wahl der Vorsitzenden</w:t>
      </w:r>
      <w:bookmarkEnd w:id="137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jeweilige zuständige Diözesan-Wahlvorstand wird vom jeweiligen Vorstand der Diözesanen Arbeitsgemeinschaft der Mitarbeitervertretungen Bereich A zur konstituierenden Sitzung eingeladen.</w:t>
      </w:r>
    </w:p>
    <w:p w:rsidR="00BE1EFE" w:rsidRPr="000B1AF8" w:rsidRDefault="00BE1EFE">
      <w:pPr>
        <w:pStyle w:val="StandardWeb"/>
      </w:pPr>
    </w:p>
    <w:p w:rsidR="00BE1EFE" w:rsidRDefault="00BE1EFE">
      <w:pPr>
        <w:pStyle w:val="StandardWeb"/>
      </w:pPr>
      <w:r>
        <w:lastRenderedPageBreak/>
        <w:t>(2) Der Lehrer-Wahlvorstand wird von dem Leiter/der Leiterin der Geschäftsstelle der Kommission zur konstituierenden Sitzung eingeladen.</w:t>
      </w:r>
    </w:p>
    <w:p w:rsidR="00BE1EFE" w:rsidRDefault="00BE1EFE">
      <w:pPr>
        <w:pStyle w:val="StandardWeb"/>
      </w:pPr>
    </w:p>
    <w:p w:rsidR="00BE1EFE" w:rsidRDefault="00BE1EFE">
      <w:pPr>
        <w:pStyle w:val="StandardWeb"/>
      </w:pPr>
      <w:r>
        <w:t>(3) Der Regional-Wahlvorstand wird von dem Leiter/der Leiterin der Geschäftsstelle der Kommission zur konstituierenden Sitzung eingeladen.</w:t>
      </w:r>
    </w:p>
    <w:p w:rsidR="00BE1EFE" w:rsidRDefault="00BE1EFE">
      <w:pPr>
        <w:pStyle w:val="StandardWeb"/>
      </w:pPr>
    </w:p>
    <w:p w:rsidR="00BE1EFE" w:rsidRDefault="00BE1EFE">
      <w:pPr>
        <w:pStyle w:val="StandardWeb"/>
      </w:pPr>
      <w:r>
        <w:t>(4) Die konstituierenden Sitzungen der Diözesan-Wahlvorstände und des Lehrerwahlvor</w:t>
      </w:r>
      <w:r>
        <w:softHyphen/>
        <w:t>standes finden mindestens zwölf Monate vor dem Wahltag statt</w:t>
      </w:r>
    </w:p>
    <w:p w:rsidR="00BE1EFE" w:rsidRDefault="00BE1EFE">
      <w:pPr>
        <w:pStyle w:val="StandardWeb"/>
      </w:pPr>
    </w:p>
    <w:p w:rsidR="00BE1EFE" w:rsidRDefault="00BE1EFE">
      <w:pPr>
        <w:pStyle w:val="StandardWeb"/>
      </w:pPr>
      <w:r>
        <w:t>(5) Die konstituierende Sitzung des Regional-Wahlvorstandes findet mindestens elf Monate vor dem Wahltag statt.</w:t>
      </w:r>
    </w:p>
    <w:p w:rsidR="00BE1EFE" w:rsidRDefault="00BE1EFE">
      <w:pPr>
        <w:pStyle w:val="StandardWeb"/>
      </w:pPr>
    </w:p>
    <w:p w:rsidR="00BE1EFE" w:rsidRDefault="00BE1EFE">
      <w:pPr>
        <w:pStyle w:val="StandardWeb"/>
      </w:pPr>
      <w:r>
        <w:t>(6) Die Wahlvorstände bestimmen aus ihrer Mitte je einen Vorsitzenden/eine Vorsitzende (Wahlleiter/Wahlleiterin) und einen stellvertretenden Vorsitzenden/eine stellvertretende Vorsitzende (stellvertretenden Wahlleiter/stellvertretende Wahlleiterin).</w:t>
      </w:r>
    </w:p>
    <w:p w:rsidR="00BE1EFE" w:rsidRDefault="00BE1EFE">
      <w:pPr>
        <w:pStyle w:val="berschrift6"/>
      </w:pPr>
      <w:bookmarkStart w:id="1378" w:name="_Toc523926888"/>
      <w:r>
        <w:t>§ 6 Beschlussfassung, Verschwiegenheitspflicht</w:t>
      </w:r>
      <w:bookmarkEnd w:id="137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Wahlvorstände entscheiden mit einfacher Mehrheit.</w:t>
      </w:r>
    </w:p>
    <w:p w:rsidR="00BE1EFE" w:rsidRPr="000B1AF8" w:rsidRDefault="00BE1EFE">
      <w:pPr>
        <w:pStyle w:val="StandardWeb"/>
      </w:pPr>
    </w:p>
    <w:p w:rsidR="00BE1EFE" w:rsidRDefault="00BE1EFE">
      <w:pPr>
        <w:pStyle w:val="StandardWeb"/>
      </w:pPr>
      <w:r>
        <w:t>(2) Die Mitglieder der Wahlvorstände sind zur unparteiischen Wahrnehmung ihrer Aufgabe und zur Verschwiegenheit über die ihnen bei der Wahrnehmung ihrer Aufgabe bekannt gewordenen Angelegenheiten verpflichtet.</w:t>
      </w:r>
    </w:p>
    <w:p w:rsidR="00BE1EFE" w:rsidRDefault="00BE1EFE">
      <w:pPr>
        <w:pStyle w:val="berschrift5"/>
      </w:pPr>
      <w:bookmarkStart w:id="1379" w:name="_Toc523926889"/>
      <w:r>
        <w:t>Dritter Abschnitt – Wahl</w:t>
      </w:r>
      <w:r>
        <w:rPr>
          <w:lang w:eastAsia="x-none"/>
        </w:rPr>
        <w:t>be</w:t>
      </w:r>
      <w:r>
        <w:t>recht</w:t>
      </w:r>
      <w:r>
        <w:rPr>
          <w:lang w:eastAsia="x-none"/>
        </w:rPr>
        <w:t>igung</w:t>
      </w:r>
      <w:r>
        <w:t>, Wahlvorschlagsrecht und Wählbarkeit</w:t>
      </w:r>
      <w:bookmarkEnd w:id="1379"/>
    </w:p>
    <w:p w:rsidR="00BE1EFE" w:rsidRPr="00D03709" w:rsidRDefault="00BE1EFE">
      <w:pPr>
        <w:pStyle w:val="berschrift6"/>
        <w:rPr>
          <w:lang w:eastAsia="x-none"/>
        </w:rPr>
      </w:pPr>
      <w:bookmarkStart w:id="1380" w:name="_Toc523926890"/>
      <w:r>
        <w:t>§ 7 Wahl</w:t>
      </w:r>
      <w:r>
        <w:rPr>
          <w:lang w:eastAsia="x-none"/>
        </w:rPr>
        <w:t>be</w:t>
      </w:r>
      <w:r>
        <w:t>rech</w:t>
      </w:r>
      <w:r>
        <w:rPr>
          <w:lang w:eastAsia="x-none"/>
        </w:rPr>
        <w:t>tigung</w:t>
      </w:r>
      <w:bookmarkEnd w:id="1380"/>
    </w:p>
    <w:p w:rsidR="00BE1EFE" w:rsidRPr="00B76821" w:rsidRDefault="00BE1EFE" w:rsidP="00B76821">
      <w:pPr>
        <w:pStyle w:val="h7"/>
        <w:keepNext w:val="0"/>
        <w:spacing w:before="0" w:after="0"/>
        <w:jc w:val="left"/>
        <w:outlineLvl w:val="5"/>
        <w:rPr>
          <w:sz w:val="2"/>
        </w:rPr>
      </w:pPr>
    </w:p>
    <w:p w:rsidR="00BE1EFE" w:rsidRDefault="00BE1EFE" w:rsidP="004622EB">
      <w:pPr>
        <w:pStyle w:val="StandardWeb"/>
      </w:pPr>
      <w:r>
        <w:t>(1) </w:t>
      </w:r>
      <w:r>
        <w:rPr>
          <w:rStyle w:val="kleinschrift"/>
        </w:rPr>
        <w:t>1</w:t>
      </w:r>
      <w:r w:rsidRPr="004622EB">
        <w:t>Wahlberechtigt sind alle Beschäftigten, die am Wahltag das 18. Lebensjahr vollendet haben und am 1. Oktober des Vorjahres des Kalenderjahres, in dem der Wahltag liegt, in einem kirchlichen Arbeitsverhältnis stehen, auf welches das A</w:t>
      </w:r>
      <w:r>
        <w:t xml:space="preserve">BD Anwendung findet. </w:t>
      </w:r>
      <w:r>
        <w:rPr>
          <w:rStyle w:val="kleinschrift"/>
        </w:rPr>
        <w:t>2</w:t>
      </w:r>
      <w:r w:rsidRPr="004622EB">
        <w:t>Darüber hinaus muss der Arbeitgeber im Rechtsträgerverzeichnis aufgeführt sein.</w:t>
      </w:r>
    </w:p>
    <w:p w:rsidR="00BE1EFE" w:rsidRDefault="00BE1EFE">
      <w:pPr>
        <w:jc w:val="both"/>
      </w:pPr>
    </w:p>
    <w:p w:rsidR="00BE1EFE" w:rsidRDefault="00BE1EFE">
      <w:pPr>
        <w:pStyle w:val="StandardWeb"/>
      </w:pPr>
      <w:r>
        <w:t xml:space="preserve">(2) Beschäftigte sind in derjenigen Diözese wahlberechtigt, in der die Einrichtung, in der sie am Tage der Erstellung der Liste der Beschäftigten im Sinne von </w:t>
      </w:r>
      <w:hyperlink r:id="rId1989" w:history="1">
        <w:r w:rsidRPr="002D1F1D">
          <w:rPr>
            <w:rStyle w:val="Hyperlink"/>
          </w:rPr>
          <w:t>§ 12 Absatz 1</w:t>
        </w:r>
      </w:hyperlink>
      <w:r>
        <w:t xml:space="preserve"> beschäftigt sind, ihren Sitz hat.</w:t>
      </w:r>
    </w:p>
    <w:p w:rsidR="00BE1EFE" w:rsidRPr="000B1AF8" w:rsidRDefault="00BE1EFE">
      <w:pPr>
        <w:pStyle w:val="StandardWeb"/>
      </w:pPr>
    </w:p>
    <w:p w:rsidR="00BE1EFE" w:rsidRDefault="00BE1EFE">
      <w:pPr>
        <w:pStyle w:val="StandardWeb"/>
      </w:pPr>
      <w:r>
        <w:t>(3) Von der Wahlberechtigung ausgenommen sind:</w:t>
      </w:r>
    </w:p>
    <w:p w:rsidR="00BE1EFE" w:rsidRDefault="00BE1EFE">
      <w:pPr>
        <w:pStyle w:val="StandardWeb"/>
      </w:pPr>
      <w:r>
        <w:t xml:space="preserve">1. Leiter/Leiterinnen von Einrichtungen im Sinne von </w:t>
      </w:r>
      <w:hyperlink r:id="rId1990" w:history="1">
        <w:r w:rsidRPr="004622EB">
          <w:rPr>
            <w:rStyle w:val="Hyperlink"/>
          </w:rPr>
          <w:t>§ 1 BayRKO</w:t>
        </w:r>
      </w:hyperlink>
      <w:r>
        <w:t>,</w:t>
      </w:r>
    </w:p>
    <w:p w:rsidR="00BE1EFE" w:rsidRDefault="00BE1EFE">
      <w:pPr>
        <w:pStyle w:val="StandardWeb"/>
      </w:pPr>
      <w:r>
        <w:t>2. Beschäftigte, die zur selbständigen Entscheidung über Einstellungen, Anstellungen oder Kündigungen befugt sind,</w:t>
      </w:r>
    </w:p>
    <w:p w:rsidR="00BE1EFE" w:rsidRDefault="00BE1EFE">
      <w:pPr>
        <w:pStyle w:val="StandardWeb"/>
      </w:pPr>
      <w:r>
        <w:t>3. Beschäftigte, die vom Dienstgeber zu sonstigen Mitarbeitern/Mitarbeiterinnen in leitender Stellung ernannt wurden,</w:t>
      </w:r>
    </w:p>
    <w:p w:rsidR="00BE1EFE" w:rsidRDefault="00BE1EFE">
      <w:pPr>
        <w:pStyle w:val="StandardWeb"/>
      </w:pPr>
      <w:r>
        <w:t>4. Beschäftigte, für die zur Besorgung aller ihrer Angelegenheiten ein Betreuer/eine Betreuerin nicht nur vorübergehend bestellt ist,</w:t>
      </w:r>
    </w:p>
    <w:p w:rsidR="00BE1EFE" w:rsidRDefault="00BE1EFE">
      <w:pPr>
        <w:pStyle w:val="StandardWeb"/>
      </w:pPr>
      <w:r>
        <w:t>5. Beschäftigte, die am 1. Oktober des Vorjahres des Kalenderjahres, in dem der Wahltag liegt, noch mindestens sieben Monate unter Wegfall der Bezüge beurlaubt sind,</w:t>
      </w:r>
    </w:p>
    <w:p w:rsidR="00BE1EFE" w:rsidRDefault="00BE1EFE">
      <w:pPr>
        <w:pStyle w:val="StandardWeb"/>
      </w:pPr>
      <w:r>
        <w:t>6. Beschäftigte, die sich am Wahltag in der Freistellungsphase der Altersteilzeit befinden,</w:t>
      </w:r>
    </w:p>
    <w:p w:rsidR="00BE1EFE" w:rsidRDefault="00BE1EFE">
      <w:pPr>
        <w:pStyle w:val="StandardWeb"/>
      </w:pPr>
      <w:r>
        <w:t>7. Beschäftigte, deren Arbeitsverhältnis am Wahltag nicht mehr besteht.</w:t>
      </w:r>
    </w:p>
    <w:p w:rsidR="00BE1EFE" w:rsidRDefault="00BE1EFE">
      <w:pPr>
        <w:pStyle w:val="berschrift6"/>
      </w:pPr>
      <w:bookmarkStart w:id="1381" w:name="_Toc523926891"/>
      <w:r>
        <w:lastRenderedPageBreak/>
        <w:t>§ 8 Wahlvorschlagsrecht</w:t>
      </w:r>
      <w:bookmarkEnd w:id="1381"/>
    </w:p>
    <w:p w:rsidR="00BE1EFE" w:rsidRPr="00B76821" w:rsidRDefault="00BE1EFE" w:rsidP="00B76821">
      <w:pPr>
        <w:pStyle w:val="h7"/>
        <w:keepNext w:val="0"/>
        <w:spacing w:before="0" w:after="0"/>
        <w:jc w:val="left"/>
        <w:outlineLvl w:val="5"/>
        <w:rPr>
          <w:sz w:val="2"/>
        </w:rPr>
      </w:pPr>
    </w:p>
    <w:p w:rsidR="00BE1EFE" w:rsidRDefault="00BE1EFE" w:rsidP="003D14F5">
      <w:pPr>
        <w:pStyle w:val="StandardWeb"/>
      </w:pPr>
      <w:r w:rsidRPr="004622EB">
        <w:t>Wahlvorschlagsberechtigt sind die Beschäftigten, die am 1. Oktober des Vorjahres des Kalenderjahres, in dem der Wahltag liegt, in einem kirchlichen Arbeitsverhältnis stehen und nicht von der Wahlberechtigung ausgenommen sind.</w:t>
      </w:r>
    </w:p>
    <w:p w:rsidR="00BE1EFE" w:rsidRDefault="00BE1EFE">
      <w:pPr>
        <w:pStyle w:val="berschrift6"/>
      </w:pPr>
      <w:r w:rsidRPr="004622EB">
        <w:rPr>
          <w:b w:val="0"/>
          <w:bCs w:val="0"/>
          <w:sz w:val="16"/>
          <w:szCs w:val="24"/>
        </w:rPr>
        <w:t xml:space="preserve"> </w:t>
      </w:r>
      <w:bookmarkStart w:id="1382" w:name="_Toc523926892"/>
      <w:r>
        <w:t>§ 9 Wählbarkeit</w:t>
      </w:r>
      <w:bookmarkEnd w:id="1382"/>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sidRPr="004622EB">
        <w:t>Wählbar sind die wahlberechtigten Beschäftigten, die am Wahltag mindestens seit einem Jahr in einem kirchlichen Arbeitsverhältnis stehen.</w:t>
      </w:r>
    </w:p>
    <w:p w:rsidR="00BE1EFE" w:rsidRPr="000B1AF8" w:rsidRDefault="00BE1EFE">
      <w:pPr>
        <w:pStyle w:val="StandardWeb"/>
      </w:pPr>
    </w:p>
    <w:p w:rsidR="00BE1EFE" w:rsidRDefault="00BE1EFE">
      <w:pPr>
        <w:pStyle w:val="StandardWeb"/>
      </w:pPr>
      <w:r>
        <w:t xml:space="preserve">(2) Von der Wählbarkeit ausgenommen sind </w:t>
      </w:r>
      <w:r w:rsidRPr="004622EB">
        <w:t xml:space="preserve">neben den in </w:t>
      </w:r>
      <w:hyperlink r:id="rId1991" w:history="1">
        <w:r w:rsidRPr="00FD402B">
          <w:rPr>
            <w:rStyle w:val="Hyperlink"/>
          </w:rPr>
          <w:t>§ 7 Absatz 3</w:t>
        </w:r>
      </w:hyperlink>
      <w:r w:rsidRPr="004622EB">
        <w:t xml:space="preserve"> genannten Beschäf</w:t>
      </w:r>
      <w:r>
        <w:softHyphen/>
      </w:r>
      <w:r w:rsidRPr="004622EB">
        <w:t>tigten folgende weitere Beschäftigte</w:t>
      </w:r>
      <w:r>
        <w:t>:</w:t>
      </w:r>
    </w:p>
    <w:p w:rsidR="00BE1EFE" w:rsidRDefault="00BE1EFE">
      <w:pPr>
        <w:pStyle w:val="StandardWeb"/>
      </w:pPr>
      <w:r>
        <w:t xml:space="preserve">1. wahlberechtigte Beschäftigte, deren Beschäftigungsumfang zum Zeitpunkt der Erstellung der endgültigen Kandidatenliste im Sinne des </w:t>
      </w:r>
      <w:hyperlink r:id="rId1992" w:history="1">
        <w:r w:rsidRPr="002D1F1D">
          <w:rPr>
            <w:rStyle w:val="Hyperlink"/>
          </w:rPr>
          <w:t>§ 16</w:t>
        </w:r>
      </w:hyperlink>
      <w:r>
        <w:t xml:space="preserve"> unter der Hälfte des Beschäftigungs</w:t>
      </w:r>
      <w:r>
        <w:softHyphen/>
        <w:t>umfanges eines/einer vergleichbaren Vollbeschäftigten liegt,</w:t>
      </w:r>
    </w:p>
    <w:p w:rsidR="00BE1EFE" w:rsidRDefault="00BE1EFE">
      <w:pPr>
        <w:pStyle w:val="StandardWeb"/>
      </w:pPr>
      <w:r>
        <w:t>2. Mitglieder eines Organs eines kirchlichen Rechtsträgers im Geltungsbereich des ABD, das zur gesetzlichen Vertretung des Rechtsträgers berufen ist,</w:t>
      </w:r>
    </w:p>
    <w:p w:rsidR="00BE1EFE" w:rsidRDefault="00BE1EFE">
      <w:pPr>
        <w:pStyle w:val="StandardWeb"/>
      </w:pPr>
      <w:r>
        <w:t>3. </w:t>
      </w:r>
      <w:r w:rsidRPr="00230A2E">
        <w:t xml:space="preserve">Beschäftigte, die zur selbstständigen Entscheidung in anderen als in den in </w:t>
      </w:r>
      <w:hyperlink r:id="rId1993" w:history="1">
        <w:r w:rsidRPr="00FD402B">
          <w:rPr>
            <w:rStyle w:val="Hyperlink"/>
          </w:rPr>
          <w:t>§ 7 Absatz 3 Nummer 2</w:t>
        </w:r>
      </w:hyperlink>
      <w:r w:rsidRPr="00230A2E">
        <w:t xml:space="preserve"> genannten Personalangelegenheiten befugt sind.</w:t>
      </w:r>
    </w:p>
    <w:p w:rsidR="00BE1EFE" w:rsidRDefault="00BE1EFE">
      <w:pPr>
        <w:pStyle w:val="StandardWeb"/>
      </w:pPr>
    </w:p>
    <w:p w:rsidR="00BE1EFE" w:rsidRDefault="00BE1EFE">
      <w:pPr>
        <w:pStyle w:val="StandardWeb"/>
      </w:pPr>
      <w:r>
        <w:t>(3) Eine Veränderung der Regelung der durchschnittlichen regelmäßigen Arbeitszeit im ABD während der laufenden Amtszeit führt für diesen Zeitraum nicht zum Verlust der Wählbarkeit.</w:t>
      </w:r>
    </w:p>
    <w:p w:rsidR="00BE1EFE" w:rsidRDefault="00BE1EFE">
      <w:pPr>
        <w:pStyle w:val="berschrift5"/>
      </w:pPr>
      <w:bookmarkStart w:id="1383" w:name="_Toc523926893"/>
      <w:r>
        <w:t>Vierter Abschnitt – Vorbereitung der Wahl</w:t>
      </w:r>
      <w:bookmarkEnd w:id="1383"/>
    </w:p>
    <w:p w:rsidR="00BE1EFE" w:rsidRDefault="00BE1EFE">
      <w:pPr>
        <w:pStyle w:val="berschrift6"/>
      </w:pPr>
      <w:bookmarkStart w:id="1384" w:name="_Toc523926894"/>
      <w:r>
        <w:t>§ 10 Wahltag</w:t>
      </w:r>
      <w:bookmarkEnd w:id="1384"/>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w:t>
      </w:r>
      <w:r w:rsidRPr="00232255">
        <w:t xml:space="preserve">Kommission setzt den Wahltag fest, der mindestens vier Monate vor Ablauf der Amtszeit liegen soll. </w:t>
      </w:r>
      <w:r>
        <w:rPr>
          <w:rStyle w:val="kleinschrift"/>
        </w:rPr>
        <w:t>2</w:t>
      </w:r>
      <w:r>
        <w:t>Der Wahltag wird in den Amtsblättern der Diözesen veröffentlicht.</w:t>
      </w:r>
    </w:p>
    <w:p w:rsidR="00BE1EFE" w:rsidRDefault="00BE1EFE">
      <w:pPr>
        <w:pStyle w:val="berschrift6"/>
      </w:pPr>
      <w:bookmarkStart w:id="1385" w:name="_Toc523926895"/>
      <w:r>
        <w:t>§ 11 Rechtsträgerverzeichnisse</w:t>
      </w:r>
      <w:bookmarkEnd w:id="138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Ordinariate erstellen vorbehaltlich des Absatzes 2 ein Verzeichnis der Rechtsträger, die das ABD anwenden. </w:t>
      </w:r>
      <w:r>
        <w:rPr>
          <w:rStyle w:val="kleinschrift"/>
        </w:rPr>
        <w:t>2</w:t>
      </w:r>
      <w:r>
        <w:t>Dieses Verzeichnis wird im Juli des Vorjahres des Kalenderjahres, in dem der Wahltag liegt, mit Stand 1. Juni dieses Jahres in den Amtsblättern der Diözesen veröffentlicht.</w:t>
      </w:r>
    </w:p>
    <w:p w:rsidR="00BE1EFE" w:rsidRPr="000B1AF8" w:rsidRDefault="00BE1EFE">
      <w:pPr>
        <w:pStyle w:val="StandardWeb"/>
      </w:pPr>
    </w:p>
    <w:p w:rsidR="00BE1EFE" w:rsidRDefault="00BE1EFE">
      <w:pPr>
        <w:pStyle w:val="StandardWeb"/>
      </w:pPr>
      <w:r>
        <w:t>(2) </w:t>
      </w:r>
      <w:r>
        <w:rPr>
          <w:rStyle w:val="kleinschrift"/>
        </w:rPr>
        <w:t>1</w:t>
      </w:r>
      <w:r>
        <w:t xml:space="preserve">Das Katholische Schulwerk in Bayern erstellt ein Verzeichnis der Rechtsträger mit den Schulen, die das ABD anwenden. </w:t>
      </w:r>
      <w:r>
        <w:rPr>
          <w:rStyle w:val="kleinschrift"/>
        </w:rPr>
        <w:t>2</w:t>
      </w:r>
      <w:r>
        <w:t>Dieses Verzeichnis wird mit Stand 1. Juni des Vorjahres des Kalenderjahres, in dem der Wahltag liegt, zusammen mit dem Verzeichnis nach Absatz 1 veröffentlicht.</w:t>
      </w:r>
    </w:p>
    <w:p w:rsidR="00BE1EFE" w:rsidRDefault="00BE1EFE">
      <w:pPr>
        <w:pStyle w:val="StandardWeb"/>
      </w:pPr>
    </w:p>
    <w:p w:rsidR="00BE1EFE" w:rsidRDefault="00BE1EFE">
      <w:pPr>
        <w:pStyle w:val="StandardWeb"/>
      </w:pPr>
      <w:r>
        <w:t>(3) Diese Verzeichnisse sind für den Wahlvorstand bindend.</w:t>
      </w:r>
    </w:p>
    <w:p w:rsidR="00BE1EFE" w:rsidRDefault="00BE1EFE">
      <w:pPr>
        <w:pStyle w:val="berschrift6"/>
      </w:pPr>
      <w:bookmarkStart w:id="1386" w:name="_Toc523926896"/>
      <w:r>
        <w:t>§ 12 Wählerverzeichnisse</w:t>
      </w:r>
      <w:bookmarkEnd w:id="138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lastRenderedPageBreak/>
        <w:t>(1) </w:t>
      </w:r>
      <w:r>
        <w:rPr>
          <w:rStyle w:val="kleinschrift"/>
        </w:rPr>
        <w:t>1</w:t>
      </w:r>
      <w:r>
        <w:t xml:space="preserve">Die in den Rechtsträgerverzeichnissen gemäß </w:t>
      </w:r>
      <w:hyperlink r:id="rId1994" w:history="1">
        <w:r>
          <w:rPr>
            <w:rStyle w:val="Hyperlink"/>
          </w:rPr>
          <w:t>§ </w:t>
        </w:r>
        <w:r w:rsidRPr="002D1F1D">
          <w:rPr>
            <w:rStyle w:val="Hyperlink"/>
          </w:rPr>
          <w:t>11</w:t>
        </w:r>
      </w:hyperlink>
      <w:r>
        <w:t xml:space="preserve"> genannten Rechtsträger sind zur Unterstützung der Wahlvorstände verpflichtet. </w:t>
      </w:r>
      <w:r>
        <w:rPr>
          <w:rStyle w:val="kleinschrift"/>
        </w:rPr>
        <w:t>2</w:t>
      </w:r>
      <w:r>
        <w:t>Auf Anforderung des am Sitz des Rechts</w:t>
      </w:r>
      <w:r>
        <w:softHyphen/>
        <w:t xml:space="preserve">trägers zuständigen Diözesan-Wahlvorstandes bzw. des Lehrer-Wahlvorstandes erstellen die Rechtsträger eine Liste aller Beschäftigten, auf deren Arbeitsverhältnis das ABD Anwendung findet, mit Ausnahme der Beschäftigten gemäß </w:t>
      </w:r>
      <w:hyperlink r:id="rId1995" w:history="1">
        <w:r>
          <w:rPr>
            <w:rStyle w:val="Hyperlink"/>
          </w:rPr>
          <w:t>§ </w:t>
        </w:r>
        <w:r w:rsidRPr="002D1F1D">
          <w:rPr>
            <w:rStyle w:val="Hyperlink"/>
          </w:rPr>
          <w:t>7 Absatz 3 Nummer 4</w:t>
        </w:r>
      </w:hyperlink>
      <w:r>
        <w:t xml:space="preserve">. </w:t>
      </w:r>
      <w:r>
        <w:rPr>
          <w:rStyle w:val="kleinschrift"/>
        </w:rPr>
        <w:t>3</w:t>
      </w:r>
      <w:r>
        <w:t>Unterhalten Rechts</w:t>
      </w:r>
      <w:r>
        <w:softHyphen/>
        <w:t xml:space="preserve">träger Einrichtungen in anderen Diözesen als der Diözese des Hauptsitzes, sind die Beschäftigten in diesen Einrichtungen eigens zu erfassen. </w:t>
      </w:r>
      <w:r>
        <w:rPr>
          <w:rStyle w:val="kleinschrift"/>
        </w:rPr>
        <w:t>4</w:t>
      </w:r>
      <w:r>
        <w:t xml:space="preserve">Diese Listen sind spätestens sechs Monate vor dem Wahltag dem am Sitz des Rechtsträgers bzw. dem am Sitz der jeweiligen Einrichtung zuständigen Diözesan-Wahlvorstand bzw. dem Lehrer-Wahlvorstand auszuhändigen. </w:t>
      </w:r>
      <w:r>
        <w:rPr>
          <w:rStyle w:val="kleinschrift"/>
        </w:rPr>
        <w:t>5</w:t>
      </w:r>
      <w:r>
        <w:t xml:space="preserve">Diese Listen enthalten Name und Geburtsdatum der Beschäftigten sowie Angaben zum Beginn des Arbeitsverhältnisses, zur ausgeübten Tätigkeit, zu Beginn und Ende der Beurlaubung im Sinne des </w:t>
      </w:r>
      <w:hyperlink r:id="rId1996" w:history="1">
        <w:r>
          <w:rPr>
            <w:rStyle w:val="Hyperlink"/>
          </w:rPr>
          <w:t>§ </w:t>
        </w:r>
        <w:r w:rsidRPr="00232255">
          <w:rPr>
            <w:rStyle w:val="Hyperlink"/>
          </w:rPr>
          <w:t>7 Absatz 3</w:t>
        </w:r>
      </w:hyperlink>
      <w:r>
        <w:t xml:space="preserve"> und zum Beginn der Freistellungsphase der Altersteilzeit. </w:t>
      </w:r>
      <w:r>
        <w:rPr>
          <w:rStyle w:val="kleinschrift"/>
        </w:rPr>
        <w:t>6</w:t>
      </w:r>
      <w:r>
        <w:t xml:space="preserve">Die Rechtsträger sind verpflichtet, den jeweils zuständigen Wahlvorständen unverzüglich anzuzeigen, wenn bei Beschäftigten Änderungen in ihrer dienstlichen Stellung im Sinne des </w:t>
      </w:r>
      <w:hyperlink r:id="rId1997" w:history="1">
        <w:r>
          <w:rPr>
            <w:rStyle w:val="Hyperlink"/>
          </w:rPr>
          <w:t>§ </w:t>
        </w:r>
        <w:r w:rsidRPr="002D1F1D">
          <w:rPr>
            <w:rStyle w:val="Hyperlink"/>
          </w:rPr>
          <w:t>7 Absatz 3 Nummer 4</w:t>
        </w:r>
      </w:hyperlink>
      <w:r>
        <w:t xml:space="preserve"> eingetreten sind, die dazu führen könnten, hinsichtlich des Wahlrechts Änderungen hervorzurufen.</w:t>
      </w:r>
    </w:p>
    <w:p w:rsidR="00BE1EFE" w:rsidRPr="000B1AF8" w:rsidRDefault="00BE1EFE">
      <w:pPr>
        <w:pStyle w:val="StandardWeb"/>
      </w:pPr>
    </w:p>
    <w:p w:rsidR="00BE1EFE" w:rsidRDefault="00BE1EFE">
      <w:pPr>
        <w:pStyle w:val="StandardWeb"/>
      </w:pPr>
      <w:r>
        <w:t>(2) </w:t>
      </w:r>
      <w:r>
        <w:rPr>
          <w:rStyle w:val="kleinschrift"/>
        </w:rPr>
        <w:t>1</w:t>
      </w:r>
      <w:r>
        <w:t xml:space="preserve">Die Diözesan-Wahlvorstände und der Lehrer-Wahlvorstand erstellen jeweils aufgrund der Listen gemäß Absatz 1 für ihren Zuständigkeitsbereich ein Wählerverzeichnis. </w:t>
      </w:r>
      <w:r>
        <w:rPr>
          <w:rStyle w:val="kleinschrift"/>
        </w:rPr>
        <w:t>2</w:t>
      </w:r>
      <w:r>
        <w:t>Das Wählerverzeichnis enthält Namen und Vornamen der Beschäftigten.</w:t>
      </w:r>
    </w:p>
    <w:p w:rsidR="00BE1EFE" w:rsidRDefault="00BE1EFE">
      <w:pPr>
        <w:pStyle w:val="StandardWeb"/>
      </w:pPr>
    </w:p>
    <w:p w:rsidR="00BE1EFE" w:rsidRDefault="00BE1EFE">
      <w:pPr>
        <w:pStyle w:val="StandardWeb"/>
      </w:pPr>
      <w:r>
        <w:t>(3) </w:t>
      </w:r>
      <w:r>
        <w:rPr>
          <w:rStyle w:val="kleinschrift"/>
        </w:rPr>
        <w:t>1</w:t>
      </w:r>
      <w:r>
        <w:t xml:space="preserve">Die Wahlvorstände sind dem/der betroffenen Beschäftigten gegenüber zur Erteilung von Auskünften über die Aufnahme bzw. Nichtaufnahme in das Wählerverzeichnis verpflichtet. </w:t>
      </w:r>
      <w:r>
        <w:rPr>
          <w:rStyle w:val="kleinschrift"/>
        </w:rPr>
        <w:t>2</w:t>
      </w:r>
      <w:r>
        <w:t xml:space="preserve">Das Wählerverzeichnis liegt in geeigneter Weise 14 Tage zur Einsichtnahme auf. </w:t>
      </w:r>
      <w:r>
        <w:rPr>
          <w:rStyle w:val="kleinschrift"/>
        </w:rPr>
        <w:t>3</w:t>
      </w:r>
      <w:r>
        <w:t xml:space="preserve">Anfragen und die Erteilung von Auskünften sollen elektronisch oder telefonisch erfolgen. </w:t>
      </w:r>
      <w:r>
        <w:rPr>
          <w:rStyle w:val="kleinschrift"/>
        </w:rPr>
        <w:t>4</w:t>
      </w:r>
      <w:r>
        <w:t>Auf Antrag des/der betroffenen Beschäftigten hat der zuständige Wahlvorstand die Aufnahme bzw. Nichtaufnahme in das Wählerverzeichnis oder die Streichung aus dem Wählerverzeichnis zu überprüfen und erforderlichenfalls eine Berichtigung des Wählerverzeichnisses vorzunehmen.</w:t>
      </w:r>
    </w:p>
    <w:p w:rsidR="00BE1EFE" w:rsidRDefault="00BE1EFE">
      <w:pPr>
        <w:pStyle w:val="StandardWeb"/>
      </w:pPr>
    </w:p>
    <w:p w:rsidR="00BE1EFE" w:rsidRDefault="00BE1EFE">
      <w:pPr>
        <w:pStyle w:val="StandardWeb"/>
      </w:pPr>
      <w:r>
        <w:t>(4) Auf Anfrage des Wahlvorstandes unterstützt das Ordinariat den Wahlvorstand bei der Erstellung der Wählerverzeichnisse.</w:t>
      </w:r>
    </w:p>
    <w:p w:rsidR="00BE1EFE" w:rsidRDefault="00BE1EFE">
      <w:pPr>
        <w:pStyle w:val="StandardWeb"/>
      </w:pPr>
    </w:p>
    <w:p w:rsidR="00BE1EFE" w:rsidRDefault="00BE1EFE">
      <w:pPr>
        <w:pStyle w:val="berschrift6"/>
      </w:pPr>
      <w:bookmarkStart w:id="1387" w:name="_Toc523926897"/>
      <w:r>
        <w:t>§ 13 Erstellung der Wahlunterlagen, Bestimmung des Wahlablaufs</w:t>
      </w:r>
      <w:bookmarkEnd w:id="138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Regional-Wahlvorstand erstellt die für die Wahl zu verwendenden Vorlagen und versendet diese bis spätestens vier Monate vor dem Wahltag an die Wahlvorstände.</w:t>
      </w:r>
    </w:p>
    <w:p w:rsidR="00BE1EFE" w:rsidRPr="000B1AF8" w:rsidRDefault="00BE1EFE">
      <w:pPr>
        <w:pStyle w:val="StandardWeb"/>
      </w:pPr>
    </w:p>
    <w:p w:rsidR="00BE1EFE" w:rsidRDefault="00BE1EFE">
      <w:pPr>
        <w:pStyle w:val="StandardWeb"/>
      </w:pPr>
      <w:r>
        <w:t>(2) Der Regional-Wahlvorstand bestimmt anlässlich des Versandes der Vorlagen gemäß Absatz 1 den Wahlablauf und setzt eine Frist für die Abgabe der Wahlvorschläge der Beschäftigten.</w:t>
      </w:r>
    </w:p>
    <w:p w:rsidR="00BE1EFE" w:rsidRDefault="00BE1EFE">
      <w:pPr>
        <w:pStyle w:val="StandardWeb"/>
      </w:pPr>
    </w:p>
    <w:p w:rsidR="00BE1EFE" w:rsidRDefault="00BE1EFE">
      <w:pPr>
        <w:pStyle w:val="berschrift6"/>
      </w:pPr>
      <w:bookmarkStart w:id="1388" w:name="_Toc523926898"/>
      <w:r>
        <w:t>§ 14 Wahlvorschläge der Beschäftigten</w:t>
      </w:r>
      <w:bookmarkEnd w:id="138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Diözesan-Wahlvorstände bzw. der Lehrer-Wahlvorstand fordern bzw. fordert unverzüg</w:t>
      </w:r>
      <w:r>
        <w:softHyphen/>
        <w:t xml:space="preserve">lich nach Erhalt der Vorlagen gemäß </w:t>
      </w:r>
      <w:hyperlink r:id="rId1998" w:history="1">
        <w:r w:rsidRPr="002D1F1D">
          <w:rPr>
            <w:rStyle w:val="Hyperlink"/>
          </w:rPr>
          <w:t>§ 12 Absatz 1</w:t>
        </w:r>
      </w:hyperlink>
      <w:r>
        <w:t xml:space="preserve"> die Wahlberechtigten auf, innerhalb der vom Regional-Wahlvorstand gemäß </w:t>
      </w:r>
      <w:hyperlink r:id="rId1999" w:history="1">
        <w:r w:rsidRPr="002D1F1D">
          <w:rPr>
            <w:rStyle w:val="Hyperlink"/>
          </w:rPr>
          <w:t>§ 13 Absatz 2</w:t>
        </w:r>
      </w:hyperlink>
      <w:r>
        <w:t xml:space="preserve"> bestimmten Frist, Wahlvorschläge einzureichen.</w:t>
      </w:r>
    </w:p>
    <w:p w:rsidR="00BE1EFE" w:rsidRPr="000B1AF8" w:rsidRDefault="00BE1EFE">
      <w:pPr>
        <w:pStyle w:val="StandardWeb"/>
      </w:pPr>
    </w:p>
    <w:p w:rsidR="00BE1EFE" w:rsidRDefault="00BE1EFE">
      <w:pPr>
        <w:pStyle w:val="StandardWeb"/>
      </w:pPr>
      <w:r>
        <w:lastRenderedPageBreak/>
        <w:t>(2) Der Wahlvorschlag muss den Namen des/der Vorgeschlagenen, die von ihm/ihr ausgeübte Tätigkeit und die Einrichtung, in der der/die Vorgeschlagene tätig ist, enthalten.</w:t>
      </w:r>
    </w:p>
    <w:p w:rsidR="00BE1EFE" w:rsidRDefault="00BE1EFE">
      <w:pPr>
        <w:pStyle w:val="StandardWeb"/>
      </w:pPr>
    </w:p>
    <w:p w:rsidR="00BE1EFE" w:rsidRDefault="00BE1EFE">
      <w:pPr>
        <w:pStyle w:val="StandardWeb"/>
      </w:pPr>
      <w:r>
        <w:t>(3) </w:t>
      </w:r>
      <w:r>
        <w:rPr>
          <w:rStyle w:val="kleinschrift"/>
        </w:rPr>
        <w:t>1</w:t>
      </w:r>
      <w:r>
        <w:t>Wahlvorschläge müssen von mindestens zehn Wahlvorschlagsberechtigten schriftlich innerhalb der von den Wahlvorständen festgelegten Frist vorgelegt werden.</w:t>
      </w:r>
      <w:r>
        <w:rPr>
          <w:rStyle w:val="kleinschrift"/>
        </w:rPr>
        <w:t xml:space="preserve"> 2</w:t>
      </w:r>
      <w:r>
        <w:t xml:space="preserve">Sie müssen persönlich und handschriftlich unterzeichnet sein. </w:t>
      </w:r>
      <w:r>
        <w:rPr>
          <w:rStyle w:val="kleinschrift"/>
        </w:rPr>
        <w:t>3</w:t>
      </w:r>
      <w:r>
        <w:t>Auch der/die Vorgeschlagene ist wahlvorschlagsberechtigt.</w:t>
      </w:r>
    </w:p>
    <w:p w:rsidR="00BE1EFE" w:rsidRDefault="00BE1EFE">
      <w:pPr>
        <w:pStyle w:val="berschrift6"/>
      </w:pPr>
      <w:bookmarkStart w:id="1389" w:name="_Toc523926899"/>
      <w:r>
        <w:t>§ 15 Prüfung der Wahlvorschläge und vorläufige Kandidatenliste</w:t>
      </w:r>
      <w:bookmarkEnd w:id="138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Diözesan-Wahlvorstände bzw. der Lehrer-Wahlvorstand prüfen die Wahlvorschläge unverzüglich nach ihrem Eingang. </w:t>
      </w:r>
      <w:r>
        <w:rPr>
          <w:rStyle w:val="kleinschrift"/>
        </w:rPr>
        <w:t>2</w:t>
      </w:r>
      <w:r>
        <w:t xml:space="preserve">Stellen sie Mängel fest, so benachrichtigen sie sofort denjenigen/diejenige, der/die den mangelhaften Wahlvorschlag eingereicht hat und fordern ihn/sie auf, die Mängel zu beseitigen. </w:t>
      </w:r>
      <w:r>
        <w:rPr>
          <w:rStyle w:val="kleinschrift"/>
        </w:rPr>
        <w:t>3</w:t>
      </w:r>
      <w:r>
        <w:t>Der jeweilige Wahlvorstand hat auf die Rechtsfolge der Ungültigkeit des Wahlvorschlages gemäß Absatz 2 hinzuweisen.</w:t>
      </w:r>
    </w:p>
    <w:p w:rsidR="00BE1EFE" w:rsidRPr="000B1AF8" w:rsidRDefault="00BE1EFE">
      <w:pPr>
        <w:pStyle w:val="StandardWeb"/>
      </w:pPr>
    </w:p>
    <w:p w:rsidR="00BE1EFE" w:rsidRDefault="00BE1EFE">
      <w:pPr>
        <w:pStyle w:val="StandardWeb"/>
      </w:pPr>
      <w:r>
        <w:t xml:space="preserve">(2) Wahlvorschläge, die nach Ablauf der in § </w:t>
      </w:r>
      <w:hyperlink r:id="rId2000" w:history="1">
        <w:r w:rsidRPr="002D1F1D">
          <w:rPr>
            <w:rStyle w:val="Hyperlink"/>
          </w:rPr>
          <w:t>13 Absatz 2</w:t>
        </w:r>
      </w:hyperlink>
      <w:r w:rsidRPr="002D1F1D">
        <w:t xml:space="preserve"> </w:t>
      </w:r>
      <w:r>
        <w:t>bestimmten Frist beim zuständigen Wahlvorstand eingehen oder deren Mängel innerhalb dieser Frist nicht beseitigt werden, sind ungültig.</w:t>
      </w:r>
    </w:p>
    <w:p w:rsidR="00BE1EFE" w:rsidRDefault="00BE1EFE">
      <w:pPr>
        <w:pStyle w:val="StandardWeb"/>
      </w:pPr>
    </w:p>
    <w:p w:rsidR="00BE1EFE" w:rsidRDefault="00BE1EFE">
      <w:pPr>
        <w:pStyle w:val="StandardWeb"/>
      </w:pPr>
      <w:r>
        <w:t>(3) Aus den gültigen Wahlvorschlägen erstellen die Diözesan-Wahlvorstände und der Lehrer-Wahlvorstand jeweils für ihren Zuständigkeitsbereich eine vorläufige Kandidatenliste.</w:t>
      </w:r>
    </w:p>
    <w:p w:rsidR="00BE1EFE" w:rsidRDefault="00BE1EFE">
      <w:pPr>
        <w:pStyle w:val="StandardWeb"/>
      </w:pPr>
    </w:p>
    <w:p w:rsidR="00BE1EFE" w:rsidRDefault="00BE1EFE">
      <w:pPr>
        <w:pStyle w:val="berschrift6"/>
      </w:pPr>
      <w:bookmarkStart w:id="1390" w:name="_Toc523926900"/>
      <w:r>
        <w:t>§ 16 Endgültige Kandidatenliste</w:t>
      </w:r>
      <w:bookmarkEnd w:id="139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Diözesan-Wahlvorstände bzw. der Lehrer-Wahlvorstand fordern nach Erstellung der vorläufigen Kandidatenliste unverzüglich die vorgeschlagenen Kandidaten/Kandidatinnen auf, innerhalb einer Ausschlussfrist von zehn Tagen (Datum des Poststempels) schriftlich zu erklären, ob sie der Kandidatur zustimmen. </w:t>
      </w:r>
      <w:r>
        <w:rPr>
          <w:rStyle w:val="kleinschrift"/>
        </w:rPr>
        <w:t>2</w:t>
      </w:r>
      <w:r>
        <w:t>In die endgültige Kandidatenliste kann nur aufgenommen werden, wer fristgemäß schriftlich seine Zustimmung zur Kandidatur erteilt hat; die Zustimmung ist unwiderruflich.</w:t>
      </w:r>
    </w:p>
    <w:p w:rsidR="00BE1EFE" w:rsidRPr="000B1AF8" w:rsidRDefault="00BE1EFE">
      <w:pPr>
        <w:pStyle w:val="StandardWeb"/>
      </w:pPr>
    </w:p>
    <w:p w:rsidR="00BE1EFE" w:rsidRDefault="00BE1EFE">
      <w:pPr>
        <w:pStyle w:val="StandardWeb"/>
      </w:pPr>
      <w:r>
        <w:t>(2) Nach Ablauf der Frist gemäß Absatz 1 erstellen die Diözesan-Wahlvorstände und der Lehrer-Wahlvorstand jeweils für ihren Zuständigkeitsbereich die endgültige Kandidatenliste.</w:t>
      </w:r>
    </w:p>
    <w:p w:rsidR="00BE1EFE" w:rsidRDefault="00BE1EFE">
      <w:pPr>
        <w:pStyle w:val="StandardWeb"/>
      </w:pPr>
    </w:p>
    <w:p w:rsidR="005F4B1C" w:rsidRDefault="00BE1EFE">
      <w:pPr>
        <w:pStyle w:val="StandardWeb"/>
      </w:pPr>
      <w:r>
        <w:t>(3) </w:t>
      </w:r>
      <w:r>
        <w:rPr>
          <w:rStyle w:val="kleinschrift"/>
        </w:rPr>
        <w:t>1</w:t>
      </w:r>
      <w:r>
        <w:t xml:space="preserve">In der endgültigen Kandidatenliste sind die Kandidaten/Kandidatinnen in alphabetischer Reihenfolge nach ihrem Nachnamen aufzuführen. </w:t>
      </w:r>
      <w:r>
        <w:rPr>
          <w:rStyle w:val="kleinschrift"/>
        </w:rPr>
        <w:t>2</w:t>
      </w:r>
      <w:r>
        <w:t xml:space="preserve">Darüber hinaus ist der Wahlbereich, für den sie kandidieren, die ausgeübte Tätigkeit, die Einrichtung in der der Kandidat/die Kandidatin tätig ist bzw. bei Lehrkräften die Schule, die Schulart und der Träger der Schule sowie die Diözese, in der die Schule ihren Sitz hat, anzugeben. </w:t>
      </w:r>
      <w:r>
        <w:rPr>
          <w:rStyle w:val="kleinschrift"/>
        </w:rPr>
        <w:t>3</w:t>
      </w:r>
      <w:r>
        <w:t xml:space="preserve">Eine bestehende Mitgliedschaft in der Kommission für das Arbeitsvertragsrecht der bayerischen Diözesen ist als Zusatz zum Namen in der Namenszeile anzugeben. </w:t>
      </w:r>
      <w:r>
        <w:rPr>
          <w:rStyle w:val="kleinschrift"/>
        </w:rPr>
        <w:t>4</w:t>
      </w:r>
      <w:r>
        <w:t>Weitere Zusätze sind unzulässig.</w:t>
      </w:r>
    </w:p>
    <w:p w:rsidR="00BE1EFE" w:rsidRPr="005F4B1C" w:rsidRDefault="005F4B1C">
      <w:pPr>
        <w:pStyle w:val="StandardWeb"/>
        <w:rPr>
          <w:sz w:val="2"/>
          <w:szCs w:val="2"/>
        </w:rPr>
      </w:pPr>
      <w:r>
        <w:br w:type="page"/>
      </w:r>
    </w:p>
    <w:p w:rsidR="00BE1EFE" w:rsidRDefault="00BE1EFE">
      <w:pPr>
        <w:pStyle w:val="berschrift5"/>
      </w:pPr>
      <w:bookmarkStart w:id="1391" w:name="_Toc523926901"/>
      <w:r>
        <w:lastRenderedPageBreak/>
        <w:t>Fünfter Abschnitt – Wahlhandlung</w:t>
      </w:r>
      <w:bookmarkEnd w:id="1391"/>
    </w:p>
    <w:p w:rsidR="00BE1EFE" w:rsidRDefault="00BE1EFE">
      <w:pPr>
        <w:pStyle w:val="berschrift6"/>
      </w:pPr>
      <w:bookmarkStart w:id="1392" w:name="_Toc523926902"/>
      <w:r>
        <w:t>§ 17 Stimmen</w:t>
      </w:r>
      <w:bookmarkEnd w:id="139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Jeder/jede Wahlberechtigte aus dem Wahlbereich 1 hat zwei Stimmen.</w:t>
      </w:r>
    </w:p>
    <w:p w:rsidR="00BE1EFE" w:rsidRPr="000B1AF8" w:rsidRDefault="00BE1EFE">
      <w:pPr>
        <w:pStyle w:val="StandardWeb"/>
      </w:pPr>
    </w:p>
    <w:p w:rsidR="00BE1EFE" w:rsidRDefault="00BE1EFE">
      <w:pPr>
        <w:pStyle w:val="StandardWeb"/>
      </w:pPr>
      <w:r>
        <w:t xml:space="preserve">(2) In den anderen Wahlbereichen hat jeder/jede Wahlberechtigte so viele Stimmen, wie Dienstnehmervertreter/Dienstnehmervertreterinnen gemäß </w:t>
      </w:r>
      <w:hyperlink r:id="rId2001" w:history="1">
        <w:r w:rsidRPr="002D4236">
          <w:rPr>
            <w:rStyle w:val="Hyperlink"/>
          </w:rPr>
          <w:t>§ 4 BayRKO</w:t>
        </w:r>
      </w:hyperlink>
      <w:r>
        <w:t xml:space="preserve"> zu wählen sind.</w:t>
      </w:r>
    </w:p>
    <w:p w:rsidR="00BE1EFE" w:rsidRDefault="00BE1EFE">
      <w:pPr>
        <w:pStyle w:val="StandardWeb"/>
      </w:pPr>
    </w:p>
    <w:p w:rsidR="00BE1EFE" w:rsidRDefault="00BE1EFE">
      <w:pPr>
        <w:pStyle w:val="StandardWeb"/>
      </w:pPr>
      <w:r>
        <w:t>(3) Je Kandidat/Kandidatin darf nur eine Stimme vergeben werden.</w:t>
      </w:r>
    </w:p>
    <w:p w:rsidR="00BE1EFE" w:rsidRDefault="00BE1EFE">
      <w:pPr>
        <w:pStyle w:val="berschrift6"/>
      </w:pPr>
      <w:bookmarkStart w:id="1393" w:name="_Toc523926903"/>
      <w:r>
        <w:t>§ 18 Wahlunterlagen</w:t>
      </w:r>
      <w:bookmarkEnd w:id="1393"/>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Diözesan-Wahlvorstände bzw. der Lehrer-Wahlvorstand versenden bzw. versendet die Wahlunterlagen an die Wahlberechtigten. </w:t>
      </w:r>
      <w:r>
        <w:rPr>
          <w:rStyle w:val="kleinschrift"/>
        </w:rPr>
        <w:t>2</w:t>
      </w:r>
      <w:r>
        <w:t xml:space="preserve">Die Wahlunterlagen bestehen aus dem Stimmzettel, einem kleineren Umschlag mit der Aufschrift „Wahl zur Kommission für das Arbeitsvertragsrecht der bayerischen Diözesen – Stimmzettelumschlag“ und einem größeren Umschlag mit der Aufschrift „Wahl zur Kommission für das Arbeitsvertragsrecht der bayerischen Diözesen – Wahlbriefumschlag“. </w:t>
      </w:r>
      <w:r>
        <w:rPr>
          <w:rStyle w:val="kleinschrift"/>
        </w:rPr>
        <w:t>3</w:t>
      </w:r>
      <w:r>
        <w:t>Auf dem Wahlbriefumschlag ist die Anschrift des zuständigen Wahlvorstandes aufzudrucken.</w:t>
      </w:r>
    </w:p>
    <w:p w:rsidR="00BE1EFE" w:rsidRDefault="00BE1EFE">
      <w:pPr>
        <w:pStyle w:val="berschrift6"/>
      </w:pPr>
      <w:bookmarkStart w:id="1394" w:name="_Toc523926904"/>
      <w:r>
        <w:t>§ 19 Durchführung der Wahl</w:t>
      </w:r>
      <w:bookmarkEnd w:id="1394"/>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Der Stimmzettel ist in den Stimmzettelumschlag zu legen; der Stimmzettelumschlag ist zu verschließen. </w:t>
      </w:r>
      <w:r>
        <w:rPr>
          <w:rStyle w:val="kleinschrift"/>
        </w:rPr>
        <w:t>2</w:t>
      </w:r>
      <w:r>
        <w:t>Anschließend ist der verschlossene Stimmzettelumschlag in den Wahlbriefum</w:t>
      </w:r>
      <w:r>
        <w:softHyphen/>
        <w:t xml:space="preserve">schlag zu legen; auch der Wahlbriefumschlag ist zu verschließen. </w:t>
      </w:r>
      <w:r>
        <w:rPr>
          <w:rStyle w:val="kleinschrift"/>
        </w:rPr>
        <w:t>3</w:t>
      </w:r>
      <w:r>
        <w:t>Auf dem Wahlbrief</w:t>
      </w:r>
      <w:r>
        <w:softHyphen/>
        <w:t xml:space="preserve">umschlag sind Name und Adresse des/der Wahlberechtigten zu vermerken. </w:t>
      </w:r>
      <w:r>
        <w:rPr>
          <w:rStyle w:val="kleinschrift"/>
        </w:rPr>
        <w:t>4</w:t>
      </w:r>
      <w:r>
        <w:t>Der Wahlbrief ist so rechtzeitig zu übersenden, dass er am Wahltag spätestens um 12:00 Uhr bei dem zuständigen Wahlvorstand eingegangen ist.</w:t>
      </w:r>
    </w:p>
    <w:p w:rsidR="00BE1EFE" w:rsidRDefault="00BE1EFE">
      <w:pPr>
        <w:pStyle w:val="berschrift5"/>
      </w:pPr>
      <w:bookmarkStart w:id="1395" w:name="_Toc523926905"/>
      <w:r>
        <w:t>Sechster Abschnitt – Feststellung des Wahlergebnisses</w:t>
      </w:r>
      <w:bookmarkEnd w:id="1395"/>
    </w:p>
    <w:p w:rsidR="00BE1EFE" w:rsidRDefault="00BE1EFE">
      <w:pPr>
        <w:pStyle w:val="berschrift6"/>
      </w:pPr>
      <w:bookmarkStart w:id="1396" w:name="_Toc523926906"/>
      <w:r>
        <w:t>§ 20 Auszählung der Stimmen</w:t>
      </w:r>
      <w:bookmarkEnd w:id="139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Auszählung der Stimmen erfolgt am Wahltag unmittelbar nach der in</w:t>
      </w:r>
      <w:hyperlink r:id="rId2002" w:history="1">
        <w:r w:rsidRPr="002D1F1D">
          <w:rPr>
            <w:rStyle w:val="Hyperlink"/>
          </w:rPr>
          <w:t xml:space="preserve"> § 19</w:t>
        </w:r>
      </w:hyperlink>
      <w:r>
        <w:t xml:space="preserve"> genannten Frist. </w:t>
      </w:r>
      <w:r>
        <w:rPr>
          <w:rStyle w:val="kleinschrift"/>
        </w:rPr>
        <w:t>2</w:t>
      </w:r>
      <w:r>
        <w:t xml:space="preserve">Die Feststellung des Wahlergebnisses erfolgt spätestens am Tag nach der Wahl. </w:t>
      </w:r>
      <w:r>
        <w:rPr>
          <w:rStyle w:val="kleinschrift"/>
        </w:rPr>
        <w:t>3</w:t>
      </w:r>
      <w:r>
        <w:t>Die Auszählung der Stimmen und die Feststellung des Wahlergebnisses erfolgen öffentlich.</w:t>
      </w:r>
    </w:p>
    <w:p w:rsidR="00BE1EFE" w:rsidRPr="000B1AF8" w:rsidRDefault="00BE1EFE">
      <w:pPr>
        <w:pStyle w:val="StandardWeb"/>
      </w:pPr>
    </w:p>
    <w:p w:rsidR="00BE1EFE" w:rsidRDefault="00BE1EFE">
      <w:pPr>
        <w:pStyle w:val="StandardWeb"/>
      </w:pPr>
      <w:r>
        <w:t>(2) </w:t>
      </w:r>
      <w:r>
        <w:rPr>
          <w:rStyle w:val="kleinschrift"/>
        </w:rPr>
        <w:t>1</w:t>
      </w:r>
      <w:r>
        <w:t xml:space="preserve">Die Wahlvorstände können Wahlhelfer/Wahlhelferinnen beiziehen. </w:t>
      </w:r>
      <w:r>
        <w:rPr>
          <w:rStyle w:val="kleinschrift"/>
        </w:rPr>
        <w:t>2</w:t>
      </w:r>
      <w:r>
        <w:t>Die Wahlhelfer/Wahl</w:t>
      </w:r>
      <w:r>
        <w:softHyphen/>
        <w:t xml:space="preserve">helferinnen unterliegen den Pflichten gemäß </w:t>
      </w:r>
      <w:hyperlink r:id="rId2003" w:history="1">
        <w:r w:rsidRPr="002D1F1D">
          <w:rPr>
            <w:rStyle w:val="Hyperlink"/>
          </w:rPr>
          <w:t>§ 6 Absatz 2</w:t>
        </w:r>
      </w:hyperlink>
      <w:r>
        <w:t>.</w:t>
      </w:r>
    </w:p>
    <w:p w:rsidR="00BE1EFE" w:rsidRDefault="00BE1EFE">
      <w:pPr>
        <w:pStyle w:val="berschrift6"/>
      </w:pPr>
      <w:bookmarkStart w:id="1397" w:name="_Toc523926907"/>
      <w:r>
        <w:t>§ 21 Ungültige Stimmen, Zurückweisung von Wahlbriefen</w:t>
      </w:r>
      <w:bookmarkEnd w:id="1397"/>
    </w:p>
    <w:p w:rsidR="00BE1EFE" w:rsidRPr="00B76821" w:rsidRDefault="00BE1EFE" w:rsidP="00B76821">
      <w:pPr>
        <w:pStyle w:val="h7"/>
        <w:keepNext w:val="0"/>
        <w:spacing w:before="0" w:after="0"/>
        <w:jc w:val="left"/>
        <w:outlineLvl w:val="5"/>
        <w:rPr>
          <w:sz w:val="2"/>
        </w:rPr>
      </w:pPr>
    </w:p>
    <w:p w:rsidR="00BE1EFE" w:rsidRDefault="00BE1EFE">
      <w:pPr>
        <w:pStyle w:val="StandardWeb"/>
      </w:pPr>
      <w:r>
        <w:t>(1) Ungültig sind Stimmen, wenn der Stimmzettel</w:t>
      </w:r>
    </w:p>
    <w:p w:rsidR="00BE1EFE" w:rsidRDefault="00BE1EFE">
      <w:pPr>
        <w:pStyle w:val="StandardWeb"/>
      </w:pPr>
      <w:r>
        <w:t>1. nicht der vom auszählenden Wahlvorstand ausgegebene Stimmzettel ist,</w:t>
      </w:r>
    </w:p>
    <w:p w:rsidR="00BE1EFE" w:rsidRDefault="00BE1EFE">
      <w:pPr>
        <w:pStyle w:val="StandardWeb"/>
      </w:pPr>
      <w:r>
        <w:t>2. keine Kennzeichnung enthält,</w:t>
      </w:r>
    </w:p>
    <w:p w:rsidR="00BE1EFE" w:rsidRDefault="00BE1EFE">
      <w:pPr>
        <w:pStyle w:val="StandardWeb"/>
      </w:pPr>
      <w:r>
        <w:t>3. den Willen des Wählers/der Wählerin nicht zweifelsfrei erkennen lässt,</w:t>
      </w:r>
    </w:p>
    <w:p w:rsidR="00BE1EFE" w:rsidRDefault="00BE1EFE">
      <w:pPr>
        <w:pStyle w:val="StandardWeb"/>
      </w:pPr>
      <w:r>
        <w:lastRenderedPageBreak/>
        <w:t>4. einen Zusatz oder Vorbehalt enthält.</w:t>
      </w:r>
    </w:p>
    <w:p w:rsidR="00BE1EFE" w:rsidRDefault="00BE1EFE">
      <w:pPr>
        <w:pStyle w:val="StandardWeb"/>
      </w:pPr>
    </w:p>
    <w:p w:rsidR="00BE1EFE" w:rsidRDefault="00BE1EFE">
      <w:pPr>
        <w:pStyle w:val="StandardWeb"/>
      </w:pPr>
      <w:r>
        <w:t>(2) </w:t>
      </w:r>
      <w:r>
        <w:rPr>
          <w:rStyle w:val="kleinschrift"/>
        </w:rPr>
        <w:t>1</w:t>
      </w:r>
      <w:r>
        <w:t>Wahlbriefe sind zurückzuweisen, wenn</w:t>
      </w:r>
    </w:p>
    <w:p w:rsidR="00BE1EFE" w:rsidRDefault="00BE1EFE">
      <w:pPr>
        <w:pStyle w:val="StandardWeb"/>
      </w:pPr>
      <w:r>
        <w:t>1. der Wahlbrief nicht rechtzeitig eingegangen ist,</w:t>
      </w:r>
    </w:p>
    <w:p w:rsidR="00BE1EFE" w:rsidRDefault="00BE1EFE">
      <w:pPr>
        <w:pStyle w:val="StandardWeb"/>
      </w:pPr>
      <w:r>
        <w:t>2. dem Wahlbriefumschlag kein Stimmzettelumschlag beigefügt ist,</w:t>
      </w:r>
    </w:p>
    <w:p w:rsidR="00BE1EFE" w:rsidRDefault="00BE1EFE">
      <w:pPr>
        <w:pStyle w:val="StandardWeb"/>
      </w:pPr>
      <w:r>
        <w:t>3. weder der Wahlbriefumschlag noch der Stimmzettelumschlag verschlossen ist,</w:t>
      </w:r>
    </w:p>
    <w:p w:rsidR="00BE1EFE" w:rsidRDefault="00BE1EFE">
      <w:pPr>
        <w:pStyle w:val="StandardWeb"/>
      </w:pPr>
      <w:r>
        <w:t>4. der Wahlbriefumschlag mehrere Stimmzettelumschläge enthält,</w:t>
      </w:r>
    </w:p>
    <w:p w:rsidR="00BE1EFE" w:rsidRDefault="00BE1EFE">
      <w:pPr>
        <w:pStyle w:val="StandardWeb"/>
      </w:pPr>
      <w:r>
        <w:t>5. nicht der vom auszählenden Wahlvorstand ausgegebene Stimmzettelumschlag benutzt worden ist,</w:t>
      </w:r>
    </w:p>
    <w:p w:rsidR="00BE1EFE" w:rsidRDefault="00BE1EFE">
      <w:pPr>
        <w:pStyle w:val="StandardWeb"/>
      </w:pPr>
      <w:r>
        <w:t>6. ein Stimmzettelumschlag benutzt worden ist, der offensichtlich in einer das Wahlgeheimnis gefährdenden Weise von den übrigen abweicht oder einen deutlich fühlbaren Gegenstand enthält.</w:t>
      </w:r>
    </w:p>
    <w:p w:rsidR="00BE1EFE" w:rsidRDefault="00BE1EFE">
      <w:pPr>
        <w:pStyle w:val="StandardWeb"/>
      </w:pPr>
      <w:r>
        <w:rPr>
          <w:rStyle w:val="kleinschrift"/>
        </w:rPr>
        <w:t>2</w:t>
      </w:r>
      <w:r>
        <w:t>Die Einsender zurückgewiesener Wahlbriefe werden nicht als Wähler/Wählerinnen gezählt; ihre Stimmen gelten als nicht abgegeben.</w:t>
      </w:r>
    </w:p>
    <w:p w:rsidR="00BE1EFE" w:rsidRDefault="00BE1EFE">
      <w:pPr>
        <w:pStyle w:val="StandardWeb"/>
      </w:pPr>
    </w:p>
    <w:p w:rsidR="00BE1EFE" w:rsidRDefault="00BE1EFE">
      <w:pPr>
        <w:pStyle w:val="StandardWeb"/>
      </w:pPr>
      <w:r>
        <w:t xml:space="preserve">(3) Die Stimmen eines Wählers/einer Wählerin, der/die an der Wahl teilgenommen hat, werden nicht dadurch ungültig, dass er/sie vor dem oder am Wahltag ausscheidet oder sein/ihr Wahlrecht nach </w:t>
      </w:r>
      <w:hyperlink r:id="rId2004" w:history="1">
        <w:r w:rsidRPr="002D1F1D">
          <w:rPr>
            <w:rStyle w:val="Hyperlink"/>
          </w:rPr>
          <w:t>§ 7 Absatz 3 Nummer 4</w:t>
        </w:r>
      </w:hyperlink>
      <w:r>
        <w:t xml:space="preserve"> verliert.</w:t>
      </w:r>
    </w:p>
    <w:p w:rsidR="00BE1EFE" w:rsidRDefault="00BE1EFE">
      <w:pPr>
        <w:pStyle w:val="berschrift6"/>
      </w:pPr>
      <w:bookmarkStart w:id="1398" w:name="_Toc523926908"/>
      <w:r>
        <w:t>§ 22 Entscheidung des Wahlvorstandes</w:t>
      </w:r>
      <w:bookmarkEnd w:id="139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Wahlvorstand entscheidet über die Gültigkeit der abgegebenen Stimmen, die Zurückweisung von Wahlbriefen, über alle sich im Zusammenhang mit der Wahlhandlung oder der Feststellung des Wahlergebnisses ergebenden Fragen.</w:t>
      </w:r>
    </w:p>
    <w:p w:rsidR="00BE1EFE" w:rsidRDefault="00BE1EFE">
      <w:pPr>
        <w:pStyle w:val="berschrift6"/>
      </w:pPr>
      <w:bookmarkStart w:id="1399" w:name="_Toc523926909"/>
      <w:r>
        <w:t>§ 23 Feststellung des Wahlergebnisses</w:t>
      </w:r>
      <w:bookmarkEnd w:id="139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Feststellung der gewählten Kandidaten/Kandidatinnen erfolgt nach den Wahlbe</w:t>
      </w:r>
      <w:r>
        <w:softHyphen/>
        <w:t xml:space="preserve">reichen, für die sie kandidiert haben. </w:t>
      </w:r>
      <w:r>
        <w:rPr>
          <w:rStyle w:val="kleinschrift"/>
        </w:rPr>
        <w:t>2</w:t>
      </w:r>
      <w:r>
        <w:t>Gewählt ist im Rahmen der für jede Diözese festgeleg</w:t>
      </w:r>
      <w:r>
        <w:softHyphen/>
        <w:t xml:space="preserve">ten Anzahl von Dienstnehmervertretern/Dienstnehmervertreterinnen der Beschäftigten, wer in seinem Wahlbereich die meisten Stimmen erhalten hat. </w:t>
      </w:r>
      <w:r>
        <w:rPr>
          <w:rStyle w:val="kleinschrift"/>
        </w:rPr>
        <w:t>3</w:t>
      </w:r>
      <w:r>
        <w:t>Als Dienstnehmervertreter/Dienst</w:t>
      </w:r>
      <w:r>
        <w:softHyphen/>
        <w:t>nehmervertreterin der Lehrkräfte sind die beiden Kandidaten/ Kandidatinnen gewählt, die die meisten Stimmen erhalten haben.</w:t>
      </w:r>
    </w:p>
    <w:p w:rsidR="00BE1EFE" w:rsidRPr="000B1AF8" w:rsidRDefault="00BE1EFE">
      <w:pPr>
        <w:pStyle w:val="StandardWeb"/>
      </w:pPr>
    </w:p>
    <w:p w:rsidR="00BE1EFE" w:rsidRDefault="00BE1EFE">
      <w:pPr>
        <w:pStyle w:val="StandardWeb"/>
      </w:pPr>
      <w:r>
        <w:t>(2) Sind im Zuständigkeitsbereich eines Diözesan-Wahlvorstandes nicht für alle vorgesehenen Wahlbereiche Kandidaten/Kandidatinnen auf dem Stimmzettel genannt, dann sind gewählt</w:t>
      </w:r>
    </w:p>
    <w:p w:rsidR="00BE1EFE" w:rsidRDefault="00BE1EFE">
      <w:pPr>
        <w:pStyle w:val="StandardWeb"/>
      </w:pPr>
      <w:r>
        <w:t>1. die gemäß Absatz 1 gewählten Kandidaten/Kandidatinnen der Wahlbereiche und</w:t>
      </w:r>
    </w:p>
    <w:p w:rsidR="00BE1EFE" w:rsidRDefault="00BE1EFE">
      <w:pPr>
        <w:pStyle w:val="StandardWeb"/>
      </w:pPr>
      <w:r>
        <w:t>2. unabhängig von der Zugehörigkeit zu einem Wahlbereich die Kandidaten/Kandidatinnen, die nach den gemäß Absatz 1 gewählten Kandidaten/Kandidatinnen die meisten Stimmen erhalten haben, bis die für die jeweilige Diözese festgelegte Anzahl von Dienstnehmervertre</w:t>
      </w:r>
      <w:r>
        <w:softHyphen/>
        <w:t>tern/Dienstnehmervertreterinnen der Beschäftigten erreicht ist.</w:t>
      </w:r>
    </w:p>
    <w:p w:rsidR="00BE1EFE" w:rsidRDefault="00BE1EFE">
      <w:pPr>
        <w:pStyle w:val="StandardWeb"/>
      </w:pPr>
    </w:p>
    <w:p w:rsidR="00BE1EFE" w:rsidRDefault="00BE1EFE">
      <w:pPr>
        <w:pStyle w:val="StandardWeb"/>
      </w:pPr>
      <w:r>
        <w:t>(3) </w:t>
      </w:r>
      <w:r>
        <w:rPr>
          <w:rStyle w:val="kleinschrift"/>
        </w:rPr>
        <w:t>1</w:t>
      </w:r>
      <w:r>
        <w:t>Sind im Zuständigkeitsbereich eines Diözesan-Wahlausschusses weniger Kandidaten/ Kandidatinnen auf dem Stimmzettel genannt, als für die jeweilige Diözese Dienstnehmer</w:t>
      </w:r>
      <w:r>
        <w:softHyphen/>
        <w:t>vertreter/Dienstnehmervertreterinnen der Beschäftigten festgelegt sind, dann sind gewählt</w:t>
      </w:r>
    </w:p>
    <w:p w:rsidR="00BE1EFE" w:rsidRDefault="00BE1EFE">
      <w:pPr>
        <w:pStyle w:val="StandardWeb"/>
      </w:pPr>
      <w:r>
        <w:t>1. alle Kandidaten/Kandidatinnen auf dem Stimmzettel und</w:t>
      </w:r>
    </w:p>
    <w:p w:rsidR="00BE1EFE" w:rsidRDefault="00BE1EFE">
      <w:pPr>
        <w:pStyle w:val="StandardWeb"/>
      </w:pPr>
      <w:r>
        <w:t>2. die Kandidaten/Kandidatinnen, die nach den gemäß Absatz 1 und 2 gewählten Kandida</w:t>
      </w:r>
      <w:r>
        <w:softHyphen/>
        <w:t>ten/Kandidatinnen aus allen Diözesen die meisten Stimmen erhalten haben, bis die für die jeweilige Diözese festgelegte Anzahl von Dienstnehmervertreter/Dienstnehmervertreterinnen der Beschäftigten erreicht ist.</w:t>
      </w:r>
    </w:p>
    <w:p w:rsidR="00BE1EFE" w:rsidRDefault="00BE1EFE">
      <w:pPr>
        <w:pStyle w:val="StandardWeb"/>
      </w:pPr>
      <w:r>
        <w:rPr>
          <w:rStyle w:val="kleinschrift"/>
        </w:rPr>
        <w:lastRenderedPageBreak/>
        <w:t>2</w:t>
      </w:r>
      <w:r>
        <w:t>Die nach Satz 1 Nummer 2 vergebenen Sitze verbleiben für die Dauer der Amtszeit bei der Diözese, aus welcher der/die nach dieser Vorschrift gewählte Dienstnehmervertreter/Dienst</w:t>
      </w:r>
      <w:r>
        <w:softHyphen/>
        <w:t>nehmervertreterinnen der Beschäftigten kommt.</w:t>
      </w:r>
    </w:p>
    <w:p w:rsidR="00BE1EFE" w:rsidRDefault="00BE1EFE">
      <w:pPr>
        <w:pStyle w:val="StandardWeb"/>
      </w:pPr>
    </w:p>
    <w:p w:rsidR="00BE1EFE" w:rsidRDefault="00BE1EFE">
      <w:pPr>
        <w:pStyle w:val="StandardWeb"/>
      </w:pPr>
      <w:r>
        <w:t>(4) Bei Stimmengleichheit entscheidet das Los.</w:t>
      </w:r>
    </w:p>
    <w:p w:rsidR="00BE1EFE" w:rsidRDefault="00BE1EFE" w:rsidP="00743962">
      <w:pPr>
        <w:pStyle w:val="berschrift6"/>
      </w:pPr>
      <w:bookmarkStart w:id="1400" w:name="_Toc523926910"/>
      <w:r>
        <w:t>§ 24 Vorläufiges Wahlergebnis</w:t>
      </w:r>
      <w:bookmarkEnd w:id="1400"/>
    </w:p>
    <w:p w:rsidR="00BE1EFE" w:rsidRPr="00B76821" w:rsidRDefault="00BE1EFE" w:rsidP="00743962">
      <w:pPr>
        <w:pStyle w:val="h7"/>
        <w:keepNext w:val="0"/>
        <w:spacing w:before="0" w:after="0"/>
        <w:jc w:val="left"/>
        <w:outlineLvl w:val="5"/>
        <w:rPr>
          <w:sz w:val="2"/>
        </w:rPr>
      </w:pPr>
    </w:p>
    <w:p w:rsidR="00BE1EFE" w:rsidRPr="000B1AF8" w:rsidRDefault="00BE1EFE" w:rsidP="00743962">
      <w:pPr>
        <w:pStyle w:val="StandardWeb"/>
      </w:pPr>
      <w:r>
        <w:t>(1) Die Vorsitzenden der Diözesan-Wahlvorstände und der/die Vorsitzende des Lehrer-Wahl</w:t>
      </w:r>
      <w:r>
        <w:softHyphen/>
        <w:t>vorstandes melden das jeweils festgestellte Wahlergebnis unverzüglich dem/der Vorsitzenden des Regional-Wahlvorstandes und setzen die gewählten Dienstnehmervertreter/Dienst</w:t>
      </w:r>
      <w:r>
        <w:softHyphen/>
        <w:t>nehmervertreterinnen der Beschäftigten unverzüglich über ihre Wahl in die Kommission in Kenntnis.</w:t>
      </w:r>
    </w:p>
    <w:p w:rsidR="00BE1EFE" w:rsidRPr="000B1AF8" w:rsidRDefault="00BE1EFE" w:rsidP="00743962">
      <w:pPr>
        <w:pStyle w:val="StandardWeb"/>
      </w:pPr>
    </w:p>
    <w:p w:rsidR="00BE1EFE" w:rsidRDefault="00BE1EFE" w:rsidP="00743962">
      <w:pPr>
        <w:pStyle w:val="StandardWeb"/>
      </w:pPr>
      <w:r>
        <w:t>(2) Der/die Vorsitzende des Regional-Wahlvorstandes gibt nach Eingang der Meldungen gemäß Absatz 1 das gesamte vorläufige Wahlergebnis auf der Internetseite der Kommission für das Arbeitsvertragsrecht der bayerischen Diözesen bekannt.</w:t>
      </w:r>
    </w:p>
    <w:p w:rsidR="00BE1EFE" w:rsidRPr="00D32CE0" w:rsidRDefault="00BE1EFE" w:rsidP="00D32CE0">
      <w:pPr>
        <w:pStyle w:val="berschrift6"/>
        <w:rPr>
          <w:lang w:eastAsia="x-none"/>
        </w:rPr>
      </w:pPr>
      <w:bookmarkStart w:id="1401" w:name="_Toc523926911"/>
      <w:r>
        <w:t>§ 2</w:t>
      </w:r>
      <w:r>
        <w:rPr>
          <w:lang w:eastAsia="x-none"/>
        </w:rPr>
        <w:t>5</w:t>
      </w:r>
      <w:r>
        <w:t xml:space="preserve"> </w:t>
      </w:r>
      <w:r>
        <w:rPr>
          <w:lang w:eastAsia="x-none"/>
        </w:rPr>
        <w:t>Wahlanfechtung</w:t>
      </w:r>
      <w:bookmarkEnd w:id="1401"/>
    </w:p>
    <w:p w:rsidR="00BE1EFE" w:rsidRPr="00B76821" w:rsidRDefault="00BE1EFE" w:rsidP="00D32CE0">
      <w:pPr>
        <w:pStyle w:val="h7"/>
        <w:keepNext w:val="0"/>
        <w:spacing w:before="0" w:after="0"/>
        <w:jc w:val="left"/>
        <w:outlineLvl w:val="5"/>
        <w:rPr>
          <w:sz w:val="2"/>
        </w:rPr>
      </w:pPr>
    </w:p>
    <w:p w:rsidR="00BE1EFE" w:rsidRDefault="00BE1EFE" w:rsidP="00572575">
      <w:pPr>
        <w:pStyle w:val="StandardWeb"/>
      </w:pPr>
      <w:r>
        <w:t>(1) </w:t>
      </w:r>
      <w:r w:rsidRPr="00572575">
        <w:rPr>
          <w:sz w:val="12"/>
          <w:szCs w:val="12"/>
        </w:rPr>
        <w:t>1</w:t>
      </w:r>
      <w:r>
        <w:t xml:space="preserve">Jeder/jede Wahlberechtigte hat das Recht, die Wahl wegen eines Verstoßes gegen geltendes Recht innerhalb einer Frist von zwei Wochen nach Bekanntgabe des Wahlergebnisses schriftlich anzufechten. </w:t>
      </w:r>
      <w:r w:rsidRPr="00572575">
        <w:rPr>
          <w:sz w:val="12"/>
          <w:szCs w:val="12"/>
        </w:rPr>
        <w:t>2</w:t>
      </w:r>
      <w:r>
        <w:t>Die Anfechtungserklärung ist dem Wahlvorstand zuzuleiten.</w:t>
      </w:r>
    </w:p>
    <w:p w:rsidR="00BE1EFE" w:rsidRDefault="00BE1EFE" w:rsidP="00572575">
      <w:pPr>
        <w:pStyle w:val="StandardWeb"/>
      </w:pPr>
    </w:p>
    <w:p w:rsidR="00BE1EFE" w:rsidRDefault="00BE1EFE" w:rsidP="00572575">
      <w:pPr>
        <w:pStyle w:val="StandardWeb"/>
      </w:pPr>
      <w:r>
        <w:t>(2) </w:t>
      </w:r>
      <w:r w:rsidRPr="00572575">
        <w:rPr>
          <w:sz w:val="12"/>
          <w:szCs w:val="12"/>
        </w:rPr>
        <w:t>1</w:t>
      </w:r>
      <w:r>
        <w:t xml:space="preserve">Der Wahlvorstand entscheidet über Anfechtungen innerhalb von zwei Wochen nach Zugang der Wahlanfechtung und teilt die Entscheidung der Person oder den Personen mit, die die Wahl angefochten haben. </w:t>
      </w:r>
      <w:r w:rsidRPr="00572575">
        <w:rPr>
          <w:sz w:val="12"/>
          <w:szCs w:val="12"/>
        </w:rPr>
        <w:t>2</w:t>
      </w:r>
      <w:r>
        <w:t xml:space="preserve">Unzulässige und/oder unbegründete Anfechtungen weist der Wahlvorstand zurück. </w:t>
      </w:r>
      <w:r w:rsidRPr="00572575">
        <w:rPr>
          <w:sz w:val="12"/>
          <w:szCs w:val="12"/>
        </w:rPr>
        <w:t>3</w:t>
      </w:r>
      <w:r>
        <w:t xml:space="preserve">Stellt er fest, dass die Anfechtung begründet ist und dadurch das Wahlergebnis beeinflusst sein kann, so erklärt er die Wahl für ungültig; in diesem Falle ist die Wahl unverzüglich zu wiederholen. </w:t>
      </w:r>
      <w:r w:rsidRPr="00572575">
        <w:rPr>
          <w:sz w:val="12"/>
          <w:szCs w:val="12"/>
        </w:rPr>
        <w:t>4</w:t>
      </w:r>
      <w:r>
        <w:t xml:space="preserve">Im Falle einer sonstigen begründeten Wahlanfechtung berichtigt er den durch Verstoß verursachten Fehler. </w:t>
      </w:r>
      <w:r w:rsidRPr="00572575">
        <w:rPr>
          <w:sz w:val="12"/>
          <w:szCs w:val="12"/>
        </w:rPr>
        <w:t>5</w:t>
      </w:r>
      <w:r>
        <w:t>Die Entscheidung über eine Wahlwiederholung wird im Amtsblatt der Diözese veröffentlicht.</w:t>
      </w:r>
    </w:p>
    <w:p w:rsidR="00BE1EFE" w:rsidRDefault="00BE1EFE" w:rsidP="00572575">
      <w:pPr>
        <w:pStyle w:val="StandardWeb"/>
      </w:pPr>
    </w:p>
    <w:p w:rsidR="00BE1EFE" w:rsidRDefault="00BE1EFE" w:rsidP="00572575">
      <w:pPr>
        <w:pStyle w:val="StandardWeb"/>
      </w:pPr>
      <w:r>
        <w:t>(3) Gegen die Entscheidung des Wahlvorstandes ist die Klage beim Kirchlichen Arbeitsgericht innerhalb einer Ausschlussfrist von zwei Wochen nach Bekanntgabe der Entscheidung des Wahlvorstandes zulässig.</w:t>
      </w:r>
    </w:p>
    <w:p w:rsidR="00BE1EFE" w:rsidRDefault="00BE1EFE" w:rsidP="00572575">
      <w:pPr>
        <w:pStyle w:val="StandardWeb"/>
      </w:pPr>
    </w:p>
    <w:p w:rsidR="00BE1EFE" w:rsidRDefault="00BE1EFE" w:rsidP="005E7F66">
      <w:pPr>
        <w:pStyle w:val="StandardWeb"/>
      </w:pPr>
      <w:r>
        <w:t xml:space="preserve">(4) Eine für ungültig erklärte Wahl lässt die Wirksamkeit der zwischenzeitlich durch die Kommission </w:t>
      </w:r>
      <w:r w:rsidR="005F4B1C">
        <w:t>gefassten Beschlüsse unberührt.</w:t>
      </w:r>
    </w:p>
    <w:p w:rsidR="00BE1EFE" w:rsidRPr="00D32CE0" w:rsidRDefault="00BE1EFE" w:rsidP="00D32CE0">
      <w:pPr>
        <w:pStyle w:val="berschrift6"/>
        <w:rPr>
          <w:lang w:eastAsia="x-none"/>
        </w:rPr>
      </w:pPr>
      <w:bookmarkStart w:id="1402" w:name="_Toc523926912"/>
      <w:r>
        <w:t>§ 2</w:t>
      </w:r>
      <w:r>
        <w:rPr>
          <w:lang w:eastAsia="x-none"/>
        </w:rPr>
        <w:t>6</w:t>
      </w:r>
      <w:r>
        <w:t xml:space="preserve"> Endgültiges Wahlergebnis</w:t>
      </w:r>
      <w:bookmarkEnd w:id="1402"/>
    </w:p>
    <w:p w:rsidR="00BE1EFE" w:rsidRPr="00B76821" w:rsidRDefault="00BE1EFE" w:rsidP="00B76821">
      <w:pPr>
        <w:pStyle w:val="h7"/>
        <w:keepNext w:val="0"/>
        <w:spacing w:before="0" w:after="0"/>
        <w:jc w:val="left"/>
        <w:outlineLvl w:val="5"/>
        <w:rPr>
          <w:sz w:val="2"/>
        </w:rPr>
      </w:pPr>
    </w:p>
    <w:p w:rsidR="00BE1EFE" w:rsidRPr="000B1AF8" w:rsidRDefault="00BE1EFE" w:rsidP="00743962">
      <w:pPr>
        <w:pStyle w:val="StandardWeb"/>
      </w:pPr>
      <w:r>
        <w:t>(1) Die Geschäftsstelle der Kommission stellt beim Kirchlichen Arbeitsgericht durch Nachfrage sicher, ob Wahlanfechtungen eingegangen sind.</w:t>
      </w:r>
    </w:p>
    <w:p w:rsidR="00BE1EFE" w:rsidRPr="000B1AF8" w:rsidRDefault="00BE1EFE" w:rsidP="00743962">
      <w:pPr>
        <w:pStyle w:val="StandardWeb"/>
      </w:pPr>
    </w:p>
    <w:p w:rsidR="00BE1EFE" w:rsidRDefault="00BE1EFE" w:rsidP="00743962">
      <w:pPr>
        <w:pStyle w:val="StandardWeb"/>
      </w:pPr>
      <w:r>
        <w:t>(2) </w:t>
      </w:r>
      <w:r>
        <w:rPr>
          <w:rStyle w:val="kleinschrift"/>
        </w:rPr>
        <w:t>1</w:t>
      </w:r>
      <w:r>
        <w:t xml:space="preserve">Nach Ablauf der Frist gemäß </w:t>
      </w:r>
      <w:hyperlink r:id="rId2005" w:history="1">
        <w:r w:rsidRPr="002D1F1D">
          <w:rPr>
            <w:rStyle w:val="Hyperlink"/>
          </w:rPr>
          <w:t>§ 25 Absatz 1</w:t>
        </w:r>
      </w:hyperlink>
      <w:r>
        <w:t>, gegebenenfalls nach rechtskräftiger Ent</w:t>
      </w:r>
      <w:r>
        <w:softHyphen/>
        <w:t xml:space="preserve">scheidung über Anfechtungsanträge, stellt der/die Vorsitzende des Regional-Wahlvorstandes das endgültige Wahlergebnis fest und gibt es unverzüglich über die Geschäftsstelle auf der </w:t>
      </w:r>
      <w:r>
        <w:lastRenderedPageBreak/>
        <w:t xml:space="preserve">Internetseite der Kommission für das Arbeitsvertragsrecht der bayerischen Diözesen bekannt. </w:t>
      </w:r>
      <w:r>
        <w:rPr>
          <w:rStyle w:val="kleinschrift"/>
        </w:rPr>
        <w:t>2</w:t>
      </w:r>
      <w:r>
        <w:t>Das endgültige Wahlergebnis wird in den Amtsblättern der Diözesen bekannt gegeben.</w:t>
      </w:r>
    </w:p>
    <w:p w:rsidR="00BE1EFE" w:rsidRDefault="00BE1EFE" w:rsidP="005E7F66">
      <w:pPr>
        <w:pStyle w:val="StandardWeb"/>
      </w:pPr>
      <w:r>
        <w:t>für das Arbeitsvertragsrecht der bayerischen Diözesen bekannt.</w:t>
      </w:r>
    </w:p>
    <w:p w:rsidR="00BE1EFE" w:rsidRDefault="00BE1EFE" w:rsidP="0011710B">
      <w:pPr>
        <w:pStyle w:val="berschrift6"/>
        <w:rPr>
          <w:lang w:eastAsia="x-none"/>
        </w:rPr>
      </w:pPr>
      <w:bookmarkStart w:id="1403" w:name="_Toc523926913"/>
      <w:r>
        <w:t>§ 27 Wahlniederschrift und Aufbewahrung der Wahlunterlagen</w:t>
      </w:r>
      <w:bookmarkEnd w:id="1403"/>
    </w:p>
    <w:p w:rsidR="00BE1EFE" w:rsidRPr="0011710B" w:rsidRDefault="00BE1EFE" w:rsidP="0011710B">
      <w:pPr>
        <w:pStyle w:val="h7"/>
        <w:spacing w:before="0" w:after="0"/>
        <w:jc w:val="left"/>
        <w:rPr>
          <w:sz w:val="2"/>
          <w:szCs w:val="2"/>
        </w:rPr>
      </w:pPr>
    </w:p>
    <w:p w:rsidR="00BE1EFE" w:rsidRPr="0011710B" w:rsidRDefault="00BE1EFE" w:rsidP="0011710B">
      <w:pPr>
        <w:pStyle w:val="StandardWeb"/>
        <w:rPr>
          <w:b/>
          <w:sz w:val="18"/>
          <w:szCs w:val="15"/>
        </w:rPr>
      </w:pPr>
      <w:r>
        <w:t>(1) </w:t>
      </w:r>
      <w:r>
        <w:rPr>
          <w:rStyle w:val="kleinschrift"/>
        </w:rPr>
        <w:t>1</w:t>
      </w:r>
      <w:r>
        <w:t xml:space="preserve">Über die Wahlhandlung sowie über die Ermittlung und Feststellung der vorläufigen Wahlergebnisse und des endgültigen Wahlergebnisses, insbesondere über Entscheidungen des Wahlvorstandes über die Ungültigkeit von Stimmen und die Zurückweisung von Wahlbriefen, ist eine Niederschrift anzufertigen. </w:t>
      </w:r>
      <w:r>
        <w:rPr>
          <w:rStyle w:val="kleinschrift"/>
        </w:rPr>
        <w:t>2</w:t>
      </w:r>
      <w:r>
        <w:t xml:space="preserve">Die Wahlniederschrift ist von den Mitgliedern des Wahlvorstandes zu genehmigen und zu unterzeichnen. </w:t>
      </w:r>
      <w:r>
        <w:rPr>
          <w:rStyle w:val="kleinschrift"/>
        </w:rPr>
        <w:t>3</w:t>
      </w:r>
      <w:r>
        <w:t>Verweigert ein Mitglied des Wahlvorstandes die Unterschrift, so ist der Grund hierfür in der Wahlniederschrift anzugeben.</w:t>
      </w:r>
    </w:p>
    <w:p w:rsidR="00BE1EFE" w:rsidRPr="000B1AF8" w:rsidRDefault="00BE1EFE" w:rsidP="00743962">
      <w:pPr>
        <w:pStyle w:val="StandardWeb"/>
      </w:pPr>
    </w:p>
    <w:p w:rsidR="00BE1EFE" w:rsidRDefault="00BE1EFE" w:rsidP="00743962">
      <w:pPr>
        <w:pStyle w:val="StandardWeb"/>
      </w:pPr>
      <w:r>
        <w:t>(2) </w:t>
      </w:r>
      <w:r>
        <w:rPr>
          <w:rStyle w:val="kleinschrift"/>
        </w:rPr>
        <w:t>1</w:t>
      </w:r>
      <w:r>
        <w:t xml:space="preserve">Die Vorsitzenden der Wahlvorstände sorgen für die Aufbewahrung aller für die Wahl erforderlichen Unterlagen bis zum Ende der Amtszeit. </w:t>
      </w:r>
      <w:r>
        <w:rPr>
          <w:rStyle w:val="kleinschrift"/>
        </w:rPr>
        <w:t>2</w:t>
      </w:r>
      <w:r>
        <w:t>Die Unterlagen im Zuständigkeits</w:t>
      </w:r>
      <w:r>
        <w:softHyphen/>
        <w:t xml:space="preserve">bereich der Diözesan-Wahlvorstände sind beim jeweiligen Ordinariat aufzubewahren. </w:t>
      </w:r>
      <w:r>
        <w:rPr>
          <w:rStyle w:val="kleinschrift"/>
        </w:rPr>
        <w:t>3</w:t>
      </w:r>
      <w:r>
        <w:t>Die Unterlagen in den Zuständigkeitsbereichen des Lehrer-Wahlvorstandes und des Regional-Wahlvorstandes werden in der Geschäftsstelle der Kommission aufbewahrt.</w:t>
      </w:r>
    </w:p>
    <w:p w:rsidR="00BE1EFE" w:rsidRDefault="00BE1EFE" w:rsidP="00743962">
      <w:pPr>
        <w:pStyle w:val="StandardWeb"/>
      </w:pPr>
    </w:p>
    <w:p w:rsidR="00BE1EFE" w:rsidRDefault="00BE1EFE" w:rsidP="00743962">
      <w:pPr>
        <w:pStyle w:val="StandardWeb"/>
      </w:pPr>
      <w:r>
        <w:t>(3) Die Wahlniederschriften unterliegen der Archivierung durch die Geschäftsstelle der Kommission.</w:t>
      </w:r>
    </w:p>
    <w:p w:rsidR="00BE1EFE" w:rsidRPr="005E7F66" w:rsidRDefault="00BE1EFE" w:rsidP="005E7F66">
      <w:pPr>
        <w:pStyle w:val="h7"/>
        <w:spacing w:before="0" w:after="0"/>
        <w:jc w:val="left"/>
        <w:rPr>
          <w:sz w:val="2"/>
          <w:szCs w:val="2"/>
        </w:rPr>
      </w:pPr>
    </w:p>
    <w:p w:rsidR="00BE1EFE" w:rsidRDefault="00BE1EFE">
      <w:pPr>
        <w:pStyle w:val="StandardWeb"/>
      </w:pPr>
      <w:r>
        <w:br w:type="page"/>
      </w:r>
    </w:p>
    <w:p w:rsidR="00BE1EFE" w:rsidRPr="00F1019E" w:rsidRDefault="00BE1EFE" w:rsidP="00F1019E">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Pr="00F1019E" w:rsidRDefault="00BE1EFE" w:rsidP="00F1019E">
      <w:pPr>
        <w:pStyle w:val="berschrift4"/>
        <w:spacing w:before="0"/>
      </w:pPr>
      <w:bookmarkStart w:id="1404" w:name="_Toc523926914"/>
      <w:r>
        <w:t>5. Kirchliche Arbeitsgerichtsordnung – KAGO – in der Fassung des Beschlusses der Vollversammlung der Deutschen Bischofskonferenz vom 25. Februar 2010</w:t>
      </w:r>
      <w:bookmarkEnd w:id="1404"/>
    </w:p>
    <w:p w:rsidR="00BE1EFE" w:rsidRDefault="00BE1EFE">
      <w:pPr>
        <w:pStyle w:val="berschrift5"/>
      </w:pPr>
      <w:bookmarkStart w:id="1405" w:name="_Toc523926915"/>
      <w:r>
        <w:t>Inhaltsübersicht</w:t>
      </w:r>
      <w:bookmarkEnd w:id="1405"/>
    </w:p>
    <w:p w:rsidR="00BE1EFE" w:rsidRPr="00B76821" w:rsidRDefault="00BE1EFE" w:rsidP="00B76821">
      <w:pPr>
        <w:pStyle w:val="berschrift6"/>
        <w:keepNext w:val="0"/>
        <w:spacing w:before="0" w:after="0"/>
        <w:rPr>
          <w:rStyle w:val="Fett"/>
          <w:bCs w:val="0"/>
          <w:sz w:val="2"/>
        </w:rPr>
      </w:pPr>
    </w:p>
    <w:p w:rsidR="00BE1EFE" w:rsidRPr="00E81FAC" w:rsidRDefault="00BE1EFE" w:rsidP="0054275E">
      <w:pPr>
        <w:pStyle w:val="StandardWeb"/>
        <w:autoSpaceDE w:val="0"/>
      </w:pPr>
      <w:r>
        <w:rPr>
          <w:rStyle w:val="Fett"/>
          <w:bCs/>
        </w:rPr>
        <w:t>Präambel</w:t>
      </w:r>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Erster Teil</w:t>
      </w:r>
    </w:p>
    <w:p w:rsidR="00BE1EFE" w:rsidRDefault="00BE1EFE" w:rsidP="0054275E">
      <w:pPr>
        <w:pStyle w:val="StandardWeb"/>
        <w:autoSpaceDE w:val="0"/>
      </w:pPr>
      <w:r>
        <w:rPr>
          <w:rStyle w:val="Fett"/>
          <w:bCs/>
        </w:rPr>
        <w:t>Allgemeine Vorschriften</w:t>
      </w:r>
    </w:p>
    <w:p w:rsidR="00BE1EFE" w:rsidRDefault="00BE1EFE">
      <w:pPr>
        <w:pStyle w:val="StandardWeb"/>
      </w:pPr>
    </w:p>
    <w:p w:rsidR="00BE1EFE" w:rsidRDefault="00C23DFA">
      <w:pPr>
        <w:pStyle w:val="StandardWeb"/>
      </w:pPr>
      <w:hyperlink r:id="rId2006" w:history="1">
        <w:r w:rsidR="00BE1EFE" w:rsidRPr="002D1F1D">
          <w:rPr>
            <w:rStyle w:val="Hyperlink"/>
          </w:rPr>
          <w:t>§ 1 Kirchliche Gerichte für Arbeitssachen</w:t>
        </w:r>
      </w:hyperlink>
    </w:p>
    <w:p w:rsidR="00BE1EFE" w:rsidRDefault="00C23DFA">
      <w:pPr>
        <w:pStyle w:val="StandardWeb"/>
      </w:pPr>
      <w:hyperlink r:id="rId2007" w:history="1">
        <w:r w:rsidR="00BE1EFE">
          <w:rPr>
            <w:rStyle w:val="Hyperlink"/>
          </w:rPr>
          <w:t>§ 2 Sachliche Zuständigkeit</w:t>
        </w:r>
      </w:hyperlink>
    </w:p>
    <w:p w:rsidR="00BE1EFE" w:rsidRDefault="00C23DFA">
      <w:pPr>
        <w:pStyle w:val="StandardWeb"/>
      </w:pPr>
      <w:hyperlink r:id="rId2008" w:history="1">
        <w:r w:rsidR="00BE1EFE" w:rsidRPr="002D1F1D">
          <w:rPr>
            <w:rStyle w:val="Hyperlink"/>
          </w:rPr>
          <w:t>§ 3 Örtliche Zuständigkeit</w:t>
        </w:r>
      </w:hyperlink>
    </w:p>
    <w:p w:rsidR="00BE1EFE" w:rsidRDefault="00C23DFA">
      <w:pPr>
        <w:pStyle w:val="StandardWeb"/>
      </w:pPr>
      <w:hyperlink r:id="rId2009" w:history="1">
        <w:r w:rsidR="00BE1EFE">
          <w:rPr>
            <w:rStyle w:val="Hyperlink"/>
          </w:rPr>
          <w:t>§ 4 Besetzung der Gerichte</w:t>
        </w:r>
      </w:hyperlink>
    </w:p>
    <w:p w:rsidR="00BE1EFE" w:rsidRDefault="00C23DFA">
      <w:pPr>
        <w:pStyle w:val="StandardWeb"/>
      </w:pPr>
      <w:hyperlink r:id="rId2010" w:history="1">
        <w:r w:rsidR="00BE1EFE" w:rsidRPr="002D1F1D">
          <w:rPr>
            <w:rStyle w:val="Hyperlink"/>
          </w:rPr>
          <w:t>§ 5 Aufbringung der Mittel</w:t>
        </w:r>
      </w:hyperlink>
    </w:p>
    <w:p w:rsidR="00BE1EFE" w:rsidRDefault="00C23DFA">
      <w:pPr>
        <w:pStyle w:val="StandardWeb"/>
      </w:pPr>
      <w:hyperlink r:id="rId2011" w:history="1">
        <w:r w:rsidR="00BE1EFE">
          <w:rPr>
            <w:rStyle w:val="Hyperlink"/>
          </w:rPr>
          <w:t>§ 6 Gang des Verfahrens</w:t>
        </w:r>
      </w:hyperlink>
    </w:p>
    <w:p w:rsidR="00BE1EFE" w:rsidRDefault="00C23DFA">
      <w:pPr>
        <w:pStyle w:val="StandardWeb"/>
      </w:pPr>
      <w:hyperlink r:id="rId2012" w:history="1">
        <w:r w:rsidR="00BE1EFE" w:rsidRPr="002D1F1D">
          <w:rPr>
            <w:rStyle w:val="Hyperlink"/>
          </w:rPr>
          <w:t>§ 7 Verfahrensgrundsätze</w:t>
        </w:r>
      </w:hyperlink>
    </w:p>
    <w:p w:rsidR="00BE1EFE" w:rsidRDefault="00C23DFA">
      <w:pPr>
        <w:pStyle w:val="StandardWeb"/>
      </w:pPr>
      <w:hyperlink r:id="rId2013" w:history="1">
        <w:r w:rsidR="00BE1EFE">
          <w:rPr>
            <w:rStyle w:val="Hyperlink"/>
          </w:rPr>
          <w:t>§ 8 Verfahrensbeteiligte</w:t>
        </w:r>
      </w:hyperlink>
    </w:p>
    <w:p w:rsidR="00BE1EFE" w:rsidRDefault="00C23DFA">
      <w:pPr>
        <w:pStyle w:val="StandardWeb"/>
      </w:pPr>
      <w:hyperlink r:id="rId2014" w:history="1">
        <w:r w:rsidR="00BE1EFE" w:rsidRPr="002D1F1D">
          <w:rPr>
            <w:rStyle w:val="Hyperlink"/>
          </w:rPr>
          <w:t>§ 9 Beiladung</w:t>
        </w:r>
      </w:hyperlink>
    </w:p>
    <w:p w:rsidR="00BE1EFE" w:rsidRDefault="00C23DFA">
      <w:pPr>
        <w:pStyle w:val="StandardWeb"/>
      </w:pPr>
      <w:hyperlink r:id="rId2015" w:history="1">
        <w:r w:rsidR="00BE1EFE">
          <w:rPr>
            <w:rStyle w:val="Hyperlink"/>
          </w:rPr>
          <w:t>§ 10 Klagebefugnis</w:t>
        </w:r>
      </w:hyperlink>
    </w:p>
    <w:p w:rsidR="00BE1EFE" w:rsidRDefault="00C23DFA">
      <w:pPr>
        <w:pStyle w:val="StandardWeb"/>
      </w:pPr>
      <w:hyperlink r:id="rId2016" w:history="1">
        <w:r w:rsidR="00BE1EFE" w:rsidRPr="002D1F1D">
          <w:rPr>
            <w:rStyle w:val="Hyperlink"/>
          </w:rPr>
          <w:t>§ 11 Prozessvertretung</w:t>
        </w:r>
      </w:hyperlink>
    </w:p>
    <w:p w:rsidR="00BE1EFE" w:rsidRDefault="00C23DFA">
      <w:pPr>
        <w:pStyle w:val="StandardWeb"/>
      </w:pPr>
      <w:hyperlink r:id="rId2017" w:history="1">
        <w:r w:rsidR="00BE1EFE">
          <w:rPr>
            <w:rStyle w:val="Hyperlink"/>
          </w:rPr>
          <w:t>§ 12 Kosten (Gebühren und Auslagen)</w:t>
        </w:r>
      </w:hyperlink>
    </w:p>
    <w:p w:rsidR="00BE1EFE" w:rsidRPr="00E81FAC" w:rsidRDefault="00C23DFA">
      <w:pPr>
        <w:pStyle w:val="StandardWeb"/>
      </w:pPr>
      <w:hyperlink r:id="rId2018" w:history="1">
        <w:r w:rsidR="00BE1EFE" w:rsidRPr="002D1F1D">
          <w:rPr>
            <w:rStyle w:val="Hyperlink"/>
          </w:rPr>
          <w:t>§ 13 Rechts- und Amtshilfe</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 xml:space="preserve">Zweiter Teil </w:t>
      </w:r>
    </w:p>
    <w:p w:rsidR="00BE1EFE" w:rsidRDefault="00BE1EFE" w:rsidP="0054275E">
      <w:pPr>
        <w:pStyle w:val="StandardWeb"/>
        <w:autoSpaceDE w:val="0"/>
      </w:pPr>
      <w:r>
        <w:rPr>
          <w:rStyle w:val="Fett"/>
          <w:bCs/>
        </w:rPr>
        <w:t>Aufbau der kirchlichen Gerichte für Arbeitssachen</w:t>
      </w:r>
    </w:p>
    <w:p w:rsidR="00BE1EFE" w:rsidRDefault="00BE1EFE">
      <w:pPr>
        <w:pStyle w:val="StandardWeb"/>
      </w:pPr>
    </w:p>
    <w:p w:rsidR="00BE1EFE" w:rsidRDefault="00BE1EFE">
      <w:pPr>
        <w:pStyle w:val="StandardWeb"/>
      </w:pPr>
    </w:p>
    <w:p w:rsidR="00BE1EFE" w:rsidRDefault="00BE1EFE">
      <w:pPr>
        <w:pStyle w:val="StandardWeb"/>
      </w:pPr>
      <w:r>
        <w:t>1. Abschnitt</w:t>
      </w:r>
    </w:p>
    <w:p w:rsidR="00BE1EFE" w:rsidRDefault="00BE1EFE">
      <w:pPr>
        <w:pStyle w:val="StandardWeb"/>
      </w:pPr>
      <w:r>
        <w:t>Kirchliche Arbeitsgerichte erster Instanz</w:t>
      </w:r>
    </w:p>
    <w:p w:rsidR="00BE1EFE" w:rsidRDefault="00BE1EFE">
      <w:pPr>
        <w:pStyle w:val="StandardWeb"/>
      </w:pPr>
    </w:p>
    <w:p w:rsidR="00BE1EFE" w:rsidRDefault="00C23DFA">
      <w:pPr>
        <w:pStyle w:val="StandardWeb"/>
      </w:pPr>
      <w:hyperlink r:id="rId2019" w:history="1">
        <w:r w:rsidR="00BE1EFE" w:rsidRPr="002D1F1D">
          <w:rPr>
            <w:rStyle w:val="Hyperlink"/>
          </w:rPr>
          <w:t>§ 14 Errichtung</w:t>
        </w:r>
      </w:hyperlink>
    </w:p>
    <w:p w:rsidR="00BE1EFE" w:rsidRDefault="00C23DFA">
      <w:pPr>
        <w:pStyle w:val="StandardWeb"/>
      </w:pPr>
      <w:hyperlink r:id="rId2020" w:history="1">
        <w:r w:rsidR="00BE1EFE">
          <w:rPr>
            <w:rStyle w:val="Hyperlink"/>
          </w:rPr>
          <w:t>§ 15 Gerichtssitz/Dienstaufsicht/Geschäftsstelle</w:t>
        </w:r>
      </w:hyperlink>
    </w:p>
    <w:p w:rsidR="00BE1EFE" w:rsidRDefault="00C23DFA">
      <w:pPr>
        <w:pStyle w:val="StandardWeb"/>
      </w:pPr>
      <w:hyperlink r:id="rId2021" w:history="1">
        <w:r w:rsidR="00BE1EFE" w:rsidRPr="002D1F1D">
          <w:rPr>
            <w:rStyle w:val="Hyperlink"/>
          </w:rPr>
          <w:t>§ 16 Zusammensetzung/Besetzung</w:t>
        </w:r>
      </w:hyperlink>
    </w:p>
    <w:p w:rsidR="00BE1EFE" w:rsidRDefault="00C23DFA">
      <w:pPr>
        <w:pStyle w:val="StandardWeb"/>
      </w:pPr>
      <w:hyperlink r:id="rId2022" w:history="1">
        <w:r w:rsidR="00BE1EFE">
          <w:rPr>
            <w:rStyle w:val="Hyperlink"/>
          </w:rPr>
          <w:t>§ 17 Rechtsstellung der Richter</w:t>
        </w:r>
      </w:hyperlink>
    </w:p>
    <w:p w:rsidR="00BE1EFE" w:rsidRDefault="00C23DFA">
      <w:pPr>
        <w:pStyle w:val="StandardWeb"/>
      </w:pPr>
      <w:hyperlink r:id="rId2023" w:history="1">
        <w:r w:rsidR="00BE1EFE" w:rsidRPr="002D1F1D">
          <w:rPr>
            <w:rStyle w:val="Hyperlink"/>
          </w:rPr>
          <w:t>§ 18 Ernennungsvoraussetzungen/Beendigung des Richteramtes</w:t>
        </w:r>
      </w:hyperlink>
    </w:p>
    <w:p w:rsidR="00BE1EFE" w:rsidRDefault="00C23DFA">
      <w:pPr>
        <w:pStyle w:val="StandardWeb"/>
      </w:pPr>
      <w:hyperlink r:id="rId2024" w:history="1">
        <w:r w:rsidR="00BE1EFE">
          <w:rPr>
            <w:rStyle w:val="Hyperlink"/>
          </w:rPr>
          <w:t>§ 19 Ernennung des Vorsitzenden</w:t>
        </w:r>
      </w:hyperlink>
    </w:p>
    <w:p w:rsidR="00BE1EFE" w:rsidRDefault="00C23DFA">
      <w:pPr>
        <w:pStyle w:val="StandardWeb"/>
      </w:pPr>
      <w:hyperlink r:id="rId2025" w:history="1">
        <w:r w:rsidR="00BE1EFE" w:rsidRPr="002D1F1D">
          <w:rPr>
            <w:rStyle w:val="Hyperlink"/>
          </w:rPr>
          <w:t>§ 20 Ernennung/Mitwirkung der beisitzenden Richter</w:t>
        </w:r>
      </w:hyperlink>
    </w:p>
    <w:p w:rsidR="00BE1EFE" w:rsidRDefault="00BE1EFE">
      <w:pPr>
        <w:pStyle w:val="StandardWeb"/>
      </w:pPr>
    </w:p>
    <w:p w:rsidR="00BE1EFE" w:rsidRDefault="00BE1EFE">
      <w:pPr>
        <w:pStyle w:val="StandardWeb"/>
      </w:pPr>
    </w:p>
    <w:p w:rsidR="00BE1EFE" w:rsidRDefault="00BE1EFE">
      <w:pPr>
        <w:pStyle w:val="StandardWeb"/>
      </w:pPr>
      <w:r>
        <w:t>2. Abschnitt</w:t>
      </w:r>
    </w:p>
    <w:p w:rsidR="00BE1EFE" w:rsidRDefault="00BE1EFE">
      <w:pPr>
        <w:pStyle w:val="StandardWeb"/>
      </w:pPr>
      <w:r>
        <w:t>Kirchlicher Arbeitsgerichtshof</w:t>
      </w:r>
    </w:p>
    <w:p w:rsidR="00BE1EFE" w:rsidRDefault="00BE1EFE">
      <w:pPr>
        <w:pStyle w:val="StandardWeb"/>
      </w:pPr>
    </w:p>
    <w:p w:rsidR="00BE1EFE" w:rsidRDefault="00C23DFA">
      <w:pPr>
        <w:pStyle w:val="StandardWeb"/>
      </w:pPr>
      <w:hyperlink r:id="rId2026" w:history="1">
        <w:r w:rsidR="00BE1EFE" w:rsidRPr="002D1F1D">
          <w:rPr>
            <w:rStyle w:val="Hyperlink"/>
          </w:rPr>
          <w:t>§ 21 Errichtung</w:t>
        </w:r>
      </w:hyperlink>
    </w:p>
    <w:p w:rsidR="00BE1EFE" w:rsidRDefault="00C23DFA">
      <w:pPr>
        <w:pStyle w:val="StandardWeb"/>
      </w:pPr>
      <w:hyperlink r:id="rId2027" w:history="1">
        <w:r w:rsidR="00BE1EFE">
          <w:rPr>
            <w:rStyle w:val="Hyperlink"/>
          </w:rPr>
          <w:t>§ 22 Zusammensetzung/Besetzung</w:t>
        </w:r>
      </w:hyperlink>
    </w:p>
    <w:p w:rsidR="00BE1EFE" w:rsidRDefault="00C23DFA">
      <w:pPr>
        <w:pStyle w:val="StandardWeb"/>
      </w:pPr>
      <w:hyperlink r:id="rId2028" w:history="1">
        <w:r w:rsidR="00BE1EFE" w:rsidRPr="002D1F1D">
          <w:rPr>
            <w:rStyle w:val="Hyperlink"/>
          </w:rPr>
          <w:t>§ 23 Dienstaufsicht/Verwaltung</w:t>
        </w:r>
      </w:hyperlink>
    </w:p>
    <w:p w:rsidR="00BE1EFE" w:rsidRDefault="00C23DFA">
      <w:pPr>
        <w:pStyle w:val="StandardWeb"/>
      </w:pPr>
      <w:hyperlink r:id="rId2029" w:history="1">
        <w:r w:rsidR="00BE1EFE">
          <w:rPr>
            <w:rStyle w:val="Hyperlink"/>
          </w:rPr>
          <w:t>§ 24 Rechtsstellung der Richter/ Ernennungsvoraussetzungen/Beendigung des Richteramtes</w:t>
        </w:r>
      </w:hyperlink>
    </w:p>
    <w:p w:rsidR="00BE1EFE" w:rsidRDefault="00C23DFA">
      <w:pPr>
        <w:pStyle w:val="StandardWeb"/>
      </w:pPr>
      <w:hyperlink r:id="rId2030" w:history="1">
        <w:r w:rsidR="00BE1EFE" w:rsidRPr="002D1F1D">
          <w:rPr>
            <w:rStyle w:val="Hyperlink"/>
          </w:rPr>
          <w:t>§ 25 Ernennung des Präsidenten und der weiteren Mitglieder mit der Befähigung zum Richter</w:t>
        </w:r>
        <w:r w:rsidR="00BE1EFE">
          <w:rPr>
            <w:rStyle w:val="Hyperlink"/>
          </w:rPr>
          <w:softHyphen/>
        </w:r>
        <w:r w:rsidR="00BE1EFE" w:rsidRPr="002D1F1D">
          <w:rPr>
            <w:rStyle w:val="Hyperlink"/>
          </w:rPr>
          <w:t>amt</w:t>
        </w:r>
      </w:hyperlink>
    </w:p>
    <w:p w:rsidR="00BE1EFE" w:rsidRPr="00E81FAC" w:rsidRDefault="00C23DFA">
      <w:pPr>
        <w:pStyle w:val="StandardWeb"/>
      </w:pPr>
      <w:hyperlink r:id="rId2031" w:history="1">
        <w:r w:rsidR="00BE1EFE">
          <w:rPr>
            <w:rStyle w:val="Hyperlink"/>
          </w:rPr>
          <w:t>§ 26 Ernennung/Mitwirkung der beisitzenden Richter aus den Kreisen der Dienstgeber und Mitarbeiter</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Dritter Teil</w:t>
      </w:r>
    </w:p>
    <w:p w:rsidR="00BE1EFE" w:rsidRDefault="00BE1EFE" w:rsidP="0054275E">
      <w:pPr>
        <w:pStyle w:val="StandardWeb"/>
        <w:autoSpaceDE w:val="0"/>
      </w:pPr>
      <w:r>
        <w:rPr>
          <w:rStyle w:val="Fett"/>
          <w:bCs/>
        </w:rPr>
        <w:t>Verfahren vor den kirchlichen Gerichten für Arbeitssachen</w:t>
      </w:r>
    </w:p>
    <w:p w:rsidR="00BE1EFE" w:rsidRDefault="00BE1EFE">
      <w:pPr>
        <w:pStyle w:val="StandardWeb"/>
      </w:pPr>
    </w:p>
    <w:p w:rsidR="00BE1EFE" w:rsidRDefault="00BE1EFE">
      <w:pPr>
        <w:pStyle w:val="StandardWeb"/>
      </w:pPr>
    </w:p>
    <w:p w:rsidR="00BE1EFE" w:rsidRDefault="00BE1EFE">
      <w:pPr>
        <w:pStyle w:val="StandardWeb"/>
      </w:pPr>
      <w:r>
        <w:t>1. Abschnitt</w:t>
      </w:r>
    </w:p>
    <w:p w:rsidR="00BE1EFE" w:rsidRDefault="00BE1EFE">
      <w:pPr>
        <w:pStyle w:val="StandardWeb"/>
      </w:pPr>
      <w:r>
        <w:t>Verfahren im ersten Rechtszug</w:t>
      </w:r>
    </w:p>
    <w:p w:rsidR="00BE1EFE" w:rsidRDefault="00BE1EFE">
      <w:pPr>
        <w:pStyle w:val="StandardWeb"/>
      </w:pPr>
    </w:p>
    <w:p w:rsidR="00BE1EFE" w:rsidRDefault="00BE1EFE">
      <w:pPr>
        <w:pStyle w:val="StandardWeb"/>
      </w:pPr>
      <w:r>
        <w:t>1. Unterabschnitt</w:t>
      </w:r>
    </w:p>
    <w:p w:rsidR="00BE1EFE" w:rsidRDefault="00BE1EFE">
      <w:pPr>
        <w:pStyle w:val="StandardWeb"/>
      </w:pPr>
      <w:r>
        <w:t>Allgemeine Verfahrensvorschriften</w:t>
      </w:r>
    </w:p>
    <w:p w:rsidR="00BE1EFE" w:rsidRDefault="00C23DFA">
      <w:pPr>
        <w:pStyle w:val="StandardWeb"/>
      </w:pPr>
      <w:hyperlink r:id="rId2032" w:history="1">
        <w:r w:rsidR="00BE1EFE" w:rsidRPr="002D1F1D">
          <w:rPr>
            <w:rStyle w:val="Hyperlink"/>
          </w:rPr>
          <w:t>§ 27 Anwendbares Recht</w:t>
        </w:r>
      </w:hyperlink>
    </w:p>
    <w:p w:rsidR="00BE1EFE" w:rsidRDefault="00C23DFA">
      <w:pPr>
        <w:pStyle w:val="StandardWeb"/>
      </w:pPr>
      <w:hyperlink r:id="rId2033" w:history="1">
        <w:r w:rsidR="00BE1EFE">
          <w:rPr>
            <w:rStyle w:val="Hyperlink"/>
          </w:rPr>
          <w:t>§ 28 Klageschrift</w:t>
        </w:r>
      </w:hyperlink>
    </w:p>
    <w:p w:rsidR="00BE1EFE" w:rsidRDefault="00C23DFA">
      <w:pPr>
        <w:pStyle w:val="StandardWeb"/>
      </w:pPr>
      <w:hyperlink r:id="rId2034" w:history="1">
        <w:r w:rsidR="00BE1EFE" w:rsidRPr="002D1F1D">
          <w:rPr>
            <w:rStyle w:val="Hyperlink"/>
          </w:rPr>
          <w:t>§ 29 Klagerücknahme</w:t>
        </w:r>
      </w:hyperlink>
    </w:p>
    <w:p w:rsidR="00BE1EFE" w:rsidRDefault="00C23DFA">
      <w:pPr>
        <w:pStyle w:val="StandardWeb"/>
      </w:pPr>
      <w:hyperlink r:id="rId2035" w:history="1">
        <w:r w:rsidR="00BE1EFE">
          <w:rPr>
            <w:rStyle w:val="Hyperlink"/>
          </w:rPr>
          <w:t>§ 30 Klageänderung</w:t>
        </w:r>
      </w:hyperlink>
    </w:p>
    <w:p w:rsidR="00BE1EFE" w:rsidRDefault="00C23DFA">
      <w:pPr>
        <w:pStyle w:val="StandardWeb"/>
      </w:pPr>
      <w:hyperlink r:id="rId2036" w:history="1">
        <w:r w:rsidR="00BE1EFE" w:rsidRPr="002D1F1D">
          <w:rPr>
            <w:rStyle w:val="Hyperlink"/>
          </w:rPr>
          <w:t>§ 31 Zustellung der Klage/Klageerwiderung</w:t>
        </w:r>
      </w:hyperlink>
    </w:p>
    <w:p w:rsidR="00BE1EFE" w:rsidRDefault="00C23DFA">
      <w:pPr>
        <w:pStyle w:val="StandardWeb"/>
      </w:pPr>
      <w:hyperlink r:id="rId2037" w:history="1">
        <w:r w:rsidR="00BE1EFE">
          <w:rPr>
            <w:rStyle w:val="Hyperlink"/>
          </w:rPr>
          <w:t>§ 32 Ladung zur mündlichen Verhandlung</w:t>
        </w:r>
      </w:hyperlink>
    </w:p>
    <w:p w:rsidR="00BE1EFE" w:rsidRDefault="00C23DFA">
      <w:pPr>
        <w:pStyle w:val="StandardWeb"/>
      </w:pPr>
      <w:hyperlink r:id="rId2038" w:history="1">
        <w:r w:rsidR="00BE1EFE" w:rsidRPr="002D1F1D">
          <w:rPr>
            <w:rStyle w:val="Hyperlink"/>
          </w:rPr>
          <w:t>§ 33 Vorbereitung der mündlichen Verhandlung</w:t>
        </w:r>
      </w:hyperlink>
    </w:p>
    <w:p w:rsidR="00BE1EFE" w:rsidRDefault="00C23DFA">
      <w:pPr>
        <w:pStyle w:val="StandardWeb"/>
      </w:pPr>
      <w:hyperlink r:id="rId2039" w:history="1">
        <w:r w:rsidR="00BE1EFE">
          <w:rPr>
            <w:rStyle w:val="Hyperlink"/>
          </w:rPr>
          <w:t>§ 34 Alleinentscheidung durch den Vorsitzenden</w:t>
        </w:r>
      </w:hyperlink>
    </w:p>
    <w:p w:rsidR="00BE1EFE" w:rsidRDefault="00C23DFA">
      <w:pPr>
        <w:pStyle w:val="StandardWeb"/>
      </w:pPr>
      <w:hyperlink r:id="rId2040" w:history="1">
        <w:r w:rsidR="00BE1EFE" w:rsidRPr="002D1F1D">
          <w:rPr>
            <w:rStyle w:val="Hyperlink"/>
          </w:rPr>
          <w:t>§ 35 Ablehnung von Gerichtspersonen</w:t>
        </w:r>
      </w:hyperlink>
    </w:p>
    <w:p w:rsidR="00BE1EFE" w:rsidRDefault="00C23DFA">
      <w:pPr>
        <w:pStyle w:val="StandardWeb"/>
      </w:pPr>
      <w:hyperlink r:id="rId2041" w:history="1">
        <w:r w:rsidR="00BE1EFE">
          <w:rPr>
            <w:rStyle w:val="Hyperlink"/>
          </w:rPr>
          <w:t>§ 36 Zustellungen und Fristen</w:t>
        </w:r>
      </w:hyperlink>
    </w:p>
    <w:p w:rsidR="00BE1EFE" w:rsidRDefault="00C23DFA">
      <w:pPr>
        <w:pStyle w:val="StandardWeb"/>
      </w:pPr>
      <w:hyperlink r:id="rId2042" w:history="1">
        <w:r w:rsidR="00BE1EFE" w:rsidRPr="002D1F1D">
          <w:rPr>
            <w:rStyle w:val="Hyperlink"/>
          </w:rPr>
          <w:t>§ 37 Wiedereinsetzung in versäumte Fristen</w:t>
        </w:r>
      </w:hyperlink>
    </w:p>
    <w:p w:rsidR="00BE1EFE" w:rsidRDefault="00BE1EFE">
      <w:pPr>
        <w:pStyle w:val="StandardWeb"/>
      </w:pPr>
    </w:p>
    <w:p w:rsidR="00BE1EFE" w:rsidRDefault="00BE1EFE">
      <w:pPr>
        <w:pStyle w:val="StandardWeb"/>
      </w:pPr>
      <w:r>
        <w:t>2. Unterabschnitt</w:t>
      </w:r>
    </w:p>
    <w:p w:rsidR="00BE1EFE" w:rsidRDefault="00BE1EFE">
      <w:pPr>
        <w:pStyle w:val="StandardWeb"/>
      </w:pPr>
      <w:r>
        <w:t>Mündliche Verhandlung</w:t>
      </w:r>
    </w:p>
    <w:p w:rsidR="00BE1EFE" w:rsidRDefault="00C23DFA">
      <w:pPr>
        <w:pStyle w:val="StandardWeb"/>
      </w:pPr>
      <w:hyperlink r:id="rId2043" w:history="1">
        <w:r w:rsidR="00BE1EFE" w:rsidRPr="002D1F1D">
          <w:rPr>
            <w:rStyle w:val="Hyperlink"/>
          </w:rPr>
          <w:t>§ 38 Gang der mündlichen Verhandlung</w:t>
        </w:r>
      </w:hyperlink>
    </w:p>
    <w:p w:rsidR="00BE1EFE" w:rsidRDefault="00C23DFA">
      <w:pPr>
        <w:pStyle w:val="StandardWeb"/>
      </w:pPr>
      <w:hyperlink r:id="rId2044" w:history="1">
        <w:r w:rsidR="00BE1EFE">
          <w:rPr>
            <w:rStyle w:val="Hyperlink"/>
          </w:rPr>
          <w:t>§ 39 Anhörung Dritter</w:t>
        </w:r>
      </w:hyperlink>
    </w:p>
    <w:p w:rsidR="00BE1EFE" w:rsidRDefault="00C23DFA">
      <w:pPr>
        <w:pStyle w:val="StandardWeb"/>
      </w:pPr>
      <w:hyperlink r:id="rId2045" w:history="1">
        <w:r w:rsidR="00BE1EFE" w:rsidRPr="002D1F1D">
          <w:rPr>
            <w:rStyle w:val="Hyperlink"/>
          </w:rPr>
          <w:t>§ 40 Beweisaufnahme</w:t>
        </w:r>
      </w:hyperlink>
    </w:p>
    <w:p w:rsidR="00BE1EFE" w:rsidRDefault="00C23DFA">
      <w:pPr>
        <w:pStyle w:val="StandardWeb"/>
      </w:pPr>
      <w:hyperlink r:id="rId2046" w:history="1">
        <w:r w:rsidR="00BE1EFE">
          <w:rPr>
            <w:rStyle w:val="Hyperlink"/>
          </w:rPr>
          <w:t>§ 41 Vergleich, Erledigung des Verfahrens</w:t>
        </w:r>
      </w:hyperlink>
    </w:p>
    <w:p w:rsidR="00BE1EFE" w:rsidRDefault="00C23DFA">
      <w:pPr>
        <w:pStyle w:val="StandardWeb"/>
      </w:pPr>
      <w:hyperlink r:id="rId2047" w:history="1">
        <w:r w:rsidR="00BE1EFE" w:rsidRPr="002D1F1D">
          <w:rPr>
            <w:rStyle w:val="Hyperlink"/>
          </w:rPr>
          <w:t>§ 42 Beratung und Abstimmung</w:t>
        </w:r>
      </w:hyperlink>
    </w:p>
    <w:p w:rsidR="00BE1EFE" w:rsidRDefault="00C23DFA">
      <w:pPr>
        <w:pStyle w:val="StandardWeb"/>
      </w:pPr>
      <w:hyperlink r:id="rId2048" w:history="1">
        <w:r w:rsidR="00BE1EFE">
          <w:rPr>
            <w:rStyle w:val="Hyperlink"/>
          </w:rPr>
          <w:t>§ 43 Urteil</w:t>
        </w:r>
      </w:hyperlink>
    </w:p>
    <w:p w:rsidR="00BE1EFE" w:rsidRDefault="00BE1EFE">
      <w:pPr>
        <w:pStyle w:val="StandardWeb"/>
      </w:pPr>
    </w:p>
    <w:p w:rsidR="00BE1EFE" w:rsidRDefault="00BE1EFE">
      <w:pPr>
        <w:pStyle w:val="StandardWeb"/>
      </w:pPr>
      <w:r>
        <w:t>3.Unterabschnitt</w:t>
      </w:r>
    </w:p>
    <w:p w:rsidR="00BE1EFE" w:rsidRDefault="00BE1EFE">
      <w:pPr>
        <w:pStyle w:val="StandardWeb"/>
      </w:pPr>
      <w:r>
        <w:t>Besondere Verfahrensarten</w:t>
      </w:r>
    </w:p>
    <w:p w:rsidR="00BE1EFE" w:rsidRDefault="00C23DFA">
      <w:pPr>
        <w:pStyle w:val="StandardWeb"/>
      </w:pPr>
      <w:hyperlink r:id="rId2049" w:history="1">
        <w:r w:rsidR="00BE1EFE" w:rsidRPr="002D1F1D">
          <w:rPr>
            <w:rStyle w:val="Hyperlink"/>
          </w:rPr>
          <w:t>§ 44 Auflösung der Mitarbeitervertretung/Verlust der Mitgliedschaft in der Mitarbeitervertretung</w:t>
        </w:r>
      </w:hyperlink>
    </w:p>
    <w:p w:rsidR="00BE1EFE" w:rsidRDefault="00C23DFA">
      <w:pPr>
        <w:pStyle w:val="StandardWeb"/>
      </w:pPr>
      <w:hyperlink r:id="rId2050" w:history="1">
        <w:r w:rsidR="00BE1EFE">
          <w:rPr>
            <w:rStyle w:val="Hyperlink"/>
          </w:rPr>
          <w:t>§ 44a Verlust der Mitgliedschaft in einer Kommission nach Art. 7 GrO</w:t>
        </w:r>
      </w:hyperlink>
    </w:p>
    <w:p w:rsidR="00BE1EFE" w:rsidRDefault="00C23DFA">
      <w:pPr>
        <w:pStyle w:val="StandardWeb"/>
      </w:pPr>
      <w:hyperlink r:id="rId2051" w:history="1">
        <w:r w:rsidR="00BE1EFE" w:rsidRPr="002D1F1D">
          <w:rPr>
            <w:rStyle w:val="Hyperlink"/>
          </w:rPr>
          <w:t>§ 44b Wahlprüfungsklage</w:t>
        </w:r>
      </w:hyperlink>
    </w:p>
    <w:p w:rsidR="00BE1EFE" w:rsidRDefault="00C23DFA">
      <w:pPr>
        <w:pStyle w:val="StandardWeb"/>
      </w:pPr>
      <w:hyperlink r:id="rId2052" w:history="1">
        <w:r w:rsidR="00BE1EFE">
          <w:rPr>
            <w:rStyle w:val="Hyperlink"/>
          </w:rPr>
          <w:t>§ 45 Organstreitverfahren über Zuständigkeit einer nach Art. 7 GrO gebildeten Kommission</w:t>
        </w:r>
      </w:hyperlink>
    </w:p>
    <w:p w:rsidR="00BE1EFE" w:rsidRDefault="00BE1EFE">
      <w:pPr>
        <w:pStyle w:val="StandardWeb"/>
      </w:pPr>
    </w:p>
    <w:p w:rsidR="00BE1EFE" w:rsidRDefault="00BE1EFE">
      <w:pPr>
        <w:pStyle w:val="StandardWeb"/>
      </w:pPr>
    </w:p>
    <w:p w:rsidR="00BE1EFE" w:rsidRDefault="00BE1EFE">
      <w:pPr>
        <w:pStyle w:val="StandardWeb"/>
      </w:pPr>
      <w:r>
        <w:t>2. Abschnitt</w:t>
      </w:r>
    </w:p>
    <w:p w:rsidR="00BE1EFE" w:rsidRDefault="00BE1EFE">
      <w:pPr>
        <w:pStyle w:val="StandardWeb"/>
      </w:pPr>
      <w:r>
        <w:t>Verfahren im zweiten Rechtszug</w:t>
      </w:r>
    </w:p>
    <w:p w:rsidR="00BE1EFE" w:rsidRDefault="00C23DFA">
      <w:pPr>
        <w:pStyle w:val="StandardWeb"/>
      </w:pPr>
      <w:hyperlink r:id="rId2053" w:history="1">
        <w:r w:rsidR="00BE1EFE" w:rsidRPr="002D1F1D">
          <w:rPr>
            <w:rStyle w:val="Hyperlink"/>
          </w:rPr>
          <w:t>§ 46 Anwendbares Recht</w:t>
        </w:r>
      </w:hyperlink>
    </w:p>
    <w:p w:rsidR="00BE1EFE" w:rsidRDefault="00C23DFA">
      <w:pPr>
        <w:pStyle w:val="StandardWeb"/>
      </w:pPr>
      <w:hyperlink r:id="rId2054" w:history="1">
        <w:r w:rsidR="00BE1EFE">
          <w:rPr>
            <w:rStyle w:val="Hyperlink"/>
          </w:rPr>
          <w:t>§ 47 Revision</w:t>
        </w:r>
      </w:hyperlink>
    </w:p>
    <w:p w:rsidR="00BE1EFE" w:rsidRDefault="00C23DFA">
      <w:pPr>
        <w:pStyle w:val="StandardWeb"/>
      </w:pPr>
      <w:hyperlink r:id="rId2055" w:history="1">
        <w:r w:rsidR="00BE1EFE" w:rsidRPr="002D1F1D">
          <w:rPr>
            <w:rStyle w:val="Hyperlink"/>
          </w:rPr>
          <w:t>§ 48 Nichtzulassungsbeschwerde</w:t>
        </w:r>
      </w:hyperlink>
    </w:p>
    <w:p w:rsidR="00BE1EFE" w:rsidRDefault="00C23DFA">
      <w:pPr>
        <w:pStyle w:val="StandardWeb"/>
      </w:pPr>
      <w:hyperlink r:id="rId2056" w:history="1">
        <w:r w:rsidR="00BE1EFE">
          <w:rPr>
            <w:rStyle w:val="Hyperlink"/>
          </w:rPr>
          <w:t>§ 49 Revisionsgründe</w:t>
        </w:r>
      </w:hyperlink>
    </w:p>
    <w:p w:rsidR="00BE1EFE" w:rsidRDefault="00C23DFA">
      <w:pPr>
        <w:pStyle w:val="StandardWeb"/>
      </w:pPr>
      <w:hyperlink r:id="rId2057" w:history="1">
        <w:r w:rsidR="00BE1EFE" w:rsidRPr="002D1F1D">
          <w:rPr>
            <w:rStyle w:val="Hyperlink"/>
          </w:rPr>
          <w:t>§ 50 Einlegung der Revision</w:t>
        </w:r>
      </w:hyperlink>
    </w:p>
    <w:p w:rsidR="00BE1EFE" w:rsidRDefault="00C23DFA">
      <w:pPr>
        <w:pStyle w:val="StandardWeb"/>
      </w:pPr>
      <w:hyperlink r:id="rId2058" w:history="1">
        <w:r w:rsidR="00BE1EFE">
          <w:rPr>
            <w:rStyle w:val="Hyperlink"/>
          </w:rPr>
          <w:t>§ 51 Revisionsentscheidung</w:t>
        </w:r>
      </w:hyperlink>
    </w:p>
    <w:p w:rsidR="00BE1EFE" w:rsidRDefault="00BE1EFE">
      <w:pPr>
        <w:pStyle w:val="StandardWeb"/>
      </w:pPr>
    </w:p>
    <w:p w:rsidR="00BE1EFE" w:rsidRDefault="00BE1EFE">
      <w:pPr>
        <w:pStyle w:val="StandardWeb"/>
      </w:pPr>
    </w:p>
    <w:p w:rsidR="00BE1EFE" w:rsidRDefault="00BE1EFE">
      <w:pPr>
        <w:pStyle w:val="StandardWeb"/>
      </w:pPr>
      <w:r>
        <w:t>3. Abschnitt</w:t>
      </w:r>
    </w:p>
    <w:p w:rsidR="00BE1EFE" w:rsidRDefault="00BE1EFE">
      <w:pPr>
        <w:pStyle w:val="StandardWeb"/>
      </w:pPr>
      <w:r>
        <w:t>Vorläufiger Rechtsschutz</w:t>
      </w:r>
    </w:p>
    <w:p w:rsidR="00BE1EFE" w:rsidRDefault="00C23DFA">
      <w:pPr>
        <w:pStyle w:val="StandardWeb"/>
      </w:pPr>
      <w:hyperlink r:id="rId2059" w:history="1">
        <w:r w:rsidR="00BE1EFE" w:rsidRPr="002D1F1D">
          <w:rPr>
            <w:rStyle w:val="Hyperlink"/>
          </w:rPr>
          <w:t>§ 52 Einstweilige Verfügung</w:t>
        </w:r>
      </w:hyperlink>
    </w:p>
    <w:p w:rsidR="00BE1EFE" w:rsidRDefault="00BE1EFE">
      <w:pPr>
        <w:pStyle w:val="StandardWeb"/>
      </w:pPr>
    </w:p>
    <w:p w:rsidR="00BE1EFE" w:rsidRDefault="00BE1EFE">
      <w:pPr>
        <w:pStyle w:val="StandardWeb"/>
      </w:pPr>
    </w:p>
    <w:p w:rsidR="00BE1EFE" w:rsidRDefault="00BE1EFE">
      <w:pPr>
        <w:pStyle w:val="StandardWeb"/>
      </w:pPr>
      <w:r>
        <w:t>4. Abschnitt</w:t>
      </w:r>
    </w:p>
    <w:p w:rsidR="00BE1EFE" w:rsidRDefault="00BE1EFE">
      <w:pPr>
        <w:pStyle w:val="StandardWeb"/>
      </w:pPr>
      <w:r>
        <w:t>Vollstreckung gerichtlicher Entscheidungen</w:t>
      </w:r>
    </w:p>
    <w:p w:rsidR="00BE1EFE" w:rsidRDefault="00C23DFA">
      <w:pPr>
        <w:pStyle w:val="StandardWeb"/>
      </w:pPr>
      <w:hyperlink r:id="rId2060" w:history="1">
        <w:r w:rsidR="00BE1EFE" w:rsidRPr="002D1F1D">
          <w:rPr>
            <w:rStyle w:val="Hyperlink"/>
          </w:rPr>
          <w:t>§ 53 Vollstreckungsmaßnahmen</w:t>
        </w:r>
      </w:hyperlink>
    </w:p>
    <w:p w:rsidR="00BE1EFE" w:rsidRDefault="00C23DFA">
      <w:pPr>
        <w:pStyle w:val="StandardWeb"/>
      </w:pPr>
      <w:hyperlink r:id="rId2061" w:history="1">
        <w:r w:rsidR="00BE1EFE">
          <w:rPr>
            <w:rStyle w:val="Hyperlink"/>
          </w:rPr>
          <w:t>§ 54 Vollstreckung von Willenserklärungen</w:t>
        </w:r>
      </w:hyperlink>
    </w:p>
    <w:p w:rsidR="00BE1EFE" w:rsidRDefault="00BE1EFE">
      <w:pPr>
        <w:pStyle w:val="StandardWeb"/>
      </w:pPr>
    </w:p>
    <w:p w:rsidR="00BE1EFE" w:rsidRDefault="00BE1EFE">
      <w:pPr>
        <w:pStyle w:val="StandardWeb"/>
      </w:pPr>
    </w:p>
    <w:p w:rsidR="00BE1EFE" w:rsidRDefault="00BE1EFE">
      <w:pPr>
        <w:pStyle w:val="StandardWeb"/>
      </w:pPr>
      <w:r>
        <w:t>5. Abschnitt</w:t>
      </w:r>
    </w:p>
    <w:p w:rsidR="00BE1EFE" w:rsidRDefault="00BE1EFE">
      <w:pPr>
        <w:pStyle w:val="StandardWeb"/>
      </w:pPr>
      <w:r>
        <w:t>Beschwerdeverfahren</w:t>
      </w:r>
    </w:p>
    <w:p w:rsidR="00BE1EFE" w:rsidRPr="00E81FAC" w:rsidRDefault="00C23DFA">
      <w:pPr>
        <w:pStyle w:val="StandardWeb"/>
      </w:pPr>
      <w:hyperlink r:id="rId2062" w:history="1">
        <w:r w:rsidR="00BE1EFE" w:rsidRPr="002D1F1D">
          <w:rPr>
            <w:rStyle w:val="Hyperlink"/>
          </w:rPr>
          <w:t>§ 55 Verfahrensbeschwerde</w:t>
        </w:r>
      </w:hyperlink>
    </w:p>
    <w:p w:rsidR="00BE1EFE" w:rsidRDefault="00BE1EFE">
      <w:pPr>
        <w:pStyle w:val="StandardWeb"/>
        <w:rPr>
          <w:b/>
          <w:bCs/>
        </w:rPr>
      </w:pPr>
    </w:p>
    <w:p w:rsidR="00BE1EFE" w:rsidRDefault="00BE1EFE">
      <w:pPr>
        <w:pStyle w:val="StandardWeb"/>
        <w:rPr>
          <w:b/>
          <w:bCs/>
        </w:rPr>
      </w:pPr>
    </w:p>
    <w:p w:rsidR="00BE1EFE" w:rsidRDefault="00BE1EFE">
      <w:pPr>
        <w:pStyle w:val="StandardWeb"/>
        <w:rPr>
          <w:b/>
          <w:bCs/>
        </w:rPr>
      </w:pPr>
    </w:p>
    <w:p w:rsidR="00BE1EFE" w:rsidRDefault="00BE1EFE" w:rsidP="0054275E">
      <w:pPr>
        <w:pStyle w:val="StandardWeb"/>
        <w:autoSpaceDE w:val="0"/>
        <w:rPr>
          <w:b/>
          <w:bCs/>
        </w:rPr>
      </w:pPr>
      <w:r>
        <w:rPr>
          <w:rStyle w:val="Fett"/>
          <w:bCs/>
        </w:rPr>
        <w:t>Vierter Teil</w:t>
      </w:r>
    </w:p>
    <w:p w:rsidR="00BE1EFE" w:rsidRDefault="00BE1EFE" w:rsidP="0054275E">
      <w:pPr>
        <w:pStyle w:val="StandardWeb"/>
        <w:autoSpaceDE w:val="0"/>
      </w:pPr>
      <w:r>
        <w:rPr>
          <w:rStyle w:val="Fett"/>
          <w:bCs/>
        </w:rPr>
        <w:t>Schlussvorschriften</w:t>
      </w:r>
    </w:p>
    <w:p w:rsidR="00BE1EFE" w:rsidRDefault="00C23DFA">
      <w:pPr>
        <w:pStyle w:val="StandardWeb"/>
      </w:pPr>
      <w:hyperlink r:id="rId2063" w:history="1">
        <w:r w:rsidR="00BE1EFE" w:rsidRPr="002D1F1D">
          <w:rPr>
            <w:rStyle w:val="Hyperlink"/>
          </w:rPr>
          <w:t>§ 56 Inkrafttreten</w:t>
        </w:r>
      </w:hyperlink>
      <w:r w:rsidR="00BE1EFE">
        <w:t> </w:t>
      </w:r>
    </w:p>
    <w:p w:rsidR="00BE1EFE" w:rsidRDefault="00BE1EFE">
      <w:pPr>
        <w:pStyle w:val="StandardWeb"/>
      </w:pPr>
    </w:p>
    <w:p w:rsidR="00BE1EFE" w:rsidRDefault="00BE1EFE">
      <w:pPr>
        <w:pStyle w:val="berschrift5"/>
      </w:pPr>
      <w:bookmarkStart w:id="1406" w:name="_Toc523926916"/>
      <w:r>
        <w:t>Präambel</w:t>
      </w:r>
      <w:bookmarkEnd w:id="1406"/>
    </w:p>
    <w:p w:rsidR="00BE1EFE" w:rsidRPr="00B76821" w:rsidRDefault="00BE1EFE" w:rsidP="00B76821">
      <w:pPr>
        <w:pStyle w:val="berschrift6"/>
        <w:keepNext w:val="0"/>
        <w:spacing w:before="0" w:after="0"/>
        <w:rPr>
          <w:sz w:val="2"/>
        </w:rPr>
      </w:pPr>
    </w:p>
    <w:p w:rsidR="00BE1EFE" w:rsidRPr="000B1AF8" w:rsidRDefault="00BE1EFE">
      <w:pPr>
        <w:pStyle w:val="StandardWeb"/>
      </w:pPr>
      <w:r>
        <w:t>Die Deutsche Bischofskonferenz erlässt aufgrund eines besonderen Mandats des Aposto</w:t>
      </w:r>
      <w:r>
        <w:softHyphen/>
        <w:t xml:space="preserve">lischen Stuhles gemäß </w:t>
      </w:r>
      <w:hyperlink r:id="rId2064" w:tgtFrame="_blank" w:history="1">
        <w:r>
          <w:rPr>
            <w:rStyle w:val="Hyperlink"/>
          </w:rPr>
          <w:t>can. 455 § 1 CIC</w:t>
        </w:r>
      </w:hyperlink>
      <w:r>
        <w:t xml:space="preserve"> in Wahrnehmung der der Kirche durch das Grund</w:t>
      </w:r>
      <w:r>
        <w:softHyphen/>
        <w:t>gesetz für die Bundesrepublik Deutschland garantierten Freiheit, ihre Angelegenheiten selbständig innerhalb der Schranken des für alle geltenden Gesetzes zu ordnen,</w:t>
      </w:r>
    </w:p>
    <w:p w:rsidR="00BE1EFE" w:rsidRPr="000B1AF8" w:rsidRDefault="00BE1EFE">
      <w:pPr>
        <w:pStyle w:val="StandardWeb"/>
      </w:pPr>
    </w:p>
    <w:p w:rsidR="00BE1EFE" w:rsidRDefault="00BE1EFE">
      <w:pPr>
        <w:pStyle w:val="StandardWeb"/>
      </w:pPr>
      <w:r>
        <w:t>– zur Sicherung der Glaubwürdigkeit der Einrichtungen, welche die Kirche unterhält und aner</w:t>
      </w:r>
      <w:r>
        <w:softHyphen/>
        <w:t>kennt, um ihren Auftrag in der Gesellschaft wirksam wahrnehmen zu können,</w:t>
      </w:r>
    </w:p>
    <w:p w:rsidR="00BE1EFE" w:rsidRDefault="00BE1EFE">
      <w:pPr>
        <w:pStyle w:val="StandardWeb"/>
      </w:pPr>
    </w:p>
    <w:p w:rsidR="00BE1EFE" w:rsidRDefault="00BE1EFE">
      <w:pPr>
        <w:pStyle w:val="StandardWeb"/>
      </w:pPr>
      <w:r>
        <w:t xml:space="preserve">– zur Herstellung und Gewährleistung eines wirksamen gerichtlichen Rechtsschutzes auf den Gebieten der kirchlichen Ordnungen für das Zustandekommen von arbeitsvertragsrechtlichen Regelungen und das Mitarbeitervertretungsrecht, wie dies in </w:t>
      </w:r>
      <w:hyperlink r:id="rId2065" w:history="1">
        <w:r w:rsidRPr="002D1F1D">
          <w:rPr>
            <w:rStyle w:val="Hyperlink"/>
          </w:rPr>
          <w:t>Artikel 10 Absatz 2</w:t>
        </w:r>
      </w:hyperlink>
      <w:r>
        <w:t xml:space="preserve"> der „</w:t>
      </w:r>
      <w:hyperlink r:id="rId2066" w:history="1">
        <w:r w:rsidRPr="002D1F1D">
          <w:rPr>
            <w:rStyle w:val="Hyperlink"/>
          </w:rPr>
          <w:t>Grundordnung des kirchlichen Dienstes im Rahmen kirchlicher Arbeitsverhältnisse“ (GrO)</w:t>
        </w:r>
      </w:hyperlink>
      <w:r>
        <w:t xml:space="preserve"> vorgesehen ist,</w:t>
      </w:r>
    </w:p>
    <w:p w:rsidR="00BE1EFE" w:rsidRDefault="00BE1EFE">
      <w:pPr>
        <w:pStyle w:val="StandardWeb"/>
      </w:pPr>
    </w:p>
    <w:p w:rsidR="00BE1EFE" w:rsidRDefault="00BE1EFE">
      <w:pPr>
        <w:pStyle w:val="StandardWeb"/>
      </w:pPr>
      <w:r>
        <w:t>– zur Sicherstellung einer einheitlichen Auslegung und Anwendung der in den deutschen Bistümern übereinstimmend geltenden arbeitsrechtlichen Grundlagen die folgende Ordnung:</w:t>
      </w:r>
    </w:p>
    <w:p w:rsidR="00BE1EFE" w:rsidRDefault="00BE1EFE" w:rsidP="002041C7">
      <w:pPr>
        <w:pStyle w:val="StandardWeb"/>
        <w:rPr>
          <w:b/>
          <w:sz w:val="20"/>
          <w:szCs w:val="20"/>
        </w:rPr>
      </w:pPr>
    </w:p>
    <w:p w:rsidR="00BE1EFE" w:rsidRPr="00DF2AAC" w:rsidRDefault="00BE1EFE" w:rsidP="007540E4">
      <w:pPr>
        <w:pStyle w:val="berschrift5"/>
      </w:pPr>
      <w:bookmarkStart w:id="1407" w:name="_Toc523926917"/>
      <w:r w:rsidRPr="002041C7">
        <w:lastRenderedPageBreak/>
        <w:t>Erster T</w:t>
      </w:r>
      <w:r>
        <w:t>eil – Allgemeine Vorschriften –</w:t>
      </w:r>
      <w:bookmarkEnd w:id="1407"/>
    </w:p>
    <w:p w:rsidR="00BE1EFE" w:rsidRDefault="00BE1EFE">
      <w:pPr>
        <w:pStyle w:val="berschrift6"/>
      </w:pPr>
      <w:bookmarkStart w:id="1408" w:name="_Toc523926918"/>
      <w:r>
        <w:t>§ 1 Kirchliche Gerichte für Arbeitssachen</w:t>
      </w:r>
      <w:bookmarkEnd w:id="140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Die Gerichtsbarkeit in kirchlichen Arbeitssachen </w:t>
      </w:r>
      <w:hyperlink r:id="rId2067" w:history="1">
        <w:r w:rsidRPr="002D1F1D">
          <w:rPr>
            <w:rStyle w:val="Hyperlink"/>
          </w:rPr>
          <w:t>(§ 2)</w:t>
        </w:r>
      </w:hyperlink>
      <w:r>
        <w:t xml:space="preserve"> wird in erster Instanz durch Kirchliche Arbeitsgerichte und in zweiter Instanz durch den Kirchlichen Arbeitsgerichtshof ausgeübt.</w:t>
      </w:r>
    </w:p>
    <w:p w:rsidR="00BE1EFE" w:rsidRDefault="00BE1EFE">
      <w:pPr>
        <w:pStyle w:val="berschrift6"/>
      </w:pPr>
      <w:bookmarkStart w:id="1409" w:name="_Toc523926919"/>
      <w:r>
        <w:t>§ 2 Sachliche Zuständigkeit</w:t>
      </w:r>
      <w:bookmarkEnd w:id="140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Die kirchlichen Gerichte für Arbeitssachen sind zuständig für Rechtsstreitigkeiten aus dem Recht der nach </w:t>
      </w:r>
      <w:hyperlink r:id="rId2068" w:history="1">
        <w:r w:rsidRPr="002D1F1D">
          <w:rPr>
            <w:rStyle w:val="Hyperlink"/>
          </w:rPr>
          <w:t>Art. 7 GrO</w:t>
        </w:r>
      </w:hyperlink>
      <w:r>
        <w:t xml:space="preserve"> gebildeten Kommissionen zur Ordnung des Arbeitsvertragsrechts.</w:t>
      </w:r>
    </w:p>
    <w:p w:rsidR="00BE1EFE" w:rsidRPr="000B1AF8" w:rsidRDefault="00BE1EFE">
      <w:pPr>
        <w:pStyle w:val="StandardWeb"/>
      </w:pPr>
    </w:p>
    <w:p w:rsidR="00BE1EFE" w:rsidRDefault="00BE1EFE">
      <w:pPr>
        <w:pStyle w:val="StandardWeb"/>
      </w:pPr>
      <w:r>
        <w:t>(2) Die kirchlichen Gerichte für Arbeitssachen sind ferner zuständig für Rechtsstreitigkeiten aus dem Mitarbeitervertretungsrecht sowie dem Recht der Mitwirkung in Caritas-Werkstätten für Menschen mit Behinderungen einschließlich des Wahlverfahrensrechts und des Verfahrens vor der Einigungsstelle.</w:t>
      </w:r>
    </w:p>
    <w:p w:rsidR="00BE1EFE" w:rsidRDefault="00BE1EFE">
      <w:pPr>
        <w:pStyle w:val="StandardWeb"/>
      </w:pPr>
    </w:p>
    <w:p w:rsidR="00BE1EFE" w:rsidRDefault="00BE1EFE">
      <w:pPr>
        <w:pStyle w:val="StandardWeb"/>
      </w:pPr>
      <w:r>
        <w:t>(3) Die Zuständigkeit der kirchlichen Gerichte für Arbeitssachen ist nicht gegeben für Streitigkeiten aus dem Arbeitsverhältnis.</w:t>
      </w:r>
    </w:p>
    <w:p w:rsidR="00BE1EFE" w:rsidRDefault="00BE1EFE">
      <w:pPr>
        <w:pStyle w:val="StandardWeb"/>
      </w:pPr>
    </w:p>
    <w:p w:rsidR="00BE1EFE" w:rsidRDefault="00BE1EFE">
      <w:pPr>
        <w:pStyle w:val="StandardWeb"/>
      </w:pPr>
      <w:r>
        <w:t>(4) Ein besonderes Verfahren zur Überprüfung der Rechtmäßigkeit von kirchlichen Rechts</w:t>
      </w:r>
      <w:r>
        <w:softHyphen/>
        <w:t>normen (Normenkontrollverfahren) findet nicht statt.</w:t>
      </w:r>
    </w:p>
    <w:p w:rsidR="00BE1EFE" w:rsidRDefault="00BE1EFE">
      <w:pPr>
        <w:pStyle w:val="berschrift6"/>
      </w:pPr>
      <w:bookmarkStart w:id="1410" w:name="_Toc523926920"/>
      <w:r>
        <w:t>§ 3 Örtliche Zuständigkeit</w:t>
      </w:r>
      <w:bookmarkEnd w:id="141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Das Gericht, in dessen Dienstbezirk eine beteiligungsfähige Person (</w:t>
      </w:r>
      <w:hyperlink r:id="rId2069" w:history="1">
        <w:r w:rsidRPr="002D1F1D">
          <w:rPr>
            <w:rStyle w:val="Hyperlink"/>
          </w:rPr>
          <w:t>§ 8</w:t>
        </w:r>
      </w:hyperlink>
      <w:r>
        <w:t xml:space="preserve">) ihren Sitz hat, ist für alle gegen sie zu erhebenden Klagen zuständig. </w:t>
      </w:r>
      <w:r>
        <w:rPr>
          <w:rStyle w:val="kleinschrift"/>
        </w:rPr>
        <w:t>2</w:t>
      </w:r>
      <w:r>
        <w:t>Ist der Beklagte eine natürliche Person, bestimmt sich der Gerichtsstand nach dem dienstlichen Einsatzort des Beklagten.</w:t>
      </w:r>
    </w:p>
    <w:p w:rsidR="00BE1EFE" w:rsidRPr="000B1AF8" w:rsidRDefault="00BE1EFE">
      <w:pPr>
        <w:pStyle w:val="StandardWeb"/>
      </w:pPr>
    </w:p>
    <w:p w:rsidR="00BE1EFE" w:rsidRDefault="00BE1EFE">
      <w:pPr>
        <w:pStyle w:val="StandardWeb"/>
      </w:pPr>
      <w:r>
        <w:t>(2) </w:t>
      </w:r>
      <w:r>
        <w:rPr>
          <w:rStyle w:val="kleinschrift"/>
        </w:rPr>
        <w:t>1</w:t>
      </w:r>
      <w:r>
        <w:t xml:space="preserve">In Rechtsstreitigkeiten nach </w:t>
      </w:r>
      <w:hyperlink r:id="rId2070" w:history="1">
        <w:r w:rsidRPr="002D1F1D">
          <w:rPr>
            <w:rStyle w:val="Hyperlink"/>
          </w:rPr>
          <w:t>§ 2 Absatz 1</w:t>
        </w:r>
      </w:hyperlink>
      <w:r>
        <w:t xml:space="preserve"> ist das Gericht ausschließlich zuständig, in dessen Dienstbezirk die Geschäftsstelle der Kommission ihren Sitz hat. </w:t>
      </w:r>
      <w:r>
        <w:rPr>
          <w:rStyle w:val="kleinschrift"/>
        </w:rPr>
        <w:t>2</w:t>
      </w:r>
      <w:r>
        <w:t>Sind mehrere Kommissionen am Verfahren beteiligt, ist das für die beklagte Kommission errichtete Gericht ausschließlich zuständig.</w:t>
      </w:r>
    </w:p>
    <w:p w:rsidR="00BE1EFE" w:rsidRDefault="00BE1EFE">
      <w:pPr>
        <w:pStyle w:val="StandardWeb"/>
      </w:pPr>
    </w:p>
    <w:p w:rsidR="00BE1EFE" w:rsidRDefault="00BE1EFE">
      <w:pPr>
        <w:pStyle w:val="StandardWeb"/>
      </w:pPr>
      <w:r>
        <w:t xml:space="preserve">(3) In Rechtsstreitigkeiten nach </w:t>
      </w:r>
      <w:hyperlink r:id="rId2071" w:history="1">
        <w:r w:rsidRPr="002D1F1D">
          <w:rPr>
            <w:rStyle w:val="Hyperlink"/>
          </w:rPr>
          <w:t>§ 2 Absatz 2</w:t>
        </w:r>
      </w:hyperlink>
      <w:r>
        <w:t>, an denen ein mehrdiözesaner und über</w:t>
      </w:r>
      <w:r>
        <w:softHyphen/>
        <w:t>diözesaner Rechtsträger beteiligt ist, ist das Gericht ausschließlich zuständig, in dessen Dienstbezirk sich der Sitz der Hauptniederlassung des Rechtsträgers eines Verfahrens</w:t>
      </w:r>
      <w:r>
        <w:softHyphen/>
        <w:t>beteiligten befindet, soweit nicht durch Gesetz eine hiervon abweichende Regelung der örtlichen Zuständigkeit getroffen wird.</w:t>
      </w:r>
    </w:p>
    <w:p w:rsidR="00BE1EFE" w:rsidRDefault="00BE1EFE">
      <w:pPr>
        <w:pStyle w:val="berschrift6"/>
      </w:pPr>
      <w:bookmarkStart w:id="1411" w:name="_Toc523926921"/>
      <w:r>
        <w:t>§ 4 Besetzung der Gerichte</w:t>
      </w:r>
      <w:bookmarkEnd w:id="141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kirchlichen Gerichte für Arbeitssachen sind mit Personen, welche die Befähigung zum Richteramt nach staatlichem oder kirchlichem Recht besitzen, und mit ehrenamtlichen Richtern (beisitzenden Richtern) aus den Kreisen der Dienstgeber und Mitarbeiter, welche nach Maßgabe dieser Ordnung stimmberechtigt an der Entscheidungsfindung mitwirken, besetzt.</w:t>
      </w:r>
    </w:p>
    <w:p w:rsidR="00BE1EFE" w:rsidRDefault="00BE1EFE">
      <w:pPr>
        <w:pStyle w:val="berschrift6"/>
      </w:pPr>
      <w:bookmarkStart w:id="1412" w:name="_Toc523926922"/>
      <w:r>
        <w:lastRenderedPageBreak/>
        <w:t>§ 5 Aufbringung der Mittel</w:t>
      </w:r>
      <w:bookmarkEnd w:id="1412"/>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Kosten des Kirchlichen Arbeitsgerichts trägt das Bistum, für das es errichtet ist. </w:t>
      </w:r>
      <w:r>
        <w:rPr>
          <w:rStyle w:val="kleinschrift"/>
        </w:rPr>
        <w:t>2</w:t>
      </w:r>
      <w:r>
        <w:t>Im Falle der Errichtung eines gemeinsamen Kirchlichen Arbeitsgerichts durch mehrere Diözesanbischöfe (</w:t>
      </w:r>
      <w:hyperlink r:id="rId2072" w:history="1">
        <w:r w:rsidRPr="002D1F1D">
          <w:rPr>
            <w:rStyle w:val="Hyperlink"/>
          </w:rPr>
          <w:t>§ 14 Absatz 2</w:t>
        </w:r>
      </w:hyperlink>
      <w:r>
        <w:t xml:space="preserve">) tragen die beteiligten Bistümer die Kosten nach einem zwischen ihnen vereinbarten Verteilungsmaßstab. </w:t>
      </w:r>
      <w:r>
        <w:rPr>
          <w:rStyle w:val="kleinschrift"/>
        </w:rPr>
        <w:t>3</w:t>
      </w:r>
      <w:r>
        <w:t>Die Kosten des Kirchlichen Arbeitsgerichtshofs trägt der Verband der Diözesen Deutschlands.</w:t>
      </w:r>
    </w:p>
    <w:p w:rsidR="00BE1EFE" w:rsidRDefault="00BE1EFE">
      <w:pPr>
        <w:pStyle w:val="berschrift6"/>
      </w:pPr>
      <w:bookmarkStart w:id="1413" w:name="_Toc523926923"/>
      <w:r>
        <w:t>§ 6 Gang des Verfahrens</w:t>
      </w:r>
      <w:bookmarkEnd w:id="141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Im ersten Rechtszug ist das Kirchliche Arbeitsgericht zuständig.</w:t>
      </w:r>
    </w:p>
    <w:p w:rsidR="00BE1EFE" w:rsidRPr="000B1AF8" w:rsidRDefault="00BE1EFE">
      <w:pPr>
        <w:pStyle w:val="StandardWeb"/>
      </w:pPr>
    </w:p>
    <w:p w:rsidR="00BE1EFE" w:rsidRDefault="00BE1EFE" w:rsidP="007F5EEF">
      <w:pPr>
        <w:pStyle w:val="StandardWeb"/>
      </w:pPr>
      <w:r>
        <w:t xml:space="preserve">(2) Gegen das Urteil des Kirchlichen Arbeitsgerichts findet die Revision an den Kirchlichen Arbeitsgerichtshof nach Maßgabe des </w:t>
      </w:r>
      <w:hyperlink r:id="rId2073" w:history="1">
        <w:r w:rsidRPr="002D1F1D">
          <w:rPr>
            <w:rStyle w:val="Hyperlink"/>
          </w:rPr>
          <w:t>§ 47</w:t>
        </w:r>
      </w:hyperlink>
      <w:r>
        <w:t xml:space="preserve"> statt.</w:t>
      </w:r>
    </w:p>
    <w:p w:rsidR="00BE1EFE" w:rsidRDefault="00BE1EFE">
      <w:pPr>
        <w:pStyle w:val="berschrift6"/>
      </w:pPr>
      <w:bookmarkStart w:id="1414" w:name="_Toc523926924"/>
      <w:r>
        <w:t>§ 7 Verfahrensgrundsätze</w:t>
      </w:r>
      <w:bookmarkEnd w:id="1414"/>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Das Gericht entscheidet, soweit diese Ordnung nichts anderes bestimmt, auf Grund mündlicher Verhandlung durch Urteil. </w:t>
      </w:r>
      <w:r>
        <w:rPr>
          <w:rStyle w:val="kleinschrift"/>
        </w:rPr>
        <w:t>2</w:t>
      </w:r>
      <w:r>
        <w:t>Mit Einverständnis der Beteiligten kann das Gericht ohne mündliche Verhandlung entscheiden.</w:t>
      </w:r>
    </w:p>
    <w:p w:rsidR="00BE1EFE" w:rsidRDefault="00BE1EFE">
      <w:pPr>
        <w:jc w:val="both"/>
      </w:pPr>
    </w:p>
    <w:p w:rsidR="00BE1EFE" w:rsidRPr="000B1AF8" w:rsidRDefault="00BE1EFE">
      <w:pPr>
        <w:pStyle w:val="StandardWeb"/>
      </w:pPr>
      <w:r>
        <w:t>(2) </w:t>
      </w:r>
      <w:r>
        <w:rPr>
          <w:rStyle w:val="kleinschrift"/>
        </w:rPr>
        <w:t>1</w:t>
      </w:r>
      <w:r>
        <w:t xml:space="preserve">Die Verhandlung einschließlich der Beweisaufnahme ist öffentlich. </w:t>
      </w:r>
      <w:r>
        <w:rPr>
          <w:rStyle w:val="kleinschrift"/>
        </w:rPr>
        <w:t>2</w:t>
      </w:r>
      <w:r>
        <w:t xml:space="preserve">Das Gericht kann die Öffentlichkeit für die Verhandlung oder für einen Teil der Verhandlung aus wichtigem Grund ausschließen, insbesondere wenn durch die Öffentlichkeit eine erhebliche Beeinträchtigung kirchlicher Belange oder schutzwürdiger Interessen eines Beteiligten zu besorgen ist oder wenn Dienstgeheimnisse zum Gegenstand der Verhandlung oder der Beweisaufnahme gemacht werden. </w:t>
      </w:r>
      <w:r>
        <w:rPr>
          <w:rStyle w:val="kleinschrift"/>
        </w:rPr>
        <w:t>3</w:t>
      </w:r>
      <w:r>
        <w:t>Die Entscheidung wird auch im Fall des Satzes 2 öffentlich verkündet.</w:t>
      </w:r>
    </w:p>
    <w:p w:rsidR="00BE1EFE" w:rsidRPr="000B1AF8" w:rsidRDefault="00BE1EFE">
      <w:pPr>
        <w:pStyle w:val="StandardWeb"/>
      </w:pPr>
    </w:p>
    <w:p w:rsidR="00BE1EFE" w:rsidRDefault="00BE1EFE">
      <w:pPr>
        <w:pStyle w:val="StandardWeb"/>
      </w:pPr>
      <w:r>
        <w:t>(3) </w:t>
      </w:r>
      <w:r>
        <w:rPr>
          <w:rStyle w:val="kleinschrift"/>
        </w:rPr>
        <w:t>1</w:t>
      </w:r>
      <w:r>
        <w:t xml:space="preserve">Das Gericht erforscht den Sachverhalt von Amts wegen. </w:t>
      </w:r>
      <w:r>
        <w:rPr>
          <w:rStyle w:val="kleinschrift"/>
        </w:rPr>
        <w:t>2</w:t>
      </w:r>
      <w:r>
        <w:t xml:space="preserve">Die am Verfahren Beteiligten haben an der Aufklärung des Sachverhalts mitzuwirken. </w:t>
      </w:r>
      <w:r>
        <w:rPr>
          <w:rStyle w:val="kleinschrift"/>
        </w:rPr>
        <w:t>3</w:t>
      </w:r>
      <w:r>
        <w:t>Zur Aufklärung des Sachverhalts können Urkunden eingesehen, Auskünfte eingeholt, Zeugen, Sachverständige und Beteiligte vernommen und ein Augenschein eingenommen werden.</w:t>
      </w:r>
    </w:p>
    <w:p w:rsidR="00BE1EFE" w:rsidRDefault="00BE1EFE">
      <w:pPr>
        <w:pStyle w:val="StandardWeb"/>
      </w:pPr>
    </w:p>
    <w:p w:rsidR="00BE1EFE" w:rsidRDefault="00BE1EFE">
      <w:pPr>
        <w:pStyle w:val="StandardWeb"/>
      </w:pPr>
      <w:r>
        <w:t>(4) </w:t>
      </w:r>
      <w:r>
        <w:rPr>
          <w:rStyle w:val="kleinschrift"/>
        </w:rPr>
        <w:t>1</w:t>
      </w:r>
      <w:r>
        <w:t xml:space="preserve">Alle mit einem befristeten Rechtsmittel anfechtbaren Entscheidungen enthalten die Belehrung über das Rechtsmittel. </w:t>
      </w:r>
      <w:r>
        <w:rPr>
          <w:rStyle w:val="kleinschrift"/>
        </w:rPr>
        <w:t>2</w:t>
      </w:r>
      <w:r>
        <w:t xml:space="preserve">Soweit ein Rechtsmittel nicht gegeben ist, ist eine entsprechende Belehrung zu erteilen. </w:t>
      </w:r>
      <w:r>
        <w:rPr>
          <w:rStyle w:val="kleinschrift"/>
        </w:rPr>
        <w:t>3</w:t>
      </w:r>
      <w:r>
        <w:t xml:space="preserve">Die Frist für ein Rechtsmittel beginnt nur, wenn der Beteiligte über das Rechtsmittel und das Gericht, bei dem das Rechtsmittel einzulegen ist, die Anschrift des Gerichts und die einzuhaltende Frist und Form schriftlich belehrt worden ist. </w:t>
      </w:r>
      <w:r>
        <w:rPr>
          <w:rStyle w:val="kleinschrift"/>
        </w:rPr>
        <w:t>4</w:t>
      </w:r>
      <w:r>
        <w:t>Ist die Belehrung unterblieben oder unrichtig erteilt, so ist die Einlegung des Rechtsmittels nur innerhalb eines Jahres seit Zustellung der Entscheidung zulässig.</w:t>
      </w:r>
    </w:p>
    <w:p w:rsidR="00BE1EFE" w:rsidRDefault="00BE1EFE">
      <w:pPr>
        <w:pStyle w:val="StandardWeb"/>
      </w:pPr>
    </w:p>
    <w:p w:rsidR="00BE1EFE" w:rsidRDefault="00BE1EFE">
      <w:pPr>
        <w:pStyle w:val="StandardWeb"/>
      </w:pPr>
      <w:r>
        <w:t>(5) Das Gericht soll in jeder Lage des Verfahrens auf eine gütliche Beilegung des Rechtsstreits hinwirken.</w:t>
      </w:r>
    </w:p>
    <w:p w:rsidR="00BE1EFE" w:rsidRDefault="00BE1EFE">
      <w:pPr>
        <w:pStyle w:val="berschrift6"/>
      </w:pPr>
      <w:bookmarkStart w:id="1415" w:name="_Toc523926925"/>
      <w:r>
        <w:t>§ 8 Verfahrensbeteiligte</w:t>
      </w:r>
      <w:bookmarkEnd w:id="1415"/>
    </w:p>
    <w:p w:rsidR="00BE1EFE" w:rsidRPr="00B76821" w:rsidRDefault="00BE1EFE" w:rsidP="00B76821">
      <w:pPr>
        <w:pStyle w:val="h7"/>
        <w:keepNext w:val="0"/>
        <w:spacing w:before="0" w:after="0"/>
        <w:jc w:val="left"/>
        <w:outlineLvl w:val="5"/>
        <w:rPr>
          <w:sz w:val="2"/>
        </w:rPr>
      </w:pPr>
    </w:p>
    <w:p w:rsidR="00BE1EFE" w:rsidRDefault="00BE1EFE">
      <w:pPr>
        <w:jc w:val="both"/>
      </w:pPr>
      <w:r>
        <w:t xml:space="preserve">(1) In Rechtsstreitigkeiten gemäß </w:t>
      </w:r>
      <w:hyperlink r:id="rId2074" w:history="1">
        <w:r w:rsidRPr="002D1F1D">
          <w:rPr>
            <w:rStyle w:val="Hyperlink"/>
          </w:rPr>
          <w:t>§ 2 Absatz 1</w:t>
        </w:r>
      </w:hyperlink>
      <w:r>
        <w:t xml:space="preserve"> können beteiligt sein:</w:t>
      </w:r>
    </w:p>
    <w:p w:rsidR="00BE1EFE" w:rsidRDefault="00BE1EFE">
      <w:pPr>
        <w:jc w:val="both"/>
      </w:pPr>
      <w:r>
        <w:t xml:space="preserve">a) in allen Angelegenheiten die Hälfte der Mitglieder der nach </w:t>
      </w:r>
      <w:hyperlink r:id="rId2075" w:history="1">
        <w:r w:rsidRPr="002D1F1D">
          <w:rPr>
            <w:rStyle w:val="Hyperlink"/>
          </w:rPr>
          <w:t>Artikel 7 GrO</w:t>
        </w:r>
      </w:hyperlink>
      <w:r>
        <w:t xml:space="preserve"> gebildeten Kommission oder die Mehrheit der Mitglieder der Dienstgeber- bzw. Mitarbeiterseite der Kommission,</w:t>
      </w:r>
    </w:p>
    <w:p w:rsidR="00BE1EFE" w:rsidRDefault="00BE1EFE">
      <w:pPr>
        <w:jc w:val="both"/>
      </w:pPr>
      <w:r>
        <w:lastRenderedPageBreak/>
        <w:t>b) in Angelegenheiten, welche die eigene Rechtsstellung als Kommissions-Mitglied betreffen, das einzelne Mitglied der Kommission und der Dienstgeber,</w:t>
      </w:r>
    </w:p>
    <w:p w:rsidR="00BE1EFE" w:rsidRDefault="00BE1EFE">
      <w:pPr>
        <w:jc w:val="both"/>
      </w:pPr>
      <w:r>
        <w:t xml:space="preserve">c) in Angelegenheiten des Wahlverfahrensrechts darüber hinaus der Dienstgeber, der einzelne Mitarbeiter und die Wahlorgane und die Koalitionen nach </w:t>
      </w:r>
      <w:hyperlink r:id="rId2076" w:history="1">
        <w:r w:rsidRPr="002D1F1D">
          <w:rPr>
            <w:rStyle w:val="Hyperlink"/>
          </w:rPr>
          <w:t>Artikel 6 GrO</w:t>
        </w:r>
      </w:hyperlink>
      <w:r>
        <w:t>,</w:t>
      </w:r>
    </w:p>
    <w:p w:rsidR="00BE1EFE" w:rsidRDefault="00BE1EFE">
      <w:pPr>
        <w:jc w:val="both"/>
      </w:pPr>
      <w:r>
        <w:t xml:space="preserve">d) in Angelegenheiten welche die Rechtsstellung der Koalition nach </w:t>
      </w:r>
      <w:hyperlink r:id="rId2077" w:history="1">
        <w:r w:rsidRPr="002D1F1D">
          <w:rPr>
            <w:rStyle w:val="Hyperlink"/>
          </w:rPr>
          <w:t>Artikel 6 GrO</w:t>
        </w:r>
      </w:hyperlink>
      <w:r>
        <w:t xml:space="preserve"> betreffen, die anerkannte Koalition.</w:t>
      </w:r>
    </w:p>
    <w:p w:rsidR="00BE1EFE" w:rsidRDefault="00BE1EFE">
      <w:pPr>
        <w:jc w:val="both"/>
      </w:pPr>
    </w:p>
    <w:p w:rsidR="00BE1EFE" w:rsidRDefault="00BE1EFE">
      <w:pPr>
        <w:pStyle w:val="StandardWeb"/>
      </w:pPr>
      <w:r>
        <w:t xml:space="preserve">(2) In Rechtsstreitigkeiten gemäß </w:t>
      </w:r>
      <w:hyperlink r:id="rId2078" w:history="1">
        <w:r w:rsidRPr="002D1F1D">
          <w:rPr>
            <w:rStyle w:val="Hyperlink"/>
          </w:rPr>
          <w:t>§ 2 Absatz 2</w:t>
        </w:r>
      </w:hyperlink>
      <w:r>
        <w:t xml:space="preserve"> können beteiligt sein:</w:t>
      </w:r>
    </w:p>
    <w:p w:rsidR="00BE1EFE" w:rsidRDefault="00BE1EFE">
      <w:pPr>
        <w:pStyle w:val="StandardWeb"/>
      </w:pPr>
      <w:r>
        <w:t>a) in Angelegenheiten der Mitarbeitervertretungsordnung einschließlich des Verfahrens vor der Einigungsstelle die Mitarbeitervertretung und der Dienstgeber,</w:t>
      </w:r>
    </w:p>
    <w:p w:rsidR="00BE1EFE" w:rsidRDefault="00BE1EFE">
      <w:pPr>
        <w:pStyle w:val="StandardWeb"/>
      </w:pPr>
      <w:r>
        <w:t>b) in Angelegenheiten des Wahlverfahrensrechts und des Rechts der Mitarbeiterversammlung die Mitarbeitervertretung, der Dienstgeber und der einzelne Mitarbeiter und die Wahlorgane,</w:t>
      </w:r>
    </w:p>
    <w:p w:rsidR="00BE1EFE" w:rsidRDefault="00BE1EFE">
      <w:pPr>
        <w:pStyle w:val="StandardWeb"/>
      </w:pPr>
      <w:r>
        <w:t>c) in Angelegenheiten aus dem Recht der Arbeitsgemeinschaften für Mitarbeitervertretungen die Organe der Arbeitsgemeinschaft, der Dienstgeber und die (Erz-)Bistümer bzw. Diözesan-Caritasverbände,</w:t>
      </w:r>
    </w:p>
    <w:p w:rsidR="00BE1EFE" w:rsidRDefault="00BE1EFE">
      <w:pPr>
        <w:pStyle w:val="StandardWeb"/>
      </w:pPr>
      <w:r>
        <w:t>d) in Angelegenheiten aus dem Recht der Mitwirkung in Caritas-Werkstätten für Menschen mit Behinderungen der Werkstattrat und der Rechtsträger der Werkstatt,</w:t>
      </w:r>
    </w:p>
    <w:p w:rsidR="00BE1EFE" w:rsidRPr="000B1AF8" w:rsidRDefault="00BE1EFE">
      <w:pPr>
        <w:pStyle w:val="StandardWeb"/>
      </w:pPr>
      <w:r>
        <w:t>e) in Angelegenheiten, welche die eigene Rechtsstellung als Mitglied einer Mitarbeitervertre</w:t>
      </w:r>
      <w:r>
        <w:softHyphen/>
        <w:t>tung, als Sprecherin oder Sprecher der Jugendlichen und Auszubildenden, als Vertrauens</w:t>
      </w:r>
      <w:r>
        <w:softHyphen/>
        <w:t>person der Schwerbehinderten, als Vertrauensmann der Zivildienstleistenden oder als Mitglied einer Arbeitsgemeinschaft der Mitarbeitervertretungen betreffen, die jeweils betroffene Person, die Mitarbeitervertretung und der Dienstgeber.</w:t>
      </w:r>
    </w:p>
    <w:p w:rsidR="00BE1EFE" w:rsidRDefault="00BE1EFE">
      <w:pPr>
        <w:pStyle w:val="berschrift6"/>
      </w:pPr>
      <w:bookmarkStart w:id="1416" w:name="_Toc523926926"/>
      <w:r>
        <w:t>§ 9 Beiladung</w:t>
      </w:r>
      <w:bookmarkEnd w:id="141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Gericht kann, solange das Verfahren noch nicht rechtskräftig abgeschlossen oder in höherer Instanz anhängig ist, von Amts wegen oder auf Antrag andere, deren rechtliche Interessen durch die Entscheidung berührt werden, beiladen.</w:t>
      </w:r>
    </w:p>
    <w:p w:rsidR="00BE1EFE" w:rsidRPr="000B1AF8" w:rsidRDefault="00BE1EFE">
      <w:pPr>
        <w:pStyle w:val="StandardWeb"/>
      </w:pPr>
    </w:p>
    <w:p w:rsidR="00BE1EFE" w:rsidRDefault="00BE1EFE">
      <w:pPr>
        <w:pStyle w:val="StandardWeb"/>
      </w:pPr>
      <w:r>
        <w:t>(2) </w:t>
      </w:r>
      <w:r>
        <w:rPr>
          <w:rStyle w:val="kleinschrift"/>
        </w:rPr>
        <w:t>1</w:t>
      </w:r>
      <w:r>
        <w:t xml:space="preserve">Sind an dem streitigen Rechtsverhältnis Dritte derart beteiligt, dass die Entscheidung auch ihnen gegenüber nur einheitlich ergehen kann, so sind sie beizuladen (notwendige Beiladung). </w:t>
      </w:r>
      <w:r>
        <w:rPr>
          <w:rStyle w:val="kleinschrift"/>
        </w:rPr>
        <w:t>2</w:t>
      </w:r>
      <w:r>
        <w:t>Dies gilt auch für einen Dritten, der aufgrund Rechtsvorschrift verpflichtet ist, einer Partei oder einem Beigeladenen die Kosten des rechtshängig gemachten Anspruchs zu ersetzen (Kostenträger).</w:t>
      </w:r>
    </w:p>
    <w:p w:rsidR="00BE1EFE" w:rsidRDefault="00BE1EFE">
      <w:pPr>
        <w:pStyle w:val="StandardWeb"/>
      </w:pPr>
    </w:p>
    <w:p w:rsidR="00BE1EFE" w:rsidRDefault="00BE1EFE">
      <w:pPr>
        <w:pStyle w:val="StandardWeb"/>
      </w:pPr>
      <w:r>
        <w:t>(3) </w:t>
      </w:r>
      <w:r>
        <w:rPr>
          <w:rStyle w:val="kleinschrift"/>
        </w:rPr>
        <w:t>1</w:t>
      </w:r>
      <w:r>
        <w:t xml:space="preserve">Der Beiladungsbeschluss ist allen Beteiligten zuzustellen. </w:t>
      </w:r>
      <w:r>
        <w:rPr>
          <w:rStyle w:val="kleinschrift"/>
        </w:rPr>
        <w:t>2</w:t>
      </w:r>
      <w:r>
        <w:t xml:space="preserve">Dabei sollen der Stand der Sache und der Grund der Beiladung angegeben werden. </w:t>
      </w:r>
      <w:r>
        <w:rPr>
          <w:rStyle w:val="kleinschrift"/>
        </w:rPr>
        <w:t>3</w:t>
      </w:r>
      <w:r>
        <w:t>Die Beiladung ist unanfechtbar.</w:t>
      </w:r>
    </w:p>
    <w:p w:rsidR="00BE1EFE" w:rsidRDefault="00BE1EFE">
      <w:pPr>
        <w:pStyle w:val="StandardWeb"/>
      </w:pPr>
    </w:p>
    <w:p w:rsidR="00BE1EFE" w:rsidRDefault="00BE1EFE">
      <w:pPr>
        <w:pStyle w:val="StandardWeb"/>
      </w:pPr>
      <w:r>
        <w:t>(4) </w:t>
      </w:r>
      <w:r>
        <w:rPr>
          <w:rStyle w:val="kleinschrift"/>
        </w:rPr>
        <w:t>1</w:t>
      </w:r>
      <w:r>
        <w:t xml:space="preserve">Der Beigeladene kann innerhalb der Anträge eines Beteiligten selbständig Angriffs- und Verteidigungsmittel geltend machen und alle Verfahrenshandlungen wirksam vornehmen. </w:t>
      </w:r>
      <w:r>
        <w:rPr>
          <w:rStyle w:val="kleinschrift"/>
        </w:rPr>
        <w:t>2</w:t>
      </w:r>
      <w:r>
        <w:t>Abweichende Sachanträge kann er nur stellen, wenn eine notwendige Beiladung vorliegt.</w:t>
      </w:r>
    </w:p>
    <w:p w:rsidR="00BE1EFE" w:rsidRDefault="00BE1EFE">
      <w:pPr>
        <w:pStyle w:val="berschrift6"/>
      </w:pPr>
      <w:bookmarkStart w:id="1417" w:name="_Toc523926927"/>
      <w:r>
        <w:t>§ 10 Klagebefugnis</w:t>
      </w:r>
      <w:bookmarkEnd w:id="1417"/>
    </w:p>
    <w:p w:rsidR="00BE1EFE" w:rsidRPr="00B76821" w:rsidRDefault="00BE1EFE" w:rsidP="00B76821">
      <w:pPr>
        <w:pStyle w:val="h7"/>
        <w:keepNext w:val="0"/>
        <w:spacing w:before="0" w:after="0"/>
        <w:jc w:val="left"/>
        <w:outlineLvl w:val="5"/>
        <w:rPr>
          <w:sz w:val="2"/>
        </w:rPr>
      </w:pPr>
    </w:p>
    <w:p w:rsidR="00BE1EFE" w:rsidRDefault="00BE1EFE">
      <w:pPr>
        <w:pStyle w:val="StandardWeb"/>
      </w:pPr>
      <w:r>
        <w:t>Die Klage ist nur zulässig, wenn der Kläger geltend macht, in eigenen Rechten verletzt zu sein, oder wenn er eine Verletzung von Rechten eines Organs, dem er angehört, geltend macht.</w:t>
      </w:r>
    </w:p>
    <w:p w:rsidR="00BE1EFE" w:rsidRPr="000B1AF8" w:rsidRDefault="00BE1EFE">
      <w:pPr>
        <w:pStyle w:val="StandardWeb"/>
      </w:pPr>
    </w:p>
    <w:p w:rsidR="00D22E61" w:rsidRDefault="00D22E61" w:rsidP="00D22E61">
      <w:pPr>
        <w:pStyle w:val="StandardWeb"/>
      </w:pPr>
    </w:p>
    <w:p w:rsidR="00BE1EFE" w:rsidRDefault="00BE1EFE">
      <w:pPr>
        <w:pStyle w:val="berschrift6"/>
      </w:pPr>
      <w:bookmarkStart w:id="1418" w:name="_Toc523926928"/>
      <w:r>
        <w:lastRenderedPageBreak/>
        <w:t>§ 11 Prozessvertretung</w:t>
      </w:r>
      <w:bookmarkEnd w:id="141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Die Beteiligten können vor den kirchlichen Gerichten für Arbeitssachen den Rechtsstreit selbst führen oder sich von einer sach- und rechtskundigen Person vertreten lassen.</w:t>
      </w:r>
    </w:p>
    <w:p w:rsidR="00BE1EFE" w:rsidRDefault="00BE1EFE">
      <w:pPr>
        <w:pStyle w:val="berschrift6"/>
      </w:pPr>
      <w:bookmarkStart w:id="1419" w:name="_Toc523926929"/>
      <w:r>
        <w:t>§ 12 Kosten (Gebühren und Auslagen)</w:t>
      </w:r>
      <w:bookmarkEnd w:id="1419"/>
    </w:p>
    <w:p w:rsidR="00BE1EFE" w:rsidRPr="00B76821" w:rsidRDefault="00BE1EFE" w:rsidP="00B76821">
      <w:pPr>
        <w:pStyle w:val="h7"/>
        <w:keepNext w:val="0"/>
        <w:spacing w:before="0" w:after="0"/>
        <w:jc w:val="left"/>
        <w:outlineLvl w:val="5"/>
        <w:rPr>
          <w:sz w:val="2"/>
        </w:rPr>
      </w:pPr>
    </w:p>
    <w:p w:rsidR="00BE1EFE" w:rsidRDefault="00BE1EFE" w:rsidP="00E46EA2">
      <w:r>
        <w:t>(1) </w:t>
      </w:r>
      <w:r>
        <w:rPr>
          <w:rStyle w:val="kleinschrift"/>
        </w:rPr>
        <w:t>1</w:t>
      </w:r>
      <w:r>
        <w:t xml:space="preserve">Im Verfahren vor den kirchlichen Gerichten für Arbeitssachen werden Gebühren nicht erhoben. </w:t>
      </w:r>
      <w:r>
        <w:rPr>
          <w:rStyle w:val="kleinschrift"/>
        </w:rPr>
        <w:t>2</w:t>
      </w:r>
      <w:r>
        <w:t>Im übrigen entscheidet das Gericht durch Urteil, ob Auslagen aufgrund materiell-rechtlicher Vorschriften erstattet werden und wer diese zu tragen hat.</w:t>
      </w:r>
    </w:p>
    <w:p w:rsidR="00BE1EFE" w:rsidRDefault="00BE1EFE" w:rsidP="00E46EA2"/>
    <w:p w:rsidR="00BE1EFE" w:rsidRDefault="00BE1EFE" w:rsidP="00E46EA2">
      <w:r>
        <w:t>(2) Der Vorsitzende kann auf Antrag eines Beteiligten auch vor Verkündung des Urteils durch selbständig anfechtbaren Beschluss (</w:t>
      </w:r>
      <w:hyperlink r:id="rId2079" w:history="1">
        <w:r w:rsidRPr="002D1F1D">
          <w:rPr>
            <w:rStyle w:val="Hyperlink"/>
          </w:rPr>
          <w:t>§ 55</w:t>
        </w:r>
      </w:hyperlink>
      <w:r>
        <w:t>) entscheiden, ob Auslagen gemäß Absatz 1 Satz 2 erstattet werden.</w:t>
      </w:r>
    </w:p>
    <w:p w:rsidR="00BE1EFE" w:rsidRDefault="00BE1EFE" w:rsidP="00E46EA2"/>
    <w:p w:rsidR="00BE1EFE" w:rsidRPr="000B1AF8" w:rsidRDefault="00BE1EFE">
      <w:pPr>
        <w:pStyle w:val="StandardWeb"/>
      </w:pPr>
      <w:r>
        <w:t>(3) Zeugen und Sachverständige werden in Anwendung des staatlichen Gesetzes über die Entschädigung von Zeugen und Sachverständigen entschädigt.</w:t>
      </w:r>
    </w:p>
    <w:p w:rsidR="00BE1EFE" w:rsidRDefault="00BE1EFE">
      <w:pPr>
        <w:pStyle w:val="berschrift6"/>
      </w:pPr>
      <w:bookmarkStart w:id="1420" w:name="_Toc523926930"/>
      <w:r>
        <w:t>§ 13 Rechts- und Amtshilfe</w:t>
      </w:r>
      <w:bookmarkEnd w:id="142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kirchlichen Gerichte für Arbeitssachen leisten einander Rechtshilfe. </w:t>
      </w:r>
      <w:r>
        <w:rPr>
          <w:rStyle w:val="kleinschrift"/>
        </w:rPr>
        <w:t>2</w:t>
      </w:r>
      <w:r>
        <w:t>Die Vorschriften des staatlichen Gerichtsverfassungsgesetzes über Rechtshilfe finden entsprechende Anwen</w:t>
      </w:r>
      <w:r>
        <w:softHyphen/>
        <w:t>dung.</w:t>
      </w:r>
    </w:p>
    <w:p w:rsidR="00BE1EFE" w:rsidRPr="000B1AF8" w:rsidRDefault="00BE1EFE">
      <w:pPr>
        <w:pStyle w:val="StandardWeb"/>
      </w:pPr>
    </w:p>
    <w:p w:rsidR="00BE1EFE" w:rsidRDefault="00BE1EFE">
      <w:pPr>
        <w:pStyle w:val="StandardWeb"/>
      </w:pPr>
      <w:r>
        <w:t>(2) Alle kirchlichen Dienststellen und Einrichtungen leisten den kirchlichen Gerichten für Arbeitssachen auf Anforderung Amtshilfe.</w:t>
      </w:r>
    </w:p>
    <w:p w:rsidR="00BE1EFE" w:rsidRDefault="00BE1EFE" w:rsidP="0054365C">
      <w:pPr>
        <w:pStyle w:val="berschrift5"/>
      </w:pPr>
      <w:bookmarkStart w:id="1421" w:name="_Toc523926931"/>
      <w:r>
        <w:t>Zweiter Teil – Aufbau der kirchlichen Gerichte für Arbeitssachen – 1.</w:t>
      </w:r>
      <w:r>
        <w:rPr>
          <w:lang w:eastAsia="x-none"/>
        </w:rPr>
        <w:t> </w:t>
      </w:r>
      <w:r>
        <w:t>Abschnitt: Kirchliche Arbeitsgerichte erster Instanz</w:t>
      </w:r>
      <w:bookmarkEnd w:id="1421"/>
    </w:p>
    <w:p w:rsidR="00BE1EFE" w:rsidRDefault="00BE1EFE">
      <w:pPr>
        <w:pStyle w:val="berschrift6"/>
      </w:pPr>
      <w:bookmarkStart w:id="1422" w:name="_Toc523926932"/>
      <w:r>
        <w:t>§ 14 Errichtung</w:t>
      </w:r>
      <w:bookmarkEnd w:id="1422"/>
    </w:p>
    <w:p w:rsidR="00BE1EFE" w:rsidRPr="00B76821" w:rsidRDefault="00BE1EFE" w:rsidP="00B76821">
      <w:pPr>
        <w:pStyle w:val="h7"/>
        <w:keepNext w:val="0"/>
        <w:spacing w:before="0" w:after="0"/>
        <w:jc w:val="left"/>
        <w:outlineLvl w:val="5"/>
        <w:rPr>
          <w:sz w:val="2"/>
        </w:rPr>
      </w:pPr>
    </w:p>
    <w:p w:rsidR="00BE1EFE" w:rsidRDefault="00BE1EFE">
      <w:pPr>
        <w:jc w:val="both"/>
      </w:pPr>
      <w:r>
        <w:t>(1) </w:t>
      </w:r>
      <w:r>
        <w:rPr>
          <w:rStyle w:val="kleinschrift"/>
        </w:rPr>
        <w:t>1</w:t>
      </w:r>
      <w:r>
        <w:t xml:space="preserve">Für jedes Bistum/Erzbistum wird ein Kirchliches Arbeitsgericht als Gericht erster Instanz errichtet. </w:t>
      </w:r>
      <w:r>
        <w:rPr>
          <w:rStyle w:val="kleinschrift"/>
        </w:rPr>
        <w:t>2</w:t>
      </w:r>
      <w:r>
        <w:t>Das Nähere wird im Errichtungsdekret des zuständigen Diözesanbischofs geregelt.</w:t>
      </w:r>
    </w:p>
    <w:p w:rsidR="00BE1EFE" w:rsidRDefault="00BE1EFE">
      <w:pPr>
        <w:jc w:val="both"/>
      </w:pPr>
    </w:p>
    <w:p w:rsidR="00BE1EFE" w:rsidRPr="000B1AF8" w:rsidRDefault="00BE1EFE">
      <w:pPr>
        <w:pStyle w:val="StandardWeb"/>
      </w:pPr>
      <w:r>
        <w:t>(2) </w:t>
      </w:r>
      <w:r>
        <w:rPr>
          <w:rStyle w:val="kleinschrift"/>
        </w:rPr>
        <w:t>1</w:t>
      </w:r>
      <w:r>
        <w:t xml:space="preserve">Für mehrere Bistümer/Erzbistümer kann aufgrund Vereinbarung der Diözesanbischöfe ein gemeinsames Kirchliches Arbeitsgericht als Gericht erster Instanz errichtet werden. </w:t>
      </w:r>
      <w:r>
        <w:rPr>
          <w:rStyle w:val="kleinschrift"/>
        </w:rPr>
        <w:t>2</w:t>
      </w:r>
      <w:r>
        <w:t xml:space="preserve">Dem gemeinsamen Kirchlichen Arbeitsgericht können alle nach dieser Ordnung wahrzunehmenden Zuständigkeiten oder nur die Zuständigkeiten nach </w:t>
      </w:r>
      <w:hyperlink r:id="rId2080" w:history="1">
        <w:r w:rsidRPr="002D1F1D">
          <w:rPr>
            <w:rStyle w:val="Hyperlink"/>
          </w:rPr>
          <w:t>§ 2 Absatz 1</w:t>
        </w:r>
      </w:hyperlink>
      <w:r>
        <w:t xml:space="preserve"> oder </w:t>
      </w:r>
      <w:hyperlink r:id="rId2081" w:history="1">
        <w:r w:rsidRPr="008D138B">
          <w:rPr>
            <w:rStyle w:val="Hyperlink"/>
          </w:rPr>
          <w:t>§ 2 Absatz 2</w:t>
        </w:r>
      </w:hyperlink>
      <w:r>
        <w:t xml:space="preserve"> übertragen werden. </w:t>
      </w:r>
      <w:r>
        <w:rPr>
          <w:rStyle w:val="kleinschrift"/>
        </w:rPr>
        <w:t>3</w:t>
      </w:r>
      <w:r>
        <w:t>Das Nähere wird im gemeinsamen Errichtungsdekret der Diözesanbischöfe geregelt.</w:t>
      </w:r>
    </w:p>
    <w:p w:rsidR="00BE1EFE" w:rsidRPr="000B1AF8" w:rsidRDefault="00BE1EFE">
      <w:pPr>
        <w:pStyle w:val="StandardWeb"/>
      </w:pPr>
    </w:p>
    <w:p w:rsidR="00BE1EFE" w:rsidRDefault="00BE1EFE">
      <w:pPr>
        <w:pStyle w:val="berschrift6"/>
      </w:pPr>
      <w:bookmarkStart w:id="1423" w:name="_Toc523926933"/>
      <w:r>
        <w:t>§ 15 Gerichtssitz/Dienstaufsicht/Geschäftsstelle</w:t>
      </w:r>
      <w:bookmarkEnd w:id="142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Der Sitz des Gerichts wird durch diözesanes Recht bestimmt.</w:t>
      </w:r>
    </w:p>
    <w:p w:rsidR="00BE1EFE" w:rsidRPr="000B1AF8" w:rsidRDefault="00BE1EFE">
      <w:pPr>
        <w:pStyle w:val="StandardWeb"/>
      </w:pPr>
    </w:p>
    <w:p w:rsidR="00BE1EFE" w:rsidRDefault="00BE1EFE">
      <w:pPr>
        <w:pStyle w:val="StandardWeb"/>
      </w:pPr>
      <w:r>
        <w:lastRenderedPageBreak/>
        <w:t>(2) Die Dienstaufsicht über die Mitglieder des Kirchlichen Arbeitsgerichts übt der Diözesan</w:t>
      </w:r>
      <w:r>
        <w:softHyphen/>
        <w:t>bischof des Bistums, in dem sich der Sitz des Gerichtes befindet, aus.</w:t>
      </w:r>
      <w:r>
        <w:rPr>
          <w:vertAlign w:val="superscript"/>
        </w:rPr>
        <w:t>1</w:t>
      </w:r>
    </w:p>
    <w:p w:rsidR="00BE1EFE" w:rsidRDefault="00BE1EFE">
      <w:pPr>
        <w:pStyle w:val="StandardWeb"/>
      </w:pPr>
    </w:p>
    <w:p w:rsidR="00BE1EFE" w:rsidRDefault="00BE1EFE">
      <w:pPr>
        <w:pStyle w:val="StandardWeb"/>
      </w:pPr>
      <w:r>
        <w:t>(3) Die Geschäftsstelle des Kirchlichen Arbeitsgerichts wird beim Erz-/Bischöflichen Diözesan</w:t>
      </w:r>
      <w:r>
        <w:softHyphen/>
        <w:t>gericht (Offizialat)/Konsistorium) eingerichtet.</w:t>
      </w:r>
    </w:p>
    <w:p w:rsidR="00BE1EFE" w:rsidRDefault="00BE1EFE">
      <w:pPr>
        <w:pStyle w:val="StandardWeb"/>
      </w:pPr>
      <w:r>
        <w:rPr>
          <w:sz w:val="12"/>
          <w:szCs w:val="12"/>
          <w:vertAlign w:val="superscript"/>
        </w:rPr>
        <w:t>1</w:t>
      </w:r>
      <w:r>
        <w:rPr>
          <w:sz w:val="12"/>
          <w:szCs w:val="12"/>
        </w:rPr>
        <w:t xml:space="preserve"> Die Einzelheiten bleiben der Regelung durch diözesanes Recht überlassen.</w:t>
      </w:r>
    </w:p>
    <w:p w:rsidR="00BE1EFE" w:rsidRDefault="00BE1EFE">
      <w:pPr>
        <w:pStyle w:val="berschrift6"/>
      </w:pPr>
      <w:bookmarkStart w:id="1424" w:name="_Toc523926934"/>
      <w:r>
        <w:t>§ 16 Zusammensetzung/Besetzung</w:t>
      </w:r>
      <w:bookmarkEnd w:id="142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Das Kirchliche Arbeitsgericht besteht aus dem Vorsitzenden, dem stellvertretenden Vorsitzenden, sechs beisitzenden Richtern aus den Kreisen der Dienstgeber und sechs beisitzenden Richtern aus den Kreisen der Mitarbeiter.</w:t>
      </w:r>
    </w:p>
    <w:p w:rsidR="00BE1EFE" w:rsidRPr="000B1AF8" w:rsidRDefault="00BE1EFE">
      <w:pPr>
        <w:pStyle w:val="StandardWeb"/>
      </w:pPr>
    </w:p>
    <w:p w:rsidR="00BE1EFE" w:rsidRDefault="00BE1EFE">
      <w:pPr>
        <w:pStyle w:val="StandardWeb"/>
      </w:pPr>
      <w:r>
        <w:t>(2) Das Kirchliche Arbeitsgericht entscheidet in der Besetzung mit dem Vorsitzenden, einem beisitzenden Richter aus den Kreisen der Dienstgeber und einem beisitzenden Richter aus den Kreisen der Mitarbeiter.</w:t>
      </w:r>
    </w:p>
    <w:p w:rsidR="00BE1EFE" w:rsidRDefault="00BE1EFE">
      <w:pPr>
        <w:pStyle w:val="StandardWeb"/>
      </w:pPr>
    </w:p>
    <w:p w:rsidR="00BE1EFE" w:rsidRDefault="00BE1EFE">
      <w:pPr>
        <w:pStyle w:val="StandardWeb"/>
      </w:pPr>
      <w:r>
        <w:t>(3) Die Verteilung der Verfahren zwischen dem Vorsitzenden und dem stellvertretenden Vorsitzenden erfolgt anhand eines Geschäftverteilungsplans, der spätestens am Ende des laufenden Jahres für das folgende Jahr vom Vorsitzenden nach Anhörung des stellvertretenden Vorsitzenden schriftlich festzulegen ist.</w:t>
      </w:r>
    </w:p>
    <w:p w:rsidR="00BE1EFE" w:rsidRDefault="00BE1EFE">
      <w:pPr>
        <w:pStyle w:val="StandardWeb"/>
      </w:pPr>
    </w:p>
    <w:p w:rsidR="00BE1EFE" w:rsidRDefault="00BE1EFE">
      <w:pPr>
        <w:pStyle w:val="StandardWeb"/>
      </w:pPr>
      <w:r>
        <w:t>(4) Ist der Vorsitzende oder der stellvertretende Vorsitzende an der Ausübung seines Amtes gehindert, tritt an seine Stelle der stellvertretende Vorsitzende oder der Vorsitzende.</w:t>
      </w:r>
    </w:p>
    <w:p w:rsidR="00BE1EFE" w:rsidRDefault="00BE1EFE">
      <w:pPr>
        <w:pStyle w:val="berschrift6"/>
      </w:pPr>
      <w:bookmarkStart w:id="1425" w:name="_Toc523926935"/>
      <w:r>
        <w:t>§ 17 Rechtsstellung der Richter</w:t>
      </w:r>
      <w:bookmarkEnd w:id="142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Richter sind von Weisungen unabhängig und nur an Gesetz und Recht gebunden. </w:t>
      </w:r>
      <w:r>
        <w:rPr>
          <w:rStyle w:val="kleinschrift"/>
        </w:rPr>
        <w:t>2</w:t>
      </w:r>
      <w:r>
        <w:t xml:space="preserve">Sie dürfen in der Übernahme oder Ausübung ihres Amtes weder beschränkt, noch wegen der Übernahme oder Ausübung ihres Amtes benachteiligt oder bevorzugt werden. </w:t>
      </w:r>
      <w:r>
        <w:rPr>
          <w:rStyle w:val="kleinschrift"/>
        </w:rPr>
        <w:t>3</w:t>
      </w:r>
      <w:r>
        <w:t>Sie unterliegen der Schweigepflicht auch nach dem Ausscheiden aus dem Amt.</w:t>
      </w:r>
    </w:p>
    <w:p w:rsidR="00BE1EFE" w:rsidRPr="000B1AF8" w:rsidRDefault="00BE1EFE">
      <w:pPr>
        <w:pStyle w:val="StandardWeb"/>
      </w:pPr>
    </w:p>
    <w:p w:rsidR="00BE1EFE" w:rsidRDefault="00BE1EFE">
      <w:pPr>
        <w:pStyle w:val="StandardWeb"/>
      </w:pPr>
      <w:r>
        <w:t>(2) Dem Vorsitzenden und dem stellvertretenden Vorsitzenden kann eine Aufwands</w:t>
      </w:r>
      <w:r>
        <w:softHyphen/>
        <w:t>entschädigung oder eine Vergütung gewährt werden .</w:t>
      </w:r>
    </w:p>
    <w:p w:rsidR="00BE1EFE" w:rsidRDefault="00BE1EFE">
      <w:pPr>
        <w:pStyle w:val="StandardWeb"/>
      </w:pPr>
    </w:p>
    <w:p w:rsidR="00BE1EFE" w:rsidRDefault="00BE1EFE">
      <w:pPr>
        <w:pStyle w:val="StandardWeb"/>
      </w:pPr>
      <w:r>
        <w:t>(3) </w:t>
      </w:r>
      <w:r>
        <w:rPr>
          <w:rStyle w:val="kleinschrift"/>
        </w:rPr>
        <w:t>1</w:t>
      </w:r>
      <w:r>
        <w:t xml:space="preserve">Die Tätigkeit der beisitzenden Richter ist ehrenamtlich. </w:t>
      </w:r>
      <w:r>
        <w:rPr>
          <w:rStyle w:val="kleinschrift"/>
        </w:rPr>
        <w:t>2</w:t>
      </w:r>
      <w:r>
        <w:t>Sie erhalten Auslagenersatz gemäß den am Sitz des Gerichts geltenden reisekostenrechtlichen Vorschriften.</w:t>
      </w:r>
    </w:p>
    <w:p w:rsidR="00BE1EFE" w:rsidRDefault="00BE1EFE">
      <w:pPr>
        <w:pStyle w:val="StandardWeb"/>
      </w:pPr>
    </w:p>
    <w:p w:rsidR="00BE1EFE" w:rsidRDefault="00BE1EFE">
      <w:pPr>
        <w:pStyle w:val="StandardWeb"/>
      </w:pPr>
      <w:r>
        <w:t>(4) </w:t>
      </w:r>
      <w:r>
        <w:rPr>
          <w:rStyle w:val="kleinschrift"/>
        </w:rPr>
        <w:t>1</w:t>
      </w:r>
      <w:r>
        <w:t xml:space="preserve">Die beisitzenden Richter werden für die Teilnahme an Verhandlungen im notwendigen Umfang von ihrer dienstlichen Tätigkeit freigestellt. </w:t>
      </w:r>
      <w:r>
        <w:rPr>
          <w:rStyle w:val="kleinschrift"/>
        </w:rPr>
        <w:t>2</w:t>
      </w:r>
      <w:r>
        <w:t>Auf die beisitzenden Richter der Mitarbeiterseite finden die §§ 18 und 19 der Mitarbeitervertretungsordnung entsprechend Anwendung.</w:t>
      </w:r>
    </w:p>
    <w:p w:rsidR="00BE1EFE" w:rsidRDefault="00BE1EFE">
      <w:pPr>
        <w:pStyle w:val="berschrift6"/>
      </w:pPr>
      <w:bookmarkStart w:id="1426" w:name="_Toc523926936"/>
      <w:r>
        <w:t>§ 18 Ernennungsvoraussetzungen/Beendigung des Richteramtes</w:t>
      </w:r>
      <w:bookmarkEnd w:id="142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Zum Richter kann ernannt werden, wer katholisch ist und nicht in der Ausübung der allen Kirchenmitgliedern zustehenden Rechte behindert ist sowie die Gewähr dafür bietet, dass er jederzeit für das kirchliche Gemeinwohl eintritt.</w:t>
      </w:r>
    </w:p>
    <w:p w:rsidR="00BE1EFE" w:rsidRPr="000B1AF8" w:rsidRDefault="00BE1EFE">
      <w:pPr>
        <w:pStyle w:val="StandardWeb"/>
      </w:pPr>
    </w:p>
    <w:p w:rsidR="00BE1EFE" w:rsidRDefault="00BE1EFE">
      <w:pPr>
        <w:pStyle w:val="StandardWeb"/>
      </w:pPr>
      <w:r>
        <w:t>(2) Der Vorsitzende und der stellvertretende Vorsitzende</w:t>
      </w:r>
    </w:p>
    <w:p w:rsidR="00BE1EFE" w:rsidRDefault="00BE1EFE">
      <w:pPr>
        <w:pStyle w:val="StandardWeb"/>
      </w:pPr>
      <w:r>
        <w:lastRenderedPageBreak/>
        <w:t>a) müssen die Befähigung zum Richteramt nach dem Deutschen Richtergesetz</w:t>
      </w:r>
      <w:r>
        <w:rPr>
          <w:vertAlign w:val="superscript"/>
        </w:rPr>
        <w:t xml:space="preserve">2 </w:t>
      </w:r>
      <w:r>
        <w:t>besitzen,</w:t>
      </w:r>
    </w:p>
    <w:p w:rsidR="00BE1EFE" w:rsidRDefault="00BE1EFE">
      <w:pPr>
        <w:pStyle w:val="StandardWeb"/>
      </w:pPr>
      <w:r>
        <w:t>b) dürfen keinen anderen kirchlichen Dienst als den eines Richters oder eines Hochschul</w:t>
      </w:r>
      <w:r>
        <w:softHyphen/>
        <w:t>lehrers beruflich ausüben und keinem Leitungsorgan einer kirchlichen Körperschaft oder eines anderen Trägers einer kirchlichen Einrichtung angehören,</w:t>
      </w:r>
    </w:p>
    <w:p w:rsidR="00BE1EFE" w:rsidRDefault="00BE1EFE">
      <w:pPr>
        <w:pStyle w:val="StandardWeb"/>
      </w:pPr>
      <w:r>
        <w:t>c) sollen Erfahrung auf dem Gebiet des kanonischen Rechts und Berufserfahrung im Arbeits</w:t>
      </w:r>
      <w:r>
        <w:softHyphen/>
        <w:t>recht oder Personalwesen haben.</w:t>
      </w:r>
    </w:p>
    <w:p w:rsidR="00BE1EFE" w:rsidRDefault="00BE1EFE">
      <w:pPr>
        <w:pStyle w:val="StandardWeb"/>
      </w:pPr>
    </w:p>
    <w:p w:rsidR="00BE1EFE" w:rsidRDefault="00BE1EFE">
      <w:pPr>
        <w:pStyle w:val="StandardWeb"/>
      </w:pPr>
      <w:r>
        <w:t>(3) </w:t>
      </w:r>
      <w:r>
        <w:rPr>
          <w:rStyle w:val="kleinschrift"/>
        </w:rPr>
        <w:t>1</w:t>
      </w:r>
      <w:r>
        <w:t>Die beisitzenden Richter der Dienstgeberseite müssen die Voraussetzungen für die Mit</w:t>
      </w:r>
      <w:r>
        <w:softHyphen/>
        <w:t xml:space="preserve">gliedschaft in einer Kommission nach </w:t>
      </w:r>
      <w:hyperlink r:id="rId2082" w:history="1">
        <w:r w:rsidRPr="002D1F1D">
          <w:rPr>
            <w:rStyle w:val="Hyperlink"/>
          </w:rPr>
          <w:t>Artikel 7 GrO</w:t>
        </w:r>
      </w:hyperlink>
      <w:r>
        <w:t xml:space="preserve"> erfüllen. </w:t>
      </w:r>
      <w:r>
        <w:rPr>
          <w:rStyle w:val="kleinschrift"/>
        </w:rPr>
        <w:t>2</w:t>
      </w:r>
      <w:r>
        <w:t>Die beisitzenden Richter der Mitarbeiterseite müssen die Voraussetzungen für die Wählbarkeit in die Mitarbeitervertretung erfüllen und im Dienst eines kirchlichen Anstellungsträgers im Geltungsbereich dieser Ordnung stehen.</w:t>
      </w:r>
    </w:p>
    <w:p w:rsidR="00BE1EFE" w:rsidRDefault="00BE1EFE">
      <w:pPr>
        <w:pStyle w:val="StandardWeb"/>
      </w:pPr>
    </w:p>
    <w:p w:rsidR="00BE1EFE" w:rsidRDefault="00BE1EFE">
      <w:pPr>
        <w:pStyle w:val="StandardWeb"/>
      </w:pPr>
      <w:r>
        <w:t>(4) </w:t>
      </w:r>
      <w:r>
        <w:rPr>
          <w:rStyle w:val="kleinschrift"/>
        </w:rPr>
        <w:t>1</w:t>
      </w:r>
      <w:r>
        <w:t>Das Amt eines Richters endet vor Ablauf der Amtszeit</w:t>
      </w:r>
    </w:p>
    <w:p w:rsidR="00BE1EFE" w:rsidRDefault="00BE1EFE">
      <w:pPr>
        <w:pStyle w:val="StandardWeb"/>
      </w:pPr>
      <w:r>
        <w:t>a) mit dem Rücktritt;</w:t>
      </w:r>
    </w:p>
    <w:p w:rsidR="00BE1EFE" w:rsidRDefault="00BE1EFE">
      <w:pPr>
        <w:pStyle w:val="StandardWeb"/>
      </w:pPr>
      <w:r>
        <w:t xml:space="preserve">b) mit der Feststellung des Wegfalls der Ernennungsvoraussetzungen oder der Feststellung eines schweren Dienstvergehens. </w:t>
      </w:r>
      <w:r>
        <w:rPr>
          <w:rStyle w:val="kleinschrift"/>
        </w:rPr>
        <w:t>2</w:t>
      </w:r>
      <w:r>
        <w:t>Diese Feststellung trifft der Diözesanbischof oder ein von ihm bestimmtes kirchliches Gericht nach Maßgabe des diözesanen Rechts.</w:t>
      </w:r>
      <w:r>
        <w:rPr>
          <w:vertAlign w:val="superscript"/>
        </w:rPr>
        <w:t>3</w:t>
      </w:r>
    </w:p>
    <w:p w:rsidR="00BE1EFE" w:rsidRDefault="00BE1EFE">
      <w:pPr>
        <w:pStyle w:val="StandardWeb"/>
      </w:pPr>
    </w:p>
    <w:p w:rsidR="00BE1EFE" w:rsidRDefault="00BE1EFE">
      <w:pPr>
        <w:pStyle w:val="StandardWeb"/>
      </w:pPr>
      <w:r>
        <w:t>(5) </w:t>
      </w:r>
      <w:r>
        <w:rPr>
          <w:rStyle w:val="kleinschrift"/>
        </w:rPr>
        <w:t>1</w:t>
      </w:r>
      <w:r>
        <w:t xml:space="preserve">Das Amt des Richters an einem Kirchlichen Arbeitsgericht endet auch mit Beginn seiner Amtszeit beim Kirchlichen Arbeitsgerichtshof. </w:t>
      </w:r>
      <w:r>
        <w:rPr>
          <w:rStyle w:val="kleinschrift"/>
        </w:rPr>
        <w:t>2</w:t>
      </w:r>
      <w:r>
        <w:t xml:space="preserve">Absatz 4 Satz 2 gilt entsprechend. </w:t>
      </w:r>
      <w:r>
        <w:rPr>
          <w:rStyle w:val="kleinschrift"/>
        </w:rPr>
        <w:t>3</w:t>
      </w:r>
      <w:r>
        <w:t>Niemand darf gleichzeitig beisitzender Richter der Dienstgeberseite und der Mitarbeiterseite sein oder als beisitzender Richter bei mehr als einem kirchlichen Gericht für Arbeitssachen ernannt werden.</w:t>
      </w:r>
    </w:p>
    <w:p w:rsidR="00BE1EFE" w:rsidRDefault="00BE1EFE">
      <w:pPr>
        <w:pStyle w:val="StandardWeb"/>
      </w:pPr>
    </w:p>
    <w:p w:rsidR="00BE1EFE" w:rsidRDefault="00BE1EFE">
      <w:pPr>
        <w:pStyle w:val="StandardWeb"/>
      </w:pPr>
      <w:r>
        <w:t>(6) Sind zum Ende der Amtszeit neue Richter noch nicht ernannt, führen die bisherigen Richter die Geschäfte bis zur Ernennung der Nachfolger weiter.</w:t>
      </w:r>
    </w:p>
    <w:p w:rsidR="00BE1EFE" w:rsidRDefault="00BE1EFE">
      <w:pPr>
        <w:pStyle w:val="StandardWeb"/>
      </w:pPr>
      <w:r>
        <w:rPr>
          <w:sz w:val="12"/>
          <w:szCs w:val="12"/>
          <w:vertAlign w:val="superscript"/>
        </w:rPr>
        <w:t>2</w:t>
      </w:r>
      <w:r>
        <w:rPr>
          <w:sz w:val="12"/>
          <w:szCs w:val="12"/>
        </w:rPr>
        <w:t> Der Befähigung zum Richteramt nach dem Deutschen Richtergesetz steht die Befähigung zum Dienst als Berufsrichter nach Anlage I Kapitel III Sachgebiet A Abschnitt III Nr. 8 des Einigungsvertrages gleich.</w:t>
      </w:r>
    </w:p>
    <w:p w:rsidR="00BE1EFE" w:rsidRDefault="00BE1EFE">
      <w:pPr>
        <w:pStyle w:val="StandardWeb"/>
      </w:pPr>
      <w:r>
        <w:rPr>
          <w:sz w:val="12"/>
          <w:szCs w:val="12"/>
          <w:vertAlign w:val="superscript"/>
        </w:rPr>
        <w:t>3</w:t>
      </w:r>
      <w:r>
        <w:rPr>
          <w:sz w:val="12"/>
          <w:szCs w:val="12"/>
        </w:rPr>
        <w:t xml:space="preserve"> Das Nähere regeln die jeweiligen in der Diözese geltenden disziplinarrechtlichen Bestimmungen oder für anwendbar erklärte Bestimmungen des staatlichen Rechts, hilfsweise die </w:t>
      </w:r>
      <w:hyperlink r:id="rId2083" w:tgtFrame="_blank" w:history="1">
        <w:r>
          <w:rPr>
            <w:rStyle w:val="Hyperlink"/>
            <w:sz w:val="12"/>
            <w:szCs w:val="12"/>
          </w:rPr>
          <w:t>cc. 192 - 195 CIC</w:t>
        </w:r>
      </w:hyperlink>
      <w:r>
        <w:rPr>
          <w:sz w:val="12"/>
          <w:szCs w:val="12"/>
        </w:rPr>
        <w:t>; auf das jeweils anwendbare Recht wird an dieser Stelle verwiesen.</w:t>
      </w:r>
    </w:p>
    <w:p w:rsidR="00BE1EFE" w:rsidRDefault="00BE1EFE">
      <w:pPr>
        <w:pStyle w:val="berschrift6"/>
      </w:pPr>
      <w:bookmarkStart w:id="1427" w:name="_Toc523926937"/>
      <w:r>
        <w:t>§ 19 Ernennung des Vorsitzenden</w:t>
      </w:r>
      <w:bookmarkEnd w:id="1427"/>
    </w:p>
    <w:p w:rsidR="00BE1EFE" w:rsidRPr="00B76821" w:rsidRDefault="00BE1EFE" w:rsidP="00B76821">
      <w:pPr>
        <w:pStyle w:val="h7"/>
        <w:keepNext w:val="0"/>
        <w:spacing w:before="0" w:after="0"/>
        <w:jc w:val="left"/>
        <w:outlineLvl w:val="5"/>
        <w:rPr>
          <w:rStyle w:val="kleinschrift"/>
          <w:sz w:val="2"/>
        </w:rPr>
      </w:pPr>
    </w:p>
    <w:p w:rsidR="00BE1EFE" w:rsidRDefault="00BE1EFE">
      <w:pPr>
        <w:pStyle w:val="StandardWeb"/>
      </w:pPr>
      <w:r>
        <w:rPr>
          <w:rStyle w:val="kleinschrift"/>
        </w:rPr>
        <w:t>1</w:t>
      </w:r>
      <w:r>
        <w:t xml:space="preserve">Der Vorsitzende und der stellvertretende Vorsitzende des Kirchlichen Arbeitsgerichts werden vom Diözesanbischof für die Dauer von fünf Jahren ernannt. </w:t>
      </w:r>
      <w:r>
        <w:rPr>
          <w:rStyle w:val="kleinschrift"/>
        </w:rPr>
        <w:t>2</w:t>
      </w:r>
      <w:r>
        <w:t>Der Diözesanbischof gibt dem Domkapitel als Konsultorenkollegium und/oder dem Diözesanvermögensverwaltungsrat</w:t>
      </w:r>
      <w:r>
        <w:rPr>
          <w:vertAlign w:val="superscript"/>
        </w:rPr>
        <w:t>4</w:t>
      </w:r>
      <w:r>
        <w:t>, dem Diözesancaritasverband sowie der/den diözesanen Arbeitsgemeinschaft(en) für Mitarbeiter</w:t>
      </w:r>
      <w:r>
        <w:softHyphen/>
        <w:t xml:space="preserve">vertretungen und der Mitarbeiterseite der Bistums-/Regional-KODA zuvor Gelegenheit zur Stellungnahme. </w:t>
      </w:r>
      <w:r>
        <w:rPr>
          <w:rStyle w:val="kleinschrift"/>
        </w:rPr>
        <w:t>3</w:t>
      </w:r>
      <w:r>
        <w:t>Die Wiederernennung ist zulässig.</w:t>
      </w:r>
    </w:p>
    <w:p w:rsidR="00BE1EFE" w:rsidRPr="000B1AF8" w:rsidRDefault="00BE1EFE">
      <w:pPr>
        <w:pStyle w:val="StandardWeb"/>
      </w:pPr>
      <w:r>
        <w:rPr>
          <w:sz w:val="12"/>
          <w:szCs w:val="12"/>
          <w:vertAlign w:val="superscript"/>
        </w:rPr>
        <w:t>4</w:t>
      </w:r>
      <w:r>
        <w:rPr>
          <w:sz w:val="12"/>
          <w:szCs w:val="12"/>
        </w:rPr>
        <w:t> Das Nähere regelt das diözesane Recht.</w:t>
      </w:r>
    </w:p>
    <w:p w:rsidR="00BE1EFE" w:rsidRDefault="00BE1EFE">
      <w:pPr>
        <w:pStyle w:val="berschrift6"/>
      </w:pPr>
      <w:bookmarkStart w:id="1428" w:name="_Toc523926938"/>
      <w:r>
        <w:t>§ 20 Ernennung/Mitwirkung der beisitzenden Richter</w:t>
      </w:r>
      <w:bookmarkEnd w:id="142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sechs beisitzenden Richter aus den Kreisen der Dienstgeber werden auf Vorschlag des Domkapitels als Konsultorenkollegium und/oder des Diözesanvermögensverwaltungsrats vom Diözesanbischof ernannt. </w:t>
      </w:r>
      <w:r>
        <w:rPr>
          <w:rStyle w:val="kleinschrift"/>
        </w:rPr>
        <w:t>2</w:t>
      </w:r>
      <w:r>
        <w:t xml:space="preserve">Drei beisitzende Richter aus den Kreisen der Mitarbeiter werden auf Vorschlag des Vorstands/der Vorstände der diözesanen Arbeitsgemeinschaft(en) für Mitarbeitervertretungen und drei beisitzende Richter auf Vorschlag der Mitarbeitervertreter in der Bistums-/Regional-KODA vom Diözesanbischof ernannt. </w:t>
      </w:r>
      <w:r>
        <w:rPr>
          <w:rStyle w:val="kleinschrift"/>
        </w:rPr>
        <w:t>3</w:t>
      </w:r>
      <w:r>
        <w:t xml:space="preserve">Die Ernennung erfolgt für die Dauer von fünf Jahren. </w:t>
      </w:r>
      <w:r>
        <w:rPr>
          <w:rStyle w:val="kleinschrift"/>
        </w:rPr>
        <w:t>4</w:t>
      </w:r>
      <w:r>
        <w:t xml:space="preserve">Bei der Abgabe der Vorschläge durch die vorschlagsberechtigten </w:t>
      </w:r>
      <w:r>
        <w:lastRenderedPageBreak/>
        <w:t xml:space="preserve">Gremien werden Vertreter aus Einrichtungen der Caritas, die jeweils von der Dienstgeberseite und der Mitarbeiterseite der zuständigen Regional-Kommission der Arbeitsrechtlichen Kommission des Deutschen Caritasverbandes nominiert werden, angemessen berücksichtigt. </w:t>
      </w:r>
      <w:r>
        <w:rPr>
          <w:rStyle w:val="kleinschrift"/>
        </w:rPr>
        <w:t>5</w:t>
      </w:r>
      <w:r>
        <w:t>Die Wiederernennung ist zulässig.</w:t>
      </w:r>
    </w:p>
    <w:p w:rsidR="00BE1EFE" w:rsidRPr="000B1AF8" w:rsidRDefault="00BE1EFE">
      <w:pPr>
        <w:pStyle w:val="StandardWeb"/>
      </w:pPr>
    </w:p>
    <w:p w:rsidR="00BE1EFE" w:rsidRDefault="00BE1EFE">
      <w:pPr>
        <w:pStyle w:val="StandardWeb"/>
      </w:pPr>
      <w:r>
        <w:t>(2) </w:t>
      </w:r>
      <w:r>
        <w:rPr>
          <w:rStyle w:val="kleinschrift"/>
        </w:rPr>
        <w:t>1</w:t>
      </w:r>
      <w:r>
        <w:t xml:space="preserve">Die beisitzenden Richter wirken in alphabetischer Reihenfolge an der mündlichen Verhandlung mit. </w:t>
      </w:r>
      <w:r>
        <w:rPr>
          <w:rStyle w:val="kleinschrift"/>
        </w:rPr>
        <w:t>2</w:t>
      </w:r>
      <w:r>
        <w:t xml:space="preserve">Zieht sich ein Verfahren über mehrere Verhandlungstage hin, findet ein Wechsel bei den beisitzenden Richtern grundsätzlich nicht statt. </w:t>
      </w:r>
      <w:r>
        <w:rPr>
          <w:rStyle w:val="kleinschrift"/>
        </w:rPr>
        <w:t>3</w:t>
      </w:r>
      <w:r>
        <w:t>Bei Verhinderung eines beisitzenden Richters tritt an dessen Stelle derjenige, der in der Reihenfolge an nächster Stelle steht.</w:t>
      </w:r>
    </w:p>
    <w:p w:rsidR="00BE1EFE" w:rsidRDefault="00BE1EFE">
      <w:pPr>
        <w:pStyle w:val="StandardWeb"/>
      </w:pPr>
    </w:p>
    <w:p w:rsidR="00BE1EFE" w:rsidRDefault="00BE1EFE">
      <w:pPr>
        <w:pStyle w:val="StandardWeb"/>
      </w:pPr>
      <w:r>
        <w:t>(3) Bei unvorhergesehener Verhinderung kann der Vorsitzende abweichend von Absatz 2 aus der Beisitzerliste einen beisitzenden Richter heranziehen, der am Gerichtssitz oder in der Nähe wohnt oder seinen Dienstsitz hat.</w:t>
      </w:r>
    </w:p>
    <w:p w:rsidR="00BE1EFE" w:rsidRDefault="00BE1EFE" w:rsidP="0054365C">
      <w:pPr>
        <w:pStyle w:val="berschrift5"/>
      </w:pPr>
      <w:bookmarkStart w:id="1429" w:name="_Toc523926939"/>
      <w:r>
        <w:t>Zweiter Teil – Aufbau der kirchlichen Gerichte für Arbeitssachen – 2.</w:t>
      </w:r>
      <w:r>
        <w:rPr>
          <w:lang w:eastAsia="x-none"/>
        </w:rPr>
        <w:t> </w:t>
      </w:r>
      <w:r>
        <w:t>Abschnitt: Kirchlicher Arbeitsgerichtshof</w:t>
      </w:r>
      <w:bookmarkEnd w:id="1429"/>
    </w:p>
    <w:p w:rsidR="00BE1EFE" w:rsidRDefault="00BE1EFE">
      <w:pPr>
        <w:pStyle w:val="berschrift6"/>
      </w:pPr>
      <w:bookmarkStart w:id="1430" w:name="_Toc523926940"/>
      <w:r>
        <w:t>§ 21 Errichtung</w:t>
      </w:r>
      <w:bookmarkEnd w:id="143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Für die Bistümer im Bereich der Deutschen Bischofskonferenz wird als Kirchliches Arbeitsgericht zweiter Instanz der Kirchliche Arbeitsgerichtshof mit Sitz in Bonn errichtet.</w:t>
      </w:r>
    </w:p>
    <w:p w:rsidR="00BE1EFE" w:rsidRDefault="00BE1EFE">
      <w:pPr>
        <w:pStyle w:val="berschrift6"/>
      </w:pPr>
      <w:bookmarkStart w:id="1431" w:name="_Toc523926941"/>
      <w:r>
        <w:t>§ 22 Zusammensetzung/Besetzung</w:t>
      </w:r>
      <w:bookmarkEnd w:id="143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(1) Der Kirchliche Arbeitsgerichtshof besteht aus dem Präsidenten und dem Vizepräsidenten </w:t>
      </w:r>
      <w:hyperlink r:id="rId2084" w:history="1">
        <w:r w:rsidRPr="002D1F1D">
          <w:rPr>
            <w:rStyle w:val="Hyperlink"/>
          </w:rPr>
          <w:t>(§ 18 Absatz 2 Buchstabe</w:t>
        </w:r>
      </w:hyperlink>
      <w:r>
        <w:t xml:space="preserve"> a), einem Mitglied mit der Befähigung zum staatlichen Richteramt (</w:t>
      </w:r>
      <w:hyperlink r:id="rId2085" w:tgtFrame="_blank" w:history="1">
        <w:r>
          <w:rPr>
            <w:rStyle w:val="Hyperlink"/>
          </w:rPr>
          <w:t>§ 5 DRiG</w:t>
        </w:r>
      </w:hyperlink>
      <w:r>
        <w:t>) und dessen Stellvertreter, einem Mitglied mit der Befähigung zum kirchlichen Richteramt (</w:t>
      </w:r>
      <w:hyperlink r:id="rId2086" w:tgtFrame="_blank" w:history="1">
        <w:r>
          <w:rPr>
            <w:rStyle w:val="Hyperlink"/>
          </w:rPr>
          <w:t>c. 1421 § 3 CIC</w:t>
        </w:r>
      </w:hyperlink>
      <w:r>
        <w:t>) und dessen Stellvertreter, sechs beisitzenden Richtern aus den Kreisen der Dienstgeber und sechs beisitzenden Richtern aus den Kreisen der Mitarbeiter.</w:t>
      </w:r>
    </w:p>
    <w:p w:rsidR="00BE1EFE" w:rsidRPr="000B1AF8" w:rsidRDefault="00BE1EFE">
      <w:pPr>
        <w:pStyle w:val="StandardWeb"/>
      </w:pPr>
    </w:p>
    <w:p w:rsidR="00BE1EFE" w:rsidRDefault="00BE1EFE">
      <w:pPr>
        <w:pStyle w:val="StandardWeb"/>
      </w:pPr>
      <w:r>
        <w:t>(2) Der Kirchliche Arbeitsgerichtshof entscheidet in der Besetzung mit dem Präsidenten oder dem Vizepräsidenten, den beiden Mitgliedern mit der Befähigung zum Richteramt, einem beisitzenden Richter aus den Kreisen der Mitarbeiter.</w:t>
      </w:r>
    </w:p>
    <w:p w:rsidR="00BE1EFE" w:rsidRDefault="00BE1EFE">
      <w:pPr>
        <w:pStyle w:val="StandardWeb"/>
      </w:pPr>
    </w:p>
    <w:p w:rsidR="00BE1EFE" w:rsidRDefault="00BE1EFE">
      <w:pPr>
        <w:pStyle w:val="StandardWeb"/>
      </w:pPr>
      <w:r>
        <w:t xml:space="preserve">(3) Die Verteilung der Verfahren zwischen dem Präsidenten und dem Vizepräsidenten erfolgt anhand eines Geschäftsverteilungsplans, der spätestens am Ende des laufenden Jahres für das folgende Jahr vom Präsidenten nach Anhörung des Vizepräsidenten schriftlich festzulegen ist (vgl. </w:t>
      </w:r>
      <w:hyperlink r:id="rId2087" w:history="1">
        <w:r w:rsidRPr="002D1F1D">
          <w:rPr>
            <w:rStyle w:val="Hyperlink"/>
          </w:rPr>
          <w:t>§ 16 Absatz 3)</w:t>
        </w:r>
      </w:hyperlink>
      <w:r>
        <w:t>.</w:t>
      </w:r>
    </w:p>
    <w:p w:rsidR="00BE1EFE" w:rsidRDefault="00BE1EFE">
      <w:pPr>
        <w:pStyle w:val="StandardWeb"/>
      </w:pPr>
    </w:p>
    <w:p w:rsidR="00BE1EFE" w:rsidRDefault="00BE1EFE">
      <w:pPr>
        <w:pStyle w:val="StandardWeb"/>
      </w:pPr>
      <w:r>
        <w:t>(4) Sind der Präsident bzw. Vizepräsident oder ein Mitglied mit der Befähigung zum Richter</w:t>
      </w:r>
      <w:r>
        <w:softHyphen/>
        <w:t>amt an der Ausübung ihres Amtes gehindert, treten an deren Stelle der Vizepräsident bzw. die jeweiligen Stellvertreter.</w:t>
      </w:r>
    </w:p>
    <w:p w:rsidR="00BE1EFE" w:rsidRDefault="00BE1EFE">
      <w:pPr>
        <w:pStyle w:val="berschrift6"/>
      </w:pPr>
      <w:bookmarkStart w:id="1432" w:name="_Toc523926942"/>
      <w:r>
        <w:t>§ 23 Dienstaufsicht/Verwaltung</w:t>
      </w:r>
      <w:bookmarkEnd w:id="143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Dienstaufsicht über die Mitglieder des Kirchlichen Arbeitsgerichtshofes übt der Vorsitzende der Deutschen Bischofskonferenz aus.</w:t>
      </w:r>
    </w:p>
    <w:p w:rsidR="00BE1EFE" w:rsidRPr="000B1AF8" w:rsidRDefault="00BE1EFE">
      <w:pPr>
        <w:pStyle w:val="StandardWeb"/>
      </w:pPr>
    </w:p>
    <w:p w:rsidR="00BE1EFE" w:rsidRDefault="00BE1EFE" w:rsidP="007F5EEF">
      <w:pPr>
        <w:pStyle w:val="StandardWeb"/>
      </w:pPr>
      <w:r>
        <w:t>(2) Die Geschäftsstelle des Kirchlichen Arbeitsgerichtshofs wird beim Sekretariat der Deutschen Bischofskonferenz eingerichtet.</w:t>
      </w:r>
    </w:p>
    <w:p w:rsidR="00BE1EFE" w:rsidRDefault="00BE1EFE">
      <w:pPr>
        <w:pStyle w:val="berschrift6"/>
      </w:pPr>
      <w:bookmarkStart w:id="1433" w:name="_Toc523926943"/>
      <w:r>
        <w:t>§ 24 Rechtsstellung der Richter/Ernennungsvoraussetzungen/Beendigung des Richteramtes</w:t>
      </w:r>
      <w:bookmarkEnd w:id="143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hyperlink r:id="rId2088" w:history="1">
        <w:r w:rsidRPr="002D1F1D">
          <w:rPr>
            <w:rStyle w:val="Hyperlink"/>
          </w:rPr>
          <w:t>§ 17</w:t>
        </w:r>
      </w:hyperlink>
      <w:r>
        <w:t xml:space="preserve"> gilt entsprechend.</w:t>
      </w:r>
    </w:p>
    <w:p w:rsidR="00BE1EFE" w:rsidRPr="000B1AF8" w:rsidRDefault="00BE1EFE">
      <w:pPr>
        <w:pStyle w:val="StandardWeb"/>
      </w:pPr>
    </w:p>
    <w:p w:rsidR="00BE1EFE" w:rsidRDefault="00BE1EFE">
      <w:pPr>
        <w:pStyle w:val="StandardWeb"/>
      </w:pPr>
      <w:r>
        <w:t>(2) </w:t>
      </w:r>
      <w:hyperlink r:id="rId2089" w:history="1">
        <w:r w:rsidRPr="002D1F1D">
          <w:rPr>
            <w:rStyle w:val="Hyperlink"/>
          </w:rPr>
          <w:t>§ 18</w:t>
        </w:r>
      </w:hyperlink>
      <w:r>
        <w:t xml:space="preserve"> gilt entsprechend mit der Maßgabe, dass auch für die weiteren Mitglieder mit der Befähigung zum Richteramt sowie deren Stellvertreter die Voraussetzungen für die Ernennung nach </w:t>
      </w:r>
      <w:hyperlink r:id="rId2090" w:history="1">
        <w:r w:rsidRPr="002D1F1D">
          <w:rPr>
            <w:rStyle w:val="Hyperlink"/>
          </w:rPr>
          <w:t>§ 18 Absatz 2 Buchstaben b) und c)</w:t>
        </w:r>
      </w:hyperlink>
      <w:r>
        <w:t xml:space="preserve"> entsprechend Anwendung finden und dass die Feststellungen nach </w:t>
      </w:r>
      <w:hyperlink r:id="rId2091" w:history="1">
        <w:r w:rsidRPr="002D1F1D">
          <w:rPr>
            <w:rStyle w:val="Hyperlink"/>
          </w:rPr>
          <w:t>§ 18 Absatz 4</w:t>
        </w:r>
      </w:hyperlink>
      <w:r>
        <w:t xml:space="preserve"> durch den Vorsitzenden der Deutschen Bischofskonferenz oder durch ein von ihm bestimmtes Gericht auf der Grundlage der entsprechenden Vorschriften des Bistums, in dem der Kirchliche Arbeitsgerichtshof seinen Sitz hat, zu treffen sind.</w:t>
      </w:r>
    </w:p>
    <w:p w:rsidR="00BE1EFE" w:rsidRDefault="00BE1EFE">
      <w:pPr>
        <w:pStyle w:val="berschrift6"/>
      </w:pPr>
      <w:bookmarkStart w:id="1434" w:name="_Toc523926944"/>
      <w:r>
        <w:t>§ 25 Ernennung des Präsidenten und der weiteren Mitglieder mit der Befähigung zum Richteramt</w:t>
      </w:r>
      <w:bookmarkEnd w:id="1434"/>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Der Präsident und die weiteren Mitglieder mit der Befähigung zum Richteramt werden auf Vorschlag des Ständigen Rates der Deutschen Bischofskonferenz vom Vorsitzenden der Deutschen Bischofskonferenz für die Dauer von fünf Jahren ernannt. </w:t>
      </w:r>
      <w:r>
        <w:rPr>
          <w:rStyle w:val="kleinschrift"/>
        </w:rPr>
        <w:t>2</w:t>
      </w:r>
      <w:r>
        <w:t xml:space="preserve">Der Vorsitzende der Deutschen Bischofskonferenz gibt dem Verwaltungsrat des Verbandes der Diözesen Deutschlands, dem Deutschen Caritasverband, der Bundesarbeitsgemeinschaft der Mitarbeitervertretungen, der Mitarbeiterseite der Zentral-KODA und der Deutschen Ordensobernkonferenz zuvor Gelegenheit zur Stellungnahme. </w:t>
      </w:r>
      <w:r>
        <w:rPr>
          <w:rStyle w:val="kleinschrift"/>
        </w:rPr>
        <w:t>3</w:t>
      </w:r>
      <w:r>
        <w:t>Eine Wiederernennung ist zulässig.</w:t>
      </w:r>
    </w:p>
    <w:p w:rsidR="00BE1EFE" w:rsidRDefault="00BE1EFE">
      <w:pPr>
        <w:pStyle w:val="berschrift6"/>
      </w:pPr>
      <w:bookmarkStart w:id="1435" w:name="_Toc523926945"/>
      <w:r>
        <w:t>§ 26 Ernennung/Mitwirkung der beisitzenden Richter aus den Kreisen der Dienstgeber und Mitarbeiter</w:t>
      </w:r>
      <w:bookmarkEnd w:id="143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Die beisitzenden Richter aus den Kreisen der Dienstgeber werden auf Vorschlag des Verwaltungsrates des Verbandes der Diözesen Deutschlands, die beisitzenden Richter aus den Kreisen der Mitarbeiter werden auf Vorschlag des Vorstandes der Bundesarbeits</w:t>
      </w:r>
      <w:r>
        <w:softHyphen/>
        <w:t xml:space="preserve">gemeinschaft der Mitarbeitervertretungen und auf Vorschlag der Mitarbeiterseite der Zentral-KODA vom Vorsitzenden der Deutschen Bischofskonferenz für die Dauer von fünf Jahren ernannt. </w:t>
      </w:r>
      <w:r>
        <w:rPr>
          <w:rStyle w:val="kleinschrift"/>
        </w:rPr>
        <w:t>2</w:t>
      </w:r>
      <w:r>
        <w:t xml:space="preserve">Bei der Abgabe des Vorschlages für die beisitzenden Richter aus den Kreisen der Dienstgeber werden Vertreter aus Einrichtungen der Caritas bzw. der Orden, die von der Dienstgeberseite der Bundeskommission der Arbeitsrechtlichen Kommission bzw. der Deutschen Ordensobernkonferenz nominiert werden, angemessen berücksichtigt. </w:t>
      </w:r>
      <w:r>
        <w:rPr>
          <w:rStyle w:val="kleinschrift"/>
        </w:rPr>
        <w:t>3</w:t>
      </w:r>
      <w:r>
        <w:t>Bei der Abgabe des Vorschlags für die beisitzenden Richter aus den Kreisen der Mitarbeiter werden Vertreter der Caritas, die von der Mitarbeiterseite der Bundeskommission der Arbeitsrecht</w:t>
      </w:r>
      <w:r>
        <w:softHyphen/>
        <w:t xml:space="preserve">lichen Kommission nominiert werden, angemessen berücksichtigt. </w:t>
      </w:r>
      <w:r>
        <w:rPr>
          <w:rStyle w:val="kleinschrift"/>
        </w:rPr>
        <w:t>4</w:t>
      </w:r>
      <w:r>
        <w:t>Die Wiederernennung ist zulässig.</w:t>
      </w:r>
    </w:p>
    <w:p w:rsidR="00BE1EFE" w:rsidRPr="000B1AF8" w:rsidRDefault="00BE1EFE">
      <w:pPr>
        <w:pStyle w:val="StandardWeb"/>
      </w:pPr>
    </w:p>
    <w:p w:rsidR="00BE1EFE" w:rsidRDefault="00BE1EFE">
      <w:pPr>
        <w:pStyle w:val="StandardWeb"/>
      </w:pPr>
      <w:r>
        <w:t>(2)</w:t>
      </w:r>
      <w:hyperlink r:id="rId2092" w:history="1">
        <w:r>
          <w:rPr>
            <w:rStyle w:val="Hyperlink"/>
          </w:rPr>
          <w:t> </w:t>
        </w:r>
        <w:r w:rsidRPr="002D1F1D">
          <w:rPr>
            <w:rStyle w:val="Hyperlink"/>
          </w:rPr>
          <w:t>§ 20 Absatz 2 und 3</w:t>
        </w:r>
      </w:hyperlink>
      <w:r>
        <w:t xml:space="preserve"> gelten entsprechend.</w:t>
      </w:r>
    </w:p>
    <w:p w:rsidR="00BE1EFE" w:rsidRDefault="00BE1EFE">
      <w:pPr>
        <w:pStyle w:val="StandardWeb"/>
      </w:pPr>
    </w:p>
    <w:p w:rsidR="00BE1EFE" w:rsidRDefault="00BE1EFE" w:rsidP="0054365C">
      <w:pPr>
        <w:pStyle w:val="berschrift5"/>
      </w:pPr>
      <w:bookmarkStart w:id="1436" w:name="_Toc523926946"/>
      <w:r>
        <w:lastRenderedPageBreak/>
        <w:t>Dritter Teil – Verfahren vor den kirchlichen Gerichten für Arbeits</w:t>
      </w:r>
      <w:r>
        <w:softHyphen/>
        <w:t>sachen –</w:t>
      </w:r>
      <w:r>
        <w:rPr>
          <w:lang w:eastAsia="x-none"/>
        </w:rPr>
        <w:t xml:space="preserve"> </w:t>
      </w:r>
      <w:r>
        <w:t>1. Abschnitt: Verfahren im ersten Rechtszug –</w:t>
      </w:r>
      <w:r>
        <w:rPr>
          <w:lang w:eastAsia="x-none"/>
        </w:rPr>
        <w:t xml:space="preserve"> </w:t>
      </w:r>
      <w:r>
        <w:t>1. Unterabschnitt: Allgemeine Verfahrensvorschriften</w:t>
      </w:r>
      <w:bookmarkEnd w:id="1436"/>
    </w:p>
    <w:p w:rsidR="00BE1EFE" w:rsidRDefault="00BE1EFE">
      <w:pPr>
        <w:pStyle w:val="berschrift6"/>
      </w:pPr>
      <w:bookmarkStart w:id="1437" w:name="_Toc523926947"/>
      <w:r>
        <w:t>§ 27 Anwendbares Recht</w:t>
      </w:r>
      <w:bookmarkEnd w:id="143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 das Verfahren vor den kirchlichen Arbeitsgerichten im ersten Rechtszug finden die Vorschriften des staatlichen Arbeitsgerichtsgesetzes über das Urteilsverfahren in ihrer jeweiligen Fassung Anwendung, soweit diese Ordnung nichts anderes bestimmt.</w:t>
      </w:r>
    </w:p>
    <w:p w:rsidR="00BE1EFE" w:rsidRDefault="00BE1EFE">
      <w:pPr>
        <w:pStyle w:val="berschrift6"/>
      </w:pPr>
      <w:bookmarkStart w:id="1438" w:name="_Toc523926948"/>
      <w:r>
        <w:t>§ 28 Klageschrift</w:t>
      </w:r>
      <w:bookmarkEnd w:id="1438"/>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Das Verfahren wird durch Erhebung der Klage eingeleitet; die Klage ist bei Gericht schriftlich einzureichen oder bei seiner Geschäftsstelle mündlich zur Niederschrift anzubringen. </w:t>
      </w:r>
      <w:r>
        <w:rPr>
          <w:rStyle w:val="kleinschrift"/>
        </w:rPr>
        <w:t>2</w:t>
      </w:r>
      <w:r>
        <w:t xml:space="preserve">Die Klage muss den Kläger, den Beklagten, den Streitgegenstand mit einem bestimmten Antrag und die Gründe für die Klage bezeichnen. </w:t>
      </w:r>
      <w:r>
        <w:rPr>
          <w:rStyle w:val="kleinschrift"/>
        </w:rPr>
        <w:t>3</w:t>
      </w:r>
      <w:r>
        <w:t>Zur Begründung dienende Tatsachen und Beweismittel sollen angegeben werden.</w:t>
      </w:r>
    </w:p>
    <w:p w:rsidR="00BE1EFE" w:rsidRDefault="00BE1EFE">
      <w:pPr>
        <w:pStyle w:val="berschrift6"/>
      </w:pPr>
      <w:bookmarkStart w:id="1439" w:name="_Toc523926949"/>
      <w:r>
        <w:t>§ 29 Klagerücknahme</w:t>
      </w:r>
      <w:bookmarkEnd w:id="143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Die Klage kann jederzeit in derselben Form zurückgenommen werden. </w:t>
      </w:r>
      <w:r>
        <w:rPr>
          <w:rStyle w:val="kleinschrift"/>
        </w:rPr>
        <w:t>2</w:t>
      </w:r>
      <w:r>
        <w:t xml:space="preserve">In diesem Fall ist das Verfahren durch Beschluss des Vorsitzenden einzustellen. </w:t>
      </w:r>
      <w:r>
        <w:rPr>
          <w:rStyle w:val="kleinschrift"/>
        </w:rPr>
        <w:t>3</w:t>
      </w:r>
      <w:r>
        <w:t>Von der Einstellung des Verfahrens ist den Beteiligten Kenntnis zu geben, soweit ihnen die Klage vom Gericht mitgeteilt worden ist.</w:t>
      </w:r>
    </w:p>
    <w:p w:rsidR="00BE1EFE" w:rsidRDefault="00BE1EFE">
      <w:pPr>
        <w:pStyle w:val="berschrift6"/>
      </w:pPr>
      <w:bookmarkStart w:id="1440" w:name="_Toc523926950"/>
      <w:r>
        <w:t>§ 30 Klageänderung</w:t>
      </w:r>
      <w:bookmarkEnd w:id="1440"/>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Eine Änderung der Klage ist zuzulassen, wenn die übrigen Beteiligten zustimmen oder das Gericht die Änderung für sachdienlich hält. </w:t>
      </w:r>
      <w:r>
        <w:rPr>
          <w:rStyle w:val="kleinschrift"/>
        </w:rPr>
        <w:t>2</w:t>
      </w:r>
      <w:r>
        <w:t xml:space="preserve">Die Zustimmung der Beteiligten zu der Änderung der Klage gilt als erteilt, wenn die Beteiligten sich, ohne zu widersprechen, in einem Schriftsatz oder in der mündlichen Verhandlung auf die geänderte Klage eingelassen haben. </w:t>
      </w:r>
      <w:r>
        <w:rPr>
          <w:rStyle w:val="kleinschrift"/>
        </w:rPr>
        <w:t>3</w:t>
      </w:r>
      <w:r>
        <w:t>Die Entscheidung, dass eine Änderung der Klage nicht vorliegt oder zugelassen wird, ist unanfechtbar.</w:t>
      </w:r>
    </w:p>
    <w:p w:rsidR="00BE1EFE" w:rsidRDefault="00BE1EFE">
      <w:pPr>
        <w:pStyle w:val="berschrift6"/>
      </w:pPr>
      <w:bookmarkStart w:id="1441" w:name="_Toc523926951"/>
      <w:r>
        <w:t>§ 31 Zustellung der Klage/Klageerwiderung</w:t>
      </w:r>
      <w:bookmarkEnd w:id="144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Der Vorsitzende stellt dem Beklagten die Klageschrift zu mit der Aufforderung, auf die Klage innerhalb einer von ihm bestimmten Frist schriftlich zu erwidern.</w:t>
      </w:r>
    </w:p>
    <w:p w:rsidR="00BE1EFE" w:rsidRDefault="00BE1EFE">
      <w:pPr>
        <w:pStyle w:val="berschrift6"/>
      </w:pPr>
      <w:bookmarkStart w:id="1442" w:name="_Toc523926952"/>
      <w:r>
        <w:t>§ 32 Ladung zur mündlichen Verhandlung</w:t>
      </w:r>
      <w:bookmarkEnd w:id="1442"/>
    </w:p>
    <w:p w:rsidR="00BE1EFE" w:rsidRPr="00B76821" w:rsidRDefault="00BE1EFE" w:rsidP="00B76821">
      <w:pPr>
        <w:pStyle w:val="h7"/>
        <w:keepNext w:val="0"/>
        <w:spacing w:before="0" w:after="0"/>
        <w:jc w:val="left"/>
        <w:outlineLvl w:val="5"/>
        <w:rPr>
          <w:rStyle w:val="kleinschrift"/>
          <w:sz w:val="2"/>
        </w:rPr>
      </w:pPr>
    </w:p>
    <w:p w:rsidR="00BE1EFE" w:rsidRDefault="00BE1EFE" w:rsidP="007F5EEF">
      <w:pPr>
        <w:pStyle w:val="StandardWeb"/>
      </w:pPr>
      <w:r>
        <w:rPr>
          <w:rStyle w:val="kleinschrift"/>
        </w:rPr>
        <w:t>1</w:t>
      </w:r>
      <w:r>
        <w:t xml:space="preserve">Der Vorsitzende bestimmt nach Eingang der Klageerwiderung, spätestens nach Fristablauf Termin zur mündlichen Verhandlung. </w:t>
      </w:r>
      <w:r>
        <w:rPr>
          <w:rStyle w:val="kleinschrift"/>
        </w:rPr>
        <w:t>2</w:t>
      </w:r>
      <w:r>
        <w:t xml:space="preserve">Er lädt dazu die Beteiligten mit einer Frist von mindestens zwei Wochen. </w:t>
      </w:r>
      <w:r>
        <w:rPr>
          <w:rStyle w:val="kleinschrift"/>
        </w:rPr>
        <w:t>3</w:t>
      </w:r>
      <w:r>
        <w:t>Dabei ist darauf hinzuweisen, dass auch in Abwesenheit einer Partei verhandelt und entschieden werden kann.</w:t>
      </w:r>
    </w:p>
    <w:p w:rsidR="00BE1EFE" w:rsidRDefault="00BE1EFE">
      <w:pPr>
        <w:pStyle w:val="berschrift6"/>
      </w:pPr>
      <w:bookmarkStart w:id="1443" w:name="_Toc523926953"/>
      <w:r>
        <w:lastRenderedPageBreak/>
        <w:t>§ 33 Vorbereitung der mündlichen Verhandlung</w:t>
      </w:r>
      <w:bookmarkEnd w:id="1443"/>
    </w:p>
    <w:p w:rsidR="00BE1EFE" w:rsidRPr="00B76821" w:rsidRDefault="00BE1EFE" w:rsidP="00B76821">
      <w:pPr>
        <w:pStyle w:val="h7"/>
        <w:keepNext w:val="0"/>
        <w:spacing w:before="0" w:after="0"/>
        <w:jc w:val="left"/>
        <w:outlineLvl w:val="5"/>
        <w:rPr>
          <w:sz w:val="2"/>
        </w:rPr>
      </w:pPr>
    </w:p>
    <w:p w:rsidR="00BE1EFE" w:rsidRDefault="00BE1EFE">
      <w:pPr>
        <w:pStyle w:val="StandardWeb"/>
      </w:pPr>
      <w:r>
        <w:t>(1) </w:t>
      </w:r>
      <w:r>
        <w:rPr>
          <w:rStyle w:val="kleinschrift"/>
        </w:rPr>
        <w:t>1</w:t>
      </w:r>
      <w:r>
        <w:t xml:space="preserve">Der Vorsitzende hat die streitige Verhandlung so vorzubereiten, dass sie möglichst in einem Termin zu Ende geführt werden kann. </w:t>
      </w:r>
      <w:r>
        <w:rPr>
          <w:rStyle w:val="kleinschrift"/>
        </w:rPr>
        <w:t>2</w:t>
      </w:r>
      <w:r>
        <w:t>Zu diesem Zweck soll er, soweit es sachdienlich erscheint, insbesondere</w:t>
      </w:r>
    </w:p>
    <w:p w:rsidR="00BE1EFE" w:rsidRDefault="00BE1EFE">
      <w:pPr>
        <w:pStyle w:val="StandardWeb"/>
      </w:pPr>
      <w:r>
        <w:t>1. den Parteien die Ergänzung oder Erläuterung ihrer vorbereitenden Schriftsätze sowie die Vorlegung von Urkunden und von anderen zur Niederlegung bei Gericht geeigneten Gegen</w:t>
      </w:r>
      <w:r>
        <w:softHyphen/>
        <w:t>ständen aufgeben, insbesondere eine Frist zur Erklärung über bestimmte klärungsbedürftige Punkte setzen;</w:t>
      </w:r>
    </w:p>
    <w:p w:rsidR="00BE1EFE" w:rsidRDefault="00BE1EFE">
      <w:pPr>
        <w:pStyle w:val="StandardWeb"/>
      </w:pPr>
      <w:r>
        <w:t>2. kirchliche Behörden und Dienststellen oder Träger eines kirchlichen Amtes um Mitteilung von Urkunden oder um Erteilung von Auskünften ersuchen;</w:t>
      </w:r>
    </w:p>
    <w:p w:rsidR="00BE1EFE" w:rsidRDefault="00BE1EFE">
      <w:pPr>
        <w:pStyle w:val="StandardWeb"/>
      </w:pPr>
      <w:r>
        <w:t>3. das persönliche Erscheinen der Parteien anordnen;</w:t>
      </w:r>
    </w:p>
    <w:p w:rsidR="00BE1EFE" w:rsidRPr="000B1AF8" w:rsidRDefault="00BE1EFE">
      <w:pPr>
        <w:pStyle w:val="StandardWeb"/>
      </w:pPr>
      <w:r>
        <w:t xml:space="preserve">4. Zeugen, auf die sich eine Partei bezogen hat, und Sachverständige zur mündlichen Verhandlung laden sowie eine Anordnung nach </w:t>
      </w:r>
      <w:hyperlink r:id="rId2093" w:tgtFrame="_blank" w:history="1">
        <w:r>
          <w:rPr>
            <w:rStyle w:val="Hyperlink"/>
          </w:rPr>
          <w:t>§ 378 der Zivilprozessordnung</w:t>
        </w:r>
      </w:hyperlink>
      <w:r>
        <w:t xml:space="preserve"> treffen. </w:t>
      </w:r>
      <w:r>
        <w:rPr>
          <w:rStyle w:val="kleinschrift"/>
        </w:rPr>
        <w:t>3</w:t>
      </w:r>
      <w:r>
        <w:t>Von diesen Maßnahmen sind die Parteien zu benachrichtigen.</w:t>
      </w:r>
    </w:p>
    <w:p w:rsidR="00BE1EFE" w:rsidRPr="000B1AF8" w:rsidRDefault="00BE1EFE">
      <w:pPr>
        <w:pStyle w:val="StandardWeb"/>
      </w:pPr>
    </w:p>
    <w:p w:rsidR="00BE1EFE" w:rsidRDefault="00BE1EFE">
      <w:pPr>
        <w:pStyle w:val="StandardWeb"/>
      </w:pPr>
      <w:r>
        <w:t>(2) </w:t>
      </w:r>
      <w:r>
        <w:rPr>
          <w:rStyle w:val="kleinschrift"/>
        </w:rPr>
        <w:t>1</w:t>
      </w:r>
      <w:r>
        <w:t xml:space="preserve">Angriffs- und Verteidigungsmittel, die erst nach Ablauf einer nach Absatz 1 Satz 2 Nr. 1 gesetzten Frist vorgebracht werden, sind nur zuzulassen, wenn nach der freien Überzeugung des Gerichts ihre Zulassung die Erledigung des Rechtsstreits nicht verzögern würde oder wenn die Partei die Verspätung genügend entschuldigt. </w:t>
      </w:r>
      <w:r>
        <w:rPr>
          <w:rStyle w:val="kleinschrift"/>
        </w:rPr>
        <w:t>2</w:t>
      </w:r>
      <w:r>
        <w:t>Die Parteien sind über die Folgen der Versäumung der nach Absatz 1 Satz 2 Nr. 1 gesetzten Frist zu belehren.</w:t>
      </w:r>
    </w:p>
    <w:p w:rsidR="00BE1EFE" w:rsidRDefault="00BE1EFE">
      <w:pPr>
        <w:pStyle w:val="berschrift6"/>
      </w:pPr>
      <w:bookmarkStart w:id="1444" w:name="_Toc523926954"/>
      <w:r>
        <w:t>§ 34 Alleinentscheidung durch den Vorsitzenden</w:t>
      </w:r>
      <w:bookmarkEnd w:id="1444"/>
    </w:p>
    <w:p w:rsidR="00BE1EFE" w:rsidRPr="00B76821" w:rsidRDefault="00BE1EFE" w:rsidP="00B76821">
      <w:pPr>
        <w:pStyle w:val="h7"/>
        <w:keepNext w:val="0"/>
        <w:spacing w:before="0" w:after="0"/>
        <w:jc w:val="left"/>
        <w:outlineLvl w:val="5"/>
        <w:rPr>
          <w:sz w:val="2"/>
        </w:rPr>
      </w:pPr>
    </w:p>
    <w:p w:rsidR="00BE1EFE" w:rsidRDefault="00BE1EFE">
      <w:pPr>
        <w:pStyle w:val="StandardWeb"/>
      </w:pPr>
      <w:r>
        <w:t>(1) Der Vorsitzende entscheidet allein</w:t>
      </w:r>
    </w:p>
    <w:p w:rsidR="00BE1EFE" w:rsidRDefault="00BE1EFE">
      <w:pPr>
        <w:pStyle w:val="StandardWeb"/>
      </w:pPr>
      <w:r>
        <w:t>1. bei Zurücknahme der Klage;</w:t>
      </w:r>
    </w:p>
    <w:p w:rsidR="00BE1EFE" w:rsidRDefault="00BE1EFE">
      <w:pPr>
        <w:pStyle w:val="StandardWeb"/>
      </w:pPr>
      <w:r>
        <w:t>2. bei Verzicht auf den geltend gemachten Anspruch;</w:t>
      </w:r>
    </w:p>
    <w:p w:rsidR="00BE1EFE" w:rsidRPr="000B1AF8" w:rsidRDefault="00BE1EFE">
      <w:pPr>
        <w:pStyle w:val="StandardWeb"/>
      </w:pPr>
      <w:r>
        <w:t>3. bei Anerkenntnis des geltend gemachten Anspruchs.</w:t>
      </w:r>
    </w:p>
    <w:p w:rsidR="00BE1EFE" w:rsidRPr="000B1AF8" w:rsidRDefault="00BE1EFE">
      <w:pPr>
        <w:pStyle w:val="StandardWeb"/>
      </w:pPr>
    </w:p>
    <w:p w:rsidR="00BE1EFE" w:rsidRDefault="00BE1EFE">
      <w:pPr>
        <w:pStyle w:val="StandardWeb"/>
      </w:pPr>
      <w:r>
        <w:t>(2) Der Vorsitzende kann in den Fällen des Absatzes 1 eine Entscheidung ohne mündliche Verhandlung treffen.</w:t>
      </w:r>
    </w:p>
    <w:p w:rsidR="00BE1EFE" w:rsidRDefault="00BE1EFE">
      <w:pPr>
        <w:pStyle w:val="StandardWeb"/>
      </w:pPr>
    </w:p>
    <w:p w:rsidR="00BE1EFE" w:rsidRDefault="00BE1EFE">
      <w:pPr>
        <w:pStyle w:val="StandardWeb"/>
      </w:pPr>
      <w:r>
        <w:t>(3) Der Vorsitzende entscheidet ferner allein, wenn eine das Verfahren beendende Entschei</w:t>
      </w:r>
      <w:r>
        <w:softHyphen/>
        <w:t>dung ergehen kann und die Parteien übereinstimmend eine Entscheidung durch den Vorsitzenden beantragen; der Antrag ist in die Niederschrift aufzunehmen.</w:t>
      </w:r>
    </w:p>
    <w:p w:rsidR="00BE1EFE" w:rsidRDefault="00BE1EFE">
      <w:pPr>
        <w:pStyle w:val="StandardWeb"/>
      </w:pPr>
    </w:p>
    <w:p w:rsidR="00BE1EFE" w:rsidRDefault="00BE1EFE">
      <w:pPr>
        <w:pStyle w:val="StandardWeb"/>
      </w:pPr>
      <w:r>
        <w:t>(4) </w:t>
      </w:r>
      <w:r>
        <w:rPr>
          <w:rStyle w:val="kleinschrift"/>
        </w:rPr>
        <w:t>1</w:t>
      </w:r>
      <w:r>
        <w:t>Der Vorsitzende kann vor der streitigen Verhandlung einen Beweisbeschluss erlassen, soweit er anordnet</w:t>
      </w:r>
    </w:p>
    <w:p w:rsidR="00BE1EFE" w:rsidRDefault="00BE1EFE">
      <w:pPr>
        <w:pStyle w:val="StandardWeb"/>
      </w:pPr>
      <w:r>
        <w:t>1. eine Beweisaufnahme durch den ersuchten Richter;</w:t>
      </w:r>
    </w:p>
    <w:p w:rsidR="00BE1EFE" w:rsidRDefault="00BE1EFE">
      <w:pPr>
        <w:pStyle w:val="StandardWeb"/>
      </w:pPr>
      <w:r>
        <w:t xml:space="preserve">2. eine schriftliche Beantwortung der Beweisfrage nach </w:t>
      </w:r>
      <w:hyperlink r:id="rId2094" w:tgtFrame="_blank" w:history="1">
        <w:r>
          <w:rPr>
            <w:rStyle w:val="Hyperlink"/>
          </w:rPr>
          <w:t>§ 377 Absatz 3</w:t>
        </w:r>
      </w:hyperlink>
      <w:r>
        <w:t xml:space="preserve"> der Zivilprozess</w:t>
      </w:r>
      <w:r>
        <w:softHyphen/>
        <w:t>ordnung;</w:t>
      </w:r>
    </w:p>
    <w:p w:rsidR="00BE1EFE" w:rsidRDefault="00BE1EFE">
      <w:pPr>
        <w:pStyle w:val="StandardWeb"/>
      </w:pPr>
      <w:r>
        <w:t>3. die Einholung amtlicher Auskünfte;</w:t>
      </w:r>
    </w:p>
    <w:p w:rsidR="00BE1EFE" w:rsidRDefault="00BE1EFE" w:rsidP="007F5EEF">
      <w:pPr>
        <w:pStyle w:val="StandardWeb"/>
      </w:pPr>
      <w:r>
        <w:t xml:space="preserve">4. eine Parteivernehmung. </w:t>
      </w:r>
      <w:r>
        <w:rPr>
          <w:rStyle w:val="kleinschrift"/>
        </w:rPr>
        <w:t>2</w:t>
      </w:r>
      <w:r>
        <w:t>Anordnungen nach Nummern 1 bis 3 können vor der streitigen Verhandlung ausgeführt werden.</w:t>
      </w:r>
    </w:p>
    <w:p w:rsidR="00BE1EFE" w:rsidRDefault="00BE1EFE">
      <w:pPr>
        <w:pStyle w:val="berschrift6"/>
      </w:pPr>
      <w:bookmarkStart w:id="1445" w:name="_Toc523926955"/>
      <w:r>
        <w:t>§ 35 Ablehnung von Gerichtspersonen</w:t>
      </w:r>
      <w:bookmarkEnd w:id="1445"/>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Für die Ausschließung und die Ablehnung von Gerichtspersonen gelten die </w:t>
      </w:r>
      <w:hyperlink r:id="rId2095" w:tgtFrame="_blank" w:history="1">
        <w:r>
          <w:rPr>
            <w:rStyle w:val="Hyperlink"/>
          </w:rPr>
          <w:t>§§ 41 bis 49 der Zivilprozessordnung</w:t>
        </w:r>
      </w:hyperlink>
      <w:r>
        <w:t xml:space="preserve"> entsprechend mit der Maßgabe, dass die Entscheidung über die </w:t>
      </w:r>
      <w:r>
        <w:lastRenderedPageBreak/>
        <w:t xml:space="preserve">Ausschließung oder die Ablehnung eines beisitzenden Richters aus den Kreisen der Dienstgeber und der Mitarbeiter der Vorsitzende trifft. </w:t>
      </w:r>
      <w:r>
        <w:rPr>
          <w:rStyle w:val="kleinschrift"/>
        </w:rPr>
        <w:t>2</w:t>
      </w:r>
      <w:r>
        <w:t>Ist der Vorsitzende betroffen, entscheidet der Arbeitsgerichtshof ohne mündliche Verhandlung und ohne Hinzuziehung der beisitzenden Richter aus den Kreisen der Dienstgeber und der Mitarbeiter.</w:t>
      </w:r>
    </w:p>
    <w:p w:rsidR="00BE1EFE" w:rsidRDefault="00BE1EFE">
      <w:pPr>
        <w:pStyle w:val="berschrift6"/>
      </w:pPr>
      <w:bookmarkStart w:id="1446" w:name="_Toc523926956"/>
      <w:r>
        <w:t>§ 36 Zustellungen und Fristen</w:t>
      </w:r>
      <w:bookmarkEnd w:id="144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Anordnungen und Entscheidungen, durch die eine Frist in Lauf gesetzt wird, sind gegen Empfangsbescheinigung oder durch Übergabeeinschreiben mit Rückschein zuzustellen.</w:t>
      </w:r>
    </w:p>
    <w:p w:rsidR="00BE1EFE" w:rsidRPr="000B1AF8" w:rsidRDefault="00BE1EFE">
      <w:pPr>
        <w:pStyle w:val="StandardWeb"/>
      </w:pPr>
    </w:p>
    <w:p w:rsidR="00BE1EFE" w:rsidRDefault="00BE1EFE">
      <w:pPr>
        <w:pStyle w:val="StandardWeb"/>
      </w:pPr>
      <w:r>
        <w:t>(2) Der Lauf einer Frist beginnt mit der Zustellung.</w:t>
      </w:r>
    </w:p>
    <w:p w:rsidR="00BE1EFE" w:rsidRDefault="00BE1EFE">
      <w:pPr>
        <w:pStyle w:val="berschrift6"/>
      </w:pPr>
      <w:bookmarkStart w:id="1447" w:name="_Toc523926957"/>
      <w:r>
        <w:t>§ 37 Wiedereinsetzung in versäumte Fristen</w:t>
      </w:r>
      <w:bookmarkEnd w:id="1447"/>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Ist jemand ohne eigenes Verschulden gehindert, eine Ausschlussfrist einzuhalten, ist ihm auf Antrag Wiedereinsetzung in versäumte Fristen zu gewähren.</w:t>
      </w:r>
    </w:p>
    <w:p w:rsidR="00BE1EFE" w:rsidRPr="000B1AF8" w:rsidRDefault="00BE1EFE">
      <w:pPr>
        <w:pStyle w:val="StandardWeb"/>
      </w:pPr>
    </w:p>
    <w:p w:rsidR="00BE1EFE" w:rsidRDefault="00BE1EFE">
      <w:pPr>
        <w:pStyle w:val="StandardWeb"/>
      </w:pPr>
      <w:r>
        <w:t>(2) Der Antrag muss die Angabe der die Wiedereinsetzung rechtfertigenden Tatsachen und der Mittel zu ihrer Glaubhaftmachung enthalten.</w:t>
      </w:r>
    </w:p>
    <w:p w:rsidR="00BE1EFE" w:rsidRDefault="00BE1EFE">
      <w:pPr>
        <w:pStyle w:val="StandardWeb"/>
      </w:pPr>
    </w:p>
    <w:p w:rsidR="00BE1EFE" w:rsidRDefault="00BE1EFE">
      <w:pPr>
        <w:pStyle w:val="StandardWeb"/>
      </w:pPr>
      <w:r>
        <w:t>(3) </w:t>
      </w:r>
      <w:r>
        <w:rPr>
          <w:rStyle w:val="kleinschrift"/>
        </w:rPr>
        <w:t>1</w:t>
      </w:r>
      <w:r>
        <w:t xml:space="preserve">Der Antrag ist innerhalb von zwei Wochen nach Wegfall des Hindernisses zu stellen. </w:t>
      </w:r>
      <w:r>
        <w:rPr>
          <w:rStyle w:val="kleinschrift"/>
        </w:rPr>
        <w:t>2</w:t>
      </w:r>
      <w:r>
        <w:t>In derselben Frist ist die versäumte Rechtshandlung nachzuholen.</w:t>
      </w:r>
    </w:p>
    <w:p w:rsidR="00BE1EFE" w:rsidRDefault="00BE1EFE">
      <w:pPr>
        <w:pStyle w:val="StandardWeb"/>
      </w:pPr>
    </w:p>
    <w:p w:rsidR="00BE1EFE" w:rsidRDefault="00BE1EFE">
      <w:pPr>
        <w:pStyle w:val="StandardWeb"/>
      </w:pPr>
      <w:r>
        <w:t>(4) Über den Antrag entscheidet die Stelle, die über die versäumte Rechtshandlung zu befinden hat.</w:t>
      </w:r>
    </w:p>
    <w:p w:rsidR="00BE1EFE" w:rsidRDefault="00BE1EFE" w:rsidP="00FC4585">
      <w:pPr>
        <w:pStyle w:val="Leerzeile"/>
      </w:pPr>
    </w:p>
    <w:p w:rsidR="00BE1EFE" w:rsidRDefault="00BE1EFE" w:rsidP="0054365C">
      <w:pPr>
        <w:pStyle w:val="berschrift5"/>
      </w:pPr>
      <w:bookmarkStart w:id="1448" w:name="_Toc523926958"/>
      <w:r>
        <w:t>Dritter Teil – Verfahren vor den kirchlichen Gerichten für Arbeits</w:t>
      </w:r>
      <w:r>
        <w:softHyphen/>
        <w:t>sachen – 1.</w:t>
      </w:r>
      <w:r>
        <w:rPr>
          <w:lang w:eastAsia="x-none"/>
        </w:rPr>
        <w:t> </w:t>
      </w:r>
      <w:r>
        <w:t>Abschnitt: Verfahren im ersten Rechtszug –</w:t>
      </w:r>
      <w:r>
        <w:rPr>
          <w:lang w:eastAsia="x-none"/>
        </w:rPr>
        <w:t xml:space="preserve"> </w:t>
      </w:r>
      <w:r>
        <w:t>2.</w:t>
      </w:r>
      <w:r>
        <w:rPr>
          <w:lang w:eastAsia="x-none"/>
        </w:rPr>
        <w:t> </w:t>
      </w:r>
      <w:r>
        <w:t>Unterabschnitt: Mündliche Verhandlung</w:t>
      </w:r>
      <w:bookmarkEnd w:id="1448"/>
    </w:p>
    <w:p w:rsidR="00BE1EFE" w:rsidRDefault="00BE1EFE">
      <w:pPr>
        <w:pStyle w:val="berschrift6"/>
      </w:pPr>
      <w:bookmarkStart w:id="1449" w:name="_Toc523926959"/>
      <w:r>
        <w:t>§ 38 Gang der mündlichen Verhandlung</w:t>
      </w:r>
      <w:bookmarkEnd w:id="1449"/>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Vorsitzende eröffnet und leitet die Verhandlung. </w:t>
      </w:r>
      <w:r>
        <w:rPr>
          <w:rStyle w:val="kleinschrift"/>
        </w:rPr>
        <w:t>2</w:t>
      </w:r>
      <w:r>
        <w:t xml:space="preserve">Nach Aufruf der Sache trägt er den bisherigen Streitstand vor. </w:t>
      </w:r>
      <w:r>
        <w:rPr>
          <w:rStyle w:val="kleinschrift"/>
        </w:rPr>
        <w:t>3</w:t>
      </w:r>
      <w:r>
        <w:t>Hierauf erhalten die Beteiligten das Wort, um ihr Begehren zu nennen und zu begründen.</w:t>
      </w:r>
    </w:p>
    <w:p w:rsidR="00BE1EFE" w:rsidRPr="000B1AF8" w:rsidRDefault="00BE1EFE">
      <w:pPr>
        <w:pStyle w:val="StandardWeb"/>
      </w:pPr>
    </w:p>
    <w:p w:rsidR="00BE1EFE" w:rsidRDefault="00BE1EFE">
      <w:pPr>
        <w:pStyle w:val="StandardWeb"/>
      </w:pPr>
      <w:r>
        <w:t>(2) </w:t>
      </w:r>
      <w:r>
        <w:rPr>
          <w:rStyle w:val="kleinschrift"/>
        </w:rPr>
        <w:t>1</w:t>
      </w:r>
      <w:r>
        <w:t xml:space="preserve">Der Vorsitzende erörtert die Sache mit den Beteiligten sachlich und rechtlich. </w:t>
      </w:r>
      <w:r>
        <w:rPr>
          <w:rStyle w:val="kleinschrift"/>
        </w:rPr>
        <w:t>2</w:t>
      </w:r>
      <w:r>
        <w:t>Dabei soll er ihre Einigung fördern.</w:t>
      </w:r>
    </w:p>
    <w:p w:rsidR="00BE1EFE" w:rsidRDefault="00BE1EFE">
      <w:pPr>
        <w:pStyle w:val="StandardWeb"/>
      </w:pPr>
    </w:p>
    <w:p w:rsidR="00BE1EFE" w:rsidRDefault="00BE1EFE">
      <w:pPr>
        <w:pStyle w:val="StandardWeb"/>
      </w:pPr>
      <w:r>
        <w:t>(3) Die beisitzenden Richter haben das Recht, Fragen zu stellen.</w:t>
      </w:r>
    </w:p>
    <w:p w:rsidR="00BE1EFE" w:rsidRDefault="00BE1EFE">
      <w:pPr>
        <w:pStyle w:val="StandardWeb"/>
      </w:pPr>
    </w:p>
    <w:p w:rsidR="00BE1EFE" w:rsidRDefault="00BE1EFE">
      <w:pPr>
        <w:pStyle w:val="StandardWeb"/>
      </w:pPr>
    </w:p>
    <w:p w:rsidR="00BE1EFE" w:rsidRDefault="00BE1EFE">
      <w:pPr>
        <w:pStyle w:val="StandardWeb"/>
      </w:pPr>
    </w:p>
    <w:p w:rsidR="00D22E61" w:rsidRDefault="00D22E61" w:rsidP="00D22E61">
      <w:pPr>
        <w:pStyle w:val="StandardWeb"/>
      </w:pPr>
    </w:p>
    <w:p w:rsidR="00BE1EFE" w:rsidRDefault="00BE1EFE">
      <w:pPr>
        <w:pStyle w:val="berschrift6"/>
      </w:pPr>
      <w:bookmarkStart w:id="1450" w:name="_Toc523926960"/>
      <w:r>
        <w:lastRenderedPageBreak/>
        <w:t>§ 39 Anhörung Dritter</w:t>
      </w:r>
      <w:bookmarkEnd w:id="145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In dem Verfahren können der Dienstgeber, die Dienstnehmer und die Stellen gehört werden, die nach den in </w:t>
      </w:r>
      <w:hyperlink r:id="rId2096" w:history="1">
        <w:r w:rsidRPr="002D1F1D">
          <w:rPr>
            <w:rStyle w:val="Hyperlink"/>
          </w:rPr>
          <w:t>§ 2 Absatz 1 und 2</w:t>
        </w:r>
      </w:hyperlink>
      <w:r>
        <w:t xml:space="preserve"> genannten Ordnungen im einzelnen Fall betroffen sind, ohne am Verfahren im Sinne der </w:t>
      </w:r>
      <w:hyperlink r:id="rId2097" w:history="1">
        <w:r w:rsidRPr="002D1F1D">
          <w:rPr>
            <w:rStyle w:val="Hyperlink"/>
          </w:rPr>
          <w:t>§§ 8</w:t>
        </w:r>
      </w:hyperlink>
      <w:r>
        <w:t xml:space="preserve"> und</w:t>
      </w:r>
      <w:hyperlink r:id="rId2098" w:history="1">
        <w:r w:rsidRPr="002D1F1D">
          <w:rPr>
            <w:rStyle w:val="Hyperlink"/>
          </w:rPr>
          <w:t xml:space="preserve"> 9</w:t>
        </w:r>
      </w:hyperlink>
      <w:r>
        <w:t xml:space="preserve"> beteiligt zu sein.</w:t>
      </w:r>
    </w:p>
    <w:p w:rsidR="00BE1EFE" w:rsidRDefault="00BE1EFE">
      <w:pPr>
        <w:pStyle w:val="berschrift6"/>
      </w:pPr>
      <w:bookmarkStart w:id="1451" w:name="_Toc523926961"/>
      <w:r>
        <w:t>§ 40 Beweisaufnahme</w:t>
      </w:r>
      <w:bookmarkEnd w:id="145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Gericht erhebt Beweis in der mündlichen Verhandlung. </w:t>
      </w:r>
      <w:r>
        <w:rPr>
          <w:rStyle w:val="kleinschrift"/>
        </w:rPr>
        <w:t>2</w:t>
      </w:r>
      <w:r>
        <w:t>Es kann insbesondere Zeugen, Sachverständige und Beteiligte vernehmen und Urkunden heranziehen.</w:t>
      </w:r>
    </w:p>
    <w:p w:rsidR="00BE1EFE" w:rsidRPr="000B1AF8" w:rsidRDefault="00BE1EFE">
      <w:pPr>
        <w:pStyle w:val="StandardWeb"/>
      </w:pPr>
    </w:p>
    <w:p w:rsidR="00BE1EFE" w:rsidRDefault="00BE1EFE">
      <w:pPr>
        <w:pStyle w:val="StandardWeb"/>
      </w:pPr>
      <w:r>
        <w:t>(2) </w:t>
      </w:r>
      <w:r>
        <w:rPr>
          <w:rStyle w:val="kleinschrift"/>
        </w:rPr>
        <w:t>1</w:t>
      </w:r>
      <w:r>
        <w:t xml:space="preserve">Das Gericht kann schon vor der mündlichen Verhandlung durch eines seiner Mitglieder Beweis erheben lassen oder ein anderes Gericht um die Beweisaufnahme ersuchen. </w:t>
      </w:r>
      <w:r>
        <w:rPr>
          <w:rStyle w:val="kleinschrift"/>
        </w:rPr>
        <w:t>2</w:t>
      </w:r>
      <w:r>
        <w:t>Die Beteiligten werden von allen Beweisterminen benachrichtigt und können der Beweisaufnahme beiwohnen.</w:t>
      </w:r>
    </w:p>
    <w:p w:rsidR="00BE1EFE" w:rsidRDefault="00BE1EFE">
      <w:pPr>
        <w:pStyle w:val="berschrift6"/>
      </w:pPr>
      <w:bookmarkStart w:id="1452" w:name="_Toc523926962"/>
      <w:r>
        <w:t>§ 41 Vergleich, Erledigung des Verfahrens</w:t>
      </w:r>
      <w:bookmarkEnd w:id="145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Beteiligten können, um das Verfahren ganz oder zum Teil zu erledigen, zur Nieder</w:t>
      </w:r>
      <w:r>
        <w:softHyphen/>
        <w:t>schrift des Gerichts oder des Vorsitzenden einen Vergleich schließen, soweit sie über den Gegenstand des Vergleichs verfügen können, oder das Verfahren für erledigt erklären.</w:t>
      </w:r>
    </w:p>
    <w:p w:rsidR="00BE1EFE" w:rsidRPr="000B1AF8" w:rsidRDefault="00BE1EFE">
      <w:pPr>
        <w:pStyle w:val="StandardWeb"/>
      </w:pPr>
    </w:p>
    <w:p w:rsidR="00BE1EFE" w:rsidRDefault="00BE1EFE">
      <w:pPr>
        <w:pStyle w:val="StandardWeb"/>
      </w:pPr>
      <w:r>
        <w:t>(2) </w:t>
      </w:r>
      <w:r>
        <w:rPr>
          <w:rStyle w:val="kleinschrift"/>
        </w:rPr>
        <w:t>1</w:t>
      </w:r>
      <w:r>
        <w:t xml:space="preserve">Haben die Beteiligten das Verfahren für erledigt erklärt, so ist es vom Vorsitzenden des Arbeitsgerichts einzustellen. </w:t>
      </w:r>
      <w:r>
        <w:rPr>
          <w:rStyle w:val="kleinschrift"/>
        </w:rPr>
        <w:t>2</w:t>
      </w:r>
      <w:hyperlink r:id="rId2099" w:history="1">
        <w:r w:rsidRPr="002D1F1D">
          <w:rPr>
            <w:rStyle w:val="Hyperlink"/>
          </w:rPr>
          <w:t>§ 30 Satz 3</w:t>
        </w:r>
      </w:hyperlink>
      <w:r>
        <w:t xml:space="preserve"> ist entsprechend anzuwenden.</w:t>
      </w:r>
    </w:p>
    <w:p w:rsidR="00BE1EFE" w:rsidRDefault="00BE1EFE">
      <w:pPr>
        <w:pStyle w:val="StandardWeb"/>
      </w:pPr>
    </w:p>
    <w:p w:rsidR="00BE1EFE" w:rsidRDefault="00BE1EFE">
      <w:pPr>
        <w:pStyle w:val="StandardWeb"/>
      </w:pPr>
      <w:r>
        <w:t>(3) </w:t>
      </w:r>
      <w:r>
        <w:rPr>
          <w:rStyle w:val="kleinschrift"/>
        </w:rPr>
        <w:t>1</w:t>
      </w:r>
      <w:r>
        <w:t>Hat der Kläger das Verfahren für erledigt erklärt, so sind die übrigen Beteiligten binnen einer von dem Vorsitzenden zu bestimmenden Frist von mindestens zwei Wochen aufzu</w:t>
      </w:r>
      <w:r>
        <w:softHyphen/>
        <w:t xml:space="preserve">fordern, mitzuteilen, ob sie der Erledigung zustimmen. </w:t>
      </w:r>
      <w:r>
        <w:rPr>
          <w:rStyle w:val="kleinschrift"/>
        </w:rPr>
        <w:t>2</w:t>
      </w:r>
      <w:r>
        <w:t>Die Zustimmung gilt als erteilt, wenn sich der Beteiligte innerhalb der vom Vorsitzenden bestimmten Frist nicht äußert.</w:t>
      </w:r>
    </w:p>
    <w:p w:rsidR="00BE1EFE" w:rsidRDefault="00BE1EFE">
      <w:pPr>
        <w:pStyle w:val="berschrift6"/>
      </w:pPr>
      <w:bookmarkStart w:id="1453" w:name="_Toc523926963"/>
      <w:r>
        <w:t>§ 42 Beratung und Abstimmung</w:t>
      </w:r>
      <w:bookmarkEnd w:id="145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An der Beratung und Abstimmung nehmen ausschließlich der Vorsitzende und die beisitzenden Richter teil.</w:t>
      </w:r>
    </w:p>
    <w:p w:rsidR="00BE1EFE" w:rsidRPr="000B1AF8" w:rsidRDefault="00BE1EFE">
      <w:pPr>
        <w:pStyle w:val="StandardWeb"/>
      </w:pPr>
    </w:p>
    <w:p w:rsidR="00BE1EFE" w:rsidRDefault="00BE1EFE">
      <w:pPr>
        <w:pStyle w:val="StandardWeb"/>
      </w:pPr>
      <w:r>
        <w:t>(2) </w:t>
      </w:r>
      <w:r>
        <w:rPr>
          <w:rStyle w:val="kleinschrift"/>
        </w:rPr>
        <w:t>1</w:t>
      </w:r>
      <w:r>
        <w:t xml:space="preserve">Das Gericht entscheidet mit der Mehrheit der Stimmen. </w:t>
      </w:r>
      <w:r>
        <w:rPr>
          <w:rStyle w:val="kleinschrift"/>
        </w:rPr>
        <w:t>2</w:t>
      </w:r>
      <w:r>
        <w:t xml:space="preserve">Die Stimmabgabe kann nicht verweigert werden. </w:t>
      </w:r>
      <w:r>
        <w:rPr>
          <w:rStyle w:val="kleinschrift"/>
        </w:rPr>
        <w:t>3</w:t>
      </w:r>
      <w:r>
        <w:t>Der Vorsitzende stimmt zuletzt ab.</w:t>
      </w:r>
    </w:p>
    <w:p w:rsidR="00BE1EFE" w:rsidRDefault="00BE1EFE">
      <w:pPr>
        <w:pStyle w:val="StandardWeb"/>
      </w:pPr>
    </w:p>
    <w:p w:rsidR="00BE1EFE" w:rsidRDefault="00BE1EFE">
      <w:pPr>
        <w:pStyle w:val="StandardWeb"/>
      </w:pPr>
      <w:r>
        <w:t>(3) Über den Hergang der Beratung und Abstimmung ist Stillschweigen zu bewahren.</w:t>
      </w:r>
    </w:p>
    <w:p w:rsidR="00BE1EFE" w:rsidRDefault="00BE1EFE">
      <w:pPr>
        <w:pStyle w:val="berschrift6"/>
      </w:pPr>
      <w:bookmarkStart w:id="1454" w:name="_Toc523926964"/>
      <w:r>
        <w:t>§ 43 Urteil</w:t>
      </w:r>
      <w:bookmarkEnd w:id="145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Das Gericht entscheidet nach seiner freien, aus dem Gesamtergebnis des Verfahrens gewonnenen Überzeugung. </w:t>
      </w:r>
      <w:r>
        <w:rPr>
          <w:rStyle w:val="kleinschrift"/>
        </w:rPr>
        <w:t>2</w:t>
      </w:r>
      <w:r>
        <w:t xml:space="preserve">Das Urteil ist schriftlich abzufassen. </w:t>
      </w:r>
      <w:r>
        <w:rPr>
          <w:rStyle w:val="kleinschrift"/>
        </w:rPr>
        <w:t>3</w:t>
      </w:r>
      <w:r>
        <w:t xml:space="preserve">In dem Urteil sind die Gründe tatsächlicher und rechtlicher Art anzugeben, die für die richterliche Überzeugung leitend gewesen sind. </w:t>
      </w:r>
      <w:r>
        <w:rPr>
          <w:rStyle w:val="kleinschrift"/>
        </w:rPr>
        <w:t>4</w:t>
      </w:r>
      <w:r>
        <w:t>Das Urteil ist von allen mitwirkenden Richtern zu unterschreiben.</w:t>
      </w:r>
    </w:p>
    <w:p w:rsidR="00BE1EFE" w:rsidRPr="000B1AF8" w:rsidRDefault="00BE1EFE">
      <w:pPr>
        <w:pStyle w:val="StandardWeb"/>
      </w:pPr>
    </w:p>
    <w:p w:rsidR="00BE1EFE" w:rsidRDefault="00BE1EFE">
      <w:pPr>
        <w:pStyle w:val="StandardWeb"/>
      </w:pPr>
      <w:r>
        <w:lastRenderedPageBreak/>
        <w:t>(2) Das Urteil darf nur auf Tatsachen und Beweisergebnisse gestützt werden, zu denen sich die Beteiligten äußern konnten.</w:t>
      </w:r>
    </w:p>
    <w:p w:rsidR="00BE1EFE" w:rsidRDefault="00BE1EFE">
      <w:pPr>
        <w:pStyle w:val="StandardWeb"/>
      </w:pPr>
    </w:p>
    <w:p w:rsidR="00BE1EFE" w:rsidRDefault="00BE1EFE" w:rsidP="0054365C">
      <w:pPr>
        <w:pStyle w:val="berschrift5"/>
      </w:pPr>
      <w:bookmarkStart w:id="1455" w:name="_Toc523926965"/>
      <w:r>
        <w:t>Dritter Teil – Verfahren vor den kirchlichen Gerichten für Arbeits</w:t>
      </w:r>
      <w:r>
        <w:softHyphen/>
        <w:t>sachen – 1.</w:t>
      </w:r>
      <w:r>
        <w:rPr>
          <w:lang w:eastAsia="x-none"/>
        </w:rPr>
        <w:t> </w:t>
      </w:r>
      <w:r>
        <w:t>Abschnitt: Verfahren im ersten Rechtszug – 3.</w:t>
      </w:r>
      <w:r>
        <w:rPr>
          <w:lang w:eastAsia="x-none"/>
        </w:rPr>
        <w:t> </w:t>
      </w:r>
      <w:r>
        <w:t>Unterabschnitt: Besondere Verfahrensarten</w:t>
      </w:r>
      <w:bookmarkEnd w:id="1455"/>
    </w:p>
    <w:p w:rsidR="00BE1EFE" w:rsidRDefault="00BE1EFE">
      <w:pPr>
        <w:pStyle w:val="berschrift6"/>
      </w:pPr>
      <w:bookmarkStart w:id="1456" w:name="_Toc523926966"/>
      <w:r>
        <w:t>§ 44 Auflösung der Mitarbeitervertretung/Verlust der Mitgliedschaft in der Mitarbeitervertretung</w:t>
      </w:r>
      <w:bookmarkEnd w:id="1456"/>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Sieht das materielle Recht die Möglichkeit einer Klage auf Auflösung der Mitarbeitervertretung, auf Amtsenthebung eines einzelnen Mitglieds einer Mitarbeiter</w:t>
      </w:r>
      <w:r>
        <w:softHyphen/>
        <w:t xml:space="preserve">vertretung oder auf Feststellung des Verlust der Mitgliedschaft in der Mitarbeitervertretung vor, ist die Erhebung der Klage innerhalb einer Frist von vier Wochen von dem Tage an zulässig, an dem der Kläger vom Sachverhalt Kenntnis erlangt hat. </w:t>
      </w:r>
      <w:r>
        <w:rPr>
          <w:rStyle w:val="kleinschrift"/>
        </w:rPr>
        <w:t>2</w:t>
      </w:r>
      <w:r>
        <w:t>Eine Klage nach Satz 1 kann nur von mindestens der Hälfte der Mitglieder der Mitarbeitervertretung oder vom Dienst</w:t>
      </w:r>
      <w:r w:rsidR="008C1ABF">
        <w:t>g</w:t>
      </w:r>
      <w:r>
        <w:t>eber erhoben werden.</w:t>
      </w:r>
    </w:p>
    <w:p w:rsidR="00BE1EFE" w:rsidRDefault="00BE1EFE">
      <w:pPr>
        <w:pStyle w:val="berschrift6"/>
      </w:pPr>
      <w:bookmarkStart w:id="1457" w:name="_Toc523926967"/>
      <w:r>
        <w:t>§ 44a Verlust der Mitgliedschaft in einer Kommission nach Art. 7 GrO</w:t>
      </w:r>
      <w:bookmarkEnd w:id="1457"/>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hyperlink r:id="rId2100" w:history="1">
        <w:r w:rsidRPr="002D1F1D">
          <w:rPr>
            <w:rStyle w:val="Hyperlink"/>
          </w:rPr>
          <w:t>§ 44 Satz 1</w:t>
        </w:r>
      </w:hyperlink>
      <w:r>
        <w:t xml:space="preserve"> gilt entsprechend für Klagen auf Amtsenthebung oder Feststellung des Verlusts der Mitgliedschaft in einer Kommission nach </w:t>
      </w:r>
      <w:hyperlink r:id="rId2101" w:history="1">
        <w:r w:rsidRPr="002D1F1D">
          <w:rPr>
            <w:rStyle w:val="Hyperlink"/>
          </w:rPr>
          <w:t>Art. 7 GrO</w:t>
        </w:r>
      </w:hyperlink>
      <w:r>
        <w:t xml:space="preserve">. </w:t>
      </w:r>
      <w:r>
        <w:rPr>
          <w:rStyle w:val="kleinschrift"/>
        </w:rPr>
        <w:t>2</w:t>
      </w:r>
      <w:r>
        <w:t>Eine Klage nach Satz 1 kann nur von der Hälfte der Mitglieder der Kommission oder der Mehrheit der Mitglieder einer Seite der Kommission erhoben werden.</w:t>
      </w:r>
    </w:p>
    <w:p w:rsidR="00BE1EFE" w:rsidRDefault="00BE1EFE">
      <w:pPr>
        <w:pStyle w:val="berschrift6"/>
      </w:pPr>
      <w:bookmarkStart w:id="1458" w:name="_Toc523926968"/>
      <w:r>
        <w:t>§ 44b Wahlprüfungsklage</w:t>
      </w:r>
      <w:bookmarkEnd w:id="145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 xml:space="preserve">Eine Klage auf Feststellung der Ungültigkeit einer Wahl einer Mitarbeitervertretung, eines Mitglieds einer Mitarbeitervertretung, einer Kommission nach </w:t>
      </w:r>
      <w:hyperlink r:id="rId2102" w:history="1">
        <w:r w:rsidRPr="002D1F1D">
          <w:rPr>
            <w:rStyle w:val="Hyperlink"/>
          </w:rPr>
          <w:t>Art. 7 GrO</w:t>
        </w:r>
      </w:hyperlink>
      <w:r>
        <w:t xml:space="preserve"> oder eines Mitarbei</w:t>
      </w:r>
      <w:r>
        <w:softHyphen/>
        <w:t xml:space="preserve">tervertreters in einer Kommission nach </w:t>
      </w:r>
      <w:hyperlink r:id="rId2103" w:history="1">
        <w:r w:rsidRPr="002D1F1D">
          <w:rPr>
            <w:rStyle w:val="Hyperlink"/>
          </w:rPr>
          <w:t>Art. 7 GrO</w:t>
        </w:r>
      </w:hyperlink>
      <w:r>
        <w:t xml:space="preserve"> ist nur innerhalb einer Frist von zwei Wochen nach Bekanntgabe der Entscheidung zulässig.</w:t>
      </w:r>
    </w:p>
    <w:p w:rsidR="00BE1EFE" w:rsidRDefault="00BE1EFE">
      <w:pPr>
        <w:pStyle w:val="berschrift6"/>
      </w:pPr>
      <w:bookmarkStart w:id="1459" w:name="_Toc523926969"/>
      <w:r>
        <w:t>§ 45 Organstreitverfahren über Zuständigkeit einer KODA</w:t>
      </w:r>
      <w:bookmarkEnd w:id="1459"/>
    </w:p>
    <w:p w:rsidR="00BE1EFE" w:rsidRPr="00B76821" w:rsidRDefault="00BE1EFE" w:rsidP="00B76821">
      <w:pPr>
        <w:pStyle w:val="h7"/>
        <w:keepNext w:val="0"/>
        <w:spacing w:before="0" w:after="0"/>
        <w:jc w:val="left"/>
        <w:outlineLvl w:val="5"/>
        <w:rPr>
          <w:rStyle w:val="kleinschrift"/>
          <w:sz w:val="2"/>
        </w:rPr>
      </w:pPr>
    </w:p>
    <w:p w:rsidR="00BE1EFE" w:rsidRPr="000B1AF8" w:rsidRDefault="00BE1EFE">
      <w:pPr>
        <w:pStyle w:val="StandardWeb"/>
      </w:pPr>
      <w:r>
        <w:rPr>
          <w:rStyle w:val="kleinschrift"/>
        </w:rPr>
        <w:t>1</w:t>
      </w:r>
      <w:r>
        <w:t xml:space="preserve">In Verfahren über den Streitgegenstand, welche Kommission für den Beschluss über eine arbeitsvertragsrechtliche Angelegenheit zuständig ist, sind nur Kommissionen im Sinne von </w:t>
      </w:r>
      <w:hyperlink r:id="rId2104" w:history="1">
        <w:r w:rsidRPr="002D1F1D">
          <w:rPr>
            <w:rStyle w:val="Hyperlink"/>
          </w:rPr>
          <w:t>§ 2 Absatz 1</w:t>
        </w:r>
      </w:hyperlink>
      <w:r>
        <w:t xml:space="preserve"> beteiligungsfähig. </w:t>
      </w:r>
      <w:r>
        <w:rPr>
          <w:rStyle w:val="kleinschrift"/>
        </w:rPr>
        <w:t>2</w:t>
      </w:r>
      <w:r>
        <w:t>Die Beschlussfassung über die Anrufung des Kirchlichen Arbeitsgerichts bedarf mindestens einer Drei-Viertel-Mehrheit der Gesamtzahl der Mitglieder der Kommission.</w:t>
      </w:r>
    </w:p>
    <w:p w:rsidR="00BE1EFE" w:rsidRPr="000B1AF8" w:rsidRDefault="00BE1EFE">
      <w:pPr>
        <w:pStyle w:val="StandardWeb"/>
      </w:pPr>
    </w:p>
    <w:p w:rsidR="00BE1EFE" w:rsidRDefault="00BE1EFE" w:rsidP="0054365C">
      <w:pPr>
        <w:pStyle w:val="berschrift5"/>
      </w:pPr>
      <w:bookmarkStart w:id="1460" w:name="_Toc523926970"/>
      <w:r>
        <w:lastRenderedPageBreak/>
        <w:t>Dritter Teil – Verfahren vor den kirchlichen Gerichten für Arbeitssachen – 2.</w:t>
      </w:r>
      <w:r>
        <w:rPr>
          <w:lang w:eastAsia="x-none"/>
        </w:rPr>
        <w:t> </w:t>
      </w:r>
      <w:r>
        <w:t>Abschnitt: Verfahren im zweiten Rechtszug</w:t>
      </w:r>
      <w:bookmarkEnd w:id="1460"/>
    </w:p>
    <w:p w:rsidR="00BE1EFE" w:rsidRDefault="00BE1EFE">
      <w:pPr>
        <w:pStyle w:val="berschrift6"/>
      </w:pPr>
      <w:bookmarkStart w:id="1461" w:name="_Toc523926971"/>
      <w:r>
        <w:t>§ 46 Anwendbares Recht</w:t>
      </w:r>
      <w:bookmarkEnd w:id="146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Auf das Verfahren vor dem kirchlichen Arbeitsgerichtshof im zweiten Rechtszug finden die Vorschriften über das Verfahren im ersten Rechtszug (</w:t>
      </w:r>
      <w:hyperlink r:id="rId2105" w:history="1">
        <w:r w:rsidRPr="002D1F1D">
          <w:rPr>
            <w:rStyle w:val="Hyperlink"/>
          </w:rPr>
          <w:t>§§ 27 bis 43</w:t>
        </w:r>
      </w:hyperlink>
      <w:r>
        <w:t>) Anwendung, soweit die Vorschriften dieses Abschnitts (</w:t>
      </w:r>
      <w:hyperlink r:id="rId2106" w:history="1">
        <w:r w:rsidRPr="002D1F1D">
          <w:rPr>
            <w:rStyle w:val="Hyperlink"/>
          </w:rPr>
          <w:t>§§ 47 bis 51</w:t>
        </w:r>
      </w:hyperlink>
      <w:r>
        <w:t>) nichts anderes bestimmen.</w:t>
      </w:r>
    </w:p>
    <w:p w:rsidR="00BE1EFE" w:rsidRDefault="00BE1EFE">
      <w:pPr>
        <w:pStyle w:val="berschrift6"/>
      </w:pPr>
      <w:bookmarkStart w:id="1462" w:name="_Toc523926972"/>
      <w:r w:rsidRPr="00EF62C5">
        <w:t>§ 47 Revision</w:t>
      </w:r>
      <w:bookmarkEnd w:id="1462"/>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Gegen das Urteil des Kirchlichen Arbeitsgerichts findet die Revision an den Kirchlichen Arbeitsgerichtshof statt, wenn sie in dem Urteil des Kirchlichen Arbeitsgerichts oder in dem Beschluss des Kirchlichen Arbeitsgerichtshofes nach </w:t>
      </w:r>
      <w:hyperlink r:id="rId2107" w:history="1">
        <w:r w:rsidRPr="002D1F1D">
          <w:rPr>
            <w:rStyle w:val="Hyperlink"/>
          </w:rPr>
          <w:t>§ 48 Absatz 5 Satz 1</w:t>
        </w:r>
      </w:hyperlink>
      <w:r>
        <w:t xml:space="preserve"> zugelassen worden ist. </w:t>
      </w:r>
      <w:r>
        <w:rPr>
          <w:rStyle w:val="kleinschrift"/>
        </w:rPr>
        <w:t>2</w:t>
      </w:r>
      <w:r>
        <w:t>Die Nichtzulassung der Revision ist schriftlich zu begründen.</w:t>
      </w:r>
    </w:p>
    <w:p w:rsidR="00BE1EFE" w:rsidRPr="000B1AF8" w:rsidRDefault="00BE1EFE">
      <w:pPr>
        <w:pStyle w:val="StandardWeb"/>
      </w:pPr>
    </w:p>
    <w:p w:rsidR="00BE1EFE" w:rsidRDefault="00BE1EFE">
      <w:pPr>
        <w:pStyle w:val="StandardWeb"/>
      </w:pPr>
      <w:r>
        <w:t>(2) Die Revision ist zuzulassen, wenn</w:t>
      </w:r>
    </w:p>
    <w:p w:rsidR="00BE1EFE" w:rsidRDefault="00BE1EFE">
      <w:pPr>
        <w:pStyle w:val="StandardWeb"/>
      </w:pPr>
      <w:r>
        <w:t>a) die Rechtssache grundsätzliche Bedeutung hat oder</w:t>
      </w:r>
    </w:p>
    <w:p w:rsidR="00BE1EFE" w:rsidRDefault="00BE1EFE">
      <w:pPr>
        <w:pStyle w:val="StandardWeb"/>
      </w:pPr>
      <w:r>
        <w:t>b) das Urteil von einer Entscheidung des Kirchlichen Arbeitsgerichtshofes oder, solange eine Entscheidung des Kirchlichen Arbeitsgerichtshofes in der Rechtsfrage nicht ergangen ist, von einer Entscheidung eines anderen Kirchlichen Arbeitsgerichts abweicht und die Entscheidung auf dieser Abweichung beruht oder</w:t>
      </w:r>
    </w:p>
    <w:p w:rsidR="00BE1EFE" w:rsidRDefault="00BE1EFE">
      <w:pPr>
        <w:pStyle w:val="StandardWeb"/>
      </w:pPr>
      <w:r>
        <w:t>c) ein Verfahrensmangel geltend gemacht wird, auf dem die Entscheidung beruhen kann.</w:t>
      </w:r>
    </w:p>
    <w:p w:rsidR="00BE1EFE" w:rsidRDefault="00BE1EFE">
      <w:pPr>
        <w:pStyle w:val="StandardWeb"/>
      </w:pPr>
    </w:p>
    <w:p w:rsidR="00BE1EFE" w:rsidRDefault="00BE1EFE">
      <w:pPr>
        <w:pStyle w:val="StandardWeb"/>
      </w:pPr>
      <w:r>
        <w:t>(3) Der Kirchliche Arbeitsgerichtshof ist an die Zulassung der Revision durch das Kirchliche Arbeitsgericht gebunden.</w:t>
      </w:r>
    </w:p>
    <w:p w:rsidR="00BE1EFE" w:rsidRDefault="00BE1EFE">
      <w:pPr>
        <w:pStyle w:val="StandardWeb"/>
      </w:pPr>
    </w:p>
    <w:p w:rsidR="00BE1EFE" w:rsidRDefault="00BE1EFE">
      <w:pPr>
        <w:pStyle w:val="StandardWeb"/>
      </w:pPr>
      <w:r>
        <w:t>(4) Gegen Beschlüsse, durch die über die Anordnung, Abänderung oder Aufhebung einer einstweiligen Verfügung entschieden wird, ist die Revision nicht zulässig.</w:t>
      </w:r>
    </w:p>
    <w:p w:rsidR="00BE1EFE" w:rsidRDefault="00BE1EFE">
      <w:pPr>
        <w:pStyle w:val="berschrift6"/>
      </w:pPr>
      <w:bookmarkStart w:id="1463" w:name="_Toc523926973"/>
      <w:r>
        <w:t>§ 48 Nichtzulassungsbeschwerde</w:t>
      </w:r>
      <w:bookmarkEnd w:id="1463"/>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Nichtzulassung der Revision kann durch Beschwerde angefochten werden.</w:t>
      </w:r>
    </w:p>
    <w:p w:rsidR="00BE1EFE" w:rsidRPr="000B1AF8" w:rsidRDefault="00BE1EFE">
      <w:pPr>
        <w:pStyle w:val="StandardWeb"/>
      </w:pPr>
    </w:p>
    <w:p w:rsidR="00BE1EFE" w:rsidRDefault="00BE1EFE">
      <w:pPr>
        <w:pStyle w:val="StandardWeb"/>
      </w:pPr>
      <w:r>
        <w:t>(2) </w:t>
      </w:r>
      <w:r>
        <w:rPr>
          <w:rStyle w:val="kleinschrift"/>
        </w:rPr>
        <w:t>1</w:t>
      </w:r>
      <w:r>
        <w:t xml:space="preserve">Die Beschwerde ist beim Kirchlichen Arbeitsgerichtshof innerhalb eines Monats nach Zustellung des vollständigen Urteils schriftlich einzulegen. </w:t>
      </w:r>
      <w:r>
        <w:rPr>
          <w:rStyle w:val="kleinschrift"/>
        </w:rPr>
        <w:t>2</w:t>
      </w:r>
      <w:r>
        <w:t xml:space="preserve">Die Frist ist auch gewahrt, wenn die Beschwerde innerhalb der Frist bei dem Gericht, dessen Urteil angefochten wird, eingelegt wird. </w:t>
      </w:r>
      <w:r>
        <w:rPr>
          <w:rStyle w:val="kleinschrift"/>
        </w:rPr>
        <w:t>3</w:t>
      </w:r>
      <w:r>
        <w:t>Die Beschwerde muss das angefochtene Urteil bezeichnen.</w:t>
      </w:r>
    </w:p>
    <w:p w:rsidR="00BE1EFE" w:rsidRDefault="00BE1EFE">
      <w:pPr>
        <w:pStyle w:val="StandardWeb"/>
      </w:pPr>
    </w:p>
    <w:p w:rsidR="00BE1EFE" w:rsidRDefault="00BE1EFE">
      <w:pPr>
        <w:pStyle w:val="StandardWeb"/>
      </w:pPr>
      <w:r>
        <w:t>(3) </w:t>
      </w:r>
      <w:r>
        <w:rPr>
          <w:rStyle w:val="kleinschrift"/>
        </w:rPr>
        <w:t>1</w:t>
      </w:r>
      <w:r>
        <w:t xml:space="preserve">Die Beschwerde ist innerhalb von zwei Monaten nach der Zustellung des vollständigen Urteils zu begründen. </w:t>
      </w:r>
      <w:r>
        <w:rPr>
          <w:rStyle w:val="kleinschrift"/>
        </w:rPr>
        <w:t>2</w:t>
      </w:r>
      <w:r>
        <w:t xml:space="preserve">Die Begründung ist beim Kirchlichen Arbeitsgerichtshof einzureichen. </w:t>
      </w:r>
      <w:r>
        <w:rPr>
          <w:rStyle w:val="kleinschrift"/>
        </w:rPr>
        <w:t>3</w:t>
      </w:r>
      <w:r>
        <w:t>In der Begründung muss die grundsätzliche Bedeutung der Rechtssache dargelegt oder die Entscheidung, von welcher das Urteil abweicht, oder der Verfahrensmangel bezeichnet werden.</w:t>
      </w:r>
    </w:p>
    <w:p w:rsidR="00BE1EFE" w:rsidRDefault="00BE1EFE">
      <w:pPr>
        <w:pStyle w:val="StandardWeb"/>
      </w:pPr>
    </w:p>
    <w:p w:rsidR="00BE1EFE" w:rsidRDefault="00BE1EFE">
      <w:pPr>
        <w:pStyle w:val="StandardWeb"/>
      </w:pPr>
      <w:r>
        <w:t>(4) Die Einlegung der Beschwerde hemmt die Rechtskraft des Urteils.</w:t>
      </w:r>
    </w:p>
    <w:p w:rsidR="00BE1EFE" w:rsidRDefault="00BE1EFE">
      <w:pPr>
        <w:pStyle w:val="StandardWeb"/>
      </w:pPr>
    </w:p>
    <w:p w:rsidR="00BE1EFE" w:rsidRDefault="00BE1EFE">
      <w:pPr>
        <w:pStyle w:val="StandardWeb"/>
      </w:pPr>
      <w:r>
        <w:t>(5) </w:t>
      </w:r>
      <w:r>
        <w:rPr>
          <w:rStyle w:val="kleinschrift"/>
        </w:rPr>
        <w:t>1</w:t>
      </w:r>
      <w:r>
        <w:t xml:space="preserve">Über die Beschwerde entscheidet der Kirchliche Arbeitsgerichtshof ohne Hinzuziehung der beisitzenden Richter durch Beschluss, der ohne mündliche Verhandlung ergehen kann. </w:t>
      </w:r>
      <w:r>
        <w:rPr>
          <w:rStyle w:val="kleinschrift"/>
        </w:rPr>
        <w:lastRenderedPageBreak/>
        <w:t>2</w:t>
      </w:r>
      <w:r>
        <w:t xml:space="preserve">Der Beschluss soll kurz begründet werden; von einer Begründung kann abgesehen werden, wenn sie nicht geeignet ist, zur Klärung der Voraussetzungen beizutragen, unter denen eine Revision zugelassen ist. </w:t>
      </w:r>
      <w:r>
        <w:rPr>
          <w:rStyle w:val="kleinschrift"/>
        </w:rPr>
        <w:t>3</w:t>
      </w:r>
      <w:r>
        <w:t>Mit der Ablehnung der Beschwerde durch den Kirchlichen Arbeitsgerichtshof wird das Urteil rechtskräftig.</w:t>
      </w:r>
    </w:p>
    <w:p w:rsidR="00BE1EFE" w:rsidRDefault="00BE1EFE">
      <w:pPr>
        <w:pStyle w:val="berschrift6"/>
      </w:pPr>
      <w:bookmarkStart w:id="1464" w:name="_Toc523926974"/>
      <w:r>
        <w:t>§ 49 Revisionsgründe</w:t>
      </w:r>
      <w:bookmarkEnd w:id="1464"/>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Die Revision kann nur darauf gestützt werden, dass das Urteil des Kirchlichen Arbeitsgerichts auf der Verletzung einer Rechtsnorm beruht.</w:t>
      </w:r>
    </w:p>
    <w:p w:rsidR="00BE1EFE" w:rsidRPr="000B1AF8" w:rsidRDefault="00BE1EFE">
      <w:pPr>
        <w:pStyle w:val="StandardWeb"/>
      </w:pPr>
    </w:p>
    <w:p w:rsidR="00BE1EFE" w:rsidRDefault="00BE1EFE">
      <w:pPr>
        <w:pStyle w:val="StandardWeb"/>
      </w:pPr>
      <w:r>
        <w:t>(2) Ein Urteil ist stets als auf der Verletzung einer Rechtsnorm beruhend anzusehen, wenn</w:t>
      </w:r>
    </w:p>
    <w:p w:rsidR="00BE1EFE" w:rsidRDefault="00BE1EFE">
      <w:pPr>
        <w:pStyle w:val="StandardWeb"/>
      </w:pPr>
      <w:r>
        <w:t>a) das erkennende Gericht nicht vorschriftsmäßig besetzt war,</w:t>
      </w:r>
    </w:p>
    <w:p w:rsidR="00BE1EFE" w:rsidRDefault="00BE1EFE">
      <w:pPr>
        <w:pStyle w:val="StandardWeb"/>
      </w:pPr>
      <w:r>
        <w:t>b) bei der Entscheidung ein Richter mitgewirkt hat, der von der Ausübung des Richteramtes kraft Gesetzes ausgeschlossen oder wegen Besorgnis der Befangenheit mit Erfolg abgelehnt war,</w:t>
      </w:r>
    </w:p>
    <w:p w:rsidR="00BE1EFE" w:rsidRDefault="00BE1EFE">
      <w:pPr>
        <w:pStyle w:val="StandardWeb"/>
      </w:pPr>
      <w:r>
        <w:t>c) einem Beteiligten das rechtliche Gehör versagt war,</w:t>
      </w:r>
    </w:p>
    <w:p w:rsidR="00BE1EFE" w:rsidRDefault="00BE1EFE">
      <w:pPr>
        <w:pStyle w:val="StandardWeb"/>
      </w:pPr>
      <w:r>
        <w:t>d) das Urteil auf eine mündliche Verhandlung ergangen ist, bei der die Vorschriften über die Öffentlichkeit des Verfahrens verletzt worden sind, oder</w:t>
      </w:r>
    </w:p>
    <w:p w:rsidR="00BE1EFE" w:rsidRDefault="00BE1EFE">
      <w:pPr>
        <w:pStyle w:val="StandardWeb"/>
      </w:pPr>
      <w:r>
        <w:t>e) die Entscheidung nicht mit Gründen versehen ist.</w:t>
      </w:r>
    </w:p>
    <w:p w:rsidR="00BE1EFE" w:rsidRDefault="00BE1EFE">
      <w:pPr>
        <w:pStyle w:val="berschrift6"/>
      </w:pPr>
      <w:bookmarkStart w:id="1465" w:name="_Toc523926975"/>
      <w:r>
        <w:t>§ 50 Einlegung der Revision</w:t>
      </w:r>
      <w:bookmarkEnd w:id="1465"/>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Die Revision ist beim Kirchlichen Arbeitsgerichtshof innerhalb eines Monats nach Zustellung des vollständigen Urteils oder des Beschlusses über die Zulassung der Revision nach </w:t>
      </w:r>
      <w:hyperlink r:id="rId2108" w:history="1">
        <w:r w:rsidRPr="002D1F1D">
          <w:rPr>
            <w:rStyle w:val="Hyperlink"/>
          </w:rPr>
          <w:t>§ 48 Absatz 5 Satz 1</w:t>
        </w:r>
      </w:hyperlink>
      <w:r>
        <w:t xml:space="preserve"> schriftlich einzulegen. </w:t>
      </w:r>
      <w:r>
        <w:rPr>
          <w:rStyle w:val="kleinschrift"/>
        </w:rPr>
        <w:t>2</w:t>
      </w:r>
      <w:r>
        <w:t>Die Frist ist auch gewahrt, wenn die Revi</w:t>
      </w:r>
      <w:r>
        <w:softHyphen/>
        <w:t xml:space="preserve">sion innerhalb der Frist bei dem Gericht, dessen Urteil angefochten wird, eingelegt wird. </w:t>
      </w:r>
      <w:r>
        <w:rPr>
          <w:rStyle w:val="kleinschrift"/>
        </w:rPr>
        <w:t>3</w:t>
      </w:r>
      <w:r>
        <w:t>Die Revision muss das angefochtene Urteil bezeichnen.</w:t>
      </w:r>
    </w:p>
    <w:p w:rsidR="00BE1EFE" w:rsidRPr="000B1AF8" w:rsidRDefault="00BE1EFE">
      <w:pPr>
        <w:pStyle w:val="StandardWeb"/>
      </w:pPr>
    </w:p>
    <w:p w:rsidR="00BE1EFE" w:rsidRDefault="00BE1EFE">
      <w:pPr>
        <w:pStyle w:val="StandardWeb"/>
      </w:pPr>
      <w:r>
        <w:t>(2) </w:t>
      </w:r>
      <w:r>
        <w:rPr>
          <w:rStyle w:val="kleinschrift"/>
        </w:rPr>
        <w:t>1</w:t>
      </w:r>
      <w:r>
        <w:t xml:space="preserve">Die Revision ist innerhalb von zwei Monaten nach Zustellung des vollständigen Urteils oder des Beschlusses über die Zulassung der Revision nach </w:t>
      </w:r>
      <w:hyperlink r:id="rId2109" w:history="1">
        <w:r w:rsidRPr="002D1F1D">
          <w:rPr>
            <w:rStyle w:val="Hyperlink"/>
          </w:rPr>
          <w:t>§ 48 Absatz 5 Satz 1</w:t>
        </w:r>
      </w:hyperlink>
      <w:r>
        <w:t xml:space="preserve"> zu begrün</w:t>
      </w:r>
      <w:r>
        <w:softHyphen/>
        <w:t xml:space="preserve">den. </w:t>
      </w:r>
      <w:r>
        <w:rPr>
          <w:rStyle w:val="kleinschrift"/>
        </w:rPr>
        <w:t>2</w:t>
      </w:r>
      <w:r>
        <w:t xml:space="preserve">Die Begründung ist beim Kirchlichen Arbeitsgerichtshof einzureichen. </w:t>
      </w:r>
      <w:r>
        <w:rPr>
          <w:rStyle w:val="kleinschrift"/>
        </w:rPr>
        <w:t>3</w:t>
      </w:r>
      <w:r>
        <w:t>Die Begrün</w:t>
      </w:r>
      <w:r>
        <w:softHyphen/>
        <w:t xml:space="preserve">dungsfrist kann auf einen vor ihrem Ablauf gestellten Antrag vom Präsidenten einmalig um einen weiteren Monat verlängert werden. </w:t>
      </w:r>
      <w:r>
        <w:rPr>
          <w:rStyle w:val="kleinschrift"/>
        </w:rPr>
        <w:t>4</w:t>
      </w:r>
      <w:r>
        <w:t>Die Begründung muss einen bestimmten Antrag enthalten, die verletzte Rechtsnorm und, soweit Verfahrensmängel gerügt werden, die Tatsachen angeben, die den Mangel ergeben.</w:t>
      </w:r>
    </w:p>
    <w:p w:rsidR="00BE1EFE" w:rsidRDefault="00BE1EFE">
      <w:pPr>
        <w:pStyle w:val="berschrift6"/>
      </w:pPr>
      <w:bookmarkStart w:id="1466" w:name="_Toc523926976"/>
      <w:r>
        <w:t>§ 51 Revisionsentscheidung</w:t>
      </w:r>
      <w:bookmarkEnd w:id="1466"/>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w:t>
      </w:r>
      <w:r>
        <w:rPr>
          <w:rStyle w:val="kleinschrift"/>
        </w:rPr>
        <w:t>1</w:t>
      </w:r>
      <w:r>
        <w:t xml:space="preserve">Der Kirchliche Arbeitsgerichtshof prüft, ob die Revision statthaft und ob sie in der gesetzlichen Form und Frist eingelegt und begründet worden ist. </w:t>
      </w:r>
      <w:r>
        <w:rPr>
          <w:rStyle w:val="kleinschrift"/>
        </w:rPr>
        <w:t>2</w:t>
      </w:r>
      <w:r>
        <w:t>Mangelt es an einem dieser Erfordernisse, so ist die Revision unzulässig.</w:t>
      </w:r>
    </w:p>
    <w:p w:rsidR="00BE1EFE" w:rsidRPr="000B1AF8" w:rsidRDefault="00BE1EFE">
      <w:pPr>
        <w:pStyle w:val="StandardWeb"/>
      </w:pPr>
    </w:p>
    <w:p w:rsidR="00BE1EFE" w:rsidRDefault="00BE1EFE">
      <w:pPr>
        <w:pStyle w:val="StandardWeb"/>
      </w:pPr>
      <w:r>
        <w:t>(2) Ist die Revision unzulässig, so verwirft sie der Kirchliche Arbeitsgerichtshof ohne Mitwirkung der beisitzenden Richter durch Beschluss, der ohne mündliche Verhandlung ergehen kann.</w:t>
      </w:r>
    </w:p>
    <w:p w:rsidR="00BE1EFE" w:rsidRDefault="00BE1EFE">
      <w:pPr>
        <w:pStyle w:val="StandardWeb"/>
      </w:pPr>
    </w:p>
    <w:p w:rsidR="00BE1EFE" w:rsidRDefault="00BE1EFE">
      <w:pPr>
        <w:pStyle w:val="StandardWeb"/>
      </w:pPr>
      <w:r>
        <w:t>(3) Ist die Revision unbegründet, so weist der Kirchliche Arbeitsgerichtshof durch Urteil die Revision zurück.</w:t>
      </w:r>
    </w:p>
    <w:p w:rsidR="00BE1EFE" w:rsidRDefault="00BE1EFE">
      <w:pPr>
        <w:pStyle w:val="StandardWeb"/>
      </w:pPr>
    </w:p>
    <w:p w:rsidR="00BE1EFE" w:rsidRDefault="00BE1EFE">
      <w:pPr>
        <w:pStyle w:val="StandardWeb"/>
      </w:pPr>
      <w:r>
        <w:t>(4) Ist die Revision begründet, so kann der Kirchliche Arbeitsgerichtshof</w:t>
      </w:r>
    </w:p>
    <w:p w:rsidR="00BE1EFE" w:rsidRDefault="00BE1EFE">
      <w:pPr>
        <w:pStyle w:val="StandardWeb"/>
      </w:pPr>
      <w:r>
        <w:lastRenderedPageBreak/>
        <w:t>a) in der Sache selbst entscheiden,</w:t>
      </w:r>
    </w:p>
    <w:p w:rsidR="00BE1EFE" w:rsidRDefault="00BE1EFE">
      <w:pPr>
        <w:pStyle w:val="StandardWeb"/>
      </w:pPr>
      <w:r>
        <w:t>b) das angefochtene Urteil aufheben und die Sache zur anderweitigen Verhandlung und Entscheidung zurückverweisen.</w:t>
      </w:r>
    </w:p>
    <w:p w:rsidR="00BE1EFE" w:rsidRDefault="00BE1EFE">
      <w:pPr>
        <w:pStyle w:val="StandardWeb"/>
      </w:pPr>
    </w:p>
    <w:p w:rsidR="00BE1EFE" w:rsidRDefault="00BE1EFE">
      <w:pPr>
        <w:pStyle w:val="StandardWeb"/>
      </w:pPr>
      <w:r>
        <w:t>(5) Ergeben die Entscheidungsgründe zwar eine Verletzung des bestehenden Rechts, stellt sich die Entscheidung selbst aber aus anderen Gründen als richtig dar, so ist die Revision zurückzuweisen.</w:t>
      </w:r>
    </w:p>
    <w:p w:rsidR="00BE1EFE" w:rsidRDefault="00BE1EFE">
      <w:pPr>
        <w:pStyle w:val="StandardWeb"/>
      </w:pPr>
    </w:p>
    <w:p w:rsidR="00BE1EFE" w:rsidRDefault="00BE1EFE">
      <w:pPr>
        <w:pStyle w:val="StandardWeb"/>
      </w:pPr>
      <w:r>
        <w:t>(6) Das Kirchliche Arbeitsgericht, an das die Sache zur anderweitigen Verhandlung und Entscheidung zurückverwiesen ist, hat seiner Entscheidung die rechtliche Beurteilung des Kirchlichen Arbeitsgerichtshofs zugrunde zu legen.</w:t>
      </w:r>
    </w:p>
    <w:p w:rsidR="00BE1EFE" w:rsidRDefault="00BE1EFE" w:rsidP="0054365C">
      <w:pPr>
        <w:pStyle w:val="berschrift5"/>
      </w:pPr>
      <w:bookmarkStart w:id="1467" w:name="_Toc523926977"/>
      <w:r>
        <w:t>Dritter Teil – Verfahren vor den kirchlichen Gerichten für Arbeits</w:t>
      </w:r>
      <w:r>
        <w:softHyphen/>
        <w:t>sachen – 3.</w:t>
      </w:r>
      <w:r>
        <w:rPr>
          <w:lang w:eastAsia="x-none"/>
        </w:rPr>
        <w:t> </w:t>
      </w:r>
      <w:r>
        <w:t>Abschnitt: Vorläufiger Rechtsschutz</w:t>
      </w:r>
      <w:bookmarkEnd w:id="1467"/>
    </w:p>
    <w:p w:rsidR="00BE1EFE" w:rsidRDefault="00BE1EFE">
      <w:pPr>
        <w:pStyle w:val="berschrift6"/>
      </w:pPr>
      <w:bookmarkStart w:id="1468" w:name="_Toc523926978"/>
      <w:r>
        <w:t>§ 52 Einstweilige Verfügung</w:t>
      </w:r>
      <w:bookmarkEnd w:id="1468"/>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Auf Antrag kann, auch schon vor der Erhebung der Klage, eine einstweilige Verfügung in Bezug auf den Streitgegenstand getroffen werden, wenn die Gefahr besteht, dass in dem Zeitraum bis zur rechtskräftigen Beendigung des Verfahrens die Verwirklichung eines Rechtes des Klägers vereitelt oder wesentlich erschwert werden könnte, oder wenn die Regelung eines vorläufigen Zustandes in einem streitigen Rechtsverhältnis erforderlich ist, um wesentliche Nachteile abzuwenden.</w:t>
      </w:r>
    </w:p>
    <w:p w:rsidR="00BE1EFE" w:rsidRPr="000B1AF8" w:rsidRDefault="00BE1EFE">
      <w:pPr>
        <w:pStyle w:val="StandardWeb"/>
      </w:pPr>
    </w:p>
    <w:p w:rsidR="00BE1EFE" w:rsidRDefault="00BE1EFE">
      <w:pPr>
        <w:pStyle w:val="StandardWeb"/>
      </w:pPr>
      <w:r>
        <w:t>(2) Für das Verfahren gelten die Vorschriften des Achten Buches der Zivilprozessordnung über die einstweilige Verfügung (</w:t>
      </w:r>
      <w:hyperlink r:id="rId2110" w:anchor="BJNR005330950BJNE115702301" w:tgtFrame="_blank" w:history="1">
        <w:r>
          <w:rPr>
            <w:rStyle w:val="Hyperlink"/>
          </w:rPr>
          <w:t>§§ 935 - 943</w:t>
        </w:r>
      </w:hyperlink>
      <w:r>
        <w:t>) entsprechend mit der Maßgabe, dass die Entscheidungen ohne mündliche Verhandlung und ohne Hinzuziehung der beisitzenden Rich</w:t>
      </w:r>
      <w:r>
        <w:softHyphen/>
        <w:t>ter ergehen und erforderliche Zustellungen von Amts wegen erfolgen.</w:t>
      </w:r>
    </w:p>
    <w:p w:rsidR="00BE1EFE" w:rsidRDefault="00BE1EFE" w:rsidP="0054365C">
      <w:pPr>
        <w:pStyle w:val="berschrift5"/>
      </w:pPr>
      <w:bookmarkStart w:id="1469" w:name="_Toc523926979"/>
      <w:r>
        <w:t>Dritter Teil – Verfahren vor den kirchlichen Gerichten für Arbeits</w:t>
      </w:r>
      <w:r>
        <w:softHyphen/>
        <w:t>sachen – 4.</w:t>
      </w:r>
      <w:r>
        <w:rPr>
          <w:lang w:eastAsia="x-none"/>
        </w:rPr>
        <w:t> </w:t>
      </w:r>
      <w:r>
        <w:t>Abschnitt: Vollstreckung gerichtlicher Entscheidungen</w:t>
      </w:r>
      <w:bookmarkEnd w:id="1469"/>
    </w:p>
    <w:p w:rsidR="00BE1EFE" w:rsidRDefault="00BE1EFE">
      <w:pPr>
        <w:pStyle w:val="berschrift6"/>
      </w:pPr>
      <w:bookmarkStart w:id="1470" w:name="_Toc523926980"/>
      <w:r>
        <w:t>§ 53 Vollstreckungsmaßnahmen</w:t>
      </w:r>
      <w:bookmarkEnd w:id="1470"/>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(1) Ist ein Beteiligter rechtskräftig zu einer Leistung verpflichtet worden, hat er dem Gericht, das die Streitigkeit verhandelt und entschieden hat, innerhalb eines Monats nach Eintritt der Rechtskraft zu berichten, dass die auferlegten Verpflichtungen erfüllt sind.</w:t>
      </w:r>
    </w:p>
    <w:p w:rsidR="00BE1EFE" w:rsidRPr="000B1AF8" w:rsidRDefault="00BE1EFE">
      <w:pPr>
        <w:pStyle w:val="StandardWeb"/>
      </w:pPr>
    </w:p>
    <w:p w:rsidR="00BE1EFE" w:rsidRDefault="00BE1EFE">
      <w:pPr>
        <w:pStyle w:val="StandardWeb"/>
      </w:pPr>
      <w:r>
        <w:t>(2) </w:t>
      </w:r>
      <w:r>
        <w:rPr>
          <w:rStyle w:val="kleinschrift"/>
        </w:rPr>
        <w:t>1</w:t>
      </w:r>
      <w:r>
        <w:t xml:space="preserve">Berichtet der Beteiligte nicht innerhalb eines Monats, fordert der Vorsitzende des Gerichts ihn auf, die Verpflichtungen unverzüglich zu erfüllen. </w:t>
      </w:r>
      <w:r>
        <w:rPr>
          <w:rStyle w:val="kleinschrift"/>
        </w:rPr>
        <w:t>2</w:t>
      </w:r>
      <w:r>
        <w:t>Bleibt die Aufforderung erfolglos, ersucht das Gericht den kirchlichen Vorgesetzten des verpflichteten Beteiligten um Voll</w:t>
      </w:r>
      <w:r>
        <w:softHyphen/>
        <w:t xml:space="preserve">streckungshilfe. </w:t>
      </w:r>
      <w:r>
        <w:rPr>
          <w:rStyle w:val="kleinschrift"/>
        </w:rPr>
        <w:t>3</w:t>
      </w:r>
      <w:r>
        <w:t>Dieser berichtet dem Gericht über die von ihm getroffenen Maßnahmen.</w:t>
      </w:r>
    </w:p>
    <w:p w:rsidR="00BE1EFE" w:rsidRDefault="00BE1EFE">
      <w:pPr>
        <w:pStyle w:val="StandardWeb"/>
      </w:pPr>
    </w:p>
    <w:p w:rsidR="00BE1EFE" w:rsidRDefault="00BE1EFE">
      <w:pPr>
        <w:pStyle w:val="StandardWeb"/>
      </w:pPr>
      <w:r>
        <w:t>(3) Bleiben auch die nach Absatz 2 getroffenen Maßnahmen erfolglos, kann das Gericht auf Antrag gegen den säumigen Beteiligten eine Geldbuße bis zu 2500 Euro verhängen und anordnen, dass die Entscheidung des Gerichts unter Nennung der Verfahrensbeteiligten im Amtsblatt des für den säumigen Beteiligten zuständigen Bistums zu veröffentlichen ist.</w:t>
      </w:r>
    </w:p>
    <w:p w:rsidR="00BE1EFE" w:rsidRDefault="00BE1EFE">
      <w:pPr>
        <w:pStyle w:val="berschrift6"/>
      </w:pPr>
      <w:bookmarkStart w:id="1471" w:name="_Toc523926981"/>
      <w:r>
        <w:lastRenderedPageBreak/>
        <w:t>§ 54 Vollstreckung von Willenserklärungen</w:t>
      </w:r>
      <w:bookmarkEnd w:id="1471"/>
    </w:p>
    <w:p w:rsidR="00BE1EFE" w:rsidRPr="00B76821" w:rsidRDefault="00BE1EFE" w:rsidP="00B76821">
      <w:pPr>
        <w:pStyle w:val="h7"/>
        <w:keepNext w:val="0"/>
        <w:spacing w:before="0" w:after="0"/>
        <w:jc w:val="left"/>
        <w:outlineLvl w:val="5"/>
        <w:rPr>
          <w:sz w:val="2"/>
        </w:rPr>
      </w:pPr>
    </w:p>
    <w:p w:rsidR="00BE1EFE" w:rsidRPr="000B1AF8" w:rsidRDefault="00BE1EFE">
      <w:pPr>
        <w:pStyle w:val="StandardWeb"/>
      </w:pPr>
      <w:r>
        <w:t>Ist ein Beteiligter zur Abgabe einer Willenserklärung verurteilt, so gilt die Erklärung als abgegeben, sobald das Urteil Rechtskraft erlangt hat.</w:t>
      </w:r>
    </w:p>
    <w:p w:rsidR="00BE1EFE" w:rsidRDefault="00BE1EFE" w:rsidP="0054365C">
      <w:pPr>
        <w:pStyle w:val="berschrift5"/>
      </w:pPr>
      <w:bookmarkStart w:id="1472" w:name="_Toc523926982"/>
      <w:r>
        <w:t>Dritter Teil – Verfahren vor den kirchlichen Gerichten für Arbeits</w:t>
      </w:r>
      <w:r>
        <w:softHyphen/>
        <w:t>sachen – 5.</w:t>
      </w:r>
      <w:r>
        <w:rPr>
          <w:lang w:eastAsia="x-none"/>
        </w:rPr>
        <w:t> </w:t>
      </w:r>
      <w:r>
        <w:t>Abschnitt: Beschwerdeverfahren</w:t>
      </w:r>
      <w:bookmarkEnd w:id="1472"/>
    </w:p>
    <w:p w:rsidR="00BE1EFE" w:rsidRDefault="00BE1EFE" w:rsidP="001E67AD">
      <w:pPr>
        <w:pStyle w:val="berschrift6"/>
      </w:pPr>
      <w:bookmarkStart w:id="1473" w:name="_Toc523926983"/>
      <w:r>
        <w:t>§ 55 Verfahrensbeschwerde</w:t>
      </w:r>
      <w:bookmarkEnd w:id="1473"/>
    </w:p>
    <w:p w:rsidR="00BE1EFE" w:rsidRPr="00B76821" w:rsidRDefault="00BE1EFE" w:rsidP="00B76821">
      <w:pPr>
        <w:pStyle w:val="h7"/>
        <w:keepNext w:val="0"/>
        <w:spacing w:before="0" w:after="0"/>
        <w:jc w:val="left"/>
        <w:outlineLvl w:val="5"/>
        <w:rPr>
          <w:sz w:val="2"/>
        </w:rPr>
      </w:pPr>
    </w:p>
    <w:p w:rsidR="00BE1EFE" w:rsidRDefault="00BE1EFE" w:rsidP="007B3976">
      <w:pPr>
        <w:pStyle w:val="StandardWeb"/>
      </w:pPr>
      <w:r>
        <w:t xml:space="preserve">Hinsichtlich der Beschwerde gegen Entscheidungen des Kirchlichen Arbeitsgerichts oder seines Vorsitzenden gilt </w:t>
      </w:r>
      <w:hyperlink r:id="rId2111" w:tgtFrame="_blank" w:history="1">
        <w:r>
          <w:rPr>
            <w:rStyle w:val="Hyperlink"/>
          </w:rPr>
          <w:t>§ 78 Satz 1 des Arbeitsgerichtsgesetzes</w:t>
        </w:r>
      </w:hyperlink>
      <w:r>
        <w:t xml:space="preserve"> entsprechend mit der Maßgabe, dass über die Beschwerde der Präsident des Arbeitsgerichtshofes durch Beschluss ohne mündliche Verhandlung entscheidet.</w:t>
      </w:r>
    </w:p>
    <w:p w:rsidR="00BE1EFE" w:rsidRPr="001E67AD" w:rsidRDefault="00BE1EFE" w:rsidP="001E67AD">
      <w:pPr>
        <w:pStyle w:val="berschrift5"/>
        <w:rPr>
          <w:lang w:eastAsia="x-none"/>
        </w:rPr>
      </w:pPr>
      <w:bookmarkStart w:id="1474" w:name="_Toc523926984"/>
      <w:r>
        <w:t>Vierter Teil – Schlussvorschriften –</w:t>
      </w:r>
      <w:bookmarkEnd w:id="1474"/>
    </w:p>
    <w:p w:rsidR="00BE1EFE" w:rsidRPr="001E67AD" w:rsidRDefault="00BE1EFE" w:rsidP="001E67AD">
      <w:pPr>
        <w:pStyle w:val="berschrift6"/>
      </w:pPr>
      <w:bookmarkStart w:id="1475" w:name="_Toc523926985"/>
      <w:r w:rsidRPr="001E67AD">
        <w:t>§ 56 In-Kraft-Treten</w:t>
      </w:r>
      <w:bookmarkEnd w:id="1475"/>
    </w:p>
    <w:p w:rsidR="00BE1EFE" w:rsidRPr="00B76821" w:rsidRDefault="00BE1EFE" w:rsidP="00B76821">
      <w:pPr>
        <w:pStyle w:val="h7"/>
        <w:keepNext w:val="0"/>
        <w:spacing w:before="0" w:after="0"/>
        <w:jc w:val="left"/>
        <w:outlineLvl w:val="5"/>
        <w:rPr>
          <w:sz w:val="2"/>
        </w:rPr>
      </w:pPr>
    </w:p>
    <w:p w:rsidR="00BE1EFE" w:rsidRDefault="00BE1EFE" w:rsidP="00EF62C5">
      <w:pPr>
        <w:pStyle w:val="StandardWeb"/>
      </w:pPr>
      <w:r>
        <w:t>Diese Ordnung tritt am 1. Juli 2010 in Kraft.</w:t>
      </w:r>
    </w:p>
    <w:p w:rsidR="00BE1EFE" w:rsidRDefault="00BE1EFE" w:rsidP="00EF62C5">
      <w:pPr>
        <w:pStyle w:val="StandardWeb"/>
      </w:pPr>
    </w:p>
    <w:p w:rsidR="00BE1EFE" w:rsidRDefault="00BE1EFE" w:rsidP="00EF62C5">
      <w:pPr>
        <w:pStyle w:val="StandardWeb"/>
      </w:pPr>
      <w:r>
        <w:t>Für die Deutsche Bischofskonferenz</w:t>
      </w:r>
    </w:p>
    <w:p w:rsidR="00BE1EFE" w:rsidRDefault="00BE1EFE" w:rsidP="00EF62C5">
      <w:pPr>
        <w:pStyle w:val="StandardWeb"/>
      </w:pPr>
    </w:p>
    <w:p w:rsidR="00BE1EFE" w:rsidRDefault="00BE1EFE" w:rsidP="00EF62C5">
      <w:pPr>
        <w:pStyle w:val="StandardWeb"/>
      </w:pPr>
      <w:r>
        <w:t>Erzbischof Dr. Robert Zollitsch</w:t>
      </w:r>
    </w:p>
    <w:p w:rsidR="00BE1EFE" w:rsidRDefault="00BE1EFE" w:rsidP="00EF62C5">
      <w:pPr>
        <w:pStyle w:val="StandardWeb"/>
      </w:pPr>
      <w:r>
        <w:t>Vorsitzender der Deutschen Bischofskonferenz</w:t>
      </w:r>
    </w:p>
    <w:p w:rsidR="00BE1EFE" w:rsidRDefault="00BE1EFE" w:rsidP="00EF62C5">
      <w:pPr>
        <w:pStyle w:val="StandardWeb"/>
      </w:pPr>
      <w:r>
        <w:br w:type="page"/>
      </w:r>
    </w:p>
    <w:p w:rsidR="00BE1EFE" w:rsidRPr="007B3976" w:rsidRDefault="00BE1EFE" w:rsidP="00522104">
      <w:pPr>
        <w:pStyle w:val="berschrift4"/>
        <w:spacing w:before="0"/>
      </w:pPr>
      <w:bookmarkStart w:id="1476" w:name="_Toc523926986"/>
      <w:r>
        <w:rPr>
          <w:lang w:eastAsia="x-none"/>
        </w:rPr>
        <w:lastRenderedPageBreak/>
        <w:t xml:space="preserve">6. </w:t>
      </w:r>
      <w:r w:rsidRPr="00330727">
        <w:t>Entsendeordnung für die Vertreter/Vertreterinnen der tarif</w:t>
      </w:r>
      <w:r>
        <w:rPr>
          <w:lang w:eastAsia="x-none"/>
        </w:rPr>
        <w:softHyphen/>
      </w:r>
      <w:r w:rsidRPr="00330727">
        <w:t>fähigen Arbeitnehmerkoalitionen in die Kommission für das Arbeitsvertrag</w:t>
      </w:r>
      <w:r>
        <w:t>srecht der bayerischen Diözesen</w:t>
      </w:r>
      <w:bookmarkEnd w:id="1476"/>
    </w:p>
    <w:p w:rsidR="00BE1EFE" w:rsidRDefault="00BE1EFE" w:rsidP="00C979DA">
      <w:pPr>
        <w:pStyle w:val="berschrift5"/>
      </w:pPr>
      <w:bookmarkStart w:id="1477" w:name="_Toc453678573"/>
      <w:bookmarkStart w:id="1478" w:name="_Toc523926987"/>
      <w:r>
        <w:t>§ 1 Gegenstand</w:t>
      </w:r>
      <w:bookmarkEnd w:id="1477"/>
      <w:bookmarkEnd w:id="1478"/>
    </w:p>
    <w:p w:rsidR="00BE1EFE" w:rsidRDefault="00BE1EFE" w:rsidP="00C979DA">
      <w:pPr>
        <w:pStyle w:val="berschrift6"/>
        <w:spacing w:before="0" w:after="0"/>
        <w:rPr>
          <w:sz w:val="2"/>
          <w:szCs w:val="2"/>
        </w:rPr>
      </w:pPr>
    </w:p>
    <w:p w:rsidR="00BE1EFE" w:rsidRPr="00B76821" w:rsidRDefault="00BE1EFE" w:rsidP="00B76821">
      <w:pPr>
        <w:pStyle w:val="h7"/>
        <w:keepNext w:val="0"/>
        <w:spacing w:before="0" w:after="0"/>
        <w:jc w:val="left"/>
        <w:outlineLvl w:val="5"/>
        <w:rPr>
          <w:sz w:val="2"/>
        </w:rPr>
      </w:pPr>
    </w:p>
    <w:p w:rsidR="00BE1EFE" w:rsidRDefault="00BE1EFE" w:rsidP="00C979DA">
      <w:pPr>
        <w:pStyle w:val="h8"/>
        <w:spacing w:before="0" w:after="0"/>
        <w:outlineLvl w:val="5"/>
        <w:rPr>
          <w:sz w:val="2"/>
        </w:rPr>
      </w:pPr>
    </w:p>
    <w:p w:rsidR="00BE1EFE" w:rsidRPr="00B76821" w:rsidRDefault="00BE1EFE" w:rsidP="00B76821">
      <w:pPr>
        <w:pStyle w:val="h9"/>
        <w:keepNext w:val="0"/>
        <w:spacing w:before="0" w:after="0"/>
        <w:outlineLvl w:val="5"/>
        <w:rPr>
          <w:sz w:val="2"/>
        </w:rPr>
      </w:pPr>
    </w:p>
    <w:p w:rsidR="00BE1EFE" w:rsidRPr="00330727" w:rsidRDefault="00BE1EFE" w:rsidP="00C979DA">
      <w:pPr>
        <w:pStyle w:val="StandardWeb"/>
      </w:pPr>
      <w:r>
        <w:t xml:space="preserve">Diese Entsendeordnung regelt gemäß </w:t>
      </w:r>
      <w:hyperlink r:id="rId2112" w:history="1">
        <w:r w:rsidRPr="00730753">
          <w:rPr>
            <w:rStyle w:val="Hyperlink"/>
          </w:rPr>
          <w:t>§ 6 Absatz 9</w:t>
        </w:r>
      </w:hyperlink>
      <w:r>
        <w:t xml:space="preserve"> der Ordnung der Kommission für das </w:t>
      </w:r>
      <w:r w:rsidRPr="00330727">
        <w:t>Arbeitsvertragsrecht der bayerischen Diözesen (Bayerische Regional-KODA-Ordnung – BayRKO) die E</w:t>
      </w:r>
      <w:r>
        <w:t>ntsendung von Vertretern/Vertre</w:t>
      </w:r>
      <w:r w:rsidRPr="00330727">
        <w:t>terinnen der tariffähigen Arbeitnehmer</w:t>
      </w:r>
      <w:r>
        <w:softHyphen/>
      </w:r>
      <w:r w:rsidRPr="00330727">
        <w:t>koalitionen (im Folgenden Gewerkschaften) auf der Mitarbeiterseite in die „Kommission für das Arbeitsvertragsrecht der bayerischen Diöze</w:t>
      </w:r>
      <w:r>
        <w:t>sen“ (im Folgenden Kommission).</w:t>
      </w:r>
    </w:p>
    <w:p w:rsidR="00BE1EFE" w:rsidRPr="00330727" w:rsidRDefault="00BE1EFE" w:rsidP="00022B81">
      <w:pPr>
        <w:pStyle w:val="berschrift5"/>
      </w:pPr>
      <w:bookmarkStart w:id="1479" w:name="_Toc523926988"/>
      <w:r>
        <w:t xml:space="preserve">§ 2 </w:t>
      </w:r>
      <w:r w:rsidRPr="00330727">
        <w:t>Vorbereitung der Entscheidung über die Entsendung</w:t>
      </w:r>
      <w:bookmarkEnd w:id="1479"/>
    </w:p>
    <w:p w:rsidR="00BE1EFE" w:rsidRPr="00B76821" w:rsidRDefault="00BE1EFE" w:rsidP="00B76821">
      <w:pPr>
        <w:pStyle w:val="berschrift6"/>
        <w:keepNext w:val="0"/>
        <w:spacing w:before="0" w:after="0"/>
        <w:rPr>
          <w:sz w:val="2"/>
        </w:rPr>
      </w:pPr>
    </w:p>
    <w:p w:rsidR="00BE1EFE" w:rsidRPr="00330727" w:rsidRDefault="00BE1EFE" w:rsidP="00330727">
      <w:pPr>
        <w:pStyle w:val="StandardWeb"/>
      </w:pPr>
      <w:r>
        <w:t>(1) </w:t>
      </w:r>
      <w:r w:rsidRPr="00330727">
        <w:rPr>
          <w:vertAlign w:val="subscript"/>
        </w:rPr>
        <w:t>1</w:t>
      </w:r>
      <w:r w:rsidRPr="00330727">
        <w:t xml:space="preserve">Spätestens neun Monate vor dem Ende der Amtszeit der Kommission erfolgt eine Veröffentlichung in den Amtsblättern der Diözesen, in der die Bildung einer neuen Kommission und die Aufforderung zur Beteiligung daran bekannt gemacht werden. </w:t>
      </w:r>
      <w:r w:rsidRPr="00330727">
        <w:rPr>
          <w:vertAlign w:val="subscript"/>
        </w:rPr>
        <w:t>2</w:t>
      </w:r>
      <w:r w:rsidRPr="00330727">
        <w:t xml:space="preserve">In dieser Veröffentlichung werden die Gewerkschaften aufgefordert, binnen zwei Monaten nach Bekanntmachung (Anzeigefrist) sich an der Entsendung von Vertretern/Vertreterinnen in die Kommission zu beteiligen. </w:t>
      </w:r>
      <w:r w:rsidRPr="00330727">
        <w:rPr>
          <w:vertAlign w:val="subscript"/>
        </w:rPr>
        <w:t>3</w:t>
      </w:r>
      <w:r w:rsidRPr="00330727">
        <w:t xml:space="preserve">Zusätzlich soll eine Pressemitteilung über diesen Aufruf erscheinen. </w:t>
      </w:r>
      <w:r w:rsidRPr="00330727">
        <w:rPr>
          <w:vertAlign w:val="subscript"/>
        </w:rPr>
        <w:t>4</w:t>
      </w:r>
      <w:r w:rsidRPr="00330727">
        <w:t xml:space="preserve">Hierbei ist die genaue Zahl der für die Gewerkschaften vorgesehenen Sitze gemäß </w:t>
      </w:r>
      <w:hyperlink r:id="rId2113" w:history="1">
        <w:r w:rsidRPr="00730753">
          <w:rPr>
            <w:rStyle w:val="Hyperlink"/>
          </w:rPr>
          <w:t>§ 6 Absatz 1 der BayRKO</w:t>
        </w:r>
      </w:hyperlink>
      <w:r w:rsidRPr="00330727">
        <w:t xml:space="preserve"> mitzuteilen.</w:t>
      </w:r>
    </w:p>
    <w:p w:rsidR="00BE1EFE" w:rsidRPr="00330727" w:rsidRDefault="00BE1EFE" w:rsidP="00330727">
      <w:pPr>
        <w:pStyle w:val="StandardWeb"/>
      </w:pPr>
    </w:p>
    <w:p w:rsidR="00BE1EFE" w:rsidRPr="00330727" w:rsidRDefault="00BE1EFE" w:rsidP="00330727">
      <w:pPr>
        <w:pStyle w:val="StandardWeb"/>
      </w:pPr>
      <w:r>
        <w:t>(2) </w:t>
      </w:r>
      <w:r w:rsidRPr="00330727">
        <w:rPr>
          <w:vertAlign w:val="subscript"/>
        </w:rPr>
        <w:t>1</w:t>
      </w:r>
      <w:r w:rsidRPr="00330727">
        <w:t>Gewerkschaften, die sich an der E</w:t>
      </w:r>
      <w:r>
        <w:t>ntsendung von Vertretern/Vertre</w:t>
      </w:r>
      <w:r w:rsidRPr="00330727">
        <w:t xml:space="preserve">terinnen in die Kommission beteiligen wollen, teilen dies gegenüber dem/der Vorsitzenden der Kommission innerhalb der Anzeigefrist schriftlich mit. </w:t>
      </w:r>
      <w:r w:rsidRPr="00330727">
        <w:rPr>
          <w:vertAlign w:val="subscript"/>
        </w:rPr>
        <w:t>2</w:t>
      </w:r>
      <w:r w:rsidRPr="00330727">
        <w:t xml:space="preserve">Die Anzeige kann nur bis zum Ablauf dieser Anzeigefrist abgegeben werden. </w:t>
      </w:r>
      <w:r w:rsidRPr="00330727">
        <w:rPr>
          <w:vertAlign w:val="subscript"/>
        </w:rPr>
        <w:t>3</w:t>
      </w:r>
      <w:r w:rsidRPr="00330727">
        <w:t>Anzeigen, die nach dieser Frist eingereicht werden, können nicht berücksichtigt werden (Ausschlussfrist).</w:t>
      </w:r>
    </w:p>
    <w:p w:rsidR="00BE1EFE" w:rsidRPr="00330727" w:rsidRDefault="00BE1EFE" w:rsidP="00330727">
      <w:pPr>
        <w:pStyle w:val="StandardWeb"/>
      </w:pPr>
    </w:p>
    <w:p w:rsidR="00BE1EFE" w:rsidRPr="00330727" w:rsidRDefault="00BE1EFE" w:rsidP="00330727">
      <w:pPr>
        <w:pStyle w:val="StandardWeb"/>
      </w:pPr>
      <w:r>
        <w:t>(3) </w:t>
      </w:r>
      <w:r w:rsidRPr="00330727">
        <w:rPr>
          <w:vertAlign w:val="subscript"/>
        </w:rPr>
        <w:t>1</w:t>
      </w:r>
      <w:r w:rsidRPr="00330727">
        <w:t>Berechtigt zur Entsendung von Vertretern</w:t>
      </w:r>
      <w:r>
        <w:t>/Vertreterinnen sind nur Gewerk</w:t>
      </w:r>
      <w:r w:rsidRPr="00330727">
        <w:t xml:space="preserve">schaften, die nach ihrer Satzung für Regelungsbereiche der Kommission örtlich und sachlich zuständig sind. </w:t>
      </w:r>
      <w:r w:rsidRPr="00330727">
        <w:rPr>
          <w:vertAlign w:val="subscript"/>
        </w:rPr>
        <w:t>2</w:t>
      </w:r>
      <w:r w:rsidRPr="00330727">
        <w:t xml:space="preserve">Erfüllt eine Gewerkschaft diese Voraussetzungen nicht, wird sie hierüber durch den Vorsitzenden/die Vorsitzende der Kommission schriftlich in Kenntnis gesetzt. </w:t>
      </w:r>
      <w:r w:rsidRPr="00330727">
        <w:rPr>
          <w:vertAlign w:val="subscript"/>
        </w:rPr>
        <w:t>3</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4</w:t>
      </w:r>
      <w:r w:rsidRPr="00330727">
        <w:t xml:space="preserve">Die Frist beginnt zu laufen, wenn die Gewerkschaft über den Rechtsbehelf, das Gericht, bei dem der Rechtsbehelf anzubringen ist, den Sitz und die einzuhaltende Frist </w:t>
      </w:r>
      <w:r>
        <w:t>schriftlich belehrt worden ist.</w:t>
      </w:r>
    </w:p>
    <w:p w:rsidR="00BE1EFE" w:rsidRPr="00330727" w:rsidRDefault="00BE1EFE" w:rsidP="007B3976">
      <w:pPr>
        <w:pStyle w:val="berschrift5"/>
      </w:pPr>
      <w:bookmarkStart w:id="1480" w:name="_Toc523926989"/>
      <w:r>
        <w:t xml:space="preserve">§ 3 </w:t>
      </w:r>
      <w:r w:rsidRPr="00330727">
        <w:t>Entscheidung über die Entsendung</w:t>
      </w:r>
      <w:bookmarkEnd w:id="1480"/>
    </w:p>
    <w:p w:rsidR="00BE1EFE" w:rsidRPr="00B76821" w:rsidRDefault="00BE1EFE" w:rsidP="00B76821">
      <w:pPr>
        <w:pStyle w:val="berschrift6"/>
        <w:keepNext w:val="0"/>
        <w:spacing w:before="0" w:after="0"/>
        <w:rPr>
          <w:sz w:val="2"/>
        </w:rPr>
      </w:pPr>
    </w:p>
    <w:p w:rsidR="00BE1EFE" w:rsidRPr="00330727" w:rsidRDefault="00BE1EFE" w:rsidP="00330727">
      <w:pPr>
        <w:pStyle w:val="StandardWeb"/>
      </w:pPr>
      <w:r>
        <w:t>(1) </w:t>
      </w:r>
      <w:r w:rsidRPr="00330727">
        <w:rPr>
          <w:vertAlign w:val="subscript"/>
        </w:rPr>
        <w:t>1</w:t>
      </w:r>
      <w:r w:rsidRPr="00330727">
        <w:t>Spätestens fünf Monate vor Ablauf der Amtszeit lädt der/die Vorsitzende die Gewerk</w:t>
      </w:r>
      <w:r>
        <w:softHyphen/>
      </w:r>
      <w:r w:rsidRPr="00330727">
        <w:t xml:space="preserve">schaften, die zur Mitwirkung berechtigt und bereit sind, zu einer Sitzung ein, in der sie sich auf die zahlenmäßige Zusammensetzung der von den Gewerkschaften zu entsendenden Vertreter einigen sollen. </w:t>
      </w:r>
      <w:r w:rsidRPr="00330727">
        <w:rPr>
          <w:vertAlign w:val="subscript"/>
        </w:rPr>
        <w:t>2</w:t>
      </w:r>
      <w:r w:rsidRPr="00330727">
        <w:t xml:space="preserve">Die namentliche Benennung der Vertreter/Vertreterinnen der Gewerkschaften erfolgt spätestens drei Monate vor dem Ende der Amtszeit der laufenden </w:t>
      </w:r>
      <w:r w:rsidRPr="00330727">
        <w:lastRenderedPageBreak/>
        <w:t xml:space="preserve">Periode. </w:t>
      </w:r>
      <w:r w:rsidRPr="00330727">
        <w:rPr>
          <w:vertAlign w:val="subscript"/>
        </w:rPr>
        <w:t>3</w:t>
      </w:r>
      <w:r w:rsidRPr="00330727">
        <w:t>Die Sitzung wird von dem/der Vorsitzenden geleitet, das Ergebnis in einem Protokoll festgehalten.</w:t>
      </w:r>
    </w:p>
    <w:p w:rsidR="00BE1EFE" w:rsidRPr="00330727" w:rsidRDefault="00BE1EFE" w:rsidP="00330727">
      <w:pPr>
        <w:pStyle w:val="StandardWeb"/>
      </w:pPr>
    </w:p>
    <w:p w:rsidR="00BE1EFE" w:rsidRPr="00330727" w:rsidRDefault="00BE1EFE" w:rsidP="00330727">
      <w:pPr>
        <w:pStyle w:val="StandardWeb"/>
      </w:pPr>
      <w:r>
        <w:t>(2) </w:t>
      </w:r>
      <w:r w:rsidRPr="00330727">
        <w:rPr>
          <w:vertAlign w:val="subscript"/>
        </w:rPr>
        <w:t>1</w:t>
      </w:r>
      <w:r w:rsidRPr="00330727">
        <w:t xml:space="preserve">Benennt nur eine Gewerkschaft Vertreter/Vertreterinnen für die Kommission, fallen alle Sitze an diese Gewerkschaft. </w:t>
      </w:r>
      <w:r w:rsidRPr="00330727">
        <w:rPr>
          <w:vertAlign w:val="subscript"/>
        </w:rPr>
        <w:t>2</w:t>
      </w:r>
      <w:r w:rsidRPr="00330727">
        <w:t xml:space="preserve">Benennen mehrere Gewerkschaften Vertreter/Vertreterinnen für die Kommission, einigen sich diese Gewerkschaften untereinander auf die zahlenmäßige Verteilung der für die Gewerkschaften vorbehaltenen Sitze. </w:t>
      </w:r>
      <w:r w:rsidRPr="00330727">
        <w:rPr>
          <w:vertAlign w:val="subscript"/>
        </w:rPr>
        <w:t>3</w:t>
      </w:r>
      <w:r w:rsidRPr="00330727">
        <w:t>Sie können sich dabei an ihrer Organisationsstärke orientieren.</w:t>
      </w:r>
    </w:p>
    <w:p w:rsidR="00BE1EFE" w:rsidRPr="00330727" w:rsidRDefault="00BE1EFE" w:rsidP="00330727">
      <w:pPr>
        <w:pStyle w:val="StandardWeb"/>
      </w:pPr>
    </w:p>
    <w:p w:rsidR="00BE1EFE" w:rsidRPr="00330727" w:rsidRDefault="00BE1EFE" w:rsidP="00330727">
      <w:pPr>
        <w:pStyle w:val="StandardWeb"/>
      </w:pPr>
      <w:r>
        <w:t>(3) </w:t>
      </w:r>
      <w:r w:rsidRPr="00330727">
        <w:rPr>
          <w:vertAlign w:val="subscript"/>
        </w:rPr>
        <w:t>1</w:t>
      </w:r>
      <w:r w:rsidRPr="00330727">
        <w:t>Als Vertreter/Vertreterinnen der Gewerkschaften können nur Personen benannt werden, die die Gewähr dafür bieten, dass sie das verfassungsmäßige Selbstbestimmungsrecht der Kirche zur Gestaltung der sozialen Ordnung ihres Dienstes achten und die Eigenart des kirch</w:t>
      </w:r>
      <w:r>
        <w:softHyphen/>
      </w:r>
      <w:r w:rsidRPr="00330727">
        <w:t xml:space="preserve">lichen Dienstes respektieren. </w:t>
      </w:r>
      <w:r w:rsidRPr="00330727">
        <w:rPr>
          <w:vertAlign w:val="subscript"/>
        </w:rPr>
        <w:t>2</w:t>
      </w:r>
      <w:r w:rsidRPr="00330727">
        <w:t xml:space="preserve">Der/Die Vorsitzende prüft, ob die benannten Personen die Voraussetzungen für die Mitgliedschaft in der Kommission erfüllen. </w:t>
      </w:r>
      <w:r w:rsidRPr="00330727">
        <w:rPr>
          <w:vertAlign w:val="subscript"/>
        </w:rPr>
        <w:t>3</w:t>
      </w:r>
      <w:r w:rsidRPr="00330727">
        <w:t>Liegen die Vorausset</w:t>
      </w:r>
      <w:r>
        <w:softHyphen/>
      </w:r>
      <w:r w:rsidRPr="00330727">
        <w:t xml:space="preserve">zungen für die Mitgliedschaft in der Kommission nicht vor, lehnt der/die Vorsitzende die benannte Person ab und teilt dies der entsendenden Gewerkschaft schriftlich mit. </w:t>
      </w:r>
      <w:r w:rsidRPr="00330727">
        <w:rPr>
          <w:vertAlign w:val="subscript"/>
        </w:rPr>
        <w:t>4</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5</w:t>
      </w:r>
      <w:r w:rsidRPr="00330727">
        <w:t>Die Frist beginnt zu laufen, wenn die Gewerkschaft über den Rechtsbehelf, das Gericht, bei dem der Rechtsbehelf anzubringen ist, den Sitz und die einzuhaltende Frist schriftlich belehrt worden ist.</w:t>
      </w:r>
    </w:p>
    <w:p w:rsidR="00BE1EFE" w:rsidRPr="00330727" w:rsidRDefault="00BE1EFE" w:rsidP="00330727">
      <w:pPr>
        <w:pStyle w:val="StandardWeb"/>
      </w:pPr>
    </w:p>
    <w:p w:rsidR="00BE1EFE" w:rsidRPr="00330727" w:rsidRDefault="00BE1EFE" w:rsidP="00330727">
      <w:pPr>
        <w:pStyle w:val="StandardWeb"/>
      </w:pPr>
      <w:r>
        <w:t>(4) </w:t>
      </w:r>
      <w:r w:rsidRPr="00330727">
        <w:rPr>
          <w:vertAlign w:val="subscript"/>
        </w:rPr>
        <w:t>1</w:t>
      </w:r>
      <w:r w:rsidRPr="00330727">
        <w:t xml:space="preserve">Kommt eine Einigung zwischen den Gewerkschaften nicht innerhalb einer Frist von vier Wochen ab dem Tag der Sitzung gemäß § 3 Absatz 1 dieser Ordnung zustande, gilt die Einigung als gescheitert. </w:t>
      </w:r>
      <w:r w:rsidRPr="00330727">
        <w:rPr>
          <w:vertAlign w:val="subscript"/>
        </w:rPr>
        <w:t>2</w:t>
      </w:r>
      <w:r w:rsidRPr="00330727">
        <w:t xml:space="preserve">In diesem Fall entscheidet der/die Vorsitzende im Einvernehmen mit dem stellvertretenden Vorsitzenden/der stellvertretenden Vorsitzenden über die Verteilung der Sitze. </w:t>
      </w:r>
      <w:r w:rsidRPr="00330727">
        <w:rPr>
          <w:vertAlign w:val="subscript"/>
        </w:rPr>
        <w:t>3</w:t>
      </w:r>
      <w:r w:rsidRPr="00330727">
        <w:t xml:space="preserve">Die Entscheidung ist den Gewerkschaften schriftlich mitzuteilen und zu begründen. </w:t>
      </w:r>
      <w:r w:rsidRPr="00330727">
        <w:rPr>
          <w:vertAlign w:val="subscript"/>
        </w:rPr>
        <w:t>4</w:t>
      </w:r>
      <w:r w:rsidRPr="00330727">
        <w:t xml:space="preserve">Gegen die Entscheidung des/der Vorsitzenden ist Klage beim Kirchlichen Arbeitsgericht innerhalb einer Ausschlussfrist von zwei Wochen nach Bekanntgabe der Entscheidung zulässig. </w:t>
      </w:r>
      <w:r w:rsidRPr="00330727">
        <w:rPr>
          <w:vertAlign w:val="subscript"/>
        </w:rPr>
        <w:t>5</w:t>
      </w:r>
      <w:r w:rsidRPr="00330727">
        <w:t xml:space="preserve">Die Frist beginnt nur zu laufen, wenn die Gewerkschaft über den Rechtsbehelf, das Gericht, bei dem der Rechtsbehelf anzubringen ist, den Sitz und die einzuhaltende Frist schriftlich belehrt worden ist. </w:t>
      </w:r>
      <w:r w:rsidRPr="00330727">
        <w:rPr>
          <w:vertAlign w:val="subscript"/>
        </w:rPr>
        <w:t>6</w:t>
      </w:r>
      <w:r w:rsidRPr="00330727">
        <w:t xml:space="preserve">Das kirchliche Arbeitsgericht entscheidet insbesondere auf Grund der Mitgliederzahlen, die ihm gegenüber glaubhaft zu machen sind. </w:t>
      </w:r>
      <w:r w:rsidRPr="00330727">
        <w:rPr>
          <w:vertAlign w:val="subscript"/>
        </w:rPr>
        <w:t>7</w:t>
      </w:r>
      <w:r w:rsidRPr="00330727">
        <w:t>Die Glaubhaftmachung der Mitgliederzahl kann insbesondere durch eine eidesstattliche Versicherung erfolgen, die ein Mitglied des Vertretungsorgans der Gewer</w:t>
      </w:r>
      <w:r>
        <w:t>kschaft vor einem Notar abgibt.</w:t>
      </w:r>
    </w:p>
    <w:p w:rsidR="00BE1EFE" w:rsidRPr="007B3976" w:rsidRDefault="00BE1EFE" w:rsidP="007B3976">
      <w:pPr>
        <w:pStyle w:val="berschrift5"/>
      </w:pPr>
      <w:bookmarkStart w:id="1481" w:name="_Toc523926990"/>
      <w:r w:rsidRPr="007B3976">
        <w:t>§ 4 Bekanntmachung der Entscheidung über die Entsendung</w:t>
      </w:r>
      <w:bookmarkEnd w:id="1481"/>
    </w:p>
    <w:p w:rsidR="00BE1EFE" w:rsidRPr="00B76821" w:rsidRDefault="00BE1EFE" w:rsidP="00B76821">
      <w:pPr>
        <w:pStyle w:val="berschrift6"/>
        <w:keepNext w:val="0"/>
        <w:spacing w:before="0" w:after="0"/>
        <w:rPr>
          <w:sz w:val="2"/>
        </w:rPr>
      </w:pPr>
    </w:p>
    <w:p w:rsidR="00BE1EFE" w:rsidRDefault="00BE1EFE" w:rsidP="00EF62C5">
      <w:pPr>
        <w:pStyle w:val="StandardWeb"/>
      </w:pPr>
      <w:r w:rsidRPr="00330727">
        <w:t xml:space="preserve">Die Entscheidung der Entsendung ist in den Amtsblättern der Diözesen bekannt zu machen. </w:t>
      </w:r>
    </w:p>
    <w:p w:rsidR="00BE1EFE" w:rsidRDefault="00BE1EFE" w:rsidP="00177E98">
      <w:pPr>
        <w:pStyle w:val="berschrift5"/>
      </w:pPr>
      <w:bookmarkStart w:id="1482" w:name="_Toc523926991"/>
      <w:r>
        <w:t>§ 5 Kosten</w:t>
      </w:r>
      <w:bookmarkEnd w:id="1482"/>
    </w:p>
    <w:p w:rsidR="00BE1EFE" w:rsidRPr="00B76821" w:rsidRDefault="00BE1EFE" w:rsidP="00B76821">
      <w:pPr>
        <w:pStyle w:val="berschrift6"/>
        <w:keepNext w:val="0"/>
        <w:spacing w:before="0" w:after="0"/>
        <w:rPr>
          <w:sz w:val="2"/>
        </w:rPr>
      </w:pPr>
    </w:p>
    <w:p w:rsidR="00BE1EFE" w:rsidRDefault="00BE1EFE" w:rsidP="00EF62C5">
      <w:pPr>
        <w:pStyle w:val="StandardWeb"/>
      </w:pPr>
      <w:r>
        <w:t>Entstehende Kosten werden nicht erstattet.</w:t>
      </w:r>
    </w:p>
    <w:p w:rsidR="00BE1EFE" w:rsidRDefault="00BE1EFE" w:rsidP="00177E98">
      <w:pPr>
        <w:pStyle w:val="berschrift5"/>
      </w:pPr>
      <w:bookmarkStart w:id="1483" w:name="_Toc523926992"/>
      <w:r>
        <w:t>§ 6 Übergangsvorschrift</w:t>
      </w:r>
      <w:bookmarkEnd w:id="1483"/>
    </w:p>
    <w:p w:rsidR="00BE1EFE" w:rsidRPr="00B76821" w:rsidRDefault="00BE1EFE" w:rsidP="00B76821">
      <w:pPr>
        <w:pStyle w:val="berschrift6"/>
        <w:keepNext w:val="0"/>
        <w:spacing w:before="0" w:after="0"/>
        <w:rPr>
          <w:sz w:val="2"/>
        </w:rPr>
      </w:pPr>
    </w:p>
    <w:p w:rsidR="00BE1EFE" w:rsidRDefault="00BE1EFE" w:rsidP="00741FD5">
      <w:pPr>
        <w:pStyle w:val="StandardWeb"/>
      </w:pPr>
      <w:r>
        <w:t xml:space="preserve">Einmalig kann nach Inkrafttreten der Änderungen der Ordnung der Kommission für das Arbeitsvertragsrecht der bayerischen Diözesen das Entsendeverfahren abweichend von den </w:t>
      </w:r>
      <w:r>
        <w:lastRenderedPageBreak/>
        <w:t xml:space="preserve">in </w:t>
      </w:r>
      <w:hyperlink r:id="rId2114" w:history="1">
        <w:r w:rsidRPr="005006CB">
          <w:rPr>
            <w:rStyle w:val="Hyperlink"/>
          </w:rPr>
          <w:t>§ 2 Absatz 1 Satz 1 und 2</w:t>
        </w:r>
      </w:hyperlink>
      <w:r>
        <w:t xml:space="preserve"> sowie </w:t>
      </w:r>
      <w:hyperlink r:id="rId2115" w:history="1">
        <w:r w:rsidRPr="005006CB">
          <w:rPr>
            <w:rStyle w:val="Hyperlink"/>
          </w:rPr>
          <w:t>§ 3 Absatz 1 Satz 1 und 2</w:t>
        </w:r>
      </w:hyperlink>
      <w:r>
        <w:t xml:space="preserve"> genannten Fristen vorzeitig durch die Kommission eingeleitet werden.</w:t>
      </w:r>
    </w:p>
    <w:p w:rsidR="00BE1EFE" w:rsidRDefault="00BE1EFE" w:rsidP="00741FD5">
      <w:pPr>
        <w:pStyle w:val="StandardWeb"/>
      </w:pPr>
      <w:r>
        <w:br w:type="page"/>
      </w:r>
    </w:p>
    <w:p w:rsidR="00BE1EFE" w:rsidRPr="007B3976" w:rsidRDefault="00BE1EFE" w:rsidP="00741FD5">
      <w:pPr>
        <w:pStyle w:val="berschrift3"/>
        <w:spacing w:before="0"/>
        <w:rPr>
          <w:lang w:eastAsia="x-none"/>
        </w:rPr>
      </w:pPr>
      <w:bookmarkStart w:id="1484" w:name="_Toc523926993"/>
      <w:r>
        <w:lastRenderedPageBreak/>
        <w:t>Anhang IV</w:t>
      </w:r>
      <w:bookmarkEnd w:id="1484"/>
    </w:p>
    <w:p w:rsidR="00BE1EFE" w:rsidRDefault="00BE1EFE">
      <w:pPr>
        <w:pStyle w:val="berschrift4"/>
      </w:pPr>
      <w:bookmarkStart w:id="1485" w:name="_Toc523926994"/>
      <w:r>
        <w:t>Abkürzungsverzeichnis</w:t>
      </w:r>
      <w:bookmarkEnd w:id="1485"/>
    </w:p>
    <w:p w:rsidR="00BE1EFE" w:rsidRPr="00741FD5" w:rsidRDefault="00BE1EFE" w:rsidP="00741FD5">
      <w:pPr>
        <w:pStyle w:val="berschrift5"/>
        <w:spacing w:before="0" w:after="0"/>
        <w:rPr>
          <w:sz w:val="2"/>
          <w:szCs w:val="2"/>
        </w:rPr>
      </w:pPr>
    </w:p>
    <w:p w:rsidR="00BE1EFE" w:rsidRPr="00B76821" w:rsidRDefault="00BE1EFE" w:rsidP="00B76821">
      <w:pPr>
        <w:pStyle w:val="berschrift6"/>
        <w:keepNext w:val="0"/>
        <w:spacing w:before="0" w:after="0"/>
        <w:rPr>
          <w:sz w:val="2"/>
        </w:rPr>
      </w:pPr>
    </w:p>
    <w:p w:rsidR="00BE1EFE" w:rsidRDefault="00BE1EFE">
      <w:pPr>
        <w:pStyle w:val="StandardWeb"/>
      </w:pPr>
      <w:r>
        <w:t>a. F. alte Fassung</w:t>
      </w:r>
    </w:p>
    <w:p w:rsidR="00BE1EFE" w:rsidRDefault="00BE1EFE">
      <w:pPr>
        <w:pStyle w:val="StandardWeb"/>
      </w:pPr>
      <w:r>
        <w:t>ABD Arbeitsvertragsrecht der bayerischen (Erz-)Diözesen</w:t>
      </w:r>
    </w:p>
    <w:p w:rsidR="00BE1EFE" w:rsidRDefault="00BE1EFE">
      <w:pPr>
        <w:pStyle w:val="StandardWeb"/>
      </w:pPr>
      <w:r>
        <w:t>Abs. Absatz</w:t>
      </w:r>
    </w:p>
    <w:p w:rsidR="00BE1EFE" w:rsidRDefault="00BE1EFE">
      <w:pPr>
        <w:pStyle w:val="StandardWeb"/>
      </w:pPr>
      <w:r>
        <w:t>Abschn. Abschnitt</w:t>
      </w:r>
    </w:p>
    <w:p w:rsidR="00BE1EFE" w:rsidRDefault="00BE1EFE">
      <w:pPr>
        <w:pStyle w:val="StandardWeb"/>
      </w:pPr>
      <w:r>
        <w:t>ACK Arbeitsgemeinschaft christlicher Kirchen in Deutschland</w:t>
      </w:r>
    </w:p>
    <w:p w:rsidR="00BE1EFE" w:rsidRDefault="00BE1EFE">
      <w:pPr>
        <w:pStyle w:val="StandardWeb"/>
      </w:pPr>
      <w:r>
        <w:t>AltTZG Altersteilzeitgesetz</w:t>
      </w:r>
    </w:p>
    <w:p w:rsidR="00BE1EFE" w:rsidRDefault="00BE1EFE">
      <w:pPr>
        <w:pStyle w:val="StandardWeb"/>
      </w:pPr>
      <w:r>
        <w:t>AP Zeitschrift „Arbeitsrechtliche Praxis“</w:t>
      </w:r>
    </w:p>
    <w:p w:rsidR="00BE1EFE" w:rsidRDefault="00BE1EFE">
      <w:pPr>
        <w:pStyle w:val="StandardWeb"/>
      </w:pPr>
      <w:r>
        <w:t>ArbZG Arbeitszeitgesetz</w:t>
      </w:r>
    </w:p>
    <w:p w:rsidR="00BE1EFE" w:rsidRDefault="00BE1EFE">
      <w:pPr>
        <w:pStyle w:val="StandardWeb"/>
      </w:pPr>
      <w:r>
        <w:t>Art. Artikel</w:t>
      </w:r>
    </w:p>
    <w:p w:rsidR="00BE1EFE" w:rsidRDefault="00BE1EFE">
      <w:pPr>
        <w:pStyle w:val="StandardWeb"/>
      </w:pPr>
      <w:r>
        <w:t>ATV-K Altersvorsorge-TV-Kommunal</w:t>
      </w:r>
    </w:p>
    <w:p w:rsidR="00BE1EFE" w:rsidRDefault="00BE1EFE">
      <w:pPr>
        <w:pStyle w:val="StandardWeb"/>
      </w:pPr>
      <w:r>
        <w:t>AÜG Arbeitnehmerüberlassungsgesetz</w:t>
      </w:r>
    </w:p>
    <w:p w:rsidR="00BE1EFE" w:rsidRDefault="00BE1EFE">
      <w:pPr>
        <w:pStyle w:val="StandardWeb"/>
      </w:pPr>
      <w:r>
        <w:t>AVBayKiBiG Ausführungsverordnung BayKiBiG</w:t>
      </w:r>
    </w:p>
    <w:p w:rsidR="00BE1EFE" w:rsidRDefault="00BE1EFE">
      <w:pPr>
        <w:pStyle w:val="StandardWeb"/>
      </w:pPr>
      <w:r>
        <w:t>AVR Richtlinien für Arbeitsverträge in den Einrichtungen des Deutschen Caritasverbandes</w:t>
      </w:r>
    </w:p>
    <w:p w:rsidR="00BE1EFE" w:rsidRDefault="00BE1EFE">
      <w:pPr>
        <w:pStyle w:val="StandardWeb"/>
      </w:pPr>
      <w:r>
        <w:t>AZKR Arbeitszeitkontenregelung</w:t>
      </w:r>
    </w:p>
    <w:p w:rsidR="00BE1EFE" w:rsidRDefault="00BE1EFE">
      <w:pPr>
        <w:pStyle w:val="StandardWeb"/>
      </w:pPr>
      <w:r>
        <w:t>BAG Bundesarbeitsgericht</w:t>
      </w:r>
    </w:p>
    <w:p w:rsidR="00BE1EFE" w:rsidRDefault="00BE1EFE">
      <w:pPr>
        <w:pStyle w:val="StandardWeb"/>
      </w:pPr>
      <w:r>
        <w:t>BAnz. Bundesanzeiger</w:t>
      </w:r>
    </w:p>
    <w:p w:rsidR="00BE1EFE" w:rsidRDefault="00BE1EFE">
      <w:pPr>
        <w:pStyle w:val="StandardWeb"/>
      </w:pPr>
      <w:r>
        <w:t>BAT Bundesangestelltentarifvertrag</w:t>
      </w:r>
    </w:p>
    <w:p w:rsidR="00BE1EFE" w:rsidRDefault="00BE1EFE">
      <w:pPr>
        <w:pStyle w:val="StandardWeb"/>
      </w:pPr>
      <w:r>
        <w:t>BAT-O Bundesangestelltentarifvertrag – Ost</w:t>
      </w:r>
    </w:p>
    <w:p w:rsidR="00BE1EFE" w:rsidRDefault="00BE1EFE">
      <w:pPr>
        <w:pStyle w:val="StandardWeb"/>
      </w:pPr>
      <w:r>
        <w:t>BayBesG Bayerisches Besoldungsgesetz</w:t>
      </w:r>
    </w:p>
    <w:p w:rsidR="00BE1EFE" w:rsidRDefault="00BE1EFE">
      <w:pPr>
        <w:pStyle w:val="StandardWeb"/>
      </w:pPr>
      <w:r>
        <w:t>BayBhV Bayerische Beihilfeverordnung</w:t>
      </w:r>
    </w:p>
    <w:p w:rsidR="00BE1EFE" w:rsidRDefault="00D22E61">
      <w:pPr>
        <w:pStyle w:val="StandardWeb"/>
      </w:pPr>
      <w:r>
        <w:t>Bayer. Regional</w:t>
      </w:r>
      <w:r w:rsidR="00BE1EFE">
        <w:t>-KODA Bayerische Regional-KODA</w:t>
      </w:r>
    </w:p>
    <w:p w:rsidR="00BE1EFE" w:rsidRDefault="00BE1EFE">
      <w:pPr>
        <w:pStyle w:val="StandardWeb"/>
      </w:pPr>
      <w:r>
        <w:t>BayKiBiG Bayerisches Kinderbildungs- und -betreuungsgesetz</w:t>
      </w:r>
    </w:p>
    <w:p w:rsidR="00BE1EFE" w:rsidRDefault="00BE1EFE">
      <w:pPr>
        <w:pStyle w:val="StandardWeb"/>
      </w:pPr>
      <w:r>
        <w:t>BayRK Bayerische Regional-KODA</w:t>
      </w:r>
    </w:p>
    <w:p w:rsidR="00BE1EFE" w:rsidRDefault="00BE1EFE">
      <w:pPr>
        <w:pStyle w:val="StandardWeb"/>
      </w:pPr>
      <w:r>
        <w:t>BayRKO Ordnung zur Gestaltung des Arbeitsvertragsrechtes durch eine Kommission für den Bereich der bayerischen (Erz-)Diözesen</w:t>
      </w:r>
    </w:p>
    <w:p w:rsidR="00BE1EFE" w:rsidRDefault="00BE1EFE">
      <w:pPr>
        <w:pStyle w:val="StandardWeb"/>
      </w:pPr>
      <w:r>
        <w:t>BayRS Bayerische Rechtssammlung</w:t>
      </w:r>
    </w:p>
    <w:p w:rsidR="00BE1EFE" w:rsidRDefault="00BE1EFE">
      <w:pPr>
        <w:pStyle w:val="StandardWeb"/>
      </w:pPr>
      <w:r>
        <w:t>BaySchFG Bayerisches Schulfinanzierungsgesetz</w:t>
      </w:r>
    </w:p>
    <w:p w:rsidR="00BE1EFE" w:rsidRDefault="00BE1EFE">
      <w:pPr>
        <w:pStyle w:val="StandardWeb"/>
      </w:pPr>
      <w:r>
        <w:t>BBiG Berufsbildungsgesetz</w:t>
      </w:r>
    </w:p>
    <w:p w:rsidR="00BE1EFE" w:rsidRDefault="00BE1EFE">
      <w:pPr>
        <w:pStyle w:val="StandardWeb"/>
      </w:pPr>
      <w:r>
        <w:t>BEEG Bundeselterngeld- und Elternzeitgesetz</w:t>
      </w:r>
    </w:p>
    <w:p w:rsidR="00BE1EFE" w:rsidRDefault="00BE1EFE">
      <w:pPr>
        <w:pStyle w:val="StandardWeb"/>
      </w:pPr>
      <w:r>
        <w:t>BetrAVG Gesetz zur Verbesserung der betrieblichen Altersversorgung</w:t>
      </w:r>
    </w:p>
    <w:p w:rsidR="00BE1EFE" w:rsidRDefault="00BE1EFE">
      <w:pPr>
        <w:pStyle w:val="StandardWeb"/>
      </w:pPr>
      <w:r>
        <w:t>BGB Bürgerliches Gesetzbuch</w:t>
      </w:r>
    </w:p>
    <w:p w:rsidR="00BE1EFE" w:rsidRDefault="00BE1EFE">
      <w:pPr>
        <w:pStyle w:val="StandardWeb"/>
      </w:pPr>
      <w:r>
        <w:t>BGleiG Gesetz zur Gleichstellung von Frauen und Männern in der Bundesverwaltung und in den Gerichten des Bundes</w:t>
      </w:r>
    </w:p>
    <w:p w:rsidR="00BE1EFE" w:rsidRDefault="00BE1EFE">
      <w:pPr>
        <w:pStyle w:val="StandardWeb"/>
      </w:pPr>
      <w:r>
        <w:t>BhV Beihilfevorschriften (des Landes Bayern)</w:t>
      </w:r>
    </w:p>
    <w:p w:rsidR="00BE1EFE" w:rsidRDefault="00BE1EFE">
      <w:pPr>
        <w:pStyle w:val="StandardWeb"/>
      </w:pPr>
      <w:r>
        <w:t>BKGG Bundeskindergeldgesetz</w:t>
      </w:r>
    </w:p>
    <w:p w:rsidR="00BE1EFE" w:rsidRDefault="00BE1EFE">
      <w:pPr>
        <w:pStyle w:val="StandardWeb"/>
      </w:pPr>
      <w:r>
        <w:t>BL Bund/Länder</w:t>
      </w:r>
    </w:p>
    <w:p w:rsidR="00BE1EFE" w:rsidRDefault="00BE1EFE">
      <w:pPr>
        <w:pStyle w:val="StandardWeb"/>
      </w:pPr>
      <w:r>
        <w:t>BSHG Bundessozialhilfegesetz</w:t>
      </w:r>
    </w:p>
    <w:p w:rsidR="00BE1EFE" w:rsidRDefault="00BE1EFE">
      <w:pPr>
        <w:pStyle w:val="StandardWeb"/>
      </w:pPr>
      <w:r>
        <w:t>BtMG Betäubungsmittelgesetz</w:t>
      </w:r>
    </w:p>
    <w:p w:rsidR="00BE1EFE" w:rsidRDefault="00BE1EFE">
      <w:pPr>
        <w:pStyle w:val="StandardWeb"/>
      </w:pPr>
      <w:r>
        <w:t>Buchst. Buchstabe</w:t>
      </w:r>
    </w:p>
    <w:p w:rsidR="00BE1EFE" w:rsidRDefault="00BE1EFE">
      <w:pPr>
        <w:pStyle w:val="StandardWeb"/>
      </w:pPr>
      <w:r>
        <w:t>BUrlG Bundesurlaubsgesetz</w:t>
      </w:r>
    </w:p>
    <w:p w:rsidR="00BE1EFE" w:rsidRDefault="00BE1EFE">
      <w:pPr>
        <w:pStyle w:val="StandardWeb"/>
      </w:pPr>
      <w:r>
        <w:t>BV Beihilfeversicherung</w:t>
      </w:r>
    </w:p>
    <w:p w:rsidR="00BE1EFE" w:rsidRDefault="00BE1EFE">
      <w:pPr>
        <w:pStyle w:val="StandardWeb"/>
      </w:pPr>
      <w:r>
        <w:t>BVG Bundesversorgungsgesetz</w:t>
      </w:r>
    </w:p>
    <w:p w:rsidR="00BE1EFE" w:rsidRDefault="00BE1EFE">
      <w:pPr>
        <w:pStyle w:val="StandardWeb"/>
      </w:pPr>
      <w:r>
        <w:t>BZRG Bundeszentralregister</w:t>
      </w:r>
    </w:p>
    <w:p w:rsidR="00BE1EFE" w:rsidRPr="00604BB1" w:rsidRDefault="00BE1EFE">
      <w:pPr>
        <w:pStyle w:val="StandardWeb"/>
        <w:rPr>
          <w:lang w:val="fr-CH"/>
        </w:rPr>
      </w:pPr>
      <w:r w:rsidRPr="00604BB1">
        <w:rPr>
          <w:lang w:val="fr-CH"/>
        </w:rPr>
        <w:t>c. canon des CIC</w:t>
      </w:r>
    </w:p>
    <w:p w:rsidR="00BE1EFE" w:rsidRPr="00604BB1" w:rsidRDefault="00BE1EFE">
      <w:pPr>
        <w:pStyle w:val="StandardWeb"/>
        <w:rPr>
          <w:lang w:val="fr-CH"/>
        </w:rPr>
      </w:pPr>
      <w:r w:rsidRPr="00604BB1">
        <w:rPr>
          <w:lang w:val="fr-CH"/>
        </w:rPr>
        <w:t>cc. canon, canones des CIC</w:t>
      </w:r>
    </w:p>
    <w:p w:rsidR="00BE1EFE" w:rsidRPr="006320FA" w:rsidRDefault="00BE1EFE">
      <w:pPr>
        <w:pStyle w:val="StandardWeb"/>
      </w:pPr>
      <w:r w:rsidRPr="006320FA">
        <w:t>CIC Codex Juris Canonici 1983</w:t>
      </w:r>
    </w:p>
    <w:p w:rsidR="00BE1EFE" w:rsidRDefault="00BE1EFE">
      <w:pPr>
        <w:pStyle w:val="StandardWeb"/>
      </w:pPr>
      <w:r>
        <w:lastRenderedPageBreak/>
        <w:t>D Diensteinheit</w:t>
      </w:r>
    </w:p>
    <w:p w:rsidR="00BE1EFE" w:rsidRDefault="00BE1EFE">
      <w:pPr>
        <w:pStyle w:val="StandardWeb"/>
      </w:pPr>
      <w:r>
        <w:t>DIAG Diözesane Arbeitsgemeinschaft</w:t>
      </w:r>
    </w:p>
    <w:p w:rsidR="00BE1EFE" w:rsidRDefault="00BE1EFE">
      <w:pPr>
        <w:pStyle w:val="StandardWeb"/>
      </w:pPr>
      <w:r>
        <w:t>Dipl. FH Diplom Fachhochschule</w:t>
      </w:r>
    </w:p>
    <w:p w:rsidR="00BE1EFE" w:rsidRDefault="00BE1EFE">
      <w:pPr>
        <w:pStyle w:val="StandardWeb"/>
      </w:pPr>
      <w:r>
        <w:t>Dipl. Rel. Päd.(FH) Diplom Religionspädagoge Fachhochschule</w:t>
      </w:r>
    </w:p>
    <w:p w:rsidR="00BE1EFE" w:rsidRDefault="00BE1EFE">
      <w:pPr>
        <w:pStyle w:val="StandardWeb"/>
      </w:pPr>
      <w:r>
        <w:t>Dipl. Theol. Diplom-Theologe</w:t>
      </w:r>
    </w:p>
    <w:p w:rsidR="00BE1EFE" w:rsidRDefault="00BE1EFE">
      <w:pPr>
        <w:pStyle w:val="StandardWeb"/>
      </w:pPr>
      <w:r>
        <w:t>DO Dienstordnung</w:t>
      </w:r>
    </w:p>
    <w:p w:rsidR="00BE1EFE" w:rsidRDefault="00BE1EFE">
      <w:pPr>
        <w:pStyle w:val="StandardWeb"/>
      </w:pPr>
      <w:r>
        <w:t>DOK Deutsche Ordensoberenkonferenz</w:t>
      </w:r>
    </w:p>
    <w:p w:rsidR="00BE1EFE" w:rsidRDefault="00BE1EFE">
      <w:pPr>
        <w:pStyle w:val="StandardWeb"/>
      </w:pPr>
      <w:r>
        <w:t>DRiG Deutsches Richtergesetz</w:t>
      </w:r>
    </w:p>
    <w:p w:rsidR="00BE1EFE" w:rsidRDefault="00BE1EFE">
      <w:pPr>
        <w:pStyle w:val="StandardWeb"/>
      </w:pPr>
      <w:r>
        <w:t>DV Datenverarbeitung</w:t>
      </w:r>
    </w:p>
    <w:p w:rsidR="00BE1EFE" w:rsidRDefault="00BE1EFE">
      <w:pPr>
        <w:pStyle w:val="StandardWeb"/>
      </w:pPr>
      <w:r>
        <w:t>DVBayKiG Durchführungsverordnung zum Bayerischen Kindergartengesetz</w:t>
      </w:r>
    </w:p>
    <w:p w:rsidR="00BE1EFE" w:rsidRDefault="00BE1EFE">
      <w:pPr>
        <w:pStyle w:val="StandardWeb"/>
      </w:pPr>
      <w:r>
        <w:t>E Entgeltgruppe</w:t>
      </w:r>
    </w:p>
    <w:p w:rsidR="00BE1EFE" w:rsidRDefault="00BE1EFE">
      <w:pPr>
        <w:pStyle w:val="StandardWeb"/>
      </w:pPr>
      <w:r>
        <w:t>EG Entgeltgruppe</w:t>
      </w:r>
    </w:p>
    <w:p w:rsidR="00BE1EFE" w:rsidRDefault="00BE1EFE">
      <w:pPr>
        <w:pStyle w:val="StandardWeb"/>
      </w:pPr>
      <w:r>
        <w:t>EntgFG Entgeltfortzahlungsgesetz</w:t>
      </w:r>
    </w:p>
    <w:p w:rsidR="00BE1EFE" w:rsidRDefault="00BE1EFE">
      <w:pPr>
        <w:pStyle w:val="StandardWeb"/>
      </w:pPr>
      <w:r>
        <w:t>EStG Einkommensteuergesetz</w:t>
      </w:r>
    </w:p>
    <w:p w:rsidR="00BE1EFE" w:rsidRDefault="00BE1EFE">
      <w:pPr>
        <w:pStyle w:val="StandardWeb"/>
      </w:pPr>
      <w:r>
        <w:t>EUR EURO</w:t>
      </w:r>
    </w:p>
    <w:p w:rsidR="00BE1EFE" w:rsidRDefault="00BE1EFE">
      <w:pPr>
        <w:pStyle w:val="StandardWeb"/>
      </w:pPr>
      <w:r>
        <w:t>ff. fortfolgende</w:t>
      </w:r>
    </w:p>
    <w:p w:rsidR="00BE1EFE" w:rsidRDefault="00BE1EFE">
      <w:pPr>
        <w:pStyle w:val="StandardWeb"/>
      </w:pPr>
      <w:r>
        <w:t>FakOSozPäd Fachakademieordnung Sozialpädagogik</w:t>
      </w:r>
    </w:p>
    <w:p w:rsidR="00BE1EFE" w:rsidRDefault="00BE1EFE">
      <w:pPr>
        <w:pStyle w:val="StandardWeb"/>
      </w:pPr>
      <w:r>
        <w:t>FH Fachhochschule</w:t>
      </w:r>
    </w:p>
    <w:p w:rsidR="00BE1EFE" w:rsidRDefault="00BE1EFE">
      <w:pPr>
        <w:pStyle w:val="StandardWeb"/>
      </w:pPr>
      <w:r>
        <w:t>gem. gemäß</w:t>
      </w:r>
    </w:p>
    <w:p w:rsidR="00BE1EFE" w:rsidRDefault="00BE1EFE">
      <w:pPr>
        <w:pStyle w:val="StandardWeb"/>
      </w:pPr>
      <w:r>
        <w:t>ggf. gegebenenfalls</w:t>
      </w:r>
    </w:p>
    <w:p w:rsidR="00BE1EFE" w:rsidRDefault="00BE1EFE">
      <w:pPr>
        <w:pStyle w:val="StandardWeb"/>
      </w:pPr>
      <w:r>
        <w:t>GO Grundordnung des kirchlichen Dienstes im Rahmen kirchlicher Arbeitsverhältnisse</w:t>
      </w:r>
    </w:p>
    <w:p w:rsidR="00BE1EFE" w:rsidRDefault="00BE1EFE">
      <w:pPr>
        <w:pStyle w:val="StandardWeb"/>
      </w:pPr>
      <w:r>
        <w:t>GrO Grundordnung des kirchlichen Dienstes im Rahmen kirchlicher Arbeitsverhältnisse</w:t>
      </w:r>
    </w:p>
    <w:p w:rsidR="00BE1EFE" w:rsidRDefault="00BE1EFE">
      <w:pPr>
        <w:pStyle w:val="StandardWeb"/>
      </w:pPr>
      <w:r>
        <w:t>GVBl Gesetz- und Verordnungsblatt</w:t>
      </w:r>
    </w:p>
    <w:p w:rsidR="00BE1EFE" w:rsidRDefault="00BE1EFE">
      <w:pPr>
        <w:pStyle w:val="StandardWeb"/>
      </w:pPr>
      <w:r>
        <w:t>HRG Hochschulrahmengesetz</w:t>
      </w:r>
    </w:p>
    <w:p w:rsidR="00BE1EFE" w:rsidRDefault="00BE1EFE">
      <w:pPr>
        <w:pStyle w:val="StandardWeb"/>
      </w:pPr>
      <w:r>
        <w:t>i. K. im Kirchendienst</w:t>
      </w:r>
    </w:p>
    <w:p w:rsidR="00BE1EFE" w:rsidRDefault="00BE1EFE">
      <w:pPr>
        <w:pStyle w:val="StandardWeb"/>
      </w:pPr>
      <w:r>
        <w:t>i. S. d. im Sinne des</w:t>
      </w:r>
    </w:p>
    <w:p w:rsidR="00BE1EFE" w:rsidRDefault="00BE1EFE">
      <w:pPr>
        <w:pStyle w:val="StandardWeb"/>
      </w:pPr>
      <w:r>
        <w:t>i. V. m. in Verbindung mit</w:t>
      </w:r>
    </w:p>
    <w:p w:rsidR="00BE1EFE" w:rsidRDefault="00BE1EFE">
      <w:pPr>
        <w:pStyle w:val="StandardWeb"/>
      </w:pPr>
      <w:r>
        <w:t>IT Informationstechnik</w:t>
      </w:r>
    </w:p>
    <w:p w:rsidR="00BE1EFE" w:rsidRDefault="00BE1EFE">
      <w:pPr>
        <w:pStyle w:val="StandardWeb"/>
      </w:pPr>
      <w:r>
        <w:t>J. Jahre</w:t>
      </w:r>
    </w:p>
    <w:p w:rsidR="00BE1EFE" w:rsidRDefault="00BE1EFE">
      <w:pPr>
        <w:pStyle w:val="StandardWeb"/>
      </w:pPr>
      <w:r>
        <w:t>JArbSchG Jugendarbeitsschutzgesetz</w:t>
      </w:r>
    </w:p>
    <w:p w:rsidR="00BE1EFE" w:rsidRDefault="00BE1EFE">
      <w:pPr>
        <w:pStyle w:val="StandardWeb"/>
      </w:pPr>
      <w:r>
        <w:t>JS Gesamtjahressumme</w:t>
      </w:r>
    </w:p>
    <w:p w:rsidR="00BE1EFE" w:rsidRDefault="00BE1EFE">
      <w:pPr>
        <w:pStyle w:val="StandardWeb"/>
      </w:pPr>
      <w:r>
        <w:t>KAB Katholische Arbeitnehmerbewegung</w:t>
      </w:r>
    </w:p>
    <w:p w:rsidR="00BE1EFE" w:rsidRDefault="00BE1EFE">
      <w:pPr>
        <w:pStyle w:val="StandardWeb"/>
      </w:pPr>
      <w:r>
        <w:t>KAGO Kirchliche Arbeitsgerichtsordnung</w:t>
      </w:r>
    </w:p>
    <w:p w:rsidR="00BE1EFE" w:rsidRDefault="00BE1EFE">
      <w:pPr>
        <w:pStyle w:val="StandardWeb"/>
      </w:pPr>
      <w:r>
        <w:t>KAZO Kirchliche Arbeitszeitordnung</w:t>
      </w:r>
    </w:p>
    <w:p w:rsidR="00BE1EFE" w:rsidRDefault="00BE1EFE">
      <w:pPr>
        <w:pStyle w:val="StandardWeb"/>
      </w:pPr>
      <w:r>
        <w:t>KFZ Kraftfahrzeug</w:t>
      </w:r>
    </w:p>
    <w:p w:rsidR="00BE1EFE" w:rsidRDefault="00BE1EFE">
      <w:pPr>
        <w:pStyle w:val="StandardWeb"/>
      </w:pPr>
      <w:r>
        <w:t>KiStiftO Kirchenstifungsordnung</w:t>
      </w:r>
    </w:p>
    <w:p w:rsidR="00BE1EFE" w:rsidRDefault="00BE1EFE">
      <w:pPr>
        <w:pStyle w:val="StandardWeb"/>
      </w:pPr>
      <w:r>
        <w:t>KLDO Kirchliche Lehrerdienstordnung</w:t>
      </w:r>
    </w:p>
    <w:p w:rsidR="00BE1EFE" w:rsidRDefault="00BE1EFE">
      <w:pPr>
        <w:pStyle w:val="StandardWeb"/>
      </w:pPr>
      <w:r>
        <w:t>KODA Kommission zur Ordnung des Diözesanen Arbeitsvertragsrechtes</w:t>
      </w:r>
    </w:p>
    <w:p w:rsidR="00BE1EFE" w:rsidRDefault="00BE1EFE">
      <w:pPr>
        <w:pStyle w:val="StandardWeb"/>
      </w:pPr>
      <w:r>
        <w:t>KSchG Kündigungsschutzgesetz</w:t>
      </w:r>
    </w:p>
    <w:p w:rsidR="00BE1EFE" w:rsidRDefault="00BE1EFE">
      <w:pPr>
        <w:pStyle w:val="StandardWeb"/>
      </w:pPr>
      <w:r>
        <w:t>KuRVO Verordnung über das Kassen- und Rechnungswesen der Gemeinden</w:t>
      </w:r>
    </w:p>
    <w:p w:rsidR="00BE1EFE" w:rsidRDefault="00BE1EFE">
      <w:pPr>
        <w:pStyle w:val="StandardWeb"/>
      </w:pPr>
      <w:r>
        <w:t>LPartG Lebenspartnerschaftsgesetz</w:t>
      </w:r>
    </w:p>
    <w:p w:rsidR="00BE1EFE" w:rsidRDefault="00BE1EFE">
      <w:pPr>
        <w:pStyle w:val="StandardWeb"/>
      </w:pPr>
      <w:r>
        <w:t>LEP Landesentwicklungsprogramm</w:t>
      </w:r>
    </w:p>
    <w:p w:rsidR="00BE1EFE" w:rsidRDefault="00BE1EFE">
      <w:pPr>
        <w:pStyle w:val="StandardWeb"/>
      </w:pPr>
      <w:r>
        <w:t>LDO Lehrerdienstordnung (staatliche)</w:t>
      </w:r>
    </w:p>
    <w:p w:rsidR="00BE1EFE" w:rsidRDefault="00BE1EFE">
      <w:pPr>
        <w:pStyle w:val="StandardWeb"/>
      </w:pPr>
      <w:r>
        <w:t>LlbG Leistungslaufbahngesetz</w:t>
      </w:r>
    </w:p>
    <w:p w:rsidR="00BE1EFE" w:rsidRDefault="00BE1EFE">
      <w:pPr>
        <w:pStyle w:val="StandardWeb"/>
      </w:pPr>
      <w:r>
        <w:t>LPO I Lehreramtsprüfungsordnung I</w:t>
      </w:r>
    </w:p>
    <w:p w:rsidR="00BE1EFE" w:rsidRDefault="00BE1EFE">
      <w:pPr>
        <w:pStyle w:val="StandardWeb"/>
      </w:pPr>
      <w:r>
        <w:t>MAVO Mitarbeitervertretungsordnung</w:t>
      </w:r>
    </w:p>
    <w:p w:rsidR="00BE1EFE" w:rsidRDefault="00BE1EFE">
      <w:pPr>
        <w:pStyle w:val="StandardWeb"/>
      </w:pPr>
      <w:r>
        <w:t>MTArb Manteltarifvertrag für Arbeiterinnen und Arbeiter des Bundes und der Länder</w:t>
      </w:r>
    </w:p>
    <w:p w:rsidR="00BE1EFE" w:rsidRDefault="00BE1EFE">
      <w:pPr>
        <w:pStyle w:val="StandardWeb"/>
      </w:pPr>
      <w:r>
        <w:t>MTL Manteltarifvertrag für Arbeiter der Länder</w:t>
      </w:r>
    </w:p>
    <w:p w:rsidR="00BE1EFE" w:rsidRDefault="00BE1EFE">
      <w:pPr>
        <w:pStyle w:val="StandardWeb"/>
      </w:pPr>
      <w:r>
        <w:t>MuSchG Mutterschutzgesetz</w:t>
      </w:r>
    </w:p>
    <w:p w:rsidR="00BE1EFE" w:rsidRDefault="00BE1EFE">
      <w:pPr>
        <w:pStyle w:val="StandardWeb"/>
      </w:pPr>
      <w:r>
        <w:t>NachwG Nachweisgesetz</w:t>
      </w:r>
    </w:p>
    <w:p w:rsidR="00BE1EFE" w:rsidRDefault="00BE1EFE">
      <w:pPr>
        <w:pStyle w:val="StandardWeb"/>
      </w:pPr>
      <w:r>
        <w:t>Nr. Nummer</w:t>
      </w:r>
    </w:p>
    <w:p w:rsidR="00BE1EFE" w:rsidRDefault="00BE1EFE">
      <w:pPr>
        <w:pStyle w:val="StandardWeb"/>
      </w:pPr>
      <w:r>
        <w:t>o. ä. oder ähnlich</w:t>
      </w:r>
    </w:p>
    <w:p w:rsidR="00BE1EFE" w:rsidRDefault="00BE1EFE">
      <w:pPr>
        <w:pStyle w:val="StandardWeb"/>
      </w:pPr>
      <w:r>
        <w:t>OZ Ortszuschlag</w:t>
      </w:r>
    </w:p>
    <w:p w:rsidR="00BE1EFE" w:rsidRDefault="00BE1EFE">
      <w:pPr>
        <w:pStyle w:val="StandardWeb"/>
      </w:pPr>
      <w:r>
        <w:lastRenderedPageBreak/>
        <w:t>ReiseKO Reisekostenordnung der bayerischen (Erz-)Diözesen</w:t>
      </w:r>
    </w:p>
    <w:p w:rsidR="00BE1EFE" w:rsidRDefault="00BE1EFE">
      <w:pPr>
        <w:pStyle w:val="StandardWeb"/>
      </w:pPr>
      <w:r>
        <w:t>RKO Reichskassenordnung</w:t>
      </w:r>
    </w:p>
    <w:p w:rsidR="00BE1EFE" w:rsidRDefault="00BE1EFE">
      <w:pPr>
        <w:pStyle w:val="StandardWeb"/>
      </w:pPr>
      <w:r>
        <w:t>RL i. K. Religionslehrer/in im Kirchendienst</w:t>
      </w:r>
    </w:p>
    <w:p w:rsidR="00BE1EFE" w:rsidRDefault="00BE1EFE">
      <w:pPr>
        <w:pStyle w:val="StandardWeb"/>
      </w:pPr>
      <w:r>
        <w:t>RÜG Rentenüberleitungsgesetz</w:t>
      </w:r>
    </w:p>
    <w:p w:rsidR="00BE1EFE" w:rsidRDefault="00BE1EFE">
      <w:pPr>
        <w:pStyle w:val="StandardWeb"/>
      </w:pPr>
      <w:r>
        <w:t>RÜ-L Regelung zur Überleitung von Lehrkräften an Schulen in kirchlicher Trägerschaft</w:t>
      </w:r>
    </w:p>
    <w:p w:rsidR="00BE1EFE" w:rsidRDefault="00BE1EFE">
      <w:pPr>
        <w:pStyle w:val="StandardWeb"/>
      </w:pPr>
      <w:r>
        <w:t>RÜÜ Regelung zur Überleitung der Beschäftigten und des Übergangsrechts</w:t>
      </w:r>
    </w:p>
    <w:p w:rsidR="00BE1EFE" w:rsidRDefault="00BE1EFE">
      <w:pPr>
        <w:pStyle w:val="StandardWeb"/>
      </w:pPr>
      <w:r>
        <w:t>RVO Reichsversicherungsordnung</w:t>
      </w:r>
    </w:p>
    <w:p w:rsidR="00BE1EFE" w:rsidRDefault="00BE1EFE">
      <w:pPr>
        <w:pStyle w:val="StandardWeb"/>
      </w:pPr>
      <w:r>
        <w:t>SGB Sozialgesetzbuch</w:t>
      </w:r>
    </w:p>
    <w:p w:rsidR="00BE1EFE" w:rsidRDefault="00BE1EFE">
      <w:pPr>
        <w:pStyle w:val="StandardWeb"/>
      </w:pPr>
      <w:r>
        <w:t>SJR Sabbatjahrregelung</w:t>
      </w:r>
    </w:p>
    <w:p w:rsidR="00BE1EFE" w:rsidRDefault="00BE1EFE">
      <w:pPr>
        <w:pStyle w:val="StandardWeb"/>
      </w:pPr>
      <w:r>
        <w:t>SR Sonderregelung</w:t>
      </w:r>
    </w:p>
    <w:p w:rsidR="00BE1EFE" w:rsidRDefault="00BE1EFE">
      <w:pPr>
        <w:pStyle w:val="StandardWeb"/>
      </w:pPr>
      <w:r>
        <w:t>SR-L Sonderregelungen für die Arbeitsverhältnisse arbeitsvertraglich beschäftigter Lehrkräfte an Schulen in kirchlicher Trägerschaft</w:t>
      </w:r>
    </w:p>
    <w:p w:rsidR="00BE1EFE" w:rsidRDefault="00BE1EFE">
      <w:pPr>
        <w:pStyle w:val="StandardWeb"/>
      </w:pPr>
      <w:r>
        <w:t>StGB Strafgesetzbuch</w:t>
      </w:r>
    </w:p>
    <w:p w:rsidR="00BE1EFE" w:rsidRDefault="00BE1EFE">
      <w:pPr>
        <w:pStyle w:val="StandardWeb"/>
      </w:pPr>
      <w:r>
        <w:t>TD Tagesdurchschnitt</w:t>
      </w:r>
    </w:p>
    <w:p w:rsidR="00BE1EFE" w:rsidRDefault="00BE1EFE">
      <w:pPr>
        <w:pStyle w:val="StandardWeb"/>
      </w:pPr>
      <w:r>
        <w:t>TDL Tarifgemeinschaft Deutscher Länder</w:t>
      </w:r>
    </w:p>
    <w:p w:rsidR="00BE1EFE" w:rsidRDefault="00BE1EFE">
      <w:pPr>
        <w:pStyle w:val="StandardWeb"/>
      </w:pPr>
      <w:r>
        <w:t>TV Tarifvertrag</w:t>
      </w:r>
    </w:p>
    <w:p w:rsidR="00BE1EFE" w:rsidRDefault="00BE1EFE">
      <w:pPr>
        <w:pStyle w:val="StandardWeb"/>
      </w:pPr>
      <w:r>
        <w:t>TVAöD Tarifvertrag für Auszubildende des öffentlichen Dienstes</w:t>
      </w:r>
    </w:p>
    <w:p w:rsidR="00BE1EFE" w:rsidRDefault="00BE1EFE">
      <w:pPr>
        <w:pStyle w:val="StandardWeb"/>
      </w:pPr>
      <w:r>
        <w:t>TVöD Tarifvertrag des öffentlichen Dienstes</w:t>
      </w:r>
    </w:p>
    <w:p w:rsidR="00BE1EFE" w:rsidRDefault="00BE1EFE">
      <w:pPr>
        <w:pStyle w:val="StandardWeb"/>
      </w:pPr>
      <w:r>
        <w:t>TVöD-AT Tarifvertrag des öffentlichen Dienstes – Allgemeiner Teil</w:t>
      </w:r>
    </w:p>
    <w:p w:rsidR="00BE1EFE" w:rsidRDefault="00BE1EFE">
      <w:pPr>
        <w:pStyle w:val="StandardWeb"/>
      </w:pPr>
      <w:r>
        <w:t>TVPöD Tarifvertrag für Praktikantinnen/Praktikanten des öffentlichen Dienstes</w:t>
      </w:r>
    </w:p>
    <w:p w:rsidR="00BE1EFE" w:rsidRDefault="00BE1EFE">
      <w:pPr>
        <w:pStyle w:val="StandardWeb"/>
      </w:pPr>
      <w:r>
        <w:t>TVÜ Tarifvertrag zur Überleitung der Beschäftigten des Bundes in den TVöD und zur Regelung des Übergangsrechts</w:t>
      </w:r>
    </w:p>
    <w:p w:rsidR="00BE1EFE" w:rsidRDefault="00BE1EFE">
      <w:pPr>
        <w:pStyle w:val="StandardWeb"/>
      </w:pPr>
      <w:r>
        <w:t>TzBfG Teilzeit- und Befristungsgesetz</w:t>
      </w:r>
    </w:p>
    <w:p w:rsidR="00BE1EFE" w:rsidRDefault="00BE1EFE">
      <w:pPr>
        <w:pStyle w:val="StandardWeb"/>
      </w:pPr>
      <w:r>
        <w:t>u. Ä. und Ähnliches</w:t>
      </w:r>
    </w:p>
    <w:p w:rsidR="00BE1EFE" w:rsidRDefault="00BE1EFE">
      <w:pPr>
        <w:pStyle w:val="StandardWeb"/>
      </w:pPr>
      <w:r>
        <w:t>Unterabs. Unterabsatz</w:t>
      </w:r>
    </w:p>
    <w:p w:rsidR="00BE1EFE" w:rsidRDefault="00BE1EFE">
      <w:pPr>
        <w:pStyle w:val="StandardWeb"/>
      </w:pPr>
      <w:r>
        <w:t>v. H. vom Hundert</w:t>
      </w:r>
    </w:p>
    <w:p w:rsidR="00BE1EFE" w:rsidRDefault="00BE1EFE">
      <w:pPr>
        <w:pStyle w:val="StandardWeb"/>
      </w:pPr>
      <w:r>
        <w:t>VBL Versorgungsanstalt des Bundes und der Länder</w:t>
      </w:r>
    </w:p>
    <w:p w:rsidR="00BE1EFE" w:rsidRDefault="00BE1EFE">
      <w:pPr>
        <w:pStyle w:val="StandardWeb"/>
      </w:pPr>
      <w:r>
        <w:t>vgl. vergleiche</w:t>
      </w:r>
    </w:p>
    <w:p w:rsidR="00BE1EFE" w:rsidRDefault="00BE1EFE">
      <w:pPr>
        <w:pStyle w:val="StandardWeb"/>
      </w:pPr>
      <w:r>
        <w:t>VKA Vereinigung der kommunalen Arbeitgeberverbände</w:t>
      </w:r>
    </w:p>
    <w:p w:rsidR="00BE1EFE" w:rsidRDefault="00BE1EFE">
      <w:pPr>
        <w:pStyle w:val="StandardWeb"/>
      </w:pPr>
      <w:r>
        <w:t>VO Vergütungsordnung</w:t>
      </w:r>
    </w:p>
    <w:p w:rsidR="00BE1EFE" w:rsidRDefault="00BE1EFE">
      <w:pPr>
        <w:pStyle w:val="StandardWeb"/>
      </w:pPr>
      <w:r>
        <w:t>VOBD Versorgungsordnung der bayerischen (Erz-)Diözesen</w:t>
      </w:r>
    </w:p>
    <w:p w:rsidR="00BE1EFE" w:rsidRDefault="00BE1EFE">
      <w:pPr>
        <w:pStyle w:val="StandardWeb"/>
      </w:pPr>
      <w:r>
        <w:t>5. VermBG Fünftes Gesetz zur Förderung der Vermögensbildung der Arbeitnehmer</w:t>
      </w:r>
    </w:p>
    <w:p w:rsidR="00BE1EFE" w:rsidRDefault="00BE1EFE">
      <w:pPr>
        <w:pStyle w:val="StandardWeb"/>
      </w:pPr>
      <w:r>
        <w:t>WA wöchentliche Arbeitszeit</w:t>
      </w:r>
    </w:p>
    <w:p w:rsidR="00BE1EFE" w:rsidRDefault="00BE1EFE">
      <w:pPr>
        <w:pStyle w:val="StandardWeb"/>
      </w:pPr>
      <w:r>
        <w:t>WOBayRK Wahlordnung für die Vertreter der Mitarbeiter in der Bayerischen Regional-KODA und der Lehrerkommission</w:t>
      </w:r>
    </w:p>
    <w:p w:rsidR="00BE1EFE" w:rsidRDefault="00BE1EFE">
      <w:pPr>
        <w:pStyle w:val="StandardWeb"/>
      </w:pPr>
      <w:r>
        <w:t>z. A. zur Anstellung</w:t>
      </w:r>
    </w:p>
    <w:p w:rsidR="00BE1EFE" w:rsidRDefault="00BE1EFE">
      <w:pPr>
        <w:pStyle w:val="StandardWeb"/>
      </w:pPr>
      <w:r>
        <w:t>z. B. zum Beispiel</w:t>
      </w:r>
    </w:p>
    <w:p w:rsidR="00BE1EFE" w:rsidRDefault="00BE1EFE">
      <w:pPr>
        <w:pStyle w:val="StandardWeb"/>
      </w:pPr>
      <w:r>
        <w:t>Ziff. Ziffer</w:t>
      </w:r>
    </w:p>
    <w:p w:rsidR="00BE1EFE" w:rsidRDefault="00BE1EFE">
      <w:pPr>
        <w:pStyle w:val="StandardWeb"/>
      </w:pPr>
      <w:r>
        <w:t>ZKO Ordnung für die Zentrale Kommission zur Ordnung des Arbeitsvertragsrechtes im kirchlichen Dienst</w:t>
      </w:r>
    </w:p>
    <w:p w:rsidR="00BE1EFE" w:rsidRDefault="00BE1EFE">
      <w:pPr>
        <w:pStyle w:val="StandardWeb"/>
      </w:pPr>
      <w:r>
        <w:t>ZPO Zivilprozessordnung</w:t>
      </w:r>
    </w:p>
    <w:p w:rsidR="00BE1EFE" w:rsidRDefault="00BE1EFE" w:rsidP="00EC654B">
      <w:pPr>
        <w:pStyle w:val="StandardWeb"/>
      </w:pPr>
      <w:r>
        <w:t>ZVK Zusatzversorgungskasse</w:t>
      </w:r>
    </w:p>
    <w:sectPr w:rsidR="00BE1EFE" w:rsidSect="00386681">
      <w:pgSz w:w="8392" w:h="11907" w:code="11"/>
      <w:pgMar w:top="1418" w:right="567" w:bottom="567" w:left="1134"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5BF" w:rsidRDefault="009255BF" w:rsidP="00F84DE9">
      <w:r>
        <w:separator/>
      </w:r>
    </w:p>
  </w:endnote>
  <w:endnote w:type="continuationSeparator" w:id="0">
    <w:p w:rsidR="009255BF" w:rsidRDefault="009255BF" w:rsidP="00F84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5BF" w:rsidRDefault="009255B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5BF" w:rsidRDefault="009255B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5BF" w:rsidRDefault="009255B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5BF" w:rsidRDefault="009255BF" w:rsidP="00F84DE9">
      <w:r>
        <w:separator/>
      </w:r>
    </w:p>
  </w:footnote>
  <w:footnote w:type="continuationSeparator" w:id="0">
    <w:p w:rsidR="009255BF" w:rsidRDefault="009255BF" w:rsidP="00F84D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5BF" w:rsidRDefault="009255B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518"/>
      <w:gridCol w:w="4313"/>
    </w:tblGrid>
    <w:tr w:rsidR="009255BF" w:rsidRPr="009C6551" w:rsidTr="009C6551">
      <w:tc>
        <w:tcPr>
          <w:tcW w:w="2518" w:type="dxa"/>
        </w:tcPr>
        <w:p w:rsidR="009255BF" w:rsidRPr="00A213A5" w:rsidRDefault="009255BF">
          <w:pPr>
            <w:pStyle w:val="Kopfzeile"/>
          </w:pPr>
          <w:r w:rsidRPr="00A213A5">
            <w:t>A</w:t>
          </w:r>
          <w:r>
            <w:t>BD</w:t>
          </w:r>
        </w:p>
        <w:p w:rsidR="009255BF" w:rsidRPr="00A213A5" w:rsidRDefault="009255BF" w:rsidP="00F84DE9">
          <w:pPr>
            <w:pStyle w:val="Kopfzeile"/>
          </w:pPr>
          <w:r>
            <w:t>© ABD, erstellt am 05.09.2018</w:t>
          </w:r>
        </w:p>
        <w:p w:rsidR="009255BF" w:rsidRPr="00A213A5" w:rsidRDefault="009255BF" w:rsidP="0008296C">
          <w:pPr>
            <w:pStyle w:val="Kopfzeile"/>
          </w:pPr>
          <w:r>
            <w:t>Fassung vom 01.09.2018, # 24</w:t>
          </w:r>
        </w:p>
      </w:tc>
      <w:tc>
        <w:tcPr>
          <w:tcW w:w="4313" w:type="dxa"/>
        </w:tcPr>
        <w:p w:rsidR="009255BF" w:rsidRPr="00A213A5" w:rsidRDefault="009255BF" w:rsidP="009C6551">
          <w:pPr>
            <w:pStyle w:val="Kopfzeile"/>
            <w:jc w:val="right"/>
          </w:pPr>
          <w:r w:rsidRPr="00A213A5">
            <w:rPr>
              <w:szCs w:val="12"/>
            </w:rPr>
            <w:t>Inhaltsverzeichnis</w:t>
          </w:r>
        </w:p>
      </w:tc>
    </w:tr>
  </w:tbl>
  <w:p w:rsidR="009255BF" w:rsidRPr="009C6551" w:rsidRDefault="009255BF" w:rsidP="00C809D5">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55BF" w:rsidRDefault="009255B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2518"/>
      <w:gridCol w:w="4313"/>
    </w:tblGrid>
    <w:tr w:rsidR="009255BF" w:rsidRPr="009C6551" w:rsidTr="009C6551">
      <w:tc>
        <w:tcPr>
          <w:tcW w:w="2518" w:type="dxa"/>
        </w:tcPr>
        <w:p w:rsidR="009255BF" w:rsidRPr="00A213A5" w:rsidRDefault="009255BF">
          <w:pPr>
            <w:pStyle w:val="Kopfzeile"/>
          </w:pPr>
          <w:r w:rsidRPr="00A213A5">
            <w:t>ABD</w:t>
          </w:r>
        </w:p>
        <w:p w:rsidR="009255BF" w:rsidRPr="00A213A5" w:rsidRDefault="009255BF" w:rsidP="00F84DE9">
          <w:pPr>
            <w:pStyle w:val="Kopfzeile"/>
          </w:pPr>
          <w:r>
            <w:t>© ABD, erstellt am 05.09.2018</w:t>
          </w:r>
        </w:p>
        <w:p w:rsidR="009255BF" w:rsidRPr="00A213A5" w:rsidRDefault="009255BF" w:rsidP="006B6312">
          <w:pPr>
            <w:pStyle w:val="Kopfzeile"/>
          </w:pPr>
          <w:r>
            <w:t>Fassung vom 01.09.2018, # 24</w:t>
          </w:r>
        </w:p>
      </w:tc>
      <w:tc>
        <w:tcPr>
          <w:tcW w:w="4313" w:type="dxa"/>
        </w:tcPr>
        <w:p w:rsidR="009255BF" w:rsidRPr="00A5568B" w:rsidRDefault="009255BF" w:rsidP="006B6971">
          <w:pPr>
            <w:pStyle w:val="Kopfzeile"/>
            <w:jc w:val="right"/>
            <w:rPr>
              <w:szCs w:val="12"/>
            </w:rPr>
          </w:pP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Pr="00A5568B">
            <w:rPr>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Pr="00A5568B">
            <w:rPr>
              <w:noProof/>
              <w:szCs w:val="12"/>
            </w:rPr>
            <w:instrText>sadf</w:instrText>
          </w:r>
          <w:r w:rsidRPr="00A5568B">
            <w:rPr>
              <w:szCs w:val="12"/>
            </w:rPr>
            <w:fldChar w:fldCharType="end"/>
          </w:r>
        </w:p>
        <w:p w:rsidR="009255BF" w:rsidRPr="00A5568B" w:rsidRDefault="009255BF"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Pr>
              <w:noProof/>
              <w:szCs w:val="12"/>
            </w:rPr>
            <w:instrText>Anhang I: Beschlüsse</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Pr>
              <w:noProof/>
              <w:szCs w:val="12"/>
            </w:rPr>
            <w:instrText>Anhang I: Beschlüsse</w:instrText>
          </w:r>
          <w:r w:rsidRPr="00A5568B">
            <w:rPr>
              <w:szCs w:val="12"/>
            </w:rPr>
            <w:fldChar w:fldCharType="end"/>
          </w:r>
        </w:p>
        <w:p w:rsidR="009255BF" w:rsidRPr="00A5568B" w:rsidRDefault="009255BF" w:rsidP="006B6971">
          <w:pPr>
            <w:pStyle w:val="Kopfzeile"/>
            <w:jc w:val="right"/>
            <w:rPr>
              <w:noProof/>
              <w:szCs w:val="12"/>
            </w:rPr>
          </w:pPr>
          <w:r w:rsidRPr="00A5568B">
            <w:rPr>
              <w:szCs w:val="12"/>
            </w:rPr>
            <w:instrText>"</w:instrText>
          </w:r>
          <w:r w:rsidRPr="00A5568B">
            <w:rPr>
              <w:szCs w:val="12"/>
            </w:rPr>
            <w:fldChar w:fldCharType="separate"/>
          </w:r>
          <w:r>
            <w:rPr>
              <w:noProof/>
              <w:szCs w:val="12"/>
            </w:rPr>
            <w:instrText>Anhang I: Beschlüsse</w:instrText>
          </w:r>
        </w:p>
        <w:p w:rsidR="009255BF" w:rsidRPr="00A5568B" w:rsidRDefault="009255BF" w:rsidP="006B6971">
          <w:pPr>
            <w:pStyle w:val="Kopfzeile"/>
            <w:jc w:val="right"/>
            <w:rPr>
              <w:szCs w:val="12"/>
            </w:rPr>
          </w:pP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p>
        <w:p w:rsidR="00C23DFA" w:rsidRPr="00A5568B" w:rsidRDefault="009255BF" w:rsidP="006B6971">
          <w:pPr>
            <w:pStyle w:val="Kopfzeile"/>
            <w:jc w:val="right"/>
            <w:rPr>
              <w:noProof/>
              <w:szCs w:val="12"/>
            </w:rPr>
          </w:pPr>
          <w:r w:rsidRPr="00A5568B">
            <w:rPr>
              <w:szCs w:val="12"/>
            </w:rPr>
            <w:instrText>"</w:instrText>
          </w:r>
          <w:r w:rsidRPr="00A5568B">
            <w:rPr>
              <w:szCs w:val="12"/>
            </w:rPr>
            <w:fldChar w:fldCharType="separate"/>
          </w:r>
          <w:r w:rsidR="00C23DFA">
            <w:rPr>
              <w:noProof/>
              <w:szCs w:val="12"/>
            </w:rPr>
            <w:instrText>Anhang IV</w:instrText>
          </w:r>
        </w:p>
        <w:p w:rsidR="00C23DFA" w:rsidRPr="00A5568B" w:rsidRDefault="009255BF" w:rsidP="006B6971">
          <w:pPr>
            <w:pStyle w:val="Kopfzeile"/>
            <w:jc w:val="right"/>
            <w:rPr>
              <w:noProof/>
              <w:szCs w:val="12"/>
            </w:rPr>
          </w:pPr>
          <w:r w:rsidRPr="00A5568B">
            <w:rPr>
              <w:szCs w:val="12"/>
            </w:rPr>
            <w:fldChar w:fldCharType="end"/>
          </w:r>
          <w:r w:rsidRPr="00A5568B">
            <w:rPr>
              <w:szCs w:val="12"/>
            </w:rPr>
            <w:instrText>"</w:instrText>
          </w:r>
          <w:r w:rsidRPr="00A5568B">
            <w:rPr>
              <w:szCs w:val="12"/>
            </w:rPr>
            <w:fldChar w:fldCharType="separate"/>
          </w:r>
          <w:r w:rsidR="00C23DFA">
            <w:rPr>
              <w:noProof/>
              <w:szCs w:val="12"/>
            </w:rPr>
            <w:instrText>Anhang IV</w:instrText>
          </w:r>
        </w:p>
        <w:p w:rsidR="00C23DFA" w:rsidRPr="00A5568B" w:rsidRDefault="009255BF" w:rsidP="006B6971">
          <w:pPr>
            <w:pStyle w:val="Kopfzeile"/>
            <w:jc w:val="right"/>
            <w:rPr>
              <w:noProof/>
              <w:szCs w:val="12"/>
            </w:rPr>
          </w:pPr>
          <w:r w:rsidRPr="00A5568B">
            <w:rPr>
              <w:szCs w:val="12"/>
            </w:rPr>
            <w:fldChar w:fldCharType="end"/>
          </w:r>
          <w:r w:rsidRPr="00A5568B">
            <w:rPr>
              <w:szCs w:val="12"/>
            </w:rPr>
            <w:instrText>"</w:instrText>
          </w:r>
          <w:r w:rsidRPr="00A5568B">
            <w:rPr>
              <w:szCs w:val="12"/>
            </w:rPr>
            <w:fldChar w:fldCharType="separate"/>
          </w:r>
          <w:r w:rsidR="00C23DFA">
            <w:rPr>
              <w:noProof/>
              <w:szCs w:val="12"/>
            </w:rPr>
            <w:instrText>Anhang IV</w:instrText>
          </w:r>
        </w:p>
        <w:p w:rsidR="00C23DFA" w:rsidRPr="00A5568B" w:rsidRDefault="009255BF" w:rsidP="006B6971">
          <w:pPr>
            <w:pStyle w:val="Kopfzeile"/>
            <w:jc w:val="right"/>
            <w:rPr>
              <w:noProof/>
              <w:szCs w:val="12"/>
            </w:rPr>
          </w:pPr>
          <w:r w:rsidRPr="00A5568B">
            <w:rPr>
              <w:szCs w:val="12"/>
            </w:rPr>
            <w:fldChar w:fldCharType="end"/>
          </w:r>
          <w:r w:rsidRPr="00A5568B">
            <w:rPr>
              <w:szCs w:val="12"/>
            </w:rPr>
            <w:instrText>"</w:instrText>
          </w:r>
          <w:r w:rsidRPr="00A5568B">
            <w:rPr>
              <w:szCs w:val="12"/>
            </w:rPr>
            <w:fldChar w:fldCharType="separate"/>
          </w:r>
          <w:r w:rsidR="00C23DFA">
            <w:rPr>
              <w:noProof/>
              <w:szCs w:val="12"/>
            </w:rPr>
            <w:t>Anhang IV</w:t>
          </w:r>
        </w:p>
        <w:p w:rsidR="009255BF" w:rsidRPr="00A5568B" w:rsidRDefault="009255BF"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C23DFA">
            <w:rPr>
              <w:szCs w:val="12"/>
            </w:rPr>
            <w:fldChar w:fldCharType="separate"/>
          </w:r>
          <w:r w:rsidR="00C23DFA">
            <w:rPr>
              <w:noProof/>
              <w:szCs w:val="12"/>
            </w:rPr>
            <w:instrText>Abkürzungsverzeichnis</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C23DFA">
            <w:rPr>
              <w:szCs w:val="12"/>
            </w:rPr>
            <w:fldChar w:fldCharType="separate"/>
          </w:r>
          <w:r w:rsidR="00C23DFA">
            <w:rPr>
              <w:noProof/>
              <w:szCs w:val="12"/>
            </w:rPr>
            <w:instrText>Abkürzungsverzeichnis</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4"   \l </w:instrText>
          </w:r>
          <w:r w:rsidRPr="00A5568B">
            <w:rPr>
              <w:szCs w:val="12"/>
            </w:rPr>
            <w:fldChar w:fldCharType="separate"/>
          </w:r>
          <w:r w:rsidR="00C23DFA">
            <w:rPr>
              <w:noProof/>
              <w:szCs w:val="12"/>
            </w:rPr>
            <w:instrText>Abkürzungsverzeichnis</w:instrText>
          </w:r>
          <w:r w:rsidRPr="00A5568B">
            <w:rPr>
              <w:szCs w:val="12"/>
            </w:rPr>
            <w:fldChar w:fldCharType="end"/>
          </w:r>
        </w:p>
        <w:p w:rsidR="00C23DFA" w:rsidRPr="00A5568B" w:rsidRDefault="009255BF" w:rsidP="006B6971">
          <w:pPr>
            <w:pStyle w:val="Kopfzeile"/>
            <w:jc w:val="right"/>
            <w:rPr>
              <w:noProof/>
              <w:szCs w:val="12"/>
            </w:rPr>
          </w:pPr>
          <w:r w:rsidRPr="00A5568B">
            <w:rPr>
              <w:szCs w:val="12"/>
            </w:rPr>
            <w:instrText>"</w:instrText>
          </w:r>
          <w:r w:rsidR="00C23DFA">
            <w:rPr>
              <w:szCs w:val="12"/>
            </w:rPr>
            <w:fldChar w:fldCharType="separate"/>
          </w:r>
          <w:r w:rsidR="00C23DFA">
            <w:rPr>
              <w:noProof/>
              <w:szCs w:val="12"/>
            </w:rPr>
            <w:instrText>Abkürzungsverzeichnis</w:instrText>
          </w:r>
        </w:p>
        <w:p w:rsidR="00C23DFA" w:rsidRPr="00A5568B" w:rsidRDefault="009255BF" w:rsidP="006B6971">
          <w:pPr>
            <w:pStyle w:val="Kopfzeile"/>
            <w:jc w:val="right"/>
            <w:rPr>
              <w:noProof/>
              <w:szCs w:val="12"/>
            </w:rPr>
          </w:pPr>
          <w:r w:rsidRPr="00A5568B">
            <w:rPr>
              <w:szCs w:val="12"/>
            </w:rPr>
            <w:fldChar w:fldCharType="end"/>
          </w:r>
          <w:r w:rsidRPr="00A5568B">
            <w:rPr>
              <w:szCs w:val="12"/>
            </w:rPr>
            <w:instrText>"</w:instrText>
          </w:r>
          <w:r w:rsidR="00C23DFA">
            <w:rPr>
              <w:szCs w:val="12"/>
            </w:rPr>
            <w:fldChar w:fldCharType="separate"/>
          </w:r>
          <w:r w:rsidR="00C23DFA">
            <w:rPr>
              <w:noProof/>
              <w:szCs w:val="12"/>
            </w:rPr>
            <w:instrText>Abkürzungsverzeichnis</w:instrText>
          </w:r>
        </w:p>
        <w:p w:rsidR="00C23DFA" w:rsidRPr="00A5568B" w:rsidRDefault="009255BF" w:rsidP="006B6971">
          <w:pPr>
            <w:pStyle w:val="Kopfzeile"/>
            <w:jc w:val="right"/>
            <w:rPr>
              <w:noProof/>
              <w:szCs w:val="12"/>
            </w:rPr>
          </w:pPr>
          <w:r w:rsidRPr="00A5568B">
            <w:rPr>
              <w:szCs w:val="12"/>
            </w:rPr>
            <w:fldChar w:fldCharType="end"/>
          </w:r>
          <w:r w:rsidRPr="00A5568B">
            <w:rPr>
              <w:szCs w:val="12"/>
            </w:rPr>
            <w:instrText>"</w:instrText>
          </w:r>
          <w:r w:rsidR="00C23DFA">
            <w:rPr>
              <w:szCs w:val="12"/>
            </w:rPr>
            <w:fldChar w:fldCharType="separate"/>
          </w:r>
          <w:r w:rsidR="00C23DFA">
            <w:rPr>
              <w:noProof/>
              <w:szCs w:val="12"/>
            </w:rPr>
            <w:instrText>Abkürzungsverzeichnis</w:instrText>
          </w:r>
        </w:p>
        <w:p w:rsidR="00C23DFA" w:rsidRPr="00A5568B" w:rsidRDefault="009255BF" w:rsidP="006B6971">
          <w:pPr>
            <w:pStyle w:val="Kopfzeile"/>
            <w:jc w:val="right"/>
            <w:rPr>
              <w:noProof/>
              <w:szCs w:val="12"/>
            </w:rPr>
          </w:pPr>
          <w:r w:rsidRPr="00A5568B">
            <w:rPr>
              <w:szCs w:val="12"/>
            </w:rPr>
            <w:fldChar w:fldCharType="end"/>
          </w:r>
          <w:r w:rsidRPr="00A5568B">
            <w:rPr>
              <w:szCs w:val="12"/>
            </w:rPr>
            <w:instrText>"</w:instrText>
          </w:r>
          <w:r w:rsidR="00C23DFA">
            <w:rPr>
              <w:szCs w:val="12"/>
            </w:rPr>
            <w:fldChar w:fldCharType="separate"/>
          </w:r>
          <w:r w:rsidR="00C23DFA">
            <w:rPr>
              <w:noProof/>
              <w:szCs w:val="12"/>
            </w:rPr>
            <w:instrText>Abkürzungsverzeichnis</w:instrText>
          </w:r>
        </w:p>
        <w:p w:rsidR="00C23DFA" w:rsidRPr="00A5568B" w:rsidRDefault="009255BF" w:rsidP="006B6971">
          <w:pPr>
            <w:pStyle w:val="Kopfzeile"/>
            <w:jc w:val="right"/>
            <w:rPr>
              <w:noProof/>
              <w:szCs w:val="12"/>
            </w:rPr>
          </w:pPr>
          <w:r w:rsidRPr="00A5568B">
            <w:rPr>
              <w:szCs w:val="12"/>
            </w:rPr>
            <w:fldChar w:fldCharType="end"/>
          </w:r>
          <w:r w:rsidRPr="00A5568B">
            <w:rPr>
              <w:szCs w:val="12"/>
            </w:rPr>
            <w:instrText>"</w:instrText>
          </w:r>
          <w:r w:rsidR="00C23DFA">
            <w:rPr>
              <w:szCs w:val="12"/>
            </w:rPr>
            <w:fldChar w:fldCharType="separate"/>
          </w:r>
          <w:r w:rsidR="00C23DFA">
            <w:rPr>
              <w:noProof/>
              <w:szCs w:val="12"/>
            </w:rPr>
            <w:t>Abkürzungsverzeichnis</w:t>
          </w:r>
        </w:p>
        <w:p w:rsidR="009255BF" w:rsidRPr="00A5568B" w:rsidRDefault="009255BF" w:rsidP="006B6971">
          <w:pPr>
            <w:pStyle w:val="Kopfzeile"/>
            <w:jc w:val="right"/>
            <w:rPr>
              <w:szCs w:val="12"/>
            </w:rPr>
          </w:pP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C23DFA">
            <w:rPr>
              <w:szCs w:val="12"/>
            </w:rPr>
            <w:fldChar w:fldCharType="separate"/>
          </w:r>
          <w:r w:rsidR="00C23DFA">
            <w:rPr>
              <w:noProof/>
              <w:szCs w:val="12"/>
            </w:rPr>
            <w:instrText>Abkürzungsverzeichnis</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5"   \l </w:instrText>
          </w:r>
          <w:r w:rsidRPr="00A5568B">
            <w:rPr>
              <w:szCs w:val="12"/>
            </w:rPr>
            <w:fldChar w:fldCharType="separate"/>
          </w:r>
          <w:r w:rsidR="00C23DFA">
            <w:rPr>
              <w:noProof/>
              <w:szCs w:val="12"/>
            </w:rPr>
            <w:instrText>§ 6 Übergangsvorschrift</w:instrText>
          </w:r>
          <w:r w:rsidRPr="00A5568B">
            <w:rPr>
              <w:szCs w:val="12"/>
            </w:rPr>
            <w:fldChar w:fldCharType="end"/>
          </w:r>
        </w:p>
        <w:p w:rsidR="009255BF" w:rsidRPr="00A5568B" w:rsidRDefault="009255BF"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C23DFA">
            <w:rPr>
              <w:szCs w:val="12"/>
            </w:rPr>
            <w:fldChar w:fldCharType="separate"/>
          </w:r>
          <w:r w:rsidR="00C23DFA">
            <w:rPr>
              <w:noProof/>
              <w:szCs w:val="12"/>
            </w:rPr>
            <w:instrText>Abkürzungsverzeichnis</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"Überschrift 6"   \l </w:instrText>
          </w:r>
          <w:r w:rsidRPr="00A5568B">
            <w:rPr>
              <w:szCs w:val="12"/>
            </w:rPr>
            <w:fldChar w:fldCharType="separate"/>
          </w:r>
          <w:r w:rsidR="00C23DFA">
            <w:rPr>
              <w:noProof/>
              <w:szCs w:val="12"/>
            </w:rPr>
            <w:instrText>§ 56 In-Kraft-Treten</w:instrText>
          </w:r>
          <w:r w:rsidRPr="00A5568B">
            <w:rPr>
              <w:szCs w:val="12"/>
            </w:rPr>
            <w:fldChar w:fldCharType="end"/>
          </w:r>
        </w:p>
        <w:p w:rsidR="009255BF" w:rsidRPr="00A5568B" w:rsidRDefault="009255BF"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C23DFA">
            <w:rPr>
              <w:szCs w:val="12"/>
            </w:rPr>
            <w:fldChar w:fldCharType="separate"/>
          </w:r>
          <w:r w:rsidR="00C23DFA">
            <w:rPr>
              <w:noProof/>
              <w:szCs w:val="12"/>
            </w:rPr>
            <w:instrText>Abkürzungsverzeichnis</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"h7"   \l </w:instrText>
          </w:r>
          <w:r w:rsidRPr="00A5568B">
            <w:rPr>
              <w:szCs w:val="12"/>
            </w:rPr>
            <w:fldChar w:fldCharType="separate"/>
          </w:r>
          <w:r w:rsidR="00C23DFA">
            <w:rPr>
              <w:noProof/>
              <w:szCs w:val="12"/>
            </w:rPr>
            <w:instrText>Stundenermäßigung bei Teilzeit wegen Schwerbehinderung</w:instrText>
          </w:r>
          <w:r w:rsidRPr="00A5568B">
            <w:rPr>
              <w:szCs w:val="12"/>
            </w:rPr>
            <w:fldChar w:fldCharType="end"/>
          </w:r>
        </w:p>
        <w:p w:rsidR="009255BF" w:rsidRPr="00A5568B" w:rsidRDefault="009255BF"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C23DFA">
            <w:rPr>
              <w:szCs w:val="12"/>
            </w:rPr>
            <w:fldChar w:fldCharType="separate"/>
          </w:r>
          <w:r w:rsidR="00C23DFA">
            <w:rPr>
              <w:noProof/>
              <w:szCs w:val="12"/>
            </w:rPr>
            <w:instrText>Abkürzungsverzeichnis</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"h8"   \l </w:instrText>
          </w:r>
          <w:r w:rsidRPr="00A5568B">
            <w:rPr>
              <w:szCs w:val="12"/>
            </w:rPr>
            <w:fldChar w:fldCharType="separate"/>
          </w:r>
          <w:r w:rsidR="00C23DFA">
            <w:rPr>
              <w:noProof/>
              <w:szCs w:val="12"/>
            </w:rPr>
            <w:instrText>6. Einwendungen gegen die Leistungsfeststellung</w:instrText>
          </w:r>
          <w:r w:rsidRPr="00A5568B">
            <w:rPr>
              <w:szCs w:val="12"/>
            </w:rPr>
            <w:fldChar w:fldCharType="end"/>
          </w:r>
        </w:p>
        <w:p w:rsidR="009255BF" w:rsidRPr="00A5568B" w:rsidRDefault="009255BF" w:rsidP="006B6971">
          <w:pPr>
            <w:pStyle w:val="Kopfzeile"/>
            <w:jc w:val="right"/>
            <w:rPr>
              <w:szCs w:val="12"/>
            </w:rPr>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1"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2" \l  </w:instrText>
          </w:r>
          <w:r w:rsidRPr="00A5568B">
            <w:rPr>
              <w:szCs w:val="12"/>
            </w:rPr>
            <w:fldChar w:fldCharType="separate"/>
          </w:r>
          <w:r w:rsidR="00C23DFA">
            <w:rPr>
              <w:b/>
              <w:bCs/>
              <w:noProof/>
              <w:szCs w:val="12"/>
            </w:rPr>
            <w:instrText>Fehler! Kein Text mit angegebener Formatvorlage im Dokument.</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3" \l  </w:instrText>
          </w:r>
          <w:r w:rsidRPr="00A5568B">
            <w:rPr>
              <w:szCs w:val="12"/>
            </w:rPr>
            <w:fldChar w:fldCharType="separate"/>
          </w:r>
          <w:r w:rsidR="00C23DFA">
            <w:rPr>
              <w:noProof/>
              <w:szCs w:val="12"/>
            </w:rPr>
            <w:instrText>Anhang IV</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4" \l  </w:instrText>
          </w:r>
          <w:r w:rsidR="00C23DFA">
            <w:rPr>
              <w:szCs w:val="12"/>
            </w:rPr>
            <w:fldChar w:fldCharType="separate"/>
          </w:r>
          <w:r w:rsidR="00C23DFA">
            <w:rPr>
              <w:noProof/>
              <w:szCs w:val="12"/>
            </w:rPr>
            <w:instrText>Abkürzungsverzeichnis</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5"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"Überschrift 6"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"h7"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"h8"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"h9" \l  </w:instrText>
          </w:r>
          <w:r w:rsidRPr="00A5568B">
            <w:rPr>
              <w:szCs w:val="12"/>
            </w:rPr>
            <w:fldChar w:fldCharType="end"/>
          </w:r>
          <w:r w:rsidRPr="00A5568B">
            <w:rPr>
              <w:szCs w:val="12"/>
            </w:rPr>
            <w:instrText>="</w:instrText>
          </w:r>
          <w:r w:rsidRPr="00A5568B">
            <w:rPr>
              <w:noProof/>
              <w:szCs w:val="12"/>
            </w:rPr>
            <w:instrText>Fehler! Kein Text mit angegebener Formatvorlage im Dokument."</w:instrText>
          </w:r>
          <w:r w:rsidRPr="00A5568B">
            <w:rPr>
              <w:szCs w:val="12"/>
            </w:rPr>
            <w:instrText xml:space="preserve"> "" "</w:instrText>
          </w:r>
          <w:r w:rsidRPr="00A5568B">
            <w:rPr>
              <w:szCs w:val="12"/>
            </w:rPr>
            <w:fldChar w:fldCharType="begin"/>
          </w:r>
          <w:r w:rsidRPr="00A5568B">
            <w:rPr>
              <w:szCs w:val="12"/>
            </w:rPr>
            <w:instrText xml:space="preserve"> IF </w:instrText>
          </w:r>
          <w:r w:rsidRPr="00A5568B">
            <w:rPr>
              <w:szCs w:val="12"/>
            </w:rPr>
            <w:fldChar w:fldCharType="begin"/>
          </w:r>
          <w:r w:rsidRPr="00A5568B">
            <w:rPr>
              <w:szCs w:val="12"/>
            </w:rPr>
            <w:instrText xml:space="preserve"> STYLEREF  "h9" \l  </w:instrText>
          </w:r>
          <w:r w:rsidRPr="00A5568B">
            <w:rPr>
              <w:szCs w:val="12"/>
            </w:rPr>
            <w:fldChar w:fldCharType="end"/>
          </w:r>
          <w:r w:rsidRPr="00A5568B">
            <w:rPr>
              <w:szCs w:val="12"/>
            </w:rPr>
            <w:instrText>="</w:instrText>
          </w:r>
          <w:r w:rsidRPr="00A5568B">
            <w:rPr>
              <w:noProof/>
              <w:szCs w:val="12"/>
            </w:rPr>
            <w:instrText>"</w:instrText>
          </w:r>
          <w:r w:rsidRPr="00A5568B">
            <w:rPr>
              <w:szCs w:val="12"/>
            </w:rPr>
            <w:instrText xml:space="preserve"> "" "</w:instrText>
          </w:r>
          <w:r w:rsidRPr="00A5568B">
            <w:rPr>
              <w:szCs w:val="12"/>
            </w:rPr>
            <w:fldChar w:fldCharType="begin"/>
          </w:r>
          <w:r w:rsidRPr="00A5568B">
            <w:rPr>
              <w:szCs w:val="12"/>
            </w:rPr>
            <w:instrText xml:space="preserve"> STYLEREF  "h9"   \l </w:instrText>
          </w:r>
          <w:r w:rsidRPr="00A5568B">
            <w:rPr>
              <w:szCs w:val="12"/>
            </w:rPr>
            <w:fldChar w:fldCharType="separate"/>
          </w:r>
          <w:r w:rsidRPr="00A5568B">
            <w:rPr>
              <w:noProof/>
              <w:szCs w:val="12"/>
            </w:rPr>
            <w:instrText>Teil C: Dienstordnungen für kirchenspezifische Berufe</w:instrText>
          </w:r>
          <w:r w:rsidRPr="00A5568B">
            <w:rPr>
              <w:szCs w:val="12"/>
            </w:rPr>
            <w:fldChar w:fldCharType="end"/>
          </w:r>
        </w:p>
        <w:p w:rsidR="009255BF" w:rsidRPr="00A213A5" w:rsidRDefault="009255BF" w:rsidP="006B6971">
          <w:pPr>
            <w:pStyle w:val="Kopfzeile"/>
            <w:jc w:val="right"/>
          </w:pP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r w:rsidRPr="00A5568B">
            <w:rPr>
              <w:szCs w:val="12"/>
            </w:rPr>
            <w:instrText>"</w:instrText>
          </w:r>
          <w:r w:rsidRPr="00A5568B">
            <w:rPr>
              <w:szCs w:val="12"/>
            </w:rPr>
            <w:fldChar w:fldCharType="end"/>
          </w:r>
        </w:p>
      </w:tc>
    </w:tr>
  </w:tbl>
  <w:p w:rsidR="009255BF" w:rsidRPr="009C6551" w:rsidRDefault="009255BF" w:rsidP="00C809D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728E1F6"/>
    <w:lvl w:ilvl="0">
      <w:start w:val="1"/>
      <w:numFmt w:val="decimal"/>
      <w:pStyle w:val="Listennummer5"/>
      <w:lvlText w:val="%1."/>
      <w:lvlJc w:val="left"/>
      <w:pPr>
        <w:tabs>
          <w:tab w:val="num" w:pos="1492"/>
        </w:tabs>
        <w:ind w:left="1492" w:hanging="360"/>
      </w:pPr>
      <w:rPr>
        <w:rFonts w:cs="Times New Roman"/>
      </w:rPr>
    </w:lvl>
  </w:abstractNum>
  <w:abstractNum w:abstractNumId="1">
    <w:nsid w:val="FFFFFF7D"/>
    <w:multiLevelType w:val="singleLevel"/>
    <w:tmpl w:val="0F22E830"/>
    <w:lvl w:ilvl="0">
      <w:start w:val="1"/>
      <w:numFmt w:val="decimal"/>
      <w:pStyle w:val="Listennummer4"/>
      <w:lvlText w:val="%1."/>
      <w:lvlJc w:val="left"/>
      <w:pPr>
        <w:tabs>
          <w:tab w:val="num" w:pos="1209"/>
        </w:tabs>
        <w:ind w:left="1209" w:hanging="360"/>
      </w:pPr>
      <w:rPr>
        <w:rFonts w:cs="Times New Roman"/>
      </w:rPr>
    </w:lvl>
  </w:abstractNum>
  <w:abstractNum w:abstractNumId="2">
    <w:nsid w:val="FFFFFF7E"/>
    <w:multiLevelType w:val="singleLevel"/>
    <w:tmpl w:val="720EE244"/>
    <w:lvl w:ilvl="0">
      <w:start w:val="1"/>
      <w:numFmt w:val="decimal"/>
      <w:pStyle w:val="Listennummer3"/>
      <w:lvlText w:val="%1."/>
      <w:lvlJc w:val="left"/>
      <w:pPr>
        <w:tabs>
          <w:tab w:val="num" w:pos="926"/>
        </w:tabs>
        <w:ind w:left="926" w:hanging="360"/>
      </w:pPr>
      <w:rPr>
        <w:rFonts w:cs="Times New Roman"/>
      </w:rPr>
    </w:lvl>
  </w:abstractNum>
  <w:abstractNum w:abstractNumId="3">
    <w:nsid w:val="FFFFFF7F"/>
    <w:multiLevelType w:val="singleLevel"/>
    <w:tmpl w:val="438E1A02"/>
    <w:lvl w:ilvl="0">
      <w:start w:val="1"/>
      <w:numFmt w:val="decimal"/>
      <w:pStyle w:val="Listennummer2"/>
      <w:lvlText w:val="%1."/>
      <w:lvlJc w:val="left"/>
      <w:pPr>
        <w:tabs>
          <w:tab w:val="num" w:pos="643"/>
        </w:tabs>
        <w:ind w:left="643" w:hanging="360"/>
      </w:pPr>
      <w:rPr>
        <w:rFonts w:cs="Times New Roman"/>
      </w:rPr>
    </w:lvl>
  </w:abstractNum>
  <w:abstractNum w:abstractNumId="4">
    <w:nsid w:val="FFFFFF80"/>
    <w:multiLevelType w:val="singleLevel"/>
    <w:tmpl w:val="5C2EEB1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0D362DD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63F28F1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DC58A68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7EA86BB4"/>
    <w:lvl w:ilvl="0">
      <w:start w:val="1"/>
      <w:numFmt w:val="decimal"/>
      <w:pStyle w:val="Listennummer"/>
      <w:lvlText w:val="%1."/>
      <w:lvlJc w:val="left"/>
      <w:pPr>
        <w:tabs>
          <w:tab w:val="num" w:pos="360"/>
        </w:tabs>
        <w:ind w:left="360" w:hanging="360"/>
      </w:pPr>
      <w:rPr>
        <w:rFonts w:cs="Times New Roman"/>
      </w:rPr>
    </w:lvl>
  </w:abstractNum>
  <w:abstractNum w:abstractNumId="9">
    <w:nsid w:val="FFFFFF89"/>
    <w:multiLevelType w:val="singleLevel"/>
    <w:tmpl w:val="7454435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2E3E4F14"/>
    <w:multiLevelType w:val="multilevel"/>
    <w:tmpl w:val="0B8662B8"/>
    <w:lvl w:ilvl="0">
      <w:start w:val="1"/>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b/>
      </w:rPr>
    </w:lvl>
    <w:lvl w:ilvl="4">
      <w:start w:val="1"/>
      <w:numFmt w:val="decimal"/>
      <w:lvlText w:val="%1.%2.%3.%4.%5."/>
      <w:lvlJc w:val="left"/>
      <w:pPr>
        <w:ind w:left="720" w:hanging="720"/>
      </w:pPr>
      <w:rPr>
        <w:rFonts w:cs="Times New Roman" w:hint="default"/>
        <w:b/>
      </w:rPr>
    </w:lvl>
    <w:lvl w:ilvl="5">
      <w:start w:val="1"/>
      <w:numFmt w:val="decimal"/>
      <w:lvlText w:val="%1.%2.%3.%4.%5.%6."/>
      <w:lvlJc w:val="left"/>
      <w:pPr>
        <w:ind w:left="1080" w:hanging="1080"/>
      </w:pPr>
      <w:rPr>
        <w:rFonts w:cs="Times New Roman" w:hint="default"/>
        <w:b/>
      </w:rPr>
    </w:lvl>
    <w:lvl w:ilvl="6">
      <w:start w:val="1"/>
      <w:numFmt w:val="decimal"/>
      <w:lvlText w:val="%1.%2.%3.%4.%5.%6.%7."/>
      <w:lvlJc w:val="left"/>
      <w:pPr>
        <w:ind w:left="1080" w:hanging="1080"/>
      </w:pPr>
      <w:rPr>
        <w:rFonts w:cs="Times New Roman" w:hint="default"/>
        <w:b/>
      </w:rPr>
    </w:lvl>
    <w:lvl w:ilvl="7">
      <w:start w:val="1"/>
      <w:numFmt w:val="decimal"/>
      <w:lvlText w:val="%1.%2.%3.%4.%5.%6.%7.%8."/>
      <w:lvlJc w:val="left"/>
      <w:pPr>
        <w:ind w:left="1080" w:hanging="1080"/>
      </w:pPr>
      <w:rPr>
        <w:rFonts w:cs="Times New Roman" w:hint="default"/>
        <w:b/>
      </w:rPr>
    </w:lvl>
    <w:lvl w:ilvl="8">
      <w:start w:val="1"/>
      <w:numFmt w:val="decimal"/>
      <w:lvlText w:val="%1.%2.%3.%4.%5.%6.%7.%8.%9."/>
      <w:lvlJc w:val="left"/>
      <w:pPr>
        <w:ind w:left="1440" w:hanging="1440"/>
      </w:pPr>
      <w:rPr>
        <w:rFonts w:cs="Times New Roman" w:hint="default"/>
        <w:b/>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3"/>
  <w:mirrorMargin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551"/>
    <w:rsid w:val="0000238C"/>
    <w:rsid w:val="00002A16"/>
    <w:rsid w:val="000033FC"/>
    <w:rsid w:val="00007A65"/>
    <w:rsid w:val="00007CB6"/>
    <w:rsid w:val="00013F0E"/>
    <w:rsid w:val="0001567D"/>
    <w:rsid w:val="0001737A"/>
    <w:rsid w:val="00020956"/>
    <w:rsid w:val="00022355"/>
    <w:rsid w:val="00022B81"/>
    <w:rsid w:val="00024047"/>
    <w:rsid w:val="000245F0"/>
    <w:rsid w:val="0002499E"/>
    <w:rsid w:val="000257FF"/>
    <w:rsid w:val="00026328"/>
    <w:rsid w:val="0002668F"/>
    <w:rsid w:val="000266B5"/>
    <w:rsid w:val="00027A01"/>
    <w:rsid w:val="000300BA"/>
    <w:rsid w:val="000302DB"/>
    <w:rsid w:val="0003075F"/>
    <w:rsid w:val="0003190E"/>
    <w:rsid w:val="00031A93"/>
    <w:rsid w:val="000322A2"/>
    <w:rsid w:val="0003233B"/>
    <w:rsid w:val="00032A99"/>
    <w:rsid w:val="00033230"/>
    <w:rsid w:val="00040914"/>
    <w:rsid w:val="00041CF4"/>
    <w:rsid w:val="000421C7"/>
    <w:rsid w:val="00043A2C"/>
    <w:rsid w:val="000440D5"/>
    <w:rsid w:val="00046C2F"/>
    <w:rsid w:val="00046E67"/>
    <w:rsid w:val="00047146"/>
    <w:rsid w:val="000506B6"/>
    <w:rsid w:val="00050AC5"/>
    <w:rsid w:val="00052C65"/>
    <w:rsid w:val="00052F37"/>
    <w:rsid w:val="00054465"/>
    <w:rsid w:val="00055278"/>
    <w:rsid w:val="0006013E"/>
    <w:rsid w:val="0006492D"/>
    <w:rsid w:val="00064EFA"/>
    <w:rsid w:val="000662AC"/>
    <w:rsid w:val="00067265"/>
    <w:rsid w:val="00071919"/>
    <w:rsid w:val="000737A7"/>
    <w:rsid w:val="00073B2A"/>
    <w:rsid w:val="00073C2F"/>
    <w:rsid w:val="00073D78"/>
    <w:rsid w:val="0007453D"/>
    <w:rsid w:val="0007475B"/>
    <w:rsid w:val="00080F22"/>
    <w:rsid w:val="000814DA"/>
    <w:rsid w:val="000815E9"/>
    <w:rsid w:val="00081D8D"/>
    <w:rsid w:val="0008243B"/>
    <w:rsid w:val="0008296C"/>
    <w:rsid w:val="0008383F"/>
    <w:rsid w:val="000838FF"/>
    <w:rsid w:val="00084B22"/>
    <w:rsid w:val="00086E45"/>
    <w:rsid w:val="0008707D"/>
    <w:rsid w:val="00087528"/>
    <w:rsid w:val="00087B8B"/>
    <w:rsid w:val="00087BDF"/>
    <w:rsid w:val="00090D1B"/>
    <w:rsid w:val="000918EB"/>
    <w:rsid w:val="00093DCD"/>
    <w:rsid w:val="0009486D"/>
    <w:rsid w:val="000A0B03"/>
    <w:rsid w:val="000A0BC8"/>
    <w:rsid w:val="000A0DF9"/>
    <w:rsid w:val="000A3C22"/>
    <w:rsid w:val="000A49E3"/>
    <w:rsid w:val="000A4EA4"/>
    <w:rsid w:val="000A51C5"/>
    <w:rsid w:val="000B1AF8"/>
    <w:rsid w:val="000B2A42"/>
    <w:rsid w:val="000B3115"/>
    <w:rsid w:val="000B3523"/>
    <w:rsid w:val="000B37DB"/>
    <w:rsid w:val="000B3E82"/>
    <w:rsid w:val="000B54D0"/>
    <w:rsid w:val="000B65C8"/>
    <w:rsid w:val="000B68C5"/>
    <w:rsid w:val="000B691C"/>
    <w:rsid w:val="000B76D3"/>
    <w:rsid w:val="000B7B1F"/>
    <w:rsid w:val="000C0365"/>
    <w:rsid w:val="000C1370"/>
    <w:rsid w:val="000C2496"/>
    <w:rsid w:val="000C2C5A"/>
    <w:rsid w:val="000C39BA"/>
    <w:rsid w:val="000C3E4A"/>
    <w:rsid w:val="000C432F"/>
    <w:rsid w:val="000C484F"/>
    <w:rsid w:val="000C64AA"/>
    <w:rsid w:val="000C727A"/>
    <w:rsid w:val="000C7D71"/>
    <w:rsid w:val="000D1391"/>
    <w:rsid w:val="000D2906"/>
    <w:rsid w:val="000D32F1"/>
    <w:rsid w:val="000D38A7"/>
    <w:rsid w:val="000E08A4"/>
    <w:rsid w:val="000E0EAF"/>
    <w:rsid w:val="000E20E3"/>
    <w:rsid w:val="000E245D"/>
    <w:rsid w:val="000E534C"/>
    <w:rsid w:val="000F0C78"/>
    <w:rsid w:val="000F1275"/>
    <w:rsid w:val="000F1577"/>
    <w:rsid w:val="000F22C2"/>
    <w:rsid w:val="000F3AEF"/>
    <w:rsid w:val="000F4718"/>
    <w:rsid w:val="000F4FB7"/>
    <w:rsid w:val="000F5074"/>
    <w:rsid w:val="000F568A"/>
    <w:rsid w:val="000F5776"/>
    <w:rsid w:val="000F60E2"/>
    <w:rsid w:val="000F7A34"/>
    <w:rsid w:val="000F7F0D"/>
    <w:rsid w:val="0010009D"/>
    <w:rsid w:val="001002E5"/>
    <w:rsid w:val="00103676"/>
    <w:rsid w:val="00105C00"/>
    <w:rsid w:val="00106A0A"/>
    <w:rsid w:val="00106AFA"/>
    <w:rsid w:val="001079DF"/>
    <w:rsid w:val="001113BE"/>
    <w:rsid w:val="00112027"/>
    <w:rsid w:val="001127BD"/>
    <w:rsid w:val="00112D00"/>
    <w:rsid w:val="00113599"/>
    <w:rsid w:val="00113710"/>
    <w:rsid w:val="00114F9D"/>
    <w:rsid w:val="001164F7"/>
    <w:rsid w:val="0011710B"/>
    <w:rsid w:val="00120F45"/>
    <w:rsid w:val="00124D77"/>
    <w:rsid w:val="001266D7"/>
    <w:rsid w:val="00126F11"/>
    <w:rsid w:val="00127DD0"/>
    <w:rsid w:val="00127DE5"/>
    <w:rsid w:val="00130E83"/>
    <w:rsid w:val="0013191F"/>
    <w:rsid w:val="0013507C"/>
    <w:rsid w:val="001350FB"/>
    <w:rsid w:val="00135E3A"/>
    <w:rsid w:val="001414A6"/>
    <w:rsid w:val="001421CE"/>
    <w:rsid w:val="00143909"/>
    <w:rsid w:val="00144BCA"/>
    <w:rsid w:val="00144EB3"/>
    <w:rsid w:val="00144F58"/>
    <w:rsid w:val="001451C5"/>
    <w:rsid w:val="00147069"/>
    <w:rsid w:val="0014731F"/>
    <w:rsid w:val="00147DFA"/>
    <w:rsid w:val="00151465"/>
    <w:rsid w:val="00152987"/>
    <w:rsid w:val="00153D44"/>
    <w:rsid w:val="00153E59"/>
    <w:rsid w:val="0015659F"/>
    <w:rsid w:val="001572E1"/>
    <w:rsid w:val="0016079C"/>
    <w:rsid w:val="00160E58"/>
    <w:rsid w:val="001625D9"/>
    <w:rsid w:val="00162622"/>
    <w:rsid w:val="00163D69"/>
    <w:rsid w:val="00167759"/>
    <w:rsid w:val="0017219F"/>
    <w:rsid w:val="00175D83"/>
    <w:rsid w:val="00177E98"/>
    <w:rsid w:val="00180FD5"/>
    <w:rsid w:val="001825CD"/>
    <w:rsid w:val="00182BB8"/>
    <w:rsid w:val="00185AB8"/>
    <w:rsid w:val="00185D89"/>
    <w:rsid w:val="001907B5"/>
    <w:rsid w:val="0019145B"/>
    <w:rsid w:val="00191BBD"/>
    <w:rsid w:val="00192291"/>
    <w:rsid w:val="001938CC"/>
    <w:rsid w:val="00195124"/>
    <w:rsid w:val="001959E7"/>
    <w:rsid w:val="001964DA"/>
    <w:rsid w:val="00196815"/>
    <w:rsid w:val="00196B04"/>
    <w:rsid w:val="00197514"/>
    <w:rsid w:val="001A0828"/>
    <w:rsid w:val="001A11F1"/>
    <w:rsid w:val="001A16AC"/>
    <w:rsid w:val="001A1E0D"/>
    <w:rsid w:val="001A4AD5"/>
    <w:rsid w:val="001A5A80"/>
    <w:rsid w:val="001A607B"/>
    <w:rsid w:val="001A6A8D"/>
    <w:rsid w:val="001A6F7B"/>
    <w:rsid w:val="001B08D1"/>
    <w:rsid w:val="001B09CA"/>
    <w:rsid w:val="001B1582"/>
    <w:rsid w:val="001B1FC9"/>
    <w:rsid w:val="001B2881"/>
    <w:rsid w:val="001B3279"/>
    <w:rsid w:val="001B3397"/>
    <w:rsid w:val="001B34FE"/>
    <w:rsid w:val="001B3A1A"/>
    <w:rsid w:val="001B3A98"/>
    <w:rsid w:val="001B47C1"/>
    <w:rsid w:val="001B52C7"/>
    <w:rsid w:val="001B60C0"/>
    <w:rsid w:val="001B7747"/>
    <w:rsid w:val="001B795F"/>
    <w:rsid w:val="001C00FD"/>
    <w:rsid w:val="001C03BB"/>
    <w:rsid w:val="001C31BE"/>
    <w:rsid w:val="001C3994"/>
    <w:rsid w:val="001C4661"/>
    <w:rsid w:val="001C6E43"/>
    <w:rsid w:val="001D07C6"/>
    <w:rsid w:val="001D0C9B"/>
    <w:rsid w:val="001D1BCE"/>
    <w:rsid w:val="001D298D"/>
    <w:rsid w:val="001D46F7"/>
    <w:rsid w:val="001D4813"/>
    <w:rsid w:val="001D52FE"/>
    <w:rsid w:val="001D6E07"/>
    <w:rsid w:val="001D6E9A"/>
    <w:rsid w:val="001E2DB3"/>
    <w:rsid w:val="001E37EB"/>
    <w:rsid w:val="001E37FA"/>
    <w:rsid w:val="001E4865"/>
    <w:rsid w:val="001E5BAA"/>
    <w:rsid w:val="001E6746"/>
    <w:rsid w:val="001E67AD"/>
    <w:rsid w:val="001E7100"/>
    <w:rsid w:val="001F22A4"/>
    <w:rsid w:val="001F32AC"/>
    <w:rsid w:val="001F4D31"/>
    <w:rsid w:val="001F4FF9"/>
    <w:rsid w:val="001F7A5B"/>
    <w:rsid w:val="00200179"/>
    <w:rsid w:val="002019A9"/>
    <w:rsid w:val="00201A8C"/>
    <w:rsid w:val="00203854"/>
    <w:rsid w:val="002041C7"/>
    <w:rsid w:val="00205DEC"/>
    <w:rsid w:val="002068FA"/>
    <w:rsid w:val="002072A0"/>
    <w:rsid w:val="00212919"/>
    <w:rsid w:val="00212C11"/>
    <w:rsid w:val="002130CA"/>
    <w:rsid w:val="00214A83"/>
    <w:rsid w:val="00214B50"/>
    <w:rsid w:val="00215E7C"/>
    <w:rsid w:val="00216FDF"/>
    <w:rsid w:val="002176D3"/>
    <w:rsid w:val="002179FA"/>
    <w:rsid w:val="0022091A"/>
    <w:rsid w:val="002222C8"/>
    <w:rsid w:val="00223E8D"/>
    <w:rsid w:val="002243FB"/>
    <w:rsid w:val="00224544"/>
    <w:rsid w:val="00224789"/>
    <w:rsid w:val="0022544E"/>
    <w:rsid w:val="00226244"/>
    <w:rsid w:val="002304A0"/>
    <w:rsid w:val="002306D6"/>
    <w:rsid w:val="00230A2E"/>
    <w:rsid w:val="0023154F"/>
    <w:rsid w:val="00232255"/>
    <w:rsid w:val="00232280"/>
    <w:rsid w:val="0023557B"/>
    <w:rsid w:val="00236439"/>
    <w:rsid w:val="0023752A"/>
    <w:rsid w:val="00241474"/>
    <w:rsid w:val="002418C4"/>
    <w:rsid w:val="00241BF8"/>
    <w:rsid w:val="002425B2"/>
    <w:rsid w:val="002425E4"/>
    <w:rsid w:val="002427E7"/>
    <w:rsid w:val="002428E1"/>
    <w:rsid w:val="0024302B"/>
    <w:rsid w:val="00244E1E"/>
    <w:rsid w:val="00245688"/>
    <w:rsid w:val="00254075"/>
    <w:rsid w:val="00254E87"/>
    <w:rsid w:val="00254F3D"/>
    <w:rsid w:val="00256065"/>
    <w:rsid w:val="002575B0"/>
    <w:rsid w:val="002601F0"/>
    <w:rsid w:val="002601F8"/>
    <w:rsid w:val="0026133E"/>
    <w:rsid w:val="0026288C"/>
    <w:rsid w:val="00262F26"/>
    <w:rsid w:val="00263207"/>
    <w:rsid w:val="002662C7"/>
    <w:rsid w:val="00270165"/>
    <w:rsid w:val="00273134"/>
    <w:rsid w:val="0027405E"/>
    <w:rsid w:val="002741E5"/>
    <w:rsid w:val="00275A1A"/>
    <w:rsid w:val="00277812"/>
    <w:rsid w:val="00280188"/>
    <w:rsid w:val="00281770"/>
    <w:rsid w:val="002817D9"/>
    <w:rsid w:val="00282329"/>
    <w:rsid w:val="0028239F"/>
    <w:rsid w:val="002824F2"/>
    <w:rsid w:val="0028275C"/>
    <w:rsid w:val="00283F04"/>
    <w:rsid w:val="00285C9C"/>
    <w:rsid w:val="002870C7"/>
    <w:rsid w:val="00287294"/>
    <w:rsid w:val="00287413"/>
    <w:rsid w:val="0028768D"/>
    <w:rsid w:val="00292ACE"/>
    <w:rsid w:val="002935C6"/>
    <w:rsid w:val="002950E6"/>
    <w:rsid w:val="002954CD"/>
    <w:rsid w:val="002960EF"/>
    <w:rsid w:val="00296692"/>
    <w:rsid w:val="00296AD2"/>
    <w:rsid w:val="00297D1C"/>
    <w:rsid w:val="002A0FD5"/>
    <w:rsid w:val="002A2AC3"/>
    <w:rsid w:val="002A4720"/>
    <w:rsid w:val="002A4E07"/>
    <w:rsid w:val="002A7185"/>
    <w:rsid w:val="002B0C35"/>
    <w:rsid w:val="002B1024"/>
    <w:rsid w:val="002B3806"/>
    <w:rsid w:val="002B3EC1"/>
    <w:rsid w:val="002B783E"/>
    <w:rsid w:val="002C0215"/>
    <w:rsid w:val="002C0A17"/>
    <w:rsid w:val="002C0D7D"/>
    <w:rsid w:val="002C170B"/>
    <w:rsid w:val="002C2184"/>
    <w:rsid w:val="002C2E7C"/>
    <w:rsid w:val="002C36A5"/>
    <w:rsid w:val="002C49C2"/>
    <w:rsid w:val="002D1038"/>
    <w:rsid w:val="002D13BE"/>
    <w:rsid w:val="002D196C"/>
    <w:rsid w:val="002D1F1D"/>
    <w:rsid w:val="002D33F4"/>
    <w:rsid w:val="002D3BD8"/>
    <w:rsid w:val="002D4236"/>
    <w:rsid w:val="002D50E5"/>
    <w:rsid w:val="002D63EB"/>
    <w:rsid w:val="002D7BE0"/>
    <w:rsid w:val="002E0861"/>
    <w:rsid w:val="002E18DF"/>
    <w:rsid w:val="002E23E0"/>
    <w:rsid w:val="002E4A8D"/>
    <w:rsid w:val="002E614F"/>
    <w:rsid w:val="002E7C4B"/>
    <w:rsid w:val="002E7CF4"/>
    <w:rsid w:val="002E7F5B"/>
    <w:rsid w:val="002F07DB"/>
    <w:rsid w:val="002F4C5A"/>
    <w:rsid w:val="003008A9"/>
    <w:rsid w:val="00300A03"/>
    <w:rsid w:val="00300A18"/>
    <w:rsid w:val="00302050"/>
    <w:rsid w:val="00303C1B"/>
    <w:rsid w:val="003059A3"/>
    <w:rsid w:val="00305E6F"/>
    <w:rsid w:val="00306D24"/>
    <w:rsid w:val="00306DA4"/>
    <w:rsid w:val="0031016A"/>
    <w:rsid w:val="00310D03"/>
    <w:rsid w:val="003114F8"/>
    <w:rsid w:val="00312A15"/>
    <w:rsid w:val="003143E9"/>
    <w:rsid w:val="00314BA9"/>
    <w:rsid w:val="003151D3"/>
    <w:rsid w:val="00315DBC"/>
    <w:rsid w:val="00316B8A"/>
    <w:rsid w:val="003177FD"/>
    <w:rsid w:val="00317DF2"/>
    <w:rsid w:val="003235AE"/>
    <w:rsid w:val="0032381E"/>
    <w:rsid w:val="003260A5"/>
    <w:rsid w:val="003264F0"/>
    <w:rsid w:val="00326A5E"/>
    <w:rsid w:val="0032701C"/>
    <w:rsid w:val="0032704C"/>
    <w:rsid w:val="00330148"/>
    <w:rsid w:val="003304B8"/>
    <w:rsid w:val="00330727"/>
    <w:rsid w:val="00330B02"/>
    <w:rsid w:val="0033144F"/>
    <w:rsid w:val="00331D93"/>
    <w:rsid w:val="00332FFB"/>
    <w:rsid w:val="00335837"/>
    <w:rsid w:val="00335C95"/>
    <w:rsid w:val="003361E9"/>
    <w:rsid w:val="003416AF"/>
    <w:rsid w:val="003419B6"/>
    <w:rsid w:val="00341D9F"/>
    <w:rsid w:val="00342ED6"/>
    <w:rsid w:val="00343150"/>
    <w:rsid w:val="00343D1F"/>
    <w:rsid w:val="003441FF"/>
    <w:rsid w:val="00345855"/>
    <w:rsid w:val="0035266A"/>
    <w:rsid w:val="003545D5"/>
    <w:rsid w:val="00355AEE"/>
    <w:rsid w:val="00356201"/>
    <w:rsid w:val="003575ED"/>
    <w:rsid w:val="003602E4"/>
    <w:rsid w:val="0036068E"/>
    <w:rsid w:val="00360E41"/>
    <w:rsid w:val="0036117F"/>
    <w:rsid w:val="00361569"/>
    <w:rsid w:val="00361876"/>
    <w:rsid w:val="00361E7E"/>
    <w:rsid w:val="0036438A"/>
    <w:rsid w:val="00367822"/>
    <w:rsid w:val="00371124"/>
    <w:rsid w:val="0037154B"/>
    <w:rsid w:val="00371609"/>
    <w:rsid w:val="00372610"/>
    <w:rsid w:val="00374732"/>
    <w:rsid w:val="003767B7"/>
    <w:rsid w:val="00376B07"/>
    <w:rsid w:val="00381B00"/>
    <w:rsid w:val="00386572"/>
    <w:rsid w:val="00386681"/>
    <w:rsid w:val="00387659"/>
    <w:rsid w:val="00390E9C"/>
    <w:rsid w:val="00391DDD"/>
    <w:rsid w:val="00393712"/>
    <w:rsid w:val="00394846"/>
    <w:rsid w:val="00394D8A"/>
    <w:rsid w:val="0039522E"/>
    <w:rsid w:val="003971C9"/>
    <w:rsid w:val="00397F30"/>
    <w:rsid w:val="003A1385"/>
    <w:rsid w:val="003A3931"/>
    <w:rsid w:val="003A4FC5"/>
    <w:rsid w:val="003A549F"/>
    <w:rsid w:val="003A7732"/>
    <w:rsid w:val="003A7775"/>
    <w:rsid w:val="003A7E8D"/>
    <w:rsid w:val="003B3A1E"/>
    <w:rsid w:val="003B440B"/>
    <w:rsid w:val="003B4864"/>
    <w:rsid w:val="003B4F6B"/>
    <w:rsid w:val="003B65D3"/>
    <w:rsid w:val="003B7FA8"/>
    <w:rsid w:val="003C1035"/>
    <w:rsid w:val="003C1F47"/>
    <w:rsid w:val="003C30BC"/>
    <w:rsid w:val="003C36D2"/>
    <w:rsid w:val="003C4B8A"/>
    <w:rsid w:val="003C4DC5"/>
    <w:rsid w:val="003C50EC"/>
    <w:rsid w:val="003C5310"/>
    <w:rsid w:val="003C6579"/>
    <w:rsid w:val="003C69C7"/>
    <w:rsid w:val="003C78E6"/>
    <w:rsid w:val="003D11C6"/>
    <w:rsid w:val="003D12C3"/>
    <w:rsid w:val="003D14F5"/>
    <w:rsid w:val="003D2D62"/>
    <w:rsid w:val="003D43AA"/>
    <w:rsid w:val="003D527F"/>
    <w:rsid w:val="003E08DD"/>
    <w:rsid w:val="003E0C20"/>
    <w:rsid w:val="003E210B"/>
    <w:rsid w:val="003E2CF4"/>
    <w:rsid w:val="003E5D49"/>
    <w:rsid w:val="003E6C2F"/>
    <w:rsid w:val="003E77AF"/>
    <w:rsid w:val="003F0206"/>
    <w:rsid w:val="003F0E94"/>
    <w:rsid w:val="003F1E69"/>
    <w:rsid w:val="003F3609"/>
    <w:rsid w:val="003F74A9"/>
    <w:rsid w:val="00400196"/>
    <w:rsid w:val="004013AD"/>
    <w:rsid w:val="004021E7"/>
    <w:rsid w:val="004025C7"/>
    <w:rsid w:val="00402A9F"/>
    <w:rsid w:val="0040340D"/>
    <w:rsid w:val="004041EB"/>
    <w:rsid w:val="00405EAB"/>
    <w:rsid w:val="0040671F"/>
    <w:rsid w:val="00412060"/>
    <w:rsid w:val="00412974"/>
    <w:rsid w:val="004131C5"/>
    <w:rsid w:val="0041349D"/>
    <w:rsid w:val="00414533"/>
    <w:rsid w:val="004151CD"/>
    <w:rsid w:val="00416476"/>
    <w:rsid w:val="00416AF7"/>
    <w:rsid w:val="004227CF"/>
    <w:rsid w:val="00423B94"/>
    <w:rsid w:val="00423E74"/>
    <w:rsid w:val="00425772"/>
    <w:rsid w:val="00426781"/>
    <w:rsid w:val="00426B17"/>
    <w:rsid w:val="004305C9"/>
    <w:rsid w:val="00430D7B"/>
    <w:rsid w:val="00433655"/>
    <w:rsid w:val="00434CCF"/>
    <w:rsid w:val="00435E7F"/>
    <w:rsid w:val="00436E2B"/>
    <w:rsid w:val="00437F7F"/>
    <w:rsid w:val="004416C4"/>
    <w:rsid w:val="004425A5"/>
    <w:rsid w:val="004428EB"/>
    <w:rsid w:val="00442FF5"/>
    <w:rsid w:val="0044377C"/>
    <w:rsid w:val="00443870"/>
    <w:rsid w:val="00443F80"/>
    <w:rsid w:val="004442B7"/>
    <w:rsid w:val="0044502B"/>
    <w:rsid w:val="0044550A"/>
    <w:rsid w:val="00447A08"/>
    <w:rsid w:val="00451C08"/>
    <w:rsid w:val="004527D6"/>
    <w:rsid w:val="00454E5C"/>
    <w:rsid w:val="00455640"/>
    <w:rsid w:val="00456135"/>
    <w:rsid w:val="004622EB"/>
    <w:rsid w:val="00462967"/>
    <w:rsid w:val="004639AF"/>
    <w:rsid w:val="00464B42"/>
    <w:rsid w:val="00466585"/>
    <w:rsid w:val="0046770F"/>
    <w:rsid w:val="00471BF2"/>
    <w:rsid w:val="004732BA"/>
    <w:rsid w:val="00475763"/>
    <w:rsid w:val="00480A5B"/>
    <w:rsid w:val="00480F46"/>
    <w:rsid w:val="00483321"/>
    <w:rsid w:val="004835A2"/>
    <w:rsid w:val="00485EE6"/>
    <w:rsid w:val="004860F4"/>
    <w:rsid w:val="00486566"/>
    <w:rsid w:val="00487163"/>
    <w:rsid w:val="00493406"/>
    <w:rsid w:val="004955DC"/>
    <w:rsid w:val="004A1C8A"/>
    <w:rsid w:val="004A331F"/>
    <w:rsid w:val="004A4263"/>
    <w:rsid w:val="004A4DBC"/>
    <w:rsid w:val="004A5495"/>
    <w:rsid w:val="004A55B2"/>
    <w:rsid w:val="004A694A"/>
    <w:rsid w:val="004B119F"/>
    <w:rsid w:val="004B24AF"/>
    <w:rsid w:val="004B27B9"/>
    <w:rsid w:val="004B3401"/>
    <w:rsid w:val="004B45BE"/>
    <w:rsid w:val="004B49A0"/>
    <w:rsid w:val="004B5349"/>
    <w:rsid w:val="004B73C6"/>
    <w:rsid w:val="004B73FB"/>
    <w:rsid w:val="004C07DD"/>
    <w:rsid w:val="004C1E0F"/>
    <w:rsid w:val="004C4E6E"/>
    <w:rsid w:val="004C607E"/>
    <w:rsid w:val="004C6E1E"/>
    <w:rsid w:val="004D007C"/>
    <w:rsid w:val="004D127E"/>
    <w:rsid w:val="004D2F3F"/>
    <w:rsid w:val="004D3F5B"/>
    <w:rsid w:val="004D505F"/>
    <w:rsid w:val="004D643B"/>
    <w:rsid w:val="004D6B45"/>
    <w:rsid w:val="004D7A26"/>
    <w:rsid w:val="004D7DD8"/>
    <w:rsid w:val="004E0C94"/>
    <w:rsid w:val="004E0F2A"/>
    <w:rsid w:val="004E14AC"/>
    <w:rsid w:val="004E1D43"/>
    <w:rsid w:val="004E23F1"/>
    <w:rsid w:val="004E2B0B"/>
    <w:rsid w:val="004E3132"/>
    <w:rsid w:val="004E3396"/>
    <w:rsid w:val="004E360C"/>
    <w:rsid w:val="004E4345"/>
    <w:rsid w:val="004E562F"/>
    <w:rsid w:val="004E5D7B"/>
    <w:rsid w:val="004E71A7"/>
    <w:rsid w:val="004E7382"/>
    <w:rsid w:val="004E759C"/>
    <w:rsid w:val="004F0888"/>
    <w:rsid w:val="004F0B3D"/>
    <w:rsid w:val="004F1385"/>
    <w:rsid w:val="004F449C"/>
    <w:rsid w:val="004F47BD"/>
    <w:rsid w:val="004F48EA"/>
    <w:rsid w:val="004F548A"/>
    <w:rsid w:val="004F576C"/>
    <w:rsid w:val="00500664"/>
    <w:rsid w:val="005006CB"/>
    <w:rsid w:val="00500AE5"/>
    <w:rsid w:val="005015C6"/>
    <w:rsid w:val="005043BC"/>
    <w:rsid w:val="00504A15"/>
    <w:rsid w:val="00506BE8"/>
    <w:rsid w:val="00506F4B"/>
    <w:rsid w:val="00510078"/>
    <w:rsid w:val="00511BE3"/>
    <w:rsid w:val="00511CCF"/>
    <w:rsid w:val="00512C01"/>
    <w:rsid w:val="00513FA3"/>
    <w:rsid w:val="00514E60"/>
    <w:rsid w:val="00515632"/>
    <w:rsid w:val="00515687"/>
    <w:rsid w:val="005156C2"/>
    <w:rsid w:val="00515749"/>
    <w:rsid w:val="00516AAF"/>
    <w:rsid w:val="00520AE2"/>
    <w:rsid w:val="00522104"/>
    <w:rsid w:val="00523D58"/>
    <w:rsid w:val="0052472F"/>
    <w:rsid w:val="00525D0E"/>
    <w:rsid w:val="005311ED"/>
    <w:rsid w:val="0053139F"/>
    <w:rsid w:val="00534863"/>
    <w:rsid w:val="0053602A"/>
    <w:rsid w:val="00536B2E"/>
    <w:rsid w:val="00537484"/>
    <w:rsid w:val="00537A84"/>
    <w:rsid w:val="005416DC"/>
    <w:rsid w:val="0054243F"/>
    <w:rsid w:val="0054275E"/>
    <w:rsid w:val="0054365C"/>
    <w:rsid w:val="00550BCE"/>
    <w:rsid w:val="005519A6"/>
    <w:rsid w:val="00551D02"/>
    <w:rsid w:val="00551DE9"/>
    <w:rsid w:val="005520B3"/>
    <w:rsid w:val="0055564F"/>
    <w:rsid w:val="00556FC8"/>
    <w:rsid w:val="0056143D"/>
    <w:rsid w:val="0056189C"/>
    <w:rsid w:val="00561A79"/>
    <w:rsid w:val="00561ACB"/>
    <w:rsid w:val="0056373C"/>
    <w:rsid w:val="00563E75"/>
    <w:rsid w:val="00564A56"/>
    <w:rsid w:val="00564D2E"/>
    <w:rsid w:val="00565F0E"/>
    <w:rsid w:val="005710CD"/>
    <w:rsid w:val="00572575"/>
    <w:rsid w:val="00574B97"/>
    <w:rsid w:val="00576549"/>
    <w:rsid w:val="005766ED"/>
    <w:rsid w:val="00576A69"/>
    <w:rsid w:val="005804E3"/>
    <w:rsid w:val="005815B6"/>
    <w:rsid w:val="00581765"/>
    <w:rsid w:val="00581FC5"/>
    <w:rsid w:val="0058209A"/>
    <w:rsid w:val="00584968"/>
    <w:rsid w:val="00585FBA"/>
    <w:rsid w:val="00586C42"/>
    <w:rsid w:val="00590469"/>
    <w:rsid w:val="00592D88"/>
    <w:rsid w:val="00594D43"/>
    <w:rsid w:val="00595F11"/>
    <w:rsid w:val="005970F5"/>
    <w:rsid w:val="00597C06"/>
    <w:rsid w:val="00597D31"/>
    <w:rsid w:val="005A2B2C"/>
    <w:rsid w:val="005A484B"/>
    <w:rsid w:val="005B0732"/>
    <w:rsid w:val="005B0C5A"/>
    <w:rsid w:val="005B0CEF"/>
    <w:rsid w:val="005B0D89"/>
    <w:rsid w:val="005B2AB7"/>
    <w:rsid w:val="005B34B6"/>
    <w:rsid w:val="005B409E"/>
    <w:rsid w:val="005B58DD"/>
    <w:rsid w:val="005B65A7"/>
    <w:rsid w:val="005C0351"/>
    <w:rsid w:val="005C09EF"/>
    <w:rsid w:val="005C21C2"/>
    <w:rsid w:val="005C3039"/>
    <w:rsid w:val="005C4755"/>
    <w:rsid w:val="005C624E"/>
    <w:rsid w:val="005C638C"/>
    <w:rsid w:val="005C70E0"/>
    <w:rsid w:val="005C77DA"/>
    <w:rsid w:val="005D050B"/>
    <w:rsid w:val="005D089E"/>
    <w:rsid w:val="005D160A"/>
    <w:rsid w:val="005D219A"/>
    <w:rsid w:val="005D2731"/>
    <w:rsid w:val="005D4C74"/>
    <w:rsid w:val="005D5528"/>
    <w:rsid w:val="005E3C2F"/>
    <w:rsid w:val="005E3D0E"/>
    <w:rsid w:val="005E46B4"/>
    <w:rsid w:val="005E484E"/>
    <w:rsid w:val="005E49E1"/>
    <w:rsid w:val="005E4D74"/>
    <w:rsid w:val="005E5B15"/>
    <w:rsid w:val="005E679B"/>
    <w:rsid w:val="005E7F66"/>
    <w:rsid w:val="005F1855"/>
    <w:rsid w:val="005F1E85"/>
    <w:rsid w:val="005F3015"/>
    <w:rsid w:val="005F4B1C"/>
    <w:rsid w:val="005F4B64"/>
    <w:rsid w:val="005F6E03"/>
    <w:rsid w:val="005F75CA"/>
    <w:rsid w:val="005F7642"/>
    <w:rsid w:val="005F76F7"/>
    <w:rsid w:val="005F7DC7"/>
    <w:rsid w:val="005F7F4C"/>
    <w:rsid w:val="006002FE"/>
    <w:rsid w:val="00601E04"/>
    <w:rsid w:val="006023BA"/>
    <w:rsid w:val="00602B93"/>
    <w:rsid w:val="0060402B"/>
    <w:rsid w:val="00604213"/>
    <w:rsid w:val="00604BB1"/>
    <w:rsid w:val="00605198"/>
    <w:rsid w:val="00605BE4"/>
    <w:rsid w:val="00605E9E"/>
    <w:rsid w:val="00606B76"/>
    <w:rsid w:val="00607DF2"/>
    <w:rsid w:val="00614BE8"/>
    <w:rsid w:val="00616B57"/>
    <w:rsid w:val="00617E5B"/>
    <w:rsid w:val="00621611"/>
    <w:rsid w:val="0062165B"/>
    <w:rsid w:val="006247BE"/>
    <w:rsid w:val="00626232"/>
    <w:rsid w:val="00626260"/>
    <w:rsid w:val="00626C61"/>
    <w:rsid w:val="00627946"/>
    <w:rsid w:val="006313B7"/>
    <w:rsid w:val="00631E37"/>
    <w:rsid w:val="006320FA"/>
    <w:rsid w:val="0063246E"/>
    <w:rsid w:val="006330D1"/>
    <w:rsid w:val="00634D3E"/>
    <w:rsid w:val="00635592"/>
    <w:rsid w:val="00636C82"/>
    <w:rsid w:val="006378D8"/>
    <w:rsid w:val="00637957"/>
    <w:rsid w:val="00637E75"/>
    <w:rsid w:val="0064016B"/>
    <w:rsid w:val="006419EF"/>
    <w:rsid w:val="006448AF"/>
    <w:rsid w:val="006454D1"/>
    <w:rsid w:val="006465B7"/>
    <w:rsid w:val="00646A07"/>
    <w:rsid w:val="00652149"/>
    <w:rsid w:val="00652495"/>
    <w:rsid w:val="00652E69"/>
    <w:rsid w:val="0065324B"/>
    <w:rsid w:val="00653844"/>
    <w:rsid w:val="00654451"/>
    <w:rsid w:val="00654818"/>
    <w:rsid w:val="0065637B"/>
    <w:rsid w:val="00656D91"/>
    <w:rsid w:val="00660403"/>
    <w:rsid w:val="00660473"/>
    <w:rsid w:val="00661D7B"/>
    <w:rsid w:val="00664ED3"/>
    <w:rsid w:val="006702AA"/>
    <w:rsid w:val="006731BD"/>
    <w:rsid w:val="0067348E"/>
    <w:rsid w:val="00675E49"/>
    <w:rsid w:val="006764A2"/>
    <w:rsid w:val="00676687"/>
    <w:rsid w:val="00676F7A"/>
    <w:rsid w:val="0067708B"/>
    <w:rsid w:val="00677FEA"/>
    <w:rsid w:val="006805FF"/>
    <w:rsid w:val="00680B3F"/>
    <w:rsid w:val="0068324E"/>
    <w:rsid w:val="00683A00"/>
    <w:rsid w:val="0068422F"/>
    <w:rsid w:val="006854AD"/>
    <w:rsid w:val="006865C9"/>
    <w:rsid w:val="00686A63"/>
    <w:rsid w:val="00686FE6"/>
    <w:rsid w:val="00690D3D"/>
    <w:rsid w:val="006914B6"/>
    <w:rsid w:val="006923FC"/>
    <w:rsid w:val="00694224"/>
    <w:rsid w:val="00694253"/>
    <w:rsid w:val="006945A0"/>
    <w:rsid w:val="00697307"/>
    <w:rsid w:val="006A0D70"/>
    <w:rsid w:val="006A23D5"/>
    <w:rsid w:val="006A2CE5"/>
    <w:rsid w:val="006A3592"/>
    <w:rsid w:val="006A480C"/>
    <w:rsid w:val="006A545D"/>
    <w:rsid w:val="006A5878"/>
    <w:rsid w:val="006A62E1"/>
    <w:rsid w:val="006A68DE"/>
    <w:rsid w:val="006A72DD"/>
    <w:rsid w:val="006B0E3C"/>
    <w:rsid w:val="006B23ED"/>
    <w:rsid w:val="006B3B90"/>
    <w:rsid w:val="006B3FAB"/>
    <w:rsid w:val="006B46D3"/>
    <w:rsid w:val="006B6312"/>
    <w:rsid w:val="006B6971"/>
    <w:rsid w:val="006B6A39"/>
    <w:rsid w:val="006C3BED"/>
    <w:rsid w:val="006C60ED"/>
    <w:rsid w:val="006C6181"/>
    <w:rsid w:val="006C6386"/>
    <w:rsid w:val="006C781B"/>
    <w:rsid w:val="006D019E"/>
    <w:rsid w:val="006D127E"/>
    <w:rsid w:val="006D4E9E"/>
    <w:rsid w:val="006D53C5"/>
    <w:rsid w:val="006D5950"/>
    <w:rsid w:val="006D5C1C"/>
    <w:rsid w:val="006E027D"/>
    <w:rsid w:val="006E3644"/>
    <w:rsid w:val="006E41D0"/>
    <w:rsid w:val="006E43BA"/>
    <w:rsid w:val="006E55F0"/>
    <w:rsid w:val="006E69B0"/>
    <w:rsid w:val="006F19C2"/>
    <w:rsid w:val="006F28F6"/>
    <w:rsid w:val="006F3B2F"/>
    <w:rsid w:val="006F51DF"/>
    <w:rsid w:val="006F644E"/>
    <w:rsid w:val="006F64DE"/>
    <w:rsid w:val="006F705A"/>
    <w:rsid w:val="007000E2"/>
    <w:rsid w:val="00701924"/>
    <w:rsid w:val="00701CB3"/>
    <w:rsid w:val="007028D1"/>
    <w:rsid w:val="0070374D"/>
    <w:rsid w:val="00704D3A"/>
    <w:rsid w:val="00705AF4"/>
    <w:rsid w:val="00707597"/>
    <w:rsid w:val="007111FB"/>
    <w:rsid w:val="0071371F"/>
    <w:rsid w:val="007137BB"/>
    <w:rsid w:val="007138DC"/>
    <w:rsid w:val="00715359"/>
    <w:rsid w:val="007160F6"/>
    <w:rsid w:val="0072017F"/>
    <w:rsid w:val="00721113"/>
    <w:rsid w:val="00722759"/>
    <w:rsid w:val="00722FA0"/>
    <w:rsid w:val="00723714"/>
    <w:rsid w:val="00723B28"/>
    <w:rsid w:val="007256D4"/>
    <w:rsid w:val="00730753"/>
    <w:rsid w:val="00730B99"/>
    <w:rsid w:val="007348AD"/>
    <w:rsid w:val="00734ABD"/>
    <w:rsid w:val="007359CF"/>
    <w:rsid w:val="007369B5"/>
    <w:rsid w:val="00740A3A"/>
    <w:rsid w:val="00741FD5"/>
    <w:rsid w:val="00742BD3"/>
    <w:rsid w:val="00743792"/>
    <w:rsid w:val="00743962"/>
    <w:rsid w:val="00744126"/>
    <w:rsid w:val="007443A6"/>
    <w:rsid w:val="0074457C"/>
    <w:rsid w:val="00745111"/>
    <w:rsid w:val="00745996"/>
    <w:rsid w:val="00750AC4"/>
    <w:rsid w:val="007514CC"/>
    <w:rsid w:val="007528C0"/>
    <w:rsid w:val="00752C69"/>
    <w:rsid w:val="007540E4"/>
    <w:rsid w:val="00754251"/>
    <w:rsid w:val="007575CD"/>
    <w:rsid w:val="0076048D"/>
    <w:rsid w:val="007609DC"/>
    <w:rsid w:val="0076179A"/>
    <w:rsid w:val="00763541"/>
    <w:rsid w:val="0076496E"/>
    <w:rsid w:val="00764F04"/>
    <w:rsid w:val="00764FB3"/>
    <w:rsid w:val="00766C9B"/>
    <w:rsid w:val="00766F2C"/>
    <w:rsid w:val="00767F41"/>
    <w:rsid w:val="0077064F"/>
    <w:rsid w:val="00770865"/>
    <w:rsid w:val="00770EEA"/>
    <w:rsid w:val="00771163"/>
    <w:rsid w:val="0077280C"/>
    <w:rsid w:val="00772B74"/>
    <w:rsid w:val="007741BF"/>
    <w:rsid w:val="00775124"/>
    <w:rsid w:val="0077772A"/>
    <w:rsid w:val="00777B71"/>
    <w:rsid w:val="00777E66"/>
    <w:rsid w:val="00781266"/>
    <w:rsid w:val="00781290"/>
    <w:rsid w:val="007828F4"/>
    <w:rsid w:val="00782A3A"/>
    <w:rsid w:val="00787487"/>
    <w:rsid w:val="00790AAA"/>
    <w:rsid w:val="00791082"/>
    <w:rsid w:val="00792938"/>
    <w:rsid w:val="00792BC9"/>
    <w:rsid w:val="00795D96"/>
    <w:rsid w:val="0079661F"/>
    <w:rsid w:val="0079688A"/>
    <w:rsid w:val="007A04BD"/>
    <w:rsid w:val="007A081D"/>
    <w:rsid w:val="007A45C3"/>
    <w:rsid w:val="007A47A2"/>
    <w:rsid w:val="007A5BD6"/>
    <w:rsid w:val="007A6A5C"/>
    <w:rsid w:val="007B08F0"/>
    <w:rsid w:val="007B1622"/>
    <w:rsid w:val="007B1700"/>
    <w:rsid w:val="007B3270"/>
    <w:rsid w:val="007B3976"/>
    <w:rsid w:val="007B39F8"/>
    <w:rsid w:val="007B615A"/>
    <w:rsid w:val="007C0E62"/>
    <w:rsid w:val="007C264F"/>
    <w:rsid w:val="007C27CE"/>
    <w:rsid w:val="007C2C9F"/>
    <w:rsid w:val="007C6319"/>
    <w:rsid w:val="007C7743"/>
    <w:rsid w:val="007C779F"/>
    <w:rsid w:val="007D0879"/>
    <w:rsid w:val="007D292E"/>
    <w:rsid w:val="007D2F2B"/>
    <w:rsid w:val="007D6DFB"/>
    <w:rsid w:val="007D735A"/>
    <w:rsid w:val="007E043D"/>
    <w:rsid w:val="007E197F"/>
    <w:rsid w:val="007E25EB"/>
    <w:rsid w:val="007E4F63"/>
    <w:rsid w:val="007E54CD"/>
    <w:rsid w:val="007E5BD9"/>
    <w:rsid w:val="007E72CD"/>
    <w:rsid w:val="007F0BC8"/>
    <w:rsid w:val="007F1895"/>
    <w:rsid w:val="007F1CF1"/>
    <w:rsid w:val="007F4262"/>
    <w:rsid w:val="007F580D"/>
    <w:rsid w:val="007F5EEF"/>
    <w:rsid w:val="007F6971"/>
    <w:rsid w:val="007F6BC9"/>
    <w:rsid w:val="0080172C"/>
    <w:rsid w:val="00803412"/>
    <w:rsid w:val="00804C2C"/>
    <w:rsid w:val="0080649A"/>
    <w:rsid w:val="00806F96"/>
    <w:rsid w:val="00810BF4"/>
    <w:rsid w:val="00811CB4"/>
    <w:rsid w:val="00814352"/>
    <w:rsid w:val="0081467B"/>
    <w:rsid w:val="0081580A"/>
    <w:rsid w:val="00815B6E"/>
    <w:rsid w:val="00815C29"/>
    <w:rsid w:val="008216F2"/>
    <w:rsid w:val="0082193E"/>
    <w:rsid w:val="00821B15"/>
    <w:rsid w:val="0082377C"/>
    <w:rsid w:val="008240C9"/>
    <w:rsid w:val="00824A1B"/>
    <w:rsid w:val="00826122"/>
    <w:rsid w:val="00826D99"/>
    <w:rsid w:val="00827E43"/>
    <w:rsid w:val="00831D1B"/>
    <w:rsid w:val="008321D4"/>
    <w:rsid w:val="0083482A"/>
    <w:rsid w:val="00834907"/>
    <w:rsid w:val="0083496D"/>
    <w:rsid w:val="008352B0"/>
    <w:rsid w:val="008354D8"/>
    <w:rsid w:val="008365FA"/>
    <w:rsid w:val="0083701A"/>
    <w:rsid w:val="008375AF"/>
    <w:rsid w:val="00840248"/>
    <w:rsid w:val="008417DE"/>
    <w:rsid w:val="008424F4"/>
    <w:rsid w:val="00842ED7"/>
    <w:rsid w:val="00844E7C"/>
    <w:rsid w:val="008461EF"/>
    <w:rsid w:val="00846472"/>
    <w:rsid w:val="0084666A"/>
    <w:rsid w:val="008500AD"/>
    <w:rsid w:val="008505CD"/>
    <w:rsid w:val="0085083F"/>
    <w:rsid w:val="00851983"/>
    <w:rsid w:val="00852190"/>
    <w:rsid w:val="0085293D"/>
    <w:rsid w:val="00852F21"/>
    <w:rsid w:val="00853057"/>
    <w:rsid w:val="008533B2"/>
    <w:rsid w:val="008545F1"/>
    <w:rsid w:val="0085529B"/>
    <w:rsid w:val="00855949"/>
    <w:rsid w:val="00857653"/>
    <w:rsid w:val="00857D2A"/>
    <w:rsid w:val="008609B2"/>
    <w:rsid w:val="00863002"/>
    <w:rsid w:val="008647BB"/>
    <w:rsid w:val="00864C52"/>
    <w:rsid w:val="00865C69"/>
    <w:rsid w:val="008661E5"/>
    <w:rsid w:val="00866A03"/>
    <w:rsid w:val="00866ACC"/>
    <w:rsid w:val="00867625"/>
    <w:rsid w:val="008724D5"/>
    <w:rsid w:val="00874718"/>
    <w:rsid w:val="00875050"/>
    <w:rsid w:val="00876137"/>
    <w:rsid w:val="0087617A"/>
    <w:rsid w:val="00876902"/>
    <w:rsid w:val="008822CE"/>
    <w:rsid w:val="0088292E"/>
    <w:rsid w:val="00883D3F"/>
    <w:rsid w:val="00884E23"/>
    <w:rsid w:val="00885527"/>
    <w:rsid w:val="00892949"/>
    <w:rsid w:val="00894423"/>
    <w:rsid w:val="008946AE"/>
    <w:rsid w:val="008948E7"/>
    <w:rsid w:val="0089554A"/>
    <w:rsid w:val="00895C48"/>
    <w:rsid w:val="00897B77"/>
    <w:rsid w:val="008A15ED"/>
    <w:rsid w:val="008A1615"/>
    <w:rsid w:val="008A1E74"/>
    <w:rsid w:val="008A2395"/>
    <w:rsid w:val="008A2FD9"/>
    <w:rsid w:val="008A309C"/>
    <w:rsid w:val="008A3D6A"/>
    <w:rsid w:val="008A5595"/>
    <w:rsid w:val="008A5C6B"/>
    <w:rsid w:val="008B0E87"/>
    <w:rsid w:val="008B1A3F"/>
    <w:rsid w:val="008B230C"/>
    <w:rsid w:val="008B2418"/>
    <w:rsid w:val="008B3AB7"/>
    <w:rsid w:val="008B5D98"/>
    <w:rsid w:val="008B672B"/>
    <w:rsid w:val="008B68B5"/>
    <w:rsid w:val="008B6E65"/>
    <w:rsid w:val="008B7E79"/>
    <w:rsid w:val="008C14AA"/>
    <w:rsid w:val="008C1872"/>
    <w:rsid w:val="008C1ABF"/>
    <w:rsid w:val="008C2ABA"/>
    <w:rsid w:val="008C3310"/>
    <w:rsid w:val="008C341E"/>
    <w:rsid w:val="008C3C04"/>
    <w:rsid w:val="008C4556"/>
    <w:rsid w:val="008C5D3C"/>
    <w:rsid w:val="008C5F59"/>
    <w:rsid w:val="008C6484"/>
    <w:rsid w:val="008C6A08"/>
    <w:rsid w:val="008C720F"/>
    <w:rsid w:val="008D138B"/>
    <w:rsid w:val="008D14D1"/>
    <w:rsid w:val="008D27DF"/>
    <w:rsid w:val="008D2DC9"/>
    <w:rsid w:val="008D4CEA"/>
    <w:rsid w:val="008D672B"/>
    <w:rsid w:val="008E06BA"/>
    <w:rsid w:val="008E18AB"/>
    <w:rsid w:val="008E27B1"/>
    <w:rsid w:val="008E30A5"/>
    <w:rsid w:val="008E4709"/>
    <w:rsid w:val="008E5D1D"/>
    <w:rsid w:val="008E7B08"/>
    <w:rsid w:val="008F22D8"/>
    <w:rsid w:val="008F3F5B"/>
    <w:rsid w:val="008F423C"/>
    <w:rsid w:val="008F482C"/>
    <w:rsid w:val="009005A9"/>
    <w:rsid w:val="00900E28"/>
    <w:rsid w:val="009020AB"/>
    <w:rsid w:val="00903902"/>
    <w:rsid w:val="009064E9"/>
    <w:rsid w:val="009074C3"/>
    <w:rsid w:val="00907A85"/>
    <w:rsid w:val="0091078E"/>
    <w:rsid w:val="00911076"/>
    <w:rsid w:val="0091236C"/>
    <w:rsid w:val="00913097"/>
    <w:rsid w:val="00914491"/>
    <w:rsid w:val="009153B0"/>
    <w:rsid w:val="00916255"/>
    <w:rsid w:val="009167E1"/>
    <w:rsid w:val="00920ACE"/>
    <w:rsid w:val="009225EC"/>
    <w:rsid w:val="0092285F"/>
    <w:rsid w:val="00923B44"/>
    <w:rsid w:val="00924DB7"/>
    <w:rsid w:val="009255BF"/>
    <w:rsid w:val="00926ACE"/>
    <w:rsid w:val="00926F44"/>
    <w:rsid w:val="00927F8A"/>
    <w:rsid w:val="0093003B"/>
    <w:rsid w:val="00930C5E"/>
    <w:rsid w:val="00933929"/>
    <w:rsid w:val="009360AD"/>
    <w:rsid w:val="00942CDA"/>
    <w:rsid w:val="00942E08"/>
    <w:rsid w:val="00945047"/>
    <w:rsid w:val="00946258"/>
    <w:rsid w:val="009462D9"/>
    <w:rsid w:val="00947231"/>
    <w:rsid w:val="009478FD"/>
    <w:rsid w:val="00947F4C"/>
    <w:rsid w:val="00950137"/>
    <w:rsid w:val="0095087B"/>
    <w:rsid w:val="00951B10"/>
    <w:rsid w:val="00952FAD"/>
    <w:rsid w:val="00953196"/>
    <w:rsid w:val="00953826"/>
    <w:rsid w:val="00954DD3"/>
    <w:rsid w:val="00955556"/>
    <w:rsid w:val="00956F94"/>
    <w:rsid w:val="0095793E"/>
    <w:rsid w:val="009606A4"/>
    <w:rsid w:val="00960D2F"/>
    <w:rsid w:val="009623EC"/>
    <w:rsid w:val="00964795"/>
    <w:rsid w:val="00966203"/>
    <w:rsid w:val="00970168"/>
    <w:rsid w:val="00970228"/>
    <w:rsid w:val="00971ECA"/>
    <w:rsid w:val="009738E7"/>
    <w:rsid w:val="00974C26"/>
    <w:rsid w:val="009752DE"/>
    <w:rsid w:val="009752DF"/>
    <w:rsid w:val="0097570E"/>
    <w:rsid w:val="00975DC0"/>
    <w:rsid w:val="00976D07"/>
    <w:rsid w:val="009774F0"/>
    <w:rsid w:val="00977B9A"/>
    <w:rsid w:val="00977F8D"/>
    <w:rsid w:val="00980322"/>
    <w:rsid w:val="0098089F"/>
    <w:rsid w:val="00981FE0"/>
    <w:rsid w:val="009840E5"/>
    <w:rsid w:val="00984C0C"/>
    <w:rsid w:val="00984E43"/>
    <w:rsid w:val="00984F9D"/>
    <w:rsid w:val="00985E74"/>
    <w:rsid w:val="0098642E"/>
    <w:rsid w:val="00990550"/>
    <w:rsid w:val="00990FF9"/>
    <w:rsid w:val="009915A3"/>
    <w:rsid w:val="009920B7"/>
    <w:rsid w:val="00992372"/>
    <w:rsid w:val="0099296C"/>
    <w:rsid w:val="00993F28"/>
    <w:rsid w:val="00994BA8"/>
    <w:rsid w:val="0099582B"/>
    <w:rsid w:val="00996486"/>
    <w:rsid w:val="009A0769"/>
    <w:rsid w:val="009A16CD"/>
    <w:rsid w:val="009A226F"/>
    <w:rsid w:val="009A3A8C"/>
    <w:rsid w:val="009A3BEE"/>
    <w:rsid w:val="009A4050"/>
    <w:rsid w:val="009A6A5F"/>
    <w:rsid w:val="009A6E1A"/>
    <w:rsid w:val="009B251D"/>
    <w:rsid w:val="009B3430"/>
    <w:rsid w:val="009B3A35"/>
    <w:rsid w:val="009B6F26"/>
    <w:rsid w:val="009B7B02"/>
    <w:rsid w:val="009C058A"/>
    <w:rsid w:val="009C11F4"/>
    <w:rsid w:val="009C36B9"/>
    <w:rsid w:val="009C48B8"/>
    <w:rsid w:val="009C6551"/>
    <w:rsid w:val="009C783C"/>
    <w:rsid w:val="009D1CFC"/>
    <w:rsid w:val="009D226A"/>
    <w:rsid w:val="009D3E16"/>
    <w:rsid w:val="009D4125"/>
    <w:rsid w:val="009D436D"/>
    <w:rsid w:val="009D69CC"/>
    <w:rsid w:val="009D7CE4"/>
    <w:rsid w:val="009E1208"/>
    <w:rsid w:val="009E16E1"/>
    <w:rsid w:val="009E2859"/>
    <w:rsid w:val="009E4723"/>
    <w:rsid w:val="009E4EEE"/>
    <w:rsid w:val="009E5941"/>
    <w:rsid w:val="009E5A2D"/>
    <w:rsid w:val="009E5E8E"/>
    <w:rsid w:val="009E7B50"/>
    <w:rsid w:val="009F1DB6"/>
    <w:rsid w:val="009F21D1"/>
    <w:rsid w:val="009F2D8E"/>
    <w:rsid w:val="009F359B"/>
    <w:rsid w:val="009F5443"/>
    <w:rsid w:val="00A003F2"/>
    <w:rsid w:val="00A01195"/>
    <w:rsid w:val="00A02BFF"/>
    <w:rsid w:val="00A045C0"/>
    <w:rsid w:val="00A04890"/>
    <w:rsid w:val="00A05B83"/>
    <w:rsid w:val="00A07386"/>
    <w:rsid w:val="00A10DCE"/>
    <w:rsid w:val="00A113EE"/>
    <w:rsid w:val="00A12B7C"/>
    <w:rsid w:val="00A136C7"/>
    <w:rsid w:val="00A16E3A"/>
    <w:rsid w:val="00A17055"/>
    <w:rsid w:val="00A17059"/>
    <w:rsid w:val="00A1722D"/>
    <w:rsid w:val="00A1797A"/>
    <w:rsid w:val="00A20F1E"/>
    <w:rsid w:val="00A213A5"/>
    <w:rsid w:val="00A21414"/>
    <w:rsid w:val="00A26023"/>
    <w:rsid w:val="00A263F9"/>
    <w:rsid w:val="00A264B5"/>
    <w:rsid w:val="00A26B23"/>
    <w:rsid w:val="00A26DD4"/>
    <w:rsid w:val="00A27557"/>
    <w:rsid w:val="00A27760"/>
    <w:rsid w:val="00A303D9"/>
    <w:rsid w:val="00A324A9"/>
    <w:rsid w:val="00A33130"/>
    <w:rsid w:val="00A33431"/>
    <w:rsid w:val="00A33E2F"/>
    <w:rsid w:val="00A34294"/>
    <w:rsid w:val="00A35E3A"/>
    <w:rsid w:val="00A408CF"/>
    <w:rsid w:val="00A4541B"/>
    <w:rsid w:val="00A4682D"/>
    <w:rsid w:val="00A46861"/>
    <w:rsid w:val="00A51691"/>
    <w:rsid w:val="00A521DD"/>
    <w:rsid w:val="00A5383E"/>
    <w:rsid w:val="00A5568B"/>
    <w:rsid w:val="00A60C25"/>
    <w:rsid w:val="00A610FB"/>
    <w:rsid w:val="00A6180A"/>
    <w:rsid w:val="00A6532C"/>
    <w:rsid w:val="00A65C05"/>
    <w:rsid w:val="00A70D20"/>
    <w:rsid w:val="00A73373"/>
    <w:rsid w:val="00A7358F"/>
    <w:rsid w:val="00A7454E"/>
    <w:rsid w:val="00A76166"/>
    <w:rsid w:val="00A821B2"/>
    <w:rsid w:val="00A830E0"/>
    <w:rsid w:val="00A84226"/>
    <w:rsid w:val="00A84969"/>
    <w:rsid w:val="00A865E7"/>
    <w:rsid w:val="00A87F83"/>
    <w:rsid w:val="00A90081"/>
    <w:rsid w:val="00A90204"/>
    <w:rsid w:val="00A9292C"/>
    <w:rsid w:val="00A9537F"/>
    <w:rsid w:val="00A95C87"/>
    <w:rsid w:val="00A972F1"/>
    <w:rsid w:val="00A973FC"/>
    <w:rsid w:val="00A97823"/>
    <w:rsid w:val="00AA17C6"/>
    <w:rsid w:val="00AA2FC2"/>
    <w:rsid w:val="00AA38A2"/>
    <w:rsid w:val="00AA40BF"/>
    <w:rsid w:val="00AA4EF3"/>
    <w:rsid w:val="00AA6462"/>
    <w:rsid w:val="00AA6EAD"/>
    <w:rsid w:val="00AB2F65"/>
    <w:rsid w:val="00AB3356"/>
    <w:rsid w:val="00AB3468"/>
    <w:rsid w:val="00AB4895"/>
    <w:rsid w:val="00AB57FE"/>
    <w:rsid w:val="00AB792B"/>
    <w:rsid w:val="00AB7B41"/>
    <w:rsid w:val="00AC4CD6"/>
    <w:rsid w:val="00AC522A"/>
    <w:rsid w:val="00AC5C4C"/>
    <w:rsid w:val="00AC692A"/>
    <w:rsid w:val="00AC7285"/>
    <w:rsid w:val="00AD0671"/>
    <w:rsid w:val="00AD0F58"/>
    <w:rsid w:val="00AD1632"/>
    <w:rsid w:val="00AD3084"/>
    <w:rsid w:val="00AD3E49"/>
    <w:rsid w:val="00AD68C4"/>
    <w:rsid w:val="00AE032D"/>
    <w:rsid w:val="00AE1217"/>
    <w:rsid w:val="00AE159A"/>
    <w:rsid w:val="00AE1C3B"/>
    <w:rsid w:val="00AE3545"/>
    <w:rsid w:val="00AE6922"/>
    <w:rsid w:val="00AE7E5F"/>
    <w:rsid w:val="00AF230E"/>
    <w:rsid w:val="00AF410A"/>
    <w:rsid w:val="00AF59D1"/>
    <w:rsid w:val="00AF5B9C"/>
    <w:rsid w:val="00AF6337"/>
    <w:rsid w:val="00AF64B9"/>
    <w:rsid w:val="00AF68BA"/>
    <w:rsid w:val="00AF727A"/>
    <w:rsid w:val="00AF72AC"/>
    <w:rsid w:val="00B03CF7"/>
    <w:rsid w:val="00B051B9"/>
    <w:rsid w:val="00B07DE3"/>
    <w:rsid w:val="00B113BF"/>
    <w:rsid w:val="00B16038"/>
    <w:rsid w:val="00B1678B"/>
    <w:rsid w:val="00B17624"/>
    <w:rsid w:val="00B17EB0"/>
    <w:rsid w:val="00B17F03"/>
    <w:rsid w:val="00B235AC"/>
    <w:rsid w:val="00B24661"/>
    <w:rsid w:val="00B24EDF"/>
    <w:rsid w:val="00B258BD"/>
    <w:rsid w:val="00B3037A"/>
    <w:rsid w:val="00B31D88"/>
    <w:rsid w:val="00B33077"/>
    <w:rsid w:val="00B33CC3"/>
    <w:rsid w:val="00B34163"/>
    <w:rsid w:val="00B3606E"/>
    <w:rsid w:val="00B37174"/>
    <w:rsid w:val="00B41585"/>
    <w:rsid w:val="00B41A55"/>
    <w:rsid w:val="00B42635"/>
    <w:rsid w:val="00B42755"/>
    <w:rsid w:val="00B43590"/>
    <w:rsid w:val="00B43F70"/>
    <w:rsid w:val="00B44DB5"/>
    <w:rsid w:val="00B45B47"/>
    <w:rsid w:val="00B463F6"/>
    <w:rsid w:val="00B46706"/>
    <w:rsid w:val="00B472B6"/>
    <w:rsid w:val="00B4751A"/>
    <w:rsid w:val="00B516DE"/>
    <w:rsid w:val="00B553B3"/>
    <w:rsid w:val="00B5560D"/>
    <w:rsid w:val="00B55B56"/>
    <w:rsid w:val="00B561C5"/>
    <w:rsid w:val="00B56A80"/>
    <w:rsid w:val="00B60D36"/>
    <w:rsid w:val="00B61551"/>
    <w:rsid w:val="00B61F60"/>
    <w:rsid w:val="00B62321"/>
    <w:rsid w:val="00B6285A"/>
    <w:rsid w:val="00B63986"/>
    <w:rsid w:val="00B6441F"/>
    <w:rsid w:val="00B657DC"/>
    <w:rsid w:val="00B65D23"/>
    <w:rsid w:val="00B669D7"/>
    <w:rsid w:val="00B6742C"/>
    <w:rsid w:val="00B67799"/>
    <w:rsid w:val="00B7121D"/>
    <w:rsid w:val="00B72A56"/>
    <w:rsid w:val="00B749D7"/>
    <w:rsid w:val="00B76821"/>
    <w:rsid w:val="00B76DAE"/>
    <w:rsid w:val="00B80578"/>
    <w:rsid w:val="00B814E8"/>
    <w:rsid w:val="00B83893"/>
    <w:rsid w:val="00B86B1C"/>
    <w:rsid w:val="00B9312D"/>
    <w:rsid w:val="00B95026"/>
    <w:rsid w:val="00B95E7D"/>
    <w:rsid w:val="00BA0E1B"/>
    <w:rsid w:val="00BA2F12"/>
    <w:rsid w:val="00BA3075"/>
    <w:rsid w:val="00BA3B8B"/>
    <w:rsid w:val="00BA3BC8"/>
    <w:rsid w:val="00BA4F60"/>
    <w:rsid w:val="00BA57A3"/>
    <w:rsid w:val="00BA634E"/>
    <w:rsid w:val="00BB0AE4"/>
    <w:rsid w:val="00BB0D2D"/>
    <w:rsid w:val="00BB17AF"/>
    <w:rsid w:val="00BB2516"/>
    <w:rsid w:val="00BB2547"/>
    <w:rsid w:val="00BB2564"/>
    <w:rsid w:val="00BB27DD"/>
    <w:rsid w:val="00BB2B13"/>
    <w:rsid w:val="00BB339B"/>
    <w:rsid w:val="00BB5480"/>
    <w:rsid w:val="00BC01FC"/>
    <w:rsid w:val="00BC3138"/>
    <w:rsid w:val="00BC3183"/>
    <w:rsid w:val="00BC3A72"/>
    <w:rsid w:val="00BC64DA"/>
    <w:rsid w:val="00BC6B8E"/>
    <w:rsid w:val="00BC6BD2"/>
    <w:rsid w:val="00BC793B"/>
    <w:rsid w:val="00BC7975"/>
    <w:rsid w:val="00BD0DE8"/>
    <w:rsid w:val="00BD32B2"/>
    <w:rsid w:val="00BD3BFC"/>
    <w:rsid w:val="00BD4463"/>
    <w:rsid w:val="00BE165D"/>
    <w:rsid w:val="00BE1900"/>
    <w:rsid w:val="00BE1CC3"/>
    <w:rsid w:val="00BE1EFE"/>
    <w:rsid w:val="00BE428D"/>
    <w:rsid w:val="00BE4659"/>
    <w:rsid w:val="00BE49CB"/>
    <w:rsid w:val="00BE6476"/>
    <w:rsid w:val="00BE7C5E"/>
    <w:rsid w:val="00BF230B"/>
    <w:rsid w:val="00BF4F71"/>
    <w:rsid w:val="00BF51C4"/>
    <w:rsid w:val="00BF73AC"/>
    <w:rsid w:val="00BF7A4A"/>
    <w:rsid w:val="00C0029F"/>
    <w:rsid w:val="00C0125D"/>
    <w:rsid w:val="00C028E8"/>
    <w:rsid w:val="00C02DBD"/>
    <w:rsid w:val="00C03116"/>
    <w:rsid w:val="00C03F7F"/>
    <w:rsid w:val="00C05058"/>
    <w:rsid w:val="00C06C29"/>
    <w:rsid w:val="00C07D17"/>
    <w:rsid w:val="00C115C2"/>
    <w:rsid w:val="00C11EF3"/>
    <w:rsid w:val="00C120D3"/>
    <w:rsid w:val="00C124DD"/>
    <w:rsid w:val="00C13D3F"/>
    <w:rsid w:val="00C14C5F"/>
    <w:rsid w:val="00C17437"/>
    <w:rsid w:val="00C20771"/>
    <w:rsid w:val="00C20DEC"/>
    <w:rsid w:val="00C22532"/>
    <w:rsid w:val="00C23738"/>
    <w:rsid w:val="00C23DFA"/>
    <w:rsid w:val="00C244EF"/>
    <w:rsid w:val="00C24555"/>
    <w:rsid w:val="00C2476E"/>
    <w:rsid w:val="00C247DA"/>
    <w:rsid w:val="00C2603F"/>
    <w:rsid w:val="00C3158F"/>
    <w:rsid w:val="00C33353"/>
    <w:rsid w:val="00C34785"/>
    <w:rsid w:val="00C34F07"/>
    <w:rsid w:val="00C35C37"/>
    <w:rsid w:val="00C35EB6"/>
    <w:rsid w:val="00C422D9"/>
    <w:rsid w:val="00C4367F"/>
    <w:rsid w:val="00C448AB"/>
    <w:rsid w:val="00C45FF9"/>
    <w:rsid w:val="00C47F54"/>
    <w:rsid w:val="00C502A4"/>
    <w:rsid w:val="00C51D24"/>
    <w:rsid w:val="00C51FCE"/>
    <w:rsid w:val="00C521A0"/>
    <w:rsid w:val="00C522FB"/>
    <w:rsid w:val="00C54F2C"/>
    <w:rsid w:val="00C6017F"/>
    <w:rsid w:val="00C63984"/>
    <w:rsid w:val="00C63A29"/>
    <w:rsid w:val="00C658FE"/>
    <w:rsid w:val="00C6647F"/>
    <w:rsid w:val="00C66EF0"/>
    <w:rsid w:val="00C70D60"/>
    <w:rsid w:val="00C721DC"/>
    <w:rsid w:val="00C73B90"/>
    <w:rsid w:val="00C74578"/>
    <w:rsid w:val="00C763E2"/>
    <w:rsid w:val="00C809D5"/>
    <w:rsid w:val="00C815B5"/>
    <w:rsid w:val="00C815C5"/>
    <w:rsid w:val="00C84A68"/>
    <w:rsid w:val="00C84F09"/>
    <w:rsid w:val="00C86D9A"/>
    <w:rsid w:val="00C87A9C"/>
    <w:rsid w:val="00C90281"/>
    <w:rsid w:val="00C92F84"/>
    <w:rsid w:val="00C94132"/>
    <w:rsid w:val="00C95B82"/>
    <w:rsid w:val="00C962B8"/>
    <w:rsid w:val="00C96AE0"/>
    <w:rsid w:val="00C979DA"/>
    <w:rsid w:val="00C97F7F"/>
    <w:rsid w:val="00C97FEA"/>
    <w:rsid w:val="00CA00DA"/>
    <w:rsid w:val="00CA1C32"/>
    <w:rsid w:val="00CA1CD2"/>
    <w:rsid w:val="00CA20C5"/>
    <w:rsid w:val="00CA2707"/>
    <w:rsid w:val="00CA3357"/>
    <w:rsid w:val="00CA4A9C"/>
    <w:rsid w:val="00CA7DB0"/>
    <w:rsid w:val="00CB3066"/>
    <w:rsid w:val="00CB38F6"/>
    <w:rsid w:val="00CB5C9C"/>
    <w:rsid w:val="00CB630E"/>
    <w:rsid w:val="00CB63B9"/>
    <w:rsid w:val="00CB7300"/>
    <w:rsid w:val="00CB73DB"/>
    <w:rsid w:val="00CB757E"/>
    <w:rsid w:val="00CB788E"/>
    <w:rsid w:val="00CB796F"/>
    <w:rsid w:val="00CC06D0"/>
    <w:rsid w:val="00CC12D3"/>
    <w:rsid w:val="00CC196F"/>
    <w:rsid w:val="00CC1A35"/>
    <w:rsid w:val="00CC287B"/>
    <w:rsid w:val="00CC445E"/>
    <w:rsid w:val="00CC586E"/>
    <w:rsid w:val="00CC5CCA"/>
    <w:rsid w:val="00CC665F"/>
    <w:rsid w:val="00CC6743"/>
    <w:rsid w:val="00CC7132"/>
    <w:rsid w:val="00CC746D"/>
    <w:rsid w:val="00CD060C"/>
    <w:rsid w:val="00CD1B1C"/>
    <w:rsid w:val="00CD6585"/>
    <w:rsid w:val="00CD6753"/>
    <w:rsid w:val="00CE16AD"/>
    <w:rsid w:val="00CE40D1"/>
    <w:rsid w:val="00CE4EDC"/>
    <w:rsid w:val="00CE7026"/>
    <w:rsid w:val="00CE777F"/>
    <w:rsid w:val="00CE7860"/>
    <w:rsid w:val="00CF00B3"/>
    <w:rsid w:val="00CF2290"/>
    <w:rsid w:val="00CF3761"/>
    <w:rsid w:val="00CF4E0F"/>
    <w:rsid w:val="00CF518F"/>
    <w:rsid w:val="00CF5F53"/>
    <w:rsid w:val="00CF68C8"/>
    <w:rsid w:val="00D0040A"/>
    <w:rsid w:val="00D01AD1"/>
    <w:rsid w:val="00D02B45"/>
    <w:rsid w:val="00D02B88"/>
    <w:rsid w:val="00D03709"/>
    <w:rsid w:val="00D038EE"/>
    <w:rsid w:val="00D04CE2"/>
    <w:rsid w:val="00D04F30"/>
    <w:rsid w:val="00D05F26"/>
    <w:rsid w:val="00D05FB4"/>
    <w:rsid w:val="00D06EC5"/>
    <w:rsid w:val="00D1147D"/>
    <w:rsid w:val="00D116DF"/>
    <w:rsid w:val="00D13A79"/>
    <w:rsid w:val="00D147BA"/>
    <w:rsid w:val="00D14C26"/>
    <w:rsid w:val="00D15033"/>
    <w:rsid w:val="00D1680B"/>
    <w:rsid w:val="00D17476"/>
    <w:rsid w:val="00D17740"/>
    <w:rsid w:val="00D2043D"/>
    <w:rsid w:val="00D20C30"/>
    <w:rsid w:val="00D22B10"/>
    <w:rsid w:val="00D22DC2"/>
    <w:rsid w:val="00D22E61"/>
    <w:rsid w:val="00D23AB3"/>
    <w:rsid w:val="00D24947"/>
    <w:rsid w:val="00D24A8C"/>
    <w:rsid w:val="00D24F30"/>
    <w:rsid w:val="00D25BED"/>
    <w:rsid w:val="00D2782D"/>
    <w:rsid w:val="00D302EF"/>
    <w:rsid w:val="00D306DE"/>
    <w:rsid w:val="00D30AD9"/>
    <w:rsid w:val="00D31101"/>
    <w:rsid w:val="00D32CE0"/>
    <w:rsid w:val="00D338BB"/>
    <w:rsid w:val="00D34787"/>
    <w:rsid w:val="00D34F24"/>
    <w:rsid w:val="00D3579E"/>
    <w:rsid w:val="00D35BAA"/>
    <w:rsid w:val="00D35E52"/>
    <w:rsid w:val="00D43F63"/>
    <w:rsid w:val="00D4437C"/>
    <w:rsid w:val="00D4454E"/>
    <w:rsid w:val="00D45060"/>
    <w:rsid w:val="00D450B0"/>
    <w:rsid w:val="00D45A78"/>
    <w:rsid w:val="00D45F25"/>
    <w:rsid w:val="00D4616D"/>
    <w:rsid w:val="00D4680A"/>
    <w:rsid w:val="00D50939"/>
    <w:rsid w:val="00D516B5"/>
    <w:rsid w:val="00D5272B"/>
    <w:rsid w:val="00D53BF0"/>
    <w:rsid w:val="00D55797"/>
    <w:rsid w:val="00D61A3C"/>
    <w:rsid w:val="00D61BCB"/>
    <w:rsid w:val="00D61BD2"/>
    <w:rsid w:val="00D61D22"/>
    <w:rsid w:val="00D61EFF"/>
    <w:rsid w:val="00D621D0"/>
    <w:rsid w:val="00D63EB6"/>
    <w:rsid w:val="00D645FF"/>
    <w:rsid w:val="00D64675"/>
    <w:rsid w:val="00D6492B"/>
    <w:rsid w:val="00D65079"/>
    <w:rsid w:val="00D65D81"/>
    <w:rsid w:val="00D70335"/>
    <w:rsid w:val="00D705DB"/>
    <w:rsid w:val="00D70FD2"/>
    <w:rsid w:val="00D72BC8"/>
    <w:rsid w:val="00D73AE0"/>
    <w:rsid w:val="00D751CA"/>
    <w:rsid w:val="00D753A1"/>
    <w:rsid w:val="00D75933"/>
    <w:rsid w:val="00D76F74"/>
    <w:rsid w:val="00D81213"/>
    <w:rsid w:val="00D82B0C"/>
    <w:rsid w:val="00D87090"/>
    <w:rsid w:val="00D8740E"/>
    <w:rsid w:val="00D925FF"/>
    <w:rsid w:val="00D9260D"/>
    <w:rsid w:val="00D926BF"/>
    <w:rsid w:val="00D93DCC"/>
    <w:rsid w:val="00D93FF6"/>
    <w:rsid w:val="00D95A87"/>
    <w:rsid w:val="00D967C1"/>
    <w:rsid w:val="00D96CDC"/>
    <w:rsid w:val="00D974F7"/>
    <w:rsid w:val="00DA0D99"/>
    <w:rsid w:val="00DA28C0"/>
    <w:rsid w:val="00DA2A32"/>
    <w:rsid w:val="00DA47CC"/>
    <w:rsid w:val="00DA578B"/>
    <w:rsid w:val="00DB09CD"/>
    <w:rsid w:val="00DB1454"/>
    <w:rsid w:val="00DB32A7"/>
    <w:rsid w:val="00DB4426"/>
    <w:rsid w:val="00DB4C2F"/>
    <w:rsid w:val="00DB6277"/>
    <w:rsid w:val="00DB66AB"/>
    <w:rsid w:val="00DC156F"/>
    <w:rsid w:val="00DC29E0"/>
    <w:rsid w:val="00DC2FE8"/>
    <w:rsid w:val="00DC32D9"/>
    <w:rsid w:val="00DC3FA2"/>
    <w:rsid w:val="00DC43F5"/>
    <w:rsid w:val="00DC525C"/>
    <w:rsid w:val="00DC7776"/>
    <w:rsid w:val="00DC7896"/>
    <w:rsid w:val="00DD0C6B"/>
    <w:rsid w:val="00DD1038"/>
    <w:rsid w:val="00DD1278"/>
    <w:rsid w:val="00DD1383"/>
    <w:rsid w:val="00DD292D"/>
    <w:rsid w:val="00DD38D1"/>
    <w:rsid w:val="00DD69CA"/>
    <w:rsid w:val="00DD7CD1"/>
    <w:rsid w:val="00DE0136"/>
    <w:rsid w:val="00DE1973"/>
    <w:rsid w:val="00DE713D"/>
    <w:rsid w:val="00DE7F32"/>
    <w:rsid w:val="00DF05D1"/>
    <w:rsid w:val="00DF0E7F"/>
    <w:rsid w:val="00DF20A0"/>
    <w:rsid w:val="00DF2A4E"/>
    <w:rsid w:val="00DF2AAC"/>
    <w:rsid w:val="00DF2AB8"/>
    <w:rsid w:val="00DF4366"/>
    <w:rsid w:val="00DF50F5"/>
    <w:rsid w:val="00DF7857"/>
    <w:rsid w:val="00DF7C8B"/>
    <w:rsid w:val="00E003B0"/>
    <w:rsid w:val="00E006F9"/>
    <w:rsid w:val="00E011FD"/>
    <w:rsid w:val="00E017E1"/>
    <w:rsid w:val="00E043A6"/>
    <w:rsid w:val="00E04844"/>
    <w:rsid w:val="00E07DE2"/>
    <w:rsid w:val="00E12757"/>
    <w:rsid w:val="00E13D46"/>
    <w:rsid w:val="00E14FDD"/>
    <w:rsid w:val="00E2085B"/>
    <w:rsid w:val="00E22333"/>
    <w:rsid w:val="00E23F4B"/>
    <w:rsid w:val="00E26578"/>
    <w:rsid w:val="00E274A4"/>
    <w:rsid w:val="00E310B7"/>
    <w:rsid w:val="00E318B0"/>
    <w:rsid w:val="00E33938"/>
    <w:rsid w:val="00E36403"/>
    <w:rsid w:val="00E4084D"/>
    <w:rsid w:val="00E41622"/>
    <w:rsid w:val="00E42028"/>
    <w:rsid w:val="00E42C47"/>
    <w:rsid w:val="00E4342B"/>
    <w:rsid w:val="00E43711"/>
    <w:rsid w:val="00E44B25"/>
    <w:rsid w:val="00E450EE"/>
    <w:rsid w:val="00E45682"/>
    <w:rsid w:val="00E4662D"/>
    <w:rsid w:val="00E46EA2"/>
    <w:rsid w:val="00E47263"/>
    <w:rsid w:val="00E47A1C"/>
    <w:rsid w:val="00E50669"/>
    <w:rsid w:val="00E506FB"/>
    <w:rsid w:val="00E51DA5"/>
    <w:rsid w:val="00E525EE"/>
    <w:rsid w:val="00E5625F"/>
    <w:rsid w:val="00E56420"/>
    <w:rsid w:val="00E57984"/>
    <w:rsid w:val="00E57D8D"/>
    <w:rsid w:val="00E60996"/>
    <w:rsid w:val="00E60E45"/>
    <w:rsid w:val="00E60E83"/>
    <w:rsid w:val="00E613F6"/>
    <w:rsid w:val="00E619F6"/>
    <w:rsid w:val="00E62698"/>
    <w:rsid w:val="00E64AC2"/>
    <w:rsid w:val="00E7088A"/>
    <w:rsid w:val="00E72380"/>
    <w:rsid w:val="00E72595"/>
    <w:rsid w:val="00E73FAC"/>
    <w:rsid w:val="00E74DD3"/>
    <w:rsid w:val="00E75B46"/>
    <w:rsid w:val="00E76AF7"/>
    <w:rsid w:val="00E81FAC"/>
    <w:rsid w:val="00E82B08"/>
    <w:rsid w:val="00E840D8"/>
    <w:rsid w:val="00E8653A"/>
    <w:rsid w:val="00E87479"/>
    <w:rsid w:val="00E91516"/>
    <w:rsid w:val="00E92BE1"/>
    <w:rsid w:val="00E93D41"/>
    <w:rsid w:val="00E94A95"/>
    <w:rsid w:val="00E9570C"/>
    <w:rsid w:val="00EA0762"/>
    <w:rsid w:val="00EA2E28"/>
    <w:rsid w:val="00EA2EF1"/>
    <w:rsid w:val="00EA2F28"/>
    <w:rsid w:val="00EA52A1"/>
    <w:rsid w:val="00EA5805"/>
    <w:rsid w:val="00EB0EFD"/>
    <w:rsid w:val="00EB2E70"/>
    <w:rsid w:val="00EB3A1B"/>
    <w:rsid w:val="00EB478A"/>
    <w:rsid w:val="00EB4B95"/>
    <w:rsid w:val="00EC065E"/>
    <w:rsid w:val="00EC0BD6"/>
    <w:rsid w:val="00EC3C15"/>
    <w:rsid w:val="00EC3E07"/>
    <w:rsid w:val="00EC3F42"/>
    <w:rsid w:val="00EC4146"/>
    <w:rsid w:val="00EC6183"/>
    <w:rsid w:val="00EC654B"/>
    <w:rsid w:val="00EC6AAD"/>
    <w:rsid w:val="00ED479B"/>
    <w:rsid w:val="00ED66E5"/>
    <w:rsid w:val="00ED673F"/>
    <w:rsid w:val="00ED7E10"/>
    <w:rsid w:val="00EE00E0"/>
    <w:rsid w:val="00EE08D9"/>
    <w:rsid w:val="00EE1A21"/>
    <w:rsid w:val="00EE47CB"/>
    <w:rsid w:val="00EE4B10"/>
    <w:rsid w:val="00EE54D4"/>
    <w:rsid w:val="00EE5516"/>
    <w:rsid w:val="00EE6BAA"/>
    <w:rsid w:val="00EF2607"/>
    <w:rsid w:val="00EF3049"/>
    <w:rsid w:val="00EF50E4"/>
    <w:rsid w:val="00EF59F2"/>
    <w:rsid w:val="00EF5F58"/>
    <w:rsid w:val="00EF5F7D"/>
    <w:rsid w:val="00EF62C5"/>
    <w:rsid w:val="00EF6D5A"/>
    <w:rsid w:val="00EF6F0F"/>
    <w:rsid w:val="00EF733D"/>
    <w:rsid w:val="00EF7C99"/>
    <w:rsid w:val="00F00A52"/>
    <w:rsid w:val="00F02573"/>
    <w:rsid w:val="00F036F8"/>
    <w:rsid w:val="00F0397C"/>
    <w:rsid w:val="00F0405B"/>
    <w:rsid w:val="00F04B2B"/>
    <w:rsid w:val="00F05A54"/>
    <w:rsid w:val="00F1019E"/>
    <w:rsid w:val="00F10483"/>
    <w:rsid w:val="00F138A6"/>
    <w:rsid w:val="00F14EA1"/>
    <w:rsid w:val="00F15AC0"/>
    <w:rsid w:val="00F15AD1"/>
    <w:rsid w:val="00F163A4"/>
    <w:rsid w:val="00F163CB"/>
    <w:rsid w:val="00F16E1C"/>
    <w:rsid w:val="00F2139A"/>
    <w:rsid w:val="00F2142B"/>
    <w:rsid w:val="00F21EC9"/>
    <w:rsid w:val="00F220B9"/>
    <w:rsid w:val="00F22D6B"/>
    <w:rsid w:val="00F23131"/>
    <w:rsid w:val="00F23A2C"/>
    <w:rsid w:val="00F251B2"/>
    <w:rsid w:val="00F265D7"/>
    <w:rsid w:val="00F279D1"/>
    <w:rsid w:val="00F307FF"/>
    <w:rsid w:val="00F311FF"/>
    <w:rsid w:val="00F31B0D"/>
    <w:rsid w:val="00F32499"/>
    <w:rsid w:val="00F34CE5"/>
    <w:rsid w:val="00F368AE"/>
    <w:rsid w:val="00F36D09"/>
    <w:rsid w:val="00F401A9"/>
    <w:rsid w:val="00F4239B"/>
    <w:rsid w:val="00F433D3"/>
    <w:rsid w:val="00F443DD"/>
    <w:rsid w:val="00F45C8E"/>
    <w:rsid w:val="00F466E0"/>
    <w:rsid w:val="00F46B40"/>
    <w:rsid w:val="00F46FF9"/>
    <w:rsid w:val="00F50EAE"/>
    <w:rsid w:val="00F51F3A"/>
    <w:rsid w:val="00F525B2"/>
    <w:rsid w:val="00F53438"/>
    <w:rsid w:val="00F537B0"/>
    <w:rsid w:val="00F545D0"/>
    <w:rsid w:val="00F548BF"/>
    <w:rsid w:val="00F55DAE"/>
    <w:rsid w:val="00F56A6F"/>
    <w:rsid w:val="00F5751D"/>
    <w:rsid w:val="00F57AF8"/>
    <w:rsid w:val="00F61505"/>
    <w:rsid w:val="00F61E9D"/>
    <w:rsid w:val="00F63699"/>
    <w:rsid w:val="00F63D92"/>
    <w:rsid w:val="00F64B6E"/>
    <w:rsid w:val="00F650CB"/>
    <w:rsid w:val="00F65E52"/>
    <w:rsid w:val="00F65EBB"/>
    <w:rsid w:val="00F666E2"/>
    <w:rsid w:val="00F67935"/>
    <w:rsid w:val="00F70D2D"/>
    <w:rsid w:val="00F718DC"/>
    <w:rsid w:val="00F72553"/>
    <w:rsid w:val="00F72865"/>
    <w:rsid w:val="00F72DFB"/>
    <w:rsid w:val="00F73F91"/>
    <w:rsid w:val="00F7532D"/>
    <w:rsid w:val="00F77342"/>
    <w:rsid w:val="00F77815"/>
    <w:rsid w:val="00F82168"/>
    <w:rsid w:val="00F832D8"/>
    <w:rsid w:val="00F83E8D"/>
    <w:rsid w:val="00F8418E"/>
    <w:rsid w:val="00F84DE9"/>
    <w:rsid w:val="00F878A6"/>
    <w:rsid w:val="00F87C4F"/>
    <w:rsid w:val="00F91B81"/>
    <w:rsid w:val="00F91FBD"/>
    <w:rsid w:val="00F926AB"/>
    <w:rsid w:val="00F927C3"/>
    <w:rsid w:val="00F93593"/>
    <w:rsid w:val="00F93E09"/>
    <w:rsid w:val="00F949AA"/>
    <w:rsid w:val="00F95F4B"/>
    <w:rsid w:val="00F9726A"/>
    <w:rsid w:val="00F979FA"/>
    <w:rsid w:val="00FA13A1"/>
    <w:rsid w:val="00FA2703"/>
    <w:rsid w:val="00FA28D0"/>
    <w:rsid w:val="00FA338B"/>
    <w:rsid w:val="00FB2198"/>
    <w:rsid w:val="00FB310F"/>
    <w:rsid w:val="00FB3E94"/>
    <w:rsid w:val="00FB42F1"/>
    <w:rsid w:val="00FB4997"/>
    <w:rsid w:val="00FB68F3"/>
    <w:rsid w:val="00FB6E9A"/>
    <w:rsid w:val="00FB7184"/>
    <w:rsid w:val="00FB76D3"/>
    <w:rsid w:val="00FC102D"/>
    <w:rsid w:val="00FC213E"/>
    <w:rsid w:val="00FC2F4B"/>
    <w:rsid w:val="00FC4585"/>
    <w:rsid w:val="00FC4D3E"/>
    <w:rsid w:val="00FC4E27"/>
    <w:rsid w:val="00FC7327"/>
    <w:rsid w:val="00FD0E84"/>
    <w:rsid w:val="00FD18AC"/>
    <w:rsid w:val="00FD20B5"/>
    <w:rsid w:val="00FD3538"/>
    <w:rsid w:val="00FD3D8E"/>
    <w:rsid w:val="00FD402B"/>
    <w:rsid w:val="00FD4217"/>
    <w:rsid w:val="00FD44C8"/>
    <w:rsid w:val="00FD4C76"/>
    <w:rsid w:val="00FD6F68"/>
    <w:rsid w:val="00FD7777"/>
    <w:rsid w:val="00FE0E77"/>
    <w:rsid w:val="00FE3BE9"/>
    <w:rsid w:val="00FE4FBF"/>
    <w:rsid w:val="00FE5040"/>
    <w:rsid w:val="00FE5750"/>
    <w:rsid w:val="00FE5E64"/>
    <w:rsid w:val="00FF002D"/>
    <w:rsid w:val="00FF0738"/>
    <w:rsid w:val="00FF087D"/>
    <w:rsid w:val="00FF19EC"/>
    <w:rsid w:val="00FF1F4E"/>
    <w:rsid w:val="00FF1F5C"/>
    <w:rsid w:val="00FF2D31"/>
    <w:rsid w:val="00FF3A7B"/>
    <w:rsid w:val="00FF480D"/>
    <w:rsid w:val="00FF5518"/>
    <w:rsid w:val="00FF62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FBA"/>
    <w:rPr>
      <w:rFonts w:ascii="Arial" w:hAnsi="Arial"/>
      <w:sz w:val="16"/>
      <w:szCs w:val="24"/>
    </w:rPr>
  </w:style>
  <w:style w:type="paragraph" w:styleId="berschrift1">
    <w:name w:val="heading 1"/>
    <w:basedOn w:val="Standard"/>
    <w:link w:val="berschrift1Zchn"/>
    <w:uiPriority w:val="9"/>
    <w:qFormat/>
    <w:rsid w:val="009064E9"/>
    <w:pPr>
      <w:spacing w:before="840" w:after="240"/>
      <w:outlineLvl w:val="0"/>
    </w:pPr>
    <w:rPr>
      <w:b/>
      <w:bCs/>
      <w:kern w:val="36"/>
      <w:sz w:val="28"/>
      <w:szCs w:val="28"/>
    </w:rPr>
  </w:style>
  <w:style w:type="paragraph" w:styleId="berschrift2">
    <w:name w:val="heading 2"/>
    <w:basedOn w:val="Standard"/>
    <w:link w:val="berschrift2Zchn"/>
    <w:uiPriority w:val="9"/>
    <w:qFormat/>
    <w:rsid w:val="009064E9"/>
    <w:pPr>
      <w:spacing w:before="720" w:after="240"/>
      <w:outlineLvl w:val="1"/>
    </w:pPr>
    <w:rPr>
      <w:b/>
      <w:bCs/>
      <w:color w:val="000000"/>
      <w:sz w:val="26"/>
      <w:szCs w:val="26"/>
    </w:rPr>
  </w:style>
  <w:style w:type="paragraph" w:styleId="berschrift3">
    <w:name w:val="heading 3"/>
    <w:basedOn w:val="Standard"/>
    <w:link w:val="berschrift3Zchn"/>
    <w:uiPriority w:val="9"/>
    <w:qFormat/>
    <w:rsid w:val="00144EB3"/>
    <w:pPr>
      <w:keepNext/>
      <w:spacing w:before="600" w:after="240"/>
      <w:outlineLvl w:val="2"/>
    </w:pPr>
    <w:rPr>
      <w:b/>
      <w:bCs/>
      <w:sz w:val="24"/>
    </w:rPr>
  </w:style>
  <w:style w:type="paragraph" w:styleId="berschrift4">
    <w:name w:val="heading 4"/>
    <w:basedOn w:val="Standard"/>
    <w:link w:val="berschrift4Zchn"/>
    <w:uiPriority w:val="9"/>
    <w:qFormat/>
    <w:rsid w:val="00144EB3"/>
    <w:pPr>
      <w:keepNext/>
      <w:spacing w:before="480" w:after="240"/>
      <w:outlineLvl w:val="3"/>
    </w:pPr>
    <w:rPr>
      <w:b/>
      <w:bCs/>
      <w:sz w:val="22"/>
      <w:szCs w:val="22"/>
    </w:rPr>
  </w:style>
  <w:style w:type="paragraph" w:styleId="berschrift5">
    <w:name w:val="heading 5"/>
    <w:basedOn w:val="Standard"/>
    <w:link w:val="berschrift5Zchn"/>
    <w:uiPriority w:val="9"/>
    <w:qFormat/>
    <w:rsid w:val="00144EB3"/>
    <w:pPr>
      <w:keepNext/>
      <w:spacing w:before="360" w:after="240"/>
      <w:outlineLvl w:val="4"/>
    </w:pPr>
    <w:rPr>
      <w:b/>
      <w:bCs/>
      <w:sz w:val="20"/>
      <w:szCs w:val="20"/>
    </w:rPr>
  </w:style>
  <w:style w:type="paragraph" w:styleId="berschrift6">
    <w:name w:val="heading 6"/>
    <w:basedOn w:val="Standard"/>
    <w:link w:val="berschrift6Zchn"/>
    <w:uiPriority w:val="9"/>
    <w:qFormat/>
    <w:rsid w:val="00144EB3"/>
    <w:pPr>
      <w:keepNext/>
      <w:spacing w:before="240" w:after="240"/>
      <w:outlineLvl w:val="5"/>
    </w:pPr>
    <w:rPr>
      <w:b/>
      <w:bCs/>
      <w:sz w:val="18"/>
      <w:szCs w:val="15"/>
    </w:rPr>
  </w:style>
  <w:style w:type="paragraph" w:styleId="berschrift7">
    <w:name w:val="heading 7"/>
    <w:basedOn w:val="Standard"/>
    <w:next w:val="Standard"/>
    <w:link w:val="berschrift7Zchn"/>
    <w:uiPriority w:val="9"/>
    <w:unhideWhenUsed/>
    <w:qFormat/>
    <w:rsid w:val="008424F4"/>
    <w:pPr>
      <w:spacing w:before="240" w:after="60"/>
      <w:outlineLvl w:val="6"/>
    </w:pPr>
    <w:rPr>
      <w:b/>
      <w:sz w:val="18"/>
    </w:rPr>
  </w:style>
  <w:style w:type="paragraph" w:styleId="berschrift8">
    <w:name w:val="heading 8"/>
    <w:basedOn w:val="Standard"/>
    <w:next w:val="Standard"/>
    <w:link w:val="berschrift8Zchn"/>
    <w:uiPriority w:val="9"/>
    <w:unhideWhenUsed/>
    <w:qFormat/>
    <w:rsid w:val="0054275E"/>
    <w:pPr>
      <w:spacing w:before="240" w:after="60"/>
      <w:outlineLvl w:val="7"/>
    </w:pPr>
    <w:rPr>
      <w:rFonts w:ascii="Calibri" w:hAnsi="Calibri"/>
      <w:i/>
      <w:iCs/>
      <w:sz w:val="24"/>
    </w:rPr>
  </w:style>
  <w:style w:type="paragraph" w:styleId="berschrift9">
    <w:name w:val="heading 9"/>
    <w:basedOn w:val="Standard"/>
    <w:next w:val="Standard"/>
    <w:link w:val="berschrift9Zchn"/>
    <w:uiPriority w:val="9"/>
    <w:unhideWhenUsed/>
    <w:qFormat/>
    <w:rsid w:val="0054275E"/>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9064E9"/>
    <w:rPr>
      <w:rFonts w:ascii="Arial" w:hAnsi="Arial"/>
      <w:b/>
      <w:kern w:val="36"/>
      <w:sz w:val="28"/>
    </w:rPr>
  </w:style>
  <w:style w:type="character" w:customStyle="1" w:styleId="berschrift2Zchn">
    <w:name w:val="Überschrift 2 Zchn"/>
    <w:link w:val="berschrift2"/>
    <w:uiPriority w:val="9"/>
    <w:locked/>
    <w:rsid w:val="009064E9"/>
    <w:rPr>
      <w:rFonts w:ascii="Arial" w:hAnsi="Arial"/>
      <w:b/>
      <w:color w:val="000000"/>
      <w:sz w:val="26"/>
    </w:rPr>
  </w:style>
  <w:style w:type="character" w:customStyle="1" w:styleId="berschrift3Zchn">
    <w:name w:val="Überschrift 3 Zchn"/>
    <w:link w:val="berschrift3"/>
    <w:uiPriority w:val="9"/>
    <w:locked/>
    <w:rsid w:val="00144EB3"/>
    <w:rPr>
      <w:rFonts w:ascii="Arial" w:hAnsi="Arial"/>
      <w:b/>
      <w:sz w:val="24"/>
      <w:lang w:val="x-none" w:eastAsia="x-none"/>
    </w:rPr>
  </w:style>
  <w:style w:type="character" w:customStyle="1" w:styleId="berschrift4Zchn">
    <w:name w:val="Überschrift 4 Zchn"/>
    <w:link w:val="berschrift4"/>
    <w:uiPriority w:val="9"/>
    <w:locked/>
    <w:rsid w:val="00144EB3"/>
    <w:rPr>
      <w:rFonts w:ascii="Arial" w:hAnsi="Arial"/>
      <w:b/>
      <w:sz w:val="22"/>
      <w:lang w:val="x-none" w:eastAsia="x-none"/>
    </w:rPr>
  </w:style>
  <w:style w:type="character" w:customStyle="1" w:styleId="berschrift5Zchn">
    <w:name w:val="Überschrift 5 Zchn"/>
    <w:link w:val="berschrift5"/>
    <w:uiPriority w:val="9"/>
    <w:locked/>
    <w:rsid w:val="00144EB3"/>
    <w:rPr>
      <w:rFonts w:ascii="Arial" w:hAnsi="Arial"/>
      <w:b/>
      <w:lang w:val="x-none" w:eastAsia="x-none"/>
    </w:rPr>
  </w:style>
  <w:style w:type="character" w:customStyle="1" w:styleId="berschrift6Zchn">
    <w:name w:val="Überschrift 6 Zchn"/>
    <w:link w:val="berschrift6"/>
    <w:uiPriority w:val="9"/>
    <w:locked/>
    <w:rsid w:val="00144EB3"/>
    <w:rPr>
      <w:rFonts w:ascii="Arial" w:hAnsi="Arial"/>
      <w:b/>
      <w:sz w:val="15"/>
      <w:lang w:val="x-none" w:eastAsia="x-none"/>
    </w:rPr>
  </w:style>
  <w:style w:type="character" w:customStyle="1" w:styleId="berschrift7Zchn">
    <w:name w:val="Überschrift 7 Zchn"/>
    <w:link w:val="berschrift7"/>
    <w:uiPriority w:val="9"/>
    <w:locked/>
    <w:rsid w:val="008424F4"/>
    <w:rPr>
      <w:rFonts w:ascii="Arial" w:hAnsi="Arial"/>
      <w:b/>
      <w:sz w:val="24"/>
      <w:lang w:val="x-none" w:eastAsia="x-none"/>
    </w:rPr>
  </w:style>
  <w:style w:type="character" w:customStyle="1" w:styleId="berschrift8Zchn">
    <w:name w:val="Überschrift 8 Zchn"/>
    <w:link w:val="berschrift8"/>
    <w:uiPriority w:val="9"/>
    <w:locked/>
    <w:rsid w:val="0054275E"/>
    <w:rPr>
      <w:rFonts w:ascii="Calibri" w:hAnsi="Calibri"/>
      <w:i/>
      <w:sz w:val="24"/>
    </w:rPr>
  </w:style>
  <w:style w:type="character" w:customStyle="1" w:styleId="berschrift9Zchn">
    <w:name w:val="Überschrift 9 Zchn"/>
    <w:link w:val="berschrift9"/>
    <w:uiPriority w:val="9"/>
    <w:locked/>
    <w:rsid w:val="0054275E"/>
    <w:rPr>
      <w:rFonts w:ascii="Cambria" w:hAnsi="Cambria"/>
      <w:sz w:val="22"/>
    </w:rPr>
  </w:style>
  <w:style w:type="character" w:styleId="Hyperlink">
    <w:name w:val="Hyperlink"/>
    <w:uiPriority w:val="99"/>
    <w:unhideWhenUsed/>
    <w:rsid w:val="0008383F"/>
    <w:rPr>
      <w:color w:val="0000FF"/>
      <w:u w:val="single"/>
    </w:rPr>
  </w:style>
  <w:style w:type="character" w:styleId="BesuchterHyperlink">
    <w:name w:val="FollowedHyperlink"/>
    <w:uiPriority w:val="99"/>
    <w:semiHidden/>
    <w:unhideWhenUsed/>
    <w:rsid w:val="0008383F"/>
    <w:rPr>
      <w:color w:val="800080"/>
      <w:u w:val="single"/>
    </w:rPr>
  </w:style>
  <w:style w:type="paragraph" w:styleId="StandardWeb">
    <w:name w:val="Normal (Web)"/>
    <w:basedOn w:val="Standard"/>
    <w:uiPriority w:val="99"/>
    <w:unhideWhenUsed/>
    <w:rsid w:val="00B1678B"/>
    <w:pPr>
      <w:jc w:val="both"/>
    </w:pPr>
  </w:style>
  <w:style w:type="paragraph" w:customStyle="1" w:styleId="sbox-bg">
    <w:name w:val="sbox-bg"/>
    <w:basedOn w:val="Standard"/>
    <w:rsid w:val="0008383F"/>
    <w:pPr>
      <w:spacing w:before="100" w:beforeAutospacing="1" w:after="100" w:afterAutospacing="1"/>
    </w:pPr>
  </w:style>
  <w:style w:type="paragraph" w:customStyle="1" w:styleId="sbox-bg-n">
    <w:name w:val="sbox-bg-n"/>
    <w:basedOn w:val="Standard"/>
    <w:rsid w:val="0008383F"/>
    <w:pPr>
      <w:spacing w:before="100" w:beforeAutospacing="1" w:after="100" w:afterAutospacing="1"/>
    </w:pPr>
  </w:style>
  <w:style w:type="paragraph" w:customStyle="1" w:styleId="sbox-bg-ne">
    <w:name w:val="sbox-bg-ne"/>
    <w:basedOn w:val="Standard"/>
    <w:rsid w:val="0008383F"/>
    <w:pPr>
      <w:spacing w:before="100" w:beforeAutospacing="1" w:after="100" w:afterAutospacing="1"/>
    </w:pPr>
  </w:style>
  <w:style w:type="paragraph" w:customStyle="1" w:styleId="sbox-bg-e">
    <w:name w:val="sbox-bg-e"/>
    <w:basedOn w:val="Standard"/>
    <w:rsid w:val="0008383F"/>
    <w:pPr>
      <w:spacing w:before="100" w:beforeAutospacing="1" w:after="100" w:afterAutospacing="1"/>
    </w:pPr>
  </w:style>
  <w:style w:type="paragraph" w:customStyle="1" w:styleId="sbox-bg-se">
    <w:name w:val="sbox-bg-se"/>
    <w:basedOn w:val="Standard"/>
    <w:rsid w:val="0008383F"/>
    <w:pPr>
      <w:spacing w:before="100" w:beforeAutospacing="1" w:after="100" w:afterAutospacing="1"/>
    </w:pPr>
  </w:style>
  <w:style w:type="paragraph" w:customStyle="1" w:styleId="sbox-bg-s">
    <w:name w:val="sbox-bg-s"/>
    <w:basedOn w:val="Standard"/>
    <w:rsid w:val="0008383F"/>
    <w:pPr>
      <w:spacing w:before="100" w:beforeAutospacing="1" w:after="100" w:afterAutospacing="1"/>
    </w:pPr>
  </w:style>
  <w:style w:type="paragraph" w:customStyle="1" w:styleId="sbox-bg-sw">
    <w:name w:val="sbox-bg-sw"/>
    <w:basedOn w:val="Standard"/>
    <w:rsid w:val="0008383F"/>
    <w:pPr>
      <w:spacing w:before="100" w:beforeAutospacing="1" w:after="100" w:afterAutospacing="1"/>
    </w:pPr>
  </w:style>
  <w:style w:type="paragraph" w:customStyle="1" w:styleId="sbox-bg-w">
    <w:name w:val="sbox-bg-w"/>
    <w:basedOn w:val="Standard"/>
    <w:rsid w:val="0008383F"/>
    <w:pPr>
      <w:spacing w:before="100" w:beforeAutospacing="1" w:after="100" w:afterAutospacing="1"/>
    </w:pPr>
  </w:style>
  <w:style w:type="paragraph" w:customStyle="1" w:styleId="sbox-bg-nw">
    <w:name w:val="sbox-bg-nw"/>
    <w:basedOn w:val="Standard"/>
    <w:rsid w:val="0008383F"/>
    <w:pPr>
      <w:spacing w:before="100" w:beforeAutospacing="1" w:after="100" w:afterAutospacing="1"/>
    </w:pPr>
  </w:style>
  <w:style w:type="paragraph" w:customStyle="1" w:styleId="system-unpublished">
    <w:name w:val="system-unpublished"/>
    <w:basedOn w:val="Standard"/>
    <w:rsid w:val="0008383F"/>
    <w:pPr>
      <w:pBdr>
        <w:top w:val="single" w:sz="12" w:space="0" w:color="C4D3DF"/>
        <w:bottom w:val="single" w:sz="12" w:space="0" w:color="C4D3DF"/>
      </w:pBdr>
      <w:shd w:val="clear" w:color="auto" w:fill="E8EDF1"/>
      <w:spacing w:before="100" w:beforeAutospacing="1" w:after="100" w:afterAutospacing="1"/>
    </w:pPr>
  </w:style>
  <w:style w:type="paragraph" w:customStyle="1" w:styleId="img-fulltext-float-right">
    <w:name w:val="img-fulltext-float-right"/>
    <w:basedOn w:val="Standard"/>
    <w:rsid w:val="0008383F"/>
    <w:pPr>
      <w:spacing w:before="100" w:beforeAutospacing="1" w:after="82"/>
      <w:ind w:left="82"/>
    </w:pPr>
  </w:style>
  <w:style w:type="paragraph" w:customStyle="1" w:styleId="img-fulltext-float-left">
    <w:name w:val="img-fulltext-float-left"/>
    <w:basedOn w:val="Standard"/>
    <w:rsid w:val="0008383F"/>
    <w:pPr>
      <w:spacing w:before="100" w:beforeAutospacing="1" w:after="82"/>
      <w:ind w:right="82"/>
    </w:pPr>
  </w:style>
  <w:style w:type="paragraph" w:customStyle="1" w:styleId="img-intro-float-right">
    <w:name w:val="img-intro-float-right"/>
    <w:basedOn w:val="Standard"/>
    <w:rsid w:val="0008383F"/>
    <w:pPr>
      <w:spacing w:before="100" w:beforeAutospacing="1" w:after="41"/>
      <w:ind w:left="41"/>
    </w:pPr>
  </w:style>
  <w:style w:type="paragraph" w:customStyle="1" w:styleId="img-intro-float-left">
    <w:name w:val="img-intro-float-left"/>
    <w:basedOn w:val="Standard"/>
    <w:rsid w:val="0008383F"/>
    <w:pPr>
      <w:spacing w:before="100" w:beforeAutospacing="1" w:after="41"/>
      <w:ind w:right="41"/>
    </w:pPr>
  </w:style>
  <w:style w:type="paragraph" w:customStyle="1" w:styleId="invalid">
    <w:name w:val="invalid"/>
    <w:basedOn w:val="Standard"/>
    <w:rsid w:val="0008383F"/>
    <w:pPr>
      <w:spacing w:before="100" w:beforeAutospacing="1" w:after="100" w:afterAutospacing="1"/>
    </w:pPr>
  </w:style>
  <w:style w:type="paragraph" w:customStyle="1" w:styleId="button2-left">
    <w:name w:val="button2-left"/>
    <w:basedOn w:val="Standard"/>
    <w:rsid w:val="0008383F"/>
    <w:pPr>
      <w:spacing w:before="100" w:beforeAutospacing="1" w:after="100" w:afterAutospacing="1"/>
      <w:ind w:left="41"/>
    </w:pPr>
  </w:style>
  <w:style w:type="paragraph" w:customStyle="1" w:styleId="button2-right">
    <w:name w:val="button2-right"/>
    <w:basedOn w:val="Standard"/>
    <w:rsid w:val="0008383F"/>
    <w:pPr>
      <w:spacing w:before="100" w:beforeAutospacing="1" w:after="100" w:afterAutospacing="1"/>
      <w:ind w:left="41"/>
    </w:pPr>
  </w:style>
  <w:style w:type="paragraph" w:customStyle="1" w:styleId="image">
    <w:name w:val="image"/>
    <w:basedOn w:val="Standard"/>
    <w:rsid w:val="0008383F"/>
    <w:pPr>
      <w:spacing w:before="100" w:beforeAutospacing="1" w:after="100" w:afterAutospacing="1"/>
    </w:pPr>
  </w:style>
  <w:style w:type="paragraph" w:customStyle="1" w:styleId="readmore">
    <w:name w:val="readmore"/>
    <w:basedOn w:val="Standard"/>
    <w:rsid w:val="0008383F"/>
    <w:pPr>
      <w:spacing w:before="100" w:beforeAutospacing="1" w:after="100" w:afterAutospacing="1"/>
    </w:pPr>
  </w:style>
  <w:style w:type="paragraph" w:customStyle="1" w:styleId="article">
    <w:name w:val="article"/>
    <w:basedOn w:val="Standard"/>
    <w:rsid w:val="0008383F"/>
    <w:pPr>
      <w:spacing w:before="100" w:beforeAutospacing="1" w:after="100" w:afterAutospacing="1"/>
    </w:pPr>
  </w:style>
  <w:style w:type="paragraph" w:customStyle="1" w:styleId="pagebreak">
    <w:name w:val="pagebreak"/>
    <w:basedOn w:val="Standard"/>
    <w:rsid w:val="0008383F"/>
    <w:pPr>
      <w:spacing w:before="100" w:beforeAutospacing="1" w:after="100" w:afterAutospacing="1"/>
    </w:pPr>
  </w:style>
  <w:style w:type="paragraph" w:customStyle="1" w:styleId="blank">
    <w:name w:val="blank"/>
    <w:basedOn w:val="Standard"/>
    <w:rsid w:val="0008383F"/>
    <w:pPr>
      <w:spacing w:before="100" w:beforeAutospacing="1" w:after="100" w:afterAutospacing="1"/>
    </w:pPr>
  </w:style>
  <w:style w:type="paragraph" w:customStyle="1" w:styleId="left">
    <w:name w:val="left"/>
    <w:basedOn w:val="Standard"/>
    <w:rsid w:val="0008383F"/>
    <w:pPr>
      <w:spacing w:before="100" w:beforeAutospacing="1" w:after="100" w:afterAutospacing="1"/>
    </w:pPr>
  </w:style>
  <w:style w:type="paragraph" w:customStyle="1" w:styleId="right">
    <w:name w:val="right"/>
    <w:basedOn w:val="Standard"/>
    <w:rsid w:val="0008383F"/>
    <w:pPr>
      <w:spacing w:before="100" w:beforeAutospacing="1" w:after="100" w:afterAutospacing="1"/>
    </w:pPr>
  </w:style>
  <w:style w:type="character" w:customStyle="1" w:styleId="highlight">
    <w:name w:val="highlight"/>
    <w:rsid w:val="0008383F"/>
    <w:rPr>
      <w:b/>
      <w:shd w:val="clear" w:color="auto" w:fill="FFFFCC"/>
    </w:rPr>
  </w:style>
  <w:style w:type="character" w:customStyle="1" w:styleId="kleinschrift1">
    <w:name w:val="kleinschrift1"/>
    <w:rsid w:val="008D2DC9"/>
    <w:rPr>
      <w:sz w:val="12"/>
    </w:rPr>
  </w:style>
  <w:style w:type="character" w:customStyle="1" w:styleId="kleinschrift">
    <w:name w:val="kleinschrift"/>
    <w:rsid w:val="008D2DC9"/>
    <w:rPr>
      <w:rFonts w:ascii="Arial" w:hAnsi="Arial"/>
      <w:sz w:val="12"/>
    </w:rPr>
  </w:style>
  <w:style w:type="character" w:styleId="Hervorhebung">
    <w:name w:val="Emphasis"/>
    <w:uiPriority w:val="20"/>
    <w:qFormat/>
    <w:rsid w:val="0008383F"/>
    <w:rPr>
      <w:i/>
    </w:rPr>
  </w:style>
  <w:style w:type="character" w:customStyle="1" w:styleId="structdoc-small">
    <w:name w:val="structdoc-small"/>
    <w:rsid w:val="00D61D22"/>
    <w:rPr>
      <w:rFonts w:ascii="Arial" w:hAnsi="Arial"/>
      <w:sz w:val="12"/>
    </w:rPr>
  </w:style>
  <w:style w:type="character" w:styleId="Fett">
    <w:name w:val="Strong"/>
    <w:uiPriority w:val="22"/>
    <w:qFormat/>
    <w:rsid w:val="0008383F"/>
    <w:rPr>
      <w:b/>
    </w:rPr>
  </w:style>
  <w:style w:type="paragraph" w:styleId="Dokumentstruktur">
    <w:name w:val="Document Map"/>
    <w:basedOn w:val="Standard"/>
    <w:link w:val="DokumentstrukturZchn"/>
    <w:uiPriority w:val="99"/>
    <w:semiHidden/>
    <w:unhideWhenUsed/>
    <w:rsid w:val="00B5560D"/>
    <w:rPr>
      <w:rFonts w:ascii="Tahoma" w:hAnsi="Tahoma"/>
      <w:szCs w:val="16"/>
    </w:rPr>
  </w:style>
  <w:style w:type="character" w:customStyle="1" w:styleId="DokumentstrukturZchn">
    <w:name w:val="Dokumentstruktur Zchn"/>
    <w:link w:val="Dokumentstruktur"/>
    <w:uiPriority w:val="99"/>
    <w:semiHidden/>
    <w:locked/>
    <w:rsid w:val="00B5560D"/>
    <w:rPr>
      <w:rFonts w:ascii="Tahoma" w:hAnsi="Tahoma"/>
      <w:sz w:val="16"/>
    </w:rPr>
  </w:style>
  <w:style w:type="paragraph" w:styleId="Kopfzeile">
    <w:name w:val="header"/>
    <w:basedOn w:val="Standard"/>
    <w:link w:val="KopfzeileZchn"/>
    <w:uiPriority w:val="99"/>
    <w:unhideWhenUsed/>
    <w:rsid w:val="00842ED7"/>
    <w:pPr>
      <w:tabs>
        <w:tab w:val="center" w:pos="4536"/>
        <w:tab w:val="right" w:pos="9072"/>
      </w:tabs>
    </w:pPr>
    <w:rPr>
      <w:sz w:val="12"/>
    </w:rPr>
  </w:style>
  <w:style w:type="character" w:customStyle="1" w:styleId="KopfzeileZchn">
    <w:name w:val="Kopfzeile Zchn"/>
    <w:link w:val="Kopfzeile"/>
    <w:uiPriority w:val="99"/>
    <w:locked/>
    <w:rsid w:val="00842ED7"/>
    <w:rPr>
      <w:rFonts w:ascii="Arial" w:hAnsi="Arial"/>
      <w:sz w:val="24"/>
    </w:rPr>
  </w:style>
  <w:style w:type="paragraph" w:styleId="Fuzeile">
    <w:name w:val="footer"/>
    <w:basedOn w:val="Standard"/>
    <w:link w:val="FuzeileZchn"/>
    <w:uiPriority w:val="99"/>
    <w:unhideWhenUsed/>
    <w:rsid w:val="00F84DE9"/>
    <w:pPr>
      <w:tabs>
        <w:tab w:val="center" w:pos="4536"/>
        <w:tab w:val="right" w:pos="9072"/>
      </w:tabs>
    </w:pPr>
    <w:rPr>
      <w:rFonts w:ascii="Times New Roman" w:hAnsi="Times New Roman"/>
      <w:sz w:val="24"/>
    </w:rPr>
  </w:style>
  <w:style w:type="character" w:customStyle="1" w:styleId="FuzeileZchn">
    <w:name w:val="Fußzeile Zchn"/>
    <w:link w:val="Fuzeile"/>
    <w:uiPriority w:val="99"/>
    <w:locked/>
    <w:rsid w:val="00F84DE9"/>
    <w:rPr>
      <w:rFonts w:eastAsia="Times New Roman"/>
      <w:sz w:val="24"/>
    </w:rPr>
  </w:style>
  <w:style w:type="table" w:styleId="Tabellenraster">
    <w:name w:val="Table Grid"/>
    <w:basedOn w:val="NormaleTabelle"/>
    <w:uiPriority w:val="59"/>
    <w:rsid w:val="00F8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499E"/>
    <w:rPr>
      <w:rFonts w:ascii="Tahoma" w:hAnsi="Tahoma"/>
      <w:szCs w:val="16"/>
    </w:rPr>
  </w:style>
  <w:style w:type="character" w:customStyle="1" w:styleId="SprechblasentextZchn">
    <w:name w:val="Sprechblasentext Zchn"/>
    <w:link w:val="Sprechblasentext"/>
    <w:uiPriority w:val="99"/>
    <w:semiHidden/>
    <w:locked/>
    <w:rsid w:val="0002499E"/>
    <w:rPr>
      <w:rFonts w:ascii="Tahoma" w:hAnsi="Tahoma"/>
      <w:sz w:val="16"/>
    </w:rPr>
  </w:style>
  <w:style w:type="paragraph" w:customStyle="1" w:styleId="small">
    <w:name w:val="small"/>
    <w:basedOn w:val="Standard"/>
    <w:rsid w:val="0002499E"/>
    <w:pPr>
      <w:spacing w:after="60"/>
    </w:pPr>
    <w:rPr>
      <w:rFonts w:cs="Arial"/>
      <w:color w:val="000000"/>
      <w:sz w:val="10"/>
      <w:szCs w:val="10"/>
    </w:rPr>
  </w:style>
  <w:style w:type="paragraph" w:customStyle="1" w:styleId="navtrack">
    <w:name w:val="navtrack"/>
    <w:basedOn w:val="Standard"/>
    <w:rsid w:val="0002499E"/>
    <w:pPr>
      <w:spacing w:after="99"/>
    </w:pPr>
    <w:rPr>
      <w:rFonts w:cs="Arial"/>
      <w:color w:val="000000"/>
      <w:sz w:val="11"/>
      <w:szCs w:val="11"/>
    </w:rPr>
  </w:style>
  <w:style w:type="paragraph" w:customStyle="1" w:styleId="image-subtitle">
    <w:name w:val="image-subtitle"/>
    <w:basedOn w:val="Standard"/>
    <w:rsid w:val="0002499E"/>
    <w:pPr>
      <w:shd w:val="clear" w:color="auto" w:fill="EEEEEE"/>
      <w:spacing w:after="99"/>
    </w:pPr>
    <w:rPr>
      <w:rFonts w:cs="Arial"/>
      <w:color w:val="000000"/>
      <w:sz w:val="11"/>
      <w:szCs w:val="11"/>
    </w:rPr>
  </w:style>
  <w:style w:type="paragraph" w:customStyle="1" w:styleId="image-copyright">
    <w:name w:val="image-copyright"/>
    <w:basedOn w:val="Standard"/>
    <w:rsid w:val="0002499E"/>
    <w:pPr>
      <w:shd w:val="clear" w:color="auto" w:fill="EEEEEE"/>
      <w:spacing w:after="99"/>
    </w:pPr>
    <w:rPr>
      <w:rFonts w:cs="Arial"/>
      <w:color w:val="999999"/>
      <w:sz w:val="9"/>
      <w:szCs w:val="9"/>
    </w:rPr>
  </w:style>
  <w:style w:type="paragraph" w:customStyle="1" w:styleId="image-tile">
    <w:name w:val="image-tile"/>
    <w:basedOn w:val="Standard"/>
    <w:rsid w:val="0002499E"/>
    <w:pPr>
      <w:shd w:val="clear" w:color="auto" w:fill="EEEEEE"/>
      <w:spacing w:after="99"/>
    </w:pPr>
    <w:rPr>
      <w:rFonts w:cs="Arial"/>
      <w:color w:val="000000"/>
      <w:sz w:val="12"/>
      <w:szCs w:val="12"/>
    </w:rPr>
  </w:style>
  <w:style w:type="paragraph" w:customStyle="1" w:styleId="sitemapl0">
    <w:name w:val="sitemapl0"/>
    <w:basedOn w:val="Standard"/>
    <w:rsid w:val="0002499E"/>
    <w:pPr>
      <w:spacing w:after="99"/>
    </w:pPr>
    <w:rPr>
      <w:rFonts w:cs="Arial"/>
      <w:b/>
      <w:bCs/>
      <w:color w:val="000000"/>
      <w:sz w:val="12"/>
      <w:szCs w:val="12"/>
    </w:rPr>
  </w:style>
  <w:style w:type="paragraph" w:customStyle="1" w:styleId="sitemapl1">
    <w:name w:val="sitemapl1"/>
    <w:basedOn w:val="Standard"/>
    <w:rsid w:val="0002499E"/>
    <w:pPr>
      <w:spacing w:after="99"/>
    </w:pPr>
    <w:rPr>
      <w:rFonts w:cs="Arial"/>
      <w:b/>
      <w:bCs/>
      <w:color w:val="CC3333"/>
      <w:sz w:val="12"/>
      <w:szCs w:val="12"/>
    </w:rPr>
  </w:style>
  <w:style w:type="paragraph" w:customStyle="1" w:styleId="sitemapl2">
    <w:name w:val="sitemapl2"/>
    <w:basedOn w:val="Standard"/>
    <w:rsid w:val="0002499E"/>
    <w:pPr>
      <w:spacing w:after="99"/>
    </w:pPr>
    <w:rPr>
      <w:rFonts w:cs="Arial"/>
      <w:color w:val="CC3333"/>
      <w:sz w:val="11"/>
      <w:szCs w:val="11"/>
    </w:rPr>
  </w:style>
  <w:style w:type="paragraph" w:customStyle="1" w:styleId="sitemapl3">
    <w:name w:val="sitemapl3"/>
    <w:basedOn w:val="Standard"/>
    <w:rsid w:val="0002499E"/>
    <w:pPr>
      <w:spacing w:after="99"/>
    </w:pPr>
    <w:rPr>
      <w:rFonts w:cs="Arial"/>
      <w:color w:val="000000"/>
      <w:sz w:val="11"/>
      <w:szCs w:val="11"/>
    </w:rPr>
  </w:style>
  <w:style w:type="paragraph" w:customStyle="1" w:styleId="bildunterschrift">
    <w:name w:val="bildunterschrift"/>
    <w:basedOn w:val="Standard"/>
    <w:rsid w:val="0002499E"/>
    <w:pPr>
      <w:shd w:val="clear" w:color="auto" w:fill="CCCCCC"/>
      <w:spacing w:after="99"/>
    </w:pPr>
    <w:rPr>
      <w:rFonts w:cs="Arial"/>
      <w:color w:val="000000"/>
      <w:sz w:val="11"/>
      <w:szCs w:val="11"/>
    </w:rPr>
  </w:style>
  <w:style w:type="paragraph" w:customStyle="1" w:styleId="copyright">
    <w:name w:val="copyright"/>
    <w:basedOn w:val="Standard"/>
    <w:rsid w:val="0002499E"/>
    <w:pPr>
      <w:shd w:val="clear" w:color="auto" w:fill="CCCCCC"/>
      <w:spacing w:after="99"/>
    </w:pPr>
    <w:rPr>
      <w:rFonts w:cs="Arial"/>
      <w:color w:val="000000"/>
      <w:sz w:val="10"/>
      <w:szCs w:val="10"/>
    </w:rPr>
  </w:style>
  <w:style w:type="paragraph" w:customStyle="1" w:styleId="editareanorm">
    <w:name w:val="editarea_norm"/>
    <w:basedOn w:val="Standard"/>
    <w:rsid w:val="0002499E"/>
    <w:rPr>
      <w:rFonts w:cs="Arial"/>
      <w:color w:val="000000"/>
      <w:sz w:val="12"/>
      <w:szCs w:val="12"/>
    </w:rPr>
  </w:style>
  <w:style w:type="paragraph" w:customStyle="1" w:styleId="editareaover">
    <w:name w:val="editarea_over"/>
    <w:basedOn w:val="Standard"/>
    <w:rsid w:val="0002499E"/>
    <w:pPr>
      <w:pBdr>
        <w:top w:val="dotted" w:sz="4" w:space="0" w:color="000000"/>
        <w:bottom w:val="dotted" w:sz="4" w:space="0" w:color="000000"/>
      </w:pBdr>
      <w:shd w:val="clear" w:color="auto" w:fill="F0F0F0"/>
    </w:pPr>
    <w:rPr>
      <w:rFonts w:cs="Arial"/>
      <w:color w:val="000000"/>
      <w:sz w:val="12"/>
      <w:szCs w:val="12"/>
    </w:rPr>
  </w:style>
  <w:style w:type="paragraph" w:customStyle="1" w:styleId="general-error">
    <w:name w:val="general-error"/>
    <w:basedOn w:val="Standard"/>
    <w:rsid w:val="0002499E"/>
    <w:pPr>
      <w:spacing w:after="99"/>
    </w:pPr>
    <w:rPr>
      <w:rFonts w:cs="Arial"/>
      <w:b/>
      <w:bCs/>
      <w:color w:val="FF0000"/>
      <w:sz w:val="12"/>
      <w:szCs w:val="12"/>
    </w:rPr>
  </w:style>
  <w:style w:type="paragraph" w:customStyle="1" w:styleId="general-info">
    <w:name w:val="general-info"/>
    <w:basedOn w:val="Standard"/>
    <w:rsid w:val="0002499E"/>
    <w:pPr>
      <w:spacing w:after="99"/>
    </w:pPr>
    <w:rPr>
      <w:rFonts w:cs="Arial"/>
      <w:color w:val="FF0000"/>
      <w:sz w:val="12"/>
      <w:szCs w:val="12"/>
    </w:rPr>
  </w:style>
  <w:style w:type="paragraph" w:customStyle="1" w:styleId="search-result-title">
    <w:name w:val="search-result-title"/>
    <w:basedOn w:val="Standard"/>
    <w:rsid w:val="0002499E"/>
    <w:pPr>
      <w:spacing w:after="99"/>
    </w:pPr>
    <w:rPr>
      <w:rFonts w:cs="Arial"/>
      <w:b/>
      <w:bCs/>
      <w:color w:val="CC3333"/>
      <w:sz w:val="12"/>
      <w:szCs w:val="12"/>
    </w:rPr>
  </w:style>
  <w:style w:type="paragraph" w:customStyle="1" w:styleId="search-result-percent">
    <w:name w:val="search-result-percent"/>
    <w:basedOn w:val="Standard"/>
    <w:rsid w:val="0002499E"/>
    <w:pPr>
      <w:spacing w:after="99"/>
    </w:pPr>
    <w:rPr>
      <w:rFonts w:cs="Arial"/>
      <w:color w:val="000000"/>
      <w:sz w:val="12"/>
      <w:szCs w:val="12"/>
    </w:rPr>
  </w:style>
  <w:style w:type="paragraph" w:customStyle="1" w:styleId="search-result-date">
    <w:name w:val="search-result-date"/>
    <w:basedOn w:val="Standard"/>
    <w:rsid w:val="0002499E"/>
    <w:pPr>
      <w:spacing w:after="99"/>
    </w:pPr>
    <w:rPr>
      <w:rFonts w:cs="Arial"/>
      <w:color w:val="000000"/>
      <w:sz w:val="12"/>
      <w:szCs w:val="12"/>
    </w:rPr>
  </w:style>
  <w:style w:type="paragraph" w:customStyle="1" w:styleId="search-result-size">
    <w:name w:val="search-result-size"/>
    <w:basedOn w:val="Standard"/>
    <w:rsid w:val="0002499E"/>
    <w:pPr>
      <w:spacing w:after="99"/>
    </w:pPr>
    <w:rPr>
      <w:rFonts w:cs="Arial"/>
      <w:color w:val="999999"/>
      <w:sz w:val="12"/>
      <w:szCs w:val="12"/>
    </w:rPr>
  </w:style>
  <w:style w:type="paragraph" w:customStyle="1" w:styleId="search-result-text">
    <w:name w:val="search-result-text"/>
    <w:basedOn w:val="Standard"/>
    <w:rsid w:val="0002499E"/>
    <w:pPr>
      <w:spacing w:after="99"/>
    </w:pPr>
    <w:rPr>
      <w:rFonts w:cs="Arial"/>
      <w:color w:val="000000"/>
      <w:sz w:val="11"/>
      <w:szCs w:val="11"/>
    </w:rPr>
  </w:style>
  <w:style w:type="paragraph" w:customStyle="1" w:styleId="search-result-link">
    <w:name w:val="search-result-link"/>
    <w:basedOn w:val="Standard"/>
    <w:rsid w:val="0002499E"/>
    <w:pPr>
      <w:spacing w:after="99"/>
    </w:pPr>
    <w:rPr>
      <w:rFonts w:cs="Arial"/>
      <w:color w:val="000000"/>
      <w:sz w:val="10"/>
      <w:szCs w:val="10"/>
    </w:rPr>
  </w:style>
  <w:style w:type="paragraph" w:customStyle="1" w:styleId="boxframe">
    <w:name w:val="boxframe"/>
    <w:basedOn w:val="Standard"/>
    <w:rsid w:val="0002499E"/>
    <w:pPr>
      <w:shd w:val="clear" w:color="auto" w:fill="77B77D"/>
      <w:spacing w:after="99"/>
    </w:pPr>
    <w:rPr>
      <w:rFonts w:cs="Arial"/>
      <w:color w:val="000000"/>
      <w:sz w:val="11"/>
      <w:szCs w:val="11"/>
    </w:rPr>
  </w:style>
  <w:style w:type="paragraph" w:customStyle="1" w:styleId="boxtitle">
    <w:name w:val="boxtitle"/>
    <w:basedOn w:val="Standard"/>
    <w:rsid w:val="0002499E"/>
    <w:pPr>
      <w:shd w:val="clear" w:color="auto" w:fill="127419"/>
      <w:spacing w:after="99"/>
    </w:pPr>
    <w:rPr>
      <w:rFonts w:cs="Arial"/>
      <w:b/>
      <w:bCs/>
      <w:color w:val="FFFFFF"/>
      <w:sz w:val="11"/>
      <w:szCs w:val="11"/>
    </w:rPr>
  </w:style>
  <w:style w:type="paragraph" w:customStyle="1" w:styleId="boxnav1">
    <w:name w:val="boxnav1"/>
    <w:basedOn w:val="Standard"/>
    <w:rsid w:val="0002499E"/>
    <w:pPr>
      <w:spacing w:after="99"/>
    </w:pPr>
    <w:rPr>
      <w:rFonts w:cs="Arial"/>
      <w:color w:val="000000"/>
      <w:sz w:val="11"/>
      <w:szCs w:val="11"/>
    </w:rPr>
  </w:style>
  <w:style w:type="paragraph" w:customStyle="1" w:styleId="boxnav1current">
    <w:name w:val="boxnav1current"/>
    <w:basedOn w:val="Standard"/>
    <w:rsid w:val="0002499E"/>
    <w:pPr>
      <w:spacing w:after="99"/>
    </w:pPr>
    <w:rPr>
      <w:rFonts w:cs="Arial"/>
      <w:b/>
      <w:bCs/>
      <w:color w:val="127419"/>
      <w:sz w:val="11"/>
      <w:szCs w:val="11"/>
    </w:rPr>
  </w:style>
  <w:style w:type="paragraph" w:customStyle="1" w:styleId="boxnav2">
    <w:name w:val="boxnav2"/>
    <w:basedOn w:val="Standard"/>
    <w:rsid w:val="0002499E"/>
    <w:pPr>
      <w:shd w:val="clear" w:color="auto" w:fill="D1E4D3"/>
      <w:spacing w:after="99"/>
    </w:pPr>
    <w:rPr>
      <w:rFonts w:cs="Arial"/>
      <w:color w:val="000000"/>
      <w:sz w:val="11"/>
      <w:szCs w:val="11"/>
    </w:rPr>
  </w:style>
  <w:style w:type="paragraph" w:customStyle="1" w:styleId="boxnav2current">
    <w:name w:val="boxnav2current"/>
    <w:basedOn w:val="Standard"/>
    <w:rsid w:val="0002499E"/>
    <w:pPr>
      <w:shd w:val="clear" w:color="auto" w:fill="D1E4D3"/>
      <w:spacing w:after="99"/>
    </w:pPr>
    <w:rPr>
      <w:rFonts w:cs="Arial"/>
      <w:color w:val="127419"/>
      <w:sz w:val="11"/>
      <w:szCs w:val="11"/>
    </w:rPr>
  </w:style>
  <w:style w:type="paragraph" w:customStyle="1" w:styleId="boxnav2empty">
    <w:name w:val="boxnav2empty"/>
    <w:basedOn w:val="Standard"/>
    <w:rsid w:val="0002499E"/>
    <w:pPr>
      <w:shd w:val="clear" w:color="auto" w:fill="D1E4D3"/>
      <w:spacing w:after="99"/>
    </w:pPr>
    <w:rPr>
      <w:rFonts w:cs="Arial"/>
      <w:color w:val="000000"/>
      <w:sz w:val="11"/>
      <w:szCs w:val="11"/>
    </w:rPr>
  </w:style>
  <w:style w:type="paragraph" w:customStyle="1" w:styleId="pagefooter">
    <w:name w:val="pagefooter"/>
    <w:basedOn w:val="Standard"/>
    <w:rsid w:val="0002499E"/>
    <w:pPr>
      <w:shd w:val="clear" w:color="auto" w:fill="D1E4D3"/>
      <w:spacing w:after="99"/>
    </w:pPr>
    <w:rPr>
      <w:rFonts w:cs="Arial"/>
      <w:color w:val="000000"/>
      <w:sz w:val="11"/>
      <w:szCs w:val="11"/>
    </w:rPr>
  </w:style>
  <w:style w:type="paragraph" w:customStyle="1" w:styleId="list-item-box">
    <w:name w:val="list-item-box"/>
    <w:basedOn w:val="Standard"/>
    <w:rsid w:val="0002499E"/>
    <w:pPr>
      <w:shd w:val="clear" w:color="auto" w:fill="127419"/>
      <w:spacing w:after="99"/>
    </w:pPr>
    <w:rPr>
      <w:rFonts w:cs="Arial"/>
      <w:b/>
      <w:bCs/>
      <w:color w:val="FFFFFF"/>
      <w:sz w:val="12"/>
      <w:szCs w:val="12"/>
    </w:rPr>
  </w:style>
  <w:style w:type="paragraph" w:customStyle="1" w:styleId="list-item-headline">
    <w:name w:val="list-item-headline"/>
    <w:basedOn w:val="Standard"/>
    <w:rsid w:val="0002499E"/>
    <w:pPr>
      <w:spacing w:after="99"/>
    </w:pPr>
    <w:rPr>
      <w:rFonts w:cs="Arial"/>
      <w:b/>
      <w:bCs/>
      <w:color w:val="000000"/>
      <w:sz w:val="12"/>
      <w:szCs w:val="12"/>
    </w:rPr>
  </w:style>
  <w:style w:type="paragraph" w:customStyle="1" w:styleId="list-item-title">
    <w:name w:val="list-item-title"/>
    <w:basedOn w:val="Standard"/>
    <w:rsid w:val="0002499E"/>
    <w:pPr>
      <w:spacing w:after="99"/>
    </w:pPr>
    <w:rPr>
      <w:rFonts w:cs="Arial"/>
      <w:b/>
      <w:bCs/>
      <w:color w:val="127419"/>
      <w:sz w:val="14"/>
      <w:szCs w:val="14"/>
    </w:rPr>
  </w:style>
  <w:style w:type="paragraph" w:customStyle="1" w:styleId="list-item-subtitle">
    <w:name w:val="list-item-subtitle"/>
    <w:basedOn w:val="Standard"/>
    <w:rsid w:val="0002499E"/>
    <w:pPr>
      <w:spacing w:after="99"/>
    </w:pPr>
    <w:rPr>
      <w:rFonts w:cs="Arial"/>
      <w:b/>
      <w:bCs/>
      <w:color w:val="000000"/>
      <w:sz w:val="12"/>
      <w:szCs w:val="12"/>
    </w:rPr>
  </w:style>
  <w:style w:type="paragraph" w:customStyle="1" w:styleId="list-item-teaser">
    <w:name w:val="list-item-teaser"/>
    <w:basedOn w:val="Standard"/>
    <w:rsid w:val="0002499E"/>
    <w:pPr>
      <w:spacing w:after="99"/>
    </w:pPr>
    <w:rPr>
      <w:rFonts w:cs="Arial"/>
      <w:color w:val="000000"/>
      <w:sz w:val="12"/>
      <w:szCs w:val="12"/>
    </w:rPr>
  </w:style>
  <w:style w:type="paragraph" w:customStyle="1" w:styleId="list-item-author">
    <w:name w:val="list-item-author"/>
    <w:basedOn w:val="Standard"/>
    <w:rsid w:val="0002499E"/>
    <w:pPr>
      <w:spacing w:after="99"/>
    </w:pPr>
    <w:rPr>
      <w:rFonts w:cs="Arial"/>
      <w:color w:val="000000"/>
      <w:sz w:val="12"/>
      <w:szCs w:val="12"/>
    </w:rPr>
  </w:style>
  <w:style w:type="paragraph" w:customStyle="1" w:styleId="item-image-copyright">
    <w:name w:val="item-image-copyright"/>
    <w:basedOn w:val="Standard"/>
    <w:rsid w:val="0002499E"/>
    <w:pPr>
      <w:spacing w:after="99" w:line="99" w:lineRule="atLeast"/>
    </w:pPr>
    <w:rPr>
      <w:rFonts w:cs="Arial"/>
      <w:color w:val="000000"/>
      <w:sz w:val="8"/>
      <w:szCs w:val="8"/>
    </w:rPr>
  </w:style>
  <w:style w:type="paragraph" w:customStyle="1" w:styleId="item-image-subtitle">
    <w:name w:val="item-image-subtitle"/>
    <w:basedOn w:val="Standard"/>
    <w:rsid w:val="0002499E"/>
    <w:pPr>
      <w:spacing w:after="99" w:line="109" w:lineRule="atLeast"/>
    </w:pPr>
    <w:rPr>
      <w:rFonts w:cs="Arial"/>
      <w:color w:val="000000"/>
      <w:sz w:val="9"/>
      <w:szCs w:val="9"/>
    </w:rPr>
  </w:style>
  <w:style w:type="paragraph" w:customStyle="1" w:styleId="item-headline">
    <w:name w:val="item-headline"/>
    <w:basedOn w:val="Standard"/>
    <w:rsid w:val="0002499E"/>
    <w:pPr>
      <w:spacing w:after="99" w:line="179" w:lineRule="atLeast"/>
    </w:pPr>
    <w:rPr>
      <w:rFonts w:cs="Arial"/>
      <w:b/>
      <w:bCs/>
      <w:color w:val="000000"/>
      <w:sz w:val="14"/>
      <w:szCs w:val="14"/>
    </w:rPr>
  </w:style>
  <w:style w:type="paragraph" w:customStyle="1" w:styleId="item-title">
    <w:name w:val="item-title"/>
    <w:basedOn w:val="Standard"/>
    <w:rsid w:val="0002499E"/>
    <w:pPr>
      <w:spacing w:after="99" w:line="218" w:lineRule="atLeast"/>
    </w:pPr>
    <w:rPr>
      <w:rFonts w:cs="Arial"/>
      <w:b/>
      <w:bCs/>
      <w:color w:val="127419"/>
      <w:sz w:val="18"/>
      <w:szCs w:val="18"/>
    </w:rPr>
  </w:style>
  <w:style w:type="paragraph" w:customStyle="1" w:styleId="item-title-start">
    <w:name w:val="item-title-start"/>
    <w:basedOn w:val="Standard"/>
    <w:rsid w:val="0002499E"/>
    <w:pPr>
      <w:spacing w:after="99" w:line="218" w:lineRule="atLeast"/>
    </w:pPr>
    <w:rPr>
      <w:rFonts w:cs="Arial"/>
      <w:b/>
      <w:bCs/>
      <w:color w:val="000000"/>
      <w:sz w:val="18"/>
      <w:szCs w:val="18"/>
    </w:rPr>
  </w:style>
  <w:style w:type="paragraph" w:customStyle="1" w:styleId="item-subtitle">
    <w:name w:val="item-subtitle"/>
    <w:basedOn w:val="Standard"/>
    <w:rsid w:val="0002499E"/>
    <w:pPr>
      <w:spacing w:after="99" w:line="179" w:lineRule="atLeast"/>
    </w:pPr>
    <w:rPr>
      <w:rFonts w:cs="Arial"/>
      <w:b/>
      <w:bCs/>
      <w:color w:val="000000"/>
      <w:sz w:val="14"/>
      <w:szCs w:val="14"/>
    </w:rPr>
  </w:style>
  <w:style w:type="paragraph" w:customStyle="1" w:styleId="item-teaser">
    <w:name w:val="item-teaser"/>
    <w:basedOn w:val="Standard"/>
    <w:rsid w:val="0002499E"/>
    <w:pPr>
      <w:spacing w:after="99"/>
    </w:pPr>
    <w:rPr>
      <w:rFonts w:cs="Arial"/>
      <w:b/>
      <w:bCs/>
      <w:color w:val="000000"/>
      <w:sz w:val="12"/>
      <w:szCs w:val="12"/>
    </w:rPr>
  </w:style>
  <w:style w:type="paragraph" w:customStyle="1" w:styleId="item-date">
    <w:name w:val="item-date"/>
    <w:basedOn w:val="Standard"/>
    <w:rsid w:val="0002499E"/>
    <w:pPr>
      <w:spacing w:after="99" w:line="139" w:lineRule="atLeast"/>
    </w:pPr>
    <w:rPr>
      <w:rFonts w:cs="Arial"/>
      <w:color w:val="000000"/>
      <w:sz w:val="12"/>
      <w:szCs w:val="12"/>
    </w:rPr>
  </w:style>
  <w:style w:type="paragraph" w:customStyle="1" w:styleId="item-author">
    <w:name w:val="item-author"/>
    <w:basedOn w:val="Standard"/>
    <w:rsid w:val="0002499E"/>
    <w:pPr>
      <w:spacing w:after="99"/>
      <w:jc w:val="right"/>
    </w:pPr>
    <w:rPr>
      <w:rFonts w:cs="Arial"/>
      <w:i/>
      <w:iCs/>
      <w:color w:val="000000"/>
      <w:sz w:val="12"/>
      <w:szCs w:val="12"/>
    </w:rPr>
  </w:style>
  <w:style w:type="paragraph" w:customStyle="1" w:styleId="calth1">
    <w:name w:val="calth1"/>
    <w:basedOn w:val="Standard"/>
    <w:rsid w:val="0002499E"/>
    <w:pPr>
      <w:shd w:val="clear" w:color="auto" w:fill="127419"/>
      <w:spacing w:after="99"/>
      <w:jc w:val="center"/>
    </w:pPr>
    <w:rPr>
      <w:rFonts w:cs="Arial"/>
      <w:b/>
      <w:bCs/>
      <w:color w:val="FFFFFF"/>
      <w:szCs w:val="16"/>
    </w:rPr>
  </w:style>
  <w:style w:type="paragraph" w:customStyle="1" w:styleId="calth2">
    <w:name w:val="calth2"/>
    <w:basedOn w:val="Standard"/>
    <w:rsid w:val="0002499E"/>
    <w:pPr>
      <w:shd w:val="clear" w:color="auto" w:fill="77B77D"/>
      <w:spacing w:after="99"/>
      <w:jc w:val="center"/>
    </w:pPr>
    <w:rPr>
      <w:rFonts w:cs="Arial"/>
      <w:b/>
      <w:bCs/>
      <w:color w:val="FFFFFF"/>
      <w:szCs w:val="16"/>
    </w:rPr>
  </w:style>
  <w:style w:type="paragraph" w:customStyle="1" w:styleId="caltd1">
    <w:name w:val="caltd1"/>
    <w:basedOn w:val="Standard"/>
    <w:rsid w:val="0002499E"/>
    <w:pPr>
      <w:shd w:val="clear" w:color="auto" w:fill="D1E4D3"/>
      <w:spacing w:after="99"/>
      <w:jc w:val="center"/>
    </w:pPr>
    <w:rPr>
      <w:rFonts w:cs="Arial"/>
      <w:color w:val="000000"/>
      <w:szCs w:val="16"/>
    </w:rPr>
  </w:style>
  <w:style w:type="paragraph" w:customStyle="1" w:styleId="caltd2">
    <w:name w:val="caltd2"/>
    <w:basedOn w:val="Standard"/>
    <w:rsid w:val="0002499E"/>
    <w:pPr>
      <w:shd w:val="clear" w:color="auto" w:fill="EEEEEE"/>
      <w:spacing w:after="99"/>
      <w:jc w:val="center"/>
    </w:pPr>
    <w:rPr>
      <w:rFonts w:cs="Arial"/>
      <w:color w:val="000000"/>
      <w:szCs w:val="16"/>
    </w:rPr>
  </w:style>
  <w:style w:type="paragraph" w:customStyle="1" w:styleId="caltd3">
    <w:name w:val="caltd3"/>
    <w:basedOn w:val="Standard"/>
    <w:rsid w:val="0002499E"/>
    <w:pPr>
      <w:shd w:val="clear" w:color="auto" w:fill="77B77D"/>
      <w:spacing w:after="99"/>
      <w:jc w:val="center"/>
    </w:pPr>
    <w:rPr>
      <w:rFonts w:cs="Arial"/>
      <w:color w:val="000000"/>
      <w:szCs w:val="16"/>
    </w:rPr>
  </w:style>
  <w:style w:type="paragraph" w:customStyle="1" w:styleId="cal-list-back">
    <w:name w:val="cal-list-back"/>
    <w:basedOn w:val="Standard"/>
    <w:rsid w:val="0002499E"/>
    <w:pPr>
      <w:spacing w:after="99"/>
      <w:jc w:val="right"/>
    </w:pPr>
    <w:rPr>
      <w:rFonts w:cs="Arial"/>
      <w:color w:val="000000"/>
      <w:szCs w:val="16"/>
    </w:rPr>
  </w:style>
  <w:style w:type="paragraph" w:customStyle="1" w:styleId="gallerybody">
    <w:name w:val="gallerybody"/>
    <w:basedOn w:val="Standard"/>
    <w:rsid w:val="0002499E"/>
    <w:pPr>
      <w:shd w:val="clear" w:color="auto" w:fill="127419"/>
    </w:pPr>
    <w:rPr>
      <w:rFonts w:cs="Arial"/>
      <w:color w:val="000000"/>
      <w:sz w:val="12"/>
      <w:szCs w:val="12"/>
    </w:rPr>
  </w:style>
  <w:style w:type="paragraph" w:customStyle="1" w:styleId="galleryheadtext">
    <w:name w:val="galleryheadtext"/>
    <w:basedOn w:val="Standard"/>
    <w:rsid w:val="0002499E"/>
    <w:pPr>
      <w:spacing w:after="99"/>
    </w:pPr>
    <w:rPr>
      <w:rFonts w:cs="Arial"/>
      <w:b/>
      <w:bCs/>
      <w:color w:val="FFFFFF"/>
      <w:sz w:val="13"/>
      <w:szCs w:val="13"/>
    </w:rPr>
  </w:style>
  <w:style w:type="paragraph" w:customStyle="1" w:styleId="sitemap-top">
    <w:name w:val="sitemap-top"/>
    <w:basedOn w:val="Standard"/>
    <w:rsid w:val="0002499E"/>
    <w:pPr>
      <w:shd w:val="clear" w:color="auto" w:fill="127419"/>
      <w:spacing w:after="99"/>
    </w:pPr>
    <w:rPr>
      <w:rFonts w:cs="Arial"/>
      <w:b/>
      <w:bCs/>
      <w:color w:val="FFFFFF"/>
      <w:sz w:val="11"/>
      <w:szCs w:val="11"/>
    </w:rPr>
  </w:style>
  <w:style w:type="paragraph" w:customStyle="1" w:styleId="sitemap-level-1">
    <w:name w:val="sitemap-level-1"/>
    <w:basedOn w:val="Standard"/>
    <w:rsid w:val="0002499E"/>
    <w:pPr>
      <w:shd w:val="clear" w:color="auto" w:fill="77B77D"/>
      <w:spacing w:after="99"/>
      <w:ind w:left="60"/>
    </w:pPr>
    <w:rPr>
      <w:rFonts w:cs="Arial"/>
      <w:color w:val="FFFFFF"/>
      <w:sz w:val="11"/>
      <w:szCs w:val="11"/>
    </w:rPr>
  </w:style>
  <w:style w:type="paragraph" w:customStyle="1" w:styleId="sitemap-level-2">
    <w:name w:val="sitemap-level-2"/>
    <w:basedOn w:val="Standard"/>
    <w:rsid w:val="0002499E"/>
    <w:pPr>
      <w:pBdr>
        <w:left w:val="single" w:sz="48" w:space="5" w:color="77B77D"/>
      </w:pBdr>
      <w:shd w:val="clear" w:color="auto" w:fill="D1E4D3"/>
      <w:spacing w:after="99"/>
    </w:pPr>
    <w:rPr>
      <w:rFonts w:cs="Arial"/>
      <w:color w:val="FFFFFF"/>
      <w:sz w:val="11"/>
      <w:szCs w:val="11"/>
    </w:rPr>
  </w:style>
  <w:style w:type="paragraph" w:customStyle="1" w:styleId="sitemap-level-3">
    <w:name w:val="sitemap-level-3"/>
    <w:basedOn w:val="Standard"/>
    <w:rsid w:val="0002499E"/>
    <w:pPr>
      <w:pBdr>
        <w:left w:val="single" w:sz="48" w:space="5" w:color="77B77D"/>
      </w:pBdr>
      <w:shd w:val="clear" w:color="auto" w:fill="EEEEEE"/>
      <w:spacing w:after="99"/>
    </w:pPr>
    <w:rPr>
      <w:rFonts w:cs="Arial"/>
      <w:color w:val="767676"/>
      <w:sz w:val="11"/>
      <w:szCs w:val="11"/>
    </w:rPr>
  </w:style>
  <w:style w:type="paragraph" w:customStyle="1" w:styleId="sitemap-line-space1">
    <w:name w:val="sitemap-line-space1"/>
    <w:basedOn w:val="Standard"/>
    <w:rsid w:val="0002499E"/>
    <w:pPr>
      <w:pBdr>
        <w:left w:val="single" w:sz="18" w:space="0" w:color="77B77D"/>
      </w:pBdr>
      <w:shd w:val="clear" w:color="auto" w:fill="127419"/>
      <w:spacing w:after="99"/>
    </w:pPr>
    <w:rPr>
      <w:rFonts w:cs="Arial"/>
      <w:color w:val="000000"/>
      <w:sz w:val="12"/>
      <w:szCs w:val="12"/>
    </w:rPr>
  </w:style>
  <w:style w:type="paragraph" w:customStyle="1" w:styleId="sitemap-line-space2">
    <w:name w:val="sitemap-line-space2"/>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space3">
    <w:name w:val="sitemap-line-space3"/>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
    <w:name w:val="sitemap-line"/>
    <w:basedOn w:val="Standard"/>
    <w:rsid w:val="0002499E"/>
    <w:pPr>
      <w:shd w:val="clear" w:color="auto" w:fill="127419"/>
      <w:spacing w:after="99"/>
    </w:pPr>
    <w:rPr>
      <w:rFonts w:cs="Arial"/>
      <w:color w:val="000000"/>
      <w:sz w:val="12"/>
      <w:szCs w:val="12"/>
    </w:rPr>
  </w:style>
  <w:style w:type="paragraph" w:customStyle="1" w:styleId="sitemap-borderline">
    <w:name w:val="sitemap-borderline"/>
    <w:basedOn w:val="Standard"/>
    <w:rsid w:val="0002499E"/>
    <w:pPr>
      <w:shd w:val="clear" w:color="auto" w:fill="127419"/>
      <w:spacing w:after="99"/>
    </w:pPr>
    <w:rPr>
      <w:rFonts w:cs="Arial"/>
      <w:color w:val="000000"/>
      <w:sz w:val="12"/>
      <w:szCs w:val="12"/>
    </w:rPr>
  </w:style>
  <w:style w:type="paragraph" w:customStyle="1" w:styleId="forumth">
    <w:name w:val="forumth"/>
    <w:basedOn w:val="Standard"/>
    <w:rsid w:val="0002499E"/>
    <w:pPr>
      <w:pBdr>
        <w:bottom w:val="single" w:sz="4" w:space="0" w:color="FFFFFF"/>
        <w:right w:val="single" w:sz="4" w:space="0" w:color="FFFFFF"/>
      </w:pBdr>
      <w:shd w:val="clear" w:color="auto" w:fill="127419"/>
      <w:spacing w:after="99"/>
      <w:jc w:val="center"/>
    </w:pPr>
    <w:rPr>
      <w:rFonts w:cs="Arial"/>
      <w:b/>
      <w:bCs/>
      <w:color w:val="FFFFFF"/>
      <w:sz w:val="12"/>
      <w:szCs w:val="12"/>
    </w:rPr>
  </w:style>
  <w:style w:type="paragraph" w:customStyle="1" w:styleId="forumtd">
    <w:name w:val="forumtd"/>
    <w:basedOn w:val="Standard"/>
    <w:rsid w:val="0002499E"/>
    <w:pPr>
      <w:pBdr>
        <w:bottom w:val="single" w:sz="4" w:space="2" w:color="FFFFFF"/>
        <w:right w:val="single" w:sz="4" w:space="2" w:color="FFFFFF"/>
      </w:pBdr>
      <w:shd w:val="clear" w:color="auto" w:fill="D1E4D3"/>
      <w:spacing w:after="99"/>
    </w:pPr>
    <w:rPr>
      <w:rFonts w:cs="Arial"/>
      <w:color w:val="000000"/>
      <w:sz w:val="12"/>
      <w:szCs w:val="12"/>
    </w:rPr>
  </w:style>
  <w:style w:type="paragraph" w:customStyle="1" w:styleId="forumtd2">
    <w:name w:val="forumtd2"/>
    <w:basedOn w:val="Standard"/>
    <w:rsid w:val="0002499E"/>
    <w:pPr>
      <w:pBdr>
        <w:bottom w:val="single" w:sz="4" w:space="0" w:color="FFFFFF"/>
        <w:right w:val="single" w:sz="4" w:space="0" w:color="FFFFFF"/>
      </w:pBdr>
      <w:shd w:val="clear" w:color="auto" w:fill="77B77D"/>
      <w:spacing w:after="99"/>
      <w:jc w:val="center"/>
    </w:pPr>
    <w:rPr>
      <w:rFonts w:cs="Arial"/>
      <w:color w:val="000000"/>
      <w:sz w:val="10"/>
      <w:szCs w:val="10"/>
    </w:rPr>
  </w:style>
  <w:style w:type="paragraph" w:customStyle="1" w:styleId="forumtd3">
    <w:name w:val="forumtd3"/>
    <w:basedOn w:val="Standard"/>
    <w:rsid w:val="0002499E"/>
    <w:pPr>
      <w:pBdr>
        <w:bottom w:val="single" w:sz="4" w:space="0" w:color="FFFFFF"/>
        <w:right w:val="single" w:sz="4" w:space="0" w:color="FFFFFF"/>
      </w:pBdr>
      <w:shd w:val="clear" w:color="auto" w:fill="D1E4D3"/>
      <w:spacing w:after="99"/>
      <w:jc w:val="center"/>
    </w:pPr>
    <w:rPr>
      <w:rFonts w:cs="Arial"/>
      <w:color w:val="000000"/>
      <w:sz w:val="10"/>
      <w:szCs w:val="10"/>
    </w:rPr>
  </w:style>
  <w:style w:type="paragraph" w:customStyle="1" w:styleId="foruminputtd">
    <w:name w:val="foruminputtd"/>
    <w:basedOn w:val="Standard"/>
    <w:rsid w:val="0002499E"/>
    <w:pPr>
      <w:pBdr>
        <w:left w:val="single" w:sz="4" w:space="0" w:color="EEEEEE"/>
        <w:bottom w:val="single" w:sz="4" w:space="0" w:color="EEEEEE"/>
        <w:right w:val="single" w:sz="4" w:space="0" w:color="EEEEEE"/>
      </w:pBdr>
      <w:shd w:val="clear" w:color="auto" w:fill="FFFFFF"/>
      <w:spacing w:after="99"/>
      <w:jc w:val="right"/>
    </w:pPr>
    <w:rPr>
      <w:rFonts w:cs="Arial"/>
      <w:color w:val="000000"/>
      <w:sz w:val="12"/>
      <w:szCs w:val="12"/>
    </w:rPr>
  </w:style>
  <w:style w:type="paragraph" w:customStyle="1" w:styleId="foruminput400">
    <w:name w:val="foruminput400"/>
    <w:basedOn w:val="Standard"/>
    <w:rsid w:val="0002499E"/>
    <w:pPr>
      <w:shd w:val="clear" w:color="auto" w:fill="FFFFFF"/>
      <w:spacing w:after="99"/>
    </w:pPr>
    <w:rPr>
      <w:rFonts w:cs="Arial"/>
      <w:color w:val="000000"/>
      <w:sz w:val="12"/>
      <w:szCs w:val="12"/>
    </w:rPr>
  </w:style>
  <w:style w:type="paragraph" w:customStyle="1" w:styleId="foruminputflex">
    <w:name w:val="foruminputflex"/>
    <w:basedOn w:val="Standard"/>
    <w:rsid w:val="0002499E"/>
    <w:pPr>
      <w:shd w:val="clear" w:color="auto" w:fill="FFFFFF"/>
      <w:spacing w:after="99"/>
    </w:pPr>
    <w:rPr>
      <w:rFonts w:cs="Arial"/>
      <w:color w:val="000000"/>
      <w:sz w:val="12"/>
      <w:szCs w:val="12"/>
    </w:rPr>
  </w:style>
  <w:style w:type="paragraph" w:customStyle="1" w:styleId="foruminputlabel">
    <w:name w:val="foruminputlabel"/>
    <w:basedOn w:val="Standard"/>
    <w:rsid w:val="0002499E"/>
    <w:pPr>
      <w:pBdr>
        <w:left w:val="single" w:sz="4" w:space="0" w:color="EEEEEE"/>
        <w:bottom w:val="single" w:sz="4" w:space="0" w:color="EEEEEE"/>
      </w:pBdr>
      <w:shd w:val="clear" w:color="auto" w:fill="FAFAFA"/>
      <w:spacing w:after="99"/>
    </w:pPr>
    <w:rPr>
      <w:rFonts w:cs="Arial"/>
      <w:color w:val="000000"/>
      <w:sz w:val="12"/>
      <w:szCs w:val="12"/>
    </w:rPr>
  </w:style>
  <w:style w:type="paragraph" w:customStyle="1" w:styleId="foruminputtop">
    <w:name w:val="foruminputtop"/>
    <w:basedOn w:val="Standard"/>
    <w:rsid w:val="0002499E"/>
    <w:pPr>
      <w:pBdr>
        <w:bottom w:val="single" w:sz="4" w:space="0" w:color="EEEEEE"/>
      </w:pBdr>
      <w:spacing w:after="99"/>
    </w:pPr>
    <w:rPr>
      <w:rFonts w:cs="Arial"/>
      <w:color w:val="000000"/>
      <w:sz w:val="12"/>
      <w:szCs w:val="12"/>
    </w:rPr>
  </w:style>
  <w:style w:type="paragraph" w:customStyle="1" w:styleId="forumtd4">
    <w:name w:val="forumtd4"/>
    <w:basedOn w:val="Standard"/>
    <w:rsid w:val="0002499E"/>
    <w:pPr>
      <w:pBdr>
        <w:bottom w:val="single" w:sz="4" w:space="0" w:color="FFFFFF"/>
        <w:right w:val="single" w:sz="4" w:space="0" w:color="FFFFFF"/>
      </w:pBdr>
      <w:shd w:val="clear" w:color="auto" w:fill="D1E4D3"/>
      <w:spacing w:after="99"/>
    </w:pPr>
    <w:rPr>
      <w:rFonts w:cs="Arial"/>
      <w:color w:val="000000"/>
      <w:sz w:val="12"/>
      <w:szCs w:val="12"/>
    </w:rPr>
  </w:style>
  <w:style w:type="paragraph" w:customStyle="1" w:styleId="form-table">
    <w:name w:val="form-table"/>
    <w:basedOn w:val="Standard"/>
    <w:rsid w:val="0002499E"/>
    <w:pPr>
      <w:shd w:val="clear" w:color="auto" w:fill="FFFFFF"/>
      <w:spacing w:after="99"/>
    </w:pPr>
    <w:rPr>
      <w:rFonts w:cs="Arial"/>
      <w:color w:val="000000"/>
      <w:sz w:val="12"/>
      <w:szCs w:val="12"/>
    </w:rPr>
  </w:style>
  <w:style w:type="paragraph" w:customStyle="1" w:styleId="form-th">
    <w:name w:val="form-th"/>
    <w:basedOn w:val="Standard"/>
    <w:rsid w:val="0002499E"/>
    <w:pPr>
      <w:pBdr>
        <w:bottom w:val="single" w:sz="4" w:space="0" w:color="FFFFFF"/>
        <w:right w:val="single" w:sz="4" w:space="0" w:color="FFFFFF"/>
      </w:pBdr>
      <w:shd w:val="clear" w:color="auto" w:fill="EEEEEE"/>
      <w:spacing w:after="99"/>
    </w:pPr>
    <w:rPr>
      <w:rFonts w:cs="Arial"/>
      <w:b/>
      <w:bCs/>
      <w:color w:val="000000"/>
      <w:sz w:val="12"/>
      <w:szCs w:val="12"/>
    </w:rPr>
  </w:style>
  <w:style w:type="paragraph" w:customStyle="1" w:styleId="form-td">
    <w:name w:val="form-td"/>
    <w:basedOn w:val="Standard"/>
    <w:rsid w:val="0002499E"/>
    <w:pPr>
      <w:pBdr>
        <w:bottom w:val="single" w:sz="4" w:space="2" w:color="127419"/>
        <w:right w:val="single" w:sz="4" w:space="2" w:color="127419"/>
      </w:pBdr>
      <w:shd w:val="clear" w:color="auto" w:fill="D1E4D3"/>
      <w:spacing w:after="99"/>
    </w:pPr>
    <w:rPr>
      <w:rFonts w:cs="Arial"/>
      <w:color w:val="000000"/>
      <w:sz w:val="12"/>
      <w:szCs w:val="12"/>
    </w:rPr>
  </w:style>
  <w:style w:type="paragraph" w:customStyle="1" w:styleId="form-input-top">
    <w:name w:val="form-input-top"/>
    <w:basedOn w:val="Standard"/>
    <w:rsid w:val="0002499E"/>
    <w:pPr>
      <w:pBdr>
        <w:bottom w:val="single" w:sz="4" w:space="0" w:color="127419"/>
      </w:pBdr>
      <w:spacing w:after="99"/>
    </w:pPr>
    <w:rPr>
      <w:rFonts w:cs="Arial"/>
      <w:color w:val="000000"/>
      <w:sz w:val="12"/>
      <w:szCs w:val="12"/>
    </w:rPr>
  </w:style>
  <w:style w:type="paragraph" w:customStyle="1" w:styleId="form-input-label">
    <w:name w:val="form-input-label"/>
    <w:basedOn w:val="Standard"/>
    <w:rsid w:val="0002499E"/>
    <w:pPr>
      <w:pBdr>
        <w:left w:val="single" w:sz="4" w:space="0" w:color="127419"/>
        <w:bottom w:val="single" w:sz="4" w:space="0" w:color="127419"/>
      </w:pBdr>
      <w:shd w:val="clear" w:color="auto" w:fill="77B77D"/>
      <w:spacing w:after="99"/>
    </w:pPr>
    <w:rPr>
      <w:rFonts w:cs="Arial"/>
      <w:color w:val="000000"/>
      <w:sz w:val="12"/>
      <w:szCs w:val="12"/>
    </w:rPr>
  </w:style>
  <w:style w:type="paragraph" w:customStyle="1" w:styleId="form-input-td">
    <w:name w:val="form-input-td"/>
    <w:basedOn w:val="Standard"/>
    <w:rsid w:val="0002499E"/>
    <w:pPr>
      <w:pBdr>
        <w:left w:val="single" w:sz="4" w:space="0" w:color="127419"/>
        <w:bottom w:val="single" w:sz="4" w:space="0" w:color="127419"/>
        <w:right w:val="single" w:sz="4" w:space="0" w:color="127419"/>
      </w:pBdr>
      <w:shd w:val="clear" w:color="auto" w:fill="FFFFFF"/>
      <w:spacing w:after="99"/>
      <w:jc w:val="right"/>
    </w:pPr>
    <w:rPr>
      <w:rFonts w:cs="Arial"/>
      <w:color w:val="000000"/>
      <w:sz w:val="12"/>
      <w:szCs w:val="12"/>
    </w:rPr>
  </w:style>
  <w:style w:type="paragraph" w:customStyle="1" w:styleId="form-input-field">
    <w:name w:val="form-input-field"/>
    <w:basedOn w:val="Standard"/>
    <w:rsid w:val="0002499E"/>
    <w:pPr>
      <w:shd w:val="clear" w:color="auto" w:fill="FFFFFF"/>
      <w:spacing w:after="99"/>
    </w:pPr>
    <w:rPr>
      <w:rFonts w:cs="Arial"/>
      <w:color w:val="000000"/>
      <w:sz w:val="12"/>
      <w:szCs w:val="12"/>
    </w:rPr>
  </w:style>
  <w:style w:type="paragraph" w:customStyle="1" w:styleId="form-input-combo">
    <w:name w:val="form-input-combo"/>
    <w:basedOn w:val="Standard"/>
    <w:rsid w:val="0002499E"/>
    <w:pPr>
      <w:shd w:val="clear" w:color="auto" w:fill="FFFFFF"/>
      <w:spacing w:after="99"/>
    </w:pPr>
    <w:rPr>
      <w:rFonts w:cs="Arial"/>
      <w:color w:val="000000"/>
      <w:sz w:val="12"/>
      <w:szCs w:val="12"/>
    </w:rPr>
  </w:style>
  <w:style w:type="paragraph" w:customStyle="1" w:styleId="structdoc-normal">
    <w:name w:val="structdoc-normal"/>
    <w:basedOn w:val="Standard"/>
    <w:rsid w:val="0002499E"/>
    <w:pPr>
      <w:spacing w:after="99"/>
    </w:pPr>
    <w:rPr>
      <w:rFonts w:cs="Arial"/>
      <w:color w:val="000000"/>
      <w:sz w:val="18"/>
      <w:szCs w:val="18"/>
    </w:rPr>
  </w:style>
  <w:style w:type="paragraph" w:customStyle="1" w:styleId="structdoc-smallsuperscript">
    <w:name w:val="structdoc-smallsuperscript"/>
    <w:basedOn w:val="Standard"/>
    <w:rsid w:val="0002499E"/>
    <w:pPr>
      <w:spacing w:after="99"/>
    </w:pPr>
    <w:rPr>
      <w:rFonts w:cs="Arial"/>
      <w:color w:val="000000"/>
      <w:sz w:val="14"/>
      <w:szCs w:val="14"/>
      <w:vertAlign w:val="superscript"/>
    </w:rPr>
  </w:style>
  <w:style w:type="paragraph" w:customStyle="1" w:styleId="structdoc-elementref">
    <w:name w:val="structdoc-elementref"/>
    <w:basedOn w:val="Standard"/>
    <w:rsid w:val="0002499E"/>
    <w:pPr>
      <w:spacing w:after="99"/>
    </w:pPr>
    <w:rPr>
      <w:rFonts w:cs="Arial"/>
      <w:color w:val="127419"/>
      <w:sz w:val="12"/>
      <w:szCs w:val="12"/>
    </w:rPr>
  </w:style>
  <w:style w:type="paragraph" w:customStyle="1" w:styleId="structdoc-elementref-view">
    <w:name w:val="structdoc-elementref-view"/>
    <w:basedOn w:val="Standard"/>
    <w:rsid w:val="0002499E"/>
    <w:pPr>
      <w:spacing w:after="99"/>
    </w:pPr>
    <w:rPr>
      <w:rFonts w:cs="Arial"/>
      <w:color w:val="000000"/>
      <w:sz w:val="12"/>
      <w:szCs w:val="12"/>
    </w:rPr>
  </w:style>
  <w:style w:type="paragraph" w:customStyle="1" w:styleId="formbutton-line">
    <w:name w:val="formbutton-line"/>
    <w:basedOn w:val="Standard"/>
    <w:rsid w:val="0002499E"/>
    <w:pPr>
      <w:pBdr>
        <w:top w:val="single" w:sz="4" w:space="0" w:color="127419"/>
        <w:left w:val="single" w:sz="4" w:space="0" w:color="127419"/>
        <w:bottom w:val="single" w:sz="4" w:space="0" w:color="127419"/>
        <w:right w:val="single" w:sz="4" w:space="0" w:color="127419"/>
      </w:pBdr>
      <w:shd w:val="clear" w:color="auto" w:fill="CCCCCC"/>
      <w:spacing w:after="99"/>
    </w:pPr>
    <w:rPr>
      <w:rFonts w:cs="Arial"/>
      <w:color w:val="000000"/>
      <w:sz w:val="12"/>
      <w:szCs w:val="12"/>
    </w:rPr>
  </w:style>
  <w:style w:type="paragraph" w:customStyle="1" w:styleId="formbutton-bg">
    <w:name w:val="formbutton-bg"/>
    <w:basedOn w:val="Standard"/>
    <w:rsid w:val="0002499E"/>
    <w:pPr>
      <w:shd w:val="clear" w:color="auto" w:fill="77B77D"/>
      <w:spacing w:after="99"/>
    </w:pPr>
    <w:rPr>
      <w:rFonts w:cs="Arial"/>
      <w:color w:val="000000"/>
      <w:sz w:val="12"/>
      <w:szCs w:val="12"/>
    </w:rPr>
  </w:style>
  <w:style w:type="paragraph" w:customStyle="1" w:styleId="tarifvertragstext">
    <w:name w:val="tarifvertragstext"/>
    <w:basedOn w:val="Standard"/>
    <w:rsid w:val="0002499E"/>
    <w:pPr>
      <w:spacing w:after="99"/>
    </w:pPr>
    <w:rPr>
      <w:rFonts w:cs="Arial"/>
      <w:color w:val="000000"/>
      <w:sz w:val="12"/>
      <w:szCs w:val="12"/>
    </w:rPr>
  </w:style>
  <w:style w:type="paragraph" w:customStyle="1" w:styleId="keinleerraum">
    <w:name w:val="keinleerraum"/>
    <w:basedOn w:val="Standard"/>
    <w:rsid w:val="0002499E"/>
    <w:pPr>
      <w:spacing w:after="99"/>
    </w:pPr>
    <w:rPr>
      <w:rFonts w:cs="Arial"/>
      <w:color w:val="000000"/>
      <w:sz w:val="12"/>
      <w:szCs w:val="12"/>
    </w:rPr>
  </w:style>
  <w:style w:type="paragraph" w:customStyle="1" w:styleId="Einzeilig">
    <w:name w:val="Einzeilig"/>
    <w:basedOn w:val="StandardWeb"/>
    <w:qFormat/>
    <w:rsid w:val="00E57D8D"/>
  </w:style>
  <w:style w:type="paragraph" w:customStyle="1" w:styleId="structdoc-normal1">
    <w:name w:val="structdoc-normal1"/>
    <w:basedOn w:val="Standard"/>
    <w:rsid w:val="002068FA"/>
    <w:pPr>
      <w:spacing w:before="100" w:beforeAutospacing="1" w:after="100" w:afterAutospacing="1"/>
    </w:pPr>
  </w:style>
  <w:style w:type="paragraph" w:customStyle="1" w:styleId="lh1">
    <w:name w:val="lh1"/>
    <w:basedOn w:val="Standard"/>
    <w:rsid w:val="009167E1"/>
    <w:rPr>
      <w:rFonts w:cs="Arial"/>
      <w:b/>
      <w:sz w:val="28"/>
      <w:szCs w:val="28"/>
    </w:rPr>
  </w:style>
  <w:style w:type="paragraph" w:customStyle="1" w:styleId="lh2">
    <w:name w:val="lh2"/>
    <w:basedOn w:val="Standard"/>
    <w:rsid w:val="009167E1"/>
    <w:rPr>
      <w:rFonts w:cs="Arial"/>
      <w:szCs w:val="16"/>
    </w:rPr>
  </w:style>
  <w:style w:type="paragraph" w:customStyle="1" w:styleId="lh3">
    <w:name w:val="lh3"/>
    <w:basedOn w:val="Standard"/>
    <w:rsid w:val="00DF50F5"/>
    <w:pPr>
      <w:ind w:left="284"/>
    </w:pPr>
    <w:rPr>
      <w:rFonts w:cs="Arial"/>
      <w:szCs w:val="16"/>
    </w:rPr>
  </w:style>
  <w:style w:type="paragraph" w:customStyle="1" w:styleId="lh4">
    <w:name w:val="lh4"/>
    <w:basedOn w:val="Standard"/>
    <w:rsid w:val="00DF50F5"/>
    <w:pPr>
      <w:ind w:left="567"/>
    </w:pPr>
    <w:rPr>
      <w:rFonts w:cs="Arial"/>
      <w:szCs w:val="16"/>
    </w:rPr>
  </w:style>
  <w:style w:type="paragraph" w:customStyle="1" w:styleId="lh5">
    <w:name w:val="lh5"/>
    <w:basedOn w:val="Standard"/>
    <w:rsid w:val="00DF50F5"/>
    <w:pPr>
      <w:ind w:left="851"/>
    </w:pPr>
    <w:rPr>
      <w:rFonts w:cs="Arial"/>
      <w:szCs w:val="16"/>
    </w:rPr>
  </w:style>
  <w:style w:type="paragraph" w:customStyle="1" w:styleId="lh6">
    <w:name w:val="lh6"/>
    <w:basedOn w:val="Standard"/>
    <w:rsid w:val="00DF50F5"/>
    <w:pPr>
      <w:ind w:left="1134"/>
    </w:pPr>
    <w:rPr>
      <w:rFonts w:cs="Arial"/>
      <w:szCs w:val="16"/>
    </w:rPr>
  </w:style>
  <w:style w:type="paragraph" w:customStyle="1" w:styleId="lh7">
    <w:name w:val="lh7"/>
    <w:basedOn w:val="h7"/>
    <w:qFormat/>
    <w:rsid w:val="00FF087D"/>
    <w:pPr>
      <w:spacing w:before="0" w:after="0"/>
      <w:ind w:left="1418"/>
      <w:outlineLvl w:val="9"/>
    </w:pPr>
    <w:rPr>
      <w:b w:val="0"/>
      <w:sz w:val="16"/>
      <w:szCs w:val="16"/>
    </w:rPr>
  </w:style>
  <w:style w:type="paragraph" w:customStyle="1" w:styleId="lh8">
    <w:name w:val="lh8"/>
    <w:basedOn w:val="h8"/>
    <w:qFormat/>
    <w:rsid w:val="00FF087D"/>
    <w:pPr>
      <w:spacing w:before="0" w:after="0"/>
      <w:ind w:left="1701"/>
      <w:outlineLvl w:val="9"/>
    </w:pPr>
    <w:rPr>
      <w:b w:val="0"/>
      <w:sz w:val="16"/>
      <w:szCs w:val="16"/>
    </w:rPr>
  </w:style>
  <w:style w:type="paragraph" w:customStyle="1" w:styleId="lh9">
    <w:name w:val="lh9"/>
    <w:basedOn w:val="lh8"/>
    <w:qFormat/>
    <w:rsid w:val="00FF087D"/>
    <w:pPr>
      <w:ind w:left="1985"/>
    </w:pPr>
  </w:style>
  <w:style w:type="paragraph" w:customStyle="1" w:styleId="h7">
    <w:name w:val="h7"/>
    <w:basedOn w:val="Standard"/>
    <w:rsid w:val="00144EB3"/>
    <w:pPr>
      <w:keepNext/>
      <w:spacing w:before="240" w:after="240"/>
      <w:jc w:val="center"/>
      <w:outlineLvl w:val="6"/>
    </w:pPr>
    <w:rPr>
      <w:rFonts w:cs="Arial"/>
      <w:b/>
      <w:sz w:val="18"/>
      <w:szCs w:val="18"/>
    </w:rPr>
  </w:style>
  <w:style w:type="paragraph" w:customStyle="1" w:styleId="h8">
    <w:name w:val="h8"/>
    <w:basedOn w:val="Standard"/>
    <w:rsid w:val="00144EB3"/>
    <w:pPr>
      <w:keepNext/>
      <w:spacing w:before="240" w:after="240"/>
      <w:outlineLvl w:val="7"/>
    </w:pPr>
    <w:rPr>
      <w:rFonts w:cs="Arial"/>
      <w:b/>
      <w:sz w:val="18"/>
      <w:szCs w:val="18"/>
    </w:rPr>
  </w:style>
  <w:style w:type="paragraph" w:customStyle="1" w:styleId="h9">
    <w:name w:val="h9"/>
    <w:basedOn w:val="h8"/>
    <w:uiPriority w:val="99"/>
    <w:qFormat/>
    <w:rsid w:val="00FF087D"/>
  </w:style>
  <w:style w:type="paragraph" w:customStyle="1" w:styleId="text">
    <w:name w:val="text"/>
    <w:basedOn w:val="Standard"/>
    <w:rsid w:val="009C6551"/>
    <w:pPr>
      <w:spacing w:before="100" w:beforeAutospacing="1" w:after="100" w:afterAutospacing="1"/>
      <w:jc w:val="both"/>
    </w:pPr>
    <w:rPr>
      <w:rFonts w:ascii="Times New Roman" w:hAnsi="Times New Roman"/>
      <w:sz w:val="24"/>
    </w:rPr>
  </w:style>
  <w:style w:type="paragraph" w:customStyle="1" w:styleId="hyphenate">
    <w:name w:val="hyphenate"/>
    <w:basedOn w:val="Standard"/>
    <w:rsid w:val="009C6551"/>
    <w:pPr>
      <w:spacing w:before="100" w:beforeAutospacing="1" w:after="100" w:afterAutospacing="1"/>
    </w:pPr>
    <w:rPr>
      <w:rFonts w:ascii="Times New Roman" w:hAnsi="Times New Roman"/>
      <w:sz w:val="24"/>
    </w:rPr>
  </w:style>
  <w:style w:type="character" w:customStyle="1" w:styleId="kleinschrift2">
    <w:name w:val="kleinschrift2"/>
    <w:rsid w:val="009C6551"/>
  </w:style>
  <w:style w:type="character" w:customStyle="1" w:styleId="kleinschrift3">
    <w:name w:val="kleinschrift3"/>
    <w:rsid w:val="009C6551"/>
  </w:style>
  <w:style w:type="paragraph" w:styleId="Verzeichnis3">
    <w:name w:val="toc 3"/>
    <w:basedOn w:val="Standard"/>
    <w:next w:val="Standard"/>
    <w:autoRedefine/>
    <w:uiPriority w:val="39"/>
    <w:unhideWhenUsed/>
    <w:rsid w:val="00CC12D3"/>
    <w:pPr>
      <w:tabs>
        <w:tab w:val="right" w:pos="6681"/>
      </w:tabs>
      <w:spacing w:before="60"/>
      <w:ind w:left="318"/>
    </w:pPr>
    <w:rPr>
      <w:b/>
      <w:noProof/>
    </w:rPr>
  </w:style>
  <w:style w:type="paragraph" w:styleId="Verzeichnis4">
    <w:name w:val="toc 4"/>
    <w:basedOn w:val="Standard"/>
    <w:next w:val="Standard"/>
    <w:autoRedefine/>
    <w:uiPriority w:val="39"/>
    <w:unhideWhenUsed/>
    <w:rsid w:val="00FB3E94"/>
    <w:pPr>
      <w:tabs>
        <w:tab w:val="right" w:pos="6681"/>
      </w:tabs>
      <w:spacing w:before="120"/>
      <w:ind w:left="318"/>
    </w:pPr>
  </w:style>
  <w:style w:type="paragraph" w:styleId="Verzeichnis5">
    <w:name w:val="toc 5"/>
    <w:basedOn w:val="Standard"/>
    <w:next w:val="Standard"/>
    <w:autoRedefine/>
    <w:uiPriority w:val="39"/>
    <w:unhideWhenUsed/>
    <w:rsid w:val="00FA338B"/>
    <w:pPr>
      <w:tabs>
        <w:tab w:val="right" w:pos="6681"/>
      </w:tabs>
      <w:spacing w:before="60"/>
      <w:ind w:left="317"/>
    </w:pPr>
  </w:style>
  <w:style w:type="paragraph" w:styleId="Verzeichnis6">
    <w:name w:val="toc 6"/>
    <w:basedOn w:val="Standard"/>
    <w:next w:val="Standard"/>
    <w:autoRedefine/>
    <w:uiPriority w:val="39"/>
    <w:unhideWhenUsed/>
    <w:rsid w:val="00FA338B"/>
    <w:pPr>
      <w:tabs>
        <w:tab w:val="right" w:pos="6681"/>
      </w:tabs>
      <w:spacing w:before="60"/>
      <w:ind w:left="641"/>
    </w:pPr>
  </w:style>
  <w:style w:type="paragraph" w:styleId="Verzeichnis7">
    <w:name w:val="toc 7"/>
    <w:basedOn w:val="Standard"/>
    <w:next w:val="Standard"/>
    <w:autoRedefine/>
    <w:uiPriority w:val="39"/>
    <w:unhideWhenUsed/>
    <w:rsid w:val="00F45C8E"/>
    <w:pPr>
      <w:tabs>
        <w:tab w:val="right" w:pos="6681"/>
      </w:tabs>
      <w:spacing w:before="240"/>
      <w:ind w:left="958"/>
    </w:pPr>
    <w:rPr>
      <w:rFonts w:cs="Arial"/>
      <w:noProof/>
    </w:rPr>
  </w:style>
  <w:style w:type="paragraph" w:styleId="Verzeichnis8">
    <w:name w:val="toc 8"/>
    <w:basedOn w:val="Standard"/>
    <w:next w:val="Standard"/>
    <w:autoRedefine/>
    <w:uiPriority w:val="39"/>
    <w:unhideWhenUsed/>
    <w:rsid w:val="0076048D"/>
    <w:pPr>
      <w:tabs>
        <w:tab w:val="right" w:pos="6681"/>
      </w:tabs>
      <w:spacing w:before="240"/>
      <w:ind w:left="1123"/>
    </w:pPr>
  </w:style>
  <w:style w:type="paragraph" w:customStyle="1" w:styleId="Titelseite">
    <w:name w:val="Titelseite"/>
    <w:basedOn w:val="Standard"/>
    <w:qFormat/>
    <w:rsid w:val="0076048D"/>
    <w:pPr>
      <w:spacing w:before="960"/>
      <w:jc w:val="center"/>
    </w:pPr>
    <w:rPr>
      <w:sz w:val="40"/>
      <w:szCs w:val="40"/>
    </w:rPr>
  </w:style>
  <w:style w:type="paragraph" w:customStyle="1" w:styleId="TitelseiteFett">
    <w:name w:val="TitelseiteFett"/>
    <w:basedOn w:val="Titelseite"/>
    <w:qFormat/>
    <w:rsid w:val="0076048D"/>
    <w:rPr>
      <w:b/>
    </w:rPr>
  </w:style>
  <w:style w:type="paragraph" w:customStyle="1" w:styleId="TitelseiteABD">
    <w:name w:val="TitelseiteABD"/>
    <w:basedOn w:val="Titelseite"/>
    <w:qFormat/>
    <w:rsid w:val="0076048D"/>
    <w:pPr>
      <w:spacing w:before="0"/>
    </w:pPr>
  </w:style>
  <w:style w:type="paragraph" w:customStyle="1" w:styleId="TitelseiteDatum">
    <w:name w:val="TitelseiteDatum"/>
    <w:basedOn w:val="Titelseite"/>
    <w:qFormat/>
    <w:rsid w:val="0076048D"/>
    <w:rPr>
      <w:sz w:val="24"/>
      <w:szCs w:val="24"/>
    </w:rPr>
  </w:style>
  <w:style w:type="paragraph" w:styleId="Verzeichnis1">
    <w:name w:val="toc 1"/>
    <w:basedOn w:val="Standard"/>
    <w:next w:val="Standard"/>
    <w:autoRedefine/>
    <w:uiPriority w:val="39"/>
    <w:unhideWhenUsed/>
    <w:rsid w:val="00423B94"/>
    <w:pPr>
      <w:spacing w:after="100" w:line="276" w:lineRule="auto"/>
    </w:pPr>
    <w:rPr>
      <w:rFonts w:ascii="Calibri" w:hAnsi="Calibri"/>
      <w:sz w:val="22"/>
      <w:szCs w:val="22"/>
    </w:rPr>
  </w:style>
  <w:style w:type="paragraph" w:styleId="Verzeichnis2">
    <w:name w:val="toc 2"/>
    <w:basedOn w:val="Standard"/>
    <w:next w:val="Standard"/>
    <w:autoRedefine/>
    <w:uiPriority w:val="39"/>
    <w:unhideWhenUsed/>
    <w:rsid w:val="00423B94"/>
    <w:pPr>
      <w:spacing w:after="100" w:line="276" w:lineRule="auto"/>
      <w:ind w:left="220"/>
    </w:pPr>
    <w:rPr>
      <w:rFonts w:ascii="Calibri" w:hAnsi="Calibri"/>
      <w:sz w:val="22"/>
      <w:szCs w:val="22"/>
    </w:rPr>
  </w:style>
  <w:style w:type="paragraph" w:styleId="Verzeichnis9">
    <w:name w:val="toc 9"/>
    <w:basedOn w:val="Standard"/>
    <w:next w:val="Standard"/>
    <w:autoRedefine/>
    <w:uiPriority w:val="39"/>
    <w:unhideWhenUsed/>
    <w:rsid w:val="00423B94"/>
    <w:pPr>
      <w:spacing w:after="100" w:line="276" w:lineRule="auto"/>
      <w:ind w:left="1760"/>
    </w:pPr>
    <w:rPr>
      <w:rFonts w:ascii="Calibri" w:hAnsi="Calibri"/>
      <w:sz w:val="22"/>
      <w:szCs w:val="22"/>
    </w:rPr>
  </w:style>
  <w:style w:type="paragraph" w:styleId="Abbildungsverzeichnis">
    <w:name w:val="table of figures"/>
    <w:basedOn w:val="Standard"/>
    <w:next w:val="Standard"/>
    <w:uiPriority w:val="99"/>
    <w:semiHidden/>
    <w:unhideWhenUsed/>
    <w:rsid w:val="0054275E"/>
  </w:style>
  <w:style w:type="paragraph" w:styleId="Anrede">
    <w:name w:val="Salutation"/>
    <w:basedOn w:val="Standard"/>
    <w:next w:val="Standard"/>
    <w:link w:val="AnredeZchn"/>
    <w:uiPriority w:val="99"/>
    <w:semiHidden/>
    <w:unhideWhenUsed/>
    <w:rsid w:val="0054275E"/>
  </w:style>
  <w:style w:type="character" w:customStyle="1" w:styleId="AnredeZchn">
    <w:name w:val="Anrede Zchn"/>
    <w:link w:val="Anrede"/>
    <w:uiPriority w:val="99"/>
    <w:semiHidden/>
    <w:locked/>
    <w:rsid w:val="0054275E"/>
    <w:rPr>
      <w:rFonts w:ascii="Arial" w:hAnsi="Arial"/>
      <w:sz w:val="24"/>
    </w:rPr>
  </w:style>
  <w:style w:type="paragraph" w:styleId="Aufzhlungszeichen">
    <w:name w:val="List Bullet"/>
    <w:basedOn w:val="Standard"/>
    <w:uiPriority w:val="99"/>
    <w:semiHidden/>
    <w:unhideWhenUsed/>
    <w:rsid w:val="0054275E"/>
    <w:pPr>
      <w:numPr>
        <w:numId w:val="1"/>
      </w:numPr>
      <w:contextualSpacing/>
    </w:pPr>
  </w:style>
  <w:style w:type="paragraph" w:styleId="Aufzhlungszeichen2">
    <w:name w:val="List Bullet 2"/>
    <w:basedOn w:val="Standard"/>
    <w:uiPriority w:val="99"/>
    <w:semiHidden/>
    <w:unhideWhenUsed/>
    <w:rsid w:val="0054275E"/>
    <w:pPr>
      <w:numPr>
        <w:numId w:val="2"/>
      </w:numPr>
      <w:contextualSpacing/>
    </w:pPr>
  </w:style>
  <w:style w:type="paragraph" w:styleId="Aufzhlungszeichen3">
    <w:name w:val="List Bullet 3"/>
    <w:basedOn w:val="Standard"/>
    <w:uiPriority w:val="99"/>
    <w:semiHidden/>
    <w:unhideWhenUsed/>
    <w:rsid w:val="0054275E"/>
    <w:pPr>
      <w:numPr>
        <w:numId w:val="3"/>
      </w:numPr>
      <w:contextualSpacing/>
    </w:pPr>
  </w:style>
  <w:style w:type="paragraph" w:styleId="Aufzhlungszeichen4">
    <w:name w:val="List Bullet 4"/>
    <w:basedOn w:val="Standard"/>
    <w:uiPriority w:val="99"/>
    <w:semiHidden/>
    <w:unhideWhenUsed/>
    <w:rsid w:val="0054275E"/>
    <w:pPr>
      <w:numPr>
        <w:numId w:val="4"/>
      </w:numPr>
      <w:contextualSpacing/>
    </w:pPr>
  </w:style>
  <w:style w:type="paragraph" w:styleId="Aufzhlungszeichen5">
    <w:name w:val="List Bullet 5"/>
    <w:basedOn w:val="Standard"/>
    <w:uiPriority w:val="99"/>
    <w:semiHidden/>
    <w:unhideWhenUsed/>
    <w:rsid w:val="0054275E"/>
    <w:pPr>
      <w:numPr>
        <w:numId w:val="5"/>
      </w:numPr>
      <w:contextualSpacing/>
    </w:pPr>
  </w:style>
  <w:style w:type="paragraph" w:styleId="Beschriftung">
    <w:name w:val="caption"/>
    <w:basedOn w:val="Standard"/>
    <w:next w:val="Standard"/>
    <w:uiPriority w:val="35"/>
    <w:semiHidden/>
    <w:unhideWhenUsed/>
    <w:qFormat/>
    <w:rsid w:val="0054275E"/>
    <w:rPr>
      <w:b/>
      <w:bCs/>
      <w:sz w:val="20"/>
      <w:szCs w:val="20"/>
    </w:rPr>
  </w:style>
  <w:style w:type="paragraph" w:styleId="Blocktext">
    <w:name w:val="Block Text"/>
    <w:basedOn w:val="Standard"/>
    <w:uiPriority w:val="99"/>
    <w:semiHidden/>
    <w:unhideWhenUsed/>
    <w:rsid w:val="0054275E"/>
    <w:pPr>
      <w:spacing w:after="120"/>
      <w:ind w:left="1440" w:right="1440"/>
    </w:pPr>
  </w:style>
  <w:style w:type="paragraph" w:styleId="Datum">
    <w:name w:val="Date"/>
    <w:basedOn w:val="Standard"/>
    <w:next w:val="Standard"/>
    <w:link w:val="DatumZchn"/>
    <w:uiPriority w:val="99"/>
    <w:semiHidden/>
    <w:unhideWhenUsed/>
    <w:rsid w:val="0054275E"/>
  </w:style>
  <w:style w:type="character" w:customStyle="1" w:styleId="DatumZchn">
    <w:name w:val="Datum Zchn"/>
    <w:link w:val="Datum"/>
    <w:uiPriority w:val="99"/>
    <w:semiHidden/>
    <w:locked/>
    <w:rsid w:val="0054275E"/>
    <w:rPr>
      <w:rFonts w:ascii="Arial" w:hAnsi="Arial"/>
      <w:sz w:val="24"/>
    </w:rPr>
  </w:style>
  <w:style w:type="paragraph" w:styleId="E-Mail-Signatur">
    <w:name w:val="E-mail Signature"/>
    <w:basedOn w:val="Standard"/>
    <w:link w:val="E-Mail-SignaturZchn"/>
    <w:uiPriority w:val="99"/>
    <w:semiHidden/>
    <w:unhideWhenUsed/>
    <w:rsid w:val="0054275E"/>
  </w:style>
  <w:style w:type="character" w:customStyle="1" w:styleId="E-Mail-SignaturZchn">
    <w:name w:val="E-Mail-Signatur Zchn"/>
    <w:link w:val="E-Mail-Signatur"/>
    <w:uiPriority w:val="99"/>
    <w:semiHidden/>
    <w:locked/>
    <w:rsid w:val="0054275E"/>
    <w:rPr>
      <w:rFonts w:ascii="Arial" w:hAnsi="Arial"/>
      <w:sz w:val="24"/>
    </w:rPr>
  </w:style>
  <w:style w:type="paragraph" w:styleId="Endnotentext">
    <w:name w:val="endnote text"/>
    <w:basedOn w:val="Standard"/>
    <w:link w:val="EndnotentextZchn"/>
    <w:uiPriority w:val="99"/>
    <w:semiHidden/>
    <w:unhideWhenUsed/>
    <w:rsid w:val="0054275E"/>
    <w:rPr>
      <w:sz w:val="20"/>
      <w:szCs w:val="20"/>
    </w:rPr>
  </w:style>
  <w:style w:type="character" w:customStyle="1" w:styleId="EndnotentextZchn">
    <w:name w:val="Endnotentext Zchn"/>
    <w:link w:val="Endnotentext"/>
    <w:uiPriority w:val="99"/>
    <w:semiHidden/>
    <w:locked/>
    <w:rsid w:val="0054275E"/>
    <w:rPr>
      <w:rFonts w:ascii="Arial" w:hAnsi="Arial"/>
    </w:rPr>
  </w:style>
  <w:style w:type="paragraph" w:styleId="Fu-Endnotenberschrift">
    <w:name w:val="Note Heading"/>
    <w:basedOn w:val="Standard"/>
    <w:next w:val="Standard"/>
    <w:link w:val="Fu-EndnotenberschriftZchn"/>
    <w:uiPriority w:val="99"/>
    <w:semiHidden/>
    <w:unhideWhenUsed/>
    <w:rsid w:val="0054275E"/>
  </w:style>
  <w:style w:type="character" w:customStyle="1" w:styleId="Fu-EndnotenberschriftZchn">
    <w:name w:val="Fuß/-Endnotenüberschrift Zchn"/>
    <w:link w:val="Fu-Endnotenberschrift"/>
    <w:uiPriority w:val="99"/>
    <w:semiHidden/>
    <w:locked/>
    <w:rsid w:val="0054275E"/>
    <w:rPr>
      <w:rFonts w:ascii="Arial" w:hAnsi="Arial"/>
      <w:sz w:val="24"/>
    </w:rPr>
  </w:style>
  <w:style w:type="paragraph" w:styleId="Funotentext">
    <w:name w:val="footnote text"/>
    <w:basedOn w:val="Standard"/>
    <w:link w:val="FunotentextZchn"/>
    <w:uiPriority w:val="99"/>
    <w:semiHidden/>
    <w:unhideWhenUsed/>
    <w:rsid w:val="0054275E"/>
    <w:rPr>
      <w:sz w:val="20"/>
      <w:szCs w:val="20"/>
    </w:rPr>
  </w:style>
  <w:style w:type="character" w:customStyle="1" w:styleId="FunotentextZchn">
    <w:name w:val="Fußnotentext Zchn"/>
    <w:link w:val="Funotentext"/>
    <w:uiPriority w:val="99"/>
    <w:semiHidden/>
    <w:locked/>
    <w:rsid w:val="0054275E"/>
    <w:rPr>
      <w:rFonts w:ascii="Arial" w:hAnsi="Arial"/>
    </w:rPr>
  </w:style>
  <w:style w:type="paragraph" w:styleId="Gruformel">
    <w:name w:val="Closing"/>
    <w:basedOn w:val="Standard"/>
    <w:link w:val="GruformelZchn"/>
    <w:uiPriority w:val="99"/>
    <w:semiHidden/>
    <w:unhideWhenUsed/>
    <w:rsid w:val="0054275E"/>
    <w:pPr>
      <w:ind w:left="4252"/>
    </w:pPr>
  </w:style>
  <w:style w:type="character" w:customStyle="1" w:styleId="GruformelZchn">
    <w:name w:val="Grußformel Zchn"/>
    <w:link w:val="Gruformel"/>
    <w:uiPriority w:val="99"/>
    <w:semiHidden/>
    <w:locked/>
    <w:rsid w:val="0054275E"/>
    <w:rPr>
      <w:rFonts w:ascii="Arial" w:hAnsi="Arial"/>
      <w:sz w:val="24"/>
    </w:rPr>
  </w:style>
  <w:style w:type="paragraph" w:styleId="HTMLAdresse">
    <w:name w:val="HTML Address"/>
    <w:basedOn w:val="Standard"/>
    <w:link w:val="HTMLAdresseZchn"/>
    <w:uiPriority w:val="99"/>
    <w:semiHidden/>
    <w:unhideWhenUsed/>
    <w:rsid w:val="0054275E"/>
    <w:rPr>
      <w:i/>
      <w:iCs/>
    </w:rPr>
  </w:style>
  <w:style w:type="character" w:customStyle="1" w:styleId="HTMLAdresseZchn">
    <w:name w:val="HTML Adresse Zchn"/>
    <w:link w:val="HTMLAdresse"/>
    <w:uiPriority w:val="99"/>
    <w:semiHidden/>
    <w:locked/>
    <w:rsid w:val="0054275E"/>
    <w:rPr>
      <w:rFonts w:ascii="Arial" w:hAnsi="Arial"/>
      <w:i/>
      <w:sz w:val="24"/>
    </w:rPr>
  </w:style>
  <w:style w:type="paragraph" w:styleId="HTMLVorformatiert">
    <w:name w:val="HTML Preformatted"/>
    <w:basedOn w:val="Standard"/>
    <w:link w:val="HTMLVorformatiertZchn"/>
    <w:uiPriority w:val="99"/>
    <w:semiHidden/>
    <w:unhideWhenUsed/>
    <w:rsid w:val="0054275E"/>
    <w:rPr>
      <w:rFonts w:ascii="Courier New" w:hAnsi="Courier New"/>
      <w:sz w:val="20"/>
      <w:szCs w:val="20"/>
    </w:rPr>
  </w:style>
  <w:style w:type="character" w:customStyle="1" w:styleId="HTMLVorformatiertZchn">
    <w:name w:val="HTML Vorformatiert Zchn"/>
    <w:link w:val="HTMLVorformatiert"/>
    <w:uiPriority w:val="99"/>
    <w:semiHidden/>
    <w:locked/>
    <w:rsid w:val="0054275E"/>
    <w:rPr>
      <w:rFonts w:ascii="Courier New" w:hAnsi="Courier New"/>
    </w:rPr>
  </w:style>
  <w:style w:type="paragraph" w:styleId="Index1">
    <w:name w:val="index 1"/>
    <w:basedOn w:val="Standard"/>
    <w:next w:val="Standard"/>
    <w:autoRedefine/>
    <w:uiPriority w:val="99"/>
    <w:semiHidden/>
    <w:unhideWhenUsed/>
    <w:rsid w:val="0054275E"/>
    <w:pPr>
      <w:ind w:left="160" w:hanging="160"/>
    </w:pPr>
  </w:style>
  <w:style w:type="paragraph" w:styleId="Index2">
    <w:name w:val="index 2"/>
    <w:basedOn w:val="Standard"/>
    <w:next w:val="Standard"/>
    <w:autoRedefine/>
    <w:uiPriority w:val="99"/>
    <w:semiHidden/>
    <w:unhideWhenUsed/>
    <w:rsid w:val="0054275E"/>
    <w:pPr>
      <w:ind w:left="320" w:hanging="160"/>
    </w:pPr>
  </w:style>
  <w:style w:type="paragraph" w:styleId="Index3">
    <w:name w:val="index 3"/>
    <w:basedOn w:val="Standard"/>
    <w:next w:val="Standard"/>
    <w:autoRedefine/>
    <w:uiPriority w:val="99"/>
    <w:semiHidden/>
    <w:unhideWhenUsed/>
    <w:rsid w:val="0054275E"/>
    <w:pPr>
      <w:ind w:left="480" w:hanging="160"/>
    </w:pPr>
  </w:style>
  <w:style w:type="paragraph" w:styleId="Index4">
    <w:name w:val="index 4"/>
    <w:basedOn w:val="Standard"/>
    <w:next w:val="Standard"/>
    <w:autoRedefine/>
    <w:uiPriority w:val="99"/>
    <w:semiHidden/>
    <w:unhideWhenUsed/>
    <w:rsid w:val="0054275E"/>
    <w:pPr>
      <w:ind w:left="640" w:hanging="160"/>
    </w:pPr>
  </w:style>
  <w:style w:type="paragraph" w:styleId="Index5">
    <w:name w:val="index 5"/>
    <w:basedOn w:val="Standard"/>
    <w:next w:val="Standard"/>
    <w:autoRedefine/>
    <w:uiPriority w:val="99"/>
    <w:semiHidden/>
    <w:unhideWhenUsed/>
    <w:rsid w:val="0054275E"/>
    <w:pPr>
      <w:ind w:left="800" w:hanging="160"/>
    </w:pPr>
  </w:style>
  <w:style w:type="paragraph" w:styleId="Index6">
    <w:name w:val="index 6"/>
    <w:basedOn w:val="Standard"/>
    <w:next w:val="Standard"/>
    <w:autoRedefine/>
    <w:uiPriority w:val="99"/>
    <w:semiHidden/>
    <w:unhideWhenUsed/>
    <w:rsid w:val="0054275E"/>
    <w:pPr>
      <w:ind w:left="960" w:hanging="160"/>
    </w:pPr>
  </w:style>
  <w:style w:type="paragraph" w:styleId="Index7">
    <w:name w:val="index 7"/>
    <w:basedOn w:val="Standard"/>
    <w:next w:val="Standard"/>
    <w:autoRedefine/>
    <w:uiPriority w:val="99"/>
    <w:semiHidden/>
    <w:unhideWhenUsed/>
    <w:rsid w:val="0054275E"/>
    <w:pPr>
      <w:ind w:left="1120" w:hanging="160"/>
    </w:pPr>
  </w:style>
  <w:style w:type="paragraph" w:styleId="Index8">
    <w:name w:val="index 8"/>
    <w:basedOn w:val="Standard"/>
    <w:next w:val="Standard"/>
    <w:autoRedefine/>
    <w:uiPriority w:val="99"/>
    <w:semiHidden/>
    <w:unhideWhenUsed/>
    <w:rsid w:val="0054275E"/>
    <w:pPr>
      <w:ind w:left="1280" w:hanging="160"/>
    </w:pPr>
  </w:style>
  <w:style w:type="paragraph" w:styleId="Index9">
    <w:name w:val="index 9"/>
    <w:basedOn w:val="Standard"/>
    <w:next w:val="Standard"/>
    <w:autoRedefine/>
    <w:uiPriority w:val="99"/>
    <w:semiHidden/>
    <w:unhideWhenUsed/>
    <w:rsid w:val="0054275E"/>
    <w:pPr>
      <w:ind w:left="1440" w:hanging="160"/>
    </w:pPr>
  </w:style>
  <w:style w:type="paragraph" w:styleId="Indexberschrift">
    <w:name w:val="index heading"/>
    <w:basedOn w:val="Standard"/>
    <w:next w:val="Index1"/>
    <w:uiPriority w:val="99"/>
    <w:semiHidden/>
    <w:unhideWhenUsed/>
    <w:rsid w:val="0054275E"/>
    <w:rPr>
      <w:rFonts w:ascii="Cambria" w:hAnsi="Cambria"/>
      <w:b/>
      <w:bCs/>
    </w:rPr>
  </w:style>
  <w:style w:type="paragraph" w:styleId="Inhaltsverzeichnisberschrift">
    <w:name w:val="TOC Heading"/>
    <w:basedOn w:val="berschrift1"/>
    <w:next w:val="Standard"/>
    <w:uiPriority w:val="39"/>
    <w:semiHidden/>
    <w:unhideWhenUsed/>
    <w:qFormat/>
    <w:rsid w:val="0054275E"/>
    <w:pPr>
      <w:keepNext/>
      <w:spacing w:before="240" w:after="60"/>
      <w:outlineLvl w:val="9"/>
    </w:pPr>
    <w:rPr>
      <w:rFonts w:ascii="Cambria" w:hAnsi="Cambria"/>
      <w:kern w:val="32"/>
      <w:sz w:val="32"/>
      <w:szCs w:val="32"/>
    </w:rPr>
  </w:style>
  <w:style w:type="paragraph" w:styleId="IntensivesZitat">
    <w:name w:val="Intense Quote"/>
    <w:basedOn w:val="Standard"/>
    <w:next w:val="Standard"/>
    <w:link w:val="IntensivesZitatZchn"/>
    <w:uiPriority w:val="30"/>
    <w:qFormat/>
    <w:rsid w:val="0054275E"/>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locked/>
    <w:rsid w:val="0054275E"/>
    <w:rPr>
      <w:rFonts w:ascii="Arial" w:hAnsi="Arial"/>
      <w:b/>
      <w:i/>
      <w:color w:val="4F81BD"/>
      <w:sz w:val="24"/>
    </w:rPr>
  </w:style>
  <w:style w:type="paragraph" w:styleId="KeinLeerraum0">
    <w:name w:val="No Spacing"/>
    <w:uiPriority w:val="1"/>
    <w:qFormat/>
    <w:rsid w:val="0054275E"/>
    <w:rPr>
      <w:rFonts w:ascii="Arial" w:hAnsi="Arial"/>
      <w:sz w:val="16"/>
      <w:szCs w:val="24"/>
    </w:rPr>
  </w:style>
  <w:style w:type="paragraph" w:styleId="Kommentartext">
    <w:name w:val="annotation text"/>
    <w:basedOn w:val="Standard"/>
    <w:link w:val="KommentartextZchn"/>
    <w:uiPriority w:val="99"/>
    <w:semiHidden/>
    <w:unhideWhenUsed/>
    <w:rsid w:val="0054275E"/>
    <w:rPr>
      <w:sz w:val="20"/>
      <w:szCs w:val="20"/>
    </w:rPr>
  </w:style>
  <w:style w:type="character" w:customStyle="1" w:styleId="KommentartextZchn">
    <w:name w:val="Kommentartext Zchn"/>
    <w:link w:val="Kommentartext"/>
    <w:uiPriority w:val="99"/>
    <w:semiHidden/>
    <w:locked/>
    <w:rsid w:val="0054275E"/>
    <w:rPr>
      <w:rFonts w:ascii="Arial" w:hAnsi="Arial"/>
    </w:rPr>
  </w:style>
  <w:style w:type="paragraph" w:styleId="Kommentarthema">
    <w:name w:val="annotation subject"/>
    <w:basedOn w:val="Kommentartext"/>
    <w:next w:val="Kommentartext"/>
    <w:link w:val="KommentarthemaZchn"/>
    <w:uiPriority w:val="99"/>
    <w:semiHidden/>
    <w:unhideWhenUsed/>
    <w:rsid w:val="0054275E"/>
    <w:rPr>
      <w:b/>
      <w:bCs/>
    </w:rPr>
  </w:style>
  <w:style w:type="character" w:customStyle="1" w:styleId="KommentarthemaZchn">
    <w:name w:val="Kommentarthema Zchn"/>
    <w:link w:val="Kommentarthema"/>
    <w:uiPriority w:val="99"/>
    <w:semiHidden/>
    <w:locked/>
    <w:rsid w:val="0054275E"/>
    <w:rPr>
      <w:rFonts w:ascii="Arial" w:hAnsi="Arial"/>
      <w:b/>
    </w:rPr>
  </w:style>
  <w:style w:type="paragraph" w:styleId="Liste">
    <w:name w:val="List"/>
    <w:basedOn w:val="Standard"/>
    <w:uiPriority w:val="99"/>
    <w:semiHidden/>
    <w:unhideWhenUsed/>
    <w:rsid w:val="0054275E"/>
    <w:pPr>
      <w:ind w:left="283" w:hanging="283"/>
      <w:contextualSpacing/>
    </w:pPr>
  </w:style>
  <w:style w:type="paragraph" w:styleId="Liste2">
    <w:name w:val="List 2"/>
    <w:basedOn w:val="Standard"/>
    <w:uiPriority w:val="99"/>
    <w:semiHidden/>
    <w:unhideWhenUsed/>
    <w:rsid w:val="0054275E"/>
    <w:pPr>
      <w:ind w:left="566" w:hanging="283"/>
      <w:contextualSpacing/>
    </w:pPr>
  </w:style>
  <w:style w:type="paragraph" w:styleId="Liste3">
    <w:name w:val="List 3"/>
    <w:basedOn w:val="Standard"/>
    <w:uiPriority w:val="99"/>
    <w:semiHidden/>
    <w:unhideWhenUsed/>
    <w:rsid w:val="0054275E"/>
    <w:pPr>
      <w:ind w:left="849" w:hanging="283"/>
      <w:contextualSpacing/>
    </w:pPr>
  </w:style>
  <w:style w:type="paragraph" w:styleId="Liste4">
    <w:name w:val="List 4"/>
    <w:basedOn w:val="Standard"/>
    <w:uiPriority w:val="99"/>
    <w:semiHidden/>
    <w:unhideWhenUsed/>
    <w:rsid w:val="0054275E"/>
    <w:pPr>
      <w:ind w:left="1132" w:hanging="283"/>
      <w:contextualSpacing/>
    </w:pPr>
  </w:style>
  <w:style w:type="paragraph" w:styleId="Liste5">
    <w:name w:val="List 5"/>
    <w:basedOn w:val="Standard"/>
    <w:uiPriority w:val="99"/>
    <w:semiHidden/>
    <w:unhideWhenUsed/>
    <w:rsid w:val="0054275E"/>
    <w:pPr>
      <w:ind w:left="1415" w:hanging="283"/>
      <w:contextualSpacing/>
    </w:pPr>
  </w:style>
  <w:style w:type="paragraph" w:styleId="Listenabsatz">
    <w:name w:val="List Paragraph"/>
    <w:basedOn w:val="Standard"/>
    <w:uiPriority w:val="34"/>
    <w:qFormat/>
    <w:rsid w:val="0054275E"/>
    <w:pPr>
      <w:ind w:left="708"/>
    </w:pPr>
  </w:style>
  <w:style w:type="paragraph" w:styleId="Listenfortsetzung">
    <w:name w:val="List Continue"/>
    <w:basedOn w:val="Standard"/>
    <w:uiPriority w:val="99"/>
    <w:semiHidden/>
    <w:unhideWhenUsed/>
    <w:rsid w:val="0054275E"/>
    <w:pPr>
      <w:spacing w:after="120"/>
      <w:ind w:left="283"/>
      <w:contextualSpacing/>
    </w:pPr>
  </w:style>
  <w:style w:type="paragraph" w:styleId="Listenfortsetzung2">
    <w:name w:val="List Continue 2"/>
    <w:basedOn w:val="Standard"/>
    <w:uiPriority w:val="99"/>
    <w:semiHidden/>
    <w:unhideWhenUsed/>
    <w:rsid w:val="0054275E"/>
    <w:pPr>
      <w:spacing w:after="120"/>
      <w:ind w:left="566"/>
      <w:contextualSpacing/>
    </w:pPr>
  </w:style>
  <w:style w:type="paragraph" w:styleId="Listenfortsetzung3">
    <w:name w:val="List Continue 3"/>
    <w:basedOn w:val="Standard"/>
    <w:uiPriority w:val="99"/>
    <w:semiHidden/>
    <w:unhideWhenUsed/>
    <w:rsid w:val="0054275E"/>
    <w:pPr>
      <w:spacing w:after="120"/>
      <w:ind w:left="849"/>
      <w:contextualSpacing/>
    </w:pPr>
  </w:style>
  <w:style w:type="paragraph" w:styleId="Listenfortsetzung4">
    <w:name w:val="List Continue 4"/>
    <w:basedOn w:val="Standard"/>
    <w:uiPriority w:val="99"/>
    <w:semiHidden/>
    <w:unhideWhenUsed/>
    <w:rsid w:val="0054275E"/>
    <w:pPr>
      <w:spacing w:after="120"/>
      <w:ind w:left="1132"/>
      <w:contextualSpacing/>
    </w:pPr>
  </w:style>
  <w:style w:type="paragraph" w:styleId="Listenfortsetzung5">
    <w:name w:val="List Continue 5"/>
    <w:basedOn w:val="Standard"/>
    <w:uiPriority w:val="99"/>
    <w:semiHidden/>
    <w:unhideWhenUsed/>
    <w:rsid w:val="0054275E"/>
    <w:pPr>
      <w:spacing w:after="120"/>
      <w:ind w:left="1415"/>
      <w:contextualSpacing/>
    </w:pPr>
  </w:style>
  <w:style w:type="paragraph" w:styleId="Listennummer">
    <w:name w:val="List Number"/>
    <w:basedOn w:val="Standard"/>
    <w:uiPriority w:val="99"/>
    <w:semiHidden/>
    <w:unhideWhenUsed/>
    <w:rsid w:val="0054275E"/>
    <w:pPr>
      <w:numPr>
        <w:numId w:val="6"/>
      </w:numPr>
      <w:contextualSpacing/>
    </w:pPr>
  </w:style>
  <w:style w:type="paragraph" w:styleId="Listennummer2">
    <w:name w:val="List Number 2"/>
    <w:basedOn w:val="Standard"/>
    <w:uiPriority w:val="99"/>
    <w:semiHidden/>
    <w:unhideWhenUsed/>
    <w:rsid w:val="0054275E"/>
    <w:pPr>
      <w:numPr>
        <w:numId w:val="7"/>
      </w:numPr>
      <w:contextualSpacing/>
    </w:pPr>
  </w:style>
  <w:style w:type="paragraph" w:styleId="Listennummer3">
    <w:name w:val="List Number 3"/>
    <w:basedOn w:val="Standard"/>
    <w:uiPriority w:val="99"/>
    <w:semiHidden/>
    <w:unhideWhenUsed/>
    <w:rsid w:val="0054275E"/>
    <w:pPr>
      <w:numPr>
        <w:numId w:val="8"/>
      </w:numPr>
      <w:contextualSpacing/>
    </w:pPr>
  </w:style>
  <w:style w:type="paragraph" w:styleId="Listennummer4">
    <w:name w:val="List Number 4"/>
    <w:basedOn w:val="Standard"/>
    <w:uiPriority w:val="99"/>
    <w:semiHidden/>
    <w:unhideWhenUsed/>
    <w:rsid w:val="0054275E"/>
    <w:pPr>
      <w:numPr>
        <w:numId w:val="9"/>
      </w:numPr>
      <w:contextualSpacing/>
    </w:pPr>
  </w:style>
  <w:style w:type="paragraph" w:styleId="Listennummer5">
    <w:name w:val="List Number 5"/>
    <w:basedOn w:val="Standard"/>
    <w:uiPriority w:val="99"/>
    <w:semiHidden/>
    <w:unhideWhenUsed/>
    <w:rsid w:val="0054275E"/>
    <w:pPr>
      <w:numPr>
        <w:numId w:val="10"/>
      </w:numPr>
      <w:contextualSpacing/>
    </w:pPr>
  </w:style>
  <w:style w:type="paragraph" w:styleId="Literaturverzeichnis">
    <w:name w:val="Bibliography"/>
    <w:basedOn w:val="Standard"/>
    <w:next w:val="Standard"/>
    <w:uiPriority w:val="37"/>
    <w:semiHidden/>
    <w:unhideWhenUsed/>
    <w:rsid w:val="0054275E"/>
  </w:style>
  <w:style w:type="paragraph" w:styleId="Makrotext">
    <w:name w:val="macro"/>
    <w:link w:val="MakrotextZchn"/>
    <w:uiPriority w:val="99"/>
    <w:semiHidden/>
    <w:unhideWhenUsed/>
    <w:rsid w:val="005427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uiPriority w:val="99"/>
    <w:semiHidden/>
    <w:locked/>
    <w:rsid w:val="0054275E"/>
    <w:rPr>
      <w:rFonts w:ascii="Courier New" w:hAnsi="Courier New"/>
      <w:lang w:val="de-DE" w:eastAsia="de-DE"/>
    </w:rPr>
  </w:style>
  <w:style w:type="paragraph" w:styleId="Nachrichtenkopf">
    <w:name w:val="Message Header"/>
    <w:basedOn w:val="Standard"/>
    <w:link w:val="NachrichtenkopfZchn"/>
    <w:uiPriority w:val="99"/>
    <w:semiHidden/>
    <w:unhideWhenUsed/>
    <w:rsid w:val="0054275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NachrichtenkopfZchn">
    <w:name w:val="Nachrichtenkopf Zchn"/>
    <w:link w:val="Nachrichtenkopf"/>
    <w:uiPriority w:val="99"/>
    <w:semiHidden/>
    <w:locked/>
    <w:rsid w:val="0054275E"/>
    <w:rPr>
      <w:rFonts w:ascii="Cambria" w:hAnsi="Cambria"/>
      <w:sz w:val="24"/>
      <w:shd w:val="pct20" w:color="auto" w:fill="auto"/>
    </w:rPr>
  </w:style>
  <w:style w:type="paragraph" w:styleId="NurText">
    <w:name w:val="Plain Text"/>
    <w:basedOn w:val="Standard"/>
    <w:link w:val="NurTextZchn"/>
    <w:uiPriority w:val="99"/>
    <w:semiHidden/>
    <w:unhideWhenUsed/>
    <w:rsid w:val="0054275E"/>
    <w:rPr>
      <w:rFonts w:ascii="Courier New" w:hAnsi="Courier New"/>
      <w:sz w:val="20"/>
      <w:szCs w:val="20"/>
    </w:rPr>
  </w:style>
  <w:style w:type="character" w:customStyle="1" w:styleId="NurTextZchn">
    <w:name w:val="Nur Text Zchn"/>
    <w:link w:val="NurText"/>
    <w:uiPriority w:val="99"/>
    <w:semiHidden/>
    <w:locked/>
    <w:rsid w:val="0054275E"/>
    <w:rPr>
      <w:rFonts w:ascii="Courier New" w:hAnsi="Courier New"/>
    </w:rPr>
  </w:style>
  <w:style w:type="paragraph" w:styleId="Rechtsgrundlagenverzeichnis">
    <w:name w:val="table of authorities"/>
    <w:basedOn w:val="Standard"/>
    <w:next w:val="Standard"/>
    <w:uiPriority w:val="99"/>
    <w:semiHidden/>
    <w:unhideWhenUsed/>
    <w:rsid w:val="0054275E"/>
    <w:pPr>
      <w:ind w:left="160" w:hanging="160"/>
    </w:pPr>
  </w:style>
  <w:style w:type="paragraph" w:styleId="RGV-berschrift">
    <w:name w:val="toa heading"/>
    <w:basedOn w:val="Standard"/>
    <w:next w:val="Standard"/>
    <w:uiPriority w:val="99"/>
    <w:semiHidden/>
    <w:unhideWhenUsed/>
    <w:rsid w:val="0054275E"/>
    <w:pPr>
      <w:spacing w:before="120"/>
    </w:pPr>
    <w:rPr>
      <w:rFonts w:ascii="Cambria" w:hAnsi="Cambria"/>
      <w:b/>
      <w:bCs/>
      <w:sz w:val="24"/>
    </w:rPr>
  </w:style>
  <w:style w:type="paragraph" w:styleId="Standardeinzug">
    <w:name w:val="Normal Indent"/>
    <w:basedOn w:val="Standard"/>
    <w:uiPriority w:val="99"/>
    <w:semiHidden/>
    <w:unhideWhenUsed/>
    <w:rsid w:val="0054275E"/>
    <w:pPr>
      <w:ind w:left="708"/>
    </w:pPr>
  </w:style>
  <w:style w:type="paragraph" w:styleId="Textkrper">
    <w:name w:val="Body Text"/>
    <w:basedOn w:val="Standard"/>
    <w:link w:val="TextkrperZchn"/>
    <w:uiPriority w:val="99"/>
    <w:semiHidden/>
    <w:unhideWhenUsed/>
    <w:rsid w:val="0054275E"/>
    <w:pPr>
      <w:spacing w:after="120"/>
    </w:pPr>
  </w:style>
  <w:style w:type="character" w:customStyle="1" w:styleId="TextkrperZchn">
    <w:name w:val="Textkörper Zchn"/>
    <w:link w:val="Textkrper"/>
    <w:uiPriority w:val="99"/>
    <w:semiHidden/>
    <w:locked/>
    <w:rsid w:val="0054275E"/>
    <w:rPr>
      <w:rFonts w:ascii="Arial" w:hAnsi="Arial"/>
      <w:sz w:val="24"/>
    </w:rPr>
  </w:style>
  <w:style w:type="paragraph" w:styleId="Textkrper2">
    <w:name w:val="Body Text 2"/>
    <w:basedOn w:val="Standard"/>
    <w:link w:val="Textkrper2Zchn"/>
    <w:uiPriority w:val="99"/>
    <w:semiHidden/>
    <w:unhideWhenUsed/>
    <w:rsid w:val="0054275E"/>
    <w:pPr>
      <w:spacing w:after="120" w:line="480" w:lineRule="auto"/>
    </w:pPr>
  </w:style>
  <w:style w:type="character" w:customStyle="1" w:styleId="Textkrper2Zchn">
    <w:name w:val="Textkörper 2 Zchn"/>
    <w:link w:val="Textkrper2"/>
    <w:uiPriority w:val="99"/>
    <w:semiHidden/>
    <w:locked/>
    <w:rsid w:val="0054275E"/>
    <w:rPr>
      <w:rFonts w:ascii="Arial" w:hAnsi="Arial"/>
      <w:sz w:val="24"/>
    </w:rPr>
  </w:style>
  <w:style w:type="paragraph" w:styleId="Textkrper3">
    <w:name w:val="Body Text 3"/>
    <w:basedOn w:val="Standard"/>
    <w:link w:val="Textkrper3Zchn"/>
    <w:uiPriority w:val="99"/>
    <w:semiHidden/>
    <w:unhideWhenUsed/>
    <w:rsid w:val="0054275E"/>
    <w:pPr>
      <w:spacing w:after="120"/>
    </w:pPr>
    <w:rPr>
      <w:szCs w:val="16"/>
    </w:rPr>
  </w:style>
  <w:style w:type="character" w:customStyle="1" w:styleId="Textkrper3Zchn">
    <w:name w:val="Textkörper 3 Zchn"/>
    <w:link w:val="Textkrper3"/>
    <w:uiPriority w:val="99"/>
    <w:semiHidden/>
    <w:locked/>
    <w:rsid w:val="0054275E"/>
    <w:rPr>
      <w:rFonts w:ascii="Arial" w:hAnsi="Arial"/>
      <w:sz w:val="16"/>
    </w:rPr>
  </w:style>
  <w:style w:type="paragraph" w:styleId="Textkrper-Einzug2">
    <w:name w:val="Body Text Indent 2"/>
    <w:basedOn w:val="Standard"/>
    <w:link w:val="Textkrper-Einzug2Zchn"/>
    <w:uiPriority w:val="99"/>
    <w:semiHidden/>
    <w:unhideWhenUsed/>
    <w:rsid w:val="0054275E"/>
    <w:pPr>
      <w:spacing w:after="120" w:line="480" w:lineRule="auto"/>
      <w:ind w:left="283"/>
    </w:pPr>
  </w:style>
  <w:style w:type="character" w:customStyle="1" w:styleId="Textkrper-Einzug2Zchn">
    <w:name w:val="Textkörper-Einzug 2 Zchn"/>
    <w:link w:val="Textkrper-Einzug2"/>
    <w:uiPriority w:val="99"/>
    <w:semiHidden/>
    <w:locked/>
    <w:rsid w:val="0054275E"/>
    <w:rPr>
      <w:rFonts w:ascii="Arial" w:hAnsi="Arial"/>
      <w:sz w:val="24"/>
    </w:rPr>
  </w:style>
  <w:style w:type="paragraph" w:styleId="Textkrper-Einzug3">
    <w:name w:val="Body Text Indent 3"/>
    <w:basedOn w:val="Standard"/>
    <w:link w:val="Textkrper-Einzug3Zchn"/>
    <w:uiPriority w:val="99"/>
    <w:semiHidden/>
    <w:unhideWhenUsed/>
    <w:rsid w:val="0054275E"/>
    <w:pPr>
      <w:spacing w:after="120"/>
      <w:ind w:left="283"/>
    </w:pPr>
    <w:rPr>
      <w:szCs w:val="16"/>
    </w:rPr>
  </w:style>
  <w:style w:type="character" w:customStyle="1" w:styleId="Textkrper-Einzug3Zchn">
    <w:name w:val="Textkörper-Einzug 3 Zchn"/>
    <w:link w:val="Textkrper-Einzug3"/>
    <w:uiPriority w:val="99"/>
    <w:semiHidden/>
    <w:locked/>
    <w:rsid w:val="0054275E"/>
    <w:rPr>
      <w:rFonts w:ascii="Arial" w:hAnsi="Arial"/>
      <w:sz w:val="16"/>
    </w:rPr>
  </w:style>
  <w:style w:type="paragraph" w:styleId="Textkrper-Erstzeileneinzug">
    <w:name w:val="Body Text First Indent"/>
    <w:basedOn w:val="Textkrper"/>
    <w:link w:val="Textkrper-ErstzeileneinzugZchn"/>
    <w:uiPriority w:val="99"/>
    <w:semiHidden/>
    <w:unhideWhenUsed/>
    <w:rsid w:val="0054275E"/>
    <w:pPr>
      <w:ind w:firstLine="210"/>
    </w:pPr>
  </w:style>
  <w:style w:type="character" w:customStyle="1" w:styleId="Textkrper-ErstzeileneinzugZchn">
    <w:name w:val="Textkörper-Erstzeileneinzug Zchn"/>
    <w:link w:val="Textkrper-Erstzeileneinzug"/>
    <w:uiPriority w:val="99"/>
    <w:semiHidden/>
    <w:locked/>
    <w:rsid w:val="0054275E"/>
    <w:rPr>
      <w:rFonts w:ascii="Arial" w:hAnsi="Arial" w:cs="Times New Roman"/>
      <w:sz w:val="24"/>
      <w:szCs w:val="24"/>
    </w:rPr>
  </w:style>
  <w:style w:type="paragraph" w:styleId="Textkrper-Zeileneinzug">
    <w:name w:val="Body Text Indent"/>
    <w:basedOn w:val="Standard"/>
    <w:link w:val="Textkrper-ZeileneinzugZchn"/>
    <w:uiPriority w:val="99"/>
    <w:semiHidden/>
    <w:unhideWhenUsed/>
    <w:rsid w:val="0054275E"/>
    <w:pPr>
      <w:spacing w:after="120"/>
      <w:ind w:left="283"/>
    </w:pPr>
  </w:style>
  <w:style w:type="character" w:customStyle="1" w:styleId="Textkrper-ZeileneinzugZchn">
    <w:name w:val="Textkörper-Zeileneinzug Zchn"/>
    <w:link w:val="Textkrper-Zeileneinzug"/>
    <w:uiPriority w:val="99"/>
    <w:semiHidden/>
    <w:locked/>
    <w:rsid w:val="0054275E"/>
    <w:rPr>
      <w:rFonts w:ascii="Arial" w:hAnsi="Arial"/>
      <w:sz w:val="24"/>
    </w:rPr>
  </w:style>
  <w:style w:type="paragraph" w:styleId="Textkrper-Erstzeileneinzug2">
    <w:name w:val="Body Text First Indent 2"/>
    <w:basedOn w:val="Textkrper-Zeileneinzug"/>
    <w:link w:val="Textkrper-Erstzeileneinzug2Zchn"/>
    <w:uiPriority w:val="99"/>
    <w:semiHidden/>
    <w:unhideWhenUsed/>
    <w:rsid w:val="0054275E"/>
    <w:pPr>
      <w:ind w:firstLine="210"/>
    </w:pPr>
  </w:style>
  <w:style w:type="character" w:customStyle="1" w:styleId="Textkrper-Erstzeileneinzug2Zchn">
    <w:name w:val="Textkörper-Erstzeileneinzug 2 Zchn"/>
    <w:link w:val="Textkrper-Erstzeileneinzug2"/>
    <w:uiPriority w:val="99"/>
    <w:semiHidden/>
    <w:locked/>
    <w:rsid w:val="0054275E"/>
    <w:rPr>
      <w:rFonts w:ascii="Arial" w:hAnsi="Arial" w:cs="Times New Roman"/>
      <w:sz w:val="24"/>
      <w:szCs w:val="24"/>
    </w:rPr>
  </w:style>
  <w:style w:type="paragraph" w:styleId="Titel">
    <w:name w:val="Title"/>
    <w:basedOn w:val="Standard"/>
    <w:next w:val="Standard"/>
    <w:link w:val="TitelZchn"/>
    <w:uiPriority w:val="10"/>
    <w:qFormat/>
    <w:rsid w:val="0054275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locked/>
    <w:rsid w:val="0054275E"/>
    <w:rPr>
      <w:rFonts w:ascii="Cambria" w:hAnsi="Cambria"/>
      <w:b/>
      <w:kern w:val="28"/>
      <w:sz w:val="32"/>
    </w:rPr>
  </w:style>
  <w:style w:type="paragraph" w:styleId="Umschlagabsenderadresse">
    <w:name w:val="envelope return"/>
    <w:basedOn w:val="Standard"/>
    <w:uiPriority w:val="99"/>
    <w:semiHidden/>
    <w:unhideWhenUsed/>
    <w:rsid w:val="0054275E"/>
    <w:rPr>
      <w:rFonts w:ascii="Cambria" w:hAnsi="Cambria"/>
      <w:sz w:val="20"/>
      <w:szCs w:val="20"/>
    </w:rPr>
  </w:style>
  <w:style w:type="paragraph" w:styleId="Umschlagadresse">
    <w:name w:val="envelope address"/>
    <w:basedOn w:val="Standard"/>
    <w:uiPriority w:val="99"/>
    <w:semiHidden/>
    <w:unhideWhenUsed/>
    <w:rsid w:val="0054275E"/>
    <w:pPr>
      <w:framePr w:w="4320" w:h="2160" w:hRule="exact" w:hSpace="141" w:wrap="auto" w:hAnchor="page" w:xAlign="center" w:yAlign="bottom"/>
      <w:ind w:left="1"/>
    </w:pPr>
    <w:rPr>
      <w:rFonts w:ascii="Cambria" w:hAnsi="Cambria"/>
      <w:sz w:val="24"/>
    </w:rPr>
  </w:style>
  <w:style w:type="paragraph" w:styleId="Unterschrift">
    <w:name w:val="Signature"/>
    <w:basedOn w:val="Standard"/>
    <w:link w:val="UnterschriftZchn"/>
    <w:uiPriority w:val="99"/>
    <w:semiHidden/>
    <w:unhideWhenUsed/>
    <w:rsid w:val="0054275E"/>
    <w:pPr>
      <w:ind w:left="4252"/>
    </w:pPr>
  </w:style>
  <w:style w:type="character" w:customStyle="1" w:styleId="UnterschriftZchn">
    <w:name w:val="Unterschrift Zchn"/>
    <w:link w:val="Unterschrift"/>
    <w:uiPriority w:val="99"/>
    <w:semiHidden/>
    <w:locked/>
    <w:rsid w:val="0054275E"/>
    <w:rPr>
      <w:rFonts w:ascii="Arial" w:hAnsi="Arial"/>
      <w:sz w:val="24"/>
    </w:rPr>
  </w:style>
  <w:style w:type="paragraph" w:styleId="Untertitel">
    <w:name w:val="Subtitle"/>
    <w:basedOn w:val="Standard"/>
    <w:next w:val="Standard"/>
    <w:link w:val="UntertitelZchn"/>
    <w:uiPriority w:val="11"/>
    <w:qFormat/>
    <w:rsid w:val="0054275E"/>
    <w:pPr>
      <w:spacing w:after="60"/>
      <w:jc w:val="center"/>
      <w:outlineLvl w:val="1"/>
    </w:pPr>
    <w:rPr>
      <w:rFonts w:ascii="Cambria" w:hAnsi="Cambria"/>
      <w:sz w:val="24"/>
    </w:rPr>
  </w:style>
  <w:style w:type="character" w:customStyle="1" w:styleId="UntertitelZchn">
    <w:name w:val="Untertitel Zchn"/>
    <w:link w:val="Untertitel"/>
    <w:uiPriority w:val="11"/>
    <w:locked/>
    <w:rsid w:val="0054275E"/>
    <w:rPr>
      <w:rFonts w:ascii="Cambria" w:hAnsi="Cambria"/>
      <w:sz w:val="24"/>
    </w:rPr>
  </w:style>
  <w:style w:type="paragraph" w:styleId="Zitat">
    <w:name w:val="Quote"/>
    <w:basedOn w:val="Standard"/>
    <w:next w:val="Standard"/>
    <w:link w:val="ZitatZchn"/>
    <w:uiPriority w:val="29"/>
    <w:qFormat/>
    <w:rsid w:val="0054275E"/>
    <w:rPr>
      <w:i/>
      <w:iCs/>
      <w:color w:val="000000"/>
    </w:rPr>
  </w:style>
  <w:style w:type="character" w:customStyle="1" w:styleId="ZitatZchn">
    <w:name w:val="Zitat Zchn"/>
    <w:link w:val="Zitat"/>
    <w:uiPriority w:val="29"/>
    <w:locked/>
    <w:rsid w:val="0054275E"/>
    <w:rPr>
      <w:rFonts w:ascii="Arial" w:hAnsi="Arial"/>
      <w:i/>
      <w:color w:val="000000"/>
      <w:sz w:val="24"/>
    </w:rPr>
  </w:style>
  <w:style w:type="character" w:styleId="Kommentarzeichen">
    <w:name w:val="annotation reference"/>
    <w:uiPriority w:val="99"/>
    <w:semiHidden/>
    <w:unhideWhenUsed/>
    <w:rsid w:val="00F57AF8"/>
    <w:rPr>
      <w:sz w:val="16"/>
    </w:rPr>
  </w:style>
  <w:style w:type="paragraph" w:customStyle="1" w:styleId="Leerzeile">
    <w:name w:val="Leerzeile"/>
    <w:basedOn w:val="Standard"/>
    <w:qFormat/>
    <w:rsid w:val="006B6971"/>
  </w:style>
  <w:style w:type="paragraph" w:customStyle="1" w:styleId="txt">
    <w:name w:val="txt"/>
    <w:rsid w:val="00D038EE"/>
    <w:pPr>
      <w:widowControl w:val="0"/>
      <w:spacing w:after="60" w:line="260" w:lineRule="exact"/>
    </w:pPr>
    <w:rPr>
      <w:rFonts w:ascii="Arial" w:hAnsi="Arial"/>
    </w:rPr>
  </w:style>
  <w:style w:type="paragraph" w:customStyle="1" w:styleId="Default">
    <w:name w:val="Default"/>
    <w:rsid w:val="00D04CE2"/>
    <w:pPr>
      <w:autoSpaceDE w:val="0"/>
      <w:autoSpaceDN w:val="0"/>
      <w:adjustRightInd w:val="0"/>
    </w:pPr>
    <w:rPr>
      <w:rFonts w:ascii="Arial"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FBA"/>
    <w:rPr>
      <w:rFonts w:ascii="Arial" w:hAnsi="Arial"/>
      <w:sz w:val="16"/>
      <w:szCs w:val="24"/>
    </w:rPr>
  </w:style>
  <w:style w:type="paragraph" w:styleId="berschrift1">
    <w:name w:val="heading 1"/>
    <w:basedOn w:val="Standard"/>
    <w:link w:val="berschrift1Zchn"/>
    <w:uiPriority w:val="9"/>
    <w:qFormat/>
    <w:rsid w:val="009064E9"/>
    <w:pPr>
      <w:spacing w:before="840" w:after="240"/>
      <w:outlineLvl w:val="0"/>
    </w:pPr>
    <w:rPr>
      <w:b/>
      <w:bCs/>
      <w:kern w:val="36"/>
      <w:sz w:val="28"/>
      <w:szCs w:val="28"/>
    </w:rPr>
  </w:style>
  <w:style w:type="paragraph" w:styleId="berschrift2">
    <w:name w:val="heading 2"/>
    <w:basedOn w:val="Standard"/>
    <w:link w:val="berschrift2Zchn"/>
    <w:uiPriority w:val="9"/>
    <w:qFormat/>
    <w:rsid w:val="009064E9"/>
    <w:pPr>
      <w:spacing w:before="720" w:after="240"/>
      <w:outlineLvl w:val="1"/>
    </w:pPr>
    <w:rPr>
      <w:b/>
      <w:bCs/>
      <w:color w:val="000000"/>
      <w:sz w:val="26"/>
      <w:szCs w:val="26"/>
    </w:rPr>
  </w:style>
  <w:style w:type="paragraph" w:styleId="berschrift3">
    <w:name w:val="heading 3"/>
    <w:basedOn w:val="Standard"/>
    <w:link w:val="berschrift3Zchn"/>
    <w:uiPriority w:val="9"/>
    <w:qFormat/>
    <w:rsid w:val="00144EB3"/>
    <w:pPr>
      <w:keepNext/>
      <w:spacing w:before="600" w:after="240"/>
      <w:outlineLvl w:val="2"/>
    </w:pPr>
    <w:rPr>
      <w:b/>
      <w:bCs/>
      <w:sz w:val="24"/>
    </w:rPr>
  </w:style>
  <w:style w:type="paragraph" w:styleId="berschrift4">
    <w:name w:val="heading 4"/>
    <w:basedOn w:val="Standard"/>
    <w:link w:val="berschrift4Zchn"/>
    <w:uiPriority w:val="9"/>
    <w:qFormat/>
    <w:rsid w:val="00144EB3"/>
    <w:pPr>
      <w:keepNext/>
      <w:spacing w:before="480" w:after="240"/>
      <w:outlineLvl w:val="3"/>
    </w:pPr>
    <w:rPr>
      <w:b/>
      <w:bCs/>
      <w:sz w:val="22"/>
      <w:szCs w:val="22"/>
    </w:rPr>
  </w:style>
  <w:style w:type="paragraph" w:styleId="berschrift5">
    <w:name w:val="heading 5"/>
    <w:basedOn w:val="Standard"/>
    <w:link w:val="berschrift5Zchn"/>
    <w:uiPriority w:val="9"/>
    <w:qFormat/>
    <w:rsid w:val="00144EB3"/>
    <w:pPr>
      <w:keepNext/>
      <w:spacing w:before="360" w:after="240"/>
      <w:outlineLvl w:val="4"/>
    </w:pPr>
    <w:rPr>
      <w:b/>
      <w:bCs/>
      <w:sz w:val="20"/>
      <w:szCs w:val="20"/>
    </w:rPr>
  </w:style>
  <w:style w:type="paragraph" w:styleId="berschrift6">
    <w:name w:val="heading 6"/>
    <w:basedOn w:val="Standard"/>
    <w:link w:val="berschrift6Zchn"/>
    <w:uiPriority w:val="9"/>
    <w:qFormat/>
    <w:rsid w:val="00144EB3"/>
    <w:pPr>
      <w:keepNext/>
      <w:spacing w:before="240" w:after="240"/>
      <w:outlineLvl w:val="5"/>
    </w:pPr>
    <w:rPr>
      <w:b/>
      <w:bCs/>
      <w:sz w:val="18"/>
      <w:szCs w:val="15"/>
    </w:rPr>
  </w:style>
  <w:style w:type="paragraph" w:styleId="berschrift7">
    <w:name w:val="heading 7"/>
    <w:basedOn w:val="Standard"/>
    <w:next w:val="Standard"/>
    <w:link w:val="berschrift7Zchn"/>
    <w:uiPriority w:val="9"/>
    <w:unhideWhenUsed/>
    <w:qFormat/>
    <w:rsid w:val="008424F4"/>
    <w:pPr>
      <w:spacing w:before="240" w:after="60"/>
      <w:outlineLvl w:val="6"/>
    </w:pPr>
    <w:rPr>
      <w:b/>
      <w:sz w:val="18"/>
    </w:rPr>
  </w:style>
  <w:style w:type="paragraph" w:styleId="berschrift8">
    <w:name w:val="heading 8"/>
    <w:basedOn w:val="Standard"/>
    <w:next w:val="Standard"/>
    <w:link w:val="berschrift8Zchn"/>
    <w:uiPriority w:val="9"/>
    <w:unhideWhenUsed/>
    <w:qFormat/>
    <w:rsid w:val="0054275E"/>
    <w:pPr>
      <w:spacing w:before="240" w:after="60"/>
      <w:outlineLvl w:val="7"/>
    </w:pPr>
    <w:rPr>
      <w:rFonts w:ascii="Calibri" w:hAnsi="Calibri"/>
      <w:i/>
      <w:iCs/>
      <w:sz w:val="24"/>
    </w:rPr>
  </w:style>
  <w:style w:type="paragraph" w:styleId="berschrift9">
    <w:name w:val="heading 9"/>
    <w:basedOn w:val="Standard"/>
    <w:next w:val="Standard"/>
    <w:link w:val="berschrift9Zchn"/>
    <w:uiPriority w:val="9"/>
    <w:unhideWhenUsed/>
    <w:qFormat/>
    <w:rsid w:val="0054275E"/>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9064E9"/>
    <w:rPr>
      <w:rFonts w:ascii="Arial" w:hAnsi="Arial"/>
      <w:b/>
      <w:kern w:val="36"/>
      <w:sz w:val="28"/>
    </w:rPr>
  </w:style>
  <w:style w:type="character" w:customStyle="1" w:styleId="berschrift2Zchn">
    <w:name w:val="Überschrift 2 Zchn"/>
    <w:link w:val="berschrift2"/>
    <w:uiPriority w:val="9"/>
    <w:locked/>
    <w:rsid w:val="009064E9"/>
    <w:rPr>
      <w:rFonts w:ascii="Arial" w:hAnsi="Arial"/>
      <w:b/>
      <w:color w:val="000000"/>
      <w:sz w:val="26"/>
    </w:rPr>
  </w:style>
  <w:style w:type="character" w:customStyle="1" w:styleId="berschrift3Zchn">
    <w:name w:val="Überschrift 3 Zchn"/>
    <w:link w:val="berschrift3"/>
    <w:uiPriority w:val="9"/>
    <w:locked/>
    <w:rsid w:val="00144EB3"/>
    <w:rPr>
      <w:rFonts w:ascii="Arial" w:hAnsi="Arial"/>
      <w:b/>
      <w:sz w:val="24"/>
      <w:lang w:val="x-none" w:eastAsia="x-none"/>
    </w:rPr>
  </w:style>
  <w:style w:type="character" w:customStyle="1" w:styleId="berschrift4Zchn">
    <w:name w:val="Überschrift 4 Zchn"/>
    <w:link w:val="berschrift4"/>
    <w:uiPriority w:val="9"/>
    <w:locked/>
    <w:rsid w:val="00144EB3"/>
    <w:rPr>
      <w:rFonts w:ascii="Arial" w:hAnsi="Arial"/>
      <w:b/>
      <w:sz w:val="22"/>
      <w:lang w:val="x-none" w:eastAsia="x-none"/>
    </w:rPr>
  </w:style>
  <w:style w:type="character" w:customStyle="1" w:styleId="berschrift5Zchn">
    <w:name w:val="Überschrift 5 Zchn"/>
    <w:link w:val="berschrift5"/>
    <w:uiPriority w:val="9"/>
    <w:locked/>
    <w:rsid w:val="00144EB3"/>
    <w:rPr>
      <w:rFonts w:ascii="Arial" w:hAnsi="Arial"/>
      <w:b/>
      <w:lang w:val="x-none" w:eastAsia="x-none"/>
    </w:rPr>
  </w:style>
  <w:style w:type="character" w:customStyle="1" w:styleId="berschrift6Zchn">
    <w:name w:val="Überschrift 6 Zchn"/>
    <w:link w:val="berschrift6"/>
    <w:uiPriority w:val="9"/>
    <w:locked/>
    <w:rsid w:val="00144EB3"/>
    <w:rPr>
      <w:rFonts w:ascii="Arial" w:hAnsi="Arial"/>
      <w:b/>
      <w:sz w:val="15"/>
      <w:lang w:val="x-none" w:eastAsia="x-none"/>
    </w:rPr>
  </w:style>
  <w:style w:type="character" w:customStyle="1" w:styleId="berschrift7Zchn">
    <w:name w:val="Überschrift 7 Zchn"/>
    <w:link w:val="berschrift7"/>
    <w:uiPriority w:val="9"/>
    <w:locked/>
    <w:rsid w:val="008424F4"/>
    <w:rPr>
      <w:rFonts w:ascii="Arial" w:hAnsi="Arial"/>
      <w:b/>
      <w:sz w:val="24"/>
      <w:lang w:val="x-none" w:eastAsia="x-none"/>
    </w:rPr>
  </w:style>
  <w:style w:type="character" w:customStyle="1" w:styleId="berschrift8Zchn">
    <w:name w:val="Überschrift 8 Zchn"/>
    <w:link w:val="berschrift8"/>
    <w:uiPriority w:val="9"/>
    <w:locked/>
    <w:rsid w:val="0054275E"/>
    <w:rPr>
      <w:rFonts w:ascii="Calibri" w:hAnsi="Calibri"/>
      <w:i/>
      <w:sz w:val="24"/>
    </w:rPr>
  </w:style>
  <w:style w:type="character" w:customStyle="1" w:styleId="berschrift9Zchn">
    <w:name w:val="Überschrift 9 Zchn"/>
    <w:link w:val="berschrift9"/>
    <w:uiPriority w:val="9"/>
    <w:locked/>
    <w:rsid w:val="0054275E"/>
    <w:rPr>
      <w:rFonts w:ascii="Cambria" w:hAnsi="Cambria"/>
      <w:sz w:val="22"/>
    </w:rPr>
  </w:style>
  <w:style w:type="character" w:styleId="Hyperlink">
    <w:name w:val="Hyperlink"/>
    <w:uiPriority w:val="99"/>
    <w:unhideWhenUsed/>
    <w:rsid w:val="0008383F"/>
    <w:rPr>
      <w:color w:val="0000FF"/>
      <w:u w:val="single"/>
    </w:rPr>
  </w:style>
  <w:style w:type="character" w:styleId="BesuchterHyperlink">
    <w:name w:val="FollowedHyperlink"/>
    <w:uiPriority w:val="99"/>
    <w:semiHidden/>
    <w:unhideWhenUsed/>
    <w:rsid w:val="0008383F"/>
    <w:rPr>
      <w:color w:val="800080"/>
      <w:u w:val="single"/>
    </w:rPr>
  </w:style>
  <w:style w:type="paragraph" w:styleId="StandardWeb">
    <w:name w:val="Normal (Web)"/>
    <w:basedOn w:val="Standard"/>
    <w:uiPriority w:val="99"/>
    <w:unhideWhenUsed/>
    <w:rsid w:val="00B1678B"/>
    <w:pPr>
      <w:jc w:val="both"/>
    </w:pPr>
  </w:style>
  <w:style w:type="paragraph" w:customStyle="1" w:styleId="sbox-bg">
    <w:name w:val="sbox-bg"/>
    <w:basedOn w:val="Standard"/>
    <w:rsid w:val="0008383F"/>
    <w:pPr>
      <w:spacing w:before="100" w:beforeAutospacing="1" w:after="100" w:afterAutospacing="1"/>
    </w:pPr>
  </w:style>
  <w:style w:type="paragraph" w:customStyle="1" w:styleId="sbox-bg-n">
    <w:name w:val="sbox-bg-n"/>
    <w:basedOn w:val="Standard"/>
    <w:rsid w:val="0008383F"/>
    <w:pPr>
      <w:spacing w:before="100" w:beforeAutospacing="1" w:after="100" w:afterAutospacing="1"/>
    </w:pPr>
  </w:style>
  <w:style w:type="paragraph" w:customStyle="1" w:styleId="sbox-bg-ne">
    <w:name w:val="sbox-bg-ne"/>
    <w:basedOn w:val="Standard"/>
    <w:rsid w:val="0008383F"/>
    <w:pPr>
      <w:spacing w:before="100" w:beforeAutospacing="1" w:after="100" w:afterAutospacing="1"/>
    </w:pPr>
  </w:style>
  <w:style w:type="paragraph" w:customStyle="1" w:styleId="sbox-bg-e">
    <w:name w:val="sbox-bg-e"/>
    <w:basedOn w:val="Standard"/>
    <w:rsid w:val="0008383F"/>
    <w:pPr>
      <w:spacing w:before="100" w:beforeAutospacing="1" w:after="100" w:afterAutospacing="1"/>
    </w:pPr>
  </w:style>
  <w:style w:type="paragraph" w:customStyle="1" w:styleId="sbox-bg-se">
    <w:name w:val="sbox-bg-se"/>
    <w:basedOn w:val="Standard"/>
    <w:rsid w:val="0008383F"/>
    <w:pPr>
      <w:spacing w:before="100" w:beforeAutospacing="1" w:after="100" w:afterAutospacing="1"/>
    </w:pPr>
  </w:style>
  <w:style w:type="paragraph" w:customStyle="1" w:styleId="sbox-bg-s">
    <w:name w:val="sbox-bg-s"/>
    <w:basedOn w:val="Standard"/>
    <w:rsid w:val="0008383F"/>
    <w:pPr>
      <w:spacing w:before="100" w:beforeAutospacing="1" w:after="100" w:afterAutospacing="1"/>
    </w:pPr>
  </w:style>
  <w:style w:type="paragraph" w:customStyle="1" w:styleId="sbox-bg-sw">
    <w:name w:val="sbox-bg-sw"/>
    <w:basedOn w:val="Standard"/>
    <w:rsid w:val="0008383F"/>
    <w:pPr>
      <w:spacing w:before="100" w:beforeAutospacing="1" w:after="100" w:afterAutospacing="1"/>
    </w:pPr>
  </w:style>
  <w:style w:type="paragraph" w:customStyle="1" w:styleId="sbox-bg-w">
    <w:name w:val="sbox-bg-w"/>
    <w:basedOn w:val="Standard"/>
    <w:rsid w:val="0008383F"/>
    <w:pPr>
      <w:spacing w:before="100" w:beforeAutospacing="1" w:after="100" w:afterAutospacing="1"/>
    </w:pPr>
  </w:style>
  <w:style w:type="paragraph" w:customStyle="1" w:styleId="sbox-bg-nw">
    <w:name w:val="sbox-bg-nw"/>
    <w:basedOn w:val="Standard"/>
    <w:rsid w:val="0008383F"/>
    <w:pPr>
      <w:spacing w:before="100" w:beforeAutospacing="1" w:after="100" w:afterAutospacing="1"/>
    </w:pPr>
  </w:style>
  <w:style w:type="paragraph" w:customStyle="1" w:styleId="system-unpublished">
    <w:name w:val="system-unpublished"/>
    <w:basedOn w:val="Standard"/>
    <w:rsid w:val="0008383F"/>
    <w:pPr>
      <w:pBdr>
        <w:top w:val="single" w:sz="12" w:space="0" w:color="C4D3DF"/>
        <w:bottom w:val="single" w:sz="12" w:space="0" w:color="C4D3DF"/>
      </w:pBdr>
      <w:shd w:val="clear" w:color="auto" w:fill="E8EDF1"/>
      <w:spacing w:before="100" w:beforeAutospacing="1" w:after="100" w:afterAutospacing="1"/>
    </w:pPr>
  </w:style>
  <w:style w:type="paragraph" w:customStyle="1" w:styleId="img-fulltext-float-right">
    <w:name w:val="img-fulltext-float-right"/>
    <w:basedOn w:val="Standard"/>
    <w:rsid w:val="0008383F"/>
    <w:pPr>
      <w:spacing w:before="100" w:beforeAutospacing="1" w:after="82"/>
      <w:ind w:left="82"/>
    </w:pPr>
  </w:style>
  <w:style w:type="paragraph" w:customStyle="1" w:styleId="img-fulltext-float-left">
    <w:name w:val="img-fulltext-float-left"/>
    <w:basedOn w:val="Standard"/>
    <w:rsid w:val="0008383F"/>
    <w:pPr>
      <w:spacing w:before="100" w:beforeAutospacing="1" w:after="82"/>
      <w:ind w:right="82"/>
    </w:pPr>
  </w:style>
  <w:style w:type="paragraph" w:customStyle="1" w:styleId="img-intro-float-right">
    <w:name w:val="img-intro-float-right"/>
    <w:basedOn w:val="Standard"/>
    <w:rsid w:val="0008383F"/>
    <w:pPr>
      <w:spacing w:before="100" w:beforeAutospacing="1" w:after="41"/>
      <w:ind w:left="41"/>
    </w:pPr>
  </w:style>
  <w:style w:type="paragraph" w:customStyle="1" w:styleId="img-intro-float-left">
    <w:name w:val="img-intro-float-left"/>
    <w:basedOn w:val="Standard"/>
    <w:rsid w:val="0008383F"/>
    <w:pPr>
      <w:spacing w:before="100" w:beforeAutospacing="1" w:after="41"/>
      <w:ind w:right="41"/>
    </w:pPr>
  </w:style>
  <w:style w:type="paragraph" w:customStyle="1" w:styleId="invalid">
    <w:name w:val="invalid"/>
    <w:basedOn w:val="Standard"/>
    <w:rsid w:val="0008383F"/>
    <w:pPr>
      <w:spacing w:before="100" w:beforeAutospacing="1" w:after="100" w:afterAutospacing="1"/>
    </w:pPr>
  </w:style>
  <w:style w:type="paragraph" w:customStyle="1" w:styleId="button2-left">
    <w:name w:val="button2-left"/>
    <w:basedOn w:val="Standard"/>
    <w:rsid w:val="0008383F"/>
    <w:pPr>
      <w:spacing w:before="100" w:beforeAutospacing="1" w:after="100" w:afterAutospacing="1"/>
      <w:ind w:left="41"/>
    </w:pPr>
  </w:style>
  <w:style w:type="paragraph" w:customStyle="1" w:styleId="button2-right">
    <w:name w:val="button2-right"/>
    <w:basedOn w:val="Standard"/>
    <w:rsid w:val="0008383F"/>
    <w:pPr>
      <w:spacing w:before="100" w:beforeAutospacing="1" w:after="100" w:afterAutospacing="1"/>
      <w:ind w:left="41"/>
    </w:pPr>
  </w:style>
  <w:style w:type="paragraph" w:customStyle="1" w:styleId="image">
    <w:name w:val="image"/>
    <w:basedOn w:val="Standard"/>
    <w:rsid w:val="0008383F"/>
    <w:pPr>
      <w:spacing w:before="100" w:beforeAutospacing="1" w:after="100" w:afterAutospacing="1"/>
    </w:pPr>
  </w:style>
  <w:style w:type="paragraph" w:customStyle="1" w:styleId="readmore">
    <w:name w:val="readmore"/>
    <w:basedOn w:val="Standard"/>
    <w:rsid w:val="0008383F"/>
    <w:pPr>
      <w:spacing w:before="100" w:beforeAutospacing="1" w:after="100" w:afterAutospacing="1"/>
    </w:pPr>
  </w:style>
  <w:style w:type="paragraph" w:customStyle="1" w:styleId="article">
    <w:name w:val="article"/>
    <w:basedOn w:val="Standard"/>
    <w:rsid w:val="0008383F"/>
    <w:pPr>
      <w:spacing w:before="100" w:beforeAutospacing="1" w:after="100" w:afterAutospacing="1"/>
    </w:pPr>
  </w:style>
  <w:style w:type="paragraph" w:customStyle="1" w:styleId="pagebreak">
    <w:name w:val="pagebreak"/>
    <w:basedOn w:val="Standard"/>
    <w:rsid w:val="0008383F"/>
    <w:pPr>
      <w:spacing w:before="100" w:beforeAutospacing="1" w:after="100" w:afterAutospacing="1"/>
    </w:pPr>
  </w:style>
  <w:style w:type="paragraph" w:customStyle="1" w:styleId="blank">
    <w:name w:val="blank"/>
    <w:basedOn w:val="Standard"/>
    <w:rsid w:val="0008383F"/>
    <w:pPr>
      <w:spacing w:before="100" w:beforeAutospacing="1" w:after="100" w:afterAutospacing="1"/>
    </w:pPr>
  </w:style>
  <w:style w:type="paragraph" w:customStyle="1" w:styleId="left">
    <w:name w:val="left"/>
    <w:basedOn w:val="Standard"/>
    <w:rsid w:val="0008383F"/>
    <w:pPr>
      <w:spacing w:before="100" w:beforeAutospacing="1" w:after="100" w:afterAutospacing="1"/>
    </w:pPr>
  </w:style>
  <w:style w:type="paragraph" w:customStyle="1" w:styleId="right">
    <w:name w:val="right"/>
    <w:basedOn w:val="Standard"/>
    <w:rsid w:val="0008383F"/>
    <w:pPr>
      <w:spacing w:before="100" w:beforeAutospacing="1" w:after="100" w:afterAutospacing="1"/>
    </w:pPr>
  </w:style>
  <w:style w:type="character" w:customStyle="1" w:styleId="highlight">
    <w:name w:val="highlight"/>
    <w:rsid w:val="0008383F"/>
    <w:rPr>
      <w:b/>
      <w:shd w:val="clear" w:color="auto" w:fill="FFFFCC"/>
    </w:rPr>
  </w:style>
  <w:style w:type="character" w:customStyle="1" w:styleId="kleinschrift1">
    <w:name w:val="kleinschrift1"/>
    <w:rsid w:val="008D2DC9"/>
    <w:rPr>
      <w:sz w:val="12"/>
    </w:rPr>
  </w:style>
  <w:style w:type="character" w:customStyle="1" w:styleId="kleinschrift">
    <w:name w:val="kleinschrift"/>
    <w:rsid w:val="008D2DC9"/>
    <w:rPr>
      <w:rFonts w:ascii="Arial" w:hAnsi="Arial"/>
      <w:sz w:val="12"/>
    </w:rPr>
  </w:style>
  <w:style w:type="character" w:styleId="Hervorhebung">
    <w:name w:val="Emphasis"/>
    <w:uiPriority w:val="20"/>
    <w:qFormat/>
    <w:rsid w:val="0008383F"/>
    <w:rPr>
      <w:i/>
    </w:rPr>
  </w:style>
  <w:style w:type="character" w:customStyle="1" w:styleId="structdoc-small">
    <w:name w:val="structdoc-small"/>
    <w:rsid w:val="00D61D22"/>
    <w:rPr>
      <w:rFonts w:ascii="Arial" w:hAnsi="Arial"/>
      <w:sz w:val="12"/>
    </w:rPr>
  </w:style>
  <w:style w:type="character" w:styleId="Fett">
    <w:name w:val="Strong"/>
    <w:uiPriority w:val="22"/>
    <w:qFormat/>
    <w:rsid w:val="0008383F"/>
    <w:rPr>
      <w:b/>
    </w:rPr>
  </w:style>
  <w:style w:type="paragraph" w:styleId="Dokumentstruktur">
    <w:name w:val="Document Map"/>
    <w:basedOn w:val="Standard"/>
    <w:link w:val="DokumentstrukturZchn"/>
    <w:uiPriority w:val="99"/>
    <w:semiHidden/>
    <w:unhideWhenUsed/>
    <w:rsid w:val="00B5560D"/>
    <w:rPr>
      <w:rFonts w:ascii="Tahoma" w:hAnsi="Tahoma"/>
      <w:szCs w:val="16"/>
    </w:rPr>
  </w:style>
  <w:style w:type="character" w:customStyle="1" w:styleId="DokumentstrukturZchn">
    <w:name w:val="Dokumentstruktur Zchn"/>
    <w:link w:val="Dokumentstruktur"/>
    <w:uiPriority w:val="99"/>
    <w:semiHidden/>
    <w:locked/>
    <w:rsid w:val="00B5560D"/>
    <w:rPr>
      <w:rFonts w:ascii="Tahoma" w:hAnsi="Tahoma"/>
      <w:sz w:val="16"/>
    </w:rPr>
  </w:style>
  <w:style w:type="paragraph" w:styleId="Kopfzeile">
    <w:name w:val="header"/>
    <w:basedOn w:val="Standard"/>
    <w:link w:val="KopfzeileZchn"/>
    <w:uiPriority w:val="99"/>
    <w:unhideWhenUsed/>
    <w:rsid w:val="00842ED7"/>
    <w:pPr>
      <w:tabs>
        <w:tab w:val="center" w:pos="4536"/>
        <w:tab w:val="right" w:pos="9072"/>
      </w:tabs>
    </w:pPr>
    <w:rPr>
      <w:sz w:val="12"/>
    </w:rPr>
  </w:style>
  <w:style w:type="character" w:customStyle="1" w:styleId="KopfzeileZchn">
    <w:name w:val="Kopfzeile Zchn"/>
    <w:link w:val="Kopfzeile"/>
    <w:uiPriority w:val="99"/>
    <w:locked/>
    <w:rsid w:val="00842ED7"/>
    <w:rPr>
      <w:rFonts w:ascii="Arial" w:hAnsi="Arial"/>
      <w:sz w:val="24"/>
    </w:rPr>
  </w:style>
  <w:style w:type="paragraph" w:styleId="Fuzeile">
    <w:name w:val="footer"/>
    <w:basedOn w:val="Standard"/>
    <w:link w:val="FuzeileZchn"/>
    <w:uiPriority w:val="99"/>
    <w:unhideWhenUsed/>
    <w:rsid w:val="00F84DE9"/>
    <w:pPr>
      <w:tabs>
        <w:tab w:val="center" w:pos="4536"/>
        <w:tab w:val="right" w:pos="9072"/>
      </w:tabs>
    </w:pPr>
    <w:rPr>
      <w:rFonts w:ascii="Times New Roman" w:hAnsi="Times New Roman"/>
      <w:sz w:val="24"/>
    </w:rPr>
  </w:style>
  <w:style w:type="character" w:customStyle="1" w:styleId="FuzeileZchn">
    <w:name w:val="Fußzeile Zchn"/>
    <w:link w:val="Fuzeile"/>
    <w:uiPriority w:val="99"/>
    <w:locked/>
    <w:rsid w:val="00F84DE9"/>
    <w:rPr>
      <w:rFonts w:eastAsia="Times New Roman"/>
      <w:sz w:val="24"/>
    </w:rPr>
  </w:style>
  <w:style w:type="table" w:styleId="Tabellenraster">
    <w:name w:val="Table Grid"/>
    <w:basedOn w:val="NormaleTabelle"/>
    <w:uiPriority w:val="59"/>
    <w:rsid w:val="00F84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2499E"/>
    <w:rPr>
      <w:rFonts w:ascii="Tahoma" w:hAnsi="Tahoma"/>
      <w:szCs w:val="16"/>
    </w:rPr>
  </w:style>
  <w:style w:type="character" w:customStyle="1" w:styleId="SprechblasentextZchn">
    <w:name w:val="Sprechblasentext Zchn"/>
    <w:link w:val="Sprechblasentext"/>
    <w:uiPriority w:val="99"/>
    <w:semiHidden/>
    <w:locked/>
    <w:rsid w:val="0002499E"/>
    <w:rPr>
      <w:rFonts w:ascii="Tahoma" w:hAnsi="Tahoma"/>
      <w:sz w:val="16"/>
    </w:rPr>
  </w:style>
  <w:style w:type="paragraph" w:customStyle="1" w:styleId="small">
    <w:name w:val="small"/>
    <w:basedOn w:val="Standard"/>
    <w:rsid w:val="0002499E"/>
    <w:pPr>
      <w:spacing w:after="60"/>
    </w:pPr>
    <w:rPr>
      <w:rFonts w:cs="Arial"/>
      <w:color w:val="000000"/>
      <w:sz w:val="10"/>
      <w:szCs w:val="10"/>
    </w:rPr>
  </w:style>
  <w:style w:type="paragraph" w:customStyle="1" w:styleId="navtrack">
    <w:name w:val="navtrack"/>
    <w:basedOn w:val="Standard"/>
    <w:rsid w:val="0002499E"/>
    <w:pPr>
      <w:spacing w:after="99"/>
    </w:pPr>
    <w:rPr>
      <w:rFonts w:cs="Arial"/>
      <w:color w:val="000000"/>
      <w:sz w:val="11"/>
      <w:szCs w:val="11"/>
    </w:rPr>
  </w:style>
  <w:style w:type="paragraph" w:customStyle="1" w:styleId="image-subtitle">
    <w:name w:val="image-subtitle"/>
    <w:basedOn w:val="Standard"/>
    <w:rsid w:val="0002499E"/>
    <w:pPr>
      <w:shd w:val="clear" w:color="auto" w:fill="EEEEEE"/>
      <w:spacing w:after="99"/>
    </w:pPr>
    <w:rPr>
      <w:rFonts w:cs="Arial"/>
      <w:color w:val="000000"/>
      <w:sz w:val="11"/>
      <w:szCs w:val="11"/>
    </w:rPr>
  </w:style>
  <w:style w:type="paragraph" w:customStyle="1" w:styleId="image-copyright">
    <w:name w:val="image-copyright"/>
    <w:basedOn w:val="Standard"/>
    <w:rsid w:val="0002499E"/>
    <w:pPr>
      <w:shd w:val="clear" w:color="auto" w:fill="EEEEEE"/>
      <w:spacing w:after="99"/>
    </w:pPr>
    <w:rPr>
      <w:rFonts w:cs="Arial"/>
      <w:color w:val="999999"/>
      <w:sz w:val="9"/>
      <w:szCs w:val="9"/>
    </w:rPr>
  </w:style>
  <w:style w:type="paragraph" w:customStyle="1" w:styleId="image-tile">
    <w:name w:val="image-tile"/>
    <w:basedOn w:val="Standard"/>
    <w:rsid w:val="0002499E"/>
    <w:pPr>
      <w:shd w:val="clear" w:color="auto" w:fill="EEEEEE"/>
      <w:spacing w:after="99"/>
    </w:pPr>
    <w:rPr>
      <w:rFonts w:cs="Arial"/>
      <w:color w:val="000000"/>
      <w:sz w:val="12"/>
      <w:szCs w:val="12"/>
    </w:rPr>
  </w:style>
  <w:style w:type="paragraph" w:customStyle="1" w:styleId="sitemapl0">
    <w:name w:val="sitemapl0"/>
    <w:basedOn w:val="Standard"/>
    <w:rsid w:val="0002499E"/>
    <w:pPr>
      <w:spacing w:after="99"/>
    </w:pPr>
    <w:rPr>
      <w:rFonts w:cs="Arial"/>
      <w:b/>
      <w:bCs/>
      <w:color w:val="000000"/>
      <w:sz w:val="12"/>
      <w:szCs w:val="12"/>
    </w:rPr>
  </w:style>
  <w:style w:type="paragraph" w:customStyle="1" w:styleId="sitemapl1">
    <w:name w:val="sitemapl1"/>
    <w:basedOn w:val="Standard"/>
    <w:rsid w:val="0002499E"/>
    <w:pPr>
      <w:spacing w:after="99"/>
    </w:pPr>
    <w:rPr>
      <w:rFonts w:cs="Arial"/>
      <w:b/>
      <w:bCs/>
      <w:color w:val="CC3333"/>
      <w:sz w:val="12"/>
      <w:szCs w:val="12"/>
    </w:rPr>
  </w:style>
  <w:style w:type="paragraph" w:customStyle="1" w:styleId="sitemapl2">
    <w:name w:val="sitemapl2"/>
    <w:basedOn w:val="Standard"/>
    <w:rsid w:val="0002499E"/>
    <w:pPr>
      <w:spacing w:after="99"/>
    </w:pPr>
    <w:rPr>
      <w:rFonts w:cs="Arial"/>
      <w:color w:val="CC3333"/>
      <w:sz w:val="11"/>
      <w:szCs w:val="11"/>
    </w:rPr>
  </w:style>
  <w:style w:type="paragraph" w:customStyle="1" w:styleId="sitemapl3">
    <w:name w:val="sitemapl3"/>
    <w:basedOn w:val="Standard"/>
    <w:rsid w:val="0002499E"/>
    <w:pPr>
      <w:spacing w:after="99"/>
    </w:pPr>
    <w:rPr>
      <w:rFonts w:cs="Arial"/>
      <w:color w:val="000000"/>
      <w:sz w:val="11"/>
      <w:szCs w:val="11"/>
    </w:rPr>
  </w:style>
  <w:style w:type="paragraph" w:customStyle="1" w:styleId="bildunterschrift">
    <w:name w:val="bildunterschrift"/>
    <w:basedOn w:val="Standard"/>
    <w:rsid w:val="0002499E"/>
    <w:pPr>
      <w:shd w:val="clear" w:color="auto" w:fill="CCCCCC"/>
      <w:spacing w:after="99"/>
    </w:pPr>
    <w:rPr>
      <w:rFonts w:cs="Arial"/>
      <w:color w:val="000000"/>
      <w:sz w:val="11"/>
      <w:szCs w:val="11"/>
    </w:rPr>
  </w:style>
  <w:style w:type="paragraph" w:customStyle="1" w:styleId="copyright">
    <w:name w:val="copyright"/>
    <w:basedOn w:val="Standard"/>
    <w:rsid w:val="0002499E"/>
    <w:pPr>
      <w:shd w:val="clear" w:color="auto" w:fill="CCCCCC"/>
      <w:spacing w:after="99"/>
    </w:pPr>
    <w:rPr>
      <w:rFonts w:cs="Arial"/>
      <w:color w:val="000000"/>
      <w:sz w:val="10"/>
      <w:szCs w:val="10"/>
    </w:rPr>
  </w:style>
  <w:style w:type="paragraph" w:customStyle="1" w:styleId="editareanorm">
    <w:name w:val="editarea_norm"/>
    <w:basedOn w:val="Standard"/>
    <w:rsid w:val="0002499E"/>
    <w:rPr>
      <w:rFonts w:cs="Arial"/>
      <w:color w:val="000000"/>
      <w:sz w:val="12"/>
      <w:szCs w:val="12"/>
    </w:rPr>
  </w:style>
  <w:style w:type="paragraph" w:customStyle="1" w:styleId="editareaover">
    <w:name w:val="editarea_over"/>
    <w:basedOn w:val="Standard"/>
    <w:rsid w:val="0002499E"/>
    <w:pPr>
      <w:pBdr>
        <w:top w:val="dotted" w:sz="4" w:space="0" w:color="000000"/>
        <w:bottom w:val="dotted" w:sz="4" w:space="0" w:color="000000"/>
      </w:pBdr>
      <w:shd w:val="clear" w:color="auto" w:fill="F0F0F0"/>
    </w:pPr>
    <w:rPr>
      <w:rFonts w:cs="Arial"/>
      <w:color w:val="000000"/>
      <w:sz w:val="12"/>
      <w:szCs w:val="12"/>
    </w:rPr>
  </w:style>
  <w:style w:type="paragraph" w:customStyle="1" w:styleId="general-error">
    <w:name w:val="general-error"/>
    <w:basedOn w:val="Standard"/>
    <w:rsid w:val="0002499E"/>
    <w:pPr>
      <w:spacing w:after="99"/>
    </w:pPr>
    <w:rPr>
      <w:rFonts w:cs="Arial"/>
      <w:b/>
      <w:bCs/>
      <w:color w:val="FF0000"/>
      <w:sz w:val="12"/>
      <w:szCs w:val="12"/>
    </w:rPr>
  </w:style>
  <w:style w:type="paragraph" w:customStyle="1" w:styleId="general-info">
    <w:name w:val="general-info"/>
    <w:basedOn w:val="Standard"/>
    <w:rsid w:val="0002499E"/>
    <w:pPr>
      <w:spacing w:after="99"/>
    </w:pPr>
    <w:rPr>
      <w:rFonts w:cs="Arial"/>
      <w:color w:val="FF0000"/>
      <w:sz w:val="12"/>
      <w:szCs w:val="12"/>
    </w:rPr>
  </w:style>
  <w:style w:type="paragraph" w:customStyle="1" w:styleId="search-result-title">
    <w:name w:val="search-result-title"/>
    <w:basedOn w:val="Standard"/>
    <w:rsid w:val="0002499E"/>
    <w:pPr>
      <w:spacing w:after="99"/>
    </w:pPr>
    <w:rPr>
      <w:rFonts w:cs="Arial"/>
      <w:b/>
      <w:bCs/>
      <w:color w:val="CC3333"/>
      <w:sz w:val="12"/>
      <w:szCs w:val="12"/>
    </w:rPr>
  </w:style>
  <w:style w:type="paragraph" w:customStyle="1" w:styleId="search-result-percent">
    <w:name w:val="search-result-percent"/>
    <w:basedOn w:val="Standard"/>
    <w:rsid w:val="0002499E"/>
    <w:pPr>
      <w:spacing w:after="99"/>
    </w:pPr>
    <w:rPr>
      <w:rFonts w:cs="Arial"/>
      <w:color w:val="000000"/>
      <w:sz w:val="12"/>
      <w:szCs w:val="12"/>
    </w:rPr>
  </w:style>
  <w:style w:type="paragraph" w:customStyle="1" w:styleId="search-result-date">
    <w:name w:val="search-result-date"/>
    <w:basedOn w:val="Standard"/>
    <w:rsid w:val="0002499E"/>
    <w:pPr>
      <w:spacing w:after="99"/>
    </w:pPr>
    <w:rPr>
      <w:rFonts w:cs="Arial"/>
      <w:color w:val="000000"/>
      <w:sz w:val="12"/>
      <w:szCs w:val="12"/>
    </w:rPr>
  </w:style>
  <w:style w:type="paragraph" w:customStyle="1" w:styleId="search-result-size">
    <w:name w:val="search-result-size"/>
    <w:basedOn w:val="Standard"/>
    <w:rsid w:val="0002499E"/>
    <w:pPr>
      <w:spacing w:after="99"/>
    </w:pPr>
    <w:rPr>
      <w:rFonts w:cs="Arial"/>
      <w:color w:val="999999"/>
      <w:sz w:val="12"/>
      <w:szCs w:val="12"/>
    </w:rPr>
  </w:style>
  <w:style w:type="paragraph" w:customStyle="1" w:styleId="search-result-text">
    <w:name w:val="search-result-text"/>
    <w:basedOn w:val="Standard"/>
    <w:rsid w:val="0002499E"/>
    <w:pPr>
      <w:spacing w:after="99"/>
    </w:pPr>
    <w:rPr>
      <w:rFonts w:cs="Arial"/>
      <w:color w:val="000000"/>
      <w:sz w:val="11"/>
      <w:szCs w:val="11"/>
    </w:rPr>
  </w:style>
  <w:style w:type="paragraph" w:customStyle="1" w:styleId="search-result-link">
    <w:name w:val="search-result-link"/>
    <w:basedOn w:val="Standard"/>
    <w:rsid w:val="0002499E"/>
    <w:pPr>
      <w:spacing w:after="99"/>
    </w:pPr>
    <w:rPr>
      <w:rFonts w:cs="Arial"/>
      <w:color w:val="000000"/>
      <w:sz w:val="10"/>
      <w:szCs w:val="10"/>
    </w:rPr>
  </w:style>
  <w:style w:type="paragraph" w:customStyle="1" w:styleId="boxframe">
    <w:name w:val="boxframe"/>
    <w:basedOn w:val="Standard"/>
    <w:rsid w:val="0002499E"/>
    <w:pPr>
      <w:shd w:val="clear" w:color="auto" w:fill="77B77D"/>
      <w:spacing w:after="99"/>
    </w:pPr>
    <w:rPr>
      <w:rFonts w:cs="Arial"/>
      <w:color w:val="000000"/>
      <w:sz w:val="11"/>
      <w:szCs w:val="11"/>
    </w:rPr>
  </w:style>
  <w:style w:type="paragraph" w:customStyle="1" w:styleId="boxtitle">
    <w:name w:val="boxtitle"/>
    <w:basedOn w:val="Standard"/>
    <w:rsid w:val="0002499E"/>
    <w:pPr>
      <w:shd w:val="clear" w:color="auto" w:fill="127419"/>
      <w:spacing w:after="99"/>
    </w:pPr>
    <w:rPr>
      <w:rFonts w:cs="Arial"/>
      <w:b/>
      <w:bCs/>
      <w:color w:val="FFFFFF"/>
      <w:sz w:val="11"/>
      <w:szCs w:val="11"/>
    </w:rPr>
  </w:style>
  <w:style w:type="paragraph" w:customStyle="1" w:styleId="boxnav1">
    <w:name w:val="boxnav1"/>
    <w:basedOn w:val="Standard"/>
    <w:rsid w:val="0002499E"/>
    <w:pPr>
      <w:spacing w:after="99"/>
    </w:pPr>
    <w:rPr>
      <w:rFonts w:cs="Arial"/>
      <w:color w:val="000000"/>
      <w:sz w:val="11"/>
      <w:szCs w:val="11"/>
    </w:rPr>
  </w:style>
  <w:style w:type="paragraph" w:customStyle="1" w:styleId="boxnav1current">
    <w:name w:val="boxnav1current"/>
    <w:basedOn w:val="Standard"/>
    <w:rsid w:val="0002499E"/>
    <w:pPr>
      <w:spacing w:after="99"/>
    </w:pPr>
    <w:rPr>
      <w:rFonts w:cs="Arial"/>
      <w:b/>
      <w:bCs/>
      <w:color w:val="127419"/>
      <w:sz w:val="11"/>
      <w:szCs w:val="11"/>
    </w:rPr>
  </w:style>
  <w:style w:type="paragraph" w:customStyle="1" w:styleId="boxnav2">
    <w:name w:val="boxnav2"/>
    <w:basedOn w:val="Standard"/>
    <w:rsid w:val="0002499E"/>
    <w:pPr>
      <w:shd w:val="clear" w:color="auto" w:fill="D1E4D3"/>
      <w:spacing w:after="99"/>
    </w:pPr>
    <w:rPr>
      <w:rFonts w:cs="Arial"/>
      <w:color w:val="000000"/>
      <w:sz w:val="11"/>
      <w:szCs w:val="11"/>
    </w:rPr>
  </w:style>
  <w:style w:type="paragraph" w:customStyle="1" w:styleId="boxnav2current">
    <w:name w:val="boxnav2current"/>
    <w:basedOn w:val="Standard"/>
    <w:rsid w:val="0002499E"/>
    <w:pPr>
      <w:shd w:val="clear" w:color="auto" w:fill="D1E4D3"/>
      <w:spacing w:after="99"/>
    </w:pPr>
    <w:rPr>
      <w:rFonts w:cs="Arial"/>
      <w:color w:val="127419"/>
      <w:sz w:val="11"/>
      <w:szCs w:val="11"/>
    </w:rPr>
  </w:style>
  <w:style w:type="paragraph" w:customStyle="1" w:styleId="boxnav2empty">
    <w:name w:val="boxnav2empty"/>
    <w:basedOn w:val="Standard"/>
    <w:rsid w:val="0002499E"/>
    <w:pPr>
      <w:shd w:val="clear" w:color="auto" w:fill="D1E4D3"/>
      <w:spacing w:after="99"/>
    </w:pPr>
    <w:rPr>
      <w:rFonts w:cs="Arial"/>
      <w:color w:val="000000"/>
      <w:sz w:val="11"/>
      <w:szCs w:val="11"/>
    </w:rPr>
  </w:style>
  <w:style w:type="paragraph" w:customStyle="1" w:styleId="pagefooter">
    <w:name w:val="pagefooter"/>
    <w:basedOn w:val="Standard"/>
    <w:rsid w:val="0002499E"/>
    <w:pPr>
      <w:shd w:val="clear" w:color="auto" w:fill="D1E4D3"/>
      <w:spacing w:after="99"/>
    </w:pPr>
    <w:rPr>
      <w:rFonts w:cs="Arial"/>
      <w:color w:val="000000"/>
      <w:sz w:val="11"/>
      <w:szCs w:val="11"/>
    </w:rPr>
  </w:style>
  <w:style w:type="paragraph" w:customStyle="1" w:styleId="list-item-box">
    <w:name w:val="list-item-box"/>
    <w:basedOn w:val="Standard"/>
    <w:rsid w:val="0002499E"/>
    <w:pPr>
      <w:shd w:val="clear" w:color="auto" w:fill="127419"/>
      <w:spacing w:after="99"/>
    </w:pPr>
    <w:rPr>
      <w:rFonts w:cs="Arial"/>
      <w:b/>
      <w:bCs/>
      <w:color w:val="FFFFFF"/>
      <w:sz w:val="12"/>
      <w:szCs w:val="12"/>
    </w:rPr>
  </w:style>
  <w:style w:type="paragraph" w:customStyle="1" w:styleId="list-item-headline">
    <w:name w:val="list-item-headline"/>
    <w:basedOn w:val="Standard"/>
    <w:rsid w:val="0002499E"/>
    <w:pPr>
      <w:spacing w:after="99"/>
    </w:pPr>
    <w:rPr>
      <w:rFonts w:cs="Arial"/>
      <w:b/>
      <w:bCs/>
      <w:color w:val="000000"/>
      <w:sz w:val="12"/>
      <w:szCs w:val="12"/>
    </w:rPr>
  </w:style>
  <w:style w:type="paragraph" w:customStyle="1" w:styleId="list-item-title">
    <w:name w:val="list-item-title"/>
    <w:basedOn w:val="Standard"/>
    <w:rsid w:val="0002499E"/>
    <w:pPr>
      <w:spacing w:after="99"/>
    </w:pPr>
    <w:rPr>
      <w:rFonts w:cs="Arial"/>
      <w:b/>
      <w:bCs/>
      <w:color w:val="127419"/>
      <w:sz w:val="14"/>
      <w:szCs w:val="14"/>
    </w:rPr>
  </w:style>
  <w:style w:type="paragraph" w:customStyle="1" w:styleId="list-item-subtitle">
    <w:name w:val="list-item-subtitle"/>
    <w:basedOn w:val="Standard"/>
    <w:rsid w:val="0002499E"/>
    <w:pPr>
      <w:spacing w:after="99"/>
    </w:pPr>
    <w:rPr>
      <w:rFonts w:cs="Arial"/>
      <w:b/>
      <w:bCs/>
      <w:color w:val="000000"/>
      <w:sz w:val="12"/>
      <w:szCs w:val="12"/>
    </w:rPr>
  </w:style>
  <w:style w:type="paragraph" w:customStyle="1" w:styleId="list-item-teaser">
    <w:name w:val="list-item-teaser"/>
    <w:basedOn w:val="Standard"/>
    <w:rsid w:val="0002499E"/>
    <w:pPr>
      <w:spacing w:after="99"/>
    </w:pPr>
    <w:rPr>
      <w:rFonts w:cs="Arial"/>
      <w:color w:val="000000"/>
      <w:sz w:val="12"/>
      <w:szCs w:val="12"/>
    </w:rPr>
  </w:style>
  <w:style w:type="paragraph" w:customStyle="1" w:styleId="list-item-author">
    <w:name w:val="list-item-author"/>
    <w:basedOn w:val="Standard"/>
    <w:rsid w:val="0002499E"/>
    <w:pPr>
      <w:spacing w:after="99"/>
    </w:pPr>
    <w:rPr>
      <w:rFonts w:cs="Arial"/>
      <w:color w:val="000000"/>
      <w:sz w:val="12"/>
      <w:szCs w:val="12"/>
    </w:rPr>
  </w:style>
  <w:style w:type="paragraph" w:customStyle="1" w:styleId="item-image-copyright">
    <w:name w:val="item-image-copyright"/>
    <w:basedOn w:val="Standard"/>
    <w:rsid w:val="0002499E"/>
    <w:pPr>
      <w:spacing w:after="99" w:line="99" w:lineRule="atLeast"/>
    </w:pPr>
    <w:rPr>
      <w:rFonts w:cs="Arial"/>
      <w:color w:val="000000"/>
      <w:sz w:val="8"/>
      <w:szCs w:val="8"/>
    </w:rPr>
  </w:style>
  <w:style w:type="paragraph" w:customStyle="1" w:styleId="item-image-subtitle">
    <w:name w:val="item-image-subtitle"/>
    <w:basedOn w:val="Standard"/>
    <w:rsid w:val="0002499E"/>
    <w:pPr>
      <w:spacing w:after="99" w:line="109" w:lineRule="atLeast"/>
    </w:pPr>
    <w:rPr>
      <w:rFonts w:cs="Arial"/>
      <w:color w:val="000000"/>
      <w:sz w:val="9"/>
      <w:szCs w:val="9"/>
    </w:rPr>
  </w:style>
  <w:style w:type="paragraph" w:customStyle="1" w:styleId="item-headline">
    <w:name w:val="item-headline"/>
    <w:basedOn w:val="Standard"/>
    <w:rsid w:val="0002499E"/>
    <w:pPr>
      <w:spacing w:after="99" w:line="179" w:lineRule="atLeast"/>
    </w:pPr>
    <w:rPr>
      <w:rFonts w:cs="Arial"/>
      <w:b/>
      <w:bCs/>
      <w:color w:val="000000"/>
      <w:sz w:val="14"/>
      <w:szCs w:val="14"/>
    </w:rPr>
  </w:style>
  <w:style w:type="paragraph" w:customStyle="1" w:styleId="item-title">
    <w:name w:val="item-title"/>
    <w:basedOn w:val="Standard"/>
    <w:rsid w:val="0002499E"/>
    <w:pPr>
      <w:spacing w:after="99" w:line="218" w:lineRule="atLeast"/>
    </w:pPr>
    <w:rPr>
      <w:rFonts w:cs="Arial"/>
      <w:b/>
      <w:bCs/>
      <w:color w:val="127419"/>
      <w:sz w:val="18"/>
      <w:szCs w:val="18"/>
    </w:rPr>
  </w:style>
  <w:style w:type="paragraph" w:customStyle="1" w:styleId="item-title-start">
    <w:name w:val="item-title-start"/>
    <w:basedOn w:val="Standard"/>
    <w:rsid w:val="0002499E"/>
    <w:pPr>
      <w:spacing w:after="99" w:line="218" w:lineRule="atLeast"/>
    </w:pPr>
    <w:rPr>
      <w:rFonts w:cs="Arial"/>
      <w:b/>
      <w:bCs/>
      <w:color w:val="000000"/>
      <w:sz w:val="18"/>
      <w:szCs w:val="18"/>
    </w:rPr>
  </w:style>
  <w:style w:type="paragraph" w:customStyle="1" w:styleId="item-subtitle">
    <w:name w:val="item-subtitle"/>
    <w:basedOn w:val="Standard"/>
    <w:rsid w:val="0002499E"/>
    <w:pPr>
      <w:spacing w:after="99" w:line="179" w:lineRule="atLeast"/>
    </w:pPr>
    <w:rPr>
      <w:rFonts w:cs="Arial"/>
      <w:b/>
      <w:bCs/>
      <w:color w:val="000000"/>
      <w:sz w:val="14"/>
      <w:szCs w:val="14"/>
    </w:rPr>
  </w:style>
  <w:style w:type="paragraph" w:customStyle="1" w:styleId="item-teaser">
    <w:name w:val="item-teaser"/>
    <w:basedOn w:val="Standard"/>
    <w:rsid w:val="0002499E"/>
    <w:pPr>
      <w:spacing w:after="99"/>
    </w:pPr>
    <w:rPr>
      <w:rFonts w:cs="Arial"/>
      <w:b/>
      <w:bCs/>
      <w:color w:val="000000"/>
      <w:sz w:val="12"/>
      <w:szCs w:val="12"/>
    </w:rPr>
  </w:style>
  <w:style w:type="paragraph" w:customStyle="1" w:styleId="item-date">
    <w:name w:val="item-date"/>
    <w:basedOn w:val="Standard"/>
    <w:rsid w:val="0002499E"/>
    <w:pPr>
      <w:spacing w:after="99" w:line="139" w:lineRule="atLeast"/>
    </w:pPr>
    <w:rPr>
      <w:rFonts w:cs="Arial"/>
      <w:color w:val="000000"/>
      <w:sz w:val="12"/>
      <w:szCs w:val="12"/>
    </w:rPr>
  </w:style>
  <w:style w:type="paragraph" w:customStyle="1" w:styleId="item-author">
    <w:name w:val="item-author"/>
    <w:basedOn w:val="Standard"/>
    <w:rsid w:val="0002499E"/>
    <w:pPr>
      <w:spacing w:after="99"/>
      <w:jc w:val="right"/>
    </w:pPr>
    <w:rPr>
      <w:rFonts w:cs="Arial"/>
      <w:i/>
      <w:iCs/>
      <w:color w:val="000000"/>
      <w:sz w:val="12"/>
      <w:szCs w:val="12"/>
    </w:rPr>
  </w:style>
  <w:style w:type="paragraph" w:customStyle="1" w:styleId="calth1">
    <w:name w:val="calth1"/>
    <w:basedOn w:val="Standard"/>
    <w:rsid w:val="0002499E"/>
    <w:pPr>
      <w:shd w:val="clear" w:color="auto" w:fill="127419"/>
      <w:spacing w:after="99"/>
      <w:jc w:val="center"/>
    </w:pPr>
    <w:rPr>
      <w:rFonts w:cs="Arial"/>
      <w:b/>
      <w:bCs/>
      <w:color w:val="FFFFFF"/>
      <w:szCs w:val="16"/>
    </w:rPr>
  </w:style>
  <w:style w:type="paragraph" w:customStyle="1" w:styleId="calth2">
    <w:name w:val="calth2"/>
    <w:basedOn w:val="Standard"/>
    <w:rsid w:val="0002499E"/>
    <w:pPr>
      <w:shd w:val="clear" w:color="auto" w:fill="77B77D"/>
      <w:spacing w:after="99"/>
      <w:jc w:val="center"/>
    </w:pPr>
    <w:rPr>
      <w:rFonts w:cs="Arial"/>
      <w:b/>
      <w:bCs/>
      <w:color w:val="FFFFFF"/>
      <w:szCs w:val="16"/>
    </w:rPr>
  </w:style>
  <w:style w:type="paragraph" w:customStyle="1" w:styleId="caltd1">
    <w:name w:val="caltd1"/>
    <w:basedOn w:val="Standard"/>
    <w:rsid w:val="0002499E"/>
    <w:pPr>
      <w:shd w:val="clear" w:color="auto" w:fill="D1E4D3"/>
      <w:spacing w:after="99"/>
      <w:jc w:val="center"/>
    </w:pPr>
    <w:rPr>
      <w:rFonts w:cs="Arial"/>
      <w:color w:val="000000"/>
      <w:szCs w:val="16"/>
    </w:rPr>
  </w:style>
  <w:style w:type="paragraph" w:customStyle="1" w:styleId="caltd2">
    <w:name w:val="caltd2"/>
    <w:basedOn w:val="Standard"/>
    <w:rsid w:val="0002499E"/>
    <w:pPr>
      <w:shd w:val="clear" w:color="auto" w:fill="EEEEEE"/>
      <w:spacing w:after="99"/>
      <w:jc w:val="center"/>
    </w:pPr>
    <w:rPr>
      <w:rFonts w:cs="Arial"/>
      <w:color w:val="000000"/>
      <w:szCs w:val="16"/>
    </w:rPr>
  </w:style>
  <w:style w:type="paragraph" w:customStyle="1" w:styleId="caltd3">
    <w:name w:val="caltd3"/>
    <w:basedOn w:val="Standard"/>
    <w:rsid w:val="0002499E"/>
    <w:pPr>
      <w:shd w:val="clear" w:color="auto" w:fill="77B77D"/>
      <w:spacing w:after="99"/>
      <w:jc w:val="center"/>
    </w:pPr>
    <w:rPr>
      <w:rFonts w:cs="Arial"/>
      <w:color w:val="000000"/>
      <w:szCs w:val="16"/>
    </w:rPr>
  </w:style>
  <w:style w:type="paragraph" w:customStyle="1" w:styleId="cal-list-back">
    <w:name w:val="cal-list-back"/>
    <w:basedOn w:val="Standard"/>
    <w:rsid w:val="0002499E"/>
    <w:pPr>
      <w:spacing w:after="99"/>
      <w:jc w:val="right"/>
    </w:pPr>
    <w:rPr>
      <w:rFonts w:cs="Arial"/>
      <w:color w:val="000000"/>
      <w:szCs w:val="16"/>
    </w:rPr>
  </w:style>
  <w:style w:type="paragraph" w:customStyle="1" w:styleId="gallerybody">
    <w:name w:val="gallerybody"/>
    <w:basedOn w:val="Standard"/>
    <w:rsid w:val="0002499E"/>
    <w:pPr>
      <w:shd w:val="clear" w:color="auto" w:fill="127419"/>
    </w:pPr>
    <w:rPr>
      <w:rFonts w:cs="Arial"/>
      <w:color w:val="000000"/>
      <w:sz w:val="12"/>
      <w:szCs w:val="12"/>
    </w:rPr>
  </w:style>
  <w:style w:type="paragraph" w:customStyle="1" w:styleId="galleryheadtext">
    <w:name w:val="galleryheadtext"/>
    <w:basedOn w:val="Standard"/>
    <w:rsid w:val="0002499E"/>
    <w:pPr>
      <w:spacing w:after="99"/>
    </w:pPr>
    <w:rPr>
      <w:rFonts w:cs="Arial"/>
      <w:b/>
      <w:bCs/>
      <w:color w:val="FFFFFF"/>
      <w:sz w:val="13"/>
      <w:szCs w:val="13"/>
    </w:rPr>
  </w:style>
  <w:style w:type="paragraph" w:customStyle="1" w:styleId="sitemap-top">
    <w:name w:val="sitemap-top"/>
    <w:basedOn w:val="Standard"/>
    <w:rsid w:val="0002499E"/>
    <w:pPr>
      <w:shd w:val="clear" w:color="auto" w:fill="127419"/>
      <w:spacing w:after="99"/>
    </w:pPr>
    <w:rPr>
      <w:rFonts w:cs="Arial"/>
      <w:b/>
      <w:bCs/>
      <w:color w:val="FFFFFF"/>
      <w:sz w:val="11"/>
      <w:szCs w:val="11"/>
    </w:rPr>
  </w:style>
  <w:style w:type="paragraph" w:customStyle="1" w:styleId="sitemap-level-1">
    <w:name w:val="sitemap-level-1"/>
    <w:basedOn w:val="Standard"/>
    <w:rsid w:val="0002499E"/>
    <w:pPr>
      <w:shd w:val="clear" w:color="auto" w:fill="77B77D"/>
      <w:spacing w:after="99"/>
      <w:ind w:left="60"/>
    </w:pPr>
    <w:rPr>
      <w:rFonts w:cs="Arial"/>
      <w:color w:val="FFFFFF"/>
      <w:sz w:val="11"/>
      <w:szCs w:val="11"/>
    </w:rPr>
  </w:style>
  <w:style w:type="paragraph" w:customStyle="1" w:styleId="sitemap-level-2">
    <w:name w:val="sitemap-level-2"/>
    <w:basedOn w:val="Standard"/>
    <w:rsid w:val="0002499E"/>
    <w:pPr>
      <w:pBdr>
        <w:left w:val="single" w:sz="48" w:space="5" w:color="77B77D"/>
      </w:pBdr>
      <w:shd w:val="clear" w:color="auto" w:fill="D1E4D3"/>
      <w:spacing w:after="99"/>
    </w:pPr>
    <w:rPr>
      <w:rFonts w:cs="Arial"/>
      <w:color w:val="FFFFFF"/>
      <w:sz w:val="11"/>
      <w:szCs w:val="11"/>
    </w:rPr>
  </w:style>
  <w:style w:type="paragraph" w:customStyle="1" w:styleId="sitemap-level-3">
    <w:name w:val="sitemap-level-3"/>
    <w:basedOn w:val="Standard"/>
    <w:rsid w:val="0002499E"/>
    <w:pPr>
      <w:pBdr>
        <w:left w:val="single" w:sz="48" w:space="5" w:color="77B77D"/>
      </w:pBdr>
      <w:shd w:val="clear" w:color="auto" w:fill="EEEEEE"/>
      <w:spacing w:after="99"/>
    </w:pPr>
    <w:rPr>
      <w:rFonts w:cs="Arial"/>
      <w:color w:val="767676"/>
      <w:sz w:val="11"/>
      <w:szCs w:val="11"/>
    </w:rPr>
  </w:style>
  <w:style w:type="paragraph" w:customStyle="1" w:styleId="sitemap-line-space1">
    <w:name w:val="sitemap-line-space1"/>
    <w:basedOn w:val="Standard"/>
    <w:rsid w:val="0002499E"/>
    <w:pPr>
      <w:pBdr>
        <w:left w:val="single" w:sz="18" w:space="0" w:color="77B77D"/>
      </w:pBdr>
      <w:shd w:val="clear" w:color="auto" w:fill="127419"/>
      <w:spacing w:after="99"/>
    </w:pPr>
    <w:rPr>
      <w:rFonts w:cs="Arial"/>
      <w:color w:val="000000"/>
      <w:sz w:val="12"/>
      <w:szCs w:val="12"/>
    </w:rPr>
  </w:style>
  <w:style w:type="paragraph" w:customStyle="1" w:styleId="sitemap-line-space2">
    <w:name w:val="sitemap-line-space2"/>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space3">
    <w:name w:val="sitemap-line-space3"/>
    <w:basedOn w:val="Standard"/>
    <w:rsid w:val="0002499E"/>
    <w:pPr>
      <w:pBdr>
        <w:left w:val="single" w:sz="48" w:space="0" w:color="77B77D"/>
      </w:pBdr>
      <w:shd w:val="clear" w:color="auto" w:fill="127419"/>
      <w:spacing w:after="99"/>
    </w:pPr>
    <w:rPr>
      <w:rFonts w:cs="Arial"/>
      <w:color w:val="000000"/>
      <w:sz w:val="12"/>
      <w:szCs w:val="12"/>
    </w:rPr>
  </w:style>
  <w:style w:type="paragraph" w:customStyle="1" w:styleId="sitemap-line">
    <w:name w:val="sitemap-line"/>
    <w:basedOn w:val="Standard"/>
    <w:rsid w:val="0002499E"/>
    <w:pPr>
      <w:shd w:val="clear" w:color="auto" w:fill="127419"/>
      <w:spacing w:after="99"/>
    </w:pPr>
    <w:rPr>
      <w:rFonts w:cs="Arial"/>
      <w:color w:val="000000"/>
      <w:sz w:val="12"/>
      <w:szCs w:val="12"/>
    </w:rPr>
  </w:style>
  <w:style w:type="paragraph" w:customStyle="1" w:styleId="sitemap-borderline">
    <w:name w:val="sitemap-borderline"/>
    <w:basedOn w:val="Standard"/>
    <w:rsid w:val="0002499E"/>
    <w:pPr>
      <w:shd w:val="clear" w:color="auto" w:fill="127419"/>
      <w:spacing w:after="99"/>
    </w:pPr>
    <w:rPr>
      <w:rFonts w:cs="Arial"/>
      <w:color w:val="000000"/>
      <w:sz w:val="12"/>
      <w:szCs w:val="12"/>
    </w:rPr>
  </w:style>
  <w:style w:type="paragraph" w:customStyle="1" w:styleId="forumth">
    <w:name w:val="forumth"/>
    <w:basedOn w:val="Standard"/>
    <w:rsid w:val="0002499E"/>
    <w:pPr>
      <w:pBdr>
        <w:bottom w:val="single" w:sz="4" w:space="0" w:color="FFFFFF"/>
        <w:right w:val="single" w:sz="4" w:space="0" w:color="FFFFFF"/>
      </w:pBdr>
      <w:shd w:val="clear" w:color="auto" w:fill="127419"/>
      <w:spacing w:after="99"/>
      <w:jc w:val="center"/>
    </w:pPr>
    <w:rPr>
      <w:rFonts w:cs="Arial"/>
      <w:b/>
      <w:bCs/>
      <w:color w:val="FFFFFF"/>
      <w:sz w:val="12"/>
      <w:szCs w:val="12"/>
    </w:rPr>
  </w:style>
  <w:style w:type="paragraph" w:customStyle="1" w:styleId="forumtd">
    <w:name w:val="forumtd"/>
    <w:basedOn w:val="Standard"/>
    <w:rsid w:val="0002499E"/>
    <w:pPr>
      <w:pBdr>
        <w:bottom w:val="single" w:sz="4" w:space="2" w:color="FFFFFF"/>
        <w:right w:val="single" w:sz="4" w:space="2" w:color="FFFFFF"/>
      </w:pBdr>
      <w:shd w:val="clear" w:color="auto" w:fill="D1E4D3"/>
      <w:spacing w:after="99"/>
    </w:pPr>
    <w:rPr>
      <w:rFonts w:cs="Arial"/>
      <w:color w:val="000000"/>
      <w:sz w:val="12"/>
      <w:szCs w:val="12"/>
    </w:rPr>
  </w:style>
  <w:style w:type="paragraph" w:customStyle="1" w:styleId="forumtd2">
    <w:name w:val="forumtd2"/>
    <w:basedOn w:val="Standard"/>
    <w:rsid w:val="0002499E"/>
    <w:pPr>
      <w:pBdr>
        <w:bottom w:val="single" w:sz="4" w:space="0" w:color="FFFFFF"/>
        <w:right w:val="single" w:sz="4" w:space="0" w:color="FFFFFF"/>
      </w:pBdr>
      <w:shd w:val="clear" w:color="auto" w:fill="77B77D"/>
      <w:spacing w:after="99"/>
      <w:jc w:val="center"/>
    </w:pPr>
    <w:rPr>
      <w:rFonts w:cs="Arial"/>
      <w:color w:val="000000"/>
      <w:sz w:val="10"/>
      <w:szCs w:val="10"/>
    </w:rPr>
  </w:style>
  <w:style w:type="paragraph" w:customStyle="1" w:styleId="forumtd3">
    <w:name w:val="forumtd3"/>
    <w:basedOn w:val="Standard"/>
    <w:rsid w:val="0002499E"/>
    <w:pPr>
      <w:pBdr>
        <w:bottom w:val="single" w:sz="4" w:space="0" w:color="FFFFFF"/>
        <w:right w:val="single" w:sz="4" w:space="0" w:color="FFFFFF"/>
      </w:pBdr>
      <w:shd w:val="clear" w:color="auto" w:fill="D1E4D3"/>
      <w:spacing w:after="99"/>
      <w:jc w:val="center"/>
    </w:pPr>
    <w:rPr>
      <w:rFonts w:cs="Arial"/>
      <w:color w:val="000000"/>
      <w:sz w:val="10"/>
      <w:szCs w:val="10"/>
    </w:rPr>
  </w:style>
  <w:style w:type="paragraph" w:customStyle="1" w:styleId="foruminputtd">
    <w:name w:val="foruminputtd"/>
    <w:basedOn w:val="Standard"/>
    <w:rsid w:val="0002499E"/>
    <w:pPr>
      <w:pBdr>
        <w:left w:val="single" w:sz="4" w:space="0" w:color="EEEEEE"/>
        <w:bottom w:val="single" w:sz="4" w:space="0" w:color="EEEEEE"/>
        <w:right w:val="single" w:sz="4" w:space="0" w:color="EEEEEE"/>
      </w:pBdr>
      <w:shd w:val="clear" w:color="auto" w:fill="FFFFFF"/>
      <w:spacing w:after="99"/>
      <w:jc w:val="right"/>
    </w:pPr>
    <w:rPr>
      <w:rFonts w:cs="Arial"/>
      <w:color w:val="000000"/>
      <w:sz w:val="12"/>
      <w:szCs w:val="12"/>
    </w:rPr>
  </w:style>
  <w:style w:type="paragraph" w:customStyle="1" w:styleId="foruminput400">
    <w:name w:val="foruminput400"/>
    <w:basedOn w:val="Standard"/>
    <w:rsid w:val="0002499E"/>
    <w:pPr>
      <w:shd w:val="clear" w:color="auto" w:fill="FFFFFF"/>
      <w:spacing w:after="99"/>
    </w:pPr>
    <w:rPr>
      <w:rFonts w:cs="Arial"/>
      <w:color w:val="000000"/>
      <w:sz w:val="12"/>
      <w:szCs w:val="12"/>
    </w:rPr>
  </w:style>
  <w:style w:type="paragraph" w:customStyle="1" w:styleId="foruminputflex">
    <w:name w:val="foruminputflex"/>
    <w:basedOn w:val="Standard"/>
    <w:rsid w:val="0002499E"/>
    <w:pPr>
      <w:shd w:val="clear" w:color="auto" w:fill="FFFFFF"/>
      <w:spacing w:after="99"/>
    </w:pPr>
    <w:rPr>
      <w:rFonts w:cs="Arial"/>
      <w:color w:val="000000"/>
      <w:sz w:val="12"/>
      <w:szCs w:val="12"/>
    </w:rPr>
  </w:style>
  <w:style w:type="paragraph" w:customStyle="1" w:styleId="foruminputlabel">
    <w:name w:val="foruminputlabel"/>
    <w:basedOn w:val="Standard"/>
    <w:rsid w:val="0002499E"/>
    <w:pPr>
      <w:pBdr>
        <w:left w:val="single" w:sz="4" w:space="0" w:color="EEEEEE"/>
        <w:bottom w:val="single" w:sz="4" w:space="0" w:color="EEEEEE"/>
      </w:pBdr>
      <w:shd w:val="clear" w:color="auto" w:fill="FAFAFA"/>
      <w:spacing w:after="99"/>
    </w:pPr>
    <w:rPr>
      <w:rFonts w:cs="Arial"/>
      <w:color w:val="000000"/>
      <w:sz w:val="12"/>
      <w:szCs w:val="12"/>
    </w:rPr>
  </w:style>
  <w:style w:type="paragraph" w:customStyle="1" w:styleId="foruminputtop">
    <w:name w:val="foruminputtop"/>
    <w:basedOn w:val="Standard"/>
    <w:rsid w:val="0002499E"/>
    <w:pPr>
      <w:pBdr>
        <w:bottom w:val="single" w:sz="4" w:space="0" w:color="EEEEEE"/>
      </w:pBdr>
      <w:spacing w:after="99"/>
    </w:pPr>
    <w:rPr>
      <w:rFonts w:cs="Arial"/>
      <w:color w:val="000000"/>
      <w:sz w:val="12"/>
      <w:szCs w:val="12"/>
    </w:rPr>
  </w:style>
  <w:style w:type="paragraph" w:customStyle="1" w:styleId="forumtd4">
    <w:name w:val="forumtd4"/>
    <w:basedOn w:val="Standard"/>
    <w:rsid w:val="0002499E"/>
    <w:pPr>
      <w:pBdr>
        <w:bottom w:val="single" w:sz="4" w:space="0" w:color="FFFFFF"/>
        <w:right w:val="single" w:sz="4" w:space="0" w:color="FFFFFF"/>
      </w:pBdr>
      <w:shd w:val="clear" w:color="auto" w:fill="D1E4D3"/>
      <w:spacing w:after="99"/>
    </w:pPr>
    <w:rPr>
      <w:rFonts w:cs="Arial"/>
      <w:color w:val="000000"/>
      <w:sz w:val="12"/>
      <w:szCs w:val="12"/>
    </w:rPr>
  </w:style>
  <w:style w:type="paragraph" w:customStyle="1" w:styleId="form-table">
    <w:name w:val="form-table"/>
    <w:basedOn w:val="Standard"/>
    <w:rsid w:val="0002499E"/>
    <w:pPr>
      <w:shd w:val="clear" w:color="auto" w:fill="FFFFFF"/>
      <w:spacing w:after="99"/>
    </w:pPr>
    <w:rPr>
      <w:rFonts w:cs="Arial"/>
      <w:color w:val="000000"/>
      <w:sz w:val="12"/>
      <w:szCs w:val="12"/>
    </w:rPr>
  </w:style>
  <w:style w:type="paragraph" w:customStyle="1" w:styleId="form-th">
    <w:name w:val="form-th"/>
    <w:basedOn w:val="Standard"/>
    <w:rsid w:val="0002499E"/>
    <w:pPr>
      <w:pBdr>
        <w:bottom w:val="single" w:sz="4" w:space="0" w:color="FFFFFF"/>
        <w:right w:val="single" w:sz="4" w:space="0" w:color="FFFFFF"/>
      </w:pBdr>
      <w:shd w:val="clear" w:color="auto" w:fill="EEEEEE"/>
      <w:spacing w:after="99"/>
    </w:pPr>
    <w:rPr>
      <w:rFonts w:cs="Arial"/>
      <w:b/>
      <w:bCs/>
      <w:color w:val="000000"/>
      <w:sz w:val="12"/>
      <w:szCs w:val="12"/>
    </w:rPr>
  </w:style>
  <w:style w:type="paragraph" w:customStyle="1" w:styleId="form-td">
    <w:name w:val="form-td"/>
    <w:basedOn w:val="Standard"/>
    <w:rsid w:val="0002499E"/>
    <w:pPr>
      <w:pBdr>
        <w:bottom w:val="single" w:sz="4" w:space="2" w:color="127419"/>
        <w:right w:val="single" w:sz="4" w:space="2" w:color="127419"/>
      </w:pBdr>
      <w:shd w:val="clear" w:color="auto" w:fill="D1E4D3"/>
      <w:spacing w:after="99"/>
    </w:pPr>
    <w:rPr>
      <w:rFonts w:cs="Arial"/>
      <w:color w:val="000000"/>
      <w:sz w:val="12"/>
      <w:szCs w:val="12"/>
    </w:rPr>
  </w:style>
  <w:style w:type="paragraph" w:customStyle="1" w:styleId="form-input-top">
    <w:name w:val="form-input-top"/>
    <w:basedOn w:val="Standard"/>
    <w:rsid w:val="0002499E"/>
    <w:pPr>
      <w:pBdr>
        <w:bottom w:val="single" w:sz="4" w:space="0" w:color="127419"/>
      </w:pBdr>
      <w:spacing w:after="99"/>
    </w:pPr>
    <w:rPr>
      <w:rFonts w:cs="Arial"/>
      <w:color w:val="000000"/>
      <w:sz w:val="12"/>
      <w:szCs w:val="12"/>
    </w:rPr>
  </w:style>
  <w:style w:type="paragraph" w:customStyle="1" w:styleId="form-input-label">
    <w:name w:val="form-input-label"/>
    <w:basedOn w:val="Standard"/>
    <w:rsid w:val="0002499E"/>
    <w:pPr>
      <w:pBdr>
        <w:left w:val="single" w:sz="4" w:space="0" w:color="127419"/>
        <w:bottom w:val="single" w:sz="4" w:space="0" w:color="127419"/>
      </w:pBdr>
      <w:shd w:val="clear" w:color="auto" w:fill="77B77D"/>
      <w:spacing w:after="99"/>
    </w:pPr>
    <w:rPr>
      <w:rFonts w:cs="Arial"/>
      <w:color w:val="000000"/>
      <w:sz w:val="12"/>
      <w:szCs w:val="12"/>
    </w:rPr>
  </w:style>
  <w:style w:type="paragraph" w:customStyle="1" w:styleId="form-input-td">
    <w:name w:val="form-input-td"/>
    <w:basedOn w:val="Standard"/>
    <w:rsid w:val="0002499E"/>
    <w:pPr>
      <w:pBdr>
        <w:left w:val="single" w:sz="4" w:space="0" w:color="127419"/>
        <w:bottom w:val="single" w:sz="4" w:space="0" w:color="127419"/>
        <w:right w:val="single" w:sz="4" w:space="0" w:color="127419"/>
      </w:pBdr>
      <w:shd w:val="clear" w:color="auto" w:fill="FFFFFF"/>
      <w:spacing w:after="99"/>
      <w:jc w:val="right"/>
    </w:pPr>
    <w:rPr>
      <w:rFonts w:cs="Arial"/>
      <w:color w:val="000000"/>
      <w:sz w:val="12"/>
      <w:szCs w:val="12"/>
    </w:rPr>
  </w:style>
  <w:style w:type="paragraph" w:customStyle="1" w:styleId="form-input-field">
    <w:name w:val="form-input-field"/>
    <w:basedOn w:val="Standard"/>
    <w:rsid w:val="0002499E"/>
    <w:pPr>
      <w:shd w:val="clear" w:color="auto" w:fill="FFFFFF"/>
      <w:spacing w:after="99"/>
    </w:pPr>
    <w:rPr>
      <w:rFonts w:cs="Arial"/>
      <w:color w:val="000000"/>
      <w:sz w:val="12"/>
      <w:szCs w:val="12"/>
    </w:rPr>
  </w:style>
  <w:style w:type="paragraph" w:customStyle="1" w:styleId="form-input-combo">
    <w:name w:val="form-input-combo"/>
    <w:basedOn w:val="Standard"/>
    <w:rsid w:val="0002499E"/>
    <w:pPr>
      <w:shd w:val="clear" w:color="auto" w:fill="FFFFFF"/>
      <w:spacing w:after="99"/>
    </w:pPr>
    <w:rPr>
      <w:rFonts w:cs="Arial"/>
      <w:color w:val="000000"/>
      <w:sz w:val="12"/>
      <w:szCs w:val="12"/>
    </w:rPr>
  </w:style>
  <w:style w:type="paragraph" w:customStyle="1" w:styleId="structdoc-normal">
    <w:name w:val="structdoc-normal"/>
    <w:basedOn w:val="Standard"/>
    <w:rsid w:val="0002499E"/>
    <w:pPr>
      <w:spacing w:after="99"/>
    </w:pPr>
    <w:rPr>
      <w:rFonts w:cs="Arial"/>
      <w:color w:val="000000"/>
      <w:sz w:val="18"/>
      <w:szCs w:val="18"/>
    </w:rPr>
  </w:style>
  <w:style w:type="paragraph" w:customStyle="1" w:styleId="structdoc-smallsuperscript">
    <w:name w:val="structdoc-smallsuperscript"/>
    <w:basedOn w:val="Standard"/>
    <w:rsid w:val="0002499E"/>
    <w:pPr>
      <w:spacing w:after="99"/>
    </w:pPr>
    <w:rPr>
      <w:rFonts w:cs="Arial"/>
      <w:color w:val="000000"/>
      <w:sz w:val="14"/>
      <w:szCs w:val="14"/>
      <w:vertAlign w:val="superscript"/>
    </w:rPr>
  </w:style>
  <w:style w:type="paragraph" w:customStyle="1" w:styleId="structdoc-elementref">
    <w:name w:val="structdoc-elementref"/>
    <w:basedOn w:val="Standard"/>
    <w:rsid w:val="0002499E"/>
    <w:pPr>
      <w:spacing w:after="99"/>
    </w:pPr>
    <w:rPr>
      <w:rFonts w:cs="Arial"/>
      <w:color w:val="127419"/>
      <w:sz w:val="12"/>
      <w:szCs w:val="12"/>
    </w:rPr>
  </w:style>
  <w:style w:type="paragraph" w:customStyle="1" w:styleId="structdoc-elementref-view">
    <w:name w:val="structdoc-elementref-view"/>
    <w:basedOn w:val="Standard"/>
    <w:rsid w:val="0002499E"/>
    <w:pPr>
      <w:spacing w:after="99"/>
    </w:pPr>
    <w:rPr>
      <w:rFonts w:cs="Arial"/>
      <w:color w:val="000000"/>
      <w:sz w:val="12"/>
      <w:szCs w:val="12"/>
    </w:rPr>
  </w:style>
  <w:style w:type="paragraph" w:customStyle="1" w:styleId="formbutton-line">
    <w:name w:val="formbutton-line"/>
    <w:basedOn w:val="Standard"/>
    <w:rsid w:val="0002499E"/>
    <w:pPr>
      <w:pBdr>
        <w:top w:val="single" w:sz="4" w:space="0" w:color="127419"/>
        <w:left w:val="single" w:sz="4" w:space="0" w:color="127419"/>
        <w:bottom w:val="single" w:sz="4" w:space="0" w:color="127419"/>
        <w:right w:val="single" w:sz="4" w:space="0" w:color="127419"/>
      </w:pBdr>
      <w:shd w:val="clear" w:color="auto" w:fill="CCCCCC"/>
      <w:spacing w:after="99"/>
    </w:pPr>
    <w:rPr>
      <w:rFonts w:cs="Arial"/>
      <w:color w:val="000000"/>
      <w:sz w:val="12"/>
      <w:szCs w:val="12"/>
    </w:rPr>
  </w:style>
  <w:style w:type="paragraph" w:customStyle="1" w:styleId="formbutton-bg">
    <w:name w:val="formbutton-bg"/>
    <w:basedOn w:val="Standard"/>
    <w:rsid w:val="0002499E"/>
    <w:pPr>
      <w:shd w:val="clear" w:color="auto" w:fill="77B77D"/>
      <w:spacing w:after="99"/>
    </w:pPr>
    <w:rPr>
      <w:rFonts w:cs="Arial"/>
      <w:color w:val="000000"/>
      <w:sz w:val="12"/>
      <w:szCs w:val="12"/>
    </w:rPr>
  </w:style>
  <w:style w:type="paragraph" w:customStyle="1" w:styleId="tarifvertragstext">
    <w:name w:val="tarifvertragstext"/>
    <w:basedOn w:val="Standard"/>
    <w:rsid w:val="0002499E"/>
    <w:pPr>
      <w:spacing w:after="99"/>
    </w:pPr>
    <w:rPr>
      <w:rFonts w:cs="Arial"/>
      <w:color w:val="000000"/>
      <w:sz w:val="12"/>
      <w:szCs w:val="12"/>
    </w:rPr>
  </w:style>
  <w:style w:type="paragraph" w:customStyle="1" w:styleId="keinleerraum">
    <w:name w:val="keinleerraum"/>
    <w:basedOn w:val="Standard"/>
    <w:rsid w:val="0002499E"/>
    <w:pPr>
      <w:spacing w:after="99"/>
    </w:pPr>
    <w:rPr>
      <w:rFonts w:cs="Arial"/>
      <w:color w:val="000000"/>
      <w:sz w:val="12"/>
      <w:szCs w:val="12"/>
    </w:rPr>
  </w:style>
  <w:style w:type="paragraph" w:customStyle="1" w:styleId="Einzeilig">
    <w:name w:val="Einzeilig"/>
    <w:basedOn w:val="StandardWeb"/>
    <w:qFormat/>
    <w:rsid w:val="00E57D8D"/>
  </w:style>
  <w:style w:type="paragraph" w:customStyle="1" w:styleId="structdoc-normal1">
    <w:name w:val="structdoc-normal1"/>
    <w:basedOn w:val="Standard"/>
    <w:rsid w:val="002068FA"/>
    <w:pPr>
      <w:spacing w:before="100" w:beforeAutospacing="1" w:after="100" w:afterAutospacing="1"/>
    </w:pPr>
  </w:style>
  <w:style w:type="paragraph" w:customStyle="1" w:styleId="lh1">
    <w:name w:val="lh1"/>
    <w:basedOn w:val="Standard"/>
    <w:rsid w:val="009167E1"/>
    <w:rPr>
      <w:rFonts w:cs="Arial"/>
      <w:b/>
      <w:sz w:val="28"/>
      <w:szCs w:val="28"/>
    </w:rPr>
  </w:style>
  <w:style w:type="paragraph" w:customStyle="1" w:styleId="lh2">
    <w:name w:val="lh2"/>
    <w:basedOn w:val="Standard"/>
    <w:rsid w:val="009167E1"/>
    <w:rPr>
      <w:rFonts w:cs="Arial"/>
      <w:szCs w:val="16"/>
    </w:rPr>
  </w:style>
  <w:style w:type="paragraph" w:customStyle="1" w:styleId="lh3">
    <w:name w:val="lh3"/>
    <w:basedOn w:val="Standard"/>
    <w:rsid w:val="00DF50F5"/>
    <w:pPr>
      <w:ind w:left="284"/>
    </w:pPr>
    <w:rPr>
      <w:rFonts w:cs="Arial"/>
      <w:szCs w:val="16"/>
    </w:rPr>
  </w:style>
  <w:style w:type="paragraph" w:customStyle="1" w:styleId="lh4">
    <w:name w:val="lh4"/>
    <w:basedOn w:val="Standard"/>
    <w:rsid w:val="00DF50F5"/>
    <w:pPr>
      <w:ind w:left="567"/>
    </w:pPr>
    <w:rPr>
      <w:rFonts w:cs="Arial"/>
      <w:szCs w:val="16"/>
    </w:rPr>
  </w:style>
  <w:style w:type="paragraph" w:customStyle="1" w:styleId="lh5">
    <w:name w:val="lh5"/>
    <w:basedOn w:val="Standard"/>
    <w:rsid w:val="00DF50F5"/>
    <w:pPr>
      <w:ind w:left="851"/>
    </w:pPr>
    <w:rPr>
      <w:rFonts w:cs="Arial"/>
      <w:szCs w:val="16"/>
    </w:rPr>
  </w:style>
  <w:style w:type="paragraph" w:customStyle="1" w:styleId="lh6">
    <w:name w:val="lh6"/>
    <w:basedOn w:val="Standard"/>
    <w:rsid w:val="00DF50F5"/>
    <w:pPr>
      <w:ind w:left="1134"/>
    </w:pPr>
    <w:rPr>
      <w:rFonts w:cs="Arial"/>
      <w:szCs w:val="16"/>
    </w:rPr>
  </w:style>
  <w:style w:type="paragraph" w:customStyle="1" w:styleId="lh7">
    <w:name w:val="lh7"/>
    <w:basedOn w:val="h7"/>
    <w:qFormat/>
    <w:rsid w:val="00FF087D"/>
    <w:pPr>
      <w:spacing w:before="0" w:after="0"/>
      <w:ind w:left="1418"/>
      <w:outlineLvl w:val="9"/>
    </w:pPr>
    <w:rPr>
      <w:b w:val="0"/>
      <w:sz w:val="16"/>
      <w:szCs w:val="16"/>
    </w:rPr>
  </w:style>
  <w:style w:type="paragraph" w:customStyle="1" w:styleId="lh8">
    <w:name w:val="lh8"/>
    <w:basedOn w:val="h8"/>
    <w:qFormat/>
    <w:rsid w:val="00FF087D"/>
    <w:pPr>
      <w:spacing w:before="0" w:after="0"/>
      <w:ind w:left="1701"/>
      <w:outlineLvl w:val="9"/>
    </w:pPr>
    <w:rPr>
      <w:b w:val="0"/>
      <w:sz w:val="16"/>
      <w:szCs w:val="16"/>
    </w:rPr>
  </w:style>
  <w:style w:type="paragraph" w:customStyle="1" w:styleId="lh9">
    <w:name w:val="lh9"/>
    <w:basedOn w:val="lh8"/>
    <w:qFormat/>
    <w:rsid w:val="00FF087D"/>
    <w:pPr>
      <w:ind w:left="1985"/>
    </w:pPr>
  </w:style>
  <w:style w:type="paragraph" w:customStyle="1" w:styleId="h7">
    <w:name w:val="h7"/>
    <w:basedOn w:val="Standard"/>
    <w:rsid w:val="00144EB3"/>
    <w:pPr>
      <w:keepNext/>
      <w:spacing w:before="240" w:after="240"/>
      <w:jc w:val="center"/>
      <w:outlineLvl w:val="6"/>
    </w:pPr>
    <w:rPr>
      <w:rFonts w:cs="Arial"/>
      <w:b/>
      <w:sz w:val="18"/>
      <w:szCs w:val="18"/>
    </w:rPr>
  </w:style>
  <w:style w:type="paragraph" w:customStyle="1" w:styleId="h8">
    <w:name w:val="h8"/>
    <w:basedOn w:val="Standard"/>
    <w:rsid w:val="00144EB3"/>
    <w:pPr>
      <w:keepNext/>
      <w:spacing w:before="240" w:after="240"/>
      <w:outlineLvl w:val="7"/>
    </w:pPr>
    <w:rPr>
      <w:rFonts w:cs="Arial"/>
      <w:b/>
      <w:sz w:val="18"/>
      <w:szCs w:val="18"/>
    </w:rPr>
  </w:style>
  <w:style w:type="paragraph" w:customStyle="1" w:styleId="h9">
    <w:name w:val="h9"/>
    <w:basedOn w:val="h8"/>
    <w:uiPriority w:val="99"/>
    <w:qFormat/>
    <w:rsid w:val="00FF087D"/>
  </w:style>
  <w:style w:type="paragraph" w:customStyle="1" w:styleId="text">
    <w:name w:val="text"/>
    <w:basedOn w:val="Standard"/>
    <w:rsid w:val="009C6551"/>
    <w:pPr>
      <w:spacing w:before="100" w:beforeAutospacing="1" w:after="100" w:afterAutospacing="1"/>
      <w:jc w:val="both"/>
    </w:pPr>
    <w:rPr>
      <w:rFonts w:ascii="Times New Roman" w:hAnsi="Times New Roman"/>
      <w:sz w:val="24"/>
    </w:rPr>
  </w:style>
  <w:style w:type="paragraph" w:customStyle="1" w:styleId="hyphenate">
    <w:name w:val="hyphenate"/>
    <w:basedOn w:val="Standard"/>
    <w:rsid w:val="009C6551"/>
    <w:pPr>
      <w:spacing w:before="100" w:beforeAutospacing="1" w:after="100" w:afterAutospacing="1"/>
    </w:pPr>
    <w:rPr>
      <w:rFonts w:ascii="Times New Roman" w:hAnsi="Times New Roman"/>
      <w:sz w:val="24"/>
    </w:rPr>
  </w:style>
  <w:style w:type="character" w:customStyle="1" w:styleId="kleinschrift2">
    <w:name w:val="kleinschrift2"/>
    <w:rsid w:val="009C6551"/>
  </w:style>
  <w:style w:type="character" w:customStyle="1" w:styleId="kleinschrift3">
    <w:name w:val="kleinschrift3"/>
    <w:rsid w:val="009C6551"/>
  </w:style>
  <w:style w:type="paragraph" w:styleId="Verzeichnis3">
    <w:name w:val="toc 3"/>
    <w:basedOn w:val="Standard"/>
    <w:next w:val="Standard"/>
    <w:autoRedefine/>
    <w:uiPriority w:val="39"/>
    <w:unhideWhenUsed/>
    <w:rsid w:val="00CC12D3"/>
    <w:pPr>
      <w:tabs>
        <w:tab w:val="right" w:pos="6681"/>
      </w:tabs>
      <w:spacing w:before="60"/>
      <w:ind w:left="318"/>
    </w:pPr>
    <w:rPr>
      <w:b/>
      <w:noProof/>
    </w:rPr>
  </w:style>
  <w:style w:type="paragraph" w:styleId="Verzeichnis4">
    <w:name w:val="toc 4"/>
    <w:basedOn w:val="Standard"/>
    <w:next w:val="Standard"/>
    <w:autoRedefine/>
    <w:uiPriority w:val="39"/>
    <w:unhideWhenUsed/>
    <w:rsid w:val="00FB3E94"/>
    <w:pPr>
      <w:tabs>
        <w:tab w:val="right" w:pos="6681"/>
      </w:tabs>
      <w:spacing w:before="120"/>
      <w:ind w:left="318"/>
    </w:pPr>
  </w:style>
  <w:style w:type="paragraph" w:styleId="Verzeichnis5">
    <w:name w:val="toc 5"/>
    <w:basedOn w:val="Standard"/>
    <w:next w:val="Standard"/>
    <w:autoRedefine/>
    <w:uiPriority w:val="39"/>
    <w:unhideWhenUsed/>
    <w:rsid w:val="00FA338B"/>
    <w:pPr>
      <w:tabs>
        <w:tab w:val="right" w:pos="6681"/>
      </w:tabs>
      <w:spacing w:before="60"/>
      <w:ind w:left="317"/>
    </w:pPr>
  </w:style>
  <w:style w:type="paragraph" w:styleId="Verzeichnis6">
    <w:name w:val="toc 6"/>
    <w:basedOn w:val="Standard"/>
    <w:next w:val="Standard"/>
    <w:autoRedefine/>
    <w:uiPriority w:val="39"/>
    <w:unhideWhenUsed/>
    <w:rsid w:val="00FA338B"/>
    <w:pPr>
      <w:tabs>
        <w:tab w:val="right" w:pos="6681"/>
      </w:tabs>
      <w:spacing w:before="60"/>
      <w:ind w:left="641"/>
    </w:pPr>
  </w:style>
  <w:style w:type="paragraph" w:styleId="Verzeichnis7">
    <w:name w:val="toc 7"/>
    <w:basedOn w:val="Standard"/>
    <w:next w:val="Standard"/>
    <w:autoRedefine/>
    <w:uiPriority w:val="39"/>
    <w:unhideWhenUsed/>
    <w:rsid w:val="00F45C8E"/>
    <w:pPr>
      <w:tabs>
        <w:tab w:val="right" w:pos="6681"/>
      </w:tabs>
      <w:spacing w:before="240"/>
      <w:ind w:left="958"/>
    </w:pPr>
    <w:rPr>
      <w:rFonts w:cs="Arial"/>
      <w:noProof/>
    </w:rPr>
  </w:style>
  <w:style w:type="paragraph" w:styleId="Verzeichnis8">
    <w:name w:val="toc 8"/>
    <w:basedOn w:val="Standard"/>
    <w:next w:val="Standard"/>
    <w:autoRedefine/>
    <w:uiPriority w:val="39"/>
    <w:unhideWhenUsed/>
    <w:rsid w:val="0076048D"/>
    <w:pPr>
      <w:tabs>
        <w:tab w:val="right" w:pos="6681"/>
      </w:tabs>
      <w:spacing w:before="240"/>
      <w:ind w:left="1123"/>
    </w:pPr>
  </w:style>
  <w:style w:type="paragraph" w:customStyle="1" w:styleId="Titelseite">
    <w:name w:val="Titelseite"/>
    <w:basedOn w:val="Standard"/>
    <w:qFormat/>
    <w:rsid w:val="0076048D"/>
    <w:pPr>
      <w:spacing w:before="960"/>
      <w:jc w:val="center"/>
    </w:pPr>
    <w:rPr>
      <w:sz w:val="40"/>
      <w:szCs w:val="40"/>
    </w:rPr>
  </w:style>
  <w:style w:type="paragraph" w:customStyle="1" w:styleId="TitelseiteFett">
    <w:name w:val="TitelseiteFett"/>
    <w:basedOn w:val="Titelseite"/>
    <w:qFormat/>
    <w:rsid w:val="0076048D"/>
    <w:rPr>
      <w:b/>
    </w:rPr>
  </w:style>
  <w:style w:type="paragraph" w:customStyle="1" w:styleId="TitelseiteABD">
    <w:name w:val="TitelseiteABD"/>
    <w:basedOn w:val="Titelseite"/>
    <w:qFormat/>
    <w:rsid w:val="0076048D"/>
    <w:pPr>
      <w:spacing w:before="0"/>
    </w:pPr>
  </w:style>
  <w:style w:type="paragraph" w:customStyle="1" w:styleId="TitelseiteDatum">
    <w:name w:val="TitelseiteDatum"/>
    <w:basedOn w:val="Titelseite"/>
    <w:qFormat/>
    <w:rsid w:val="0076048D"/>
    <w:rPr>
      <w:sz w:val="24"/>
      <w:szCs w:val="24"/>
    </w:rPr>
  </w:style>
  <w:style w:type="paragraph" w:styleId="Verzeichnis1">
    <w:name w:val="toc 1"/>
    <w:basedOn w:val="Standard"/>
    <w:next w:val="Standard"/>
    <w:autoRedefine/>
    <w:uiPriority w:val="39"/>
    <w:unhideWhenUsed/>
    <w:rsid w:val="00423B94"/>
    <w:pPr>
      <w:spacing w:after="100" w:line="276" w:lineRule="auto"/>
    </w:pPr>
    <w:rPr>
      <w:rFonts w:ascii="Calibri" w:hAnsi="Calibri"/>
      <w:sz w:val="22"/>
      <w:szCs w:val="22"/>
    </w:rPr>
  </w:style>
  <w:style w:type="paragraph" w:styleId="Verzeichnis2">
    <w:name w:val="toc 2"/>
    <w:basedOn w:val="Standard"/>
    <w:next w:val="Standard"/>
    <w:autoRedefine/>
    <w:uiPriority w:val="39"/>
    <w:unhideWhenUsed/>
    <w:rsid w:val="00423B94"/>
    <w:pPr>
      <w:spacing w:after="100" w:line="276" w:lineRule="auto"/>
      <w:ind w:left="220"/>
    </w:pPr>
    <w:rPr>
      <w:rFonts w:ascii="Calibri" w:hAnsi="Calibri"/>
      <w:sz w:val="22"/>
      <w:szCs w:val="22"/>
    </w:rPr>
  </w:style>
  <w:style w:type="paragraph" w:styleId="Verzeichnis9">
    <w:name w:val="toc 9"/>
    <w:basedOn w:val="Standard"/>
    <w:next w:val="Standard"/>
    <w:autoRedefine/>
    <w:uiPriority w:val="39"/>
    <w:unhideWhenUsed/>
    <w:rsid w:val="00423B94"/>
    <w:pPr>
      <w:spacing w:after="100" w:line="276" w:lineRule="auto"/>
      <w:ind w:left="1760"/>
    </w:pPr>
    <w:rPr>
      <w:rFonts w:ascii="Calibri" w:hAnsi="Calibri"/>
      <w:sz w:val="22"/>
      <w:szCs w:val="22"/>
    </w:rPr>
  </w:style>
  <w:style w:type="paragraph" w:styleId="Abbildungsverzeichnis">
    <w:name w:val="table of figures"/>
    <w:basedOn w:val="Standard"/>
    <w:next w:val="Standard"/>
    <w:uiPriority w:val="99"/>
    <w:semiHidden/>
    <w:unhideWhenUsed/>
    <w:rsid w:val="0054275E"/>
  </w:style>
  <w:style w:type="paragraph" w:styleId="Anrede">
    <w:name w:val="Salutation"/>
    <w:basedOn w:val="Standard"/>
    <w:next w:val="Standard"/>
    <w:link w:val="AnredeZchn"/>
    <w:uiPriority w:val="99"/>
    <w:semiHidden/>
    <w:unhideWhenUsed/>
    <w:rsid w:val="0054275E"/>
  </w:style>
  <w:style w:type="character" w:customStyle="1" w:styleId="AnredeZchn">
    <w:name w:val="Anrede Zchn"/>
    <w:link w:val="Anrede"/>
    <w:uiPriority w:val="99"/>
    <w:semiHidden/>
    <w:locked/>
    <w:rsid w:val="0054275E"/>
    <w:rPr>
      <w:rFonts w:ascii="Arial" w:hAnsi="Arial"/>
      <w:sz w:val="24"/>
    </w:rPr>
  </w:style>
  <w:style w:type="paragraph" w:styleId="Aufzhlungszeichen">
    <w:name w:val="List Bullet"/>
    <w:basedOn w:val="Standard"/>
    <w:uiPriority w:val="99"/>
    <w:semiHidden/>
    <w:unhideWhenUsed/>
    <w:rsid w:val="0054275E"/>
    <w:pPr>
      <w:numPr>
        <w:numId w:val="1"/>
      </w:numPr>
      <w:contextualSpacing/>
    </w:pPr>
  </w:style>
  <w:style w:type="paragraph" w:styleId="Aufzhlungszeichen2">
    <w:name w:val="List Bullet 2"/>
    <w:basedOn w:val="Standard"/>
    <w:uiPriority w:val="99"/>
    <w:semiHidden/>
    <w:unhideWhenUsed/>
    <w:rsid w:val="0054275E"/>
    <w:pPr>
      <w:numPr>
        <w:numId w:val="2"/>
      </w:numPr>
      <w:contextualSpacing/>
    </w:pPr>
  </w:style>
  <w:style w:type="paragraph" w:styleId="Aufzhlungszeichen3">
    <w:name w:val="List Bullet 3"/>
    <w:basedOn w:val="Standard"/>
    <w:uiPriority w:val="99"/>
    <w:semiHidden/>
    <w:unhideWhenUsed/>
    <w:rsid w:val="0054275E"/>
    <w:pPr>
      <w:numPr>
        <w:numId w:val="3"/>
      </w:numPr>
      <w:contextualSpacing/>
    </w:pPr>
  </w:style>
  <w:style w:type="paragraph" w:styleId="Aufzhlungszeichen4">
    <w:name w:val="List Bullet 4"/>
    <w:basedOn w:val="Standard"/>
    <w:uiPriority w:val="99"/>
    <w:semiHidden/>
    <w:unhideWhenUsed/>
    <w:rsid w:val="0054275E"/>
    <w:pPr>
      <w:numPr>
        <w:numId w:val="4"/>
      </w:numPr>
      <w:contextualSpacing/>
    </w:pPr>
  </w:style>
  <w:style w:type="paragraph" w:styleId="Aufzhlungszeichen5">
    <w:name w:val="List Bullet 5"/>
    <w:basedOn w:val="Standard"/>
    <w:uiPriority w:val="99"/>
    <w:semiHidden/>
    <w:unhideWhenUsed/>
    <w:rsid w:val="0054275E"/>
    <w:pPr>
      <w:numPr>
        <w:numId w:val="5"/>
      </w:numPr>
      <w:contextualSpacing/>
    </w:pPr>
  </w:style>
  <w:style w:type="paragraph" w:styleId="Beschriftung">
    <w:name w:val="caption"/>
    <w:basedOn w:val="Standard"/>
    <w:next w:val="Standard"/>
    <w:uiPriority w:val="35"/>
    <w:semiHidden/>
    <w:unhideWhenUsed/>
    <w:qFormat/>
    <w:rsid w:val="0054275E"/>
    <w:rPr>
      <w:b/>
      <w:bCs/>
      <w:sz w:val="20"/>
      <w:szCs w:val="20"/>
    </w:rPr>
  </w:style>
  <w:style w:type="paragraph" w:styleId="Blocktext">
    <w:name w:val="Block Text"/>
    <w:basedOn w:val="Standard"/>
    <w:uiPriority w:val="99"/>
    <w:semiHidden/>
    <w:unhideWhenUsed/>
    <w:rsid w:val="0054275E"/>
    <w:pPr>
      <w:spacing w:after="120"/>
      <w:ind w:left="1440" w:right="1440"/>
    </w:pPr>
  </w:style>
  <w:style w:type="paragraph" w:styleId="Datum">
    <w:name w:val="Date"/>
    <w:basedOn w:val="Standard"/>
    <w:next w:val="Standard"/>
    <w:link w:val="DatumZchn"/>
    <w:uiPriority w:val="99"/>
    <w:semiHidden/>
    <w:unhideWhenUsed/>
    <w:rsid w:val="0054275E"/>
  </w:style>
  <w:style w:type="character" w:customStyle="1" w:styleId="DatumZchn">
    <w:name w:val="Datum Zchn"/>
    <w:link w:val="Datum"/>
    <w:uiPriority w:val="99"/>
    <w:semiHidden/>
    <w:locked/>
    <w:rsid w:val="0054275E"/>
    <w:rPr>
      <w:rFonts w:ascii="Arial" w:hAnsi="Arial"/>
      <w:sz w:val="24"/>
    </w:rPr>
  </w:style>
  <w:style w:type="paragraph" w:styleId="E-Mail-Signatur">
    <w:name w:val="E-mail Signature"/>
    <w:basedOn w:val="Standard"/>
    <w:link w:val="E-Mail-SignaturZchn"/>
    <w:uiPriority w:val="99"/>
    <w:semiHidden/>
    <w:unhideWhenUsed/>
    <w:rsid w:val="0054275E"/>
  </w:style>
  <w:style w:type="character" w:customStyle="1" w:styleId="E-Mail-SignaturZchn">
    <w:name w:val="E-Mail-Signatur Zchn"/>
    <w:link w:val="E-Mail-Signatur"/>
    <w:uiPriority w:val="99"/>
    <w:semiHidden/>
    <w:locked/>
    <w:rsid w:val="0054275E"/>
    <w:rPr>
      <w:rFonts w:ascii="Arial" w:hAnsi="Arial"/>
      <w:sz w:val="24"/>
    </w:rPr>
  </w:style>
  <w:style w:type="paragraph" w:styleId="Endnotentext">
    <w:name w:val="endnote text"/>
    <w:basedOn w:val="Standard"/>
    <w:link w:val="EndnotentextZchn"/>
    <w:uiPriority w:val="99"/>
    <w:semiHidden/>
    <w:unhideWhenUsed/>
    <w:rsid w:val="0054275E"/>
    <w:rPr>
      <w:sz w:val="20"/>
      <w:szCs w:val="20"/>
    </w:rPr>
  </w:style>
  <w:style w:type="character" w:customStyle="1" w:styleId="EndnotentextZchn">
    <w:name w:val="Endnotentext Zchn"/>
    <w:link w:val="Endnotentext"/>
    <w:uiPriority w:val="99"/>
    <w:semiHidden/>
    <w:locked/>
    <w:rsid w:val="0054275E"/>
    <w:rPr>
      <w:rFonts w:ascii="Arial" w:hAnsi="Arial"/>
    </w:rPr>
  </w:style>
  <w:style w:type="paragraph" w:styleId="Fu-Endnotenberschrift">
    <w:name w:val="Note Heading"/>
    <w:basedOn w:val="Standard"/>
    <w:next w:val="Standard"/>
    <w:link w:val="Fu-EndnotenberschriftZchn"/>
    <w:uiPriority w:val="99"/>
    <w:semiHidden/>
    <w:unhideWhenUsed/>
    <w:rsid w:val="0054275E"/>
  </w:style>
  <w:style w:type="character" w:customStyle="1" w:styleId="Fu-EndnotenberschriftZchn">
    <w:name w:val="Fuß/-Endnotenüberschrift Zchn"/>
    <w:link w:val="Fu-Endnotenberschrift"/>
    <w:uiPriority w:val="99"/>
    <w:semiHidden/>
    <w:locked/>
    <w:rsid w:val="0054275E"/>
    <w:rPr>
      <w:rFonts w:ascii="Arial" w:hAnsi="Arial"/>
      <w:sz w:val="24"/>
    </w:rPr>
  </w:style>
  <w:style w:type="paragraph" w:styleId="Funotentext">
    <w:name w:val="footnote text"/>
    <w:basedOn w:val="Standard"/>
    <w:link w:val="FunotentextZchn"/>
    <w:uiPriority w:val="99"/>
    <w:semiHidden/>
    <w:unhideWhenUsed/>
    <w:rsid w:val="0054275E"/>
    <w:rPr>
      <w:sz w:val="20"/>
      <w:szCs w:val="20"/>
    </w:rPr>
  </w:style>
  <w:style w:type="character" w:customStyle="1" w:styleId="FunotentextZchn">
    <w:name w:val="Fußnotentext Zchn"/>
    <w:link w:val="Funotentext"/>
    <w:uiPriority w:val="99"/>
    <w:semiHidden/>
    <w:locked/>
    <w:rsid w:val="0054275E"/>
    <w:rPr>
      <w:rFonts w:ascii="Arial" w:hAnsi="Arial"/>
    </w:rPr>
  </w:style>
  <w:style w:type="paragraph" w:styleId="Gruformel">
    <w:name w:val="Closing"/>
    <w:basedOn w:val="Standard"/>
    <w:link w:val="GruformelZchn"/>
    <w:uiPriority w:val="99"/>
    <w:semiHidden/>
    <w:unhideWhenUsed/>
    <w:rsid w:val="0054275E"/>
    <w:pPr>
      <w:ind w:left="4252"/>
    </w:pPr>
  </w:style>
  <w:style w:type="character" w:customStyle="1" w:styleId="GruformelZchn">
    <w:name w:val="Grußformel Zchn"/>
    <w:link w:val="Gruformel"/>
    <w:uiPriority w:val="99"/>
    <w:semiHidden/>
    <w:locked/>
    <w:rsid w:val="0054275E"/>
    <w:rPr>
      <w:rFonts w:ascii="Arial" w:hAnsi="Arial"/>
      <w:sz w:val="24"/>
    </w:rPr>
  </w:style>
  <w:style w:type="paragraph" w:styleId="HTMLAdresse">
    <w:name w:val="HTML Address"/>
    <w:basedOn w:val="Standard"/>
    <w:link w:val="HTMLAdresseZchn"/>
    <w:uiPriority w:val="99"/>
    <w:semiHidden/>
    <w:unhideWhenUsed/>
    <w:rsid w:val="0054275E"/>
    <w:rPr>
      <w:i/>
      <w:iCs/>
    </w:rPr>
  </w:style>
  <w:style w:type="character" w:customStyle="1" w:styleId="HTMLAdresseZchn">
    <w:name w:val="HTML Adresse Zchn"/>
    <w:link w:val="HTMLAdresse"/>
    <w:uiPriority w:val="99"/>
    <w:semiHidden/>
    <w:locked/>
    <w:rsid w:val="0054275E"/>
    <w:rPr>
      <w:rFonts w:ascii="Arial" w:hAnsi="Arial"/>
      <w:i/>
      <w:sz w:val="24"/>
    </w:rPr>
  </w:style>
  <w:style w:type="paragraph" w:styleId="HTMLVorformatiert">
    <w:name w:val="HTML Preformatted"/>
    <w:basedOn w:val="Standard"/>
    <w:link w:val="HTMLVorformatiertZchn"/>
    <w:uiPriority w:val="99"/>
    <w:semiHidden/>
    <w:unhideWhenUsed/>
    <w:rsid w:val="0054275E"/>
    <w:rPr>
      <w:rFonts w:ascii="Courier New" w:hAnsi="Courier New"/>
      <w:sz w:val="20"/>
      <w:szCs w:val="20"/>
    </w:rPr>
  </w:style>
  <w:style w:type="character" w:customStyle="1" w:styleId="HTMLVorformatiertZchn">
    <w:name w:val="HTML Vorformatiert Zchn"/>
    <w:link w:val="HTMLVorformatiert"/>
    <w:uiPriority w:val="99"/>
    <w:semiHidden/>
    <w:locked/>
    <w:rsid w:val="0054275E"/>
    <w:rPr>
      <w:rFonts w:ascii="Courier New" w:hAnsi="Courier New"/>
    </w:rPr>
  </w:style>
  <w:style w:type="paragraph" w:styleId="Index1">
    <w:name w:val="index 1"/>
    <w:basedOn w:val="Standard"/>
    <w:next w:val="Standard"/>
    <w:autoRedefine/>
    <w:uiPriority w:val="99"/>
    <w:semiHidden/>
    <w:unhideWhenUsed/>
    <w:rsid w:val="0054275E"/>
    <w:pPr>
      <w:ind w:left="160" w:hanging="160"/>
    </w:pPr>
  </w:style>
  <w:style w:type="paragraph" w:styleId="Index2">
    <w:name w:val="index 2"/>
    <w:basedOn w:val="Standard"/>
    <w:next w:val="Standard"/>
    <w:autoRedefine/>
    <w:uiPriority w:val="99"/>
    <w:semiHidden/>
    <w:unhideWhenUsed/>
    <w:rsid w:val="0054275E"/>
    <w:pPr>
      <w:ind w:left="320" w:hanging="160"/>
    </w:pPr>
  </w:style>
  <w:style w:type="paragraph" w:styleId="Index3">
    <w:name w:val="index 3"/>
    <w:basedOn w:val="Standard"/>
    <w:next w:val="Standard"/>
    <w:autoRedefine/>
    <w:uiPriority w:val="99"/>
    <w:semiHidden/>
    <w:unhideWhenUsed/>
    <w:rsid w:val="0054275E"/>
    <w:pPr>
      <w:ind w:left="480" w:hanging="160"/>
    </w:pPr>
  </w:style>
  <w:style w:type="paragraph" w:styleId="Index4">
    <w:name w:val="index 4"/>
    <w:basedOn w:val="Standard"/>
    <w:next w:val="Standard"/>
    <w:autoRedefine/>
    <w:uiPriority w:val="99"/>
    <w:semiHidden/>
    <w:unhideWhenUsed/>
    <w:rsid w:val="0054275E"/>
    <w:pPr>
      <w:ind w:left="640" w:hanging="160"/>
    </w:pPr>
  </w:style>
  <w:style w:type="paragraph" w:styleId="Index5">
    <w:name w:val="index 5"/>
    <w:basedOn w:val="Standard"/>
    <w:next w:val="Standard"/>
    <w:autoRedefine/>
    <w:uiPriority w:val="99"/>
    <w:semiHidden/>
    <w:unhideWhenUsed/>
    <w:rsid w:val="0054275E"/>
    <w:pPr>
      <w:ind w:left="800" w:hanging="160"/>
    </w:pPr>
  </w:style>
  <w:style w:type="paragraph" w:styleId="Index6">
    <w:name w:val="index 6"/>
    <w:basedOn w:val="Standard"/>
    <w:next w:val="Standard"/>
    <w:autoRedefine/>
    <w:uiPriority w:val="99"/>
    <w:semiHidden/>
    <w:unhideWhenUsed/>
    <w:rsid w:val="0054275E"/>
    <w:pPr>
      <w:ind w:left="960" w:hanging="160"/>
    </w:pPr>
  </w:style>
  <w:style w:type="paragraph" w:styleId="Index7">
    <w:name w:val="index 7"/>
    <w:basedOn w:val="Standard"/>
    <w:next w:val="Standard"/>
    <w:autoRedefine/>
    <w:uiPriority w:val="99"/>
    <w:semiHidden/>
    <w:unhideWhenUsed/>
    <w:rsid w:val="0054275E"/>
    <w:pPr>
      <w:ind w:left="1120" w:hanging="160"/>
    </w:pPr>
  </w:style>
  <w:style w:type="paragraph" w:styleId="Index8">
    <w:name w:val="index 8"/>
    <w:basedOn w:val="Standard"/>
    <w:next w:val="Standard"/>
    <w:autoRedefine/>
    <w:uiPriority w:val="99"/>
    <w:semiHidden/>
    <w:unhideWhenUsed/>
    <w:rsid w:val="0054275E"/>
    <w:pPr>
      <w:ind w:left="1280" w:hanging="160"/>
    </w:pPr>
  </w:style>
  <w:style w:type="paragraph" w:styleId="Index9">
    <w:name w:val="index 9"/>
    <w:basedOn w:val="Standard"/>
    <w:next w:val="Standard"/>
    <w:autoRedefine/>
    <w:uiPriority w:val="99"/>
    <w:semiHidden/>
    <w:unhideWhenUsed/>
    <w:rsid w:val="0054275E"/>
    <w:pPr>
      <w:ind w:left="1440" w:hanging="160"/>
    </w:pPr>
  </w:style>
  <w:style w:type="paragraph" w:styleId="Indexberschrift">
    <w:name w:val="index heading"/>
    <w:basedOn w:val="Standard"/>
    <w:next w:val="Index1"/>
    <w:uiPriority w:val="99"/>
    <w:semiHidden/>
    <w:unhideWhenUsed/>
    <w:rsid w:val="0054275E"/>
    <w:rPr>
      <w:rFonts w:ascii="Cambria" w:hAnsi="Cambria"/>
      <w:b/>
      <w:bCs/>
    </w:rPr>
  </w:style>
  <w:style w:type="paragraph" w:styleId="Inhaltsverzeichnisberschrift">
    <w:name w:val="TOC Heading"/>
    <w:basedOn w:val="berschrift1"/>
    <w:next w:val="Standard"/>
    <w:uiPriority w:val="39"/>
    <w:semiHidden/>
    <w:unhideWhenUsed/>
    <w:qFormat/>
    <w:rsid w:val="0054275E"/>
    <w:pPr>
      <w:keepNext/>
      <w:spacing w:before="240" w:after="60"/>
      <w:outlineLvl w:val="9"/>
    </w:pPr>
    <w:rPr>
      <w:rFonts w:ascii="Cambria" w:hAnsi="Cambria"/>
      <w:kern w:val="32"/>
      <w:sz w:val="32"/>
      <w:szCs w:val="32"/>
    </w:rPr>
  </w:style>
  <w:style w:type="paragraph" w:styleId="IntensivesZitat">
    <w:name w:val="Intense Quote"/>
    <w:basedOn w:val="Standard"/>
    <w:next w:val="Standard"/>
    <w:link w:val="IntensivesZitatZchn"/>
    <w:uiPriority w:val="30"/>
    <w:qFormat/>
    <w:rsid w:val="0054275E"/>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locked/>
    <w:rsid w:val="0054275E"/>
    <w:rPr>
      <w:rFonts w:ascii="Arial" w:hAnsi="Arial"/>
      <w:b/>
      <w:i/>
      <w:color w:val="4F81BD"/>
      <w:sz w:val="24"/>
    </w:rPr>
  </w:style>
  <w:style w:type="paragraph" w:styleId="KeinLeerraum0">
    <w:name w:val="No Spacing"/>
    <w:uiPriority w:val="1"/>
    <w:qFormat/>
    <w:rsid w:val="0054275E"/>
    <w:rPr>
      <w:rFonts w:ascii="Arial" w:hAnsi="Arial"/>
      <w:sz w:val="16"/>
      <w:szCs w:val="24"/>
    </w:rPr>
  </w:style>
  <w:style w:type="paragraph" w:styleId="Kommentartext">
    <w:name w:val="annotation text"/>
    <w:basedOn w:val="Standard"/>
    <w:link w:val="KommentartextZchn"/>
    <w:uiPriority w:val="99"/>
    <w:semiHidden/>
    <w:unhideWhenUsed/>
    <w:rsid w:val="0054275E"/>
    <w:rPr>
      <w:sz w:val="20"/>
      <w:szCs w:val="20"/>
    </w:rPr>
  </w:style>
  <w:style w:type="character" w:customStyle="1" w:styleId="KommentartextZchn">
    <w:name w:val="Kommentartext Zchn"/>
    <w:link w:val="Kommentartext"/>
    <w:uiPriority w:val="99"/>
    <w:semiHidden/>
    <w:locked/>
    <w:rsid w:val="0054275E"/>
    <w:rPr>
      <w:rFonts w:ascii="Arial" w:hAnsi="Arial"/>
    </w:rPr>
  </w:style>
  <w:style w:type="paragraph" w:styleId="Kommentarthema">
    <w:name w:val="annotation subject"/>
    <w:basedOn w:val="Kommentartext"/>
    <w:next w:val="Kommentartext"/>
    <w:link w:val="KommentarthemaZchn"/>
    <w:uiPriority w:val="99"/>
    <w:semiHidden/>
    <w:unhideWhenUsed/>
    <w:rsid w:val="0054275E"/>
    <w:rPr>
      <w:b/>
      <w:bCs/>
    </w:rPr>
  </w:style>
  <w:style w:type="character" w:customStyle="1" w:styleId="KommentarthemaZchn">
    <w:name w:val="Kommentarthema Zchn"/>
    <w:link w:val="Kommentarthema"/>
    <w:uiPriority w:val="99"/>
    <w:semiHidden/>
    <w:locked/>
    <w:rsid w:val="0054275E"/>
    <w:rPr>
      <w:rFonts w:ascii="Arial" w:hAnsi="Arial"/>
      <w:b/>
    </w:rPr>
  </w:style>
  <w:style w:type="paragraph" w:styleId="Liste">
    <w:name w:val="List"/>
    <w:basedOn w:val="Standard"/>
    <w:uiPriority w:val="99"/>
    <w:semiHidden/>
    <w:unhideWhenUsed/>
    <w:rsid w:val="0054275E"/>
    <w:pPr>
      <w:ind w:left="283" w:hanging="283"/>
      <w:contextualSpacing/>
    </w:pPr>
  </w:style>
  <w:style w:type="paragraph" w:styleId="Liste2">
    <w:name w:val="List 2"/>
    <w:basedOn w:val="Standard"/>
    <w:uiPriority w:val="99"/>
    <w:semiHidden/>
    <w:unhideWhenUsed/>
    <w:rsid w:val="0054275E"/>
    <w:pPr>
      <w:ind w:left="566" w:hanging="283"/>
      <w:contextualSpacing/>
    </w:pPr>
  </w:style>
  <w:style w:type="paragraph" w:styleId="Liste3">
    <w:name w:val="List 3"/>
    <w:basedOn w:val="Standard"/>
    <w:uiPriority w:val="99"/>
    <w:semiHidden/>
    <w:unhideWhenUsed/>
    <w:rsid w:val="0054275E"/>
    <w:pPr>
      <w:ind w:left="849" w:hanging="283"/>
      <w:contextualSpacing/>
    </w:pPr>
  </w:style>
  <w:style w:type="paragraph" w:styleId="Liste4">
    <w:name w:val="List 4"/>
    <w:basedOn w:val="Standard"/>
    <w:uiPriority w:val="99"/>
    <w:semiHidden/>
    <w:unhideWhenUsed/>
    <w:rsid w:val="0054275E"/>
    <w:pPr>
      <w:ind w:left="1132" w:hanging="283"/>
      <w:contextualSpacing/>
    </w:pPr>
  </w:style>
  <w:style w:type="paragraph" w:styleId="Liste5">
    <w:name w:val="List 5"/>
    <w:basedOn w:val="Standard"/>
    <w:uiPriority w:val="99"/>
    <w:semiHidden/>
    <w:unhideWhenUsed/>
    <w:rsid w:val="0054275E"/>
    <w:pPr>
      <w:ind w:left="1415" w:hanging="283"/>
      <w:contextualSpacing/>
    </w:pPr>
  </w:style>
  <w:style w:type="paragraph" w:styleId="Listenabsatz">
    <w:name w:val="List Paragraph"/>
    <w:basedOn w:val="Standard"/>
    <w:uiPriority w:val="34"/>
    <w:qFormat/>
    <w:rsid w:val="0054275E"/>
    <w:pPr>
      <w:ind w:left="708"/>
    </w:pPr>
  </w:style>
  <w:style w:type="paragraph" w:styleId="Listenfortsetzung">
    <w:name w:val="List Continue"/>
    <w:basedOn w:val="Standard"/>
    <w:uiPriority w:val="99"/>
    <w:semiHidden/>
    <w:unhideWhenUsed/>
    <w:rsid w:val="0054275E"/>
    <w:pPr>
      <w:spacing w:after="120"/>
      <w:ind w:left="283"/>
      <w:contextualSpacing/>
    </w:pPr>
  </w:style>
  <w:style w:type="paragraph" w:styleId="Listenfortsetzung2">
    <w:name w:val="List Continue 2"/>
    <w:basedOn w:val="Standard"/>
    <w:uiPriority w:val="99"/>
    <w:semiHidden/>
    <w:unhideWhenUsed/>
    <w:rsid w:val="0054275E"/>
    <w:pPr>
      <w:spacing w:after="120"/>
      <w:ind w:left="566"/>
      <w:contextualSpacing/>
    </w:pPr>
  </w:style>
  <w:style w:type="paragraph" w:styleId="Listenfortsetzung3">
    <w:name w:val="List Continue 3"/>
    <w:basedOn w:val="Standard"/>
    <w:uiPriority w:val="99"/>
    <w:semiHidden/>
    <w:unhideWhenUsed/>
    <w:rsid w:val="0054275E"/>
    <w:pPr>
      <w:spacing w:after="120"/>
      <w:ind w:left="849"/>
      <w:contextualSpacing/>
    </w:pPr>
  </w:style>
  <w:style w:type="paragraph" w:styleId="Listenfortsetzung4">
    <w:name w:val="List Continue 4"/>
    <w:basedOn w:val="Standard"/>
    <w:uiPriority w:val="99"/>
    <w:semiHidden/>
    <w:unhideWhenUsed/>
    <w:rsid w:val="0054275E"/>
    <w:pPr>
      <w:spacing w:after="120"/>
      <w:ind w:left="1132"/>
      <w:contextualSpacing/>
    </w:pPr>
  </w:style>
  <w:style w:type="paragraph" w:styleId="Listenfortsetzung5">
    <w:name w:val="List Continue 5"/>
    <w:basedOn w:val="Standard"/>
    <w:uiPriority w:val="99"/>
    <w:semiHidden/>
    <w:unhideWhenUsed/>
    <w:rsid w:val="0054275E"/>
    <w:pPr>
      <w:spacing w:after="120"/>
      <w:ind w:left="1415"/>
      <w:contextualSpacing/>
    </w:pPr>
  </w:style>
  <w:style w:type="paragraph" w:styleId="Listennummer">
    <w:name w:val="List Number"/>
    <w:basedOn w:val="Standard"/>
    <w:uiPriority w:val="99"/>
    <w:semiHidden/>
    <w:unhideWhenUsed/>
    <w:rsid w:val="0054275E"/>
    <w:pPr>
      <w:numPr>
        <w:numId w:val="6"/>
      </w:numPr>
      <w:contextualSpacing/>
    </w:pPr>
  </w:style>
  <w:style w:type="paragraph" w:styleId="Listennummer2">
    <w:name w:val="List Number 2"/>
    <w:basedOn w:val="Standard"/>
    <w:uiPriority w:val="99"/>
    <w:semiHidden/>
    <w:unhideWhenUsed/>
    <w:rsid w:val="0054275E"/>
    <w:pPr>
      <w:numPr>
        <w:numId w:val="7"/>
      </w:numPr>
      <w:contextualSpacing/>
    </w:pPr>
  </w:style>
  <w:style w:type="paragraph" w:styleId="Listennummer3">
    <w:name w:val="List Number 3"/>
    <w:basedOn w:val="Standard"/>
    <w:uiPriority w:val="99"/>
    <w:semiHidden/>
    <w:unhideWhenUsed/>
    <w:rsid w:val="0054275E"/>
    <w:pPr>
      <w:numPr>
        <w:numId w:val="8"/>
      </w:numPr>
      <w:contextualSpacing/>
    </w:pPr>
  </w:style>
  <w:style w:type="paragraph" w:styleId="Listennummer4">
    <w:name w:val="List Number 4"/>
    <w:basedOn w:val="Standard"/>
    <w:uiPriority w:val="99"/>
    <w:semiHidden/>
    <w:unhideWhenUsed/>
    <w:rsid w:val="0054275E"/>
    <w:pPr>
      <w:numPr>
        <w:numId w:val="9"/>
      </w:numPr>
      <w:contextualSpacing/>
    </w:pPr>
  </w:style>
  <w:style w:type="paragraph" w:styleId="Listennummer5">
    <w:name w:val="List Number 5"/>
    <w:basedOn w:val="Standard"/>
    <w:uiPriority w:val="99"/>
    <w:semiHidden/>
    <w:unhideWhenUsed/>
    <w:rsid w:val="0054275E"/>
    <w:pPr>
      <w:numPr>
        <w:numId w:val="10"/>
      </w:numPr>
      <w:contextualSpacing/>
    </w:pPr>
  </w:style>
  <w:style w:type="paragraph" w:styleId="Literaturverzeichnis">
    <w:name w:val="Bibliography"/>
    <w:basedOn w:val="Standard"/>
    <w:next w:val="Standard"/>
    <w:uiPriority w:val="37"/>
    <w:semiHidden/>
    <w:unhideWhenUsed/>
    <w:rsid w:val="0054275E"/>
  </w:style>
  <w:style w:type="paragraph" w:styleId="Makrotext">
    <w:name w:val="macro"/>
    <w:link w:val="MakrotextZchn"/>
    <w:uiPriority w:val="99"/>
    <w:semiHidden/>
    <w:unhideWhenUsed/>
    <w:rsid w:val="0054275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krotextZchn">
    <w:name w:val="Makrotext Zchn"/>
    <w:link w:val="Makrotext"/>
    <w:uiPriority w:val="99"/>
    <w:semiHidden/>
    <w:locked/>
    <w:rsid w:val="0054275E"/>
    <w:rPr>
      <w:rFonts w:ascii="Courier New" w:hAnsi="Courier New"/>
      <w:lang w:val="de-DE" w:eastAsia="de-DE"/>
    </w:rPr>
  </w:style>
  <w:style w:type="paragraph" w:styleId="Nachrichtenkopf">
    <w:name w:val="Message Header"/>
    <w:basedOn w:val="Standard"/>
    <w:link w:val="NachrichtenkopfZchn"/>
    <w:uiPriority w:val="99"/>
    <w:semiHidden/>
    <w:unhideWhenUsed/>
    <w:rsid w:val="0054275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NachrichtenkopfZchn">
    <w:name w:val="Nachrichtenkopf Zchn"/>
    <w:link w:val="Nachrichtenkopf"/>
    <w:uiPriority w:val="99"/>
    <w:semiHidden/>
    <w:locked/>
    <w:rsid w:val="0054275E"/>
    <w:rPr>
      <w:rFonts w:ascii="Cambria" w:hAnsi="Cambria"/>
      <w:sz w:val="24"/>
      <w:shd w:val="pct20" w:color="auto" w:fill="auto"/>
    </w:rPr>
  </w:style>
  <w:style w:type="paragraph" w:styleId="NurText">
    <w:name w:val="Plain Text"/>
    <w:basedOn w:val="Standard"/>
    <w:link w:val="NurTextZchn"/>
    <w:uiPriority w:val="99"/>
    <w:semiHidden/>
    <w:unhideWhenUsed/>
    <w:rsid w:val="0054275E"/>
    <w:rPr>
      <w:rFonts w:ascii="Courier New" w:hAnsi="Courier New"/>
      <w:sz w:val="20"/>
      <w:szCs w:val="20"/>
    </w:rPr>
  </w:style>
  <w:style w:type="character" w:customStyle="1" w:styleId="NurTextZchn">
    <w:name w:val="Nur Text Zchn"/>
    <w:link w:val="NurText"/>
    <w:uiPriority w:val="99"/>
    <w:semiHidden/>
    <w:locked/>
    <w:rsid w:val="0054275E"/>
    <w:rPr>
      <w:rFonts w:ascii="Courier New" w:hAnsi="Courier New"/>
    </w:rPr>
  </w:style>
  <w:style w:type="paragraph" w:styleId="Rechtsgrundlagenverzeichnis">
    <w:name w:val="table of authorities"/>
    <w:basedOn w:val="Standard"/>
    <w:next w:val="Standard"/>
    <w:uiPriority w:val="99"/>
    <w:semiHidden/>
    <w:unhideWhenUsed/>
    <w:rsid w:val="0054275E"/>
    <w:pPr>
      <w:ind w:left="160" w:hanging="160"/>
    </w:pPr>
  </w:style>
  <w:style w:type="paragraph" w:styleId="RGV-berschrift">
    <w:name w:val="toa heading"/>
    <w:basedOn w:val="Standard"/>
    <w:next w:val="Standard"/>
    <w:uiPriority w:val="99"/>
    <w:semiHidden/>
    <w:unhideWhenUsed/>
    <w:rsid w:val="0054275E"/>
    <w:pPr>
      <w:spacing w:before="120"/>
    </w:pPr>
    <w:rPr>
      <w:rFonts w:ascii="Cambria" w:hAnsi="Cambria"/>
      <w:b/>
      <w:bCs/>
      <w:sz w:val="24"/>
    </w:rPr>
  </w:style>
  <w:style w:type="paragraph" w:styleId="Standardeinzug">
    <w:name w:val="Normal Indent"/>
    <w:basedOn w:val="Standard"/>
    <w:uiPriority w:val="99"/>
    <w:semiHidden/>
    <w:unhideWhenUsed/>
    <w:rsid w:val="0054275E"/>
    <w:pPr>
      <w:ind w:left="708"/>
    </w:pPr>
  </w:style>
  <w:style w:type="paragraph" w:styleId="Textkrper">
    <w:name w:val="Body Text"/>
    <w:basedOn w:val="Standard"/>
    <w:link w:val="TextkrperZchn"/>
    <w:uiPriority w:val="99"/>
    <w:semiHidden/>
    <w:unhideWhenUsed/>
    <w:rsid w:val="0054275E"/>
    <w:pPr>
      <w:spacing w:after="120"/>
    </w:pPr>
  </w:style>
  <w:style w:type="character" w:customStyle="1" w:styleId="TextkrperZchn">
    <w:name w:val="Textkörper Zchn"/>
    <w:link w:val="Textkrper"/>
    <w:uiPriority w:val="99"/>
    <w:semiHidden/>
    <w:locked/>
    <w:rsid w:val="0054275E"/>
    <w:rPr>
      <w:rFonts w:ascii="Arial" w:hAnsi="Arial"/>
      <w:sz w:val="24"/>
    </w:rPr>
  </w:style>
  <w:style w:type="paragraph" w:styleId="Textkrper2">
    <w:name w:val="Body Text 2"/>
    <w:basedOn w:val="Standard"/>
    <w:link w:val="Textkrper2Zchn"/>
    <w:uiPriority w:val="99"/>
    <w:semiHidden/>
    <w:unhideWhenUsed/>
    <w:rsid w:val="0054275E"/>
    <w:pPr>
      <w:spacing w:after="120" w:line="480" w:lineRule="auto"/>
    </w:pPr>
  </w:style>
  <w:style w:type="character" w:customStyle="1" w:styleId="Textkrper2Zchn">
    <w:name w:val="Textkörper 2 Zchn"/>
    <w:link w:val="Textkrper2"/>
    <w:uiPriority w:val="99"/>
    <w:semiHidden/>
    <w:locked/>
    <w:rsid w:val="0054275E"/>
    <w:rPr>
      <w:rFonts w:ascii="Arial" w:hAnsi="Arial"/>
      <w:sz w:val="24"/>
    </w:rPr>
  </w:style>
  <w:style w:type="paragraph" w:styleId="Textkrper3">
    <w:name w:val="Body Text 3"/>
    <w:basedOn w:val="Standard"/>
    <w:link w:val="Textkrper3Zchn"/>
    <w:uiPriority w:val="99"/>
    <w:semiHidden/>
    <w:unhideWhenUsed/>
    <w:rsid w:val="0054275E"/>
    <w:pPr>
      <w:spacing w:after="120"/>
    </w:pPr>
    <w:rPr>
      <w:szCs w:val="16"/>
    </w:rPr>
  </w:style>
  <w:style w:type="character" w:customStyle="1" w:styleId="Textkrper3Zchn">
    <w:name w:val="Textkörper 3 Zchn"/>
    <w:link w:val="Textkrper3"/>
    <w:uiPriority w:val="99"/>
    <w:semiHidden/>
    <w:locked/>
    <w:rsid w:val="0054275E"/>
    <w:rPr>
      <w:rFonts w:ascii="Arial" w:hAnsi="Arial"/>
      <w:sz w:val="16"/>
    </w:rPr>
  </w:style>
  <w:style w:type="paragraph" w:styleId="Textkrper-Einzug2">
    <w:name w:val="Body Text Indent 2"/>
    <w:basedOn w:val="Standard"/>
    <w:link w:val="Textkrper-Einzug2Zchn"/>
    <w:uiPriority w:val="99"/>
    <w:semiHidden/>
    <w:unhideWhenUsed/>
    <w:rsid w:val="0054275E"/>
    <w:pPr>
      <w:spacing w:after="120" w:line="480" w:lineRule="auto"/>
      <w:ind w:left="283"/>
    </w:pPr>
  </w:style>
  <w:style w:type="character" w:customStyle="1" w:styleId="Textkrper-Einzug2Zchn">
    <w:name w:val="Textkörper-Einzug 2 Zchn"/>
    <w:link w:val="Textkrper-Einzug2"/>
    <w:uiPriority w:val="99"/>
    <w:semiHidden/>
    <w:locked/>
    <w:rsid w:val="0054275E"/>
    <w:rPr>
      <w:rFonts w:ascii="Arial" w:hAnsi="Arial"/>
      <w:sz w:val="24"/>
    </w:rPr>
  </w:style>
  <w:style w:type="paragraph" w:styleId="Textkrper-Einzug3">
    <w:name w:val="Body Text Indent 3"/>
    <w:basedOn w:val="Standard"/>
    <w:link w:val="Textkrper-Einzug3Zchn"/>
    <w:uiPriority w:val="99"/>
    <w:semiHidden/>
    <w:unhideWhenUsed/>
    <w:rsid w:val="0054275E"/>
    <w:pPr>
      <w:spacing w:after="120"/>
      <w:ind w:left="283"/>
    </w:pPr>
    <w:rPr>
      <w:szCs w:val="16"/>
    </w:rPr>
  </w:style>
  <w:style w:type="character" w:customStyle="1" w:styleId="Textkrper-Einzug3Zchn">
    <w:name w:val="Textkörper-Einzug 3 Zchn"/>
    <w:link w:val="Textkrper-Einzug3"/>
    <w:uiPriority w:val="99"/>
    <w:semiHidden/>
    <w:locked/>
    <w:rsid w:val="0054275E"/>
    <w:rPr>
      <w:rFonts w:ascii="Arial" w:hAnsi="Arial"/>
      <w:sz w:val="16"/>
    </w:rPr>
  </w:style>
  <w:style w:type="paragraph" w:styleId="Textkrper-Erstzeileneinzug">
    <w:name w:val="Body Text First Indent"/>
    <w:basedOn w:val="Textkrper"/>
    <w:link w:val="Textkrper-ErstzeileneinzugZchn"/>
    <w:uiPriority w:val="99"/>
    <w:semiHidden/>
    <w:unhideWhenUsed/>
    <w:rsid w:val="0054275E"/>
    <w:pPr>
      <w:ind w:firstLine="210"/>
    </w:pPr>
  </w:style>
  <w:style w:type="character" w:customStyle="1" w:styleId="Textkrper-ErstzeileneinzugZchn">
    <w:name w:val="Textkörper-Erstzeileneinzug Zchn"/>
    <w:link w:val="Textkrper-Erstzeileneinzug"/>
    <w:uiPriority w:val="99"/>
    <w:semiHidden/>
    <w:locked/>
    <w:rsid w:val="0054275E"/>
    <w:rPr>
      <w:rFonts w:ascii="Arial" w:hAnsi="Arial" w:cs="Times New Roman"/>
      <w:sz w:val="24"/>
      <w:szCs w:val="24"/>
    </w:rPr>
  </w:style>
  <w:style w:type="paragraph" w:styleId="Textkrper-Zeileneinzug">
    <w:name w:val="Body Text Indent"/>
    <w:basedOn w:val="Standard"/>
    <w:link w:val="Textkrper-ZeileneinzugZchn"/>
    <w:uiPriority w:val="99"/>
    <w:semiHidden/>
    <w:unhideWhenUsed/>
    <w:rsid w:val="0054275E"/>
    <w:pPr>
      <w:spacing w:after="120"/>
      <w:ind w:left="283"/>
    </w:pPr>
  </w:style>
  <w:style w:type="character" w:customStyle="1" w:styleId="Textkrper-ZeileneinzugZchn">
    <w:name w:val="Textkörper-Zeileneinzug Zchn"/>
    <w:link w:val="Textkrper-Zeileneinzug"/>
    <w:uiPriority w:val="99"/>
    <w:semiHidden/>
    <w:locked/>
    <w:rsid w:val="0054275E"/>
    <w:rPr>
      <w:rFonts w:ascii="Arial" w:hAnsi="Arial"/>
      <w:sz w:val="24"/>
    </w:rPr>
  </w:style>
  <w:style w:type="paragraph" w:styleId="Textkrper-Erstzeileneinzug2">
    <w:name w:val="Body Text First Indent 2"/>
    <w:basedOn w:val="Textkrper-Zeileneinzug"/>
    <w:link w:val="Textkrper-Erstzeileneinzug2Zchn"/>
    <w:uiPriority w:val="99"/>
    <w:semiHidden/>
    <w:unhideWhenUsed/>
    <w:rsid w:val="0054275E"/>
    <w:pPr>
      <w:ind w:firstLine="210"/>
    </w:pPr>
  </w:style>
  <w:style w:type="character" w:customStyle="1" w:styleId="Textkrper-Erstzeileneinzug2Zchn">
    <w:name w:val="Textkörper-Erstzeileneinzug 2 Zchn"/>
    <w:link w:val="Textkrper-Erstzeileneinzug2"/>
    <w:uiPriority w:val="99"/>
    <w:semiHidden/>
    <w:locked/>
    <w:rsid w:val="0054275E"/>
    <w:rPr>
      <w:rFonts w:ascii="Arial" w:hAnsi="Arial" w:cs="Times New Roman"/>
      <w:sz w:val="24"/>
      <w:szCs w:val="24"/>
    </w:rPr>
  </w:style>
  <w:style w:type="paragraph" w:styleId="Titel">
    <w:name w:val="Title"/>
    <w:basedOn w:val="Standard"/>
    <w:next w:val="Standard"/>
    <w:link w:val="TitelZchn"/>
    <w:uiPriority w:val="10"/>
    <w:qFormat/>
    <w:rsid w:val="0054275E"/>
    <w:pPr>
      <w:spacing w:before="240" w:after="60"/>
      <w:jc w:val="center"/>
      <w:outlineLvl w:val="0"/>
    </w:pPr>
    <w:rPr>
      <w:rFonts w:ascii="Cambria" w:hAnsi="Cambria"/>
      <w:b/>
      <w:bCs/>
      <w:kern w:val="28"/>
      <w:sz w:val="32"/>
      <w:szCs w:val="32"/>
    </w:rPr>
  </w:style>
  <w:style w:type="character" w:customStyle="1" w:styleId="TitelZchn">
    <w:name w:val="Titel Zchn"/>
    <w:link w:val="Titel"/>
    <w:uiPriority w:val="10"/>
    <w:locked/>
    <w:rsid w:val="0054275E"/>
    <w:rPr>
      <w:rFonts w:ascii="Cambria" w:hAnsi="Cambria"/>
      <w:b/>
      <w:kern w:val="28"/>
      <w:sz w:val="32"/>
    </w:rPr>
  </w:style>
  <w:style w:type="paragraph" w:styleId="Umschlagabsenderadresse">
    <w:name w:val="envelope return"/>
    <w:basedOn w:val="Standard"/>
    <w:uiPriority w:val="99"/>
    <w:semiHidden/>
    <w:unhideWhenUsed/>
    <w:rsid w:val="0054275E"/>
    <w:rPr>
      <w:rFonts w:ascii="Cambria" w:hAnsi="Cambria"/>
      <w:sz w:val="20"/>
      <w:szCs w:val="20"/>
    </w:rPr>
  </w:style>
  <w:style w:type="paragraph" w:styleId="Umschlagadresse">
    <w:name w:val="envelope address"/>
    <w:basedOn w:val="Standard"/>
    <w:uiPriority w:val="99"/>
    <w:semiHidden/>
    <w:unhideWhenUsed/>
    <w:rsid w:val="0054275E"/>
    <w:pPr>
      <w:framePr w:w="4320" w:h="2160" w:hRule="exact" w:hSpace="141" w:wrap="auto" w:hAnchor="page" w:xAlign="center" w:yAlign="bottom"/>
      <w:ind w:left="1"/>
    </w:pPr>
    <w:rPr>
      <w:rFonts w:ascii="Cambria" w:hAnsi="Cambria"/>
      <w:sz w:val="24"/>
    </w:rPr>
  </w:style>
  <w:style w:type="paragraph" w:styleId="Unterschrift">
    <w:name w:val="Signature"/>
    <w:basedOn w:val="Standard"/>
    <w:link w:val="UnterschriftZchn"/>
    <w:uiPriority w:val="99"/>
    <w:semiHidden/>
    <w:unhideWhenUsed/>
    <w:rsid w:val="0054275E"/>
    <w:pPr>
      <w:ind w:left="4252"/>
    </w:pPr>
  </w:style>
  <w:style w:type="character" w:customStyle="1" w:styleId="UnterschriftZchn">
    <w:name w:val="Unterschrift Zchn"/>
    <w:link w:val="Unterschrift"/>
    <w:uiPriority w:val="99"/>
    <w:semiHidden/>
    <w:locked/>
    <w:rsid w:val="0054275E"/>
    <w:rPr>
      <w:rFonts w:ascii="Arial" w:hAnsi="Arial"/>
      <w:sz w:val="24"/>
    </w:rPr>
  </w:style>
  <w:style w:type="paragraph" w:styleId="Untertitel">
    <w:name w:val="Subtitle"/>
    <w:basedOn w:val="Standard"/>
    <w:next w:val="Standard"/>
    <w:link w:val="UntertitelZchn"/>
    <w:uiPriority w:val="11"/>
    <w:qFormat/>
    <w:rsid w:val="0054275E"/>
    <w:pPr>
      <w:spacing w:after="60"/>
      <w:jc w:val="center"/>
      <w:outlineLvl w:val="1"/>
    </w:pPr>
    <w:rPr>
      <w:rFonts w:ascii="Cambria" w:hAnsi="Cambria"/>
      <w:sz w:val="24"/>
    </w:rPr>
  </w:style>
  <w:style w:type="character" w:customStyle="1" w:styleId="UntertitelZchn">
    <w:name w:val="Untertitel Zchn"/>
    <w:link w:val="Untertitel"/>
    <w:uiPriority w:val="11"/>
    <w:locked/>
    <w:rsid w:val="0054275E"/>
    <w:rPr>
      <w:rFonts w:ascii="Cambria" w:hAnsi="Cambria"/>
      <w:sz w:val="24"/>
    </w:rPr>
  </w:style>
  <w:style w:type="paragraph" w:styleId="Zitat">
    <w:name w:val="Quote"/>
    <w:basedOn w:val="Standard"/>
    <w:next w:val="Standard"/>
    <w:link w:val="ZitatZchn"/>
    <w:uiPriority w:val="29"/>
    <w:qFormat/>
    <w:rsid w:val="0054275E"/>
    <w:rPr>
      <w:i/>
      <w:iCs/>
      <w:color w:val="000000"/>
    </w:rPr>
  </w:style>
  <w:style w:type="character" w:customStyle="1" w:styleId="ZitatZchn">
    <w:name w:val="Zitat Zchn"/>
    <w:link w:val="Zitat"/>
    <w:uiPriority w:val="29"/>
    <w:locked/>
    <w:rsid w:val="0054275E"/>
    <w:rPr>
      <w:rFonts w:ascii="Arial" w:hAnsi="Arial"/>
      <w:i/>
      <w:color w:val="000000"/>
      <w:sz w:val="24"/>
    </w:rPr>
  </w:style>
  <w:style w:type="character" w:styleId="Kommentarzeichen">
    <w:name w:val="annotation reference"/>
    <w:uiPriority w:val="99"/>
    <w:semiHidden/>
    <w:unhideWhenUsed/>
    <w:rsid w:val="00F57AF8"/>
    <w:rPr>
      <w:sz w:val="16"/>
    </w:rPr>
  </w:style>
  <w:style w:type="paragraph" w:customStyle="1" w:styleId="Leerzeile">
    <w:name w:val="Leerzeile"/>
    <w:basedOn w:val="Standard"/>
    <w:qFormat/>
    <w:rsid w:val="006B6971"/>
  </w:style>
  <w:style w:type="paragraph" w:customStyle="1" w:styleId="txt">
    <w:name w:val="txt"/>
    <w:rsid w:val="00D038EE"/>
    <w:pPr>
      <w:widowControl w:val="0"/>
      <w:spacing w:after="60" w:line="260" w:lineRule="exact"/>
    </w:pPr>
    <w:rPr>
      <w:rFonts w:ascii="Arial" w:hAnsi="Arial"/>
    </w:rPr>
  </w:style>
  <w:style w:type="paragraph" w:customStyle="1" w:styleId="Default">
    <w:name w:val="Default"/>
    <w:rsid w:val="00D04CE2"/>
    <w:pPr>
      <w:autoSpaceDE w:val="0"/>
      <w:autoSpaceDN w:val="0"/>
      <w:adjustRightInd w:val="0"/>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198636">
      <w:marLeft w:val="0"/>
      <w:marRight w:val="0"/>
      <w:marTop w:val="0"/>
      <w:marBottom w:val="0"/>
      <w:divBdr>
        <w:top w:val="none" w:sz="0" w:space="0" w:color="auto"/>
        <w:left w:val="none" w:sz="0" w:space="0" w:color="auto"/>
        <w:bottom w:val="none" w:sz="0" w:space="0" w:color="auto"/>
        <w:right w:val="none" w:sz="0" w:space="0" w:color="auto"/>
      </w:divBdr>
      <w:divsChild>
        <w:div w:id="500198667">
          <w:marLeft w:val="0"/>
          <w:marRight w:val="0"/>
          <w:marTop w:val="0"/>
          <w:marBottom w:val="0"/>
          <w:divBdr>
            <w:top w:val="none" w:sz="0" w:space="0" w:color="auto"/>
            <w:left w:val="none" w:sz="0" w:space="0" w:color="auto"/>
            <w:bottom w:val="none" w:sz="0" w:space="0" w:color="auto"/>
            <w:right w:val="none" w:sz="0" w:space="0" w:color="auto"/>
          </w:divBdr>
          <w:divsChild>
            <w:div w:id="500198705">
              <w:marLeft w:val="0"/>
              <w:marRight w:val="0"/>
              <w:marTop w:val="0"/>
              <w:marBottom w:val="0"/>
              <w:divBdr>
                <w:top w:val="none" w:sz="0" w:space="0" w:color="auto"/>
                <w:left w:val="none" w:sz="0" w:space="0" w:color="auto"/>
                <w:bottom w:val="none" w:sz="0" w:space="0" w:color="auto"/>
                <w:right w:val="none" w:sz="0" w:space="0" w:color="auto"/>
              </w:divBdr>
              <w:divsChild>
                <w:div w:id="500198710">
                  <w:marLeft w:val="0"/>
                  <w:marRight w:val="0"/>
                  <w:marTop w:val="0"/>
                  <w:marBottom w:val="0"/>
                  <w:divBdr>
                    <w:top w:val="none" w:sz="0" w:space="0" w:color="auto"/>
                    <w:left w:val="none" w:sz="0" w:space="0" w:color="auto"/>
                    <w:bottom w:val="none" w:sz="0" w:space="0" w:color="auto"/>
                    <w:right w:val="none" w:sz="0" w:space="0" w:color="auto"/>
                  </w:divBdr>
                  <w:divsChild>
                    <w:div w:id="500198678">
                      <w:marLeft w:val="0"/>
                      <w:marRight w:val="0"/>
                      <w:marTop w:val="0"/>
                      <w:marBottom w:val="0"/>
                      <w:divBdr>
                        <w:top w:val="none" w:sz="0" w:space="0" w:color="auto"/>
                        <w:left w:val="none" w:sz="0" w:space="0" w:color="auto"/>
                        <w:bottom w:val="none" w:sz="0" w:space="0" w:color="auto"/>
                        <w:right w:val="none" w:sz="0" w:space="0" w:color="auto"/>
                      </w:divBdr>
                      <w:divsChild>
                        <w:div w:id="500198681">
                          <w:marLeft w:val="0"/>
                          <w:marRight w:val="0"/>
                          <w:marTop w:val="0"/>
                          <w:marBottom w:val="0"/>
                          <w:divBdr>
                            <w:top w:val="none" w:sz="0" w:space="0" w:color="auto"/>
                            <w:left w:val="none" w:sz="0" w:space="0" w:color="auto"/>
                            <w:bottom w:val="none" w:sz="0" w:space="0" w:color="auto"/>
                            <w:right w:val="none" w:sz="0" w:space="0" w:color="auto"/>
                          </w:divBdr>
                          <w:divsChild>
                            <w:div w:id="500198674">
                              <w:marLeft w:val="0"/>
                              <w:marRight w:val="0"/>
                              <w:marTop w:val="0"/>
                              <w:marBottom w:val="0"/>
                              <w:divBdr>
                                <w:top w:val="none" w:sz="0" w:space="0" w:color="auto"/>
                                <w:left w:val="none" w:sz="0" w:space="0" w:color="auto"/>
                                <w:bottom w:val="none" w:sz="0" w:space="0" w:color="auto"/>
                                <w:right w:val="none" w:sz="0" w:space="0" w:color="auto"/>
                              </w:divBdr>
                              <w:divsChild>
                                <w:div w:id="5001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38">
      <w:marLeft w:val="0"/>
      <w:marRight w:val="0"/>
      <w:marTop w:val="0"/>
      <w:marBottom w:val="0"/>
      <w:divBdr>
        <w:top w:val="none" w:sz="0" w:space="0" w:color="auto"/>
        <w:left w:val="none" w:sz="0" w:space="0" w:color="auto"/>
        <w:bottom w:val="none" w:sz="0" w:space="0" w:color="auto"/>
        <w:right w:val="none" w:sz="0" w:space="0" w:color="auto"/>
      </w:divBdr>
    </w:div>
    <w:div w:id="500198656">
      <w:marLeft w:val="0"/>
      <w:marRight w:val="0"/>
      <w:marTop w:val="0"/>
      <w:marBottom w:val="0"/>
      <w:divBdr>
        <w:top w:val="none" w:sz="0" w:space="0" w:color="auto"/>
        <w:left w:val="none" w:sz="0" w:space="0" w:color="auto"/>
        <w:bottom w:val="none" w:sz="0" w:space="0" w:color="auto"/>
        <w:right w:val="none" w:sz="0" w:space="0" w:color="auto"/>
      </w:divBdr>
      <w:divsChild>
        <w:div w:id="500198701">
          <w:marLeft w:val="0"/>
          <w:marRight w:val="0"/>
          <w:marTop w:val="0"/>
          <w:marBottom w:val="0"/>
          <w:divBdr>
            <w:top w:val="none" w:sz="0" w:space="0" w:color="auto"/>
            <w:left w:val="none" w:sz="0" w:space="0" w:color="auto"/>
            <w:bottom w:val="none" w:sz="0" w:space="0" w:color="auto"/>
            <w:right w:val="none" w:sz="0" w:space="0" w:color="auto"/>
          </w:divBdr>
          <w:divsChild>
            <w:div w:id="500198679">
              <w:marLeft w:val="0"/>
              <w:marRight w:val="0"/>
              <w:marTop w:val="0"/>
              <w:marBottom w:val="0"/>
              <w:divBdr>
                <w:top w:val="none" w:sz="0" w:space="0" w:color="auto"/>
                <w:left w:val="none" w:sz="0" w:space="0" w:color="auto"/>
                <w:bottom w:val="none" w:sz="0" w:space="0" w:color="auto"/>
                <w:right w:val="none" w:sz="0" w:space="0" w:color="auto"/>
              </w:divBdr>
              <w:divsChild>
                <w:div w:id="500198687">
                  <w:marLeft w:val="0"/>
                  <w:marRight w:val="0"/>
                  <w:marTop w:val="0"/>
                  <w:marBottom w:val="0"/>
                  <w:divBdr>
                    <w:top w:val="none" w:sz="0" w:space="0" w:color="auto"/>
                    <w:left w:val="none" w:sz="0" w:space="0" w:color="auto"/>
                    <w:bottom w:val="none" w:sz="0" w:space="0" w:color="auto"/>
                    <w:right w:val="none" w:sz="0" w:space="0" w:color="auto"/>
                  </w:divBdr>
                  <w:divsChild>
                    <w:div w:id="500198685">
                      <w:marLeft w:val="0"/>
                      <w:marRight w:val="0"/>
                      <w:marTop w:val="0"/>
                      <w:marBottom w:val="0"/>
                      <w:divBdr>
                        <w:top w:val="none" w:sz="0" w:space="0" w:color="auto"/>
                        <w:left w:val="none" w:sz="0" w:space="0" w:color="auto"/>
                        <w:bottom w:val="none" w:sz="0" w:space="0" w:color="auto"/>
                        <w:right w:val="none" w:sz="0" w:space="0" w:color="auto"/>
                      </w:divBdr>
                      <w:divsChild>
                        <w:div w:id="500198664">
                          <w:marLeft w:val="0"/>
                          <w:marRight w:val="0"/>
                          <w:marTop w:val="0"/>
                          <w:marBottom w:val="0"/>
                          <w:divBdr>
                            <w:top w:val="none" w:sz="0" w:space="0" w:color="auto"/>
                            <w:left w:val="none" w:sz="0" w:space="0" w:color="auto"/>
                            <w:bottom w:val="none" w:sz="0" w:space="0" w:color="auto"/>
                            <w:right w:val="none" w:sz="0" w:space="0" w:color="auto"/>
                          </w:divBdr>
                          <w:divsChild>
                            <w:div w:id="500198639">
                              <w:marLeft w:val="0"/>
                              <w:marRight w:val="0"/>
                              <w:marTop w:val="0"/>
                              <w:marBottom w:val="0"/>
                              <w:divBdr>
                                <w:top w:val="none" w:sz="0" w:space="0" w:color="auto"/>
                                <w:left w:val="none" w:sz="0" w:space="0" w:color="auto"/>
                                <w:bottom w:val="none" w:sz="0" w:space="0" w:color="auto"/>
                                <w:right w:val="none" w:sz="0" w:space="0" w:color="auto"/>
                              </w:divBdr>
                              <w:divsChild>
                                <w:div w:id="500198643">
                                  <w:marLeft w:val="0"/>
                                  <w:marRight w:val="0"/>
                                  <w:marTop w:val="0"/>
                                  <w:marBottom w:val="0"/>
                                  <w:divBdr>
                                    <w:top w:val="none" w:sz="0" w:space="0" w:color="auto"/>
                                    <w:left w:val="none" w:sz="0" w:space="0" w:color="auto"/>
                                    <w:bottom w:val="none" w:sz="0" w:space="0" w:color="auto"/>
                                    <w:right w:val="none" w:sz="0" w:space="0" w:color="auto"/>
                                  </w:divBdr>
                                </w:div>
                                <w:div w:id="500198644">
                                  <w:marLeft w:val="0"/>
                                  <w:marRight w:val="0"/>
                                  <w:marTop w:val="0"/>
                                  <w:marBottom w:val="0"/>
                                  <w:divBdr>
                                    <w:top w:val="none" w:sz="0" w:space="0" w:color="auto"/>
                                    <w:left w:val="none" w:sz="0" w:space="0" w:color="auto"/>
                                    <w:bottom w:val="none" w:sz="0" w:space="0" w:color="auto"/>
                                    <w:right w:val="none" w:sz="0" w:space="0" w:color="auto"/>
                                  </w:divBdr>
                                </w:div>
                                <w:div w:id="500198645">
                                  <w:marLeft w:val="0"/>
                                  <w:marRight w:val="0"/>
                                  <w:marTop w:val="0"/>
                                  <w:marBottom w:val="0"/>
                                  <w:divBdr>
                                    <w:top w:val="none" w:sz="0" w:space="0" w:color="auto"/>
                                    <w:left w:val="none" w:sz="0" w:space="0" w:color="auto"/>
                                    <w:bottom w:val="none" w:sz="0" w:space="0" w:color="auto"/>
                                    <w:right w:val="none" w:sz="0" w:space="0" w:color="auto"/>
                                  </w:divBdr>
                                </w:div>
                                <w:div w:id="500198646">
                                  <w:marLeft w:val="0"/>
                                  <w:marRight w:val="0"/>
                                  <w:marTop w:val="0"/>
                                  <w:marBottom w:val="0"/>
                                  <w:divBdr>
                                    <w:top w:val="none" w:sz="0" w:space="0" w:color="auto"/>
                                    <w:left w:val="none" w:sz="0" w:space="0" w:color="auto"/>
                                    <w:bottom w:val="none" w:sz="0" w:space="0" w:color="auto"/>
                                    <w:right w:val="none" w:sz="0" w:space="0" w:color="auto"/>
                                  </w:divBdr>
                                </w:div>
                                <w:div w:id="500198650">
                                  <w:marLeft w:val="0"/>
                                  <w:marRight w:val="0"/>
                                  <w:marTop w:val="0"/>
                                  <w:marBottom w:val="0"/>
                                  <w:divBdr>
                                    <w:top w:val="none" w:sz="0" w:space="0" w:color="auto"/>
                                    <w:left w:val="none" w:sz="0" w:space="0" w:color="auto"/>
                                    <w:bottom w:val="none" w:sz="0" w:space="0" w:color="auto"/>
                                    <w:right w:val="none" w:sz="0" w:space="0" w:color="auto"/>
                                  </w:divBdr>
                                </w:div>
                                <w:div w:id="500198652">
                                  <w:marLeft w:val="0"/>
                                  <w:marRight w:val="0"/>
                                  <w:marTop w:val="0"/>
                                  <w:marBottom w:val="0"/>
                                  <w:divBdr>
                                    <w:top w:val="none" w:sz="0" w:space="0" w:color="auto"/>
                                    <w:left w:val="none" w:sz="0" w:space="0" w:color="auto"/>
                                    <w:bottom w:val="none" w:sz="0" w:space="0" w:color="auto"/>
                                    <w:right w:val="none" w:sz="0" w:space="0" w:color="auto"/>
                                  </w:divBdr>
                                </w:div>
                                <w:div w:id="500198653">
                                  <w:marLeft w:val="0"/>
                                  <w:marRight w:val="0"/>
                                  <w:marTop w:val="0"/>
                                  <w:marBottom w:val="0"/>
                                  <w:divBdr>
                                    <w:top w:val="none" w:sz="0" w:space="0" w:color="auto"/>
                                    <w:left w:val="none" w:sz="0" w:space="0" w:color="auto"/>
                                    <w:bottom w:val="none" w:sz="0" w:space="0" w:color="auto"/>
                                    <w:right w:val="none" w:sz="0" w:space="0" w:color="auto"/>
                                  </w:divBdr>
                                </w:div>
                                <w:div w:id="500198657">
                                  <w:marLeft w:val="0"/>
                                  <w:marRight w:val="0"/>
                                  <w:marTop w:val="0"/>
                                  <w:marBottom w:val="0"/>
                                  <w:divBdr>
                                    <w:top w:val="none" w:sz="0" w:space="0" w:color="auto"/>
                                    <w:left w:val="none" w:sz="0" w:space="0" w:color="auto"/>
                                    <w:bottom w:val="none" w:sz="0" w:space="0" w:color="auto"/>
                                    <w:right w:val="none" w:sz="0" w:space="0" w:color="auto"/>
                                  </w:divBdr>
                                </w:div>
                                <w:div w:id="500198658">
                                  <w:marLeft w:val="0"/>
                                  <w:marRight w:val="0"/>
                                  <w:marTop w:val="0"/>
                                  <w:marBottom w:val="0"/>
                                  <w:divBdr>
                                    <w:top w:val="none" w:sz="0" w:space="0" w:color="auto"/>
                                    <w:left w:val="none" w:sz="0" w:space="0" w:color="auto"/>
                                    <w:bottom w:val="none" w:sz="0" w:space="0" w:color="auto"/>
                                    <w:right w:val="none" w:sz="0" w:space="0" w:color="auto"/>
                                  </w:divBdr>
                                </w:div>
                                <w:div w:id="500198662">
                                  <w:marLeft w:val="0"/>
                                  <w:marRight w:val="0"/>
                                  <w:marTop w:val="0"/>
                                  <w:marBottom w:val="0"/>
                                  <w:divBdr>
                                    <w:top w:val="none" w:sz="0" w:space="0" w:color="auto"/>
                                    <w:left w:val="none" w:sz="0" w:space="0" w:color="auto"/>
                                    <w:bottom w:val="none" w:sz="0" w:space="0" w:color="auto"/>
                                    <w:right w:val="none" w:sz="0" w:space="0" w:color="auto"/>
                                  </w:divBdr>
                                </w:div>
                                <w:div w:id="500198669">
                                  <w:marLeft w:val="0"/>
                                  <w:marRight w:val="0"/>
                                  <w:marTop w:val="0"/>
                                  <w:marBottom w:val="0"/>
                                  <w:divBdr>
                                    <w:top w:val="none" w:sz="0" w:space="0" w:color="auto"/>
                                    <w:left w:val="none" w:sz="0" w:space="0" w:color="auto"/>
                                    <w:bottom w:val="none" w:sz="0" w:space="0" w:color="auto"/>
                                    <w:right w:val="none" w:sz="0" w:space="0" w:color="auto"/>
                                  </w:divBdr>
                                </w:div>
                                <w:div w:id="500198675">
                                  <w:marLeft w:val="0"/>
                                  <w:marRight w:val="0"/>
                                  <w:marTop w:val="0"/>
                                  <w:marBottom w:val="0"/>
                                  <w:divBdr>
                                    <w:top w:val="none" w:sz="0" w:space="0" w:color="auto"/>
                                    <w:left w:val="none" w:sz="0" w:space="0" w:color="auto"/>
                                    <w:bottom w:val="none" w:sz="0" w:space="0" w:color="auto"/>
                                    <w:right w:val="none" w:sz="0" w:space="0" w:color="auto"/>
                                  </w:divBdr>
                                </w:div>
                                <w:div w:id="500198686">
                                  <w:marLeft w:val="0"/>
                                  <w:marRight w:val="0"/>
                                  <w:marTop w:val="0"/>
                                  <w:marBottom w:val="0"/>
                                  <w:divBdr>
                                    <w:top w:val="none" w:sz="0" w:space="0" w:color="auto"/>
                                    <w:left w:val="none" w:sz="0" w:space="0" w:color="auto"/>
                                    <w:bottom w:val="none" w:sz="0" w:space="0" w:color="auto"/>
                                    <w:right w:val="none" w:sz="0" w:space="0" w:color="auto"/>
                                  </w:divBdr>
                                </w:div>
                                <w:div w:id="500198692">
                                  <w:marLeft w:val="0"/>
                                  <w:marRight w:val="0"/>
                                  <w:marTop w:val="0"/>
                                  <w:marBottom w:val="0"/>
                                  <w:divBdr>
                                    <w:top w:val="none" w:sz="0" w:space="0" w:color="auto"/>
                                    <w:left w:val="none" w:sz="0" w:space="0" w:color="auto"/>
                                    <w:bottom w:val="none" w:sz="0" w:space="0" w:color="auto"/>
                                    <w:right w:val="none" w:sz="0" w:space="0" w:color="auto"/>
                                  </w:divBdr>
                                </w:div>
                                <w:div w:id="500198693">
                                  <w:marLeft w:val="0"/>
                                  <w:marRight w:val="0"/>
                                  <w:marTop w:val="0"/>
                                  <w:marBottom w:val="0"/>
                                  <w:divBdr>
                                    <w:top w:val="none" w:sz="0" w:space="0" w:color="auto"/>
                                    <w:left w:val="none" w:sz="0" w:space="0" w:color="auto"/>
                                    <w:bottom w:val="none" w:sz="0" w:space="0" w:color="auto"/>
                                    <w:right w:val="none" w:sz="0" w:space="0" w:color="auto"/>
                                  </w:divBdr>
                                </w:div>
                                <w:div w:id="500198696">
                                  <w:marLeft w:val="0"/>
                                  <w:marRight w:val="0"/>
                                  <w:marTop w:val="0"/>
                                  <w:marBottom w:val="0"/>
                                  <w:divBdr>
                                    <w:top w:val="none" w:sz="0" w:space="0" w:color="auto"/>
                                    <w:left w:val="none" w:sz="0" w:space="0" w:color="auto"/>
                                    <w:bottom w:val="none" w:sz="0" w:space="0" w:color="auto"/>
                                    <w:right w:val="none" w:sz="0" w:space="0" w:color="auto"/>
                                  </w:divBdr>
                                </w:div>
                                <w:div w:id="500198697">
                                  <w:marLeft w:val="0"/>
                                  <w:marRight w:val="0"/>
                                  <w:marTop w:val="0"/>
                                  <w:marBottom w:val="0"/>
                                  <w:divBdr>
                                    <w:top w:val="none" w:sz="0" w:space="0" w:color="auto"/>
                                    <w:left w:val="none" w:sz="0" w:space="0" w:color="auto"/>
                                    <w:bottom w:val="none" w:sz="0" w:space="0" w:color="auto"/>
                                    <w:right w:val="none" w:sz="0" w:space="0" w:color="auto"/>
                                  </w:divBdr>
                                </w:div>
                                <w:div w:id="500198698">
                                  <w:marLeft w:val="0"/>
                                  <w:marRight w:val="0"/>
                                  <w:marTop w:val="0"/>
                                  <w:marBottom w:val="0"/>
                                  <w:divBdr>
                                    <w:top w:val="none" w:sz="0" w:space="0" w:color="auto"/>
                                    <w:left w:val="none" w:sz="0" w:space="0" w:color="auto"/>
                                    <w:bottom w:val="none" w:sz="0" w:space="0" w:color="auto"/>
                                    <w:right w:val="none" w:sz="0" w:space="0" w:color="auto"/>
                                  </w:divBdr>
                                </w:div>
                                <w:div w:id="500198699">
                                  <w:marLeft w:val="0"/>
                                  <w:marRight w:val="0"/>
                                  <w:marTop w:val="0"/>
                                  <w:marBottom w:val="0"/>
                                  <w:divBdr>
                                    <w:top w:val="none" w:sz="0" w:space="0" w:color="auto"/>
                                    <w:left w:val="none" w:sz="0" w:space="0" w:color="auto"/>
                                    <w:bottom w:val="none" w:sz="0" w:space="0" w:color="auto"/>
                                    <w:right w:val="none" w:sz="0" w:space="0" w:color="auto"/>
                                  </w:divBdr>
                                </w:div>
                                <w:div w:id="500198707">
                                  <w:marLeft w:val="0"/>
                                  <w:marRight w:val="0"/>
                                  <w:marTop w:val="0"/>
                                  <w:marBottom w:val="0"/>
                                  <w:divBdr>
                                    <w:top w:val="none" w:sz="0" w:space="0" w:color="auto"/>
                                    <w:left w:val="none" w:sz="0" w:space="0" w:color="auto"/>
                                    <w:bottom w:val="none" w:sz="0" w:space="0" w:color="auto"/>
                                    <w:right w:val="none" w:sz="0" w:space="0" w:color="auto"/>
                                  </w:divBdr>
                                </w:div>
                                <w:div w:id="500198709">
                                  <w:marLeft w:val="0"/>
                                  <w:marRight w:val="0"/>
                                  <w:marTop w:val="0"/>
                                  <w:marBottom w:val="0"/>
                                  <w:divBdr>
                                    <w:top w:val="none" w:sz="0" w:space="0" w:color="auto"/>
                                    <w:left w:val="none" w:sz="0" w:space="0" w:color="auto"/>
                                    <w:bottom w:val="none" w:sz="0" w:space="0" w:color="auto"/>
                                    <w:right w:val="none" w:sz="0" w:space="0" w:color="auto"/>
                                  </w:divBdr>
                                </w:div>
                                <w:div w:id="5001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59">
      <w:marLeft w:val="0"/>
      <w:marRight w:val="0"/>
      <w:marTop w:val="0"/>
      <w:marBottom w:val="0"/>
      <w:divBdr>
        <w:top w:val="none" w:sz="0" w:space="0" w:color="auto"/>
        <w:left w:val="none" w:sz="0" w:space="0" w:color="auto"/>
        <w:bottom w:val="none" w:sz="0" w:space="0" w:color="auto"/>
        <w:right w:val="none" w:sz="0" w:space="0" w:color="auto"/>
      </w:divBdr>
      <w:divsChild>
        <w:div w:id="500198661">
          <w:marLeft w:val="0"/>
          <w:marRight w:val="0"/>
          <w:marTop w:val="0"/>
          <w:marBottom w:val="0"/>
          <w:divBdr>
            <w:top w:val="none" w:sz="0" w:space="0" w:color="auto"/>
            <w:left w:val="none" w:sz="0" w:space="0" w:color="auto"/>
            <w:bottom w:val="none" w:sz="0" w:space="0" w:color="auto"/>
            <w:right w:val="none" w:sz="0" w:space="0" w:color="auto"/>
          </w:divBdr>
          <w:divsChild>
            <w:div w:id="500198691">
              <w:marLeft w:val="0"/>
              <w:marRight w:val="0"/>
              <w:marTop w:val="0"/>
              <w:marBottom w:val="0"/>
              <w:divBdr>
                <w:top w:val="none" w:sz="0" w:space="0" w:color="auto"/>
                <w:left w:val="none" w:sz="0" w:space="0" w:color="auto"/>
                <w:bottom w:val="none" w:sz="0" w:space="0" w:color="auto"/>
                <w:right w:val="none" w:sz="0" w:space="0" w:color="auto"/>
              </w:divBdr>
              <w:divsChild>
                <w:div w:id="500198640">
                  <w:marLeft w:val="0"/>
                  <w:marRight w:val="0"/>
                  <w:marTop w:val="0"/>
                  <w:marBottom w:val="0"/>
                  <w:divBdr>
                    <w:top w:val="none" w:sz="0" w:space="0" w:color="auto"/>
                    <w:left w:val="none" w:sz="0" w:space="0" w:color="auto"/>
                    <w:bottom w:val="none" w:sz="0" w:space="0" w:color="auto"/>
                    <w:right w:val="none" w:sz="0" w:space="0" w:color="auto"/>
                  </w:divBdr>
                  <w:divsChild>
                    <w:div w:id="500198648">
                      <w:marLeft w:val="0"/>
                      <w:marRight w:val="0"/>
                      <w:marTop w:val="0"/>
                      <w:marBottom w:val="0"/>
                      <w:divBdr>
                        <w:top w:val="none" w:sz="0" w:space="0" w:color="auto"/>
                        <w:left w:val="none" w:sz="0" w:space="0" w:color="auto"/>
                        <w:bottom w:val="none" w:sz="0" w:space="0" w:color="auto"/>
                        <w:right w:val="none" w:sz="0" w:space="0" w:color="auto"/>
                      </w:divBdr>
                      <w:divsChild>
                        <w:div w:id="500198634">
                          <w:marLeft w:val="0"/>
                          <w:marRight w:val="0"/>
                          <w:marTop w:val="0"/>
                          <w:marBottom w:val="0"/>
                          <w:divBdr>
                            <w:top w:val="none" w:sz="0" w:space="0" w:color="auto"/>
                            <w:left w:val="none" w:sz="0" w:space="0" w:color="auto"/>
                            <w:bottom w:val="none" w:sz="0" w:space="0" w:color="auto"/>
                            <w:right w:val="none" w:sz="0" w:space="0" w:color="auto"/>
                          </w:divBdr>
                          <w:divsChild>
                            <w:div w:id="500198702">
                              <w:marLeft w:val="0"/>
                              <w:marRight w:val="0"/>
                              <w:marTop w:val="0"/>
                              <w:marBottom w:val="0"/>
                              <w:divBdr>
                                <w:top w:val="none" w:sz="0" w:space="0" w:color="auto"/>
                                <w:left w:val="none" w:sz="0" w:space="0" w:color="auto"/>
                                <w:bottom w:val="none" w:sz="0" w:space="0" w:color="auto"/>
                                <w:right w:val="none" w:sz="0" w:space="0" w:color="auto"/>
                              </w:divBdr>
                              <w:divsChild>
                                <w:div w:id="50019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198671">
      <w:marLeft w:val="0"/>
      <w:marRight w:val="0"/>
      <w:marTop w:val="0"/>
      <w:marBottom w:val="0"/>
      <w:divBdr>
        <w:top w:val="none" w:sz="0" w:space="0" w:color="auto"/>
        <w:left w:val="none" w:sz="0" w:space="0" w:color="auto"/>
        <w:bottom w:val="none" w:sz="0" w:space="0" w:color="auto"/>
        <w:right w:val="none" w:sz="0" w:space="0" w:color="auto"/>
      </w:divBdr>
      <w:divsChild>
        <w:div w:id="500198708">
          <w:marLeft w:val="0"/>
          <w:marRight w:val="0"/>
          <w:marTop w:val="0"/>
          <w:marBottom w:val="0"/>
          <w:divBdr>
            <w:top w:val="none" w:sz="0" w:space="0" w:color="auto"/>
            <w:left w:val="none" w:sz="0" w:space="0" w:color="auto"/>
            <w:bottom w:val="none" w:sz="0" w:space="0" w:color="auto"/>
            <w:right w:val="none" w:sz="0" w:space="0" w:color="auto"/>
          </w:divBdr>
          <w:divsChild>
            <w:div w:id="500198683">
              <w:marLeft w:val="0"/>
              <w:marRight w:val="0"/>
              <w:marTop w:val="0"/>
              <w:marBottom w:val="0"/>
              <w:divBdr>
                <w:top w:val="none" w:sz="0" w:space="0" w:color="auto"/>
                <w:left w:val="none" w:sz="0" w:space="0" w:color="auto"/>
                <w:bottom w:val="none" w:sz="0" w:space="0" w:color="auto"/>
                <w:right w:val="none" w:sz="0" w:space="0" w:color="auto"/>
              </w:divBdr>
              <w:divsChild>
                <w:div w:id="500198676">
                  <w:marLeft w:val="0"/>
                  <w:marRight w:val="0"/>
                  <w:marTop w:val="0"/>
                  <w:marBottom w:val="0"/>
                  <w:divBdr>
                    <w:top w:val="none" w:sz="0" w:space="0" w:color="auto"/>
                    <w:left w:val="none" w:sz="0" w:space="0" w:color="auto"/>
                    <w:bottom w:val="none" w:sz="0" w:space="0" w:color="auto"/>
                    <w:right w:val="none" w:sz="0" w:space="0" w:color="auto"/>
                  </w:divBdr>
                  <w:divsChild>
                    <w:div w:id="500198684">
                      <w:marLeft w:val="0"/>
                      <w:marRight w:val="0"/>
                      <w:marTop w:val="0"/>
                      <w:marBottom w:val="0"/>
                      <w:divBdr>
                        <w:top w:val="none" w:sz="0" w:space="0" w:color="auto"/>
                        <w:left w:val="none" w:sz="0" w:space="0" w:color="auto"/>
                        <w:bottom w:val="none" w:sz="0" w:space="0" w:color="auto"/>
                        <w:right w:val="none" w:sz="0" w:space="0" w:color="auto"/>
                      </w:divBdr>
                      <w:divsChild>
                        <w:div w:id="500198641">
                          <w:marLeft w:val="0"/>
                          <w:marRight w:val="0"/>
                          <w:marTop w:val="0"/>
                          <w:marBottom w:val="0"/>
                          <w:divBdr>
                            <w:top w:val="none" w:sz="0" w:space="0" w:color="auto"/>
                            <w:left w:val="none" w:sz="0" w:space="0" w:color="auto"/>
                            <w:bottom w:val="none" w:sz="0" w:space="0" w:color="auto"/>
                            <w:right w:val="none" w:sz="0" w:space="0" w:color="auto"/>
                          </w:divBdr>
                          <w:divsChild>
                            <w:div w:id="500198635">
                              <w:marLeft w:val="0"/>
                              <w:marRight w:val="0"/>
                              <w:marTop w:val="0"/>
                              <w:marBottom w:val="0"/>
                              <w:divBdr>
                                <w:top w:val="none" w:sz="0" w:space="0" w:color="auto"/>
                                <w:left w:val="none" w:sz="0" w:space="0" w:color="auto"/>
                                <w:bottom w:val="none" w:sz="0" w:space="0" w:color="auto"/>
                                <w:right w:val="none" w:sz="0" w:space="0" w:color="auto"/>
                              </w:divBdr>
                            </w:div>
                            <w:div w:id="500198637">
                              <w:marLeft w:val="0"/>
                              <w:marRight w:val="0"/>
                              <w:marTop w:val="0"/>
                              <w:marBottom w:val="0"/>
                              <w:divBdr>
                                <w:top w:val="none" w:sz="0" w:space="0" w:color="auto"/>
                                <w:left w:val="none" w:sz="0" w:space="0" w:color="auto"/>
                                <w:bottom w:val="none" w:sz="0" w:space="0" w:color="auto"/>
                                <w:right w:val="none" w:sz="0" w:space="0" w:color="auto"/>
                              </w:divBdr>
                            </w:div>
                            <w:div w:id="500198642">
                              <w:marLeft w:val="0"/>
                              <w:marRight w:val="0"/>
                              <w:marTop w:val="0"/>
                              <w:marBottom w:val="0"/>
                              <w:divBdr>
                                <w:top w:val="none" w:sz="0" w:space="0" w:color="auto"/>
                                <w:left w:val="none" w:sz="0" w:space="0" w:color="auto"/>
                                <w:bottom w:val="none" w:sz="0" w:space="0" w:color="auto"/>
                                <w:right w:val="none" w:sz="0" w:space="0" w:color="auto"/>
                              </w:divBdr>
                            </w:div>
                            <w:div w:id="500198647">
                              <w:marLeft w:val="0"/>
                              <w:marRight w:val="0"/>
                              <w:marTop w:val="0"/>
                              <w:marBottom w:val="0"/>
                              <w:divBdr>
                                <w:top w:val="none" w:sz="0" w:space="0" w:color="auto"/>
                                <w:left w:val="none" w:sz="0" w:space="0" w:color="auto"/>
                                <w:bottom w:val="none" w:sz="0" w:space="0" w:color="auto"/>
                                <w:right w:val="none" w:sz="0" w:space="0" w:color="auto"/>
                              </w:divBdr>
                            </w:div>
                            <w:div w:id="500198651">
                              <w:marLeft w:val="0"/>
                              <w:marRight w:val="0"/>
                              <w:marTop w:val="0"/>
                              <w:marBottom w:val="0"/>
                              <w:divBdr>
                                <w:top w:val="none" w:sz="0" w:space="0" w:color="auto"/>
                                <w:left w:val="none" w:sz="0" w:space="0" w:color="auto"/>
                                <w:bottom w:val="none" w:sz="0" w:space="0" w:color="auto"/>
                                <w:right w:val="none" w:sz="0" w:space="0" w:color="auto"/>
                              </w:divBdr>
                            </w:div>
                            <w:div w:id="500198654">
                              <w:marLeft w:val="0"/>
                              <w:marRight w:val="0"/>
                              <w:marTop w:val="0"/>
                              <w:marBottom w:val="0"/>
                              <w:divBdr>
                                <w:top w:val="none" w:sz="0" w:space="0" w:color="auto"/>
                                <w:left w:val="none" w:sz="0" w:space="0" w:color="auto"/>
                                <w:bottom w:val="none" w:sz="0" w:space="0" w:color="auto"/>
                                <w:right w:val="none" w:sz="0" w:space="0" w:color="auto"/>
                              </w:divBdr>
                            </w:div>
                            <w:div w:id="500198655">
                              <w:marLeft w:val="0"/>
                              <w:marRight w:val="0"/>
                              <w:marTop w:val="0"/>
                              <w:marBottom w:val="0"/>
                              <w:divBdr>
                                <w:top w:val="none" w:sz="0" w:space="0" w:color="auto"/>
                                <w:left w:val="none" w:sz="0" w:space="0" w:color="auto"/>
                                <w:bottom w:val="none" w:sz="0" w:space="0" w:color="auto"/>
                                <w:right w:val="none" w:sz="0" w:space="0" w:color="auto"/>
                              </w:divBdr>
                            </w:div>
                            <w:div w:id="500198665">
                              <w:marLeft w:val="0"/>
                              <w:marRight w:val="0"/>
                              <w:marTop w:val="0"/>
                              <w:marBottom w:val="0"/>
                              <w:divBdr>
                                <w:top w:val="none" w:sz="0" w:space="0" w:color="auto"/>
                                <w:left w:val="none" w:sz="0" w:space="0" w:color="auto"/>
                                <w:bottom w:val="none" w:sz="0" w:space="0" w:color="auto"/>
                                <w:right w:val="none" w:sz="0" w:space="0" w:color="auto"/>
                              </w:divBdr>
                            </w:div>
                            <w:div w:id="500198666">
                              <w:marLeft w:val="0"/>
                              <w:marRight w:val="0"/>
                              <w:marTop w:val="0"/>
                              <w:marBottom w:val="0"/>
                              <w:divBdr>
                                <w:top w:val="none" w:sz="0" w:space="0" w:color="auto"/>
                                <w:left w:val="none" w:sz="0" w:space="0" w:color="auto"/>
                                <w:bottom w:val="none" w:sz="0" w:space="0" w:color="auto"/>
                                <w:right w:val="none" w:sz="0" w:space="0" w:color="auto"/>
                              </w:divBdr>
                            </w:div>
                            <w:div w:id="500198668">
                              <w:marLeft w:val="0"/>
                              <w:marRight w:val="0"/>
                              <w:marTop w:val="0"/>
                              <w:marBottom w:val="0"/>
                              <w:divBdr>
                                <w:top w:val="none" w:sz="0" w:space="0" w:color="auto"/>
                                <w:left w:val="none" w:sz="0" w:space="0" w:color="auto"/>
                                <w:bottom w:val="none" w:sz="0" w:space="0" w:color="auto"/>
                                <w:right w:val="none" w:sz="0" w:space="0" w:color="auto"/>
                              </w:divBdr>
                            </w:div>
                            <w:div w:id="500198670">
                              <w:marLeft w:val="0"/>
                              <w:marRight w:val="0"/>
                              <w:marTop w:val="0"/>
                              <w:marBottom w:val="0"/>
                              <w:divBdr>
                                <w:top w:val="none" w:sz="0" w:space="0" w:color="auto"/>
                                <w:left w:val="none" w:sz="0" w:space="0" w:color="auto"/>
                                <w:bottom w:val="none" w:sz="0" w:space="0" w:color="auto"/>
                                <w:right w:val="none" w:sz="0" w:space="0" w:color="auto"/>
                              </w:divBdr>
                            </w:div>
                            <w:div w:id="500198672">
                              <w:marLeft w:val="0"/>
                              <w:marRight w:val="0"/>
                              <w:marTop w:val="0"/>
                              <w:marBottom w:val="0"/>
                              <w:divBdr>
                                <w:top w:val="none" w:sz="0" w:space="0" w:color="auto"/>
                                <w:left w:val="none" w:sz="0" w:space="0" w:color="auto"/>
                                <w:bottom w:val="none" w:sz="0" w:space="0" w:color="auto"/>
                                <w:right w:val="none" w:sz="0" w:space="0" w:color="auto"/>
                              </w:divBdr>
                            </w:div>
                            <w:div w:id="500198677">
                              <w:marLeft w:val="0"/>
                              <w:marRight w:val="0"/>
                              <w:marTop w:val="0"/>
                              <w:marBottom w:val="0"/>
                              <w:divBdr>
                                <w:top w:val="none" w:sz="0" w:space="0" w:color="auto"/>
                                <w:left w:val="none" w:sz="0" w:space="0" w:color="auto"/>
                                <w:bottom w:val="none" w:sz="0" w:space="0" w:color="auto"/>
                                <w:right w:val="none" w:sz="0" w:space="0" w:color="auto"/>
                              </w:divBdr>
                            </w:div>
                            <w:div w:id="500198688">
                              <w:marLeft w:val="0"/>
                              <w:marRight w:val="0"/>
                              <w:marTop w:val="0"/>
                              <w:marBottom w:val="0"/>
                              <w:divBdr>
                                <w:top w:val="none" w:sz="0" w:space="0" w:color="auto"/>
                                <w:left w:val="none" w:sz="0" w:space="0" w:color="auto"/>
                                <w:bottom w:val="none" w:sz="0" w:space="0" w:color="auto"/>
                                <w:right w:val="none" w:sz="0" w:space="0" w:color="auto"/>
                              </w:divBdr>
                            </w:div>
                            <w:div w:id="500198689">
                              <w:marLeft w:val="0"/>
                              <w:marRight w:val="0"/>
                              <w:marTop w:val="0"/>
                              <w:marBottom w:val="0"/>
                              <w:divBdr>
                                <w:top w:val="none" w:sz="0" w:space="0" w:color="auto"/>
                                <w:left w:val="none" w:sz="0" w:space="0" w:color="auto"/>
                                <w:bottom w:val="none" w:sz="0" w:space="0" w:color="auto"/>
                                <w:right w:val="none" w:sz="0" w:space="0" w:color="auto"/>
                              </w:divBdr>
                            </w:div>
                            <w:div w:id="500198690">
                              <w:marLeft w:val="0"/>
                              <w:marRight w:val="0"/>
                              <w:marTop w:val="0"/>
                              <w:marBottom w:val="0"/>
                              <w:divBdr>
                                <w:top w:val="none" w:sz="0" w:space="0" w:color="auto"/>
                                <w:left w:val="none" w:sz="0" w:space="0" w:color="auto"/>
                                <w:bottom w:val="none" w:sz="0" w:space="0" w:color="auto"/>
                                <w:right w:val="none" w:sz="0" w:space="0" w:color="auto"/>
                              </w:divBdr>
                            </w:div>
                            <w:div w:id="500198694">
                              <w:marLeft w:val="0"/>
                              <w:marRight w:val="0"/>
                              <w:marTop w:val="0"/>
                              <w:marBottom w:val="0"/>
                              <w:divBdr>
                                <w:top w:val="none" w:sz="0" w:space="0" w:color="auto"/>
                                <w:left w:val="none" w:sz="0" w:space="0" w:color="auto"/>
                                <w:bottom w:val="none" w:sz="0" w:space="0" w:color="auto"/>
                                <w:right w:val="none" w:sz="0" w:space="0" w:color="auto"/>
                              </w:divBdr>
                            </w:div>
                            <w:div w:id="500198695">
                              <w:marLeft w:val="0"/>
                              <w:marRight w:val="0"/>
                              <w:marTop w:val="0"/>
                              <w:marBottom w:val="0"/>
                              <w:divBdr>
                                <w:top w:val="none" w:sz="0" w:space="0" w:color="auto"/>
                                <w:left w:val="none" w:sz="0" w:space="0" w:color="auto"/>
                                <w:bottom w:val="none" w:sz="0" w:space="0" w:color="auto"/>
                                <w:right w:val="none" w:sz="0" w:space="0" w:color="auto"/>
                              </w:divBdr>
                            </w:div>
                            <w:div w:id="500198700">
                              <w:marLeft w:val="0"/>
                              <w:marRight w:val="0"/>
                              <w:marTop w:val="0"/>
                              <w:marBottom w:val="0"/>
                              <w:divBdr>
                                <w:top w:val="none" w:sz="0" w:space="0" w:color="auto"/>
                                <w:left w:val="none" w:sz="0" w:space="0" w:color="auto"/>
                                <w:bottom w:val="none" w:sz="0" w:space="0" w:color="auto"/>
                                <w:right w:val="none" w:sz="0" w:space="0" w:color="auto"/>
                              </w:divBdr>
                            </w:div>
                            <w:div w:id="500198703">
                              <w:marLeft w:val="0"/>
                              <w:marRight w:val="0"/>
                              <w:marTop w:val="0"/>
                              <w:marBottom w:val="0"/>
                              <w:divBdr>
                                <w:top w:val="none" w:sz="0" w:space="0" w:color="auto"/>
                                <w:left w:val="none" w:sz="0" w:space="0" w:color="auto"/>
                                <w:bottom w:val="none" w:sz="0" w:space="0" w:color="auto"/>
                                <w:right w:val="none" w:sz="0" w:space="0" w:color="auto"/>
                              </w:divBdr>
                            </w:div>
                            <w:div w:id="500198712">
                              <w:marLeft w:val="0"/>
                              <w:marRight w:val="0"/>
                              <w:marTop w:val="0"/>
                              <w:marBottom w:val="0"/>
                              <w:divBdr>
                                <w:top w:val="none" w:sz="0" w:space="0" w:color="auto"/>
                                <w:left w:val="none" w:sz="0" w:space="0" w:color="auto"/>
                                <w:bottom w:val="none" w:sz="0" w:space="0" w:color="auto"/>
                                <w:right w:val="none" w:sz="0" w:space="0" w:color="auto"/>
                              </w:divBdr>
                            </w:div>
                            <w:div w:id="5001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198680">
      <w:marLeft w:val="0"/>
      <w:marRight w:val="0"/>
      <w:marTop w:val="0"/>
      <w:marBottom w:val="0"/>
      <w:divBdr>
        <w:top w:val="none" w:sz="0" w:space="0" w:color="auto"/>
        <w:left w:val="none" w:sz="0" w:space="0" w:color="auto"/>
        <w:bottom w:val="none" w:sz="0" w:space="0" w:color="auto"/>
        <w:right w:val="none" w:sz="0" w:space="0" w:color="auto"/>
      </w:divBdr>
      <w:divsChild>
        <w:div w:id="500198704">
          <w:marLeft w:val="0"/>
          <w:marRight w:val="0"/>
          <w:marTop w:val="0"/>
          <w:marBottom w:val="0"/>
          <w:divBdr>
            <w:top w:val="none" w:sz="0" w:space="0" w:color="auto"/>
            <w:left w:val="none" w:sz="0" w:space="0" w:color="auto"/>
            <w:bottom w:val="none" w:sz="0" w:space="0" w:color="auto"/>
            <w:right w:val="none" w:sz="0" w:space="0" w:color="auto"/>
          </w:divBdr>
          <w:divsChild>
            <w:div w:id="500198649">
              <w:marLeft w:val="0"/>
              <w:marRight w:val="0"/>
              <w:marTop w:val="0"/>
              <w:marBottom w:val="0"/>
              <w:divBdr>
                <w:top w:val="none" w:sz="0" w:space="0" w:color="auto"/>
                <w:left w:val="none" w:sz="0" w:space="0" w:color="auto"/>
                <w:bottom w:val="none" w:sz="0" w:space="0" w:color="auto"/>
                <w:right w:val="none" w:sz="0" w:space="0" w:color="auto"/>
              </w:divBdr>
              <w:divsChild>
                <w:div w:id="500198706">
                  <w:marLeft w:val="0"/>
                  <w:marRight w:val="0"/>
                  <w:marTop w:val="0"/>
                  <w:marBottom w:val="0"/>
                  <w:divBdr>
                    <w:top w:val="none" w:sz="0" w:space="0" w:color="auto"/>
                    <w:left w:val="none" w:sz="0" w:space="0" w:color="auto"/>
                    <w:bottom w:val="none" w:sz="0" w:space="0" w:color="auto"/>
                    <w:right w:val="none" w:sz="0" w:space="0" w:color="auto"/>
                  </w:divBdr>
                  <w:divsChild>
                    <w:div w:id="500198660">
                      <w:marLeft w:val="0"/>
                      <w:marRight w:val="0"/>
                      <w:marTop w:val="0"/>
                      <w:marBottom w:val="0"/>
                      <w:divBdr>
                        <w:top w:val="none" w:sz="0" w:space="0" w:color="auto"/>
                        <w:left w:val="none" w:sz="0" w:space="0" w:color="auto"/>
                        <w:bottom w:val="none" w:sz="0" w:space="0" w:color="auto"/>
                        <w:right w:val="none" w:sz="0" w:space="0" w:color="auto"/>
                      </w:divBdr>
                      <w:divsChild>
                        <w:div w:id="5001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s://onlineabd.de/online-abd/abd?DatumAuswahl=&amp;Kat=27581" TargetMode="External"/><Relationship Id="rId1827" Type="http://schemas.openxmlformats.org/officeDocument/2006/relationships/hyperlink" Target="https://onlineabd.de/images/Anlagen/Anl55LK.pdf" TargetMode="External"/><Relationship Id="rId21" Type="http://schemas.openxmlformats.org/officeDocument/2006/relationships/hyperlink" Target="https://onlineabd.de/online-abd/abd?Kat=28182&amp;DatumAuswahl=" TargetMode="External"/><Relationship Id="rId2089" Type="http://schemas.openxmlformats.org/officeDocument/2006/relationships/hyperlink" Target="https://onlineabd.de/online-abd/abd?DatumAuswahl=01.05.2015&amp;Kat=28051" TargetMode="External"/><Relationship Id="rId170" Type="http://schemas.openxmlformats.org/officeDocument/2006/relationships/hyperlink" Target="https://onlineabd.de/online-abd/abd?DatumAuswahl=01.05.2015&amp;Kat=28884" TargetMode="External"/><Relationship Id="rId268" Type="http://schemas.openxmlformats.org/officeDocument/2006/relationships/hyperlink" Target="https://www.gesetze-im-internet.de/stgb/BJNR001270871.html" TargetMode="External"/><Relationship Id="rId475" Type="http://schemas.openxmlformats.org/officeDocument/2006/relationships/hyperlink" Target="https://onlineabd.de/online-abd/abd?DatumAuswahl=01.05.2015&amp;Kat=28189" TargetMode="External"/><Relationship Id="rId682" Type="http://schemas.openxmlformats.org/officeDocument/2006/relationships/hyperlink" Target="http://www.gesetze-im-internet.de/sgb_4/index.html" TargetMode="External"/><Relationship Id="rId128" Type="http://schemas.openxmlformats.org/officeDocument/2006/relationships/hyperlink" Target="https://onlineabd.de/online-abd/abd?DatumAuswahl=01.05.2015&amp;Kat=27039&amp;Itemid=101" TargetMode="External"/><Relationship Id="rId335" Type="http://schemas.openxmlformats.org/officeDocument/2006/relationships/hyperlink" Target="https://onlineabd.de/online-abd/abd?Kat=27356&amp;DatumAuswahl=" TargetMode="External"/><Relationship Id="rId542" Type="http://schemas.openxmlformats.org/officeDocument/2006/relationships/hyperlink" Target="https://onlineabd.de/online-abd/abd?Kat=27179&amp;DatumAuswahl=31.12.2016" TargetMode="External"/><Relationship Id="rId987" Type="http://schemas.openxmlformats.org/officeDocument/2006/relationships/hyperlink" Target="https://www.gesetze-im-internet.de/sgb_6/__168.html" TargetMode="External"/><Relationship Id="rId1172" Type="http://schemas.openxmlformats.org/officeDocument/2006/relationships/hyperlink" Target="https://onlineabd.de/online-abd/abd?DatumAuswahl=&amp;Kat=27459" TargetMode="External"/><Relationship Id="rId2016" Type="http://schemas.openxmlformats.org/officeDocument/2006/relationships/hyperlink" Target="https://onlineabd.de/online-abd/abd?DatumAuswahl=01.05.2015&amp;Kat=28044" TargetMode="External"/><Relationship Id="rId402" Type="http://schemas.openxmlformats.org/officeDocument/2006/relationships/hyperlink" Target="https://onlineabd.de/online-abd/abd?DatumAuswahl=01.05.2015&amp;Kat=28236" TargetMode="External"/><Relationship Id="rId847" Type="http://schemas.openxmlformats.org/officeDocument/2006/relationships/hyperlink" Target="https://onlineabd.de/online-abd/abd?Kat=27013&amp;DatumAuswahl=" TargetMode="External"/><Relationship Id="rId1032" Type="http://schemas.openxmlformats.org/officeDocument/2006/relationships/hyperlink" Target="https://www.gesetze-im-internet.de/sgb_9_2018/__2.html" TargetMode="External"/><Relationship Id="rId1477" Type="http://schemas.openxmlformats.org/officeDocument/2006/relationships/hyperlink" Target="http://bundesrecht.juris.de/alttzg_1996/" TargetMode="External"/><Relationship Id="rId1684" Type="http://schemas.openxmlformats.org/officeDocument/2006/relationships/hyperlink" Target="https://onlineabd.de/online-abd/abd?DatumAuswahl=&amp;Kat=27039" TargetMode="External"/><Relationship Id="rId1891" Type="http://schemas.openxmlformats.org/officeDocument/2006/relationships/hyperlink" Target="http://bundesrecht.juris.de/sgb_5" TargetMode="External"/><Relationship Id="rId707" Type="http://schemas.openxmlformats.org/officeDocument/2006/relationships/hyperlink" Target="https://www.gesetze-im-internet.de/bkgg_1996/__4.html" TargetMode="External"/><Relationship Id="rId914" Type="http://schemas.openxmlformats.org/officeDocument/2006/relationships/hyperlink" Target="https://onlineabd.de/online-abd/abd?DatumAuswahl=01.05.2015&amp;Kat=27491" TargetMode="External"/><Relationship Id="rId1337" Type="http://schemas.openxmlformats.org/officeDocument/2006/relationships/hyperlink" Target="https://onlineabd.de/online-abd/abd?Kat=29793&amp;DatumAuswahl=" TargetMode="External"/><Relationship Id="rId1544" Type="http://schemas.openxmlformats.org/officeDocument/2006/relationships/hyperlink" Target="https://www.gesetze-im-internet.de/muschg_2018/__3.html" TargetMode="External"/><Relationship Id="rId1751" Type="http://schemas.openxmlformats.org/officeDocument/2006/relationships/hyperlink" Target="https://onlineabd.de/online-abd/abd?DatumAuswahl=&amp;Kat=27675" TargetMode="External"/><Relationship Id="rId1989" Type="http://schemas.openxmlformats.org/officeDocument/2006/relationships/hyperlink" Target="https://onlineabd.de/online-abd/abd?Kat=29457&amp;DatumAuswahl=" TargetMode="External"/><Relationship Id="rId43" Type="http://schemas.openxmlformats.org/officeDocument/2006/relationships/hyperlink" Target="https://onlineabd.de/online-abd/abd?DatumAuswahl=01.05.2015&amp;Kat=28188" TargetMode="External"/><Relationship Id="rId1404" Type="http://schemas.openxmlformats.org/officeDocument/2006/relationships/hyperlink" Target="https://onlineabd.de/online-abd/abd?DatumAuswahl=&amp;Kat=27557" TargetMode="External"/><Relationship Id="rId1611" Type="http://schemas.openxmlformats.org/officeDocument/2006/relationships/hyperlink" Target="http://onlineabd.de/images/downloads/ABD_2005_09_30.pdf" TargetMode="External"/><Relationship Id="rId1849" Type="http://schemas.openxmlformats.org/officeDocument/2006/relationships/hyperlink" Target="http://bundesrecht.juris.de/sgb_5" TargetMode="External"/><Relationship Id="rId192" Type="http://schemas.openxmlformats.org/officeDocument/2006/relationships/hyperlink" Target="https://onlineabd.de/online-abd/abd?Kat=27034&amp;DatumAuswahl=" TargetMode="External"/><Relationship Id="rId1709" Type="http://schemas.openxmlformats.org/officeDocument/2006/relationships/hyperlink" Target="https://www.gesetze-im-internet.de/muschg_2018/__3.html" TargetMode="External"/><Relationship Id="rId1916" Type="http://schemas.openxmlformats.org/officeDocument/2006/relationships/hyperlink" Target="https://onlineabd.de/online-abd/abd?DatumAuswahl=01.05.2015&amp;Kat=28215" TargetMode="External"/><Relationship Id="rId497" Type="http://schemas.openxmlformats.org/officeDocument/2006/relationships/hyperlink" Target="http://www.gesetze-im-internet.de/bkgg_1996/__3.html" TargetMode="External"/><Relationship Id="rId2080" Type="http://schemas.openxmlformats.org/officeDocument/2006/relationships/hyperlink" Target="https://onlineabd.de/online-abd/abd?DatumAuswahl=&amp;Kat=28035" TargetMode="External"/><Relationship Id="rId357" Type="http://schemas.openxmlformats.org/officeDocument/2006/relationships/hyperlink" Target="http://bundesrecht.juris.de/sgb_4/__8.html" TargetMode="External"/><Relationship Id="rId1194" Type="http://schemas.openxmlformats.org/officeDocument/2006/relationships/hyperlink" Target="https://onlineabd.de/online-abd/abd?DatumAuswahl=&amp;Kat=27482" TargetMode="External"/><Relationship Id="rId2038" Type="http://schemas.openxmlformats.org/officeDocument/2006/relationships/hyperlink" Target="https://onlineabd.de/online-abd/abd?DatumAuswahl=01.05.2015&amp;Kat=28066" TargetMode="External"/><Relationship Id="rId217" Type="http://schemas.openxmlformats.org/officeDocument/2006/relationships/hyperlink" Target="https://onlineabd.de/online-abd/abd?Kat=27023&amp;DatumAuswahl=" TargetMode="External"/><Relationship Id="rId564" Type="http://schemas.openxmlformats.org/officeDocument/2006/relationships/hyperlink" Target="https://onlineabd.de/online-abd/abd?Kat=27393&amp;DatumAuswahl=" TargetMode="External"/><Relationship Id="rId771" Type="http://schemas.openxmlformats.org/officeDocument/2006/relationships/hyperlink" Target="http://bundesrecht.juris.de/sgb_4" TargetMode="External"/><Relationship Id="rId869" Type="http://schemas.openxmlformats.org/officeDocument/2006/relationships/hyperlink" Target="http://www.gesetze-bayern.de/Content/Document/BayBesG-G2" TargetMode="External"/><Relationship Id="rId1499" Type="http://schemas.openxmlformats.org/officeDocument/2006/relationships/hyperlink" Target="https://onlineabd.de/online-abd/abd?DatumAuswahl=&amp;Kat=27559" TargetMode="External"/><Relationship Id="rId424" Type="http://schemas.openxmlformats.org/officeDocument/2006/relationships/hyperlink" Target="https://onlineabd.de/online-abd/abd?DatumAuswahl=01.05.2015&amp;Kat=28236" TargetMode="External"/><Relationship Id="rId631" Type="http://schemas.openxmlformats.org/officeDocument/2006/relationships/hyperlink" Target="https://onlineabd.de/online-abd/abd?Kat=28183&amp;DatumAuswahl=" TargetMode="External"/><Relationship Id="rId729" Type="http://schemas.openxmlformats.org/officeDocument/2006/relationships/hyperlink" Target="https://www.gesetze-im-internet.de/sgb_9_2018/" TargetMode="External"/><Relationship Id="rId1054" Type="http://schemas.openxmlformats.org/officeDocument/2006/relationships/hyperlink" Target="http://www.gesetze-bayern.de/Content/Document/BayLlbG-G4" TargetMode="External"/><Relationship Id="rId1261" Type="http://schemas.openxmlformats.org/officeDocument/2006/relationships/hyperlink" Target="http://bundesrecht.juris.de/sgb_4/__7b.html" TargetMode="External"/><Relationship Id="rId1359" Type="http://schemas.openxmlformats.org/officeDocument/2006/relationships/hyperlink" Target="https://onlineabd.de/online-abd/abd?Kat=27534&amp;DatumAuswahl=" TargetMode="External"/><Relationship Id="rId2105" Type="http://schemas.openxmlformats.org/officeDocument/2006/relationships/hyperlink" Target="https://onlineabd.de/online-abd/abd?DatumAuswahl=01.05.2015&amp;Kat=28060" TargetMode="External"/><Relationship Id="rId936" Type="http://schemas.openxmlformats.org/officeDocument/2006/relationships/hyperlink" Target="https://onlineabd.de/online-abd/abd?DatumAuswahl=01.05.2015&amp;Kat=27027" TargetMode="External"/><Relationship Id="rId1121" Type="http://schemas.openxmlformats.org/officeDocument/2006/relationships/hyperlink" Target="https://onlineabd.de/online-abd/abd?DatumAuswahl=&amp;Kat=27328&amp;SubmitDatum=Anzeige" TargetMode="External"/><Relationship Id="rId1219" Type="http://schemas.openxmlformats.org/officeDocument/2006/relationships/hyperlink" Target="https://onlineabd.de/online-abd/abd?DatumAuswahl=&amp;Kat=27042" TargetMode="External"/><Relationship Id="rId1566" Type="http://schemas.openxmlformats.org/officeDocument/2006/relationships/hyperlink" Target="https://onlineabd.de/online-abd/abd?Kat=27039&amp;DatumAuswahl=" TargetMode="External"/><Relationship Id="rId1773" Type="http://schemas.openxmlformats.org/officeDocument/2006/relationships/hyperlink" Target="https://onlineabd.de/images/downloads/Koda_Nr_109.pdf" TargetMode="External"/><Relationship Id="rId1980" Type="http://schemas.openxmlformats.org/officeDocument/2006/relationships/hyperlink" Target="https://onlineabd.de/online-abd/abd?Kat=27851&amp;DatumAuswahl=" TargetMode="External"/><Relationship Id="rId65" Type="http://schemas.openxmlformats.org/officeDocument/2006/relationships/hyperlink" Target="http://onlineabd.de/28152-abd/d/d-6/d-6-5/28528-d-6-5-2007-09-01-2007-07-11" TargetMode="External"/><Relationship Id="rId1426" Type="http://schemas.openxmlformats.org/officeDocument/2006/relationships/hyperlink" Target="https://onlineabd.de/online-abd/abd?DatumAuswahl=&amp;Kat=27581" TargetMode="External"/><Relationship Id="rId1633" Type="http://schemas.openxmlformats.org/officeDocument/2006/relationships/hyperlink" Target="http://onlineabd.de/images/downloads/ABD_2005_09_30.pdf" TargetMode="External"/><Relationship Id="rId1840" Type="http://schemas.openxmlformats.org/officeDocument/2006/relationships/hyperlink" Target="https://onlineabd.de/online-abd/abd?DatumAuswahl=01.05.2015&amp;Kat=27737" TargetMode="External"/><Relationship Id="rId1700" Type="http://schemas.openxmlformats.org/officeDocument/2006/relationships/hyperlink" Target="https://onlineabd.de/online-abd/abd?DatumAuswahl=&amp;Kat=27672" TargetMode="External"/><Relationship Id="rId1938" Type="http://schemas.openxmlformats.org/officeDocument/2006/relationships/hyperlink" Target="https://www.gesetze-im-internet.de/sgb_7/__22.html" TargetMode="External"/><Relationship Id="rId281" Type="http://schemas.openxmlformats.org/officeDocument/2006/relationships/hyperlink" Target="https://www.gesetze-im-internet.de/hrg/__1.html" TargetMode="External"/><Relationship Id="rId141" Type="http://schemas.openxmlformats.org/officeDocument/2006/relationships/hyperlink" Target="https://onlineabd.de/online-abd/abd?DatumAuswahl=01.05.2015&amp;Kat=27055" TargetMode="External"/><Relationship Id="rId379" Type="http://schemas.openxmlformats.org/officeDocument/2006/relationships/hyperlink" Target="https://onlineabd.de/online-abd/abd?DatumAuswahl=01.05.2015&amp;Kat=28190&amp;Itemid=101" TargetMode="External"/><Relationship Id="rId586" Type="http://schemas.openxmlformats.org/officeDocument/2006/relationships/hyperlink" Target="https://onlineabd.de/online-abd/abd?DatumAuswahl=01.05.2015&amp;Kat=29016&amp;Itemid=101" TargetMode="External"/><Relationship Id="rId793" Type="http://schemas.openxmlformats.org/officeDocument/2006/relationships/hyperlink" Target="http://www.gesetze-bayern.de/jportal/portal/page/bshttp:/www.gesetze-bayern.de/Content/Document/BayBesGhttp:/www.gesetze-bayern.de/Content/Document/BayBesG/true" TargetMode="External"/><Relationship Id="rId7" Type="http://schemas.openxmlformats.org/officeDocument/2006/relationships/footnotes" Target="footnotes.xml"/><Relationship Id="rId239" Type="http://schemas.openxmlformats.org/officeDocument/2006/relationships/hyperlink" Target="https://onlineabd.de/online-abd/abd?DatumAuswahl=01.05.2015&amp;Kat=27035" TargetMode="External"/><Relationship Id="rId446" Type="http://schemas.openxmlformats.org/officeDocument/2006/relationships/hyperlink" Target="https://onlineabd.de/online-abd/abd?DatumAuswahl=01.05.2015&amp;Kat=27034" TargetMode="External"/><Relationship Id="rId653" Type="http://schemas.openxmlformats.org/officeDocument/2006/relationships/hyperlink" Target="https://onlineabd.de/online-abd/abd?Kat=27102&amp;DatumAuswahl=" TargetMode="External"/><Relationship Id="rId1076" Type="http://schemas.openxmlformats.org/officeDocument/2006/relationships/hyperlink" Target="http://www.gesetze-bayern.de/Content/Document/BayBesG-G2" TargetMode="External"/><Relationship Id="rId1283" Type="http://schemas.openxmlformats.org/officeDocument/2006/relationships/hyperlink" Target="https://onlineabd.de/online-abd/abd?DatumAuswahl=&amp;Kat=27056" TargetMode="External"/><Relationship Id="rId1490" Type="http://schemas.openxmlformats.org/officeDocument/2006/relationships/hyperlink" Target="https://onlineabd.de/online-abd/abd?DatumAuswahl=&amp;Kat=27581" TargetMode="External"/><Relationship Id="rId306" Type="http://schemas.openxmlformats.org/officeDocument/2006/relationships/hyperlink" Target="https://www.gesetze-im-internet.de/sgb_9_2018/__2.html" TargetMode="External"/><Relationship Id="rId860" Type="http://schemas.openxmlformats.org/officeDocument/2006/relationships/hyperlink" Target="https://onlineabd.de/online-abd/abd?Kat=27479&amp;DatumAuswahl=" TargetMode="External"/><Relationship Id="rId958" Type="http://schemas.openxmlformats.org/officeDocument/2006/relationships/hyperlink" Target="http://www.gesetze-bayern.de/Content/Document/BayBesG/true" TargetMode="External"/><Relationship Id="rId1143" Type="http://schemas.openxmlformats.org/officeDocument/2006/relationships/hyperlink" Target="https://onlineabd.de/online-abd/abd?DatumAuswahl=&amp;Kat=28200&amp;SubmitDatum=Anzeige" TargetMode="External"/><Relationship Id="rId1588" Type="http://schemas.openxmlformats.org/officeDocument/2006/relationships/hyperlink" Target="http://bundesrecht.juris.de/vermbg_2/" TargetMode="External"/><Relationship Id="rId1795" Type="http://schemas.openxmlformats.org/officeDocument/2006/relationships/hyperlink" Target="https://onlineabd.de/images/downloads/Koda_Nr_87.pdf" TargetMode="External"/><Relationship Id="rId87" Type="http://schemas.openxmlformats.org/officeDocument/2006/relationships/hyperlink" Target="https://onlineabd.de/online-abd/abd?Kat=27030&amp;DatumAuswahl=" TargetMode="External"/><Relationship Id="rId513" Type="http://schemas.openxmlformats.org/officeDocument/2006/relationships/hyperlink" Target="https://onlineabd.de/online-abd/abd?DatumAuswahl=01.05.2015&amp;Kat=28167" TargetMode="External"/><Relationship Id="rId720" Type="http://schemas.openxmlformats.org/officeDocument/2006/relationships/hyperlink" Target="http://www.gesetze-im-internet.de/bukg_1990/__3.html" TargetMode="External"/><Relationship Id="rId818" Type="http://schemas.openxmlformats.org/officeDocument/2006/relationships/hyperlink" Target="http://bundesrecht.juris.de/sgb_3/__346.html" TargetMode="External"/><Relationship Id="rId1350" Type="http://schemas.openxmlformats.org/officeDocument/2006/relationships/hyperlink" Target="https://onlineabd.de/online-abd/abd?Kat=27544&amp;DatumAuswahl=" TargetMode="External"/><Relationship Id="rId1448" Type="http://schemas.openxmlformats.org/officeDocument/2006/relationships/hyperlink" Target="https://onlineabd.de/online-abd/abd?DatumAuswahl=&amp;Kat=27600" TargetMode="External"/><Relationship Id="rId1655" Type="http://schemas.openxmlformats.org/officeDocument/2006/relationships/hyperlink" Target="https://www.gesetze-im-internet.de/muschg_2018/__13.html" TargetMode="External"/><Relationship Id="rId1003" Type="http://schemas.openxmlformats.org/officeDocument/2006/relationships/hyperlink" Target="https://onlineabd.de/online-abd/abd?DatumAuswahl=01.05.2015&amp;Kat=28133" TargetMode="External"/><Relationship Id="rId1210" Type="http://schemas.openxmlformats.org/officeDocument/2006/relationships/hyperlink" Target="http://bundesrecht.juris.de/sgb_3" TargetMode="External"/><Relationship Id="rId1308" Type="http://schemas.openxmlformats.org/officeDocument/2006/relationships/hyperlink" Target="https://onlineabd.de/online-abd/abd?DatumAuswahl=&amp;Kat=28170" TargetMode="External"/><Relationship Id="rId1862" Type="http://schemas.openxmlformats.org/officeDocument/2006/relationships/hyperlink" Target="http://www.gesetze-bayern.de/Content/Document/BayBhV?AspxAutoDetectCookieSupport=1" TargetMode="External"/><Relationship Id="rId1515" Type="http://schemas.openxmlformats.org/officeDocument/2006/relationships/hyperlink" Target="http://bundesrecht.juris.de/betravg/" TargetMode="External"/><Relationship Id="rId1722" Type="http://schemas.openxmlformats.org/officeDocument/2006/relationships/hyperlink" Target="https://onlineabd.de/online-abd/abd?DatumAuswahl=&amp;Kat=27009" TargetMode="External"/><Relationship Id="rId14" Type="http://schemas.openxmlformats.org/officeDocument/2006/relationships/footer" Target="footer3.xml"/><Relationship Id="rId163" Type="http://schemas.openxmlformats.org/officeDocument/2006/relationships/hyperlink" Target="https://onlineabd.de/online-abd/abd?DatumAuswahl=01.05.2015&amp;Kat=27061" TargetMode="External"/><Relationship Id="rId370" Type="http://schemas.openxmlformats.org/officeDocument/2006/relationships/hyperlink" Target="https://onlineabd.de/online-abd/abd?DatumAuswahl=01.05.2015&amp;Kat=27018&amp;Itemid=101" TargetMode="External"/><Relationship Id="rId2051" Type="http://schemas.openxmlformats.org/officeDocument/2006/relationships/hyperlink" Target="https://onlineabd.de/online-abd/abd?DatumAuswahl=01.05.2015&amp;Kat=29170" TargetMode="External"/><Relationship Id="rId230" Type="http://schemas.openxmlformats.org/officeDocument/2006/relationships/hyperlink" Target="https://onlineabd.de/online-abd/abd?Kat=27479&amp;DatumAuswahl=" TargetMode="External"/><Relationship Id="rId468" Type="http://schemas.openxmlformats.org/officeDocument/2006/relationships/hyperlink" Target="https://onlineabd.de/online-abd/abd?DatumAuswahl=01.05.2015&amp;Kat=28189" TargetMode="External"/><Relationship Id="rId675" Type="http://schemas.openxmlformats.org/officeDocument/2006/relationships/hyperlink" Target="http://www.gesetze-im-internet.de/sgb_7/__9.html" TargetMode="External"/><Relationship Id="rId882" Type="http://schemas.openxmlformats.org/officeDocument/2006/relationships/hyperlink" Target="http://www.gesetze-bayern.de/Content/Document/BayBesG" TargetMode="External"/><Relationship Id="rId1098" Type="http://schemas.openxmlformats.org/officeDocument/2006/relationships/hyperlink" Target="https://onlineabd.de/online-abd/abd?Kat=28133&amp;DatumAuswahl=" TargetMode="External"/><Relationship Id="rId328" Type="http://schemas.openxmlformats.org/officeDocument/2006/relationships/hyperlink" Target="https://www.gesetze-im-internet.de/hrg/__18.html" TargetMode="External"/><Relationship Id="rId535" Type="http://schemas.openxmlformats.org/officeDocument/2006/relationships/hyperlink" Target="https://onlineabd.de/online-abd/abd?DatumAuswahl=01.05.2015&amp;Kat=27007&amp;Itemid=101" TargetMode="External"/><Relationship Id="rId742" Type="http://schemas.openxmlformats.org/officeDocument/2006/relationships/hyperlink" Target="https://www.gesetze-im-internet.de/sgb_6/__236a.html" TargetMode="External"/><Relationship Id="rId1165" Type="http://schemas.openxmlformats.org/officeDocument/2006/relationships/hyperlink" Target="http://bundesrecht.juris.de/nachwg" TargetMode="External"/><Relationship Id="rId1372" Type="http://schemas.openxmlformats.org/officeDocument/2006/relationships/hyperlink" Target="https://onlineabd.de/online-abd/abd?Kat=27530&amp;DatumAuswahl=" TargetMode="External"/><Relationship Id="rId2009" Type="http://schemas.openxmlformats.org/officeDocument/2006/relationships/hyperlink" Target="file:///C:\abd%3fDatumAuswahl=01.05.2015&amp;Kat=28037" TargetMode="External"/><Relationship Id="rId602" Type="http://schemas.openxmlformats.org/officeDocument/2006/relationships/hyperlink" Target="https://onlineabd.de/online-abd/abd?DatumAuswahl=01.05.2015&amp;Kat=29016&amp;Itemid=101" TargetMode="External"/><Relationship Id="rId1025" Type="http://schemas.openxmlformats.org/officeDocument/2006/relationships/hyperlink" Target="http://www.gesetze-bayern.de/Content/Document/BayBesG-G2" TargetMode="External"/><Relationship Id="rId1232" Type="http://schemas.openxmlformats.org/officeDocument/2006/relationships/hyperlink" Target="https://onlineabd.de/online-abd/abd?DatumAuswahl=&amp;Kat=28152" TargetMode="External"/><Relationship Id="rId1677" Type="http://schemas.openxmlformats.org/officeDocument/2006/relationships/hyperlink" Target="https://onlineabd.de/online-abd/abd?DatumAuswahl=&amp;Kat=28239" TargetMode="External"/><Relationship Id="rId1884" Type="http://schemas.openxmlformats.org/officeDocument/2006/relationships/hyperlink" Target="https://onlineabd.de/online-abd/abd?DatumAuswahl=01.05.2015&amp;Kat=27062" TargetMode="External"/><Relationship Id="rId907" Type="http://schemas.openxmlformats.org/officeDocument/2006/relationships/hyperlink" Target="https://onlineabd.de/online-abd/abd?DatumAuswahl=01.05.2015&amp;Kat=28186" TargetMode="External"/><Relationship Id="rId1537" Type="http://schemas.openxmlformats.org/officeDocument/2006/relationships/hyperlink" Target="https://onlineabd.de/online-abd/abd?DatumAuswahl=&amp;Kat=27573" TargetMode="External"/><Relationship Id="rId1744" Type="http://schemas.openxmlformats.org/officeDocument/2006/relationships/hyperlink" Target="http://bundesrecht.juris.de/bbig_2005/__17.html" TargetMode="External"/><Relationship Id="rId1951" Type="http://schemas.openxmlformats.org/officeDocument/2006/relationships/hyperlink" Target="https://onlineabd.de/online-abd/abd?Kat=27821&amp;DatumAuswahl=" TargetMode="External"/><Relationship Id="rId36" Type="http://schemas.openxmlformats.org/officeDocument/2006/relationships/hyperlink" Target="https://onlineabd.de/online-abd/abd?DatumAuswahl=01.05.2015&amp;Kat=27472" TargetMode="External"/><Relationship Id="rId1604" Type="http://schemas.openxmlformats.org/officeDocument/2006/relationships/hyperlink" Target="http://onlineabd.de/images/downloads/ABD_2005_09_30.pdf" TargetMode="External"/><Relationship Id="rId185" Type="http://schemas.openxmlformats.org/officeDocument/2006/relationships/hyperlink" Target="https://onlineabd.de/online-abd/abd?Kat=27124&amp;DatumAuswahl=" TargetMode="External"/><Relationship Id="rId1811" Type="http://schemas.openxmlformats.org/officeDocument/2006/relationships/hyperlink" Target="https://onlineabd.de/images/Anlagen/Anl71.pdf" TargetMode="External"/><Relationship Id="rId1909" Type="http://schemas.openxmlformats.org/officeDocument/2006/relationships/hyperlink" Target="https://www.onlineabd.de/online-abd/abd?Kat=29929&amp;DatumAuswahl=" TargetMode="External"/><Relationship Id="rId392" Type="http://schemas.openxmlformats.org/officeDocument/2006/relationships/hyperlink" Target="https://onlineabd.de/online-abd/abd?DatumAuswahl=01.05.2015&amp;Kat=28098" TargetMode="External"/><Relationship Id="rId697" Type="http://schemas.openxmlformats.org/officeDocument/2006/relationships/hyperlink" Target="https://www.gesetze-im-internet.de/estg/__65.html" TargetMode="External"/><Relationship Id="rId2073" Type="http://schemas.openxmlformats.org/officeDocument/2006/relationships/hyperlink" Target="https://onlineabd.de/online-abd/abd?DatumAuswahl=01.05.2015&amp;Kat=28080" TargetMode="External"/><Relationship Id="rId252" Type="http://schemas.openxmlformats.org/officeDocument/2006/relationships/hyperlink" Target="https://onlineabd.de/online-abd/abd?DatumAuswahl=01.05.2015&amp;Kat=27035" TargetMode="External"/><Relationship Id="rId1187" Type="http://schemas.openxmlformats.org/officeDocument/2006/relationships/hyperlink" Target="https://onlineabd.de/online-abd/abd?DatumAuswahl=&amp;Kat=27482" TargetMode="External"/><Relationship Id="rId112" Type="http://schemas.openxmlformats.org/officeDocument/2006/relationships/hyperlink" Target="http://bundesrecht.juris.de/burlg" TargetMode="External"/><Relationship Id="rId557" Type="http://schemas.openxmlformats.org/officeDocument/2006/relationships/hyperlink" Target="https://onlineabd.de/online-abd/abd?DatumAuswahl=01.05.2015&amp;Kat=27211" TargetMode="External"/><Relationship Id="rId764" Type="http://schemas.openxmlformats.org/officeDocument/2006/relationships/hyperlink" Target="https://onlineabd.de/online-abd/abd?Kat=27007&amp;DatumAuswahl=" TargetMode="External"/><Relationship Id="rId971" Type="http://schemas.openxmlformats.org/officeDocument/2006/relationships/hyperlink" Target="https://onlineabd.de/online-abd/abd?DatumAuswahl=01.05.2015&amp;Kat=27039" TargetMode="External"/><Relationship Id="rId1394" Type="http://schemas.openxmlformats.org/officeDocument/2006/relationships/hyperlink" Target="https://onlineabd.de/online-abd/abd?Kat=27533&amp;DatumAuswahl=" TargetMode="External"/><Relationship Id="rId1699" Type="http://schemas.openxmlformats.org/officeDocument/2006/relationships/hyperlink" Target="https://onlineabd.de/online-abd/abd?DatumAuswahl=&amp;Kat=27662" TargetMode="External"/><Relationship Id="rId2000" Type="http://schemas.openxmlformats.org/officeDocument/2006/relationships/hyperlink" Target="https://onlineabd.de/online-abd/abd?Kat=29458&amp;DatumAuswahl=" TargetMode="External"/><Relationship Id="rId417" Type="http://schemas.openxmlformats.org/officeDocument/2006/relationships/hyperlink" Target="https://onlineabd.de/online-abd/abd?DatumAuswahl=01.05.2015&amp;Kat=27007" TargetMode="External"/><Relationship Id="rId624" Type="http://schemas.openxmlformats.org/officeDocument/2006/relationships/hyperlink" Target="https://onlineabd.de/online-abd/abd?Kat=28192&amp;DatumAuswahl=" TargetMode="External"/><Relationship Id="rId831" Type="http://schemas.openxmlformats.org/officeDocument/2006/relationships/hyperlink" Target="https://onlineabd.de/online-abd/abd?Kat=27058&amp;DatumAuswahl=" TargetMode="External"/><Relationship Id="rId1047" Type="http://schemas.openxmlformats.org/officeDocument/2006/relationships/hyperlink" Target="http://www.gesetze-bayern.de/Content/Document/BayBesG-G2" TargetMode="External"/><Relationship Id="rId1254" Type="http://schemas.openxmlformats.org/officeDocument/2006/relationships/hyperlink" Target="http://bundesrecht.juris.de/alttzg_1996/__6.html" TargetMode="External"/><Relationship Id="rId1461" Type="http://schemas.openxmlformats.org/officeDocument/2006/relationships/hyperlink" Target="https://onlineabd.de/online-abd/abd?DatumAuswahl=&amp;Kat=27614" TargetMode="External"/><Relationship Id="rId929" Type="http://schemas.openxmlformats.org/officeDocument/2006/relationships/hyperlink" Target="https://onlineabd.de/online-abd/abd?DatumAuswahl=01.05.2015&amp;Kat=27024" TargetMode="External"/><Relationship Id="rId1114" Type="http://schemas.openxmlformats.org/officeDocument/2006/relationships/hyperlink" Target="https://onlineabd.de/online-abd/abd?DatumAuswahl=&amp;Kat=27329&amp;SubmitDatum=Anzeige" TargetMode="External"/><Relationship Id="rId1321" Type="http://schemas.openxmlformats.org/officeDocument/2006/relationships/hyperlink" Target="https://onlineabd.de/online-abd/abd?DatumAuswahl=&amp;Kat=27210" TargetMode="External"/><Relationship Id="rId1559" Type="http://schemas.openxmlformats.org/officeDocument/2006/relationships/hyperlink" Target="http://www.vbl.de/SITEFORUM?&amp;t=/Default/gateway&amp;i=1113979957474&amp;b=1113979957474&amp;application=story&amp;active=no&amp;ParentID=1109003036960&amp;StoryID=1118767115902&amp;xref=http%3A//www.google.de/search%3Fq%3Dvbl+satzung%26hl%3Dde%26sa%3D2" TargetMode="External"/><Relationship Id="rId1766" Type="http://schemas.openxmlformats.org/officeDocument/2006/relationships/hyperlink" Target="https://onlineabd.de/images/Anlagen/Koda_Nr_116.pdf" TargetMode="External"/><Relationship Id="rId1973" Type="http://schemas.openxmlformats.org/officeDocument/2006/relationships/hyperlink" Target="https://onlineabd.de/online-abd/abd?Kat=27815&amp;DatumAuswahl=" TargetMode="External"/><Relationship Id="rId58" Type="http://schemas.openxmlformats.org/officeDocument/2006/relationships/hyperlink" Target="https://onlineabd.de/online-abd/abd?DatumAuswahl=01.05.2015&amp;Kat=28243" TargetMode="External"/><Relationship Id="rId1419" Type="http://schemas.openxmlformats.org/officeDocument/2006/relationships/hyperlink" Target="https://onlineabd.de/online-abd/abd?DatumAuswahl=&amp;Kat=27574" TargetMode="External"/><Relationship Id="rId1626" Type="http://schemas.openxmlformats.org/officeDocument/2006/relationships/hyperlink" Target="http://onlineabd.de/images/downloads/ABD_2005_09_30.pdf" TargetMode="External"/><Relationship Id="rId1833" Type="http://schemas.openxmlformats.org/officeDocument/2006/relationships/hyperlink" Target="https://www.gesetze-im-internet.de/bkgg_1996/index.html" TargetMode="External"/><Relationship Id="rId1900" Type="http://schemas.openxmlformats.org/officeDocument/2006/relationships/hyperlink" Target="http://www.gesetze-im-internet.de/sgb_5/" TargetMode="External"/><Relationship Id="rId2095" Type="http://schemas.openxmlformats.org/officeDocument/2006/relationships/hyperlink" Target="http://bundesrecht.juris.de/zpo/__41.html" TargetMode="External"/><Relationship Id="rId274" Type="http://schemas.openxmlformats.org/officeDocument/2006/relationships/hyperlink" Target="http://www.gesetze-im-internet.de/bzrg/__30a.html" TargetMode="External"/><Relationship Id="rId481" Type="http://schemas.openxmlformats.org/officeDocument/2006/relationships/hyperlink" Target="https://onlineabd.de/online-abd/abd?DatumAuswahl=01.05.2015&amp;Kat=28189" TargetMode="External"/><Relationship Id="rId134" Type="http://schemas.openxmlformats.org/officeDocument/2006/relationships/hyperlink" Target="https://onlineabd.de/online-abd/abd?DatumAuswahl=01.05.2015&amp;Kat=27039" TargetMode="External"/><Relationship Id="rId579" Type="http://schemas.openxmlformats.org/officeDocument/2006/relationships/hyperlink" Target="https://onlineabd.de/online-abd/abd?DatumAuswahl=01.05.2015&amp;Kat=27034&amp;Itemid=101" TargetMode="External"/><Relationship Id="rId786" Type="http://schemas.openxmlformats.org/officeDocument/2006/relationships/hyperlink" Target="https://onlineabd.de/online-abd/abd?DatumAuswahl=01.05.2015&amp;Kat=27472" TargetMode="External"/><Relationship Id="rId993" Type="http://schemas.openxmlformats.org/officeDocument/2006/relationships/hyperlink" Target="https://onlineabd.de/online-abd/abd?DatumAuswahl=01.05.2015&amp;Kat=27070" TargetMode="External"/><Relationship Id="rId341" Type="http://schemas.openxmlformats.org/officeDocument/2006/relationships/hyperlink" Target="https://onlineabd.de/online-abd/abd?Kat=27362&amp;DatumAuswahl=" TargetMode="External"/><Relationship Id="rId439" Type="http://schemas.openxmlformats.org/officeDocument/2006/relationships/hyperlink" Target="https://onlineabd.de/online-abd/abd?DatumAuswahl=01.05.2015&amp;Kat=27007" TargetMode="External"/><Relationship Id="rId646" Type="http://schemas.openxmlformats.org/officeDocument/2006/relationships/hyperlink" Target="https://onlineabd.de/online-abd/abd?Kat=27028&amp;DatumAuswahl=" TargetMode="External"/><Relationship Id="rId1069" Type="http://schemas.openxmlformats.org/officeDocument/2006/relationships/hyperlink" Target="http://www.gesetze-bayern.de/Content/Document/BayLlbG-G4" TargetMode="External"/><Relationship Id="rId1276" Type="http://schemas.openxmlformats.org/officeDocument/2006/relationships/hyperlink" Target="https://onlineabd.de/online-abd/abd?DatumAuswahl=&amp;Kat=28185" TargetMode="External"/><Relationship Id="rId1483" Type="http://schemas.openxmlformats.org/officeDocument/2006/relationships/hyperlink" Target="http://bundesrecht.juris.de/sgb_6/index.html" TargetMode="External"/><Relationship Id="rId2022" Type="http://schemas.openxmlformats.org/officeDocument/2006/relationships/hyperlink" Target="file:///C:\abd%3fDatumAuswahl=01.05.2015&amp;Kat=28050" TargetMode="External"/><Relationship Id="rId201" Type="http://schemas.openxmlformats.org/officeDocument/2006/relationships/hyperlink" Target="https://onlineabd.de/online-abd/abd?Kat=27034&amp;DatumAuswahl=" TargetMode="External"/><Relationship Id="rId506" Type="http://schemas.openxmlformats.org/officeDocument/2006/relationships/hyperlink" Target="https://onlineabd.de/online-abd/abd?DatumAuswahl=01.05.2015&amp;Kat=28167" TargetMode="External"/><Relationship Id="rId853" Type="http://schemas.openxmlformats.org/officeDocument/2006/relationships/hyperlink" Target="https://onlineabd.de/online-abd/abd?DatumAuswahl=&amp;Kat=27018&amp;SubmitDatum=Anzeige" TargetMode="External"/><Relationship Id="rId1136" Type="http://schemas.openxmlformats.org/officeDocument/2006/relationships/hyperlink" Target="https://onlineabd.de/online-abd/abd?DatumAuswahl=&amp;Kat=27202&amp;SubmitDatum=Anzeige" TargetMode="External"/><Relationship Id="rId1690" Type="http://schemas.openxmlformats.org/officeDocument/2006/relationships/hyperlink" Target="https://onlineabd.de/online-abd/abd?DatumAuswahl=&amp;Kat=29126" TargetMode="External"/><Relationship Id="rId1788" Type="http://schemas.openxmlformats.org/officeDocument/2006/relationships/hyperlink" Target="https://onlineabd.de/images/Anlagen/Koda_Nr_94.pdf" TargetMode="External"/><Relationship Id="rId1995" Type="http://schemas.openxmlformats.org/officeDocument/2006/relationships/hyperlink" Target="https://onlineabd.de/online-abd/abd?Kat=29451&amp;DatumAuswahl=" TargetMode="External"/><Relationship Id="rId713" Type="http://schemas.openxmlformats.org/officeDocument/2006/relationships/hyperlink" Target="http://www.gesetze-im-internet.de/sgb_1/index.html" TargetMode="External"/><Relationship Id="rId920" Type="http://schemas.openxmlformats.org/officeDocument/2006/relationships/hyperlink" Target="https://onlineabd.de/online-abd/abd?DatumAuswahl=01.05.2015&amp;Kat=27014" TargetMode="External"/><Relationship Id="rId1343" Type="http://schemas.openxmlformats.org/officeDocument/2006/relationships/hyperlink" Target="https://onlineabd.de/online-abd/abd?Kat=27531&amp;DatumAuswahl=" TargetMode="External"/><Relationship Id="rId1550" Type="http://schemas.openxmlformats.org/officeDocument/2006/relationships/hyperlink" Target="https://onlineabd.de/online-abd/abd?DatumAuswahl=&amp;Kat=27590" TargetMode="External"/><Relationship Id="rId1648" Type="http://schemas.openxmlformats.org/officeDocument/2006/relationships/hyperlink" Target="https://onlineabd.de/online-abd/abd?DatumAuswahl=&amp;Kat=27219" TargetMode="External"/><Relationship Id="rId1203" Type="http://schemas.openxmlformats.org/officeDocument/2006/relationships/hyperlink" Target="https://onlineabd.de/online-abd/abd?DatumAuswahl=&amp;Kat=27496" TargetMode="External"/><Relationship Id="rId1410" Type="http://schemas.openxmlformats.org/officeDocument/2006/relationships/hyperlink" Target="https://onlineabd.de/online-abd/abd?DatumAuswahl=&amp;Kat=27573" TargetMode="External"/><Relationship Id="rId1508" Type="http://schemas.openxmlformats.org/officeDocument/2006/relationships/hyperlink" Target="https://onlineabd.de/online-abd/abd?DatumAuswahl=&amp;Kat=27573" TargetMode="External"/><Relationship Id="rId1855" Type="http://schemas.openxmlformats.org/officeDocument/2006/relationships/hyperlink" Target="http://bundesrecht.juris.de/sgb_5" TargetMode="External"/><Relationship Id="rId1715" Type="http://schemas.openxmlformats.org/officeDocument/2006/relationships/hyperlink" Target="https://onlineabd.de/online-abd/abd?DatumAuswahl=&amp;Kat=27694" TargetMode="External"/><Relationship Id="rId1922" Type="http://schemas.openxmlformats.org/officeDocument/2006/relationships/hyperlink" Target="http://www.gesetze-bayern.de/Content/Document/BayEUG?hl=true" TargetMode="External"/><Relationship Id="rId296" Type="http://schemas.openxmlformats.org/officeDocument/2006/relationships/hyperlink" Target="https://www.gesetze-im-internet.de/sgb_9_2018/__2.html" TargetMode="External"/><Relationship Id="rId156" Type="http://schemas.openxmlformats.org/officeDocument/2006/relationships/hyperlink" Target="https://onlineabd.de/online-abd/abd?DatumAuswahl=01.05.2015&amp;Kat=27061" TargetMode="External"/><Relationship Id="rId363" Type="http://schemas.openxmlformats.org/officeDocument/2006/relationships/hyperlink" Target="https://onlineabd.de/online-abd/abd?DatumAuswahl=01.05.2015&amp;Kat=27161&amp;Itemid=101" TargetMode="External"/><Relationship Id="rId570" Type="http://schemas.openxmlformats.org/officeDocument/2006/relationships/hyperlink" Target="https://www.gesetze-im-internet.de/muschg_2018/__3.html" TargetMode="External"/><Relationship Id="rId2044" Type="http://schemas.openxmlformats.org/officeDocument/2006/relationships/hyperlink" Target="file:///C:\abd%3fDatumAuswahl=01.05.2015&amp;Kat=28072" TargetMode="External"/><Relationship Id="rId223" Type="http://schemas.openxmlformats.org/officeDocument/2006/relationships/hyperlink" Target="https://onlineabd.de/online-abd/abd?Kat=29382&amp;DatumAuswahl=" TargetMode="External"/><Relationship Id="rId430" Type="http://schemas.openxmlformats.org/officeDocument/2006/relationships/hyperlink" Target="https://onlineabd.de/online-abd/abd?DatumAuswahl=01.05.2015&amp;Kat=28236" TargetMode="External"/><Relationship Id="rId668" Type="http://schemas.openxmlformats.org/officeDocument/2006/relationships/hyperlink" Target="https://onlineabd.de/online-abd/abd?Kat=28188&amp;DatumAuswahl=31.12.2016" TargetMode="External"/><Relationship Id="rId875" Type="http://schemas.openxmlformats.org/officeDocument/2006/relationships/hyperlink" Target="http://www.gesetze-bayern.de/Content/Document/BayBesG" TargetMode="External"/><Relationship Id="rId1060" Type="http://schemas.openxmlformats.org/officeDocument/2006/relationships/hyperlink" Target="http://www.gesetze-bayern.de/Content/Document/BayBesG-G2" TargetMode="External"/><Relationship Id="rId1298" Type="http://schemas.openxmlformats.org/officeDocument/2006/relationships/hyperlink" Target="https://onlineabd.de/online-abd/abd?DatumAuswahl=&amp;Kat=27522" TargetMode="External"/><Relationship Id="rId2111" Type="http://schemas.openxmlformats.org/officeDocument/2006/relationships/hyperlink" Target="http://bundesrecht.juris.de/arbgg/__78.html" TargetMode="External"/><Relationship Id="rId528" Type="http://schemas.openxmlformats.org/officeDocument/2006/relationships/hyperlink" Target="https://onlineabd.de/online-abd/abd?DatumAuswahl=01.05.2015&amp;Kat=27058" TargetMode="External"/><Relationship Id="rId735" Type="http://schemas.openxmlformats.org/officeDocument/2006/relationships/hyperlink" Target="https://www.gesetze-im-internet.de/arbzg/" TargetMode="External"/><Relationship Id="rId942" Type="http://schemas.openxmlformats.org/officeDocument/2006/relationships/hyperlink" Target="http://www.gesetze-bayern.de/Content/Document/BayBesG-G2" TargetMode="External"/><Relationship Id="rId1158" Type="http://schemas.openxmlformats.org/officeDocument/2006/relationships/hyperlink" Target="https://onlineabd.de/online-abd/abd?DatumAuswahl=&amp;Kat=27049&amp;SubmitDatum=Anzeige" TargetMode="External"/><Relationship Id="rId1365" Type="http://schemas.openxmlformats.org/officeDocument/2006/relationships/hyperlink" Target="https://onlineabd.de/online-abd/abd?Kat=27533&amp;DatumAuswahl=" TargetMode="External"/><Relationship Id="rId1572" Type="http://schemas.openxmlformats.org/officeDocument/2006/relationships/hyperlink" Target="http://onlineabd.de/images/downloads/ABD_2013_01_01.pdf" TargetMode="External"/><Relationship Id="rId1018" Type="http://schemas.openxmlformats.org/officeDocument/2006/relationships/hyperlink" Target="https://onlineabd.de/online-abd/abd?DatumAuswahl=01.05.2015&amp;Kat=28132" TargetMode="External"/><Relationship Id="rId1225" Type="http://schemas.openxmlformats.org/officeDocument/2006/relationships/hyperlink" Target="https://onlineabd.de/online-abd/abd?DatumAuswahl=&amp;Kat=28150" TargetMode="External"/><Relationship Id="rId1432" Type="http://schemas.openxmlformats.org/officeDocument/2006/relationships/hyperlink" Target="https://onlineabd.de/online-abd/abd?DatumAuswahl=&amp;Kat=27587" TargetMode="External"/><Relationship Id="rId1877" Type="http://schemas.openxmlformats.org/officeDocument/2006/relationships/hyperlink" Target="http://bundesrecht.juris.de/sgb_5" TargetMode="External"/><Relationship Id="rId71" Type="http://schemas.openxmlformats.org/officeDocument/2006/relationships/hyperlink" Target="http://bundesrecht.juris.de/beeg/index.html" TargetMode="External"/><Relationship Id="rId802" Type="http://schemas.openxmlformats.org/officeDocument/2006/relationships/hyperlink" Target="https://onlineabd.de/online-abd/abd?DatumAuswahl=&amp;Kat=27026&amp;SubmitDatum=Anzeige" TargetMode="External"/><Relationship Id="rId1737" Type="http://schemas.openxmlformats.org/officeDocument/2006/relationships/hyperlink" Target="https://onlineabd.de/online-abd/abd?DatumAuswahl=&amp;Kat=27696" TargetMode="External"/><Relationship Id="rId1944" Type="http://schemas.openxmlformats.org/officeDocument/2006/relationships/hyperlink" Target="https://onlineabd.de/online-abd/abd?Kat=27823&amp;DatumAuswahl=" TargetMode="External"/><Relationship Id="rId29" Type="http://schemas.openxmlformats.org/officeDocument/2006/relationships/hyperlink" Target="https://onlineabd.de/online-abd/abd?DatumAuswahl=01.05.2015&amp;Kat=28182&amp;Itemid=101" TargetMode="External"/><Relationship Id="rId178" Type="http://schemas.openxmlformats.org/officeDocument/2006/relationships/hyperlink" Target="https://onlineabd.de/online-abd/abd?DatumAuswahl=01.05.2015&amp;Kat=27021" TargetMode="External"/><Relationship Id="rId1804" Type="http://schemas.openxmlformats.org/officeDocument/2006/relationships/hyperlink" Target="https://onlineabd.de/images/Anlagen/Koda_Nr_78.pdf" TargetMode="External"/><Relationship Id="rId385" Type="http://schemas.openxmlformats.org/officeDocument/2006/relationships/hyperlink" Target="https://onlineabd.de/online-abd/abd?DatumAuswahl=01.05.2015&amp;Kat=28092" TargetMode="External"/><Relationship Id="rId592" Type="http://schemas.openxmlformats.org/officeDocument/2006/relationships/hyperlink" Target="https://onlineabd.de/online-abd/abd?DatumAuswahl=01.05.2015&amp;Kat=29016&amp;Itemid=101" TargetMode="External"/><Relationship Id="rId2066" Type="http://schemas.openxmlformats.org/officeDocument/2006/relationships/hyperlink" Target="https://onlineabd.de/online-abd/abd?DatumAuswahl=01.05.2015&amp;Kat=27715" TargetMode="External"/><Relationship Id="rId245" Type="http://schemas.openxmlformats.org/officeDocument/2006/relationships/hyperlink" Target="https://onlineabd.de/online-abd/abd?DatumAuswahl=01.05.2015&amp;Kat=27210" TargetMode="External"/><Relationship Id="rId452" Type="http://schemas.openxmlformats.org/officeDocument/2006/relationships/hyperlink" Target="https://onlineabd.de/online-abd/abd?DatumAuswahl=01.05.2015&amp;Kat=28185" TargetMode="External"/><Relationship Id="rId897" Type="http://schemas.openxmlformats.org/officeDocument/2006/relationships/hyperlink" Target="https://www.onlineabd.de/online-abd/abd?Kat=27051&amp;DatumAuswahl=" TargetMode="External"/><Relationship Id="rId1082" Type="http://schemas.openxmlformats.org/officeDocument/2006/relationships/hyperlink" Target="http://www.gesetze-bayern.de/Content/Document/BayBesG-G2" TargetMode="External"/><Relationship Id="rId105" Type="http://schemas.openxmlformats.org/officeDocument/2006/relationships/hyperlink" Target="https://onlineabd.de/online-abd/abd?DatumAuswahl=01.05.2015&amp;Kat=27044" TargetMode="External"/><Relationship Id="rId312" Type="http://schemas.openxmlformats.org/officeDocument/2006/relationships/hyperlink" Target="https://www.gesetze-im-internet.de/sgb_9_2018/__2.html" TargetMode="External"/><Relationship Id="rId757" Type="http://schemas.openxmlformats.org/officeDocument/2006/relationships/hyperlink" Target="https://www.gesetze-im-internet.de/sgb_4/__8.html" TargetMode="External"/><Relationship Id="rId964" Type="http://schemas.openxmlformats.org/officeDocument/2006/relationships/hyperlink" Target="http://bundesrecht.juris.de/sgb_3/__346.html" TargetMode="External"/><Relationship Id="rId1387" Type="http://schemas.openxmlformats.org/officeDocument/2006/relationships/hyperlink" Target="https://onlineabd.de/online-abd/abd?Kat=29799&amp;DatumAuswahl=" TargetMode="External"/><Relationship Id="rId1594" Type="http://schemas.openxmlformats.org/officeDocument/2006/relationships/hyperlink" Target="http://onlineabd.de/images/downloads/ABD_2005_09_30.pdf" TargetMode="External"/><Relationship Id="rId93" Type="http://schemas.openxmlformats.org/officeDocument/2006/relationships/hyperlink" Target="https://onlineabd.de/online-abd/abd?DatumAuswahl=01.05.2015&amp;Kat=27433" TargetMode="External"/><Relationship Id="rId617" Type="http://schemas.openxmlformats.org/officeDocument/2006/relationships/hyperlink" Target="https://onlineabd.de/online-abd/abd?Kat=27034&amp;DatumAuswahl=" TargetMode="External"/><Relationship Id="rId824" Type="http://schemas.openxmlformats.org/officeDocument/2006/relationships/hyperlink" Target="https://onlineabd.de/online-abd/abd?DatumAuswahl=01.05.2015&amp;Kat=28236" TargetMode="External"/><Relationship Id="rId1247" Type="http://schemas.openxmlformats.org/officeDocument/2006/relationships/hyperlink" Target="https://onlineabd.de/online-abd/abd?DatumAuswahl=&amp;Kat=29301" TargetMode="External"/><Relationship Id="rId1454" Type="http://schemas.openxmlformats.org/officeDocument/2006/relationships/hyperlink" Target="https://www.onlineabd.de/online-abd/abd?Kat=27604&amp;DatumAuswahl=" TargetMode="External"/><Relationship Id="rId1661" Type="http://schemas.openxmlformats.org/officeDocument/2006/relationships/hyperlink" Target="https://onlineabd.de/online-abd/abd?DatumAuswahl=&amp;Kat=28178" TargetMode="External"/><Relationship Id="rId1899" Type="http://schemas.openxmlformats.org/officeDocument/2006/relationships/hyperlink" Target="http://www.gesetze-im-internet.de/sgb_5/" TargetMode="External"/><Relationship Id="rId1107" Type="http://schemas.openxmlformats.org/officeDocument/2006/relationships/hyperlink" Target="http://www.gesetze-bayern.de/Content/Document/BayLPO_I-111?AspxAutoDetectCookieSupport=1" TargetMode="External"/><Relationship Id="rId1314" Type="http://schemas.openxmlformats.org/officeDocument/2006/relationships/hyperlink" Target="https://onlineabd.de/online-abd/abd?DatumAuswahl=&amp;Kat=27221" TargetMode="External"/><Relationship Id="rId1521" Type="http://schemas.openxmlformats.org/officeDocument/2006/relationships/hyperlink" Target="https://onlineabd.de/online-abd/abd?DatumAuswahl=&amp;Kat=27573" TargetMode="External"/><Relationship Id="rId1759" Type="http://schemas.openxmlformats.org/officeDocument/2006/relationships/hyperlink" Target="https://onlineabd.de/images/Anlagen/KODA_Nr_122.pdf" TargetMode="External"/><Relationship Id="rId1966" Type="http://schemas.openxmlformats.org/officeDocument/2006/relationships/hyperlink" Target="https://www.gesetze-im-internet.de/bgb/__626.html" TargetMode="External"/><Relationship Id="rId1619" Type="http://schemas.openxmlformats.org/officeDocument/2006/relationships/hyperlink" Target="http://onlineabd.de/images/downloads/ABD_2005_09_30.pdf" TargetMode="External"/><Relationship Id="rId1826" Type="http://schemas.openxmlformats.org/officeDocument/2006/relationships/hyperlink" Target="https://onlineabd.de/images/Anlagen/Anl56.pdf" TargetMode="External"/><Relationship Id="rId20" Type="http://schemas.openxmlformats.org/officeDocument/2006/relationships/hyperlink" Target="https://onlineabd.de/online-abd/abd?DatumAuswahl=01.05.2015&amp;Kat=27013" TargetMode="External"/><Relationship Id="rId2088" Type="http://schemas.openxmlformats.org/officeDocument/2006/relationships/hyperlink" Target="https://onlineabd.de/online-abd/abd?DatumAuswahl=01.05.2015&amp;Kat=28050" TargetMode="External"/><Relationship Id="rId267" Type="http://schemas.openxmlformats.org/officeDocument/2006/relationships/hyperlink" Target="https://www.gesetze-im-internet.de/stgb/__231.html" TargetMode="External"/><Relationship Id="rId474" Type="http://schemas.openxmlformats.org/officeDocument/2006/relationships/hyperlink" Target="https://onlineabd.de/online-abd/abd?DatumAuswahl=01.05.2015&amp;Kat=28189" TargetMode="External"/><Relationship Id="rId127" Type="http://schemas.openxmlformats.org/officeDocument/2006/relationships/hyperlink" Target="http://www.gesetze-im-internet.de/sgb_5/index.html" TargetMode="External"/><Relationship Id="rId681" Type="http://schemas.openxmlformats.org/officeDocument/2006/relationships/hyperlink" Target="http://www.gesetze-im-internet.de/sgb_4/index.html" TargetMode="External"/><Relationship Id="rId779" Type="http://schemas.openxmlformats.org/officeDocument/2006/relationships/hyperlink" Target="https://onlineabd.de/online-abd/abd?DatumAuswahl=&amp;Kat=27023&amp;SubmitDatum=Anzeige" TargetMode="External"/><Relationship Id="rId986" Type="http://schemas.openxmlformats.org/officeDocument/2006/relationships/hyperlink" Target="https://onlineabd.de/online-abd/abd?DatumAuswahl=01.05.2015&amp;Kat=27061" TargetMode="External"/><Relationship Id="rId334" Type="http://schemas.openxmlformats.org/officeDocument/2006/relationships/hyperlink" Target="https://onlineabd.de/online-abd/abd?DatumAuswahl=01.05.2015&amp;Kat=27147" TargetMode="External"/><Relationship Id="rId541" Type="http://schemas.openxmlformats.org/officeDocument/2006/relationships/hyperlink" Target="https://onlineabd.de/online-abd/abd?Kat=27029&amp;DatumAuswahl=" TargetMode="External"/><Relationship Id="rId639" Type="http://schemas.openxmlformats.org/officeDocument/2006/relationships/hyperlink" Target="https://onlineabd.de/online-abd/abd?Kat=28090&amp;DatumAuswahl=31.12.2016" TargetMode="External"/><Relationship Id="rId1171" Type="http://schemas.openxmlformats.org/officeDocument/2006/relationships/hyperlink" Target="http://www.gesetze-bayern.de/Content/Document/BayAVKiBiG-16" TargetMode="External"/><Relationship Id="rId1269" Type="http://schemas.openxmlformats.org/officeDocument/2006/relationships/hyperlink" Target="http://bundesrecht.juris.de/sgb_4/__8.html" TargetMode="External"/><Relationship Id="rId1476" Type="http://schemas.openxmlformats.org/officeDocument/2006/relationships/hyperlink" Target="https://onlineabd.de/online-abd/abd?DatumAuswahl=&amp;Kat=27581" TargetMode="External"/><Relationship Id="rId2015" Type="http://schemas.openxmlformats.org/officeDocument/2006/relationships/hyperlink" Target="file:///C:\abd%3fDatumAuswahl=01.05.2015&amp;Kat=28043" TargetMode="External"/><Relationship Id="rId401" Type="http://schemas.openxmlformats.org/officeDocument/2006/relationships/hyperlink" Target="https://www.gesetze-im-internet.de/sgb_9_2018/" TargetMode="External"/><Relationship Id="rId846" Type="http://schemas.openxmlformats.org/officeDocument/2006/relationships/hyperlink" Target="https://onlineabd.de/online-abd/abd?Kat=28186&amp;DatumAuswahl=" TargetMode="External"/><Relationship Id="rId1031" Type="http://schemas.openxmlformats.org/officeDocument/2006/relationships/hyperlink" Target="https://www.gesetze-im-internet.de/sgb_9_2018/__2.html" TargetMode="External"/><Relationship Id="rId1129" Type="http://schemas.openxmlformats.org/officeDocument/2006/relationships/hyperlink" Target="https://onlineabd.de/online-abd/abd?DatumAuswahl=&amp;Kat=27329&amp;SubmitDatum=Anzeige" TargetMode="External"/><Relationship Id="rId1683" Type="http://schemas.openxmlformats.org/officeDocument/2006/relationships/hyperlink" Target="https://onlineabd.de/online-abd/abd?DatumAuswahl=&amp;Kat=27693" TargetMode="External"/><Relationship Id="rId1890" Type="http://schemas.openxmlformats.org/officeDocument/2006/relationships/hyperlink" Target="https://onlineabd.de/online-abd/abd?DatumAuswahl=01.05.2015&amp;Kat=27547" TargetMode="External"/><Relationship Id="rId1988" Type="http://schemas.openxmlformats.org/officeDocument/2006/relationships/hyperlink" Target="http://www.vatican.va/archive/DEU0036/__P2N.HTM" TargetMode="External"/><Relationship Id="rId706" Type="http://schemas.openxmlformats.org/officeDocument/2006/relationships/hyperlink" Target="https://www.gesetze-im-internet.de/bkgg_1996/__3.html" TargetMode="External"/><Relationship Id="rId913" Type="http://schemas.openxmlformats.org/officeDocument/2006/relationships/hyperlink" Target="https://onlineabd.de/online-abd/abd?DatumAuswahl=01.05.2015&amp;Kat=27493" TargetMode="External"/><Relationship Id="rId1336" Type="http://schemas.openxmlformats.org/officeDocument/2006/relationships/hyperlink" Target="http://gesetze-bayern.de/Content/Document/BayRKG-25" TargetMode="External"/><Relationship Id="rId1543" Type="http://schemas.openxmlformats.org/officeDocument/2006/relationships/hyperlink" Target="https://onlineabd.de/online-abd/abd?DatumAuswahl=&amp;Kat=27573" TargetMode="External"/><Relationship Id="rId1750" Type="http://schemas.openxmlformats.org/officeDocument/2006/relationships/hyperlink" Target="https://onlineabd.de/online-abd/abd?DatumAuswahl=&amp;Kat=27693" TargetMode="External"/><Relationship Id="rId42" Type="http://schemas.openxmlformats.org/officeDocument/2006/relationships/hyperlink" Target="https://onlineabd.de/online-abd/abd?DatumAuswahl=01.05.2015&amp;Kat=28192" TargetMode="External"/><Relationship Id="rId1403" Type="http://schemas.openxmlformats.org/officeDocument/2006/relationships/hyperlink" Target="https://onlineabd.de/online-abd/abd?DatumAuswahl=&amp;Kat=27557" TargetMode="External"/><Relationship Id="rId1610" Type="http://schemas.openxmlformats.org/officeDocument/2006/relationships/hyperlink" Target="http://onlineabd.de/images/downloads/ABD_2005_09_30.pdf" TargetMode="External"/><Relationship Id="rId1848" Type="http://schemas.openxmlformats.org/officeDocument/2006/relationships/hyperlink" Target="http://www.gesetze-bayern.de/Content/Document/BayBhV/true" TargetMode="External"/><Relationship Id="rId191" Type="http://schemas.openxmlformats.org/officeDocument/2006/relationships/hyperlink" Target="https://onlineabd.de/online-abd/abd?Kat=27124&amp;DatumAuswahl=" TargetMode="External"/><Relationship Id="rId1708" Type="http://schemas.openxmlformats.org/officeDocument/2006/relationships/hyperlink" Target="https://onlineabd.de/online-abd/abd?DatumAuswahl=&amp;Kat=27679" TargetMode="External"/><Relationship Id="rId1915" Type="http://schemas.openxmlformats.org/officeDocument/2006/relationships/hyperlink" Target="http://codex-iuris-canonici.de/indexdt.htm" TargetMode="External"/><Relationship Id="rId289" Type="http://schemas.openxmlformats.org/officeDocument/2006/relationships/hyperlink" Target="https://www.onlineabd.de/online-abd/abd?Kat=29839&amp;DatumAuswahl=" TargetMode="External"/><Relationship Id="rId496" Type="http://schemas.openxmlformats.org/officeDocument/2006/relationships/hyperlink" Target="http://www.gesetze-im-internet.de/estg/__65.html" TargetMode="External"/><Relationship Id="rId149" Type="http://schemas.openxmlformats.org/officeDocument/2006/relationships/hyperlink" Target="http://bundesrecht.juris.de/sgb_6/__236.html" TargetMode="External"/><Relationship Id="rId356" Type="http://schemas.openxmlformats.org/officeDocument/2006/relationships/hyperlink" Target="https://onlineabd.de/online-abd/abd?DatumAuswahl=01.05.2015&amp;Kat=27159" TargetMode="External"/><Relationship Id="rId563" Type="http://schemas.openxmlformats.org/officeDocument/2006/relationships/hyperlink" Target="https://onlineabd.de/online-abd/abd?DatumAuswahl=01.05.2015&amp;Kat=27212" TargetMode="External"/><Relationship Id="rId770" Type="http://schemas.openxmlformats.org/officeDocument/2006/relationships/hyperlink" Target="https://onlineabd.de/online-abd/abd?DatumAuswahl=01.05.2015&amp;Kat=27246" TargetMode="External"/><Relationship Id="rId1193" Type="http://schemas.openxmlformats.org/officeDocument/2006/relationships/hyperlink" Target="https://onlineabd.de/online-abd/abd?DatumAuswahl=&amp;Kat=27049" TargetMode="External"/><Relationship Id="rId2037" Type="http://schemas.openxmlformats.org/officeDocument/2006/relationships/hyperlink" Target="file:///C:\abd%3fDatumAuswahl=01.05.2015&amp;Kat=28065" TargetMode="External"/><Relationship Id="rId216" Type="http://schemas.openxmlformats.org/officeDocument/2006/relationships/hyperlink" Target="https://onlineabd.de/online-abd/abd?Kat=28182&amp;DatumAuswahl=" TargetMode="External"/><Relationship Id="rId423" Type="http://schemas.openxmlformats.org/officeDocument/2006/relationships/hyperlink" Target="https://onlineabd.de/online-abd/abd?DatumAuswahl=01.05.2015&amp;Kat=28235" TargetMode="External"/><Relationship Id="rId868" Type="http://schemas.openxmlformats.org/officeDocument/2006/relationships/hyperlink" Target="http://www.gesetze-bayern.de/Content/Document/BayLlbG-G4" TargetMode="External"/><Relationship Id="rId1053" Type="http://schemas.openxmlformats.org/officeDocument/2006/relationships/hyperlink" Target="http://www.gesetze-bayern.de/Content/Document/BayLlbG-G4" TargetMode="External"/><Relationship Id="rId1260" Type="http://schemas.openxmlformats.org/officeDocument/2006/relationships/hyperlink" Target="https://onlineabd.de/online-abd/abd?DatumAuswahl=&amp;Kat=29304" TargetMode="External"/><Relationship Id="rId1498" Type="http://schemas.openxmlformats.org/officeDocument/2006/relationships/hyperlink" Target="http://bundesrecht.juris.de/sgb_6/index.html" TargetMode="External"/><Relationship Id="rId2104" Type="http://schemas.openxmlformats.org/officeDocument/2006/relationships/hyperlink" Target="https://onlineabd.de/online-abd/abd?DatumAuswahl=01.05.2015&amp;Kat=28035" TargetMode="External"/><Relationship Id="rId630" Type="http://schemas.openxmlformats.org/officeDocument/2006/relationships/hyperlink" Target="https://onlineabd.de/online-abd/abd?Kat=29027&amp;DatumAuswahl=" TargetMode="External"/><Relationship Id="rId728" Type="http://schemas.openxmlformats.org/officeDocument/2006/relationships/hyperlink" Target="https://www.gesetze-im-internet.de/sgb_9_2018/" TargetMode="External"/><Relationship Id="rId935" Type="http://schemas.openxmlformats.org/officeDocument/2006/relationships/hyperlink" Target="https://onlineabd.de/online-abd/abd?DatumAuswahl=01.05.2015&amp;Kat=27472" TargetMode="External"/><Relationship Id="rId1358" Type="http://schemas.openxmlformats.org/officeDocument/2006/relationships/hyperlink" Target="https://onlineabd.de/online-abd/abd?Kat=27533&amp;DatumAuswahl=" TargetMode="External"/><Relationship Id="rId1565" Type="http://schemas.openxmlformats.org/officeDocument/2006/relationships/hyperlink" Target="https://www.gesetze-im-internet.de/muschg_2018/__14.html" TargetMode="External"/><Relationship Id="rId1772" Type="http://schemas.openxmlformats.org/officeDocument/2006/relationships/hyperlink" Target="https://onlineabd.de/images/downloads/Koda_Nr_110.pdf" TargetMode="External"/><Relationship Id="rId64" Type="http://schemas.openxmlformats.org/officeDocument/2006/relationships/hyperlink" Target="http://onlineabd.de/28152-abd/d/d-6/d-6-5/28528-d-6-5-2007-09-01-2007-07-11" TargetMode="External"/><Relationship Id="rId1120" Type="http://schemas.openxmlformats.org/officeDocument/2006/relationships/hyperlink" Target="https://onlineabd.de/online-abd/abd?DatumAuswahl=&amp;Kat=27048&amp;SubmitDatum=Anzeige" TargetMode="External"/><Relationship Id="rId1218" Type="http://schemas.openxmlformats.org/officeDocument/2006/relationships/hyperlink" Target="http://onlineabd.de/images/downloads/ABD_2005_09_30.pdf" TargetMode="External"/><Relationship Id="rId1425" Type="http://schemas.openxmlformats.org/officeDocument/2006/relationships/hyperlink" Target="https://onlineabd.de/online-abd/abd?DatumAuswahl=&amp;Kat=27581" TargetMode="External"/><Relationship Id="rId1632" Type="http://schemas.openxmlformats.org/officeDocument/2006/relationships/hyperlink" Target="http://onlineabd.de/images/downloads/ABD_2005_09_30.pdf" TargetMode="External"/><Relationship Id="rId1937" Type="http://schemas.openxmlformats.org/officeDocument/2006/relationships/hyperlink" Target="http://www.gesetze-bayern.de/Content/Document/BayEUG-113" TargetMode="External"/><Relationship Id="rId280" Type="http://schemas.openxmlformats.org/officeDocument/2006/relationships/hyperlink" Target="https://onlineabd.de/online-abd/abd?Kat=27102&amp;DatumAuswahl=" TargetMode="External"/><Relationship Id="rId140" Type="http://schemas.openxmlformats.org/officeDocument/2006/relationships/hyperlink" Target="http://bundesrecht.juris.de/tzbfg/" TargetMode="External"/><Relationship Id="rId378" Type="http://schemas.openxmlformats.org/officeDocument/2006/relationships/hyperlink" Target="https://onlineabd.de/online-abd/abd?DatumAuswahl=01.05.2015&amp;Kat=28189&amp;Itemid=101" TargetMode="External"/><Relationship Id="rId585" Type="http://schemas.openxmlformats.org/officeDocument/2006/relationships/hyperlink" Target="https://onlineabd.de/online-abd/abd?DatumAuswahl=01.05.2015&amp;Kat=29016&amp;Itemid=101" TargetMode="External"/><Relationship Id="rId792" Type="http://schemas.openxmlformats.org/officeDocument/2006/relationships/hyperlink" Target="http://www.gesetze-bayern.de/Content/Document/BayBesG/true" TargetMode="External"/><Relationship Id="rId2059" Type="http://schemas.openxmlformats.org/officeDocument/2006/relationships/hyperlink" Target="https://onlineabd.de/online-abd/abd?DatumAuswahl=01.05.2015&amp;Kat=28085" TargetMode="External"/><Relationship Id="rId6" Type="http://schemas.openxmlformats.org/officeDocument/2006/relationships/webSettings" Target="webSettings.xml"/><Relationship Id="rId238" Type="http://schemas.openxmlformats.org/officeDocument/2006/relationships/hyperlink" Target="https://onlineabd.de/online-abd/abd?DatumAuswahl=01.05.2015&amp;Kat=28178" TargetMode="External"/><Relationship Id="rId445" Type="http://schemas.openxmlformats.org/officeDocument/2006/relationships/hyperlink" Target="https://onlineabd.de/online-abd/abd?DatumAuswahl=01.05.2015&amp;Kat=27007" TargetMode="External"/><Relationship Id="rId652" Type="http://schemas.openxmlformats.org/officeDocument/2006/relationships/hyperlink" Target="https://onlineabd.de/online-abd/abd?Kat=27219&amp;DatumAuswahl=31.12.2016" TargetMode="External"/><Relationship Id="rId1075" Type="http://schemas.openxmlformats.org/officeDocument/2006/relationships/hyperlink" Target="https://www.gesetze-im-internet.de/sgb_9_2018/__2.html" TargetMode="External"/><Relationship Id="rId1282" Type="http://schemas.openxmlformats.org/officeDocument/2006/relationships/hyperlink" Target="https://onlineabd.de/online-abd/abd?DatumAuswahl=&amp;Kat=27055" TargetMode="External"/><Relationship Id="rId305" Type="http://schemas.openxmlformats.org/officeDocument/2006/relationships/hyperlink" Target="https://www.gesetze-im-internet.de/sgb_9_2018/__2.html" TargetMode="External"/><Relationship Id="rId512" Type="http://schemas.openxmlformats.org/officeDocument/2006/relationships/hyperlink" Target="https://onlineabd.de/online-abd/abd?DatumAuswahl=01.05.2015&amp;Kat=28174" TargetMode="External"/><Relationship Id="rId957" Type="http://schemas.openxmlformats.org/officeDocument/2006/relationships/hyperlink" Target="http://www.gesetze-bayern.de/Content/Document/BayBesG-G2" TargetMode="External"/><Relationship Id="rId1142" Type="http://schemas.openxmlformats.org/officeDocument/2006/relationships/hyperlink" Target="https://onlineabd.de/online-abd/abd?DatumAuswahl=&amp;Kat=27479&amp;SubmitDatum=Anzeige" TargetMode="External"/><Relationship Id="rId1587" Type="http://schemas.openxmlformats.org/officeDocument/2006/relationships/hyperlink" Target="http://bundesrecht.juris.de/vermbg_2/" TargetMode="External"/><Relationship Id="rId1794" Type="http://schemas.openxmlformats.org/officeDocument/2006/relationships/hyperlink" Target="https://onlineabd.de/images/Anlagen/Koda_Nr_88.pdf" TargetMode="External"/><Relationship Id="rId86" Type="http://schemas.openxmlformats.org/officeDocument/2006/relationships/hyperlink" Target="https://onlineabd.de/online-abd/abd?DatumAuswahl=01.05.2015&amp;Kat=27039" TargetMode="External"/><Relationship Id="rId817" Type="http://schemas.openxmlformats.org/officeDocument/2006/relationships/hyperlink" Target="http://bundesrecht.juris.de/sgb_3/__346.html" TargetMode="External"/><Relationship Id="rId1002" Type="http://schemas.openxmlformats.org/officeDocument/2006/relationships/hyperlink" Target="https://onlineabd.de/online-abd/abd?DatumAuswahl=01.05.2015&amp;Kat=28132" TargetMode="External"/><Relationship Id="rId1447" Type="http://schemas.openxmlformats.org/officeDocument/2006/relationships/hyperlink" Target="https://onlineabd.de/online-abd/abd?DatumAuswahl=&amp;Kat=27600" TargetMode="External"/><Relationship Id="rId1654" Type="http://schemas.openxmlformats.org/officeDocument/2006/relationships/hyperlink" Target="http://www.gesetze-im-internet.de/sgb_5/" TargetMode="External"/><Relationship Id="rId1861" Type="http://schemas.openxmlformats.org/officeDocument/2006/relationships/hyperlink" Target="http://bundesrecht.juris.de/sgb_5" TargetMode="External"/><Relationship Id="rId1307" Type="http://schemas.openxmlformats.org/officeDocument/2006/relationships/hyperlink" Target="https://onlineabd.de/online-abd/abd?DatumAuswahl=&amp;Kat=27029" TargetMode="External"/><Relationship Id="rId1514" Type="http://schemas.openxmlformats.org/officeDocument/2006/relationships/hyperlink" Target="https://onlineabd.de/online-abd/abd?DatumAuswahl=&amp;Kat=27573" TargetMode="External"/><Relationship Id="rId1721" Type="http://schemas.openxmlformats.org/officeDocument/2006/relationships/hyperlink" Target="https://onlineabd.de/online-abd/abd?DatumAuswahl=&amp;Kat=27010" TargetMode="External"/><Relationship Id="rId1959" Type="http://schemas.openxmlformats.org/officeDocument/2006/relationships/hyperlink" Target="https://onlineabd.de/online-abd/abd?Kat=27815&amp;DatumAuswahl=" TargetMode="External"/><Relationship Id="rId13" Type="http://schemas.openxmlformats.org/officeDocument/2006/relationships/header" Target="header3.xml"/><Relationship Id="rId1819" Type="http://schemas.openxmlformats.org/officeDocument/2006/relationships/hyperlink" Target="https://onlineabd.de/images/Anlagen/Anl63LK.pdf" TargetMode="External"/><Relationship Id="rId162" Type="http://schemas.openxmlformats.org/officeDocument/2006/relationships/hyperlink" Target="https://onlineabd.de/online-abd/abd?DatumAuswahl=01.05.2015&amp;Kat=27023" TargetMode="External"/><Relationship Id="rId467" Type="http://schemas.openxmlformats.org/officeDocument/2006/relationships/hyperlink" Target="https://onlineabd.de/online-abd/abd?DatumAuswahl=01.05.2015&amp;Kat=27205" TargetMode="External"/><Relationship Id="rId1097" Type="http://schemas.openxmlformats.org/officeDocument/2006/relationships/hyperlink" Target="https://onlineabd.de/online-abd/abd?DatumAuswahl=&amp;Kat=28132&amp;SubmitDatum=Anzeige" TargetMode="External"/><Relationship Id="rId2050" Type="http://schemas.openxmlformats.org/officeDocument/2006/relationships/hyperlink" Target="file:///C:\abd%3fDatumAuswahl=01.05.2015&amp;Kat=29169" TargetMode="External"/><Relationship Id="rId674" Type="http://schemas.openxmlformats.org/officeDocument/2006/relationships/hyperlink" Target="https://www.gesetze-im-internet.de/beg/__1.html" TargetMode="External"/><Relationship Id="rId881" Type="http://schemas.openxmlformats.org/officeDocument/2006/relationships/hyperlink" Target="http://www.gesetze-bayern.de/Content/Document/BayBesG" TargetMode="External"/><Relationship Id="rId979" Type="http://schemas.openxmlformats.org/officeDocument/2006/relationships/hyperlink" Target="https://onlineabd.de/online-abd/abd?DatumAuswahl=01.05.2015&amp;Kat=27040" TargetMode="External"/><Relationship Id="rId327" Type="http://schemas.openxmlformats.org/officeDocument/2006/relationships/hyperlink" Target="https://www.gesetze-im-internet.de/hrg/__1.html" TargetMode="External"/><Relationship Id="rId534" Type="http://schemas.openxmlformats.org/officeDocument/2006/relationships/hyperlink" Target="https://onlineabd.de/online-abd/abd?DatumAuswahl=01.05.2015&amp;Kat=27007&amp;Itemid=101" TargetMode="External"/><Relationship Id="rId741" Type="http://schemas.openxmlformats.org/officeDocument/2006/relationships/hyperlink" Target="https://www.gesetze-im-internet.de/sgb_6/__236.html" TargetMode="External"/><Relationship Id="rId839" Type="http://schemas.openxmlformats.org/officeDocument/2006/relationships/hyperlink" Target="https://onlineabd.de/online-abd/abd?Kat=27068&amp;DatumAuswahl=" TargetMode="External"/><Relationship Id="rId1164" Type="http://schemas.openxmlformats.org/officeDocument/2006/relationships/hyperlink" Target="https://www.gesetze-im-internet.de/sgb_8/__8a.html" TargetMode="External"/><Relationship Id="rId1371" Type="http://schemas.openxmlformats.org/officeDocument/2006/relationships/hyperlink" Target="https://onlineabd.de/online-abd/abd?Kat=29799&amp;DatumAuswahl=" TargetMode="External"/><Relationship Id="rId1469" Type="http://schemas.openxmlformats.org/officeDocument/2006/relationships/hyperlink" Target="https://onlineabd.de/online-abd/abd?DatumAuswahl=&amp;Kat=27559" TargetMode="External"/><Relationship Id="rId2008" Type="http://schemas.openxmlformats.org/officeDocument/2006/relationships/hyperlink" Target="https://onlineabd.de/online-abd/abd?DatumAuswahl=01.05.2015&amp;Kat=28036" TargetMode="External"/><Relationship Id="rId601" Type="http://schemas.openxmlformats.org/officeDocument/2006/relationships/hyperlink" Target="https://onlineabd.de/online-abd/abd?DatumAuswahl=01.05.2015&amp;Kat=27210&amp;Itemid=101" TargetMode="External"/><Relationship Id="rId1024" Type="http://schemas.openxmlformats.org/officeDocument/2006/relationships/hyperlink" Target="http://www.bundesrecht.juris.de/sgb_4/index.html" TargetMode="External"/><Relationship Id="rId1231" Type="http://schemas.openxmlformats.org/officeDocument/2006/relationships/hyperlink" Target="https://onlineabd.de/online-abd/abd?DatumAuswahl=&amp;Kat=27040" TargetMode="External"/><Relationship Id="rId1676" Type="http://schemas.openxmlformats.org/officeDocument/2006/relationships/hyperlink" Target="https://onlineabd.de/online-abd/abd?DatumAuswahl=&amp;Kat=27219" TargetMode="External"/><Relationship Id="rId1883" Type="http://schemas.openxmlformats.org/officeDocument/2006/relationships/hyperlink" Target="http://www.gesetze-im-internet.de/sgb_5/" TargetMode="External"/><Relationship Id="rId906" Type="http://schemas.openxmlformats.org/officeDocument/2006/relationships/hyperlink" Target="https://www.gesetze-im-internet.de/sgb_6/__168.html" TargetMode="External"/><Relationship Id="rId1329" Type="http://schemas.openxmlformats.org/officeDocument/2006/relationships/hyperlink" Target="https://onlineabd.de/online-abd/abd?DatumAuswahl=&amp;Kat=27055" TargetMode="External"/><Relationship Id="rId1536" Type="http://schemas.openxmlformats.org/officeDocument/2006/relationships/hyperlink" Target="https://onlineabd.de/online-abd/abd?DatumAuswahl=&amp;Kat=27581" TargetMode="External"/><Relationship Id="rId1743" Type="http://schemas.openxmlformats.org/officeDocument/2006/relationships/hyperlink" Target="http://www.gesetze-im-internet.de/bbig_2005/__26.html" TargetMode="External"/><Relationship Id="rId1950" Type="http://schemas.openxmlformats.org/officeDocument/2006/relationships/hyperlink" Target="https://onlineabd.de/online-abd/abd?Kat=27825&amp;DatumAuswahl=" TargetMode="External"/><Relationship Id="rId35" Type="http://schemas.openxmlformats.org/officeDocument/2006/relationships/hyperlink" Target="https://onlineabd.de/online-abd/abd?DatumAuswahl=01.05.2015&amp;Kat=28182" TargetMode="External"/><Relationship Id="rId1603" Type="http://schemas.openxmlformats.org/officeDocument/2006/relationships/hyperlink" Target="http://onlineabd.de/images/downloads/ABD_2005_09_30.pdf" TargetMode="External"/><Relationship Id="rId1810" Type="http://schemas.openxmlformats.org/officeDocument/2006/relationships/hyperlink" Target="https://onlineabd.de/images/Anlagen/Anl72.pdf" TargetMode="External"/><Relationship Id="rId184" Type="http://schemas.openxmlformats.org/officeDocument/2006/relationships/hyperlink" Target="https://onlineabd.de/online-abd/abd?Kat=29908&amp;DatumAuswahl=" TargetMode="External"/><Relationship Id="rId391" Type="http://schemas.openxmlformats.org/officeDocument/2006/relationships/hyperlink" Target="https://onlineabd.de/online-abd/abd?DatumAuswahl=01.05.2015&amp;Kat=28098" TargetMode="External"/><Relationship Id="rId1908" Type="http://schemas.openxmlformats.org/officeDocument/2006/relationships/hyperlink" Target="https://onlineabd.de/online-abd/abd?DatumAuswahl=01.05.2015&amp;Kat=27780" TargetMode="External"/><Relationship Id="rId2072" Type="http://schemas.openxmlformats.org/officeDocument/2006/relationships/hyperlink" Target="https://onlineabd.de/online-abd/abd?DatumAuswahl=01.05.2015&amp;Kat=28047" TargetMode="External"/><Relationship Id="rId251" Type="http://schemas.openxmlformats.org/officeDocument/2006/relationships/hyperlink" Target="https://onlineabd.de/online-abd/abd?DatumAuswahl=01.05.2015&amp;Kat=27039" TargetMode="External"/><Relationship Id="rId489" Type="http://schemas.openxmlformats.org/officeDocument/2006/relationships/hyperlink" Target="https://onlineabd.de/online-abd/abd?DatumAuswahl=01.05.2015&amp;Kat=28185" TargetMode="External"/><Relationship Id="rId696" Type="http://schemas.openxmlformats.org/officeDocument/2006/relationships/hyperlink" Target="https://www.gesetze-im-internet.de/estg/__64.html" TargetMode="External"/><Relationship Id="rId349" Type="http://schemas.openxmlformats.org/officeDocument/2006/relationships/hyperlink" Target="https://onlineabd.de/online-abd/abd?DatumAuswahl=01.05.2015&amp;Kat=27160&amp;Itemid=101" TargetMode="External"/><Relationship Id="rId556" Type="http://schemas.openxmlformats.org/officeDocument/2006/relationships/hyperlink" Target="https://onlineabd.de/online-abd/abd?DatumAuswahl=01.05.2015&amp;Kat=28850" TargetMode="External"/><Relationship Id="rId763" Type="http://schemas.openxmlformats.org/officeDocument/2006/relationships/hyperlink" Target="https://www.gesetze-im-internet.de/sgb_1/__53.html" TargetMode="External"/><Relationship Id="rId1186" Type="http://schemas.openxmlformats.org/officeDocument/2006/relationships/hyperlink" Target="https://onlineabd.de/online-abd/abd?DatumAuswahl=&amp;Kat=27479" TargetMode="External"/><Relationship Id="rId1393" Type="http://schemas.openxmlformats.org/officeDocument/2006/relationships/hyperlink" Target="http://gesetze-bayern.de/Content/Document/BayTGV?AspxAutoDetectCookieSupport=1" TargetMode="External"/><Relationship Id="rId111" Type="http://schemas.openxmlformats.org/officeDocument/2006/relationships/hyperlink" Target="https://onlineabd.de/online-abd/abd?DatumAuswahl=01.05.2015&amp;Kat=27039" TargetMode="External"/><Relationship Id="rId209" Type="http://schemas.openxmlformats.org/officeDocument/2006/relationships/hyperlink" Target="http://www.onlineabd.de/abd?Kat=27017&amp;DatumAuswahl=" TargetMode="External"/><Relationship Id="rId416" Type="http://schemas.openxmlformats.org/officeDocument/2006/relationships/hyperlink" Target="https://onlineabd.de/online-abd/abd?DatumAuswahl=01.05.2015&amp;Kat=27200" TargetMode="External"/><Relationship Id="rId970" Type="http://schemas.openxmlformats.org/officeDocument/2006/relationships/hyperlink" Target="https://onlineabd.de/online-abd/abd?DatumAuswahl=01.05.2015&amp;Kat=28200" TargetMode="External"/><Relationship Id="rId1046" Type="http://schemas.openxmlformats.org/officeDocument/2006/relationships/hyperlink" Target="http://www.gesetze-bayern.de/Content/Document/BayLlbG-G4" TargetMode="External"/><Relationship Id="rId1253" Type="http://schemas.openxmlformats.org/officeDocument/2006/relationships/hyperlink" Target="https://www.gesetze-im-internet.de/sgb_9_2018/__2.html" TargetMode="External"/><Relationship Id="rId1698" Type="http://schemas.openxmlformats.org/officeDocument/2006/relationships/hyperlink" Target="http://bundesrecht.juris.de/hwo/index.html" TargetMode="External"/><Relationship Id="rId623" Type="http://schemas.openxmlformats.org/officeDocument/2006/relationships/hyperlink" Target="https://onlineabd.de/online-abd/abd?Kat=29016&amp;DatumAuswahl=" TargetMode="External"/><Relationship Id="rId830" Type="http://schemas.openxmlformats.org/officeDocument/2006/relationships/hyperlink" Target="https://onlineabd.de/online-abd/abd?Kat=27054&amp;DatumAuswahl=" TargetMode="External"/><Relationship Id="rId928" Type="http://schemas.openxmlformats.org/officeDocument/2006/relationships/hyperlink" Target="https://onlineabd.de/online-abd/abd?DatumAuswahl=01.05.2015&amp;Kat=27023" TargetMode="External"/><Relationship Id="rId1460" Type="http://schemas.openxmlformats.org/officeDocument/2006/relationships/hyperlink" Target="https://onlineabd.de/online-abd/abd?DatumAuswahl=&amp;Kat=27613" TargetMode="External"/><Relationship Id="rId1558" Type="http://schemas.openxmlformats.org/officeDocument/2006/relationships/hyperlink" Target="http://bundesrecht.juris.de/betravg/__18.html" TargetMode="External"/><Relationship Id="rId1765" Type="http://schemas.openxmlformats.org/officeDocument/2006/relationships/header" Target="header4.xml"/><Relationship Id="rId57" Type="http://schemas.openxmlformats.org/officeDocument/2006/relationships/hyperlink" Target="https://onlineabd.de/online-abd/abd?DatumAuswahl=01.05.2015&amp;Kat=28231" TargetMode="External"/><Relationship Id="rId1113" Type="http://schemas.openxmlformats.org/officeDocument/2006/relationships/hyperlink" Target="https://onlineabd.de/online-abd/abd?DatumAuswahl=&amp;Kat=27018&amp;SubmitDatum=Anzeige" TargetMode="External"/><Relationship Id="rId1320" Type="http://schemas.openxmlformats.org/officeDocument/2006/relationships/hyperlink" Target="https://onlineabd.de/online-abd/abd?DatumAuswahl=&amp;Kat=28189" TargetMode="External"/><Relationship Id="rId1418" Type="http://schemas.openxmlformats.org/officeDocument/2006/relationships/hyperlink" Target="https://onlineabd.de/online-abd/abd?DatumAuswahl=&amp;Kat=27573" TargetMode="External"/><Relationship Id="rId1972" Type="http://schemas.openxmlformats.org/officeDocument/2006/relationships/hyperlink" Target="https://onlineabd.de/online-abd/abd?Kat=27721&amp;DatumAuswahl=" TargetMode="External"/><Relationship Id="rId1625" Type="http://schemas.openxmlformats.org/officeDocument/2006/relationships/hyperlink" Target="http://onlineabd.de/images/downloads/ABD_2005_09_30.pdf" TargetMode="External"/><Relationship Id="rId1832" Type="http://schemas.openxmlformats.org/officeDocument/2006/relationships/hyperlink" Target="https://www.gesetze-im-internet.de/estg/index.html" TargetMode="External"/><Relationship Id="rId2094" Type="http://schemas.openxmlformats.org/officeDocument/2006/relationships/hyperlink" Target="http://bundesrecht.juris.de/zpo/__377.html" TargetMode="External"/><Relationship Id="rId273" Type="http://schemas.openxmlformats.org/officeDocument/2006/relationships/hyperlink" Target="https://www.gesetze-im-internet.de/sgb_8/__72a.html" TargetMode="External"/><Relationship Id="rId480" Type="http://schemas.openxmlformats.org/officeDocument/2006/relationships/hyperlink" Target="https://onlineabd.de/online-abd/abd?DatumAuswahl=01.05.2015&amp;Kat=28235" TargetMode="External"/><Relationship Id="rId68" Type="http://schemas.openxmlformats.org/officeDocument/2006/relationships/hyperlink" Target="https://onlineabd.de/online-abd/abd?Kat=27009&amp;DatumAuswahl=" TargetMode="External"/><Relationship Id="rId133" Type="http://schemas.openxmlformats.org/officeDocument/2006/relationships/hyperlink" Target="https://onlineabd.de/online-abd/abd?DatumAuswahl=01.05.2015&amp;Kat=27039" TargetMode="External"/><Relationship Id="rId340" Type="http://schemas.openxmlformats.org/officeDocument/2006/relationships/hyperlink" Target="https://onlineabd.de/online-abd/abd?Kat=27362&amp;DatumAuswahl=" TargetMode="External"/><Relationship Id="rId578" Type="http://schemas.openxmlformats.org/officeDocument/2006/relationships/hyperlink" Target="https://onlineabd.de/online-abd/abd?DatumAuswahl=01.05.2015&amp;Kat=29016&amp;Itemid=101" TargetMode="External"/><Relationship Id="rId785" Type="http://schemas.openxmlformats.org/officeDocument/2006/relationships/hyperlink" Target="https://onlineabd.de/online-abd/abd?DatumAuswahl=&amp;Kat=27058&amp;SubmitDatum=Anzeige" TargetMode="External"/><Relationship Id="rId992" Type="http://schemas.openxmlformats.org/officeDocument/2006/relationships/hyperlink" Target="https://onlineabd.de/online-abd/abd?DatumAuswahl=01.05.2015&amp;Kat=27069" TargetMode="External"/><Relationship Id="rId1429" Type="http://schemas.openxmlformats.org/officeDocument/2006/relationships/hyperlink" Target="https://onlineabd.de/online-abd/abd?DatumAuswahl=&amp;Kat=27587" TargetMode="External"/><Relationship Id="rId1636" Type="http://schemas.openxmlformats.org/officeDocument/2006/relationships/hyperlink" Target="http://onlineabd.de/images/downloads/ABD_2005_09_30.pdf" TargetMode="External"/><Relationship Id="rId1843" Type="http://schemas.openxmlformats.org/officeDocument/2006/relationships/hyperlink" Target="http://bundesrecht.juris.de/sgb_5" TargetMode="External"/><Relationship Id="rId2021" Type="http://schemas.openxmlformats.org/officeDocument/2006/relationships/hyperlink" Target="https://onlineabd.de/online-abd/abd?DatumAuswahl=01.05.2015&amp;Kat=28049" TargetMode="External"/><Relationship Id="rId200" Type="http://schemas.openxmlformats.org/officeDocument/2006/relationships/hyperlink" Target="https://onlineabd.de/online-abd/abd?Kat=29016&amp;DatumAuswahl=hl=" TargetMode="External"/><Relationship Id="rId438" Type="http://schemas.openxmlformats.org/officeDocument/2006/relationships/hyperlink" Target="https://onlineabd.de/online-abd/abd?Kat=27007&amp;DatumAuswahl=" TargetMode="External"/><Relationship Id="rId645" Type="http://schemas.openxmlformats.org/officeDocument/2006/relationships/hyperlink" Target="https://onlineabd.de/online-abd/abd?Kat=27027&amp;DatumAuswahl=" TargetMode="External"/><Relationship Id="rId852" Type="http://schemas.openxmlformats.org/officeDocument/2006/relationships/hyperlink" Target="https://onlineabd.de/online-abd/abd?DatumAuswahl=&amp;Kat=27017&amp;SubmitDatum=Anzeige" TargetMode="External"/><Relationship Id="rId1068" Type="http://schemas.openxmlformats.org/officeDocument/2006/relationships/hyperlink" Target="http://www.gesetze-bayern.de/Content/Document/BayBesG-G3" TargetMode="External"/><Relationship Id="rId1275" Type="http://schemas.openxmlformats.org/officeDocument/2006/relationships/hyperlink" Target="https://onlineabd.de/online-abd/abd?DatumAuswahl=&amp;Kat=27210" TargetMode="External"/><Relationship Id="rId1482" Type="http://schemas.openxmlformats.org/officeDocument/2006/relationships/hyperlink" Target="https://onlineabd.de/online-abd/abd?DatumAuswahl=&amp;Kat=27573&amp;Itemid=101" TargetMode="External"/><Relationship Id="rId1703" Type="http://schemas.openxmlformats.org/officeDocument/2006/relationships/hyperlink" Target="https://onlineabd.de/online-abd/abd?DatumAuswahl=&amp;Kat=27672" TargetMode="External"/><Relationship Id="rId1910" Type="http://schemas.openxmlformats.org/officeDocument/2006/relationships/hyperlink" Target="https://www.gesetze-im-internet.de/sgb_4/__8.html" TargetMode="External"/><Relationship Id="rId284" Type="http://schemas.openxmlformats.org/officeDocument/2006/relationships/hyperlink" Target="https://www.gesetze-im-internet.de/einigvtr/art_37.html" TargetMode="External"/><Relationship Id="rId491" Type="http://schemas.openxmlformats.org/officeDocument/2006/relationships/hyperlink" Target="https://onlineabd.de/online-abd/abd?DatumAuswahl=01.05.2015&amp;Kat=27029" TargetMode="External"/><Relationship Id="rId505" Type="http://schemas.openxmlformats.org/officeDocument/2006/relationships/hyperlink" Target="https://onlineabd.de/online-abd/abd?DatumAuswahl=01.05.2015&amp;Kat=28162" TargetMode="External"/><Relationship Id="rId712" Type="http://schemas.openxmlformats.org/officeDocument/2006/relationships/hyperlink" Target="https://www.gesetze-im-internet.de/sgb_9_2018/__8.html" TargetMode="External"/><Relationship Id="rId1135" Type="http://schemas.openxmlformats.org/officeDocument/2006/relationships/hyperlink" Target="https://onlineabd.de/online-abd/abd?DatumAuswahl=01.05.2015&amp;Kat=27198" TargetMode="External"/><Relationship Id="rId1342" Type="http://schemas.openxmlformats.org/officeDocument/2006/relationships/hyperlink" Target="https://onlineabd.de/online-abd/abd?Kat=27530&amp;DatumAuswahl=" TargetMode="External"/><Relationship Id="rId1787" Type="http://schemas.openxmlformats.org/officeDocument/2006/relationships/hyperlink" Target="https://onlineabd.de/images/Anlagen/Koda_Nr_95.pdf" TargetMode="External"/><Relationship Id="rId1994" Type="http://schemas.openxmlformats.org/officeDocument/2006/relationships/hyperlink" Target="https://onlineabd.de/online-abd/abd?Kat=29456&amp;DatumAuswahl=" TargetMode="External"/><Relationship Id="rId79" Type="http://schemas.openxmlformats.org/officeDocument/2006/relationships/hyperlink" Target="http://bundesrecht.juris.de/entgfg/index.html" TargetMode="External"/><Relationship Id="rId144" Type="http://schemas.openxmlformats.org/officeDocument/2006/relationships/hyperlink" Target="https://onlineabd.de/online-abd/abd?DatumAuswahl=&amp;Kat=27010" TargetMode="External"/><Relationship Id="rId589" Type="http://schemas.openxmlformats.org/officeDocument/2006/relationships/hyperlink" Target="https://onlineabd.de/online-abd/abd?DatumAuswahl=01.05.2015&amp;Kat=27219&amp;Itemid=101" TargetMode="External"/><Relationship Id="rId796" Type="http://schemas.openxmlformats.org/officeDocument/2006/relationships/hyperlink" Target="http://www.gesetze-bayern.de/Content/Document/BayBesG" TargetMode="External"/><Relationship Id="rId1202" Type="http://schemas.openxmlformats.org/officeDocument/2006/relationships/hyperlink" Target="https://onlineabd.de/online-abd/abd?DatumAuswahl=&amp;Kat=27472" TargetMode="External"/><Relationship Id="rId1647" Type="http://schemas.openxmlformats.org/officeDocument/2006/relationships/hyperlink" Target="https://onlineabd.de/online-abd/abd?DatumAuswahl=&amp;Kat=27067&amp;Itemid=101" TargetMode="External"/><Relationship Id="rId1854" Type="http://schemas.openxmlformats.org/officeDocument/2006/relationships/hyperlink" Target="http://www.gesetze-bayern.de/Content/Document/BayBhV/true" TargetMode="External"/><Relationship Id="rId351" Type="http://schemas.openxmlformats.org/officeDocument/2006/relationships/hyperlink" Target="https://onlineabd.de/online-abd/abd?Kat=27353&amp;DatumAuswahl=" TargetMode="External"/><Relationship Id="rId449" Type="http://schemas.openxmlformats.org/officeDocument/2006/relationships/hyperlink" Target="https://onlineabd.de/online-abd/abd?DatumAuswahl=01.05.2015&amp;Kat=28185" TargetMode="External"/><Relationship Id="rId656" Type="http://schemas.openxmlformats.org/officeDocument/2006/relationships/hyperlink" Target="https://onlineabd.de/online-abd/abd?Kat=27102&amp;DatumAuswahl=" TargetMode="External"/><Relationship Id="rId863" Type="http://schemas.openxmlformats.org/officeDocument/2006/relationships/hyperlink" Target="https://onlineabd.de/online-abd/abd?DatumAuswahl=01.05.2015&amp;Kat=27472" TargetMode="External"/><Relationship Id="rId1079" Type="http://schemas.openxmlformats.org/officeDocument/2006/relationships/hyperlink" Target="http://www.gesetze-bayern.de/Content/Document/BayVwV268660-92" TargetMode="External"/><Relationship Id="rId1286" Type="http://schemas.openxmlformats.org/officeDocument/2006/relationships/hyperlink" Target="https://onlineabd.de/online-abd/abd?DatumAuswahl=&amp;Kat=27661" TargetMode="External"/><Relationship Id="rId1493" Type="http://schemas.openxmlformats.org/officeDocument/2006/relationships/hyperlink" Target="http://bundesrecht.juris.de/sgb_6/index.html" TargetMode="External"/><Relationship Id="rId1507" Type="http://schemas.openxmlformats.org/officeDocument/2006/relationships/hyperlink" Target="https://onlineabd.de/online-abd/abd?DatumAuswahl=&amp;Kat=27613" TargetMode="External"/><Relationship Id="rId1714" Type="http://schemas.openxmlformats.org/officeDocument/2006/relationships/hyperlink" Target="https://onlineabd.de/online-abd/abd?DatumAuswahl=&amp;Kat=27694" TargetMode="External"/><Relationship Id="rId2032" Type="http://schemas.openxmlformats.org/officeDocument/2006/relationships/hyperlink" Target="https://onlineabd.de/online-abd/abd?DatumAuswahl=01.05.2015&amp;Kat=28060" TargetMode="External"/><Relationship Id="rId211" Type="http://schemas.openxmlformats.org/officeDocument/2006/relationships/hyperlink" Target="https://www.gesetze-im-internet.de/arbzg/BJNR117100994.html" TargetMode="External"/><Relationship Id="rId295" Type="http://schemas.openxmlformats.org/officeDocument/2006/relationships/hyperlink" Target="https://www.gesetze-im-internet.de/sgb_9_2018/__2.html" TargetMode="External"/><Relationship Id="rId309" Type="http://schemas.openxmlformats.org/officeDocument/2006/relationships/hyperlink" Target="https://www.gesetze-im-internet.de/sgb_9_2018/__2.html" TargetMode="External"/><Relationship Id="rId516" Type="http://schemas.openxmlformats.org/officeDocument/2006/relationships/hyperlink" Target="https://onlineabd.de/online-abd/abd?DatumAuswahl=01.05.2015&amp;Kat=28167" TargetMode="External"/><Relationship Id="rId1146" Type="http://schemas.openxmlformats.org/officeDocument/2006/relationships/hyperlink" Target="https://onlineabd.de/online-abd/abd?Kat=27353&amp;DatumAuswahl=" TargetMode="External"/><Relationship Id="rId1798" Type="http://schemas.openxmlformats.org/officeDocument/2006/relationships/hyperlink" Target="https://onlineabd.de/images/Anlagen/Anl84.pdf" TargetMode="External"/><Relationship Id="rId1921" Type="http://schemas.openxmlformats.org/officeDocument/2006/relationships/hyperlink" Target="https://onlineabd.de/online-abd/abd?Kat=27352&amp;DatumAuswahl=" TargetMode="External"/><Relationship Id="rId723" Type="http://schemas.openxmlformats.org/officeDocument/2006/relationships/hyperlink" Target="https://www.gesetze-im-internet.de/betravg/__1b.html" TargetMode="External"/><Relationship Id="rId930" Type="http://schemas.openxmlformats.org/officeDocument/2006/relationships/hyperlink" Target="https://onlineabd.de/online-abd/abd?DatumAuswahl=01.05.2015&amp;Kat=27025" TargetMode="External"/><Relationship Id="rId1006" Type="http://schemas.openxmlformats.org/officeDocument/2006/relationships/hyperlink" Target="http://www.angestelltentarifvertrag.de/" TargetMode="External"/><Relationship Id="rId1353" Type="http://schemas.openxmlformats.org/officeDocument/2006/relationships/hyperlink" Target="https://www.gesetze-im-internet.de/lpartg/__1.html" TargetMode="External"/><Relationship Id="rId1560" Type="http://schemas.openxmlformats.org/officeDocument/2006/relationships/hyperlink" Target="https://onlineabd.de/online-abd/abd?DatumAuswahl=&amp;Kat=27600" TargetMode="External"/><Relationship Id="rId1658" Type="http://schemas.openxmlformats.org/officeDocument/2006/relationships/hyperlink" Target="https://onlineabd.de/online-abd/abd?DatumAuswahl=&amp;Kat=27219" TargetMode="External"/><Relationship Id="rId1865" Type="http://schemas.openxmlformats.org/officeDocument/2006/relationships/hyperlink" Target="https://onlineabd.de/online-abd/abd?DatumAuswahl=01.05.2015&amp;Kat=28237" TargetMode="External"/><Relationship Id="rId155" Type="http://schemas.openxmlformats.org/officeDocument/2006/relationships/hyperlink" Target="https://onlineabd.de/online-abd/abd?DatumAuswahl=01.05.2015&amp;Kat=27714" TargetMode="External"/><Relationship Id="rId362" Type="http://schemas.openxmlformats.org/officeDocument/2006/relationships/hyperlink" Target="https://onlineabd.de/online-abd/abd?DatumAuswahl=01.05.2015&amp;Kat=27157&amp;Itemid=101" TargetMode="External"/><Relationship Id="rId1213" Type="http://schemas.openxmlformats.org/officeDocument/2006/relationships/hyperlink" Target="https://onlineabd.de/online-abd/abd?DatumAuswahl=&amp;Kat=28151" TargetMode="External"/><Relationship Id="rId1297" Type="http://schemas.openxmlformats.org/officeDocument/2006/relationships/hyperlink" Target="https://onlineabd.de/online-abd/abd?DatumAuswahl=&amp;Kat=27521" TargetMode="External"/><Relationship Id="rId1420" Type="http://schemas.openxmlformats.org/officeDocument/2006/relationships/hyperlink" Target="https://onlineabd.de/online-abd/abd?DatumAuswahl=&amp;Kat=27574" TargetMode="External"/><Relationship Id="rId1518" Type="http://schemas.openxmlformats.org/officeDocument/2006/relationships/hyperlink" Target="https://onlineabd.de/online-abd/abd?DatumAuswahl=&amp;Kat=27587" TargetMode="External"/><Relationship Id="rId2043" Type="http://schemas.openxmlformats.org/officeDocument/2006/relationships/hyperlink" Target="https://onlineabd.de/online-abd/abd?DatumAuswahl=01.05.2015&amp;Kat=28071" TargetMode="External"/><Relationship Id="rId222" Type="http://schemas.openxmlformats.org/officeDocument/2006/relationships/hyperlink" Target="https://onlineabd.de/online-abd/abd?Kat=27017&amp;DatumAuswahl=" TargetMode="External"/><Relationship Id="rId667" Type="http://schemas.openxmlformats.org/officeDocument/2006/relationships/hyperlink" Target="https://onlineabd.de/online-abd/abd?Kat=27034&amp;DatumAuswahl=28.02.2017" TargetMode="External"/><Relationship Id="rId874" Type="http://schemas.openxmlformats.org/officeDocument/2006/relationships/hyperlink" Target="https://onlineabd.de/online-abd/abd?DatumAuswahl=&amp;Kat=27030&amp;SubmitDatum=Anzeige" TargetMode="External"/><Relationship Id="rId1725" Type="http://schemas.openxmlformats.org/officeDocument/2006/relationships/hyperlink" Target="https://onlineabd.de/online-abd/abd?DatumAuswahl=&amp;Kat=27517" TargetMode="External"/><Relationship Id="rId1932" Type="http://schemas.openxmlformats.org/officeDocument/2006/relationships/hyperlink" Target="http://www.gesetze-bayern.de/Content/Document/BayEUG" TargetMode="External"/><Relationship Id="rId2110" Type="http://schemas.openxmlformats.org/officeDocument/2006/relationships/hyperlink" Target="http://www.gesetze-im-internet.de/zpo/index.html" TargetMode="External"/><Relationship Id="rId17" Type="http://schemas.openxmlformats.org/officeDocument/2006/relationships/hyperlink" Target="https://www.onlineabd.de/online-abd/abd?Kat=29212&amp;DatumAuswahl=" TargetMode="External"/><Relationship Id="rId527" Type="http://schemas.openxmlformats.org/officeDocument/2006/relationships/hyperlink" Target="https://onlineabd.de/online-abd/abd?DatumAuswahl=01.05.2015&amp;Kat=27040" TargetMode="External"/><Relationship Id="rId734" Type="http://schemas.openxmlformats.org/officeDocument/2006/relationships/hyperlink" Target="https://www.gesetze-im-internet.de/sgb_5/__25.html" TargetMode="External"/><Relationship Id="rId941" Type="http://schemas.openxmlformats.org/officeDocument/2006/relationships/hyperlink" Target="http://www.gesetze-bayern.de/Content/Document/BayLlbG-G4" TargetMode="External"/><Relationship Id="rId1157" Type="http://schemas.openxmlformats.org/officeDocument/2006/relationships/hyperlink" Target="https://onlineabd.de/online-abd/abd?DatumAuswahl=&amp;Kat=27040&amp;SubmitDatum=Anzeige" TargetMode="External"/><Relationship Id="rId1364" Type="http://schemas.openxmlformats.org/officeDocument/2006/relationships/hyperlink" Target="https://onlineabd.de/online-abd/abd?Kat=27531&amp;DatumAuswahl=" TargetMode="External"/><Relationship Id="rId1571" Type="http://schemas.openxmlformats.org/officeDocument/2006/relationships/hyperlink" Target="https://onlineabd.de/online-abd/abd?DatumAuswahl=01.05.2015&amp;Kat=27811" TargetMode="External"/><Relationship Id="rId70" Type="http://schemas.openxmlformats.org/officeDocument/2006/relationships/hyperlink" Target="http://bundesrecht.juris.de/muschg/index.html" TargetMode="External"/><Relationship Id="rId166" Type="http://schemas.openxmlformats.org/officeDocument/2006/relationships/hyperlink" Target="https://onlineabd.de/online-abd/abd?DatumAuswahl=01.05.2015&amp;Kat=28884" TargetMode="External"/><Relationship Id="rId373" Type="http://schemas.openxmlformats.org/officeDocument/2006/relationships/hyperlink" Target="https://onlineabd.de/online-abd/abd?DatumAuswahl=01.05.2015&amp;Kat=27170&amp;Itemid=101" TargetMode="External"/><Relationship Id="rId580" Type="http://schemas.openxmlformats.org/officeDocument/2006/relationships/hyperlink" Target="https://onlineabd.de/online-abd/abd?DatumAuswahl=01.05.2015&amp;Kat=27210&amp;Itemid=101" TargetMode="External"/><Relationship Id="rId801" Type="http://schemas.openxmlformats.org/officeDocument/2006/relationships/hyperlink" Target="http://www.gesetze-bayern.de/Content/Document/BayBesG-ANL_1" TargetMode="External"/><Relationship Id="rId1017" Type="http://schemas.openxmlformats.org/officeDocument/2006/relationships/hyperlink" Target="https://onlineabd.de/online-abd/abd?DatumAuswahl=01.05.2015&amp;Kat=28131" TargetMode="External"/><Relationship Id="rId1224" Type="http://schemas.openxmlformats.org/officeDocument/2006/relationships/hyperlink" Target="https://onlineabd.de/online-abd/abd?DatumAuswahl=&amp;Kat=28151" TargetMode="External"/><Relationship Id="rId1431" Type="http://schemas.openxmlformats.org/officeDocument/2006/relationships/hyperlink" Target="https://onlineabd.de/online-abd/abd?DatumAuswahl=&amp;Kat=27587" TargetMode="External"/><Relationship Id="rId1669" Type="http://schemas.openxmlformats.org/officeDocument/2006/relationships/hyperlink" Target="https://onlineabd.de/online-abd/abd?DatumAuswahl=&amp;Kat=27039" TargetMode="External"/><Relationship Id="rId1876" Type="http://schemas.openxmlformats.org/officeDocument/2006/relationships/hyperlink" Target="http://www.gesetze-bayern.de/Content/Document/BayBhV/true" TargetMode="External"/><Relationship Id="rId2054" Type="http://schemas.openxmlformats.org/officeDocument/2006/relationships/hyperlink" Target="file:///C:\abd%3fDatumAuswahl=01.05.2015&amp;Kat=28080" TargetMode="External"/><Relationship Id="rId1" Type="http://schemas.openxmlformats.org/officeDocument/2006/relationships/customXml" Target="../customXml/item1.xml"/><Relationship Id="rId233" Type="http://schemas.openxmlformats.org/officeDocument/2006/relationships/hyperlink" Target="https://onlineabd.de/online-abd/abd?DatumAuswahl=01.05.2015&amp;Kat=28182" TargetMode="External"/><Relationship Id="rId440" Type="http://schemas.openxmlformats.org/officeDocument/2006/relationships/hyperlink" Target="https://onlineabd.de/online-abd/abd?DatumAuswahl=01.05.2015&amp;Kat=28235" TargetMode="External"/><Relationship Id="rId678" Type="http://schemas.openxmlformats.org/officeDocument/2006/relationships/hyperlink" Target="http://www.gesetze-im-internet.de/sgb_3/index.html" TargetMode="External"/><Relationship Id="rId885" Type="http://schemas.openxmlformats.org/officeDocument/2006/relationships/hyperlink" Target="https://onlineabd.de/online-abd/abd?DatumAuswahl=&amp;Kat=27039&amp;SubmitDatum=Anzeige" TargetMode="External"/><Relationship Id="rId1070" Type="http://schemas.openxmlformats.org/officeDocument/2006/relationships/hyperlink" Target="http://www.gesetze-bayern.de/Content/Document/BayLlbG-G4" TargetMode="External"/><Relationship Id="rId1529" Type="http://schemas.openxmlformats.org/officeDocument/2006/relationships/hyperlink" Target="http://www.gesetze-im-internet.de/betravg/index.html" TargetMode="External"/><Relationship Id="rId1736" Type="http://schemas.openxmlformats.org/officeDocument/2006/relationships/hyperlink" Target="http://www.gesetze-im-internet.de/beeg/index.html" TargetMode="External"/><Relationship Id="rId1943" Type="http://schemas.openxmlformats.org/officeDocument/2006/relationships/hyperlink" Target="https://onlineabd.de/online-abd/abd?Kat=27815&amp;DatumAuswahl=" TargetMode="External"/><Relationship Id="rId28" Type="http://schemas.openxmlformats.org/officeDocument/2006/relationships/hyperlink" Target="https://onlineabd.de/online-abd/abd?DatumAuswahl=01.05.2015&amp;Kat=28182&amp;Itemid=101" TargetMode="External"/><Relationship Id="rId300" Type="http://schemas.openxmlformats.org/officeDocument/2006/relationships/hyperlink" Target="https://www.gesetze-im-internet.de/sgb_9_2018/__2.html" TargetMode="External"/><Relationship Id="rId538" Type="http://schemas.openxmlformats.org/officeDocument/2006/relationships/hyperlink" Target="https://onlineabd.de/online-abd/abd?DatumAuswahl=01.05.2015&amp;Kat=27066&amp;Itemid=101" TargetMode="External"/><Relationship Id="rId745" Type="http://schemas.openxmlformats.org/officeDocument/2006/relationships/hyperlink" Target="https://www.gesetze-im-internet.de/sgb_6/__6.html" TargetMode="External"/><Relationship Id="rId952" Type="http://schemas.openxmlformats.org/officeDocument/2006/relationships/hyperlink" Target="https://onlineabd.de/online-abd/abd?Kat=28160&amp;DatumAuswahl=" TargetMode="External"/><Relationship Id="rId1168" Type="http://schemas.openxmlformats.org/officeDocument/2006/relationships/hyperlink" Target="https://onlineabd.de/online-abd/abd?DatumAuswahl=&amp;Kat=27009" TargetMode="External"/><Relationship Id="rId1375" Type="http://schemas.openxmlformats.org/officeDocument/2006/relationships/hyperlink" Target="https://onlineabd.de/online-abd/abd?Kat=27533&amp;DatumAuswahl=" TargetMode="External"/><Relationship Id="rId1582" Type="http://schemas.openxmlformats.org/officeDocument/2006/relationships/hyperlink" Target="https://onlineabd.de/online-abd/abd?DatumAuswahl=&amp;Kat=27626" TargetMode="External"/><Relationship Id="rId1803" Type="http://schemas.openxmlformats.org/officeDocument/2006/relationships/hyperlink" Target="https://onlineabd.de/images/Anlagen/Anl79LK.pdf" TargetMode="External"/><Relationship Id="rId81" Type="http://schemas.openxmlformats.org/officeDocument/2006/relationships/hyperlink" Target="https://onlineabd.de/online-abd/abd?DatumAuswahl=01.05.2015&amp;Kat=28179" TargetMode="External"/><Relationship Id="rId177" Type="http://schemas.openxmlformats.org/officeDocument/2006/relationships/hyperlink" Target="https://onlineabd.de/online-abd/abd?Kat=28182&amp;DatumAuswahl=" TargetMode="External"/><Relationship Id="rId384" Type="http://schemas.openxmlformats.org/officeDocument/2006/relationships/hyperlink" Target="https://onlineabd.de/online-abd/abd?DatumAuswahl=01.05.2015&amp;Kat=28094" TargetMode="External"/><Relationship Id="rId591" Type="http://schemas.openxmlformats.org/officeDocument/2006/relationships/hyperlink" Target="https://onlineabd.de/online-abd/abd?DatumAuswahl=01.05.2015&amp;Kat=27030&amp;Itemid=101" TargetMode="External"/><Relationship Id="rId605" Type="http://schemas.openxmlformats.org/officeDocument/2006/relationships/hyperlink" Target="https://onlineabd.de/online-abd/abd?DatumAuswahl=01.05.2015&amp;Kat=27219&amp;Itemid=101" TargetMode="External"/><Relationship Id="rId812" Type="http://schemas.openxmlformats.org/officeDocument/2006/relationships/hyperlink" Target="http://bundesrecht.juris.de/sgb_6/__168.html" TargetMode="External"/><Relationship Id="rId1028" Type="http://schemas.openxmlformats.org/officeDocument/2006/relationships/hyperlink" Target="http://www.gesetze-bayern.de/Content/Document/BayLlbG-G4" TargetMode="External"/><Relationship Id="rId1235" Type="http://schemas.openxmlformats.org/officeDocument/2006/relationships/hyperlink" Target="http://bundesrecht.juris.de/bvg" TargetMode="External"/><Relationship Id="rId1442" Type="http://schemas.openxmlformats.org/officeDocument/2006/relationships/hyperlink" Target="https://onlineabd.de/online-abd/abd?DatumAuswahl=&amp;Kat=27594" TargetMode="External"/><Relationship Id="rId1887" Type="http://schemas.openxmlformats.org/officeDocument/2006/relationships/hyperlink" Target="https://onlineabd.de/online-abd/abd?DatumAuswahl=01.05.2015&amp;Kat=27573" TargetMode="External"/><Relationship Id="rId2065" Type="http://schemas.openxmlformats.org/officeDocument/2006/relationships/hyperlink" Target="https://onlineabd.de/online-abd/abd?DatumAuswahl=01.05.2015&amp;Kat=27726" TargetMode="External"/><Relationship Id="rId244" Type="http://schemas.openxmlformats.org/officeDocument/2006/relationships/hyperlink" Target="https://onlineabd.de/online-abd/abd?DatumAuswahl=01.05.2015&amp;Kat=27220" TargetMode="External"/><Relationship Id="rId689" Type="http://schemas.openxmlformats.org/officeDocument/2006/relationships/hyperlink" Target="https://www.gesetze-im-internet.de/sgb_9_2018/" TargetMode="External"/><Relationship Id="rId896" Type="http://schemas.openxmlformats.org/officeDocument/2006/relationships/hyperlink" Target="https://www.onlineabd.de/online-abd/abd?Kat=27051&amp;DatumAuswahl=" TargetMode="External"/><Relationship Id="rId1081" Type="http://schemas.openxmlformats.org/officeDocument/2006/relationships/hyperlink" Target="http://www.gesetze-bayern.de/Content/Document/BayBesG-G2" TargetMode="External"/><Relationship Id="rId1302" Type="http://schemas.openxmlformats.org/officeDocument/2006/relationships/hyperlink" Target="https://onlineabd.de/online-abd/abd?DatumAuswahl=&amp;Kat=27210" TargetMode="External"/><Relationship Id="rId1747" Type="http://schemas.openxmlformats.org/officeDocument/2006/relationships/hyperlink" Target="http://www.gesetze-bayern.de/Content/Document/BayFakO" TargetMode="External"/><Relationship Id="rId1954" Type="http://schemas.openxmlformats.org/officeDocument/2006/relationships/hyperlink" Target="https://www.gesetze-im-internet.de/gg/art_140.html" TargetMode="External"/><Relationship Id="rId39" Type="http://schemas.openxmlformats.org/officeDocument/2006/relationships/hyperlink" Target="https://onlineabd.de/online-abd/abd?DatumAuswahl=01.05.2015&amp;Kat=27472" TargetMode="External"/><Relationship Id="rId451" Type="http://schemas.openxmlformats.org/officeDocument/2006/relationships/hyperlink" Target="https://onlineabd.de/online-abd/abd?DatumAuswahl=01.05.2015&amp;Kat=27205" TargetMode="External"/><Relationship Id="rId549" Type="http://schemas.openxmlformats.org/officeDocument/2006/relationships/hyperlink" Target="http://bundesrecht.juris.de/kschg/index.html" TargetMode="External"/><Relationship Id="rId756" Type="http://schemas.openxmlformats.org/officeDocument/2006/relationships/hyperlink" Target="https://www.gesetze-im-internet.de/bkgg_1996/__4.html" TargetMode="External"/><Relationship Id="rId1179" Type="http://schemas.openxmlformats.org/officeDocument/2006/relationships/hyperlink" Target="https://onlineabd.de/online-abd/abd?DatumAuswahl=&amp;Kat=28182" TargetMode="External"/><Relationship Id="rId1386" Type="http://schemas.openxmlformats.org/officeDocument/2006/relationships/hyperlink" Target="https://onlineabd.de/online-abd/abd?Kat=29799&amp;DatumAuswahl=" TargetMode="External"/><Relationship Id="rId1593" Type="http://schemas.openxmlformats.org/officeDocument/2006/relationships/hyperlink" Target="http://bundesrecht.juris.de/bgb/__613a.html" TargetMode="External"/><Relationship Id="rId1607" Type="http://schemas.openxmlformats.org/officeDocument/2006/relationships/hyperlink" Target="http://onlineabd.de/images/downloads/ABD_2005_09_30.pdf" TargetMode="External"/><Relationship Id="rId1814" Type="http://schemas.openxmlformats.org/officeDocument/2006/relationships/hyperlink" Target="https://onlineabd.de/images/Anlagen/Anl68.pdf" TargetMode="External"/><Relationship Id="rId104" Type="http://schemas.openxmlformats.org/officeDocument/2006/relationships/hyperlink" Target="https://onlineabd.de/online-abd/abd?Kat=27581&amp;DatumAuswahl=" TargetMode="External"/><Relationship Id="rId188" Type="http://schemas.openxmlformats.org/officeDocument/2006/relationships/hyperlink" Target="https://onlineabd.de/online-abd/abd?Kat=28187&amp;DatumAuswahl=" TargetMode="External"/><Relationship Id="rId311" Type="http://schemas.openxmlformats.org/officeDocument/2006/relationships/hyperlink" Target="https://www.gesetze-im-internet.de/sgb_9_2018/__2.html" TargetMode="External"/><Relationship Id="rId395" Type="http://schemas.openxmlformats.org/officeDocument/2006/relationships/hyperlink" Target="https://onlineabd.de/online-abd/abd?Kat=27240&amp;DatumAuswahl=" TargetMode="External"/><Relationship Id="rId409" Type="http://schemas.openxmlformats.org/officeDocument/2006/relationships/hyperlink" Target="https://onlineabd.de/online-abd/abd?DatumAuswahl=01.05.2015&amp;Kat=28189&amp;Itemid=101" TargetMode="External"/><Relationship Id="rId963" Type="http://schemas.openxmlformats.org/officeDocument/2006/relationships/hyperlink" Target="http://bundesrecht.juris.de/sgb_6/__168.html" TargetMode="External"/><Relationship Id="rId1039" Type="http://schemas.openxmlformats.org/officeDocument/2006/relationships/hyperlink" Target="https://onlineabd.de/online-abd/abd?Kat=29764&amp;DatumAuswahl=" TargetMode="External"/><Relationship Id="rId1246" Type="http://schemas.openxmlformats.org/officeDocument/2006/relationships/hyperlink" Target="http://bundesrecht.juris.de/alttzg_1996/BJNR107810996.html" TargetMode="External"/><Relationship Id="rId1898" Type="http://schemas.openxmlformats.org/officeDocument/2006/relationships/hyperlink" Target="http://www.gesetze-im-internet.de/sgb_5/" TargetMode="External"/><Relationship Id="rId2076" Type="http://schemas.openxmlformats.org/officeDocument/2006/relationships/hyperlink" Target="https://onlineabd.de/online-abd/abd?DatumAuswahl=01.05.2015&amp;Kat=27722" TargetMode="External"/><Relationship Id="rId92" Type="http://schemas.openxmlformats.org/officeDocument/2006/relationships/hyperlink" Target="https://onlineabd.de/online-abd/abd?DatumAuswahl=01.05.2015&amp;Kat=27547" TargetMode="External"/><Relationship Id="rId616" Type="http://schemas.openxmlformats.org/officeDocument/2006/relationships/hyperlink" Target="https://onlineabd.de/online-abd/abd?Kat=29016&amp;DatumAuswahl=" TargetMode="External"/><Relationship Id="rId823" Type="http://schemas.openxmlformats.org/officeDocument/2006/relationships/hyperlink" Target="https://onlineabd.de/online-abd/abd?Kat=28200&amp;DatumAuswahl=" TargetMode="External"/><Relationship Id="rId1453" Type="http://schemas.openxmlformats.org/officeDocument/2006/relationships/hyperlink" Target="https://onlineabd.de/online-abd/abd?DatumAuswahl=&amp;Kat=27604" TargetMode="External"/><Relationship Id="rId1660" Type="http://schemas.openxmlformats.org/officeDocument/2006/relationships/hyperlink" Target="https://onlineabd.de/online-abd/abd?DatumAuswahl=&amp;Kat=28239" TargetMode="External"/><Relationship Id="rId1758" Type="http://schemas.openxmlformats.org/officeDocument/2006/relationships/hyperlink" Target="https://onlineabd.de/online-abd/abd?DatumAuswahl=01.05.2015&amp;Kat=27030&amp;Itemid=101" TargetMode="External"/><Relationship Id="rId255" Type="http://schemas.openxmlformats.org/officeDocument/2006/relationships/hyperlink" Target="https://www.gesetze-im-internet.de/stgb/BJNR001270871.html" TargetMode="External"/><Relationship Id="rId462" Type="http://schemas.openxmlformats.org/officeDocument/2006/relationships/hyperlink" Target="https://onlineabd.de/online-abd/abd?DatumAuswahl=01.05.2015&amp;Kat=28189" TargetMode="External"/><Relationship Id="rId1092" Type="http://schemas.openxmlformats.org/officeDocument/2006/relationships/hyperlink" Target="https://onlineabd.de/online-abd/abd?DatumAuswahl=&amp;Kat=28138&amp;SubmitDatum=Anzeige" TargetMode="External"/><Relationship Id="rId1106" Type="http://schemas.openxmlformats.org/officeDocument/2006/relationships/hyperlink" Target="https://onlineabd.de/online-abd/abd?DatumAuswahl=&amp;Kat=29764&amp;SubmitDatum=Anzeige" TargetMode="External"/><Relationship Id="rId1313" Type="http://schemas.openxmlformats.org/officeDocument/2006/relationships/hyperlink" Target="https://onlineabd.de/online-abd/abd?DatumAuswahl=&amp;Kat=27211" TargetMode="External"/><Relationship Id="rId1397" Type="http://schemas.openxmlformats.org/officeDocument/2006/relationships/hyperlink" Target="https://onlineabd.de/online-abd/abd?Kat=27531&amp;DatumAuswahl=" TargetMode="External"/><Relationship Id="rId1520" Type="http://schemas.openxmlformats.org/officeDocument/2006/relationships/hyperlink" Target="https://www.gesetze-im-internet.de/betravg/__18.html" TargetMode="External"/><Relationship Id="rId1965" Type="http://schemas.openxmlformats.org/officeDocument/2006/relationships/hyperlink" Target="https://onlineabd.de/online-abd/abd?Kat=27856&amp;DatumAuswahl=" TargetMode="External"/><Relationship Id="rId115" Type="http://schemas.openxmlformats.org/officeDocument/2006/relationships/hyperlink" Target="https://onlineabd.de/online-abd/abd?DatumAuswahl=01.05.2015&amp;Kat=27017" TargetMode="External"/><Relationship Id="rId322" Type="http://schemas.openxmlformats.org/officeDocument/2006/relationships/hyperlink" Target="https://www.gesetze-im-internet.de/sgb_9_2018/__2.html" TargetMode="External"/><Relationship Id="rId767" Type="http://schemas.openxmlformats.org/officeDocument/2006/relationships/hyperlink" Target="https://onlineabd.de/online-abd/abd?DatumAuswahl=&amp;Kat=27009&amp;SubmitDatum=Anzeige" TargetMode="External"/><Relationship Id="rId974" Type="http://schemas.openxmlformats.org/officeDocument/2006/relationships/hyperlink" Target="https://onlineabd.de/online-abd/abd?DatumAuswahl=01.05.2015&amp;Kat=27042" TargetMode="External"/><Relationship Id="rId1618" Type="http://schemas.openxmlformats.org/officeDocument/2006/relationships/hyperlink" Target="http://onlineabd.de/images/downloads/ABD_2005_09_30.pdf" TargetMode="External"/><Relationship Id="rId1825" Type="http://schemas.openxmlformats.org/officeDocument/2006/relationships/hyperlink" Target="https://onlineabd.de/images/Anlagen/Anl57.pdf" TargetMode="External"/><Relationship Id="rId2003" Type="http://schemas.openxmlformats.org/officeDocument/2006/relationships/hyperlink" Target="https://onlineabd.de/online-abd/abd?Kat=29490&amp;DatumAuswahl=" TargetMode="External"/><Relationship Id="rId199" Type="http://schemas.openxmlformats.org/officeDocument/2006/relationships/hyperlink" Target="https://onlineabd.de/online-abd/abd?Kat=29016&amp;DatumAuswahl=" TargetMode="External"/><Relationship Id="rId627" Type="http://schemas.openxmlformats.org/officeDocument/2006/relationships/hyperlink" Target="https://onlineabd.de/online-abd/abd?Kat=27210&amp;DatumAuswahl=" TargetMode="External"/><Relationship Id="rId834" Type="http://schemas.openxmlformats.org/officeDocument/2006/relationships/hyperlink" Target="http://bundesrecht.juris.de/sgb_5/__257.html" TargetMode="External"/><Relationship Id="rId1257" Type="http://schemas.openxmlformats.org/officeDocument/2006/relationships/hyperlink" Target="https://onlineabd.de/online-abd/abd?DatumAuswahl=&amp;Kat=29304" TargetMode="External"/><Relationship Id="rId1464" Type="http://schemas.openxmlformats.org/officeDocument/2006/relationships/hyperlink" Target="https://onlineabd.de/online-abd/abd?DatumAuswahl=&amp;Kat=27590&amp;Itemid=101" TargetMode="External"/><Relationship Id="rId1671" Type="http://schemas.openxmlformats.org/officeDocument/2006/relationships/hyperlink" Target="http://www.gesetze-im-internet.de/sgb_5/" TargetMode="External"/><Relationship Id="rId2087" Type="http://schemas.openxmlformats.org/officeDocument/2006/relationships/hyperlink" Target="https://onlineabd.de/online-abd/abd?DatumAuswahl=01.05.2015&amp;Kat=28049" TargetMode="External"/><Relationship Id="rId266" Type="http://schemas.openxmlformats.org/officeDocument/2006/relationships/hyperlink" Target="https://www.gesetze-im-internet.de/stgb/__227.html" TargetMode="External"/><Relationship Id="rId473" Type="http://schemas.openxmlformats.org/officeDocument/2006/relationships/hyperlink" Target="https://onlineabd.de/online-abd/abd?DatumAuswahl=01.05.2015&amp;Kat=27205" TargetMode="External"/><Relationship Id="rId680" Type="http://schemas.openxmlformats.org/officeDocument/2006/relationships/hyperlink" Target="http://www.gesetze-im-internet.de/sgb_3/index.html" TargetMode="External"/><Relationship Id="rId901" Type="http://schemas.openxmlformats.org/officeDocument/2006/relationships/hyperlink" Target="https://onlineabd.de/online-abd/abd?DatumAuswahl=01.05.2015&amp;Kat=27057" TargetMode="External"/><Relationship Id="rId1117" Type="http://schemas.openxmlformats.org/officeDocument/2006/relationships/hyperlink" Target="https://onlineabd.de/online-abd/abd?DatumAuswahl=&amp;Kat=27020&amp;SubmitDatum=Anzeige" TargetMode="External"/><Relationship Id="rId1324" Type="http://schemas.openxmlformats.org/officeDocument/2006/relationships/hyperlink" Target="https://onlineabd.de/online-abd/abd?DatumAuswahl=&amp;Kat=27211" TargetMode="External"/><Relationship Id="rId1531" Type="http://schemas.openxmlformats.org/officeDocument/2006/relationships/hyperlink" Target="http://www.gesetze-im-internet.de/betravg/index.html" TargetMode="External"/><Relationship Id="rId1769" Type="http://schemas.openxmlformats.org/officeDocument/2006/relationships/hyperlink" Target="https://onlineabd.de/images/Anlagen/Koda_Nr_113.pdf" TargetMode="External"/><Relationship Id="rId1976" Type="http://schemas.openxmlformats.org/officeDocument/2006/relationships/hyperlink" Target="https://onlineabd.de/online-abd/abd?Kat=27867&amp;DatumAuswahl=" TargetMode="External"/><Relationship Id="rId30" Type="http://schemas.openxmlformats.org/officeDocument/2006/relationships/hyperlink" Target="https://onlineabd.de/online-abd/abd?DatumAuswahl=01.05.2015&amp;Kat=27017&amp;Itemid=101" TargetMode="External"/><Relationship Id="rId126" Type="http://schemas.openxmlformats.org/officeDocument/2006/relationships/hyperlink" Target="https://onlineabd.de/online-abd/abd?DatumAuswahl=01.05.2015&amp;Kat=27039" TargetMode="External"/><Relationship Id="rId333" Type="http://schemas.openxmlformats.org/officeDocument/2006/relationships/hyperlink" Target="https://onlineabd.de/online-abd/abd?DatumAuswahl=01.05.2015&amp;Kat=27147" TargetMode="External"/><Relationship Id="rId540" Type="http://schemas.openxmlformats.org/officeDocument/2006/relationships/hyperlink" Target="https://onlineabd.de/online-abd/abd?Kat=28187&amp;DatumAuswahl=" TargetMode="External"/><Relationship Id="rId778" Type="http://schemas.openxmlformats.org/officeDocument/2006/relationships/hyperlink" Target="https://onlineabd.de/online-abd/abd?DatumAuswahl=&amp;Kat=27021&amp;SubmitDatum=Anzeige" TargetMode="External"/><Relationship Id="rId985" Type="http://schemas.openxmlformats.org/officeDocument/2006/relationships/hyperlink" Target="https://onlineabd.de/online-abd/abd?DatumAuswahl=01.05.2015&amp;Kat=27058" TargetMode="External"/><Relationship Id="rId1170" Type="http://schemas.openxmlformats.org/officeDocument/2006/relationships/hyperlink" Target="http://bundesrecht.juris.de/arbzg" TargetMode="External"/><Relationship Id="rId1629" Type="http://schemas.openxmlformats.org/officeDocument/2006/relationships/hyperlink" Target="http://onlineabd.de/images/downloads/ABD_2005_09_30.pdf" TargetMode="External"/><Relationship Id="rId1836" Type="http://schemas.openxmlformats.org/officeDocument/2006/relationships/hyperlink" Target="http://codex-iuris-canonici.de/indexdt.htm" TargetMode="External"/><Relationship Id="rId2014" Type="http://schemas.openxmlformats.org/officeDocument/2006/relationships/hyperlink" Target="https://onlineabd.de/online-abd/abd?DatumAuswahl=01.05.2015&amp;Kat=28042" TargetMode="External"/><Relationship Id="rId638" Type="http://schemas.openxmlformats.org/officeDocument/2006/relationships/hyperlink" Target="https://onlineabd.de/online-abd/abd?Kat=27102&amp;DatumAuswahl=" TargetMode="External"/><Relationship Id="rId845" Type="http://schemas.openxmlformats.org/officeDocument/2006/relationships/hyperlink" Target="https://onlineabd.de/online-abd/abd?Kat=28186&amp;DatumAuswahl=" TargetMode="External"/><Relationship Id="rId1030" Type="http://schemas.openxmlformats.org/officeDocument/2006/relationships/hyperlink" Target="http://www.gesetze-bayern.de/Content/Document/BayLlbG-G4" TargetMode="External"/><Relationship Id="rId1268" Type="http://schemas.openxmlformats.org/officeDocument/2006/relationships/hyperlink" Target="https://onlineabd.de/online-abd/abd?DatumAuswahl=&amp;Kat=29304" TargetMode="External"/><Relationship Id="rId1475" Type="http://schemas.openxmlformats.org/officeDocument/2006/relationships/hyperlink" Target="https://onlineabd.de/online-abd/abd?DatumAuswahl=&amp;Kat=27573&amp;Itemid=101" TargetMode="External"/><Relationship Id="rId1682" Type="http://schemas.openxmlformats.org/officeDocument/2006/relationships/hyperlink" Target="https://onlineabd.de/online-abd/abd?DatumAuswahl=&amp;Kat=27661" TargetMode="External"/><Relationship Id="rId1903" Type="http://schemas.openxmlformats.org/officeDocument/2006/relationships/hyperlink" Target="https://onlineabd.de/online-abd/abd?DatumAuswahl=01.05.2015&amp;Kat=27779" TargetMode="External"/><Relationship Id="rId2098" Type="http://schemas.openxmlformats.org/officeDocument/2006/relationships/hyperlink" Target="https://onlineabd.de/online-abd/abd?DatumAuswahl=01.05.2015&amp;Kat=28042" TargetMode="External"/><Relationship Id="rId277" Type="http://schemas.openxmlformats.org/officeDocument/2006/relationships/hyperlink" Target="https://onlineabd.de/online-abd/abd?Kat=27102&amp;DatumAuswahl=" TargetMode="External"/><Relationship Id="rId400" Type="http://schemas.openxmlformats.org/officeDocument/2006/relationships/hyperlink" Target="https://onlineabd.de/online-abd/abd?DatumAuswahl=01.05.2015&amp;Kat=28236" TargetMode="External"/><Relationship Id="rId484" Type="http://schemas.openxmlformats.org/officeDocument/2006/relationships/hyperlink" Target="https://onlineabd.de/online-abd/abd?DatumAuswahl=01.05.2015&amp;Kat=28189" TargetMode="External"/><Relationship Id="rId705" Type="http://schemas.openxmlformats.org/officeDocument/2006/relationships/hyperlink" Target="https://www.gesetze-im-internet.de/estg/__65.html" TargetMode="External"/><Relationship Id="rId1128" Type="http://schemas.openxmlformats.org/officeDocument/2006/relationships/hyperlink" Target="https://onlineabd.de/online-abd/abd?DatumAuswahl=&amp;Kat=27331&amp;SubmitDatum=Anzeige" TargetMode="External"/><Relationship Id="rId1335" Type="http://schemas.openxmlformats.org/officeDocument/2006/relationships/hyperlink" Target="http://gesetze-bayern.de/Content/Document/BayRKG" TargetMode="External"/><Relationship Id="rId1542" Type="http://schemas.openxmlformats.org/officeDocument/2006/relationships/hyperlink" Target="https://onlineabd.de/online-abd/abd?DatumAuswahl=&amp;Kat=27611" TargetMode="External"/><Relationship Id="rId1987" Type="http://schemas.openxmlformats.org/officeDocument/2006/relationships/hyperlink" Target="https://onlineabd.de/online-abd/abd?Kat=29444&amp;DatumAuswahl=" TargetMode="External"/><Relationship Id="rId137" Type="http://schemas.openxmlformats.org/officeDocument/2006/relationships/hyperlink" Target="https://onlineabd.de/online-abd/abd?DatumAuswahl=01.05.2015&amp;Kat=27039" TargetMode="External"/><Relationship Id="rId344" Type="http://schemas.openxmlformats.org/officeDocument/2006/relationships/hyperlink" Target="https://onlineabd.de/online-abd/abd?Kat=27147&amp;DatumAuswahl=" TargetMode="External"/><Relationship Id="rId691" Type="http://schemas.openxmlformats.org/officeDocument/2006/relationships/hyperlink" Target="http://www.gesetze-im-internet.de/sgb_4/index.html" TargetMode="External"/><Relationship Id="rId789" Type="http://schemas.openxmlformats.org/officeDocument/2006/relationships/hyperlink" Target="https://onlineabd.de/online-abd/abd?DatumAuswahl=&amp;Kat=28146&amp;SubmitDatum=Anzeige" TargetMode="External"/><Relationship Id="rId912" Type="http://schemas.openxmlformats.org/officeDocument/2006/relationships/hyperlink" Target="https://onlineabd.de/online-abd/abd?DatumAuswahl=01.05.2015&amp;Kat=27070" TargetMode="External"/><Relationship Id="rId996" Type="http://schemas.openxmlformats.org/officeDocument/2006/relationships/hyperlink" Target="http://bundesrecht.juris.de/tvg/__4.html" TargetMode="External"/><Relationship Id="rId1847" Type="http://schemas.openxmlformats.org/officeDocument/2006/relationships/hyperlink" Target="https://onlineabd.de/online-abd/abd?DatumAuswahl=01.05.2015&amp;Kat=27762" TargetMode="External"/><Relationship Id="rId2025" Type="http://schemas.openxmlformats.org/officeDocument/2006/relationships/hyperlink" Target="https://onlineabd.de/online-abd/abd?DatumAuswahl=01.05.2015&amp;Kat=28053" TargetMode="External"/><Relationship Id="rId41" Type="http://schemas.openxmlformats.org/officeDocument/2006/relationships/hyperlink" Target="https://onlineabd.de/online-abd/abd?Kat=27034&amp;DatumAuswahl=" TargetMode="External"/><Relationship Id="rId551" Type="http://schemas.openxmlformats.org/officeDocument/2006/relationships/hyperlink" Target="https://onlineabd.de/online-abd/abd?DatumAuswahl=01.05.2015&amp;Kat=27214" TargetMode="External"/><Relationship Id="rId649" Type="http://schemas.openxmlformats.org/officeDocument/2006/relationships/hyperlink" Target="https://onlineabd.de/online-abd/abd?Kat=27028&amp;DatumAuswahl=" TargetMode="External"/><Relationship Id="rId856" Type="http://schemas.openxmlformats.org/officeDocument/2006/relationships/hyperlink" Target="https://onlineabd.de/online-abd/abd?DatumAuswahl=&amp;Kat=27023&amp;SubmitDatum=Anzeige" TargetMode="External"/><Relationship Id="rId1181" Type="http://schemas.openxmlformats.org/officeDocument/2006/relationships/hyperlink" Target="https://onlineabd.de/online-abd/abd?DatumAuswahl=&amp;Kat=27012" TargetMode="External"/><Relationship Id="rId1279" Type="http://schemas.openxmlformats.org/officeDocument/2006/relationships/hyperlink" Target="https://onlineabd.de/online-abd/abd?DatumAuswahl=&amp;Kat=27221" TargetMode="External"/><Relationship Id="rId1402" Type="http://schemas.openxmlformats.org/officeDocument/2006/relationships/hyperlink" Target="https://onlineabd.de/online-abd/abd?DatumAuswahl=&amp;Kat=27556" TargetMode="External"/><Relationship Id="rId1486" Type="http://schemas.openxmlformats.org/officeDocument/2006/relationships/hyperlink" Target="https://onlineabd.de/online-abd/abd?DatumAuswahl=&amp;Kat=27573&amp;Itemid=101" TargetMode="External"/><Relationship Id="rId1707" Type="http://schemas.openxmlformats.org/officeDocument/2006/relationships/hyperlink" Target="https://onlineabd.de/online-abd/abd?DatumAuswahl=01.05.2015&amp;Kat=27675" TargetMode="External"/><Relationship Id="rId190" Type="http://schemas.openxmlformats.org/officeDocument/2006/relationships/hyperlink" Target="https://onlineabd.de/online-abd/abd?Kat=28187&amp;DatumAuswahl=" TargetMode="External"/><Relationship Id="rId204" Type="http://schemas.openxmlformats.org/officeDocument/2006/relationships/hyperlink" Target="https://onlineabd.de/online-abd/abd?Kat=28182&amp;DatumAuswahl=" TargetMode="External"/><Relationship Id="rId288" Type="http://schemas.openxmlformats.org/officeDocument/2006/relationships/hyperlink" Target="https://onlineabd.de/online-abd/abd?Kat=28187&amp;DatumAuswahl=" TargetMode="External"/><Relationship Id="rId411" Type="http://schemas.openxmlformats.org/officeDocument/2006/relationships/hyperlink" Target="https://onlineabd.de/online-abd/abd?DatumAuswahl=01.05.2015&amp;Kat=28174&amp;Itemid=101" TargetMode="External"/><Relationship Id="rId509" Type="http://schemas.openxmlformats.org/officeDocument/2006/relationships/hyperlink" Target="https://onlineabd.de/online-abd/abd?DatumAuswahl=01.05.2015&amp;Kat=28161" TargetMode="External"/><Relationship Id="rId1041" Type="http://schemas.openxmlformats.org/officeDocument/2006/relationships/hyperlink" Target="https://onlineabd.de/online-abd/abd?Kat=28133&amp;DatumAuswahl=" TargetMode="External"/><Relationship Id="rId1139" Type="http://schemas.openxmlformats.org/officeDocument/2006/relationships/hyperlink" Target="https://onlineabd.de/online-abd/abd?DatumAuswahl=&amp;Kat=27479&amp;SubmitDatum=Anzeige" TargetMode="External"/><Relationship Id="rId1346" Type="http://schemas.openxmlformats.org/officeDocument/2006/relationships/hyperlink" Target="https://onlineabd.de/online-abd/abd?Kat=27535&amp;DatumAuswahl=" TargetMode="External"/><Relationship Id="rId1693" Type="http://schemas.openxmlformats.org/officeDocument/2006/relationships/hyperlink" Target="http://bundesrecht.juris.de/jarbschg" TargetMode="External"/><Relationship Id="rId1914" Type="http://schemas.openxmlformats.org/officeDocument/2006/relationships/hyperlink" Target="https://www.onlineabd.de/online-abd/abd?Kat=29930&amp;DatumAuswahl=" TargetMode="External"/><Relationship Id="rId1998" Type="http://schemas.openxmlformats.org/officeDocument/2006/relationships/hyperlink" Target="https://onlineabd.de/online-abd/abd?Kat=29457&amp;DatumAuswahl=" TargetMode="External"/><Relationship Id="rId495" Type="http://schemas.openxmlformats.org/officeDocument/2006/relationships/hyperlink" Target="http://www.gesetze-im-internet.de/estg/__64.html" TargetMode="External"/><Relationship Id="rId716" Type="http://schemas.openxmlformats.org/officeDocument/2006/relationships/hyperlink" Target="http://www.gesetze-im-internet.de/bukg_1990/__10.html" TargetMode="External"/><Relationship Id="rId923" Type="http://schemas.openxmlformats.org/officeDocument/2006/relationships/hyperlink" Target="https://onlineabd.de/online-abd/abd?DatumAuswahl=01.05.2015&amp;Kat=28182" TargetMode="External"/><Relationship Id="rId1553" Type="http://schemas.openxmlformats.org/officeDocument/2006/relationships/hyperlink" Target="http://bundesrecht.juris.de/sgb_6/" TargetMode="External"/><Relationship Id="rId1760" Type="http://schemas.openxmlformats.org/officeDocument/2006/relationships/hyperlink" Target="https://onlineabd.de/images/Anlagen/KODA_Nr_121.pdf" TargetMode="External"/><Relationship Id="rId1858" Type="http://schemas.openxmlformats.org/officeDocument/2006/relationships/hyperlink" Target="http://www.gesetze-bayern.de/Content/Document/BayBhV/true" TargetMode="External"/><Relationship Id="rId52" Type="http://schemas.openxmlformats.org/officeDocument/2006/relationships/hyperlink" Target="https://www.gesetze-im-internet.de/muscheltzv/" TargetMode="External"/><Relationship Id="rId148" Type="http://schemas.openxmlformats.org/officeDocument/2006/relationships/hyperlink" Target="http://www.gesetze-im-internet.de/sgb_9/index.html" TargetMode="External"/><Relationship Id="rId355" Type="http://schemas.openxmlformats.org/officeDocument/2006/relationships/hyperlink" Target="https://onlineabd.de/online-abd/abd?DatumAuswahl=01.05.2015&amp;Kat=28029" TargetMode="External"/><Relationship Id="rId562" Type="http://schemas.openxmlformats.org/officeDocument/2006/relationships/hyperlink" Target="https://onlineabd.de/online-abd/abd?DatumAuswahl=01.05.2015&amp;Kat=27037&amp;Itemid=101" TargetMode="External"/><Relationship Id="rId1192" Type="http://schemas.openxmlformats.org/officeDocument/2006/relationships/hyperlink" Target="https://onlineabd.de/online-abd/abd?DatumAuswahl=&amp;Kat=27049" TargetMode="External"/><Relationship Id="rId1206" Type="http://schemas.openxmlformats.org/officeDocument/2006/relationships/hyperlink" Target="https://www.gesetze-im-internet.de/muschg_2018/__6.html" TargetMode="External"/><Relationship Id="rId1413" Type="http://schemas.openxmlformats.org/officeDocument/2006/relationships/hyperlink" Target="https://onlineabd.de/online-abd/abd?DatumAuswahl=&amp;Kat=27573" TargetMode="External"/><Relationship Id="rId1620" Type="http://schemas.openxmlformats.org/officeDocument/2006/relationships/hyperlink" Target="http://onlineabd.de/images/downloads/ABD_2005_09_30.pdf" TargetMode="External"/><Relationship Id="rId2036" Type="http://schemas.openxmlformats.org/officeDocument/2006/relationships/hyperlink" Target="https://onlineabd.de/online-abd/abd?DatumAuswahl=01.05.2015&amp;Kat=28064" TargetMode="External"/><Relationship Id="rId215" Type="http://schemas.openxmlformats.org/officeDocument/2006/relationships/hyperlink" Target="https://www.gesetze-im-internet.de/arbzg/__7.html" TargetMode="External"/><Relationship Id="rId422" Type="http://schemas.openxmlformats.org/officeDocument/2006/relationships/hyperlink" Target="https://onlineabd.de/online-abd/abd?DatumAuswahl=01.05.2015&amp;Kat=27204" TargetMode="External"/><Relationship Id="rId867" Type="http://schemas.openxmlformats.org/officeDocument/2006/relationships/hyperlink" Target="https://onlineabd.de/online-abd/abd?DatumAuswahl=&amp;Kat=28160&amp;SubmitDatum=Anzeige" TargetMode="External"/><Relationship Id="rId1052" Type="http://schemas.openxmlformats.org/officeDocument/2006/relationships/hyperlink" Target="http://www.gesetze-bayern.de/Content/Document/BayBesG-G2" TargetMode="External"/><Relationship Id="rId1497" Type="http://schemas.openxmlformats.org/officeDocument/2006/relationships/hyperlink" Target="http://bundesrecht.juris.de/sgb_6/index.html" TargetMode="External"/><Relationship Id="rId1718" Type="http://schemas.openxmlformats.org/officeDocument/2006/relationships/hyperlink" Target="https://onlineabd.de/online-abd/abd?Kat=29886&amp;DatumAuswahl=" TargetMode="External"/><Relationship Id="rId1925" Type="http://schemas.openxmlformats.org/officeDocument/2006/relationships/hyperlink" Target="http://www.gesetze-bayern.de/Content/Document/BayEUG-88a" TargetMode="External"/><Relationship Id="rId2103" Type="http://schemas.openxmlformats.org/officeDocument/2006/relationships/hyperlink" Target="https://onlineabd.de/online-abd/abd?DatumAuswahl=01.05.2015&amp;Kat=27723" TargetMode="External"/><Relationship Id="rId299" Type="http://schemas.openxmlformats.org/officeDocument/2006/relationships/hyperlink" Target="https://www.gesetze-im-internet.de/sgb_9_2018/__2.html" TargetMode="External"/><Relationship Id="rId727" Type="http://schemas.openxmlformats.org/officeDocument/2006/relationships/hyperlink" Target="http://www.gesetze-im-internet.de/sgb_9/index.html" TargetMode="External"/><Relationship Id="rId934" Type="http://schemas.openxmlformats.org/officeDocument/2006/relationships/hyperlink" Target="https://onlineabd.de/online-abd/abd?DatumAuswahl=01.05.2015&amp;Kat=27058" TargetMode="External"/><Relationship Id="rId1357" Type="http://schemas.openxmlformats.org/officeDocument/2006/relationships/hyperlink" Target="https://onlineabd.de/online-abd/abd?Kat=27533&amp;DatumAuswahl=" TargetMode="External"/><Relationship Id="rId1564" Type="http://schemas.openxmlformats.org/officeDocument/2006/relationships/hyperlink" Target="https://onlineabd.de/online-abd/abd?DatumAuswahl=&amp;Kat=27624" TargetMode="External"/><Relationship Id="rId1771" Type="http://schemas.openxmlformats.org/officeDocument/2006/relationships/hyperlink" Target="https://onlineabd.de/images/Anlagen/Koda_Nr_111.pdf" TargetMode="External"/><Relationship Id="rId63" Type="http://schemas.openxmlformats.org/officeDocument/2006/relationships/hyperlink" Target="https://onlineabd.de/online-abd/abd?Kat=27035&amp;DatumAuswahl=" TargetMode="External"/><Relationship Id="rId159" Type="http://schemas.openxmlformats.org/officeDocument/2006/relationships/hyperlink" Target="https://onlineabd.de/online-abd/abd?DatumAuswahl=01.05.2015&amp;Kat=27791" TargetMode="External"/><Relationship Id="rId366" Type="http://schemas.openxmlformats.org/officeDocument/2006/relationships/hyperlink" Target="https://onlineabd.de/online-abd/abd?DatumAuswahl=01.05.2015&amp;Kat=27167" TargetMode="External"/><Relationship Id="rId573" Type="http://schemas.openxmlformats.org/officeDocument/2006/relationships/hyperlink" Target="https://onlineabd.de/online-abd/abd?DatumAuswahl=01.05.2015&amp;Kat=29016&amp;Itemid=101" TargetMode="External"/><Relationship Id="rId780" Type="http://schemas.openxmlformats.org/officeDocument/2006/relationships/hyperlink" Target="https://onlineabd.de/online-abd/abd?DatumAuswahl=&amp;Kat=27023&amp;SubmitDatum=Anzeige" TargetMode="External"/><Relationship Id="rId1217" Type="http://schemas.openxmlformats.org/officeDocument/2006/relationships/hyperlink" Target="https://onlineabd.de/online-abd/abd?DatumAuswahl=&amp;Kat=28150" TargetMode="External"/><Relationship Id="rId1424" Type="http://schemas.openxmlformats.org/officeDocument/2006/relationships/hyperlink" Target="https://onlineabd.de/online-abd/abd?DatumAuswahl=&amp;Kat=27581" TargetMode="External"/><Relationship Id="rId1631" Type="http://schemas.openxmlformats.org/officeDocument/2006/relationships/hyperlink" Target="http://onlineabd.de/images/downloads/ABD_2005_09_30.pdf" TargetMode="External"/><Relationship Id="rId1869" Type="http://schemas.openxmlformats.org/officeDocument/2006/relationships/hyperlink" Target="http://bundesrecht.juris.de/sgb_5" TargetMode="External"/><Relationship Id="rId2047" Type="http://schemas.openxmlformats.org/officeDocument/2006/relationships/hyperlink" Target="https://onlineabd.de/online-abd/abd?DatumAuswahl=01.05.2015&amp;Kat=28075" TargetMode="External"/><Relationship Id="rId226" Type="http://schemas.openxmlformats.org/officeDocument/2006/relationships/hyperlink" Target="https://onlineabd.de/online-abd/abd?Kat=27018&amp;DatumAuswahl=" TargetMode="External"/><Relationship Id="rId433" Type="http://schemas.openxmlformats.org/officeDocument/2006/relationships/hyperlink" Target="https://onlineabd.de/online-abd/abd?DatumAuswahl=01.05.2015&amp;Kat=28189" TargetMode="External"/><Relationship Id="rId878" Type="http://schemas.openxmlformats.org/officeDocument/2006/relationships/hyperlink" Target="http://www.gesetze-bayern.de/Content/Document/BayBesG-G2" TargetMode="External"/><Relationship Id="rId1063" Type="http://schemas.openxmlformats.org/officeDocument/2006/relationships/hyperlink" Target="http://www.gesetze-bayern.de/Content/Document/BayBesG-G3" TargetMode="External"/><Relationship Id="rId1270" Type="http://schemas.openxmlformats.org/officeDocument/2006/relationships/hyperlink" Target="http://bundesrecht.juris.de/sgb_4/__8.html" TargetMode="External"/><Relationship Id="rId1729" Type="http://schemas.openxmlformats.org/officeDocument/2006/relationships/hyperlink" Target="https://onlineabd.de/online-abd/abd?DatumAuswahl=&amp;Kat=29087" TargetMode="External"/><Relationship Id="rId1936" Type="http://schemas.openxmlformats.org/officeDocument/2006/relationships/hyperlink" Target="http://www.gesetze-bayern.de/Content/Document/BayEUG" TargetMode="External"/><Relationship Id="rId2114" Type="http://schemas.openxmlformats.org/officeDocument/2006/relationships/hyperlink" Target="https://onlineabd.de/online-abd/abd?Kat=29820&amp;DatumAuswahl=" TargetMode="External"/><Relationship Id="rId640" Type="http://schemas.openxmlformats.org/officeDocument/2006/relationships/hyperlink" Target="https://onlineabd.de/online-abd/abd?Kat=27006&amp;DatumAuswahl=" TargetMode="External"/><Relationship Id="rId738" Type="http://schemas.openxmlformats.org/officeDocument/2006/relationships/hyperlink" Target="https://www.gesetze-im-internet.de/sgb_7/__8.html" TargetMode="External"/><Relationship Id="rId945" Type="http://schemas.openxmlformats.org/officeDocument/2006/relationships/hyperlink" Target="http://www.gesetze-bayern.de/Content/Document/BayBesG" TargetMode="External"/><Relationship Id="rId1368" Type="http://schemas.openxmlformats.org/officeDocument/2006/relationships/hyperlink" Target="https://onlineabd.de/online-abd/abd?Kat=27534&amp;DatumAuswahl=" TargetMode="External"/><Relationship Id="rId1575" Type="http://schemas.openxmlformats.org/officeDocument/2006/relationships/hyperlink" Target="http://bundesrecht.juris.de/estg" TargetMode="External"/><Relationship Id="rId1782" Type="http://schemas.openxmlformats.org/officeDocument/2006/relationships/hyperlink" Target="https://onlineabd.de/images/Anlagen/Koda_Nr_101.pdf" TargetMode="External"/><Relationship Id="rId74" Type="http://schemas.openxmlformats.org/officeDocument/2006/relationships/hyperlink" Target="https://onlineabd.de/online-abd/abd?DatumAuswahl=01.05.2015&amp;Kat=27049" TargetMode="External"/><Relationship Id="rId377" Type="http://schemas.openxmlformats.org/officeDocument/2006/relationships/hyperlink" Target="https://onlineabd.de/online-abd/abd?DatumAuswahl=01.05.2015&amp;Kat=27007&amp;Itemid=101" TargetMode="External"/><Relationship Id="rId500" Type="http://schemas.openxmlformats.org/officeDocument/2006/relationships/hyperlink" Target="https://onlineabd.de/online-abd/abd?DatumAuswahl=01.05.2015&amp;Kat=28200" TargetMode="External"/><Relationship Id="rId584" Type="http://schemas.openxmlformats.org/officeDocument/2006/relationships/hyperlink" Target="https://onlineabd.de/online-abd/abd?Kat=29886&amp;DatumAuswahl=" TargetMode="External"/><Relationship Id="rId805" Type="http://schemas.openxmlformats.org/officeDocument/2006/relationships/hyperlink" Target="http://www.gesetze-bayern.de/Content/Document/BayBesG-G4" TargetMode="External"/><Relationship Id="rId1130" Type="http://schemas.openxmlformats.org/officeDocument/2006/relationships/hyperlink" Target="https://onlineabd.de/online-abd/abd?Kat=27018&amp;DatumAuswahl=" TargetMode="External"/><Relationship Id="rId1228" Type="http://schemas.openxmlformats.org/officeDocument/2006/relationships/hyperlink" Target="http://bundesrecht.juris.de/sgb_4" TargetMode="External"/><Relationship Id="rId1435" Type="http://schemas.openxmlformats.org/officeDocument/2006/relationships/hyperlink" Target="https://onlineabd.de/online-abd/abd?DatumAuswahl=&amp;Kat=27589" TargetMode="External"/><Relationship Id="rId2058" Type="http://schemas.openxmlformats.org/officeDocument/2006/relationships/hyperlink" Target="file:///C:\abd%3fDatumAuswahl=01.05.2015&amp;Kat=28084" TargetMode="External"/><Relationship Id="rId5" Type="http://schemas.openxmlformats.org/officeDocument/2006/relationships/settings" Target="settings.xml"/><Relationship Id="rId237" Type="http://schemas.openxmlformats.org/officeDocument/2006/relationships/hyperlink" Target="https://onlineabd.de/online-abd/abd?DatumAuswahl=01.05.2015&amp;Kat=28174" TargetMode="External"/><Relationship Id="rId791" Type="http://schemas.openxmlformats.org/officeDocument/2006/relationships/hyperlink" Target="http://www.gesetze-bayern.de/Content/Document/BayLlbG-G4" TargetMode="External"/><Relationship Id="rId889" Type="http://schemas.openxmlformats.org/officeDocument/2006/relationships/hyperlink" Target="https://onlineabd.de/online-abd/abd?Kat=27050&amp;DatumAuswahl=" TargetMode="External"/><Relationship Id="rId1074" Type="http://schemas.openxmlformats.org/officeDocument/2006/relationships/hyperlink" Target="http://www.gesetze-bayern.de/Content/Document/BayBesG-G2" TargetMode="External"/><Relationship Id="rId1642" Type="http://schemas.openxmlformats.org/officeDocument/2006/relationships/hyperlink" Target="http://bundesrecht.juris.de/sgb_6/__6.html" TargetMode="External"/><Relationship Id="rId1947" Type="http://schemas.openxmlformats.org/officeDocument/2006/relationships/hyperlink" Target="https://onlineabd.de/online-abd/abd?Kat=27716&amp;DatumAuswahl=" TargetMode="External"/><Relationship Id="rId444" Type="http://schemas.openxmlformats.org/officeDocument/2006/relationships/hyperlink" Target="https://onlineabd.de/online-abd/abd?Kat=28185&amp;DatumAuswahl=" TargetMode="External"/><Relationship Id="rId651" Type="http://schemas.openxmlformats.org/officeDocument/2006/relationships/hyperlink" Target="https://onlineabd.de/online-abd/abd?Kat=27205&amp;DatumAuswahl=31.12.2016" TargetMode="External"/><Relationship Id="rId749" Type="http://schemas.openxmlformats.org/officeDocument/2006/relationships/hyperlink" Target="https://www.gesetze-im-internet.de/estg/__65.html" TargetMode="External"/><Relationship Id="rId1281" Type="http://schemas.openxmlformats.org/officeDocument/2006/relationships/hyperlink" Target="https://onlineabd.de/online-abd/abd?DatumAuswahl=&amp;Kat=28170" TargetMode="External"/><Relationship Id="rId1379" Type="http://schemas.openxmlformats.org/officeDocument/2006/relationships/hyperlink" Target="https://onlineabd.de/online-abd/abd?Kat=27535&amp;DatumAuswahl=" TargetMode="External"/><Relationship Id="rId1502" Type="http://schemas.openxmlformats.org/officeDocument/2006/relationships/hyperlink" Target="https://onlineabd.de/online-abd/abd?DatumAuswahl=&amp;Kat=28147" TargetMode="External"/><Relationship Id="rId1586" Type="http://schemas.openxmlformats.org/officeDocument/2006/relationships/hyperlink" Target="http://bundesrecht.juris.de/svev/index.html" TargetMode="External"/><Relationship Id="rId1807" Type="http://schemas.openxmlformats.org/officeDocument/2006/relationships/hyperlink" Target="https://onlineabd.de/images/Anlagen/Anl75.pdf" TargetMode="External"/><Relationship Id="rId290" Type="http://schemas.openxmlformats.org/officeDocument/2006/relationships/hyperlink" Target="https://www.onlineabd.de/online-abd/abd?Kat=27006&amp;DatumAuswahl=" TargetMode="External"/><Relationship Id="rId304" Type="http://schemas.openxmlformats.org/officeDocument/2006/relationships/hyperlink" Target="https://www.gesetze-im-internet.de/sgb_9_2018/__2.html" TargetMode="External"/><Relationship Id="rId388" Type="http://schemas.openxmlformats.org/officeDocument/2006/relationships/hyperlink" Target="https://onlineabd.de/online-abd/abd?DatumAuswahl=01.05.2015&amp;Kat=28092" TargetMode="External"/><Relationship Id="rId511" Type="http://schemas.openxmlformats.org/officeDocument/2006/relationships/hyperlink" Target="https://onlineabd.de/online-abd/abd?DatumAuswahl=01.05.2015&amp;Kat=28167" TargetMode="External"/><Relationship Id="rId609" Type="http://schemas.openxmlformats.org/officeDocument/2006/relationships/hyperlink" Target="https://onlineabd.de/online-abd/abd?DatumAuswahl=01.05.2015&amp;Kat=28183&amp;Itemid=101" TargetMode="External"/><Relationship Id="rId956" Type="http://schemas.openxmlformats.org/officeDocument/2006/relationships/hyperlink" Target="http://www.gesetze-bayern.de/Content/Document/BayBesG-G4" TargetMode="External"/><Relationship Id="rId1141" Type="http://schemas.openxmlformats.org/officeDocument/2006/relationships/hyperlink" Target="https://onlineabd.de/online-abd/abd?DatumAuswahl=&amp;Kat=28200&amp;SubmitDatum=Anzeige" TargetMode="External"/><Relationship Id="rId1239" Type="http://schemas.openxmlformats.org/officeDocument/2006/relationships/hyperlink" Target="https://onlineabd.de/online-abd/abd?DatumAuswahl=&amp;Kat=28153" TargetMode="External"/><Relationship Id="rId1793" Type="http://schemas.openxmlformats.org/officeDocument/2006/relationships/hyperlink" Target="https://onlineabd.de/images/Anlagen/Koda_Nr_89.pdf" TargetMode="External"/><Relationship Id="rId2069" Type="http://schemas.openxmlformats.org/officeDocument/2006/relationships/hyperlink" Target="https://onlineabd.de/online-abd/abd?DatumAuswahl=01.05.2015&amp;Kat=28041" TargetMode="External"/><Relationship Id="rId85" Type="http://schemas.openxmlformats.org/officeDocument/2006/relationships/hyperlink" Target="http://bundesrecht.juris.de/vermbg_2/" TargetMode="External"/><Relationship Id="rId150" Type="http://schemas.openxmlformats.org/officeDocument/2006/relationships/hyperlink" Target="http://bundesrecht.juris.de/sgb_6/__236a.html" TargetMode="External"/><Relationship Id="rId595" Type="http://schemas.openxmlformats.org/officeDocument/2006/relationships/hyperlink" Target="https://onlineabd.de/online-abd/abd?DatumAuswahl=01.05.2015&amp;Kat=29016&amp;Itemid=101" TargetMode="External"/><Relationship Id="rId816" Type="http://schemas.openxmlformats.org/officeDocument/2006/relationships/hyperlink" Target="http://www.gesetze-bayern.de/Content/Document/BaySchFG-G3" TargetMode="External"/><Relationship Id="rId1001" Type="http://schemas.openxmlformats.org/officeDocument/2006/relationships/hyperlink" Target="https://onlineabd.de/online-abd/abd?DatumAuswahl=01.05.2015&amp;Kat=28131" TargetMode="External"/><Relationship Id="rId1446" Type="http://schemas.openxmlformats.org/officeDocument/2006/relationships/hyperlink" Target="https://onlineabd.de/online-abd/abd?DatumAuswahl=&amp;Kat=27600" TargetMode="External"/><Relationship Id="rId1653" Type="http://schemas.openxmlformats.org/officeDocument/2006/relationships/hyperlink" Target="https://onlineabd.de/online-abd/abd?DatumAuswahl=&amp;Kat=27040" TargetMode="External"/><Relationship Id="rId1860" Type="http://schemas.openxmlformats.org/officeDocument/2006/relationships/hyperlink" Target="http://www.gesetze-bayern.de/Content/Document/BayBhV?AspxAutoDetectCookieSupport=1" TargetMode="External"/><Relationship Id="rId248" Type="http://schemas.openxmlformats.org/officeDocument/2006/relationships/hyperlink" Target="https://onlineabd.de/online-abd/abd?DatumAuswahl=01.05.2015&amp;Kat=27039" TargetMode="External"/><Relationship Id="rId455" Type="http://schemas.openxmlformats.org/officeDocument/2006/relationships/hyperlink" Target="https://onlineabd.de/online-abd/abd?DatumAuswahl=01.05.2015&amp;Kat=28189" TargetMode="External"/><Relationship Id="rId662" Type="http://schemas.openxmlformats.org/officeDocument/2006/relationships/hyperlink" Target="https://onlineabd.de/online-abd/abd?DatumAuswahl=&amp;Kat=27210&amp;SubmitDatum=Anzeige" TargetMode="External"/><Relationship Id="rId1085" Type="http://schemas.openxmlformats.org/officeDocument/2006/relationships/hyperlink" Target="http://www.gesetze-bayern.de/Content/Document/BayBesG-G2" TargetMode="External"/><Relationship Id="rId1292" Type="http://schemas.openxmlformats.org/officeDocument/2006/relationships/hyperlink" Target="https://onlineabd.de/online-abd/abd?DatumAuswahl=&amp;Kat=27522" TargetMode="External"/><Relationship Id="rId1306" Type="http://schemas.openxmlformats.org/officeDocument/2006/relationships/hyperlink" Target="https://onlineabd.de/online-abd/abd?DatumAuswahl=&amp;Kat=27221" TargetMode="External"/><Relationship Id="rId1513" Type="http://schemas.openxmlformats.org/officeDocument/2006/relationships/hyperlink" Target="http://bundesrecht.juris.de/sgb_6/" TargetMode="External"/><Relationship Id="rId1720" Type="http://schemas.openxmlformats.org/officeDocument/2006/relationships/hyperlink" Target="https://onlineabd.de/online-abd/abd?DatumAuswahl=&amp;Kat=27009" TargetMode="External"/><Relationship Id="rId1958" Type="http://schemas.openxmlformats.org/officeDocument/2006/relationships/hyperlink" Target="https://onlineabd.de/online-abd/abd?Kat=27815&amp;DatumAuswahl=" TargetMode="External"/><Relationship Id="rId12" Type="http://schemas.openxmlformats.org/officeDocument/2006/relationships/footer" Target="footer2.xml"/><Relationship Id="rId108" Type="http://schemas.openxmlformats.org/officeDocument/2006/relationships/hyperlink" Target="https://onlineabd.de/online-abd/abd?DatumAuswahl=01.05.2015&amp;Kat=27045" TargetMode="External"/><Relationship Id="rId315" Type="http://schemas.openxmlformats.org/officeDocument/2006/relationships/hyperlink" Target="https://www.gesetze-im-internet.de/sgb_9_2018/__2.html" TargetMode="External"/><Relationship Id="rId522" Type="http://schemas.openxmlformats.org/officeDocument/2006/relationships/hyperlink" Target="https://onlineabd.de/online-abd/abd?DatumAuswahl=&amp;Kat=28174" TargetMode="External"/><Relationship Id="rId967" Type="http://schemas.openxmlformats.org/officeDocument/2006/relationships/hyperlink" Target="https://onlineabd.de/online-abd/abd?DatumAuswahl=01.05.2015&amp;Kat=27040" TargetMode="External"/><Relationship Id="rId1152" Type="http://schemas.openxmlformats.org/officeDocument/2006/relationships/hyperlink" Target="https://onlineabd.de/online-abd/abd?DatumAuswahl=&amp;Kat=27017&amp;SubmitDatum=Anzeige" TargetMode="External"/><Relationship Id="rId1597" Type="http://schemas.openxmlformats.org/officeDocument/2006/relationships/hyperlink" Target="http://onlineabd.de/images/downloads/ABD_2005_09_30.pdf" TargetMode="External"/><Relationship Id="rId1818" Type="http://schemas.openxmlformats.org/officeDocument/2006/relationships/hyperlink" Target="https://onlineabd.de/images/Anlagen/Anl64LK.pdf" TargetMode="External"/><Relationship Id="rId96" Type="http://schemas.openxmlformats.org/officeDocument/2006/relationships/hyperlink" Target="https://onlineabd.de/online-abd/abd?DatumAuswahl=01.05.2015&amp;Kat=27616" TargetMode="External"/><Relationship Id="rId161" Type="http://schemas.openxmlformats.org/officeDocument/2006/relationships/hyperlink" Target="https://onlineabd.de/online-abd/abd?DatumAuswahl=01.05.2015&amp;Kat=27051" TargetMode="External"/><Relationship Id="rId399" Type="http://schemas.openxmlformats.org/officeDocument/2006/relationships/hyperlink" Target="https://onlineabd.de/online-abd/abd?DatumAuswahl=01.05.2015&amp;Kat=28236" TargetMode="External"/><Relationship Id="rId827" Type="http://schemas.openxmlformats.org/officeDocument/2006/relationships/hyperlink" Target="https://www.onlineabd.de/online-abd/abd?Kat=27051&amp;DatumAuswahl=" TargetMode="External"/><Relationship Id="rId1012" Type="http://schemas.openxmlformats.org/officeDocument/2006/relationships/hyperlink" Target="https://onlineabd.de/online-abd/abd?DatumAuswahl=01.05.2015&amp;Kat=28200" TargetMode="External"/><Relationship Id="rId1457" Type="http://schemas.openxmlformats.org/officeDocument/2006/relationships/hyperlink" Target="https://www.onlineabd.de/online-abd/abd?Kat=27610&amp;DatumAuswahl=" TargetMode="External"/><Relationship Id="rId1664" Type="http://schemas.openxmlformats.org/officeDocument/2006/relationships/hyperlink" Target="https://onlineabd.de/online-abd/abd?DatumAuswahl=&amp;Kat=29016" TargetMode="External"/><Relationship Id="rId1871" Type="http://schemas.openxmlformats.org/officeDocument/2006/relationships/hyperlink" Target="https://onlineabd.de/online-abd/abd?DatumAuswahl=01.05.2015&amp;Kat=27776" TargetMode="External"/><Relationship Id="rId259" Type="http://schemas.openxmlformats.org/officeDocument/2006/relationships/hyperlink" Target="https://www.gesetze-im-internet.de/stgb/BJNR001270871.html" TargetMode="External"/><Relationship Id="rId466" Type="http://schemas.openxmlformats.org/officeDocument/2006/relationships/hyperlink" Target="https://onlineabd.de/online-abd/abd?DatumAuswahl=01.05.2015&amp;Kat=28189" TargetMode="External"/><Relationship Id="rId673" Type="http://schemas.openxmlformats.org/officeDocument/2006/relationships/hyperlink" Target="https://www.gesetze-im-internet.de/bvg/__1.html" TargetMode="External"/><Relationship Id="rId880" Type="http://schemas.openxmlformats.org/officeDocument/2006/relationships/hyperlink" Target="http://www.gesetze-bayern.de/Content/Document/BayBesG-G2" TargetMode="External"/><Relationship Id="rId1096" Type="http://schemas.openxmlformats.org/officeDocument/2006/relationships/hyperlink" Target="https://onlineabd.de/online-abd/abd?DatumAuswahl=&amp;Kat=28139&amp;SubmitDatum=Anzeige" TargetMode="External"/><Relationship Id="rId1317" Type="http://schemas.openxmlformats.org/officeDocument/2006/relationships/hyperlink" Target="https://onlineabd.de/online-abd/abd?DatumAuswahl=&amp;Kat=27007" TargetMode="External"/><Relationship Id="rId1524" Type="http://schemas.openxmlformats.org/officeDocument/2006/relationships/hyperlink" Target="http://bundesrecht.juris.de/betravg/" TargetMode="External"/><Relationship Id="rId1731" Type="http://schemas.openxmlformats.org/officeDocument/2006/relationships/hyperlink" Target="https://onlineabd.de/online-abd/abd?DatumAuswahl=&amp;Kat=29087" TargetMode="External"/><Relationship Id="rId1969" Type="http://schemas.openxmlformats.org/officeDocument/2006/relationships/hyperlink" Target="http://www.codex-iuris-canonici.de/indexdt.htm" TargetMode="External"/><Relationship Id="rId23" Type="http://schemas.openxmlformats.org/officeDocument/2006/relationships/hyperlink" Target="https://onlineabd.de/online-abd/abd?Kat=28182&amp;DatumAuswahl=" TargetMode="External"/><Relationship Id="rId119" Type="http://schemas.openxmlformats.org/officeDocument/2006/relationships/hyperlink" Target="https://onlineabd.de/online-abd/abd?DatumAuswahl=01.05.2015&amp;Kat=27018" TargetMode="External"/><Relationship Id="rId326" Type="http://schemas.openxmlformats.org/officeDocument/2006/relationships/hyperlink" Target="https://www.gesetze-im-internet.de/sgb_8/__50.html" TargetMode="External"/><Relationship Id="rId533" Type="http://schemas.openxmlformats.org/officeDocument/2006/relationships/hyperlink" Target="https://onlineabd.de/online-abd/abd?Kat=27027&amp;DatumAuswahl=" TargetMode="External"/><Relationship Id="rId978" Type="http://schemas.openxmlformats.org/officeDocument/2006/relationships/hyperlink" Target="https://www.onlineabd.de/online-abd/abd?Kat=27051&amp;DatumAuswahl=" TargetMode="External"/><Relationship Id="rId1163" Type="http://schemas.openxmlformats.org/officeDocument/2006/relationships/hyperlink" Target="http://www.gesetze-bayern.de/Content/Document/BayAVKiBiG-1" TargetMode="External"/><Relationship Id="rId1370" Type="http://schemas.openxmlformats.org/officeDocument/2006/relationships/hyperlink" Target="https://onlineabd.de/online-abd/abd?Kat=27531&amp;DatumAuswahl=" TargetMode="External"/><Relationship Id="rId1829" Type="http://schemas.openxmlformats.org/officeDocument/2006/relationships/hyperlink" Target="https://onlineabd.de/images/Anlagen/Anl53.pdf" TargetMode="External"/><Relationship Id="rId2007" Type="http://schemas.openxmlformats.org/officeDocument/2006/relationships/hyperlink" Target="file:///C:\abd%3fDatumAuswahl=01.05.2015&amp;Kat=28035" TargetMode="External"/><Relationship Id="rId740" Type="http://schemas.openxmlformats.org/officeDocument/2006/relationships/hyperlink" Target="https://www.gesetze-im-internet.de/sgb_7/__9.html" TargetMode="External"/><Relationship Id="rId838" Type="http://schemas.openxmlformats.org/officeDocument/2006/relationships/hyperlink" Target="https://onlineabd.de/online-abd/abd?Kat=28200&amp;DatumAuswahl=" TargetMode="External"/><Relationship Id="rId1023" Type="http://schemas.openxmlformats.org/officeDocument/2006/relationships/hyperlink" Target="http://www.bundesrecht.juris.de/sgb_4/index.html" TargetMode="External"/><Relationship Id="rId1468" Type="http://schemas.openxmlformats.org/officeDocument/2006/relationships/hyperlink" Target="https://onlineabd.de/online-abd/abd?DatumAuswahl=&amp;Kat=27581" TargetMode="External"/><Relationship Id="rId1675" Type="http://schemas.openxmlformats.org/officeDocument/2006/relationships/hyperlink" Target="https://onlineabd.de/online-abd/abd?DatumAuswahl=&amp;Kat=27219" TargetMode="External"/><Relationship Id="rId1882" Type="http://schemas.openxmlformats.org/officeDocument/2006/relationships/hyperlink" Target="https://onlineabd.de/online-abd/abd?DatumAuswahl=01.05.2015&amp;Kat=28884" TargetMode="External"/><Relationship Id="rId172" Type="http://schemas.openxmlformats.org/officeDocument/2006/relationships/hyperlink" Target="http://bundesrecht.juris.de/sgb_6" TargetMode="External"/><Relationship Id="rId477" Type="http://schemas.openxmlformats.org/officeDocument/2006/relationships/hyperlink" Target="https://onlineabd.de/online-abd/abd?DatumAuswahl=01.05.2015&amp;Kat=28178" TargetMode="External"/><Relationship Id="rId600" Type="http://schemas.openxmlformats.org/officeDocument/2006/relationships/hyperlink" Target="https://onlineabd.de/online-abd/abd?DatumAuswahl=01.05.2015&amp;Kat=27030&amp;Itemid=101" TargetMode="External"/><Relationship Id="rId684" Type="http://schemas.openxmlformats.org/officeDocument/2006/relationships/hyperlink" Target="https://onlineabd.de/online-abd/abd?Kat=27240&amp;DatumAuswahl=" TargetMode="External"/><Relationship Id="rId1230" Type="http://schemas.openxmlformats.org/officeDocument/2006/relationships/hyperlink" Target="https://onlineabd.de/online-abd/abd?DatumAuswahl=&amp;Kat=28152" TargetMode="External"/><Relationship Id="rId1328" Type="http://schemas.openxmlformats.org/officeDocument/2006/relationships/hyperlink" Target="https://onlineabd.de/online-abd/abd?DatumAuswahl=&amp;Kat=28170" TargetMode="External"/><Relationship Id="rId1535" Type="http://schemas.openxmlformats.org/officeDocument/2006/relationships/hyperlink" Target="https://onlineabd.de/online-abd/abd?DatumAuswahl=&amp;Kat=27573" TargetMode="External"/><Relationship Id="rId2060" Type="http://schemas.openxmlformats.org/officeDocument/2006/relationships/hyperlink" Target="https://onlineabd.de/online-abd/abd?DatumAuswahl=01.05.2015&amp;Kat=28086" TargetMode="External"/><Relationship Id="rId337" Type="http://schemas.openxmlformats.org/officeDocument/2006/relationships/hyperlink" Target="https://onlineabd.de/online-abd/abd?Kat=27058&amp;DatumAuswahl=" TargetMode="External"/><Relationship Id="rId891" Type="http://schemas.openxmlformats.org/officeDocument/2006/relationships/hyperlink" Target="https://onlineabd.de/online-abd/abd?DatumAuswahl=01.05.2015&amp;Kat=27039" TargetMode="External"/><Relationship Id="rId905" Type="http://schemas.openxmlformats.org/officeDocument/2006/relationships/hyperlink" Target="https://onlineabd.de/online-abd/abd?DatumAuswahl=01.05.2015&amp;Kat=27061" TargetMode="External"/><Relationship Id="rId989" Type="http://schemas.openxmlformats.org/officeDocument/2006/relationships/hyperlink" Target="https://onlineabd.de/online-abd/abd?DatumAuswahl=01.05.2015&amp;Kat=28179" TargetMode="External"/><Relationship Id="rId1742" Type="http://schemas.openxmlformats.org/officeDocument/2006/relationships/hyperlink" Target="http://bundesrecht.juris.de/bbig_2005/" TargetMode="External"/><Relationship Id="rId2018" Type="http://schemas.openxmlformats.org/officeDocument/2006/relationships/hyperlink" Target="https://onlineabd.de/online-abd/abd?DatumAuswahl=01.05.2015&amp;Kat=28046" TargetMode="External"/><Relationship Id="rId34" Type="http://schemas.openxmlformats.org/officeDocument/2006/relationships/hyperlink" Target="https://onlineabd.de/online-abd/abd?DatumAuswahl=01.05.2015&amp;Kat=27030&amp;Itemid=101" TargetMode="External"/><Relationship Id="rId544" Type="http://schemas.openxmlformats.org/officeDocument/2006/relationships/hyperlink" Target="https://onlineabd.de/online-abd/abd?DatumAuswahl=&amp;Kat=27029&amp;SubmitDatum=Anzeige" TargetMode="External"/><Relationship Id="rId751" Type="http://schemas.openxmlformats.org/officeDocument/2006/relationships/hyperlink" Target="https://www.gesetze-im-internet.de/estg/index.html" TargetMode="External"/><Relationship Id="rId849" Type="http://schemas.openxmlformats.org/officeDocument/2006/relationships/hyperlink" Target="https://onlineabd.de/online-abd/abd?Kat=27013&amp;DatumAuswahl=" TargetMode="External"/><Relationship Id="rId1174" Type="http://schemas.openxmlformats.org/officeDocument/2006/relationships/hyperlink" Target="https://onlineabd.de/online-abd/abd?DatumAuswahl=&amp;Kat=27459" TargetMode="External"/><Relationship Id="rId1381" Type="http://schemas.openxmlformats.org/officeDocument/2006/relationships/hyperlink" Target="https://onlineabd.de/online-abd/abd?Kat=29799&amp;DatumAuswahl=" TargetMode="External"/><Relationship Id="rId1479" Type="http://schemas.openxmlformats.org/officeDocument/2006/relationships/hyperlink" Target="https://www.gesetze-im-internet.de/muschg_2018/__3.html" TargetMode="External"/><Relationship Id="rId1602" Type="http://schemas.openxmlformats.org/officeDocument/2006/relationships/hyperlink" Target="http://onlineabd.de/images/downloads/ABD_2005_09_30.pdf" TargetMode="External"/><Relationship Id="rId1686" Type="http://schemas.openxmlformats.org/officeDocument/2006/relationships/hyperlink" Target="http://bundesrecht.juris.de/sgb_5/__45.html" TargetMode="External"/><Relationship Id="rId183" Type="http://schemas.openxmlformats.org/officeDocument/2006/relationships/hyperlink" Target="https://onlineabd.de/online-abd/abd?Kat=27124&amp;DatumAuswahl=" TargetMode="External"/><Relationship Id="rId390" Type="http://schemas.openxmlformats.org/officeDocument/2006/relationships/hyperlink" Target="https://onlineabd.de/online-abd/abd?DatumAuswahl=01.05.2015&amp;Kat=28098" TargetMode="External"/><Relationship Id="rId404" Type="http://schemas.openxmlformats.org/officeDocument/2006/relationships/hyperlink" Target="https://www.gesetze-im-internet.de/sgb_4/__8.html" TargetMode="External"/><Relationship Id="rId611" Type="http://schemas.openxmlformats.org/officeDocument/2006/relationships/hyperlink" Target="https://onlineabd.de/online-abd/abd?DatumAuswahl=01.05.2015&amp;Kat=27211&amp;Itemid=101" TargetMode="External"/><Relationship Id="rId1034" Type="http://schemas.openxmlformats.org/officeDocument/2006/relationships/hyperlink" Target="http://www.gesetze-bayern.de/Content/Document/BayVwV268660-92" TargetMode="External"/><Relationship Id="rId1241" Type="http://schemas.openxmlformats.org/officeDocument/2006/relationships/hyperlink" Target="https://onlineabd.de/online-abd/abd?DatumAuswahl=&amp;Kat=27057" TargetMode="External"/><Relationship Id="rId1339" Type="http://schemas.openxmlformats.org/officeDocument/2006/relationships/hyperlink" Target="https://onlineabd.de/online-abd/abd?Kat=29794&amp;DatumAuswahl=" TargetMode="External"/><Relationship Id="rId1893" Type="http://schemas.openxmlformats.org/officeDocument/2006/relationships/hyperlink" Target="https://onlineabd.de/online-abd/abd?DatumAuswahl=01.05.2015&amp;Kat=27240" TargetMode="External"/><Relationship Id="rId1907" Type="http://schemas.openxmlformats.org/officeDocument/2006/relationships/hyperlink" Target="http://bundesrecht.juris.de/sgb_4" TargetMode="External"/><Relationship Id="rId2071" Type="http://schemas.openxmlformats.org/officeDocument/2006/relationships/hyperlink" Target="https://onlineabd.de/online-abd/abd?DatumAuswahl=01.05.2015&amp;Kat=28035" TargetMode="External"/><Relationship Id="rId250" Type="http://schemas.openxmlformats.org/officeDocument/2006/relationships/hyperlink" Target="https://onlineabd.de/online-abd/abd?DatumAuswahl=01.05.2015&amp;Kat=27035" TargetMode="External"/><Relationship Id="rId488" Type="http://schemas.openxmlformats.org/officeDocument/2006/relationships/hyperlink" Target="https://onlineabd.de/online-abd/abd?DatumAuswahl=01.05.2015&amp;Kat=28235" TargetMode="External"/><Relationship Id="rId695" Type="http://schemas.openxmlformats.org/officeDocument/2006/relationships/hyperlink" Target="https://www.gesetze-im-internet.de/bkgg_1996/index.html" TargetMode="External"/><Relationship Id="rId709" Type="http://schemas.openxmlformats.org/officeDocument/2006/relationships/hyperlink" Target="http://www.gesetze-im-internet.de/rvo/___195_bis_200b.html" TargetMode="External"/><Relationship Id="rId916" Type="http://schemas.openxmlformats.org/officeDocument/2006/relationships/hyperlink" Target="https://onlineabd.de/online-abd/abd?DatumAuswahl=01.05.2015&amp;Kat=27009" TargetMode="External"/><Relationship Id="rId1101" Type="http://schemas.openxmlformats.org/officeDocument/2006/relationships/hyperlink" Target="https://onlineabd.de/online-abd/abd?Kat=29768&amp;DatumAuswahl=" TargetMode="External"/><Relationship Id="rId1546" Type="http://schemas.openxmlformats.org/officeDocument/2006/relationships/hyperlink" Target="https://onlineabd.de/online-abd/abd?DatumAuswahl=&amp;Kat=27573&amp;Itemid=101" TargetMode="External"/><Relationship Id="rId1753" Type="http://schemas.openxmlformats.org/officeDocument/2006/relationships/hyperlink" Target="https://onlineabd.de/online-abd/abd?DatumAuswahl=&amp;Kat=27676" TargetMode="External"/><Relationship Id="rId1960" Type="http://schemas.openxmlformats.org/officeDocument/2006/relationships/hyperlink" Target="https://onlineabd.de/online-abd/abd?Kat=27815&amp;DatumAuswahl=" TargetMode="External"/><Relationship Id="rId45" Type="http://schemas.openxmlformats.org/officeDocument/2006/relationships/hyperlink" Target="https://onlineabd.de/online-abd/abd?DatumAuswahl=01.05.2015&amp;Kat=27058" TargetMode="External"/><Relationship Id="rId110" Type="http://schemas.openxmlformats.org/officeDocument/2006/relationships/hyperlink" Target="https://onlineabd.de/online-abd/abd?DatumAuswahl=01.05.2015&amp;Kat=27626" TargetMode="External"/><Relationship Id="rId348" Type="http://schemas.openxmlformats.org/officeDocument/2006/relationships/hyperlink" Target="https://onlineabd.de/online-abd/abd?Kat=27147&amp;DatumAuswahl=" TargetMode="External"/><Relationship Id="rId555" Type="http://schemas.openxmlformats.org/officeDocument/2006/relationships/hyperlink" Target="https://onlineabd.de/online-abd/abd?DatumAuswahl=01.05.2015&amp;Kat=27220" TargetMode="External"/><Relationship Id="rId762" Type="http://schemas.openxmlformats.org/officeDocument/2006/relationships/hyperlink" Target="https://www.gesetze-im-internet.de/sgb_9_2018/__8.html" TargetMode="External"/><Relationship Id="rId1185" Type="http://schemas.openxmlformats.org/officeDocument/2006/relationships/hyperlink" Target="http://bundesrecht.juris.de/burlg" TargetMode="External"/><Relationship Id="rId1392" Type="http://schemas.openxmlformats.org/officeDocument/2006/relationships/hyperlink" Target="https://onlineabd.de/online-abd/abd?Kat=27531&amp;DatumAuswahl=" TargetMode="External"/><Relationship Id="rId1406" Type="http://schemas.openxmlformats.org/officeDocument/2006/relationships/hyperlink" Target="https://onlineabd.de/online-abd/abd?DatumAuswahl=&amp;Kat=27559" TargetMode="External"/><Relationship Id="rId1613" Type="http://schemas.openxmlformats.org/officeDocument/2006/relationships/hyperlink" Target="https://onlineabd.de/online-abd/abd?DatumAuswahl=01.05.2015&amp;Kat=27648" TargetMode="External"/><Relationship Id="rId1820" Type="http://schemas.openxmlformats.org/officeDocument/2006/relationships/hyperlink" Target="https://onlineabd.de/images/Anlagen/Anl62.pdf" TargetMode="External"/><Relationship Id="rId2029" Type="http://schemas.openxmlformats.org/officeDocument/2006/relationships/hyperlink" Target="file:///C:\abd%3fDatumAuswahl=01.05.2015&amp;Kat=28057" TargetMode="External"/><Relationship Id="rId194" Type="http://schemas.openxmlformats.org/officeDocument/2006/relationships/hyperlink" Target="https://onlineabd.de/online-abd/abd?Kat=27124&amp;DatumAuswahl=" TargetMode="External"/><Relationship Id="rId208" Type="http://schemas.openxmlformats.org/officeDocument/2006/relationships/hyperlink" Target="http://www.onlineabd.de/abd?Kat=27017&amp;DatumAuswahl=" TargetMode="External"/><Relationship Id="rId415" Type="http://schemas.openxmlformats.org/officeDocument/2006/relationships/hyperlink" Target="https://onlineabd.de/online-abd/abd" TargetMode="External"/><Relationship Id="rId622" Type="http://schemas.openxmlformats.org/officeDocument/2006/relationships/hyperlink" Target="https://onlineabd.de/online-abd/abd?Kat=29027&amp;DatumAuswahl=" TargetMode="External"/><Relationship Id="rId1045" Type="http://schemas.openxmlformats.org/officeDocument/2006/relationships/hyperlink" Target="http://www.gesetze-bayern.de/Content/Document/BayLlbG-G4" TargetMode="External"/><Relationship Id="rId1252" Type="http://schemas.openxmlformats.org/officeDocument/2006/relationships/hyperlink" Target="https://www.gesetze-im-internet.de/sgb_9_2018/__2.html" TargetMode="External"/><Relationship Id="rId1697" Type="http://schemas.openxmlformats.org/officeDocument/2006/relationships/hyperlink" Target="http://bundesrecht.juris.de/bbig_2005/" TargetMode="External"/><Relationship Id="rId1918" Type="http://schemas.openxmlformats.org/officeDocument/2006/relationships/hyperlink" Target="https://onlineabd.de/online-abd/abd?DatumAuswahl=01.05.2015&amp;Kat=28216" TargetMode="External"/><Relationship Id="rId2082" Type="http://schemas.openxmlformats.org/officeDocument/2006/relationships/hyperlink" Target="https://onlineabd.de/online-abd/abd?DatumAuswahl=01.05.2015&amp;Kat=27723" TargetMode="External"/><Relationship Id="rId261" Type="http://schemas.openxmlformats.org/officeDocument/2006/relationships/hyperlink" Target="https://www.gesetze-im-internet.de/stgb/__238.html" TargetMode="External"/><Relationship Id="rId499" Type="http://schemas.openxmlformats.org/officeDocument/2006/relationships/hyperlink" Target="http://bundesrecht.juris.de/sgb_5/" TargetMode="External"/><Relationship Id="rId927" Type="http://schemas.openxmlformats.org/officeDocument/2006/relationships/hyperlink" Target="https://onlineabd.de/online-abd/abd?DatumAuswahl=01.05.2015&amp;Kat=27021" TargetMode="External"/><Relationship Id="rId1112" Type="http://schemas.openxmlformats.org/officeDocument/2006/relationships/hyperlink" Target="http://bundesrecht.juris.de/arbzg/index.html" TargetMode="External"/><Relationship Id="rId1557" Type="http://schemas.openxmlformats.org/officeDocument/2006/relationships/hyperlink" Target="http://bundesrecht.juris.de/sgb_6/" TargetMode="External"/><Relationship Id="rId1764" Type="http://schemas.openxmlformats.org/officeDocument/2006/relationships/hyperlink" Target="https://onlineabd.de/images/Anlagen/Koda_Nr_117.pdf" TargetMode="External"/><Relationship Id="rId1971" Type="http://schemas.openxmlformats.org/officeDocument/2006/relationships/hyperlink" Target="https://onlineabd.de/online-abd/abd?Kat=27865&amp;DatumAuswahl=" TargetMode="External"/><Relationship Id="rId56" Type="http://schemas.openxmlformats.org/officeDocument/2006/relationships/hyperlink" Target="https://onlineabd.de/online-abd/abd?Kat=27013&amp;DatumAuswahl=" TargetMode="External"/><Relationship Id="rId359" Type="http://schemas.openxmlformats.org/officeDocument/2006/relationships/hyperlink" Target="https://onlineabd.de/online-abd/abd?DatumAuswahl=01.05.2015&amp;Kat=27159" TargetMode="External"/><Relationship Id="rId566" Type="http://schemas.openxmlformats.org/officeDocument/2006/relationships/hyperlink" Target="https://onlineabd.de/online-abd/abd?Kat=27240&amp;DatumAuswahl=" TargetMode="External"/><Relationship Id="rId773" Type="http://schemas.openxmlformats.org/officeDocument/2006/relationships/hyperlink" Target="https://onlineabd.de/online-abd/abd?DatumAuswahl=&amp;Kat=28186&amp;SubmitDatum=Anzeige" TargetMode="External"/><Relationship Id="rId1196" Type="http://schemas.openxmlformats.org/officeDocument/2006/relationships/hyperlink" Target="https://onlineabd.de/online-abd/abd?DatumAuswahl=&amp;Kat=27482" TargetMode="External"/><Relationship Id="rId1417" Type="http://schemas.openxmlformats.org/officeDocument/2006/relationships/hyperlink" Target="https://onlineabd.de/online-abd/abd?DatumAuswahl=&amp;Kat=27573" TargetMode="External"/><Relationship Id="rId1624" Type="http://schemas.openxmlformats.org/officeDocument/2006/relationships/hyperlink" Target="http://onlineabd.de/images/downloads/ABD_2005_09_30.pdf" TargetMode="External"/><Relationship Id="rId1831" Type="http://schemas.openxmlformats.org/officeDocument/2006/relationships/hyperlink" Target="https://onlineabd.de/images/Anlagen/Anl51.pdf" TargetMode="External"/><Relationship Id="rId121" Type="http://schemas.openxmlformats.org/officeDocument/2006/relationships/hyperlink" Target="https://www.gesetze-im-internet.de/sgb_9_2018/__125.html" TargetMode="External"/><Relationship Id="rId219" Type="http://schemas.openxmlformats.org/officeDocument/2006/relationships/hyperlink" Target="https://www.gesetze-im-internet.de/arbzg/BJNR117100994.html" TargetMode="External"/><Relationship Id="rId426" Type="http://schemas.openxmlformats.org/officeDocument/2006/relationships/hyperlink" Target="https://onlineabd.de/online-abd/abd?DatumAuswahl=01.05.2015&amp;Kat=28185" TargetMode="External"/><Relationship Id="rId633" Type="http://schemas.openxmlformats.org/officeDocument/2006/relationships/hyperlink" Target="https://onlineabd.de/online-abd/abd?Kat=27028&amp;DatumAuswahl=" TargetMode="External"/><Relationship Id="rId980" Type="http://schemas.openxmlformats.org/officeDocument/2006/relationships/hyperlink" Target="https://onlineabd.de/online-abd/abd?DatumAuswahl=01.05.2015&amp;Kat=27055" TargetMode="External"/><Relationship Id="rId1056" Type="http://schemas.openxmlformats.org/officeDocument/2006/relationships/hyperlink" Target="http://www.gesetze-bayern.de/Content/Document/BayLlbG-G4" TargetMode="External"/><Relationship Id="rId1263" Type="http://schemas.openxmlformats.org/officeDocument/2006/relationships/hyperlink" Target="https://onlineabd.de/online-abd/abd?DatumAuswahl=&amp;Kat=29301" TargetMode="External"/><Relationship Id="rId1929" Type="http://schemas.openxmlformats.org/officeDocument/2006/relationships/hyperlink" Target="http://www.gesetze-bayern.de/Content/Document/BayBG" TargetMode="External"/><Relationship Id="rId2093" Type="http://schemas.openxmlformats.org/officeDocument/2006/relationships/hyperlink" Target="http://bundesrecht.juris.de/zpo/__378.html" TargetMode="External"/><Relationship Id="rId2107" Type="http://schemas.openxmlformats.org/officeDocument/2006/relationships/hyperlink" Target="https://onlineabd.de/online-abd/abd?DatumAuswahl=01.05.2015&amp;Kat=28081" TargetMode="External"/><Relationship Id="rId840" Type="http://schemas.openxmlformats.org/officeDocument/2006/relationships/hyperlink" Target="https://onlineabd.de/online-abd/abd?Kat=27069&amp;DatumAuswahl=" TargetMode="External"/><Relationship Id="rId938" Type="http://schemas.openxmlformats.org/officeDocument/2006/relationships/hyperlink" Target="https://onlineabd.de/online-abd/abd?DatumAuswahl=01.05.2015&amp;Kat=28134" TargetMode="External"/><Relationship Id="rId1470" Type="http://schemas.openxmlformats.org/officeDocument/2006/relationships/hyperlink" Target="http://bundesrecht.juris.de/abgg/" TargetMode="External"/><Relationship Id="rId1568" Type="http://schemas.openxmlformats.org/officeDocument/2006/relationships/hyperlink" Target="https://www.gesetze-im-internet.de/muschg_2018/__14.html" TargetMode="External"/><Relationship Id="rId1775" Type="http://schemas.openxmlformats.org/officeDocument/2006/relationships/hyperlink" Target="https://onlineabd.de/images/downloads/Koda_Nr_107.pdf" TargetMode="External"/><Relationship Id="rId67" Type="http://schemas.openxmlformats.org/officeDocument/2006/relationships/hyperlink" Target="https://onlineabd.de/online-abd/abd?Kat=27009&amp;DatumAuswahl=" TargetMode="External"/><Relationship Id="rId272" Type="http://schemas.openxmlformats.org/officeDocument/2006/relationships/hyperlink" Target="https://www.gesetze-im-internet.de/stgb/__241.html" TargetMode="External"/><Relationship Id="rId577" Type="http://schemas.openxmlformats.org/officeDocument/2006/relationships/hyperlink" Target="https://onlineabd.de/online-abd/abd?DatumAuswahl=01.05.2015&amp;Kat=29016&amp;Itemid=101" TargetMode="External"/><Relationship Id="rId700" Type="http://schemas.openxmlformats.org/officeDocument/2006/relationships/hyperlink" Target="https://www.gesetze-im-internet.de/estg/__64.html" TargetMode="External"/><Relationship Id="rId1123" Type="http://schemas.openxmlformats.org/officeDocument/2006/relationships/hyperlink" Target="https://onlineabd.de/online-abd/abd?DatumAuswahl=&amp;Kat=27048&amp;SubmitDatum=Anzeige" TargetMode="External"/><Relationship Id="rId1330" Type="http://schemas.openxmlformats.org/officeDocument/2006/relationships/hyperlink" Target="https://onlineabd.de/online-abd/abd?DatumAuswahl=&amp;Kat=27056" TargetMode="External"/><Relationship Id="rId1428" Type="http://schemas.openxmlformats.org/officeDocument/2006/relationships/hyperlink" Target="https://onlineabd.de/online-abd/abd?DatumAuswahl=&amp;Kat=27587" TargetMode="External"/><Relationship Id="rId1635" Type="http://schemas.openxmlformats.org/officeDocument/2006/relationships/hyperlink" Target="http://onlineabd.de/images/downloads/ABD_2005_09_30.pdf" TargetMode="External"/><Relationship Id="rId1982" Type="http://schemas.openxmlformats.org/officeDocument/2006/relationships/hyperlink" Target="http://www.codex-iuris-canonici.de/indexdt.htm" TargetMode="External"/><Relationship Id="rId132" Type="http://schemas.openxmlformats.org/officeDocument/2006/relationships/hyperlink" Target="https://www.onlineabd.de/online-abd/abd?Kat=27039&amp;DatumAuswahl=" TargetMode="External"/><Relationship Id="rId784" Type="http://schemas.openxmlformats.org/officeDocument/2006/relationships/hyperlink" Target="https://onlineabd.de/online-abd/abd?DatumAuswahl=&amp;Kat=27479&amp;SubmitDatum=Anzeige" TargetMode="External"/><Relationship Id="rId991" Type="http://schemas.openxmlformats.org/officeDocument/2006/relationships/hyperlink" Target="https://onlineabd.de/online-abd/abd?DatumAuswahl=01.05.2015&amp;Kat=27068" TargetMode="External"/><Relationship Id="rId1067" Type="http://schemas.openxmlformats.org/officeDocument/2006/relationships/hyperlink" Target="http://www.gesetze-bayern.de/Content/Document/BayBesG-G2" TargetMode="External"/><Relationship Id="rId1842" Type="http://schemas.openxmlformats.org/officeDocument/2006/relationships/hyperlink" Target="http://www.gesetze-bayern.de/Content/Document/BayBhV/true" TargetMode="External"/><Relationship Id="rId2020" Type="http://schemas.openxmlformats.org/officeDocument/2006/relationships/hyperlink" Target="file:///C:\abd%3fDatumAuswahl=01.05.2015&amp;Kat=28048" TargetMode="External"/><Relationship Id="rId437" Type="http://schemas.openxmlformats.org/officeDocument/2006/relationships/hyperlink" Target="https://onlineabd.de/online-abd/abd?DatumAuswahl=01.05.2015&amp;Kat=27204" TargetMode="External"/><Relationship Id="rId644" Type="http://schemas.openxmlformats.org/officeDocument/2006/relationships/hyperlink" Target="https://onlineabd.de/online-abd/abd?Kat=28178&amp;DatumAuswahl=31.12.2016" TargetMode="External"/><Relationship Id="rId851" Type="http://schemas.openxmlformats.org/officeDocument/2006/relationships/hyperlink" Target="https://onlineabd.de/online-abd/abd?DatumAuswahl=&amp;Kat=28182&amp;SubmitDatum=Anzeige" TargetMode="External"/><Relationship Id="rId1274" Type="http://schemas.openxmlformats.org/officeDocument/2006/relationships/hyperlink" Target="https://www.gesetze-im-internet.de/sgb_4/__17.html" TargetMode="External"/><Relationship Id="rId1481" Type="http://schemas.openxmlformats.org/officeDocument/2006/relationships/hyperlink" Target="https://onlineabd.de/online-abd/abd?DatumAuswahl=&amp;Kat=27039&amp;Itemid=101" TargetMode="External"/><Relationship Id="rId1579" Type="http://schemas.openxmlformats.org/officeDocument/2006/relationships/hyperlink" Target="http://bundesrecht.juris.de/betravg/index.html" TargetMode="External"/><Relationship Id="rId1702" Type="http://schemas.openxmlformats.org/officeDocument/2006/relationships/hyperlink" Target="https://onlineabd.de/online-abd/abd?DatumAuswahl=&amp;Kat=27672" TargetMode="External"/><Relationship Id="rId283" Type="http://schemas.openxmlformats.org/officeDocument/2006/relationships/hyperlink" Target="https://www.gesetze-im-internet.de/einigvtr/art_37.html" TargetMode="External"/><Relationship Id="rId490" Type="http://schemas.openxmlformats.org/officeDocument/2006/relationships/hyperlink" Target="https://onlineabd.de/online-abd/abd?DatumAuswahl=01.05.2015&amp;Kat=27207" TargetMode="External"/><Relationship Id="rId504" Type="http://schemas.openxmlformats.org/officeDocument/2006/relationships/hyperlink" Target="https://onlineabd.de/online-abd/abd?DatumAuswahl=01.05.2015&amp;Kat=28161" TargetMode="External"/><Relationship Id="rId711" Type="http://schemas.openxmlformats.org/officeDocument/2006/relationships/hyperlink" Target="http://www.gesetze-im-internet.de/sgb_6/index.html" TargetMode="External"/><Relationship Id="rId949" Type="http://schemas.openxmlformats.org/officeDocument/2006/relationships/hyperlink" Target="http://www.gesetze-bayern.de/Content/Document/BayLPO_I-111?AspxAutoDetectCookieSupport=1" TargetMode="External"/><Relationship Id="rId1134" Type="http://schemas.openxmlformats.org/officeDocument/2006/relationships/hyperlink" Target="https://onlineabd.de/online-abd/abd?DatumAuswahl=&amp;Kat=27329&amp;SubmitDatum=Anzeige" TargetMode="External"/><Relationship Id="rId1341" Type="http://schemas.openxmlformats.org/officeDocument/2006/relationships/hyperlink" Target="https://onlineabd.de/online-abd/abd?Kat=27526&amp;DatumAuswahl=" TargetMode="External"/><Relationship Id="rId1786" Type="http://schemas.openxmlformats.org/officeDocument/2006/relationships/hyperlink" Target="https://onlineabd.de/images/Anlagen/Koda_Nr_96.pdf" TargetMode="External"/><Relationship Id="rId1993" Type="http://schemas.openxmlformats.org/officeDocument/2006/relationships/hyperlink" Target="https://onlineabd.de/online-abd/abd?Kat=29451&amp;DatumAuswahl=" TargetMode="External"/><Relationship Id="rId78" Type="http://schemas.openxmlformats.org/officeDocument/2006/relationships/hyperlink" Target="https://onlineabd.de/online-abd/abd?DatumAuswahl=01.05.2015&amp;Kat=27039" TargetMode="External"/><Relationship Id="rId143" Type="http://schemas.openxmlformats.org/officeDocument/2006/relationships/hyperlink" Target="https://onlineabd.de/online-abd/abd?Kat=27034&amp;DatumAuswahl=" TargetMode="External"/><Relationship Id="rId350" Type="http://schemas.openxmlformats.org/officeDocument/2006/relationships/hyperlink" Target="https://onlineabd.de/online-abd/abd?DatumAuswahl=01.05.2015&amp;Kat=28231&amp;Itemid=101" TargetMode="External"/><Relationship Id="rId588" Type="http://schemas.openxmlformats.org/officeDocument/2006/relationships/hyperlink" Target="https://onlineabd.de/online-abd/abd?DatumAuswahl=01.05.2015&amp;Kat=27210&amp;Itemid=101" TargetMode="External"/><Relationship Id="rId795" Type="http://schemas.openxmlformats.org/officeDocument/2006/relationships/hyperlink" Target="http://www.gesetze-bayern.de/Content/Document/BayBesG" TargetMode="External"/><Relationship Id="rId809" Type="http://schemas.openxmlformats.org/officeDocument/2006/relationships/hyperlink" Target="http://www.gesetze-bayern.de/Content/Document/BayBesG" TargetMode="External"/><Relationship Id="rId1201" Type="http://schemas.openxmlformats.org/officeDocument/2006/relationships/hyperlink" Target="https://onlineabd.de/online-abd/abd?DatumAuswahl=&amp;Kat=27007" TargetMode="External"/><Relationship Id="rId1439" Type="http://schemas.openxmlformats.org/officeDocument/2006/relationships/hyperlink" Target="https://onlineabd.de/online-abd/abd?DatumAuswahl=&amp;Kat=27593" TargetMode="External"/><Relationship Id="rId1646" Type="http://schemas.openxmlformats.org/officeDocument/2006/relationships/hyperlink" Target="http://www.gesetze-im-internet.de/kschg/index.html" TargetMode="External"/><Relationship Id="rId1853" Type="http://schemas.openxmlformats.org/officeDocument/2006/relationships/hyperlink" Target="http://www.gesetze-bayern.de/Content/Document/BayBhV/true" TargetMode="External"/><Relationship Id="rId2031" Type="http://schemas.openxmlformats.org/officeDocument/2006/relationships/hyperlink" Target="file:///C:\abd%3fDatumAuswahl=01.05.2015&amp;Kat=28059" TargetMode="External"/><Relationship Id="rId9" Type="http://schemas.openxmlformats.org/officeDocument/2006/relationships/header" Target="header1.xml"/><Relationship Id="rId210" Type="http://schemas.openxmlformats.org/officeDocument/2006/relationships/hyperlink" Target="https://www.gesetze-im-internet.de/arbzg/BJNR117100994.html" TargetMode="External"/><Relationship Id="rId448" Type="http://schemas.openxmlformats.org/officeDocument/2006/relationships/hyperlink" Target="https://onlineabd.de/online-abd/abd?DatumAuswahl=01.05.2015&amp;Kat=27204" TargetMode="External"/><Relationship Id="rId655" Type="http://schemas.openxmlformats.org/officeDocument/2006/relationships/hyperlink" Target="https://onlineabd.de/online-abd/abd?DatumAuswahl=&amp;Kat=27210&amp;SubmitDatum=Anzeige" TargetMode="External"/><Relationship Id="rId862" Type="http://schemas.openxmlformats.org/officeDocument/2006/relationships/hyperlink" Target="https://onlineabd.de/online-abd/abd?DatumAuswahl=&amp;Kat=27058&amp;SubmitDatum=Anzeige" TargetMode="External"/><Relationship Id="rId1078" Type="http://schemas.openxmlformats.org/officeDocument/2006/relationships/hyperlink" Target="http://www.gesetze-bayern.de/Content/Document/BayLlbG-G4" TargetMode="External"/><Relationship Id="rId1285" Type="http://schemas.openxmlformats.org/officeDocument/2006/relationships/hyperlink" Target="https://onlineabd.de/online-abd/abd?DatumAuswahl=&amp;Kat=28183" TargetMode="External"/><Relationship Id="rId1492" Type="http://schemas.openxmlformats.org/officeDocument/2006/relationships/hyperlink" Target="http://bundesrecht.juris.de/sgb_6/index.html" TargetMode="External"/><Relationship Id="rId1506" Type="http://schemas.openxmlformats.org/officeDocument/2006/relationships/hyperlink" Target="https://onlineabd.de/online-abd/abd?DatumAuswahl=&amp;Kat=27573" TargetMode="External"/><Relationship Id="rId1713" Type="http://schemas.openxmlformats.org/officeDocument/2006/relationships/hyperlink" Target="https://onlineabd.de/online-abd/abd?DatumAuswahl=&amp;Kat=27519" TargetMode="External"/><Relationship Id="rId1920" Type="http://schemas.openxmlformats.org/officeDocument/2006/relationships/hyperlink" Target="https://onlineabd.de/online-abd/abd?DatumAuswahl=01.05.2015&amp;Kat=28218" TargetMode="External"/><Relationship Id="rId294" Type="http://schemas.openxmlformats.org/officeDocument/2006/relationships/hyperlink" Target="https://www.gesetze-im-internet.de/sgb_9_2018/__2.html" TargetMode="External"/><Relationship Id="rId308" Type="http://schemas.openxmlformats.org/officeDocument/2006/relationships/hyperlink" Target="https://www.gesetze-im-internet.de/sgb_9_2018/__2.html" TargetMode="External"/><Relationship Id="rId515" Type="http://schemas.openxmlformats.org/officeDocument/2006/relationships/hyperlink" Target="https://onlineabd.de/online-abd/abd?DatumAuswahl=01.05.2015&amp;Kat=28162" TargetMode="External"/><Relationship Id="rId722" Type="http://schemas.openxmlformats.org/officeDocument/2006/relationships/hyperlink" Target="https://www.gesetze-im-internet.de/betravg/__1b.html" TargetMode="External"/><Relationship Id="rId1145" Type="http://schemas.openxmlformats.org/officeDocument/2006/relationships/hyperlink" Target="https://onlineabd.de/online-abd/abd?Kat=27353&amp;DatumAuswahl=" TargetMode="External"/><Relationship Id="rId1352" Type="http://schemas.openxmlformats.org/officeDocument/2006/relationships/hyperlink" Target="https://onlineabd.de/online-abd/abd?Kat=27531&amp;DatumAuswahl=" TargetMode="External"/><Relationship Id="rId1797" Type="http://schemas.openxmlformats.org/officeDocument/2006/relationships/hyperlink" Target="https://onlineabd.de/images/Anlagen/Koda_Nr_85.pdf" TargetMode="External"/><Relationship Id="rId89" Type="http://schemas.openxmlformats.org/officeDocument/2006/relationships/hyperlink" Target="http://bundesrecht.juris.de/bgb/__399.html" TargetMode="External"/><Relationship Id="rId154" Type="http://schemas.openxmlformats.org/officeDocument/2006/relationships/hyperlink" Target="https://onlineabd.de/online-abd/abd?DatumAuswahl=01.05.2015&amp;Kat=27758" TargetMode="External"/><Relationship Id="rId361" Type="http://schemas.openxmlformats.org/officeDocument/2006/relationships/hyperlink" Target="https://onlineabd.de/online-abd/abd?DatumAuswahl=01.05.2015&amp;Kat=27479" TargetMode="External"/><Relationship Id="rId599" Type="http://schemas.openxmlformats.org/officeDocument/2006/relationships/hyperlink" Target="https://onlineabd.de/online-abd/abd?DatumAuswahl=01.05.2015&amp;Kat=29016&amp;Itemid=101" TargetMode="External"/><Relationship Id="rId1005" Type="http://schemas.openxmlformats.org/officeDocument/2006/relationships/hyperlink" Target="https://onlineabd.de/online-abd/abd?DatumAuswahl=01.05.2015&amp;Kat=28146" TargetMode="External"/><Relationship Id="rId1212" Type="http://schemas.openxmlformats.org/officeDocument/2006/relationships/hyperlink" Target="https://onlineabd.de/online-abd/abd?DatumAuswahl=&amp;Kat=28182" TargetMode="External"/><Relationship Id="rId1657" Type="http://schemas.openxmlformats.org/officeDocument/2006/relationships/hyperlink" Target="https://onlineabd.de/online-abd/abd?DatumAuswahl=&amp;Kat=27203" TargetMode="External"/><Relationship Id="rId1864" Type="http://schemas.openxmlformats.org/officeDocument/2006/relationships/hyperlink" Target="http://www.gesetze-bayern.de/Content/Document/BayBhV/true" TargetMode="External"/><Relationship Id="rId2042" Type="http://schemas.openxmlformats.org/officeDocument/2006/relationships/hyperlink" Target="https://onlineabd.de/online-abd/abd?DatumAuswahl=01.05.2015&amp;Kat=28070" TargetMode="External"/><Relationship Id="rId459" Type="http://schemas.openxmlformats.org/officeDocument/2006/relationships/hyperlink" Target="https://onlineabd.de/online-abd/abd?DatumAuswahl=01.05.2015&amp;Kat=28235" TargetMode="External"/><Relationship Id="rId666" Type="http://schemas.openxmlformats.org/officeDocument/2006/relationships/hyperlink" Target="https://onlineabd.de/online-abd/abd?Kat=27006&amp;DatumAuswahl=" TargetMode="External"/><Relationship Id="rId873" Type="http://schemas.openxmlformats.org/officeDocument/2006/relationships/hyperlink" Target="https://onlineabd.de/online-abd/abd?DatumAuswahl=&amp;Kat=27030&amp;SubmitDatum=Anzeige" TargetMode="External"/><Relationship Id="rId1089" Type="http://schemas.openxmlformats.org/officeDocument/2006/relationships/hyperlink" Target="https://onlineabd.de/online-abd/abd?DatumAuswahl=&amp;Kat=27198&amp;SubmitDatum=Anzeige" TargetMode="External"/><Relationship Id="rId1296" Type="http://schemas.openxmlformats.org/officeDocument/2006/relationships/hyperlink" Target="https://onlineabd.de/online-abd/abd?DatumAuswahl=&amp;Kat=27049" TargetMode="External"/><Relationship Id="rId1517" Type="http://schemas.openxmlformats.org/officeDocument/2006/relationships/hyperlink" Target="https://onlineabd.de/online-abd/abd?DatumAuswahl=&amp;Kat=27559" TargetMode="External"/><Relationship Id="rId1724" Type="http://schemas.openxmlformats.org/officeDocument/2006/relationships/hyperlink" Target="https://onlineabd.de/online-abd/abd?DatumAuswahl=01.05.2015&amp;Kat=29087" TargetMode="External"/><Relationship Id="rId16" Type="http://schemas.openxmlformats.org/officeDocument/2006/relationships/hyperlink" Target="https://onlineabd.de/online-abd/abd?Kat=28851&amp;DatumAuswahl=" TargetMode="External"/><Relationship Id="rId221" Type="http://schemas.openxmlformats.org/officeDocument/2006/relationships/hyperlink" Target="https://onlineabd.de/online-abd/abd?Kat=27018&amp;DatumAuswahl=" TargetMode="External"/><Relationship Id="rId319" Type="http://schemas.openxmlformats.org/officeDocument/2006/relationships/hyperlink" Target="https://www.gesetze-im-internet.de/sgb_9_2018/__2.html" TargetMode="External"/><Relationship Id="rId526" Type="http://schemas.openxmlformats.org/officeDocument/2006/relationships/hyperlink" Target="https://onlineabd.de/online-abd/abd?DatumAuswahl=01.05.2015&amp;Kat=27040" TargetMode="External"/><Relationship Id="rId1156" Type="http://schemas.openxmlformats.org/officeDocument/2006/relationships/hyperlink" Target="https://onlineabd.de/online-abd/abd?Kat=27360&amp;DatumAuswahl=" TargetMode="External"/><Relationship Id="rId1363" Type="http://schemas.openxmlformats.org/officeDocument/2006/relationships/hyperlink" Target="https://onlineabd.de/online-abd/abd?Kat=27534&amp;DatumAuswahl=" TargetMode="External"/><Relationship Id="rId1931" Type="http://schemas.openxmlformats.org/officeDocument/2006/relationships/hyperlink" Target="http://www.gesetze-bayern.de/Content/Document/BayEUG" TargetMode="External"/><Relationship Id="rId733" Type="http://schemas.openxmlformats.org/officeDocument/2006/relationships/hyperlink" Target="https://www.gesetze-im-internet.de/bgb/__616.html" TargetMode="External"/><Relationship Id="rId940" Type="http://schemas.openxmlformats.org/officeDocument/2006/relationships/hyperlink" Target="https://onlineabd.de/online-abd/abd?DatumAuswahl=01.05.2015&amp;Kat=28160" TargetMode="External"/><Relationship Id="rId1016" Type="http://schemas.openxmlformats.org/officeDocument/2006/relationships/hyperlink" Target="https://onlineabd.de/online-abd/abd?DatumAuswahl=01.05.2015&amp;Kat=28133" TargetMode="External"/><Relationship Id="rId1570" Type="http://schemas.openxmlformats.org/officeDocument/2006/relationships/hyperlink" Target="http://bundesrecht.juris.de/betravg" TargetMode="External"/><Relationship Id="rId1668" Type="http://schemas.openxmlformats.org/officeDocument/2006/relationships/hyperlink" Target="https://onlineabd.de/online-abd/abd?DatumAuswahl=&amp;Kat=28178" TargetMode="External"/><Relationship Id="rId1875" Type="http://schemas.openxmlformats.org/officeDocument/2006/relationships/hyperlink" Target="http://bundesrecht.juris.de/sgb_5" TargetMode="External"/><Relationship Id="rId165" Type="http://schemas.openxmlformats.org/officeDocument/2006/relationships/hyperlink" Target="https://onlineabd.de/online-abd/abd?DatumAuswahl=01.05.2015&amp;Kat=28884" TargetMode="External"/><Relationship Id="rId372" Type="http://schemas.openxmlformats.org/officeDocument/2006/relationships/hyperlink" Target="https://onlineabd.de/online-abd/abd?DatumAuswahl=01.05.2015&amp;Kat=27170&amp;Itemid=101" TargetMode="External"/><Relationship Id="rId677" Type="http://schemas.openxmlformats.org/officeDocument/2006/relationships/hyperlink" Target="https://onlineabd.de/online-abd/abd?DatumAuswahl=01.05.2015&amp;Kat=27102&amp;Itemid=101" TargetMode="External"/><Relationship Id="rId800" Type="http://schemas.openxmlformats.org/officeDocument/2006/relationships/hyperlink" Target="http://www.gesetze-bayern.de/Content/Document/BayBesG-ANL_1" TargetMode="External"/><Relationship Id="rId1223" Type="http://schemas.openxmlformats.org/officeDocument/2006/relationships/hyperlink" Target="http://bundesrecht.juris.de/alttzg_1996/" TargetMode="External"/><Relationship Id="rId1430" Type="http://schemas.openxmlformats.org/officeDocument/2006/relationships/hyperlink" Target="https://onlineabd.de/online-abd/abd?DatumAuswahl=&amp;Kat=27587" TargetMode="External"/><Relationship Id="rId1528" Type="http://schemas.openxmlformats.org/officeDocument/2006/relationships/hyperlink" Target="http://www.gesetze-im-internet.de/betravg/index.html" TargetMode="External"/><Relationship Id="rId2053" Type="http://schemas.openxmlformats.org/officeDocument/2006/relationships/hyperlink" Target="https://onlineabd.de/online-abd/abd?DatumAuswahl=01.05.2015&amp;Kat=28079" TargetMode="External"/><Relationship Id="rId232" Type="http://schemas.openxmlformats.org/officeDocument/2006/relationships/hyperlink" Target="https://onlineabd.de/online-abd/abd?DatumAuswahl=01.05.2015&amp;Kat=28182" TargetMode="External"/><Relationship Id="rId884" Type="http://schemas.openxmlformats.org/officeDocument/2006/relationships/hyperlink" Target="http://bundesrecht.juris.de/sgb_3/__346.html" TargetMode="External"/><Relationship Id="rId1735" Type="http://schemas.openxmlformats.org/officeDocument/2006/relationships/hyperlink" Target="https://www.gesetze-im-internet.de/muschg_2018/__6.html" TargetMode="External"/><Relationship Id="rId1942" Type="http://schemas.openxmlformats.org/officeDocument/2006/relationships/hyperlink" Target="https://onlineabd.de/online-abd/abd?Kat=27815&amp;DatumAuswahl=" TargetMode="External"/><Relationship Id="rId27" Type="http://schemas.openxmlformats.org/officeDocument/2006/relationships/hyperlink" Target="http://onlineabd.de/27482-abd/d/d-4/d-4-8/27482-d-4-8-2007-10-01-2006-01-01" TargetMode="External"/><Relationship Id="rId537" Type="http://schemas.openxmlformats.org/officeDocument/2006/relationships/hyperlink" Target="https://onlineabd.de/online-abd/abd?DatumAuswahl=01.05.2015&amp;Kat=27066&amp;Itemid=101" TargetMode="External"/><Relationship Id="rId744" Type="http://schemas.openxmlformats.org/officeDocument/2006/relationships/hyperlink" Target="https://www.gesetze-im-internet.de/sgb_9_2018/___90_bis_93.html" TargetMode="External"/><Relationship Id="rId951" Type="http://schemas.openxmlformats.org/officeDocument/2006/relationships/hyperlink" Target="https://onlineabd.de/online-abd/abd?Kat=29754&amp;DatumAuswahl=" TargetMode="External"/><Relationship Id="rId1167" Type="http://schemas.openxmlformats.org/officeDocument/2006/relationships/hyperlink" Target="https://onlineabd.de/online-abd/abd?DatumAuswahl=&amp;Kat=27721" TargetMode="External"/><Relationship Id="rId1374" Type="http://schemas.openxmlformats.org/officeDocument/2006/relationships/hyperlink" Target="https://onlineabd.de/online-abd/abd?Kat=27537&amp;DatumAuswahl=" TargetMode="External"/><Relationship Id="rId1581" Type="http://schemas.openxmlformats.org/officeDocument/2006/relationships/hyperlink" Target="https://onlineabd.de/online-abd/abd?DatumAuswahl=&amp;Kat=27042" TargetMode="External"/><Relationship Id="rId1679" Type="http://schemas.openxmlformats.org/officeDocument/2006/relationships/hyperlink" Target="https://onlineabd.de/online-abd/abd?Kat=29026&amp;DatumAuswahl=" TargetMode="External"/><Relationship Id="rId1802" Type="http://schemas.openxmlformats.org/officeDocument/2006/relationships/hyperlink" Target="https://onlineabd.de/images/Anlagen/Anl80.pdf" TargetMode="External"/><Relationship Id="rId80" Type="http://schemas.openxmlformats.org/officeDocument/2006/relationships/hyperlink" Target="https://onlineabd.de/online-abd/abd?DatumAuswahl=01.05.2015&amp;Kat=27039" TargetMode="External"/><Relationship Id="rId176" Type="http://schemas.openxmlformats.org/officeDocument/2006/relationships/hyperlink" Target="https://onlineabd.de/online-abd/abd?DatumAuswahl=01.05.2015&amp;Kat=28182" TargetMode="External"/><Relationship Id="rId383" Type="http://schemas.openxmlformats.org/officeDocument/2006/relationships/hyperlink" Target="https://www.onlineabd.de/online-abd/abd?Kat=27337&amp;DatumAuswahl=" TargetMode="External"/><Relationship Id="rId590" Type="http://schemas.openxmlformats.org/officeDocument/2006/relationships/hyperlink" Target="https://onlineabd.de/online-abd/abd?Kat=29012&amp;DatumAuswahl=" TargetMode="External"/><Relationship Id="rId604" Type="http://schemas.openxmlformats.org/officeDocument/2006/relationships/hyperlink" Target="https://onlineabd.de/online-abd/abd?DatumAuswahl=01.05.2015&amp;Kat=27210&amp;Itemid=101" TargetMode="External"/><Relationship Id="rId811" Type="http://schemas.openxmlformats.org/officeDocument/2006/relationships/hyperlink" Target="http://bundesrecht.juris.de/sgb_6/__168.html" TargetMode="External"/><Relationship Id="rId1027" Type="http://schemas.openxmlformats.org/officeDocument/2006/relationships/hyperlink" Target="http://www.gesetze-bayern.de/Content/Document/BayLlbG-G4" TargetMode="External"/><Relationship Id="rId1234" Type="http://schemas.openxmlformats.org/officeDocument/2006/relationships/hyperlink" Target="http://bundesrecht.juris.de/sgb_5" TargetMode="External"/><Relationship Id="rId1441" Type="http://schemas.openxmlformats.org/officeDocument/2006/relationships/hyperlink" Target="https://onlineabd.de/online-abd/abd?DatumAuswahl=&amp;Kat=27594" TargetMode="External"/><Relationship Id="rId1886" Type="http://schemas.openxmlformats.org/officeDocument/2006/relationships/hyperlink" Target="https://onlineabd.de/online-abd/abd?DatumAuswahl=01.05.2015&amp;Kat=27062" TargetMode="External"/><Relationship Id="rId2064" Type="http://schemas.openxmlformats.org/officeDocument/2006/relationships/hyperlink" Target="http://codex-iuris-canonici.de/indexdt.htm" TargetMode="External"/><Relationship Id="rId243" Type="http://schemas.openxmlformats.org/officeDocument/2006/relationships/hyperlink" Target="https://onlineabd.de/online-abd/abd?DatumAuswahl=01.05.2015&amp;Kat=27212" TargetMode="External"/><Relationship Id="rId450" Type="http://schemas.openxmlformats.org/officeDocument/2006/relationships/hyperlink" Target="https://onlineabd.de/online-abd/abd?DatumAuswahl=01.05.2015&amp;Kat=28235" TargetMode="External"/><Relationship Id="rId688" Type="http://schemas.openxmlformats.org/officeDocument/2006/relationships/hyperlink" Target="https://www.gesetze-im-internet.de/muschg_2018/index.html" TargetMode="External"/><Relationship Id="rId895" Type="http://schemas.openxmlformats.org/officeDocument/2006/relationships/hyperlink" Target="https://onlineabd.de/online-abd/abd?Kat=27050&amp;DatumAuswahl=" TargetMode="External"/><Relationship Id="rId909" Type="http://schemas.openxmlformats.org/officeDocument/2006/relationships/hyperlink" Target="https://onlineabd.de/online-abd/abd?DatumAuswahl=01.05.2015&amp;Kat=28200" TargetMode="External"/><Relationship Id="rId1080" Type="http://schemas.openxmlformats.org/officeDocument/2006/relationships/hyperlink" Target="http://www.gesetze-bayern.de/Content/Document/BayVwV268660-92" TargetMode="External"/><Relationship Id="rId1301" Type="http://schemas.openxmlformats.org/officeDocument/2006/relationships/hyperlink" Target="https://onlineabd.de/online-abd/abd?DatumAuswahl=&amp;Kat=27205" TargetMode="External"/><Relationship Id="rId1539" Type="http://schemas.openxmlformats.org/officeDocument/2006/relationships/hyperlink" Target="https://onlineabd.de/online-abd/abd?DatumAuswahl=&amp;Kat=27581" TargetMode="External"/><Relationship Id="rId1746" Type="http://schemas.openxmlformats.org/officeDocument/2006/relationships/hyperlink" Target="https://onlineabd.de/online-abd/abd?DatumAuswahl=&amp;Kat=27674" TargetMode="External"/><Relationship Id="rId1953" Type="http://schemas.openxmlformats.org/officeDocument/2006/relationships/hyperlink" Target="https://www.onlineabd.de/online-abd/abd?Kat=27855&amp;DatumAuswahl=" TargetMode="External"/><Relationship Id="rId38" Type="http://schemas.openxmlformats.org/officeDocument/2006/relationships/hyperlink" Target="https://onlineabd.de/online-abd/abd?DatumAuswahl=01.05.2015&amp;Kat=28182" TargetMode="External"/><Relationship Id="rId103" Type="http://schemas.openxmlformats.org/officeDocument/2006/relationships/hyperlink" Target="https://onlineabd.de/online-abd/abd?Kat=27547&amp;DatumAuswahl=" TargetMode="External"/><Relationship Id="rId310" Type="http://schemas.openxmlformats.org/officeDocument/2006/relationships/hyperlink" Target="https://www.gesetze-im-internet.de/sgb_9_2018/__2.html" TargetMode="External"/><Relationship Id="rId548" Type="http://schemas.openxmlformats.org/officeDocument/2006/relationships/hyperlink" Target="https://onlineabd.de/online-abd/abd?DatumAuswahl=01.05.2015&amp;Kat=27212" TargetMode="External"/><Relationship Id="rId755" Type="http://schemas.openxmlformats.org/officeDocument/2006/relationships/hyperlink" Target="https://www.gesetze-im-internet.de/bkgg_1996/__3.html" TargetMode="External"/><Relationship Id="rId962" Type="http://schemas.openxmlformats.org/officeDocument/2006/relationships/hyperlink" Target="http://www.gesetze-bayern.de/Content/Document/BayBesG/true" TargetMode="External"/><Relationship Id="rId1178" Type="http://schemas.openxmlformats.org/officeDocument/2006/relationships/hyperlink" Target="https://onlineabd.de/online-abd/abd?DatumAuswahl=&amp;Kat=27467" TargetMode="External"/><Relationship Id="rId1385" Type="http://schemas.openxmlformats.org/officeDocument/2006/relationships/hyperlink" Target="https://onlineabd.de/online-abd/abd?Kat=27535&amp;DatumAuswahl=" TargetMode="External"/><Relationship Id="rId1592" Type="http://schemas.openxmlformats.org/officeDocument/2006/relationships/hyperlink" Target="http://bundesrecht.juris.de/betravg/index.html" TargetMode="External"/><Relationship Id="rId1606" Type="http://schemas.openxmlformats.org/officeDocument/2006/relationships/hyperlink" Target="http://onlineabd.de/images/downloads/ABD_2005_09_30.pdf" TargetMode="External"/><Relationship Id="rId1813" Type="http://schemas.openxmlformats.org/officeDocument/2006/relationships/hyperlink" Target="https://onlineabd.de/images/Anlagen/Anl69.pdf" TargetMode="External"/><Relationship Id="rId91" Type="http://schemas.openxmlformats.org/officeDocument/2006/relationships/hyperlink" Target="https://onlineabd.de/online-abd/abd?DatumAuswahl=01.05.2015&amp;Kat=27626" TargetMode="External"/><Relationship Id="rId187" Type="http://schemas.openxmlformats.org/officeDocument/2006/relationships/hyperlink" Target="http://www.onlineabd.de/abd?Kat=27105&amp;DatumAuswahl=" TargetMode="External"/><Relationship Id="rId394" Type="http://schemas.openxmlformats.org/officeDocument/2006/relationships/hyperlink" Target="https://www.gesetze-im-internet.de/einigvtr/art_37.html" TargetMode="External"/><Relationship Id="rId408" Type="http://schemas.openxmlformats.org/officeDocument/2006/relationships/hyperlink" Target="https://onlineabd.de/online-abd/abd?DatumAuswahl=01.05.2015&amp;Kat=27018&amp;Itemid=101" TargetMode="External"/><Relationship Id="rId615" Type="http://schemas.openxmlformats.org/officeDocument/2006/relationships/hyperlink" Target="https://onlineabd.de/online-abd/abd?Kat=29027&amp;DatumAuswahl=" TargetMode="External"/><Relationship Id="rId822" Type="http://schemas.openxmlformats.org/officeDocument/2006/relationships/hyperlink" Target="https://onlineabd.de/online-abd/abd?Kat=27050&amp;DatumAuswahl=" TargetMode="External"/><Relationship Id="rId1038" Type="http://schemas.openxmlformats.org/officeDocument/2006/relationships/hyperlink" Target="https://onlineabd.de/online-abd/abd?Kat=29764&amp;DatumAuswahl=" TargetMode="External"/><Relationship Id="rId1245" Type="http://schemas.openxmlformats.org/officeDocument/2006/relationships/hyperlink" Target="https://onlineabd.de/online-abd/abd?DatumAuswahl=&amp;Kat=28152" TargetMode="External"/><Relationship Id="rId1452" Type="http://schemas.openxmlformats.org/officeDocument/2006/relationships/hyperlink" Target="https://onlineabd.de/online-abd/abd?DatumAuswahl=&amp;Kat=27604" TargetMode="External"/><Relationship Id="rId1897" Type="http://schemas.openxmlformats.org/officeDocument/2006/relationships/hyperlink" Target="https://onlineabd.de/online-abd/abd?DatumAuswahl=01.05.2015&amp;Kat=27779" TargetMode="External"/><Relationship Id="rId2075" Type="http://schemas.openxmlformats.org/officeDocument/2006/relationships/hyperlink" Target="https://onlineabd.de/online-abd/abd?DatumAuswahl=01.05.2015&amp;Kat=27723" TargetMode="External"/><Relationship Id="rId254" Type="http://schemas.openxmlformats.org/officeDocument/2006/relationships/hyperlink" Target="https://www.gesetze-im-internet.de/stgb/__171.html" TargetMode="External"/><Relationship Id="rId699" Type="http://schemas.openxmlformats.org/officeDocument/2006/relationships/hyperlink" Target="https://www.gesetze-im-internet.de/bkgg_1996/__4.html" TargetMode="External"/><Relationship Id="rId1091" Type="http://schemas.openxmlformats.org/officeDocument/2006/relationships/hyperlink" Target="https://onlineabd.de/online-abd/abd?DatumAuswahl=&amp;Kat=28139&amp;SubmitDatum=Anzeige" TargetMode="External"/><Relationship Id="rId1105" Type="http://schemas.openxmlformats.org/officeDocument/2006/relationships/hyperlink" Target="https://onlineabd.de/online-abd/abd?Kat=29776&amp;DatumAuswahl=" TargetMode="External"/><Relationship Id="rId1312" Type="http://schemas.openxmlformats.org/officeDocument/2006/relationships/hyperlink" Target="https://onlineabd.de/online-abd/abd?DatumAuswahl=&amp;Kat=27210" TargetMode="External"/><Relationship Id="rId1757" Type="http://schemas.openxmlformats.org/officeDocument/2006/relationships/hyperlink" Target="http://www.gesetze-im-internet.de/bbig_2005/__17.html" TargetMode="External"/><Relationship Id="rId1964" Type="http://schemas.openxmlformats.org/officeDocument/2006/relationships/hyperlink" Target="https://onlineabd.de/online-abd/abd?Kat=27851&amp;DatumAuswahl=" TargetMode="External"/><Relationship Id="rId49" Type="http://schemas.openxmlformats.org/officeDocument/2006/relationships/hyperlink" Target="https://onlineabd.de/online-abd/abd?DatumAuswahl=01.05.2015&amp;Kat=27035" TargetMode="External"/><Relationship Id="rId114" Type="http://schemas.openxmlformats.org/officeDocument/2006/relationships/hyperlink" Target="https://onlineabd.de/online-abd/abd?DatumAuswahl=01.05.2015&amp;Kat=27017" TargetMode="External"/><Relationship Id="rId461" Type="http://schemas.openxmlformats.org/officeDocument/2006/relationships/hyperlink" Target="https://onlineabd.de/online-abd/abd?DatumAuswahl=01.05.2015&amp;Kat=28189" TargetMode="External"/><Relationship Id="rId559" Type="http://schemas.openxmlformats.org/officeDocument/2006/relationships/hyperlink" Target="https://onlineabd.de/online-abd/abd?DatumAuswahl=01.05.2015&amp;Kat=28235&amp;Itemid=101" TargetMode="External"/><Relationship Id="rId766" Type="http://schemas.openxmlformats.org/officeDocument/2006/relationships/hyperlink" Target="https://onlineabd.de/online-abd/abd?Kat=27433&amp;DatumAuswahl=" TargetMode="External"/><Relationship Id="rId1189" Type="http://schemas.openxmlformats.org/officeDocument/2006/relationships/hyperlink" Target="https://onlineabd.de/online-abd/abd?DatumAuswahl=&amp;Kat=27482" TargetMode="External"/><Relationship Id="rId1396" Type="http://schemas.openxmlformats.org/officeDocument/2006/relationships/hyperlink" Target="https://onlineabd.de/online-abd/abd?Kat=27530&amp;DatumAuswahl=" TargetMode="External"/><Relationship Id="rId1617" Type="http://schemas.openxmlformats.org/officeDocument/2006/relationships/hyperlink" Target="http://bundesrecht.juris.de/sgb_6/index.html" TargetMode="External"/><Relationship Id="rId1824" Type="http://schemas.openxmlformats.org/officeDocument/2006/relationships/hyperlink" Target="https://onlineabd.de/images/Anlagen/Anl58.pdf" TargetMode="External"/><Relationship Id="rId198" Type="http://schemas.openxmlformats.org/officeDocument/2006/relationships/hyperlink" Target="https://onlineabd.de/online-abd/abd?DatumAuswahl=01.05.2015&amp;Kat=27034" TargetMode="External"/><Relationship Id="rId321" Type="http://schemas.openxmlformats.org/officeDocument/2006/relationships/hyperlink" Target="https://www.gesetze-im-internet.de/sgb_7/__53.html" TargetMode="External"/><Relationship Id="rId419" Type="http://schemas.openxmlformats.org/officeDocument/2006/relationships/hyperlink" Target="https://onlineabd.de/online-abd/abd?DatumAuswahl=01.05.2015&amp;Kat=28164" TargetMode="External"/><Relationship Id="rId626" Type="http://schemas.openxmlformats.org/officeDocument/2006/relationships/hyperlink" Target="https://onlineabd.de/online-abd/abd?Kat=27034&amp;DatumAuswahl=" TargetMode="External"/><Relationship Id="rId973" Type="http://schemas.openxmlformats.org/officeDocument/2006/relationships/hyperlink" Target="https://onlineabd.de/online-abd/abd?DatumAuswahl=01.05.2015&amp;Kat=28236" TargetMode="External"/><Relationship Id="rId1049" Type="http://schemas.openxmlformats.org/officeDocument/2006/relationships/hyperlink" Target="http://www.gesetze-bayern.de/Content/Document/BayBesG-G2" TargetMode="External"/><Relationship Id="rId1256" Type="http://schemas.openxmlformats.org/officeDocument/2006/relationships/hyperlink" Target="https://onlineabd.de/online-abd/abd?DatumAuswahl=&amp;Kat=29305" TargetMode="External"/><Relationship Id="rId2002" Type="http://schemas.openxmlformats.org/officeDocument/2006/relationships/hyperlink" Target="https://onlineabd.de/online-abd/abd?Kat=29465&amp;DatumAuswahl=" TargetMode="External"/><Relationship Id="rId2086" Type="http://schemas.openxmlformats.org/officeDocument/2006/relationships/hyperlink" Target="http://codex-iuris-canonici.de/indexdt.htm" TargetMode="External"/><Relationship Id="rId833" Type="http://schemas.openxmlformats.org/officeDocument/2006/relationships/hyperlink" Target="http://bundesrecht.juris.de/sgb_5/__257.html" TargetMode="External"/><Relationship Id="rId1116" Type="http://schemas.openxmlformats.org/officeDocument/2006/relationships/hyperlink" Target="https://onlineabd.de/online-abd/abd?DatumAuswahl=&amp;Kat=28182&amp;SubmitDatum=Anzeige" TargetMode="External"/><Relationship Id="rId1463" Type="http://schemas.openxmlformats.org/officeDocument/2006/relationships/hyperlink" Target="https://onlineabd.de/online-abd/abd?DatumAuswahl=&amp;Kat=27573&amp;Itemid=101" TargetMode="External"/><Relationship Id="rId1670" Type="http://schemas.openxmlformats.org/officeDocument/2006/relationships/hyperlink" Target="https://onlineabd.de/online-abd/abd?DatumAuswahl=&amp;Kat=27040" TargetMode="External"/><Relationship Id="rId1768" Type="http://schemas.openxmlformats.org/officeDocument/2006/relationships/hyperlink" Target="https://onlineabd.de/images/Anlagen/Koda_Nr_114.pdf" TargetMode="External"/><Relationship Id="rId265" Type="http://schemas.openxmlformats.org/officeDocument/2006/relationships/hyperlink" Target="https://www.gesetze-im-internet.de/stgb/__226.html" TargetMode="External"/><Relationship Id="rId472" Type="http://schemas.openxmlformats.org/officeDocument/2006/relationships/hyperlink" Target="https://onlineabd.de/online-abd/abd?DatumAuswahl=01.05.2015&amp;Kat=28174" TargetMode="External"/><Relationship Id="rId900" Type="http://schemas.openxmlformats.org/officeDocument/2006/relationships/hyperlink" Target="https://onlineabd.de/online-abd/abd?DatumAuswahl=01.05.2015&amp;Kat=27056" TargetMode="External"/><Relationship Id="rId1323" Type="http://schemas.openxmlformats.org/officeDocument/2006/relationships/hyperlink" Target="https://onlineabd.de/online-abd/abd?DatumAuswahl=&amp;Kat=28185" TargetMode="External"/><Relationship Id="rId1530" Type="http://schemas.openxmlformats.org/officeDocument/2006/relationships/hyperlink" Target="http://www.gesetze-im-internet.de/betravg/index.html" TargetMode="External"/><Relationship Id="rId1628" Type="http://schemas.openxmlformats.org/officeDocument/2006/relationships/hyperlink" Target="http://onlineabd.de/images/downloads/ABD_2005_09_30.pdf" TargetMode="External"/><Relationship Id="rId1975" Type="http://schemas.openxmlformats.org/officeDocument/2006/relationships/hyperlink" Target="https://onlineabd.de/online-abd/abd?Kat=27867&amp;DatumAuswahl=" TargetMode="External"/><Relationship Id="rId125" Type="http://schemas.openxmlformats.org/officeDocument/2006/relationships/hyperlink" Target="http://bundesrecht.juris.de/bgb" TargetMode="External"/><Relationship Id="rId332" Type="http://schemas.openxmlformats.org/officeDocument/2006/relationships/hyperlink" Target="https://onlineabd.de/online-abd/abd?DatumAuswahl=01.05.2015&amp;Kat=27342" TargetMode="External"/><Relationship Id="rId777" Type="http://schemas.openxmlformats.org/officeDocument/2006/relationships/hyperlink" Target="https://onlineabd.de/online-abd/abd?Kat=27015&amp;DatumAuswahl=" TargetMode="External"/><Relationship Id="rId984" Type="http://schemas.openxmlformats.org/officeDocument/2006/relationships/hyperlink" Target="https://onlineabd.de/online-abd/abd?DatumAuswahl=01.05.2015&amp;Kat=27054" TargetMode="External"/><Relationship Id="rId1835" Type="http://schemas.openxmlformats.org/officeDocument/2006/relationships/hyperlink" Target="http://codex-iuris-canonici.de/indexdt.htm" TargetMode="External"/><Relationship Id="rId2013" Type="http://schemas.openxmlformats.org/officeDocument/2006/relationships/hyperlink" Target="file:///C:\abd%3fDatumAuswahl=01.05.2015&amp;Kat=28041" TargetMode="External"/><Relationship Id="rId637" Type="http://schemas.openxmlformats.org/officeDocument/2006/relationships/hyperlink" Target="https://onlineabd.de/online-abd/abd?Kat=27028&amp;DatumAuswahl=" TargetMode="External"/><Relationship Id="rId844" Type="http://schemas.openxmlformats.org/officeDocument/2006/relationships/hyperlink" Target="https://onlineabd.de/online-abd/abd?Kat=27009&amp;DatumAuswahl=" TargetMode="External"/><Relationship Id="rId1267" Type="http://schemas.openxmlformats.org/officeDocument/2006/relationships/hyperlink" Target="https://onlineabd.de/online-abd/abd?DatumAuswahl=&amp;Kat=27040&amp;Itemid=101" TargetMode="External"/><Relationship Id="rId1474" Type="http://schemas.openxmlformats.org/officeDocument/2006/relationships/hyperlink" Target="https://onlineabd.de/online-abd/abd?DatumAuswahl=&amp;Kat=27581" TargetMode="External"/><Relationship Id="rId1681" Type="http://schemas.openxmlformats.org/officeDocument/2006/relationships/hyperlink" Target="https://onlineabd.de/online-abd/abd?DatumAuswahl=&amp;Kat=29016" TargetMode="External"/><Relationship Id="rId1902" Type="http://schemas.openxmlformats.org/officeDocument/2006/relationships/hyperlink" Target="https://www.gesetze-im-internet.de/sgb_5/__257.html" TargetMode="External"/><Relationship Id="rId2097" Type="http://schemas.openxmlformats.org/officeDocument/2006/relationships/hyperlink" Target="https://onlineabd.de/online-abd/abd?DatumAuswahl=01.05.2015&amp;Kat=28041" TargetMode="External"/><Relationship Id="rId276" Type="http://schemas.openxmlformats.org/officeDocument/2006/relationships/hyperlink" Target="https://onlineabd.de/online-abd/abd?Kat=27102&amp;DatumAuswahl=" TargetMode="External"/><Relationship Id="rId483" Type="http://schemas.openxmlformats.org/officeDocument/2006/relationships/hyperlink" Target="https://onlineabd.de/online-abd/abd?DatumAuswahl=01.05.2015&amp;Kat=28189" TargetMode="External"/><Relationship Id="rId690" Type="http://schemas.openxmlformats.org/officeDocument/2006/relationships/hyperlink" Target="http://www.gesetze-im-internet.de/sgb_4/index.html" TargetMode="External"/><Relationship Id="rId704" Type="http://schemas.openxmlformats.org/officeDocument/2006/relationships/hyperlink" Target="https://www.gesetze-im-internet.de/estg/__64.html" TargetMode="External"/><Relationship Id="rId911" Type="http://schemas.openxmlformats.org/officeDocument/2006/relationships/hyperlink" Target="https://onlineabd.de/online-abd/abd?DatumAuswahl=01.05.2015&amp;Kat=27069" TargetMode="External"/><Relationship Id="rId1127" Type="http://schemas.openxmlformats.org/officeDocument/2006/relationships/hyperlink" Target="https://onlineabd.de/online-abd/abd?DatumAuswahl=&amp;Kat=27329&amp;SubmitDatum=Anzeige" TargetMode="External"/><Relationship Id="rId1334" Type="http://schemas.openxmlformats.org/officeDocument/2006/relationships/hyperlink" Target="https://onlineabd.de/online-abd/abd?DatumAuswahl=&amp;Kat=27042" TargetMode="External"/><Relationship Id="rId1541" Type="http://schemas.openxmlformats.org/officeDocument/2006/relationships/hyperlink" Target="https://onlineabd.de/online-abd/abd?DatumAuswahl=&amp;Kat=27559" TargetMode="External"/><Relationship Id="rId1779" Type="http://schemas.openxmlformats.org/officeDocument/2006/relationships/hyperlink" Target="https://onlineabd.de/images/Anlagen/Koda_Nr_104.pdf" TargetMode="External"/><Relationship Id="rId1986" Type="http://schemas.openxmlformats.org/officeDocument/2006/relationships/hyperlink" Target="https://onlineabd.de/online-abd/abd?Kat=27157&amp;DatumAuswahl=" TargetMode="External"/><Relationship Id="rId40" Type="http://schemas.openxmlformats.org/officeDocument/2006/relationships/hyperlink" Target="http://www.onlineabd.de/images/Anlagen/Koda_Nr_117.pdf" TargetMode="External"/><Relationship Id="rId136" Type="http://schemas.openxmlformats.org/officeDocument/2006/relationships/hyperlink" Target="https://onlineabd.de/online-abd/abd?DatumAuswahl=01.05.2015&amp;Kat=27014" TargetMode="External"/><Relationship Id="rId343" Type="http://schemas.openxmlformats.org/officeDocument/2006/relationships/hyperlink" Target="https://onlineabd.de/online-abd/abd?Kat=27147&amp;DatumAuswahl=" TargetMode="External"/><Relationship Id="rId550" Type="http://schemas.openxmlformats.org/officeDocument/2006/relationships/hyperlink" Target="https://onlineabd.de/online-abd/abd?DatumAuswahl=01.05.2015&amp;Kat=28183" TargetMode="External"/><Relationship Id="rId788" Type="http://schemas.openxmlformats.org/officeDocument/2006/relationships/hyperlink" Target="https://onlineabd.de/online-abd/abd?DatumAuswahl=&amp;Kat=28134&amp;SubmitDatum=Anzeige" TargetMode="External"/><Relationship Id="rId995" Type="http://schemas.openxmlformats.org/officeDocument/2006/relationships/hyperlink" Target="https://onlineabd.de/online-abd/abd?DatumAuswahl=01.05.2015&amp;Kat=27491" TargetMode="External"/><Relationship Id="rId1180" Type="http://schemas.openxmlformats.org/officeDocument/2006/relationships/hyperlink" Target="https://onlineabd.de/online-abd/abd?DatumAuswahl=&amp;Kat=27017" TargetMode="External"/><Relationship Id="rId1401" Type="http://schemas.openxmlformats.org/officeDocument/2006/relationships/hyperlink" Target="https://onlineabd.de/online-abd/abd?DatumAuswahl=&amp;Kat=27549" TargetMode="External"/><Relationship Id="rId1639" Type="http://schemas.openxmlformats.org/officeDocument/2006/relationships/hyperlink" Target="http://bundesrecht.juris.de/sgb_6/__236a.html" TargetMode="External"/><Relationship Id="rId1846" Type="http://schemas.openxmlformats.org/officeDocument/2006/relationships/hyperlink" Target="http://www.gesetze-im-internet.de/sgb_5/" TargetMode="External"/><Relationship Id="rId2024" Type="http://schemas.openxmlformats.org/officeDocument/2006/relationships/hyperlink" Target="file:///C:\abd%3fDatumAuswahl=01.05.2015&amp;Kat=28052" TargetMode="External"/><Relationship Id="rId203" Type="http://schemas.openxmlformats.org/officeDocument/2006/relationships/hyperlink" Target="https://onlineabd.de/online-abd/abd?Kat=28182&amp;DatumAuswahl=" TargetMode="External"/><Relationship Id="rId648" Type="http://schemas.openxmlformats.org/officeDocument/2006/relationships/hyperlink" Target="https://onlineabd.de/online-abd/abd?Kat=27027&amp;DatumAuswahl=" TargetMode="External"/><Relationship Id="rId855" Type="http://schemas.openxmlformats.org/officeDocument/2006/relationships/hyperlink" Target="https://onlineabd.de/online-abd/abd?DatumAuswahl=&amp;Kat=27021&amp;SubmitDatum=Anzeige" TargetMode="External"/><Relationship Id="rId1040" Type="http://schemas.openxmlformats.org/officeDocument/2006/relationships/hyperlink" Target="https://onlineabd.de/online-abd/abd?Kat=29764&amp;DatumAuswahl=" TargetMode="External"/><Relationship Id="rId1278" Type="http://schemas.openxmlformats.org/officeDocument/2006/relationships/hyperlink" Target="https://onlineabd.de/online-abd/abd?DatumAuswahl=&amp;Kat=27219" TargetMode="External"/><Relationship Id="rId1485" Type="http://schemas.openxmlformats.org/officeDocument/2006/relationships/hyperlink" Target="http://bundesrecht.juris.de/estg/" TargetMode="External"/><Relationship Id="rId1692" Type="http://schemas.openxmlformats.org/officeDocument/2006/relationships/hyperlink" Target="https://onlineabd.de/online-abd/abd?DatumAuswahl=&amp;Kat=28184" TargetMode="External"/><Relationship Id="rId1706" Type="http://schemas.openxmlformats.org/officeDocument/2006/relationships/hyperlink" Target="https://onlineabd.de/online-abd/abd?DatumAuswahl=&amp;Kat=27672" TargetMode="External"/><Relationship Id="rId1913" Type="http://schemas.openxmlformats.org/officeDocument/2006/relationships/hyperlink" Target="https://www.gesetze-im-internet.de/sgb_4/__8.html" TargetMode="External"/><Relationship Id="rId287" Type="http://schemas.openxmlformats.org/officeDocument/2006/relationships/hyperlink" Target="https://onlineabd.de/online-abd/abd?Kat=27030&amp;DatumAuswahl=" TargetMode="External"/><Relationship Id="rId410" Type="http://schemas.openxmlformats.org/officeDocument/2006/relationships/hyperlink" Target="https://onlineabd.de/online-abd/abd?DatumAuswahl=01.05.2015&amp;Kat=28190&amp;Itemid=101" TargetMode="External"/><Relationship Id="rId494" Type="http://schemas.openxmlformats.org/officeDocument/2006/relationships/hyperlink" Target="http://www.gesetze-im-internet.de/bkgg_1996/index.html" TargetMode="External"/><Relationship Id="rId508" Type="http://schemas.openxmlformats.org/officeDocument/2006/relationships/hyperlink" Target="https://onlineabd.de/online-abd/abd?DatumAuswahl=01.05.2015&amp;Kat=28167" TargetMode="External"/><Relationship Id="rId715" Type="http://schemas.openxmlformats.org/officeDocument/2006/relationships/hyperlink" Target="http://www.gesetze-im-internet.de/bukg_1990/__4.html" TargetMode="External"/><Relationship Id="rId922" Type="http://schemas.openxmlformats.org/officeDocument/2006/relationships/hyperlink" Target="https://onlineabd.de/online-abd/abd?DatumAuswahl=01.05.2015&amp;Kat=27014" TargetMode="External"/><Relationship Id="rId1138" Type="http://schemas.openxmlformats.org/officeDocument/2006/relationships/hyperlink" Target="https://onlineabd.de/online-abd/abd?DatumAuswahl=&amp;Kat=27347&amp;SubmitDatum=Anzeige" TargetMode="External"/><Relationship Id="rId1345" Type="http://schemas.openxmlformats.org/officeDocument/2006/relationships/hyperlink" Target="https://onlineabd.de/online-abd/abd?Kat=27534&amp;DatumAuswahl=" TargetMode="External"/><Relationship Id="rId1552" Type="http://schemas.openxmlformats.org/officeDocument/2006/relationships/hyperlink" Target="https://www.gesetze-im-internet.de/sgb_6/" TargetMode="External"/><Relationship Id="rId1997" Type="http://schemas.openxmlformats.org/officeDocument/2006/relationships/hyperlink" Target="https://onlineabd.de/online-abd/abd?Kat=29451&amp;DatumAuswahl=" TargetMode="External"/><Relationship Id="rId147" Type="http://schemas.openxmlformats.org/officeDocument/2006/relationships/hyperlink" Target="https://www.gesetze-im-internet.de/sgb_9_2018/__175.html" TargetMode="External"/><Relationship Id="rId354" Type="http://schemas.openxmlformats.org/officeDocument/2006/relationships/hyperlink" Target="https://onlineabd.de/online-abd/abd?DatumAuswahl=01.05.2015&amp;Kat=27159" TargetMode="External"/><Relationship Id="rId799" Type="http://schemas.openxmlformats.org/officeDocument/2006/relationships/hyperlink" Target="https://onlineabd.de/online-abd/abd?Kat=29754&amp;DatumAuswahl=" TargetMode="External"/><Relationship Id="rId1191" Type="http://schemas.openxmlformats.org/officeDocument/2006/relationships/hyperlink" Target="https://onlineabd.de/online-abd/abd?DatumAuswahl=&amp;Kat=27017" TargetMode="External"/><Relationship Id="rId1205" Type="http://schemas.openxmlformats.org/officeDocument/2006/relationships/hyperlink" Target="https://www.gesetze-im-internet.de/muschg_2018/__3.html" TargetMode="External"/><Relationship Id="rId1857" Type="http://schemas.openxmlformats.org/officeDocument/2006/relationships/hyperlink" Target="http://www.gesetze-bayern.de/Content/Document/BayBhV/true" TargetMode="External"/><Relationship Id="rId2035" Type="http://schemas.openxmlformats.org/officeDocument/2006/relationships/hyperlink" Target="file:///C:\abd%3fDatumAuswahl=01.05.2015&amp;Kat=28063" TargetMode="External"/><Relationship Id="rId51" Type="http://schemas.openxmlformats.org/officeDocument/2006/relationships/hyperlink" Target="https://onlineabd.de/online-abd/abd?DatumAuswahl=01.05.2015&amp;Kat=28187" TargetMode="External"/><Relationship Id="rId561" Type="http://schemas.openxmlformats.org/officeDocument/2006/relationships/hyperlink" Target="https://onlineabd.de/online-abd/abd?DatumAuswahl=01.05.2015&amp;Kat=27200" TargetMode="External"/><Relationship Id="rId659" Type="http://schemas.openxmlformats.org/officeDocument/2006/relationships/hyperlink" Target="https://onlineabd.de/online-abd/abd?Kat=27034&amp;DatumAuswahl=28.02.2017" TargetMode="External"/><Relationship Id="rId866" Type="http://schemas.openxmlformats.org/officeDocument/2006/relationships/hyperlink" Target="https://onlineabd.de/online-abd/abd?DatumAuswahl=&amp;Kat=28146&amp;SubmitDatum=Anzeige" TargetMode="External"/><Relationship Id="rId1289" Type="http://schemas.openxmlformats.org/officeDocument/2006/relationships/hyperlink" Target="https://onlineabd.de/online-abd/abd?DatumAuswahl=&amp;Kat=27521" TargetMode="External"/><Relationship Id="rId1412" Type="http://schemas.openxmlformats.org/officeDocument/2006/relationships/hyperlink" Target="https://onlineabd.de/online-abd/abd?DatumAuswahl=&amp;Kat=27573" TargetMode="External"/><Relationship Id="rId1496" Type="http://schemas.openxmlformats.org/officeDocument/2006/relationships/hyperlink" Target="https://onlineabd.de/online-abd/abd?DatumAuswahl=&amp;Kat=27573&amp;Itemid=101" TargetMode="External"/><Relationship Id="rId1717" Type="http://schemas.openxmlformats.org/officeDocument/2006/relationships/hyperlink" Target="https://onlineabd.de/online-abd/abd?DatumAuswahl=&amp;Kat=27036" TargetMode="External"/><Relationship Id="rId1924" Type="http://schemas.openxmlformats.org/officeDocument/2006/relationships/hyperlink" Target="http://www.gesetze-bayern.de/Content/Document/BayEUG-30a" TargetMode="External"/><Relationship Id="rId214" Type="http://schemas.openxmlformats.org/officeDocument/2006/relationships/hyperlink" Target="https://www.gesetze-im-internet.de/arbzg/BJNR117100994.html" TargetMode="External"/><Relationship Id="rId298" Type="http://schemas.openxmlformats.org/officeDocument/2006/relationships/hyperlink" Target="https://www.gesetze-im-internet.de/sgb_9_2018/__2.html" TargetMode="External"/><Relationship Id="rId421" Type="http://schemas.openxmlformats.org/officeDocument/2006/relationships/hyperlink" Target="https://onlineabd.de/online-abd/abd?DatumAuswahl=01.05.2015&amp;Kat=28174" TargetMode="External"/><Relationship Id="rId519" Type="http://schemas.openxmlformats.org/officeDocument/2006/relationships/hyperlink" Target="https://onlineabd.de/online-abd/abd?Kat=27055&amp;DatumAuswahl=" TargetMode="External"/><Relationship Id="rId1051" Type="http://schemas.openxmlformats.org/officeDocument/2006/relationships/hyperlink" Target="http://www.gesetze-bayern.de/Content/Document/BayLlbG-G4" TargetMode="External"/><Relationship Id="rId1149" Type="http://schemas.openxmlformats.org/officeDocument/2006/relationships/hyperlink" Target="https://onlineabd.de/online-abd/abd?Kat=27362&amp;DatumAuswahl=" TargetMode="External"/><Relationship Id="rId1356" Type="http://schemas.openxmlformats.org/officeDocument/2006/relationships/hyperlink" Target="https://onlineabd.de/online-abd/abd?Kat=27531&amp;DatumAuswahl=" TargetMode="External"/><Relationship Id="rId2102" Type="http://schemas.openxmlformats.org/officeDocument/2006/relationships/hyperlink" Target="https://onlineabd.de/online-abd/abd?DatumAuswahl=01.05.2015&amp;Kat=27723" TargetMode="External"/><Relationship Id="rId158" Type="http://schemas.openxmlformats.org/officeDocument/2006/relationships/hyperlink" Target="https://onlineabd.de/online-abd/abd?DatumAuswahl=01.05.2015&amp;Kat=27791" TargetMode="External"/><Relationship Id="rId726" Type="http://schemas.openxmlformats.org/officeDocument/2006/relationships/hyperlink" Target="https://www.gesetze-im-internet.de/betravg/__1b.html" TargetMode="External"/><Relationship Id="rId933" Type="http://schemas.openxmlformats.org/officeDocument/2006/relationships/hyperlink" Target="https://onlineabd.de/online-abd/abd?DatumAuswahl=01.05.2015&amp;Kat=27479" TargetMode="External"/><Relationship Id="rId1009" Type="http://schemas.openxmlformats.org/officeDocument/2006/relationships/hyperlink" Target="https://onlineabd.de/online-abd/abd?DatumAuswahl=01.05.2015&amp;Kat=28132" TargetMode="External"/><Relationship Id="rId1563" Type="http://schemas.openxmlformats.org/officeDocument/2006/relationships/hyperlink" Target="https://onlineabd.de/online-abd/abd?DatumAuswahl=&amp;Kat=27622" TargetMode="External"/><Relationship Id="rId1770" Type="http://schemas.openxmlformats.org/officeDocument/2006/relationships/hyperlink" Target="https://onlineabd.de/images/Anlagen/Koda_Nr_112_Endfassung.pdf" TargetMode="External"/><Relationship Id="rId1868" Type="http://schemas.openxmlformats.org/officeDocument/2006/relationships/hyperlink" Target="https://onlineabd.de/online-abd/abd?DatumAuswahl=01.05.2015&amp;Kat=27776" TargetMode="External"/><Relationship Id="rId62" Type="http://schemas.openxmlformats.org/officeDocument/2006/relationships/hyperlink" Target="http://onlineabd.de/27037-abd/a/a-1/a-1-3/a-1-3-12/28856-a-1-3-12-2009-01-01-2008-12-09" TargetMode="External"/><Relationship Id="rId365" Type="http://schemas.openxmlformats.org/officeDocument/2006/relationships/hyperlink" Target="https://onlineabd.de/online-abd/abd?DatumAuswahl=01.05.2015&amp;Kat=27018" TargetMode="External"/><Relationship Id="rId572" Type="http://schemas.openxmlformats.org/officeDocument/2006/relationships/hyperlink" Target="https://onlineabd.de/online-abd/abd?DatumAuswahl=01.05.2015&amp;Kat=29016&amp;Itemid=101" TargetMode="External"/><Relationship Id="rId1216" Type="http://schemas.openxmlformats.org/officeDocument/2006/relationships/hyperlink" Target="http://onlineabd.de/images/downloads/ABD_2005_09_30.pdf" TargetMode="External"/><Relationship Id="rId1423" Type="http://schemas.openxmlformats.org/officeDocument/2006/relationships/hyperlink" Target="http://www.onlineabd.de/abd?Kat=27581&amp;DatumAuswahl=" TargetMode="External"/><Relationship Id="rId1630" Type="http://schemas.openxmlformats.org/officeDocument/2006/relationships/hyperlink" Target="http://onlineabd.de/images/downloads/ABD_2005_09_30.pdf" TargetMode="External"/><Relationship Id="rId2046" Type="http://schemas.openxmlformats.org/officeDocument/2006/relationships/hyperlink" Target="file:///C:\abd%3fDatumAuswahl=01.05.2015&amp;Kat=28074" TargetMode="External"/><Relationship Id="rId225" Type="http://schemas.openxmlformats.org/officeDocument/2006/relationships/hyperlink" Target="https://onlineabd.de/online-abd/abd?Kat=28184&amp;DatumAuswahl=" TargetMode="External"/><Relationship Id="rId432" Type="http://schemas.openxmlformats.org/officeDocument/2006/relationships/hyperlink" Target="https://onlineabd.de/online-abd/abd?DatumAuswahl=01.05.2015&amp;Kat=27007" TargetMode="External"/><Relationship Id="rId877" Type="http://schemas.openxmlformats.org/officeDocument/2006/relationships/hyperlink" Target="http://www.gesetze-bayern.de/Content/Document/BayBesG-G4" TargetMode="External"/><Relationship Id="rId1062" Type="http://schemas.openxmlformats.org/officeDocument/2006/relationships/hyperlink" Target="http://www.gesetze-bayern.de/Content/Document/BayLlbG-G4" TargetMode="External"/><Relationship Id="rId1728" Type="http://schemas.openxmlformats.org/officeDocument/2006/relationships/hyperlink" Target="https://onlineabd.de/online-abd/abd?DatumAuswahl=&amp;Kat=29087" TargetMode="External"/><Relationship Id="rId1935" Type="http://schemas.openxmlformats.org/officeDocument/2006/relationships/hyperlink" Target="http://www.gesetze-bayern.de/Content/Document/BayEUG" TargetMode="External"/><Relationship Id="rId2113" Type="http://schemas.openxmlformats.org/officeDocument/2006/relationships/hyperlink" Target="https://onlineabd.de/online-abd/abd?Kat=27854&amp;DatumAuswahl=" TargetMode="External"/><Relationship Id="rId737" Type="http://schemas.openxmlformats.org/officeDocument/2006/relationships/hyperlink" Target="https://www.gesetze-im-internet.de/sgb_4/__8.html" TargetMode="External"/><Relationship Id="rId944" Type="http://schemas.openxmlformats.org/officeDocument/2006/relationships/hyperlink" Target="http://www.gesetze-bayern.de/Content/Document/BayBesG" TargetMode="External"/><Relationship Id="rId1367" Type="http://schemas.openxmlformats.org/officeDocument/2006/relationships/hyperlink" Target="https://onlineabd.de/online-abd/abd?Kat=27535&amp;DatumAuswahl=" TargetMode="External"/><Relationship Id="rId1574" Type="http://schemas.openxmlformats.org/officeDocument/2006/relationships/hyperlink" Target="http://bundesrecht.juris.de/estg" TargetMode="External"/><Relationship Id="rId1781" Type="http://schemas.openxmlformats.org/officeDocument/2006/relationships/hyperlink" Target="https://onlineabd.de/images/Anlagen/Koda_Nr_102.pdf" TargetMode="External"/><Relationship Id="rId73" Type="http://schemas.openxmlformats.org/officeDocument/2006/relationships/hyperlink" Target="https://onlineabd.de/online-abd/abd?DatumAuswahl=01.05.2015&amp;Kat=27040" TargetMode="External"/><Relationship Id="rId169" Type="http://schemas.openxmlformats.org/officeDocument/2006/relationships/hyperlink" Target="https://onlineabd.de/online-abd/abd?DatumAuswahl=01.05.2015&amp;Kat=29654" TargetMode="External"/><Relationship Id="rId376" Type="http://schemas.openxmlformats.org/officeDocument/2006/relationships/hyperlink" Target="https://onlineabd.de/online-abd/abd?DatumAuswahl=01.05.2015&amp;Kat=27170&amp;Itemid=101" TargetMode="External"/><Relationship Id="rId583" Type="http://schemas.openxmlformats.org/officeDocument/2006/relationships/hyperlink" Target="https://onlineabd.de/online-abd/abd?DatumAuswahl=01.05.2015&amp;Kat=27042&amp;Itemid=101" TargetMode="External"/><Relationship Id="rId790" Type="http://schemas.openxmlformats.org/officeDocument/2006/relationships/hyperlink" Target="https://onlineabd.de/online-abd/abd?DatumAuswahl=&amp;Kat=28160&amp;SubmitDatum=Anzeige" TargetMode="External"/><Relationship Id="rId804" Type="http://schemas.openxmlformats.org/officeDocument/2006/relationships/hyperlink" Target="http://www.gesetze-bayern.de/Content/Document/BayBesG-G1" TargetMode="External"/><Relationship Id="rId1227" Type="http://schemas.openxmlformats.org/officeDocument/2006/relationships/hyperlink" Target="https://onlineabd.de/online-abd/abd?DatumAuswahl=&amp;Kat=28150" TargetMode="External"/><Relationship Id="rId1434" Type="http://schemas.openxmlformats.org/officeDocument/2006/relationships/hyperlink" Target="https://onlineabd.de/online-abd/abd?DatumAuswahl=&amp;Kat=27589" TargetMode="External"/><Relationship Id="rId1641" Type="http://schemas.openxmlformats.org/officeDocument/2006/relationships/hyperlink" Target="http://onlineabd.de/images/downloads/ABD_2005_09_30.pdf" TargetMode="External"/><Relationship Id="rId1879" Type="http://schemas.openxmlformats.org/officeDocument/2006/relationships/hyperlink" Target="http://bundesrecht.juris.de/sgb_5" TargetMode="External"/><Relationship Id="rId2057" Type="http://schemas.openxmlformats.org/officeDocument/2006/relationships/hyperlink" Target="https://onlineabd.de/online-abd/abd?DatumAuswahl=01.05.2015&amp;Kat=28083" TargetMode="External"/><Relationship Id="rId4" Type="http://schemas.microsoft.com/office/2007/relationships/stylesWithEffects" Target="stylesWithEffects.xml"/><Relationship Id="rId236" Type="http://schemas.openxmlformats.org/officeDocument/2006/relationships/hyperlink" Target="https://onlineabd.de/online-abd/abd?DatumAuswahl=01.05.2015&amp;Kat=27102" TargetMode="External"/><Relationship Id="rId443" Type="http://schemas.openxmlformats.org/officeDocument/2006/relationships/hyperlink" Target="https://onlineabd.de/online-abd/abd?DatumAuswahl=01.05.2015&amp;Kat=28185" TargetMode="External"/><Relationship Id="rId650" Type="http://schemas.openxmlformats.org/officeDocument/2006/relationships/hyperlink" Target="https://onlineabd.de/online-abd/abd?Kat=27102&amp;DatumAuswahl=" TargetMode="External"/><Relationship Id="rId888" Type="http://schemas.openxmlformats.org/officeDocument/2006/relationships/hyperlink" Target="https://onlineabd.de/online-abd/abd?DatumAuswahl=&amp;Kat=27049&amp;SubmitDatum=Anzeige" TargetMode="External"/><Relationship Id="rId1073" Type="http://schemas.openxmlformats.org/officeDocument/2006/relationships/hyperlink" Target="http://www.gesetze-bayern.de/Content/Document/BayBesG-G2" TargetMode="External"/><Relationship Id="rId1280" Type="http://schemas.openxmlformats.org/officeDocument/2006/relationships/hyperlink" Target="https://onlineabd.de/online-abd/abd?DatumAuswahl=&amp;Kat=27029" TargetMode="External"/><Relationship Id="rId1501" Type="http://schemas.openxmlformats.org/officeDocument/2006/relationships/hyperlink" Target="https://onlineabd.de/online-abd/abd?DatumAuswahl=&amp;Kat=27612" TargetMode="External"/><Relationship Id="rId1739" Type="http://schemas.openxmlformats.org/officeDocument/2006/relationships/hyperlink" Target="https://www.gesetze-im-internet.de/milog/__22.html" TargetMode="External"/><Relationship Id="rId1946" Type="http://schemas.openxmlformats.org/officeDocument/2006/relationships/hyperlink" Target="https://onlineabd.de/online-abd/abd?Kat=27818&amp;DatumAuswahl=" TargetMode="External"/><Relationship Id="rId303" Type="http://schemas.openxmlformats.org/officeDocument/2006/relationships/hyperlink" Target="https://www.gesetze-im-internet.de/sgb_9_2018/__2.html" TargetMode="External"/><Relationship Id="rId748" Type="http://schemas.openxmlformats.org/officeDocument/2006/relationships/hyperlink" Target="https://www.gesetze-im-internet.de/bkgg_1996/index.html" TargetMode="External"/><Relationship Id="rId955" Type="http://schemas.openxmlformats.org/officeDocument/2006/relationships/hyperlink" Target="http://www.gesetze-bayern.de/Content/Document/BayBesG-G1" TargetMode="External"/><Relationship Id="rId1140" Type="http://schemas.openxmlformats.org/officeDocument/2006/relationships/hyperlink" Target="https://onlineabd.de/online-abd/abd?DatumAuswahl=&amp;Kat=27014&amp;SubmitDatum=Anzeige" TargetMode="External"/><Relationship Id="rId1378" Type="http://schemas.openxmlformats.org/officeDocument/2006/relationships/hyperlink" Target="https://onlineabd.de/online-abd/abd?Kat=27539&amp;DatumAuswahl=" TargetMode="External"/><Relationship Id="rId1585" Type="http://schemas.openxmlformats.org/officeDocument/2006/relationships/hyperlink" Target="http://bundesrecht.juris.de/estg/index.html" TargetMode="External"/><Relationship Id="rId1792" Type="http://schemas.openxmlformats.org/officeDocument/2006/relationships/hyperlink" Target="https://onlineabd.de/images/Anlagen/Koda_Nr_90.pdf" TargetMode="External"/><Relationship Id="rId1806" Type="http://schemas.openxmlformats.org/officeDocument/2006/relationships/hyperlink" Target="https://onlineabd.de/images/Anlagen/Koda_Nr_76.pdf" TargetMode="External"/><Relationship Id="rId84" Type="http://schemas.openxmlformats.org/officeDocument/2006/relationships/hyperlink" Target="http://bundesrecht.juris.de/entgfg/index.html" TargetMode="External"/><Relationship Id="rId387" Type="http://schemas.openxmlformats.org/officeDocument/2006/relationships/hyperlink" Target="https://onlineabd.de/online-abd/abd?DatumAuswahl=01.05.2015&amp;Kat=28090" TargetMode="External"/><Relationship Id="rId510" Type="http://schemas.openxmlformats.org/officeDocument/2006/relationships/hyperlink" Target="https://onlineabd.de/online-abd/abd?DatumAuswahl=01.05.2015&amp;Kat=28162" TargetMode="External"/><Relationship Id="rId594" Type="http://schemas.openxmlformats.org/officeDocument/2006/relationships/hyperlink" Target="https://onlineabd.de/online-abd/abd?Kat=27210&amp;DatumAuswahl=" TargetMode="External"/><Relationship Id="rId608" Type="http://schemas.openxmlformats.org/officeDocument/2006/relationships/hyperlink" Target="https://onlineabd.de/online-abd/abd?DatumAuswahl=01.05.2015&amp;Kat=29016&amp;Itemid=101" TargetMode="External"/><Relationship Id="rId815" Type="http://schemas.openxmlformats.org/officeDocument/2006/relationships/hyperlink" Target="http://bundesrecht.juris.de/sgb_6/__168.html" TargetMode="External"/><Relationship Id="rId1238" Type="http://schemas.openxmlformats.org/officeDocument/2006/relationships/hyperlink" Target="http://bundesrecht.juris.de/alttzg_1996/" TargetMode="External"/><Relationship Id="rId1445" Type="http://schemas.openxmlformats.org/officeDocument/2006/relationships/hyperlink" Target="https://onlineabd.de/online-abd/abd?DatumAuswahl=&amp;Kat=27597" TargetMode="External"/><Relationship Id="rId1652" Type="http://schemas.openxmlformats.org/officeDocument/2006/relationships/hyperlink" Target="https://onlineabd.de/online-abd/abd?DatumAuswahl=&amp;Kat=27039" TargetMode="External"/><Relationship Id="rId2068" Type="http://schemas.openxmlformats.org/officeDocument/2006/relationships/hyperlink" Target="https://onlineabd.de/online-abd/abd?DatumAuswahl=01.05.2015&amp;Kat=27723" TargetMode="External"/><Relationship Id="rId247" Type="http://schemas.openxmlformats.org/officeDocument/2006/relationships/hyperlink" Target="https://onlineabd.de/online-abd/abd?DatumAuswahl=01.05.2015&amp;Kat=27040" TargetMode="External"/><Relationship Id="rId899" Type="http://schemas.openxmlformats.org/officeDocument/2006/relationships/hyperlink" Target="https://onlineabd.de/online-abd/abd?DatumAuswahl=01.05.2015&amp;Kat=27055" TargetMode="External"/><Relationship Id="rId1000" Type="http://schemas.openxmlformats.org/officeDocument/2006/relationships/hyperlink" Target="https://www.gesetze-im-internet.de/hrg/" TargetMode="External"/><Relationship Id="rId1084" Type="http://schemas.openxmlformats.org/officeDocument/2006/relationships/hyperlink" Target="http://www.gesetze-bayern.de/Content/Document/BayLlbG-G4" TargetMode="External"/><Relationship Id="rId1305" Type="http://schemas.openxmlformats.org/officeDocument/2006/relationships/hyperlink" Target="https://onlineabd.de/online-abd/abd?DatumAuswahl=&amp;Kat=27219" TargetMode="External"/><Relationship Id="rId1957" Type="http://schemas.openxmlformats.org/officeDocument/2006/relationships/hyperlink" Target="https://onlineabd.de/online-abd/abd?Kat=27814&amp;DatumAuswahl=" TargetMode="External"/><Relationship Id="rId107" Type="http://schemas.openxmlformats.org/officeDocument/2006/relationships/hyperlink" Target="http://www.gesetze-im-internet.de/betravg/index.html" TargetMode="External"/><Relationship Id="rId454" Type="http://schemas.openxmlformats.org/officeDocument/2006/relationships/hyperlink" Target="https://onlineabd.de/online-abd/abd?DatumAuswahl=01.05.2015&amp;Kat=28174" TargetMode="External"/><Relationship Id="rId661" Type="http://schemas.openxmlformats.org/officeDocument/2006/relationships/hyperlink" Target="https://onlineabd.de/online-abd/abd?Kat=27034&amp;DatumAuswahl=28.02.2017" TargetMode="External"/><Relationship Id="rId759" Type="http://schemas.openxmlformats.org/officeDocument/2006/relationships/hyperlink" Target="http://www.gesetze-im-internet.de/rvo/___195_bis_200b.html" TargetMode="External"/><Relationship Id="rId966" Type="http://schemas.openxmlformats.org/officeDocument/2006/relationships/hyperlink" Target="https://onlineabd.de/online-abd/abd?DatumAuswahl=01.05.2015&amp;Kat=28182" TargetMode="External"/><Relationship Id="rId1291" Type="http://schemas.openxmlformats.org/officeDocument/2006/relationships/hyperlink" Target="https://onlineabd.de/online-abd/abd?DatumAuswahl=&amp;Kat=27521" TargetMode="External"/><Relationship Id="rId1389" Type="http://schemas.openxmlformats.org/officeDocument/2006/relationships/hyperlink" Target="https://onlineabd.de/online-abd/abd?Kat=27529&amp;DatumAuswahl=" TargetMode="External"/><Relationship Id="rId1512" Type="http://schemas.openxmlformats.org/officeDocument/2006/relationships/hyperlink" Target="http://bundesrecht.juris.de/sgb_6/" TargetMode="External"/><Relationship Id="rId1596" Type="http://schemas.openxmlformats.org/officeDocument/2006/relationships/hyperlink" Target="http://onlineabd.de/images/downloads/ABD_2005_09_30.pdf" TargetMode="External"/><Relationship Id="rId1817" Type="http://schemas.openxmlformats.org/officeDocument/2006/relationships/hyperlink" Target="https://onlineabd.de/images/Anlagen/Anl65.pdf" TargetMode="External"/><Relationship Id="rId11" Type="http://schemas.openxmlformats.org/officeDocument/2006/relationships/footer" Target="footer1.xml"/><Relationship Id="rId314" Type="http://schemas.openxmlformats.org/officeDocument/2006/relationships/hyperlink" Target="https://onlineabd.de/online-abd/abd?Kat=27007&amp;DatumAuswahl=" TargetMode="External"/><Relationship Id="rId398" Type="http://schemas.openxmlformats.org/officeDocument/2006/relationships/hyperlink" Target="http://downloads.korg.directserver.org/25/2438/1/57812068735965056453.pdf" TargetMode="External"/><Relationship Id="rId521" Type="http://schemas.openxmlformats.org/officeDocument/2006/relationships/hyperlink" Target="https://onlineabd.de/online-abd/abd?DatumAuswahl=&amp;Kat=28164" TargetMode="External"/><Relationship Id="rId619" Type="http://schemas.openxmlformats.org/officeDocument/2006/relationships/hyperlink" Target="https://onlineabd.de/online-abd/abd?Kat=27030&amp;DatumAuswahl=" TargetMode="External"/><Relationship Id="rId1151" Type="http://schemas.openxmlformats.org/officeDocument/2006/relationships/hyperlink" Target="https://onlineabd.de/online-abd/abd?DatumAuswahl=&amp;Kat=27015&amp;SubmitDatum=Anzeige" TargetMode="External"/><Relationship Id="rId1249" Type="http://schemas.openxmlformats.org/officeDocument/2006/relationships/hyperlink" Target="https://onlineabd.de/online-abd/abd?DatumAuswahl=&amp;Kat=29303" TargetMode="External"/><Relationship Id="rId2079" Type="http://schemas.openxmlformats.org/officeDocument/2006/relationships/hyperlink" Target="https://onlineabd.de/online-abd/abd?DatumAuswahl=01.05.2015&amp;Kat=28088" TargetMode="External"/><Relationship Id="rId95" Type="http://schemas.openxmlformats.org/officeDocument/2006/relationships/hyperlink" Target="http://www.gesetze-im-internet.de/betravg/index.html" TargetMode="External"/><Relationship Id="rId160" Type="http://schemas.openxmlformats.org/officeDocument/2006/relationships/hyperlink" Target="https://onlineabd.de/online-abd/abd?DatumAuswahl=01.05.2015&amp;Kat=27062" TargetMode="External"/><Relationship Id="rId826" Type="http://schemas.openxmlformats.org/officeDocument/2006/relationships/hyperlink" Target="https://onlineabd.de/online-abd/abd?Kat=27050&amp;DatumAuswahl=" TargetMode="External"/><Relationship Id="rId1011" Type="http://schemas.openxmlformats.org/officeDocument/2006/relationships/hyperlink" Target="https://www.gesetze-im-internet.de/sgb_9_2018/" TargetMode="External"/><Relationship Id="rId1109" Type="http://schemas.openxmlformats.org/officeDocument/2006/relationships/hyperlink" Target="http://bundesrecht.juris.de/arbzg/index.html" TargetMode="External"/><Relationship Id="rId1456" Type="http://schemas.openxmlformats.org/officeDocument/2006/relationships/hyperlink" Target="https://onlineabd.de/online-abd/abd?DatumAuswahl=&amp;Kat=27604" TargetMode="External"/><Relationship Id="rId1663" Type="http://schemas.openxmlformats.org/officeDocument/2006/relationships/hyperlink" Target="https://onlineabd.de/online-abd/abd?DatumAuswahl=&amp;Kat=27067" TargetMode="External"/><Relationship Id="rId1870" Type="http://schemas.openxmlformats.org/officeDocument/2006/relationships/hyperlink" Target="https://onlineabd.de/online-abd/abd?DatumAuswahl=01.05.2015&amp;Kat=27776" TargetMode="External"/><Relationship Id="rId1968" Type="http://schemas.openxmlformats.org/officeDocument/2006/relationships/hyperlink" Target="https://onlineabd.de/online-abd/abd?Kat=27851&amp;DatumAuswahl=" TargetMode="External"/><Relationship Id="rId258" Type="http://schemas.openxmlformats.org/officeDocument/2006/relationships/hyperlink" Target="https://www.gesetze-im-internet.de/stgb/__225.html" TargetMode="External"/><Relationship Id="rId465" Type="http://schemas.openxmlformats.org/officeDocument/2006/relationships/hyperlink" Target="https://onlineabd.de/online-abd/abd?DatumAuswahl=01.05.2015&amp;Kat=28174" TargetMode="External"/><Relationship Id="rId672" Type="http://schemas.openxmlformats.org/officeDocument/2006/relationships/hyperlink" Target="https://onlineabd.de/online-abd/abd?DatumAuswahl=01.05.2015&amp;Kat=29785&amp;Itemid=101" TargetMode="External"/><Relationship Id="rId1095" Type="http://schemas.openxmlformats.org/officeDocument/2006/relationships/hyperlink" Target="https://onlineabd.de/online-abd/abd?Kat=28133&amp;DatumAuswahl=" TargetMode="External"/><Relationship Id="rId1316" Type="http://schemas.openxmlformats.org/officeDocument/2006/relationships/hyperlink" Target="https://onlineabd.de/online-abd/abd?DatumAuswahl=&amp;Kat=27198" TargetMode="External"/><Relationship Id="rId1523" Type="http://schemas.openxmlformats.org/officeDocument/2006/relationships/hyperlink" Target="https://onlineabd.de/online-abd/abd?DatumAuswahl=&amp;Kat=27604" TargetMode="External"/><Relationship Id="rId1730" Type="http://schemas.openxmlformats.org/officeDocument/2006/relationships/hyperlink" Target="https://onlineabd.de/online-abd/abd?DatumAuswahl=&amp;Kat=29087" TargetMode="External"/><Relationship Id="rId22" Type="http://schemas.openxmlformats.org/officeDocument/2006/relationships/hyperlink" Target="https://onlineabd.de/online-abd/abd?Kat=28182&amp;DatumAuswahl=" TargetMode="External"/><Relationship Id="rId118" Type="http://schemas.openxmlformats.org/officeDocument/2006/relationships/hyperlink" Target="https://onlineabd.de/online-abd/abd?DatumAuswahl=01.05.2015&amp;Kat=27018" TargetMode="External"/><Relationship Id="rId325" Type="http://schemas.openxmlformats.org/officeDocument/2006/relationships/hyperlink" Target="https://www.gesetze-im-internet.de/sgb_8/__42.html" TargetMode="External"/><Relationship Id="rId532" Type="http://schemas.openxmlformats.org/officeDocument/2006/relationships/hyperlink" Target="https://onlineabd.de/online-abd/abd?DatumAuswahl=01.05.2015&amp;Kat=27212" TargetMode="External"/><Relationship Id="rId977" Type="http://schemas.openxmlformats.org/officeDocument/2006/relationships/hyperlink" Target="https://www.onlineabd.de/online-abd/abd?Kat=27051&amp;DatumAuswahl=" TargetMode="External"/><Relationship Id="rId1162" Type="http://schemas.openxmlformats.org/officeDocument/2006/relationships/hyperlink" Target="https://onlineabd.de/online-abd/abd?DatumAuswahl=&amp;Kat=27012&amp;SubmitDatum=Anzeige" TargetMode="External"/><Relationship Id="rId1828" Type="http://schemas.openxmlformats.org/officeDocument/2006/relationships/hyperlink" Target="https://onlineabd.de/images/Anlagen/Anl54.pdf" TargetMode="External"/><Relationship Id="rId2006" Type="http://schemas.openxmlformats.org/officeDocument/2006/relationships/hyperlink" Target="https://onlineabd.de/online-abd/abd?DatumAuswahl=01.05.2015&amp;Kat=28034" TargetMode="External"/><Relationship Id="rId171" Type="http://schemas.openxmlformats.org/officeDocument/2006/relationships/hyperlink" Target="https://onlineabd.de/online-abd/abd?DatumAuswahl=01.05.2015&amp;Kat=28186" TargetMode="External"/><Relationship Id="rId837" Type="http://schemas.openxmlformats.org/officeDocument/2006/relationships/hyperlink" Target="https://onlineabd.de/online-abd/abd?Kat=28179&amp;DatumAuswahl=" TargetMode="External"/><Relationship Id="rId1022" Type="http://schemas.openxmlformats.org/officeDocument/2006/relationships/hyperlink" Target="http://www.bundesrecht.juris.de/sgb_4/index.html" TargetMode="External"/><Relationship Id="rId1467" Type="http://schemas.openxmlformats.org/officeDocument/2006/relationships/hyperlink" Target="https://onlineabd.de/online-abd/abd?DatumAuswahl=&amp;Kat=27573" TargetMode="External"/><Relationship Id="rId1674" Type="http://schemas.openxmlformats.org/officeDocument/2006/relationships/hyperlink" Target="https://onlineabd.de/online-abd/abd?DatumAuswahl=&amp;Kat=27203" TargetMode="External"/><Relationship Id="rId1881" Type="http://schemas.openxmlformats.org/officeDocument/2006/relationships/hyperlink" Target="http://www.gesetze-bayern.de/Content/Document/BayBhV/true" TargetMode="External"/><Relationship Id="rId269" Type="http://schemas.openxmlformats.org/officeDocument/2006/relationships/hyperlink" Target="https://www.gesetze-im-internet.de/stgb/__221.html" TargetMode="External"/><Relationship Id="rId476" Type="http://schemas.openxmlformats.org/officeDocument/2006/relationships/hyperlink" Target="https://onlineabd.de/online-abd/abd?DatumAuswahl=01.05.2015&amp;Kat=27210" TargetMode="External"/><Relationship Id="rId683" Type="http://schemas.openxmlformats.org/officeDocument/2006/relationships/hyperlink" Target="https://onlineabd.de/online-abd/abd?Kat=27006&amp;DatumAuswahl=" TargetMode="External"/><Relationship Id="rId890" Type="http://schemas.openxmlformats.org/officeDocument/2006/relationships/hyperlink" Target="https://onlineabd.de/online-abd/abd?DatumAuswahl=01.05.2015&amp;Kat=28200" TargetMode="External"/><Relationship Id="rId904" Type="http://schemas.openxmlformats.org/officeDocument/2006/relationships/hyperlink" Target="https://onlineabd.de/online-abd/abd?DatumAuswahl=01.05.2015&amp;Kat=27058" TargetMode="External"/><Relationship Id="rId1327" Type="http://schemas.openxmlformats.org/officeDocument/2006/relationships/hyperlink" Target="https://onlineabd.de/online-abd/abd?DatumAuswahl=&amp;Kat=27029" TargetMode="External"/><Relationship Id="rId1534" Type="http://schemas.openxmlformats.org/officeDocument/2006/relationships/hyperlink" Target="http://www.gesetze-im-internet.de/betravg/index.html" TargetMode="External"/><Relationship Id="rId1741" Type="http://schemas.openxmlformats.org/officeDocument/2006/relationships/hyperlink" Target="http://bundesrecht.juris.de/bbig_2005/__26.html" TargetMode="External"/><Relationship Id="rId1979" Type="http://schemas.openxmlformats.org/officeDocument/2006/relationships/hyperlink" Target="https://onlineabd.de/online-abd/abd?Kat=27851&amp;DatumAuswahl=" TargetMode="External"/><Relationship Id="rId33" Type="http://schemas.openxmlformats.org/officeDocument/2006/relationships/hyperlink" Target="https://onlineabd.de/online-abd/abd?DatumAuswahl=01.05.2015&amp;Kat=27021&amp;Itemid=101" TargetMode="External"/><Relationship Id="rId129" Type="http://schemas.openxmlformats.org/officeDocument/2006/relationships/hyperlink" Target="https://onlineabd.de/online-abd/abd?DatumAuswahl=01.05.2015&amp;Kat=27039" TargetMode="External"/><Relationship Id="rId336" Type="http://schemas.openxmlformats.org/officeDocument/2006/relationships/hyperlink" Target="https://onlineabd.de/online-abd/abd?Kat=27058&amp;DatumAuswahl=" TargetMode="External"/><Relationship Id="rId543" Type="http://schemas.openxmlformats.org/officeDocument/2006/relationships/hyperlink" Target="https://onlineabd.de/online-abd/abd?Kat=28090&amp;DatumAuswahl=31.12.2016" TargetMode="External"/><Relationship Id="rId988" Type="http://schemas.openxmlformats.org/officeDocument/2006/relationships/hyperlink" Target="https://onlineabd.de/online-abd/abd?DatumAuswahl=01.05.2015&amp;Kat=28186" TargetMode="External"/><Relationship Id="rId1173" Type="http://schemas.openxmlformats.org/officeDocument/2006/relationships/hyperlink" Target="https://onlineabd.de/online-abd/abd?DatumAuswahl=&amp;Kat=27459" TargetMode="External"/><Relationship Id="rId1380" Type="http://schemas.openxmlformats.org/officeDocument/2006/relationships/hyperlink" Target="https://onlineabd.de/online-abd/abd?Kat=27535&amp;DatumAuswahl=" TargetMode="External"/><Relationship Id="rId1601" Type="http://schemas.openxmlformats.org/officeDocument/2006/relationships/hyperlink" Target="http://onlineabd.de/images/downloads/ABD_2005_09_30.pdf" TargetMode="External"/><Relationship Id="rId1839" Type="http://schemas.openxmlformats.org/officeDocument/2006/relationships/hyperlink" Target="http://bundesrecht.juris.de/zpo" TargetMode="External"/><Relationship Id="rId2017" Type="http://schemas.openxmlformats.org/officeDocument/2006/relationships/hyperlink" Target="file:///C:\abd%3fDatumAuswahl=01.05.2015&amp;Kat=28045" TargetMode="External"/><Relationship Id="rId182" Type="http://schemas.openxmlformats.org/officeDocument/2006/relationships/hyperlink" Target="https://onlineabd.de/online-abd/abd?DatumAuswahl=01.05.2015&amp;Kat=29012" TargetMode="External"/><Relationship Id="rId403" Type="http://schemas.openxmlformats.org/officeDocument/2006/relationships/hyperlink" Target="https://www.gesetze-im-internet.de/muschg_2018/" TargetMode="External"/><Relationship Id="rId750" Type="http://schemas.openxmlformats.org/officeDocument/2006/relationships/hyperlink" Target="https://www.gesetze-im-internet.de/bkgg_1996/__4.html" TargetMode="External"/><Relationship Id="rId848" Type="http://schemas.openxmlformats.org/officeDocument/2006/relationships/hyperlink" Target="https://onlineabd.de/online-abd/abd?Kat=27014&amp;DatumAuswahl=" TargetMode="External"/><Relationship Id="rId1033" Type="http://schemas.openxmlformats.org/officeDocument/2006/relationships/hyperlink" Target="http://www.gesetze-bayern.de/Content/Document/BayLlbG-G1" TargetMode="External"/><Relationship Id="rId1478" Type="http://schemas.openxmlformats.org/officeDocument/2006/relationships/hyperlink" Target="http://bundesrecht.juris.de/beeg/" TargetMode="External"/><Relationship Id="rId1685" Type="http://schemas.openxmlformats.org/officeDocument/2006/relationships/hyperlink" Target="https://onlineabd.de/online-abd/abd?DatumAuswahl=&amp;Kat=27040" TargetMode="External"/><Relationship Id="rId1892" Type="http://schemas.openxmlformats.org/officeDocument/2006/relationships/hyperlink" Target="https://onlineabd.de/online-abd/abd?DatumAuswahl=01.05.2015&amp;Kat=27006" TargetMode="External"/><Relationship Id="rId1906" Type="http://schemas.openxmlformats.org/officeDocument/2006/relationships/hyperlink" Target="https://onlineabd.de/online-abd/abd?DatumAuswahl=01.05.2015&amp;Kat=27780" TargetMode="External"/><Relationship Id="rId487" Type="http://schemas.openxmlformats.org/officeDocument/2006/relationships/hyperlink" Target="https://onlineabd.de/online-abd/abd?DatumAuswahl=01.05.2015&amp;Kat=28235" TargetMode="External"/><Relationship Id="rId610" Type="http://schemas.openxmlformats.org/officeDocument/2006/relationships/hyperlink" Target="https://onlineabd.de/online-abd/abd?DatumAuswahl=01.05.2015&amp;Kat=29016&amp;Itemid=101" TargetMode="External"/><Relationship Id="rId694" Type="http://schemas.openxmlformats.org/officeDocument/2006/relationships/hyperlink" Target="https://www.gesetze-im-internet.de/estg/index.html" TargetMode="External"/><Relationship Id="rId708" Type="http://schemas.openxmlformats.org/officeDocument/2006/relationships/hyperlink" Target="https://www.gesetze-im-internet.de/bvg/index.html" TargetMode="External"/><Relationship Id="rId915" Type="http://schemas.openxmlformats.org/officeDocument/2006/relationships/hyperlink" Target="http://bundesrecht.juris.de/tvg/__4.html" TargetMode="External"/><Relationship Id="rId1240" Type="http://schemas.openxmlformats.org/officeDocument/2006/relationships/hyperlink" Target="http://bundesrecht.juris.de/sgb_4" TargetMode="External"/><Relationship Id="rId1338" Type="http://schemas.openxmlformats.org/officeDocument/2006/relationships/hyperlink" Target="https://onlineabd.de/online-abd/abd?Kat=27538&amp;DatumAuswahl=" TargetMode="External"/><Relationship Id="rId1545" Type="http://schemas.openxmlformats.org/officeDocument/2006/relationships/hyperlink" Target="https://onlineabd.de/online-abd/abd?DatumAuswahl=&amp;Kat=27573&amp;Itemid=101" TargetMode="External"/><Relationship Id="rId2070" Type="http://schemas.openxmlformats.org/officeDocument/2006/relationships/hyperlink" Target="https://onlineabd.de/online-abd/abd?DatumAuswahl=01.05.2015&amp;Kat=28035" TargetMode="External"/><Relationship Id="rId347" Type="http://schemas.openxmlformats.org/officeDocument/2006/relationships/hyperlink" Target="https://onlineabd.de/online-abd/abd?Kat=27147&amp;DatumAuswahl=" TargetMode="External"/><Relationship Id="rId999" Type="http://schemas.openxmlformats.org/officeDocument/2006/relationships/hyperlink" Target="https://www.gesetze-im-internet.de/hrg/" TargetMode="External"/><Relationship Id="rId1100" Type="http://schemas.openxmlformats.org/officeDocument/2006/relationships/hyperlink" Target="https://onlineabd.de/online-abd/abd?Kat=29764&amp;DatumAuswahl=" TargetMode="External"/><Relationship Id="rId1184" Type="http://schemas.openxmlformats.org/officeDocument/2006/relationships/hyperlink" Target="https://onlineabd.de/online-abd/abd?DatumAuswahl=&amp;Kat=27018" TargetMode="External"/><Relationship Id="rId1405" Type="http://schemas.openxmlformats.org/officeDocument/2006/relationships/hyperlink" Target="https://onlineabd.de/online-abd/abd?DatumAuswahl=&amp;Kat=27559" TargetMode="External"/><Relationship Id="rId1752" Type="http://schemas.openxmlformats.org/officeDocument/2006/relationships/hyperlink" Target="http://bundesrecht.juris.de/bbig_2005/__19.html" TargetMode="External"/><Relationship Id="rId2028" Type="http://schemas.openxmlformats.org/officeDocument/2006/relationships/hyperlink" Target="https://onlineabd.de/online-abd/abd?DatumAuswahl=01.05.2015&amp;Kat=28056" TargetMode="External"/><Relationship Id="rId44" Type="http://schemas.openxmlformats.org/officeDocument/2006/relationships/hyperlink" Target="https://onlineabd.de/online-abd/abd?DatumAuswahl=01.05.2015&amp;Kat=27058" TargetMode="External"/><Relationship Id="rId554" Type="http://schemas.openxmlformats.org/officeDocument/2006/relationships/hyperlink" Target="https://onlineabd.de/online-abd/abd?DatumAuswahl=01.05.2015&amp;Kat=27042" TargetMode="External"/><Relationship Id="rId761" Type="http://schemas.openxmlformats.org/officeDocument/2006/relationships/hyperlink" Target="https://www.gesetze-im-internet.de/sgb_6/__20.html" TargetMode="External"/><Relationship Id="rId859" Type="http://schemas.openxmlformats.org/officeDocument/2006/relationships/hyperlink" Target="https://onlineabd.de/online-abd/abd?DatumAuswahl=&amp;Kat=27072&amp;SubmitDatum=Anzeige" TargetMode="External"/><Relationship Id="rId1391" Type="http://schemas.openxmlformats.org/officeDocument/2006/relationships/hyperlink" Target="https://onlineabd.de/online-abd/abd?Kat=27529&amp;DatumAuswahl=" TargetMode="External"/><Relationship Id="rId1489" Type="http://schemas.openxmlformats.org/officeDocument/2006/relationships/hyperlink" Target="https://onlineabd.de/online-abd/abd?DatumAuswahl=&amp;Kat=27573&amp;Itemid=101" TargetMode="External"/><Relationship Id="rId1612" Type="http://schemas.openxmlformats.org/officeDocument/2006/relationships/hyperlink" Target="http://onlineabd.de/images/downloads/ABD_2005_09_30.pdf" TargetMode="External"/><Relationship Id="rId1696" Type="http://schemas.openxmlformats.org/officeDocument/2006/relationships/hyperlink" Target="https://onlineabd.de/online-abd/abd?DatumAuswahl=&amp;Kat=27662" TargetMode="External"/><Relationship Id="rId1917" Type="http://schemas.openxmlformats.org/officeDocument/2006/relationships/hyperlink" Target="https://onlineabd.de/online-abd/abd?DatumAuswahl=01.05.2015&amp;Kat=28208" TargetMode="External"/><Relationship Id="rId193" Type="http://schemas.openxmlformats.org/officeDocument/2006/relationships/hyperlink" Target="https://onlineabd.de/online-abd/abd?Kat=27124&amp;DatumAuswahl=" TargetMode="External"/><Relationship Id="rId207" Type="http://schemas.openxmlformats.org/officeDocument/2006/relationships/hyperlink" Target="https://onlineabd.de/online-abd/abd?Kat=27018&amp;DatumAuswahl=" TargetMode="External"/><Relationship Id="rId414" Type="http://schemas.openxmlformats.org/officeDocument/2006/relationships/hyperlink" Target="https://onlineabd.de/online-abd/abd?DatumAuswahl=01.05.2015&amp;Kat=28191" TargetMode="External"/><Relationship Id="rId498" Type="http://schemas.openxmlformats.org/officeDocument/2006/relationships/hyperlink" Target="http://www.gesetze-im-internet.de/bkgg_1996/__4.html" TargetMode="External"/><Relationship Id="rId621" Type="http://schemas.openxmlformats.org/officeDocument/2006/relationships/hyperlink" Target="https://onlineabd.de/online-abd/abd?Kat=29027&amp;DatumAuswahl=" TargetMode="External"/><Relationship Id="rId1044" Type="http://schemas.openxmlformats.org/officeDocument/2006/relationships/hyperlink" Target="http://www.gesetze-bayern.de/Content/Document/BayLlbG-G4" TargetMode="External"/><Relationship Id="rId1251" Type="http://schemas.openxmlformats.org/officeDocument/2006/relationships/hyperlink" Target="https://onlineabd.de/online-abd/abd?DatumAuswahl=&amp;Kat=29299" TargetMode="External"/><Relationship Id="rId1349" Type="http://schemas.openxmlformats.org/officeDocument/2006/relationships/hyperlink" Target="https://onlineabd.de/online-abd/abd?Kat=27543&amp;DatumAuswahl=" TargetMode="External"/><Relationship Id="rId2081" Type="http://schemas.openxmlformats.org/officeDocument/2006/relationships/hyperlink" Target="https://onlineabd.de/online-abd/abd?DatumAuswahl=&amp;Kat=28035" TargetMode="External"/><Relationship Id="rId260" Type="http://schemas.openxmlformats.org/officeDocument/2006/relationships/hyperlink" Target="https://www.gesetze-im-internet.de/stgb/BJNR001270871.html" TargetMode="External"/><Relationship Id="rId719" Type="http://schemas.openxmlformats.org/officeDocument/2006/relationships/hyperlink" Target="http://www.gesetze-im-internet.de/bukg_1990/__3.html" TargetMode="External"/><Relationship Id="rId926" Type="http://schemas.openxmlformats.org/officeDocument/2006/relationships/hyperlink" Target="https://onlineabd.de/online-abd/abd?DatumAuswahl=01.05.2015&amp;Kat=27020" TargetMode="External"/><Relationship Id="rId1111" Type="http://schemas.openxmlformats.org/officeDocument/2006/relationships/hyperlink" Target="https://onlineabd.de/online-abd/abd?DatumAuswahl=&amp;Kat=27333&amp;SubmitDatum=Anzeige" TargetMode="External"/><Relationship Id="rId1556" Type="http://schemas.openxmlformats.org/officeDocument/2006/relationships/hyperlink" Target="http://bundesrecht.juris.de/ehfg/" TargetMode="External"/><Relationship Id="rId1763" Type="http://schemas.openxmlformats.org/officeDocument/2006/relationships/hyperlink" Target="https://onlineabd.de/images/Anlagen/Koda_Nr_118.pdf" TargetMode="External"/><Relationship Id="rId1970" Type="http://schemas.openxmlformats.org/officeDocument/2006/relationships/hyperlink" Target="http://www.codex-iuris-canonici.de/indexdt.htm" TargetMode="External"/><Relationship Id="rId55" Type="http://schemas.openxmlformats.org/officeDocument/2006/relationships/hyperlink" Target="https://onlineabd.de/online-abd/abd?Kat=27013&amp;DatumAuswahl=" TargetMode="External"/><Relationship Id="rId120" Type="http://schemas.openxmlformats.org/officeDocument/2006/relationships/hyperlink" Target="https://onlineabd.de/online-abd/abd?DatumAuswahl=01.05.2015&amp;Kat=27040" TargetMode="External"/><Relationship Id="rId358" Type="http://schemas.openxmlformats.org/officeDocument/2006/relationships/hyperlink" Target="https://onlineabd.de/online-abd/abd?DatumAuswahl=01.05.2015&amp;Kat=27159" TargetMode="External"/><Relationship Id="rId565" Type="http://schemas.openxmlformats.org/officeDocument/2006/relationships/hyperlink" Target="https://onlineabd.de/online-abd/abd?DatumAuswahl=01.05.2015&amp;Kat=28236" TargetMode="External"/><Relationship Id="rId772" Type="http://schemas.openxmlformats.org/officeDocument/2006/relationships/hyperlink" Target="http://bundesrecht.juris.de/sgb_4" TargetMode="External"/><Relationship Id="rId1195" Type="http://schemas.openxmlformats.org/officeDocument/2006/relationships/hyperlink" Target="https://onlineabd.de/online-abd/abd?DatumAuswahl=&amp;Kat=27483" TargetMode="External"/><Relationship Id="rId1209" Type="http://schemas.openxmlformats.org/officeDocument/2006/relationships/hyperlink" Target="https://onlineabd.de/online-abd/abd?DatumAuswahl=&amp;Kat=27058" TargetMode="External"/><Relationship Id="rId1416" Type="http://schemas.openxmlformats.org/officeDocument/2006/relationships/hyperlink" Target="https://onlineabd.de/online-abd/abd?DatumAuswahl=&amp;Kat=27573" TargetMode="External"/><Relationship Id="rId1623" Type="http://schemas.openxmlformats.org/officeDocument/2006/relationships/hyperlink" Target="http://onlineabd.de/images/downloads/ABD_2005_09_30.pdf" TargetMode="External"/><Relationship Id="rId1830" Type="http://schemas.openxmlformats.org/officeDocument/2006/relationships/hyperlink" Target="https://onlineabd.de/images/Anlagen/Anl52LK.pdf" TargetMode="External"/><Relationship Id="rId2039" Type="http://schemas.openxmlformats.org/officeDocument/2006/relationships/hyperlink" Target="file:///C:\abd%3fDatumAuswahl=01.05.2015&amp;Kat=28067" TargetMode="External"/><Relationship Id="rId218" Type="http://schemas.openxmlformats.org/officeDocument/2006/relationships/hyperlink" Target="https://www.gesetze-im-internet.de/arbzg/BJNR117100994.html" TargetMode="External"/><Relationship Id="rId425" Type="http://schemas.openxmlformats.org/officeDocument/2006/relationships/hyperlink" Target="https://www.gesetze-im-internet.de/bgleig_2015/__4.html" TargetMode="External"/><Relationship Id="rId632" Type="http://schemas.openxmlformats.org/officeDocument/2006/relationships/hyperlink" Target="https://onlineabd.de/online-abd/abd?Kat=27027&amp;DatumAuswahl=" TargetMode="External"/><Relationship Id="rId1055" Type="http://schemas.openxmlformats.org/officeDocument/2006/relationships/hyperlink" Target="http://www.gesetze-bayern.de/Content/Document/BayVwVfG-G3" TargetMode="External"/><Relationship Id="rId1262" Type="http://schemas.openxmlformats.org/officeDocument/2006/relationships/hyperlink" Target="http://bundesrecht.juris.de/alttzg_1996/__6.html" TargetMode="External"/><Relationship Id="rId1928" Type="http://schemas.openxmlformats.org/officeDocument/2006/relationships/hyperlink" Target="http://www.gesetze-bayern.de/Content/Document/BayEUG-G2" TargetMode="External"/><Relationship Id="rId2092" Type="http://schemas.openxmlformats.org/officeDocument/2006/relationships/hyperlink" Target="https://onlineabd.de/online-abd/abd?DatumAuswahl=01.05.2015&amp;Kat=28053" TargetMode="External"/><Relationship Id="rId2106" Type="http://schemas.openxmlformats.org/officeDocument/2006/relationships/hyperlink" Target="https://onlineabd.de/online-abd/abd?DatumAuswahl=01.05.2015&amp;Kat=28080" TargetMode="External"/><Relationship Id="rId271" Type="http://schemas.openxmlformats.org/officeDocument/2006/relationships/hyperlink" Target="https://www.gesetze-im-internet.de/stgb/__323a.html" TargetMode="External"/><Relationship Id="rId937" Type="http://schemas.openxmlformats.org/officeDocument/2006/relationships/hyperlink" Target="https://onlineabd.de/online-abd/abd?DatumAuswahl=01.05.2015&amp;Kat=27027" TargetMode="External"/><Relationship Id="rId1122" Type="http://schemas.openxmlformats.org/officeDocument/2006/relationships/hyperlink" Target="https://onlineabd.de/online-abd/abd?DatumAuswahl=&amp;Kat=27048&amp;SubmitDatum=Anzeige" TargetMode="External"/><Relationship Id="rId1567" Type="http://schemas.openxmlformats.org/officeDocument/2006/relationships/hyperlink" Target="http://bundesrecht.juris.de/estg" TargetMode="External"/><Relationship Id="rId1774" Type="http://schemas.openxmlformats.org/officeDocument/2006/relationships/hyperlink" Target="https://onlineabd.de/images/downloads/Koda_Nr_108.pdf" TargetMode="External"/><Relationship Id="rId1981" Type="http://schemas.openxmlformats.org/officeDocument/2006/relationships/hyperlink" Target="https://onlineabd.de/online-abd/abd?Kat=27867&amp;DatumAuswahl=" TargetMode="External"/><Relationship Id="rId66" Type="http://schemas.openxmlformats.org/officeDocument/2006/relationships/hyperlink" Target="https://onlineabd.de/online-abd/abd?DatumAuswahl=01.05.2015&amp;Kat=27042" TargetMode="External"/><Relationship Id="rId131" Type="http://schemas.openxmlformats.org/officeDocument/2006/relationships/hyperlink" Target="https://www.onlineabd.de/online-abd/abd?Kat=27039&amp;DatumAuswahl=" TargetMode="External"/><Relationship Id="rId369" Type="http://schemas.openxmlformats.org/officeDocument/2006/relationships/hyperlink" Target="https://onlineabd.de/online-abd/abd?DatumAuswahl=01.05.2015&amp;Kat=28190" TargetMode="External"/><Relationship Id="rId576" Type="http://schemas.openxmlformats.org/officeDocument/2006/relationships/hyperlink" Target="https://onlineabd.de/online-abd/abd?Kat=29012&amp;DatumAuswahl=" TargetMode="External"/><Relationship Id="rId783" Type="http://schemas.openxmlformats.org/officeDocument/2006/relationships/hyperlink" Target="https://onlineabd.de/online-abd/abd?DatumAuswahl=&amp;Kat=27479&amp;SubmitDatum=Anzeige" TargetMode="External"/><Relationship Id="rId990" Type="http://schemas.openxmlformats.org/officeDocument/2006/relationships/hyperlink" Target="https://onlineabd.de/online-abd/abd?DatumAuswahl=01.05.2015&amp;Kat=28200" TargetMode="External"/><Relationship Id="rId1427" Type="http://schemas.openxmlformats.org/officeDocument/2006/relationships/hyperlink" Target="https://onlineabd.de/online-abd/abd?DatumAuswahl=&amp;Kat=27581" TargetMode="External"/><Relationship Id="rId1634" Type="http://schemas.openxmlformats.org/officeDocument/2006/relationships/hyperlink" Target="http://onlineabd.de/images/downloads/ABD_2005_09_30.pdf" TargetMode="External"/><Relationship Id="rId1841" Type="http://schemas.openxmlformats.org/officeDocument/2006/relationships/hyperlink" Target="https://onlineabd.de/online-abd/abd?DatumAuswahl=01.05.2015&amp;Kat=27751" TargetMode="External"/><Relationship Id="rId229" Type="http://schemas.openxmlformats.org/officeDocument/2006/relationships/hyperlink" Target="https://onlineabd.de/online-abd/abd?Kat=27021&amp;DatumAuswahl=" TargetMode="External"/><Relationship Id="rId436" Type="http://schemas.openxmlformats.org/officeDocument/2006/relationships/hyperlink" Target="https://onlineabd.de/online-abd/abd?DatumAuswahl=01.05.2015&amp;Kat=27034" TargetMode="External"/><Relationship Id="rId643" Type="http://schemas.openxmlformats.org/officeDocument/2006/relationships/hyperlink" Target="https://onlineabd.de/online-abd/abd?Kat=28239&amp;DatumAuswahl=31.12.2016" TargetMode="External"/><Relationship Id="rId1066" Type="http://schemas.openxmlformats.org/officeDocument/2006/relationships/hyperlink" Target="http://www.gesetze-bayern.de/Content/Document/BayLlbG-G4" TargetMode="External"/><Relationship Id="rId1273" Type="http://schemas.openxmlformats.org/officeDocument/2006/relationships/hyperlink" Target="https://onlineabd.de/online-abd/abd?DatumAuswahl=&amp;Kat=27240" TargetMode="External"/><Relationship Id="rId1480" Type="http://schemas.openxmlformats.org/officeDocument/2006/relationships/hyperlink" Target="https://www.gesetze-im-internet.de/muschg_2018/__6.html" TargetMode="External"/><Relationship Id="rId1939" Type="http://schemas.openxmlformats.org/officeDocument/2006/relationships/hyperlink" Target="https://www.gesetze-im-internet.de/gg/art_7.html" TargetMode="External"/><Relationship Id="rId2117" Type="http://schemas.openxmlformats.org/officeDocument/2006/relationships/theme" Target="theme/theme1.xml"/><Relationship Id="rId850" Type="http://schemas.openxmlformats.org/officeDocument/2006/relationships/hyperlink" Target="https://onlineabd.de/online-abd/abd?Kat=27014&amp;DatumAuswahl=" TargetMode="External"/><Relationship Id="rId948" Type="http://schemas.openxmlformats.org/officeDocument/2006/relationships/hyperlink" Target="http://www.gesetze-bayern.de/Content/Document/BayBesG/true" TargetMode="External"/><Relationship Id="rId1133" Type="http://schemas.openxmlformats.org/officeDocument/2006/relationships/hyperlink" Target="https://onlineabd.de/online-abd/abd?DatumAuswahl=&amp;Kat=27013&amp;SubmitDatum=Anzeige" TargetMode="External"/><Relationship Id="rId1578" Type="http://schemas.openxmlformats.org/officeDocument/2006/relationships/hyperlink" Target="http://bundesrecht.juris.de/sgb_4/index.html" TargetMode="External"/><Relationship Id="rId1701" Type="http://schemas.openxmlformats.org/officeDocument/2006/relationships/hyperlink" Target="http://www.gesetze-im-internet.de/bbig_2005/index.html" TargetMode="External"/><Relationship Id="rId1785" Type="http://schemas.openxmlformats.org/officeDocument/2006/relationships/hyperlink" Target="https://onlineabd.de/images/Anlagen/Koda_Nr_97.pdf" TargetMode="External"/><Relationship Id="rId1992" Type="http://schemas.openxmlformats.org/officeDocument/2006/relationships/hyperlink" Target="https://onlineabd.de/online-abd/abd?Kat=29461&amp;DatumAuswahl=" TargetMode="External"/><Relationship Id="rId77" Type="http://schemas.openxmlformats.org/officeDocument/2006/relationships/hyperlink" Target="https://onlineabd.de/online-abd/abd?DatumAuswahl=01.05.2015&amp;Kat=28179" TargetMode="External"/><Relationship Id="rId282" Type="http://schemas.openxmlformats.org/officeDocument/2006/relationships/hyperlink" Target="https://www.gesetze-im-internet.de/hrg/__18.html" TargetMode="External"/><Relationship Id="rId503" Type="http://schemas.openxmlformats.org/officeDocument/2006/relationships/hyperlink" Target="https://onlineabd.de/online-abd/abd?DatumAuswahl=01.05.2015&amp;Kat=28235" TargetMode="External"/><Relationship Id="rId587" Type="http://schemas.openxmlformats.org/officeDocument/2006/relationships/hyperlink" Target="https://onlineabd.de/online-abd/abd?DatumAuswahl=01.05.2015&amp;Kat=29016&amp;Itemid=101" TargetMode="External"/><Relationship Id="rId710" Type="http://schemas.openxmlformats.org/officeDocument/2006/relationships/hyperlink" Target="https://www.gesetze-im-internet.de/muschg_2018/__13.html" TargetMode="External"/><Relationship Id="rId808" Type="http://schemas.openxmlformats.org/officeDocument/2006/relationships/hyperlink" Target="http://www.gesetze-bayern.de/Content/Document/BayBesG-G2" TargetMode="External"/><Relationship Id="rId1340" Type="http://schemas.openxmlformats.org/officeDocument/2006/relationships/hyperlink" Target="https://onlineabd.de/online-abd/abd?Kat=29794&amp;DatumAuswahl=" TargetMode="External"/><Relationship Id="rId1438" Type="http://schemas.openxmlformats.org/officeDocument/2006/relationships/hyperlink" Target="https://onlineabd.de/online-abd/abd?DatumAuswahl=&amp;Kat=27590" TargetMode="External"/><Relationship Id="rId1645" Type="http://schemas.openxmlformats.org/officeDocument/2006/relationships/hyperlink" Target="http://www.gesetze-im-internet.de/kschg/index.html" TargetMode="External"/><Relationship Id="rId8" Type="http://schemas.openxmlformats.org/officeDocument/2006/relationships/endnotes" Target="endnotes.xml"/><Relationship Id="rId142" Type="http://schemas.openxmlformats.org/officeDocument/2006/relationships/hyperlink" Target="https://onlineabd.de/online-abd/abd?DatumAuswahl=&amp;Kat=27056" TargetMode="External"/><Relationship Id="rId447" Type="http://schemas.openxmlformats.org/officeDocument/2006/relationships/hyperlink" Target="https://onlineabd.de/online-abd/abd?Kat=27006&amp;DatumAuswahl=" TargetMode="External"/><Relationship Id="rId794" Type="http://schemas.openxmlformats.org/officeDocument/2006/relationships/hyperlink" Target="https://onlineabd.de/online-abd/abd?Kat=29754&amp;DatumAuswahl=" TargetMode="External"/><Relationship Id="rId1077" Type="http://schemas.openxmlformats.org/officeDocument/2006/relationships/hyperlink" Target="http://www.gesetze-bayern.de/Content/Document/BayBesG-G3" TargetMode="External"/><Relationship Id="rId1200" Type="http://schemas.openxmlformats.org/officeDocument/2006/relationships/hyperlink" Target="https://onlineabd.de/online-abd/abd?DatumAuswahl=&amp;Kat=27007" TargetMode="External"/><Relationship Id="rId1852" Type="http://schemas.openxmlformats.org/officeDocument/2006/relationships/hyperlink" Target="http://bundesrecht.juris.de/sgb_5" TargetMode="External"/><Relationship Id="rId2030" Type="http://schemas.openxmlformats.org/officeDocument/2006/relationships/hyperlink" Target="https://onlineabd.de/online-abd/abd?DatumAuswahl=01.05.2015&amp;Kat=28058" TargetMode="External"/><Relationship Id="rId654" Type="http://schemas.openxmlformats.org/officeDocument/2006/relationships/hyperlink" Target="https://onlineabd.de/online-abd/abd?Kat=27006&amp;DatumAuswahl=" TargetMode="External"/><Relationship Id="rId861" Type="http://schemas.openxmlformats.org/officeDocument/2006/relationships/hyperlink" Target="https://onlineabd.de/online-abd/abd?Kat=27479&amp;DatumAuswahl=" TargetMode="External"/><Relationship Id="rId959" Type="http://schemas.openxmlformats.org/officeDocument/2006/relationships/hyperlink" Target="http://www.gesetze-bayern.de/Content/Document/BayLlbG-G4" TargetMode="External"/><Relationship Id="rId1284" Type="http://schemas.openxmlformats.org/officeDocument/2006/relationships/hyperlink" Target="https://onlineabd.de/online-abd/abd?DatumAuswahl=&amp;Kat=27034" TargetMode="External"/><Relationship Id="rId1491" Type="http://schemas.openxmlformats.org/officeDocument/2006/relationships/hyperlink" Target="https://onlineabd.de/online-abd/abd?DatumAuswahl=&amp;Kat=27573&amp;Itemid=101" TargetMode="External"/><Relationship Id="rId1505" Type="http://schemas.openxmlformats.org/officeDocument/2006/relationships/hyperlink" Target="http://bundesrecht.juris.de/estg/" TargetMode="External"/><Relationship Id="rId1589" Type="http://schemas.openxmlformats.org/officeDocument/2006/relationships/hyperlink" Target="http://bundesrecht.juris.de/betravg/index.html" TargetMode="External"/><Relationship Id="rId1712" Type="http://schemas.openxmlformats.org/officeDocument/2006/relationships/hyperlink" Target="https://onlineabd.de/online-abd/abd?DatumAuswahl=&amp;Kat=27663" TargetMode="External"/><Relationship Id="rId293" Type="http://schemas.openxmlformats.org/officeDocument/2006/relationships/hyperlink" Target="https://www.gesetze-im-internet.de/sgb_9_2018/__2.html" TargetMode="External"/><Relationship Id="rId307" Type="http://schemas.openxmlformats.org/officeDocument/2006/relationships/hyperlink" Target="https://www.gesetze-im-internet.de/sgb_9_2018/__2.html" TargetMode="External"/><Relationship Id="rId514" Type="http://schemas.openxmlformats.org/officeDocument/2006/relationships/hyperlink" Target="https://onlineabd.de/online-abd/abd?DatumAuswahl=01.05.2015&amp;Kat=28161" TargetMode="External"/><Relationship Id="rId721" Type="http://schemas.openxmlformats.org/officeDocument/2006/relationships/hyperlink" Target="http://www.gesetze-im-internet.de/bukg_1990/__4.html" TargetMode="External"/><Relationship Id="rId1144" Type="http://schemas.openxmlformats.org/officeDocument/2006/relationships/hyperlink" Target="https://onlineabd.de/online-abd/abd?DatumAuswahl=&amp;Kat=27014&amp;SubmitDatum=Anzeige" TargetMode="External"/><Relationship Id="rId1351" Type="http://schemas.openxmlformats.org/officeDocument/2006/relationships/hyperlink" Target="https://onlineabd.de/online-abd/abd?Kat=27545&amp;DatumAuswahl=" TargetMode="External"/><Relationship Id="rId1449" Type="http://schemas.openxmlformats.org/officeDocument/2006/relationships/hyperlink" Target="https://onlineabd.de/online-abd/abd?DatumAuswahl=&amp;Kat=27600" TargetMode="External"/><Relationship Id="rId1796" Type="http://schemas.openxmlformats.org/officeDocument/2006/relationships/hyperlink" Target="https://onlineabd.de/images/Anlagen/Koda_Nr_86.pdf" TargetMode="External"/><Relationship Id="rId88" Type="http://schemas.openxmlformats.org/officeDocument/2006/relationships/hyperlink" Target="https://onlineabd.de/online-abd/abd?DatumAuswahl=01.05.2015&amp;Kat=28182&amp;Itemid=101" TargetMode="External"/><Relationship Id="rId153" Type="http://schemas.openxmlformats.org/officeDocument/2006/relationships/hyperlink" Target="https://onlineabd.de/online-abd/abd?DatumAuswahl=01.05.2015&amp;Kat=27758" TargetMode="External"/><Relationship Id="rId360" Type="http://schemas.openxmlformats.org/officeDocument/2006/relationships/hyperlink" Target="https://onlineabd.de/online-abd/abd?DatumAuswahl=01.05.2015&amp;Kat=27018" TargetMode="External"/><Relationship Id="rId598" Type="http://schemas.openxmlformats.org/officeDocument/2006/relationships/hyperlink" Target="https://onlineabd.de/online-abd/abd?Kat=27210&amp;DatumAuswahl=" TargetMode="External"/><Relationship Id="rId819" Type="http://schemas.openxmlformats.org/officeDocument/2006/relationships/hyperlink" Target="https://onlineabd.de/online-abd/abd?Kat=28182&amp;DatumAuswahl=" TargetMode="External"/><Relationship Id="rId1004" Type="http://schemas.openxmlformats.org/officeDocument/2006/relationships/hyperlink" Target="https://onlineabd.de/online-abd/abd?DatumAuswahl=01.05.2015&amp;Kat=28134" TargetMode="External"/><Relationship Id="rId1211" Type="http://schemas.openxmlformats.org/officeDocument/2006/relationships/hyperlink" Target="http://bundesrecht.juris.de/sgb_3" TargetMode="External"/><Relationship Id="rId1656" Type="http://schemas.openxmlformats.org/officeDocument/2006/relationships/hyperlink" Target="http://www.gesetze-im-internet.de/sgb_5/index.html" TargetMode="External"/><Relationship Id="rId1863" Type="http://schemas.openxmlformats.org/officeDocument/2006/relationships/hyperlink" Target="http://bundesrecht.juris.de/sgb_5" TargetMode="External"/><Relationship Id="rId2041" Type="http://schemas.openxmlformats.org/officeDocument/2006/relationships/hyperlink" Target="file:///C:\abd%3fDatumAuswahl=01.05.2015&amp;Kat=28069" TargetMode="External"/><Relationship Id="rId220" Type="http://schemas.openxmlformats.org/officeDocument/2006/relationships/hyperlink" Target="https://onlineabd.de/online-abd/abd?Kat=28182&amp;DatumAuswahl=" TargetMode="External"/><Relationship Id="rId458" Type="http://schemas.openxmlformats.org/officeDocument/2006/relationships/hyperlink" Target="https://onlineabd.de/online-abd/abd?DatumAuswahl=01.05.2015&amp;Kat=27210" TargetMode="External"/><Relationship Id="rId665" Type="http://schemas.openxmlformats.org/officeDocument/2006/relationships/hyperlink" Target="https://onlineabd.de/online-abd/abd?DatumAuswahl=&amp;Kat=27210&amp;SubmitDatum=Anzeige" TargetMode="External"/><Relationship Id="rId872" Type="http://schemas.openxmlformats.org/officeDocument/2006/relationships/hyperlink" Target="http://www.gesetze-bayern.de/Content/Document/BayBesG" TargetMode="External"/><Relationship Id="rId1088" Type="http://schemas.openxmlformats.org/officeDocument/2006/relationships/hyperlink" Target="http://www.gesetze-bayern.de/Content/Document/BayLlbG-G4" TargetMode="External"/><Relationship Id="rId1295" Type="http://schemas.openxmlformats.org/officeDocument/2006/relationships/hyperlink" Target="https://onlineabd.de/online-abd/abd?DatumAuswahl=&amp;Kat=27040" TargetMode="External"/><Relationship Id="rId1309" Type="http://schemas.openxmlformats.org/officeDocument/2006/relationships/hyperlink" Target="https://onlineabd.de/online-abd/abd?DatumAuswahl=&amp;Kat=27055" TargetMode="External"/><Relationship Id="rId1516" Type="http://schemas.openxmlformats.org/officeDocument/2006/relationships/hyperlink" Target="https://onlineabd.de/online-abd/abd?DatumAuswahl=01.05.2015&amp;Kat=27573" TargetMode="External"/><Relationship Id="rId1723" Type="http://schemas.openxmlformats.org/officeDocument/2006/relationships/hyperlink" Target="https://onlineabd.de/online-abd/abd?DatumAuswahl=&amp;Kat=27514" TargetMode="External"/><Relationship Id="rId1930" Type="http://schemas.openxmlformats.org/officeDocument/2006/relationships/hyperlink" Target="http://www.gesetze-bayern.de/Content/Document/BayEUG" TargetMode="External"/><Relationship Id="rId15" Type="http://schemas.openxmlformats.org/officeDocument/2006/relationships/hyperlink" Target="http://www.gesetze-im-internet.de/sgb_3/" TargetMode="External"/><Relationship Id="rId318" Type="http://schemas.openxmlformats.org/officeDocument/2006/relationships/hyperlink" Target="https://www.gesetze-im-internet.de/sgb_9_2018/__2.html" TargetMode="External"/><Relationship Id="rId525" Type="http://schemas.openxmlformats.org/officeDocument/2006/relationships/hyperlink" Target="https://onlineabd.de/online-abd/abd?DatumAuswahl=01.05.2015&amp;Kat=28238" TargetMode="External"/><Relationship Id="rId732" Type="http://schemas.openxmlformats.org/officeDocument/2006/relationships/hyperlink" Target="https://www.gesetze-im-internet.de/muschg_2018/__6.html" TargetMode="External"/><Relationship Id="rId1155" Type="http://schemas.openxmlformats.org/officeDocument/2006/relationships/hyperlink" Target="https://onlineabd.de/online-abd/abd?Kat=27012&amp;DatumAuswahl=" TargetMode="External"/><Relationship Id="rId1362" Type="http://schemas.openxmlformats.org/officeDocument/2006/relationships/hyperlink" Target="https://onlineabd.de/online-abd/abd?Kat=27533&amp;DatumAuswahl=" TargetMode="External"/><Relationship Id="rId99" Type="http://schemas.openxmlformats.org/officeDocument/2006/relationships/hyperlink" Target="https://onlineabd.de/online-abd/abd?DatumAuswahl=01.05.2015&amp;Kat=27046" TargetMode="External"/><Relationship Id="rId164" Type="http://schemas.openxmlformats.org/officeDocument/2006/relationships/hyperlink" Target="https://onlineabd.de/online-abd/abd?DatumAuswahl=01.05.2015&amp;Kat=28884" TargetMode="External"/><Relationship Id="rId371" Type="http://schemas.openxmlformats.org/officeDocument/2006/relationships/hyperlink" Target="https://onlineabd.de/online-abd/abd?DatumAuswahl=01.05.2015&amp;Kat=27018&amp;Itemid=101" TargetMode="External"/><Relationship Id="rId1015" Type="http://schemas.openxmlformats.org/officeDocument/2006/relationships/hyperlink" Target="https://onlineabd.de/online-abd/abd?DatumAuswahl=01.05.2015&amp;Kat=28132" TargetMode="External"/><Relationship Id="rId1222" Type="http://schemas.openxmlformats.org/officeDocument/2006/relationships/hyperlink" Target="https://onlineabd.de/online-abd/abd?DatumAuswahl=&amp;Kat=28151" TargetMode="External"/><Relationship Id="rId1667" Type="http://schemas.openxmlformats.org/officeDocument/2006/relationships/hyperlink" Target="https://onlineabd.de/online-abd/abd?DatumAuswahl=&amp;Kat=28239" TargetMode="External"/><Relationship Id="rId1874" Type="http://schemas.openxmlformats.org/officeDocument/2006/relationships/hyperlink" Target="http://www.gesetze-bayern.de/Content/Document/BayBhV/true" TargetMode="External"/><Relationship Id="rId2052" Type="http://schemas.openxmlformats.org/officeDocument/2006/relationships/hyperlink" Target="file:///C:\abd%3fDatumAuswahl=01.05.2015&amp;Kat=28207" TargetMode="External"/><Relationship Id="rId469" Type="http://schemas.openxmlformats.org/officeDocument/2006/relationships/hyperlink" Target="https://onlineabd.de/online-abd/abd?DatumAuswahl=01.05.2015&amp;Kat=28189" TargetMode="External"/><Relationship Id="rId676" Type="http://schemas.openxmlformats.org/officeDocument/2006/relationships/hyperlink" Target="http://www.gesetze-im-internet.de/sgb_7/__9.html" TargetMode="External"/><Relationship Id="rId883" Type="http://schemas.openxmlformats.org/officeDocument/2006/relationships/hyperlink" Target="http://bundesrecht.juris.de/sgb_6/__168.html" TargetMode="External"/><Relationship Id="rId1099" Type="http://schemas.openxmlformats.org/officeDocument/2006/relationships/hyperlink" Target="https://onlineabd.de/online-abd/abd?DatumAuswahl=01.05.2015&amp;Kat=27058" TargetMode="External"/><Relationship Id="rId1527" Type="http://schemas.openxmlformats.org/officeDocument/2006/relationships/hyperlink" Target="http://www.gesetze-im-internet.de/betravg/index.html" TargetMode="External"/><Relationship Id="rId1734" Type="http://schemas.openxmlformats.org/officeDocument/2006/relationships/hyperlink" Target="https://www.gesetze-im-internet.de/muschg_2018/__3.html" TargetMode="External"/><Relationship Id="rId1941" Type="http://schemas.openxmlformats.org/officeDocument/2006/relationships/hyperlink" Target="https://onlineabd.de/online-abd/abd?Kat=27723&amp;DatumAuswahl=" TargetMode="External"/><Relationship Id="rId26" Type="http://schemas.openxmlformats.org/officeDocument/2006/relationships/hyperlink" Target="https://onlineabd.de/online-abd/abd?DatumAuswahl=01.05.2015&amp;Kat=27021&amp;Itemid=101" TargetMode="External"/><Relationship Id="rId231" Type="http://schemas.openxmlformats.org/officeDocument/2006/relationships/hyperlink" Target="https://onlineabd.de/online-abd/abd?Kat=27478&amp;DatumAuswahl=" TargetMode="External"/><Relationship Id="rId329" Type="http://schemas.openxmlformats.org/officeDocument/2006/relationships/hyperlink" Target="https://onlineabd.de/online-abd/abd?DatumAuswahl=01.05.2015&amp;Kat=27058" TargetMode="External"/><Relationship Id="rId536" Type="http://schemas.openxmlformats.org/officeDocument/2006/relationships/hyperlink" Target="https://onlineabd.de/online-abd/abd?Kat=27240&amp;DatumAuswahl=" TargetMode="External"/><Relationship Id="rId1166" Type="http://schemas.openxmlformats.org/officeDocument/2006/relationships/hyperlink" Target="https://onlineabd.de/online-abd/abd?DatumAuswahl=&amp;Kat=28186" TargetMode="External"/><Relationship Id="rId1373" Type="http://schemas.openxmlformats.org/officeDocument/2006/relationships/hyperlink" Target="https://onlineabd.de/online-abd/abd?Kat=27531&amp;DatumAuswahl=" TargetMode="External"/><Relationship Id="rId175" Type="http://schemas.openxmlformats.org/officeDocument/2006/relationships/hyperlink" Target="https://onlineabd.de/online-abd/abd?DatumAuswahl=01.05.2015&amp;Kat=27018" TargetMode="External"/><Relationship Id="rId743" Type="http://schemas.openxmlformats.org/officeDocument/2006/relationships/hyperlink" Target="https://www.gesetze-im-internet.de/sgb_9_2018/" TargetMode="External"/><Relationship Id="rId950" Type="http://schemas.openxmlformats.org/officeDocument/2006/relationships/hyperlink" Target="http://www.gesetze-bayern.de/Content/Document/BayBesG/true" TargetMode="External"/><Relationship Id="rId1026" Type="http://schemas.openxmlformats.org/officeDocument/2006/relationships/hyperlink" Target="http://www.gesetze-bayern.de/Content/Document/BayBesG-G3" TargetMode="External"/><Relationship Id="rId1580" Type="http://schemas.openxmlformats.org/officeDocument/2006/relationships/hyperlink" Target="http://bundesrecht.juris.de/sgb_4/index.html" TargetMode="External"/><Relationship Id="rId1678" Type="http://schemas.openxmlformats.org/officeDocument/2006/relationships/hyperlink" Target="https://onlineabd.de/online-abd/abd?DatumAuswahl=&amp;Kat=28178" TargetMode="External"/><Relationship Id="rId1801" Type="http://schemas.openxmlformats.org/officeDocument/2006/relationships/hyperlink" Target="https://onlineabd.de/images/Anlagen/Anl81.pdf" TargetMode="External"/><Relationship Id="rId1885" Type="http://schemas.openxmlformats.org/officeDocument/2006/relationships/hyperlink" Target="https://onlineabd.de/online-abd/abd?Kat=27007&amp;DatumAuswahl=" TargetMode="External"/><Relationship Id="rId382" Type="http://schemas.openxmlformats.org/officeDocument/2006/relationships/hyperlink" Target="https://onlineabd.de/online-abd/abd?DatumAuswahl=01.05.2015&amp;Kat=29409&amp;Itemid=101" TargetMode="External"/><Relationship Id="rId603" Type="http://schemas.openxmlformats.org/officeDocument/2006/relationships/hyperlink" Target="https://onlineabd.de/online-abd/abd?DatumAuswahl=01.05.2015&amp;Kat=28189&amp;Itemid=101" TargetMode="External"/><Relationship Id="rId687" Type="http://schemas.openxmlformats.org/officeDocument/2006/relationships/hyperlink" Target="https://onlineabd.de/online-abd/abd?DatumAuswahl=01.05.2015&amp;Kat=27198&amp;Itemid=101" TargetMode="External"/><Relationship Id="rId810" Type="http://schemas.openxmlformats.org/officeDocument/2006/relationships/hyperlink" Target="http://www.gesetze-bayern.de/Content/Document/BayBesG" TargetMode="External"/><Relationship Id="rId908" Type="http://schemas.openxmlformats.org/officeDocument/2006/relationships/hyperlink" Target="https://onlineabd.de/online-abd/abd?DatumAuswahl=01.05.2015&amp;Kat=28179" TargetMode="External"/><Relationship Id="rId1233" Type="http://schemas.openxmlformats.org/officeDocument/2006/relationships/hyperlink" Target="https://onlineabd.de/online-abd/abd?DatumAuswahl=&amp;Kat=28152" TargetMode="External"/><Relationship Id="rId1440" Type="http://schemas.openxmlformats.org/officeDocument/2006/relationships/hyperlink" Target="https://onlineabd.de/online-abd/abd?DatumAuswahl=&amp;Kat=27594" TargetMode="External"/><Relationship Id="rId1538" Type="http://schemas.openxmlformats.org/officeDocument/2006/relationships/hyperlink" Target="https://onlineabd.de/online-abd/abd?DatumAuswahl=&amp;Kat=27581" TargetMode="External"/><Relationship Id="rId2063" Type="http://schemas.openxmlformats.org/officeDocument/2006/relationships/hyperlink" Target="https://onlineabd.de/online-abd/abd?DatumAuswahl=01.05.2015&amp;Kat=28089" TargetMode="External"/><Relationship Id="rId242" Type="http://schemas.openxmlformats.org/officeDocument/2006/relationships/hyperlink" Target="https://onlineabd.de/online-abd/abd?DatumAuswahl=01.05.2015&amp;Kat=27029" TargetMode="External"/><Relationship Id="rId894" Type="http://schemas.openxmlformats.org/officeDocument/2006/relationships/hyperlink" Target="https://onlineabd.de/online-abd/abd?Kat=27049&amp;DatumAuswahl=" TargetMode="External"/><Relationship Id="rId1177" Type="http://schemas.openxmlformats.org/officeDocument/2006/relationships/hyperlink" Target="https://onlineabd.de/online-abd/abd?DatumAuswahl=&amp;Kat=27240" TargetMode="External"/><Relationship Id="rId1300" Type="http://schemas.openxmlformats.org/officeDocument/2006/relationships/hyperlink" Target="https://onlineabd.de/online-abd/abd?DatumAuswahl=&amp;Kat=27522" TargetMode="External"/><Relationship Id="rId1745" Type="http://schemas.openxmlformats.org/officeDocument/2006/relationships/hyperlink" Target="https://onlineabd.de/online-abd/abd?DatumAuswahl=&amp;Kat=27672" TargetMode="External"/><Relationship Id="rId1952" Type="http://schemas.openxmlformats.org/officeDocument/2006/relationships/hyperlink" Target="https://onlineabd.de/online-abd/abd?Kat=27817&amp;DatumAuswahl=" TargetMode="External"/><Relationship Id="rId37" Type="http://schemas.openxmlformats.org/officeDocument/2006/relationships/hyperlink" Target="https://onlineabd.de/online-abd/abd?DatumAuswahl=01.05.2015&amp;Kat=28182" TargetMode="External"/><Relationship Id="rId102" Type="http://schemas.openxmlformats.org/officeDocument/2006/relationships/hyperlink" Target="http://www.gesetze-im-internet.de/betravg/index.html" TargetMode="External"/><Relationship Id="rId547" Type="http://schemas.openxmlformats.org/officeDocument/2006/relationships/hyperlink" Target="https://onlineabd.de/online-abd/abd?DatumAuswahl=&amp;Kat=27214" TargetMode="External"/><Relationship Id="rId754" Type="http://schemas.openxmlformats.org/officeDocument/2006/relationships/hyperlink" Target="https://www.gesetze-im-internet.de/estg/__65.html" TargetMode="External"/><Relationship Id="rId961" Type="http://schemas.openxmlformats.org/officeDocument/2006/relationships/hyperlink" Target="http://www.gesetze-bayern.de/Content/Document/BayBesG/true" TargetMode="External"/><Relationship Id="rId1384" Type="http://schemas.openxmlformats.org/officeDocument/2006/relationships/hyperlink" Target="https://onlineabd.de/online-abd/abd?Kat=27532&amp;DatumAuswahl=" TargetMode="External"/><Relationship Id="rId1591" Type="http://schemas.openxmlformats.org/officeDocument/2006/relationships/hyperlink" Target="https://onlineabd.de/online-abd/abd?DatumAuswahl=&amp;Kat=27628" TargetMode="External"/><Relationship Id="rId1605" Type="http://schemas.openxmlformats.org/officeDocument/2006/relationships/hyperlink" Target="http://onlineabd.de/images/downloads/ABD_2005_09_30.pdf" TargetMode="External"/><Relationship Id="rId1689" Type="http://schemas.openxmlformats.org/officeDocument/2006/relationships/hyperlink" Target="https://onlineabd.de/online-abd/abd?DatumAuswahl=&amp;Kat=27042" TargetMode="External"/><Relationship Id="rId1812" Type="http://schemas.openxmlformats.org/officeDocument/2006/relationships/hyperlink" Target="https://onlineabd.de/images/Anlagen/Anl70LK.pdf" TargetMode="External"/><Relationship Id="rId90" Type="http://schemas.openxmlformats.org/officeDocument/2006/relationships/hyperlink" Target="http://bundesrecht.juris.de/sgb_4/index.html" TargetMode="External"/><Relationship Id="rId186" Type="http://schemas.openxmlformats.org/officeDocument/2006/relationships/hyperlink" Target="http://www.onlineabd.de/abd?Kat=29016&amp;DatumAuswahl=" TargetMode="External"/><Relationship Id="rId393" Type="http://schemas.openxmlformats.org/officeDocument/2006/relationships/hyperlink" Target="https://onlineabd.de/online-abd/abd?DatumAuswahl=01.05.2015&amp;Kat=28098" TargetMode="External"/><Relationship Id="rId407" Type="http://schemas.openxmlformats.org/officeDocument/2006/relationships/hyperlink" Target="https://onlineabd.de/online-abd/abd?DatumAuswahl=01.05.2015&amp;Kat=27018&amp;Itemid=101" TargetMode="External"/><Relationship Id="rId614" Type="http://schemas.openxmlformats.org/officeDocument/2006/relationships/hyperlink" Target="https://onlineabd.de/online-abd/abd?Kat=29016&amp;DatumAuswahl=" TargetMode="External"/><Relationship Id="rId821" Type="http://schemas.openxmlformats.org/officeDocument/2006/relationships/hyperlink" Target="https://onlineabd.de/online-abd/abd?Kat=27049&amp;DatumAuswahl=" TargetMode="External"/><Relationship Id="rId1037" Type="http://schemas.openxmlformats.org/officeDocument/2006/relationships/hyperlink" Target="http://www.gesetze-bayern.de/Content/Document/BayLlbG-54" TargetMode="External"/><Relationship Id="rId1244" Type="http://schemas.openxmlformats.org/officeDocument/2006/relationships/hyperlink" Target="https://onlineabd.de/online-abd/abd?DatumAuswahl=&amp;Kat=28151" TargetMode="External"/><Relationship Id="rId1451" Type="http://schemas.openxmlformats.org/officeDocument/2006/relationships/hyperlink" Target="https://onlineabd.de/online-abd/abd?DatumAuswahl=&amp;Kat=27604" TargetMode="External"/><Relationship Id="rId1896" Type="http://schemas.openxmlformats.org/officeDocument/2006/relationships/hyperlink" Target="https://onlineabd.de/online-abd/abd?DatumAuswahl=01.05.2015&amp;Kat=27777" TargetMode="External"/><Relationship Id="rId2074" Type="http://schemas.openxmlformats.org/officeDocument/2006/relationships/hyperlink" Target="https://onlineabd.de/online-abd/abd?DatumAuswahl=01.05.2015&amp;Kat=28035" TargetMode="External"/><Relationship Id="rId253" Type="http://schemas.openxmlformats.org/officeDocument/2006/relationships/hyperlink" Target="https://onlineabd.de/online-abd/abd?DatumAuswahl=01.05.2015&amp;Kat=28242" TargetMode="External"/><Relationship Id="rId460" Type="http://schemas.openxmlformats.org/officeDocument/2006/relationships/hyperlink" Target="https://onlineabd.de/online-abd/abd?DatumAuswahl=01.05.2015&amp;Kat=28174" TargetMode="External"/><Relationship Id="rId698" Type="http://schemas.openxmlformats.org/officeDocument/2006/relationships/hyperlink" Target="https://www.gesetze-im-internet.de/bkgg_1996/__3.html" TargetMode="External"/><Relationship Id="rId919" Type="http://schemas.openxmlformats.org/officeDocument/2006/relationships/hyperlink" Target="https://onlineabd.de/online-abd/abd?DatumAuswahl=01.05.2015&amp;Kat=27013" TargetMode="External"/><Relationship Id="rId1090" Type="http://schemas.openxmlformats.org/officeDocument/2006/relationships/hyperlink" Target="https://onlineabd.de/online-abd/abd?DatumAuswahl=&amp;Kat=28138&amp;SubmitDatum=Anzeige" TargetMode="External"/><Relationship Id="rId1104" Type="http://schemas.openxmlformats.org/officeDocument/2006/relationships/hyperlink" Target="https://onlineabd.de/online-abd/abd?Kat=28140&amp;DatumAuswahl=" TargetMode="External"/><Relationship Id="rId1311" Type="http://schemas.openxmlformats.org/officeDocument/2006/relationships/hyperlink" Target="https://onlineabd.de/online-abd/abd?DatumAuswahl=&amp;Kat=27115" TargetMode="External"/><Relationship Id="rId1549" Type="http://schemas.openxmlformats.org/officeDocument/2006/relationships/hyperlink" Target="https://onlineabd.de/online-abd/abd?DatumAuswahl=&amp;Kat=27590" TargetMode="External"/><Relationship Id="rId1756" Type="http://schemas.openxmlformats.org/officeDocument/2006/relationships/hyperlink" Target="http://bundesrecht.juris.de/bbig_2005/" TargetMode="External"/><Relationship Id="rId1963" Type="http://schemas.openxmlformats.org/officeDocument/2006/relationships/hyperlink" Target="https://onlineabd.de/online-abd/abd?Kat=27851&amp;DatumAuswahl=" TargetMode="External"/><Relationship Id="rId48" Type="http://schemas.openxmlformats.org/officeDocument/2006/relationships/hyperlink" Target="https://onlineabd.de/online-abd/abd?Kat=28187&amp;DatumAuswahl=" TargetMode="External"/><Relationship Id="rId113" Type="http://schemas.openxmlformats.org/officeDocument/2006/relationships/hyperlink" Target="https://onlineabd.de/online-abd/abd?DatumAuswahl=01.05.2015&amp;Kat=27042" TargetMode="External"/><Relationship Id="rId320" Type="http://schemas.openxmlformats.org/officeDocument/2006/relationships/hyperlink" Target="https://www.gesetze-im-internet.de/sgb_9_2018/__2.html" TargetMode="External"/><Relationship Id="rId558" Type="http://schemas.openxmlformats.org/officeDocument/2006/relationships/hyperlink" Target="https://onlineabd.de/online-abd/abd?Kat=27219&amp;DatumAuswahl=" TargetMode="External"/><Relationship Id="rId765" Type="http://schemas.openxmlformats.org/officeDocument/2006/relationships/hyperlink" Target="https://onlineabd.de/online-abd/abd?Kat=27240&amp;DatumAuswahl=" TargetMode="External"/><Relationship Id="rId972" Type="http://schemas.openxmlformats.org/officeDocument/2006/relationships/hyperlink" Target="https://onlineabd.de/online-abd/abd?DatumAuswahl=01.05.2015&amp;Kat=27040" TargetMode="External"/><Relationship Id="rId1188" Type="http://schemas.openxmlformats.org/officeDocument/2006/relationships/hyperlink" Target="https://onlineabd.de/online-abd/abd?DatumAuswahl=&amp;Kat=27479" TargetMode="External"/><Relationship Id="rId1395" Type="http://schemas.openxmlformats.org/officeDocument/2006/relationships/hyperlink" Target="https://onlineabd.de/online-abd/abd?Kat=27534&amp;DatumAuswahl=" TargetMode="External"/><Relationship Id="rId1409" Type="http://schemas.openxmlformats.org/officeDocument/2006/relationships/hyperlink" Target="https://onlineabd.de/online-abd/abd?DatumAuswahl=&amp;Kat=27573" TargetMode="External"/><Relationship Id="rId1616" Type="http://schemas.openxmlformats.org/officeDocument/2006/relationships/hyperlink" Target="http://bundesrecht.juris.de/sgb_6/index.html" TargetMode="External"/><Relationship Id="rId1823" Type="http://schemas.openxmlformats.org/officeDocument/2006/relationships/hyperlink" Target="https://onlineabd.de/images/Anlagen/Anl59.pdf" TargetMode="External"/><Relationship Id="rId2001" Type="http://schemas.openxmlformats.org/officeDocument/2006/relationships/hyperlink" Target="https://onlineabd.de/online-abd/abd?Kat=27851&amp;DatumAuswahl=" TargetMode="External"/><Relationship Id="rId197" Type="http://schemas.openxmlformats.org/officeDocument/2006/relationships/hyperlink" Target="https://onlineabd.de/online-abd/abd?Kat=27124&amp;DatumAuswahl=" TargetMode="External"/><Relationship Id="rId418" Type="http://schemas.openxmlformats.org/officeDocument/2006/relationships/hyperlink" Target="https://onlineabd.de/online-abd/abd?DatumAuswahl=01.05.2015&amp;Kat=28235" TargetMode="External"/><Relationship Id="rId625" Type="http://schemas.openxmlformats.org/officeDocument/2006/relationships/hyperlink" Target="https://onlineabd.de/online-abd/abd?Kat=29016&amp;DatumAuswahl=" TargetMode="External"/><Relationship Id="rId832" Type="http://schemas.openxmlformats.org/officeDocument/2006/relationships/hyperlink" Target="http://bundesrecht.juris.de/sgb_5/__257.html" TargetMode="External"/><Relationship Id="rId1048" Type="http://schemas.openxmlformats.org/officeDocument/2006/relationships/hyperlink" Target="http://www.gesetze-bayern.de/Content/Document/BayBesG-G3" TargetMode="External"/><Relationship Id="rId1255" Type="http://schemas.openxmlformats.org/officeDocument/2006/relationships/hyperlink" Target="https://onlineabd.de/online-abd/abd?DatumAuswahl=&amp;Kat=28182&amp;Itemid=101" TargetMode="External"/><Relationship Id="rId1462" Type="http://schemas.openxmlformats.org/officeDocument/2006/relationships/hyperlink" Target="https://onlineabd.de/online-abd/abd?DatumAuswahl=01.05.2015&amp;Kat=27573" TargetMode="External"/><Relationship Id="rId2085" Type="http://schemas.openxmlformats.org/officeDocument/2006/relationships/hyperlink" Target="http://bundesrecht.juris.de/drig/__5.html" TargetMode="External"/><Relationship Id="rId264" Type="http://schemas.openxmlformats.org/officeDocument/2006/relationships/hyperlink" Target="https://www.gesetze-im-internet.de/stgb/__224.html" TargetMode="External"/><Relationship Id="rId471" Type="http://schemas.openxmlformats.org/officeDocument/2006/relationships/hyperlink" Target="https://onlineabd.de/online-abd/abd?DatumAuswahl=01.05.2015&amp;Kat=28235" TargetMode="External"/><Relationship Id="rId1115" Type="http://schemas.openxmlformats.org/officeDocument/2006/relationships/hyperlink" Target="https://onlineabd.de/online-abd/abd?DatumAuswahl=&amp;Kat=28182&amp;SubmitDatum=Anzeige" TargetMode="External"/><Relationship Id="rId1322" Type="http://schemas.openxmlformats.org/officeDocument/2006/relationships/hyperlink" Target="https://onlineabd.de/online-abd/abd?DatumAuswahl=&amp;Kat=28183" TargetMode="External"/><Relationship Id="rId1767" Type="http://schemas.openxmlformats.org/officeDocument/2006/relationships/hyperlink" Target="https://onlineabd.de/images/Anlagen/KODA_Nr_115.pdf" TargetMode="External"/><Relationship Id="rId1974" Type="http://schemas.openxmlformats.org/officeDocument/2006/relationships/hyperlink" Target="https://onlineabd.de/online-abd/abd?Kat=27867&amp;DatumAuswahl=" TargetMode="External"/><Relationship Id="rId59" Type="http://schemas.openxmlformats.org/officeDocument/2006/relationships/hyperlink" Target="http://onlineabd.de/27035-abd/a/a-1/a-1-3/a-1-3-9/29073-a-1-3-9-2010-01-01-2010-06-30" TargetMode="External"/><Relationship Id="rId124" Type="http://schemas.openxmlformats.org/officeDocument/2006/relationships/hyperlink" Target="https://www.gesetze-im-internet.de/muschg_2018/__3.html" TargetMode="External"/><Relationship Id="rId569" Type="http://schemas.openxmlformats.org/officeDocument/2006/relationships/hyperlink" Target="https://onlineabd.de/online-abd/abd?DatumAuswahl=01.05.2015&amp;Kat=27200" TargetMode="External"/><Relationship Id="rId776" Type="http://schemas.openxmlformats.org/officeDocument/2006/relationships/hyperlink" Target="https://onlineabd.de/online-abd/abd?DatumAuswahl=&amp;Kat=27018&amp;SubmitDatum=Anzeige" TargetMode="External"/><Relationship Id="rId983" Type="http://schemas.openxmlformats.org/officeDocument/2006/relationships/hyperlink" Target="https://onlineabd.de/online-abd/abd?DatumAuswahl=01.05.2015&amp;Kat=27058" TargetMode="External"/><Relationship Id="rId1199" Type="http://schemas.openxmlformats.org/officeDocument/2006/relationships/hyperlink" Target="https://onlineabd.de/online-abd/abd?DatumAuswahl=&amp;Kat=27007" TargetMode="External"/><Relationship Id="rId1627" Type="http://schemas.openxmlformats.org/officeDocument/2006/relationships/hyperlink" Target="http://onlineabd.de/images/downloads/ABD_2005_09_30.pdf" TargetMode="External"/><Relationship Id="rId1834" Type="http://schemas.openxmlformats.org/officeDocument/2006/relationships/hyperlink" Target="https://onlineabd.de/online-abd/abd?DatumAuswahl=01.05.2015&amp;Kat=27720" TargetMode="External"/><Relationship Id="rId331" Type="http://schemas.openxmlformats.org/officeDocument/2006/relationships/hyperlink" Target="https://onlineabd.de/online-abd/abd?Kat=27058&amp;DatumAuswahl=" TargetMode="External"/><Relationship Id="rId429" Type="http://schemas.openxmlformats.org/officeDocument/2006/relationships/hyperlink" Target="https://onlineabd.de/online-abd/abd?DatumAuswahl=01.05.2015&amp;Kat=28236" TargetMode="External"/><Relationship Id="rId636" Type="http://schemas.openxmlformats.org/officeDocument/2006/relationships/hyperlink" Target="https://onlineabd.de/online-abd/abd?Kat=27027&amp;DatumAuswahl=" TargetMode="External"/><Relationship Id="rId1059" Type="http://schemas.openxmlformats.org/officeDocument/2006/relationships/hyperlink" Target="http://www.gesetze-bayern.de/Content/Document/BayLlbG-G4" TargetMode="External"/><Relationship Id="rId1266" Type="http://schemas.openxmlformats.org/officeDocument/2006/relationships/hyperlink" Target="https://onlineabd.de/online-abd/abd?DatumAuswahl=&amp;Kat=27040&amp;Itemid=101" TargetMode="External"/><Relationship Id="rId1473" Type="http://schemas.openxmlformats.org/officeDocument/2006/relationships/hyperlink" Target="http://bundesrecht.juris.de/sgb_6/" TargetMode="External"/><Relationship Id="rId2012" Type="http://schemas.openxmlformats.org/officeDocument/2006/relationships/hyperlink" Target="https://onlineabd.de/online-abd/abd?DatumAuswahl=01.05.2015&amp;Kat=28040" TargetMode="External"/><Relationship Id="rId2096" Type="http://schemas.openxmlformats.org/officeDocument/2006/relationships/hyperlink" Target="https://onlineabd.de/online-abd/abd?DatumAuswahl=01.05.2015&amp;Kat=28035" TargetMode="External"/><Relationship Id="rId843" Type="http://schemas.openxmlformats.org/officeDocument/2006/relationships/hyperlink" Target="http://bundesrecht.juris.de/tvg/__4.html" TargetMode="External"/><Relationship Id="rId1126" Type="http://schemas.openxmlformats.org/officeDocument/2006/relationships/hyperlink" Target="https://onlineabd.de/online-abd/abd?Kat=27018&amp;DatumAuswahl=" TargetMode="External"/><Relationship Id="rId1680" Type="http://schemas.openxmlformats.org/officeDocument/2006/relationships/hyperlink" Target="https://onlineabd.de/online-abd/abd?DatumAuswahl=&amp;Kat=27067" TargetMode="External"/><Relationship Id="rId1778" Type="http://schemas.openxmlformats.org/officeDocument/2006/relationships/hyperlink" Target="https://onlineabd.de/images/downloads/Koda_Nr_105.pdf" TargetMode="External"/><Relationship Id="rId1901" Type="http://schemas.openxmlformats.org/officeDocument/2006/relationships/hyperlink" Target="https://www.gesetze-im-internet.de/sgb_5/__257.html" TargetMode="External"/><Relationship Id="rId1985" Type="http://schemas.openxmlformats.org/officeDocument/2006/relationships/hyperlink" Target="https://www.onlineabd.de/online-abd/abd?Kat=29886&amp;DatumAuswahl=" TargetMode="External"/><Relationship Id="rId275" Type="http://schemas.openxmlformats.org/officeDocument/2006/relationships/hyperlink" Target="https://onlineabd.de/online-abd/abd?Kat=27102&amp;DatumAuswahl=" TargetMode="External"/><Relationship Id="rId482" Type="http://schemas.openxmlformats.org/officeDocument/2006/relationships/hyperlink" Target="https://onlineabd.de/online-abd/abd?DatumAuswahl=01.05.2015&amp;Kat=28235" TargetMode="External"/><Relationship Id="rId703" Type="http://schemas.openxmlformats.org/officeDocument/2006/relationships/hyperlink" Target="https://www.gesetze-im-internet.de/bkgg_1996/__4.html" TargetMode="External"/><Relationship Id="rId910" Type="http://schemas.openxmlformats.org/officeDocument/2006/relationships/hyperlink" Target="https://onlineabd.de/online-abd/abd?DatumAuswahl=01.05.2015&amp;Kat=27068" TargetMode="External"/><Relationship Id="rId1333" Type="http://schemas.openxmlformats.org/officeDocument/2006/relationships/hyperlink" Target="https://onlineabd.de/online-abd/abd?DatumAuswahl=&amp;Kat=27523" TargetMode="External"/><Relationship Id="rId1540" Type="http://schemas.openxmlformats.org/officeDocument/2006/relationships/hyperlink" Target="http://www.gesetze-im-internet.de/betravg/index.html" TargetMode="External"/><Relationship Id="rId1638" Type="http://schemas.openxmlformats.org/officeDocument/2006/relationships/hyperlink" Target="http://bundesrecht.juris.de/sgb_6/__236.html" TargetMode="External"/><Relationship Id="rId135" Type="http://schemas.openxmlformats.org/officeDocument/2006/relationships/hyperlink" Target="https://onlineabd.de/online-abd/abd?DatumAuswahl=01.05.2015&amp;Kat=27039" TargetMode="External"/><Relationship Id="rId342" Type="http://schemas.openxmlformats.org/officeDocument/2006/relationships/hyperlink" Target="https://onlineabd.de/online-abd/abd?Kat=27342&amp;DatumAuswahl=" TargetMode="External"/><Relationship Id="rId787" Type="http://schemas.openxmlformats.org/officeDocument/2006/relationships/hyperlink" Target="https://onlineabd.de/online-abd/abd?DatumAuswahl=&amp;Kat=27058&amp;SubmitDatum=Anzeige" TargetMode="External"/><Relationship Id="rId994" Type="http://schemas.openxmlformats.org/officeDocument/2006/relationships/hyperlink" Target="https://onlineabd.de/online-abd/abd?DatumAuswahl=01.05.2015&amp;Kat=27493" TargetMode="External"/><Relationship Id="rId1400" Type="http://schemas.openxmlformats.org/officeDocument/2006/relationships/hyperlink" Target="https://onlineabd.de/online-abd/abd?Kat=27531&amp;DatumAuswahl=" TargetMode="External"/><Relationship Id="rId1845" Type="http://schemas.openxmlformats.org/officeDocument/2006/relationships/hyperlink" Target="https://onlineabd.de/online-abd/abd?DatumAuswahl=01.05.2015&amp;Kat=27762" TargetMode="External"/><Relationship Id="rId2023" Type="http://schemas.openxmlformats.org/officeDocument/2006/relationships/hyperlink" Target="https://onlineabd.de/online-abd/abd?DatumAuswahl=01.05.2015&amp;Kat=28051" TargetMode="External"/><Relationship Id="rId202" Type="http://schemas.openxmlformats.org/officeDocument/2006/relationships/hyperlink" Target="https://onlineabd.de/online-abd/abd?Kat=27037&amp;DatumAuswahl=" TargetMode="External"/><Relationship Id="rId647" Type="http://schemas.openxmlformats.org/officeDocument/2006/relationships/hyperlink" Target="https://onlineabd.de/online-abd/abd?Kat=27102&amp;DatumAuswahl=" TargetMode="External"/><Relationship Id="rId854" Type="http://schemas.openxmlformats.org/officeDocument/2006/relationships/hyperlink" Target="https://onlineabd.de/online-abd/abd?Kat=27015&amp;DatumAuswahl=" TargetMode="External"/><Relationship Id="rId1277" Type="http://schemas.openxmlformats.org/officeDocument/2006/relationships/hyperlink" Target="https://onlineabd.de/online-abd/abd?DatumAuswahl=&amp;Kat=27211" TargetMode="External"/><Relationship Id="rId1484" Type="http://schemas.openxmlformats.org/officeDocument/2006/relationships/hyperlink" Target="http://bundesrecht.juris.de/sgb_6/index.html" TargetMode="External"/><Relationship Id="rId1691" Type="http://schemas.openxmlformats.org/officeDocument/2006/relationships/hyperlink" Target="https://onlineabd.de/online-abd/abd?DatumAuswahl=01.05.2015&amp;Kat=29127" TargetMode="External"/><Relationship Id="rId1705" Type="http://schemas.openxmlformats.org/officeDocument/2006/relationships/hyperlink" Target="https://onlineabd.de/online-abd/abd?Kat=27672&amp;DatumAuswahl=" TargetMode="External"/><Relationship Id="rId1912" Type="http://schemas.openxmlformats.org/officeDocument/2006/relationships/hyperlink" Target="https://www.onlineabd.de/online-abd/abd?Kat=29930&amp;DatumAuswahl=" TargetMode="External"/><Relationship Id="rId286" Type="http://schemas.openxmlformats.org/officeDocument/2006/relationships/hyperlink" Target="https://onlineabd.de/online-abd/abd?Kat=28187&amp;DatumAuswahl=" TargetMode="External"/><Relationship Id="rId493" Type="http://schemas.openxmlformats.org/officeDocument/2006/relationships/hyperlink" Target="http://www.gesetze-im-internet.de/estg/index.html" TargetMode="External"/><Relationship Id="rId507" Type="http://schemas.openxmlformats.org/officeDocument/2006/relationships/hyperlink" Target="https://onlineabd.de/online-abd/abd?DatumAuswahl=01.05.2015&amp;Kat=28167" TargetMode="External"/><Relationship Id="rId714" Type="http://schemas.openxmlformats.org/officeDocument/2006/relationships/hyperlink" Target="https://www.gesetze-im-internet.de/muschg_2018/__13.html" TargetMode="External"/><Relationship Id="rId921" Type="http://schemas.openxmlformats.org/officeDocument/2006/relationships/hyperlink" Target="https://onlineabd.de/online-abd/abd?DatumAuswahl=01.05.2015&amp;Kat=27013" TargetMode="External"/><Relationship Id="rId1137" Type="http://schemas.openxmlformats.org/officeDocument/2006/relationships/hyperlink" Target="https://onlineabd.de/online-abd/abd?Kat=27018&amp;DatumAuswahl=" TargetMode="External"/><Relationship Id="rId1344" Type="http://schemas.openxmlformats.org/officeDocument/2006/relationships/hyperlink" Target="https://onlineabd.de/online-abd/abd?Kat=27533&amp;DatumAuswahl=" TargetMode="External"/><Relationship Id="rId1551" Type="http://schemas.openxmlformats.org/officeDocument/2006/relationships/hyperlink" Target="https://onlineabd.de/online-abd/abd?DatumAuswahl=&amp;Kat=27559" TargetMode="External"/><Relationship Id="rId1789" Type="http://schemas.openxmlformats.org/officeDocument/2006/relationships/hyperlink" Target="https://onlineabd.de/images/Anlagen/Koda_Nr_93.pdf" TargetMode="External"/><Relationship Id="rId1996" Type="http://schemas.openxmlformats.org/officeDocument/2006/relationships/hyperlink" Target="https://onlineabd.de/online-abd/abd?Kat=29451&amp;DatumAuswahl=" TargetMode="External"/><Relationship Id="rId50" Type="http://schemas.openxmlformats.org/officeDocument/2006/relationships/hyperlink" Target="http://www.gesetze-im-internet.de/sgb_7/index.html" TargetMode="External"/><Relationship Id="rId146" Type="http://schemas.openxmlformats.org/officeDocument/2006/relationships/hyperlink" Target="https://onlineabd.de/online-abd/abd?Kat=27034&amp;DatumAuswahl=" TargetMode="External"/><Relationship Id="rId353" Type="http://schemas.openxmlformats.org/officeDocument/2006/relationships/hyperlink" Target="https://onlineabd.de/online-abd/abd?Kat=27353&amp;DatumAuswahl=" TargetMode="External"/><Relationship Id="rId560" Type="http://schemas.openxmlformats.org/officeDocument/2006/relationships/hyperlink" Target="https://onlineabd.de/online-abd/abd?DatumAuswahl=01.05.2015&amp;Kat=28185" TargetMode="External"/><Relationship Id="rId798" Type="http://schemas.openxmlformats.org/officeDocument/2006/relationships/hyperlink" Target="http://www.gesetze-bayern.de/Content/Document/BayBesG" TargetMode="External"/><Relationship Id="rId1190" Type="http://schemas.openxmlformats.org/officeDocument/2006/relationships/hyperlink" Target="https://onlineabd.de/online-abd/abd?DatumAuswahl=&amp;Kat=27017" TargetMode="External"/><Relationship Id="rId1204" Type="http://schemas.openxmlformats.org/officeDocument/2006/relationships/hyperlink" Target="http://www.gesetze-im-internet.de/sgb_4/" TargetMode="External"/><Relationship Id="rId1411" Type="http://schemas.openxmlformats.org/officeDocument/2006/relationships/hyperlink" Target="https://onlineabd.de/online-abd/abd?DatumAuswahl=&amp;Kat=27573" TargetMode="External"/><Relationship Id="rId1649" Type="http://schemas.openxmlformats.org/officeDocument/2006/relationships/hyperlink" Target="https://onlineabd.de/online-abd/abd?DatumAuswahl=&amp;Kat=27219" TargetMode="External"/><Relationship Id="rId1856" Type="http://schemas.openxmlformats.org/officeDocument/2006/relationships/hyperlink" Target="http://www.gesetze-bayern.de/Content/Document/BayBhV/true" TargetMode="External"/><Relationship Id="rId2034" Type="http://schemas.openxmlformats.org/officeDocument/2006/relationships/hyperlink" Target="https://onlineabd.de/online-abd/abd?DatumAuswahl=01.05.2015&amp;Kat=28062" TargetMode="External"/><Relationship Id="rId213" Type="http://schemas.openxmlformats.org/officeDocument/2006/relationships/hyperlink" Target="https://www.gesetze-im-internet.de/arbschg/__5.html" TargetMode="External"/><Relationship Id="rId420" Type="http://schemas.openxmlformats.org/officeDocument/2006/relationships/hyperlink" Target="https://onlineabd.de/online-abd/abd?DatumAuswahl=01.05.2015&amp;Kat=28172" TargetMode="External"/><Relationship Id="rId658" Type="http://schemas.openxmlformats.org/officeDocument/2006/relationships/hyperlink" Target="https://onlineabd.de/online-abd/abd?Kat=27102&amp;DatumAuswahl=" TargetMode="External"/><Relationship Id="rId865" Type="http://schemas.openxmlformats.org/officeDocument/2006/relationships/hyperlink" Target="https://onlineabd.de/online-abd/abd?DatumAuswahl=&amp;Kat=28134&amp;SubmitDatum=Anzeige" TargetMode="External"/><Relationship Id="rId1050" Type="http://schemas.openxmlformats.org/officeDocument/2006/relationships/hyperlink" Target="http://www.gesetze-bayern.de/Content/Document/BayBesG-G2" TargetMode="External"/><Relationship Id="rId1288" Type="http://schemas.openxmlformats.org/officeDocument/2006/relationships/hyperlink" Target="https://onlineabd.de/online-abd/abd?DatumAuswahl=&amp;Kat=27521" TargetMode="External"/><Relationship Id="rId1495" Type="http://schemas.openxmlformats.org/officeDocument/2006/relationships/hyperlink" Target="http://bundesrecht.juris.de/sgb_6/index.html" TargetMode="External"/><Relationship Id="rId1509" Type="http://schemas.openxmlformats.org/officeDocument/2006/relationships/hyperlink" Target="https://onlineabd.de/online-abd/abd?DatumAuswahl=&amp;Kat=27573" TargetMode="External"/><Relationship Id="rId1716" Type="http://schemas.openxmlformats.org/officeDocument/2006/relationships/hyperlink" Target="https://onlineabd.de/online-abd/abd?DatumAuswahl=&amp;Kat=27067" TargetMode="External"/><Relationship Id="rId1923" Type="http://schemas.openxmlformats.org/officeDocument/2006/relationships/hyperlink" Target="http://www.gesetze-bayern.de/Content/Document/BayEUG" TargetMode="External"/><Relationship Id="rId2101" Type="http://schemas.openxmlformats.org/officeDocument/2006/relationships/hyperlink" Target="https://onlineabd.de/online-abd/abd?DatumAuswahl=01.05.2015&amp;Kat=27723" TargetMode="External"/><Relationship Id="rId297" Type="http://schemas.openxmlformats.org/officeDocument/2006/relationships/hyperlink" Target="https://www.gesetze-im-internet.de/sgb_9_2018/__2.html" TargetMode="External"/><Relationship Id="rId518" Type="http://schemas.openxmlformats.org/officeDocument/2006/relationships/hyperlink" Target="https://onlineabd.de/online-abd/abd?Kat=27029&amp;DatumAuswahl=" TargetMode="External"/><Relationship Id="rId725" Type="http://schemas.openxmlformats.org/officeDocument/2006/relationships/hyperlink" Target="https://www.gesetze-im-internet.de/betravg/__1b.html" TargetMode="External"/><Relationship Id="rId932" Type="http://schemas.openxmlformats.org/officeDocument/2006/relationships/hyperlink" Target="https://onlineabd.de/online-abd/abd?DatumAuswahl=01.05.2015&amp;Kat=27479" TargetMode="External"/><Relationship Id="rId1148" Type="http://schemas.openxmlformats.org/officeDocument/2006/relationships/hyperlink" Target="https://onlineabd.de/online-abd/abd?Kat=28182&amp;DatumAuswahl=" TargetMode="External"/><Relationship Id="rId1355" Type="http://schemas.openxmlformats.org/officeDocument/2006/relationships/hyperlink" Target="https://onlineabd.de/online-abd/abd?Kat=27530&amp;DatumAuswahl=" TargetMode="External"/><Relationship Id="rId1562" Type="http://schemas.openxmlformats.org/officeDocument/2006/relationships/hyperlink" Target="https://onlineabd.de/online-abd/abd?DatumAuswahl=&amp;Kat=27547" TargetMode="External"/><Relationship Id="rId157" Type="http://schemas.openxmlformats.org/officeDocument/2006/relationships/hyperlink" Target="https://onlineabd.de/online-abd/abd?DatumAuswahl=01.05.2015&amp;Kat=27791" TargetMode="External"/><Relationship Id="rId364" Type="http://schemas.openxmlformats.org/officeDocument/2006/relationships/hyperlink" Target="https://onlineabd.de/online-abd/abd?Kat=27157&amp;DatumAuswahl=" TargetMode="External"/><Relationship Id="rId1008" Type="http://schemas.openxmlformats.org/officeDocument/2006/relationships/hyperlink" Target="https://onlineabd.de/online-abd/abd?DatumAuswahl=01.05.2015&amp;Kat=28131" TargetMode="External"/><Relationship Id="rId1215" Type="http://schemas.openxmlformats.org/officeDocument/2006/relationships/hyperlink" Target="https://onlineabd.de/online-abd/abd?DatumAuswahl=&amp;Kat=27039" TargetMode="External"/><Relationship Id="rId1422" Type="http://schemas.openxmlformats.org/officeDocument/2006/relationships/hyperlink" Target="https://onlineabd.de/online-abd/abd?DatumAuswahl=&amp;Kat=27581" TargetMode="External"/><Relationship Id="rId1867" Type="http://schemas.openxmlformats.org/officeDocument/2006/relationships/hyperlink" Target="https://www.gesetze-im-internet.de/sgb_5/__257.html" TargetMode="External"/><Relationship Id="rId2045" Type="http://schemas.openxmlformats.org/officeDocument/2006/relationships/hyperlink" Target="https://onlineabd.de/online-abd/abd?DatumAuswahl=01.05.2015&amp;Kat=28073" TargetMode="External"/><Relationship Id="rId61" Type="http://schemas.openxmlformats.org/officeDocument/2006/relationships/hyperlink" Target="http://onlineabd.de/27009-abd/a/a-1/a-1-1/a-1-1-1/29604-a-1-1-1-2012-04-01-2012-07-04" TargetMode="External"/><Relationship Id="rId571" Type="http://schemas.openxmlformats.org/officeDocument/2006/relationships/hyperlink" Target="https://www.gesetze-im-internet.de/muschg_2018/__6.html" TargetMode="External"/><Relationship Id="rId669" Type="http://schemas.openxmlformats.org/officeDocument/2006/relationships/hyperlink" Target="https://onlineabd.de/online-abd/abd?Kat=28188&amp;DatumAuswahl=31.12.2016" TargetMode="External"/><Relationship Id="rId876" Type="http://schemas.openxmlformats.org/officeDocument/2006/relationships/hyperlink" Target="http://www.gesetze-bayern.de/Content/Document/BayBesG-G1" TargetMode="External"/><Relationship Id="rId1299" Type="http://schemas.openxmlformats.org/officeDocument/2006/relationships/hyperlink" Target="https://onlineabd.de/online-abd/abd?DatumAuswahl=&amp;Kat=27521" TargetMode="External"/><Relationship Id="rId1727" Type="http://schemas.openxmlformats.org/officeDocument/2006/relationships/hyperlink" Target="https://onlineabd.de/online-abd/abd?DatumAuswahl=&amp;Kat=27694" TargetMode="External"/><Relationship Id="rId1934" Type="http://schemas.openxmlformats.org/officeDocument/2006/relationships/hyperlink" Target="https://onlineabd.de/online-abd/abd?Kat=29579&amp;DatumAuswahl=" TargetMode="External"/><Relationship Id="rId19" Type="http://schemas.openxmlformats.org/officeDocument/2006/relationships/hyperlink" Target="https://onlineabd.de/online-abd/abd?DatumAuswahl=01.05.2015&amp;Kat=27013" TargetMode="External"/><Relationship Id="rId224" Type="http://schemas.openxmlformats.org/officeDocument/2006/relationships/hyperlink" Target="https://onlineabd.de/online-abd/abd?Kat=29382&amp;DatumAuswahl=" TargetMode="External"/><Relationship Id="rId431" Type="http://schemas.openxmlformats.org/officeDocument/2006/relationships/hyperlink" Target="https://onlineabd.de/online-abd/abd?DatumAuswahl=01.05.2015&amp;Kat=28236" TargetMode="External"/><Relationship Id="rId529" Type="http://schemas.openxmlformats.org/officeDocument/2006/relationships/hyperlink" Target="https://onlineabd.de/online-abd/abd?DatumAuswahl=01.05.2015&amp;Kat=27041" TargetMode="External"/><Relationship Id="rId736" Type="http://schemas.openxmlformats.org/officeDocument/2006/relationships/hyperlink" Target="https://www.gesetze-im-internet.de/sgb_4/__8.html" TargetMode="External"/><Relationship Id="rId1061" Type="http://schemas.openxmlformats.org/officeDocument/2006/relationships/hyperlink" Target="http://www.gesetze-bayern.de/Content/Document/BayBesG-G3" TargetMode="External"/><Relationship Id="rId1159" Type="http://schemas.openxmlformats.org/officeDocument/2006/relationships/hyperlink" Target="https://onlineabd.de/online-abd/abd?DatumAuswahl=&amp;Kat=27049&amp;SubmitDatum=Anzeige" TargetMode="External"/><Relationship Id="rId1366" Type="http://schemas.openxmlformats.org/officeDocument/2006/relationships/hyperlink" Target="https://onlineabd.de/online-abd/abd?Kat=27535&amp;DatumAuswahl=" TargetMode="External"/><Relationship Id="rId2112" Type="http://schemas.openxmlformats.org/officeDocument/2006/relationships/hyperlink" Target="https://onlineabd.de/online-abd/abd?Kat=27854&amp;DatumAuswahl=" TargetMode="External"/><Relationship Id="rId168" Type="http://schemas.openxmlformats.org/officeDocument/2006/relationships/hyperlink" Target="https://onlineabd.de/online-abd/abd?DatumAuswahl=01.05.2015&amp;Kat=28884" TargetMode="External"/><Relationship Id="rId943" Type="http://schemas.openxmlformats.org/officeDocument/2006/relationships/hyperlink" Target="http://www.gesetze-bayern.de/Content/Document/BayBesG-G3" TargetMode="External"/><Relationship Id="rId1019" Type="http://schemas.openxmlformats.org/officeDocument/2006/relationships/hyperlink" Target="https://onlineabd.de/online-abd/abd?DatumAuswahl=01.05.2015&amp;Kat=28133" TargetMode="External"/><Relationship Id="rId1573" Type="http://schemas.openxmlformats.org/officeDocument/2006/relationships/hyperlink" Target="http://bundesrecht.juris.de/estg" TargetMode="External"/><Relationship Id="rId1780" Type="http://schemas.openxmlformats.org/officeDocument/2006/relationships/hyperlink" Target="https://onlineabd.de/images/Anlagen/Koda_Nr_103.pdf" TargetMode="External"/><Relationship Id="rId1878" Type="http://schemas.openxmlformats.org/officeDocument/2006/relationships/hyperlink" Target="http://www.gesetze-bayern.de/Content/Document/BayBhV/true" TargetMode="External"/><Relationship Id="rId72" Type="http://schemas.openxmlformats.org/officeDocument/2006/relationships/hyperlink" Target="https://onlineabd.de/online-abd/abd?DatumAuswahl=01.05.2015&amp;Kat=28182" TargetMode="External"/><Relationship Id="rId375" Type="http://schemas.openxmlformats.org/officeDocument/2006/relationships/hyperlink" Target="https://onlineabd.de/online-abd/abd?DatumAuswahl=01.05.2015&amp;Kat=27170&amp;Itemid=101" TargetMode="External"/><Relationship Id="rId582" Type="http://schemas.openxmlformats.org/officeDocument/2006/relationships/hyperlink" Target="https://onlineabd.de/online-abd/abd?DatumAuswahl=01.05.2015&amp;Kat=28189&amp;Itemid=101" TargetMode="External"/><Relationship Id="rId803" Type="http://schemas.openxmlformats.org/officeDocument/2006/relationships/hyperlink" Target="http://www.gesetze-bayern.de/Content/Document/BayBesG" TargetMode="External"/><Relationship Id="rId1226" Type="http://schemas.openxmlformats.org/officeDocument/2006/relationships/hyperlink" Target="https://onlineabd.de/online-abd/abd?DatumAuswahl=&amp;Kat=27212" TargetMode="External"/><Relationship Id="rId1433" Type="http://schemas.openxmlformats.org/officeDocument/2006/relationships/hyperlink" Target="https://onlineabd.de/online-abd/abd?DatumAuswahl=&amp;Kat=27587" TargetMode="External"/><Relationship Id="rId1640" Type="http://schemas.openxmlformats.org/officeDocument/2006/relationships/hyperlink" Target="http://bundesrecht.juris.de/sgb_6/__237a.html" TargetMode="External"/><Relationship Id="rId1738" Type="http://schemas.openxmlformats.org/officeDocument/2006/relationships/hyperlink" Target="https://onlineabd.de/online-abd/abd?Kat=27693&amp;DatumAuswahl=" TargetMode="External"/><Relationship Id="rId2056" Type="http://schemas.openxmlformats.org/officeDocument/2006/relationships/hyperlink" Target="file:///C:\abd%3fDatumAuswahl=01.05.2015&amp;Kat=28082" TargetMode="External"/><Relationship Id="rId3" Type="http://schemas.openxmlformats.org/officeDocument/2006/relationships/styles" Target="styles.xml"/><Relationship Id="rId235" Type="http://schemas.openxmlformats.org/officeDocument/2006/relationships/hyperlink" Target="https://onlineabd.de/online-abd/abd?Kat=28187&amp;DatumAuswahl=" TargetMode="External"/><Relationship Id="rId442" Type="http://schemas.openxmlformats.org/officeDocument/2006/relationships/hyperlink" Target="https://onlineabd.de/online-abd/abd?DatumAuswahl=01.05.2015&amp;Kat=27007" TargetMode="External"/><Relationship Id="rId887" Type="http://schemas.openxmlformats.org/officeDocument/2006/relationships/hyperlink" Target="https://onlineabd.de/online-abd/abd?Kat=27040&amp;DatumAuswahl=" TargetMode="External"/><Relationship Id="rId1072" Type="http://schemas.openxmlformats.org/officeDocument/2006/relationships/hyperlink" Target="http://www.gesetze-bayern.de/Content/Document/BayBesG-G2" TargetMode="External"/><Relationship Id="rId1500" Type="http://schemas.openxmlformats.org/officeDocument/2006/relationships/hyperlink" Target="https://onlineabd.de/online-abd/abd?DatumAuswahl=&amp;Kat=27573" TargetMode="External"/><Relationship Id="rId1945" Type="http://schemas.openxmlformats.org/officeDocument/2006/relationships/hyperlink" Target="https://onlineabd.de/online-abd/abd?Kat=27816&amp;DatumAuswahl=" TargetMode="External"/><Relationship Id="rId302" Type="http://schemas.openxmlformats.org/officeDocument/2006/relationships/hyperlink" Target="https://www.gesetze-im-internet.de/sgb_9_2018/__2.html" TargetMode="External"/><Relationship Id="rId747" Type="http://schemas.openxmlformats.org/officeDocument/2006/relationships/hyperlink" Target="https://www.gesetze-im-internet.de/estg/index.html" TargetMode="External"/><Relationship Id="rId954" Type="http://schemas.openxmlformats.org/officeDocument/2006/relationships/hyperlink" Target="https://onlineabd.de/online-abd/abd?DatumAuswahl=01.05.2015&amp;Kat=27030" TargetMode="External"/><Relationship Id="rId1377" Type="http://schemas.openxmlformats.org/officeDocument/2006/relationships/hyperlink" Target="https://onlineabd.de/online-abd/abd?Kat=27536&amp;DatumAuswahl=" TargetMode="External"/><Relationship Id="rId1584" Type="http://schemas.openxmlformats.org/officeDocument/2006/relationships/hyperlink" Target="http://bundesrecht.juris.de/estg/index.html" TargetMode="External"/><Relationship Id="rId1791" Type="http://schemas.openxmlformats.org/officeDocument/2006/relationships/hyperlink" Target="https://onlineabd.de/images/Anlagen/Koda_Nr_91.pdf" TargetMode="External"/><Relationship Id="rId1805" Type="http://schemas.openxmlformats.org/officeDocument/2006/relationships/hyperlink" Target="https://onlineabd.de/images/Anlagen/Anl77.pdf" TargetMode="External"/><Relationship Id="rId83" Type="http://schemas.openxmlformats.org/officeDocument/2006/relationships/hyperlink" Target="https://onlineabd.de/online-abd/abd?DatumAuswahl=01.05.2015&amp;Kat=27058" TargetMode="External"/><Relationship Id="rId179" Type="http://schemas.openxmlformats.org/officeDocument/2006/relationships/hyperlink" Target="https://onlineabd.de/online-abd/abd?DatumAuswahl=01.05.2015&amp;Kat=27018" TargetMode="External"/><Relationship Id="rId386" Type="http://schemas.openxmlformats.org/officeDocument/2006/relationships/hyperlink" Target="https://onlineabd.de/online-abd/abd?DatumAuswahl=01.05.2015&amp;Kat=28092" TargetMode="External"/><Relationship Id="rId593" Type="http://schemas.openxmlformats.org/officeDocument/2006/relationships/hyperlink" Target="https://onlineabd.de/online-abd/abd?DatumAuswahl=01.05.2015&amp;Kat=29016&amp;Itemid=101" TargetMode="External"/><Relationship Id="rId607" Type="http://schemas.openxmlformats.org/officeDocument/2006/relationships/hyperlink" Target="https://onlineabd.de/online-abd/abd?DatumAuswahl=01.05.2015&amp;Kat=28183&amp;Itemid=101" TargetMode="External"/><Relationship Id="rId814" Type="http://schemas.openxmlformats.org/officeDocument/2006/relationships/hyperlink" Target="http://www.gesetze-bayern.de/Content/Document/BaySchFG-G3" TargetMode="External"/><Relationship Id="rId1237" Type="http://schemas.openxmlformats.org/officeDocument/2006/relationships/hyperlink" Target="http://bundesrecht.juris.de/sgb_7" TargetMode="External"/><Relationship Id="rId1444" Type="http://schemas.openxmlformats.org/officeDocument/2006/relationships/hyperlink" Target="https://onlineabd.de/online-abd/abd?DatumAuswahl=&amp;Kat=27597" TargetMode="External"/><Relationship Id="rId1651" Type="http://schemas.openxmlformats.org/officeDocument/2006/relationships/hyperlink" Target="https://onlineabd.de/online-abd/abd?DatumAuswahl=&amp;Kat=28178" TargetMode="External"/><Relationship Id="rId1889" Type="http://schemas.openxmlformats.org/officeDocument/2006/relationships/hyperlink" Target="https://onlineabd.de/online-abd/abd?Kat=28884&amp;DatumAuswahl=" TargetMode="External"/><Relationship Id="rId2067" Type="http://schemas.openxmlformats.org/officeDocument/2006/relationships/hyperlink" Target="https://onlineabd.de/online-abd/abd?DatumAuswahl=01.05.2015&amp;Kat=28035" TargetMode="External"/><Relationship Id="rId246" Type="http://schemas.openxmlformats.org/officeDocument/2006/relationships/hyperlink" Target="https://onlineabd.de/online-abd/abd?DatumAuswahl=01.05.2015&amp;Kat=27211" TargetMode="External"/><Relationship Id="rId453" Type="http://schemas.openxmlformats.org/officeDocument/2006/relationships/hyperlink" Target="https://onlineabd.de/online-abd/abd?DatumAuswahl=01.05.2015&amp;Kat=28235" TargetMode="External"/><Relationship Id="rId660" Type="http://schemas.openxmlformats.org/officeDocument/2006/relationships/hyperlink" Target="https://onlineabd.de/online-abd/abd?DatumAuswahl=&amp;Kat=27210&amp;SubmitDatum=Anzeige" TargetMode="External"/><Relationship Id="rId898" Type="http://schemas.openxmlformats.org/officeDocument/2006/relationships/hyperlink" Target="https://onlineabd.de/online-abd/abd?DatumAuswahl=01.05.2015&amp;Kat=27040" TargetMode="External"/><Relationship Id="rId1083" Type="http://schemas.openxmlformats.org/officeDocument/2006/relationships/hyperlink" Target="http://www.gesetze-bayern.de/Content/Document/BayLlbG-G4" TargetMode="External"/><Relationship Id="rId1290" Type="http://schemas.openxmlformats.org/officeDocument/2006/relationships/hyperlink" Target="https://onlineabd.de/online-abd/abd?DatumAuswahl=&amp;Kat=27521" TargetMode="External"/><Relationship Id="rId1304" Type="http://schemas.openxmlformats.org/officeDocument/2006/relationships/hyperlink" Target="https://onlineabd.de/online-abd/abd?DatumAuswahl=&amp;Kat=27211" TargetMode="External"/><Relationship Id="rId1511" Type="http://schemas.openxmlformats.org/officeDocument/2006/relationships/hyperlink" Target="http://bundesrecht.juris.de/sgb_6/" TargetMode="External"/><Relationship Id="rId1749" Type="http://schemas.openxmlformats.org/officeDocument/2006/relationships/hyperlink" Target="http://www.gesetze-bayern.de/Content/Document/BayFakO" TargetMode="External"/><Relationship Id="rId1956" Type="http://schemas.openxmlformats.org/officeDocument/2006/relationships/hyperlink" Target="https://onlineabd.de/online-abd/abd?Kat=27723&amp;DatumAuswahl=" TargetMode="External"/><Relationship Id="rId106" Type="http://schemas.openxmlformats.org/officeDocument/2006/relationships/hyperlink" Target="https://onlineabd.de/online-abd/abd?DatumAuswahl=01.05.2015&amp;Kat=27045" TargetMode="External"/><Relationship Id="rId313" Type="http://schemas.openxmlformats.org/officeDocument/2006/relationships/hyperlink" Target="https://www.onlineabd.de/online-abd/abd?Kat=27039&amp;DatumAuswahl=" TargetMode="External"/><Relationship Id="rId758" Type="http://schemas.openxmlformats.org/officeDocument/2006/relationships/hyperlink" Target="https://www.gesetze-im-internet.de/sgb_6/__43.html" TargetMode="External"/><Relationship Id="rId965" Type="http://schemas.openxmlformats.org/officeDocument/2006/relationships/hyperlink" Target="https://onlineabd.de/online-abd/abd?DatumAuswahl=01.05.2015&amp;Kat=27039" TargetMode="External"/><Relationship Id="rId1150" Type="http://schemas.openxmlformats.org/officeDocument/2006/relationships/hyperlink" Target="https://onlineabd.de/online-abd/abd?Kat=27359&amp;DatumAuswahl=" TargetMode="External"/><Relationship Id="rId1388" Type="http://schemas.openxmlformats.org/officeDocument/2006/relationships/hyperlink" Target="https://onlineabd.de/online-abd/abd?Kat=29793&amp;DatumAuswahl=" TargetMode="External"/><Relationship Id="rId1595" Type="http://schemas.openxmlformats.org/officeDocument/2006/relationships/hyperlink" Target="http://onlineabd.de/images/downloads/ABD_2005_09_30.pdf" TargetMode="External"/><Relationship Id="rId1609" Type="http://schemas.openxmlformats.org/officeDocument/2006/relationships/hyperlink" Target="http://onlineabd.de/images/downloads/ABD_2005_09_30.pdf" TargetMode="External"/><Relationship Id="rId1816" Type="http://schemas.openxmlformats.org/officeDocument/2006/relationships/hyperlink" Target="https://onlineabd.de/images/Anlagen/Anl66.pdf" TargetMode="External"/><Relationship Id="rId10" Type="http://schemas.openxmlformats.org/officeDocument/2006/relationships/header" Target="header2.xml"/><Relationship Id="rId94" Type="http://schemas.openxmlformats.org/officeDocument/2006/relationships/hyperlink" Target="https://onlineabd.de/online-abd/abd?DatumAuswahl=01.05.2015&amp;Kat=27616" TargetMode="External"/><Relationship Id="rId397" Type="http://schemas.openxmlformats.org/officeDocument/2006/relationships/hyperlink" Target="https://onlineabd.de/online-abd/abd?Kat=27240&amp;DatumAuswahl=" TargetMode="External"/><Relationship Id="rId520" Type="http://schemas.openxmlformats.org/officeDocument/2006/relationships/hyperlink" Target="https://onlineabd.de/online-abd/abd?Kat=27056&amp;DatumAuswahl=" TargetMode="External"/><Relationship Id="rId618" Type="http://schemas.openxmlformats.org/officeDocument/2006/relationships/hyperlink" Target="https://onlineabd.de/online-abd/abd?Kat=29027&amp;DatumAuswahl=" TargetMode="External"/><Relationship Id="rId825" Type="http://schemas.openxmlformats.org/officeDocument/2006/relationships/hyperlink" Target="https://onlineabd.de/online-abd/abd?Kat=27049&amp;DatumAuswahl=" TargetMode="External"/><Relationship Id="rId1248" Type="http://schemas.openxmlformats.org/officeDocument/2006/relationships/hyperlink" Target="https://onlineabd.de/online-abd/abd?DatumAuswahl=&amp;Kat=29302" TargetMode="External"/><Relationship Id="rId1455" Type="http://schemas.openxmlformats.org/officeDocument/2006/relationships/hyperlink" Target="https://onlineabd.de/online-abd/abd?DatumAuswahl=&amp;Kat=27604" TargetMode="External"/><Relationship Id="rId1662" Type="http://schemas.openxmlformats.org/officeDocument/2006/relationships/hyperlink" Target="https://onlineabd.de/online-abd/abd?DatumAuswahl=&amp;Kat=29247" TargetMode="External"/><Relationship Id="rId2078" Type="http://schemas.openxmlformats.org/officeDocument/2006/relationships/hyperlink" Target="https://onlineabd.de/online-abd/abd?DatumAuswahl=01.05.2015&amp;Kat=28035" TargetMode="External"/><Relationship Id="rId257" Type="http://schemas.openxmlformats.org/officeDocument/2006/relationships/hyperlink" Target="https://www.gesetze-im-internet.de/stgb/BJNR001270871.html" TargetMode="External"/><Relationship Id="rId464" Type="http://schemas.openxmlformats.org/officeDocument/2006/relationships/hyperlink" Target="https://onlineabd.de/online-abd/abd?DatumAuswahl=01.05.2015&amp;Kat=28235" TargetMode="External"/><Relationship Id="rId1010" Type="http://schemas.openxmlformats.org/officeDocument/2006/relationships/hyperlink" Target="https://onlineabd.de/online-abd/abd?DatumAuswahl=01.05.2015&amp;Kat=28133" TargetMode="External"/><Relationship Id="rId1094" Type="http://schemas.openxmlformats.org/officeDocument/2006/relationships/hyperlink" Target="https://onlineabd.de/online-abd/abd?DatumAuswahl=01.05.2015&amp;Kat=28132" TargetMode="External"/><Relationship Id="rId1108" Type="http://schemas.openxmlformats.org/officeDocument/2006/relationships/hyperlink" Target="https://onlineabd.de/online-abd/abd?DatumAuswahl=&amp;Kat=29764&amp;SubmitDatum=Anzeige" TargetMode="External"/><Relationship Id="rId1315" Type="http://schemas.openxmlformats.org/officeDocument/2006/relationships/hyperlink" Target="https://onlineabd.de/online-abd/abd?DatumAuswahl=&amp;Kat=27029" TargetMode="External"/><Relationship Id="rId1967" Type="http://schemas.openxmlformats.org/officeDocument/2006/relationships/hyperlink" Target="http://www.codex-iuris-canonici.de/indexdt.htm" TargetMode="External"/><Relationship Id="rId117" Type="http://schemas.openxmlformats.org/officeDocument/2006/relationships/hyperlink" Target="https://onlineabd.de/online-abd/abd?DatumAuswahl=01.05.2015&amp;Kat=27018" TargetMode="External"/><Relationship Id="rId671" Type="http://schemas.openxmlformats.org/officeDocument/2006/relationships/hyperlink" Target="https://onlineabd.de/online-abd/abd?Kat=27006&amp;DatumAuswahl=" TargetMode="External"/><Relationship Id="rId769" Type="http://schemas.openxmlformats.org/officeDocument/2006/relationships/hyperlink" Target="https://onlineabd.de/online-abd/abd?DatumAuswahl=&amp;Kat=27021&amp;SubmitDatum=Anzeige" TargetMode="External"/><Relationship Id="rId976" Type="http://schemas.openxmlformats.org/officeDocument/2006/relationships/hyperlink" Target="https://onlineabd.de/online-abd/abd?Kat=27050&amp;DatumAuswahl=" TargetMode="External"/><Relationship Id="rId1399" Type="http://schemas.openxmlformats.org/officeDocument/2006/relationships/hyperlink" Target="https://onlineabd.de/online-abd/abd?Kat=29799&amp;DatumAuswahl=" TargetMode="External"/><Relationship Id="rId324" Type="http://schemas.openxmlformats.org/officeDocument/2006/relationships/hyperlink" Target="https://www.gesetze-im-internet.de/sgb_8/__36.html" TargetMode="External"/><Relationship Id="rId531" Type="http://schemas.openxmlformats.org/officeDocument/2006/relationships/hyperlink" Target="https://onlineabd.de/online-abd/abd?Kat=27240&amp;DatumAuswahl=" TargetMode="External"/><Relationship Id="rId629" Type="http://schemas.openxmlformats.org/officeDocument/2006/relationships/hyperlink" Target="https://onlineabd.de/online-abd/abd?Kat=29027&amp;DatumAuswahl=" TargetMode="External"/><Relationship Id="rId1161" Type="http://schemas.openxmlformats.org/officeDocument/2006/relationships/hyperlink" Target="https://onlineabd.de/online-abd/abd?DatumAuswahl=&amp;Kat=27014&amp;SubmitDatum=Anzeige" TargetMode="External"/><Relationship Id="rId1259" Type="http://schemas.openxmlformats.org/officeDocument/2006/relationships/hyperlink" Target="https://onlineabd.de/online-abd/abd?DatumAuswahl=&amp;Kat=29304" TargetMode="External"/><Relationship Id="rId1466" Type="http://schemas.openxmlformats.org/officeDocument/2006/relationships/hyperlink" Target="http://www.bundesrecht.juris.de/betravg/index.html" TargetMode="External"/><Relationship Id="rId2005" Type="http://schemas.openxmlformats.org/officeDocument/2006/relationships/hyperlink" Target="https://onlineabd.de/online-abd/abd?Kat=29472&amp;DatumAuswahl=" TargetMode="External"/><Relationship Id="rId836" Type="http://schemas.openxmlformats.org/officeDocument/2006/relationships/hyperlink" Target="https://onlineabd.de/online-abd/abd?Kat=28186&amp;DatumAuswahl=" TargetMode="External"/><Relationship Id="rId1021" Type="http://schemas.openxmlformats.org/officeDocument/2006/relationships/hyperlink" Target="http://www.bundesrecht.juris.de/sgb_4/index.html" TargetMode="External"/><Relationship Id="rId1119" Type="http://schemas.openxmlformats.org/officeDocument/2006/relationships/hyperlink" Target="https://onlineabd.de/online-abd/abd?DatumAuswahl=&amp;Kat=27048&amp;SubmitDatum=Anzeige" TargetMode="External"/><Relationship Id="rId1673" Type="http://schemas.openxmlformats.org/officeDocument/2006/relationships/hyperlink" Target="http://www.gesetze-im-internet.de/sgb_5/index.html" TargetMode="External"/><Relationship Id="rId1880" Type="http://schemas.openxmlformats.org/officeDocument/2006/relationships/hyperlink" Target="http://bundesrecht.juris.de/sgb_5" TargetMode="External"/><Relationship Id="rId1978" Type="http://schemas.openxmlformats.org/officeDocument/2006/relationships/hyperlink" Target="https://onlineabd.de/online-abd/abd?Kat=27851&amp;DatumAuswahl=" TargetMode="External"/><Relationship Id="rId903" Type="http://schemas.openxmlformats.org/officeDocument/2006/relationships/hyperlink" Target="https://onlineabd.de/online-abd/abd?DatumAuswahl=01.05.2015&amp;Kat=27054" TargetMode="External"/><Relationship Id="rId1326" Type="http://schemas.openxmlformats.org/officeDocument/2006/relationships/hyperlink" Target="https://onlineabd.de/online-abd/abd?DatumAuswahl=&amp;Kat=27221" TargetMode="External"/><Relationship Id="rId1533" Type="http://schemas.openxmlformats.org/officeDocument/2006/relationships/hyperlink" Target="http://www.gesetze-im-internet.de/betravg/index.html" TargetMode="External"/><Relationship Id="rId1740" Type="http://schemas.openxmlformats.org/officeDocument/2006/relationships/hyperlink" Target="https://onlineabd.de/online-abd/abd?DatumAuswahl=&amp;Kat=27042" TargetMode="External"/><Relationship Id="rId32" Type="http://schemas.openxmlformats.org/officeDocument/2006/relationships/hyperlink" Target="https://onlineabd.de/online-abd/abd?DatumAuswahl=01.05.2015&amp;Kat=27017&amp;Itemid=101" TargetMode="External"/><Relationship Id="rId1600" Type="http://schemas.openxmlformats.org/officeDocument/2006/relationships/hyperlink" Target="http://onlineabd.de/images/downloads/ABD_2005_09_30.pdf" TargetMode="External"/><Relationship Id="rId1838" Type="http://schemas.openxmlformats.org/officeDocument/2006/relationships/hyperlink" Target="https://onlineabd.de/online-abd/abd?DatumAuswahl=01.05.2015&amp;Kat=27721" TargetMode="External"/><Relationship Id="rId181" Type="http://schemas.openxmlformats.org/officeDocument/2006/relationships/hyperlink" Target="https://onlineabd.de/online-abd/abd?DatumAuswahl=01.05.2015&amp;Kat=27018" TargetMode="External"/><Relationship Id="rId1905" Type="http://schemas.openxmlformats.org/officeDocument/2006/relationships/hyperlink" Target="https://onlineabd.de/online-abd/abd?DatumAuswahl=01.05.2015&amp;Kat=27779" TargetMode="External"/><Relationship Id="rId279" Type="http://schemas.openxmlformats.org/officeDocument/2006/relationships/hyperlink" Target="https://onlineabd.de/online-abd/abd?Kat=27102&amp;DatumAuswahl=" TargetMode="External"/><Relationship Id="rId486" Type="http://schemas.openxmlformats.org/officeDocument/2006/relationships/hyperlink" Target="https://www.gesetze-im-internet.de/bgleig_2015/__4.html" TargetMode="External"/><Relationship Id="rId693" Type="http://schemas.openxmlformats.org/officeDocument/2006/relationships/hyperlink" Target="https://onlineabd.de/online-abd/abd?Kat=27006&amp;DatumAuswahl=" TargetMode="External"/><Relationship Id="rId139" Type="http://schemas.openxmlformats.org/officeDocument/2006/relationships/hyperlink" Target="http://bundesrecht.juris.de/wisszeitvg/" TargetMode="External"/><Relationship Id="rId346" Type="http://schemas.openxmlformats.org/officeDocument/2006/relationships/hyperlink" Target="https://onlineabd.de/online-abd/abd?Kat=27342&amp;DatumAuswahl=" TargetMode="External"/><Relationship Id="rId553" Type="http://schemas.openxmlformats.org/officeDocument/2006/relationships/hyperlink" Target="https://onlineabd.de/online-abd/abd?DatumAuswahl=01.05.2015&amp;Kat=27214" TargetMode="External"/><Relationship Id="rId760" Type="http://schemas.openxmlformats.org/officeDocument/2006/relationships/hyperlink" Target="https://www.gesetze-im-internet.de/muschg_2018/__13.html" TargetMode="External"/><Relationship Id="rId998" Type="http://schemas.openxmlformats.org/officeDocument/2006/relationships/hyperlink" Target="https://www.gesetze-im-internet.de/hrg/" TargetMode="External"/><Relationship Id="rId1183" Type="http://schemas.openxmlformats.org/officeDocument/2006/relationships/hyperlink" Target="https://onlineabd.de/online-abd/abd?DatumAuswahl=&amp;Kat=27017" TargetMode="External"/><Relationship Id="rId1390" Type="http://schemas.openxmlformats.org/officeDocument/2006/relationships/hyperlink" Target="https://onlineabd.de/online-abd/abd?Kat=27531&amp;DatumAuswahl=" TargetMode="External"/><Relationship Id="rId2027" Type="http://schemas.openxmlformats.org/officeDocument/2006/relationships/hyperlink" Target="file:///C:\abd%3fDatumAuswahl=01.05.2015&amp;Kat=28055" TargetMode="External"/><Relationship Id="rId206" Type="http://schemas.openxmlformats.org/officeDocument/2006/relationships/hyperlink" Target="https://onlineabd.de/online-abd/abd?Kat=27018&amp;DatumAuswahl=" TargetMode="External"/><Relationship Id="rId413" Type="http://schemas.openxmlformats.org/officeDocument/2006/relationships/hyperlink" Target="https://onlineabd.de/online-abd/abd?DatumAuswahl=01.05.2015&amp;Kat=29409&amp;Itemid=101" TargetMode="External"/><Relationship Id="rId858" Type="http://schemas.openxmlformats.org/officeDocument/2006/relationships/hyperlink" Target="https://onlineabd.de/online-abd/abd?DatumAuswahl=&amp;Kat=27025&amp;SubmitDatum=Anzeige" TargetMode="External"/><Relationship Id="rId1043" Type="http://schemas.openxmlformats.org/officeDocument/2006/relationships/hyperlink" Target="http://www.gesetze-bayern.de/Content/Document/BayVwV268660-92" TargetMode="External"/><Relationship Id="rId1488" Type="http://schemas.openxmlformats.org/officeDocument/2006/relationships/hyperlink" Target="https://onlineabd.de/online-abd/abd?DatumAuswahl=&amp;Kat=27573&amp;Itemid=101" TargetMode="External"/><Relationship Id="rId1695" Type="http://schemas.openxmlformats.org/officeDocument/2006/relationships/hyperlink" Target="https://www.gesetze-im-internet.de/bbig_2005/__17.html" TargetMode="External"/><Relationship Id="rId620" Type="http://schemas.openxmlformats.org/officeDocument/2006/relationships/hyperlink" Target="https://onlineabd.de/online-abd/abd?Kat=28185&amp;DatumAuswahl=" TargetMode="External"/><Relationship Id="rId718" Type="http://schemas.openxmlformats.org/officeDocument/2006/relationships/hyperlink" Target="http://www.gesetze-im-internet.de/bukg_1990/__4.html" TargetMode="External"/><Relationship Id="rId925" Type="http://schemas.openxmlformats.org/officeDocument/2006/relationships/hyperlink" Target="https://onlineabd.de/online-abd/abd?DatumAuswahl=01.05.2015&amp;Kat=27018" TargetMode="External"/><Relationship Id="rId1250" Type="http://schemas.openxmlformats.org/officeDocument/2006/relationships/hyperlink" Target="https://onlineabd.de/online-abd/abd?DatumAuswahl=&amp;Kat=29303" TargetMode="External"/><Relationship Id="rId1348" Type="http://schemas.openxmlformats.org/officeDocument/2006/relationships/hyperlink" Target="https://onlineabd.de/online-abd/abd?Kat=27539&amp;DatumAuswahl=" TargetMode="External"/><Relationship Id="rId1555" Type="http://schemas.openxmlformats.org/officeDocument/2006/relationships/hyperlink" Target="https://onlineabd.de/online-abd/abd?DatumAuswahl=&amp;Kat=27007" TargetMode="External"/><Relationship Id="rId1762" Type="http://schemas.openxmlformats.org/officeDocument/2006/relationships/hyperlink" Target="https://onlineabd.de/images/Anlagen/Koda_Nr_119.pdf" TargetMode="External"/><Relationship Id="rId1110" Type="http://schemas.openxmlformats.org/officeDocument/2006/relationships/hyperlink" Target="http://bundesrecht.juris.de/arbzg/index.html" TargetMode="External"/><Relationship Id="rId1208" Type="http://schemas.openxmlformats.org/officeDocument/2006/relationships/hyperlink" Target="https://onlineabd.de/online-abd/abd?DatumAuswahl=&amp;Kat=27240" TargetMode="External"/><Relationship Id="rId1415" Type="http://schemas.openxmlformats.org/officeDocument/2006/relationships/hyperlink" Target="https://onlineabd.de/online-abd/abd?DatumAuswahl=&amp;Kat=27573" TargetMode="External"/><Relationship Id="rId54" Type="http://schemas.openxmlformats.org/officeDocument/2006/relationships/hyperlink" Target="https://onlineabd.de/online-abd/abd?Kat=27051&amp;DatumAuswahl=" TargetMode="External"/><Relationship Id="rId1622" Type="http://schemas.openxmlformats.org/officeDocument/2006/relationships/hyperlink" Target="http://onlineabd.de/images/downloads/ABD_2005_09_30.pdf" TargetMode="External"/><Relationship Id="rId1927" Type="http://schemas.openxmlformats.org/officeDocument/2006/relationships/hyperlink" Target="http://www.gesetze-bayern.de/Content/Document/BayEUG-G2" TargetMode="External"/><Relationship Id="rId2091" Type="http://schemas.openxmlformats.org/officeDocument/2006/relationships/hyperlink" Target="https://onlineabd.de/online-abd/abd?DatumAuswahl=01.05.2015&amp;Kat=28051" TargetMode="External"/><Relationship Id="rId270" Type="http://schemas.openxmlformats.org/officeDocument/2006/relationships/hyperlink" Target="https://www.gesetze-im-internet.de/stgb/__185.html" TargetMode="External"/><Relationship Id="rId130" Type="http://schemas.openxmlformats.org/officeDocument/2006/relationships/hyperlink" Target="http://www.gesetze-bayern.de/Content/Document/BayJugarbFreistellG/true" TargetMode="External"/><Relationship Id="rId368" Type="http://schemas.openxmlformats.org/officeDocument/2006/relationships/hyperlink" Target="https://onlineabd.de/online-abd/abd?DatumAuswahl=01.05.2015&amp;Kat=28189" TargetMode="External"/><Relationship Id="rId575" Type="http://schemas.openxmlformats.org/officeDocument/2006/relationships/hyperlink" Target="https://onlineabd.de/online-abd/abd?Kat=29012&amp;DatumAuswahl=" TargetMode="External"/><Relationship Id="rId782" Type="http://schemas.openxmlformats.org/officeDocument/2006/relationships/hyperlink" Target="https://onlineabd.de/online-abd/abd?DatumAuswahl=&amp;Kat=27072&amp;SubmitDatum=Anzeige" TargetMode="External"/><Relationship Id="rId2049" Type="http://schemas.openxmlformats.org/officeDocument/2006/relationships/hyperlink" Target="https://onlineabd.de/online-abd/abd?DatumAuswahl=01.05.2015&amp;Kat=28206" TargetMode="External"/><Relationship Id="rId228" Type="http://schemas.openxmlformats.org/officeDocument/2006/relationships/hyperlink" Target="https://onlineabd.de/online-abd/abd?Kat=27479&amp;DatumAuswahl=" TargetMode="External"/><Relationship Id="rId435" Type="http://schemas.openxmlformats.org/officeDocument/2006/relationships/hyperlink" Target="https://onlineabd.de/online-abd/abd?DatumAuswahl=01.05.2015&amp;Kat=27007" TargetMode="External"/><Relationship Id="rId642" Type="http://schemas.openxmlformats.org/officeDocument/2006/relationships/hyperlink" Target="https://onlineabd.de/online-abd/abd?Kat=28174&amp;DatumAuswahl=31.12.2016" TargetMode="External"/><Relationship Id="rId1065" Type="http://schemas.openxmlformats.org/officeDocument/2006/relationships/hyperlink" Target="http://www.gesetze-bayern.de/Content/Document/BayBesG-G3" TargetMode="External"/><Relationship Id="rId1272" Type="http://schemas.openxmlformats.org/officeDocument/2006/relationships/hyperlink" Target="https://onlineabd.de/online-abd/abd?DatumAuswahl=&amp;Kat=27006" TargetMode="External"/><Relationship Id="rId2116" Type="http://schemas.openxmlformats.org/officeDocument/2006/relationships/fontTable" Target="fontTable.xml"/><Relationship Id="rId502" Type="http://schemas.openxmlformats.org/officeDocument/2006/relationships/hyperlink" Target="https://onlineabd.de/online-abd/abd?DatumAuswahl=01.05.2015&amp;Kat=27037" TargetMode="External"/><Relationship Id="rId947" Type="http://schemas.openxmlformats.org/officeDocument/2006/relationships/hyperlink" Target="http://www.gesetze-bayern.de/Content/Document/BayBesG/true" TargetMode="External"/><Relationship Id="rId1132" Type="http://schemas.openxmlformats.org/officeDocument/2006/relationships/hyperlink" Target="https://onlineabd.de/online-abd/abd?DatumAuswahl=&amp;Kat=28184&amp;SubmitDatum=Anzeige" TargetMode="External"/><Relationship Id="rId1577" Type="http://schemas.openxmlformats.org/officeDocument/2006/relationships/hyperlink" Target="http://bundesrecht.juris.de/estg/index.html" TargetMode="External"/><Relationship Id="rId1784" Type="http://schemas.openxmlformats.org/officeDocument/2006/relationships/hyperlink" Target="https://onlineabd.de/images/Anlagen/Koda_Nr_98.pdf" TargetMode="External"/><Relationship Id="rId1991" Type="http://schemas.openxmlformats.org/officeDocument/2006/relationships/hyperlink" Target="https://onlineabd.de/online-abd/abd?Kat=29451&amp;DatumAuswahl=" TargetMode="External"/><Relationship Id="rId76" Type="http://schemas.openxmlformats.org/officeDocument/2006/relationships/hyperlink" Target="https://onlineabd.de/online-abd/abd?DatumAuswahl=01.05.2015&amp;Kat=28200" TargetMode="External"/><Relationship Id="rId807" Type="http://schemas.openxmlformats.org/officeDocument/2006/relationships/hyperlink" Target="http://www.gesetze-bayern.de/Content/Document/BayBesG" TargetMode="External"/><Relationship Id="rId1437" Type="http://schemas.openxmlformats.org/officeDocument/2006/relationships/hyperlink" Target="https://onlineabd.de/online-abd/abd?DatumAuswahl=&amp;Kat=27590" TargetMode="External"/><Relationship Id="rId1644" Type="http://schemas.openxmlformats.org/officeDocument/2006/relationships/hyperlink" Target="https://onlineabd.de/online-abd/abd?DatumAuswahl=&amp;Kat=28236" TargetMode="External"/><Relationship Id="rId1851" Type="http://schemas.openxmlformats.org/officeDocument/2006/relationships/hyperlink" Target="http://www.gesetze-bayern.de/Content/Document/BayBG" TargetMode="External"/><Relationship Id="rId1504" Type="http://schemas.openxmlformats.org/officeDocument/2006/relationships/hyperlink" Target="http://bundesrecht.juris.de/alttzg_1996/" TargetMode="External"/><Relationship Id="rId1711" Type="http://schemas.openxmlformats.org/officeDocument/2006/relationships/hyperlink" Target="https://onlineabd.de/online-abd/abd?Kat=27665&amp;DatumAuswahl=" TargetMode="External"/><Relationship Id="rId1949" Type="http://schemas.openxmlformats.org/officeDocument/2006/relationships/hyperlink" Target="https://onlineabd.de/online-abd/abd?Kat=27823&amp;DatumAuswahl=" TargetMode="External"/><Relationship Id="rId292" Type="http://schemas.openxmlformats.org/officeDocument/2006/relationships/hyperlink" Target="https://www.gesetze-im-internet.de/sgb_9_2018/__2.html" TargetMode="External"/><Relationship Id="rId1809" Type="http://schemas.openxmlformats.org/officeDocument/2006/relationships/hyperlink" Target="https://onlineabd.de/images/Anlagen/KODA_Nr_73.pdf" TargetMode="External"/><Relationship Id="rId597" Type="http://schemas.openxmlformats.org/officeDocument/2006/relationships/hyperlink" Target="https://onlineabd.de/online-abd/abd?DatumAuswahl=&amp;Kat=27026&amp;Itemid=101" TargetMode="External"/><Relationship Id="rId152" Type="http://schemas.openxmlformats.org/officeDocument/2006/relationships/hyperlink" Target="https://onlineabd.de/online-abd/abd?DatumAuswahl=&amp;Kat=27051" TargetMode="External"/><Relationship Id="rId457" Type="http://schemas.openxmlformats.org/officeDocument/2006/relationships/hyperlink" Target="https://onlineabd.de/online-abd/abd?DatumAuswahl=01.05.2015&amp;Kat=28174" TargetMode="External"/><Relationship Id="rId1087" Type="http://schemas.openxmlformats.org/officeDocument/2006/relationships/hyperlink" Target="http://www.gesetze-bayern.de/Content/Document/BayBesG-G2" TargetMode="External"/><Relationship Id="rId1294" Type="http://schemas.openxmlformats.org/officeDocument/2006/relationships/hyperlink" Target="https://onlineabd.de/online-abd/abd?DatumAuswahl=&amp;Kat=27522" TargetMode="External"/><Relationship Id="rId2040" Type="http://schemas.openxmlformats.org/officeDocument/2006/relationships/hyperlink" Target="https://onlineabd.de/online-abd/abd?DatumAuswahl=01.05.2015&amp;Kat=28068" TargetMode="External"/><Relationship Id="rId664" Type="http://schemas.openxmlformats.org/officeDocument/2006/relationships/hyperlink" Target="https://onlineabd.de/online-abd/abd?Kat=27034&amp;DatumAuswahl=28.02.2017" TargetMode="External"/><Relationship Id="rId871" Type="http://schemas.openxmlformats.org/officeDocument/2006/relationships/hyperlink" Target="https://onlineabd.de/online-abd/abd?Kat=29754&amp;DatumAuswahl=" TargetMode="External"/><Relationship Id="rId969" Type="http://schemas.openxmlformats.org/officeDocument/2006/relationships/hyperlink" Target="https://onlineabd.de/online-abd/abd?DatumAuswahl=01.05.2015&amp;Kat=27050" TargetMode="External"/><Relationship Id="rId1599" Type="http://schemas.openxmlformats.org/officeDocument/2006/relationships/hyperlink" Target="https://onlineabd.de/online-abd/abd?DatumAuswahl=&amp;Kat=27647" TargetMode="External"/><Relationship Id="rId317" Type="http://schemas.openxmlformats.org/officeDocument/2006/relationships/hyperlink" Target="https://www.gesetze-im-internet.de/sgb_9_2018/__2.html" TargetMode="External"/><Relationship Id="rId524" Type="http://schemas.openxmlformats.org/officeDocument/2006/relationships/hyperlink" Target="https://onlineabd.de/online-abd/abd?DatumAuswahl=01.05.2015&amp;Kat=28174" TargetMode="External"/><Relationship Id="rId731" Type="http://schemas.openxmlformats.org/officeDocument/2006/relationships/hyperlink" Target="https://www.gesetze-im-internet.de/muschg_2018/__3.html" TargetMode="External"/><Relationship Id="rId1154" Type="http://schemas.openxmlformats.org/officeDocument/2006/relationships/hyperlink" Target="https://onlineabd.de/online-abd/abd?DatumAuswahl=&amp;Kat=27057&amp;SubmitDatum=Anzeige" TargetMode="External"/><Relationship Id="rId1361" Type="http://schemas.openxmlformats.org/officeDocument/2006/relationships/hyperlink" Target="https://onlineabd.de/online-abd/abd?Kat=27534&amp;DatumAuswahl=" TargetMode="External"/><Relationship Id="rId1459" Type="http://schemas.openxmlformats.org/officeDocument/2006/relationships/hyperlink" Target="https://onlineabd.de/online-abd/abd?DatumAuswahl=&amp;Kat=27612" TargetMode="External"/><Relationship Id="rId98" Type="http://schemas.openxmlformats.org/officeDocument/2006/relationships/hyperlink" Target="https://onlineabd.de/online-abd/abd?DatumAuswahl=01.05.2015&amp;Kat=27044" TargetMode="External"/><Relationship Id="rId829" Type="http://schemas.openxmlformats.org/officeDocument/2006/relationships/hyperlink" Target="https://onlineabd.de/online-abd/abd?Kat=27040&amp;DatumAuswahl=" TargetMode="External"/><Relationship Id="rId1014" Type="http://schemas.openxmlformats.org/officeDocument/2006/relationships/hyperlink" Target="https://onlineabd.de/online-abd/abd?DatumAuswahl=01.05.2015&amp;Kat=28131" TargetMode="External"/><Relationship Id="rId1221" Type="http://schemas.openxmlformats.org/officeDocument/2006/relationships/hyperlink" Target="http://bundesrecht.juris.de/alttzg_1996/" TargetMode="External"/><Relationship Id="rId1666" Type="http://schemas.openxmlformats.org/officeDocument/2006/relationships/hyperlink" Target="https://onlineabd.de/online-abd/abd?DatumAuswahl=&amp;Kat=27219" TargetMode="External"/><Relationship Id="rId1873" Type="http://schemas.openxmlformats.org/officeDocument/2006/relationships/hyperlink" Target="http://bundesrecht.juris.de/sgb_5" TargetMode="External"/><Relationship Id="rId1319" Type="http://schemas.openxmlformats.org/officeDocument/2006/relationships/hyperlink" Target="https://onlineabd.de/online-abd/abd?DatumAuswahl=&amp;Kat=27034" TargetMode="External"/><Relationship Id="rId1526" Type="http://schemas.openxmlformats.org/officeDocument/2006/relationships/hyperlink" Target="http://bundesrecht.juris.de/betravg/" TargetMode="External"/><Relationship Id="rId1733" Type="http://schemas.openxmlformats.org/officeDocument/2006/relationships/hyperlink" Target="https://onlineabd.de/online-abd/abd?DatumAuswahl=&amp;Kat=29090" TargetMode="External"/><Relationship Id="rId1940" Type="http://schemas.openxmlformats.org/officeDocument/2006/relationships/hyperlink" Target="http://www.gesetze-bayern.de/Content/Document/BayVerf-G3" TargetMode="External"/><Relationship Id="rId25" Type="http://schemas.openxmlformats.org/officeDocument/2006/relationships/hyperlink" Target="https://onlineabd.de/online-abd/abd?DatumAuswahl=01.05.2015&amp;Kat=27069&amp;Itemid=101" TargetMode="External"/><Relationship Id="rId1800" Type="http://schemas.openxmlformats.org/officeDocument/2006/relationships/hyperlink" Target="https://onlineabd.de/images/Anlagen/Koda_Nr_82.pdf" TargetMode="External"/><Relationship Id="rId174" Type="http://schemas.openxmlformats.org/officeDocument/2006/relationships/hyperlink" Target="https://onlineabd.de/online-abd/abd?DatumAuswahl=01.05.2015&amp;Kat=28182" TargetMode="External"/><Relationship Id="rId381" Type="http://schemas.openxmlformats.org/officeDocument/2006/relationships/hyperlink" Target="https://onlineabd.de/online-abd/abd?DatumAuswahl=01.05.2015&amp;Kat=28178&amp;Itemid=101" TargetMode="External"/><Relationship Id="rId2062" Type="http://schemas.openxmlformats.org/officeDocument/2006/relationships/hyperlink" Target="https://onlineabd.de/online-abd/abd?DatumAuswahl=01.05.2015&amp;Kat=28088" TargetMode="External"/><Relationship Id="rId241" Type="http://schemas.openxmlformats.org/officeDocument/2006/relationships/hyperlink" Target="https://onlineabd.de/online-abd/abd?DatumAuswahl=01.05.2015&amp;Kat=27042" TargetMode="External"/><Relationship Id="rId479" Type="http://schemas.openxmlformats.org/officeDocument/2006/relationships/hyperlink" Target="https://onlineabd.de/online-abd/abd?DatumAuswahl=01.05.2015&amp;Kat=28235" TargetMode="External"/><Relationship Id="rId686" Type="http://schemas.openxmlformats.org/officeDocument/2006/relationships/hyperlink" Target="https://onlineabd.de/online-abd/abd?Kat=27337&amp;DatumAuswahl=" TargetMode="External"/><Relationship Id="rId893" Type="http://schemas.openxmlformats.org/officeDocument/2006/relationships/hyperlink" Target="https://onlineabd.de/online-abd/abd?DatumAuswahl=01.05.2015&amp;Kat=27042" TargetMode="External"/><Relationship Id="rId339" Type="http://schemas.openxmlformats.org/officeDocument/2006/relationships/hyperlink" Target="https://onlineabd.de/online-abd/abd?Kat=27356&amp;DatumAuswahl=" TargetMode="External"/><Relationship Id="rId546" Type="http://schemas.openxmlformats.org/officeDocument/2006/relationships/hyperlink" Target="https://onlineabd.de/online-abd/abd?DatumAuswahl=01.05.2015&amp;Kat=27009" TargetMode="External"/><Relationship Id="rId753" Type="http://schemas.openxmlformats.org/officeDocument/2006/relationships/hyperlink" Target="https://www.gesetze-im-internet.de/estg/__64.html" TargetMode="External"/><Relationship Id="rId1176" Type="http://schemas.openxmlformats.org/officeDocument/2006/relationships/hyperlink" Target="http://bundesrecht.juris.de/arbzg" TargetMode="External"/><Relationship Id="rId1383" Type="http://schemas.openxmlformats.org/officeDocument/2006/relationships/hyperlink" Target="https://onlineabd.de/online-abd/abd?Kat=27532&amp;DatumAuswahl=" TargetMode="External"/><Relationship Id="rId101" Type="http://schemas.openxmlformats.org/officeDocument/2006/relationships/hyperlink" Target="https://onlineabd.de/online-abd/abd?DatumAuswahl=01.05.2015&amp;Kat=27044" TargetMode="External"/><Relationship Id="rId406" Type="http://schemas.openxmlformats.org/officeDocument/2006/relationships/hyperlink" Target="https://www.onlineabd.de/online-abd/abd?Kat=28200&amp;DatumAuswahl=" TargetMode="External"/><Relationship Id="rId960" Type="http://schemas.openxmlformats.org/officeDocument/2006/relationships/hyperlink" Target="http://www.gesetze-bayern.de/Content/Document/BayBesG-G2" TargetMode="External"/><Relationship Id="rId1036" Type="http://schemas.openxmlformats.org/officeDocument/2006/relationships/hyperlink" Target="http://www.gesetze-bayern.de/Content/Document/BayLlbG-G4" TargetMode="External"/><Relationship Id="rId1243" Type="http://schemas.openxmlformats.org/officeDocument/2006/relationships/hyperlink" Target="https://onlineabd.de/online-abd/abd?DatumAuswahl=&amp;Kat=28150" TargetMode="External"/><Relationship Id="rId1590" Type="http://schemas.openxmlformats.org/officeDocument/2006/relationships/hyperlink" Target="http://bundesrecht.juris.de/zpo/index.html" TargetMode="External"/><Relationship Id="rId1688" Type="http://schemas.openxmlformats.org/officeDocument/2006/relationships/hyperlink" Target="http://bundesrecht.juris.de/rvo/index.html" TargetMode="External"/><Relationship Id="rId1895" Type="http://schemas.openxmlformats.org/officeDocument/2006/relationships/hyperlink" Target="https://onlineabd.de/online-abd/abd?DatumAuswahl=01.05.2015&amp;Kat=27776" TargetMode="External"/><Relationship Id="rId613" Type="http://schemas.openxmlformats.org/officeDocument/2006/relationships/hyperlink" Target="https://onlineabd.de/online-abd/abd?DatumAuswahl=01.05.2015&amp;Kat=29016&amp;Itemid=101" TargetMode="External"/><Relationship Id="rId820" Type="http://schemas.openxmlformats.org/officeDocument/2006/relationships/hyperlink" Target="https://onlineabd.de/online-abd/abd?Kat=27040&amp;DatumAuswahl=" TargetMode="External"/><Relationship Id="rId918" Type="http://schemas.openxmlformats.org/officeDocument/2006/relationships/hyperlink" Target="https://onlineabd.de/online-abd/abd?DatumAuswahl=01.05.2015&amp;Kat=28186" TargetMode="External"/><Relationship Id="rId1450" Type="http://schemas.openxmlformats.org/officeDocument/2006/relationships/hyperlink" Target="https://onlineabd.de/online-abd/abd?DatumAuswahl=&amp;Kat=27604" TargetMode="External"/><Relationship Id="rId1548" Type="http://schemas.openxmlformats.org/officeDocument/2006/relationships/hyperlink" Target="https://onlineabd.de/online-abd/abd?DatumAuswahl=&amp;Kat=27573&amp;Itemid=101" TargetMode="External"/><Relationship Id="rId1755" Type="http://schemas.openxmlformats.org/officeDocument/2006/relationships/hyperlink" Target="http://bundesrecht.juris.de/sgb_4/__17.html" TargetMode="External"/><Relationship Id="rId1103" Type="http://schemas.openxmlformats.org/officeDocument/2006/relationships/hyperlink" Target="https://onlineabd.de/online-abd/abd?DatumAuswahl=&amp;Kat=28139&amp;SubmitDatum=Anzeige" TargetMode="External"/><Relationship Id="rId1310" Type="http://schemas.openxmlformats.org/officeDocument/2006/relationships/hyperlink" Target="https://onlineabd.de/online-abd/abd?DatumAuswahl=&amp;Kat=27056" TargetMode="External"/><Relationship Id="rId1408" Type="http://schemas.openxmlformats.org/officeDocument/2006/relationships/hyperlink" Target="https://onlineabd.de/online-abd/abd?DatumAuswahl=&amp;Kat=27559" TargetMode="External"/><Relationship Id="rId1962" Type="http://schemas.openxmlformats.org/officeDocument/2006/relationships/hyperlink" Target="https://onlineabd.de/online-abd/abd?DatumAuswahl=&amp;Kat=27818&amp;SubmitDatum=Anzeige" TargetMode="External"/><Relationship Id="rId47" Type="http://schemas.openxmlformats.org/officeDocument/2006/relationships/hyperlink" Target="https://onlineabd.de/online-abd/abd?DatumAuswahl=01.05.2015&amp;Kat=27034" TargetMode="External"/><Relationship Id="rId1615" Type="http://schemas.openxmlformats.org/officeDocument/2006/relationships/hyperlink" Target="http://bundesrecht.juris.de/sgb_6/index.html" TargetMode="External"/><Relationship Id="rId1822" Type="http://schemas.openxmlformats.org/officeDocument/2006/relationships/hyperlink" Target="https://onlineabd.de/images/Anlagen/Anl60.pdf" TargetMode="External"/><Relationship Id="rId196" Type="http://schemas.openxmlformats.org/officeDocument/2006/relationships/hyperlink" Target="https://onlineabd.de/online-abd/abd?DatumAuswahl=01.05.2015&amp;Kat=27034" TargetMode="External"/><Relationship Id="rId2084" Type="http://schemas.openxmlformats.org/officeDocument/2006/relationships/hyperlink" Target="https://onlineabd.de/online-abd/abd?DatumAuswahl=01.05.2015&amp;Kat=28051" TargetMode="External"/><Relationship Id="rId263" Type="http://schemas.openxmlformats.org/officeDocument/2006/relationships/hyperlink" Target="https://www.gesetze-im-internet.de/stgb/__223.html" TargetMode="External"/><Relationship Id="rId470" Type="http://schemas.openxmlformats.org/officeDocument/2006/relationships/hyperlink" Target="https://onlineabd.de/online-abd/abd?DatumAuswahl=01.05.2015&amp;Kat=27210" TargetMode="External"/><Relationship Id="rId123" Type="http://schemas.openxmlformats.org/officeDocument/2006/relationships/hyperlink" Target="http://bundesrecht.juris.de/beeg" TargetMode="External"/><Relationship Id="rId330" Type="http://schemas.openxmlformats.org/officeDocument/2006/relationships/hyperlink" Target="https://onlineabd.de/online-abd/abd?Kat=27157&amp;DatumAuswahl=" TargetMode="External"/><Relationship Id="rId568" Type="http://schemas.openxmlformats.org/officeDocument/2006/relationships/hyperlink" Target="https://onlineabd.de/online-abd/abd?DatumAuswahl=01.05.2015&amp;Kat=28169" TargetMode="External"/><Relationship Id="rId775" Type="http://schemas.openxmlformats.org/officeDocument/2006/relationships/hyperlink" Target="https://onlineabd.de/online-abd/abd?DatumAuswahl=&amp;Kat=27017&amp;SubmitDatum=Anzeige" TargetMode="External"/><Relationship Id="rId982" Type="http://schemas.openxmlformats.org/officeDocument/2006/relationships/hyperlink" Target="https://onlineabd.de/online-abd/abd?DatumAuswahl=01.05.2015&amp;Kat=27057" TargetMode="External"/><Relationship Id="rId1198" Type="http://schemas.openxmlformats.org/officeDocument/2006/relationships/hyperlink" Target="http://bundesrecht.juris.de/sgb_4" TargetMode="External"/><Relationship Id="rId2011" Type="http://schemas.openxmlformats.org/officeDocument/2006/relationships/hyperlink" Target="file:///C:\abd%3fDatumAuswahl=01.05.2015&amp;Kat=28039" TargetMode="External"/><Relationship Id="rId428" Type="http://schemas.openxmlformats.org/officeDocument/2006/relationships/hyperlink" Target="https://onlineabd.de/online-abd/abd?DatumAuswahl=01.05.2015&amp;Kat=27204" TargetMode="External"/><Relationship Id="rId635" Type="http://schemas.openxmlformats.org/officeDocument/2006/relationships/hyperlink" Target="https://onlineabd.de/online-abd/abd?Kat=27102&amp;DatumAuswahl=" TargetMode="External"/><Relationship Id="rId842" Type="http://schemas.openxmlformats.org/officeDocument/2006/relationships/hyperlink" Target="http://bundesrecht.juris.de/sgb_3/__346.html" TargetMode="External"/><Relationship Id="rId1058" Type="http://schemas.openxmlformats.org/officeDocument/2006/relationships/hyperlink" Target="http://www.gesetze-bayern.de/Content/Document/BayLlbG-G4" TargetMode="External"/><Relationship Id="rId1265" Type="http://schemas.openxmlformats.org/officeDocument/2006/relationships/hyperlink" Target="http://bundesrecht.juris.de/alttzg_1996/__4.html" TargetMode="External"/><Relationship Id="rId1472" Type="http://schemas.openxmlformats.org/officeDocument/2006/relationships/hyperlink" Target="https://onlineabd.de/online-abd/abd?DatumAuswahl=&amp;Kat=27573" TargetMode="External"/><Relationship Id="rId2109" Type="http://schemas.openxmlformats.org/officeDocument/2006/relationships/hyperlink" Target="https://onlineabd.de/online-abd/abd?DatumAuswahl=01.05.2015&amp;Kat=28081" TargetMode="External"/><Relationship Id="rId702" Type="http://schemas.openxmlformats.org/officeDocument/2006/relationships/hyperlink" Target="https://www.gesetze-im-internet.de/bkgg_1996/__3.html" TargetMode="External"/><Relationship Id="rId1125" Type="http://schemas.openxmlformats.org/officeDocument/2006/relationships/hyperlink" Target="https://onlineabd.de/online-abd/abd?DatumAuswahl=&amp;Kat=27030&amp;SubmitDatum=Anzeige" TargetMode="External"/><Relationship Id="rId1332" Type="http://schemas.openxmlformats.org/officeDocument/2006/relationships/hyperlink" Target="https://onlineabd.de/online-abd/abd?DatumAuswahl=&amp;Kat=27200" TargetMode="External"/><Relationship Id="rId1777" Type="http://schemas.openxmlformats.org/officeDocument/2006/relationships/hyperlink" Target="https://onlineabd.de/images/downloads/Koda_Nr_105.pdf" TargetMode="External"/><Relationship Id="rId1984" Type="http://schemas.openxmlformats.org/officeDocument/2006/relationships/hyperlink" Target="https://onlineabd.de/online-abd/abd?Kat=27173&amp;DatumAuswahl=" TargetMode="External"/><Relationship Id="rId69" Type="http://schemas.openxmlformats.org/officeDocument/2006/relationships/hyperlink" Target="https://onlineabd.de/online-abd/abd?DatumAuswahl=01.05.2015&amp;Kat=27039" TargetMode="External"/><Relationship Id="rId1637" Type="http://schemas.openxmlformats.org/officeDocument/2006/relationships/hyperlink" Target="http://onlineabd.de/images/downloads/ABD_2005_09_30.pdf" TargetMode="External"/><Relationship Id="rId1844" Type="http://schemas.openxmlformats.org/officeDocument/2006/relationships/hyperlink" Target="http://www.gesetze-bayern.de/Content/Document/BayBhV/true" TargetMode="External"/><Relationship Id="rId1704" Type="http://schemas.openxmlformats.org/officeDocument/2006/relationships/hyperlink" Target="http://bundesrecht.juris.de/vermbg_2/" TargetMode="External"/><Relationship Id="rId285" Type="http://schemas.openxmlformats.org/officeDocument/2006/relationships/hyperlink" Target="https://onlineabd.de/online-abd/abd?Kat=27030&amp;DatumAuswahl=" TargetMode="External"/><Relationship Id="rId1911" Type="http://schemas.openxmlformats.org/officeDocument/2006/relationships/hyperlink" Target="https://www.onlineabd.de/online-abd/abd?Kat=29929&amp;DatumAuswahl=" TargetMode="External"/><Relationship Id="rId492" Type="http://schemas.openxmlformats.org/officeDocument/2006/relationships/hyperlink" Target="https://onlineabd.de/online-abd/abd?DatumAuswahl=01.05.2015&amp;Kat=28236" TargetMode="External"/><Relationship Id="rId797" Type="http://schemas.openxmlformats.org/officeDocument/2006/relationships/hyperlink" Target="http://www.gesetze-bayern.de/Content/Document/BayLPO_I-111?AspxAutoDetectCookieSupport=1" TargetMode="External"/><Relationship Id="rId145" Type="http://schemas.openxmlformats.org/officeDocument/2006/relationships/hyperlink" Target="https://onlineabd.de/online-abd/abd?Kat=27034&amp;DatumAuswahl=" TargetMode="External"/><Relationship Id="rId352" Type="http://schemas.openxmlformats.org/officeDocument/2006/relationships/hyperlink" Target="https://onlineabd.de/online-abd/abd?Kat=27353&amp;DatumAuswahl=" TargetMode="External"/><Relationship Id="rId1287" Type="http://schemas.openxmlformats.org/officeDocument/2006/relationships/hyperlink" Target="https://onlineabd.de/online-abd/abd?DatumAuswahl=&amp;Kat=27115" TargetMode="External"/><Relationship Id="rId2033" Type="http://schemas.openxmlformats.org/officeDocument/2006/relationships/hyperlink" Target="file:///C:\abd%3fDatumAuswahl=01.05.2015&amp;Kat=28061" TargetMode="External"/><Relationship Id="rId212" Type="http://schemas.openxmlformats.org/officeDocument/2006/relationships/hyperlink" Target="https://www.gesetze-im-internet.de/arbzg/BJNR117100994.html" TargetMode="External"/><Relationship Id="rId657" Type="http://schemas.openxmlformats.org/officeDocument/2006/relationships/hyperlink" Target="https://onlineabd.de/online-abd/abd?Kat=27027&amp;DatumAuswahl=" TargetMode="External"/><Relationship Id="rId864" Type="http://schemas.openxmlformats.org/officeDocument/2006/relationships/hyperlink" Target="https://onlineabd.de/online-abd/abd?Kat=27026&amp;DatumAuswahl=" TargetMode="External"/><Relationship Id="rId1494" Type="http://schemas.openxmlformats.org/officeDocument/2006/relationships/hyperlink" Target="https://onlineabd.de/online-abd/abd?DatumAuswahl=&amp;Kat=27573&amp;Itemid=101" TargetMode="External"/><Relationship Id="rId1799" Type="http://schemas.openxmlformats.org/officeDocument/2006/relationships/hyperlink" Target="https://onlineabd.de/images/Anlagen/Anl83.pdf" TargetMode="External"/><Relationship Id="rId2100" Type="http://schemas.openxmlformats.org/officeDocument/2006/relationships/hyperlink" Target="https://onlineabd.de/online-abd/abd?DatumAuswahl=01.05.2015&amp;Kat=28206" TargetMode="External"/><Relationship Id="rId517" Type="http://schemas.openxmlformats.org/officeDocument/2006/relationships/hyperlink" Target="https://onlineabd.de/online-abd/abd?DatumAuswahl=01.05.2015&amp;Kat=27042" TargetMode="External"/><Relationship Id="rId724" Type="http://schemas.openxmlformats.org/officeDocument/2006/relationships/hyperlink" Target="https://www.gesetze-im-internet.de/betravg/__1b.html" TargetMode="External"/><Relationship Id="rId931" Type="http://schemas.openxmlformats.org/officeDocument/2006/relationships/hyperlink" Target="https://onlineabd.de/online-abd/abd?DatumAuswahl=01.05.2015&amp;Kat=27072" TargetMode="External"/><Relationship Id="rId1147" Type="http://schemas.openxmlformats.org/officeDocument/2006/relationships/hyperlink" Target="https://onlineabd.de/online-abd/abd?Kat=27353&amp;DatumAuswahl=" TargetMode="External"/><Relationship Id="rId1354" Type="http://schemas.openxmlformats.org/officeDocument/2006/relationships/hyperlink" Target="https://onlineabd.de/online-abd/abd?Kat=27530&amp;DatumAuswahl=" TargetMode="External"/><Relationship Id="rId1561" Type="http://schemas.openxmlformats.org/officeDocument/2006/relationships/hyperlink" Target="http://www.vbl.de/SITEFORUM?&amp;t=/Default/gateway&amp;i=1113979957474&amp;b=1113979957474&amp;application=story&amp;active=no&amp;ParentID=1109003036960&amp;StoryID=1118767115902&amp;xref=http%3A//www.google.de/search%3Fq%3Dvbl+satzung%26hl%3Dde%26sa%3D2" TargetMode="External"/><Relationship Id="rId60" Type="http://schemas.openxmlformats.org/officeDocument/2006/relationships/hyperlink" Target="http://onlineabd.de/27037-abd/a/a-1/a-1-3/a-1-3-12/28856-a-1-3-12-2009-01-01-2008-12-09" TargetMode="External"/><Relationship Id="rId1007" Type="http://schemas.openxmlformats.org/officeDocument/2006/relationships/hyperlink" Target="https://onlineabd.de/online-abd/abd?DatumAuswahl=01.05.2015&amp;Kat=27040" TargetMode="External"/><Relationship Id="rId1214" Type="http://schemas.openxmlformats.org/officeDocument/2006/relationships/hyperlink" Target="https://onlineabd.de/online-abd/abd?DatumAuswahl=&amp;Kat=28152" TargetMode="External"/><Relationship Id="rId1421" Type="http://schemas.openxmlformats.org/officeDocument/2006/relationships/hyperlink" Target="https://onlineabd.de/online-abd/abd?DatumAuswahl=&amp;Kat=27581" TargetMode="External"/><Relationship Id="rId1659" Type="http://schemas.openxmlformats.org/officeDocument/2006/relationships/hyperlink" Target="https://onlineabd.de/online-abd/abd?DatumAuswahl=&amp;Kat=27219" TargetMode="External"/><Relationship Id="rId1866" Type="http://schemas.openxmlformats.org/officeDocument/2006/relationships/hyperlink" Target="https://onlineabd.de/online-abd/abd?Kat=27060&amp;DatumAuswahl=" TargetMode="External"/><Relationship Id="rId1519" Type="http://schemas.openxmlformats.org/officeDocument/2006/relationships/hyperlink" Target="https://onlineabd.de/online-abd/abd?DatumAuswahl=&amp;Kat=27604" TargetMode="External"/><Relationship Id="rId1726" Type="http://schemas.openxmlformats.org/officeDocument/2006/relationships/hyperlink" Target="https://onlineabd.de/online-abd/abd?DatumAuswahl=&amp;Kat=29087" TargetMode="External"/><Relationship Id="rId1933" Type="http://schemas.openxmlformats.org/officeDocument/2006/relationships/hyperlink" Target="http://www.gesetze-bayern.de/Content/Document/BayEUG" TargetMode="External"/><Relationship Id="rId18" Type="http://schemas.openxmlformats.org/officeDocument/2006/relationships/hyperlink" Target="http://bundesrecht.juris.de/bgb" TargetMode="External"/><Relationship Id="rId167" Type="http://schemas.openxmlformats.org/officeDocument/2006/relationships/hyperlink" Target="https://onlineabd.de/online-abd/abd?DatumAuswahl=01.05.2015&amp;Kat=28884" TargetMode="External"/><Relationship Id="rId374" Type="http://schemas.openxmlformats.org/officeDocument/2006/relationships/hyperlink" Target="https://onlineabd.de/online-abd/abd?DatumAuswahl=01.05.2015&amp;Kat=27169&amp;Itemid=101" TargetMode="External"/><Relationship Id="rId581" Type="http://schemas.openxmlformats.org/officeDocument/2006/relationships/hyperlink" Target="https://onlineabd.de/online-abd/abd?DatumAuswahl=01.05.2015&amp;Kat=27219&amp;Itemid=101" TargetMode="External"/><Relationship Id="rId2055" Type="http://schemas.openxmlformats.org/officeDocument/2006/relationships/hyperlink" Target="https://onlineabd.de/online-abd/abd?DatumAuswahl=01.05.2015&amp;Kat=28081" TargetMode="External"/><Relationship Id="rId234" Type="http://schemas.openxmlformats.org/officeDocument/2006/relationships/hyperlink" Target="https://onlineabd.de/online-abd/abd?Kat=28187&amp;DatumAuswahl=" TargetMode="External"/><Relationship Id="rId679" Type="http://schemas.openxmlformats.org/officeDocument/2006/relationships/hyperlink" Target="http://www.gesetze-im-internet.de/sgb_3/index.html" TargetMode="External"/><Relationship Id="rId886" Type="http://schemas.openxmlformats.org/officeDocument/2006/relationships/hyperlink" Target="https://onlineabd.de/online-abd/abd?DatumAuswahl=&amp;Kat=27039&amp;SubmitDatum=Anzeige" TargetMode="External"/><Relationship Id="rId2" Type="http://schemas.openxmlformats.org/officeDocument/2006/relationships/numbering" Target="numbering.xml"/><Relationship Id="rId441" Type="http://schemas.openxmlformats.org/officeDocument/2006/relationships/hyperlink" Target="https://onlineabd.de/online-abd/abd?Kat=27240&amp;DatumAuswahl=" TargetMode="External"/><Relationship Id="rId539" Type="http://schemas.openxmlformats.org/officeDocument/2006/relationships/hyperlink" Target="https://onlineabd.de/online-abd/abd?DatumAuswahl=01.05.2015&amp;Kat=29786&amp;Itemid=101" TargetMode="External"/><Relationship Id="rId746" Type="http://schemas.openxmlformats.org/officeDocument/2006/relationships/hyperlink" Target="https://www.gesetze-im-internet.de/sgb_12/__72.html" TargetMode="External"/><Relationship Id="rId1071" Type="http://schemas.openxmlformats.org/officeDocument/2006/relationships/hyperlink" Target="http://www.gesetze-bayern.de/Content/Document/BayBesG-G2" TargetMode="External"/><Relationship Id="rId1169" Type="http://schemas.openxmlformats.org/officeDocument/2006/relationships/hyperlink" Target="https://onlineabd.de/online-abd/abd?DatumAuswahl=&amp;Kat=27006" TargetMode="External"/><Relationship Id="rId1376" Type="http://schemas.openxmlformats.org/officeDocument/2006/relationships/hyperlink" Target="https://onlineabd.de/online-abd/abd?Kat=27532&amp;DatumAuswahl=" TargetMode="External"/><Relationship Id="rId1583" Type="http://schemas.openxmlformats.org/officeDocument/2006/relationships/hyperlink" Target="https://onlineabd.de/online-abd/abd?DatumAuswahl=&amp;Kat=27616" TargetMode="External"/><Relationship Id="rId301" Type="http://schemas.openxmlformats.org/officeDocument/2006/relationships/hyperlink" Target="https://www.gesetze-im-internet.de/sgb_9_2018/__2.html" TargetMode="External"/><Relationship Id="rId953" Type="http://schemas.openxmlformats.org/officeDocument/2006/relationships/hyperlink" Target="https://onlineabd.de/online-abd/abd?DatumAuswahl=01.05.2015&amp;Kat=27030" TargetMode="External"/><Relationship Id="rId1029" Type="http://schemas.openxmlformats.org/officeDocument/2006/relationships/hyperlink" Target="http://www.gesetze-bayern.de/Content/Document/BayLlbG-G4" TargetMode="External"/><Relationship Id="rId1236" Type="http://schemas.openxmlformats.org/officeDocument/2006/relationships/hyperlink" Target="http://bundesrecht.juris.de/sgb_7" TargetMode="External"/><Relationship Id="rId1790" Type="http://schemas.openxmlformats.org/officeDocument/2006/relationships/hyperlink" Target="https://onlineabd.de/images/Anlagen/Koda_Nr_92.pdf" TargetMode="External"/><Relationship Id="rId1888" Type="http://schemas.openxmlformats.org/officeDocument/2006/relationships/hyperlink" Target="https://onlineabd.de/online-abd/abd?Kat=28884&amp;DatumAuswahl=" TargetMode="External"/><Relationship Id="rId82" Type="http://schemas.openxmlformats.org/officeDocument/2006/relationships/hyperlink" Target="https://onlineabd.de/online-abd/abd?DatumAuswahl=01.05.2015&amp;Kat=27042" TargetMode="External"/><Relationship Id="rId606" Type="http://schemas.openxmlformats.org/officeDocument/2006/relationships/hyperlink" Target="https://onlineabd.de/online-abd/abd?DatumAuswahl=01.05.2015&amp;Kat=29016&amp;Itemid=101" TargetMode="External"/><Relationship Id="rId813" Type="http://schemas.openxmlformats.org/officeDocument/2006/relationships/hyperlink" Target="http://bundesrecht.juris.de/sgb_6/__168.html" TargetMode="External"/><Relationship Id="rId1443" Type="http://schemas.openxmlformats.org/officeDocument/2006/relationships/hyperlink" Target="https://onlineabd.de/online-abd/abd?DatumAuswahl=&amp;Kat=27597" TargetMode="External"/><Relationship Id="rId1650" Type="http://schemas.openxmlformats.org/officeDocument/2006/relationships/hyperlink" Target="https://onlineabd.de/online-abd/abd?DatumAuswahl=&amp;Kat=28239" TargetMode="External"/><Relationship Id="rId1748" Type="http://schemas.openxmlformats.org/officeDocument/2006/relationships/hyperlink" Target="https://onlineabd.de/online-abd/abd?DatumAuswahl=&amp;Kat=27672" TargetMode="External"/><Relationship Id="rId1303" Type="http://schemas.openxmlformats.org/officeDocument/2006/relationships/hyperlink" Target="https://onlineabd.de/online-abd/abd?DatumAuswahl=&amp;Kat=28185" TargetMode="External"/><Relationship Id="rId1510" Type="http://schemas.openxmlformats.org/officeDocument/2006/relationships/hyperlink" Target="https://onlineabd.de/online-abd/abd?DatumAuswahl=&amp;Kat=27573" TargetMode="External"/><Relationship Id="rId1955" Type="http://schemas.openxmlformats.org/officeDocument/2006/relationships/hyperlink" Target="https://www.gesetze-im-internet.de/wrv/art_137.html" TargetMode="External"/><Relationship Id="rId1608" Type="http://schemas.openxmlformats.org/officeDocument/2006/relationships/hyperlink" Target="http://onlineabd.de/images/downloads/ABD_2005_09_30.pdf" TargetMode="External"/><Relationship Id="rId1815" Type="http://schemas.openxmlformats.org/officeDocument/2006/relationships/hyperlink" Target="https://onlineabd.de/images/Anlagen/Anl67LK.pdf" TargetMode="External"/><Relationship Id="rId189" Type="http://schemas.openxmlformats.org/officeDocument/2006/relationships/hyperlink" Target="https://onlineabd.de/online-abd/abd?Kat=27124&amp;DatumAuswahl=" TargetMode="External"/><Relationship Id="rId396" Type="http://schemas.openxmlformats.org/officeDocument/2006/relationships/hyperlink" Target="https://onlineabd.de/online-abd/abd?DatumAuswahl=01.05.2015&amp;Kat=28236" TargetMode="External"/><Relationship Id="rId2077" Type="http://schemas.openxmlformats.org/officeDocument/2006/relationships/hyperlink" Target="https://onlineabd.de/online-abd/abd?DatumAuswahl=01.05.2015&amp;Kat=27722" TargetMode="External"/><Relationship Id="rId256" Type="http://schemas.openxmlformats.org/officeDocument/2006/relationships/hyperlink" Target="https://www.gesetze-im-internet.de/stgb/__201a.html" TargetMode="External"/><Relationship Id="rId463" Type="http://schemas.openxmlformats.org/officeDocument/2006/relationships/hyperlink" Target="https://onlineabd.de/online-abd/abd?DatumAuswahl=01.05.2015&amp;Kat=28189" TargetMode="External"/><Relationship Id="rId670" Type="http://schemas.openxmlformats.org/officeDocument/2006/relationships/hyperlink" Target="https://onlineabd.de/online-abd/abd?Kat=28188&amp;DatumAuswahl=31.12.2016" TargetMode="External"/><Relationship Id="rId1093" Type="http://schemas.openxmlformats.org/officeDocument/2006/relationships/hyperlink" Target="https://onlineabd.de/online-abd/abd?DatumAuswahl=&amp;Kat=28139&amp;SubmitDatum=Anzeige" TargetMode="External"/><Relationship Id="rId116" Type="http://schemas.openxmlformats.org/officeDocument/2006/relationships/hyperlink" Target="https://onlineabd.de/online-abd/abd?DatumAuswahl=01.05.2015&amp;Kat=27018" TargetMode="External"/><Relationship Id="rId323" Type="http://schemas.openxmlformats.org/officeDocument/2006/relationships/hyperlink" Target="https://www.gesetze-im-internet.de/sgb_8/__27.html" TargetMode="External"/><Relationship Id="rId530" Type="http://schemas.openxmlformats.org/officeDocument/2006/relationships/hyperlink" Target="https://onlineabd.de/online-abd/abd?DatumAuswahl=01.05.2015&amp;Kat=28236" TargetMode="External"/><Relationship Id="rId768" Type="http://schemas.openxmlformats.org/officeDocument/2006/relationships/hyperlink" Target="https://onlineabd.de/online-abd/abd?DatumAuswahl=&amp;Kat=27017&amp;SubmitDatum=Anzeige" TargetMode="External"/><Relationship Id="rId975" Type="http://schemas.openxmlformats.org/officeDocument/2006/relationships/hyperlink" Target="https://onlineabd.de/online-abd/abd?Kat=27049&amp;DatumAuswahl=" TargetMode="External"/><Relationship Id="rId1160" Type="http://schemas.openxmlformats.org/officeDocument/2006/relationships/hyperlink" Target="https://onlineabd.de/online-abd/abd?DatumAuswahl=&amp;Kat=27353&amp;SubmitDatum=Anzeige" TargetMode="External"/><Relationship Id="rId1398" Type="http://schemas.openxmlformats.org/officeDocument/2006/relationships/hyperlink" Target="https://onlineabd.de/online-abd/abd?Kat=27537&amp;DatumAuswahl=" TargetMode="External"/><Relationship Id="rId2004" Type="http://schemas.openxmlformats.org/officeDocument/2006/relationships/hyperlink" Target="https://onlineabd.de/online-abd/abd?Kat=29451&amp;DatumAuswahl=" TargetMode="External"/><Relationship Id="rId628" Type="http://schemas.openxmlformats.org/officeDocument/2006/relationships/hyperlink" Target="https://onlineabd.de/online-abd/abd?Kat=29012&amp;DatumAuswahl=" TargetMode="External"/><Relationship Id="rId835" Type="http://schemas.openxmlformats.org/officeDocument/2006/relationships/hyperlink" Target="http://bundesrecht.juris.de/sgb_6/__168.html" TargetMode="External"/><Relationship Id="rId1258" Type="http://schemas.openxmlformats.org/officeDocument/2006/relationships/hyperlink" Target="https://onlineabd.de/online-abd/abd?DatumAuswahl=&amp;Kat=27042" TargetMode="External"/><Relationship Id="rId1465" Type="http://schemas.openxmlformats.org/officeDocument/2006/relationships/hyperlink" Target="https://onlineabd.de/online-abd/abd?DatumAuswahl=&amp;Kat=27611" TargetMode="External"/><Relationship Id="rId1672" Type="http://schemas.openxmlformats.org/officeDocument/2006/relationships/hyperlink" Target="https://www.gesetze-im-internet.de/muschg_2018/__13.html" TargetMode="External"/><Relationship Id="rId1020" Type="http://schemas.openxmlformats.org/officeDocument/2006/relationships/hyperlink" Target="https://www.gesetze-im-internet.de/muschg_2018/index.html" TargetMode="External"/><Relationship Id="rId1118" Type="http://schemas.openxmlformats.org/officeDocument/2006/relationships/hyperlink" Target="https://onlineabd.de/online-abd/abd?DatumAuswahl=&amp;Kat=27328&amp;SubmitDatum=Anzeige" TargetMode="External"/><Relationship Id="rId1325" Type="http://schemas.openxmlformats.org/officeDocument/2006/relationships/hyperlink" Target="https://onlineabd.de/online-abd/abd?DatumAuswahl=&amp;Kat=27219" TargetMode="External"/><Relationship Id="rId1532" Type="http://schemas.openxmlformats.org/officeDocument/2006/relationships/hyperlink" Target="http://www.gesetze-im-internet.de/betravg/index.html" TargetMode="External"/><Relationship Id="rId1977" Type="http://schemas.openxmlformats.org/officeDocument/2006/relationships/hyperlink" Target="https://onlineabd.de/online-abd/abd?Kat=27866&amp;DatumAuswahl=" TargetMode="External"/><Relationship Id="rId902" Type="http://schemas.openxmlformats.org/officeDocument/2006/relationships/hyperlink" Target="https://onlineabd.de/online-abd/abd?DatumAuswahl=01.05.2015&amp;Kat=27058" TargetMode="External"/><Relationship Id="rId1837" Type="http://schemas.openxmlformats.org/officeDocument/2006/relationships/hyperlink" Target="http://codex-iuris-canonici.de/indexdt.htm" TargetMode="External"/><Relationship Id="rId31" Type="http://schemas.openxmlformats.org/officeDocument/2006/relationships/hyperlink" Target="https://onlineabd.de/online-abd/abd?DatumAuswahl=01.05.2015&amp;Kat=27030&amp;Itemid=101" TargetMode="External"/><Relationship Id="rId2099" Type="http://schemas.openxmlformats.org/officeDocument/2006/relationships/hyperlink" Target="https://onlineabd.de/online-abd/abd?DatumAuswahl=01.05.2015&amp;Kat=28063" TargetMode="External"/><Relationship Id="rId180" Type="http://schemas.openxmlformats.org/officeDocument/2006/relationships/hyperlink" Target="https://onlineabd.de/online-abd/abd?DatumAuswahl=01.05.2015&amp;Kat=27017" TargetMode="External"/><Relationship Id="rId278" Type="http://schemas.openxmlformats.org/officeDocument/2006/relationships/hyperlink" Target="https://onlineabd.de/online-abd/abd?Kat=27102&amp;DatumAuswahl=" TargetMode="External"/><Relationship Id="rId1904" Type="http://schemas.openxmlformats.org/officeDocument/2006/relationships/hyperlink" Target="http://bundesrecht.juris.de/sgb_4" TargetMode="External"/><Relationship Id="rId485" Type="http://schemas.openxmlformats.org/officeDocument/2006/relationships/hyperlink" Target="https://onlineabd.de/online-abd/abd?DatumAuswahl=01.05.2015&amp;Kat=28189" TargetMode="External"/><Relationship Id="rId692" Type="http://schemas.openxmlformats.org/officeDocument/2006/relationships/hyperlink" Target="https://onlineabd.de/online-abd/abd?Kat=27006&amp;DatumAuswahl=" TargetMode="External"/><Relationship Id="rId138" Type="http://schemas.openxmlformats.org/officeDocument/2006/relationships/hyperlink" Target="http://bundesrecht.juris.de/hrg/index.html" TargetMode="External"/><Relationship Id="rId345" Type="http://schemas.openxmlformats.org/officeDocument/2006/relationships/hyperlink" Target="https://onlineabd.de/online-abd/abd?Kat=27362&amp;DatumAuswahl=" TargetMode="External"/><Relationship Id="rId552" Type="http://schemas.openxmlformats.org/officeDocument/2006/relationships/hyperlink" Target="https://onlineabd.de/online-abd/abd?DatumAuswahl=01.05.2015&amp;Kat=28183" TargetMode="External"/><Relationship Id="rId997" Type="http://schemas.openxmlformats.org/officeDocument/2006/relationships/hyperlink" Target="https://www.gesetze-im-internet.de/hrg/" TargetMode="External"/><Relationship Id="rId1182" Type="http://schemas.openxmlformats.org/officeDocument/2006/relationships/hyperlink" Target="https://onlineabd.de/online-abd/abd?DatumAuswahl=&amp;Kat=27017" TargetMode="External"/><Relationship Id="rId2026" Type="http://schemas.openxmlformats.org/officeDocument/2006/relationships/hyperlink" Target="https://onlineabd.de/online-abd/abd?DatumAuswahl=01.05.2015&amp;Kat=28054" TargetMode="External"/><Relationship Id="rId205" Type="http://schemas.openxmlformats.org/officeDocument/2006/relationships/hyperlink" Target="https://onlineabd.de/online-abd/abd?Kat=27479&amp;DatumAuswahl=" TargetMode="External"/><Relationship Id="rId412" Type="http://schemas.openxmlformats.org/officeDocument/2006/relationships/hyperlink" Target="https://onlineabd.de/online-abd/abd?DatumAuswahl=01.05.2015&amp;Kat=28178&amp;Itemid=101" TargetMode="External"/><Relationship Id="rId857" Type="http://schemas.openxmlformats.org/officeDocument/2006/relationships/hyperlink" Target="https://onlineabd.de/online-abd/abd?DatumAuswahl=&amp;Kat=27023&amp;SubmitDatum=Anzeige" TargetMode="External"/><Relationship Id="rId1042" Type="http://schemas.openxmlformats.org/officeDocument/2006/relationships/hyperlink" Target="http://www.gesetze-bayern.de/Content/Document/BayVwV268660-92" TargetMode="External"/><Relationship Id="rId1487" Type="http://schemas.openxmlformats.org/officeDocument/2006/relationships/hyperlink" Target="https://onlineabd.de/online-abd/abd?DatumAuswahl=&amp;Kat=27573&amp;Itemid=101" TargetMode="External"/><Relationship Id="rId1694" Type="http://schemas.openxmlformats.org/officeDocument/2006/relationships/hyperlink" Target="http://bundesrecht.juris.de/jarbschg" TargetMode="External"/><Relationship Id="rId717" Type="http://schemas.openxmlformats.org/officeDocument/2006/relationships/hyperlink" Target="http://www.gesetze-im-internet.de/bukg_1990/__3.html" TargetMode="External"/><Relationship Id="rId924" Type="http://schemas.openxmlformats.org/officeDocument/2006/relationships/hyperlink" Target="https://onlineabd.de/online-abd/abd?DatumAuswahl=01.05.2015&amp;Kat=27017" TargetMode="External"/><Relationship Id="rId1347" Type="http://schemas.openxmlformats.org/officeDocument/2006/relationships/hyperlink" Target="https://onlineabd.de/online-abd/abd?Kat=27537&amp;DatumAuswahl=" TargetMode="External"/><Relationship Id="rId1554" Type="http://schemas.openxmlformats.org/officeDocument/2006/relationships/hyperlink" Target="https://onlineabd.de/online-abd/abd?DatumAuswahl=&amp;Kat=27007" TargetMode="External"/><Relationship Id="rId1761" Type="http://schemas.openxmlformats.org/officeDocument/2006/relationships/hyperlink" Target="https://onlineabd.de/images/Anlagen/Koda_Nr_120.pdf" TargetMode="External"/><Relationship Id="rId1999" Type="http://schemas.openxmlformats.org/officeDocument/2006/relationships/hyperlink" Target="https://onlineabd.de/online-abd/abd?Kat=29458&amp;DatumAuswahl=" TargetMode="External"/><Relationship Id="rId53" Type="http://schemas.openxmlformats.org/officeDocument/2006/relationships/hyperlink" Target="https://onlineabd.de/online-abd/abd?DatumAuswahl=01.05.2015&amp;Kat=27040" TargetMode="External"/><Relationship Id="rId1207" Type="http://schemas.openxmlformats.org/officeDocument/2006/relationships/hyperlink" Target="https://onlineabd.de/online-abd/abd?DatumAuswahl=&amp;Kat=27006" TargetMode="External"/><Relationship Id="rId1414" Type="http://schemas.openxmlformats.org/officeDocument/2006/relationships/hyperlink" Target="https://onlineabd.de/online-abd/abd?DatumAuswahl=&amp;Kat=27573" TargetMode="External"/><Relationship Id="rId1621" Type="http://schemas.openxmlformats.org/officeDocument/2006/relationships/hyperlink" Target="http://onlineabd.de/images/downloads/ABD_2005_09_30.pdf" TargetMode="External"/><Relationship Id="rId1859" Type="http://schemas.openxmlformats.org/officeDocument/2006/relationships/hyperlink" Target="http://bundesrecht.juris.de/sgb_5" TargetMode="External"/><Relationship Id="rId1719" Type="http://schemas.openxmlformats.org/officeDocument/2006/relationships/hyperlink" Target="https://onlineabd.de/online-abd/abd?DatumAuswahl=&amp;Kat=27018" TargetMode="External"/><Relationship Id="rId1926" Type="http://schemas.openxmlformats.org/officeDocument/2006/relationships/hyperlink" Target="http://www.gesetze-bayern.de/Content/Document/BayVwV268660?hl=true" TargetMode="External"/><Relationship Id="rId2090" Type="http://schemas.openxmlformats.org/officeDocument/2006/relationships/hyperlink" Target="https://onlineabd.de/online-abd/abd?DatumAuswahl=01.05.2015&amp;Kat=28051" TargetMode="External"/><Relationship Id="rId367" Type="http://schemas.openxmlformats.org/officeDocument/2006/relationships/hyperlink" Target="https://onlineabd.de/online-abd/abd?DatumAuswahl=01.05.2015&amp;Kat=27166" TargetMode="External"/><Relationship Id="rId574" Type="http://schemas.openxmlformats.org/officeDocument/2006/relationships/hyperlink" Target="https://onlineabd.de/online-abd/abd?DatumAuswahl=01.05.2015&amp;Kat=29016&amp;Itemid=101" TargetMode="External"/><Relationship Id="rId2048" Type="http://schemas.openxmlformats.org/officeDocument/2006/relationships/hyperlink" Target="file:///C:\abd%3fDatumAuswahl=01.05.2015&amp;Kat=28076" TargetMode="External"/><Relationship Id="rId227" Type="http://schemas.openxmlformats.org/officeDocument/2006/relationships/hyperlink" Target="https://onlineabd.de/online-abd/abd?Kat=27017&amp;DatumAuswahl=" TargetMode="External"/><Relationship Id="rId781" Type="http://schemas.openxmlformats.org/officeDocument/2006/relationships/hyperlink" Target="https://onlineabd.de/online-abd/abd?DatumAuswahl=&amp;Kat=27025&amp;SubmitDatum=Anzeige" TargetMode="External"/><Relationship Id="rId879" Type="http://schemas.openxmlformats.org/officeDocument/2006/relationships/hyperlink" Target="http://www.gesetze-bayern.de/Content/Document/BayLlbG-G4" TargetMode="External"/><Relationship Id="rId434" Type="http://schemas.openxmlformats.org/officeDocument/2006/relationships/hyperlink" Target="https://onlineabd.de/online-abd/abd?DatumAuswahl=01.05.2015&amp;Kat=27210" TargetMode="External"/><Relationship Id="rId641" Type="http://schemas.openxmlformats.org/officeDocument/2006/relationships/hyperlink" Target="https://onlineabd.de/online-abd/abd?Kat=28164&amp;DatumAuswahl=31.12.2016" TargetMode="External"/><Relationship Id="rId739" Type="http://schemas.openxmlformats.org/officeDocument/2006/relationships/hyperlink" Target="https://www.gesetze-im-internet.de/sgb_7/__9.html" TargetMode="External"/><Relationship Id="rId1064" Type="http://schemas.openxmlformats.org/officeDocument/2006/relationships/hyperlink" Target="http://www.gesetze-bayern.de/Content/Document/BayLlbG-G4" TargetMode="External"/><Relationship Id="rId1271" Type="http://schemas.openxmlformats.org/officeDocument/2006/relationships/hyperlink" Target="https://onlineabd.de/online-abd/abd?DatumAuswahl=&amp;Kat=27040" TargetMode="External"/><Relationship Id="rId1369" Type="http://schemas.openxmlformats.org/officeDocument/2006/relationships/hyperlink" Target="https://onlineabd.de/online-abd/abd?Kat=27535&amp;DatumAuswahl=" TargetMode="External"/><Relationship Id="rId1576" Type="http://schemas.openxmlformats.org/officeDocument/2006/relationships/hyperlink" Target="http://bundesrecht.juris.de/estg" TargetMode="External"/><Relationship Id="rId2115" Type="http://schemas.openxmlformats.org/officeDocument/2006/relationships/hyperlink" Target="https://onlineabd.de/online-abd/abd?Kat=29821&amp;DatumAuswahl=" TargetMode="External"/><Relationship Id="rId501" Type="http://schemas.openxmlformats.org/officeDocument/2006/relationships/hyperlink" Target="https://onlineabd.de/online-abd/abd?DatumAuswahl=01.05.2015&amp;Kat=27042" TargetMode="External"/><Relationship Id="rId946" Type="http://schemas.openxmlformats.org/officeDocument/2006/relationships/hyperlink" Target="https://onlineabd.de/online-abd/abd?Kat=29914&amp;DatumAuswahl=" TargetMode="External"/><Relationship Id="rId1131" Type="http://schemas.openxmlformats.org/officeDocument/2006/relationships/hyperlink" Target="https://onlineabd.de/online-abd/abd?DatumAuswahl=&amp;Kat=27327&amp;SubmitDatum=Anzeige" TargetMode="External"/><Relationship Id="rId1229" Type="http://schemas.openxmlformats.org/officeDocument/2006/relationships/hyperlink" Target="https://onlineabd.de/online-abd/abd?DatumAuswahl=&amp;Kat=28150" TargetMode="External"/><Relationship Id="rId1783" Type="http://schemas.openxmlformats.org/officeDocument/2006/relationships/hyperlink" Target="https://onlineabd.de/images/Anlagen/Koda_Nr_100.pdf" TargetMode="External"/><Relationship Id="rId1990" Type="http://schemas.openxmlformats.org/officeDocument/2006/relationships/hyperlink" Target="https://onlineabd.de/online-abd/abd?Kat=27848&amp;DatumAuswahl=" TargetMode="External"/><Relationship Id="rId75" Type="http://schemas.openxmlformats.org/officeDocument/2006/relationships/hyperlink" Target="https://onlineabd.de/online-abd/abd?DatumAuswahl=01.05.2015&amp;Kat=27050" TargetMode="External"/><Relationship Id="rId806" Type="http://schemas.openxmlformats.org/officeDocument/2006/relationships/hyperlink" Target="http://www.gesetze-bayern.de/Content/Document/BayBesG-G2" TargetMode="External"/><Relationship Id="rId1436" Type="http://schemas.openxmlformats.org/officeDocument/2006/relationships/hyperlink" Target="https://onlineabd.de/online-abd/abd?DatumAuswahl=&amp;Kat=27590" TargetMode="External"/><Relationship Id="rId1643" Type="http://schemas.openxmlformats.org/officeDocument/2006/relationships/hyperlink" Target="http://bundesrecht.juris.de/sgb_6/__237a.html" TargetMode="External"/><Relationship Id="rId1850" Type="http://schemas.openxmlformats.org/officeDocument/2006/relationships/hyperlink" Target="http://www.gesetze-bayern.de/Content/Document/BayBhV/true" TargetMode="External"/><Relationship Id="rId1503" Type="http://schemas.openxmlformats.org/officeDocument/2006/relationships/hyperlink" Target="https://onlineabd.de/online-abd/abd?DatumAuswahl=&amp;Kat=27573" TargetMode="External"/><Relationship Id="rId1710" Type="http://schemas.openxmlformats.org/officeDocument/2006/relationships/hyperlink" Target="https://www.gesetze-im-internet.de/muschg_2018/__6.html" TargetMode="External"/><Relationship Id="rId1948" Type="http://schemas.openxmlformats.org/officeDocument/2006/relationships/hyperlink" Target="https://onlineabd.de/online-abd/abd?Kat=27830&amp;DatumAuswahl=" TargetMode="External"/><Relationship Id="rId291" Type="http://schemas.openxmlformats.org/officeDocument/2006/relationships/hyperlink" Target="https://www.onlineabd.de/online-abd/abd?Kat=27102&amp;DatumAuswahl=" TargetMode="External"/><Relationship Id="rId1808" Type="http://schemas.openxmlformats.org/officeDocument/2006/relationships/hyperlink" Target="https://onlineabd.de/images/Anlagen/KODA_Nr_74.pdf" TargetMode="External"/><Relationship Id="rId151" Type="http://schemas.openxmlformats.org/officeDocument/2006/relationships/hyperlink" Target="https://onlineabd.de/online-abd/abd?DatumAuswahl=01.05.2015&amp;Kat=28186" TargetMode="External"/><Relationship Id="rId389" Type="http://schemas.openxmlformats.org/officeDocument/2006/relationships/hyperlink" Target="https://onlineabd.de/online-abd/abd?DatumAuswahl=01.05.2015&amp;Kat=28092" TargetMode="External"/><Relationship Id="rId596" Type="http://schemas.openxmlformats.org/officeDocument/2006/relationships/hyperlink" Target="https://onlineabd.de/online-abd/abd?DatumAuswahl=01.05.2015&amp;Kat=29016&amp;Itemid=101" TargetMode="External"/><Relationship Id="rId249" Type="http://schemas.openxmlformats.org/officeDocument/2006/relationships/hyperlink" Target="https://onlineabd.de/online-abd/abd?DatumAuswahl=01.05.2015&amp;Kat=27035" TargetMode="External"/><Relationship Id="rId456" Type="http://schemas.openxmlformats.org/officeDocument/2006/relationships/hyperlink" Target="https://onlineabd.de/online-abd/abd?DatumAuswahl=01.05.2015&amp;Kat=28235" TargetMode="External"/><Relationship Id="rId663" Type="http://schemas.openxmlformats.org/officeDocument/2006/relationships/hyperlink" Target="https://onlineabd.de/online-abd/abd?DatumAuswahl=&amp;Kat=27210&amp;SubmitDatum=Anzeige" TargetMode="External"/><Relationship Id="rId870" Type="http://schemas.openxmlformats.org/officeDocument/2006/relationships/hyperlink" Target="http://www.gesetze-bayern.de/Content/Document/BayBesG-G3" TargetMode="External"/><Relationship Id="rId1086" Type="http://schemas.openxmlformats.org/officeDocument/2006/relationships/hyperlink" Target="http://www.gesetze-bayern.de/Content/Document/BayBesG-G3" TargetMode="External"/><Relationship Id="rId1293" Type="http://schemas.openxmlformats.org/officeDocument/2006/relationships/hyperlink" Target="https://onlineabd.de/online-abd/abd?DatumAuswahl=&amp;Kat=27521" TargetMode="External"/><Relationship Id="rId109" Type="http://schemas.openxmlformats.org/officeDocument/2006/relationships/hyperlink" Target="https://onlineabd.de/online-abd/abd?DatumAuswahl=01.05.2015&amp;Kat=27626" TargetMode="External"/><Relationship Id="rId316" Type="http://schemas.openxmlformats.org/officeDocument/2006/relationships/hyperlink" Target="https://www.gesetze-im-internet.de/sgb_9_2018/__2.html" TargetMode="External"/><Relationship Id="rId523" Type="http://schemas.openxmlformats.org/officeDocument/2006/relationships/hyperlink" Target="https://onlineabd.de/online-abd/abd?DatumAuswahl=01.05.2015&amp;Kat=28164" TargetMode="External"/><Relationship Id="rId968" Type="http://schemas.openxmlformats.org/officeDocument/2006/relationships/hyperlink" Target="https://onlineabd.de/online-abd/abd?DatumAuswahl=01.05.2015&amp;Kat=27049" TargetMode="External"/><Relationship Id="rId1153" Type="http://schemas.openxmlformats.org/officeDocument/2006/relationships/hyperlink" Target="https://onlineabd.de/online-abd/abd?DatumAuswahl=&amp;Kat=27057&amp;SubmitDatum=Anzeige" TargetMode="External"/><Relationship Id="rId1598" Type="http://schemas.openxmlformats.org/officeDocument/2006/relationships/hyperlink" Target="https://onlineabd.de/online-abd/abd?DatumAuswahl=&amp;Kat=27647" TargetMode="External"/><Relationship Id="rId97" Type="http://schemas.openxmlformats.org/officeDocument/2006/relationships/hyperlink" Target="https://onlineabd.de/online-abd/abd?DatumAuswahl=01.05.2015&amp;Kat=27433" TargetMode="External"/><Relationship Id="rId730" Type="http://schemas.openxmlformats.org/officeDocument/2006/relationships/hyperlink" Target="https://www.gesetze-im-internet.de/muschg_2018/__6.html" TargetMode="External"/><Relationship Id="rId828" Type="http://schemas.openxmlformats.org/officeDocument/2006/relationships/hyperlink" Target="https://www.onlineabd.de/online-abd/abd?Kat=27051&amp;DatumAuswahl=" TargetMode="External"/><Relationship Id="rId1013" Type="http://schemas.openxmlformats.org/officeDocument/2006/relationships/hyperlink" Target="https://onlineabd.de/online-abd/abd?DatumAuswahl=01.05.2015&amp;Kat=27040" TargetMode="External"/><Relationship Id="rId1360" Type="http://schemas.openxmlformats.org/officeDocument/2006/relationships/hyperlink" Target="https://onlineabd.de/online-abd/abd?Kat=29793&amp;DatumAuswahl=" TargetMode="External"/><Relationship Id="rId1458" Type="http://schemas.openxmlformats.org/officeDocument/2006/relationships/hyperlink" Target="https://onlineabd.de/online-abd/abd?DatumAuswahl=&amp;Kat=27611" TargetMode="External"/><Relationship Id="rId1665" Type="http://schemas.openxmlformats.org/officeDocument/2006/relationships/hyperlink" Target="https://onlineabd.de/online-abd/abd?DatumAuswahl=&amp;Kat=27219" TargetMode="External"/><Relationship Id="rId1872" Type="http://schemas.openxmlformats.org/officeDocument/2006/relationships/hyperlink" Target="https://onlineabd.de/online-abd/abd?DatumAuswahl=01.05.2015&amp;Kat=27776" TargetMode="External"/><Relationship Id="rId1220" Type="http://schemas.openxmlformats.org/officeDocument/2006/relationships/hyperlink" Target="http://bundesrecht.juris.de/alttzg_1996/" TargetMode="External"/><Relationship Id="rId1318" Type="http://schemas.openxmlformats.org/officeDocument/2006/relationships/hyperlink" Target="https://onlineabd.de/online-abd/abd?DatumAuswahl=&amp;Kat=27521" TargetMode="External"/><Relationship Id="rId1525" Type="http://schemas.openxmlformats.org/officeDocument/2006/relationships/hyperlink" Target="http://bundesrecht.juris.de/betravg/" TargetMode="External"/><Relationship Id="rId1732" Type="http://schemas.openxmlformats.org/officeDocument/2006/relationships/hyperlink" Target="https://onlineabd.de/online-abd/abd?DatumAuswahl=&amp;Kat=29089" TargetMode="External"/><Relationship Id="rId24" Type="http://schemas.openxmlformats.org/officeDocument/2006/relationships/hyperlink" Target="https://onlineabd.de/online-abd/abd?Kat=28182&amp;DatumAuswahl=" TargetMode="External"/><Relationship Id="rId173" Type="http://schemas.openxmlformats.org/officeDocument/2006/relationships/hyperlink" Target="https://onlineabd.de/online-abd/abd?DatumAuswahl=01.05.2015&amp;Kat=29785&amp;Itemid=101" TargetMode="External"/><Relationship Id="rId380" Type="http://schemas.openxmlformats.org/officeDocument/2006/relationships/hyperlink" Target="https://onlineabd.de/online-abd/abd?DatumAuswahl=01.05.2015&amp;Kat=28174&amp;Itemid=101" TargetMode="External"/><Relationship Id="rId2061" Type="http://schemas.openxmlformats.org/officeDocument/2006/relationships/hyperlink" Target="file:///C:\abd%3fDatumAuswahl=01.05.2015&amp;Kat=28087" TargetMode="External"/><Relationship Id="rId240" Type="http://schemas.openxmlformats.org/officeDocument/2006/relationships/hyperlink" Target="https://onlineabd.de/online-abd/abd?DatumAuswahl=01.05.2015&amp;Kat=27018" TargetMode="External"/><Relationship Id="rId478" Type="http://schemas.openxmlformats.org/officeDocument/2006/relationships/hyperlink" Target="https://onlineabd.de/online-abd/abd?DatumAuswahl=01.05.2015&amp;Kat=28235" TargetMode="External"/><Relationship Id="rId685" Type="http://schemas.openxmlformats.org/officeDocument/2006/relationships/hyperlink" Target="https://onlineabd.de/online-abd/abd?Kat=27433&amp;DatumAuswahl=" TargetMode="External"/><Relationship Id="rId892" Type="http://schemas.openxmlformats.org/officeDocument/2006/relationships/hyperlink" Target="https://onlineabd.de/online-abd/abd?DatumAuswahl=01.05.2015&amp;Kat=27040" TargetMode="External"/><Relationship Id="rId100" Type="http://schemas.openxmlformats.org/officeDocument/2006/relationships/hyperlink" Target="http://www.gesetze-im-internet.de/betravg/index.html" TargetMode="External"/><Relationship Id="rId338" Type="http://schemas.openxmlformats.org/officeDocument/2006/relationships/hyperlink" Target="https://onlineabd.de/online-abd/abd?Kat=27042&amp;DatumAuswahl=" TargetMode="External"/><Relationship Id="rId545" Type="http://schemas.openxmlformats.org/officeDocument/2006/relationships/hyperlink" Target="https://onlineabd.de/online-abd/abd?DatumAuswahl=&amp;Kat=27029&amp;SubmitDatum=Anzeige" TargetMode="External"/><Relationship Id="rId752" Type="http://schemas.openxmlformats.org/officeDocument/2006/relationships/hyperlink" Target="https://www.gesetze-im-internet.de/bkgg_1996/index.html" TargetMode="External"/><Relationship Id="rId1175" Type="http://schemas.openxmlformats.org/officeDocument/2006/relationships/hyperlink" Target="https://onlineabd.de/online-abd/abd?DatumAuswahl=&amp;Kat=27458" TargetMode="External"/><Relationship Id="rId1382" Type="http://schemas.openxmlformats.org/officeDocument/2006/relationships/hyperlink" Target="https://onlineabd.de/online-abd/abd?Kat=27530&amp;DatumAuswahl=" TargetMode="External"/><Relationship Id="rId2019" Type="http://schemas.openxmlformats.org/officeDocument/2006/relationships/hyperlink" Target="https://onlineabd.de/online-abd/abd?DatumAuswahl=01.05.2015&amp;Kat=28047" TargetMode="External"/><Relationship Id="rId405" Type="http://schemas.openxmlformats.org/officeDocument/2006/relationships/hyperlink" Target="https://www.gesetze-im-internet.de/sgb_4/__8.html" TargetMode="External"/><Relationship Id="rId612" Type="http://schemas.openxmlformats.org/officeDocument/2006/relationships/hyperlink" Target="https://onlineabd.de/online-abd/abd?Kat=27006&amp;DatumAuswahl=" TargetMode="External"/><Relationship Id="rId1035" Type="http://schemas.openxmlformats.org/officeDocument/2006/relationships/hyperlink" Target="http://www.gesetze-bayern.de/Content/Document/BayBesG-G2" TargetMode="External"/><Relationship Id="rId1242" Type="http://schemas.openxmlformats.org/officeDocument/2006/relationships/hyperlink" Target="https://onlineabd.de/online-abd/abd?DatumAuswahl=&amp;Kat=27058" TargetMode="External"/><Relationship Id="rId1687" Type="http://schemas.openxmlformats.org/officeDocument/2006/relationships/hyperlink" Target="https://www.gesetze-im-internet.de/muschg_2018/__13.html" TargetMode="External"/><Relationship Id="rId1894" Type="http://schemas.openxmlformats.org/officeDocument/2006/relationships/hyperlink" Target="https://onlineabd.de/online-abd/abd?Kat=29654&amp;DatumAuswahl=" TargetMode="External"/><Relationship Id="rId917" Type="http://schemas.openxmlformats.org/officeDocument/2006/relationships/hyperlink" Target="https://onlineabd.de/online-abd/abd?DatumAuswahl=01.05.2015&amp;Kat=28186" TargetMode="External"/><Relationship Id="rId1102" Type="http://schemas.openxmlformats.org/officeDocument/2006/relationships/hyperlink" Target="https://onlineabd.de/online-abd/abd?Kat=28133&amp;DatumAuswahl=" TargetMode="External"/><Relationship Id="rId1547" Type="http://schemas.openxmlformats.org/officeDocument/2006/relationships/hyperlink" Target="http://www.gesetze-im-internet.de/muschg/index.html" TargetMode="External"/><Relationship Id="rId1754" Type="http://schemas.openxmlformats.org/officeDocument/2006/relationships/hyperlink" Target="https://onlineabd.de/online-abd/abd?DatumAuswahl=&amp;Kat=27677" TargetMode="External"/><Relationship Id="rId1961" Type="http://schemas.openxmlformats.org/officeDocument/2006/relationships/hyperlink" Target="http://www.codex-iuris-canonici.de/indexdt.htm" TargetMode="External"/><Relationship Id="rId46" Type="http://schemas.openxmlformats.org/officeDocument/2006/relationships/hyperlink" Target="https://onlineabd.de/online-abd/abd?DatumAuswahl=01.05.2015&amp;Kat=27034" TargetMode="External"/><Relationship Id="rId1407" Type="http://schemas.openxmlformats.org/officeDocument/2006/relationships/hyperlink" Target="https://onlineabd.de/online-abd/abd?DatumAuswahl=&amp;Kat=27559" TargetMode="External"/><Relationship Id="rId1614" Type="http://schemas.openxmlformats.org/officeDocument/2006/relationships/hyperlink" Target="http://bundesrecht.juris.de/sgb_6/index.html" TargetMode="External"/><Relationship Id="rId1821" Type="http://schemas.openxmlformats.org/officeDocument/2006/relationships/hyperlink" Target="https://onlineabd.de/images/Anlagen/Anl61.pdf" TargetMode="External"/><Relationship Id="rId195" Type="http://schemas.openxmlformats.org/officeDocument/2006/relationships/hyperlink" Target="https://onlineabd.de/online-abd/abd?Kat=27030&amp;DatumAuswahl=" TargetMode="External"/><Relationship Id="rId1919" Type="http://schemas.openxmlformats.org/officeDocument/2006/relationships/hyperlink" Target="https://onlineabd.de/online-abd/abd?DatumAuswahl=01.05.2015&amp;Kat=28217" TargetMode="External"/><Relationship Id="rId2083" Type="http://schemas.openxmlformats.org/officeDocument/2006/relationships/hyperlink" Target="http://codex-iuris-canonici.de/indexdt.htm" TargetMode="External"/><Relationship Id="rId262" Type="http://schemas.openxmlformats.org/officeDocument/2006/relationships/hyperlink" Target="https://www.gesetze-im-internet.de/btmg_1981/BJNR106810981.html" TargetMode="External"/><Relationship Id="rId567" Type="http://schemas.openxmlformats.org/officeDocument/2006/relationships/hyperlink" Target="https://onlineabd.de/online-abd/abd?DatumAuswahl=01.05.2015&amp;Kat=28892&amp;Itemid=101" TargetMode="External"/><Relationship Id="rId1197" Type="http://schemas.openxmlformats.org/officeDocument/2006/relationships/hyperlink" Target="https://onlineabd.de/online-abd/abd?DatumAuswahl=&amp;Kat=28011" TargetMode="External"/><Relationship Id="rId122" Type="http://schemas.openxmlformats.org/officeDocument/2006/relationships/hyperlink" Target="https://onlineabd.de/online-abd/abd?DatumAuswahl=01.05.2015&amp;Kat=27049" TargetMode="External"/><Relationship Id="rId774" Type="http://schemas.openxmlformats.org/officeDocument/2006/relationships/hyperlink" Target="https://onlineabd.de/online-abd/abd?DatumAuswahl=&amp;Kat=28182&amp;SubmitDatum=Anzeige" TargetMode="External"/><Relationship Id="rId981" Type="http://schemas.openxmlformats.org/officeDocument/2006/relationships/hyperlink" Target="https://onlineabd.de/online-abd/abd?DatumAuswahl=01.05.2015&amp;Kat=27056" TargetMode="External"/><Relationship Id="rId1057" Type="http://schemas.openxmlformats.org/officeDocument/2006/relationships/hyperlink" Target="http://www.gesetze-bayern.de/Content/Document/BayBesG-G2" TargetMode="External"/><Relationship Id="rId2010" Type="http://schemas.openxmlformats.org/officeDocument/2006/relationships/hyperlink" Target="https://onlineabd.de/online-abd/abd?DatumAuswahl=01.05.2015&amp;Kat=28038" TargetMode="External"/><Relationship Id="rId427" Type="http://schemas.openxmlformats.org/officeDocument/2006/relationships/hyperlink" Target="https://onlineabd.de/online-abd/abd?Kat=27240&amp;DatumAuswahl=" TargetMode="External"/><Relationship Id="rId634" Type="http://schemas.openxmlformats.org/officeDocument/2006/relationships/hyperlink" Target="https://onlineabd.de/online-abd/abd?Kat=27102&amp;DatumAuswahl=" TargetMode="External"/><Relationship Id="rId841" Type="http://schemas.openxmlformats.org/officeDocument/2006/relationships/hyperlink" Target="https://onlineabd.de/online-abd/abd?Kat=27070&amp;DatumAuswahl=" TargetMode="External"/><Relationship Id="rId1264" Type="http://schemas.openxmlformats.org/officeDocument/2006/relationships/hyperlink" Target="http://bundesrecht.juris.de/alttzg_1996/__6.html" TargetMode="External"/><Relationship Id="rId1471" Type="http://schemas.openxmlformats.org/officeDocument/2006/relationships/hyperlink" Target="https://onlineabd.de/online-abd/abd?DatumAuswahl=&amp;Kat=27573" TargetMode="External"/><Relationship Id="rId1569" Type="http://schemas.openxmlformats.org/officeDocument/2006/relationships/hyperlink" Target="https://onlineabd.de/online-abd/abd?DatumAuswahl=&amp;Kat=27624" TargetMode="External"/><Relationship Id="rId2108" Type="http://schemas.openxmlformats.org/officeDocument/2006/relationships/hyperlink" Target="https://onlineabd.de/online-abd/abd?DatumAuswahl=01.05.2015&amp;Kat=28081" TargetMode="External"/><Relationship Id="rId701" Type="http://schemas.openxmlformats.org/officeDocument/2006/relationships/hyperlink" Target="https://www.gesetze-im-internet.de/estg/__65.html" TargetMode="External"/><Relationship Id="rId939" Type="http://schemas.openxmlformats.org/officeDocument/2006/relationships/hyperlink" Target="https://onlineabd.de/online-abd/abd?DatumAuswahl=01.05.2015&amp;Kat=28146" TargetMode="External"/><Relationship Id="rId1124" Type="http://schemas.openxmlformats.org/officeDocument/2006/relationships/hyperlink" Target="https://onlineabd.de/online-abd/abd?DatumAuswahl=&amp;Kat=28182&amp;SubmitDatum=Anzeige" TargetMode="External"/><Relationship Id="rId1331" Type="http://schemas.openxmlformats.org/officeDocument/2006/relationships/hyperlink" Target="https://onlineabd.de/online-abd/abd?DatumAuswahl=&amp;Kat=27521" TargetMode="External"/><Relationship Id="rId1776" Type="http://schemas.openxmlformats.org/officeDocument/2006/relationships/hyperlink" Target="https://onlineabd.de/images/downloads/Koda_Nr_106_neu.pdf" TargetMode="External"/><Relationship Id="rId1983" Type="http://schemas.openxmlformats.org/officeDocument/2006/relationships/hyperlink" Target="http://www.codex-iuris-canonici.de/indexdt.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onlineABD\2014onlineabd\ABD-Onlin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6C1AA-0EEF-4461-9F5C-DFCE8A2E7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ABD-Online.dotm</Template>
  <TotalTime>0</TotalTime>
  <Pages>811</Pages>
  <Words>247627</Words>
  <Characters>1855673</Characters>
  <Application>Microsoft Office Word</Application>
  <DocSecurity>0</DocSecurity>
  <Lines>15463</Lines>
  <Paragraphs>4198</Paragraphs>
  <ScaleCrop>false</ScaleCrop>
  <HeadingPairs>
    <vt:vector size="2" baseType="variant">
      <vt:variant>
        <vt:lpstr>Titel</vt:lpstr>
      </vt:variant>
      <vt:variant>
        <vt:i4>1</vt:i4>
      </vt:variant>
    </vt:vector>
  </HeadingPairs>
  <TitlesOfParts>
    <vt:vector size="1" baseType="lpstr">
      <vt:lpstr>OnlineABDPDF</vt:lpstr>
    </vt:vector>
  </TitlesOfParts>
  <Company>Diözese Augsburg</Company>
  <LinksUpToDate>false</LinksUpToDate>
  <CharactersWithSpaces>2099102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OnlineABDPDF</dc:title>
  <dc:creator>Eduard Frede</dc:creator>
  <cp:lastModifiedBy>Frede</cp:lastModifiedBy>
  <cp:revision>4</cp:revision>
  <cp:lastPrinted>2018-09-11T08:31:00Z</cp:lastPrinted>
  <dcterms:created xsi:type="dcterms:W3CDTF">2018-09-10T13:55:00Z</dcterms:created>
  <dcterms:modified xsi:type="dcterms:W3CDTF">2018-09-11T08:40:00Z</dcterms:modified>
</cp:coreProperties>
</file>